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8EAEB" w14:textId="40C8109A" w:rsidR="0008114B" w:rsidRPr="00A573DE" w:rsidRDefault="0008114B" w:rsidP="0008114B">
      <w:pPr>
        <w:rPr>
          <w:b/>
          <w:bCs/>
        </w:rPr>
      </w:pPr>
      <w:r w:rsidRPr="00A573DE">
        <w:rPr>
          <w:b/>
          <w:bCs/>
        </w:rPr>
        <w:t xml:space="preserve">Organisation name: </w:t>
      </w:r>
      <w:r>
        <w:rPr>
          <w:b/>
          <w:bCs/>
        </w:rPr>
        <w:t xml:space="preserve">Pfizer </w:t>
      </w:r>
      <w:r w:rsidR="00887584">
        <w:rPr>
          <w:b/>
          <w:bCs/>
        </w:rPr>
        <w:t>L</w:t>
      </w:r>
      <w:r>
        <w:rPr>
          <w:b/>
          <w:bCs/>
        </w:rPr>
        <w:t>td.</w:t>
      </w:r>
    </w:p>
    <w:p w14:paraId="41491E26" w14:textId="77777777" w:rsidR="0008114B" w:rsidRPr="00A573DE" w:rsidRDefault="0008114B" w:rsidP="0008114B"/>
    <w:p w14:paraId="2D167D69" w14:textId="77777777" w:rsidR="0008114B" w:rsidRPr="00A573DE" w:rsidRDefault="0008114B" w:rsidP="0008114B">
      <w:pPr>
        <w:jc w:val="center"/>
        <w:rPr>
          <w:b/>
          <w:bCs/>
        </w:rPr>
      </w:pPr>
    </w:p>
    <w:p w14:paraId="52D5E44F" w14:textId="18CB01D9" w:rsidR="0008114B" w:rsidRPr="00A573DE" w:rsidRDefault="0008114B" w:rsidP="0008114B">
      <w:pPr>
        <w:rPr>
          <w:sz w:val="18"/>
          <w:szCs w:val="18"/>
        </w:rPr>
      </w:pPr>
      <w:r w:rsidRPr="00A573DE">
        <w:rPr>
          <w:b/>
          <w:bCs/>
        </w:rPr>
        <w:t>Disclosure:</w:t>
      </w:r>
      <w:r w:rsidRPr="00A573DE">
        <w:t xml:space="preserve"> </w:t>
      </w:r>
      <w:r w:rsidRPr="00A573DE">
        <w:rPr>
          <w:sz w:val="18"/>
          <w:szCs w:val="18"/>
        </w:rPr>
        <w:t xml:space="preserve">Please disclose any past or current, </w:t>
      </w:r>
      <w:proofErr w:type="gramStart"/>
      <w:r w:rsidRPr="00A573DE">
        <w:rPr>
          <w:sz w:val="18"/>
          <w:szCs w:val="18"/>
        </w:rPr>
        <w:t>direct</w:t>
      </w:r>
      <w:proofErr w:type="gramEnd"/>
      <w:r w:rsidRPr="00A573DE">
        <w:rPr>
          <w:sz w:val="18"/>
          <w:szCs w:val="18"/>
        </w:rPr>
        <w:t xml:space="preserve"> or indirect links to, or funding from, the tobacco industry:</w:t>
      </w:r>
      <w:r w:rsidR="00887584">
        <w:rPr>
          <w:sz w:val="18"/>
          <w:szCs w:val="18"/>
        </w:rPr>
        <w:t xml:space="preserve"> None</w:t>
      </w:r>
    </w:p>
    <w:p w14:paraId="72A48942" w14:textId="77777777" w:rsidR="0008114B" w:rsidRPr="00A573DE" w:rsidRDefault="0008114B" w:rsidP="0008114B">
      <w:pPr>
        <w:rPr>
          <w:sz w:val="18"/>
          <w:szCs w:val="18"/>
        </w:rPr>
      </w:pPr>
    </w:p>
    <w:p w14:paraId="2D328BA9" w14:textId="77777777" w:rsidR="0008114B" w:rsidRPr="00A573DE" w:rsidRDefault="0008114B" w:rsidP="0008114B">
      <w:pPr>
        <w:rPr>
          <w:b/>
          <w:bCs/>
        </w:rPr>
      </w:pPr>
    </w:p>
    <w:p w14:paraId="07248E6A" w14:textId="77777777" w:rsidR="0008114B" w:rsidRPr="00A573DE" w:rsidRDefault="0008114B" w:rsidP="0008114B">
      <w:pPr>
        <w:rPr>
          <w:b/>
          <w:bCs/>
        </w:rPr>
      </w:pPr>
      <w:r w:rsidRPr="00A573DE">
        <w:rPr>
          <w:b/>
          <w:bCs/>
        </w:rPr>
        <w:t xml:space="preserve">Name of person completing form: </w:t>
      </w:r>
      <w:r>
        <w:rPr>
          <w:b/>
          <w:bCs/>
        </w:rPr>
        <w:t xml:space="preserve">Jack Charles </w:t>
      </w:r>
      <w:proofErr w:type="spellStart"/>
      <w:r>
        <w:rPr>
          <w:b/>
          <w:bCs/>
        </w:rPr>
        <w:t>Kowalik</w:t>
      </w:r>
      <w:proofErr w:type="spellEnd"/>
    </w:p>
    <w:p w14:paraId="20783EF1" w14:textId="77777777" w:rsidR="0008114B" w:rsidRPr="00A573DE" w:rsidRDefault="0008114B" w:rsidP="0008114B">
      <w:pPr>
        <w:rPr>
          <w:b/>
          <w:bCs/>
        </w:rPr>
      </w:pPr>
    </w:p>
    <w:p w14:paraId="40137380" w14:textId="750C3C84" w:rsidR="0008114B" w:rsidRPr="004C3125" w:rsidRDefault="0008114B" w:rsidP="0008114B">
      <w:pPr>
        <w:pStyle w:val="Heading1"/>
        <w:rPr>
          <w:sz w:val="24"/>
          <w:szCs w:val="22"/>
        </w:rPr>
      </w:pPr>
      <w:r w:rsidRPr="004C3125">
        <w:rPr>
          <w:sz w:val="24"/>
          <w:szCs w:val="22"/>
        </w:rPr>
        <w:t>Executive Summary</w:t>
      </w:r>
    </w:p>
    <w:p w14:paraId="717A98CC" w14:textId="77777777" w:rsidR="00623B8B" w:rsidRPr="00623B8B" w:rsidRDefault="00623B8B" w:rsidP="00623B8B"/>
    <w:p w14:paraId="4542C812" w14:textId="77777777" w:rsidR="0008114B" w:rsidRPr="0050046B" w:rsidRDefault="0008114B" w:rsidP="0008114B">
      <w:pPr>
        <w:pStyle w:val="paragraph0"/>
        <w:spacing w:before="0" w:beforeAutospacing="0" w:after="0" w:afterAutospacing="0" w:line="360" w:lineRule="auto"/>
        <w:textAlignment w:val="baseline"/>
        <w:rPr>
          <w:rFonts w:ascii="Arial" w:hAnsi="Arial" w:cs="Arial"/>
          <w:sz w:val="22"/>
          <w:szCs w:val="22"/>
        </w:rPr>
      </w:pPr>
      <w:r w:rsidRPr="0050046B">
        <w:rPr>
          <w:rFonts w:ascii="Arial" w:hAnsi="Arial" w:cs="Arial"/>
          <w:sz w:val="22"/>
          <w:szCs w:val="22"/>
        </w:rPr>
        <w:t xml:space="preserve">To address the significant ongoing concerns of future healthcare, both for individual patients and the population, the UK Government has prioritised efforts to address antimicrobial resistance (AMR) for our G7 presidency this year. G7 Finance and Health Ministers in June committed to tackle the AMR pipeline challenge through exploring proposals for strengthening market incentives for antibiotic drug development, underpinned by a set of shared valuation principles. The world eagerly awaits the outcomes of the UK project, to develop and test innovative models for the evaluation and purchase of antimicrobials </w:t>
      </w:r>
      <w:r>
        <w:rPr>
          <w:rFonts w:ascii="Arial" w:hAnsi="Arial" w:cs="Arial"/>
          <w:sz w:val="22"/>
          <w:szCs w:val="22"/>
        </w:rPr>
        <w:t xml:space="preserve">(AMs) </w:t>
      </w:r>
      <w:r w:rsidRPr="0050046B">
        <w:rPr>
          <w:rFonts w:ascii="Arial" w:hAnsi="Arial" w:cs="Arial"/>
          <w:sz w:val="22"/>
          <w:szCs w:val="22"/>
        </w:rPr>
        <w:t xml:space="preserve">and to apply the finding principles that would comply with international health and care landscapes, as means to resolving the broken market for antibiotics and ensure patients can access a critical lifesaving antibiotic.  </w:t>
      </w:r>
    </w:p>
    <w:p w14:paraId="2E023AD3" w14:textId="77777777" w:rsidR="0008114B" w:rsidRPr="0050046B" w:rsidRDefault="0008114B" w:rsidP="0008114B">
      <w:pPr>
        <w:pStyle w:val="paragraph0"/>
        <w:spacing w:before="0" w:beforeAutospacing="0" w:after="0" w:afterAutospacing="0" w:line="360" w:lineRule="auto"/>
        <w:textAlignment w:val="baseline"/>
        <w:rPr>
          <w:rFonts w:ascii="Arial" w:hAnsi="Arial" w:cs="Arial"/>
          <w:sz w:val="22"/>
          <w:szCs w:val="22"/>
        </w:rPr>
      </w:pPr>
    </w:p>
    <w:p w14:paraId="269773CA" w14:textId="77777777" w:rsidR="0008114B" w:rsidRPr="0050046B" w:rsidRDefault="0008114B" w:rsidP="0008114B">
      <w:pPr>
        <w:pStyle w:val="paragraph0"/>
        <w:spacing w:before="0" w:beforeAutospacing="0" w:after="0" w:afterAutospacing="0" w:line="360" w:lineRule="auto"/>
        <w:textAlignment w:val="baseline"/>
        <w:rPr>
          <w:rFonts w:ascii="Arial" w:hAnsi="Arial" w:cs="Arial"/>
          <w:sz w:val="22"/>
          <w:szCs w:val="22"/>
          <w:lang w:eastAsia="en-US"/>
        </w:rPr>
      </w:pPr>
      <w:r w:rsidRPr="0050046B">
        <w:rPr>
          <w:rFonts w:ascii="Arial" w:hAnsi="Arial" w:cs="Arial"/>
          <w:sz w:val="22"/>
          <w:szCs w:val="22"/>
        </w:rPr>
        <w:t xml:space="preserve">EEPRU’s assessment report, to which we are responding to through this consultation, is fundamental for informing the next stage of this project. However, we are </w:t>
      </w:r>
      <w:r w:rsidRPr="0050046B">
        <w:rPr>
          <w:rFonts w:ascii="Arial" w:hAnsi="Arial" w:cs="Arial"/>
          <w:sz w:val="22"/>
          <w:szCs w:val="22"/>
          <w:lang w:eastAsia="en-US"/>
        </w:rPr>
        <w:t>deeply concerned that this assessment fails to quantify the wider value of antimicrobial innovation and service offerings. This sends a detrimental signal to industry and investors that antimicrobial innovation continues to be undervalued and consequently both the immediate and future population health will suffer if we are unable to combat the continued rise of AMR.</w:t>
      </w:r>
    </w:p>
    <w:p w14:paraId="1B41DCA2" w14:textId="77777777" w:rsidR="0008114B" w:rsidRPr="009A04FA" w:rsidRDefault="0008114B" w:rsidP="0008114B">
      <w:pPr>
        <w:spacing w:line="360" w:lineRule="auto"/>
        <w:textAlignment w:val="baseline"/>
        <w:rPr>
          <w:rFonts w:cs="Arial"/>
        </w:rPr>
      </w:pPr>
    </w:p>
    <w:p w14:paraId="48B9FAEF" w14:textId="77777777" w:rsidR="0008114B" w:rsidRPr="009A04FA" w:rsidRDefault="0008114B" w:rsidP="0008114B">
      <w:pPr>
        <w:spacing w:line="360" w:lineRule="auto"/>
        <w:textAlignment w:val="baseline"/>
        <w:rPr>
          <w:rFonts w:cs="Arial"/>
        </w:rPr>
      </w:pPr>
      <w:r w:rsidRPr="009A04FA">
        <w:rPr>
          <w:rFonts w:cs="Arial"/>
        </w:rPr>
        <w:t>The final scope</w:t>
      </w:r>
      <w:r w:rsidRPr="009A04FA">
        <w:rPr>
          <w:rFonts w:cs="Arial"/>
        </w:rPr>
        <w:fldChar w:fldCharType="begin"/>
      </w:r>
      <w:r w:rsidRPr="009A04FA">
        <w:rPr>
          <w:rFonts w:cs="Arial"/>
        </w:rPr>
        <w:instrText xml:space="preserve"> ADDIN EN.CITE &lt;EndNote&gt;&lt;Cite&gt;&lt;Author&gt;National Institute for Health and Care Excellence&lt;/Author&gt;&lt;Year&gt;2021&lt;/Year&gt;&lt;RecNum&gt;28&lt;/RecNum&gt;&lt;DisplayText&gt;&lt;style face="superscript"&gt;1&lt;/style&gt;&lt;/DisplayText&gt;&lt;record&gt;&lt;rec-number&gt;28&lt;/rec-number&gt;&lt;foreign-keys&gt;&lt;key app="EN" db-id="pd5s0xr0250t2qevxfgxpvwp5eaztd2pavxx" timestamp="1639399397"&gt;28&lt;/key&gt;&lt;/foreign-keys&gt;&lt;ref-type name="Web Page"&gt;12&lt;/ref-type&gt;&lt;contributors&gt;&lt;authors&gt;&lt;author&gt;National Institute for Health and Care Excellence,&lt;/author&gt;&lt;/authors&gt;&lt;/contributors&gt;&lt;titles&gt;&lt;title&gt;Antimicrobial Health Technology Evaluation. Ceftazidime with avibactam for treating severe aerobic Gram-negative bacterial infections - Final scope &lt;/title&gt;&lt;/titles&gt;&lt;volume&gt;2021&lt;/volume&gt;&lt;number&gt;2/2021&lt;/number&gt;&lt;dates&gt;&lt;year&gt;2021&lt;/year&gt;&lt;/dates&gt;&lt;urls&gt;&lt;related-urls&gt;&lt;url&gt;https://www.nice.org.uk/about/what-we-do/life-sciences/scientific-advice/models-for-the-evaluation-and-purchase-of-antimicrobials/ceftazidime-with-avibactam&lt;/url&gt;&lt;/related-urls&gt;&lt;/urls&gt;&lt;/record&gt;&lt;/Cite&gt;&lt;/EndNote&gt;</w:instrText>
      </w:r>
      <w:r w:rsidRPr="009A04FA">
        <w:rPr>
          <w:rFonts w:cs="Arial"/>
        </w:rPr>
        <w:fldChar w:fldCharType="separate"/>
      </w:r>
      <w:r w:rsidRPr="009A04FA">
        <w:rPr>
          <w:rFonts w:cs="Arial"/>
          <w:noProof/>
          <w:vertAlign w:val="superscript"/>
        </w:rPr>
        <w:t>1</w:t>
      </w:r>
      <w:r w:rsidRPr="009A04FA">
        <w:rPr>
          <w:rFonts w:cs="Arial"/>
        </w:rPr>
        <w:fldChar w:fldCharType="end"/>
      </w:r>
      <w:r w:rsidRPr="009A04FA">
        <w:rPr>
          <w:rFonts w:cs="Arial"/>
        </w:rPr>
        <w:t xml:space="preserve"> and paragraph 4.5 of the NHS’s Annex 7</w:t>
      </w:r>
      <w:r w:rsidRPr="009A04FA">
        <w:rPr>
          <w:rFonts w:cs="Arial"/>
        </w:rPr>
        <w:fldChar w:fldCharType="begin"/>
      </w:r>
      <w:r w:rsidRPr="009A04FA">
        <w:rPr>
          <w:rFonts w:cs="Arial"/>
        </w:rPr>
        <w:instrText xml:space="preserve"> ADDIN EN.CITE &lt;EndNote&gt;&lt;Cite&gt;&lt;Author&gt;NHS&lt;/Author&gt;&lt;RecNum&gt;27&lt;/RecNum&gt;&lt;DisplayText&gt;&lt;style face="superscript"&gt;2&lt;/style&gt;&lt;/DisplayText&gt;&lt;record&gt;&lt;rec-number&gt;27&lt;/rec-number&gt;&lt;foreign-keys&gt;&lt;key app="EN" db-id="pd5s0xr0250t2qevxfgxpvwp5eaztd2pavxx" timestamp="1639399178"&gt;27&lt;/key&gt;&lt;/foreign-keys&gt;&lt;ref-type name="Web Page"&gt;12&lt;/ref-type&gt;&lt;contributors&gt;&lt;authors&gt;&lt;author&gt;NHS,&lt;/author&gt;&lt;/authors&gt;&lt;/contributors&gt;&lt;titles&gt;&lt;title&gt;AMR002 - Annex 7: health technology assessment process. &lt;/title&gt;&lt;/titles&gt;&lt;number&gt;12/2021&lt;/number&gt;&lt;dates&gt;&lt;/dates&gt;&lt;urls&gt;&lt;related-urls&gt;&lt;url&gt;https://www.nice.org.uk/Media/Default/About/what-we-do/Life-sciences/evaluation-framework.pdf&lt;/url&gt;&lt;/related-urls&gt;&lt;/urls&gt;&lt;/record&gt;&lt;/Cite&gt;&lt;/EndNote&gt;</w:instrText>
      </w:r>
      <w:r w:rsidRPr="009A04FA">
        <w:rPr>
          <w:rFonts w:cs="Arial"/>
        </w:rPr>
        <w:fldChar w:fldCharType="separate"/>
      </w:r>
      <w:r w:rsidRPr="009A04FA">
        <w:rPr>
          <w:rFonts w:cs="Arial"/>
          <w:noProof/>
          <w:vertAlign w:val="superscript"/>
        </w:rPr>
        <w:t>2</w:t>
      </w:r>
      <w:r w:rsidRPr="009A04FA">
        <w:rPr>
          <w:rFonts w:cs="Arial"/>
        </w:rPr>
        <w:fldChar w:fldCharType="end"/>
      </w:r>
      <w:r w:rsidRPr="009A04FA">
        <w:rPr>
          <w:rFonts w:cs="Arial"/>
        </w:rPr>
        <w:t xml:space="preserve"> clearly set out the objective for this assessment to capture the broader value of antibiotics, both direct health costs and effects and indirect value via the inclusion of a number of additional value elements (e.g., Spectrum, Transmission, Enablement, Diversity, Insurance). The final scope</w:t>
      </w:r>
      <w:r w:rsidRPr="009A04FA">
        <w:rPr>
          <w:rFonts w:cs="Arial"/>
        </w:rPr>
        <w:fldChar w:fldCharType="begin"/>
      </w:r>
      <w:r w:rsidRPr="009A04FA">
        <w:rPr>
          <w:rFonts w:cs="Arial"/>
        </w:rPr>
        <w:instrText xml:space="preserve"> ADDIN EN.CITE &lt;EndNote&gt;&lt;Cite&gt;&lt;Author&gt;National Institute for Health and Care Excellence&lt;/Author&gt;&lt;Year&gt;2021&lt;/Year&gt;&lt;RecNum&gt;28&lt;/RecNum&gt;&lt;DisplayText&gt;&lt;style face="superscript"&gt;1&lt;/style&gt;&lt;/DisplayText&gt;&lt;record&gt;&lt;rec-number&gt;28&lt;/rec-number&gt;&lt;foreign-keys&gt;&lt;key app="EN" db-id="pd5s0xr0250t2qevxfgxpvwp5eaztd2pavxx" timestamp="1639399397"&gt;28&lt;/key&gt;&lt;/foreign-keys&gt;&lt;ref-type name="Web Page"&gt;12&lt;/ref-type&gt;&lt;contributors&gt;&lt;authors&gt;&lt;author&gt;National Institute for Health and Care Excellence,&lt;/author&gt;&lt;/authors&gt;&lt;/contributors&gt;&lt;titles&gt;&lt;title&gt;Antimicrobial Health Technology Evaluation. Ceftazidime with avibactam for treating severe aerobic Gram-negative bacterial infections - Final scope &lt;/title&gt;&lt;/titles&gt;&lt;volume&gt;2021&lt;/volume&gt;&lt;number&gt;2/2021&lt;/number&gt;&lt;dates&gt;&lt;year&gt;2021&lt;/year&gt;&lt;/dates&gt;&lt;urls&gt;&lt;related-urls&gt;&lt;url&gt;https://www.nice.org.uk/about/what-we-do/life-sciences/scientific-advice/models-for-the-evaluation-and-purchase-of-antimicrobials/ceftazidime-with-avibactam&lt;/url&gt;&lt;/related-urls&gt;&lt;/urls&gt;&lt;/record&gt;&lt;/Cite&gt;&lt;/EndNote&gt;</w:instrText>
      </w:r>
      <w:r w:rsidRPr="009A04FA">
        <w:rPr>
          <w:rFonts w:cs="Arial"/>
        </w:rPr>
        <w:fldChar w:fldCharType="separate"/>
      </w:r>
      <w:r w:rsidRPr="009A04FA">
        <w:rPr>
          <w:rFonts w:cs="Arial"/>
          <w:noProof/>
          <w:vertAlign w:val="superscript"/>
        </w:rPr>
        <w:t>1</w:t>
      </w:r>
      <w:r w:rsidRPr="009A04FA">
        <w:rPr>
          <w:rFonts w:cs="Arial"/>
        </w:rPr>
        <w:fldChar w:fldCharType="end"/>
      </w:r>
      <w:r w:rsidRPr="009A04FA">
        <w:rPr>
          <w:rFonts w:cs="Arial"/>
        </w:rPr>
        <w:t xml:space="preserve"> was developed in line with the 2018 EEPRU framework</w:t>
      </w:r>
      <w:r w:rsidRPr="009A04FA">
        <w:rPr>
          <w:rFonts w:cs="Arial"/>
        </w:rPr>
        <w:fldChar w:fldCharType="begin"/>
      </w:r>
      <w:r w:rsidRPr="009A04FA">
        <w:rPr>
          <w:rFonts w:cs="Arial"/>
        </w:rPr>
        <w:instrText xml:space="preserve"> ADDIN EN.CITE &lt;EndNote&gt;&lt;Cite&gt;&lt;Author&gt;EEPRU&lt;/Author&gt;&lt;Year&gt;2018&lt;/Year&gt;&lt;RecNum&gt;9&lt;/RecNum&gt;&lt;DisplayText&gt;&lt;style face="superscript"&gt;3&lt;/style&gt;&lt;/DisplayText&gt;&lt;record&gt;&lt;rec-number&gt;9&lt;/rec-number&gt;&lt;foreign-keys&gt;&lt;key app="EN" db-id="pd5s0xr0250t2qevxfgxpvwp5eaztd2pavxx" timestamp="1638893203"&gt;9&lt;/key&gt;&lt;/foreign-keys&gt;&lt;ref-type name="Web Page"&gt;12&lt;/ref-type&gt;&lt;contributors&gt;&lt;authors&gt;&lt;author&gt;EEPRU&lt;/author&gt;&lt;/authors&gt;&lt;/contributors&gt;&lt;titles&gt;&lt;title&gt;Framework for value assessment of new antimicrobials - Implications of alternative funding arrangements for NICE appraisals&lt;/title&gt;&lt;/titles&gt;&lt;dates&gt;&lt;year&gt;2018&lt;/year&gt;&lt;/dates&gt;&lt;urls&gt;&lt;related-urls&gt;&lt;url&gt;http://www.eepru.org.uk/wp-content/uploads/2017/11/eepru-report-amr-oct-2018-059.pdf&lt;/url&gt;&lt;/related-urls&gt;&lt;/urls&gt;&lt;/record&gt;&lt;/Cite&gt;&lt;/EndNote&gt;</w:instrText>
      </w:r>
      <w:r w:rsidRPr="009A04FA">
        <w:rPr>
          <w:rFonts w:cs="Arial"/>
        </w:rPr>
        <w:fldChar w:fldCharType="separate"/>
      </w:r>
      <w:r w:rsidRPr="009A04FA">
        <w:rPr>
          <w:rFonts w:cs="Arial"/>
          <w:noProof/>
          <w:vertAlign w:val="superscript"/>
        </w:rPr>
        <w:t>3</w:t>
      </w:r>
      <w:r w:rsidRPr="009A04FA">
        <w:rPr>
          <w:rFonts w:cs="Arial"/>
        </w:rPr>
        <w:fldChar w:fldCharType="end"/>
      </w:r>
      <w:r w:rsidRPr="009A04FA">
        <w:rPr>
          <w:rFonts w:cs="Arial"/>
        </w:rPr>
        <w:t>. However, the EEPRU model deviates significantly from the EEPRU framework</w:t>
      </w:r>
      <w:r w:rsidRPr="009A04FA">
        <w:rPr>
          <w:rFonts w:cs="Arial"/>
          <w:vertAlign w:val="superscript"/>
        </w:rPr>
        <w:t>1</w:t>
      </w:r>
      <w:r w:rsidRPr="009A04FA">
        <w:rPr>
          <w:rFonts w:cs="Arial"/>
        </w:rPr>
        <w:t xml:space="preserve"> and the NICE reference case (see Table 1 for further information). As per the NICE evaluation framework</w:t>
      </w:r>
      <w:r w:rsidRPr="009A04FA">
        <w:rPr>
          <w:rFonts w:cs="Arial"/>
        </w:rPr>
        <w:fldChar w:fldCharType="begin"/>
      </w:r>
      <w:r>
        <w:rPr>
          <w:rFonts w:cs="Arial"/>
        </w:rPr>
        <w:instrText xml:space="preserve"> ADDIN EN.CITE &lt;EndNote&gt;&lt;Cite&gt;&lt;Author&gt;NHS&lt;/Author&gt;&lt;RecNum&gt;27&lt;/RecNum&gt;&lt;DisplayText&gt;&lt;style face="superscript"&gt;2,4&lt;/style&gt;&lt;/DisplayText&gt;&lt;record&gt;&lt;rec-number&gt;27&lt;/rec-number&gt;&lt;foreign-keys&gt;&lt;key app="EN" db-id="pd5s0xr0250t2qevxfgxpvwp5eaztd2pavxx" timestamp="1639399178"&gt;27&lt;/key&gt;&lt;/foreign-keys&gt;&lt;ref-type name="Web Page"&gt;12&lt;/ref-type&gt;&lt;contributors&gt;&lt;authors&gt;&lt;author&gt;NHS,&lt;/author&gt;&lt;/authors&gt;&lt;/contributors&gt;&lt;titles&gt;&lt;title&gt;AMR002 - Annex 7: health technology assessment process. &lt;/title&gt;&lt;/titles&gt;&lt;number&gt;12/2021&lt;/number&gt;&lt;dates&gt;&lt;/dates&gt;&lt;urls&gt;&lt;related-urls&gt;&lt;url&gt;https://www.nice.org.uk/Media/Default/About/what-we-do/Life-sciences/evaluation-framework.pdf&lt;/url&gt;&lt;/related-urls&gt;&lt;/urls&gt;&lt;/record&gt;&lt;/Cite&gt;&lt;Cite&gt;&lt;Author&gt;National Institute for Health and Care Excellence&lt;/Author&gt;&lt;RecNum&gt;25&lt;/RecNum&gt;&lt;record&gt;&lt;rec-number&gt;25&lt;/rec-number&gt;&lt;foreign-keys&gt;&lt;key app="EN" db-id="pd5s0xr0250t2qevxfgxpvwp5eaztd2pavxx" timestamp="1639389265"&gt;25&lt;/key&gt;&lt;/foreign-keys&gt;&lt;ref-type name="Web Page"&gt;12&lt;/ref-type&gt;&lt;contributors&gt;&lt;authors&gt;&lt;author&gt;National Institute for Health and Care Excellence,&lt;/author&gt;&lt;/authors&gt;&lt;/contributors&gt;&lt;titles&gt;&lt;title&gt;Guide to the methods of technology appraisal 2013&lt;/title&gt;&lt;/titles&gt;&lt;dates&gt;&lt;/dates&gt;&lt;urls&gt;&lt;related-urls&gt;&lt;url&gt;https://www.nice.org.uk/process/pmg9/resources/guide-to-the-methods-of-technology-appraisal-2013-pdf-2007975843781&lt;/url&gt;&lt;/related-urls&gt;&lt;/urls&gt;&lt;/record&gt;&lt;/Cite&gt;&lt;/EndNote&gt;</w:instrText>
      </w:r>
      <w:r w:rsidRPr="009A04FA">
        <w:rPr>
          <w:rFonts w:cs="Arial"/>
        </w:rPr>
        <w:fldChar w:fldCharType="separate"/>
      </w:r>
      <w:r w:rsidRPr="00B94641">
        <w:rPr>
          <w:rFonts w:cs="Arial"/>
          <w:noProof/>
          <w:vertAlign w:val="superscript"/>
        </w:rPr>
        <w:t>2,4</w:t>
      </w:r>
      <w:r w:rsidRPr="009A04FA">
        <w:rPr>
          <w:rFonts w:cs="Arial"/>
        </w:rPr>
        <w:fldChar w:fldCharType="end"/>
      </w:r>
      <w:r w:rsidRPr="009A04FA">
        <w:rPr>
          <w:rFonts w:cs="Arial"/>
        </w:rPr>
        <w:t xml:space="preserve">, values were to be measured quantitatively where feasible, and qualitatively where not, with uncertainty recognised as leading to a likely under-valuation, and not being penalised. </w:t>
      </w:r>
    </w:p>
    <w:p w14:paraId="21DC72A0" w14:textId="77777777" w:rsidR="0008114B" w:rsidRPr="009A04FA" w:rsidRDefault="0008114B" w:rsidP="0008114B">
      <w:pPr>
        <w:spacing w:line="360" w:lineRule="auto"/>
        <w:textAlignment w:val="baseline"/>
        <w:rPr>
          <w:rFonts w:cs="Arial"/>
        </w:rPr>
      </w:pPr>
    </w:p>
    <w:p w14:paraId="212628C3" w14:textId="7C40714E" w:rsidR="0008114B" w:rsidRPr="009A04FA" w:rsidRDefault="0008114B" w:rsidP="0008114B">
      <w:pPr>
        <w:spacing w:line="360" w:lineRule="auto"/>
        <w:textAlignment w:val="baseline"/>
        <w:rPr>
          <w:rFonts w:cs="Arial"/>
        </w:rPr>
      </w:pPr>
      <w:r w:rsidRPr="009A04FA">
        <w:rPr>
          <w:rFonts w:cs="Arial"/>
        </w:rPr>
        <w:t>Areas of value not quantified should be clearly highlighted to the NICE Committee to ensure that the full potential value can at least be qualitatively considered by the Committee, and recommendations for further research can be clearly identified. The clear undervaluation of the individual and population health benefit put</w:t>
      </w:r>
      <w:r w:rsidR="00FE3C43">
        <w:rPr>
          <w:rFonts w:cs="Arial"/>
        </w:rPr>
        <w:t>s</w:t>
      </w:r>
      <w:r w:rsidRPr="009A04FA">
        <w:rPr>
          <w:rFonts w:cs="Arial"/>
        </w:rPr>
        <w:t xml:space="preserve"> at risk the ability to meet the UK Government</w:t>
      </w:r>
      <w:r w:rsidR="00FE3C43">
        <w:rPr>
          <w:rFonts w:cs="Arial"/>
        </w:rPr>
        <w:t>’</w:t>
      </w:r>
      <w:r w:rsidRPr="009A04FA">
        <w:rPr>
          <w:rFonts w:cs="Arial"/>
        </w:rPr>
        <w:t>s vision of addressing AMR by 2040, and as stands would not pave the way forward that would set a precedent of a new valuation framework for AMs, either in the UK or globally.</w:t>
      </w:r>
    </w:p>
    <w:p w14:paraId="4FF68300" w14:textId="77777777" w:rsidR="0008114B" w:rsidRPr="009A04FA" w:rsidRDefault="0008114B" w:rsidP="0008114B">
      <w:pPr>
        <w:spacing w:line="360" w:lineRule="auto"/>
        <w:rPr>
          <w:rFonts w:cs="Arial"/>
        </w:rPr>
      </w:pPr>
    </w:p>
    <w:p w14:paraId="3F0C7FC0" w14:textId="77777777" w:rsidR="0008114B" w:rsidRPr="009A04FA" w:rsidRDefault="0008114B" w:rsidP="0008114B">
      <w:pPr>
        <w:spacing w:line="360" w:lineRule="auto"/>
        <w:rPr>
          <w:rFonts w:cs="Arial"/>
        </w:rPr>
      </w:pPr>
      <w:r w:rsidRPr="009A04FA">
        <w:rPr>
          <w:rFonts w:cs="Arial"/>
        </w:rPr>
        <w:t xml:space="preserve">No separate report has been provided for the Cefiderocol response given </w:t>
      </w:r>
      <w:r>
        <w:rPr>
          <w:rFonts w:cs="Arial"/>
        </w:rPr>
        <w:t>most / all</w:t>
      </w:r>
      <w:r w:rsidRPr="009A04FA">
        <w:rPr>
          <w:rFonts w:cs="Arial"/>
        </w:rPr>
        <w:t xml:space="preserve"> key concerns within this report are directly relatable to the EEPRU assessment report for Cefiderocol.</w:t>
      </w:r>
    </w:p>
    <w:p w14:paraId="5D8DC00A" w14:textId="77777777" w:rsidR="0008114B" w:rsidRPr="009A04FA" w:rsidRDefault="0008114B" w:rsidP="0008114B">
      <w:pPr>
        <w:spacing w:line="360" w:lineRule="auto"/>
        <w:rPr>
          <w:rFonts w:cs="Arial"/>
        </w:rPr>
      </w:pPr>
    </w:p>
    <w:p w14:paraId="220D30ED" w14:textId="77777777" w:rsidR="0008114B" w:rsidRPr="009A04FA" w:rsidRDefault="0008114B" w:rsidP="0008114B">
      <w:pPr>
        <w:spacing w:line="360" w:lineRule="auto"/>
        <w:rPr>
          <w:rFonts w:cs="Arial"/>
        </w:rPr>
      </w:pPr>
      <w:r w:rsidRPr="009A04FA">
        <w:rPr>
          <w:rFonts w:cs="Arial"/>
        </w:rPr>
        <w:t>Our key concerns, provided in more detail in the body of this response document, may be summarised as follows</w:t>
      </w:r>
      <w:r>
        <w:rPr>
          <w:rFonts w:cs="Arial"/>
        </w:rPr>
        <w:t>, each concern outlines clear calls to action to be addressed by the Committee</w:t>
      </w:r>
      <w:r w:rsidRPr="009A04FA">
        <w:rPr>
          <w:rFonts w:cs="Arial"/>
        </w:rPr>
        <w:t xml:space="preserve">: </w:t>
      </w:r>
    </w:p>
    <w:p w14:paraId="6F1AC026" w14:textId="77777777" w:rsidR="0008114B" w:rsidRPr="009A04FA" w:rsidRDefault="0008114B" w:rsidP="0008114B">
      <w:pPr>
        <w:pStyle w:val="paragraph0"/>
        <w:spacing w:before="0" w:beforeAutospacing="0" w:after="0" w:afterAutospacing="0" w:line="360" w:lineRule="auto"/>
        <w:textAlignment w:val="baseline"/>
        <w:rPr>
          <w:rFonts w:ascii="Arial" w:hAnsi="Arial" w:cs="Arial"/>
          <w:lang w:eastAsia="en-US"/>
        </w:rPr>
      </w:pPr>
      <w:r w:rsidRPr="009A04FA">
        <w:rPr>
          <w:rFonts w:ascii="Arial" w:hAnsi="Arial" w:cs="Arial"/>
          <w:lang w:eastAsia="en-US"/>
        </w:rPr>
        <w:t>  </w:t>
      </w:r>
    </w:p>
    <w:p w14:paraId="2F97895D" w14:textId="7EBD64CE" w:rsidR="00B554CD" w:rsidRPr="009A04FA" w:rsidRDefault="00B554CD" w:rsidP="00B554CD">
      <w:pPr>
        <w:pStyle w:val="Bullets"/>
        <w:numPr>
          <w:ilvl w:val="0"/>
          <w:numId w:val="43"/>
        </w:numPr>
        <w:spacing w:line="360" w:lineRule="auto"/>
        <w:rPr>
          <w:rFonts w:cs="Arial"/>
          <w:sz w:val="22"/>
          <w:szCs w:val="22"/>
        </w:rPr>
      </w:pPr>
      <w:r w:rsidRPr="009A04FA">
        <w:rPr>
          <w:rFonts w:cs="Arial"/>
          <w:b/>
          <w:bCs/>
          <w:sz w:val="22"/>
          <w:szCs w:val="22"/>
        </w:rPr>
        <w:t>Defining treatment</w:t>
      </w:r>
      <w:r>
        <w:rPr>
          <w:rFonts w:cs="Arial"/>
          <w:b/>
          <w:bCs/>
          <w:sz w:val="22"/>
          <w:szCs w:val="22"/>
        </w:rPr>
        <w:t>, and</w:t>
      </w:r>
      <w:r w:rsidRPr="009A04FA">
        <w:rPr>
          <w:rFonts w:cs="Arial"/>
          <w:b/>
          <w:bCs/>
          <w:sz w:val="22"/>
          <w:szCs w:val="22"/>
        </w:rPr>
        <w:t xml:space="preserve"> success (</w:t>
      </w:r>
      <w:r>
        <w:rPr>
          <w:rFonts w:cs="Arial"/>
          <w:b/>
          <w:bCs/>
          <w:sz w:val="22"/>
          <w:szCs w:val="22"/>
        </w:rPr>
        <w:t xml:space="preserve">see section </w:t>
      </w:r>
      <w:r w:rsidRPr="00B554CD">
        <w:rPr>
          <w:rFonts w:cs="Arial"/>
          <w:b/>
          <w:bCs/>
          <w:sz w:val="22"/>
          <w:szCs w:val="22"/>
        </w:rPr>
        <w:fldChar w:fldCharType="begin"/>
      </w:r>
      <w:r w:rsidRPr="00B554CD">
        <w:rPr>
          <w:rFonts w:cs="Arial"/>
          <w:b/>
          <w:bCs/>
          <w:sz w:val="22"/>
          <w:szCs w:val="22"/>
        </w:rPr>
        <w:instrText xml:space="preserve"> REF _Ref90421923 \h  \* MERGEFORMAT </w:instrText>
      </w:r>
      <w:r w:rsidRPr="00B554CD">
        <w:rPr>
          <w:rFonts w:cs="Arial"/>
          <w:b/>
          <w:bCs/>
          <w:sz w:val="22"/>
          <w:szCs w:val="22"/>
        </w:rPr>
      </w:r>
      <w:r w:rsidRPr="00B554CD">
        <w:rPr>
          <w:rFonts w:cs="Arial"/>
          <w:b/>
          <w:bCs/>
          <w:sz w:val="22"/>
          <w:szCs w:val="22"/>
        </w:rPr>
        <w:fldChar w:fldCharType="separate"/>
      </w:r>
      <w:r w:rsidRPr="00B554CD">
        <w:rPr>
          <w:b/>
          <w:bCs/>
          <w:sz w:val="22"/>
          <w:szCs w:val="22"/>
        </w:rPr>
        <w:t>Modelling approach</w:t>
      </w:r>
      <w:r w:rsidRPr="00B554CD">
        <w:rPr>
          <w:rFonts w:cs="Arial"/>
          <w:b/>
          <w:bCs/>
          <w:sz w:val="22"/>
          <w:szCs w:val="22"/>
        </w:rPr>
        <w:fldChar w:fldCharType="end"/>
      </w:r>
      <w:r>
        <w:rPr>
          <w:rFonts w:cs="Arial"/>
          <w:b/>
          <w:bCs/>
          <w:sz w:val="22"/>
          <w:szCs w:val="22"/>
        </w:rPr>
        <w:t xml:space="preserve"> and </w:t>
      </w:r>
      <w:r>
        <w:rPr>
          <w:rFonts w:cs="Arial"/>
          <w:b/>
          <w:bCs/>
          <w:sz w:val="22"/>
          <w:szCs w:val="22"/>
        </w:rPr>
        <w:fldChar w:fldCharType="begin"/>
      </w:r>
      <w:r>
        <w:rPr>
          <w:rFonts w:cs="Arial"/>
          <w:b/>
          <w:bCs/>
          <w:sz w:val="22"/>
          <w:szCs w:val="22"/>
        </w:rPr>
        <w:instrText xml:space="preserve"> REF _Ref90129492 \r \h </w:instrText>
      </w:r>
      <w:r>
        <w:rPr>
          <w:rFonts w:cs="Arial"/>
          <w:b/>
          <w:bCs/>
          <w:sz w:val="22"/>
          <w:szCs w:val="22"/>
        </w:rPr>
      </w:r>
      <w:r>
        <w:rPr>
          <w:rFonts w:cs="Arial"/>
          <w:b/>
          <w:bCs/>
          <w:sz w:val="22"/>
          <w:szCs w:val="22"/>
        </w:rPr>
        <w:fldChar w:fldCharType="separate"/>
      </w:r>
      <w:r>
        <w:rPr>
          <w:rFonts w:cs="Arial"/>
          <w:b/>
          <w:bCs/>
          <w:sz w:val="22"/>
          <w:szCs w:val="22"/>
        </w:rPr>
        <w:t>Issue 2</w:t>
      </w:r>
      <w:r>
        <w:rPr>
          <w:rFonts w:cs="Arial"/>
          <w:b/>
          <w:bCs/>
          <w:sz w:val="22"/>
          <w:szCs w:val="22"/>
        </w:rPr>
        <w:fldChar w:fldCharType="end"/>
      </w:r>
      <w:r w:rsidRPr="00A50E26">
        <w:rPr>
          <w:rFonts w:cs="Arial"/>
          <w:b/>
          <w:bCs/>
          <w:sz w:val="22"/>
          <w:szCs w:val="22"/>
        </w:rPr>
        <w:t>)</w:t>
      </w:r>
      <w:r w:rsidRPr="009A04FA">
        <w:rPr>
          <w:rFonts w:cs="Arial"/>
          <w:sz w:val="22"/>
          <w:szCs w:val="22"/>
        </w:rPr>
        <w:t xml:space="preserve">: There are several high-quality pivotal Phase II/III studies for CAZ-AVI, and </w:t>
      </w:r>
      <w:r>
        <w:rPr>
          <w:rFonts w:cs="Arial"/>
          <w:sz w:val="22"/>
          <w:szCs w:val="22"/>
        </w:rPr>
        <w:t xml:space="preserve">a </w:t>
      </w:r>
      <w:r w:rsidRPr="009A04FA">
        <w:rPr>
          <w:rFonts w:cs="Arial"/>
          <w:sz w:val="22"/>
          <w:szCs w:val="22"/>
        </w:rPr>
        <w:t xml:space="preserve">plethora of real-world evidence linked to the full licensed indication for CAZ-AVI. Despite this, EEPRU focused on very specific niche ‘high value clinical scenarios’ (HVCSs), where there is a lack of clinical effectiveness data, forcing a reliance on </w:t>
      </w:r>
      <w:r w:rsidRPr="009A04FA">
        <w:rPr>
          <w:rFonts w:cs="Arial"/>
          <w:i/>
          <w:iCs/>
          <w:sz w:val="22"/>
          <w:szCs w:val="22"/>
        </w:rPr>
        <w:t>in vitro</w:t>
      </w:r>
      <w:r w:rsidRPr="009A04FA">
        <w:rPr>
          <w:rFonts w:cs="Arial"/>
          <w:sz w:val="22"/>
          <w:szCs w:val="22"/>
        </w:rPr>
        <w:t xml:space="preserve"> susceptibility. EEPRU’s clinical experts stated in vitro susceptibility does not equate to treatment success and is likely to undervalue the effectiveness of an antibiotic.  </w:t>
      </w:r>
    </w:p>
    <w:p w14:paraId="459BBDE3" w14:textId="5F2D1F6C" w:rsidR="008008C4" w:rsidRDefault="00B554CD" w:rsidP="008008C4">
      <w:pPr>
        <w:pStyle w:val="Bullets"/>
        <w:numPr>
          <w:ilvl w:val="0"/>
          <w:numId w:val="0"/>
        </w:numPr>
        <w:spacing w:line="360" w:lineRule="auto"/>
        <w:ind w:left="720"/>
        <w:rPr>
          <w:rFonts w:cs="Arial"/>
          <w:sz w:val="22"/>
          <w:szCs w:val="22"/>
        </w:rPr>
      </w:pPr>
      <w:r w:rsidRPr="009A04FA">
        <w:rPr>
          <w:rFonts w:cs="Arial"/>
          <w:sz w:val="22"/>
          <w:szCs w:val="22"/>
        </w:rPr>
        <w:t>The EEPRU approach unnecessarily deviates from the NICE methods and process guide.</w:t>
      </w:r>
      <w:r w:rsidRPr="009A04FA">
        <w:rPr>
          <w:rFonts w:cs="Arial"/>
          <w:sz w:val="22"/>
          <w:szCs w:val="22"/>
        </w:rPr>
        <w:fldChar w:fldCharType="begin"/>
      </w:r>
      <w:r w:rsidRPr="009A04FA">
        <w:rPr>
          <w:rFonts w:cs="Arial"/>
          <w:sz w:val="22"/>
          <w:szCs w:val="22"/>
        </w:rPr>
        <w:instrText xml:space="preserve"> ADDIN EN.CITE &lt;EndNote&gt;&lt;Cite&gt;&lt;Author&gt;National Institute for Health and Care Excellence&lt;/Author&gt;&lt;RecNum&gt;25&lt;/RecNum&gt;&lt;DisplayText&gt;&lt;style face="superscript"&gt;4&lt;/style&gt;&lt;/DisplayText&gt;&lt;record&gt;&lt;rec-number&gt;25&lt;/rec-number&gt;&lt;foreign-keys&gt;&lt;key app="EN" db-id="pd5s0xr0250t2qevxfgxpvwp5eaztd2pavxx" timestamp="1639389265"&gt;25&lt;/key&gt;&lt;/foreign-keys&gt;&lt;ref-type name="Web Page"&gt;12&lt;/ref-type&gt;&lt;contributors&gt;&lt;authors&gt;&lt;author&gt;National Institute for Health and Care Excellence,&lt;/author&gt;&lt;/authors&gt;&lt;/contributors&gt;&lt;titles&gt;&lt;title&gt;Guide to the methods of technology appraisal 2013&lt;/title&gt;&lt;/titles&gt;&lt;dates&gt;&lt;/dates&gt;&lt;urls&gt;&lt;related-urls&gt;&lt;url&gt;https://www.nice.org.uk/process/pmg9/resources/guide-to-the-methods-of-technology-appraisal-2013-pdf-2007975843781&lt;/url&gt;&lt;/related-urls&gt;&lt;/urls&gt;&lt;/record&gt;&lt;/Cite&gt;&lt;/EndNote&gt;</w:instrText>
      </w:r>
      <w:r w:rsidRPr="009A04FA">
        <w:rPr>
          <w:rFonts w:cs="Arial"/>
          <w:sz w:val="22"/>
          <w:szCs w:val="22"/>
        </w:rPr>
        <w:fldChar w:fldCharType="separate"/>
      </w:r>
      <w:r w:rsidRPr="009A04FA">
        <w:rPr>
          <w:rFonts w:cs="Arial"/>
          <w:noProof/>
          <w:sz w:val="22"/>
          <w:szCs w:val="22"/>
          <w:vertAlign w:val="superscript"/>
        </w:rPr>
        <w:t>4</w:t>
      </w:r>
      <w:r w:rsidRPr="009A04FA">
        <w:rPr>
          <w:rFonts w:cs="Arial"/>
          <w:sz w:val="22"/>
          <w:szCs w:val="22"/>
        </w:rPr>
        <w:fldChar w:fldCharType="end"/>
      </w:r>
      <w:r w:rsidRPr="009A04FA">
        <w:rPr>
          <w:rFonts w:cs="Arial"/>
          <w:sz w:val="22"/>
          <w:szCs w:val="22"/>
        </w:rPr>
        <w:t xml:space="preserve"> The focus on HVCSs has led to minimal clinical benefit being identified. The Committee need to consider; the relevancy of the narrow approach taken in using the HVCSs (a result of time and resource constraints), the subsequent reliance on </w:t>
      </w:r>
      <w:r w:rsidRPr="009A04FA">
        <w:rPr>
          <w:rFonts w:cs="Arial"/>
          <w:i/>
          <w:iCs/>
          <w:sz w:val="22"/>
          <w:szCs w:val="22"/>
        </w:rPr>
        <w:t>in vitro</w:t>
      </w:r>
      <w:r w:rsidRPr="009A04FA">
        <w:rPr>
          <w:rFonts w:cs="Arial"/>
          <w:sz w:val="22"/>
          <w:szCs w:val="22"/>
        </w:rPr>
        <w:t xml:space="preserve"> susceptibility data (despite Phase II/III studies and real-world evidence) and how this approach has impacted on the recognition of patient health benefit.</w:t>
      </w:r>
    </w:p>
    <w:p w14:paraId="611B4853" w14:textId="77777777" w:rsidR="008008C4" w:rsidRPr="009A04FA" w:rsidRDefault="008008C4" w:rsidP="008008C4">
      <w:pPr>
        <w:pStyle w:val="Bullets"/>
        <w:numPr>
          <w:ilvl w:val="0"/>
          <w:numId w:val="0"/>
        </w:numPr>
        <w:spacing w:after="0" w:line="360" w:lineRule="auto"/>
        <w:ind w:left="720"/>
        <w:rPr>
          <w:rFonts w:cs="Arial"/>
          <w:sz w:val="22"/>
          <w:szCs w:val="22"/>
        </w:rPr>
      </w:pPr>
    </w:p>
    <w:p w14:paraId="613E6E75" w14:textId="77777777" w:rsidR="001F520D" w:rsidRPr="009A04FA" w:rsidRDefault="001F520D" w:rsidP="001F520D">
      <w:pPr>
        <w:pStyle w:val="Bullets"/>
        <w:numPr>
          <w:ilvl w:val="0"/>
          <w:numId w:val="43"/>
        </w:numPr>
        <w:spacing w:line="360" w:lineRule="auto"/>
        <w:rPr>
          <w:rFonts w:cs="Arial"/>
          <w:sz w:val="22"/>
          <w:szCs w:val="22"/>
        </w:rPr>
      </w:pPr>
      <w:r w:rsidRPr="009A04FA">
        <w:rPr>
          <w:rFonts w:cs="Arial"/>
          <w:b/>
          <w:bCs/>
          <w:sz w:val="22"/>
          <w:szCs w:val="22"/>
        </w:rPr>
        <w:t>Importance of additional value elements (</w:t>
      </w:r>
      <w:r>
        <w:rPr>
          <w:rFonts w:cs="Arial"/>
          <w:b/>
          <w:bCs/>
          <w:sz w:val="22"/>
          <w:szCs w:val="22"/>
        </w:rPr>
        <w:fldChar w:fldCharType="begin"/>
      </w:r>
      <w:r>
        <w:rPr>
          <w:rFonts w:cs="Arial"/>
          <w:b/>
          <w:bCs/>
          <w:sz w:val="22"/>
          <w:szCs w:val="22"/>
        </w:rPr>
        <w:instrText xml:space="preserve"> REF _Ref90271453 \r \h </w:instrText>
      </w:r>
      <w:r>
        <w:rPr>
          <w:rFonts w:cs="Arial"/>
          <w:b/>
          <w:bCs/>
          <w:sz w:val="22"/>
          <w:szCs w:val="22"/>
        </w:rPr>
      </w:r>
      <w:r>
        <w:rPr>
          <w:rFonts w:cs="Arial"/>
          <w:b/>
          <w:bCs/>
          <w:sz w:val="22"/>
          <w:szCs w:val="22"/>
        </w:rPr>
        <w:fldChar w:fldCharType="separate"/>
      </w:r>
      <w:r>
        <w:rPr>
          <w:rFonts w:cs="Arial"/>
          <w:b/>
          <w:bCs/>
          <w:sz w:val="22"/>
          <w:szCs w:val="22"/>
        </w:rPr>
        <w:t>Issue 1</w:t>
      </w:r>
      <w:r>
        <w:rPr>
          <w:rFonts w:cs="Arial"/>
          <w:b/>
          <w:bCs/>
          <w:sz w:val="22"/>
          <w:szCs w:val="22"/>
        </w:rPr>
        <w:fldChar w:fldCharType="end"/>
      </w:r>
      <w:r w:rsidRPr="009A04FA">
        <w:rPr>
          <w:rFonts w:cs="Arial"/>
          <w:b/>
          <w:bCs/>
          <w:sz w:val="22"/>
          <w:szCs w:val="22"/>
        </w:rPr>
        <w:t>)</w:t>
      </w:r>
      <w:r w:rsidRPr="009A04FA">
        <w:rPr>
          <w:rFonts w:cs="Arial"/>
          <w:sz w:val="22"/>
          <w:szCs w:val="22"/>
        </w:rPr>
        <w:t>: the EEPRU framework</w:t>
      </w:r>
      <w:r w:rsidRPr="009A04FA">
        <w:rPr>
          <w:rFonts w:cs="Arial"/>
          <w:sz w:val="22"/>
          <w:szCs w:val="22"/>
        </w:rPr>
        <w:fldChar w:fldCharType="begin"/>
      </w:r>
      <w:r w:rsidRPr="009A04FA">
        <w:rPr>
          <w:rFonts w:cs="Arial"/>
          <w:sz w:val="22"/>
          <w:szCs w:val="22"/>
        </w:rPr>
        <w:instrText xml:space="preserve"> ADDIN EN.CITE &lt;EndNote&gt;&lt;Cite&gt;&lt;Author&gt;EEPRU&lt;/Author&gt;&lt;Year&gt;2018&lt;/Year&gt;&lt;RecNum&gt;9&lt;/RecNum&gt;&lt;DisplayText&gt;&lt;style face="superscript"&gt;3&lt;/style&gt;&lt;/DisplayText&gt;&lt;record&gt;&lt;rec-number&gt;9&lt;/rec-number&gt;&lt;foreign-keys&gt;&lt;key app="EN" db-id="pd5s0xr0250t2qevxfgxpvwp5eaztd2pavxx" timestamp="1638893203"&gt;9&lt;/key&gt;&lt;/foreign-keys&gt;&lt;ref-type name="Web Page"&gt;12&lt;/ref-type&gt;&lt;contributors&gt;&lt;authors&gt;&lt;author&gt;EEPRU&lt;/author&gt;&lt;/authors&gt;&lt;/contributors&gt;&lt;titles&gt;&lt;title&gt;Framework for value assessment of new antimicrobials - Implications of alternative funding arrangements for NICE appraisals&lt;/title&gt;&lt;/titles&gt;&lt;dates&gt;&lt;year&gt;2018&lt;/year&gt;&lt;/dates&gt;&lt;urls&gt;&lt;related-urls&gt;&lt;url&gt;http://www.eepru.org.uk/wp-content/uploads/2017/11/eepru-report-amr-oct-2018-059.pdf&lt;/url&gt;&lt;/related-urls&gt;&lt;/urls&gt;&lt;/record&gt;&lt;/Cite&gt;&lt;/EndNote&gt;</w:instrText>
      </w:r>
      <w:r w:rsidRPr="009A04FA">
        <w:rPr>
          <w:rFonts w:cs="Arial"/>
          <w:sz w:val="22"/>
          <w:szCs w:val="22"/>
        </w:rPr>
        <w:fldChar w:fldCharType="separate"/>
      </w:r>
      <w:r w:rsidRPr="009A04FA">
        <w:rPr>
          <w:rFonts w:cs="Arial"/>
          <w:noProof/>
          <w:sz w:val="22"/>
          <w:szCs w:val="22"/>
          <w:vertAlign w:val="superscript"/>
        </w:rPr>
        <w:t>3</w:t>
      </w:r>
      <w:r w:rsidRPr="009A04FA">
        <w:rPr>
          <w:rFonts w:cs="Arial"/>
          <w:sz w:val="22"/>
          <w:szCs w:val="22"/>
        </w:rPr>
        <w:fldChar w:fldCharType="end"/>
      </w:r>
      <w:r w:rsidRPr="009A04FA">
        <w:rPr>
          <w:rFonts w:cs="Arial"/>
          <w:sz w:val="22"/>
          <w:szCs w:val="22"/>
        </w:rPr>
        <w:t xml:space="preserve"> cites six additional elements of value for new antibiotics, but the EEPRU assessment report does</w:t>
      </w:r>
      <w:r>
        <w:rPr>
          <w:rFonts w:cs="Arial"/>
          <w:sz w:val="22"/>
          <w:szCs w:val="22"/>
        </w:rPr>
        <w:t>n’t</w:t>
      </w:r>
      <w:r w:rsidRPr="009A04FA">
        <w:rPr>
          <w:rFonts w:cs="Arial"/>
          <w:sz w:val="22"/>
          <w:szCs w:val="22"/>
        </w:rPr>
        <w:t xml:space="preserve"> fully recognise a single one of these value elements, with diversity and transmission value being completely disregarded, despite evidence to suggest its significance</w:t>
      </w:r>
      <w:r w:rsidRPr="009A04FA">
        <w:rPr>
          <w:rFonts w:cs="Arial"/>
          <w:sz w:val="22"/>
          <w:szCs w:val="22"/>
        </w:rPr>
        <w:fldChar w:fldCharType="begin">
          <w:fldData xml:space="preserve">PEVuZE5vdGU+PENpdGU+PEF1dGhvcj5FRVBSVTwvQXV0aG9yPjxZZWFyPjIwMTg8L1llYXI+PFJl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=
</w:fldData>
        </w:fldChar>
      </w:r>
      <w:r w:rsidRPr="009A04FA">
        <w:rPr>
          <w:rFonts w:cs="Arial"/>
          <w:sz w:val="22"/>
          <w:szCs w:val="22"/>
        </w:rPr>
        <w:instrText xml:space="preserve"> ADDIN EN.CITE </w:instrText>
      </w:r>
      <w:r w:rsidRPr="009A04FA">
        <w:rPr>
          <w:rFonts w:cs="Arial"/>
          <w:sz w:val="22"/>
          <w:szCs w:val="22"/>
        </w:rPr>
        <w:fldChar w:fldCharType="begin">
          <w:fldData xml:space="preserve">PEVuZE5vdGU+PENpdGU+PEF1dGhvcj5FRVBSVTwvQXV0aG9yPjxZZWFyPjIwMTg8L1llYXI+PFJl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=
</w:fldData>
        </w:fldChar>
      </w:r>
      <w:r w:rsidRPr="009A04FA">
        <w:rPr>
          <w:rFonts w:cs="Arial"/>
          <w:sz w:val="22"/>
          <w:szCs w:val="22"/>
        </w:rPr>
        <w:instrText xml:space="preserve"> ADDIN EN.CITE.DATA </w:instrText>
      </w:r>
      <w:r w:rsidRPr="009A04FA">
        <w:rPr>
          <w:rFonts w:cs="Arial"/>
          <w:sz w:val="22"/>
          <w:szCs w:val="22"/>
        </w:rPr>
      </w:r>
      <w:r w:rsidRPr="009A04FA">
        <w:rPr>
          <w:rFonts w:cs="Arial"/>
          <w:sz w:val="22"/>
          <w:szCs w:val="22"/>
        </w:rPr>
        <w:fldChar w:fldCharType="end"/>
      </w:r>
      <w:r w:rsidRPr="009A04FA">
        <w:rPr>
          <w:rFonts w:cs="Arial"/>
          <w:sz w:val="22"/>
          <w:szCs w:val="22"/>
        </w:rPr>
      </w:r>
      <w:r w:rsidRPr="009A04FA">
        <w:rPr>
          <w:rFonts w:cs="Arial"/>
          <w:sz w:val="22"/>
          <w:szCs w:val="22"/>
        </w:rPr>
        <w:fldChar w:fldCharType="separate"/>
      </w:r>
      <w:r w:rsidRPr="009A04FA">
        <w:rPr>
          <w:rFonts w:cs="Arial"/>
          <w:noProof/>
          <w:sz w:val="22"/>
          <w:szCs w:val="22"/>
          <w:vertAlign w:val="superscript"/>
        </w:rPr>
        <w:t>3,5</w:t>
      </w:r>
      <w:r w:rsidRPr="009A04FA">
        <w:rPr>
          <w:rFonts w:cs="Arial"/>
          <w:sz w:val="22"/>
          <w:szCs w:val="22"/>
        </w:rPr>
        <w:fldChar w:fldCharType="end"/>
      </w:r>
      <w:r w:rsidRPr="009A04FA">
        <w:rPr>
          <w:rFonts w:cs="Arial"/>
          <w:sz w:val="22"/>
          <w:szCs w:val="22"/>
        </w:rPr>
        <w:t>, and insurance and enablement value only being captured to a very limited extent.</w:t>
      </w:r>
    </w:p>
    <w:p w14:paraId="3320659B" w14:textId="7CE6C2BF" w:rsidR="001F520D" w:rsidRDefault="001F520D" w:rsidP="001F520D">
      <w:pPr>
        <w:pStyle w:val="Bullets"/>
        <w:numPr>
          <w:ilvl w:val="0"/>
          <w:numId w:val="0"/>
        </w:numPr>
        <w:spacing w:after="0" w:line="360" w:lineRule="auto"/>
        <w:ind w:left="720"/>
        <w:rPr>
          <w:rFonts w:cs="Arial"/>
          <w:sz w:val="22"/>
          <w:szCs w:val="22"/>
        </w:rPr>
      </w:pPr>
      <w:r w:rsidRPr="009A04FA">
        <w:rPr>
          <w:rFonts w:cs="Arial"/>
          <w:sz w:val="22"/>
          <w:szCs w:val="22"/>
        </w:rPr>
        <w:t xml:space="preserve">We request that the value elements which have been quantified and those that have not, along with the limitations are clearly laid out for the Committee. We request that the Committee consider the likely undervaluation of </w:t>
      </w:r>
      <w:r>
        <w:rPr>
          <w:rFonts w:cs="Arial"/>
          <w:sz w:val="22"/>
          <w:szCs w:val="22"/>
        </w:rPr>
        <w:t>CAZ-AVI</w:t>
      </w:r>
      <w:r w:rsidRPr="009A04FA">
        <w:rPr>
          <w:rFonts w:cs="Arial"/>
          <w:sz w:val="22"/>
          <w:szCs w:val="22"/>
        </w:rPr>
        <w:t xml:space="preserve"> </w:t>
      </w:r>
      <w:proofErr w:type="gramStart"/>
      <w:r w:rsidRPr="009A04FA">
        <w:rPr>
          <w:rFonts w:cs="Arial"/>
          <w:sz w:val="22"/>
          <w:szCs w:val="22"/>
        </w:rPr>
        <w:t>as a result of</w:t>
      </w:r>
      <w:proofErr w:type="gramEnd"/>
      <w:r w:rsidRPr="009A04FA">
        <w:rPr>
          <w:rFonts w:cs="Arial"/>
          <w:sz w:val="22"/>
          <w:szCs w:val="22"/>
        </w:rPr>
        <w:t xml:space="preserve"> not quantifying all value elements and make clear recommendations for future research.</w:t>
      </w:r>
    </w:p>
    <w:p w14:paraId="7AD4055F" w14:textId="77777777" w:rsidR="00E8689D" w:rsidRPr="009A04FA" w:rsidRDefault="00E8689D" w:rsidP="00E8689D">
      <w:pPr>
        <w:pStyle w:val="Bullets"/>
        <w:numPr>
          <w:ilvl w:val="0"/>
          <w:numId w:val="0"/>
        </w:numPr>
        <w:spacing w:after="0" w:line="360" w:lineRule="auto"/>
        <w:ind w:left="720"/>
        <w:rPr>
          <w:rFonts w:cs="Arial"/>
          <w:sz w:val="22"/>
          <w:szCs w:val="22"/>
        </w:rPr>
      </w:pPr>
    </w:p>
    <w:p w14:paraId="6D06E777" w14:textId="1D69C73D" w:rsidR="0008114B" w:rsidRPr="009A04FA" w:rsidRDefault="0008114B" w:rsidP="0008114B">
      <w:pPr>
        <w:pStyle w:val="Bullets"/>
        <w:numPr>
          <w:ilvl w:val="0"/>
          <w:numId w:val="43"/>
        </w:numPr>
        <w:spacing w:line="360" w:lineRule="auto"/>
        <w:rPr>
          <w:rFonts w:cs="Arial"/>
          <w:sz w:val="22"/>
          <w:szCs w:val="22"/>
        </w:rPr>
      </w:pPr>
      <w:r w:rsidRPr="009A04FA">
        <w:rPr>
          <w:rFonts w:cs="Arial"/>
          <w:b/>
          <w:bCs/>
          <w:sz w:val="22"/>
          <w:szCs w:val="22"/>
        </w:rPr>
        <w:t>Modelling of resistance (</w:t>
      </w:r>
      <w:r w:rsidR="00321BEE">
        <w:rPr>
          <w:rFonts w:cs="Arial"/>
          <w:b/>
          <w:bCs/>
          <w:sz w:val="22"/>
          <w:szCs w:val="22"/>
        </w:rPr>
        <w:fldChar w:fldCharType="begin"/>
      </w:r>
      <w:r w:rsidR="00321BEE">
        <w:rPr>
          <w:rFonts w:cs="Arial"/>
          <w:b/>
          <w:bCs/>
          <w:sz w:val="22"/>
          <w:szCs w:val="22"/>
        </w:rPr>
        <w:instrText xml:space="preserve"> REF _Ref90129492 \r \h </w:instrText>
      </w:r>
      <w:r w:rsidR="00321BEE">
        <w:rPr>
          <w:rFonts w:cs="Arial"/>
          <w:b/>
          <w:bCs/>
          <w:sz w:val="22"/>
          <w:szCs w:val="22"/>
        </w:rPr>
      </w:r>
      <w:r w:rsidR="00321BEE">
        <w:rPr>
          <w:rFonts w:cs="Arial"/>
          <w:b/>
          <w:bCs/>
          <w:sz w:val="22"/>
          <w:szCs w:val="22"/>
        </w:rPr>
        <w:fldChar w:fldCharType="separate"/>
      </w:r>
      <w:r w:rsidR="00321BEE">
        <w:rPr>
          <w:rFonts w:cs="Arial"/>
          <w:b/>
          <w:bCs/>
          <w:sz w:val="22"/>
          <w:szCs w:val="22"/>
        </w:rPr>
        <w:t>Issue 2</w:t>
      </w:r>
      <w:r w:rsidR="00321BEE">
        <w:rPr>
          <w:rFonts w:cs="Arial"/>
          <w:b/>
          <w:bCs/>
          <w:sz w:val="22"/>
          <w:szCs w:val="22"/>
        </w:rPr>
        <w:fldChar w:fldCharType="end"/>
      </w:r>
      <w:r w:rsidRPr="009A04FA">
        <w:rPr>
          <w:rFonts w:cs="Arial"/>
          <w:b/>
          <w:bCs/>
          <w:sz w:val="22"/>
          <w:szCs w:val="22"/>
        </w:rPr>
        <w:t>):</w:t>
      </w:r>
      <w:r w:rsidRPr="009A04FA">
        <w:rPr>
          <w:rFonts w:cs="Arial"/>
          <w:sz w:val="22"/>
          <w:szCs w:val="22"/>
        </w:rPr>
        <w:t xml:space="preserve"> Only emergence of resistance for the new antibiotic (CAZ-AVI) was considered in the EEPRU model, critically resistance to existing antibiotics was not captured.</w:t>
      </w:r>
    </w:p>
    <w:p w14:paraId="3CEAAF93" w14:textId="77777777" w:rsidR="0008114B" w:rsidRPr="009A04FA" w:rsidRDefault="0008114B" w:rsidP="0008114B">
      <w:pPr>
        <w:pStyle w:val="Bullets"/>
        <w:numPr>
          <w:ilvl w:val="0"/>
          <w:numId w:val="0"/>
        </w:numPr>
        <w:spacing w:after="0" w:line="360" w:lineRule="auto"/>
        <w:ind w:left="720"/>
        <w:rPr>
          <w:rFonts w:cs="Arial"/>
          <w:sz w:val="22"/>
          <w:szCs w:val="22"/>
        </w:rPr>
      </w:pPr>
      <w:r w:rsidRPr="009A04FA">
        <w:rPr>
          <w:rFonts w:cs="Arial"/>
          <w:sz w:val="22"/>
          <w:szCs w:val="22"/>
        </w:rPr>
        <w:t>Reducing development of resistance is a key objective for development and reimbursement of novel antibiotics. The absence of modelling resistance of the use of existing antibiotics does not allow for successful evaluation of the introduction of a new AM in the treatment pathway. Resistance development should be modelled and assessed for all therapies.</w:t>
      </w:r>
    </w:p>
    <w:p w14:paraId="125E713F" w14:textId="2B33AE73" w:rsidR="0008114B" w:rsidRDefault="0008114B" w:rsidP="0008114B">
      <w:pPr>
        <w:pStyle w:val="Bullets"/>
        <w:numPr>
          <w:ilvl w:val="0"/>
          <w:numId w:val="0"/>
        </w:numPr>
        <w:spacing w:after="0" w:line="360" w:lineRule="auto"/>
        <w:ind w:left="400"/>
        <w:rPr>
          <w:rFonts w:cs="Arial"/>
          <w:sz w:val="22"/>
          <w:szCs w:val="22"/>
        </w:rPr>
      </w:pPr>
    </w:p>
    <w:p w14:paraId="78B82E04" w14:textId="77777777" w:rsidR="00681DEB" w:rsidRPr="009A04FA" w:rsidRDefault="00681DEB" w:rsidP="0008114B">
      <w:pPr>
        <w:pStyle w:val="Bullets"/>
        <w:numPr>
          <w:ilvl w:val="0"/>
          <w:numId w:val="0"/>
        </w:numPr>
        <w:spacing w:after="0" w:line="360" w:lineRule="auto"/>
        <w:ind w:left="400"/>
        <w:rPr>
          <w:rFonts w:cs="Arial"/>
          <w:sz w:val="22"/>
          <w:szCs w:val="22"/>
        </w:rPr>
      </w:pPr>
    </w:p>
    <w:p w14:paraId="4C2B455E" w14:textId="6ED35D97" w:rsidR="0008114B" w:rsidRPr="009A04FA" w:rsidRDefault="0008114B" w:rsidP="0008114B">
      <w:pPr>
        <w:pStyle w:val="Bullets"/>
        <w:numPr>
          <w:ilvl w:val="0"/>
          <w:numId w:val="43"/>
        </w:numPr>
        <w:spacing w:line="360" w:lineRule="auto"/>
        <w:rPr>
          <w:rFonts w:cs="Arial"/>
          <w:sz w:val="22"/>
          <w:szCs w:val="22"/>
        </w:rPr>
      </w:pPr>
      <w:r w:rsidRPr="009A04FA">
        <w:rPr>
          <w:rFonts w:cs="Arial"/>
          <w:b/>
          <w:bCs/>
          <w:sz w:val="22"/>
          <w:szCs w:val="22"/>
        </w:rPr>
        <w:lastRenderedPageBreak/>
        <w:t>Treatment efficacy is the key driver of model benefits (</w:t>
      </w:r>
      <w:r w:rsidR="00321BEE">
        <w:rPr>
          <w:rFonts w:cs="Arial"/>
          <w:b/>
          <w:bCs/>
          <w:sz w:val="22"/>
          <w:szCs w:val="22"/>
        </w:rPr>
        <w:fldChar w:fldCharType="begin"/>
      </w:r>
      <w:r w:rsidR="00321BEE">
        <w:rPr>
          <w:rFonts w:cs="Arial"/>
          <w:b/>
          <w:bCs/>
          <w:sz w:val="22"/>
          <w:szCs w:val="22"/>
        </w:rPr>
        <w:instrText xml:space="preserve"> REF _Ref90129492 \r \h </w:instrText>
      </w:r>
      <w:r w:rsidR="00321BEE">
        <w:rPr>
          <w:rFonts w:cs="Arial"/>
          <w:b/>
          <w:bCs/>
          <w:sz w:val="22"/>
          <w:szCs w:val="22"/>
        </w:rPr>
      </w:r>
      <w:r w:rsidR="00321BEE">
        <w:rPr>
          <w:rFonts w:cs="Arial"/>
          <w:b/>
          <w:bCs/>
          <w:sz w:val="22"/>
          <w:szCs w:val="22"/>
        </w:rPr>
        <w:fldChar w:fldCharType="separate"/>
      </w:r>
      <w:r w:rsidR="00321BEE">
        <w:rPr>
          <w:rFonts w:cs="Arial"/>
          <w:b/>
          <w:bCs/>
          <w:sz w:val="22"/>
          <w:szCs w:val="22"/>
        </w:rPr>
        <w:t>Issue 2</w:t>
      </w:r>
      <w:r w:rsidR="00321BEE">
        <w:rPr>
          <w:rFonts w:cs="Arial"/>
          <w:b/>
          <w:bCs/>
          <w:sz w:val="22"/>
          <w:szCs w:val="22"/>
        </w:rPr>
        <w:fldChar w:fldCharType="end"/>
      </w:r>
      <w:r w:rsidRPr="009A04FA">
        <w:rPr>
          <w:rFonts w:cs="Arial"/>
          <w:b/>
          <w:bCs/>
          <w:sz w:val="22"/>
          <w:szCs w:val="22"/>
        </w:rPr>
        <w:t>)</w:t>
      </w:r>
      <w:r w:rsidRPr="009A04FA">
        <w:rPr>
          <w:rFonts w:cs="Arial"/>
          <w:sz w:val="22"/>
          <w:szCs w:val="22"/>
        </w:rPr>
        <w:t>: Unsuccessful treatment of infection would most likely result in death (with exception of those which naturally resolve infection), a patient level QALY gain of 0.1-0.2 (per the EEPRU model) lacks face validity where the most probable outcome of unsuccessful treatment of complicated infections leads to death.</w:t>
      </w:r>
    </w:p>
    <w:p w14:paraId="33110BEE" w14:textId="77777777" w:rsidR="0008114B" w:rsidRPr="009A04FA" w:rsidRDefault="0008114B" w:rsidP="0008114B">
      <w:pPr>
        <w:pStyle w:val="Bullets"/>
        <w:numPr>
          <w:ilvl w:val="0"/>
          <w:numId w:val="0"/>
        </w:numPr>
        <w:spacing w:line="360" w:lineRule="auto"/>
        <w:ind w:left="720"/>
        <w:rPr>
          <w:rFonts w:cs="Arial"/>
          <w:sz w:val="22"/>
          <w:szCs w:val="22"/>
        </w:rPr>
      </w:pPr>
      <w:r w:rsidRPr="009A04FA">
        <w:rPr>
          <w:rFonts w:cs="Arial"/>
          <w:sz w:val="22"/>
          <w:szCs w:val="22"/>
        </w:rPr>
        <w:t xml:space="preserve">The stated QALY gain represents that of comparable treatment efficacy to the current standard of care, indicating the EEPRU model fails to recognise the additional clinical benefit of CAZ-AVI. Considering death as a primary outcome of unsuccessful treatment the QALY gains estimated via a more holistic, dynamic modelling approach validated by at least 14 KOLs estimates patient QALY gain of 0.67. The Committee must address the face validity of both modelled QALY gains and the appropriateness with respects to this </w:t>
      </w:r>
      <w:r>
        <w:rPr>
          <w:rFonts w:cs="Arial"/>
          <w:sz w:val="22"/>
          <w:szCs w:val="22"/>
        </w:rPr>
        <w:t xml:space="preserve">critical </w:t>
      </w:r>
      <w:r w:rsidRPr="009A04FA">
        <w:rPr>
          <w:rFonts w:cs="Arial"/>
          <w:sz w:val="22"/>
          <w:szCs w:val="22"/>
        </w:rPr>
        <w:t>lifesaving</w:t>
      </w:r>
      <w:r>
        <w:rPr>
          <w:rFonts w:cs="Arial"/>
          <w:sz w:val="22"/>
          <w:szCs w:val="22"/>
        </w:rPr>
        <w:t xml:space="preserve"> medicine</w:t>
      </w:r>
      <w:r w:rsidRPr="009A04FA">
        <w:rPr>
          <w:rFonts w:cs="Arial"/>
          <w:sz w:val="22"/>
          <w:szCs w:val="22"/>
        </w:rPr>
        <w:t>.</w:t>
      </w:r>
      <w:r w:rsidRPr="009A04FA" w:rsidDel="00512717">
        <w:rPr>
          <w:rFonts w:cs="Arial"/>
          <w:sz w:val="22"/>
          <w:szCs w:val="22"/>
        </w:rPr>
        <w:t xml:space="preserve"> </w:t>
      </w:r>
    </w:p>
    <w:p w14:paraId="4676BC1F" w14:textId="77777777" w:rsidR="0008114B" w:rsidRPr="009A04FA" w:rsidRDefault="0008114B" w:rsidP="0008114B">
      <w:pPr>
        <w:pStyle w:val="Bullets"/>
        <w:numPr>
          <w:ilvl w:val="0"/>
          <w:numId w:val="0"/>
        </w:numPr>
        <w:spacing w:after="0" w:line="360" w:lineRule="auto"/>
        <w:ind w:left="400"/>
        <w:rPr>
          <w:rFonts w:cs="Arial"/>
          <w:sz w:val="22"/>
          <w:szCs w:val="22"/>
        </w:rPr>
      </w:pPr>
    </w:p>
    <w:p w14:paraId="541BD391" w14:textId="7FC50550" w:rsidR="0008114B" w:rsidRPr="009A04FA" w:rsidRDefault="0008114B" w:rsidP="0008114B">
      <w:pPr>
        <w:pStyle w:val="Bullets"/>
        <w:numPr>
          <w:ilvl w:val="0"/>
          <w:numId w:val="43"/>
        </w:numPr>
        <w:spacing w:line="360" w:lineRule="auto"/>
        <w:rPr>
          <w:rFonts w:cs="Arial"/>
          <w:sz w:val="22"/>
          <w:szCs w:val="22"/>
        </w:rPr>
      </w:pPr>
      <w:r w:rsidRPr="009A04FA">
        <w:rPr>
          <w:rFonts w:cs="Arial"/>
          <w:b/>
          <w:bCs/>
          <w:sz w:val="22"/>
          <w:szCs w:val="22"/>
        </w:rPr>
        <w:t>Model validation (</w:t>
      </w:r>
      <w:r w:rsidR="00321BEE">
        <w:rPr>
          <w:rFonts w:cs="Arial"/>
          <w:b/>
          <w:bCs/>
          <w:sz w:val="22"/>
          <w:szCs w:val="22"/>
        </w:rPr>
        <w:fldChar w:fldCharType="begin"/>
      </w:r>
      <w:r w:rsidR="00321BEE">
        <w:rPr>
          <w:rFonts w:cs="Arial"/>
          <w:b/>
          <w:bCs/>
          <w:sz w:val="22"/>
          <w:szCs w:val="22"/>
        </w:rPr>
        <w:instrText xml:space="preserve"> REF _Ref90421680 \r \h </w:instrText>
      </w:r>
      <w:r w:rsidR="00321BEE">
        <w:rPr>
          <w:rFonts w:cs="Arial"/>
          <w:b/>
          <w:bCs/>
          <w:sz w:val="22"/>
          <w:szCs w:val="22"/>
        </w:rPr>
      </w:r>
      <w:r w:rsidR="00321BEE">
        <w:rPr>
          <w:rFonts w:cs="Arial"/>
          <w:b/>
          <w:bCs/>
          <w:sz w:val="22"/>
          <w:szCs w:val="22"/>
        </w:rPr>
        <w:fldChar w:fldCharType="separate"/>
      </w:r>
      <w:r w:rsidR="00321BEE">
        <w:rPr>
          <w:rFonts w:cs="Arial"/>
          <w:b/>
          <w:bCs/>
          <w:sz w:val="22"/>
          <w:szCs w:val="22"/>
        </w:rPr>
        <w:t>Issue 3</w:t>
      </w:r>
      <w:r w:rsidR="00321BEE">
        <w:rPr>
          <w:rFonts w:cs="Arial"/>
          <w:b/>
          <w:bCs/>
          <w:sz w:val="22"/>
          <w:szCs w:val="22"/>
        </w:rPr>
        <w:fldChar w:fldCharType="end"/>
      </w:r>
      <w:r w:rsidRPr="009A04FA">
        <w:rPr>
          <w:rFonts w:cs="Arial"/>
          <w:b/>
          <w:bCs/>
          <w:sz w:val="22"/>
          <w:szCs w:val="22"/>
        </w:rPr>
        <w:t>)</w:t>
      </w:r>
      <w:r w:rsidRPr="009A04FA">
        <w:rPr>
          <w:rFonts w:cs="Arial"/>
          <w:sz w:val="22"/>
          <w:szCs w:val="22"/>
        </w:rPr>
        <w:t>: The validation undertaken by EEPRU is not in alignment with the EEPRU framework</w:t>
      </w:r>
      <w:r w:rsidRPr="009A04FA">
        <w:rPr>
          <w:rFonts w:cs="Arial"/>
          <w:sz w:val="22"/>
          <w:szCs w:val="22"/>
        </w:rPr>
        <w:fldChar w:fldCharType="begin"/>
      </w:r>
      <w:r w:rsidRPr="009A04FA">
        <w:rPr>
          <w:rFonts w:cs="Arial"/>
          <w:sz w:val="22"/>
          <w:szCs w:val="22"/>
        </w:rPr>
        <w:instrText xml:space="preserve"> ADDIN EN.CITE &lt;EndNote&gt;&lt;Cite&gt;&lt;Author&gt;EEPRU&lt;/Author&gt;&lt;Year&gt;2018&lt;/Year&gt;&lt;RecNum&gt;9&lt;/RecNum&gt;&lt;DisplayText&gt;&lt;style face="superscript"&gt;3&lt;/style&gt;&lt;/DisplayText&gt;&lt;record&gt;&lt;rec-number&gt;9&lt;/rec-number&gt;&lt;foreign-keys&gt;&lt;key app="EN" db-id="pd5s0xr0250t2qevxfgxpvwp5eaztd2pavxx" timestamp="1638893203"&gt;9&lt;/key&gt;&lt;/foreign-keys&gt;&lt;ref-type name="Web Page"&gt;12&lt;/ref-type&gt;&lt;contributors&gt;&lt;authors&gt;&lt;author&gt;EEPRU&lt;/author&gt;&lt;/authors&gt;&lt;/contributors&gt;&lt;titles&gt;&lt;title&gt;Framework for value assessment of new antimicrobials - Implications of alternative funding arrangements for NICE appraisals&lt;/title&gt;&lt;/titles&gt;&lt;dates&gt;&lt;year&gt;2018&lt;/year&gt;&lt;/dates&gt;&lt;urls&gt;&lt;related-urls&gt;&lt;url&gt;http://www.eepru.org.uk/wp-content/uploads/2017/11/eepru-report-amr-oct-2018-059.pdf&lt;/url&gt;&lt;/related-urls&gt;&lt;/urls&gt;&lt;/record&gt;&lt;/Cite&gt;&lt;/EndNote&gt;</w:instrText>
      </w:r>
      <w:r w:rsidRPr="009A04FA">
        <w:rPr>
          <w:rFonts w:cs="Arial"/>
          <w:sz w:val="22"/>
          <w:szCs w:val="22"/>
        </w:rPr>
        <w:fldChar w:fldCharType="separate"/>
      </w:r>
      <w:r w:rsidRPr="009A04FA">
        <w:rPr>
          <w:rFonts w:cs="Arial"/>
          <w:noProof/>
          <w:sz w:val="22"/>
          <w:szCs w:val="22"/>
          <w:vertAlign w:val="superscript"/>
        </w:rPr>
        <w:t>3</w:t>
      </w:r>
      <w:r w:rsidRPr="009A04FA">
        <w:rPr>
          <w:rFonts w:cs="Arial"/>
          <w:sz w:val="22"/>
          <w:szCs w:val="22"/>
        </w:rPr>
        <w:fldChar w:fldCharType="end"/>
      </w:r>
      <w:r w:rsidRPr="009A04FA">
        <w:rPr>
          <w:rFonts w:cs="Arial"/>
          <w:sz w:val="22"/>
          <w:szCs w:val="22"/>
        </w:rPr>
        <w:t xml:space="preserve"> as the scope of the decision model, model structure and some model inputs were not able to undergo the robustness of expert peer-review or be externally validated. The validation techniques used were limited by both the availability of resource and time. EEPRU outline that the approaches conducted were not as robust or thorough as a Delphi Panel and not validated against historical data. </w:t>
      </w:r>
    </w:p>
    <w:p w14:paraId="4A904781" w14:textId="77777777" w:rsidR="0008114B" w:rsidRPr="009A04FA" w:rsidRDefault="0008114B" w:rsidP="0008114B">
      <w:pPr>
        <w:pStyle w:val="Bullets"/>
        <w:numPr>
          <w:ilvl w:val="0"/>
          <w:numId w:val="0"/>
        </w:numPr>
        <w:spacing w:after="0" w:line="360" w:lineRule="auto"/>
        <w:ind w:left="720"/>
        <w:rPr>
          <w:rFonts w:cs="Arial"/>
          <w:sz w:val="22"/>
          <w:szCs w:val="22"/>
        </w:rPr>
      </w:pPr>
      <w:r w:rsidRPr="009A04FA">
        <w:rPr>
          <w:rFonts w:cs="Arial"/>
          <w:sz w:val="22"/>
          <w:szCs w:val="22"/>
        </w:rPr>
        <w:t>We request that the Committee seek to contextualise the EEPRU model and outputs against historical data and the Pfizer model. The robustness of external validation each model has undergone to solidify clinical relevanc</w:t>
      </w:r>
      <w:r>
        <w:rPr>
          <w:rFonts w:cs="Arial"/>
          <w:sz w:val="22"/>
          <w:szCs w:val="22"/>
        </w:rPr>
        <w:t>e</w:t>
      </w:r>
      <w:r w:rsidRPr="009A04FA">
        <w:rPr>
          <w:rFonts w:cs="Arial"/>
          <w:sz w:val="22"/>
          <w:szCs w:val="22"/>
        </w:rPr>
        <w:t xml:space="preserve"> of the assumptions and comparison to historical data should be considered by the Committee. </w:t>
      </w:r>
    </w:p>
    <w:p w14:paraId="1C13F3EF" w14:textId="77777777" w:rsidR="0008114B" w:rsidRPr="009A04FA" w:rsidRDefault="0008114B" w:rsidP="0008114B">
      <w:pPr>
        <w:pStyle w:val="Bullets"/>
        <w:numPr>
          <w:ilvl w:val="0"/>
          <w:numId w:val="0"/>
        </w:numPr>
        <w:spacing w:after="0" w:line="360" w:lineRule="auto"/>
        <w:ind w:left="1120"/>
        <w:rPr>
          <w:rFonts w:cs="Arial"/>
          <w:sz w:val="22"/>
          <w:szCs w:val="22"/>
        </w:rPr>
      </w:pPr>
    </w:p>
    <w:p w14:paraId="4481EA05" w14:textId="743AA45D" w:rsidR="0008114B" w:rsidRPr="009A04FA" w:rsidRDefault="0008114B" w:rsidP="0008114B">
      <w:pPr>
        <w:pStyle w:val="Bullets"/>
        <w:numPr>
          <w:ilvl w:val="0"/>
          <w:numId w:val="43"/>
        </w:numPr>
        <w:spacing w:line="360" w:lineRule="auto"/>
        <w:rPr>
          <w:rFonts w:cs="Arial"/>
          <w:sz w:val="22"/>
          <w:szCs w:val="22"/>
        </w:rPr>
      </w:pPr>
      <w:r w:rsidRPr="009A04FA">
        <w:rPr>
          <w:rFonts w:cs="Arial"/>
          <w:b/>
          <w:bCs/>
          <w:sz w:val="22"/>
          <w:szCs w:val="22"/>
        </w:rPr>
        <w:t>Estimation of the potential patient population (</w:t>
      </w:r>
      <w:r w:rsidR="00321BEE">
        <w:rPr>
          <w:rFonts w:cs="Arial"/>
          <w:b/>
          <w:bCs/>
          <w:sz w:val="22"/>
          <w:szCs w:val="22"/>
        </w:rPr>
        <w:fldChar w:fldCharType="begin"/>
      </w:r>
      <w:r w:rsidR="00321BEE">
        <w:rPr>
          <w:rFonts w:cs="Arial"/>
          <w:b/>
          <w:bCs/>
          <w:sz w:val="22"/>
          <w:szCs w:val="22"/>
        </w:rPr>
        <w:instrText xml:space="preserve"> REF _Ref90121730 \r \h </w:instrText>
      </w:r>
      <w:r w:rsidR="00321BEE">
        <w:rPr>
          <w:rFonts w:cs="Arial"/>
          <w:b/>
          <w:bCs/>
          <w:sz w:val="22"/>
          <w:szCs w:val="22"/>
        </w:rPr>
      </w:r>
      <w:r w:rsidR="00321BEE">
        <w:rPr>
          <w:rFonts w:cs="Arial"/>
          <w:b/>
          <w:bCs/>
          <w:sz w:val="22"/>
          <w:szCs w:val="22"/>
        </w:rPr>
        <w:fldChar w:fldCharType="separate"/>
      </w:r>
      <w:r w:rsidR="00321BEE">
        <w:rPr>
          <w:rFonts w:cs="Arial"/>
          <w:b/>
          <w:bCs/>
          <w:sz w:val="22"/>
          <w:szCs w:val="22"/>
        </w:rPr>
        <w:t>Issue 4</w:t>
      </w:r>
      <w:r w:rsidR="00321BEE">
        <w:rPr>
          <w:rFonts w:cs="Arial"/>
          <w:b/>
          <w:bCs/>
          <w:sz w:val="22"/>
          <w:szCs w:val="22"/>
        </w:rPr>
        <w:fldChar w:fldCharType="end"/>
      </w:r>
      <w:r w:rsidRPr="009A04FA">
        <w:rPr>
          <w:rFonts w:cs="Arial"/>
          <w:b/>
          <w:bCs/>
          <w:sz w:val="22"/>
          <w:szCs w:val="22"/>
        </w:rPr>
        <w:t>)</w:t>
      </w:r>
      <w:r w:rsidRPr="009A04FA">
        <w:rPr>
          <w:rFonts w:cs="Arial"/>
          <w:sz w:val="22"/>
          <w:szCs w:val="22"/>
        </w:rPr>
        <w:t xml:space="preserve">: EEPRU focuses on two HVCSs, underestimating the potential patient population (70–575 patients per year) compared to current UK usage (currently estimated </w:t>
      </w:r>
      <w:r w:rsidRPr="00211F18">
        <w:rPr>
          <w:rFonts w:cs="Arial"/>
          <w:sz w:val="22"/>
          <w:szCs w:val="22"/>
        </w:rPr>
        <w:t xml:space="preserve">at </w:t>
      </w:r>
      <w:r w:rsidRPr="001B7EC7">
        <w:rPr>
          <w:rFonts w:cs="Arial"/>
          <w:sz w:val="22"/>
          <w:szCs w:val="22"/>
        </w:rPr>
        <w:t>1,400 patients</w:t>
      </w:r>
      <w:r w:rsidRPr="00211F18">
        <w:rPr>
          <w:rFonts w:cs="Arial"/>
          <w:sz w:val="22"/>
          <w:szCs w:val="22"/>
        </w:rPr>
        <w:t>).</w:t>
      </w:r>
      <w:r>
        <w:rPr>
          <w:rFonts w:cs="Arial"/>
          <w:sz w:val="22"/>
          <w:szCs w:val="22"/>
        </w:rPr>
        <w:fldChar w:fldCharType="begin"/>
      </w:r>
      <w:r>
        <w:rPr>
          <w:rFonts w:cs="Arial"/>
          <w:sz w:val="22"/>
          <w:szCs w:val="22"/>
        </w:rPr>
        <w:instrText xml:space="preserve"> ADDIN EN.CITE &lt;EndNote&gt;&lt;Cite&gt;&lt;Author&gt;Pfizer&lt;/Author&gt;&lt;Year&gt;2021&lt;/Year&gt;&lt;RecNum&gt;40&lt;/RecNum&gt;&lt;DisplayText&gt;&lt;style face="superscript"&gt;6&lt;/style&gt;&lt;/DisplayText&gt;&lt;record&gt;&lt;rec-number&gt;40&lt;/rec-number&gt;&lt;foreign-keys&gt;&lt;key app="EN" db-id="pd5s0xr0250t2qevxfgxpvwp5eaztd2pavxx" timestamp="1639504224"&gt;40&lt;/key&gt;&lt;/foreign-keys&gt;&lt;ref-type name="Government Document"&gt;46&lt;/ref-type&gt;&lt;contributors&gt;&lt;authors&gt;&lt;author&gt;Pfizer,&lt;/author&gt;&lt;/authors&gt;&lt;/contributors&gt;&lt;titles&gt;&lt;title&gt;Patient number calculation. data on file&lt;/title&gt;&lt;/titles&gt;&lt;dates&gt;&lt;year&gt;2021&lt;/year&gt;&lt;/dates&gt;&lt;urls&gt;&lt;/urls&gt;&lt;/record&gt;&lt;/Cite&gt;&lt;/EndNote&gt;</w:instrText>
      </w:r>
      <w:r>
        <w:rPr>
          <w:rFonts w:cs="Arial"/>
          <w:sz w:val="22"/>
          <w:szCs w:val="22"/>
        </w:rPr>
        <w:fldChar w:fldCharType="separate"/>
      </w:r>
      <w:r w:rsidRPr="00576A39">
        <w:rPr>
          <w:rFonts w:cs="Arial"/>
          <w:noProof/>
          <w:sz w:val="22"/>
          <w:szCs w:val="22"/>
          <w:vertAlign w:val="superscript"/>
        </w:rPr>
        <w:t>6</w:t>
      </w:r>
      <w:r>
        <w:rPr>
          <w:rFonts w:cs="Arial"/>
          <w:sz w:val="22"/>
          <w:szCs w:val="22"/>
        </w:rPr>
        <w:fldChar w:fldCharType="end"/>
      </w:r>
      <w:r w:rsidRPr="009A04FA">
        <w:rPr>
          <w:rFonts w:cs="Arial"/>
          <w:sz w:val="22"/>
          <w:szCs w:val="22"/>
        </w:rPr>
        <w:t xml:space="preserve"> Equally, this approach significantly underestimates the total number of multidrug resistance (MDR) Gram-negative infections. It is estimated there is 50,000 new cases per annum of patients with MDR Gram-negative infections</w:t>
      </w:r>
      <w:r w:rsidRPr="009A04FA">
        <w:rPr>
          <w:rFonts w:cs="Arial"/>
          <w:color w:val="242424"/>
          <w:sz w:val="22"/>
          <w:szCs w:val="20"/>
        </w:rPr>
        <w:fldChar w:fldCharType="begin"/>
      </w:r>
      <w:r>
        <w:rPr>
          <w:rFonts w:cs="Arial"/>
          <w:color w:val="242424"/>
          <w:sz w:val="22"/>
          <w:szCs w:val="20"/>
        </w:rPr>
        <w:instrText xml:space="preserve"> ADDIN EN.CITE &lt;EndNote&gt;&lt;Cite&gt;&lt;Author&gt;Clarivate DRG&lt;/Author&gt;&lt;Year&gt;2021&lt;/Year&gt;&lt;RecNum&gt;34&lt;/RecNum&gt;&lt;DisplayText&gt;&lt;style face="superscript"&gt;7&lt;/style&gt;&lt;/DisplayText&gt;&lt;record&gt;&lt;rec-number&gt;34&lt;/rec-number&gt;&lt;foreign-keys&gt;&lt;key app="EN" db-id="pd5s0xr0250t2qevxfgxpvwp5eaztd2pavxx" timestamp="1639409691"&gt;34&lt;/key&gt;&lt;/foreign-keys&gt;&lt;ref-type name="Web Page"&gt;12&lt;/ref-type&gt;&lt;contributors&gt;&lt;authors&gt;&lt;author&gt;Clarivate DRG,&lt;/author&gt;&lt;/authors&gt;&lt;/contributors&gt;&lt;titles&gt;&lt;title&gt;Patient Populations Epidemiology - Number of Gram-negative hospitalisation events per year in the UK&lt;/title&gt;&lt;/titles&gt;&lt;dates&gt;&lt;year&gt;2021&lt;/year&gt;&lt;/dates&gt;&lt;urls&gt;&lt;related-urls&gt;&lt;url&gt;https://insights.decisionresourcesgroup.com/biopharma&lt;/url&gt;&lt;/related-urls&gt;&lt;/urls&gt;&lt;/record&gt;&lt;/Cite&gt;&lt;/EndNote&gt;</w:instrText>
      </w:r>
      <w:r w:rsidRPr="009A04FA">
        <w:rPr>
          <w:rFonts w:cs="Arial"/>
          <w:color w:val="242424"/>
          <w:sz w:val="22"/>
          <w:szCs w:val="20"/>
        </w:rPr>
        <w:fldChar w:fldCharType="separate"/>
      </w:r>
      <w:r w:rsidRPr="00576A39">
        <w:rPr>
          <w:rFonts w:cs="Arial"/>
          <w:noProof/>
          <w:color w:val="242424"/>
          <w:sz w:val="22"/>
          <w:szCs w:val="20"/>
          <w:vertAlign w:val="superscript"/>
        </w:rPr>
        <w:t>7</w:t>
      </w:r>
      <w:r w:rsidRPr="009A04FA">
        <w:rPr>
          <w:rFonts w:cs="Arial"/>
          <w:color w:val="242424"/>
          <w:sz w:val="22"/>
          <w:szCs w:val="20"/>
        </w:rPr>
        <w:fldChar w:fldCharType="end"/>
      </w:r>
      <w:r w:rsidRPr="009A04FA">
        <w:rPr>
          <w:rFonts w:cs="Arial"/>
          <w:sz w:val="22"/>
          <w:szCs w:val="22"/>
        </w:rPr>
        <w:t>, and therefore the estimated eligible population of CAZ-AVI if the optimal antimicrobial stewardship approach was applied in clinical practice (</w:t>
      </w:r>
      <w:r w:rsidR="006D02F8" w:rsidRPr="006D02F8">
        <w:rPr>
          <w:rFonts w:cs="Arial"/>
          <w:sz w:val="22"/>
          <w:szCs w:val="22"/>
          <w:highlight w:val="black"/>
        </w:rPr>
        <w:t>***********</w:t>
      </w:r>
      <w:r w:rsidR="006D02F8" w:rsidRPr="006D02F8">
        <w:rPr>
          <w:rFonts w:cs="Arial"/>
          <w:sz w:val="22"/>
          <w:szCs w:val="22"/>
        </w:rPr>
        <w:t xml:space="preserve"> </w:t>
      </w:r>
      <w:r w:rsidRPr="009A04FA">
        <w:rPr>
          <w:rFonts w:cs="Arial"/>
          <w:sz w:val="22"/>
          <w:szCs w:val="22"/>
        </w:rPr>
        <w:t xml:space="preserve">patients per </w:t>
      </w:r>
      <w:r w:rsidR="00FE3C43">
        <w:rPr>
          <w:rFonts w:cs="Arial"/>
          <w:sz w:val="22"/>
          <w:szCs w:val="22"/>
        </w:rPr>
        <w:t>year</w:t>
      </w:r>
      <w:r w:rsidRPr="009A04FA">
        <w:rPr>
          <w:rFonts w:cs="Arial"/>
          <w:sz w:val="22"/>
          <w:szCs w:val="22"/>
        </w:rPr>
        <w:t xml:space="preserve">). These numbers were shared and discussed during the scoping and dialogue stages of the project. </w:t>
      </w:r>
    </w:p>
    <w:p w14:paraId="46FBA59F" w14:textId="77777777" w:rsidR="0008114B" w:rsidRPr="009A04FA" w:rsidRDefault="0008114B" w:rsidP="0008114B">
      <w:pPr>
        <w:pStyle w:val="Bullets"/>
        <w:numPr>
          <w:ilvl w:val="0"/>
          <w:numId w:val="0"/>
        </w:numPr>
        <w:spacing w:after="0" w:line="360" w:lineRule="auto"/>
        <w:ind w:left="720"/>
        <w:rPr>
          <w:rFonts w:cs="Arial"/>
          <w:sz w:val="22"/>
          <w:szCs w:val="22"/>
        </w:rPr>
      </w:pPr>
      <w:r w:rsidRPr="009A04FA">
        <w:rPr>
          <w:rFonts w:cs="Arial"/>
          <w:sz w:val="22"/>
          <w:szCs w:val="22"/>
        </w:rPr>
        <w:t>The publication of these numbers significantly underestimates the health threat of MDR infections and could result in further restricting patient access to a critical lifesaving medicine. We urgently request EEPRU to re-run their analysis using updated patient numbers and provide a subsequent scenario to the Committee ahead of the committee meeting. We request that the Committee should consider current real-world usage and increasing resistance trends both domestically and globally when considering future lifetime usage patterns.</w:t>
      </w:r>
    </w:p>
    <w:p w14:paraId="3F0D9C81" w14:textId="77777777" w:rsidR="0008114B" w:rsidRPr="009A04FA" w:rsidRDefault="0008114B" w:rsidP="0008114B">
      <w:pPr>
        <w:pStyle w:val="Bullets"/>
        <w:numPr>
          <w:ilvl w:val="0"/>
          <w:numId w:val="0"/>
        </w:numPr>
        <w:spacing w:after="0" w:line="360" w:lineRule="auto"/>
        <w:ind w:left="400"/>
        <w:rPr>
          <w:rFonts w:cs="Arial"/>
          <w:sz w:val="22"/>
          <w:szCs w:val="22"/>
        </w:rPr>
      </w:pPr>
    </w:p>
    <w:p w14:paraId="0839CF3E" w14:textId="12E49AC6" w:rsidR="0008114B" w:rsidRPr="009A04FA" w:rsidRDefault="0008114B" w:rsidP="0008114B">
      <w:pPr>
        <w:pStyle w:val="Bullets"/>
        <w:numPr>
          <w:ilvl w:val="0"/>
          <w:numId w:val="43"/>
        </w:numPr>
        <w:spacing w:line="360" w:lineRule="auto"/>
        <w:rPr>
          <w:rFonts w:cs="Arial"/>
          <w:b/>
          <w:bCs/>
          <w:sz w:val="22"/>
          <w:szCs w:val="22"/>
        </w:rPr>
      </w:pPr>
      <w:r w:rsidRPr="009A04FA">
        <w:rPr>
          <w:rFonts w:cs="Arial"/>
          <w:b/>
          <w:bCs/>
          <w:sz w:val="22"/>
          <w:szCs w:val="22"/>
        </w:rPr>
        <w:lastRenderedPageBreak/>
        <w:t>Antimicrobial stewardship and the diversity value of novel antibiotics (</w:t>
      </w:r>
      <w:r w:rsidR="00321BEE">
        <w:rPr>
          <w:rFonts w:cs="Arial"/>
          <w:b/>
          <w:bCs/>
          <w:sz w:val="22"/>
          <w:szCs w:val="22"/>
        </w:rPr>
        <w:fldChar w:fldCharType="begin"/>
      </w:r>
      <w:r w:rsidR="00321BEE">
        <w:rPr>
          <w:rFonts w:cs="Arial"/>
          <w:b/>
          <w:bCs/>
          <w:sz w:val="22"/>
          <w:szCs w:val="22"/>
        </w:rPr>
        <w:instrText xml:space="preserve"> REF _Ref89940836 \r \h </w:instrText>
      </w:r>
      <w:r w:rsidR="00321BEE">
        <w:rPr>
          <w:rFonts w:cs="Arial"/>
          <w:b/>
          <w:bCs/>
          <w:sz w:val="22"/>
          <w:szCs w:val="22"/>
        </w:rPr>
      </w:r>
      <w:r w:rsidR="00321BEE">
        <w:rPr>
          <w:rFonts w:cs="Arial"/>
          <w:b/>
          <w:bCs/>
          <w:sz w:val="22"/>
          <w:szCs w:val="22"/>
        </w:rPr>
        <w:fldChar w:fldCharType="separate"/>
      </w:r>
      <w:r w:rsidR="00321BEE">
        <w:rPr>
          <w:rFonts w:cs="Arial"/>
          <w:b/>
          <w:bCs/>
          <w:sz w:val="22"/>
          <w:szCs w:val="22"/>
        </w:rPr>
        <w:t>Issue 5</w:t>
      </w:r>
      <w:r w:rsidR="00321BEE">
        <w:rPr>
          <w:rFonts w:cs="Arial"/>
          <w:b/>
          <w:bCs/>
          <w:sz w:val="22"/>
          <w:szCs w:val="22"/>
        </w:rPr>
        <w:fldChar w:fldCharType="end"/>
      </w:r>
      <w:r w:rsidRPr="009A04FA">
        <w:rPr>
          <w:rFonts w:cs="Arial"/>
          <w:b/>
          <w:bCs/>
          <w:sz w:val="22"/>
          <w:szCs w:val="22"/>
        </w:rPr>
        <w:t>)</w:t>
      </w:r>
      <w:r w:rsidRPr="009A04FA">
        <w:rPr>
          <w:rFonts w:cs="Arial"/>
          <w:sz w:val="22"/>
          <w:szCs w:val="22"/>
        </w:rPr>
        <w:t xml:space="preserve">: Antimicrobial stewardship (AMS) strategies have been developed with the aim of limiting the rise of antimicrobial resistance. There is significant clinical need and societal benefit associated with obtaining a diverse set of novel antibiotics, reducing selection pressure and minimising resistance development. </w:t>
      </w:r>
    </w:p>
    <w:p w14:paraId="2CD030DA" w14:textId="77777777" w:rsidR="0008114B" w:rsidRPr="009A04FA" w:rsidRDefault="0008114B" w:rsidP="0008114B">
      <w:pPr>
        <w:pStyle w:val="Bullets"/>
        <w:numPr>
          <w:ilvl w:val="0"/>
          <w:numId w:val="0"/>
        </w:numPr>
        <w:spacing w:after="0" w:line="360" w:lineRule="auto"/>
        <w:ind w:left="720"/>
        <w:rPr>
          <w:rFonts w:cs="Arial"/>
          <w:sz w:val="22"/>
          <w:szCs w:val="22"/>
        </w:rPr>
      </w:pPr>
      <w:r w:rsidRPr="009A04FA">
        <w:rPr>
          <w:rFonts w:cs="Arial"/>
          <w:sz w:val="22"/>
          <w:szCs w:val="22"/>
        </w:rPr>
        <w:t>In complete contrast to the EEPRU framework</w:t>
      </w:r>
      <w:r w:rsidRPr="009A04FA">
        <w:rPr>
          <w:rFonts w:cs="Arial"/>
          <w:sz w:val="22"/>
          <w:szCs w:val="22"/>
          <w:vertAlign w:val="superscript"/>
        </w:rPr>
        <w:fldChar w:fldCharType="begin"/>
      </w:r>
      <w:r w:rsidRPr="009A04FA">
        <w:rPr>
          <w:rFonts w:cs="Arial"/>
          <w:sz w:val="22"/>
          <w:szCs w:val="22"/>
          <w:vertAlign w:val="superscript"/>
        </w:rPr>
        <w:instrText xml:space="preserve"> ADDIN EN.CITE &lt;EndNote&gt;&lt;Cite&gt;&lt;Author&gt;EEPRU&lt;/Author&gt;&lt;Year&gt;2018&lt;/Year&gt;&lt;RecNum&gt;9&lt;/RecNum&gt;&lt;DisplayText&gt;&lt;style face="superscript"&gt;3&lt;/style&gt;&lt;/DisplayText&gt;&lt;record&gt;&lt;rec-number&gt;9&lt;/rec-number&gt;&lt;foreign-keys&gt;&lt;key app="EN" db-id="pd5s0xr0250t2qevxfgxpvwp5eaztd2pavxx" timestamp="1638893203"&gt;9&lt;/key&gt;&lt;/foreign-keys&gt;&lt;ref-type name="Web Page"&gt;12&lt;/ref-type&gt;&lt;contributors&gt;&lt;authors&gt;&lt;author&gt;EEPRU&lt;/author&gt;&lt;/authors&gt;&lt;/contributors&gt;&lt;titles&gt;&lt;title&gt;Framework for value assessment of new antimicrobials - Implications of alternative funding arrangements for NICE appraisals&lt;/title&gt;&lt;/titles&gt;&lt;dates&gt;&lt;year&gt;2018&lt;/year&gt;&lt;/dates&gt;&lt;urls&gt;&lt;related-urls&gt;&lt;url&gt;http://www.eepru.org.uk/wp-content/uploads/2017/11/eepru-report-amr-oct-2018-059.pdf&lt;/url&gt;&lt;/related-urls&gt;&lt;/urls&gt;&lt;/record&gt;&lt;/Cite&gt;&lt;/EndNote&gt;</w:instrText>
      </w:r>
      <w:r w:rsidRPr="009A04FA">
        <w:rPr>
          <w:rFonts w:cs="Arial"/>
          <w:sz w:val="22"/>
          <w:szCs w:val="22"/>
          <w:vertAlign w:val="superscript"/>
        </w:rPr>
        <w:fldChar w:fldCharType="separate"/>
      </w:r>
      <w:r w:rsidRPr="009A04FA">
        <w:rPr>
          <w:rFonts w:cs="Arial"/>
          <w:noProof/>
          <w:sz w:val="22"/>
          <w:szCs w:val="22"/>
          <w:vertAlign w:val="superscript"/>
        </w:rPr>
        <w:t>3</w:t>
      </w:r>
      <w:r w:rsidRPr="009A04FA">
        <w:rPr>
          <w:rFonts w:cs="Arial"/>
          <w:sz w:val="22"/>
          <w:szCs w:val="22"/>
          <w:vertAlign w:val="superscript"/>
        </w:rPr>
        <w:fldChar w:fldCharType="end"/>
      </w:r>
      <w:r w:rsidRPr="009A04FA">
        <w:rPr>
          <w:rFonts w:cs="Arial"/>
          <w:sz w:val="22"/>
          <w:szCs w:val="22"/>
        </w:rPr>
        <w:t xml:space="preserve"> and protocol, the current EEPRU model has not attempted to assess the diversity value of novel antibiotics. We request EEPRU to present an alternative scenario for Committee consideration that attempts to model different AMS strategies and their impact on the emergence of resistance. If it is not possible to provide some quantification of diversity value, we request that the Committee qualitatively consider the impact and appropriate usage of new antibiotics as a critical factor in attempting to tackle the clear trend of increasing resistance. </w:t>
      </w:r>
    </w:p>
    <w:p w14:paraId="49EEDEEE" w14:textId="77777777" w:rsidR="0008114B" w:rsidRPr="009A04FA" w:rsidRDefault="0008114B" w:rsidP="0008114B">
      <w:pPr>
        <w:pStyle w:val="paragraph0"/>
        <w:spacing w:before="0" w:beforeAutospacing="0" w:after="0" w:afterAutospacing="0" w:line="360" w:lineRule="auto"/>
        <w:textAlignment w:val="baseline"/>
        <w:rPr>
          <w:rFonts w:ascii="Arial" w:hAnsi="Arial" w:cs="Arial"/>
          <w:lang w:eastAsia="en-US"/>
        </w:rPr>
      </w:pPr>
    </w:p>
    <w:p w14:paraId="6BEB3217" w14:textId="4016EDCC" w:rsidR="0008114B" w:rsidRPr="0050046B" w:rsidRDefault="0008114B" w:rsidP="0008114B">
      <w:pPr>
        <w:pStyle w:val="paragraph0"/>
        <w:spacing w:before="0" w:beforeAutospacing="0" w:after="0" w:afterAutospacing="0" w:line="360" w:lineRule="auto"/>
        <w:textAlignment w:val="baseline"/>
        <w:rPr>
          <w:rFonts w:ascii="Arial" w:hAnsi="Arial" w:cs="Arial"/>
          <w:sz w:val="22"/>
          <w:szCs w:val="22"/>
          <w:lang w:eastAsia="en-US"/>
        </w:rPr>
      </w:pPr>
      <w:r w:rsidRPr="0050046B">
        <w:rPr>
          <w:rFonts w:ascii="Arial" w:hAnsi="Arial" w:cs="Arial"/>
          <w:sz w:val="22"/>
          <w:szCs w:val="22"/>
          <w:lang w:eastAsia="en-US"/>
        </w:rPr>
        <w:t xml:space="preserve">Whilst we recognise the complexity and challenges inherent to the valuation of antibiotics and the work of all stakeholders to improve the assessment framework, we remain concerned about this report, and its potential impact on this project, the future valuation of antibiotics and global efforts to reinvigorate antimicrobial R&amp;D. We therefore ask for our recommendations and the limitations of the EEPRU assessment report to be considered by the NICE Committee, with clear identification of the areas where future ongoing collaboration and research is required. This will ensure a comprehensive review is undertaken that we hope will enable the committee, and NICE, to reach a well-informed and evidence-based decision for the next stages of the project process ensuring the UK Government goals </w:t>
      </w:r>
      <w:r w:rsidR="00FE3C43">
        <w:rPr>
          <w:rFonts w:ascii="Arial" w:hAnsi="Arial" w:cs="Arial"/>
          <w:sz w:val="22"/>
          <w:szCs w:val="22"/>
          <w:lang w:eastAsia="en-US"/>
        </w:rPr>
        <w:t xml:space="preserve">are </w:t>
      </w:r>
      <w:r w:rsidRPr="0050046B">
        <w:rPr>
          <w:rFonts w:ascii="Arial" w:hAnsi="Arial" w:cs="Arial"/>
          <w:sz w:val="22"/>
          <w:szCs w:val="22"/>
          <w:lang w:eastAsia="en-US"/>
        </w:rPr>
        <w:t>met, and together we can change the course of antibiotic value assessments.</w:t>
      </w:r>
    </w:p>
    <w:p w14:paraId="38ED9032" w14:textId="77777777" w:rsidR="0008114B" w:rsidRDefault="0008114B" w:rsidP="0008114B">
      <w:pPr>
        <w:pStyle w:val="NICEnormal"/>
        <w:rPr>
          <w:lang w:val="en-GB" w:eastAsia="en-GB"/>
        </w:rPr>
      </w:pPr>
      <w:bookmarkStart w:id="0" w:name="_Ref90130304"/>
    </w:p>
    <w:p w14:paraId="23439219" w14:textId="77777777" w:rsidR="00623B8B" w:rsidRDefault="00623B8B" w:rsidP="0008114B">
      <w:pPr>
        <w:rPr>
          <w:lang w:eastAsia="en-GB"/>
        </w:rPr>
      </w:pPr>
      <w:bookmarkStart w:id="1" w:name="_Ref90315306"/>
    </w:p>
    <w:p w14:paraId="0CC1A11D" w14:textId="1A35F6A3" w:rsidR="0008114B" w:rsidRDefault="0008114B" w:rsidP="0008114B">
      <w:pPr>
        <w:rPr>
          <w:b/>
          <w:bCs/>
          <w:sz w:val="24"/>
          <w:szCs w:val="24"/>
          <w:lang w:eastAsia="en-GB"/>
        </w:rPr>
      </w:pPr>
      <w:r>
        <w:rPr>
          <w:lang w:eastAsia="en-GB"/>
        </w:rPr>
        <w:br w:type="page"/>
      </w:r>
    </w:p>
    <w:p w14:paraId="7B4E8BEE" w14:textId="0744CC43" w:rsidR="0008114B" w:rsidRPr="00681DEB" w:rsidRDefault="0008114B" w:rsidP="0008114B">
      <w:pPr>
        <w:pStyle w:val="Heading1"/>
        <w:rPr>
          <w:sz w:val="24"/>
          <w:szCs w:val="22"/>
          <w:lang w:eastAsia="en-GB"/>
        </w:rPr>
      </w:pPr>
      <w:bookmarkStart w:id="2" w:name="_Ref90421923"/>
      <w:r w:rsidRPr="00681DEB">
        <w:rPr>
          <w:sz w:val="24"/>
          <w:szCs w:val="22"/>
          <w:lang w:eastAsia="en-GB"/>
        </w:rPr>
        <w:lastRenderedPageBreak/>
        <w:t>Modelling approach</w:t>
      </w:r>
      <w:bookmarkEnd w:id="0"/>
      <w:bookmarkEnd w:id="1"/>
      <w:bookmarkEnd w:id="2"/>
    </w:p>
    <w:p w14:paraId="755CED72" w14:textId="77777777" w:rsidR="00623B8B" w:rsidRPr="00623B8B" w:rsidRDefault="00623B8B" w:rsidP="00623B8B">
      <w:pPr>
        <w:rPr>
          <w:lang w:eastAsia="en-GB"/>
        </w:rPr>
      </w:pPr>
    </w:p>
    <w:tbl>
      <w:tblPr>
        <w:tblStyle w:val="TableGrid"/>
        <w:tblW w:w="0" w:type="auto"/>
        <w:tblInd w:w="694"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8323"/>
      </w:tblGrid>
      <w:tr w:rsidR="0008114B" w:rsidRPr="00A573DE" w14:paraId="369C790A" w14:textId="77777777" w:rsidTr="0008114B">
        <w:trPr>
          <w:trHeight w:val="312"/>
        </w:trPr>
        <w:tc>
          <w:tcPr>
            <w:tcW w:w="8323" w:type="dxa"/>
            <w:shd w:val="clear" w:color="auto" w:fill="F2F2F2" w:themeFill="background1" w:themeFillShade="F2"/>
          </w:tcPr>
          <w:p w14:paraId="0F5B24B9" w14:textId="77777777" w:rsidR="0008114B" w:rsidRPr="00A573DE" w:rsidRDefault="0008114B" w:rsidP="0008114B">
            <w:pPr>
              <w:pStyle w:val="NICEnormal"/>
              <w:keepNext/>
              <w:keepLines/>
              <w:spacing w:line="276" w:lineRule="auto"/>
              <w:rPr>
                <w:b/>
                <w:bCs/>
                <w:i/>
                <w:iCs/>
                <w:color w:val="808080" w:themeColor="background1" w:themeShade="80"/>
                <w:lang w:val="en-GB"/>
              </w:rPr>
            </w:pPr>
            <w:r w:rsidRPr="00F012A6">
              <w:rPr>
                <w:b/>
                <w:bCs/>
                <w:i/>
                <w:iCs/>
                <w:lang w:val="en-GB"/>
              </w:rPr>
              <w:t xml:space="preserve">Key messages </w:t>
            </w:r>
          </w:p>
        </w:tc>
      </w:tr>
      <w:tr w:rsidR="0008114B" w:rsidRPr="00A573DE" w14:paraId="1F998257" w14:textId="77777777" w:rsidTr="0008114B">
        <w:tc>
          <w:tcPr>
            <w:tcW w:w="8323" w:type="dxa"/>
          </w:tcPr>
          <w:p w14:paraId="2BDC5870" w14:textId="77777777" w:rsidR="0008114B" w:rsidRPr="00A334E6" w:rsidRDefault="0008114B" w:rsidP="0008114B">
            <w:pPr>
              <w:pStyle w:val="Bullets"/>
              <w:keepNext/>
              <w:keepLines/>
              <w:ind w:left="447"/>
              <w:rPr>
                <w:i/>
                <w:iCs/>
              </w:rPr>
            </w:pPr>
            <w:r w:rsidRPr="00A573DE">
              <w:t>The EEPRU model deviates significantly from the EEPRU framework</w:t>
            </w:r>
            <w:r>
              <w:fldChar w:fldCharType="begin"/>
            </w:r>
            <w:r>
              <w:instrText xml:space="preserve"> ADDIN EN.CITE &lt;EndNote&gt;&lt;Cite&gt;&lt;Author&gt;EEPRU&lt;/Author&gt;&lt;Year&gt;2018&lt;/Year&gt;&lt;RecNum&gt;9&lt;/RecNum&gt;&lt;DisplayText&gt;&lt;style face="superscript"&gt;3&lt;/style&gt;&lt;/DisplayText&gt;&lt;record&gt;&lt;rec-number&gt;9&lt;/rec-number&gt;&lt;foreign-keys&gt;&lt;key app="EN" db-id="pd5s0xr0250t2qevxfgxpvwp5eaztd2pavxx" timestamp="1638893203"&gt;9&lt;/key&gt;&lt;/foreign-keys&gt;&lt;ref-type name="Web Page"&gt;12&lt;/ref-type&gt;&lt;contributors&gt;&lt;authors&gt;&lt;author&gt;EEPRU&lt;/author&gt;&lt;/authors&gt;&lt;/contributors&gt;&lt;titles&gt;&lt;title&gt;Framework for value assessment of new antimicrobials - Implications of alternative funding arrangements for NICE appraisals&lt;/title&gt;&lt;/titles&gt;&lt;dates&gt;&lt;year&gt;2018&lt;/year&gt;&lt;/dates&gt;&lt;urls&gt;&lt;related-urls&gt;&lt;url&gt;http://www.eepru.org.uk/wp-content/uploads/2017/11/eepru-report-amr-oct-2018-059.pdf&lt;/url&gt;&lt;/related-urls&gt;&lt;/urls&gt;&lt;/record&gt;&lt;/Cite&gt;&lt;/EndNote&gt;</w:instrText>
            </w:r>
            <w:r>
              <w:fldChar w:fldCharType="separate"/>
            </w:r>
            <w:r w:rsidRPr="00713819">
              <w:rPr>
                <w:noProof/>
                <w:vertAlign w:val="superscript"/>
              </w:rPr>
              <w:t>3</w:t>
            </w:r>
            <w:r>
              <w:fldChar w:fldCharType="end"/>
            </w:r>
            <w:r w:rsidRPr="00A573DE">
              <w:t xml:space="preserve"> and the NICE reference case.</w:t>
            </w:r>
            <w:r>
              <w:fldChar w:fldCharType="begin"/>
            </w:r>
            <w:r>
              <w:instrText xml:space="preserve"> ADDIN EN.CITE &lt;EndNote&gt;&lt;Cite ExcludeYear="1"&gt;&lt;Author&gt;National Institute for Health and Care Excellence&lt;/Author&gt;&lt;RecNum&gt;25&lt;/RecNum&gt;&lt;DisplayText&gt;&lt;style face="superscript"&gt;4&lt;/style&gt;&lt;/DisplayText&gt;&lt;record&gt;&lt;rec-number&gt;25&lt;/rec-number&gt;&lt;foreign-keys&gt;&lt;key app="EN" db-id="pd5s0xr0250t2qevxfgxpvwp5eaztd2pavxx" timestamp="1639389265"&gt;25&lt;/key&gt;&lt;/foreign-keys&gt;&lt;ref-type name="Web Page"&gt;12&lt;/ref-type&gt;&lt;contributors&gt;&lt;authors&gt;&lt;author&gt;National Institute for Health and Care Excellence,&lt;/author&gt;&lt;/authors&gt;&lt;/contributors&gt;&lt;titles&gt;&lt;title&gt;Guide to the methods of technology appraisal 2013&lt;/title&gt;&lt;/titles&gt;&lt;dates&gt;&lt;/dates&gt;&lt;urls&gt;&lt;related-urls&gt;&lt;url&gt;https://www.nice.org.uk/process/pmg9/resources/guide-to-the-methods-of-technology-appraisal-2013-pdf-2007975843781&lt;/url&gt;&lt;/related-urls&gt;&lt;/urls&gt;&lt;/record&gt;&lt;/Cite&gt;&lt;/EndNote&gt;</w:instrText>
            </w:r>
            <w:r>
              <w:fldChar w:fldCharType="separate"/>
            </w:r>
            <w:r w:rsidRPr="00713819">
              <w:rPr>
                <w:noProof/>
                <w:vertAlign w:val="superscript"/>
              </w:rPr>
              <w:t>4</w:t>
            </w:r>
            <w:r>
              <w:fldChar w:fldCharType="end"/>
            </w:r>
            <w:r>
              <w:t xml:space="preserve"> Considerations as to why deviations were made, and to what extent must be identified and the impact on patient / population outcomes explored.</w:t>
            </w:r>
          </w:p>
          <w:p w14:paraId="3F39986E" w14:textId="77777777" w:rsidR="0008114B" w:rsidRPr="00A334E6" w:rsidRDefault="0008114B" w:rsidP="0008114B">
            <w:pPr>
              <w:pStyle w:val="Bullets"/>
              <w:keepNext/>
              <w:keepLines/>
              <w:ind w:left="447"/>
              <w:rPr>
                <w:i/>
                <w:iCs/>
              </w:rPr>
            </w:pPr>
            <w:r w:rsidRPr="00A573DE">
              <w:t xml:space="preserve">The </w:t>
            </w:r>
            <w:r>
              <w:t xml:space="preserve">proposed model should, where feasible, </w:t>
            </w:r>
            <w:r w:rsidRPr="00A573DE">
              <w:t>adhere to the NICE reference case,</w:t>
            </w:r>
            <w:r>
              <w:fldChar w:fldCharType="begin"/>
            </w:r>
            <w:r>
              <w:instrText xml:space="preserve"> ADDIN EN.CITE &lt;EndNote&gt;&lt;Cite ExcludeYear="1"&gt;&lt;Author&gt;National Institute for Health and Care Excellence&lt;/Author&gt;&lt;RecNum&gt;25&lt;/RecNum&gt;&lt;DisplayText&gt;&lt;style face="superscript"&gt;4&lt;/style&gt;&lt;/DisplayText&gt;&lt;record&gt;&lt;rec-number&gt;25&lt;/rec-number&gt;&lt;foreign-keys&gt;&lt;key app="EN" db-id="pd5s0xr0250t2qevxfgxpvwp5eaztd2pavxx" timestamp="1639389265"&gt;25&lt;/key&gt;&lt;/foreign-keys&gt;&lt;ref-type name="Web Page"&gt;12&lt;/ref-type&gt;&lt;contributors&gt;&lt;authors&gt;&lt;author&gt;National Institute for Health and Care Excellence,&lt;/author&gt;&lt;/authors&gt;&lt;/contributors&gt;&lt;titles&gt;&lt;title&gt;Guide to the methods of technology appraisal 2013&lt;/title&gt;&lt;/titles&gt;&lt;dates&gt;&lt;/dates&gt;&lt;urls&gt;&lt;related-urls&gt;&lt;url&gt;https://www.nice.org.uk/process/pmg9/resources/guide-to-the-methods-of-technology-appraisal-2013-pdf-2007975843781&lt;/url&gt;&lt;/related-urls&gt;&lt;/urls&gt;&lt;/record&gt;&lt;/Cite&gt;&lt;/EndNote&gt;</w:instrText>
            </w:r>
            <w:r>
              <w:fldChar w:fldCharType="separate"/>
            </w:r>
            <w:r w:rsidRPr="00713819">
              <w:rPr>
                <w:noProof/>
                <w:vertAlign w:val="superscript"/>
              </w:rPr>
              <w:t>4</w:t>
            </w:r>
            <w:r>
              <w:fldChar w:fldCharType="end"/>
            </w:r>
            <w:r w:rsidRPr="00A573DE">
              <w:t xml:space="preserve"> with adaptations to align to the EEPRU protocol</w:t>
            </w:r>
            <w:r>
              <w:fldChar w:fldCharType="begin"/>
            </w:r>
            <w:r>
              <w:instrText xml:space="preserve"> ADDIN EN.CITE &lt;EndNote&gt;&lt;Cite&gt;&lt;Author&gt;EEPRU&lt;/Author&gt;&lt;Year&gt;2021&lt;/Year&gt;&lt;RecNum&gt;30&lt;/RecNum&gt;&lt;DisplayText&gt;&lt;style face="superscript"&gt;8&lt;/style&gt;&lt;/DisplayText&gt;&lt;record&gt;&lt;rec-number&gt;30&lt;/rec-number&gt;&lt;foreign-keys&gt;&lt;key app="EN" db-id="pd5s0xr0250t2qevxfgxpvwp5eaztd2pavxx" timestamp="1639400842"&gt;30&lt;/key&gt;&lt;/foreign-keys&gt;&lt;ref-type name="Web Page"&gt;12&lt;/ref-type&gt;&lt;contributors&gt;&lt;authors&gt;&lt;author&gt;EEPRU&lt;/author&gt;&lt;/authors&gt;&lt;/contributors&gt;&lt;titles&gt;&lt;title&gt;Protocol for the technology evaluation of ceftazidime with avibactam for treating severe aerobic Gram-negative bacterial infections&lt;/title&gt;&lt;/titles&gt;&lt;dates&gt;&lt;year&gt;2021&lt;/year&gt;&lt;/dates&gt;&lt;urls&gt;&lt;related-urls&gt;&lt;url&gt;https://www.nice.org.uk/about/what-we-do/life-sciences/scientific-advice/models-for-the-evaluation-and-purchase-of-antimicrobials/ceftazidime-with-avibactam&lt;/url&gt;&lt;/related-urls&gt;&lt;/urls&gt;&lt;/record&gt;&lt;/Cite&gt;&lt;/EndNote&gt;</w:instrText>
            </w:r>
            <w:r>
              <w:fldChar w:fldCharType="separate"/>
            </w:r>
            <w:r w:rsidRPr="00576A39">
              <w:rPr>
                <w:noProof/>
                <w:vertAlign w:val="superscript"/>
              </w:rPr>
              <w:t>8</w:t>
            </w:r>
            <w:r>
              <w:fldChar w:fldCharType="end"/>
            </w:r>
            <w:r w:rsidRPr="00A573DE">
              <w:t xml:space="preserve">, the EEPRU framework for </w:t>
            </w:r>
            <w:r>
              <w:t>AMs</w:t>
            </w:r>
            <w:r>
              <w:fldChar w:fldCharType="begin"/>
            </w:r>
            <w:r>
              <w:instrText xml:space="preserve"> ADDIN EN.CITE &lt;EndNote&gt;&lt;Cite&gt;&lt;Author&gt;EEPRU&lt;/Author&gt;&lt;Year&gt;2018&lt;/Year&gt;&lt;RecNum&gt;9&lt;/RecNum&gt;&lt;DisplayText&gt;&lt;style face="superscript"&gt;3&lt;/style&gt;&lt;/DisplayText&gt;&lt;record&gt;&lt;rec-number&gt;9&lt;/rec-number&gt;&lt;foreign-keys&gt;&lt;key app="EN" db-id="pd5s0xr0250t2qevxfgxpvwp5eaztd2pavxx" timestamp="1638893203"&gt;9&lt;/key&gt;&lt;/foreign-keys&gt;&lt;ref-type name="Web Page"&gt;12&lt;/ref-type&gt;&lt;contributors&gt;&lt;authors&gt;&lt;author&gt;EEPRU&lt;/author&gt;&lt;/authors&gt;&lt;/contributors&gt;&lt;titles&gt;&lt;title&gt;Framework for value assessment of new antimicrobials - Implications of alternative funding arrangements for NICE appraisals&lt;/title&gt;&lt;/titles&gt;&lt;dates&gt;&lt;year&gt;2018&lt;/year&gt;&lt;/dates&gt;&lt;urls&gt;&lt;related-urls&gt;&lt;url&gt;http://www.eepru.org.uk/wp-content/uploads/2017/11/eepru-report-amr-oct-2018-059.pdf&lt;/url&gt;&lt;/related-urls&gt;&lt;/urls&gt;&lt;/record&gt;&lt;/Cite&gt;&lt;/EndNote&gt;</w:instrText>
            </w:r>
            <w:r>
              <w:fldChar w:fldCharType="separate"/>
            </w:r>
            <w:r w:rsidRPr="00713819">
              <w:rPr>
                <w:noProof/>
                <w:vertAlign w:val="superscript"/>
              </w:rPr>
              <w:t>3</w:t>
            </w:r>
            <w:r>
              <w:fldChar w:fldCharType="end"/>
            </w:r>
            <w:r w:rsidRPr="00A573DE">
              <w:t>, and the final NICE scope.</w:t>
            </w:r>
            <w:r>
              <w:fldChar w:fldCharType="begin"/>
            </w:r>
            <w:r>
              <w:instrText xml:space="preserve"> ADDIN EN.CITE &lt;EndNote&gt;&lt;Cite&gt;&lt;Author&gt;National Institute for Health and Care Excellence&lt;/Author&gt;&lt;Year&gt;2021&lt;/Year&gt;&lt;RecNum&gt;28&lt;/RecNum&gt;&lt;DisplayText&gt;&lt;style face="superscript"&gt;1&lt;/style&gt;&lt;/DisplayText&gt;&lt;record&gt;&lt;rec-number&gt;28&lt;/rec-number&gt;&lt;foreign-keys&gt;&lt;key app="EN" db-id="pd5s0xr0250t2qevxfgxpvwp5eaztd2pavxx" timestamp="1639399397"&gt;28&lt;/key&gt;&lt;/foreign-keys&gt;&lt;ref-type name="Web Page"&gt;12&lt;/ref-type&gt;&lt;contributors&gt;&lt;authors&gt;&lt;author&gt;National Institute for Health and Care Excellence,&lt;/author&gt;&lt;/authors&gt;&lt;/contributors&gt;&lt;titles&gt;&lt;title&gt;Antimicrobial Health Technology Evaluation. Ceftazidime with avibactam for treating severe aerobic Gram-negative bacterial infections - Final scope &lt;/title&gt;&lt;/titles&gt;&lt;volume&gt;2021&lt;/volume&gt;&lt;number&gt;2/2021&lt;/number&gt;&lt;dates&gt;&lt;year&gt;2021&lt;/year&gt;&lt;/dates&gt;&lt;urls&gt;&lt;related-urls&gt;&lt;url&gt;https://www.nice.org.uk/about/what-we-do/life-sciences/scientific-advice/models-for-the-evaluation-and-purchase-of-antimicrobials/ceftazidime-with-avibactam&lt;/url&gt;&lt;/related-urls&gt;&lt;/urls&gt;&lt;/record&gt;&lt;/Cite&gt;&lt;/EndNote&gt;</w:instrText>
            </w:r>
            <w:r>
              <w:fldChar w:fldCharType="separate"/>
            </w:r>
            <w:r w:rsidRPr="00713819">
              <w:rPr>
                <w:noProof/>
                <w:vertAlign w:val="superscript"/>
              </w:rPr>
              <w:t>1</w:t>
            </w:r>
            <w:r>
              <w:fldChar w:fldCharType="end"/>
            </w:r>
          </w:p>
        </w:tc>
      </w:tr>
    </w:tbl>
    <w:p w14:paraId="5F29F6EE" w14:textId="77777777" w:rsidR="0008114B" w:rsidRPr="00A573DE" w:rsidRDefault="0008114B" w:rsidP="0008114B">
      <w:pPr>
        <w:spacing w:line="276" w:lineRule="auto"/>
        <w:rPr>
          <w:shd w:val="clear" w:color="auto" w:fill="FFFFFF"/>
        </w:rPr>
      </w:pPr>
    </w:p>
    <w:p w14:paraId="67F2F28F" w14:textId="77777777" w:rsidR="0008114B" w:rsidRPr="006D3CF8" w:rsidRDefault="0008114B" w:rsidP="0008114B">
      <w:pPr>
        <w:pStyle w:val="NICEnormal"/>
        <w:rPr>
          <w:rFonts w:ascii="Tahoma" w:hAnsi="Tahoma"/>
          <w:sz w:val="22"/>
          <w:szCs w:val="22"/>
          <w:shd w:val="clear" w:color="auto" w:fill="FFFFFF"/>
          <w:lang w:val="en-GB" w:eastAsia="en-GB"/>
        </w:rPr>
      </w:pPr>
      <w:r w:rsidRPr="006D3CF8">
        <w:rPr>
          <w:sz w:val="22"/>
          <w:szCs w:val="22"/>
          <w:shd w:val="clear" w:color="auto" w:fill="FFFFFF"/>
          <w:lang w:val="en-GB"/>
        </w:rPr>
        <w:t xml:space="preserve">Cost-effectiveness modelling of infectious diseases is set apart from other diseases by the communicable nature of infections and the association between the individual and the population. </w:t>
      </w:r>
      <w:r w:rsidRPr="006D3CF8">
        <w:rPr>
          <w:sz w:val="22"/>
          <w:szCs w:val="22"/>
          <w:lang w:val="en-GB"/>
        </w:rPr>
        <w:t xml:space="preserve">At the individual level, the clinical efficacy of an antibiotic </w:t>
      </w:r>
      <w:r>
        <w:rPr>
          <w:sz w:val="22"/>
          <w:szCs w:val="22"/>
          <w:lang w:val="en-GB"/>
        </w:rPr>
        <w:t>and the time to effective treatment are</w:t>
      </w:r>
      <w:r w:rsidRPr="006D3CF8">
        <w:rPr>
          <w:sz w:val="22"/>
          <w:szCs w:val="22"/>
          <w:lang w:val="en-GB"/>
        </w:rPr>
        <w:t xml:space="preserve"> </w:t>
      </w:r>
      <w:r>
        <w:rPr>
          <w:sz w:val="22"/>
          <w:szCs w:val="22"/>
          <w:lang w:val="en-GB"/>
        </w:rPr>
        <w:t xml:space="preserve">key drivers of benefits, impacting on mortality as the main patient outcome. </w:t>
      </w:r>
      <w:r w:rsidRPr="006D3CF8">
        <w:rPr>
          <w:sz w:val="22"/>
          <w:szCs w:val="22"/>
          <w:lang w:val="en-GB"/>
        </w:rPr>
        <w:t>However, at the population level, the clinical efficacy of an antibiotic is a determinant of resistance rates (i.e.</w:t>
      </w:r>
      <w:r>
        <w:rPr>
          <w:sz w:val="22"/>
          <w:szCs w:val="22"/>
          <w:lang w:val="en-GB"/>
        </w:rPr>
        <w:t>,</w:t>
      </w:r>
      <w:r w:rsidRPr="006D3CF8">
        <w:rPr>
          <w:sz w:val="22"/>
          <w:szCs w:val="22"/>
          <w:lang w:val="en-GB"/>
        </w:rPr>
        <w:t xml:space="preserve"> the proportion of the </w:t>
      </w:r>
      <w:r>
        <w:rPr>
          <w:sz w:val="22"/>
          <w:szCs w:val="22"/>
          <w:lang w:val="en-GB"/>
        </w:rPr>
        <w:t xml:space="preserve">infections that </w:t>
      </w:r>
      <w:r w:rsidRPr="006D3CF8">
        <w:rPr>
          <w:sz w:val="22"/>
          <w:szCs w:val="22"/>
          <w:lang w:val="en-GB"/>
        </w:rPr>
        <w:t xml:space="preserve">are susceptible to </w:t>
      </w:r>
      <w:r>
        <w:rPr>
          <w:sz w:val="22"/>
          <w:szCs w:val="22"/>
          <w:lang w:val="en-GB"/>
        </w:rPr>
        <w:t>anti-</w:t>
      </w:r>
      <w:r w:rsidRPr="006D3CF8">
        <w:rPr>
          <w:sz w:val="22"/>
          <w:szCs w:val="22"/>
          <w:lang w:val="en-GB"/>
        </w:rPr>
        <w:t>infecti</w:t>
      </w:r>
      <w:r>
        <w:rPr>
          <w:sz w:val="22"/>
          <w:szCs w:val="22"/>
          <w:lang w:val="en-GB"/>
        </w:rPr>
        <w:t>ves</w:t>
      </w:r>
      <w:r w:rsidRPr="006D3CF8">
        <w:rPr>
          <w:sz w:val="22"/>
          <w:szCs w:val="22"/>
          <w:lang w:val="en-GB"/>
        </w:rPr>
        <w:t xml:space="preserve"> or resistant to treatment), which in turn is a determinant of patient outcomes, health service and societal costs. Therefore, </w:t>
      </w:r>
      <w:r w:rsidRPr="006D3CF8">
        <w:rPr>
          <w:sz w:val="22"/>
          <w:szCs w:val="22"/>
          <w:shd w:val="clear" w:color="auto" w:fill="FFFFFF"/>
          <w:lang w:val="en-GB"/>
        </w:rPr>
        <w:t xml:space="preserve">evidence strongly suggests that mathematical models incorporating the variables discussed above can predict future rates of antibiotic resistance based on antibiotic usage. </w:t>
      </w:r>
    </w:p>
    <w:p w14:paraId="6E503994" w14:textId="77777777" w:rsidR="0008114B" w:rsidRPr="006D3CF8" w:rsidRDefault="0008114B" w:rsidP="0008114B">
      <w:pPr>
        <w:pStyle w:val="NICEnormal"/>
        <w:rPr>
          <w:sz w:val="22"/>
          <w:szCs w:val="22"/>
          <w:lang w:val="en-GB"/>
        </w:rPr>
      </w:pPr>
      <w:r w:rsidRPr="006D3CF8">
        <w:rPr>
          <w:sz w:val="22"/>
          <w:szCs w:val="22"/>
          <w:lang w:val="en-GB"/>
        </w:rPr>
        <w:t>Economic evaluation using dynamic transmission models is important for capturing the direct and indirect effects that may arise from a communicable disease</w:t>
      </w:r>
      <w:r>
        <w:rPr>
          <w:sz w:val="22"/>
          <w:szCs w:val="22"/>
          <w:lang w:val="en-GB"/>
        </w:rPr>
        <w:t>. R</w:t>
      </w:r>
      <w:r w:rsidRPr="006D3CF8">
        <w:rPr>
          <w:sz w:val="22"/>
          <w:szCs w:val="22"/>
          <w:lang w:val="en-GB"/>
        </w:rPr>
        <w:t xml:space="preserve">ecent research has evaluated the role of dynamic transmission economic evaluation defined as a modelling analysis </w:t>
      </w:r>
      <w:proofErr w:type="spellStart"/>
      <w:r w:rsidRPr="006D3CF8">
        <w:rPr>
          <w:sz w:val="22"/>
          <w:szCs w:val="22"/>
          <w:lang w:val="en-GB"/>
        </w:rPr>
        <w:t>i</w:t>
      </w:r>
      <w:proofErr w:type="spellEnd"/>
      <w:r w:rsidRPr="006D3CF8">
        <w:rPr>
          <w:sz w:val="22"/>
          <w:szCs w:val="22"/>
          <w:lang w:val="en-GB"/>
        </w:rPr>
        <w:t>) where the force of infection (risk of infection) is dependent on the model state in a previous time step and ii) that makes a comparison of the costs and effects of one or more interventions or events.</w:t>
      </w:r>
    </w:p>
    <w:p w14:paraId="16BDD69C" w14:textId="77777777" w:rsidR="0008114B" w:rsidRPr="006D3CF8" w:rsidRDefault="0008114B" w:rsidP="0008114B">
      <w:pPr>
        <w:pStyle w:val="NICEnormal"/>
        <w:rPr>
          <w:sz w:val="22"/>
          <w:szCs w:val="22"/>
          <w:lang w:val="en-GB"/>
        </w:rPr>
      </w:pPr>
      <w:r>
        <w:rPr>
          <w:sz w:val="22"/>
          <w:szCs w:val="22"/>
          <w:lang w:val="en-GB"/>
        </w:rPr>
        <w:t>Due to time and resourcing constraints</w:t>
      </w:r>
      <w:r w:rsidRPr="006D3CF8">
        <w:rPr>
          <w:sz w:val="22"/>
          <w:szCs w:val="22"/>
          <w:lang w:val="en-GB"/>
        </w:rPr>
        <w:t xml:space="preserve">, EEPRU developed a </w:t>
      </w:r>
      <w:r w:rsidRPr="006D3CF8">
        <w:rPr>
          <w:i/>
          <w:iCs/>
          <w:sz w:val="22"/>
          <w:szCs w:val="22"/>
          <w:lang w:val="en-GB"/>
        </w:rPr>
        <w:t>de novo</w:t>
      </w:r>
      <w:r w:rsidRPr="006D3CF8">
        <w:rPr>
          <w:sz w:val="22"/>
          <w:szCs w:val="22"/>
          <w:lang w:val="en-GB"/>
        </w:rPr>
        <w:t xml:space="preserve"> decision analytic model to predict the cost and health consequences of </w:t>
      </w:r>
      <w:r>
        <w:rPr>
          <w:sz w:val="22"/>
          <w:szCs w:val="22"/>
          <w:lang w:val="en-GB"/>
        </w:rPr>
        <w:t>CAZ</w:t>
      </w:r>
      <w:r w:rsidRPr="002849FB">
        <w:rPr>
          <w:sz w:val="22"/>
          <w:szCs w:val="22"/>
          <w:lang w:val="en-GB"/>
        </w:rPr>
        <w:t>-AVI treatment within HVCSs. Pfizer appreciate the feedback on the company submitted model which followed the advice of experts. Pfizer’s objective was to build an AMR transmission model which was in line with the technical recommendations provided in the EEPRU framework</w:t>
      </w:r>
      <w:r w:rsidRPr="002849FB">
        <w:rPr>
          <w:szCs w:val="22"/>
        </w:rPr>
        <w:fldChar w:fldCharType="begin"/>
      </w:r>
      <w:r>
        <w:rPr>
          <w:szCs w:val="22"/>
        </w:rPr>
        <w:instrText xml:space="preserve"> ADDIN EN.CITE &lt;EndNote&gt;&lt;Cite&gt;&lt;Author&gt;EEPRU&lt;/Author&gt;&lt;Year&gt;2018&lt;/Year&gt;&lt;RecNum&gt;9&lt;/RecNum&gt;&lt;DisplayText&gt;&lt;style face="superscript"&gt;3&lt;/style&gt;&lt;/DisplayText&gt;&lt;record&gt;&lt;rec-number&gt;9&lt;/rec-number&gt;&lt;foreign-keys&gt;&lt;key app="EN" db-id="pd5s0xr0250t2qevxfgxpvwp5eaztd2pavxx" timestamp="1638893203"&gt;9&lt;/key&gt;&lt;/foreign-keys&gt;&lt;ref-type name="Web Page"&gt;12&lt;/ref-type&gt;&lt;contributors&gt;&lt;authors&gt;&lt;author&gt;EEPRU&lt;/author&gt;&lt;/authors&gt;&lt;/contributors&gt;&lt;titles&gt;&lt;title&gt;Framework for value assessment of new antimicrobials - Implications of alternative funding arrangements for NICE appraisals&lt;/title&gt;&lt;/titles&gt;&lt;dates&gt;&lt;year&gt;2018&lt;/year&gt;&lt;/dates&gt;&lt;urls&gt;&lt;related-urls&gt;&lt;url&gt;http://www.eepru.org.uk/wp-content/uploads/2017/11/eepru-report-amr-oct-2018-059.pdf&lt;/url&gt;&lt;/related-urls&gt;&lt;/urls&gt;&lt;/record&gt;&lt;/Cite&gt;&lt;/EndNote&gt;</w:instrText>
      </w:r>
      <w:r w:rsidRPr="002849FB">
        <w:rPr>
          <w:szCs w:val="22"/>
        </w:rPr>
        <w:fldChar w:fldCharType="separate"/>
      </w:r>
      <w:r w:rsidRPr="00B94641">
        <w:rPr>
          <w:noProof/>
          <w:sz w:val="22"/>
          <w:szCs w:val="22"/>
          <w:vertAlign w:val="superscript"/>
          <w:lang w:val="en-GB"/>
        </w:rPr>
        <w:t>3</w:t>
      </w:r>
      <w:r w:rsidRPr="002849FB">
        <w:rPr>
          <w:szCs w:val="22"/>
        </w:rPr>
        <w:fldChar w:fldCharType="end"/>
      </w:r>
      <w:r w:rsidRPr="002849FB">
        <w:rPr>
          <w:sz w:val="22"/>
          <w:szCs w:val="22"/>
        </w:rPr>
        <w:t xml:space="preserve">; </w:t>
      </w:r>
      <w:r w:rsidRPr="002849FB">
        <w:rPr>
          <w:sz w:val="22"/>
          <w:szCs w:val="22"/>
          <w:lang w:val="en-GB"/>
        </w:rPr>
        <w:t xml:space="preserve">an open-cohort disease transmission and cost-effectiveness model </w:t>
      </w:r>
      <w:r>
        <w:rPr>
          <w:sz w:val="22"/>
          <w:szCs w:val="22"/>
          <w:lang w:val="en-GB"/>
        </w:rPr>
        <w:t xml:space="preserve">where externally validated simplifying </w:t>
      </w:r>
      <w:r w:rsidRPr="006D3CF8">
        <w:rPr>
          <w:sz w:val="22"/>
          <w:szCs w:val="22"/>
          <w:lang w:val="en-GB"/>
        </w:rPr>
        <w:t xml:space="preserve">assumptions </w:t>
      </w:r>
      <w:r>
        <w:rPr>
          <w:sz w:val="22"/>
          <w:szCs w:val="22"/>
          <w:lang w:val="en-GB"/>
        </w:rPr>
        <w:t xml:space="preserve">were made, due to model complexity, </w:t>
      </w:r>
      <w:r w:rsidRPr="006D3CF8">
        <w:rPr>
          <w:sz w:val="22"/>
          <w:szCs w:val="22"/>
          <w:lang w:val="en-GB"/>
        </w:rPr>
        <w:t>during model conceptualisation, implementation and validation</w:t>
      </w:r>
      <w:r>
        <w:rPr>
          <w:sz w:val="22"/>
          <w:szCs w:val="22"/>
          <w:lang w:val="en-GB"/>
        </w:rPr>
        <w:t xml:space="preserve">. This validation also included a </w:t>
      </w:r>
      <w:r w:rsidRPr="006D3CF8">
        <w:rPr>
          <w:sz w:val="22"/>
          <w:szCs w:val="22"/>
          <w:lang w:val="en-GB"/>
        </w:rPr>
        <w:t>Delphi panel</w:t>
      </w:r>
      <w:r>
        <w:rPr>
          <w:sz w:val="22"/>
          <w:szCs w:val="22"/>
          <w:lang w:val="en-GB"/>
        </w:rPr>
        <w:t>.</w:t>
      </w:r>
    </w:p>
    <w:p w14:paraId="0BDECB42" w14:textId="77777777" w:rsidR="0008114B" w:rsidRPr="006D3CF8" w:rsidRDefault="0008114B" w:rsidP="0008114B">
      <w:pPr>
        <w:pStyle w:val="NICEnormal"/>
        <w:rPr>
          <w:sz w:val="22"/>
          <w:szCs w:val="22"/>
          <w:lang w:val="en-GB"/>
        </w:rPr>
      </w:pPr>
      <w:r>
        <w:rPr>
          <w:sz w:val="22"/>
          <w:szCs w:val="22"/>
          <w:lang w:val="en-GB"/>
        </w:rPr>
        <w:t xml:space="preserve">Both the </w:t>
      </w:r>
      <w:r w:rsidRPr="006D3CF8">
        <w:rPr>
          <w:sz w:val="22"/>
          <w:szCs w:val="22"/>
          <w:lang w:val="en-GB"/>
        </w:rPr>
        <w:t xml:space="preserve">EEPRU </w:t>
      </w:r>
      <w:r>
        <w:rPr>
          <w:sz w:val="22"/>
          <w:szCs w:val="22"/>
          <w:lang w:val="en-GB"/>
        </w:rPr>
        <w:t xml:space="preserve">and the company’s model aim </w:t>
      </w:r>
      <w:r w:rsidRPr="006D3CF8">
        <w:rPr>
          <w:sz w:val="22"/>
          <w:szCs w:val="22"/>
          <w:lang w:val="en-GB"/>
        </w:rPr>
        <w:t xml:space="preserve">to quantify the costs and health consequences of </w:t>
      </w:r>
      <w:r>
        <w:rPr>
          <w:sz w:val="22"/>
          <w:szCs w:val="22"/>
          <w:lang w:val="en-GB"/>
        </w:rPr>
        <w:t>CAZ-AVI</w:t>
      </w:r>
      <w:r w:rsidRPr="006D3CF8">
        <w:rPr>
          <w:sz w:val="22"/>
          <w:szCs w:val="22"/>
          <w:lang w:val="en-GB"/>
        </w:rPr>
        <w:t xml:space="preserve"> treatment. </w:t>
      </w:r>
      <w:r>
        <w:rPr>
          <w:sz w:val="22"/>
          <w:szCs w:val="22"/>
          <w:lang w:val="en-GB"/>
        </w:rPr>
        <w:t>The EEPRU approach is closely aligned to the standard HTA approach</w:t>
      </w:r>
      <w:r w:rsidRPr="00B97992">
        <w:rPr>
          <w:sz w:val="22"/>
          <w:szCs w:val="22"/>
          <w:lang w:val="en-GB"/>
        </w:rPr>
        <w:t>, assessing patient-level outcomes before scaling these to a population-level</w:t>
      </w:r>
      <w:r>
        <w:rPr>
          <w:sz w:val="22"/>
          <w:szCs w:val="22"/>
          <w:lang w:val="en-GB"/>
        </w:rPr>
        <w:t>, with no assessment of transmission, limited to no exploration of resistance development and no evaluation of the benefits of a diverse portfolio of AMs</w:t>
      </w:r>
      <w:r w:rsidRPr="00B97992">
        <w:rPr>
          <w:sz w:val="22"/>
          <w:szCs w:val="22"/>
          <w:lang w:val="en-GB"/>
        </w:rPr>
        <w:t xml:space="preserve">. </w:t>
      </w:r>
      <w:r>
        <w:rPr>
          <w:sz w:val="22"/>
          <w:szCs w:val="22"/>
          <w:lang w:val="en-GB"/>
        </w:rPr>
        <w:t>A</w:t>
      </w:r>
      <w:r w:rsidRPr="00B97992">
        <w:rPr>
          <w:sz w:val="22"/>
          <w:szCs w:val="22"/>
          <w:lang w:val="en-GB"/>
        </w:rPr>
        <w:t>ntimicrobial transmission and resistance do not occur for each patient in isolation</w:t>
      </w:r>
      <w:r>
        <w:rPr>
          <w:sz w:val="22"/>
          <w:szCs w:val="22"/>
          <w:lang w:val="en-GB"/>
        </w:rPr>
        <w:t xml:space="preserve"> and being fundamental aspects of identifying the broader population value of new AMs, </w:t>
      </w:r>
      <w:r w:rsidRPr="00B97992">
        <w:rPr>
          <w:sz w:val="22"/>
          <w:szCs w:val="22"/>
          <w:lang w:val="en-GB"/>
        </w:rPr>
        <w:t xml:space="preserve">Pfizer has directly </w:t>
      </w:r>
      <w:r w:rsidRPr="00B97992">
        <w:rPr>
          <w:sz w:val="22"/>
          <w:szCs w:val="22"/>
          <w:lang w:val="en-GB"/>
        </w:rPr>
        <w:lastRenderedPageBreak/>
        <w:t>assessed population outcomes</w:t>
      </w:r>
      <w:r>
        <w:rPr>
          <w:sz w:val="22"/>
          <w:szCs w:val="22"/>
          <w:lang w:val="en-GB"/>
        </w:rPr>
        <w:t xml:space="preserve"> to </w:t>
      </w:r>
      <w:r w:rsidRPr="006D3CF8">
        <w:rPr>
          <w:sz w:val="22"/>
          <w:szCs w:val="22"/>
          <w:lang w:val="en-GB"/>
        </w:rPr>
        <w:t xml:space="preserve">capture the value of </w:t>
      </w:r>
      <w:r>
        <w:rPr>
          <w:sz w:val="22"/>
          <w:szCs w:val="22"/>
          <w:lang w:val="en-GB"/>
        </w:rPr>
        <w:t>CAZ-AVI</w:t>
      </w:r>
      <w:r w:rsidRPr="006D3CF8">
        <w:rPr>
          <w:sz w:val="22"/>
          <w:szCs w:val="22"/>
          <w:lang w:val="en-GB"/>
        </w:rPr>
        <w:t xml:space="preserve"> at a UK population level</w:t>
      </w:r>
      <w:r>
        <w:rPr>
          <w:sz w:val="22"/>
          <w:szCs w:val="22"/>
          <w:lang w:val="en-GB"/>
        </w:rPr>
        <w:t xml:space="preserve"> in the company submission</w:t>
      </w:r>
      <w:r w:rsidRPr="006D3CF8">
        <w:rPr>
          <w:sz w:val="22"/>
          <w:szCs w:val="22"/>
          <w:lang w:val="en-GB"/>
        </w:rPr>
        <w:t xml:space="preserve">. </w:t>
      </w:r>
    </w:p>
    <w:p w14:paraId="7D28595F" w14:textId="77777777" w:rsidR="0008114B" w:rsidRPr="006D3CF8" w:rsidRDefault="0008114B" w:rsidP="0008114B">
      <w:pPr>
        <w:pStyle w:val="NICEnormal"/>
        <w:rPr>
          <w:sz w:val="22"/>
          <w:szCs w:val="22"/>
          <w:lang w:val="en-GB"/>
        </w:rPr>
      </w:pPr>
      <w:r w:rsidRPr="006D3CF8">
        <w:rPr>
          <w:sz w:val="22"/>
          <w:szCs w:val="22"/>
          <w:lang w:val="en-GB"/>
        </w:rPr>
        <w:t>To illustrate the differences of the two models the objectives were compared as well as the model facets and rationales which are presented alongside the EEPRU framework (</w:t>
      </w:r>
      <w:r>
        <w:rPr>
          <w:sz w:val="22"/>
          <w:szCs w:val="22"/>
          <w:lang w:val="en-GB"/>
        </w:rPr>
        <w:fldChar w:fldCharType="begin"/>
      </w:r>
      <w:r>
        <w:rPr>
          <w:sz w:val="22"/>
          <w:szCs w:val="22"/>
          <w:lang w:val="en-GB"/>
        </w:rPr>
        <w:instrText xml:space="preserve"> REF _Ref90271528 \h  \* MERGEFORMAT </w:instrText>
      </w:r>
      <w:r>
        <w:rPr>
          <w:sz w:val="22"/>
          <w:szCs w:val="22"/>
          <w:lang w:val="en-GB"/>
        </w:rPr>
      </w:r>
      <w:r>
        <w:rPr>
          <w:sz w:val="22"/>
          <w:szCs w:val="22"/>
          <w:lang w:val="en-GB"/>
        </w:rPr>
        <w:fldChar w:fldCharType="separate"/>
      </w:r>
      <w:r w:rsidRPr="00A334E6">
        <w:rPr>
          <w:sz w:val="22"/>
          <w:szCs w:val="22"/>
          <w:lang w:val="en-GB"/>
        </w:rPr>
        <w:t>Table 1</w:t>
      </w:r>
      <w:r>
        <w:rPr>
          <w:sz w:val="22"/>
          <w:szCs w:val="22"/>
          <w:lang w:val="en-GB"/>
        </w:rPr>
        <w:fldChar w:fldCharType="end"/>
      </w:r>
      <w:r w:rsidRPr="006D3CF8">
        <w:rPr>
          <w:sz w:val="22"/>
          <w:szCs w:val="22"/>
          <w:lang w:val="en-GB"/>
        </w:rPr>
        <w:t xml:space="preserve">). </w:t>
      </w:r>
      <w:r>
        <w:rPr>
          <w:sz w:val="22"/>
          <w:szCs w:val="22"/>
          <w:lang w:val="en-GB"/>
        </w:rPr>
        <w:t>Of particular note is that t</w:t>
      </w:r>
      <w:r w:rsidRPr="006D3CF8">
        <w:rPr>
          <w:sz w:val="22"/>
          <w:szCs w:val="22"/>
          <w:lang w:val="en-GB"/>
        </w:rPr>
        <w:t>he EEPRU framework</w:t>
      </w:r>
      <w:r>
        <w:rPr>
          <w:sz w:val="22"/>
          <w:szCs w:val="22"/>
          <w:lang w:val="en-GB"/>
        </w:rPr>
        <w:fldChar w:fldCharType="begin"/>
      </w:r>
      <w:r>
        <w:rPr>
          <w:sz w:val="22"/>
          <w:szCs w:val="22"/>
          <w:lang w:val="en-GB"/>
        </w:rPr>
        <w:instrText xml:space="preserve"> ADDIN EN.CITE &lt;EndNote&gt;&lt;Cite&gt;&lt;Author&gt;EEPRU&lt;/Author&gt;&lt;Year&gt;2018&lt;/Year&gt;&lt;RecNum&gt;9&lt;/RecNum&gt;&lt;DisplayText&gt;&lt;style face="superscript"&gt;3&lt;/style&gt;&lt;/DisplayText&gt;&lt;record&gt;&lt;rec-number&gt;9&lt;/rec-number&gt;&lt;foreign-keys&gt;&lt;key app="EN" db-id="pd5s0xr0250t2qevxfgxpvwp5eaztd2pavxx" timestamp="1638893203"&gt;9&lt;/key&gt;&lt;/foreign-keys&gt;&lt;ref-type name="Web Page"&gt;12&lt;/ref-type&gt;&lt;contributors&gt;&lt;authors&gt;&lt;author&gt;EEPRU&lt;/author&gt;&lt;/authors&gt;&lt;/contributors&gt;&lt;titles&gt;&lt;title&gt;Framework for value assessment of new antimicrobials - Implications of alternative funding arrangements for NICE appraisals&lt;/title&gt;&lt;/titles&gt;&lt;dates&gt;&lt;year&gt;2018&lt;/year&gt;&lt;/dates&gt;&lt;urls&gt;&lt;related-urls&gt;&lt;url&gt;http://www.eepru.org.uk/wp-content/uploads/2017/11/eepru-report-amr-oct-2018-059.pdf&lt;/url&gt;&lt;/related-urls&gt;&lt;/urls&gt;&lt;/record&gt;&lt;/Cite&gt;&lt;/EndNote&gt;</w:instrText>
      </w:r>
      <w:r>
        <w:rPr>
          <w:sz w:val="22"/>
          <w:szCs w:val="22"/>
          <w:lang w:val="en-GB"/>
        </w:rPr>
        <w:fldChar w:fldCharType="separate"/>
      </w:r>
      <w:r w:rsidRPr="00713819">
        <w:rPr>
          <w:noProof/>
          <w:sz w:val="22"/>
          <w:szCs w:val="22"/>
          <w:vertAlign w:val="superscript"/>
          <w:lang w:val="en-GB"/>
        </w:rPr>
        <w:t>3</w:t>
      </w:r>
      <w:r>
        <w:rPr>
          <w:sz w:val="22"/>
          <w:szCs w:val="22"/>
          <w:lang w:val="en-GB"/>
        </w:rPr>
        <w:fldChar w:fldCharType="end"/>
      </w:r>
      <w:r w:rsidRPr="006D3CF8">
        <w:rPr>
          <w:sz w:val="22"/>
          <w:szCs w:val="22"/>
          <w:lang w:val="en-GB"/>
        </w:rPr>
        <w:t xml:space="preserve"> was published in 2018, authored by members of the team involved in the development of the EEPRU assessment report.</w:t>
      </w:r>
      <w:r w:rsidRPr="006D3CF8" w:rsidDel="00713819">
        <w:rPr>
          <w:sz w:val="22"/>
          <w:szCs w:val="22"/>
          <w:lang w:val="en-GB"/>
        </w:rPr>
        <w:t xml:space="preserve"> </w:t>
      </w:r>
    </w:p>
    <w:p w14:paraId="0FF98CC6" w14:textId="77777777" w:rsidR="0008114B" w:rsidRPr="00A573DE" w:rsidRDefault="0008114B" w:rsidP="0008114B">
      <w:pPr>
        <w:pStyle w:val="Caption"/>
        <w:sectPr w:rsidR="0008114B" w:rsidRPr="00A573DE" w:rsidSect="000E19C8">
          <w:headerReference w:type="default" r:id="rId8"/>
          <w:pgSz w:w="11906" w:h="16838" w:code="9"/>
          <w:pgMar w:top="851" w:right="851" w:bottom="709" w:left="851" w:header="284" w:footer="720" w:gutter="0"/>
          <w:cols w:space="708"/>
          <w:docGrid w:linePitch="360"/>
        </w:sectPr>
      </w:pPr>
    </w:p>
    <w:p w14:paraId="739A33C3" w14:textId="77777777" w:rsidR="0008114B" w:rsidRPr="00A573DE" w:rsidRDefault="0008114B" w:rsidP="0008114B">
      <w:pPr>
        <w:pStyle w:val="Caption"/>
      </w:pPr>
      <w:bookmarkStart w:id="3" w:name="_Ref90271528"/>
      <w:r w:rsidRPr="00A573DE">
        <w:lastRenderedPageBreak/>
        <w:t xml:space="preserve">Table </w:t>
      </w:r>
      <w:r w:rsidRPr="00A573DE">
        <w:fldChar w:fldCharType="begin"/>
      </w:r>
      <w:r w:rsidRPr="00A573DE">
        <w:instrText>SEQ Table \* ARABIC</w:instrText>
      </w:r>
      <w:r w:rsidRPr="00A573DE">
        <w:fldChar w:fldCharType="separate"/>
      </w:r>
      <w:r>
        <w:rPr>
          <w:noProof/>
        </w:rPr>
        <w:t>1</w:t>
      </w:r>
      <w:r w:rsidRPr="00A573DE">
        <w:fldChar w:fldCharType="end"/>
      </w:r>
      <w:bookmarkEnd w:id="3"/>
      <w:r w:rsidRPr="00A573DE">
        <w:t>. Model facets and rationales - Pfizer vs EEPRU model</w:t>
      </w:r>
    </w:p>
    <w:tbl>
      <w:tblPr>
        <w:tblStyle w:val="TableGrid"/>
        <w:tblW w:w="0" w:type="auto"/>
        <w:tblLook w:val="04A0" w:firstRow="1" w:lastRow="0" w:firstColumn="1" w:lastColumn="0" w:noHBand="0" w:noVBand="1"/>
      </w:tblPr>
      <w:tblGrid>
        <w:gridCol w:w="2269"/>
        <w:gridCol w:w="4105"/>
        <w:gridCol w:w="4253"/>
        <w:gridCol w:w="4536"/>
      </w:tblGrid>
      <w:tr w:rsidR="0008114B" w:rsidRPr="00A573DE" w14:paraId="04FD15B9" w14:textId="77777777" w:rsidTr="0008114B">
        <w:trPr>
          <w:cantSplit/>
          <w:tblHeader/>
        </w:trPr>
        <w:tc>
          <w:tcPr>
            <w:tcW w:w="2269" w:type="dxa"/>
            <w:shd w:val="clear" w:color="auto" w:fill="D9D9D9" w:themeFill="background1" w:themeFillShade="D9"/>
          </w:tcPr>
          <w:p w14:paraId="7DC0A3A4" w14:textId="77777777" w:rsidR="0008114B" w:rsidRPr="00A573DE" w:rsidRDefault="0008114B" w:rsidP="0008114B">
            <w:pPr>
              <w:widowControl w:val="0"/>
              <w:jc w:val="center"/>
              <w:rPr>
                <w:rFonts w:cs="Arial"/>
                <w:b/>
                <w:sz w:val="24"/>
                <w:szCs w:val="24"/>
              </w:rPr>
            </w:pPr>
            <w:r w:rsidRPr="00A573DE">
              <w:rPr>
                <w:rFonts w:cs="Arial"/>
                <w:b/>
                <w:sz w:val="24"/>
                <w:szCs w:val="24"/>
              </w:rPr>
              <w:t>Facets</w:t>
            </w:r>
          </w:p>
        </w:tc>
        <w:tc>
          <w:tcPr>
            <w:tcW w:w="4105" w:type="dxa"/>
            <w:shd w:val="clear" w:color="auto" w:fill="D9D9D9" w:themeFill="background1" w:themeFillShade="D9"/>
          </w:tcPr>
          <w:p w14:paraId="6252C8AE" w14:textId="77777777" w:rsidR="0008114B" w:rsidRPr="00A573DE" w:rsidRDefault="0008114B" w:rsidP="0008114B">
            <w:pPr>
              <w:widowControl w:val="0"/>
              <w:jc w:val="center"/>
              <w:rPr>
                <w:rFonts w:cs="Arial"/>
                <w:b/>
                <w:sz w:val="24"/>
                <w:szCs w:val="24"/>
              </w:rPr>
            </w:pPr>
            <w:r w:rsidRPr="00A573DE">
              <w:rPr>
                <w:rFonts w:cs="Arial"/>
                <w:b/>
                <w:sz w:val="24"/>
                <w:szCs w:val="24"/>
              </w:rPr>
              <w:t>EEPRU framework</w:t>
            </w:r>
            <w:r w:rsidRPr="00A573DE">
              <w:rPr>
                <w:rFonts w:cs="Arial"/>
                <w:b/>
                <w:sz w:val="24"/>
                <w:szCs w:val="24"/>
              </w:rPr>
              <w:fldChar w:fldCharType="begin"/>
            </w:r>
            <w:r>
              <w:rPr>
                <w:rFonts w:cs="Arial"/>
                <w:b/>
                <w:sz w:val="24"/>
                <w:szCs w:val="24"/>
              </w:rPr>
              <w:instrText xml:space="preserve"> ADDIN EN.CITE &lt;EndNote&gt;&lt;Cite&gt;&lt;Author&gt;EEPRU&lt;/Author&gt;&lt;Year&gt;2018&lt;/Year&gt;&lt;RecNum&gt;9&lt;/RecNum&gt;&lt;DisplayText&gt;&lt;style face="superscript"&gt;3&lt;/style&gt;&lt;/DisplayText&gt;&lt;record&gt;&lt;rec-number&gt;9&lt;/rec-number&gt;&lt;foreign-keys&gt;&lt;key app="EN" db-id="pd5s0xr0250t2qevxfgxpvwp5eaztd2pavxx" timestamp="1638893203"&gt;9&lt;/key&gt;&lt;/foreign-keys&gt;&lt;ref-type name="Web Page"&gt;12&lt;/ref-type&gt;&lt;contributors&gt;&lt;authors&gt;&lt;author&gt;EEPRU&lt;/author&gt;&lt;/authors&gt;&lt;/contributors&gt;&lt;titles&gt;&lt;title&gt;Framework for value assessment of new antimicrobials - Implications of alternative funding arrangements for NICE appraisals&lt;/title&gt;&lt;/titles&gt;&lt;dates&gt;&lt;year&gt;2018&lt;/year&gt;&lt;/dates&gt;&lt;urls&gt;&lt;related-urls&gt;&lt;url&gt;http://www.eepru.org.uk/wp-content/uploads/2017/11/eepru-report-amr-oct-2018-059.pdf&lt;/url&gt;&lt;/related-urls&gt;&lt;/urls&gt;&lt;/record&gt;&lt;/Cite&gt;&lt;/EndNote&gt;</w:instrText>
            </w:r>
            <w:r w:rsidRPr="00A573DE">
              <w:rPr>
                <w:rFonts w:cs="Arial"/>
                <w:b/>
                <w:sz w:val="24"/>
                <w:szCs w:val="24"/>
              </w:rPr>
              <w:fldChar w:fldCharType="separate"/>
            </w:r>
            <w:r w:rsidRPr="00B94641">
              <w:rPr>
                <w:rFonts w:cs="Arial"/>
                <w:b/>
                <w:noProof/>
                <w:sz w:val="24"/>
                <w:szCs w:val="24"/>
                <w:vertAlign w:val="superscript"/>
              </w:rPr>
              <w:t>3</w:t>
            </w:r>
            <w:r w:rsidRPr="00A573DE">
              <w:rPr>
                <w:rFonts w:cs="Arial"/>
                <w:b/>
                <w:sz w:val="24"/>
                <w:szCs w:val="24"/>
              </w:rPr>
              <w:fldChar w:fldCharType="end"/>
            </w:r>
          </w:p>
        </w:tc>
        <w:tc>
          <w:tcPr>
            <w:tcW w:w="4253" w:type="dxa"/>
            <w:shd w:val="clear" w:color="auto" w:fill="D9D9D9" w:themeFill="background1" w:themeFillShade="D9"/>
          </w:tcPr>
          <w:p w14:paraId="1CE9B007" w14:textId="77777777" w:rsidR="0008114B" w:rsidRPr="00A573DE" w:rsidRDefault="0008114B" w:rsidP="0008114B">
            <w:pPr>
              <w:widowControl w:val="0"/>
              <w:jc w:val="center"/>
              <w:rPr>
                <w:rFonts w:cs="Arial"/>
                <w:b/>
                <w:sz w:val="24"/>
                <w:szCs w:val="24"/>
              </w:rPr>
            </w:pPr>
            <w:r w:rsidRPr="00A573DE">
              <w:rPr>
                <w:rFonts w:cs="Arial"/>
                <w:b/>
                <w:sz w:val="24"/>
                <w:szCs w:val="24"/>
              </w:rPr>
              <w:t>Model facets Pfizer model</w:t>
            </w:r>
          </w:p>
        </w:tc>
        <w:tc>
          <w:tcPr>
            <w:tcW w:w="4536" w:type="dxa"/>
            <w:shd w:val="clear" w:color="auto" w:fill="D9D9D9" w:themeFill="background1" w:themeFillShade="D9"/>
          </w:tcPr>
          <w:p w14:paraId="4C12B6D6" w14:textId="77777777" w:rsidR="0008114B" w:rsidRPr="00A573DE" w:rsidRDefault="0008114B" w:rsidP="0008114B">
            <w:pPr>
              <w:widowControl w:val="0"/>
              <w:jc w:val="center"/>
              <w:rPr>
                <w:rFonts w:cs="Arial"/>
                <w:b/>
                <w:sz w:val="24"/>
                <w:szCs w:val="24"/>
              </w:rPr>
            </w:pPr>
            <w:r w:rsidRPr="00A573DE">
              <w:rPr>
                <w:rFonts w:cs="Arial"/>
                <w:b/>
                <w:sz w:val="24"/>
                <w:szCs w:val="24"/>
              </w:rPr>
              <w:t>Model facets EEPRU model</w:t>
            </w:r>
          </w:p>
        </w:tc>
      </w:tr>
      <w:tr w:rsidR="0008114B" w:rsidRPr="00A573DE" w14:paraId="42AA2138" w14:textId="77777777" w:rsidTr="0008114B">
        <w:trPr>
          <w:cantSplit/>
        </w:trPr>
        <w:tc>
          <w:tcPr>
            <w:tcW w:w="2269" w:type="dxa"/>
          </w:tcPr>
          <w:p w14:paraId="7C3715D9" w14:textId="77777777" w:rsidR="0008114B" w:rsidRDefault="0008114B" w:rsidP="0008114B">
            <w:pPr>
              <w:rPr>
                <w:rFonts w:ascii="Times New Roman" w:hAnsi="Times New Roman"/>
                <w:sz w:val="24"/>
                <w:szCs w:val="24"/>
                <w:lang w:eastAsia="en-GB"/>
              </w:rPr>
            </w:pPr>
            <w:r>
              <w:rPr>
                <w:rFonts w:cs="Arial"/>
                <w:bCs/>
                <w:sz w:val="20"/>
              </w:rPr>
              <w:t>Objectives</w:t>
            </w:r>
            <w:r>
              <w:rPr>
                <w:rFonts w:ascii="Times New Roman" w:hAnsi="Times New Roman"/>
                <w:sz w:val="24"/>
                <w:szCs w:val="24"/>
                <w:lang w:eastAsia="en-GB"/>
              </w:rPr>
              <w:t xml:space="preserve"> </w:t>
            </w:r>
          </w:p>
          <w:p w14:paraId="684E1626" w14:textId="77777777" w:rsidR="0008114B" w:rsidRPr="00A573DE" w:rsidRDefault="0008114B" w:rsidP="0008114B">
            <w:pPr>
              <w:widowControl w:val="0"/>
              <w:ind w:left="-54"/>
              <w:rPr>
                <w:rFonts w:cs="Arial"/>
                <w:bCs/>
                <w:sz w:val="20"/>
              </w:rPr>
            </w:pPr>
          </w:p>
        </w:tc>
        <w:tc>
          <w:tcPr>
            <w:tcW w:w="4105" w:type="dxa"/>
          </w:tcPr>
          <w:p w14:paraId="16B49470" w14:textId="77777777" w:rsidR="0008114B" w:rsidRPr="00C75B34" w:rsidRDefault="0008114B" w:rsidP="0008114B">
            <w:pPr>
              <w:widowControl w:val="0"/>
              <w:rPr>
                <w:rFonts w:cs="Arial"/>
                <w:bCs/>
                <w:sz w:val="20"/>
              </w:rPr>
            </w:pPr>
            <w:r w:rsidRPr="00C75B34">
              <w:rPr>
                <w:rFonts w:cs="Arial"/>
                <w:bCs/>
                <w:sz w:val="20"/>
              </w:rPr>
              <w:t>Specific objectives of this framework were:</w:t>
            </w:r>
          </w:p>
          <w:p w14:paraId="28AF3DFE" w14:textId="77777777" w:rsidR="0008114B" w:rsidRPr="005F5B3F" w:rsidRDefault="0008114B" w:rsidP="0008114B">
            <w:pPr>
              <w:pStyle w:val="ListParagraph"/>
              <w:widowControl w:val="0"/>
              <w:numPr>
                <w:ilvl w:val="3"/>
                <w:numId w:val="33"/>
              </w:numPr>
              <w:ind w:left="370"/>
              <w:rPr>
                <w:rFonts w:ascii="Arial" w:hAnsi="Arial" w:cs="Arial"/>
                <w:bCs/>
                <w:sz w:val="20"/>
              </w:rPr>
            </w:pPr>
            <w:r w:rsidRPr="005F5B3F">
              <w:rPr>
                <w:rFonts w:ascii="Arial" w:hAnsi="Arial" w:cs="Arial"/>
                <w:bCs/>
                <w:sz w:val="20"/>
              </w:rPr>
              <w:t>To develop a framework that captures the expected value of a new AM. This</w:t>
            </w:r>
            <w:r w:rsidRPr="00C75B34">
              <w:rPr>
                <w:rFonts w:ascii="Arial" w:hAnsi="Arial" w:cs="Arial"/>
                <w:bCs/>
                <w:sz w:val="20"/>
              </w:rPr>
              <w:t xml:space="preserve"> </w:t>
            </w:r>
            <w:r w:rsidRPr="005F5B3F">
              <w:rPr>
                <w:rFonts w:ascii="Arial" w:hAnsi="Arial" w:cs="Arial"/>
                <w:bCs/>
                <w:sz w:val="20"/>
              </w:rPr>
              <w:t>involves defining and characterising all relevant costs and health benefits to be</w:t>
            </w:r>
            <w:r w:rsidRPr="00C75B34">
              <w:rPr>
                <w:rFonts w:ascii="Arial" w:hAnsi="Arial" w:cs="Arial"/>
                <w:bCs/>
                <w:sz w:val="20"/>
              </w:rPr>
              <w:t xml:space="preserve"> </w:t>
            </w:r>
            <w:r w:rsidRPr="005F5B3F">
              <w:rPr>
                <w:rFonts w:ascii="Arial" w:hAnsi="Arial" w:cs="Arial"/>
                <w:bCs/>
                <w:sz w:val="20"/>
              </w:rPr>
              <w:t xml:space="preserve">considered as part of NICE </w:t>
            </w:r>
            <w:proofErr w:type="gramStart"/>
            <w:r w:rsidRPr="005F5B3F">
              <w:rPr>
                <w:rFonts w:ascii="Arial" w:hAnsi="Arial" w:cs="Arial"/>
                <w:bCs/>
                <w:sz w:val="20"/>
              </w:rPr>
              <w:t>assessment;</w:t>
            </w:r>
            <w:proofErr w:type="gramEnd"/>
          </w:p>
          <w:p w14:paraId="65EA00AE" w14:textId="77777777" w:rsidR="0008114B" w:rsidRPr="005F5B3F" w:rsidRDefault="0008114B" w:rsidP="0008114B">
            <w:pPr>
              <w:pStyle w:val="ListParagraph"/>
              <w:widowControl w:val="0"/>
              <w:numPr>
                <w:ilvl w:val="3"/>
                <w:numId w:val="33"/>
              </w:numPr>
              <w:ind w:left="370"/>
              <w:rPr>
                <w:rFonts w:ascii="Arial" w:hAnsi="Arial" w:cs="Arial"/>
                <w:bCs/>
                <w:sz w:val="20"/>
              </w:rPr>
            </w:pPr>
            <w:r w:rsidRPr="005F5B3F">
              <w:rPr>
                <w:rFonts w:ascii="Arial" w:hAnsi="Arial" w:cs="Arial"/>
                <w:bCs/>
                <w:sz w:val="20"/>
              </w:rPr>
              <w:t>Consistent with this framework, to assess the implications of an insurance-based</w:t>
            </w:r>
            <w:r w:rsidRPr="00C75B34">
              <w:rPr>
                <w:rFonts w:ascii="Arial" w:hAnsi="Arial" w:cs="Arial"/>
                <w:bCs/>
                <w:sz w:val="20"/>
              </w:rPr>
              <w:t xml:space="preserve"> </w:t>
            </w:r>
            <w:r w:rsidRPr="005F5B3F">
              <w:rPr>
                <w:rFonts w:ascii="Arial" w:hAnsi="Arial" w:cs="Arial"/>
                <w:bCs/>
                <w:sz w:val="20"/>
              </w:rPr>
              <w:t>approach to reimbursement for the evidence and evaluation methods used as part of</w:t>
            </w:r>
            <w:r w:rsidRPr="00C75B34">
              <w:rPr>
                <w:rFonts w:ascii="Arial" w:hAnsi="Arial" w:cs="Arial"/>
                <w:bCs/>
                <w:sz w:val="20"/>
              </w:rPr>
              <w:t xml:space="preserve"> </w:t>
            </w:r>
            <w:r w:rsidRPr="005F5B3F">
              <w:rPr>
                <w:rFonts w:ascii="Arial" w:hAnsi="Arial" w:cs="Arial"/>
                <w:bCs/>
                <w:sz w:val="20"/>
              </w:rPr>
              <w:t xml:space="preserve">NICE </w:t>
            </w:r>
            <w:proofErr w:type="gramStart"/>
            <w:r w:rsidRPr="005F5B3F">
              <w:rPr>
                <w:rFonts w:ascii="Arial" w:hAnsi="Arial" w:cs="Arial"/>
                <w:bCs/>
                <w:sz w:val="20"/>
              </w:rPr>
              <w:t>assessment;</w:t>
            </w:r>
            <w:proofErr w:type="gramEnd"/>
          </w:p>
          <w:p w14:paraId="5D28F105" w14:textId="77777777" w:rsidR="0008114B" w:rsidRPr="005F5B3F" w:rsidRDefault="0008114B" w:rsidP="0008114B">
            <w:pPr>
              <w:pStyle w:val="ListParagraph"/>
              <w:widowControl w:val="0"/>
              <w:numPr>
                <w:ilvl w:val="3"/>
                <w:numId w:val="33"/>
              </w:numPr>
              <w:ind w:left="370"/>
              <w:rPr>
                <w:rFonts w:ascii="Arial" w:hAnsi="Arial" w:cs="Arial"/>
                <w:bCs/>
                <w:sz w:val="20"/>
              </w:rPr>
            </w:pPr>
            <w:r w:rsidRPr="005F5B3F">
              <w:rPr>
                <w:rFonts w:ascii="Arial" w:hAnsi="Arial" w:cs="Arial"/>
                <w:bCs/>
                <w:sz w:val="20"/>
              </w:rPr>
              <w:t>To illustrate the framework using one or more case studies to highlight methods and</w:t>
            </w:r>
            <w:r w:rsidRPr="00C75B34">
              <w:rPr>
                <w:rFonts w:ascii="Arial" w:hAnsi="Arial" w:cs="Arial"/>
                <w:bCs/>
                <w:sz w:val="20"/>
              </w:rPr>
              <w:t xml:space="preserve"> </w:t>
            </w:r>
            <w:r w:rsidRPr="005F5B3F">
              <w:rPr>
                <w:rFonts w:ascii="Arial" w:hAnsi="Arial" w:cs="Arial"/>
                <w:bCs/>
                <w:sz w:val="20"/>
              </w:rPr>
              <w:t xml:space="preserve">evidence issues and alternative ways of addressing </w:t>
            </w:r>
            <w:proofErr w:type="gramStart"/>
            <w:r w:rsidRPr="005F5B3F">
              <w:rPr>
                <w:rFonts w:ascii="Arial" w:hAnsi="Arial" w:cs="Arial"/>
                <w:bCs/>
                <w:sz w:val="20"/>
              </w:rPr>
              <w:t>these;</w:t>
            </w:r>
            <w:proofErr w:type="gramEnd"/>
          </w:p>
          <w:p w14:paraId="06B3368B" w14:textId="77777777" w:rsidR="0008114B" w:rsidRPr="005F5B3F" w:rsidRDefault="0008114B" w:rsidP="0008114B">
            <w:pPr>
              <w:pStyle w:val="ListParagraph"/>
              <w:widowControl w:val="0"/>
              <w:numPr>
                <w:ilvl w:val="3"/>
                <w:numId w:val="33"/>
              </w:numPr>
              <w:ind w:left="370"/>
              <w:rPr>
                <w:rFonts w:ascii="Arial" w:hAnsi="Arial" w:cs="Arial"/>
                <w:bCs/>
                <w:sz w:val="20"/>
              </w:rPr>
            </w:pPr>
            <w:r w:rsidRPr="005F5B3F">
              <w:rPr>
                <w:rFonts w:ascii="Arial" w:hAnsi="Arial" w:cs="Arial"/>
                <w:bCs/>
                <w:sz w:val="20"/>
              </w:rPr>
              <w:t>To suggest any changes that might be required to the methods used in the NICE</w:t>
            </w:r>
            <w:r w:rsidRPr="00C75B34">
              <w:rPr>
                <w:rFonts w:ascii="Arial" w:hAnsi="Arial" w:cs="Arial"/>
                <w:bCs/>
                <w:sz w:val="20"/>
              </w:rPr>
              <w:t xml:space="preserve"> </w:t>
            </w:r>
            <w:r w:rsidRPr="005F5B3F">
              <w:rPr>
                <w:rFonts w:ascii="Arial" w:hAnsi="Arial" w:cs="Arial"/>
                <w:bCs/>
                <w:sz w:val="20"/>
              </w:rPr>
              <w:t xml:space="preserve">technology appraisal </w:t>
            </w:r>
            <w:proofErr w:type="gramStart"/>
            <w:r w:rsidRPr="005F5B3F">
              <w:rPr>
                <w:rFonts w:ascii="Arial" w:hAnsi="Arial" w:cs="Arial"/>
                <w:bCs/>
                <w:sz w:val="20"/>
              </w:rPr>
              <w:t>programme;</w:t>
            </w:r>
            <w:proofErr w:type="gramEnd"/>
          </w:p>
          <w:p w14:paraId="2440314A" w14:textId="77777777" w:rsidR="0008114B" w:rsidRPr="005F5B3F" w:rsidRDefault="0008114B" w:rsidP="0008114B">
            <w:pPr>
              <w:pStyle w:val="ListParagraph"/>
              <w:widowControl w:val="0"/>
              <w:numPr>
                <w:ilvl w:val="3"/>
                <w:numId w:val="33"/>
              </w:numPr>
              <w:ind w:left="370"/>
              <w:rPr>
                <w:rFonts w:ascii="Arial" w:hAnsi="Arial"/>
                <w:sz w:val="20"/>
              </w:rPr>
            </w:pPr>
            <w:r w:rsidRPr="005F5B3F">
              <w:rPr>
                <w:rFonts w:ascii="Arial" w:hAnsi="Arial" w:cs="Arial"/>
                <w:bCs/>
                <w:sz w:val="20"/>
              </w:rPr>
              <w:t>To provide brief consideration of remaining issues and to make recommendations</w:t>
            </w:r>
            <w:r>
              <w:rPr>
                <w:rFonts w:ascii="Arial" w:hAnsi="Arial" w:cs="Arial"/>
                <w:bCs/>
                <w:sz w:val="20"/>
              </w:rPr>
              <w:t xml:space="preserve"> </w:t>
            </w:r>
            <w:r w:rsidRPr="005F5B3F">
              <w:rPr>
                <w:rFonts w:ascii="Arial" w:hAnsi="Arial" w:cs="Arial"/>
                <w:bCs/>
                <w:sz w:val="20"/>
              </w:rPr>
              <w:t>for further research.</w:t>
            </w:r>
          </w:p>
        </w:tc>
        <w:tc>
          <w:tcPr>
            <w:tcW w:w="4253" w:type="dxa"/>
          </w:tcPr>
          <w:p w14:paraId="4DAF9F9A" w14:textId="77777777" w:rsidR="0008114B" w:rsidRPr="006D3CF8" w:rsidRDefault="0008114B" w:rsidP="0008114B">
            <w:pPr>
              <w:pStyle w:val="ListParagraph"/>
              <w:widowControl w:val="0"/>
              <w:numPr>
                <w:ilvl w:val="0"/>
                <w:numId w:val="33"/>
              </w:numPr>
              <w:ind w:left="175" w:hanging="175"/>
              <w:rPr>
                <w:rFonts w:cs="Arial"/>
                <w:bCs/>
                <w:sz w:val="20"/>
                <w:szCs w:val="20"/>
              </w:rPr>
            </w:pPr>
            <w:r w:rsidRPr="006D3CF8">
              <w:rPr>
                <w:rFonts w:ascii="Arial" w:hAnsi="Arial" w:cs="Arial"/>
                <w:bCs/>
                <w:sz w:val="20"/>
                <w:szCs w:val="20"/>
              </w:rPr>
              <w:t xml:space="preserve">Estimate the value of </w:t>
            </w:r>
            <w:r>
              <w:rPr>
                <w:rFonts w:ascii="Arial" w:hAnsi="Arial" w:cs="Arial"/>
                <w:bCs/>
                <w:sz w:val="20"/>
                <w:szCs w:val="20"/>
              </w:rPr>
              <w:t>CAZ-AVI</w:t>
            </w:r>
            <w:r w:rsidRPr="006D3CF8">
              <w:rPr>
                <w:rFonts w:ascii="Arial" w:hAnsi="Arial" w:cs="Arial"/>
                <w:bCs/>
                <w:sz w:val="20"/>
                <w:szCs w:val="20"/>
              </w:rPr>
              <w:t xml:space="preserve"> under stewardship scenarios, likely to be applied in clinical practice, that are expected to generate the greatest value to the NHS while maximising population health.</w:t>
            </w:r>
          </w:p>
          <w:p w14:paraId="658AA7DE" w14:textId="77777777" w:rsidR="0008114B" w:rsidRPr="006D3CF8" w:rsidRDefault="0008114B" w:rsidP="0008114B">
            <w:pPr>
              <w:pStyle w:val="ListParagraph"/>
              <w:widowControl w:val="0"/>
              <w:numPr>
                <w:ilvl w:val="0"/>
                <w:numId w:val="33"/>
              </w:numPr>
              <w:ind w:left="175" w:hanging="175"/>
              <w:rPr>
                <w:rFonts w:ascii="Arial" w:hAnsi="Arial" w:cs="Arial"/>
                <w:bCs/>
                <w:sz w:val="20"/>
                <w:szCs w:val="20"/>
              </w:rPr>
            </w:pPr>
            <w:r w:rsidRPr="006D3CF8">
              <w:rPr>
                <w:rFonts w:ascii="Arial" w:hAnsi="Arial" w:cs="Arial"/>
                <w:bCs/>
                <w:sz w:val="20"/>
                <w:szCs w:val="20"/>
              </w:rPr>
              <w:t xml:space="preserve">Reflect real-word practice, focusing on a treatment pathway and assuming a steady state, that accounts for time to effective therapy via a risk factor approach </w:t>
            </w:r>
            <w:proofErr w:type="gramStart"/>
            <w:r w:rsidRPr="006D3CF8">
              <w:rPr>
                <w:rFonts w:ascii="Arial" w:hAnsi="Arial" w:cs="Arial"/>
                <w:bCs/>
                <w:sz w:val="20"/>
                <w:szCs w:val="20"/>
              </w:rPr>
              <w:t>in order to</w:t>
            </w:r>
            <w:proofErr w:type="gramEnd"/>
            <w:r w:rsidRPr="006D3CF8">
              <w:rPr>
                <w:rFonts w:ascii="Arial" w:hAnsi="Arial" w:cs="Arial"/>
                <w:bCs/>
                <w:sz w:val="20"/>
                <w:szCs w:val="20"/>
              </w:rPr>
              <w:t xml:space="preserve"> identify and treat those with multi-drug resistant gram-negative infections, in line with the standards of Public Health England.</w:t>
            </w:r>
          </w:p>
          <w:p w14:paraId="1356D016" w14:textId="77777777" w:rsidR="0008114B" w:rsidRPr="006D3CF8" w:rsidRDefault="0008114B" w:rsidP="0008114B">
            <w:pPr>
              <w:pStyle w:val="ListParagraph"/>
              <w:widowControl w:val="0"/>
              <w:numPr>
                <w:ilvl w:val="0"/>
                <w:numId w:val="33"/>
              </w:numPr>
              <w:ind w:left="175" w:hanging="175"/>
              <w:rPr>
                <w:rFonts w:cs="Arial"/>
                <w:bCs/>
                <w:sz w:val="20"/>
              </w:rPr>
            </w:pPr>
            <w:r w:rsidRPr="006D3CF8">
              <w:rPr>
                <w:rFonts w:ascii="Arial" w:hAnsi="Arial" w:cs="Arial"/>
                <w:bCs/>
                <w:sz w:val="20"/>
                <w:szCs w:val="20"/>
              </w:rPr>
              <w:t>Capture population level QALY gains</w:t>
            </w:r>
          </w:p>
        </w:tc>
        <w:tc>
          <w:tcPr>
            <w:tcW w:w="4536" w:type="dxa"/>
          </w:tcPr>
          <w:p w14:paraId="047986B5" w14:textId="77777777" w:rsidR="0008114B" w:rsidRPr="006D3CF8" w:rsidRDefault="0008114B" w:rsidP="0008114B">
            <w:pPr>
              <w:pStyle w:val="ListParagraph"/>
              <w:widowControl w:val="0"/>
              <w:numPr>
                <w:ilvl w:val="0"/>
                <w:numId w:val="33"/>
              </w:numPr>
              <w:ind w:left="178" w:hanging="178"/>
              <w:rPr>
                <w:rFonts w:cs="Arial"/>
                <w:bCs/>
                <w:sz w:val="20"/>
              </w:rPr>
            </w:pPr>
            <w:r w:rsidRPr="006D3CF8">
              <w:rPr>
                <w:rFonts w:ascii="Arial" w:hAnsi="Arial" w:cs="Arial"/>
                <w:bCs/>
                <w:sz w:val="20"/>
                <w:szCs w:val="20"/>
              </w:rPr>
              <w:t xml:space="preserve">Identify two high value clinical scenarios for which </w:t>
            </w:r>
            <w:r>
              <w:rPr>
                <w:rFonts w:ascii="Arial" w:hAnsi="Arial" w:cs="Arial"/>
                <w:bCs/>
                <w:sz w:val="20"/>
                <w:szCs w:val="20"/>
              </w:rPr>
              <w:t>CAZ-AVI</w:t>
            </w:r>
            <w:r w:rsidRPr="006D3CF8">
              <w:rPr>
                <w:rFonts w:ascii="Arial" w:hAnsi="Arial" w:cs="Arial"/>
                <w:bCs/>
                <w:sz w:val="20"/>
                <w:szCs w:val="20"/>
              </w:rPr>
              <w:t xml:space="preserve"> is expected to have a significant impact on patients’ outcomes.</w:t>
            </w:r>
          </w:p>
          <w:p w14:paraId="45316F66" w14:textId="77777777" w:rsidR="0008114B" w:rsidRPr="006D3CF8" w:rsidRDefault="0008114B" w:rsidP="0008114B">
            <w:pPr>
              <w:pStyle w:val="ListParagraph"/>
              <w:widowControl w:val="0"/>
              <w:numPr>
                <w:ilvl w:val="0"/>
                <w:numId w:val="33"/>
              </w:numPr>
              <w:ind w:left="178" w:hanging="178"/>
              <w:rPr>
                <w:rFonts w:cs="Arial"/>
                <w:bCs/>
                <w:sz w:val="20"/>
                <w:szCs w:val="20"/>
              </w:rPr>
            </w:pPr>
            <w:r w:rsidRPr="006D3CF8">
              <w:rPr>
                <w:rFonts w:ascii="Arial" w:hAnsi="Arial" w:cs="Arial"/>
                <w:bCs/>
                <w:sz w:val="20"/>
                <w:szCs w:val="20"/>
              </w:rPr>
              <w:t xml:space="preserve">Establish an appropriate decision-analytic model to quantify the costs and health benefits of the use of </w:t>
            </w:r>
            <w:r>
              <w:rPr>
                <w:rFonts w:ascii="Arial" w:hAnsi="Arial" w:cs="Arial"/>
                <w:bCs/>
                <w:sz w:val="20"/>
                <w:szCs w:val="20"/>
              </w:rPr>
              <w:t>CAZ-AVI</w:t>
            </w:r>
            <w:r w:rsidRPr="006D3CF8">
              <w:rPr>
                <w:rFonts w:ascii="Arial" w:hAnsi="Arial" w:cs="Arial"/>
                <w:bCs/>
                <w:sz w:val="20"/>
                <w:szCs w:val="20"/>
              </w:rPr>
              <w:t xml:space="preserve"> under various usage scenarios compared with alternative treatments and management strategies in the high value clinical scenarios. Costs and health effects were estimated at individual and aggregated population level and provided as population incremental net health effects (INHEs).</w:t>
            </w:r>
          </w:p>
          <w:p w14:paraId="148B64E3" w14:textId="77777777" w:rsidR="0008114B" w:rsidRPr="006D3CF8" w:rsidRDefault="0008114B" w:rsidP="0008114B">
            <w:pPr>
              <w:pStyle w:val="ListParagraph"/>
              <w:widowControl w:val="0"/>
              <w:numPr>
                <w:ilvl w:val="0"/>
                <w:numId w:val="33"/>
              </w:numPr>
              <w:ind w:left="178" w:hanging="178"/>
              <w:rPr>
                <w:rFonts w:cs="Arial"/>
                <w:bCs/>
                <w:sz w:val="20"/>
              </w:rPr>
            </w:pPr>
            <w:r w:rsidRPr="006D3CF8">
              <w:rPr>
                <w:rFonts w:ascii="Arial" w:hAnsi="Arial" w:cs="Arial"/>
                <w:bCs/>
                <w:sz w:val="20"/>
                <w:szCs w:val="20"/>
              </w:rPr>
              <w:t>Use structured expert elicitation to supplement the available evidence to populate the decision-analytic model.</w:t>
            </w:r>
          </w:p>
        </w:tc>
      </w:tr>
      <w:tr w:rsidR="0008114B" w:rsidRPr="00A573DE" w14:paraId="5662A52A" w14:textId="77777777" w:rsidTr="0008114B">
        <w:trPr>
          <w:cantSplit/>
        </w:trPr>
        <w:tc>
          <w:tcPr>
            <w:tcW w:w="2269" w:type="dxa"/>
          </w:tcPr>
          <w:p w14:paraId="13C9497F" w14:textId="77777777" w:rsidR="0008114B" w:rsidRPr="00A573DE" w:rsidRDefault="0008114B" w:rsidP="0008114B">
            <w:pPr>
              <w:widowControl w:val="0"/>
              <w:ind w:left="-54"/>
              <w:rPr>
                <w:rFonts w:cs="Arial"/>
                <w:bCs/>
                <w:sz w:val="20"/>
              </w:rPr>
            </w:pPr>
            <w:r w:rsidRPr="00A573DE">
              <w:rPr>
                <w:rFonts w:cs="Arial"/>
                <w:bCs/>
                <w:sz w:val="20"/>
              </w:rPr>
              <w:lastRenderedPageBreak/>
              <w:t>Model type</w:t>
            </w:r>
          </w:p>
        </w:tc>
        <w:tc>
          <w:tcPr>
            <w:tcW w:w="4105" w:type="dxa"/>
          </w:tcPr>
          <w:p w14:paraId="2C15530C" w14:textId="77777777" w:rsidR="0008114B" w:rsidRPr="00A573DE" w:rsidRDefault="0008114B" w:rsidP="0008114B">
            <w:pPr>
              <w:widowControl w:val="0"/>
              <w:rPr>
                <w:rFonts w:cs="Arial"/>
                <w:bCs/>
                <w:sz w:val="20"/>
              </w:rPr>
            </w:pPr>
            <w:r w:rsidRPr="00A573DE">
              <w:rPr>
                <w:rFonts w:cs="Arial"/>
                <w:bCs/>
                <w:sz w:val="20"/>
              </w:rPr>
              <w:t xml:space="preserve">For antimicrobials (AMs) the models generally and ideally need to be transmission models that reflect between-host dynamics </w:t>
            </w:r>
            <w:proofErr w:type="gramStart"/>
            <w:r w:rsidRPr="00A573DE">
              <w:rPr>
                <w:rFonts w:cs="Arial"/>
                <w:bCs/>
                <w:sz w:val="20"/>
              </w:rPr>
              <w:t>in order to</w:t>
            </w:r>
            <w:proofErr w:type="gramEnd"/>
            <w:r w:rsidRPr="00A573DE">
              <w:rPr>
                <w:rFonts w:cs="Arial"/>
                <w:bCs/>
                <w:sz w:val="20"/>
              </w:rPr>
              <w:t xml:space="preserve"> account for indirect population benefits. These models can capture how susceptible and resistant strains of pathogens spread through population over time.” (p. 32)</w:t>
            </w:r>
          </w:p>
          <w:p w14:paraId="491FB8E5" w14:textId="77777777" w:rsidR="0008114B" w:rsidRPr="00A573DE" w:rsidRDefault="0008114B" w:rsidP="0008114B">
            <w:pPr>
              <w:widowControl w:val="0"/>
              <w:rPr>
                <w:rFonts w:cs="Arial"/>
                <w:bCs/>
                <w:sz w:val="20"/>
              </w:rPr>
            </w:pPr>
          </w:p>
          <w:p w14:paraId="6104F23F" w14:textId="77777777" w:rsidR="0008114B" w:rsidRPr="00A573DE" w:rsidRDefault="0008114B" w:rsidP="0008114B">
            <w:pPr>
              <w:widowControl w:val="0"/>
              <w:rPr>
                <w:rFonts w:cs="Arial"/>
                <w:bCs/>
                <w:sz w:val="20"/>
              </w:rPr>
            </w:pPr>
            <w:r w:rsidRPr="00A573DE">
              <w:rPr>
                <w:rFonts w:cs="Arial"/>
                <w:bCs/>
                <w:sz w:val="20"/>
              </w:rPr>
              <w:t>“The conceptual framework for value assessment of new AMs focuses on population-level models since the aim is to predict the evolution of resistance in the population over time and the associated outcomes for the alternative treatment protocols. […] (p.65)</w:t>
            </w:r>
          </w:p>
        </w:tc>
        <w:tc>
          <w:tcPr>
            <w:tcW w:w="4253" w:type="dxa"/>
          </w:tcPr>
          <w:p w14:paraId="15CE388D" w14:textId="77777777" w:rsidR="0008114B" w:rsidRPr="00A573DE" w:rsidRDefault="0008114B" w:rsidP="0008114B">
            <w:pPr>
              <w:widowControl w:val="0"/>
              <w:rPr>
                <w:rFonts w:cs="Arial"/>
                <w:bCs/>
                <w:sz w:val="20"/>
              </w:rPr>
            </w:pPr>
            <w:r w:rsidRPr="00A573DE">
              <w:rPr>
                <w:rFonts w:cs="Arial"/>
                <w:bCs/>
                <w:sz w:val="20"/>
              </w:rPr>
              <w:t>Dynamic disease transmission and cost-effectiveness model. The economic analysis outputs are expressed as population net health benefits as measured in quality-adjusted life years (QALYs).</w:t>
            </w:r>
          </w:p>
          <w:p w14:paraId="235C2EA6" w14:textId="77777777" w:rsidR="0008114B" w:rsidRPr="00A573DE" w:rsidRDefault="0008114B" w:rsidP="0008114B">
            <w:pPr>
              <w:widowControl w:val="0"/>
              <w:rPr>
                <w:rFonts w:cs="Arial"/>
                <w:bCs/>
                <w:sz w:val="20"/>
              </w:rPr>
            </w:pPr>
          </w:p>
          <w:p w14:paraId="22765D57" w14:textId="77777777" w:rsidR="0008114B" w:rsidRPr="00A573DE" w:rsidRDefault="0008114B" w:rsidP="0008114B">
            <w:pPr>
              <w:widowControl w:val="0"/>
              <w:rPr>
                <w:rFonts w:cs="Arial"/>
                <w:bCs/>
                <w:sz w:val="20"/>
              </w:rPr>
            </w:pPr>
            <w:r w:rsidRPr="00A573DE">
              <w:rPr>
                <w:rFonts w:cs="Arial"/>
                <w:bCs/>
                <w:sz w:val="20"/>
                <w:u w:val="single"/>
              </w:rPr>
              <w:t>Rationale:</w:t>
            </w:r>
            <w:r w:rsidRPr="00A573DE">
              <w:rPr>
                <w:rFonts w:cs="Arial"/>
                <w:bCs/>
                <w:sz w:val="20"/>
              </w:rPr>
              <w:t xml:space="preserve"> Based on systematic literature review, recommendations from ISPOR and the Society for Medical Decision Making.</w:t>
            </w:r>
          </w:p>
        </w:tc>
        <w:tc>
          <w:tcPr>
            <w:tcW w:w="4536" w:type="dxa"/>
          </w:tcPr>
          <w:p w14:paraId="31E78D93" w14:textId="77777777" w:rsidR="0008114B" w:rsidRPr="00A573DE" w:rsidRDefault="0008114B" w:rsidP="0008114B">
            <w:pPr>
              <w:widowControl w:val="0"/>
              <w:rPr>
                <w:rFonts w:cs="Arial"/>
                <w:bCs/>
                <w:sz w:val="20"/>
              </w:rPr>
            </w:pPr>
            <w:r w:rsidRPr="00A573DE">
              <w:rPr>
                <w:rFonts w:cs="Arial"/>
                <w:bCs/>
                <w:sz w:val="20"/>
              </w:rPr>
              <w:t>Decision-analytic model to estimate costs and health effects at both the individual level and the population aggregated level, providing incremental net health effects (INHEs)</w:t>
            </w:r>
          </w:p>
          <w:p w14:paraId="1B2F185F" w14:textId="77777777" w:rsidR="0008114B" w:rsidRPr="00A573DE" w:rsidRDefault="0008114B" w:rsidP="0008114B">
            <w:pPr>
              <w:widowControl w:val="0"/>
              <w:rPr>
                <w:rFonts w:cs="Arial"/>
                <w:bCs/>
                <w:sz w:val="20"/>
              </w:rPr>
            </w:pPr>
          </w:p>
          <w:p w14:paraId="78C6B16D" w14:textId="77777777" w:rsidR="0008114B" w:rsidRPr="00A573DE" w:rsidRDefault="0008114B" w:rsidP="0008114B">
            <w:pPr>
              <w:widowControl w:val="0"/>
              <w:rPr>
                <w:rFonts w:cs="Arial"/>
                <w:bCs/>
                <w:sz w:val="20"/>
              </w:rPr>
            </w:pPr>
            <w:r w:rsidRPr="00A573DE">
              <w:rPr>
                <w:rFonts w:cs="Arial"/>
                <w:bCs/>
                <w:sz w:val="20"/>
                <w:u w:val="single"/>
              </w:rPr>
              <w:t>Rationale:</w:t>
            </w:r>
            <w:r w:rsidRPr="00A573DE">
              <w:rPr>
                <w:rFonts w:cs="Arial"/>
                <w:bCs/>
                <w:sz w:val="20"/>
              </w:rPr>
              <w:t xml:space="preserve"> The objective is to use appropriate analyses of the available evidence at every level, but the detail in those analyses is inevitably constrained by the time and resources available for the project.”</w:t>
            </w:r>
          </w:p>
          <w:p w14:paraId="79919649" w14:textId="77777777" w:rsidR="0008114B" w:rsidRPr="00A573DE" w:rsidRDefault="0008114B" w:rsidP="0008114B">
            <w:pPr>
              <w:widowControl w:val="0"/>
              <w:rPr>
                <w:rFonts w:cs="Arial"/>
                <w:bCs/>
                <w:sz w:val="20"/>
              </w:rPr>
            </w:pPr>
          </w:p>
          <w:p w14:paraId="613F59BD" w14:textId="77777777" w:rsidR="0008114B" w:rsidRPr="00A573DE" w:rsidRDefault="0008114B" w:rsidP="0008114B">
            <w:pPr>
              <w:widowControl w:val="0"/>
              <w:rPr>
                <w:rFonts w:cs="Arial"/>
                <w:b/>
                <w:sz w:val="20"/>
              </w:rPr>
            </w:pPr>
            <w:r w:rsidRPr="00A573DE">
              <w:rPr>
                <w:rFonts w:cs="Arial"/>
                <w:b/>
                <w:sz w:val="20"/>
              </w:rPr>
              <w:t>“[t]he use of a transmission model was considered but not pursued […]. […] [A] mechanistic transmission model […] was not considered feasible within the time and resources available …] (p. 104)</w:t>
            </w:r>
          </w:p>
        </w:tc>
      </w:tr>
      <w:tr w:rsidR="0008114B" w:rsidRPr="00A573DE" w14:paraId="46BEF744" w14:textId="77777777" w:rsidTr="0008114B">
        <w:trPr>
          <w:cantSplit/>
        </w:trPr>
        <w:tc>
          <w:tcPr>
            <w:tcW w:w="2269" w:type="dxa"/>
          </w:tcPr>
          <w:p w14:paraId="21671F9D" w14:textId="77777777" w:rsidR="0008114B" w:rsidRPr="00A573DE" w:rsidDel="00B27F91" w:rsidRDefault="0008114B" w:rsidP="0008114B">
            <w:pPr>
              <w:widowControl w:val="0"/>
              <w:ind w:left="10"/>
              <w:rPr>
                <w:rFonts w:cs="Arial"/>
                <w:bCs/>
                <w:sz w:val="20"/>
              </w:rPr>
            </w:pPr>
            <w:r w:rsidRPr="00A573DE">
              <w:rPr>
                <w:rFonts w:cs="Arial"/>
                <w:bCs/>
                <w:sz w:val="20"/>
              </w:rPr>
              <w:t>Model structure</w:t>
            </w:r>
          </w:p>
        </w:tc>
        <w:tc>
          <w:tcPr>
            <w:tcW w:w="4105" w:type="dxa"/>
          </w:tcPr>
          <w:p w14:paraId="0C349E55" w14:textId="77777777" w:rsidR="0008114B" w:rsidRPr="00A573DE" w:rsidRDefault="0008114B" w:rsidP="0008114B">
            <w:pPr>
              <w:widowControl w:val="0"/>
              <w:rPr>
                <w:rFonts w:cs="Arial"/>
                <w:bCs/>
                <w:sz w:val="20"/>
              </w:rPr>
            </w:pPr>
            <w:r w:rsidRPr="00A573DE">
              <w:rPr>
                <w:rFonts w:cs="Arial"/>
                <w:bCs/>
                <w:sz w:val="20"/>
              </w:rPr>
              <w:t>Population-level models typically consist of mutually exclusive compartments and reflect the dynamic changes in the uninfected population and those infected with susceptible and resistant strains.” (p.65)</w:t>
            </w:r>
          </w:p>
        </w:tc>
        <w:tc>
          <w:tcPr>
            <w:tcW w:w="4253" w:type="dxa"/>
          </w:tcPr>
          <w:p w14:paraId="59AAE39E" w14:textId="77777777" w:rsidR="0008114B" w:rsidRPr="00A573DE" w:rsidRDefault="0008114B" w:rsidP="0008114B">
            <w:pPr>
              <w:pStyle w:val="ListParagraph"/>
              <w:widowControl w:val="0"/>
              <w:rPr>
                <w:rFonts w:ascii="Arial" w:hAnsi="Arial" w:cs="Arial"/>
                <w:bCs/>
                <w:sz w:val="20"/>
                <w:szCs w:val="20"/>
              </w:rPr>
            </w:pPr>
            <w:r w:rsidRPr="00A573DE">
              <w:rPr>
                <w:rFonts w:ascii="Arial" w:hAnsi="Arial" w:cs="Arial"/>
                <w:bCs/>
                <w:sz w:val="20"/>
                <w:szCs w:val="20"/>
              </w:rPr>
              <w:t>The model combines a compartmental multi-state disease transmission module (colonised, infected, susceptible, death) and a decision-tree treatment pathway component.</w:t>
            </w:r>
          </w:p>
        </w:tc>
        <w:tc>
          <w:tcPr>
            <w:tcW w:w="4536" w:type="dxa"/>
          </w:tcPr>
          <w:p w14:paraId="0BEAFBD8" w14:textId="77777777" w:rsidR="0008114B" w:rsidRPr="00A573DE" w:rsidRDefault="0008114B" w:rsidP="0008114B">
            <w:pPr>
              <w:pStyle w:val="ListParagraph"/>
              <w:widowControl w:val="0"/>
              <w:rPr>
                <w:rFonts w:cs="Arial"/>
                <w:bCs/>
                <w:sz w:val="20"/>
              </w:rPr>
            </w:pPr>
            <w:r w:rsidRPr="00A573DE">
              <w:rPr>
                <w:rFonts w:ascii="Arial" w:hAnsi="Arial" w:cs="Arial"/>
                <w:bCs/>
                <w:sz w:val="20"/>
                <w:szCs w:val="20"/>
              </w:rPr>
              <w:t xml:space="preserve">Decision tree for microbiology-directed setting for acute kidney injury. </w:t>
            </w:r>
            <w:r w:rsidRPr="00A573DE">
              <w:rPr>
                <w:rFonts w:ascii="Arial" w:hAnsi="Arial" w:cs="Arial"/>
                <w:bCs/>
                <w:sz w:val="20"/>
              </w:rPr>
              <w:t>Markov model used to calculate post-30-day outcomes in patients with recovered renal function and irreversible renal failure.</w:t>
            </w:r>
          </w:p>
          <w:p w14:paraId="50CC3FF8" w14:textId="77777777" w:rsidR="0008114B" w:rsidRPr="00A573DE" w:rsidRDefault="0008114B" w:rsidP="0008114B">
            <w:pPr>
              <w:pStyle w:val="ListParagraph"/>
              <w:widowControl w:val="0"/>
              <w:rPr>
                <w:rFonts w:ascii="Arial" w:hAnsi="Arial" w:cs="Arial"/>
                <w:bCs/>
                <w:sz w:val="20"/>
                <w:szCs w:val="20"/>
              </w:rPr>
            </w:pPr>
            <w:r w:rsidRPr="00A573DE">
              <w:rPr>
                <w:rFonts w:ascii="Arial" w:hAnsi="Arial" w:cs="Arial"/>
                <w:bCs/>
                <w:sz w:val="20"/>
                <w:szCs w:val="20"/>
              </w:rPr>
              <w:t>Empiric setting used a three-component decision tree.</w:t>
            </w:r>
          </w:p>
        </w:tc>
      </w:tr>
      <w:tr w:rsidR="0008114B" w:rsidRPr="00A573DE" w14:paraId="782658CE" w14:textId="77777777" w:rsidTr="0008114B">
        <w:trPr>
          <w:cantSplit/>
        </w:trPr>
        <w:tc>
          <w:tcPr>
            <w:tcW w:w="2269" w:type="dxa"/>
          </w:tcPr>
          <w:p w14:paraId="2720D44E" w14:textId="77777777" w:rsidR="0008114B" w:rsidRPr="00A573DE" w:rsidRDefault="0008114B" w:rsidP="0008114B">
            <w:pPr>
              <w:widowControl w:val="0"/>
              <w:ind w:left="10"/>
              <w:rPr>
                <w:rFonts w:cs="Arial"/>
                <w:bCs/>
                <w:sz w:val="20"/>
              </w:rPr>
            </w:pPr>
            <w:r w:rsidRPr="00A573DE">
              <w:rPr>
                <w:rFonts w:cs="Arial"/>
                <w:bCs/>
                <w:sz w:val="20"/>
              </w:rPr>
              <w:t>Indication/ Population</w:t>
            </w:r>
          </w:p>
        </w:tc>
        <w:tc>
          <w:tcPr>
            <w:tcW w:w="4105" w:type="dxa"/>
          </w:tcPr>
          <w:p w14:paraId="317D7DB1" w14:textId="77777777" w:rsidR="0008114B" w:rsidRPr="00A573DE" w:rsidRDefault="0008114B" w:rsidP="0008114B">
            <w:pPr>
              <w:widowControl w:val="0"/>
              <w:rPr>
                <w:rFonts w:cs="Arial"/>
                <w:bCs/>
                <w:sz w:val="20"/>
              </w:rPr>
            </w:pPr>
            <w:r w:rsidRPr="00A573DE">
              <w:rPr>
                <w:rFonts w:cs="Arial"/>
                <w:bCs/>
                <w:sz w:val="20"/>
              </w:rPr>
              <w:t>“In most cases, the licensed indications will describe the specific types of clinical infections to be treated by the new AM (e.g., complicated intra-abdominal infection, hospital-acquired pneumonia), but it may also include a pathogen-specific indication […].” (p.39)</w:t>
            </w:r>
          </w:p>
          <w:p w14:paraId="364BC279" w14:textId="77777777" w:rsidR="0008114B" w:rsidRPr="00A573DE" w:rsidRDefault="0008114B" w:rsidP="0008114B">
            <w:pPr>
              <w:widowControl w:val="0"/>
              <w:rPr>
                <w:rFonts w:cs="Arial"/>
                <w:bCs/>
                <w:sz w:val="20"/>
              </w:rPr>
            </w:pPr>
            <w:r w:rsidRPr="00A573DE">
              <w:rPr>
                <w:rFonts w:cs="Arial"/>
                <w:bCs/>
                <w:sz w:val="20"/>
              </w:rPr>
              <w:t>Represent “the different ways that the AM may be used in clinical practice.” (p.22)</w:t>
            </w:r>
          </w:p>
        </w:tc>
        <w:tc>
          <w:tcPr>
            <w:tcW w:w="4253" w:type="dxa"/>
          </w:tcPr>
          <w:p w14:paraId="13706743" w14:textId="77777777" w:rsidR="0008114B" w:rsidRDefault="0008114B" w:rsidP="0008114B">
            <w:pPr>
              <w:pStyle w:val="ListParagraph"/>
              <w:widowControl w:val="0"/>
              <w:rPr>
                <w:rFonts w:ascii="Arial" w:hAnsi="Arial" w:cs="Arial"/>
                <w:bCs/>
                <w:i/>
                <w:iCs/>
                <w:sz w:val="20"/>
                <w:szCs w:val="20"/>
              </w:rPr>
            </w:pPr>
            <w:r>
              <w:rPr>
                <w:rFonts w:ascii="Arial" w:hAnsi="Arial" w:cs="Arial"/>
                <w:bCs/>
                <w:sz w:val="20"/>
                <w:szCs w:val="20"/>
              </w:rPr>
              <w:t xml:space="preserve">Aligned with the therapeutic indication and current UK usage. </w:t>
            </w:r>
            <w:r w:rsidRPr="00A573DE">
              <w:rPr>
                <w:rFonts w:ascii="Arial" w:hAnsi="Arial" w:cs="Arial"/>
                <w:bCs/>
                <w:sz w:val="20"/>
                <w:szCs w:val="20"/>
              </w:rPr>
              <w:t xml:space="preserve">Patients with the following infections: </w:t>
            </w:r>
            <w:proofErr w:type="spellStart"/>
            <w:r w:rsidRPr="00A573DE">
              <w:rPr>
                <w:rFonts w:ascii="Arial" w:hAnsi="Arial" w:cs="Arial"/>
                <w:bCs/>
                <w:sz w:val="20"/>
                <w:szCs w:val="20"/>
              </w:rPr>
              <w:t>cIAI</w:t>
            </w:r>
            <w:proofErr w:type="spellEnd"/>
            <w:r w:rsidRPr="00A573DE">
              <w:rPr>
                <w:rFonts w:ascii="Arial" w:hAnsi="Arial" w:cs="Arial"/>
                <w:bCs/>
                <w:sz w:val="20"/>
                <w:szCs w:val="20"/>
              </w:rPr>
              <w:t xml:space="preserve">, </w:t>
            </w:r>
            <w:proofErr w:type="spellStart"/>
            <w:r w:rsidRPr="00A573DE">
              <w:rPr>
                <w:rFonts w:ascii="Arial" w:hAnsi="Arial" w:cs="Arial"/>
                <w:bCs/>
                <w:sz w:val="20"/>
                <w:szCs w:val="20"/>
              </w:rPr>
              <w:t>cUTI</w:t>
            </w:r>
            <w:proofErr w:type="spellEnd"/>
            <w:r w:rsidRPr="00A573DE">
              <w:rPr>
                <w:rFonts w:ascii="Arial" w:hAnsi="Arial" w:cs="Arial"/>
                <w:bCs/>
                <w:sz w:val="20"/>
                <w:szCs w:val="20"/>
              </w:rPr>
              <w:t xml:space="preserve">, HAP/VAP caused by the following pathogens: </w:t>
            </w:r>
            <w:r w:rsidRPr="00A573DE">
              <w:rPr>
                <w:rFonts w:ascii="Arial" w:hAnsi="Arial" w:cs="Arial"/>
                <w:bCs/>
                <w:i/>
                <w:iCs/>
                <w:sz w:val="20"/>
                <w:szCs w:val="20"/>
              </w:rPr>
              <w:t>E. coli, K</w:t>
            </w:r>
            <w:r>
              <w:rPr>
                <w:rFonts w:ascii="Arial" w:hAnsi="Arial" w:cs="Arial"/>
                <w:bCs/>
                <w:i/>
                <w:iCs/>
                <w:sz w:val="20"/>
                <w:szCs w:val="20"/>
              </w:rPr>
              <w:t>lebsiella spp</w:t>
            </w:r>
            <w:r w:rsidRPr="00A573DE">
              <w:rPr>
                <w:rFonts w:ascii="Arial" w:hAnsi="Arial" w:cs="Arial"/>
                <w:bCs/>
                <w:i/>
                <w:iCs/>
                <w:sz w:val="20"/>
                <w:szCs w:val="20"/>
              </w:rPr>
              <w:t>., P. aeruginosa</w:t>
            </w:r>
          </w:p>
          <w:p w14:paraId="5A363DDF" w14:textId="77777777" w:rsidR="0008114B" w:rsidRPr="00551BBD" w:rsidRDefault="0008114B" w:rsidP="0008114B">
            <w:pPr>
              <w:pStyle w:val="ListParagraph"/>
              <w:widowControl w:val="0"/>
              <w:rPr>
                <w:rFonts w:ascii="Arial" w:hAnsi="Arial" w:cs="Arial"/>
                <w:bCs/>
                <w:sz w:val="20"/>
                <w:szCs w:val="20"/>
              </w:rPr>
            </w:pPr>
            <w:r>
              <w:rPr>
                <w:rFonts w:ascii="Arial" w:hAnsi="Arial" w:cs="Arial"/>
                <w:bCs/>
                <w:sz w:val="20"/>
                <w:szCs w:val="20"/>
              </w:rPr>
              <w:t>To note: as outlined in the submission; this approach was not fully comprehensive in capturing the full licenced indication.</w:t>
            </w:r>
          </w:p>
        </w:tc>
        <w:tc>
          <w:tcPr>
            <w:tcW w:w="4536" w:type="dxa"/>
          </w:tcPr>
          <w:p w14:paraId="6DF06741" w14:textId="77777777" w:rsidR="0008114B" w:rsidRDefault="0008114B" w:rsidP="0008114B">
            <w:pPr>
              <w:pStyle w:val="ListParagraph"/>
              <w:widowControl w:val="0"/>
              <w:rPr>
                <w:rFonts w:ascii="Arial" w:hAnsi="Arial" w:cs="Arial"/>
                <w:bCs/>
                <w:sz w:val="20"/>
                <w:szCs w:val="20"/>
              </w:rPr>
            </w:pPr>
            <w:r>
              <w:rPr>
                <w:rFonts w:ascii="Arial" w:hAnsi="Arial" w:cs="Arial"/>
                <w:bCs/>
                <w:sz w:val="20"/>
                <w:szCs w:val="20"/>
              </w:rPr>
              <w:t xml:space="preserve">Subgroup of licensed indication and population currently receiving CAZ-AVI in UK clinical practice. HVCSs </w:t>
            </w:r>
            <w:r w:rsidRPr="00A573DE">
              <w:rPr>
                <w:rFonts w:ascii="Arial" w:hAnsi="Arial" w:cs="Arial"/>
                <w:bCs/>
                <w:sz w:val="20"/>
                <w:szCs w:val="20"/>
              </w:rPr>
              <w:t xml:space="preserve">which </w:t>
            </w:r>
            <w:proofErr w:type="gramStart"/>
            <w:r w:rsidRPr="00A573DE">
              <w:rPr>
                <w:rFonts w:ascii="Arial" w:hAnsi="Arial" w:cs="Arial"/>
                <w:bCs/>
                <w:sz w:val="20"/>
                <w:szCs w:val="20"/>
              </w:rPr>
              <w:t>include:</w:t>
            </w:r>
            <w:proofErr w:type="gramEnd"/>
            <w:r w:rsidRPr="00A573DE">
              <w:rPr>
                <w:rFonts w:ascii="Arial" w:hAnsi="Arial" w:cs="Arial"/>
                <w:bCs/>
                <w:sz w:val="20"/>
                <w:szCs w:val="20"/>
              </w:rPr>
              <w:t xml:space="preserve"> HAP/VAP and </w:t>
            </w:r>
            <w:proofErr w:type="spellStart"/>
            <w:r w:rsidRPr="00A573DE">
              <w:rPr>
                <w:rFonts w:ascii="Arial" w:hAnsi="Arial" w:cs="Arial"/>
                <w:bCs/>
                <w:sz w:val="20"/>
                <w:szCs w:val="20"/>
              </w:rPr>
              <w:t>cUTI</w:t>
            </w:r>
            <w:proofErr w:type="spellEnd"/>
            <w:r w:rsidRPr="00A573DE">
              <w:rPr>
                <w:rFonts w:ascii="Arial" w:hAnsi="Arial" w:cs="Arial"/>
                <w:bCs/>
                <w:sz w:val="20"/>
                <w:szCs w:val="20"/>
              </w:rPr>
              <w:t xml:space="preserve"> patients infected with OXA-48 </w:t>
            </w:r>
            <w:proofErr w:type="spellStart"/>
            <w:r w:rsidRPr="00A573DE">
              <w:rPr>
                <w:rFonts w:ascii="Arial" w:hAnsi="Arial" w:cs="Arial"/>
                <w:bCs/>
                <w:i/>
                <w:iCs/>
                <w:sz w:val="20"/>
                <w:szCs w:val="20"/>
              </w:rPr>
              <w:t>Enterobacterales</w:t>
            </w:r>
            <w:proofErr w:type="spellEnd"/>
            <w:r w:rsidRPr="00A573DE">
              <w:rPr>
                <w:rFonts w:ascii="Arial" w:hAnsi="Arial" w:cs="Arial"/>
                <w:bCs/>
                <w:i/>
                <w:iCs/>
                <w:sz w:val="20"/>
                <w:szCs w:val="20"/>
              </w:rPr>
              <w:t>.</w:t>
            </w:r>
          </w:p>
          <w:p w14:paraId="3AB62140" w14:textId="77777777" w:rsidR="0008114B" w:rsidRPr="005F5B3F" w:rsidRDefault="0008114B" w:rsidP="0008114B">
            <w:pPr>
              <w:pStyle w:val="ListParagraph"/>
              <w:widowControl w:val="0"/>
            </w:pPr>
            <w:r>
              <w:rPr>
                <w:rFonts w:ascii="Arial" w:hAnsi="Arial" w:cs="Arial"/>
                <w:bCs/>
                <w:sz w:val="20"/>
                <w:szCs w:val="20"/>
              </w:rPr>
              <w:t>T</w:t>
            </w:r>
            <w:r w:rsidRPr="005F5B3F">
              <w:rPr>
                <w:rFonts w:ascii="Arial" w:hAnsi="Arial" w:cs="Arial"/>
                <w:bCs/>
                <w:sz w:val="20"/>
                <w:szCs w:val="20"/>
              </w:rPr>
              <w:t>o note</w:t>
            </w:r>
            <w:r>
              <w:rPr>
                <w:rFonts w:ascii="Arial" w:hAnsi="Arial" w:cs="Arial"/>
                <w:bCs/>
                <w:sz w:val="20"/>
                <w:szCs w:val="20"/>
              </w:rPr>
              <w:t>:</w:t>
            </w:r>
            <w:r w:rsidRPr="005F5B3F">
              <w:rPr>
                <w:rFonts w:ascii="Arial" w:hAnsi="Arial" w:cs="Arial"/>
                <w:bCs/>
                <w:sz w:val="20"/>
                <w:szCs w:val="20"/>
              </w:rPr>
              <w:t xml:space="preserve"> that although extrapolation occurred to reach beyond the HVCSs</w:t>
            </w:r>
            <w:r>
              <w:rPr>
                <w:rFonts w:ascii="Arial" w:hAnsi="Arial" w:cs="Arial"/>
                <w:bCs/>
                <w:sz w:val="20"/>
                <w:szCs w:val="20"/>
              </w:rPr>
              <w:t>,</w:t>
            </w:r>
            <w:r w:rsidRPr="005F5B3F">
              <w:rPr>
                <w:rFonts w:ascii="Arial" w:hAnsi="Arial" w:cs="Arial"/>
                <w:bCs/>
                <w:sz w:val="20"/>
                <w:szCs w:val="20"/>
              </w:rPr>
              <w:t xml:space="preserve"> the limited data on the HVCSs and data sources used impacted </w:t>
            </w:r>
            <w:r>
              <w:rPr>
                <w:rFonts w:ascii="Arial" w:hAnsi="Arial" w:cs="Arial"/>
                <w:bCs/>
                <w:sz w:val="20"/>
                <w:szCs w:val="20"/>
              </w:rPr>
              <w:t xml:space="preserve">significantly on the estimates of the </w:t>
            </w:r>
            <w:r w:rsidRPr="005F5B3F">
              <w:rPr>
                <w:rFonts w:ascii="Arial" w:hAnsi="Arial" w:cs="Arial"/>
                <w:bCs/>
                <w:sz w:val="20"/>
                <w:szCs w:val="20"/>
              </w:rPr>
              <w:t>wider eligible population.</w:t>
            </w:r>
            <w:r>
              <w:t xml:space="preserve"> </w:t>
            </w:r>
          </w:p>
        </w:tc>
      </w:tr>
      <w:tr w:rsidR="0008114B" w:rsidRPr="00A573DE" w14:paraId="1D99D551" w14:textId="77777777" w:rsidTr="0008114B">
        <w:trPr>
          <w:cantSplit/>
        </w:trPr>
        <w:tc>
          <w:tcPr>
            <w:tcW w:w="2269" w:type="dxa"/>
          </w:tcPr>
          <w:p w14:paraId="7229DEC1" w14:textId="77777777" w:rsidR="0008114B" w:rsidRPr="00A573DE" w:rsidRDefault="0008114B" w:rsidP="0008114B">
            <w:pPr>
              <w:widowControl w:val="0"/>
              <w:ind w:left="10"/>
              <w:rPr>
                <w:rFonts w:cs="Arial"/>
                <w:bCs/>
                <w:sz w:val="20"/>
              </w:rPr>
            </w:pPr>
            <w:r w:rsidRPr="00A573DE">
              <w:rPr>
                <w:rFonts w:cs="Arial"/>
                <w:bCs/>
                <w:sz w:val="20"/>
              </w:rPr>
              <w:lastRenderedPageBreak/>
              <w:t>Comparators</w:t>
            </w:r>
          </w:p>
        </w:tc>
        <w:tc>
          <w:tcPr>
            <w:tcW w:w="4105" w:type="dxa"/>
          </w:tcPr>
          <w:p w14:paraId="4B537F22" w14:textId="77777777" w:rsidR="0008114B" w:rsidRPr="00A573DE" w:rsidRDefault="0008114B" w:rsidP="0008114B">
            <w:pPr>
              <w:widowControl w:val="0"/>
              <w:rPr>
                <w:rFonts w:cs="Arial"/>
                <w:bCs/>
                <w:sz w:val="20"/>
              </w:rPr>
            </w:pPr>
            <w:r w:rsidRPr="00A573DE">
              <w:rPr>
                <w:rFonts w:cs="Arial"/>
                <w:bCs/>
                <w:sz w:val="20"/>
              </w:rPr>
              <w:t>"One important alternative to the new AM will be ‘existing care’ for a particular indication, which represents what would be done in the absence of the new AM.”</w:t>
            </w:r>
          </w:p>
          <w:p w14:paraId="5D412047" w14:textId="77777777" w:rsidR="0008114B" w:rsidRPr="00A573DE" w:rsidRDefault="0008114B" w:rsidP="0008114B">
            <w:pPr>
              <w:widowControl w:val="0"/>
              <w:rPr>
                <w:rFonts w:cs="Arial"/>
                <w:bCs/>
                <w:sz w:val="20"/>
              </w:rPr>
            </w:pPr>
            <w:r w:rsidRPr="00A573DE">
              <w:rPr>
                <w:rFonts w:cs="Arial"/>
                <w:bCs/>
                <w:sz w:val="20"/>
              </w:rPr>
              <w:t>“The comparators should reflect the treatment protocols typically seen in practice and ones that can reflect the diversity value of AMs […].” (p. 40)</w:t>
            </w:r>
          </w:p>
        </w:tc>
        <w:tc>
          <w:tcPr>
            <w:tcW w:w="4253" w:type="dxa"/>
          </w:tcPr>
          <w:p w14:paraId="26803756" w14:textId="77777777" w:rsidR="0008114B" w:rsidRPr="00A573DE" w:rsidRDefault="0008114B" w:rsidP="0008114B">
            <w:pPr>
              <w:pStyle w:val="ListParagraph"/>
              <w:widowControl w:val="0"/>
              <w:rPr>
                <w:rFonts w:ascii="Arial" w:hAnsi="Arial" w:cs="Arial"/>
                <w:sz w:val="20"/>
                <w:szCs w:val="20"/>
              </w:rPr>
            </w:pPr>
            <w:r w:rsidRPr="00A573DE">
              <w:rPr>
                <w:rFonts w:ascii="Arial" w:hAnsi="Arial" w:cs="Arial"/>
                <w:sz w:val="20"/>
                <w:szCs w:val="20"/>
              </w:rPr>
              <w:t>The most appropriate comparators determined during expert elicitation were as follows: piperacillin/tazobactam (</w:t>
            </w:r>
            <w:proofErr w:type="spellStart"/>
            <w:r w:rsidRPr="00A573DE">
              <w:rPr>
                <w:rFonts w:ascii="Arial" w:hAnsi="Arial" w:cs="Arial"/>
                <w:sz w:val="20"/>
                <w:szCs w:val="20"/>
              </w:rPr>
              <w:t>cIAI</w:t>
            </w:r>
            <w:proofErr w:type="spellEnd"/>
            <w:r w:rsidRPr="00A573DE">
              <w:rPr>
                <w:rFonts w:ascii="Arial" w:hAnsi="Arial" w:cs="Arial"/>
                <w:sz w:val="20"/>
                <w:szCs w:val="20"/>
              </w:rPr>
              <w:t xml:space="preserve"> and </w:t>
            </w:r>
            <w:proofErr w:type="spellStart"/>
            <w:r w:rsidRPr="00A573DE">
              <w:rPr>
                <w:rFonts w:ascii="Arial" w:hAnsi="Arial" w:cs="Arial"/>
                <w:sz w:val="20"/>
                <w:szCs w:val="20"/>
              </w:rPr>
              <w:t>cUTI</w:t>
            </w:r>
            <w:proofErr w:type="spellEnd"/>
            <w:r w:rsidRPr="00A573DE">
              <w:rPr>
                <w:rFonts w:ascii="Arial" w:hAnsi="Arial" w:cs="Arial"/>
                <w:sz w:val="20"/>
                <w:szCs w:val="20"/>
              </w:rPr>
              <w:t>) or colistin (HAP/VAP) and meropenem (all modelled indications – simplifications were required).</w:t>
            </w:r>
            <w:r w:rsidRPr="00A573DE">
              <w:rPr>
                <w:rFonts w:ascii="Arial" w:hAnsi="Arial" w:cs="Arial"/>
                <w:sz w:val="20"/>
                <w:szCs w:val="20"/>
              </w:rPr>
              <w:br/>
              <w:t xml:space="preserve">The economic model does include a no comparator alternative – a world without </w:t>
            </w:r>
            <w:r>
              <w:rPr>
                <w:rFonts w:ascii="Arial" w:hAnsi="Arial" w:cs="Arial"/>
                <w:sz w:val="20"/>
                <w:szCs w:val="20"/>
              </w:rPr>
              <w:t>CAZ-AVI</w:t>
            </w:r>
            <w:r w:rsidRPr="00A573DE">
              <w:rPr>
                <w:rFonts w:ascii="Arial" w:hAnsi="Arial" w:cs="Arial"/>
                <w:sz w:val="20"/>
                <w:szCs w:val="20"/>
              </w:rPr>
              <w:t>.</w:t>
            </w:r>
          </w:p>
        </w:tc>
        <w:tc>
          <w:tcPr>
            <w:tcW w:w="4536" w:type="dxa"/>
          </w:tcPr>
          <w:p w14:paraId="1FD7952B" w14:textId="77777777" w:rsidR="0008114B" w:rsidRPr="00A573DE" w:rsidRDefault="0008114B" w:rsidP="0008114B">
            <w:pPr>
              <w:pStyle w:val="ListParagraph"/>
              <w:widowControl w:val="0"/>
              <w:rPr>
                <w:rFonts w:ascii="Arial" w:hAnsi="Arial" w:cs="Arial"/>
                <w:bCs/>
                <w:sz w:val="20"/>
                <w:szCs w:val="20"/>
              </w:rPr>
            </w:pPr>
            <w:r w:rsidRPr="00A573DE">
              <w:rPr>
                <w:rFonts w:ascii="Arial" w:hAnsi="Arial" w:cs="Arial"/>
                <w:bCs/>
                <w:sz w:val="20"/>
                <w:szCs w:val="20"/>
              </w:rPr>
              <w:t xml:space="preserve">The following comparators were included: colistin, meropenem, tigecycline, </w:t>
            </w:r>
            <w:proofErr w:type="spellStart"/>
            <w:r w:rsidRPr="00A573DE">
              <w:rPr>
                <w:rFonts w:ascii="Arial" w:hAnsi="Arial" w:cs="Arial"/>
                <w:bCs/>
                <w:sz w:val="20"/>
                <w:szCs w:val="20"/>
              </w:rPr>
              <w:t>azetreonam</w:t>
            </w:r>
            <w:proofErr w:type="spellEnd"/>
            <w:r w:rsidRPr="00A573DE">
              <w:rPr>
                <w:rFonts w:ascii="Arial" w:hAnsi="Arial" w:cs="Arial"/>
                <w:bCs/>
                <w:sz w:val="20"/>
                <w:szCs w:val="20"/>
              </w:rPr>
              <w:t xml:space="preserve">, </w:t>
            </w:r>
            <w:proofErr w:type="spellStart"/>
            <w:r w:rsidRPr="00A573DE">
              <w:rPr>
                <w:rFonts w:ascii="Arial" w:hAnsi="Arial" w:cs="Arial"/>
                <w:bCs/>
                <w:sz w:val="20"/>
                <w:szCs w:val="20"/>
              </w:rPr>
              <w:t>fosfomycin</w:t>
            </w:r>
            <w:proofErr w:type="spellEnd"/>
            <w:r w:rsidRPr="00A573DE">
              <w:rPr>
                <w:rFonts w:ascii="Arial" w:hAnsi="Arial" w:cs="Arial"/>
                <w:bCs/>
                <w:sz w:val="20"/>
                <w:szCs w:val="20"/>
              </w:rPr>
              <w:t>, levofloxacin, ciprofloxacin, gentamicin, amikacin, tobramycin, ceftriaxone, cefepime, ceftazidime (p.6)</w:t>
            </w:r>
          </w:p>
          <w:p w14:paraId="2C824B91" w14:textId="77777777" w:rsidR="0008114B" w:rsidRPr="00A573DE" w:rsidRDefault="0008114B" w:rsidP="0008114B">
            <w:pPr>
              <w:pStyle w:val="ListParagraph"/>
              <w:widowControl w:val="0"/>
              <w:rPr>
                <w:rFonts w:ascii="Arial" w:hAnsi="Arial" w:cs="Arial"/>
                <w:bCs/>
                <w:sz w:val="20"/>
                <w:szCs w:val="20"/>
              </w:rPr>
            </w:pPr>
            <w:r w:rsidRPr="00A573DE">
              <w:rPr>
                <w:rFonts w:ascii="Arial" w:hAnsi="Arial" w:cs="Arial"/>
                <w:bCs/>
                <w:sz w:val="20"/>
                <w:szCs w:val="20"/>
              </w:rPr>
              <w:t>It is to note that EEPRU mainly used non-inferiority trials and did not consider evolving resistance of the comparator drugs to the pathogens included.</w:t>
            </w:r>
          </w:p>
        </w:tc>
      </w:tr>
      <w:tr w:rsidR="0008114B" w:rsidRPr="00A573DE" w14:paraId="4D67FC09" w14:textId="77777777" w:rsidTr="0008114B">
        <w:trPr>
          <w:cantSplit/>
        </w:trPr>
        <w:tc>
          <w:tcPr>
            <w:tcW w:w="2269" w:type="dxa"/>
          </w:tcPr>
          <w:p w14:paraId="31993D86" w14:textId="77777777" w:rsidR="0008114B" w:rsidRPr="00A573DE" w:rsidRDefault="0008114B" w:rsidP="0008114B">
            <w:pPr>
              <w:widowControl w:val="0"/>
              <w:rPr>
                <w:rFonts w:cs="Arial"/>
                <w:bCs/>
                <w:sz w:val="20"/>
              </w:rPr>
            </w:pPr>
            <w:r w:rsidRPr="00A573DE">
              <w:rPr>
                <w:rFonts w:cs="Arial"/>
                <w:bCs/>
                <w:sz w:val="20"/>
              </w:rPr>
              <w:t>Time horizon</w:t>
            </w:r>
          </w:p>
        </w:tc>
        <w:tc>
          <w:tcPr>
            <w:tcW w:w="4105" w:type="dxa"/>
          </w:tcPr>
          <w:p w14:paraId="5EDA00E4" w14:textId="77777777" w:rsidR="0008114B" w:rsidRPr="00A573DE" w:rsidRDefault="0008114B" w:rsidP="0008114B">
            <w:pPr>
              <w:widowControl w:val="0"/>
              <w:rPr>
                <w:rFonts w:cs="Arial"/>
                <w:sz w:val="20"/>
              </w:rPr>
            </w:pPr>
            <w:r w:rsidRPr="00A573DE">
              <w:rPr>
                <w:rFonts w:cs="Arial"/>
                <w:sz w:val="20"/>
              </w:rPr>
              <w:t xml:space="preserve">“There are three potentially relevant time horizons for the value assessment of AMs: </w:t>
            </w:r>
            <w:proofErr w:type="spellStart"/>
            <w:r w:rsidRPr="00A573DE">
              <w:rPr>
                <w:rFonts w:cs="Arial"/>
                <w:sz w:val="20"/>
              </w:rPr>
              <w:t>i</w:t>
            </w:r>
            <w:proofErr w:type="spellEnd"/>
            <w:r w:rsidRPr="00A573DE">
              <w:rPr>
                <w:rFonts w:cs="Arial"/>
                <w:sz w:val="20"/>
              </w:rPr>
              <w:t>) the analytic or model time horizon […]; ii) the technology time horizon […]; and iii) the contractual time horizon […].” (p.41)</w:t>
            </w:r>
          </w:p>
        </w:tc>
        <w:tc>
          <w:tcPr>
            <w:tcW w:w="4253" w:type="dxa"/>
          </w:tcPr>
          <w:p w14:paraId="6C61020B" w14:textId="77777777" w:rsidR="0008114B" w:rsidRPr="00A573DE" w:rsidRDefault="0008114B" w:rsidP="0008114B">
            <w:pPr>
              <w:widowControl w:val="0"/>
              <w:rPr>
                <w:rFonts w:cs="Arial"/>
                <w:bCs/>
                <w:sz w:val="20"/>
              </w:rPr>
            </w:pPr>
            <w:r w:rsidRPr="00A573DE">
              <w:rPr>
                <w:rFonts w:cs="Arial"/>
                <w:sz w:val="20"/>
              </w:rPr>
              <w:t>10-year transmission horizon</w:t>
            </w:r>
            <w:r>
              <w:rPr>
                <w:rFonts w:cs="Arial"/>
                <w:sz w:val="20"/>
              </w:rPr>
              <w:t>; lifetime perspective for LYs/QALYs for evaluated patients</w:t>
            </w:r>
          </w:p>
        </w:tc>
        <w:tc>
          <w:tcPr>
            <w:tcW w:w="4536" w:type="dxa"/>
          </w:tcPr>
          <w:p w14:paraId="60984A51" w14:textId="77777777" w:rsidR="0008114B" w:rsidRPr="00A573DE" w:rsidRDefault="0008114B" w:rsidP="0008114B">
            <w:pPr>
              <w:widowControl w:val="0"/>
              <w:rPr>
                <w:rFonts w:cs="Arial"/>
                <w:bCs/>
                <w:sz w:val="20"/>
              </w:rPr>
            </w:pPr>
            <w:r w:rsidRPr="00A573DE">
              <w:rPr>
                <w:rFonts w:cs="Arial"/>
                <w:bCs/>
                <w:sz w:val="20"/>
              </w:rPr>
              <w:t>Lifetime horizon (based on predicted number of CAZ-AVI patients over 20 years)</w:t>
            </w:r>
          </w:p>
        </w:tc>
      </w:tr>
      <w:tr w:rsidR="0008114B" w:rsidRPr="00A573DE" w14:paraId="6DD35158" w14:textId="77777777" w:rsidTr="0008114B">
        <w:trPr>
          <w:cantSplit/>
        </w:trPr>
        <w:tc>
          <w:tcPr>
            <w:tcW w:w="2269" w:type="dxa"/>
          </w:tcPr>
          <w:p w14:paraId="293CD3B7" w14:textId="77777777" w:rsidR="0008114B" w:rsidRPr="00A573DE" w:rsidRDefault="0008114B" w:rsidP="0008114B">
            <w:pPr>
              <w:widowControl w:val="0"/>
              <w:rPr>
                <w:rFonts w:cs="Arial"/>
                <w:bCs/>
                <w:sz w:val="20"/>
              </w:rPr>
            </w:pPr>
            <w:r w:rsidRPr="00A573DE">
              <w:rPr>
                <w:rFonts w:cs="Arial"/>
                <w:bCs/>
                <w:sz w:val="20"/>
              </w:rPr>
              <w:t>Discount applied</w:t>
            </w:r>
          </w:p>
        </w:tc>
        <w:tc>
          <w:tcPr>
            <w:tcW w:w="4105" w:type="dxa"/>
          </w:tcPr>
          <w:p w14:paraId="1D92E348" w14:textId="77777777" w:rsidR="0008114B" w:rsidRPr="00A573DE" w:rsidRDefault="0008114B" w:rsidP="0008114B">
            <w:pPr>
              <w:widowControl w:val="0"/>
              <w:rPr>
                <w:rFonts w:cs="Arial"/>
                <w:sz w:val="20"/>
              </w:rPr>
            </w:pPr>
            <w:r w:rsidRPr="00A573DE">
              <w:rPr>
                <w:rFonts w:cs="Arial"/>
                <w:sz w:val="20"/>
              </w:rPr>
              <w:t>3.5%</w:t>
            </w:r>
          </w:p>
        </w:tc>
        <w:tc>
          <w:tcPr>
            <w:tcW w:w="4253" w:type="dxa"/>
          </w:tcPr>
          <w:p w14:paraId="272605CB" w14:textId="77777777" w:rsidR="0008114B" w:rsidRPr="00A573DE" w:rsidRDefault="0008114B" w:rsidP="0008114B">
            <w:pPr>
              <w:widowControl w:val="0"/>
              <w:rPr>
                <w:rFonts w:cs="Arial"/>
                <w:bCs/>
                <w:sz w:val="20"/>
              </w:rPr>
            </w:pPr>
            <w:r w:rsidRPr="00A573DE">
              <w:rPr>
                <w:rFonts w:cs="Arial"/>
                <w:sz w:val="20"/>
              </w:rPr>
              <w:t xml:space="preserve">3.5% </w:t>
            </w:r>
            <w:r w:rsidRPr="00A573DE">
              <w:rPr>
                <w:rFonts w:cs="Arial"/>
                <w:bCs/>
                <w:sz w:val="20"/>
              </w:rPr>
              <w:t>(1.5% included as scenario)</w:t>
            </w:r>
          </w:p>
        </w:tc>
        <w:tc>
          <w:tcPr>
            <w:tcW w:w="4536" w:type="dxa"/>
          </w:tcPr>
          <w:p w14:paraId="78B8FEE8" w14:textId="77777777" w:rsidR="0008114B" w:rsidRPr="00A573DE" w:rsidRDefault="0008114B" w:rsidP="0008114B">
            <w:pPr>
              <w:widowControl w:val="0"/>
              <w:rPr>
                <w:rFonts w:cs="Arial"/>
                <w:bCs/>
                <w:sz w:val="20"/>
              </w:rPr>
            </w:pPr>
            <w:r w:rsidRPr="00A573DE">
              <w:rPr>
                <w:rFonts w:cs="Arial"/>
                <w:bCs/>
                <w:sz w:val="20"/>
              </w:rPr>
              <w:t>3.5% (1.5% included as scenario as requested by NICE)</w:t>
            </w:r>
          </w:p>
          <w:p w14:paraId="6C17F307" w14:textId="77777777" w:rsidR="0008114B" w:rsidRPr="00A573DE" w:rsidRDefault="0008114B" w:rsidP="0008114B">
            <w:pPr>
              <w:widowControl w:val="0"/>
              <w:rPr>
                <w:rFonts w:cs="Arial"/>
                <w:bCs/>
                <w:sz w:val="20"/>
              </w:rPr>
            </w:pPr>
          </w:p>
        </w:tc>
      </w:tr>
      <w:tr w:rsidR="0008114B" w:rsidRPr="00A573DE" w14:paraId="3C0E7958" w14:textId="77777777" w:rsidTr="0008114B">
        <w:trPr>
          <w:cantSplit/>
        </w:trPr>
        <w:tc>
          <w:tcPr>
            <w:tcW w:w="2269" w:type="dxa"/>
          </w:tcPr>
          <w:p w14:paraId="5EE49C45" w14:textId="77777777" w:rsidR="0008114B" w:rsidRPr="00A573DE" w:rsidRDefault="0008114B" w:rsidP="0008114B">
            <w:pPr>
              <w:widowControl w:val="0"/>
              <w:rPr>
                <w:rFonts w:cs="Arial"/>
                <w:bCs/>
                <w:sz w:val="20"/>
              </w:rPr>
            </w:pPr>
            <w:r w:rsidRPr="00A573DE">
              <w:rPr>
                <w:rFonts w:cs="Arial"/>
                <w:bCs/>
                <w:sz w:val="20"/>
              </w:rPr>
              <w:t>Resistance</w:t>
            </w:r>
          </w:p>
        </w:tc>
        <w:tc>
          <w:tcPr>
            <w:tcW w:w="4105" w:type="dxa"/>
          </w:tcPr>
          <w:p w14:paraId="034BF449" w14:textId="77777777" w:rsidR="0008114B" w:rsidRPr="00A573DE" w:rsidRDefault="0008114B" w:rsidP="0008114B">
            <w:pPr>
              <w:widowControl w:val="0"/>
              <w:ind w:left="7"/>
              <w:rPr>
                <w:rFonts w:cs="Arial"/>
                <w:bCs/>
                <w:sz w:val="20"/>
              </w:rPr>
            </w:pPr>
            <w:r w:rsidRPr="00A573DE">
              <w:rPr>
                <w:rFonts w:cs="Arial"/>
                <w:bCs/>
                <w:sz w:val="20"/>
              </w:rPr>
              <w:t xml:space="preserve">“The first step in the development of a model should be an understanding of the mechanisms of resistance […] for a new AM and its comparator strategies […] </w:t>
            </w:r>
          </w:p>
          <w:p w14:paraId="13E7599B" w14:textId="77777777" w:rsidR="0008114B" w:rsidRPr="00A573DE" w:rsidRDefault="0008114B" w:rsidP="0008114B">
            <w:pPr>
              <w:widowControl w:val="0"/>
              <w:ind w:left="7"/>
              <w:rPr>
                <w:rFonts w:cs="Arial"/>
                <w:bCs/>
                <w:sz w:val="20"/>
              </w:rPr>
            </w:pPr>
            <w:r w:rsidRPr="00A573DE">
              <w:rPr>
                <w:rFonts w:cs="Arial"/>
                <w:bCs/>
                <w:sz w:val="20"/>
              </w:rPr>
              <w:t>“Estimating the population health effect […] involves adequately reflecting the expected rate of growth in resistance and associated outcomes over time […] (p.61)</w:t>
            </w:r>
          </w:p>
        </w:tc>
        <w:tc>
          <w:tcPr>
            <w:tcW w:w="4253" w:type="dxa"/>
          </w:tcPr>
          <w:p w14:paraId="2D6554EC" w14:textId="77777777" w:rsidR="0008114B" w:rsidRPr="00A573DE" w:rsidRDefault="0008114B" w:rsidP="0008114B">
            <w:pPr>
              <w:widowControl w:val="0"/>
              <w:rPr>
                <w:rFonts w:cs="Arial"/>
                <w:bCs/>
                <w:sz w:val="20"/>
              </w:rPr>
            </w:pPr>
            <w:r w:rsidRPr="00A573DE">
              <w:rPr>
                <w:rFonts w:cs="Arial"/>
                <w:bCs/>
                <w:sz w:val="20"/>
              </w:rPr>
              <w:t xml:space="preserve">Baseline pathogen resistance was included using ESPAUR 2018/2019 report and ATLAS surveillance data as resources. The ESPAUR 2019/20 report was not used for reasons stated in </w:t>
            </w:r>
            <w:r>
              <w:rPr>
                <w:rFonts w:cs="Arial"/>
                <w:bCs/>
                <w:sz w:val="20"/>
              </w:rPr>
              <w:fldChar w:fldCharType="begin"/>
            </w:r>
            <w:r>
              <w:rPr>
                <w:rFonts w:cs="Arial"/>
                <w:bCs/>
                <w:sz w:val="20"/>
              </w:rPr>
              <w:instrText xml:space="preserve"> REF _Ref90121730 \r \h </w:instrText>
            </w:r>
            <w:r>
              <w:rPr>
                <w:rFonts w:cs="Arial"/>
                <w:bCs/>
                <w:sz w:val="20"/>
              </w:rPr>
            </w:r>
            <w:r>
              <w:rPr>
                <w:rFonts w:cs="Arial"/>
                <w:bCs/>
                <w:sz w:val="20"/>
              </w:rPr>
              <w:fldChar w:fldCharType="separate"/>
            </w:r>
            <w:r>
              <w:rPr>
                <w:rFonts w:cs="Arial"/>
                <w:bCs/>
                <w:sz w:val="20"/>
              </w:rPr>
              <w:t>Issue 5</w:t>
            </w:r>
            <w:r>
              <w:rPr>
                <w:rFonts w:cs="Arial"/>
                <w:bCs/>
                <w:sz w:val="20"/>
              </w:rPr>
              <w:fldChar w:fldCharType="end"/>
            </w:r>
            <w:r w:rsidRPr="00A573DE">
              <w:rPr>
                <w:rFonts w:cs="Arial"/>
                <w:bCs/>
                <w:sz w:val="20"/>
              </w:rPr>
              <w:t xml:space="preserve"> such as change in reporting of carbapenem resistance.</w:t>
            </w:r>
          </w:p>
          <w:p w14:paraId="2377A266" w14:textId="77777777" w:rsidR="0008114B" w:rsidRPr="00A573DE" w:rsidRDefault="0008114B" w:rsidP="0008114B">
            <w:pPr>
              <w:widowControl w:val="0"/>
              <w:rPr>
                <w:rFonts w:cs="Arial"/>
                <w:bCs/>
                <w:sz w:val="20"/>
              </w:rPr>
            </w:pPr>
            <w:r w:rsidRPr="00A573DE">
              <w:rPr>
                <w:rFonts w:cs="Arial"/>
                <w:bCs/>
                <w:sz w:val="20"/>
              </w:rPr>
              <w:t xml:space="preserve">The dynamic disease transmission component was capable of estimating changes to future resistance. Scenarios were run to reflect increasing resistance to </w:t>
            </w:r>
            <w:r>
              <w:rPr>
                <w:rFonts w:cs="Arial"/>
                <w:bCs/>
                <w:sz w:val="20"/>
              </w:rPr>
              <w:t>CAZ-AVI</w:t>
            </w:r>
            <w:r w:rsidRPr="00A573DE">
              <w:rPr>
                <w:rFonts w:cs="Arial"/>
                <w:bCs/>
                <w:sz w:val="20"/>
              </w:rPr>
              <w:t xml:space="preserve"> (see</w:t>
            </w:r>
            <w:r>
              <w:rPr>
                <w:rFonts w:cs="Arial"/>
                <w:bCs/>
                <w:sz w:val="20"/>
              </w:rPr>
              <w:t xml:space="preserve"> </w:t>
            </w:r>
            <w:r>
              <w:rPr>
                <w:rFonts w:cs="Arial"/>
                <w:bCs/>
                <w:sz w:val="20"/>
              </w:rPr>
              <w:fldChar w:fldCharType="begin"/>
            </w:r>
            <w:r>
              <w:rPr>
                <w:rFonts w:cs="Arial"/>
                <w:bCs/>
                <w:sz w:val="20"/>
              </w:rPr>
              <w:instrText xml:space="preserve"> REF _Ref90129492 \r \h </w:instrText>
            </w:r>
            <w:r>
              <w:rPr>
                <w:rFonts w:cs="Arial"/>
                <w:bCs/>
                <w:sz w:val="20"/>
              </w:rPr>
            </w:r>
            <w:r>
              <w:rPr>
                <w:rFonts w:cs="Arial"/>
                <w:bCs/>
                <w:sz w:val="20"/>
              </w:rPr>
              <w:fldChar w:fldCharType="separate"/>
            </w:r>
            <w:r>
              <w:rPr>
                <w:rFonts w:cs="Arial"/>
                <w:bCs/>
                <w:sz w:val="20"/>
              </w:rPr>
              <w:t>Issue 3</w:t>
            </w:r>
            <w:r>
              <w:rPr>
                <w:rFonts w:cs="Arial"/>
                <w:bCs/>
                <w:sz w:val="20"/>
              </w:rPr>
              <w:fldChar w:fldCharType="end"/>
            </w:r>
            <w:r w:rsidRPr="00A573DE">
              <w:rPr>
                <w:rFonts w:cs="Arial"/>
                <w:bCs/>
                <w:sz w:val="20"/>
              </w:rPr>
              <w:t>).</w:t>
            </w:r>
          </w:p>
        </w:tc>
        <w:tc>
          <w:tcPr>
            <w:tcW w:w="4536" w:type="dxa"/>
          </w:tcPr>
          <w:p w14:paraId="3F9DF387" w14:textId="77777777" w:rsidR="0008114B" w:rsidRPr="00A573DE" w:rsidRDefault="0008114B" w:rsidP="0008114B">
            <w:pPr>
              <w:widowControl w:val="0"/>
              <w:rPr>
                <w:sz w:val="20"/>
              </w:rPr>
            </w:pPr>
            <w:r w:rsidRPr="00A573DE">
              <w:rPr>
                <w:rFonts w:cs="Arial"/>
                <w:bCs/>
                <w:sz w:val="20"/>
              </w:rPr>
              <w:t xml:space="preserve">Changes in resistance to existing </w:t>
            </w:r>
            <w:r>
              <w:rPr>
                <w:rFonts w:cs="Arial"/>
                <w:bCs/>
                <w:sz w:val="20"/>
              </w:rPr>
              <w:t>AMs</w:t>
            </w:r>
            <w:r w:rsidRPr="00A573DE">
              <w:rPr>
                <w:rFonts w:cs="Arial"/>
                <w:bCs/>
                <w:sz w:val="20"/>
              </w:rPr>
              <w:t xml:space="preserve"> over time was not included since evidence was deemed to be sparse. (p.11).</w:t>
            </w:r>
            <w:r w:rsidRPr="00A573DE">
              <w:rPr>
                <w:sz w:val="20"/>
              </w:rPr>
              <w:t xml:space="preserve"> </w:t>
            </w:r>
          </w:p>
          <w:p w14:paraId="29945F08" w14:textId="77777777" w:rsidR="0008114B" w:rsidRPr="00A573DE" w:rsidRDefault="0008114B" w:rsidP="0008114B">
            <w:pPr>
              <w:widowControl w:val="0"/>
              <w:rPr>
                <w:rFonts w:cs="Arial"/>
                <w:bCs/>
                <w:sz w:val="20"/>
              </w:rPr>
            </w:pPr>
            <w:r w:rsidRPr="00A573DE">
              <w:rPr>
                <w:sz w:val="20"/>
              </w:rPr>
              <w:t>For the estimates of AM use employed in the model, the 2019/20 ESPAUR report was used (p. 148) - of note the report was impacted by both COVID and reporting changes as stated in</w:t>
            </w:r>
            <w:r>
              <w:rPr>
                <w:sz w:val="20"/>
              </w:rPr>
              <w:t xml:space="preserve"> </w:t>
            </w:r>
            <w:r>
              <w:rPr>
                <w:sz w:val="20"/>
              </w:rPr>
              <w:fldChar w:fldCharType="begin"/>
            </w:r>
            <w:r>
              <w:rPr>
                <w:sz w:val="20"/>
              </w:rPr>
              <w:instrText xml:space="preserve"> REF _Ref90121730 \r \h </w:instrText>
            </w:r>
            <w:r>
              <w:rPr>
                <w:sz w:val="20"/>
              </w:rPr>
            </w:r>
            <w:r>
              <w:rPr>
                <w:sz w:val="20"/>
              </w:rPr>
              <w:fldChar w:fldCharType="separate"/>
            </w:r>
            <w:r>
              <w:rPr>
                <w:sz w:val="20"/>
              </w:rPr>
              <w:t>Issue 5</w:t>
            </w:r>
            <w:r>
              <w:rPr>
                <w:sz w:val="20"/>
              </w:rPr>
              <w:fldChar w:fldCharType="end"/>
            </w:r>
            <w:r w:rsidRPr="00A573DE">
              <w:rPr>
                <w:sz w:val="20"/>
              </w:rPr>
              <w:t>.</w:t>
            </w:r>
          </w:p>
        </w:tc>
      </w:tr>
      <w:tr w:rsidR="0008114B" w:rsidRPr="00A573DE" w14:paraId="3C2D52AC" w14:textId="77777777" w:rsidTr="0008114B">
        <w:trPr>
          <w:cantSplit/>
        </w:trPr>
        <w:tc>
          <w:tcPr>
            <w:tcW w:w="2269" w:type="dxa"/>
          </w:tcPr>
          <w:p w14:paraId="1251EABB" w14:textId="77777777" w:rsidR="0008114B" w:rsidRPr="00A573DE" w:rsidRDefault="0008114B" w:rsidP="0008114B">
            <w:pPr>
              <w:widowControl w:val="0"/>
              <w:rPr>
                <w:rFonts w:cs="Arial"/>
                <w:bCs/>
                <w:sz w:val="20"/>
              </w:rPr>
            </w:pPr>
            <w:r w:rsidRPr="00A573DE">
              <w:rPr>
                <w:rFonts w:cs="Arial"/>
                <w:bCs/>
                <w:sz w:val="20"/>
              </w:rPr>
              <w:lastRenderedPageBreak/>
              <w:t>Treatment efficacy and duration</w:t>
            </w:r>
          </w:p>
        </w:tc>
        <w:tc>
          <w:tcPr>
            <w:tcW w:w="4105" w:type="dxa"/>
          </w:tcPr>
          <w:p w14:paraId="6BA6BF87" w14:textId="77777777" w:rsidR="0008114B" w:rsidRPr="00A573DE" w:rsidRDefault="0008114B" w:rsidP="0008114B">
            <w:pPr>
              <w:widowControl w:val="0"/>
              <w:ind w:left="7"/>
              <w:rPr>
                <w:rFonts w:cs="Arial"/>
                <w:bCs/>
                <w:sz w:val="20"/>
              </w:rPr>
            </w:pPr>
            <w:r w:rsidRPr="00A573DE">
              <w:rPr>
                <w:rFonts w:cs="Arial"/>
                <w:bCs/>
                <w:sz w:val="20"/>
              </w:rPr>
              <w:t>“New AMs are usually evaluated using non-inferiority clinical trials in usual drug resistant pathogens.” (p.48)</w:t>
            </w:r>
          </w:p>
          <w:p w14:paraId="770E95B3" w14:textId="77777777" w:rsidR="0008114B" w:rsidRPr="00A573DE" w:rsidRDefault="0008114B" w:rsidP="0008114B">
            <w:pPr>
              <w:widowControl w:val="0"/>
              <w:ind w:left="7"/>
              <w:rPr>
                <w:rFonts w:cs="Arial"/>
                <w:bCs/>
                <w:sz w:val="20"/>
              </w:rPr>
            </w:pPr>
            <w:r w:rsidRPr="00A573DE">
              <w:rPr>
                <w:rFonts w:cs="Arial"/>
                <w:bCs/>
                <w:sz w:val="20"/>
              </w:rPr>
              <w:t>“Alongside the clinical phase II studies, microbiological in-vitro data are often collected. […] this involves susceptibility testing.” (p.51)</w:t>
            </w:r>
          </w:p>
          <w:p w14:paraId="0591F761" w14:textId="77777777" w:rsidR="0008114B" w:rsidRPr="00A573DE" w:rsidRDefault="0008114B" w:rsidP="0008114B">
            <w:pPr>
              <w:widowControl w:val="0"/>
              <w:ind w:left="7"/>
              <w:rPr>
                <w:rFonts w:cs="Arial"/>
                <w:bCs/>
                <w:sz w:val="20"/>
              </w:rPr>
            </w:pPr>
            <w:r w:rsidRPr="00A573DE">
              <w:rPr>
                <w:rFonts w:cs="Arial"/>
                <w:bCs/>
                <w:sz w:val="20"/>
              </w:rPr>
              <w:t>“In general, a positive correlation between [clinical and microbiological response] outcomes would be expected […]. However, results of prospective studies that have assessed both clinical responses and microbiological eradication rates have shown that it is not always possible to presume that what happens in-vitro can be extrapolated to therapeutic outcomes of clinical success or failure.” (p.56)</w:t>
            </w:r>
          </w:p>
        </w:tc>
        <w:tc>
          <w:tcPr>
            <w:tcW w:w="4253" w:type="dxa"/>
          </w:tcPr>
          <w:p w14:paraId="4BCC07C0" w14:textId="77777777" w:rsidR="0008114B" w:rsidRPr="00A573DE" w:rsidRDefault="0008114B" w:rsidP="0008114B">
            <w:pPr>
              <w:widowControl w:val="0"/>
              <w:rPr>
                <w:rFonts w:cs="Arial"/>
                <w:bCs/>
                <w:sz w:val="20"/>
              </w:rPr>
            </w:pPr>
            <w:r w:rsidRPr="00A573DE">
              <w:rPr>
                <w:rFonts w:cs="Arial"/>
                <w:bCs/>
                <w:sz w:val="20"/>
              </w:rPr>
              <w:t xml:space="preserve">Treatment efficacy was based on several high-quality pivotal Phase II/III studies of </w:t>
            </w:r>
            <w:r>
              <w:rPr>
                <w:rFonts w:cs="Arial"/>
                <w:bCs/>
                <w:sz w:val="20"/>
              </w:rPr>
              <w:t>CAZ-AVI</w:t>
            </w:r>
            <w:r w:rsidRPr="00A573DE">
              <w:rPr>
                <w:rFonts w:cs="Arial"/>
                <w:bCs/>
                <w:sz w:val="20"/>
              </w:rPr>
              <w:t xml:space="preserve"> and supplemented by published literature.</w:t>
            </w:r>
          </w:p>
          <w:p w14:paraId="6D521D79" w14:textId="77777777" w:rsidR="0008114B" w:rsidRPr="00A573DE" w:rsidRDefault="0008114B" w:rsidP="0008114B">
            <w:pPr>
              <w:widowControl w:val="0"/>
              <w:rPr>
                <w:rFonts w:cs="Arial"/>
                <w:bCs/>
                <w:sz w:val="20"/>
              </w:rPr>
            </w:pPr>
          </w:p>
          <w:p w14:paraId="0241AB2A" w14:textId="77777777" w:rsidR="0008114B" w:rsidRPr="00A573DE" w:rsidRDefault="0008114B" w:rsidP="0008114B">
            <w:pPr>
              <w:widowControl w:val="0"/>
              <w:rPr>
                <w:rFonts w:cs="Arial"/>
                <w:bCs/>
                <w:sz w:val="20"/>
              </w:rPr>
            </w:pPr>
            <w:r w:rsidRPr="00A573DE">
              <w:rPr>
                <w:rFonts w:cs="Arial"/>
                <w:bCs/>
                <w:sz w:val="20"/>
              </w:rPr>
              <w:t xml:space="preserve">Baseline pathogen resistance levels were sources primarily from the 2019 ESPAUR report, where required data </w:t>
            </w:r>
            <w:r>
              <w:rPr>
                <w:rFonts w:cs="Arial"/>
                <w:bCs/>
                <w:sz w:val="20"/>
              </w:rPr>
              <w:t xml:space="preserve">was </w:t>
            </w:r>
            <w:r w:rsidRPr="00A573DE">
              <w:rPr>
                <w:rFonts w:cs="Arial"/>
                <w:bCs/>
                <w:sz w:val="20"/>
              </w:rPr>
              <w:t xml:space="preserve">not </w:t>
            </w:r>
            <w:r>
              <w:rPr>
                <w:rFonts w:cs="Arial"/>
                <w:bCs/>
                <w:sz w:val="20"/>
              </w:rPr>
              <w:t xml:space="preserve">appropriate or </w:t>
            </w:r>
            <w:r w:rsidRPr="00A573DE">
              <w:rPr>
                <w:rFonts w:cs="Arial"/>
                <w:bCs/>
                <w:sz w:val="20"/>
              </w:rPr>
              <w:t>available, the 2018 report was used as supplementary evidence.</w:t>
            </w:r>
          </w:p>
        </w:tc>
        <w:tc>
          <w:tcPr>
            <w:tcW w:w="4536" w:type="dxa"/>
          </w:tcPr>
          <w:p w14:paraId="2C5015A5" w14:textId="77777777" w:rsidR="0008114B" w:rsidRPr="00A573DE" w:rsidRDefault="0008114B" w:rsidP="0008114B">
            <w:pPr>
              <w:widowControl w:val="0"/>
              <w:rPr>
                <w:rFonts w:cs="Arial"/>
                <w:bCs/>
                <w:sz w:val="20"/>
              </w:rPr>
            </w:pPr>
            <w:r w:rsidRPr="00A573DE">
              <w:rPr>
                <w:rFonts w:cs="Arial"/>
                <w:bCs/>
                <w:sz w:val="20"/>
              </w:rPr>
              <w:t xml:space="preserve">Treatment efficacy did rely on </w:t>
            </w:r>
            <w:r w:rsidRPr="00A573DE">
              <w:rPr>
                <w:rFonts w:cs="Arial"/>
                <w:bCs/>
                <w:i/>
                <w:iCs/>
                <w:sz w:val="20"/>
              </w:rPr>
              <w:t>in vitro</w:t>
            </w:r>
            <w:r w:rsidRPr="00A573DE">
              <w:rPr>
                <w:rFonts w:cs="Arial"/>
                <w:bCs/>
                <w:sz w:val="20"/>
              </w:rPr>
              <w:t xml:space="preserve"> susceptibility data due to lack of </w:t>
            </w:r>
            <w:r w:rsidRPr="00A573DE">
              <w:rPr>
                <w:rFonts w:cs="Arial"/>
                <w:bCs/>
                <w:i/>
                <w:iCs/>
                <w:sz w:val="20"/>
              </w:rPr>
              <w:t>in vivo</w:t>
            </w:r>
            <w:r w:rsidRPr="00A573DE">
              <w:rPr>
                <w:rFonts w:cs="Arial"/>
                <w:bCs/>
                <w:sz w:val="20"/>
              </w:rPr>
              <w:t xml:space="preserve"> data. A link was then made between susceptibility and clinical outcomes using published data and expert elicitation.</w:t>
            </w:r>
          </w:p>
          <w:p w14:paraId="175B14F1" w14:textId="77777777" w:rsidR="0008114B" w:rsidRPr="00A573DE" w:rsidRDefault="0008114B" w:rsidP="0008114B">
            <w:pPr>
              <w:widowControl w:val="0"/>
              <w:rPr>
                <w:rFonts w:cs="Arial"/>
                <w:bCs/>
                <w:sz w:val="20"/>
              </w:rPr>
            </w:pPr>
          </w:p>
          <w:p w14:paraId="1C3F1C4C" w14:textId="77777777" w:rsidR="0008114B" w:rsidRPr="00A573DE" w:rsidRDefault="0008114B" w:rsidP="0008114B">
            <w:pPr>
              <w:widowControl w:val="0"/>
              <w:rPr>
                <w:rFonts w:cs="Arial"/>
                <w:bCs/>
                <w:sz w:val="20"/>
              </w:rPr>
            </w:pPr>
            <w:r w:rsidRPr="00A573DE">
              <w:rPr>
                <w:rFonts w:cs="Arial"/>
                <w:bCs/>
                <w:sz w:val="20"/>
              </w:rPr>
              <w:t>The focus was put on nephrotoxicity and the occurrence of acute kidney injury.</w:t>
            </w:r>
          </w:p>
        </w:tc>
      </w:tr>
      <w:tr w:rsidR="0008114B" w:rsidRPr="00A573DE" w14:paraId="529194E9" w14:textId="77777777" w:rsidTr="0008114B">
        <w:trPr>
          <w:cantSplit/>
        </w:trPr>
        <w:tc>
          <w:tcPr>
            <w:tcW w:w="2269" w:type="dxa"/>
          </w:tcPr>
          <w:p w14:paraId="31C959C4" w14:textId="77777777" w:rsidR="0008114B" w:rsidRPr="00A573DE" w:rsidRDefault="0008114B" w:rsidP="0008114B">
            <w:pPr>
              <w:widowControl w:val="0"/>
              <w:rPr>
                <w:rFonts w:cs="Arial"/>
                <w:bCs/>
                <w:sz w:val="20"/>
              </w:rPr>
            </w:pPr>
            <w:r w:rsidRPr="00A573DE">
              <w:rPr>
                <w:rFonts w:cs="Arial"/>
                <w:bCs/>
                <w:sz w:val="20"/>
              </w:rPr>
              <w:t xml:space="preserve">Costs </w:t>
            </w:r>
          </w:p>
        </w:tc>
        <w:tc>
          <w:tcPr>
            <w:tcW w:w="4105" w:type="dxa"/>
          </w:tcPr>
          <w:p w14:paraId="14858068" w14:textId="77777777" w:rsidR="0008114B" w:rsidRPr="00A573DE" w:rsidRDefault="0008114B" w:rsidP="0008114B">
            <w:pPr>
              <w:widowControl w:val="0"/>
              <w:ind w:left="7"/>
              <w:rPr>
                <w:rFonts w:cs="Arial"/>
                <w:bCs/>
                <w:sz w:val="20"/>
              </w:rPr>
            </w:pPr>
            <w:r w:rsidRPr="00A573DE">
              <w:rPr>
                <w:rFonts w:cs="Arial"/>
                <w:bCs/>
                <w:sz w:val="20"/>
              </w:rPr>
              <w:t xml:space="preserve">Standard sources for cost of </w:t>
            </w:r>
            <w:r>
              <w:rPr>
                <w:rFonts w:cs="Arial"/>
                <w:bCs/>
                <w:sz w:val="20"/>
              </w:rPr>
              <w:t>AMs</w:t>
            </w:r>
            <w:r w:rsidRPr="00A573DE">
              <w:rPr>
                <w:rFonts w:cs="Arial"/>
                <w:bCs/>
                <w:sz w:val="20"/>
              </w:rPr>
              <w:t xml:space="preserve"> and administration and monitoring costs (p.76)</w:t>
            </w:r>
          </w:p>
        </w:tc>
        <w:tc>
          <w:tcPr>
            <w:tcW w:w="4253" w:type="dxa"/>
          </w:tcPr>
          <w:p w14:paraId="609BE534" w14:textId="77777777" w:rsidR="0008114B" w:rsidRPr="00A573DE" w:rsidRDefault="0008114B" w:rsidP="0008114B">
            <w:pPr>
              <w:widowControl w:val="0"/>
              <w:rPr>
                <w:rFonts w:cs="Arial"/>
                <w:bCs/>
                <w:sz w:val="20"/>
              </w:rPr>
            </w:pPr>
            <w:r w:rsidRPr="00A573DE">
              <w:rPr>
                <w:rFonts w:cs="Arial"/>
                <w:bCs/>
                <w:sz w:val="20"/>
              </w:rPr>
              <w:t>The costs were taken from public UK sources.</w:t>
            </w:r>
          </w:p>
        </w:tc>
        <w:tc>
          <w:tcPr>
            <w:tcW w:w="4536" w:type="dxa"/>
          </w:tcPr>
          <w:p w14:paraId="57B4EA69" w14:textId="77777777" w:rsidR="0008114B" w:rsidRPr="00A573DE" w:rsidRDefault="0008114B" w:rsidP="0008114B">
            <w:pPr>
              <w:widowControl w:val="0"/>
              <w:rPr>
                <w:rFonts w:cs="Arial"/>
                <w:bCs/>
                <w:sz w:val="20"/>
              </w:rPr>
            </w:pPr>
            <w:r w:rsidRPr="00A573DE">
              <w:rPr>
                <w:rFonts w:cs="Arial"/>
                <w:bCs/>
                <w:sz w:val="20"/>
              </w:rPr>
              <w:t>The costs were taken from published UK literature adjusted to 2019/2020 prices.</w:t>
            </w:r>
          </w:p>
        </w:tc>
      </w:tr>
      <w:tr w:rsidR="0008114B" w:rsidRPr="00A573DE" w14:paraId="6AAA0223" w14:textId="77777777" w:rsidTr="0008114B">
        <w:trPr>
          <w:cantSplit/>
        </w:trPr>
        <w:tc>
          <w:tcPr>
            <w:tcW w:w="2269" w:type="dxa"/>
          </w:tcPr>
          <w:p w14:paraId="360A9586" w14:textId="77777777" w:rsidR="0008114B" w:rsidRPr="00A573DE" w:rsidRDefault="0008114B" w:rsidP="0008114B">
            <w:pPr>
              <w:widowControl w:val="0"/>
              <w:rPr>
                <w:rFonts w:cs="Arial"/>
                <w:bCs/>
                <w:sz w:val="20"/>
              </w:rPr>
            </w:pPr>
            <w:r w:rsidRPr="00A573DE">
              <w:rPr>
                <w:rFonts w:cs="Arial"/>
                <w:bCs/>
                <w:sz w:val="20"/>
              </w:rPr>
              <w:t>Validation</w:t>
            </w:r>
          </w:p>
        </w:tc>
        <w:tc>
          <w:tcPr>
            <w:tcW w:w="4105" w:type="dxa"/>
          </w:tcPr>
          <w:p w14:paraId="4F16F837" w14:textId="77777777" w:rsidR="0008114B" w:rsidRPr="00A573DE" w:rsidRDefault="0008114B" w:rsidP="0008114B">
            <w:pPr>
              <w:widowControl w:val="0"/>
              <w:ind w:left="7"/>
              <w:rPr>
                <w:rFonts w:cs="Arial"/>
                <w:bCs/>
                <w:sz w:val="20"/>
              </w:rPr>
            </w:pPr>
            <w:r w:rsidRPr="00A573DE">
              <w:rPr>
                <w:rFonts w:cs="Arial"/>
                <w:bCs/>
                <w:sz w:val="20"/>
              </w:rPr>
              <w:t>“There is a strong requirement for validation of model outcomes against historical data.” (p.81)</w:t>
            </w:r>
          </w:p>
        </w:tc>
        <w:tc>
          <w:tcPr>
            <w:tcW w:w="4253" w:type="dxa"/>
          </w:tcPr>
          <w:p w14:paraId="3F3D3B35" w14:textId="77777777" w:rsidR="0008114B" w:rsidRPr="00A573DE" w:rsidRDefault="0008114B" w:rsidP="0008114B">
            <w:pPr>
              <w:widowControl w:val="0"/>
              <w:rPr>
                <w:rFonts w:cs="Arial"/>
                <w:bCs/>
                <w:sz w:val="20"/>
              </w:rPr>
            </w:pPr>
            <w:r w:rsidRPr="00A573DE">
              <w:rPr>
                <w:rFonts w:cs="Arial"/>
                <w:bCs/>
                <w:sz w:val="20"/>
              </w:rPr>
              <w:t>Model outputs have been validated against historical data. Further, the economic model has been subjected to extensive, peer-reviewed, published validation. Clinical experts were involved in model conceptualisation, implementation</w:t>
            </w:r>
            <w:r>
              <w:rPr>
                <w:rFonts w:cs="Arial"/>
                <w:bCs/>
                <w:sz w:val="20"/>
              </w:rPr>
              <w:t>,</w:t>
            </w:r>
            <w:r w:rsidRPr="00A573DE">
              <w:rPr>
                <w:rFonts w:cs="Arial"/>
                <w:bCs/>
                <w:sz w:val="20"/>
              </w:rPr>
              <w:t xml:space="preserve"> and validation. Additionally, any assumptions included in the submitted model were addressed by Delphi panel, for which full documentation has been provided.</w:t>
            </w:r>
          </w:p>
        </w:tc>
        <w:tc>
          <w:tcPr>
            <w:tcW w:w="4536" w:type="dxa"/>
          </w:tcPr>
          <w:p w14:paraId="2B15494E" w14:textId="77777777" w:rsidR="0008114B" w:rsidRPr="00A573DE" w:rsidRDefault="0008114B" w:rsidP="0008114B">
            <w:pPr>
              <w:widowControl w:val="0"/>
              <w:rPr>
                <w:rFonts w:cs="Arial"/>
                <w:bCs/>
                <w:sz w:val="20"/>
              </w:rPr>
            </w:pPr>
            <w:r w:rsidRPr="00A573DE">
              <w:rPr>
                <w:rFonts w:cs="Arial"/>
                <w:bCs/>
                <w:sz w:val="20"/>
              </w:rPr>
              <w:t>Scope of decision model, model structure and evidence used was validated by clinical and microbiologist experts</w:t>
            </w:r>
            <w:r>
              <w:rPr>
                <w:rFonts w:cs="Arial"/>
                <w:bCs/>
                <w:sz w:val="20"/>
              </w:rPr>
              <w:t xml:space="preserve"> using techniques limited by resource and time constraints. </w:t>
            </w:r>
          </w:p>
        </w:tc>
      </w:tr>
      <w:tr w:rsidR="0008114B" w:rsidRPr="00A573DE" w14:paraId="6A747AED" w14:textId="77777777" w:rsidTr="0008114B">
        <w:trPr>
          <w:cantSplit/>
        </w:trPr>
        <w:tc>
          <w:tcPr>
            <w:tcW w:w="2269" w:type="dxa"/>
          </w:tcPr>
          <w:p w14:paraId="1720D986" w14:textId="77777777" w:rsidR="0008114B" w:rsidRPr="00A573DE" w:rsidRDefault="0008114B" w:rsidP="0008114B">
            <w:pPr>
              <w:widowControl w:val="0"/>
              <w:rPr>
                <w:rFonts w:cs="Arial"/>
                <w:bCs/>
                <w:sz w:val="20"/>
              </w:rPr>
            </w:pPr>
            <w:r w:rsidRPr="00A573DE">
              <w:rPr>
                <w:rFonts w:cs="Arial"/>
                <w:bCs/>
                <w:sz w:val="20"/>
              </w:rPr>
              <w:t>Additional value elements</w:t>
            </w:r>
          </w:p>
        </w:tc>
        <w:tc>
          <w:tcPr>
            <w:tcW w:w="4105" w:type="dxa"/>
          </w:tcPr>
          <w:p w14:paraId="6245B73B" w14:textId="77777777" w:rsidR="0008114B" w:rsidRPr="00A573DE" w:rsidRDefault="0008114B" w:rsidP="0008114B">
            <w:pPr>
              <w:widowControl w:val="0"/>
              <w:ind w:left="7"/>
              <w:rPr>
                <w:rFonts w:cs="Arial"/>
                <w:bCs/>
                <w:sz w:val="20"/>
              </w:rPr>
            </w:pPr>
            <w:r w:rsidRPr="00A573DE">
              <w:rPr>
                <w:sz w:val="20"/>
                <w:szCs w:val="18"/>
              </w:rPr>
              <w:t>“</w:t>
            </w:r>
            <w:r>
              <w:rPr>
                <w:sz w:val="20"/>
                <w:szCs w:val="18"/>
              </w:rPr>
              <w:t>S</w:t>
            </w:r>
            <w:r w:rsidRPr="006D3CF8">
              <w:rPr>
                <w:sz w:val="20"/>
                <w:szCs w:val="18"/>
              </w:rPr>
              <w:t>pecific values that need to be captured for AMs: transmission, diversity, enablement, insurance, and spectrum</w:t>
            </w:r>
            <w:r w:rsidRPr="00A573DE">
              <w:rPr>
                <w:sz w:val="20"/>
                <w:szCs w:val="18"/>
              </w:rPr>
              <w:t>”</w:t>
            </w:r>
          </w:p>
        </w:tc>
        <w:tc>
          <w:tcPr>
            <w:tcW w:w="4253" w:type="dxa"/>
          </w:tcPr>
          <w:p w14:paraId="27932C33" w14:textId="77777777" w:rsidR="0008114B" w:rsidRDefault="0008114B" w:rsidP="0008114B">
            <w:pPr>
              <w:widowControl w:val="0"/>
              <w:rPr>
                <w:rFonts w:cs="Arial"/>
                <w:bCs/>
                <w:sz w:val="20"/>
              </w:rPr>
            </w:pPr>
            <w:r w:rsidRPr="00A573DE">
              <w:rPr>
                <w:rFonts w:cs="Arial"/>
                <w:bCs/>
                <w:sz w:val="20"/>
              </w:rPr>
              <w:t>The focus was on transmission and diversity: enablement and insurance were captured partially</w:t>
            </w:r>
            <w:r>
              <w:rPr>
                <w:rFonts w:cs="Arial"/>
                <w:bCs/>
                <w:sz w:val="20"/>
              </w:rPr>
              <w:t>.</w:t>
            </w:r>
          </w:p>
          <w:p w14:paraId="54136B3B" w14:textId="77777777" w:rsidR="0008114B" w:rsidRDefault="0008114B" w:rsidP="0008114B">
            <w:pPr>
              <w:widowControl w:val="0"/>
              <w:rPr>
                <w:rFonts w:cs="Arial"/>
                <w:bCs/>
                <w:sz w:val="20"/>
              </w:rPr>
            </w:pPr>
          </w:p>
          <w:p w14:paraId="080593F3" w14:textId="77777777" w:rsidR="0008114B" w:rsidRPr="00A573DE" w:rsidRDefault="0008114B" w:rsidP="0008114B">
            <w:pPr>
              <w:widowControl w:val="0"/>
              <w:rPr>
                <w:rFonts w:cs="Arial"/>
                <w:bCs/>
                <w:sz w:val="20"/>
              </w:rPr>
            </w:pPr>
            <w:r>
              <w:rPr>
                <w:rFonts w:cs="Arial"/>
                <w:bCs/>
                <w:sz w:val="20"/>
              </w:rPr>
              <w:t xml:space="preserve">Separate modelling of insurance value is soon to be published, with an outline provided in Section </w:t>
            </w:r>
            <w:r>
              <w:rPr>
                <w:rFonts w:cs="Arial"/>
                <w:bCs/>
                <w:sz w:val="20"/>
              </w:rPr>
              <w:fldChar w:fldCharType="begin"/>
            </w:r>
            <w:r>
              <w:rPr>
                <w:rFonts w:cs="Arial"/>
                <w:bCs/>
                <w:sz w:val="20"/>
              </w:rPr>
              <w:instrText xml:space="preserve"> REF _Ref90315524 \r \h </w:instrText>
            </w:r>
            <w:r>
              <w:rPr>
                <w:rFonts w:cs="Arial"/>
                <w:bCs/>
                <w:sz w:val="20"/>
              </w:rPr>
            </w:r>
            <w:r>
              <w:rPr>
                <w:rFonts w:cs="Arial"/>
                <w:bCs/>
                <w:sz w:val="20"/>
              </w:rPr>
              <w:fldChar w:fldCharType="separate"/>
            </w:r>
            <w:r>
              <w:rPr>
                <w:rFonts w:cs="Arial"/>
                <w:bCs/>
                <w:sz w:val="20"/>
              </w:rPr>
              <w:t>2.4</w:t>
            </w:r>
            <w:r>
              <w:rPr>
                <w:rFonts w:cs="Arial"/>
                <w:bCs/>
                <w:sz w:val="20"/>
              </w:rPr>
              <w:fldChar w:fldCharType="end"/>
            </w:r>
            <w:r>
              <w:rPr>
                <w:rFonts w:cs="Arial"/>
                <w:bCs/>
                <w:sz w:val="20"/>
              </w:rPr>
              <w:t>.</w:t>
            </w:r>
          </w:p>
        </w:tc>
        <w:tc>
          <w:tcPr>
            <w:tcW w:w="4536" w:type="dxa"/>
          </w:tcPr>
          <w:p w14:paraId="590978C3" w14:textId="77777777" w:rsidR="0008114B" w:rsidRDefault="0008114B" w:rsidP="0008114B">
            <w:pPr>
              <w:widowControl w:val="0"/>
              <w:rPr>
                <w:rFonts w:cs="Arial"/>
                <w:bCs/>
                <w:sz w:val="20"/>
              </w:rPr>
            </w:pPr>
            <w:r w:rsidRPr="00A573DE">
              <w:rPr>
                <w:rFonts w:cs="Arial"/>
                <w:bCs/>
                <w:sz w:val="20"/>
              </w:rPr>
              <w:t xml:space="preserve">Enablement and insurance value was assessed; however, full value enablement value may not be captured (as outlined in </w:t>
            </w:r>
            <w:r w:rsidRPr="00A573DE">
              <w:rPr>
                <w:rFonts w:cs="Arial"/>
                <w:bCs/>
                <w:sz w:val="20"/>
              </w:rPr>
              <w:fldChar w:fldCharType="begin"/>
            </w:r>
            <w:r w:rsidRPr="00A573DE">
              <w:rPr>
                <w:rFonts w:cs="Arial"/>
                <w:bCs/>
                <w:sz w:val="20"/>
              </w:rPr>
              <w:instrText xml:space="preserve"> REF _Ref90039527 \h  \* MERGEFORMAT </w:instrText>
            </w:r>
            <w:r w:rsidRPr="00A573DE">
              <w:rPr>
                <w:rFonts w:cs="Arial"/>
                <w:bCs/>
                <w:sz w:val="20"/>
              </w:rPr>
            </w:r>
            <w:r w:rsidRPr="00A573DE">
              <w:rPr>
                <w:rFonts w:cs="Arial"/>
                <w:bCs/>
                <w:sz w:val="20"/>
              </w:rPr>
              <w:fldChar w:fldCharType="separate"/>
            </w:r>
            <w:r w:rsidRPr="00663A8E">
              <w:rPr>
                <w:sz w:val="20"/>
              </w:rPr>
              <w:t>Table 2</w:t>
            </w:r>
            <w:r w:rsidRPr="00A573DE">
              <w:rPr>
                <w:rFonts w:cs="Arial"/>
                <w:bCs/>
                <w:sz w:val="20"/>
              </w:rPr>
              <w:fldChar w:fldCharType="end"/>
            </w:r>
            <w:r w:rsidRPr="00A573DE">
              <w:rPr>
                <w:rFonts w:cs="Arial"/>
                <w:bCs/>
                <w:sz w:val="20"/>
              </w:rPr>
              <w:t>). Further, transmission and diversity value were deemed to be insignificant as drivers of benefit.</w:t>
            </w:r>
          </w:p>
          <w:p w14:paraId="5B6AC67A" w14:textId="77777777" w:rsidR="0008114B" w:rsidRDefault="0008114B" w:rsidP="0008114B">
            <w:pPr>
              <w:widowControl w:val="0"/>
              <w:rPr>
                <w:rFonts w:cs="Arial"/>
                <w:bCs/>
                <w:sz w:val="20"/>
              </w:rPr>
            </w:pPr>
          </w:p>
          <w:p w14:paraId="2A4D16E8" w14:textId="77777777" w:rsidR="0008114B" w:rsidRPr="00A573DE" w:rsidRDefault="0008114B" w:rsidP="0008114B">
            <w:pPr>
              <w:widowControl w:val="0"/>
              <w:rPr>
                <w:rFonts w:cs="Arial"/>
                <w:bCs/>
                <w:sz w:val="20"/>
              </w:rPr>
            </w:pPr>
            <w:r>
              <w:rPr>
                <w:rFonts w:cs="Arial"/>
                <w:bCs/>
                <w:sz w:val="20"/>
              </w:rPr>
              <w:t>To note: the exploration of the enablement and insurance value is to be heavily caveated</w:t>
            </w:r>
          </w:p>
        </w:tc>
      </w:tr>
      <w:tr w:rsidR="0008114B" w:rsidRPr="00A573DE" w14:paraId="3DE64FC7" w14:textId="77777777" w:rsidTr="0008114B">
        <w:trPr>
          <w:cantSplit/>
        </w:trPr>
        <w:tc>
          <w:tcPr>
            <w:tcW w:w="2269" w:type="dxa"/>
          </w:tcPr>
          <w:p w14:paraId="119CBC3A" w14:textId="77777777" w:rsidR="0008114B" w:rsidRPr="00A573DE" w:rsidRDefault="0008114B" w:rsidP="0008114B">
            <w:pPr>
              <w:widowControl w:val="0"/>
              <w:rPr>
                <w:rFonts w:cs="Arial"/>
                <w:bCs/>
                <w:sz w:val="20"/>
              </w:rPr>
            </w:pPr>
            <w:r w:rsidRPr="00A573DE">
              <w:rPr>
                <w:rFonts w:cs="Arial"/>
                <w:bCs/>
                <w:sz w:val="20"/>
              </w:rPr>
              <w:lastRenderedPageBreak/>
              <w:t>Expert elicitation</w:t>
            </w:r>
          </w:p>
        </w:tc>
        <w:tc>
          <w:tcPr>
            <w:tcW w:w="4105" w:type="dxa"/>
          </w:tcPr>
          <w:p w14:paraId="44EDC6A6" w14:textId="77777777" w:rsidR="0008114B" w:rsidRPr="00A573DE" w:rsidRDefault="0008114B" w:rsidP="0008114B">
            <w:pPr>
              <w:widowControl w:val="0"/>
              <w:ind w:left="7"/>
              <w:rPr>
                <w:sz w:val="20"/>
                <w:szCs w:val="18"/>
              </w:rPr>
            </w:pPr>
            <w:r w:rsidRPr="00A573DE">
              <w:rPr>
                <w:sz w:val="20"/>
                <w:szCs w:val="18"/>
              </w:rPr>
              <w:t>“[…] some areas of the NICE methods guide for technology appraisal may need to be extended to deal with the complexities of assessing new AMs. These include […] the more extensive and systematic use of expert elicitation methods and model calibration for inferring values for unobservable parameters.” (p.7)</w:t>
            </w:r>
          </w:p>
          <w:p w14:paraId="70EAB661" w14:textId="77777777" w:rsidR="0008114B" w:rsidRPr="00A573DE" w:rsidRDefault="0008114B" w:rsidP="0008114B">
            <w:pPr>
              <w:widowControl w:val="0"/>
              <w:ind w:left="7"/>
              <w:rPr>
                <w:sz w:val="20"/>
                <w:szCs w:val="18"/>
              </w:rPr>
            </w:pPr>
            <w:r w:rsidRPr="00A573DE">
              <w:rPr>
                <w:sz w:val="20"/>
                <w:szCs w:val="18"/>
              </w:rPr>
              <w:t>“In the absence of data for a particular model parameter, expert elicitation may be used where relevant experts are asked to provide their judgement regarding the magnitude of a given parameter and its uncertainty” p. 37</w:t>
            </w:r>
          </w:p>
          <w:p w14:paraId="77638C8A" w14:textId="77777777" w:rsidR="0008114B" w:rsidRPr="00A573DE" w:rsidRDefault="0008114B" w:rsidP="0008114B">
            <w:pPr>
              <w:widowControl w:val="0"/>
              <w:ind w:left="7"/>
              <w:rPr>
                <w:sz w:val="20"/>
                <w:szCs w:val="18"/>
              </w:rPr>
            </w:pPr>
            <w:r w:rsidRPr="00A573DE">
              <w:rPr>
                <w:sz w:val="18"/>
                <w:szCs w:val="16"/>
              </w:rPr>
              <w:t>“</w:t>
            </w:r>
            <w:r w:rsidRPr="00A573DE">
              <w:rPr>
                <w:sz w:val="20"/>
                <w:szCs w:val="18"/>
              </w:rPr>
              <w:t>The elicitation of scientific and technical judgements from experts can be a valuable addition to other forms of evidence to support effects on key parameters” (p.85)</w:t>
            </w:r>
          </w:p>
        </w:tc>
        <w:tc>
          <w:tcPr>
            <w:tcW w:w="4253" w:type="dxa"/>
          </w:tcPr>
          <w:p w14:paraId="41137A27" w14:textId="77777777" w:rsidR="0008114B" w:rsidRPr="00A573DE" w:rsidRDefault="0008114B" w:rsidP="0008114B">
            <w:pPr>
              <w:widowControl w:val="0"/>
              <w:rPr>
                <w:rFonts w:cs="Arial"/>
                <w:bCs/>
                <w:sz w:val="20"/>
              </w:rPr>
            </w:pPr>
            <w:r w:rsidRPr="00A573DE">
              <w:rPr>
                <w:rFonts w:cs="Arial"/>
                <w:bCs/>
                <w:sz w:val="20"/>
              </w:rPr>
              <w:t>Robust and thorough expert elicitation was used at different stages of the model development:</w:t>
            </w:r>
          </w:p>
          <w:p w14:paraId="2341F2ED" w14:textId="77777777" w:rsidR="0008114B" w:rsidRPr="00A573DE" w:rsidRDefault="0008114B" w:rsidP="0008114B">
            <w:pPr>
              <w:pStyle w:val="ListParagraph"/>
              <w:widowControl w:val="0"/>
              <w:numPr>
                <w:ilvl w:val="0"/>
                <w:numId w:val="36"/>
              </w:numPr>
              <w:rPr>
                <w:rFonts w:ascii="Arial" w:hAnsi="Arial" w:cs="Arial"/>
                <w:bCs/>
                <w:sz w:val="20"/>
              </w:rPr>
            </w:pPr>
            <w:r w:rsidRPr="00A573DE">
              <w:rPr>
                <w:rFonts w:ascii="Arial" w:hAnsi="Arial" w:cs="Arial"/>
                <w:bCs/>
                <w:sz w:val="20"/>
              </w:rPr>
              <w:t xml:space="preserve">During model conceptualisation through extensive expert consultation to ensure and demonstrate the rigour, </w:t>
            </w:r>
            <w:proofErr w:type="gramStart"/>
            <w:r w:rsidRPr="00A573DE">
              <w:rPr>
                <w:rFonts w:ascii="Arial" w:hAnsi="Arial" w:cs="Arial"/>
                <w:bCs/>
                <w:sz w:val="20"/>
              </w:rPr>
              <w:t>relevance</w:t>
            </w:r>
            <w:proofErr w:type="gramEnd"/>
            <w:r w:rsidRPr="00A573DE">
              <w:rPr>
                <w:rFonts w:ascii="Arial" w:hAnsi="Arial" w:cs="Arial"/>
                <w:bCs/>
                <w:sz w:val="20"/>
              </w:rPr>
              <w:t xml:space="preserve"> and value of the model</w:t>
            </w:r>
          </w:p>
          <w:p w14:paraId="34112FE3" w14:textId="77777777" w:rsidR="0008114B" w:rsidRPr="00A573DE" w:rsidRDefault="0008114B" w:rsidP="0008114B">
            <w:pPr>
              <w:pStyle w:val="ListParagraph"/>
              <w:widowControl w:val="0"/>
              <w:numPr>
                <w:ilvl w:val="0"/>
                <w:numId w:val="36"/>
              </w:numPr>
              <w:rPr>
                <w:rFonts w:ascii="Arial" w:hAnsi="Arial" w:cs="Arial"/>
                <w:bCs/>
                <w:sz w:val="20"/>
              </w:rPr>
            </w:pPr>
            <w:r w:rsidRPr="00A573DE">
              <w:rPr>
                <w:rFonts w:ascii="Arial" w:hAnsi="Arial" w:cs="Arial"/>
                <w:bCs/>
                <w:sz w:val="20"/>
              </w:rPr>
              <w:t>To determine the most appropriate comparators (including clinical experts and microbiologists)</w:t>
            </w:r>
          </w:p>
          <w:p w14:paraId="1266DD60" w14:textId="77777777" w:rsidR="0008114B" w:rsidRPr="00A573DE" w:rsidRDefault="0008114B" w:rsidP="0008114B">
            <w:pPr>
              <w:pStyle w:val="ListParagraph"/>
              <w:widowControl w:val="0"/>
              <w:numPr>
                <w:ilvl w:val="0"/>
                <w:numId w:val="36"/>
              </w:numPr>
              <w:rPr>
                <w:rFonts w:ascii="Arial" w:hAnsi="Arial" w:cs="Arial"/>
                <w:bCs/>
                <w:sz w:val="20"/>
              </w:rPr>
            </w:pPr>
            <w:r w:rsidRPr="00A573DE">
              <w:rPr>
                <w:rFonts w:ascii="Arial" w:hAnsi="Arial" w:cs="Arial"/>
                <w:bCs/>
                <w:sz w:val="20"/>
              </w:rPr>
              <w:t>To verify model assumptions by Delphi panel with 11 experts (including modeller and health economists)</w:t>
            </w:r>
          </w:p>
          <w:p w14:paraId="0F477169" w14:textId="77777777" w:rsidR="0008114B" w:rsidRPr="00A573DE" w:rsidRDefault="0008114B" w:rsidP="0008114B">
            <w:pPr>
              <w:pStyle w:val="ListParagraph"/>
              <w:widowControl w:val="0"/>
              <w:numPr>
                <w:ilvl w:val="0"/>
                <w:numId w:val="36"/>
              </w:numPr>
              <w:rPr>
                <w:rFonts w:cs="Arial"/>
                <w:bCs/>
                <w:sz w:val="20"/>
              </w:rPr>
            </w:pPr>
            <w:r w:rsidRPr="00A573DE">
              <w:rPr>
                <w:rFonts w:ascii="Arial" w:hAnsi="Arial" w:cs="Arial"/>
                <w:bCs/>
                <w:sz w:val="20"/>
              </w:rPr>
              <w:t>To verify model parameters by Delphi panel with 11 experts (including clinicians and health economists</w:t>
            </w:r>
            <w:r w:rsidRPr="00A573DE">
              <w:rPr>
                <w:rFonts w:cs="Arial"/>
                <w:bCs/>
                <w:sz w:val="20"/>
              </w:rPr>
              <w:t>)</w:t>
            </w:r>
          </w:p>
          <w:p w14:paraId="42D69233" w14:textId="77777777" w:rsidR="0008114B" w:rsidRPr="00A573DE" w:rsidRDefault="0008114B" w:rsidP="0008114B">
            <w:pPr>
              <w:widowControl w:val="0"/>
              <w:rPr>
                <w:rFonts w:cs="Arial"/>
                <w:bCs/>
                <w:sz w:val="20"/>
              </w:rPr>
            </w:pPr>
            <w:r w:rsidRPr="00A573DE">
              <w:rPr>
                <w:rFonts w:cs="Arial"/>
                <w:bCs/>
                <w:sz w:val="20"/>
              </w:rPr>
              <w:t>For further information please see Gordon et al.</w:t>
            </w:r>
            <w:r>
              <w:rPr>
                <w:rFonts w:cs="Arial"/>
                <w:bCs/>
                <w:sz w:val="20"/>
              </w:rPr>
              <w:fldChar w:fldCharType="begin"/>
            </w:r>
            <w:r>
              <w:rPr>
                <w:rFonts w:cs="Arial"/>
                <w:bCs/>
                <w:sz w:val="20"/>
              </w:rPr>
              <w:instrText xml:space="preserve"> ADDIN EN.CITE &lt;EndNote&gt;&lt;Cite&gt;&lt;Author&gt;Gordon&lt;/Author&gt;&lt;Year&gt;2020&lt;/Year&gt;&lt;RecNum&gt;11&lt;/RecNum&gt;&lt;DisplayText&gt;&lt;style face="superscript"&gt;5&lt;/style&gt;&lt;/DisplayText&gt;&lt;record&gt;&lt;rec-number&gt;11&lt;/rec-number&gt;&lt;foreign-keys&gt;&lt;key app="EN" db-id="pd5s0xr0250t2qevxfgxpvwp5eaztd2pavxx" timestamp="1638912392"&gt;11&lt;/key&gt;&lt;/foreign-keys&gt;&lt;ref-type name="Journal Article"&gt;17&lt;/ref-type&gt;&lt;contributors&gt;&lt;authors&gt;&lt;author&gt;Gordon, J.&lt;/author&gt;&lt;author&gt;Darlington, O.&lt;/author&gt;&lt;author&gt;McEwan, P.&lt;/author&gt;&lt;author&gt;Lumley, M.&lt;/author&gt;&lt;author&gt;Taie, A.&lt;/author&gt;&lt;author&gt;Hicks, M.&lt;/author&gt;&lt;author&gt;Charbonneau, C.&lt;/author&gt;&lt;author&gt;Blake, A.&lt;/author&gt;&lt;author&gt;Hawkins, N.&lt;/author&gt;&lt;author&gt;Goldenberg, S.&lt;/author&gt;&lt;author&gt;Otter, J.&lt;/author&gt;&lt;author&gt;Wilcox, M.&lt;/author&gt;&lt;/authors&gt;&lt;/contributors&gt;&lt;auth-address&gt;Health Economics and Outcomes Research Limited, Birmingham, UK. jason.gordon@heor.co.uk.&amp;#xD;Health Economics and Outcomes Research Limited, Cardiff, UK.&amp;#xD;Pfizer, Tadworth, UK.&amp;#xD;University of Glasgow, Glasgow, UK.&amp;#xD;Guy&amp;apos;s and St Thomas&amp;apos; NHS Foundation Trust, London, UK.&amp;#xD;Imperial College London, London, UK.&amp;#xD;University of Leeds, Leeds, UK.&lt;/auth-address&gt;&lt;titles&gt;&lt;title&gt;Estimating the Value of New Antimicrobials in the Context of Antimicrobial Resistance: Development and Application of a Dynamic Disease Transmission Model&lt;/title&gt;&lt;secondary-title&gt;Pharmacoeconomics&lt;/secondary-title&gt;&lt;/titles&gt;&lt;periodical&gt;&lt;full-title&gt;Pharmacoeconomics&lt;/full-title&gt;&lt;/periodical&gt;&lt;pages&gt;857-869&lt;/pages&gt;&lt;volume&gt;38&lt;/volume&gt;&lt;number&gt;8&lt;/number&gt;&lt;edition&gt;2020/04/07&lt;/edition&gt;&lt;dates&gt;&lt;year&gt;2020&lt;/year&gt;&lt;pub-dates&gt;&lt;date&gt;Aug&lt;/date&gt;&lt;/pub-dates&gt;&lt;/dates&gt;&lt;isbn&gt;1170-7690&lt;/isbn&gt;&lt;accession-num&gt;32249396&lt;/accession-num&gt;&lt;urls&gt;&lt;/urls&gt;&lt;electronic-resource-num&gt;10.1007/s40273-020-00906-6&lt;/electronic-resource-num&gt;&lt;remote-database-provider&gt;NLM&lt;/remote-database-provider&gt;&lt;language&gt;eng&lt;/language&gt;&lt;/record&gt;&lt;/Cite&gt;&lt;/EndNote&gt;</w:instrText>
            </w:r>
            <w:r>
              <w:rPr>
                <w:rFonts w:cs="Arial"/>
                <w:bCs/>
                <w:sz w:val="20"/>
              </w:rPr>
              <w:fldChar w:fldCharType="separate"/>
            </w:r>
            <w:r w:rsidRPr="00B94641">
              <w:rPr>
                <w:rFonts w:cs="Arial"/>
                <w:bCs/>
                <w:noProof/>
                <w:sz w:val="20"/>
                <w:vertAlign w:val="superscript"/>
              </w:rPr>
              <w:t>5</w:t>
            </w:r>
            <w:r>
              <w:rPr>
                <w:rFonts w:cs="Arial"/>
                <w:bCs/>
                <w:sz w:val="20"/>
              </w:rPr>
              <w:fldChar w:fldCharType="end"/>
            </w:r>
            <w:r w:rsidRPr="00A573DE">
              <w:rPr>
                <w:rFonts w:cs="Arial"/>
                <w:bCs/>
                <w:sz w:val="20"/>
              </w:rPr>
              <w:t xml:space="preserve"> and the Delphi panel report (appendix K of company submission).</w:t>
            </w:r>
          </w:p>
        </w:tc>
        <w:tc>
          <w:tcPr>
            <w:tcW w:w="4536" w:type="dxa"/>
          </w:tcPr>
          <w:p w14:paraId="3CB38C30" w14:textId="77777777" w:rsidR="0008114B" w:rsidRPr="00A573DE" w:rsidRDefault="0008114B" w:rsidP="0008114B">
            <w:pPr>
              <w:widowControl w:val="0"/>
              <w:rPr>
                <w:sz w:val="20"/>
              </w:rPr>
            </w:pPr>
            <w:r w:rsidRPr="00A573DE">
              <w:rPr>
                <w:rFonts w:cs="Arial"/>
                <w:bCs/>
                <w:sz w:val="20"/>
              </w:rPr>
              <w:t>“</w:t>
            </w:r>
            <w:r w:rsidRPr="00A573DE">
              <w:rPr>
                <w:sz w:val="20"/>
              </w:rPr>
              <w:t>In absence of empiric evidence, outcomes were informed by eliciting judgments of individuals who have expertise on the subject matter” (p.81) – of note according to the EEPRU framework expert opinions are to be considered supportive alongside other empiric evidence.</w:t>
            </w:r>
          </w:p>
          <w:p w14:paraId="4F15E939" w14:textId="77777777" w:rsidR="0008114B" w:rsidRPr="00A573DE" w:rsidRDefault="0008114B" w:rsidP="0008114B">
            <w:pPr>
              <w:widowControl w:val="0"/>
              <w:rPr>
                <w:rFonts w:cs="Arial"/>
                <w:bCs/>
                <w:sz w:val="20"/>
              </w:rPr>
            </w:pPr>
            <w:r w:rsidRPr="00A573DE">
              <w:rPr>
                <w:rFonts w:cs="Arial"/>
                <w:bCs/>
                <w:sz w:val="20"/>
              </w:rPr>
              <w:t>“A structured elicitation process was used to improve accountability and transparency.” (p.82)</w:t>
            </w:r>
          </w:p>
          <w:p w14:paraId="16A11D1B" w14:textId="77777777" w:rsidR="0008114B" w:rsidRPr="00A573DE" w:rsidRDefault="0008114B" w:rsidP="0008114B">
            <w:pPr>
              <w:widowControl w:val="0"/>
              <w:rPr>
                <w:rFonts w:cs="Arial"/>
                <w:bCs/>
                <w:sz w:val="20"/>
              </w:rPr>
            </w:pPr>
            <w:r w:rsidRPr="00A573DE">
              <w:rPr>
                <w:rFonts w:cs="Arial"/>
                <w:bCs/>
                <w:sz w:val="20"/>
              </w:rPr>
              <w:t>An expert elicitation task was conducted with 9 experts, with seven experts completing the task using the Chips and Bins method as it was deemed to be less complex and easier to complete. It is a new method that may not be suitable for digital elicitation and is not as robust and thorough as a Delphi panel.</w:t>
            </w:r>
            <w:r>
              <w:rPr>
                <w:rFonts w:cs="Arial"/>
                <w:bCs/>
                <w:sz w:val="20"/>
              </w:rPr>
              <w:fldChar w:fldCharType="begin"/>
            </w:r>
            <w:r>
              <w:rPr>
                <w:rFonts w:cs="Arial"/>
                <w:bCs/>
                <w:sz w:val="20"/>
              </w:rPr>
              <w:instrText xml:space="preserve"> ADDIN EN.CITE &lt;EndNote&gt;&lt;Cite&gt;&lt;Author&gt;Zondervan-Zwijnenburg&lt;/Author&gt;&lt;Year&gt;2017&lt;/Year&gt;&lt;RecNum&gt;31&lt;/RecNum&gt;&lt;DisplayText&gt;&lt;style face="superscript"&gt;9&lt;/style&gt;&lt;/DisplayText&gt;&lt;record&gt;&lt;rec-number&gt;31&lt;/rec-number&gt;&lt;foreign-keys&gt;&lt;key app="EN" db-id="pd5s0xr0250t2qevxfgxpvwp5eaztd2pavxx" timestamp="1639408042"&gt;31&lt;/key&gt;&lt;/foreign-keys&gt;&lt;ref-type name="Journal Article"&gt;17&lt;/ref-type&gt;&lt;contributors&gt;&lt;authors&gt;&lt;author&gt;Zondervan-Zwijnenburg, M.&lt;/author&gt;&lt;author&gt;van de Schoot-Hubeek, W.&lt;/author&gt;&lt;author&gt;Lek, K.&lt;/author&gt;&lt;author&gt;Hoijtink, H.&lt;/author&gt;&lt;author&gt;van de Schoot, R.&lt;/author&gt;&lt;/authors&gt;&lt;/contributors&gt;&lt;auth-address&gt;Department of Methods and Statistics, Utrecht University Utrecht, Netherlands.&amp;#xD;Schreuder College Location Villeneuvestraat, Horizon Jeugdzorg en Onderwijs [Horizon Youth Care and Education] Rotterdam, Netherlands.&amp;#xD;Department of Methods and Statistics, Utrecht UniversityUtrecht, Netherlands; CITO Institute for Educational MeasurementArnhem, Netherlands.&amp;#xD;Department of Methods and Statistics, Utrecht UniversityUtrecht, Netherlands; Optentia Research Focus Area, North-West UniversityPotchefstroom, South-Africa.&lt;/auth-address&gt;&lt;titles&gt;&lt;title&gt;Application and Evaluation of an Expert Judgment Elicitation Procedure for Correlations&lt;/title&gt;&lt;secondary-title&gt;Front Psychol&lt;/secondary-title&gt;&lt;/titles&gt;&lt;periodical&gt;&lt;full-title&gt;Front Psychol&lt;/full-title&gt;&lt;/periodical&gt;&lt;pages&gt;90&lt;/pages&gt;&lt;volume&gt;8&lt;/volume&gt;&lt;edition&gt;2017/02/16&lt;/edition&gt;&lt;keywords&gt;&lt;keyword&gt;Bayesian analysis&lt;/keyword&gt;&lt;keyword&gt;correlation&lt;/keyword&gt;&lt;keyword&gt;elicitation procedure&lt;/keyword&gt;&lt;keyword&gt;expert judgment&lt;/keyword&gt;&lt;keyword&gt;informative priors&lt;/keyword&gt;&lt;/keywords&gt;&lt;dates&gt;&lt;year&gt;2017&lt;/year&gt;&lt;/dates&gt;&lt;isbn&gt;1664-1078 (Print)&amp;#xD;1664-1078 (Linking)&lt;/isbn&gt;&lt;accession-num&gt;28197115&lt;/accession-num&gt;&lt;urls&gt;&lt;related-urls&gt;&lt;url&gt;https://www.ncbi.nlm.nih.gov/pubmed/28197115&lt;/url&gt;&lt;/related-urls&gt;&lt;/urls&gt;&lt;custom2&gt;PMC5282462&lt;/custom2&gt;&lt;electronic-resource-num&gt;10.3389/fpsyg.2017.00090&lt;/electronic-resource-num&gt;&lt;/record&gt;&lt;/Cite&gt;&lt;/EndNote&gt;</w:instrText>
            </w:r>
            <w:r>
              <w:rPr>
                <w:rFonts w:cs="Arial"/>
                <w:bCs/>
                <w:sz w:val="20"/>
              </w:rPr>
              <w:fldChar w:fldCharType="separate"/>
            </w:r>
            <w:r w:rsidRPr="00576A39">
              <w:rPr>
                <w:rFonts w:cs="Arial"/>
                <w:bCs/>
                <w:noProof/>
                <w:sz w:val="20"/>
                <w:vertAlign w:val="superscript"/>
              </w:rPr>
              <w:t>9</w:t>
            </w:r>
            <w:r>
              <w:rPr>
                <w:rFonts w:cs="Arial"/>
                <w:bCs/>
                <w:sz w:val="20"/>
              </w:rPr>
              <w:fldChar w:fldCharType="end"/>
            </w:r>
          </w:p>
        </w:tc>
      </w:tr>
    </w:tbl>
    <w:p w14:paraId="478F5D42" w14:textId="77777777" w:rsidR="0008114B" w:rsidRPr="00A573DE" w:rsidRDefault="0008114B" w:rsidP="0008114B">
      <w:pPr>
        <w:widowControl w:val="0"/>
        <w:rPr>
          <w:rFonts w:cs="Arial"/>
          <w:b/>
          <w:sz w:val="24"/>
          <w:szCs w:val="24"/>
        </w:rPr>
        <w:sectPr w:rsidR="0008114B" w:rsidRPr="00A573DE" w:rsidSect="0008114B">
          <w:pgSz w:w="16838" w:h="11906" w:orient="landscape" w:code="9"/>
          <w:pgMar w:top="851" w:right="851" w:bottom="851" w:left="709" w:header="284" w:footer="720" w:gutter="0"/>
          <w:cols w:space="708"/>
          <w:docGrid w:linePitch="360"/>
        </w:sectPr>
      </w:pPr>
    </w:p>
    <w:p w14:paraId="61F99041" w14:textId="72489C79" w:rsidR="0008114B" w:rsidRDefault="0008114B" w:rsidP="00623B8B">
      <w:pPr>
        <w:pStyle w:val="Heading3"/>
        <w:jc w:val="left"/>
      </w:pPr>
      <w:r w:rsidRPr="00A573DE">
        <w:lastRenderedPageBreak/>
        <w:t>Key questions</w:t>
      </w:r>
    </w:p>
    <w:p w14:paraId="66A7D487" w14:textId="77777777" w:rsidR="00623B8B" w:rsidRPr="00623B8B" w:rsidRDefault="00623B8B" w:rsidP="00623B8B"/>
    <w:p w14:paraId="3E20014E" w14:textId="77777777" w:rsidR="0008114B" w:rsidRPr="00A573DE" w:rsidRDefault="0008114B" w:rsidP="0008114B">
      <w:pPr>
        <w:pStyle w:val="NICEnormal"/>
        <w:spacing w:line="276" w:lineRule="auto"/>
        <w:rPr>
          <w:sz w:val="22"/>
          <w:szCs w:val="22"/>
          <w:lang w:val="en-GB"/>
        </w:rPr>
      </w:pPr>
      <w:r w:rsidRPr="00A573DE">
        <w:rPr>
          <w:sz w:val="22"/>
          <w:szCs w:val="22"/>
          <w:lang w:val="en-GB"/>
        </w:rPr>
        <w:t>The Pfizer model was developed to align with the recommendations made in the EEPRU framework.</w:t>
      </w:r>
      <w:r>
        <w:rPr>
          <w:sz w:val="22"/>
          <w:szCs w:val="22"/>
          <w:lang w:val="en-GB"/>
        </w:rPr>
        <w:fldChar w:fldCharType="begin"/>
      </w:r>
      <w:r>
        <w:rPr>
          <w:sz w:val="22"/>
          <w:szCs w:val="22"/>
          <w:lang w:val="en-GB"/>
        </w:rPr>
        <w:instrText xml:space="preserve"> ADDIN EN.CITE &lt;EndNote&gt;&lt;Cite&gt;&lt;Author&gt;EEPRU&lt;/Author&gt;&lt;Year&gt;2018&lt;/Year&gt;&lt;RecNum&gt;9&lt;/RecNum&gt;&lt;DisplayText&gt;&lt;style face="superscript"&gt;3&lt;/style&gt;&lt;/DisplayText&gt;&lt;record&gt;&lt;rec-number&gt;9&lt;/rec-number&gt;&lt;foreign-keys&gt;&lt;key app="EN" db-id="pd5s0xr0250t2qevxfgxpvwp5eaztd2pavxx" timestamp="1638893203"&gt;9&lt;/key&gt;&lt;/foreign-keys&gt;&lt;ref-type name="Web Page"&gt;12&lt;/ref-type&gt;&lt;contributors&gt;&lt;authors&gt;&lt;author&gt;EEPRU&lt;/author&gt;&lt;/authors&gt;&lt;/contributors&gt;&lt;titles&gt;&lt;title&gt;Framework for value assessment of new antimicrobials - Implications of alternative funding arrangements for NICE appraisals&lt;/title&gt;&lt;/titles&gt;&lt;dates&gt;&lt;year&gt;2018&lt;/year&gt;&lt;/dates&gt;&lt;urls&gt;&lt;related-urls&gt;&lt;url&gt;http://www.eepru.org.uk/wp-content/uploads/2017/11/eepru-report-amr-oct-2018-059.pdf&lt;/url&gt;&lt;/related-urls&gt;&lt;/urls&gt;&lt;/record&gt;&lt;/Cite&gt;&lt;/EndNote&gt;</w:instrText>
      </w:r>
      <w:r>
        <w:rPr>
          <w:sz w:val="22"/>
          <w:szCs w:val="22"/>
          <w:lang w:val="en-GB"/>
        </w:rPr>
        <w:fldChar w:fldCharType="separate"/>
      </w:r>
      <w:r w:rsidRPr="00713819">
        <w:rPr>
          <w:noProof/>
          <w:sz w:val="22"/>
          <w:szCs w:val="22"/>
          <w:vertAlign w:val="superscript"/>
          <w:lang w:val="en-GB"/>
        </w:rPr>
        <w:t>3</w:t>
      </w:r>
      <w:r>
        <w:rPr>
          <w:sz w:val="22"/>
          <w:szCs w:val="22"/>
          <w:lang w:val="en-GB"/>
        </w:rPr>
        <w:fldChar w:fldCharType="end"/>
      </w:r>
      <w:r w:rsidRPr="00A573DE">
        <w:rPr>
          <w:sz w:val="22"/>
          <w:szCs w:val="22"/>
          <w:lang w:val="en-GB"/>
        </w:rPr>
        <w:t xml:space="preserve"> The company are not clear on the basis for some of the concerns and critique from the EEPRU assessment, which appears to deviate </w:t>
      </w:r>
      <w:r>
        <w:rPr>
          <w:sz w:val="22"/>
          <w:szCs w:val="22"/>
          <w:lang w:val="en-GB"/>
        </w:rPr>
        <w:t xml:space="preserve">significantly </w:t>
      </w:r>
      <w:r w:rsidRPr="00A573DE">
        <w:rPr>
          <w:sz w:val="22"/>
          <w:szCs w:val="22"/>
          <w:lang w:val="en-GB"/>
        </w:rPr>
        <w:t xml:space="preserve">from the previous </w:t>
      </w:r>
      <w:r>
        <w:rPr>
          <w:sz w:val="22"/>
          <w:szCs w:val="22"/>
          <w:lang w:val="en-GB"/>
        </w:rPr>
        <w:t xml:space="preserve">EEPRU </w:t>
      </w:r>
      <w:r w:rsidRPr="00A573DE">
        <w:rPr>
          <w:sz w:val="22"/>
          <w:szCs w:val="22"/>
          <w:lang w:val="en-GB"/>
        </w:rPr>
        <w:t>framework.</w:t>
      </w:r>
      <w:r>
        <w:rPr>
          <w:sz w:val="22"/>
          <w:szCs w:val="22"/>
          <w:lang w:val="en-GB"/>
        </w:rPr>
        <w:fldChar w:fldCharType="begin"/>
      </w:r>
      <w:r>
        <w:rPr>
          <w:sz w:val="22"/>
          <w:szCs w:val="22"/>
          <w:lang w:val="en-GB"/>
        </w:rPr>
        <w:instrText xml:space="preserve"> ADDIN EN.CITE &lt;EndNote&gt;&lt;Cite&gt;&lt;Author&gt;EEPRU&lt;/Author&gt;&lt;Year&gt;2018&lt;/Year&gt;&lt;RecNum&gt;9&lt;/RecNum&gt;&lt;DisplayText&gt;&lt;style face="superscript"&gt;3&lt;/style&gt;&lt;/DisplayText&gt;&lt;record&gt;&lt;rec-number&gt;9&lt;/rec-number&gt;&lt;foreign-keys&gt;&lt;key app="EN" db-id="pd5s0xr0250t2qevxfgxpvwp5eaztd2pavxx" timestamp="1638893203"&gt;9&lt;/key&gt;&lt;/foreign-keys&gt;&lt;ref-type name="Web Page"&gt;12&lt;/ref-type&gt;&lt;contributors&gt;&lt;authors&gt;&lt;author&gt;EEPRU&lt;/author&gt;&lt;/authors&gt;&lt;/contributors&gt;&lt;titles&gt;&lt;title&gt;Framework for value assessment of new antimicrobials - Implications of alternative funding arrangements for NICE appraisals&lt;/title&gt;&lt;/titles&gt;&lt;dates&gt;&lt;year&gt;2018&lt;/year&gt;&lt;/dates&gt;&lt;urls&gt;&lt;related-urls&gt;&lt;url&gt;http://www.eepru.org.uk/wp-content/uploads/2017/11/eepru-report-amr-oct-2018-059.pdf&lt;/url&gt;&lt;/related-urls&gt;&lt;/urls&gt;&lt;/record&gt;&lt;/Cite&gt;&lt;/EndNote&gt;</w:instrText>
      </w:r>
      <w:r>
        <w:rPr>
          <w:sz w:val="22"/>
          <w:szCs w:val="22"/>
          <w:lang w:val="en-GB"/>
        </w:rPr>
        <w:fldChar w:fldCharType="separate"/>
      </w:r>
      <w:r w:rsidRPr="00713819">
        <w:rPr>
          <w:noProof/>
          <w:sz w:val="22"/>
          <w:szCs w:val="22"/>
          <w:vertAlign w:val="superscript"/>
          <w:lang w:val="en-GB"/>
        </w:rPr>
        <w:t>3</w:t>
      </w:r>
      <w:r>
        <w:rPr>
          <w:sz w:val="22"/>
          <w:szCs w:val="22"/>
          <w:lang w:val="en-GB"/>
        </w:rPr>
        <w:fldChar w:fldCharType="end"/>
      </w:r>
      <w:r w:rsidRPr="00A573DE">
        <w:rPr>
          <w:sz w:val="22"/>
          <w:szCs w:val="22"/>
          <w:lang w:val="en-GB"/>
        </w:rPr>
        <w:t xml:space="preserve"> The company request further clarification on the following questions:</w:t>
      </w:r>
    </w:p>
    <w:p w14:paraId="6CDED231" w14:textId="77777777" w:rsidR="0008114B" w:rsidRPr="00A573DE" w:rsidRDefault="0008114B" w:rsidP="0008114B">
      <w:pPr>
        <w:pStyle w:val="Bullets"/>
        <w:spacing w:after="240"/>
        <w:rPr>
          <w:sz w:val="22"/>
          <w:szCs w:val="22"/>
        </w:rPr>
      </w:pPr>
      <w:r w:rsidRPr="00A573DE">
        <w:rPr>
          <w:sz w:val="22"/>
          <w:szCs w:val="22"/>
        </w:rPr>
        <w:t>Why was the</w:t>
      </w:r>
      <w:r>
        <w:rPr>
          <w:sz w:val="22"/>
          <w:szCs w:val="22"/>
        </w:rPr>
        <w:t xml:space="preserve"> proposed</w:t>
      </w:r>
      <w:r w:rsidRPr="00A573DE">
        <w:rPr>
          <w:sz w:val="22"/>
          <w:szCs w:val="22"/>
        </w:rPr>
        <w:t xml:space="preserve"> model type changed</w:t>
      </w:r>
      <w:r>
        <w:rPr>
          <w:sz w:val="22"/>
          <w:szCs w:val="22"/>
        </w:rPr>
        <w:t xml:space="preserve"> from the previously suggested dynamic disease transmission model</w:t>
      </w:r>
      <w:r w:rsidRPr="00A573DE">
        <w:rPr>
          <w:sz w:val="22"/>
          <w:szCs w:val="22"/>
        </w:rPr>
        <w:t>?</w:t>
      </w:r>
    </w:p>
    <w:p w14:paraId="3B329F3B" w14:textId="77777777" w:rsidR="0008114B" w:rsidRPr="00746C91" w:rsidRDefault="0008114B" w:rsidP="0008114B">
      <w:pPr>
        <w:pStyle w:val="Bullets"/>
        <w:spacing w:after="240"/>
        <w:rPr>
          <w:sz w:val="22"/>
          <w:szCs w:val="22"/>
        </w:rPr>
      </w:pPr>
      <w:r w:rsidRPr="00A573DE">
        <w:rPr>
          <w:sz w:val="22"/>
          <w:szCs w:val="22"/>
        </w:rPr>
        <w:t xml:space="preserve">Why </w:t>
      </w:r>
      <w:r>
        <w:rPr>
          <w:sz w:val="22"/>
          <w:szCs w:val="22"/>
        </w:rPr>
        <w:t xml:space="preserve">was the approach to define the eligible population a significant deviation from the traditional NICE approach, and </w:t>
      </w:r>
      <w:r w:rsidRPr="00A573DE">
        <w:rPr>
          <w:sz w:val="22"/>
          <w:szCs w:val="22"/>
        </w:rPr>
        <w:t xml:space="preserve">not </w:t>
      </w:r>
      <w:r>
        <w:rPr>
          <w:sz w:val="22"/>
          <w:szCs w:val="22"/>
        </w:rPr>
        <w:t xml:space="preserve">a reflection of </w:t>
      </w:r>
      <w:r w:rsidRPr="00A573DE">
        <w:rPr>
          <w:sz w:val="22"/>
          <w:szCs w:val="22"/>
        </w:rPr>
        <w:t xml:space="preserve">how </w:t>
      </w:r>
      <w:r>
        <w:rPr>
          <w:sz w:val="22"/>
          <w:szCs w:val="22"/>
        </w:rPr>
        <w:t>CAZ-AVI</w:t>
      </w:r>
      <w:r w:rsidRPr="00A573DE">
        <w:rPr>
          <w:sz w:val="22"/>
          <w:szCs w:val="22"/>
        </w:rPr>
        <w:t xml:space="preserve"> is currently used in clinical practice?</w:t>
      </w:r>
    </w:p>
    <w:p w14:paraId="201376F9" w14:textId="77777777" w:rsidR="0008114B" w:rsidRPr="00A573DE" w:rsidRDefault="0008114B" w:rsidP="0008114B">
      <w:pPr>
        <w:pStyle w:val="Bullets"/>
        <w:spacing w:after="240"/>
        <w:rPr>
          <w:sz w:val="22"/>
          <w:szCs w:val="22"/>
        </w:rPr>
      </w:pPr>
      <w:r w:rsidRPr="00A573DE">
        <w:rPr>
          <w:sz w:val="22"/>
          <w:szCs w:val="22"/>
        </w:rPr>
        <w:t xml:space="preserve">Why was resistance over time not applied to the comparator AMs but a scenario analysis for </w:t>
      </w:r>
      <w:r>
        <w:rPr>
          <w:sz w:val="22"/>
          <w:szCs w:val="22"/>
        </w:rPr>
        <w:t>CAZ-AVI</w:t>
      </w:r>
      <w:r w:rsidRPr="00A573DE">
        <w:rPr>
          <w:sz w:val="22"/>
          <w:szCs w:val="22"/>
        </w:rPr>
        <w:t xml:space="preserve"> conducted with varying resistance rates (1%, 5%, 10%, and 30% in 20 years)?</w:t>
      </w:r>
    </w:p>
    <w:p w14:paraId="25C7EE73" w14:textId="77777777" w:rsidR="0008114B" w:rsidRPr="00690DBB" w:rsidRDefault="0008114B" w:rsidP="0008114B">
      <w:pPr>
        <w:pStyle w:val="Bullets"/>
        <w:spacing w:after="240"/>
        <w:rPr>
          <w:sz w:val="22"/>
          <w:szCs w:val="22"/>
        </w:rPr>
      </w:pPr>
      <w:r w:rsidRPr="00A573DE">
        <w:rPr>
          <w:sz w:val="22"/>
          <w:szCs w:val="22"/>
        </w:rPr>
        <w:t>Why was susceptibility testing used as a proxy for clinical effectiveness although it is known that a correlation is afflicted with high uncertainty?</w:t>
      </w:r>
    </w:p>
    <w:p w14:paraId="021369E7" w14:textId="4499BD12" w:rsidR="00623B8B" w:rsidRDefault="0008114B" w:rsidP="0008114B">
      <w:pPr>
        <w:pStyle w:val="NICEnormal"/>
        <w:spacing w:line="276" w:lineRule="auto"/>
        <w:rPr>
          <w:sz w:val="22"/>
          <w:szCs w:val="22"/>
        </w:rPr>
      </w:pPr>
      <w:r>
        <w:rPr>
          <w:sz w:val="22"/>
          <w:szCs w:val="22"/>
        </w:rPr>
        <w:t xml:space="preserve">Pfizer raised concerns of the revised approach to the above questions at the protocol development stage and how time and resource constraints consistently mentioned as a driver for proposed revisions of approach may lead to suboptimal outcomes. </w:t>
      </w:r>
    </w:p>
    <w:p w14:paraId="58F74410" w14:textId="77777777" w:rsidR="00623B8B" w:rsidRDefault="00623B8B">
      <w:pPr>
        <w:rPr>
          <w:szCs w:val="22"/>
          <w:lang w:val="en-US"/>
        </w:rPr>
      </w:pPr>
      <w:r>
        <w:rPr>
          <w:szCs w:val="22"/>
        </w:rPr>
        <w:br w:type="page"/>
      </w:r>
    </w:p>
    <w:p w14:paraId="3DD27844" w14:textId="4953B2C9" w:rsidR="0008114B" w:rsidRPr="00681DEB" w:rsidRDefault="0008114B" w:rsidP="0008114B">
      <w:pPr>
        <w:pStyle w:val="Heading1"/>
        <w:numPr>
          <w:ilvl w:val="0"/>
          <w:numId w:val="27"/>
        </w:numPr>
        <w:rPr>
          <w:sz w:val="24"/>
          <w:szCs w:val="22"/>
          <w:lang w:eastAsia="en-GB"/>
        </w:rPr>
      </w:pPr>
      <w:bookmarkStart w:id="4" w:name="_Ref90271453"/>
      <w:r w:rsidRPr="00681DEB">
        <w:rPr>
          <w:sz w:val="24"/>
          <w:szCs w:val="22"/>
          <w:lang w:eastAsia="en-GB"/>
        </w:rPr>
        <w:lastRenderedPageBreak/>
        <w:t>Elements of value</w:t>
      </w:r>
      <w:bookmarkEnd w:id="4"/>
    </w:p>
    <w:p w14:paraId="2AFEAD0D" w14:textId="77777777" w:rsidR="00623B8B" w:rsidRPr="00623B8B" w:rsidRDefault="00623B8B" w:rsidP="00623B8B">
      <w:pPr>
        <w:rPr>
          <w:lang w:eastAsia="en-GB"/>
        </w:rPr>
      </w:pPr>
    </w:p>
    <w:tbl>
      <w:tblPr>
        <w:tblStyle w:val="TableGrid"/>
        <w:tblW w:w="0" w:type="auto"/>
        <w:jc w:val="cente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7923"/>
      </w:tblGrid>
      <w:tr w:rsidR="0008114B" w:rsidRPr="00A573DE" w14:paraId="54B78171" w14:textId="77777777" w:rsidTr="0008114B">
        <w:trPr>
          <w:trHeight w:val="312"/>
          <w:jc w:val="center"/>
        </w:trPr>
        <w:tc>
          <w:tcPr>
            <w:tcW w:w="7923" w:type="dxa"/>
            <w:shd w:val="clear" w:color="auto" w:fill="F2F2F2" w:themeFill="background1" w:themeFillShade="F2"/>
          </w:tcPr>
          <w:p w14:paraId="4E5CAF22" w14:textId="77777777" w:rsidR="0008114B" w:rsidRPr="00A573DE" w:rsidRDefault="0008114B" w:rsidP="0008114B">
            <w:pPr>
              <w:pStyle w:val="NICEnormal"/>
              <w:spacing w:line="276" w:lineRule="auto"/>
              <w:rPr>
                <w:b/>
                <w:bCs/>
                <w:i/>
                <w:iCs/>
                <w:color w:val="808080" w:themeColor="background1" w:themeShade="80"/>
                <w:lang w:val="en-GB"/>
              </w:rPr>
            </w:pPr>
            <w:r w:rsidRPr="00F012A6">
              <w:rPr>
                <w:b/>
                <w:bCs/>
                <w:i/>
                <w:iCs/>
                <w:lang w:val="en-GB"/>
              </w:rPr>
              <w:t xml:space="preserve">Key messages </w:t>
            </w:r>
          </w:p>
        </w:tc>
      </w:tr>
      <w:tr w:rsidR="0008114B" w:rsidRPr="00A573DE" w14:paraId="65672E0B" w14:textId="77777777" w:rsidTr="0008114B">
        <w:trPr>
          <w:jc w:val="center"/>
        </w:trPr>
        <w:tc>
          <w:tcPr>
            <w:tcW w:w="7923" w:type="dxa"/>
          </w:tcPr>
          <w:p w14:paraId="1EEDC0F1" w14:textId="77777777" w:rsidR="0008114B" w:rsidRPr="00A573DE" w:rsidRDefault="0008114B" w:rsidP="0008114B">
            <w:pPr>
              <w:pStyle w:val="Bullets"/>
              <w:ind w:left="447"/>
              <w:rPr>
                <w:b/>
                <w:bCs/>
                <w:i/>
                <w:iCs/>
              </w:rPr>
            </w:pPr>
            <w:r>
              <w:t xml:space="preserve">Defined in </w:t>
            </w:r>
            <w:r w:rsidRPr="00A573DE">
              <w:t>the EEPRU framework</w:t>
            </w:r>
            <w:r>
              <w:fldChar w:fldCharType="begin"/>
            </w:r>
            <w:r>
              <w:instrText xml:space="preserve"> ADDIN EN.CITE &lt;EndNote&gt;&lt;Cite&gt;&lt;Author&gt;EEPRU&lt;/Author&gt;&lt;Year&gt;2018&lt;/Year&gt;&lt;RecNum&gt;9&lt;/RecNum&gt;&lt;DisplayText&gt;&lt;style face="superscript"&gt;3&lt;/style&gt;&lt;/DisplayText&gt;&lt;record&gt;&lt;rec-number&gt;9&lt;/rec-number&gt;&lt;foreign-keys&gt;&lt;key app="EN" db-id="pd5s0xr0250t2qevxfgxpvwp5eaztd2pavxx" timestamp="1638893203"&gt;9&lt;/key&gt;&lt;/foreign-keys&gt;&lt;ref-type name="Web Page"&gt;12&lt;/ref-type&gt;&lt;contributors&gt;&lt;authors&gt;&lt;author&gt;EEPRU&lt;/author&gt;&lt;/authors&gt;&lt;/contributors&gt;&lt;titles&gt;&lt;title&gt;Framework for value assessment of new antimicrobials - Implications of alternative funding arrangements for NICE appraisals&lt;/title&gt;&lt;/titles&gt;&lt;dates&gt;&lt;year&gt;2018&lt;/year&gt;&lt;/dates&gt;&lt;urls&gt;&lt;related-urls&gt;&lt;url&gt;http://www.eepru.org.uk/wp-content/uploads/2017/11/eepru-report-amr-oct-2018-059.pdf&lt;/url&gt;&lt;/related-urls&gt;&lt;/urls&gt;&lt;/record&gt;&lt;/Cite&gt;&lt;/EndNote&gt;</w:instrText>
            </w:r>
            <w:r>
              <w:fldChar w:fldCharType="separate"/>
            </w:r>
            <w:r w:rsidRPr="00713819">
              <w:rPr>
                <w:noProof/>
                <w:vertAlign w:val="superscript"/>
              </w:rPr>
              <w:t>3</w:t>
            </w:r>
            <w:r>
              <w:fldChar w:fldCharType="end"/>
            </w:r>
            <w:r w:rsidRPr="00A573DE">
              <w:t xml:space="preserve"> there are specific value elements that need to be captured for AMs: transmission, diversity, enablement, insurance, and spectrum.</w:t>
            </w:r>
          </w:p>
          <w:p w14:paraId="220F9ED1" w14:textId="77777777" w:rsidR="0008114B" w:rsidRPr="00551BBD" w:rsidRDefault="0008114B" w:rsidP="0008114B">
            <w:pPr>
              <w:pStyle w:val="Bullets"/>
              <w:ind w:left="447"/>
              <w:rPr>
                <w:b/>
                <w:bCs/>
              </w:rPr>
            </w:pPr>
            <w:r>
              <w:t>T</w:t>
            </w:r>
            <w:r w:rsidRPr="00A573DE">
              <w:t xml:space="preserve">he EEPRU model </w:t>
            </w:r>
            <w:r>
              <w:t xml:space="preserve">partly discuss partly assessing enablement and insurance value, however state other values elements, diversity and transmission have </w:t>
            </w:r>
            <w:r w:rsidRPr="00A573DE">
              <w:t>significant impact on health benefit</w:t>
            </w:r>
            <w:r>
              <w:t>. Although no attempt was made to quantify these values as outlined in the NICE scope.</w:t>
            </w:r>
            <w:r>
              <w:fldChar w:fldCharType="begin"/>
            </w:r>
            <w:r>
              <w:instrText xml:space="preserve"> ADDIN EN.CITE &lt;EndNote&gt;&lt;Cite&gt;&lt;Author&gt;National Institute for Health and Care Excellence&lt;/Author&gt;&lt;Year&gt;2021&lt;/Year&gt;&lt;RecNum&gt;28&lt;/RecNum&gt;&lt;DisplayText&gt;&lt;style face="superscript"&gt;1&lt;/style&gt;&lt;/DisplayText&gt;&lt;record&gt;&lt;rec-number&gt;28&lt;/rec-number&gt;&lt;foreign-keys&gt;&lt;key app="EN" db-id="pd5s0xr0250t2qevxfgxpvwp5eaztd2pavxx" timestamp="1639399397"&gt;28&lt;/key&gt;&lt;/foreign-keys&gt;&lt;ref-type name="Web Page"&gt;12&lt;/ref-type&gt;&lt;contributors&gt;&lt;authors&gt;&lt;author&gt;National Institute for Health and Care Excellence,&lt;/author&gt;&lt;/authors&gt;&lt;/contributors&gt;&lt;titles&gt;&lt;title&gt;Antimicrobial Health Technology Evaluation. Ceftazidime with avibactam for treating severe aerobic Gram-negative bacterial infections - Final scope &lt;/title&gt;&lt;/titles&gt;&lt;volume&gt;2021&lt;/volume&gt;&lt;number&gt;2/2021&lt;/number&gt;&lt;dates&gt;&lt;year&gt;2021&lt;/year&gt;&lt;/dates&gt;&lt;urls&gt;&lt;related-urls&gt;&lt;url&gt;https://www.nice.org.uk/about/what-we-do/life-sciences/scientific-advice/models-for-the-evaluation-and-purchase-of-antimicrobials/ceftazidime-with-avibactam&lt;/url&gt;&lt;/related-urls&gt;&lt;/urls&gt;&lt;/record&gt;&lt;/Cite&gt;&lt;/EndNote&gt;</w:instrText>
            </w:r>
            <w:r>
              <w:fldChar w:fldCharType="separate"/>
            </w:r>
            <w:r w:rsidRPr="003E075D">
              <w:rPr>
                <w:noProof/>
                <w:vertAlign w:val="superscript"/>
              </w:rPr>
              <w:t>1</w:t>
            </w:r>
            <w:r>
              <w:fldChar w:fldCharType="end"/>
            </w:r>
            <w:r>
              <w:t xml:space="preserve"> </w:t>
            </w:r>
          </w:p>
          <w:p w14:paraId="4C4C736B" w14:textId="77777777" w:rsidR="0008114B" w:rsidRPr="00A573DE" w:rsidRDefault="0008114B" w:rsidP="0008114B">
            <w:pPr>
              <w:pStyle w:val="Bullets"/>
              <w:ind w:left="447"/>
              <w:rPr>
                <w:b/>
                <w:bCs/>
              </w:rPr>
            </w:pPr>
            <w:r w:rsidRPr="00A573DE">
              <w:t xml:space="preserve">The Pfizer model </w:t>
            </w:r>
            <w:r>
              <w:t xml:space="preserve">attempted to capture both </w:t>
            </w:r>
            <w:r w:rsidRPr="00A573DE">
              <w:t xml:space="preserve">transmission and diversity value as the focus was to determine the value of </w:t>
            </w:r>
            <w:r>
              <w:t>CAZ-AVI</w:t>
            </w:r>
            <w:r w:rsidRPr="00A573DE">
              <w:t xml:space="preserve"> when it is available as an additional option to existing AMs</w:t>
            </w:r>
            <w:r>
              <w:t>.</w:t>
            </w:r>
            <w:r w:rsidRPr="00A573DE">
              <w:t xml:space="preserve"> </w:t>
            </w:r>
            <w:r>
              <w:t xml:space="preserve">Assessing </w:t>
            </w:r>
            <w:r w:rsidRPr="00A573DE">
              <w:t xml:space="preserve">the impact </w:t>
            </w:r>
            <w:r>
              <w:t xml:space="preserve">of </w:t>
            </w:r>
            <w:r w:rsidRPr="00A573DE">
              <w:t>avoiding infections/spreading infections when used in the approved indications.</w:t>
            </w:r>
            <w:r>
              <w:t xml:space="preserve"> Additionally,</w:t>
            </w:r>
            <w:r w:rsidRPr="00A573DE">
              <w:t xml:space="preserve"> the enablement and insurance values</w:t>
            </w:r>
            <w:r>
              <w:t xml:space="preserve"> were assessed partly.</w:t>
            </w:r>
          </w:p>
          <w:p w14:paraId="2BF4B241" w14:textId="77777777" w:rsidR="0008114B" w:rsidRPr="00551BBD" w:rsidRDefault="0008114B" w:rsidP="0008114B">
            <w:pPr>
              <w:pStyle w:val="Bullets"/>
              <w:ind w:left="447"/>
            </w:pPr>
            <w:r w:rsidRPr="00A573DE">
              <w:t xml:space="preserve">Additional work has been undertaken by Pfizer to capture the insurance and enablement value of </w:t>
            </w:r>
            <w:r>
              <w:t>CAZ-AVI</w:t>
            </w:r>
            <w:r w:rsidRPr="00A573DE">
              <w:t xml:space="preserve"> (Section </w:t>
            </w:r>
            <w:r w:rsidRPr="00A573DE">
              <w:fldChar w:fldCharType="begin"/>
            </w:r>
            <w:r w:rsidRPr="00A573DE">
              <w:instrText xml:space="preserve"> REF _Ref90121529 \r \h </w:instrText>
            </w:r>
            <w:r w:rsidRPr="00A573DE">
              <w:fldChar w:fldCharType="separate"/>
            </w:r>
            <w:r>
              <w:t>2.4</w:t>
            </w:r>
            <w:r w:rsidRPr="00A573DE">
              <w:fldChar w:fldCharType="end"/>
            </w:r>
            <w:r w:rsidRPr="00A573DE">
              <w:t xml:space="preserve"> and </w:t>
            </w:r>
            <w:r w:rsidRPr="00A573DE">
              <w:fldChar w:fldCharType="begin"/>
            </w:r>
            <w:r w:rsidRPr="00A573DE">
              <w:instrText xml:space="preserve"> REF _Ref90040118 \r \h </w:instrText>
            </w:r>
            <w:r w:rsidRPr="00A573DE">
              <w:fldChar w:fldCharType="separate"/>
            </w:r>
            <w:r>
              <w:t>2.5</w:t>
            </w:r>
            <w:r w:rsidRPr="00A573DE">
              <w:fldChar w:fldCharType="end"/>
            </w:r>
            <w:r w:rsidRPr="00A573DE">
              <w:t>, respectively).</w:t>
            </w:r>
          </w:p>
        </w:tc>
      </w:tr>
    </w:tbl>
    <w:p w14:paraId="425E524F" w14:textId="77777777" w:rsidR="0008114B" w:rsidRPr="00A573DE" w:rsidRDefault="0008114B" w:rsidP="0008114B">
      <w:pPr>
        <w:pStyle w:val="NICEnormal"/>
        <w:spacing w:line="276" w:lineRule="auto"/>
        <w:rPr>
          <w:lang w:val="en-GB" w:eastAsia="en-GB"/>
        </w:rPr>
      </w:pPr>
    </w:p>
    <w:p w14:paraId="37887345" w14:textId="158A1122" w:rsidR="0008114B" w:rsidRDefault="0008114B" w:rsidP="00623B8B">
      <w:pPr>
        <w:pStyle w:val="Heading1"/>
        <w:numPr>
          <w:ilvl w:val="1"/>
          <w:numId w:val="27"/>
        </w:numPr>
        <w:rPr>
          <w:lang w:eastAsia="en-GB"/>
        </w:rPr>
      </w:pPr>
      <w:r w:rsidRPr="00A573DE">
        <w:rPr>
          <w:lang w:eastAsia="en-GB"/>
        </w:rPr>
        <w:t>Overview of value elements in the two models</w:t>
      </w:r>
    </w:p>
    <w:p w14:paraId="6CC00018" w14:textId="77777777" w:rsidR="00623B8B" w:rsidRPr="00623B8B" w:rsidRDefault="00623B8B" w:rsidP="00623B8B">
      <w:pPr>
        <w:rPr>
          <w:lang w:eastAsia="en-GB"/>
        </w:rPr>
      </w:pPr>
    </w:p>
    <w:p w14:paraId="08BAFE5A" w14:textId="77777777" w:rsidR="0008114B" w:rsidRDefault="0008114B" w:rsidP="0008114B">
      <w:pPr>
        <w:pStyle w:val="NICEnormal"/>
        <w:rPr>
          <w:sz w:val="22"/>
          <w:szCs w:val="22"/>
          <w:lang w:val="en-GB" w:eastAsia="en-GB"/>
        </w:rPr>
      </w:pPr>
      <w:r w:rsidRPr="00A573DE">
        <w:rPr>
          <w:sz w:val="22"/>
          <w:szCs w:val="22"/>
          <w:lang w:val="en-GB" w:eastAsia="en-GB"/>
        </w:rPr>
        <w:t>According to the EEPRU framework,</w:t>
      </w:r>
      <w:r w:rsidRPr="00701C90">
        <w:rPr>
          <w:sz w:val="22"/>
          <w:szCs w:val="22"/>
          <w:lang w:val="en-GB" w:eastAsia="en-GB"/>
        </w:rPr>
        <w:t xml:space="preserve"> it is a prerequisite to characteri</w:t>
      </w:r>
      <w:r w:rsidRPr="00A573DE">
        <w:rPr>
          <w:sz w:val="22"/>
          <w:szCs w:val="22"/>
          <w:lang w:val="en-GB" w:eastAsia="en-GB"/>
        </w:rPr>
        <w:t>se the expected value of a new product over an appropriate time horizon to propose alternative funding arrangements of new AMs.</w:t>
      </w:r>
      <w:r>
        <w:rPr>
          <w:sz w:val="22"/>
          <w:szCs w:val="22"/>
          <w:lang w:val="en-GB" w:eastAsia="en-GB"/>
        </w:rPr>
        <w:fldChar w:fldCharType="begin"/>
      </w:r>
      <w:r>
        <w:rPr>
          <w:sz w:val="22"/>
          <w:szCs w:val="22"/>
          <w:lang w:val="en-GB" w:eastAsia="en-GB"/>
        </w:rPr>
        <w:instrText xml:space="preserve"> ADDIN EN.CITE &lt;EndNote&gt;&lt;Cite&gt;&lt;Author&gt;EEPRU&lt;/Author&gt;&lt;Year&gt;2018&lt;/Year&gt;&lt;RecNum&gt;9&lt;/RecNum&gt;&lt;DisplayText&gt;&lt;style face="superscript"&gt;3&lt;/style&gt;&lt;/DisplayText&gt;&lt;record&gt;&lt;rec-number&gt;9&lt;/rec-number&gt;&lt;foreign-keys&gt;&lt;key app="EN" db-id="pd5s0xr0250t2qevxfgxpvwp5eaztd2pavxx" timestamp="1638893203"&gt;9&lt;/key&gt;&lt;/foreign-keys&gt;&lt;ref-type name="Web Page"&gt;12&lt;/ref-type&gt;&lt;contributors&gt;&lt;authors&gt;&lt;author&gt;EEPRU&lt;/author&gt;&lt;/authors&gt;&lt;/contributors&gt;&lt;titles&gt;&lt;title&gt;Framework for value assessment of new antimicrobials - Implications of alternative funding arrangements for NICE appraisals&lt;/title&gt;&lt;/titles&gt;&lt;dates&gt;&lt;year&gt;2018&lt;/year&gt;&lt;/dates&gt;&lt;urls&gt;&lt;related-urls&gt;&lt;url&gt;http://www.eepru.org.uk/wp-content/uploads/2017/11/eepru-report-amr-oct-2018-059.pdf&lt;/url&gt;&lt;/related-urls&gt;&lt;/urls&gt;&lt;/record&gt;&lt;/Cite&gt;&lt;/EndNote&gt;</w:instrText>
      </w:r>
      <w:r>
        <w:rPr>
          <w:sz w:val="22"/>
          <w:szCs w:val="22"/>
          <w:lang w:val="en-GB" w:eastAsia="en-GB"/>
        </w:rPr>
        <w:fldChar w:fldCharType="separate"/>
      </w:r>
      <w:r w:rsidRPr="003E075D">
        <w:rPr>
          <w:noProof/>
          <w:sz w:val="22"/>
          <w:szCs w:val="22"/>
          <w:vertAlign w:val="superscript"/>
          <w:lang w:val="en-GB" w:eastAsia="en-GB"/>
        </w:rPr>
        <w:t>3</w:t>
      </w:r>
      <w:r>
        <w:rPr>
          <w:sz w:val="22"/>
          <w:szCs w:val="22"/>
          <w:lang w:val="en-GB" w:eastAsia="en-GB"/>
        </w:rPr>
        <w:fldChar w:fldCharType="end"/>
      </w:r>
      <w:r w:rsidRPr="00A573DE">
        <w:rPr>
          <w:sz w:val="22"/>
          <w:szCs w:val="22"/>
          <w:lang w:val="en-GB" w:eastAsia="en-GB"/>
        </w:rPr>
        <w:t xml:space="preserve"> In addition to value typically assessed within HTAs for other new technologies, additional elements of value for AMs need to be reflected (</w:t>
      </w:r>
      <w:r>
        <w:rPr>
          <w:sz w:val="22"/>
          <w:szCs w:val="22"/>
          <w:lang w:val="en-GB" w:eastAsia="en-GB"/>
        </w:rPr>
        <w:fldChar w:fldCharType="begin"/>
      </w:r>
      <w:r>
        <w:rPr>
          <w:sz w:val="22"/>
          <w:szCs w:val="22"/>
          <w:lang w:val="en-GB" w:eastAsia="en-GB"/>
        </w:rPr>
        <w:instrText xml:space="preserve"> REF _Ref90271453 \r \h </w:instrText>
      </w:r>
      <w:r>
        <w:rPr>
          <w:sz w:val="22"/>
          <w:szCs w:val="22"/>
          <w:lang w:val="en-GB" w:eastAsia="en-GB"/>
        </w:rPr>
      </w:r>
      <w:r>
        <w:rPr>
          <w:sz w:val="22"/>
          <w:szCs w:val="22"/>
          <w:lang w:val="en-GB" w:eastAsia="en-GB"/>
        </w:rPr>
        <w:fldChar w:fldCharType="separate"/>
      </w:r>
      <w:r>
        <w:rPr>
          <w:sz w:val="22"/>
          <w:szCs w:val="22"/>
          <w:lang w:val="en-GB" w:eastAsia="en-GB"/>
        </w:rPr>
        <w:t>Issue 2</w:t>
      </w:r>
      <w:r>
        <w:rPr>
          <w:sz w:val="22"/>
          <w:szCs w:val="22"/>
          <w:lang w:val="en-GB" w:eastAsia="en-GB"/>
        </w:rPr>
        <w:fldChar w:fldCharType="end"/>
      </w:r>
      <w:r w:rsidRPr="00A573DE">
        <w:rPr>
          <w:sz w:val="22"/>
          <w:szCs w:val="22"/>
          <w:lang w:val="en-GB" w:eastAsia="en-GB"/>
        </w:rPr>
        <w:t xml:space="preserve">). The </w:t>
      </w:r>
      <w:r>
        <w:rPr>
          <w:sz w:val="22"/>
          <w:szCs w:val="22"/>
          <w:lang w:val="en-GB" w:eastAsia="en-GB"/>
        </w:rPr>
        <w:t>additional</w:t>
      </w:r>
      <w:r w:rsidRPr="00A573DE">
        <w:rPr>
          <w:sz w:val="22"/>
          <w:szCs w:val="22"/>
          <w:lang w:val="en-GB" w:eastAsia="en-GB"/>
        </w:rPr>
        <w:t xml:space="preserve"> elements assessed in the Pfizer model were the transmission and diversity value for novel AMs</w:t>
      </w:r>
      <w:r>
        <w:rPr>
          <w:sz w:val="22"/>
          <w:szCs w:val="22"/>
          <w:lang w:val="en-GB" w:eastAsia="en-GB"/>
        </w:rPr>
        <w:t>.</w:t>
      </w:r>
      <w:r w:rsidRPr="00A573DE">
        <w:rPr>
          <w:sz w:val="22"/>
          <w:szCs w:val="22"/>
          <w:lang w:val="en-GB" w:eastAsia="en-GB"/>
        </w:rPr>
        <w:t xml:space="preserve"> </w:t>
      </w:r>
      <w:r>
        <w:rPr>
          <w:sz w:val="22"/>
          <w:szCs w:val="22"/>
          <w:lang w:val="en-GB" w:eastAsia="en-GB"/>
        </w:rPr>
        <w:t>T</w:t>
      </w:r>
      <w:r w:rsidRPr="00A573DE">
        <w:rPr>
          <w:sz w:val="22"/>
          <w:szCs w:val="22"/>
          <w:lang w:val="en-GB" w:eastAsia="en-GB"/>
        </w:rPr>
        <w:t xml:space="preserve">he EEPRU model </w:t>
      </w:r>
      <w:r>
        <w:rPr>
          <w:sz w:val="22"/>
          <w:szCs w:val="22"/>
          <w:lang w:val="en-GB" w:eastAsia="en-GB"/>
        </w:rPr>
        <w:t xml:space="preserve">did not focus on exploring, in part, or in full, </w:t>
      </w:r>
      <w:proofErr w:type="gramStart"/>
      <w:r>
        <w:rPr>
          <w:sz w:val="22"/>
          <w:szCs w:val="22"/>
          <w:lang w:val="en-GB" w:eastAsia="en-GB"/>
        </w:rPr>
        <w:t>all of</w:t>
      </w:r>
      <w:proofErr w:type="gramEnd"/>
      <w:r>
        <w:rPr>
          <w:sz w:val="22"/>
          <w:szCs w:val="22"/>
          <w:lang w:val="en-GB" w:eastAsia="en-GB"/>
        </w:rPr>
        <w:t xml:space="preserve"> these additional </w:t>
      </w:r>
      <w:r w:rsidRPr="00A573DE">
        <w:rPr>
          <w:sz w:val="22"/>
          <w:szCs w:val="22"/>
          <w:lang w:val="en-GB" w:eastAsia="en-GB"/>
        </w:rPr>
        <w:t xml:space="preserve">value </w:t>
      </w:r>
      <w:r>
        <w:rPr>
          <w:sz w:val="22"/>
          <w:szCs w:val="22"/>
          <w:lang w:val="en-GB" w:eastAsia="en-GB"/>
        </w:rPr>
        <w:t>elements</w:t>
      </w:r>
      <w:r w:rsidRPr="00A573DE">
        <w:rPr>
          <w:sz w:val="22"/>
          <w:szCs w:val="22"/>
          <w:lang w:val="en-GB" w:eastAsia="en-GB"/>
        </w:rPr>
        <w:t xml:space="preserve">. </w:t>
      </w:r>
    </w:p>
    <w:p w14:paraId="08BC85D6" w14:textId="77777777" w:rsidR="0008114B" w:rsidRPr="00A573DE" w:rsidRDefault="0008114B" w:rsidP="0008114B">
      <w:pPr>
        <w:pStyle w:val="NICEnormal"/>
        <w:rPr>
          <w:sz w:val="22"/>
          <w:szCs w:val="22"/>
          <w:lang w:val="en-GB" w:eastAsia="en-GB"/>
        </w:rPr>
        <w:sectPr w:rsidR="0008114B" w:rsidRPr="00A573DE" w:rsidSect="000E19C8">
          <w:pgSz w:w="11906" w:h="16838" w:code="9"/>
          <w:pgMar w:top="851" w:right="851" w:bottom="709" w:left="851" w:header="284" w:footer="720" w:gutter="0"/>
          <w:cols w:space="708"/>
          <w:docGrid w:linePitch="360"/>
        </w:sectPr>
      </w:pPr>
      <w:r w:rsidRPr="00A573DE">
        <w:rPr>
          <w:sz w:val="22"/>
          <w:szCs w:val="22"/>
          <w:lang w:val="en-GB" w:eastAsia="en-GB"/>
        </w:rPr>
        <w:t>According to the EEPRU framework, the “population health effects can be estimated through appropriate modelling, ideally using dynamic transmission models that are capable of reproducing both the direct and indirect effects.”</w:t>
      </w:r>
      <w:r>
        <w:rPr>
          <w:sz w:val="22"/>
          <w:szCs w:val="22"/>
          <w:lang w:val="en-GB" w:eastAsia="en-GB"/>
        </w:rPr>
        <w:fldChar w:fldCharType="begin"/>
      </w:r>
      <w:r>
        <w:rPr>
          <w:sz w:val="22"/>
          <w:szCs w:val="22"/>
          <w:lang w:val="en-GB" w:eastAsia="en-GB"/>
        </w:rPr>
        <w:instrText xml:space="preserve"> ADDIN EN.CITE &lt;EndNote&gt;&lt;Cite&gt;&lt;Author&gt;EEPRU&lt;/Author&gt;&lt;Year&gt;2018&lt;/Year&gt;&lt;RecNum&gt;9&lt;/RecNum&gt;&lt;DisplayText&gt;&lt;style face="superscript"&gt;3&lt;/style&gt;&lt;/DisplayText&gt;&lt;record&gt;&lt;rec-number&gt;9&lt;/rec-number&gt;&lt;foreign-keys&gt;&lt;key app="EN" db-id="pd5s0xr0250t2qevxfgxpvwp5eaztd2pavxx" timestamp="1638893203"&gt;9&lt;/key&gt;&lt;/foreign-keys&gt;&lt;ref-type name="Web Page"&gt;12&lt;/ref-type&gt;&lt;contributors&gt;&lt;authors&gt;&lt;author&gt;EEPRU&lt;/author&gt;&lt;/authors&gt;&lt;/contributors&gt;&lt;titles&gt;&lt;title&gt;Framework for value assessment of new antimicrobials - Implications of alternative funding arrangements for NICE appraisals&lt;/title&gt;&lt;/titles&gt;&lt;dates&gt;&lt;year&gt;2018&lt;/year&gt;&lt;/dates&gt;&lt;urls&gt;&lt;related-urls&gt;&lt;url&gt;http://www.eepru.org.uk/wp-content/uploads/2017/11/eepru-report-amr-oct-2018-059.pdf&lt;/url&gt;&lt;/related-urls&gt;&lt;/urls&gt;&lt;/record&gt;&lt;/Cite&gt;&lt;/EndNote&gt;</w:instrText>
      </w:r>
      <w:r>
        <w:rPr>
          <w:sz w:val="22"/>
          <w:szCs w:val="22"/>
          <w:lang w:val="en-GB" w:eastAsia="en-GB"/>
        </w:rPr>
        <w:fldChar w:fldCharType="separate"/>
      </w:r>
      <w:r w:rsidRPr="00B94641">
        <w:rPr>
          <w:noProof/>
          <w:sz w:val="22"/>
          <w:szCs w:val="22"/>
          <w:vertAlign w:val="superscript"/>
          <w:lang w:val="en-GB" w:eastAsia="en-GB"/>
        </w:rPr>
        <w:t>3</w:t>
      </w:r>
      <w:r>
        <w:rPr>
          <w:sz w:val="22"/>
          <w:szCs w:val="22"/>
          <w:lang w:val="en-GB" w:eastAsia="en-GB"/>
        </w:rPr>
        <w:fldChar w:fldCharType="end"/>
      </w:r>
      <w:r w:rsidRPr="00A573DE">
        <w:rPr>
          <w:sz w:val="22"/>
          <w:szCs w:val="22"/>
          <w:lang w:val="en-GB" w:eastAsia="en-GB"/>
        </w:rPr>
        <w:t xml:space="preserve"> </w:t>
      </w:r>
      <w:r>
        <w:rPr>
          <w:sz w:val="22"/>
          <w:szCs w:val="22"/>
          <w:lang w:val="en-GB" w:eastAsia="en-GB"/>
        </w:rPr>
        <w:t>T</w:t>
      </w:r>
      <w:r w:rsidRPr="00A573DE">
        <w:rPr>
          <w:sz w:val="22"/>
          <w:szCs w:val="22"/>
          <w:lang w:val="en-GB" w:eastAsia="en-GB"/>
        </w:rPr>
        <w:t>his was not the approach the EEPRU model used in its assessment. Instead, a decision-analytic model was used due to time constrain</w:t>
      </w:r>
      <w:r>
        <w:rPr>
          <w:sz w:val="22"/>
          <w:szCs w:val="22"/>
          <w:lang w:val="en-GB" w:eastAsia="en-GB"/>
        </w:rPr>
        <w:t>t</w:t>
      </w:r>
      <w:r w:rsidRPr="00A573DE">
        <w:rPr>
          <w:sz w:val="22"/>
          <w:szCs w:val="22"/>
          <w:lang w:val="en-GB" w:eastAsia="en-GB"/>
        </w:rPr>
        <w:t>s and resources available</w:t>
      </w:r>
      <w:r>
        <w:rPr>
          <w:sz w:val="22"/>
          <w:szCs w:val="22"/>
          <w:lang w:val="en-GB" w:eastAsia="en-GB"/>
        </w:rPr>
        <w:t xml:space="preserve"> (p. 104 of EEPRU assessment report)</w:t>
      </w:r>
      <w:r w:rsidRPr="00A573DE">
        <w:rPr>
          <w:sz w:val="22"/>
          <w:szCs w:val="22"/>
          <w:lang w:val="en-GB" w:eastAsia="en-GB"/>
        </w:rPr>
        <w:t>.</w:t>
      </w:r>
      <w:r>
        <w:rPr>
          <w:sz w:val="22"/>
          <w:szCs w:val="22"/>
          <w:lang w:val="en-GB" w:eastAsia="en-GB"/>
        </w:rPr>
        <w:t xml:space="preserve"> Reducing the</w:t>
      </w:r>
      <w:r w:rsidRPr="00F7794B">
        <w:rPr>
          <w:sz w:val="22"/>
          <w:szCs w:val="22"/>
          <w:lang w:val="en-GB" w:eastAsia="en-GB"/>
        </w:rPr>
        <w:t xml:space="preserve"> development of resistance is a key objective </w:t>
      </w:r>
      <w:r>
        <w:rPr>
          <w:sz w:val="22"/>
          <w:szCs w:val="22"/>
          <w:lang w:val="en-GB" w:eastAsia="en-GB"/>
        </w:rPr>
        <w:t>of the UK Government and the UK project</w:t>
      </w:r>
      <w:r w:rsidRPr="00F7794B">
        <w:rPr>
          <w:sz w:val="22"/>
          <w:szCs w:val="22"/>
          <w:lang w:val="en-GB" w:eastAsia="en-GB"/>
        </w:rPr>
        <w:t xml:space="preserve">. </w:t>
      </w:r>
      <w:r>
        <w:rPr>
          <w:sz w:val="22"/>
          <w:szCs w:val="22"/>
          <w:lang w:val="en-GB" w:eastAsia="en-GB"/>
        </w:rPr>
        <w:t>This model format fundamentally falls short in the ability to capture the importance of avoiding the spread of an infection (transmission) and limiting the development of resistance (diversity).  Alternative models which aim to capture the emergence of resistance and assess optimal treatment strategies must be considered in line with the EEPRU framework,</w:t>
      </w:r>
      <w:r>
        <w:rPr>
          <w:sz w:val="22"/>
          <w:szCs w:val="22"/>
          <w:lang w:val="en-GB" w:eastAsia="en-GB"/>
        </w:rPr>
        <w:fldChar w:fldCharType="begin"/>
      </w:r>
      <w:r>
        <w:rPr>
          <w:sz w:val="22"/>
          <w:szCs w:val="22"/>
          <w:lang w:val="en-GB" w:eastAsia="en-GB"/>
        </w:rPr>
        <w:instrText xml:space="preserve"> ADDIN EN.CITE &lt;EndNote&gt;&lt;Cite&gt;&lt;Author&gt;EEPRU&lt;/Author&gt;&lt;Year&gt;2018&lt;/Year&gt;&lt;RecNum&gt;9&lt;/RecNum&gt;&lt;DisplayText&gt;&lt;style face="superscript"&gt;3&lt;/style&gt;&lt;/DisplayText&gt;&lt;record&gt;&lt;rec-number&gt;9&lt;/rec-number&gt;&lt;foreign-keys&gt;&lt;key app="EN" db-id="pd5s0xr0250t2qevxfgxpvwp5eaztd2pavxx" timestamp="1638893203"&gt;9&lt;/key&gt;&lt;/foreign-keys&gt;&lt;ref-type name="Web Page"&gt;12&lt;/ref-type&gt;&lt;contributors&gt;&lt;authors&gt;&lt;author&gt;EEPRU&lt;/author&gt;&lt;/authors&gt;&lt;/contributors&gt;&lt;titles&gt;&lt;title&gt;Framework for value assessment of new antimicrobials - Implications of alternative funding arrangements for NICE appraisals&lt;/title&gt;&lt;/titles&gt;&lt;dates&gt;&lt;year&gt;2018&lt;/year&gt;&lt;/dates&gt;&lt;urls&gt;&lt;related-urls&gt;&lt;url&gt;http://www.eepru.org.uk/wp-content/uploads/2017/11/eepru-report-amr-oct-2018-059.pdf&lt;/url&gt;&lt;/related-urls&gt;&lt;/urls&gt;&lt;/record&gt;&lt;/Cite&gt;&lt;/EndNote&gt;</w:instrText>
      </w:r>
      <w:r>
        <w:rPr>
          <w:sz w:val="22"/>
          <w:szCs w:val="22"/>
          <w:lang w:val="en-GB" w:eastAsia="en-GB"/>
        </w:rPr>
        <w:fldChar w:fldCharType="separate"/>
      </w:r>
      <w:r w:rsidRPr="003E075D">
        <w:rPr>
          <w:noProof/>
          <w:sz w:val="22"/>
          <w:szCs w:val="22"/>
          <w:vertAlign w:val="superscript"/>
          <w:lang w:val="en-GB" w:eastAsia="en-GB"/>
        </w:rPr>
        <w:t>3</w:t>
      </w:r>
      <w:r>
        <w:rPr>
          <w:sz w:val="22"/>
          <w:szCs w:val="22"/>
          <w:lang w:val="en-GB" w:eastAsia="en-GB"/>
        </w:rPr>
        <w:fldChar w:fldCharType="end"/>
      </w:r>
      <w:r>
        <w:rPr>
          <w:sz w:val="22"/>
          <w:szCs w:val="22"/>
          <w:lang w:val="en-GB" w:eastAsia="en-GB"/>
        </w:rPr>
        <w:t xml:space="preserve"> as highlighted in Table 2.</w:t>
      </w:r>
    </w:p>
    <w:p w14:paraId="43670CA1" w14:textId="77777777" w:rsidR="0008114B" w:rsidRPr="00A573DE" w:rsidRDefault="0008114B" w:rsidP="0008114B">
      <w:pPr>
        <w:pStyle w:val="NICEnormal"/>
        <w:spacing w:line="276" w:lineRule="auto"/>
        <w:rPr>
          <w:lang w:val="en-GB" w:eastAsia="en-GB"/>
        </w:rPr>
      </w:pPr>
    </w:p>
    <w:p w14:paraId="635C4491" w14:textId="77777777" w:rsidR="0008114B" w:rsidRPr="00A573DE" w:rsidRDefault="0008114B" w:rsidP="0008114B">
      <w:pPr>
        <w:pStyle w:val="Caption"/>
        <w:rPr>
          <w:lang w:eastAsia="en-GB"/>
        </w:rPr>
      </w:pPr>
      <w:bookmarkStart w:id="5" w:name="_Ref90039527"/>
      <w:r w:rsidRPr="00A573DE">
        <w:t xml:space="preserve">Table </w:t>
      </w:r>
      <w:r w:rsidRPr="00A573DE">
        <w:fldChar w:fldCharType="begin"/>
      </w:r>
      <w:r w:rsidRPr="00A573DE">
        <w:instrText>SEQ Table \* ARABIC</w:instrText>
      </w:r>
      <w:r w:rsidRPr="00A573DE">
        <w:fldChar w:fldCharType="separate"/>
      </w:r>
      <w:r>
        <w:rPr>
          <w:noProof/>
        </w:rPr>
        <w:t>2</w:t>
      </w:r>
      <w:r w:rsidRPr="00A573DE">
        <w:fldChar w:fldCharType="end"/>
      </w:r>
      <w:bookmarkEnd w:id="5"/>
      <w:r w:rsidRPr="00A573DE">
        <w:t>. Value elements in the two models</w:t>
      </w:r>
    </w:p>
    <w:tbl>
      <w:tblPr>
        <w:tblStyle w:val="TableGrid"/>
        <w:tblW w:w="14311" w:type="dxa"/>
        <w:tblInd w:w="568" w:type="dxa"/>
        <w:tblLook w:val="04A0" w:firstRow="1" w:lastRow="0" w:firstColumn="1" w:lastColumn="0" w:noHBand="0" w:noVBand="1"/>
      </w:tblPr>
      <w:tblGrid>
        <w:gridCol w:w="1837"/>
        <w:gridCol w:w="3119"/>
        <w:gridCol w:w="4536"/>
        <w:gridCol w:w="4819"/>
      </w:tblGrid>
      <w:tr w:rsidR="0008114B" w:rsidRPr="00A573DE" w14:paraId="23AC7FE4" w14:textId="77777777" w:rsidTr="0008114B">
        <w:tc>
          <w:tcPr>
            <w:tcW w:w="1837" w:type="dxa"/>
            <w:shd w:val="clear" w:color="auto" w:fill="D9D9D9" w:themeFill="background1" w:themeFillShade="D9"/>
          </w:tcPr>
          <w:p w14:paraId="65BF64D6" w14:textId="77777777" w:rsidR="0008114B" w:rsidRPr="00A573DE" w:rsidRDefault="0008114B" w:rsidP="0008114B">
            <w:pPr>
              <w:spacing w:line="276" w:lineRule="auto"/>
              <w:rPr>
                <w:b/>
                <w:bCs/>
                <w:sz w:val="20"/>
                <w:szCs w:val="18"/>
                <w:lang w:eastAsia="en-GB"/>
              </w:rPr>
            </w:pPr>
            <w:r w:rsidRPr="00A573DE">
              <w:rPr>
                <w:b/>
                <w:bCs/>
                <w:sz w:val="20"/>
                <w:szCs w:val="18"/>
                <w:lang w:eastAsia="en-GB"/>
              </w:rPr>
              <w:t>Value element</w:t>
            </w:r>
          </w:p>
        </w:tc>
        <w:tc>
          <w:tcPr>
            <w:tcW w:w="3119" w:type="dxa"/>
            <w:shd w:val="clear" w:color="auto" w:fill="D9D9D9" w:themeFill="background1" w:themeFillShade="D9"/>
          </w:tcPr>
          <w:p w14:paraId="7A8C50BD" w14:textId="77777777" w:rsidR="0008114B" w:rsidRPr="00A573DE" w:rsidRDefault="0008114B" w:rsidP="0008114B">
            <w:pPr>
              <w:spacing w:line="276" w:lineRule="auto"/>
              <w:rPr>
                <w:b/>
                <w:bCs/>
                <w:sz w:val="20"/>
                <w:szCs w:val="18"/>
                <w:lang w:eastAsia="en-GB"/>
              </w:rPr>
            </w:pPr>
            <w:r w:rsidRPr="00A573DE">
              <w:rPr>
                <w:b/>
                <w:bCs/>
                <w:sz w:val="20"/>
                <w:szCs w:val="18"/>
                <w:lang w:eastAsia="en-GB"/>
              </w:rPr>
              <w:t>EEPRU framework</w:t>
            </w:r>
          </w:p>
        </w:tc>
        <w:tc>
          <w:tcPr>
            <w:tcW w:w="4536" w:type="dxa"/>
            <w:shd w:val="clear" w:color="auto" w:fill="D9D9D9" w:themeFill="background1" w:themeFillShade="D9"/>
          </w:tcPr>
          <w:p w14:paraId="74024B2F" w14:textId="77777777" w:rsidR="0008114B" w:rsidRPr="00A573DE" w:rsidRDefault="0008114B" w:rsidP="0008114B">
            <w:pPr>
              <w:spacing w:line="276" w:lineRule="auto"/>
              <w:rPr>
                <w:b/>
                <w:bCs/>
                <w:sz w:val="20"/>
                <w:szCs w:val="18"/>
                <w:lang w:eastAsia="en-GB"/>
              </w:rPr>
            </w:pPr>
            <w:r w:rsidRPr="00A573DE">
              <w:rPr>
                <w:b/>
                <w:bCs/>
                <w:sz w:val="20"/>
                <w:szCs w:val="18"/>
                <w:lang w:eastAsia="en-GB"/>
              </w:rPr>
              <w:t>Pfizer model</w:t>
            </w:r>
          </w:p>
        </w:tc>
        <w:tc>
          <w:tcPr>
            <w:tcW w:w="4819" w:type="dxa"/>
            <w:shd w:val="clear" w:color="auto" w:fill="D9D9D9" w:themeFill="background1" w:themeFillShade="D9"/>
          </w:tcPr>
          <w:p w14:paraId="170B32E7" w14:textId="77777777" w:rsidR="0008114B" w:rsidRPr="00A573DE" w:rsidRDefault="0008114B" w:rsidP="0008114B">
            <w:pPr>
              <w:spacing w:line="276" w:lineRule="auto"/>
              <w:rPr>
                <w:b/>
                <w:bCs/>
                <w:sz w:val="20"/>
                <w:szCs w:val="18"/>
                <w:lang w:eastAsia="en-GB"/>
              </w:rPr>
            </w:pPr>
            <w:r w:rsidRPr="00A573DE">
              <w:rPr>
                <w:b/>
                <w:bCs/>
                <w:sz w:val="20"/>
                <w:szCs w:val="18"/>
                <w:lang w:eastAsia="en-GB"/>
              </w:rPr>
              <w:t>EEPRU model</w:t>
            </w:r>
          </w:p>
        </w:tc>
      </w:tr>
      <w:tr w:rsidR="0008114B" w:rsidRPr="00A573DE" w14:paraId="3C460E3F" w14:textId="77777777" w:rsidTr="0008114B">
        <w:tc>
          <w:tcPr>
            <w:tcW w:w="1837" w:type="dxa"/>
          </w:tcPr>
          <w:p w14:paraId="2BB31B9B" w14:textId="77777777" w:rsidR="0008114B" w:rsidRPr="00A573DE" w:rsidRDefault="0008114B" w:rsidP="0008114B">
            <w:pPr>
              <w:spacing w:line="276" w:lineRule="auto"/>
              <w:rPr>
                <w:sz w:val="20"/>
                <w:lang w:eastAsia="en-GB"/>
              </w:rPr>
            </w:pPr>
            <w:r w:rsidRPr="00A573DE">
              <w:rPr>
                <w:sz w:val="20"/>
                <w:lang w:eastAsia="en-GB"/>
              </w:rPr>
              <w:t>Transmission</w:t>
            </w:r>
          </w:p>
        </w:tc>
        <w:tc>
          <w:tcPr>
            <w:tcW w:w="3119" w:type="dxa"/>
          </w:tcPr>
          <w:p w14:paraId="1136D19E" w14:textId="77777777" w:rsidR="0008114B" w:rsidRPr="00A573DE" w:rsidRDefault="0008114B" w:rsidP="0008114B">
            <w:pPr>
              <w:spacing w:line="276" w:lineRule="auto"/>
              <w:rPr>
                <w:sz w:val="20"/>
                <w:lang w:eastAsia="en-GB"/>
              </w:rPr>
            </w:pPr>
            <w:r w:rsidRPr="00A573DE">
              <w:rPr>
                <w:sz w:val="20"/>
                <w:lang w:eastAsia="en-GB"/>
              </w:rPr>
              <w:t>“In the case of AMs, both direct and wider health effects and costs by avoiding the spread of infection to the population should be considered.” (p.30)</w:t>
            </w:r>
          </w:p>
        </w:tc>
        <w:tc>
          <w:tcPr>
            <w:tcW w:w="4536" w:type="dxa"/>
          </w:tcPr>
          <w:p w14:paraId="7F1458BC" w14:textId="77777777" w:rsidR="0008114B" w:rsidRPr="00A573DE" w:rsidRDefault="0008114B" w:rsidP="0008114B">
            <w:pPr>
              <w:spacing w:line="276" w:lineRule="auto"/>
              <w:rPr>
                <w:sz w:val="20"/>
                <w:lang w:eastAsia="en-GB"/>
              </w:rPr>
            </w:pPr>
            <w:r w:rsidRPr="00607431">
              <w:rPr>
                <w:b/>
                <w:bCs/>
                <w:sz w:val="20"/>
                <w:lang w:eastAsia="en-GB"/>
              </w:rPr>
              <w:t>Assessed:</w:t>
            </w:r>
            <w:r>
              <w:rPr>
                <w:sz w:val="20"/>
                <w:lang w:eastAsia="en-GB"/>
              </w:rPr>
              <w:t xml:space="preserve"> </w:t>
            </w:r>
            <w:r w:rsidRPr="00A573DE">
              <w:rPr>
                <w:sz w:val="20"/>
                <w:lang w:eastAsia="en-GB"/>
              </w:rPr>
              <w:t>The model demonstrates this value element within the disease transmission component which was validated by several experts and agreed upon with EEPRU earlier.</w:t>
            </w:r>
          </w:p>
          <w:p w14:paraId="4A9D294B" w14:textId="77777777" w:rsidR="0008114B" w:rsidRPr="00A573DE" w:rsidRDefault="0008114B" w:rsidP="0008114B">
            <w:pPr>
              <w:spacing w:line="276" w:lineRule="auto"/>
              <w:rPr>
                <w:sz w:val="20"/>
                <w:lang w:eastAsia="en-GB"/>
              </w:rPr>
            </w:pPr>
            <w:r w:rsidRPr="00A573DE">
              <w:rPr>
                <w:sz w:val="20"/>
                <w:lang w:eastAsia="en-GB"/>
              </w:rPr>
              <w:t xml:space="preserve">According to the EEPRU framework it is important to include a model component that can estimate the infection transmission dynamics and associated resistance. </w:t>
            </w:r>
          </w:p>
        </w:tc>
        <w:tc>
          <w:tcPr>
            <w:tcW w:w="4819" w:type="dxa"/>
          </w:tcPr>
          <w:p w14:paraId="0A460BF9" w14:textId="77777777" w:rsidR="0008114B" w:rsidRPr="00A573DE" w:rsidRDefault="0008114B" w:rsidP="0008114B">
            <w:pPr>
              <w:spacing w:line="276" w:lineRule="auto"/>
              <w:rPr>
                <w:sz w:val="20"/>
                <w:lang w:eastAsia="en-GB"/>
              </w:rPr>
            </w:pPr>
            <w:r w:rsidRPr="00607431">
              <w:rPr>
                <w:b/>
                <w:bCs/>
                <w:sz w:val="20"/>
                <w:lang w:eastAsia="en-GB"/>
              </w:rPr>
              <w:t>Not assessed:</w:t>
            </w:r>
            <w:r>
              <w:rPr>
                <w:sz w:val="20"/>
                <w:lang w:eastAsia="en-GB"/>
              </w:rPr>
              <w:t xml:space="preserve"> </w:t>
            </w:r>
            <w:r w:rsidRPr="00A573DE">
              <w:rPr>
                <w:sz w:val="20"/>
                <w:lang w:eastAsia="en-GB"/>
              </w:rPr>
              <w:t xml:space="preserve">According to clinical advisor the effect of including </w:t>
            </w:r>
            <w:r>
              <w:rPr>
                <w:sz w:val="20"/>
                <w:lang w:eastAsia="en-GB"/>
              </w:rPr>
              <w:t>CAZ-AVI</w:t>
            </w:r>
            <w:r w:rsidRPr="00A573DE">
              <w:rPr>
                <w:sz w:val="20"/>
                <w:lang w:eastAsia="en-GB"/>
              </w:rPr>
              <w:t xml:space="preserve"> on transmission was uncertain. Key drivers of OXA-48 </w:t>
            </w:r>
            <w:proofErr w:type="spellStart"/>
            <w:r w:rsidRPr="00A573DE">
              <w:rPr>
                <w:i/>
                <w:iCs/>
                <w:sz w:val="20"/>
                <w:lang w:eastAsia="en-GB"/>
              </w:rPr>
              <w:t>Enterobacterales</w:t>
            </w:r>
            <w:proofErr w:type="spellEnd"/>
            <w:r w:rsidRPr="00A573DE">
              <w:rPr>
                <w:sz w:val="20"/>
                <w:lang w:eastAsia="en-GB"/>
              </w:rPr>
              <w:t xml:space="preserve"> are broad and challenging to model, so no attempt was made to quantify that value in the model. (p. 177/178)</w:t>
            </w:r>
          </w:p>
        </w:tc>
      </w:tr>
      <w:tr w:rsidR="0008114B" w:rsidRPr="00A573DE" w14:paraId="3D6ED035" w14:textId="77777777" w:rsidTr="0008114B">
        <w:tc>
          <w:tcPr>
            <w:tcW w:w="1837" w:type="dxa"/>
          </w:tcPr>
          <w:p w14:paraId="669D68F7" w14:textId="77777777" w:rsidR="0008114B" w:rsidRPr="00A573DE" w:rsidRDefault="0008114B" w:rsidP="0008114B">
            <w:pPr>
              <w:spacing w:line="276" w:lineRule="auto"/>
              <w:rPr>
                <w:sz w:val="20"/>
                <w:lang w:eastAsia="en-GB"/>
              </w:rPr>
            </w:pPr>
            <w:r w:rsidRPr="00A573DE">
              <w:rPr>
                <w:sz w:val="20"/>
                <w:lang w:eastAsia="en-GB"/>
              </w:rPr>
              <w:t>Diversity</w:t>
            </w:r>
          </w:p>
        </w:tc>
        <w:tc>
          <w:tcPr>
            <w:tcW w:w="3119" w:type="dxa"/>
          </w:tcPr>
          <w:p w14:paraId="3FD0C304" w14:textId="77777777" w:rsidR="0008114B" w:rsidRPr="00A573DE" w:rsidRDefault="0008114B" w:rsidP="0008114B">
            <w:pPr>
              <w:spacing w:line="276" w:lineRule="auto"/>
              <w:rPr>
                <w:sz w:val="20"/>
                <w:lang w:eastAsia="en-GB"/>
              </w:rPr>
            </w:pPr>
            <w:r w:rsidRPr="00A573DE">
              <w:rPr>
                <w:sz w:val="20"/>
                <w:lang w:eastAsia="en-GB"/>
              </w:rPr>
              <w:t>“Diversity value can be reflected in the range of alternative strategies or treatment protocols being compared, representing the different ways that the new and existing AMs may be used.” (p.35)</w:t>
            </w:r>
          </w:p>
        </w:tc>
        <w:tc>
          <w:tcPr>
            <w:tcW w:w="4536" w:type="dxa"/>
          </w:tcPr>
          <w:p w14:paraId="46D650E3" w14:textId="77777777" w:rsidR="0008114B" w:rsidRDefault="0008114B" w:rsidP="0008114B">
            <w:pPr>
              <w:spacing w:line="276" w:lineRule="auto"/>
              <w:rPr>
                <w:sz w:val="20"/>
                <w:lang w:eastAsia="en-GB"/>
              </w:rPr>
            </w:pPr>
            <w:r w:rsidRPr="00322528">
              <w:rPr>
                <w:b/>
                <w:bCs/>
                <w:sz w:val="20"/>
                <w:lang w:eastAsia="en-GB"/>
              </w:rPr>
              <w:t>Assessed:</w:t>
            </w:r>
            <w:r>
              <w:rPr>
                <w:b/>
                <w:bCs/>
                <w:sz w:val="20"/>
                <w:lang w:eastAsia="en-GB"/>
              </w:rPr>
              <w:t xml:space="preserve"> </w:t>
            </w:r>
            <w:r w:rsidRPr="00A573DE">
              <w:rPr>
                <w:sz w:val="20"/>
                <w:lang w:eastAsia="en-GB"/>
              </w:rPr>
              <w:t xml:space="preserve">The base-case analysis uses an all-lines diversity stewardship strategy which </w:t>
            </w:r>
            <w:r>
              <w:rPr>
                <w:sz w:val="20"/>
                <w:lang w:eastAsia="en-GB"/>
              </w:rPr>
              <w:t xml:space="preserve">considers a multiple line treatment approach (empiric and suspected usage) to represent real life practice usage scenarios. </w:t>
            </w:r>
          </w:p>
          <w:p w14:paraId="26E9E58A" w14:textId="77777777" w:rsidR="0008114B" w:rsidRPr="00A573DE" w:rsidRDefault="0008114B" w:rsidP="0008114B">
            <w:pPr>
              <w:spacing w:line="276" w:lineRule="auto"/>
              <w:rPr>
                <w:sz w:val="20"/>
                <w:lang w:eastAsia="en-GB"/>
              </w:rPr>
            </w:pPr>
            <w:r>
              <w:rPr>
                <w:sz w:val="20"/>
                <w:lang w:eastAsia="en-GB"/>
              </w:rPr>
              <w:t xml:space="preserve">It also </w:t>
            </w:r>
            <w:r w:rsidRPr="00A573DE">
              <w:rPr>
                <w:sz w:val="20"/>
                <w:lang w:eastAsia="en-GB"/>
              </w:rPr>
              <w:t>provides an optimal balance between maximizing population health gains and minimizing resistance development</w:t>
            </w:r>
            <w:r>
              <w:rPr>
                <w:sz w:val="20"/>
                <w:lang w:eastAsia="en-GB"/>
              </w:rPr>
              <w:t>.</w:t>
            </w:r>
          </w:p>
        </w:tc>
        <w:tc>
          <w:tcPr>
            <w:tcW w:w="4819" w:type="dxa"/>
          </w:tcPr>
          <w:p w14:paraId="7617A723" w14:textId="77777777" w:rsidR="0008114B" w:rsidRDefault="0008114B" w:rsidP="0008114B">
            <w:pPr>
              <w:spacing w:line="276" w:lineRule="auto"/>
              <w:rPr>
                <w:sz w:val="20"/>
                <w:lang w:eastAsia="en-GB"/>
              </w:rPr>
            </w:pPr>
            <w:r w:rsidRPr="00322528">
              <w:rPr>
                <w:b/>
                <w:bCs/>
                <w:sz w:val="20"/>
                <w:lang w:eastAsia="en-GB"/>
              </w:rPr>
              <w:t>Not assessed:</w:t>
            </w:r>
            <w:r>
              <w:rPr>
                <w:b/>
                <w:bCs/>
                <w:sz w:val="20"/>
                <w:lang w:eastAsia="en-GB"/>
              </w:rPr>
              <w:t xml:space="preserve"> </w:t>
            </w:r>
            <w:r w:rsidRPr="00A573DE">
              <w:rPr>
                <w:sz w:val="20"/>
                <w:lang w:eastAsia="en-GB"/>
              </w:rPr>
              <w:t>This was not included in the model since clinical advisors indicated that a diverse prescribing strategy is very unlikely with in the HVCSs (p. 176)</w:t>
            </w:r>
            <w:r>
              <w:rPr>
                <w:sz w:val="20"/>
                <w:lang w:eastAsia="en-GB"/>
              </w:rPr>
              <w:t>.</w:t>
            </w:r>
          </w:p>
          <w:p w14:paraId="0473D8EA" w14:textId="77777777" w:rsidR="0008114B" w:rsidRDefault="0008114B" w:rsidP="0008114B">
            <w:pPr>
              <w:spacing w:line="276" w:lineRule="auto"/>
              <w:rPr>
                <w:sz w:val="20"/>
                <w:lang w:eastAsia="en-GB"/>
              </w:rPr>
            </w:pPr>
          </w:p>
          <w:p w14:paraId="6B552B66" w14:textId="77777777" w:rsidR="0008114B" w:rsidRPr="00A573DE" w:rsidRDefault="0008114B" w:rsidP="0008114B">
            <w:pPr>
              <w:spacing w:line="276" w:lineRule="auto"/>
              <w:rPr>
                <w:sz w:val="20"/>
                <w:lang w:eastAsia="en-GB"/>
              </w:rPr>
            </w:pPr>
            <w:r>
              <w:rPr>
                <w:sz w:val="20"/>
                <w:lang w:eastAsia="en-GB"/>
              </w:rPr>
              <w:t xml:space="preserve">To note: comment on use of diverse prescribing. Used to reflect that CAZ-AVI may not only be used as a last </w:t>
            </w:r>
            <w:proofErr w:type="gramStart"/>
            <w:r>
              <w:rPr>
                <w:sz w:val="20"/>
                <w:lang w:eastAsia="en-GB"/>
              </w:rPr>
              <w:t>option, when</w:t>
            </w:r>
            <w:proofErr w:type="gramEnd"/>
            <w:r>
              <w:rPr>
                <w:sz w:val="20"/>
                <w:lang w:eastAsia="en-GB"/>
              </w:rPr>
              <w:t xml:space="preserve"> there is suspected resistance. As validated by clinicians. </w:t>
            </w:r>
          </w:p>
        </w:tc>
      </w:tr>
      <w:tr w:rsidR="0008114B" w:rsidRPr="00A573DE" w14:paraId="137D3BE1" w14:textId="77777777" w:rsidTr="0008114B">
        <w:tc>
          <w:tcPr>
            <w:tcW w:w="1837" w:type="dxa"/>
          </w:tcPr>
          <w:p w14:paraId="5F36474F" w14:textId="77777777" w:rsidR="0008114B" w:rsidRPr="00A573DE" w:rsidRDefault="0008114B" w:rsidP="0008114B">
            <w:pPr>
              <w:spacing w:line="276" w:lineRule="auto"/>
              <w:rPr>
                <w:sz w:val="20"/>
                <w:lang w:eastAsia="en-GB"/>
              </w:rPr>
            </w:pPr>
            <w:r w:rsidRPr="00A573DE">
              <w:rPr>
                <w:sz w:val="20"/>
                <w:lang w:eastAsia="en-GB"/>
              </w:rPr>
              <w:t>Enablement</w:t>
            </w:r>
          </w:p>
        </w:tc>
        <w:tc>
          <w:tcPr>
            <w:tcW w:w="3119" w:type="dxa"/>
          </w:tcPr>
          <w:p w14:paraId="405A9B88" w14:textId="77777777" w:rsidR="0008114B" w:rsidRPr="00A573DE" w:rsidRDefault="0008114B" w:rsidP="0008114B">
            <w:pPr>
              <w:spacing w:line="276" w:lineRule="auto"/>
              <w:rPr>
                <w:sz w:val="20"/>
                <w:lang w:eastAsia="en-GB"/>
              </w:rPr>
            </w:pPr>
            <w:r w:rsidRPr="00A573DE">
              <w:rPr>
                <w:sz w:val="20"/>
                <w:lang w:eastAsia="en-GB"/>
              </w:rPr>
              <w:t>“[The] indirect benefits to individuals associated with enabling other treatments or procedures to take place.” (p.35)</w:t>
            </w:r>
          </w:p>
        </w:tc>
        <w:tc>
          <w:tcPr>
            <w:tcW w:w="4536" w:type="dxa"/>
          </w:tcPr>
          <w:p w14:paraId="6F0D9794" w14:textId="77777777" w:rsidR="0008114B" w:rsidRPr="00A573DE" w:rsidRDefault="0008114B" w:rsidP="0008114B">
            <w:pPr>
              <w:spacing w:line="276" w:lineRule="auto"/>
              <w:rPr>
                <w:sz w:val="20"/>
                <w:lang w:eastAsia="en-GB"/>
              </w:rPr>
            </w:pPr>
            <w:r w:rsidRPr="00607431">
              <w:rPr>
                <w:b/>
                <w:bCs/>
                <w:sz w:val="20"/>
                <w:lang w:eastAsia="en-GB"/>
              </w:rPr>
              <w:t>Not assessed:</w:t>
            </w:r>
            <w:r>
              <w:rPr>
                <w:sz w:val="20"/>
                <w:lang w:eastAsia="en-GB"/>
              </w:rPr>
              <w:t xml:space="preserve"> </w:t>
            </w:r>
            <w:r w:rsidRPr="00A573DE">
              <w:rPr>
                <w:sz w:val="20"/>
                <w:lang w:eastAsia="en-GB"/>
              </w:rPr>
              <w:t xml:space="preserve">This was not captured in this economic model, but a separate model has been developed that looks at exploring the enablement value (see Section </w:t>
            </w:r>
            <w:r w:rsidRPr="00A573DE">
              <w:rPr>
                <w:sz w:val="20"/>
                <w:lang w:eastAsia="en-GB"/>
              </w:rPr>
              <w:fldChar w:fldCharType="begin"/>
            </w:r>
            <w:r w:rsidRPr="00A573DE">
              <w:rPr>
                <w:sz w:val="20"/>
                <w:lang w:eastAsia="en-GB"/>
              </w:rPr>
              <w:instrText xml:space="preserve"> REF _Ref90040118 \r \h </w:instrText>
            </w:r>
            <w:r w:rsidRPr="00A573DE">
              <w:rPr>
                <w:sz w:val="20"/>
                <w:lang w:eastAsia="en-GB"/>
              </w:rPr>
            </w:r>
            <w:r w:rsidRPr="00A573DE">
              <w:rPr>
                <w:sz w:val="20"/>
                <w:lang w:eastAsia="en-GB"/>
              </w:rPr>
              <w:fldChar w:fldCharType="separate"/>
            </w:r>
            <w:r>
              <w:rPr>
                <w:sz w:val="20"/>
                <w:lang w:eastAsia="en-GB"/>
              </w:rPr>
              <w:t>2.5</w:t>
            </w:r>
            <w:r w:rsidRPr="00A573DE">
              <w:rPr>
                <w:sz w:val="20"/>
                <w:lang w:eastAsia="en-GB"/>
              </w:rPr>
              <w:fldChar w:fldCharType="end"/>
            </w:r>
            <w:r w:rsidRPr="00A573DE">
              <w:rPr>
                <w:sz w:val="20"/>
                <w:lang w:eastAsia="en-GB"/>
              </w:rPr>
              <w:t>).</w:t>
            </w:r>
          </w:p>
        </w:tc>
        <w:tc>
          <w:tcPr>
            <w:tcW w:w="4819" w:type="dxa"/>
          </w:tcPr>
          <w:p w14:paraId="777D0D89" w14:textId="77777777" w:rsidR="0008114B" w:rsidRPr="00A573DE" w:rsidRDefault="0008114B" w:rsidP="0008114B">
            <w:pPr>
              <w:spacing w:line="276" w:lineRule="auto"/>
              <w:rPr>
                <w:sz w:val="20"/>
                <w:lang w:eastAsia="en-GB"/>
              </w:rPr>
            </w:pPr>
            <w:r>
              <w:rPr>
                <w:b/>
                <w:bCs/>
                <w:sz w:val="20"/>
                <w:lang w:eastAsia="en-GB"/>
              </w:rPr>
              <w:t>Partly a</w:t>
            </w:r>
            <w:r w:rsidRPr="00607431">
              <w:rPr>
                <w:b/>
                <w:bCs/>
                <w:sz w:val="20"/>
                <w:lang w:eastAsia="en-GB"/>
              </w:rPr>
              <w:t>ssessed:</w:t>
            </w:r>
            <w:r>
              <w:rPr>
                <w:sz w:val="20"/>
                <w:lang w:eastAsia="en-GB"/>
              </w:rPr>
              <w:t xml:space="preserve"> </w:t>
            </w:r>
            <w:r w:rsidRPr="00A573DE">
              <w:rPr>
                <w:sz w:val="20"/>
                <w:lang w:eastAsia="en-GB"/>
              </w:rPr>
              <w:t>Improved treatment of pre- and post-operative MDR infections is included but there is some uncertainty as to whether the full benefits are reflected within the analysis. […] There is uncertainty with respect to number of patients who would be affected as this would depend on both the number of patients whose treatment would be impacted by an outbreak and the frequency of outbreaks in key units […] There is also uncertainty about the consequences for patients not receiving planned therapy. […] These effects are not captured within the EEPRU modelling.” (p.175/176)</w:t>
            </w:r>
          </w:p>
        </w:tc>
      </w:tr>
      <w:tr w:rsidR="0008114B" w:rsidRPr="00A573DE" w14:paraId="02AE2A38" w14:textId="77777777" w:rsidTr="0008114B">
        <w:tc>
          <w:tcPr>
            <w:tcW w:w="1837" w:type="dxa"/>
          </w:tcPr>
          <w:p w14:paraId="466EEAFF" w14:textId="77777777" w:rsidR="0008114B" w:rsidRPr="00A573DE" w:rsidRDefault="0008114B" w:rsidP="0008114B">
            <w:pPr>
              <w:spacing w:line="276" w:lineRule="auto"/>
              <w:rPr>
                <w:sz w:val="20"/>
                <w:lang w:eastAsia="en-GB"/>
              </w:rPr>
            </w:pPr>
            <w:r w:rsidRPr="00A573DE">
              <w:rPr>
                <w:sz w:val="20"/>
                <w:lang w:eastAsia="en-GB"/>
              </w:rPr>
              <w:t>Spectrum</w:t>
            </w:r>
          </w:p>
        </w:tc>
        <w:tc>
          <w:tcPr>
            <w:tcW w:w="3119" w:type="dxa"/>
          </w:tcPr>
          <w:p w14:paraId="283A24AF" w14:textId="77777777" w:rsidR="0008114B" w:rsidRPr="00A573DE" w:rsidRDefault="0008114B" w:rsidP="0008114B">
            <w:pPr>
              <w:spacing w:line="276" w:lineRule="auto"/>
              <w:rPr>
                <w:sz w:val="20"/>
                <w:lang w:eastAsia="en-GB"/>
              </w:rPr>
            </w:pPr>
            <w:r w:rsidRPr="00A573DE">
              <w:rPr>
                <w:sz w:val="20"/>
                <w:lang w:eastAsia="en-GB"/>
              </w:rPr>
              <w:t xml:space="preserve">Nearly impossible to model “since it requires estimation of </w:t>
            </w:r>
            <w:r w:rsidRPr="00A573DE">
              <w:rPr>
                <w:sz w:val="20"/>
                <w:lang w:eastAsia="en-GB"/>
              </w:rPr>
              <w:lastRenderedPageBreak/>
              <w:t>impact of the alternative AM treatment strategies on health outcomes and costs of future resistant infections.” (p.36)</w:t>
            </w:r>
          </w:p>
        </w:tc>
        <w:tc>
          <w:tcPr>
            <w:tcW w:w="4536" w:type="dxa"/>
          </w:tcPr>
          <w:p w14:paraId="599E2491" w14:textId="77777777" w:rsidR="0008114B" w:rsidRPr="00A573DE" w:rsidRDefault="0008114B" w:rsidP="0008114B">
            <w:pPr>
              <w:spacing w:line="276" w:lineRule="auto"/>
              <w:rPr>
                <w:sz w:val="20"/>
                <w:lang w:eastAsia="en-GB"/>
              </w:rPr>
            </w:pPr>
            <w:r w:rsidRPr="00322528">
              <w:rPr>
                <w:b/>
                <w:bCs/>
                <w:sz w:val="20"/>
                <w:lang w:eastAsia="en-GB"/>
              </w:rPr>
              <w:lastRenderedPageBreak/>
              <w:t>Not assessed:</w:t>
            </w:r>
            <w:r>
              <w:rPr>
                <w:b/>
                <w:bCs/>
                <w:sz w:val="20"/>
                <w:lang w:eastAsia="en-GB"/>
              </w:rPr>
              <w:t xml:space="preserve"> </w:t>
            </w:r>
            <w:r w:rsidRPr="00A573DE">
              <w:rPr>
                <w:sz w:val="20"/>
                <w:lang w:eastAsia="en-GB"/>
              </w:rPr>
              <w:t>Not reflected in the model.</w:t>
            </w:r>
          </w:p>
        </w:tc>
        <w:tc>
          <w:tcPr>
            <w:tcW w:w="4819" w:type="dxa"/>
          </w:tcPr>
          <w:p w14:paraId="22EDA419" w14:textId="77777777" w:rsidR="0008114B" w:rsidRDefault="0008114B" w:rsidP="0008114B">
            <w:pPr>
              <w:spacing w:line="276" w:lineRule="auto"/>
              <w:rPr>
                <w:sz w:val="20"/>
                <w:lang w:eastAsia="en-GB"/>
              </w:rPr>
            </w:pPr>
            <w:r w:rsidRPr="00607431">
              <w:rPr>
                <w:b/>
                <w:bCs/>
                <w:sz w:val="20"/>
                <w:lang w:eastAsia="en-GB"/>
              </w:rPr>
              <w:t>Not assessed:</w:t>
            </w:r>
            <w:r>
              <w:rPr>
                <w:sz w:val="20"/>
                <w:lang w:eastAsia="en-GB"/>
              </w:rPr>
              <w:t xml:space="preserve"> </w:t>
            </w:r>
            <w:r w:rsidRPr="00A573DE">
              <w:rPr>
                <w:sz w:val="20"/>
                <w:lang w:eastAsia="en-GB"/>
              </w:rPr>
              <w:t>It was not considered in the assessment</w:t>
            </w:r>
            <w:r>
              <w:rPr>
                <w:sz w:val="20"/>
                <w:lang w:eastAsia="en-GB"/>
              </w:rPr>
              <w:t>.</w:t>
            </w:r>
            <w:r w:rsidRPr="00A573DE">
              <w:rPr>
                <w:sz w:val="20"/>
                <w:lang w:eastAsia="en-GB"/>
              </w:rPr>
              <w:t xml:space="preserve"> (p. 178)</w:t>
            </w:r>
          </w:p>
          <w:p w14:paraId="11BD0942" w14:textId="77777777" w:rsidR="0008114B" w:rsidRDefault="0008114B" w:rsidP="0008114B">
            <w:pPr>
              <w:rPr>
                <w:sz w:val="20"/>
                <w:lang w:eastAsia="en-GB"/>
              </w:rPr>
            </w:pPr>
          </w:p>
          <w:p w14:paraId="1C18E8F8" w14:textId="77777777" w:rsidR="0008114B" w:rsidRPr="00207471" w:rsidRDefault="0008114B" w:rsidP="0008114B">
            <w:pPr>
              <w:rPr>
                <w:sz w:val="20"/>
                <w:lang w:eastAsia="en-GB"/>
              </w:rPr>
            </w:pPr>
          </w:p>
        </w:tc>
      </w:tr>
      <w:tr w:rsidR="0008114B" w:rsidRPr="00A573DE" w14:paraId="1B7F77E6" w14:textId="77777777" w:rsidTr="0008114B">
        <w:trPr>
          <w:trHeight w:val="1635"/>
        </w:trPr>
        <w:tc>
          <w:tcPr>
            <w:tcW w:w="1837" w:type="dxa"/>
          </w:tcPr>
          <w:p w14:paraId="6E965BB1" w14:textId="77777777" w:rsidR="0008114B" w:rsidRPr="00A573DE" w:rsidRDefault="0008114B" w:rsidP="0008114B">
            <w:pPr>
              <w:spacing w:line="276" w:lineRule="auto"/>
              <w:rPr>
                <w:sz w:val="20"/>
                <w:lang w:eastAsia="en-GB"/>
              </w:rPr>
            </w:pPr>
            <w:r w:rsidRPr="00A573DE">
              <w:rPr>
                <w:sz w:val="20"/>
                <w:lang w:eastAsia="en-GB"/>
              </w:rPr>
              <w:lastRenderedPageBreak/>
              <w:t>Insurance</w:t>
            </w:r>
          </w:p>
        </w:tc>
        <w:tc>
          <w:tcPr>
            <w:tcW w:w="3119" w:type="dxa"/>
          </w:tcPr>
          <w:p w14:paraId="19487BBC" w14:textId="77777777" w:rsidR="0008114B" w:rsidRPr="00A573DE" w:rsidRDefault="0008114B" w:rsidP="0008114B">
            <w:pPr>
              <w:spacing w:line="276" w:lineRule="auto"/>
              <w:rPr>
                <w:sz w:val="20"/>
                <w:lang w:eastAsia="en-GB"/>
              </w:rPr>
            </w:pPr>
            <w:r w:rsidRPr="00A573DE">
              <w:rPr>
                <w:sz w:val="20"/>
                <w:lang w:eastAsia="en-GB"/>
              </w:rPr>
              <w:t xml:space="preserve">Two components: </w:t>
            </w:r>
            <w:proofErr w:type="spellStart"/>
            <w:r w:rsidRPr="00A573DE">
              <w:rPr>
                <w:sz w:val="20"/>
                <w:lang w:eastAsia="en-GB"/>
              </w:rPr>
              <w:t>i</w:t>
            </w:r>
            <w:proofErr w:type="spellEnd"/>
            <w:r w:rsidRPr="00A573DE">
              <w:rPr>
                <w:sz w:val="20"/>
                <w:lang w:eastAsia="en-GB"/>
              </w:rPr>
              <w:t>) conservation value of holding back new AM for future need – can be reflected by including full range of alternative strategies about usage; ii) value associated with avoiding major catastrophic health consequences – may be partly modelled through its impact on population health effects. (p.36/37)</w:t>
            </w:r>
          </w:p>
        </w:tc>
        <w:tc>
          <w:tcPr>
            <w:tcW w:w="4536" w:type="dxa"/>
          </w:tcPr>
          <w:p w14:paraId="0CBF8B08" w14:textId="77777777" w:rsidR="0008114B" w:rsidRPr="00A573DE" w:rsidRDefault="0008114B" w:rsidP="0008114B">
            <w:pPr>
              <w:spacing w:line="276" w:lineRule="auto"/>
              <w:rPr>
                <w:sz w:val="20"/>
                <w:lang w:eastAsia="en-GB"/>
              </w:rPr>
            </w:pPr>
            <w:r w:rsidRPr="00607431">
              <w:rPr>
                <w:b/>
                <w:bCs/>
                <w:sz w:val="20"/>
                <w:lang w:eastAsia="en-GB"/>
              </w:rPr>
              <w:t>Partly assessed:</w:t>
            </w:r>
            <w:r>
              <w:rPr>
                <w:sz w:val="20"/>
                <w:lang w:eastAsia="en-GB"/>
              </w:rPr>
              <w:t xml:space="preserve"> </w:t>
            </w:r>
            <w:r w:rsidRPr="00A573DE">
              <w:rPr>
                <w:sz w:val="20"/>
                <w:lang w:eastAsia="en-GB"/>
              </w:rPr>
              <w:t xml:space="preserve">The economic model can explore scenarios associated with withholding an AM for the treatment of resistant infections but is unable to explore </w:t>
            </w:r>
            <w:r>
              <w:rPr>
                <w:sz w:val="20"/>
                <w:lang w:eastAsia="en-GB"/>
              </w:rPr>
              <w:t xml:space="preserve">in full the concept of </w:t>
            </w:r>
            <w:r w:rsidRPr="00A573DE">
              <w:rPr>
                <w:sz w:val="20"/>
                <w:lang w:eastAsia="en-GB"/>
              </w:rPr>
              <w:t>insurance value.</w:t>
            </w:r>
          </w:p>
          <w:p w14:paraId="2B455A12" w14:textId="77777777" w:rsidR="0008114B" w:rsidRPr="00A573DE" w:rsidRDefault="0008114B" w:rsidP="0008114B">
            <w:pPr>
              <w:spacing w:line="276" w:lineRule="auto"/>
              <w:rPr>
                <w:sz w:val="20"/>
                <w:lang w:eastAsia="en-GB"/>
              </w:rPr>
            </w:pPr>
          </w:p>
          <w:p w14:paraId="1E9D25CE" w14:textId="77777777" w:rsidR="0008114B" w:rsidRPr="00211F18" w:rsidRDefault="0008114B" w:rsidP="0008114B">
            <w:pPr>
              <w:spacing w:line="276" w:lineRule="auto"/>
              <w:rPr>
                <w:sz w:val="20"/>
                <w:lang w:eastAsia="en-GB"/>
              </w:rPr>
            </w:pPr>
            <w:r w:rsidRPr="00211F18">
              <w:rPr>
                <w:sz w:val="20"/>
                <w:lang w:eastAsia="en-GB"/>
              </w:rPr>
              <w:t xml:space="preserve">Further work is being undertaken by Pfizer that looks to model insurance value to a more comprehensive extent (described in Section </w:t>
            </w:r>
            <w:r w:rsidRPr="00211F18">
              <w:rPr>
                <w:sz w:val="20"/>
                <w:lang w:eastAsia="en-GB"/>
              </w:rPr>
              <w:fldChar w:fldCharType="begin"/>
            </w:r>
            <w:r w:rsidRPr="00211F18">
              <w:rPr>
                <w:sz w:val="20"/>
                <w:lang w:eastAsia="en-GB"/>
              </w:rPr>
              <w:instrText xml:space="preserve"> REF _Ref90121529 \r \h  \* MERGEFORMAT </w:instrText>
            </w:r>
            <w:r w:rsidRPr="00211F18">
              <w:rPr>
                <w:sz w:val="20"/>
                <w:lang w:eastAsia="en-GB"/>
              </w:rPr>
            </w:r>
            <w:r w:rsidRPr="00211F18">
              <w:rPr>
                <w:sz w:val="20"/>
                <w:lang w:eastAsia="en-GB"/>
              </w:rPr>
              <w:fldChar w:fldCharType="separate"/>
            </w:r>
            <w:r w:rsidRPr="00211F18">
              <w:rPr>
                <w:sz w:val="20"/>
                <w:lang w:eastAsia="en-GB"/>
              </w:rPr>
              <w:t>2.4</w:t>
            </w:r>
            <w:r w:rsidRPr="00211F18">
              <w:rPr>
                <w:sz w:val="20"/>
                <w:lang w:eastAsia="en-GB"/>
              </w:rPr>
              <w:fldChar w:fldCharType="end"/>
            </w:r>
            <w:r w:rsidRPr="00211F18">
              <w:rPr>
                <w:sz w:val="20"/>
                <w:lang w:eastAsia="en-GB"/>
              </w:rPr>
              <w:t xml:space="preserve">). Measuring the value which an antibiotic has in mitigating several clinically relevant future probabilistic scenarios where an antibiotic may not be available. </w:t>
            </w:r>
          </w:p>
        </w:tc>
        <w:tc>
          <w:tcPr>
            <w:tcW w:w="4819" w:type="dxa"/>
          </w:tcPr>
          <w:p w14:paraId="0DC00B55" w14:textId="77777777" w:rsidR="0008114B" w:rsidRPr="00A573DE" w:rsidRDefault="0008114B" w:rsidP="0008114B">
            <w:pPr>
              <w:spacing w:line="276" w:lineRule="auto"/>
              <w:rPr>
                <w:sz w:val="20"/>
                <w:lang w:eastAsia="en-GB"/>
              </w:rPr>
            </w:pPr>
            <w:r>
              <w:rPr>
                <w:b/>
                <w:bCs/>
                <w:sz w:val="20"/>
                <w:lang w:eastAsia="en-GB"/>
              </w:rPr>
              <w:t>Partly a</w:t>
            </w:r>
            <w:r w:rsidRPr="00322528">
              <w:rPr>
                <w:b/>
                <w:bCs/>
                <w:sz w:val="20"/>
                <w:lang w:eastAsia="en-GB"/>
              </w:rPr>
              <w:t>ssessed:</w:t>
            </w:r>
            <w:r>
              <w:rPr>
                <w:sz w:val="20"/>
                <w:lang w:eastAsia="en-GB"/>
              </w:rPr>
              <w:t xml:space="preserve"> </w:t>
            </w:r>
            <w:r w:rsidRPr="00A573DE">
              <w:rPr>
                <w:sz w:val="20"/>
                <w:lang w:eastAsia="en-GB"/>
              </w:rPr>
              <w:t xml:space="preserve">The scenarios modelled were considered to reflect insurance value as they involved heavy restricted usage but a scenario where </w:t>
            </w:r>
            <w:r>
              <w:rPr>
                <w:sz w:val="20"/>
                <w:lang w:eastAsia="en-GB"/>
              </w:rPr>
              <w:t>CAZ-AVI</w:t>
            </w:r>
            <w:r w:rsidRPr="00A573DE">
              <w:rPr>
                <w:sz w:val="20"/>
                <w:lang w:eastAsia="en-GB"/>
              </w:rPr>
              <w:t xml:space="preserve"> was hold back completely was not modelled (p. 177); therefore</w:t>
            </w:r>
            <w:r>
              <w:rPr>
                <w:sz w:val="20"/>
                <w:lang w:eastAsia="en-GB"/>
              </w:rPr>
              <w:t>,</w:t>
            </w:r>
            <w:r w:rsidRPr="00A573DE">
              <w:rPr>
                <w:sz w:val="20"/>
                <w:lang w:eastAsia="en-GB"/>
              </w:rPr>
              <w:t xml:space="preserve"> results are uncertain.</w:t>
            </w:r>
          </w:p>
        </w:tc>
      </w:tr>
    </w:tbl>
    <w:p w14:paraId="042778FE" w14:textId="77777777" w:rsidR="0008114B" w:rsidRPr="00A573DE" w:rsidRDefault="0008114B" w:rsidP="0008114B">
      <w:pPr>
        <w:spacing w:line="276" w:lineRule="auto"/>
        <w:rPr>
          <w:lang w:eastAsia="en-GB"/>
        </w:rPr>
      </w:pPr>
    </w:p>
    <w:p w14:paraId="795951DB" w14:textId="77777777" w:rsidR="0008114B" w:rsidRPr="00A573DE" w:rsidRDefault="0008114B" w:rsidP="0008114B">
      <w:pPr>
        <w:spacing w:line="276" w:lineRule="auto"/>
        <w:rPr>
          <w:lang w:eastAsia="en-GB"/>
        </w:rPr>
        <w:sectPr w:rsidR="0008114B" w:rsidRPr="00A573DE" w:rsidSect="0008114B">
          <w:pgSz w:w="16838" w:h="11906" w:orient="landscape" w:code="9"/>
          <w:pgMar w:top="851" w:right="851" w:bottom="851" w:left="709" w:header="284" w:footer="720" w:gutter="0"/>
          <w:cols w:space="708"/>
          <w:docGrid w:linePitch="360"/>
        </w:sectPr>
      </w:pPr>
    </w:p>
    <w:p w14:paraId="72A6377D" w14:textId="1CD08225" w:rsidR="0008114B" w:rsidRDefault="0008114B" w:rsidP="0008114B">
      <w:pPr>
        <w:pStyle w:val="Heading1"/>
        <w:numPr>
          <w:ilvl w:val="1"/>
          <w:numId w:val="27"/>
        </w:numPr>
      </w:pPr>
      <w:bookmarkStart w:id="6" w:name="_Ref90124217"/>
      <w:r w:rsidRPr="00010975">
        <w:lastRenderedPageBreak/>
        <w:t>Impact of CAZ-AVI on transmission</w:t>
      </w:r>
      <w:bookmarkEnd w:id="6"/>
      <w:r w:rsidRPr="00010975">
        <w:t xml:space="preserve"> </w:t>
      </w:r>
    </w:p>
    <w:p w14:paraId="061D8ECD" w14:textId="77777777" w:rsidR="00623B8B" w:rsidRPr="00623B8B" w:rsidRDefault="00623B8B" w:rsidP="00623B8B"/>
    <w:tbl>
      <w:tblPr>
        <w:tblStyle w:val="TableGrid"/>
        <w:tblW w:w="0" w:type="auto"/>
        <w:tblInd w:w="1119"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7898"/>
      </w:tblGrid>
      <w:tr w:rsidR="0008114B" w:rsidRPr="00A573DE" w14:paraId="70866B66" w14:textId="77777777" w:rsidTr="0008114B">
        <w:trPr>
          <w:trHeight w:val="312"/>
        </w:trPr>
        <w:tc>
          <w:tcPr>
            <w:tcW w:w="7898" w:type="dxa"/>
            <w:shd w:val="clear" w:color="auto" w:fill="F2F2F2" w:themeFill="background1" w:themeFillShade="F2"/>
          </w:tcPr>
          <w:p w14:paraId="6DABBD34" w14:textId="77777777" w:rsidR="0008114B" w:rsidRPr="00A573DE" w:rsidRDefault="0008114B" w:rsidP="0008114B">
            <w:pPr>
              <w:pStyle w:val="NICEnormal"/>
              <w:spacing w:line="276" w:lineRule="auto"/>
              <w:rPr>
                <w:b/>
                <w:bCs/>
                <w:i/>
                <w:iCs/>
                <w:color w:val="808080" w:themeColor="background1" w:themeShade="80"/>
                <w:lang w:val="en-GB"/>
              </w:rPr>
            </w:pPr>
            <w:r w:rsidRPr="00F012A6">
              <w:rPr>
                <w:b/>
                <w:bCs/>
                <w:i/>
                <w:iCs/>
                <w:lang w:val="en-GB"/>
              </w:rPr>
              <w:t xml:space="preserve">Key messages </w:t>
            </w:r>
          </w:p>
        </w:tc>
      </w:tr>
      <w:tr w:rsidR="0008114B" w:rsidRPr="00A573DE" w14:paraId="52FD3262" w14:textId="77777777" w:rsidTr="0008114B">
        <w:tc>
          <w:tcPr>
            <w:tcW w:w="7898" w:type="dxa"/>
          </w:tcPr>
          <w:p w14:paraId="6FD31D77" w14:textId="77777777" w:rsidR="0008114B" w:rsidRPr="006D3CF8" w:rsidRDefault="0008114B" w:rsidP="0008114B">
            <w:pPr>
              <w:pStyle w:val="Bullets"/>
              <w:ind w:left="447"/>
              <w:rPr>
                <w:b/>
                <w:bCs/>
                <w:i/>
                <w:iCs/>
              </w:rPr>
            </w:pPr>
            <w:r w:rsidRPr="00A573DE">
              <w:rPr>
                <w:b/>
                <w:bCs/>
              </w:rPr>
              <w:t xml:space="preserve">Transmission Value </w:t>
            </w:r>
            <w:r w:rsidRPr="00A573DE">
              <w:t>–</w:t>
            </w:r>
            <w:r w:rsidRPr="00A573DE">
              <w:rPr>
                <w:b/>
                <w:bCs/>
              </w:rPr>
              <w:t xml:space="preserve"> </w:t>
            </w:r>
            <w:r w:rsidRPr="00A573DE">
              <w:t xml:space="preserve">an important value element to capture in the model as continuous use of current </w:t>
            </w:r>
            <w:r>
              <w:t>AMs</w:t>
            </w:r>
            <w:r w:rsidRPr="00A573DE">
              <w:t xml:space="preserve"> can see an increase in the spread of infections resistant to these </w:t>
            </w:r>
            <w:r>
              <w:t>AMs</w:t>
            </w:r>
            <w:r w:rsidRPr="00A573DE">
              <w:t xml:space="preserve">. Avoiding the spread of resistant infections can see a reduction in life years lost due to infection within the population. </w:t>
            </w:r>
          </w:p>
          <w:p w14:paraId="111E5059" w14:textId="77777777" w:rsidR="0008114B" w:rsidRPr="00A573DE" w:rsidRDefault="0008114B" w:rsidP="0008114B">
            <w:pPr>
              <w:pStyle w:val="Bullets"/>
              <w:ind w:left="447"/>
              <w:rPr>
                <w:b/>
                <w:bCs/>
                <w:i/>
                <w:iCs/>
              </w:rPr>
            </w:pPr>
            <w:r w:rsidRPr="00A573DE">
              <w:t xml:space="preserve">The Pfizer model demonstrates this value element within the disease transmission component of the model. This was excluded from the EEPRU model as clinical advisors indicated that the effect of </w:t>
            </w:r>
            <w:r>
              <w:t>CAZ-AVI</w:t>
            </w:r>
            <w:r w:rsidRPr="00A573DE">
              <w:t xml:space="preserve"> was </w:t>
            </w:r>
            <w:proofErr w:type="gramStart"/>
            <w:r w:rsidRPr="00A573DE">
              <w:t>uncertain</w:t>
            </w:r>
            <w:proofErr w:type="gramEnd"/>
            <w:r w:rsidRPr="00A573DE">
              <w:t xml:space="preserve"> and the magnitude of the effect expected to be small</w:t>
            </w:r>
            <w:r w:rsidRPr="006D3CF8">
              <w:rPr>
                <w:b/>
                <w:bCs/>
                <w:i/>
                <w:iCs/>
              </w:rPr>
              <w:t>.</w:t>
            </w:r>
          </w:p>
        </w:tc>
      </w:tr>
    </w:tbl>
    <w:p w14:paraId="5682C173" w14:textId="77777777" w:rsidR="0008114B" w:rsidRPr="00A573DE" w:rsidRDefault="0008114B" w:rsidP="0008114B">
      <w:pPr>
        <w:spacing w:line="276" w:lineRule="auto"/>
        <w:ind w:left="567"/>
        <w:rPr>
          <w:lang w:eastAsia="en-GB"/>
        </w:rPr>
      </w:pPr>
    </w:p>
    <w:p w14:paraId="71444F89" w14:textId="77777777" w:rsidR="0008114B" w:rsidRPr="00A573DE" w:rsidRDefault="0008114B" w:rsidP="0008114B">
      <w:pPr>
        <w:pStyle w:val="NICEnormal"/>
        <w:rPr>
          <w:sz w:val="22"/>
          <w:szCs w:val="22"/>
          <w:lang w:val="en-GB" w:eastAsia="en-GB"/>
        </w:rPr>
      </w:pPr>
      <w:r>
        <w:rPr>
          <w:sz w:val="22"/>
          <w:szCs w:val="22"/>
          <w:lang w:val="en-GB"/>
        </w:rPr>
        <w:t>T</w:t>
      </w:r>
      <w:r w:rsidRPr="00A573DE">
        <w:rPr>
          <w:sz w:val="22"/>
          <w:szCs w:val="22"/>
          <w:lang w:val="en-GB"/>
        </w:rPr>
        <w:t>he EEPRU framework clearly states that the economic model should include a component that can estimate not only the infection transmission dynamics but the associated resistance.</w:t>
      </w:r>
      <w:r w:rsidRPr="00A573DE">
        <w:rPr>
          <w:sz w:val="22"/>
          <w:szCs w:val="22"/>
          <w:lang w:val="en-GB"/>
        </w:rPr>
        <w:fldChar w:fldCharType="begin"/>
      </w:r>
      <w:r>
        <w:rPr>
          <w:sz w:val="22"/>
          <w:szCs w:val="22"/>
          <w:lang w:val="en-GB"/>
        </w:rPr>
        <w:instrText xml:space="preserve"> ADDIN EN.CITE &lt;EndNote&gt;&lt;Cite&gt;&lt;Author&gt;EEPRU&lt;/Author&gt;&lt;Year&gt;2018&lt;/Year&gt;&lt;RecNum&gt;9&lt;/RecNum&gt;&lt;DisplayText&gt;&lt;style face="superscript"&gt;3&lt;/style&gt;&lt;/DisplayText&gt;&lt;record&gt;&lt;rec-number&gt;9&lt;/rec-number&gt;&lt;foreign-keys&gt;&lt;key app="EN" db-id="pd5s0xr0250t2qevxfgxpvwp5eaztd2pavxx" timestamp="1638893203"&gt;9&lt;/key&gt;&lt;/foreign-keys&gt;&lt;ref-type name="Web Page"&gt;12&lt;/ref-type&gt;&lt;contributors&gt;&lt;authors&gt;&lt;author&gt;EEPRU&lt;/author&gt;&lt;/authors&gt;&lt;/contributors&gt;&lt;titles&gt;&lt;title&gt;Framework for value assessment of new antimicrobials - Implications of alternative funding arrangements for NICE appraisals&lt;/title&gt;&lt;/titles&gt;&lt;dates&gt;&lt;year&gt;2018&lt;/year&gt;&lt;/dates&gt;&lt;urls&gt;&lt;related-urls&gt;&lt;url&gt;http://www.eepru.org.uk/wp-content/uploads/2017/11/eepru-report-amr-oct-2018-059.pdf&lt;/url&gt;&lt;/related-urls&gt;&lt;/urls&gt;&lt;/record&gt;&lt;/Cite&gt;&lt;/EndNote&gt;</w:instrText>
      </w:r>
      <w:r w:rsidRPr="00A573DE">
        <w:rPr>
          <w:sz w:val="22"/>
          <w:szCs w:val="22"/>
          <w:lang w:val="en-GB"/>
        </w:rPr>
        <w:fldChar w:fldCharType="separate"/>
      </w:r>
      <w:r w:rsidRPr="00B94641">
        <w:rPr>
          <w:noProof/>
          <w:sz w:val="22"/>
          <w:szCs w:val="22"/>
          <w:vertAlign w:val="superscript"/>
          <w:lang w:val="en-GB"/>
        </w:rPr>
        <w:t>3</w:t>
      </w:r>
      <w:r w:rsidRPr="00A573DE">
        <w:rPr>
          <w:sz w:val="22"/>
          <w:szCs w:val="22"/>
          <w:lang w:val="en-GB"/>
        </w:rPr>
        <w:fldChar w:fldCharType="end"/>
      </w:r>
      <w:r w:rsidRPr="00A573DE">
        <w:rPr>
          <w:sz w:val="22"/>
          <w:szCs w:val="22"/>
          <w:lang w:val="en-GB"/>
        </w:rPr>
        <w:t xml:space="preserve"> The Pfizer model was built according to these principles, with disease transmission and resistance development modelled for all AMs, in line with clinical expert advice; a full description the Pfizer economic model is provided in the company submission.</w:t>
      </w:r>
    </w:p>
    <w:p w14:paraId="64AC3726" w14:textId="77777777" w:rsidR="0008114B" w:rsidRPr="00A573DE" w:rsidRDefault="0008114B" w:rsidP="0008114B">
      <w:pPr>
        <w:pStyle w:val="NICEnormal"/>
        <w:rPr>
          <w:sz w:val="22"/>
          <w:szCs w:val="22"/>
          <w:lang w:val="en-GB"/>
        </w:rPr>
      </w:pPr>
      <w:r w:rsidRPr="00A573DE">
        <w:rPr>
          <w:sz w:val="22"/>
          <w:szCs w:val="22"/>
          <w:lang w:val="en-GB"/>
        </w:rPr>
        <w:t xml:space="preserve">As an example, when a new antimicrobial with an efficacy of 70% and with no resistance at baseline is considered as a first-line treatment compared with no new antimicrobial, resistance to the initial first-line treatment (piperacillin/tazobactam for </w:t>
      </w:r>
      <w:proofErr w:type="spellStart"/>
      <w:r w:rsidRPr="00A573DE">
        <w:rPr>
          <w:sz w:val="22"/>
          <w:szCs w:val="22"/>
          <w:lang w:val="en-GB"/>
        </w:rPr>
        <w:t>cUTI</w:t>
      </w:r>
      <w:proofErr w:type="spellEnd"/>
      <w:r w:rsidRPr="00A573DE">
        <w:rPr>
          <w:sz w:val="22"/>
          <w:szCs w:val="22"/>
          <w:lang w:val="en-GB"/>
        </w:rPr>
        <w:t xml:space="preserve"> and </w:t>
      </w:r>
      <w:proofErr w:type="spellStart"/>
      <w:r w:rsidRPr="00A573DE">
        <w:rPr>
          <w:sz w:val="22"/>
          <w:szCs w:val="22"/>
          <w:lang w:val="en-GB"/>
        </w:rPr>
        <w:t>cIAI</w:t>
      </w:r>
      <w:proofErr w:type="spellEnd"/>
      <w:r w:rsidRPr="00A573DE">
        <w:rPr>
          <w:sz w:val="22"/>
          <w:szCs w:val="22"/>
          <w:lang w:val="en-GB"/>
        </w:rPr>
        <w:t>, colistin for HAP/VAP) and second-line treatment (meropenem) is reduced by 12.7% and 9.1%, respectively</w:t>
      </w:r>
      <w:r>
        <w:rPr>
          <w:sz w:val="22"/>
          <w:szCs w:val="22"/>
          <w:lang w:val="en-GB"/>
        </w:rPr>
        <w:t>, after a 10-year period</w:t>
      </w:r>
      <w:r w:rsidRPr="00A573DE">
        <w:rPr>
          <w:sz w:val="22"/>
          <w:szCs w:val="22"/>
          <w:lang w:val="en-GB"/>
        </w:rPr>
        <w:t xml:space="preserve">. A reduction in resistant infections can have a positive influence on the number of patients clearing infection. </w:t>
      </w:r>
    </w:p>
    <w:p w14:paraId="3DCC9ABA" w14:textId="36FBFB48" w:rsidR="0008114B" w:rsidRDefault="0008114B" w:rsidP="0008114B">
      <w:pPr>
        <w:pStyle w:val="Heading1"/>
        <w:numPr>
          <w:ilvl w:val="1"/>
          <w:numId w:val="27"/>
        </w:numPr>
        <w:rPr>
          <w:lang w:eastAsia="en-GB"/>
        </w:rPr>
      </w:pPr>
      <w:r w:rsidRPr="00A573DE">
        <w:rPr>
          <w:lang w:eastAsia="en-GB"/>
        </w:rPr>
        <w:t xml:space="preserve">Impact of CAZ-AVI on diversity </w:t>
      </w:r>
    </w:p>
    <w:p w14:paraId="7BE3C475" w14:textId="77777777" w:rsidR="00623B8B" w:rsidRPr="00623B8B" w:rsidRDefault="00623B8B" w:rsidP="00623B8B">
      <w:pPr>
        <w:rPr>
          <w:lang w:eastAsia="en-GB"/>
        </w:rPr>
      </w:pPr>
    </w:p>
    <w:tbl>
      <w:tblPr>
        <w:tblStyle w:val="TableGrid"/>
        <w:tblW w:w="0" w:type="auto"/>
        <w:tblInd w:w="1119"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7898"/>
      </w:tblGrid>
      <w:tr w:rsidR="0008114B" w:rsidRPr="00A573DE" w14:paraId="7AA3F01E" w14:textId="77777777" w:rsidTr="0008114B">
        <w:trPr>
          <w:trHeight w:val="312"/>
        </w:trPr>
        <w:tc>
          <w:tcPr>
            <w:tcW w:w="7898" w:type="dxa"/>
            <w:shd w:val="clear" w:color="auto" w:fill="F2F2F2" w:themeFill="background1" w:themeFillShade="F2"/>
          </w:tcPr>
          <w:p w14:paraId="6D5896F4" w14:textId="77777777" w:rsidR="0008114B" w:rsidRPr="00A573DE" w:rsidRDefault="0008114B" w:rsidP="0008114B">
            <w:pPr>
              <w:pStyle w:val="NICEnormal"/>
              <w:spacing w:line="276" w:lineRule="auto"/>
              <w:rPr>
                <w:b/>
                <w:bCs/>
                <w:i/>
                <w:iCs/>
                <w:color w:val="808080" w:themeColor="background1" w:themeShade="80"/>
                <w:lang w:val="en-GB"/>
              </w:rPr>
            </w:pPr>
            <w:r w:rsidRPr="00F012A6">
              <w:rPr>
                <w:b/>
                <w:bCs/>
                <w:i/>
                <w:iCs/>
                <w:lang w:val="en-GB"/>
              </w:rPr>
              <w:t xml:space="preserve">Key messages </w:t>
            </w:r>
          </w:p>
        </w:tc>
      </w:tr>
      <w:tr w:rsidR="0008114B" w:rsidRPr="00A573DE" w14:paraId="6DFEF53D" w14:textId="77777777" w:rsidTr="0008114B">
        <w:tc>
          <w:tcPr>
            <w:tcW w:w="7898" w:type="dxa"/>
          </w:tcPr>
          <w:p w14:paraId="7E3FBB3C" w14:textId="77777777" w:rsidR="0008114B" w:rsidRPr="00A573DE" w:rsidRDefault="0008114B" w:rsidP="0008114B">
            <w:pPr>
              <w:pStyle w:val="Bullets"/>
              <w:ind w:left="447"/>
              <w:rPr>
                <w:b/>
                <w:bCs/>
                <w:i/>
                <w:iCs/>
              </w:rPr>
            </w:pPr>
            <w:r w:rsidRPr="00A573DE">
              <w:rPr>
                <w:b/>
                <w:bCs/>
                <w:i/>
                <w:iCs/>
              </w:rPr>
              <w:t>Diversity Value</w:t>
            </w:r>
            <w:r w:rsidRPr="00A573DE">
              <w:rPr>
                <w:i/>
                <w:iCs/>
              </w:rPr>
              <w:t xml:space="preserve"> </w:t>
            </w:r>
            <w:r w:rsidRPr="00A573DE">
              <w:t xml:space="preserve">-. The incorporation of diversification prolongs the efficacy of existing AMs, introducing a new AM increases the effectiveness of diversification. In the modelled base case analysis, the use of diversification saw resistance to the initial existing first-line treatment (piperacillin/tazobactam for </w:t>
            </w:r>
            <w:proofErr w:type="spellStart"/>
            <w:r w:rsidRPr="00A573DE">
              <w:t>cUTI</w:t>
            </w:r>
            <w:proofErr w:type="spellEnd"/>
            <w:r w:rsidRPr="00A573DE">
              <w:t xml:space="preserve"> and </w:t>
            </w:r>
            <w:proofErr w:type="spellStart"/>
            <w:r w:rsidRPr="00A573DE">
              <w:t>cIAI</w:t>
            </w:r>
            <w:proofErr w:type="spellEnd"/>
            <w:r w:rsidRPr="00A573DE">
              <w:t>, colistin for HAP/VAP) reduce by 9.2%</w:t>
            </w:r>
            <w:r>
              <w:t xml:space="preserve">. Further, this scenario </w:t>
            </w:r>
            <w:r w:rsidRPr="00A573DE">
              <w:t xml:space="preserve">was associated with a gain of up to 20,487 QALYs (15,169 QALYs lost due to infection compared with 35,657 QALYs lost in a scenario without </w:t>
            </w:r>
            <w:r>
              <w:t>CAZ-AVI</w:t>
            </w:r>
            <w:r w:rsidRPr="00A573DE">
              <w:t>) over 10 years (approximately 1,381 patient lives saved).</w:t>
            </w:r>
            <w:r>
              <w:t xml:space="preserve"> In contrast, the EEPRU model calculated 587-2,211 INHEs over a 20-year period within their scenarios.</w:t>
            </w:r>
          </w:p>
        </w:tc>
      </w:tr>
    </w:tbl>
    <w:p w14:paraId="69131C85" w14:textId="77777777" w:rsidR="0008114B" w:rsidRPr="00A573DE" w:rsidRDefault="0008114B" w:rsidP="0008114B">
      <w:pPr>
        <w:spacing w:line="276" w:lineRule="auto"/>
        <w:rPr>
          <w:sz w:val="24"/>
          <w:szCs w:val="22"/>
          <w:lang w:eastAsia="en-GB"/>
        </w:rPr>
      </w:pPr>
    </w:p>
    <w:p w14:paraId="1D3A01CB" w14:textId="77777777" w:rsidR="0008114B" w:rsidRPr="008008C4" w:rsidRDefault="0008114B" w:rsidP="008008C4">
      <w:pPr>
        <w:spacing w:line="360" w:lineRule="auto"/>
        <w:rPr>
          <w:szCs w:val="22"/>
        </w:rPr>
      </w:pPr>
      <w:r w:rsidRPr="008008C4">
        <w:rPr>
          <w:szCs w:val="22"/>
        </w:rPr>
        <w:lastRenderedPageBreak/>
        <w:t xml:space="preserve">The Pfizer base case analysis uses an all-line diversity stewardship strategy. This “diversity” approach provides a pragmatic modelling proxy whereby CAZ-AVI may be given to patients meeting risk factors for early empiric therapy such as previous ICU admission, critical illness, use of invasive devices, or prior antibiotic therapy as first treatment option. Those patients would be treated with CAZ-AVI more promptly resulting in improved outcomes associated with appropriate early effective treatment. Therefore, this approach serves as a metric of both empiric and suspected usage scenarios. </w:t>
      </w:r>
    </w:p>
    <w:p w14:paraId="55639CAA" w14:textId="77777777" w:rsidR="0008114B" w:rsidRPr="00A573DE" w:rsidRDefault="0008114B" w:rsidP="0008114B">
      <w:pPr>
        <w:spacing w:line="276" w:lineRule="auto"/>
        <w:rPr>
          <w:sz w:val="24"/>
          <w:szCs w:val="22"/>
          <w:lang w:eastAsia="en-GB"/>
        </w:rPr>
      </w:pPr>
    </w:p>
    <w:p w14:paraId="697E1061" w14:textId="708F8562" w:rsidR="0008114B" w:rsidRDefault="0008114B" w:rsidP="0008114B">
      <w:pPr>
        <w:pStyle w:val="Heading1"/>
        <w:numPr>
          <w:ilvl w:val="1"/>
          <w:numId w:val="27"/>
        </w:numPr>
        <w:rPr>
          <w:lang w:eastAsia="en-GB"/>
        </w:rPr>
      </w:pPr>
      <w:bookmarkStart w:id="7" w:name="_Ref90121529"/>
      <w:bookmarkStart w:id="8" w:name="_Ref90315524"/>
      <w:r w:rsidRPr="00A573DE">
        <w:rPr>
          <w:lang w:eastAsia="en-GB"/>
        </w:rPr>
        <w:t>Impact of CAZ-AVI on insurance</w:t>
      </w:r>
      <w:bookmarkEnd w:id="7"/>
      <w:bookmarkEnd w:id="8"/>
      <w:r w:rsidRPr="00A573DE">
        <w:rPr>
          <w:lang w:eastAsia="en-GB"/>
        </w:rPr>
        <w:t xml:space="preserve"> </w:t>
      </w:r>
    </w:p>
    <w:p w14:paraId="4CFCF99C" w14:textId="77777777" w:rsidR="00623B8B" w:rsidRPr="00623B8B" w:rsidRDefault="00623B8B" w:rsidP="00623B8B">
      <w:pPr>
        <w:rPr>
          <w:lang w:eastAsia="en-GB"/>
        </w:rPr>
      </w:pPr>
    </w:p>
    <w:tbl>
      <w:tblPr>
        <w:tblStyle w:val="TableGrid"/>
        <w:tblW w:w="0" w:type="auto"/>
        <w:tblInd w:w="1119"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9055"/>
      </w:tblGrid>
      <w:tr w:rsidR="0008114B" w:rsidRPr="00A573DE" w14:paraId="5D39D883" w14:textId="77777777" w:rsidTr="0008114B">
        <w:trPr>
          <w:trHeight w:val="312"/>
        </w:trPr>
        <w:tc>
          <w:tcPr>
            <w:tcW w:w="7898" w:type="dxa"/>
            <w:shd w:val="clear" w:color="auto" w:fill="F2F2F2" w:themeFill="background1" w:themeFillShade="F2"/>
          </w:tcPr>
          <w:p w14:paraId="24474549" w14:textId="77777777" w:rsidR="0008114B" w:rsidRPr="00A573DE" w:rsidRDefault="0008114B" w:rsidP="0008114B">
            <w:pPr>
              <w:pStyle w:val="NICEnormal"/>
              <w:spacing w:line="276" w:lineRule="auto"/>
              <w:rPr>
                <w:b/>
                <w:bCs/>
                <w:i/>
                <w:iCs/>
                <w:color w:val="808080" w:themeColor="background1" w:themeShade="80"/>
                <w:lang w:val="en-GB"/>
              </w:rPr>
            </w:pPr>
            <w:r w:rsidRPr="00F012A6">
              <w:rPr>
                <w:b/>
                <w:bCs/>
                <w:i/>
                <w:iCs/>
                <w:lang w:val="en-GB"/>
              </w:rPr>
              <w:t xml:space="preserve">Key messages </w:t>
            </w:r>
          </w:p>
        </w:tc>
      </w:tr>
      <w:tr w:rsidR="0008114B" w:rsidRPr="00A573DE" w14:paraId="4A6E8E3B" w14:textId="77777777" w:rsidTr="0008114B">
        <w:tc>
          <w:tcPr>
            <w:tcW w:w="7898" w:type="dxa"/>
          </w:tcPr>
          <w:p w14:paraId="0F33EF03" w14:textId="77777777" w:rsidR="0008114B" w:rsidRPr="009F0E0B" w:rsidRDefault="0008114B" w:rsidP="0008114B">
            <w:pPr>
              <w:pStyle w:val="Bullets"/>
              <w:ind w:left="447"/>
              <w:rPr>
                <w:b/>
                <w:bCs/>
                <w:i/>
                <w:iCs/>
              </w:rPr>
            </w:pPr>
            <w:r>
              <w:rPr>
                <w:b/>
                <w:bCs/>
              </w:rPr>
              <w:t xml:space="preserve">Insurance </w:t>
            </w:r>
            <w:r w:rsidRPr="00C67493">
              <w:rPr>
                <w:b/>
                <w:bCs/>
              </w:rPr>
              <w:t xml:space="preserve">Value </w:t>
            </w:r>
            <w:r w:rsidRPr="00C145DC">
              <w:t>–</w:t>
            </w:r>
            <w:r>
              <w:rPr>
                <w:b/>
                <w:bCs/>
              </w:rPr>
              <w:t xml:space="preserve"> </w:t>
            </w:r>
            <w:r w:rsidRPr="00207471">
              <w:t>COVID-19 has highlighted the</w:t>
            </w:r>
            <w:r w:rsidRPr="00010975">
              <w:rPr>
                <w:b/>
                <w:bCs/>
              </w:rPr>
              <w:t xml:space="preserve"> </w:t>
            </w:r>
            <w:r w:rsidRPr="00010975">
              <w:t>importance</w:t>
            </w:r>
            <w:r>
              <w:t xml:space="preserve"> of having therapeutics available to mitigate the impact of future probabilistic events. This is particularly relevant to the availability of new antibiotics to mitigate the impact of an increase in incidence of infections. </w:t>
            </w:r>
          </w:p>
          <w:p w14:paraId="5664FC43" w14:textId="77777777" w:rsidR="0008114B" w:rsidRDefault="0008114B" w:rsidP="0008114B">
            <w:pPr>
              <w:pStyle w:val="Bullets"/>
              <w:ind w:left="447"/>
            </w:pPr>
            <w:r>
              <w:t xml:space="preserve">EEPRU have defined this with restrictions to consider; 1) the impact of holding CAZ-AVI back in reserve and or 2) ameliorate a potentially catastrophic situation, i.e., where multidrug resistance becomes so widespread. Considerations must be made to what is both probable and relevant in the context of this medicine. </w:t>
            </w:r>
          </w:p>
          <w:p w14:paraId="7B2E7CB0" w14:textId="77777777" w:rsidR="0008114B" w:rsidRDefault="0008114B" w:rsidP="0008114B">
            <w:pPr>
              <w:pStyle w:val="Bullets"/>
              <w:ind w:left="447"/>
            </w:pPr>
            <w:r>
              <w:t>Despite clinical advisors highlighting the substantial impact that MDR infections have in terms of disrupting healthcare provision and the significant increase in ongoing costs caused by the disruption. EEPRU has failed to account for this cost saving within their model.</w:t>
            </w:r>
          </w:p>
          <w:p w14:paraId="417270C9" w14:textId="77777777" w:rsidR="0008114B" w:rsidRPr="007F0018" w:rsidRDefault="0008114B" w:rsidP="0008114B">
            <w:pPr>
              <w:pStyle w:val="Bullets"/>
              <w:ind w:left="447"/>
              <w:rPr>
                <w:b/>
                <w:bCs/>
                <w:i/>
                <w:iCs/>
              </w:rPr>
            </w:pPr>
            <w:r w:rsidRPr="00DD0D61">
              <w:t xml:space="preserve">It must </w:t>
            </w:r>
            <w:r>
              <w:t xml:space="preserve">also </w:t>
            </w:r>
            <w:r w:rsidRPr="00DD0D61">
              <w:t xml:space="preserve">be recognised that both the </w:t>
            </w:r>
            <w:r>
              <w:t xml:space="preserve">company’s </w:t>
            </w:r>
            <w:r w:rsidRPr="00DD0D61">
              <w:t xml:space="preserve">submission </w:t>
            </w:r>
            <w:r>
              <w:t xml:space="preserve">also does </w:t>
            </w:r>
            <w:r w:rsidRPr="00DD0D61">
              <w:t xml:space="preserve">not capture the full </w:t>
            </w:r>
            <w:r>
              <w:t xml:space="preserve">essence of </w:t>
            </w:r>
            <w:r w:rsidRPr="00DD0D61">
              <w:t xml:space="preserve">insurance value. </w:t>
            </w:r>
          </w:p>
          <w:p w14:paraId="5E5DAACE" w14:textId="0CDA442F" w:rsidR="0008114B" w:rsidRPr="00A573DE" w:rsidRDefault="001B7EC7" w:rsidP="0008114B">
            <w:pPr>
              <w:pStyle w:val="Bullets"/>
              <w:ind w:left="447"/>
              <w:rPr>
                <w:b/>
                <w:bCs/>
                <w:i/>
                <w:iCs/>
              </w:rPr>
            </w:pPr>
            <w:r w:rsidRPr="001B7EC7">
              <w:rPr>
                <w:highlight w:val="black"/>
                <w:u w:val="single"/>
              </w:rPr>
              <w:t>**************************************************************************************************************************************************************************************************************************************************************************************************************************</w:t>
            </w:r>
          </w:p>
        </w:tc>
      </w:tr>
    </w:tbl>
    <w:p w14:paraId="0E534EC5" w14:textId="77777777" w:rsidR="0008114B" w:rsidRPr="00A573DE" w:rsidRDefault="0008114B" w:rsidP="0008114B">
      <w:pPr>
        <w:spacing w:line="276" w:lineRule="auto"/>
        <w:ind w:left="567"/>
        <w:rPr>
          <w:lang w:eastAsia="en-GB"/>
        </w:rPr>
      </w:pPr>
    </w:p>
    <w:p w14:paraId="012FE6A4" w14:textId="157B1CD4" w:rsidR="008008C4" w:rsidRDefault="0008114B" w:rsidP="008008C4">
      <w:pPr>
        <w:spacing w:line="360" w:lineRule="auto"/>
        <w:rPr>
          <w:szCs w:val="22"/>
          <w:highlight w:val="yellow"/>
          <w:u w:val="single"/>
        </w:rPr>
      </w:pPr>
      <w:r w:rsidRPr="00607431">
        <w:rPr>
          <w:szCs w:val="22"/>
          <w:lang w:val="en-US" w:eastAsia="en-GB"/>
        </w:rPr>
        <w:t xml:space="preserve">Despite the concerns voiced by clinicians of the troublesome impact of MDR outbreaks, which result in large one time and ongoing costs to the healthcare system, this was not assessed or quantified in the EEPRU assessment report. Pfizer has conducted an extensive research project, soon to be published, </w:t>
      </w:r>
      <w:r w:rsidR="001B7EC7" w:rsidRPr="001B7EC7">
        <w:rPr>
          <w:szCs w:val="22"/>
          <w:highlight w:val="black"/>
          <w:u w:val="single"/>
        </w:rPr>
        <w:t>*******************************************************************************************************************************************************************************************************************************************************************************************************************************************</w:t>
      </w:r>
    </w:p>
    <w:p w14:paraId="306FB8BD" w14:textId="77777777" w:rsidR="001B7EC7" w:rsidRDefault="001B7EC7" w:rsidP="008008C4">
      <w:pPr>
        <w:spacing w:before="240" w:line="360" w:lineRule="auto"/>
        <w:rPr>
          <w:szCs w:val="22"/>
          <w:highlight w:val="black"/>
          <w:u w:val="single"/>
        </w:rPr>
      </w:pPr>
      <w:r>
        <w:rPr>
          <w:szCs w:val="22"/>
          <w:highlight w:val="black"/>
          <w:u w:val="single"/>
        </w:rPr>
        <w:br/>
      </w:r>
    </w:p>
    <w:p w14:paraId="0692C9C0" w14:textId="1F5C3BD2" w:rsidR="0008114B" w:rsidRPr="00607431" w:rsidRDefault="001B7EC7" w:rsidP="008008C4">
      <w:pPr>
        <w:spacing w:before="240" w:line="360" w:lineRule="auto"/>
        <w:rPr>
          <w:szCs w:val="22"/>
          <w:highlight w:val="yellow"/>
          <w:u w:val="single"/>
        </w:rPr>
      </w:pPr>
      <w:r w:rsidRPr="001B7EC7">
        <w:rPr>
          <w:szCs w:val="22"/>
          <w:highlight w:val="black"/>
          <w:u w:val="single"/>
        </w:rPr>
        <w:lastRenderedPageBreak/>
        <w:t>****************************************************************************************************************************************************************************************************************************************************************************</w:t>
      </w:r>
    </w:p>
    <w:p w14:paraId="48527B87" w14:textId="3B5CA338" w:rsidR="0008114B" w:rsidRPr="00607431" w:rsidRDefault="001B7EC7" w:rsidP="008008C4">
      <w:pPr>
        <w:spacing w:before="240" w:line="360" w:lineRule="auto"/>
        <w:rPr>
          <w:szCs w:val="22"/>
          <w:highlight w:val="yellow"/>
          <w:u w:val="single"/>
        </w:rPr>
      </w:pPr>
      <w:r w:rsidRPr="001B7EC7">
        <w:rPr>
          <w:szCs w:val="22"/>
          <w:highlight w:val="black"/>
          <w:u w:val="single"/>
        </w:rPr>
        <w:t>********************</w:t>
      </w:r>
    </w:p>
    <w:p w14:paraId="1F59CD66" w14:textId="67E5891A" w:rsidR="0008114B" w:rsidRPr="00607431" w:rsidRDefault="001B7EC7" w:rsidP="008008C4">
      <w:pPr>
        <w:spacing w:line="360" w:lineRule="auto"/>
        <w:rPr>
          <w:szCs w:val="22"/>
          <w:highlight w:val="yellow"/>
          <w:u w:val="single"/>
        </w:rPr>
      </w:pPr>
      <w:r w:rsidRPr="001B7EC7">
        <w:rPr>
          <w:szCs w:val="22"/>
          <w:highlight w:val="black"/>
          <w:u w:val="single"/>
        </w:rPr>
        <w:t>************************************************************************************</w:t>
      </w:r>
      <w:r w:rsidR="0008114B" w:rsidRPr="00607431">
        <w:rPr>
          <w:szCs w:val="22"/>
          <w:highlight w:val="yellow"/>
          <w:u w:val="single"/>
        </w:rPr>
        <w:t xml:space="preserve"> </w:t>
      </w:r>
    </w:p>
    <w:p w14:paraId="7D79BB6E" w14:textId="67B797A3" w:rsidR="0008114B" w:rsidRPr="001B7EC7" w:rsidRDefault="001B7EC7" w:rsidP="008008C4">
      <w:pPr>
        <w:pStyle w:val="ListParagraph"/>
        <w:numPr>
          <w:ilvl w:val="0"/>
          <w:numId w:val="39"/>
        </w:numPr>
        <w:spacing w:before="0" w:beforeAutospacing="0" w:line="360" w:lineRule="auto"/>
        <w:rPr>
          <w:rFonts w:ascii="Arial" w:hAnsi="Arial" w:cs="Arial"/>
          <w:sz w:val="22"/>
          <w:szCs w:val="22"/>
          <w:u w:val="single"/>
        </w:rPr>
      </w:pPr>
      <w:r w:rsidRPr="001B7EC7">
        <w:rPr>
          <w:rFonts w:ascii="Arial" w:hAnsi="Arial" w:cs="Arial"/>
          <w:sz w:val="22"/>
          <w:szCs w:val="22"/>
          <w:highlight w:val="black"/>
          <w:u w:val="single"/>
        </w:rPr>
        <w:t>********************************************************************************************************************</w:t>
      </w:r>
    </w:p>
    <w:p w14:paraId="421868C4" w14:textId="63B4927D" w:rsidR="0008114B" w:rsidRPr="001B7EC7" w:rsidRDefault="001B7EC7" w:rsidP="008008C4">
      <w:pPr>
        <w:pStyle w:val="ListParagraph"/>
        <w:numPr>
          <w:ilvl w:val="0"/>
          <w:numId w:val="39"/>
        </w:numPr>
        <w:spacing w:before="0" w:beforeAutospacing="0" w:line="360" w:lineRule="auto"/>
        <w:rPr>
          <w:rFonts w:ascii="Arial" w:hAnsi="Arial" w:cs="Arial"/>
          <w:sz w:val="22"/>
          <w:szCs w:val="22"/>
          <w:u w:val="single"/>
        </w:rPr>
      </w:pPr>
      <w:r w:rsidRPr="001B7EC7">
        <w:rPr>
          <w:rFonts w:ascii="Arial" w:hAnsi="Arial" w:cs="Arial"/>
          <w:sz w:val="22"/>
          <w:szCs w:val="22"/>
          <w:highlight w:val="black"/>
          <w:u w:val="single"/>
        </w:rPr>
        <w:t>*********************************************************************************</w:t>
      </w:r>
      <w:r w:rsidR="0008114B" w:rsidRPr="001B7EC7">
        <w:rPr>
          <w:rFonts w:ascii="Arial" w:hAnsi="Arial" w:cs="Arial"/>
          <w:sz w:val="22"/>
          <w:szCs w:val="22"/>
          <w:u w:val="single"/>
        </w:rPr>
        <w:t xml:space="preserve"> </w:t>
      </w:r>
    </w:p>
    <w:p w14:paraId="3D780025" w14:textId="6B542ECB" w:rsidR="0008114B" w:rsidRPr="001B7EC7" w:rsidRDefault="001B7EC7" w:rsidP="008008C4">
      <w:pPr>
        <w:pStyle w:val="ListParagraph"/>
        <w:numPr>
          <w:ilvl w:val="0"/>
          <w:numId w:val="39"/>
        </w:numPr>
        <w:spacing w:before="0" w:beforeAutospacing="0" w:line="360" w:lineRule="auto"/>
        <w:rPr>
          <w:rFonts w:ascii="Arial" w:hAnsi="Arial" w:cs="Arial"/>
          <w:sz w:val="22"/>
          <w:szCs w:val="22"/>
          <w:u w:val="single"/>
        </w:rPr>
      </w:pPr>
      <w:r w:rsidRPr="001B7EC7">
        <w:rPr>
          <w:rFonts w:ascii="Arial" w:hAnsi="Arial" w:cs="Arial"/>
          <w:sz w:val="22"/>
          <w:szCs w:val="22"/>
          <w:highlight w:val="black"/>
          <w:u w:val="single"/>
        </w:rPr>
        <w:t>******************************************************************************************************************</w:t>
      </w:r>
    </w:p>
    <w:p w14:paraId="3FAA5638" w14:textId="4B78C4BD" w:rsidR="0008114B" w:rsidRPr="001B7EC7" w:rsidRDefault="001B7EC7" w:rsidP="008008C4">
      <w:pPr>
        <w:pStyle w:val="ListParagraph"/>
        <w:numPr>
          <w:ilvl w:val="0"/>
          <w:numId w:val="39"/>
        </w:numPr>
        <w:spacing w:before="0" w:beforeAutospacing="0" w:line="360" w:lineRule="auto"/>
        <w:rPr>
          <w:rFonts w:ascii="Arial" w:hAnsi="Arial" w:cs="Arial"/>
          <w:sz w:val="22"/>
          <w:szCs w:val="22"/>
          <w:u w:val="single"/>
        </w:rPr>
      </w:pPr>
      <w:r w:rsidRPr="001B7EC7">
        <w:rPr>
          <w:rFonts w:ascii="Arial" w:hAnsi="Arial" w:cs="Arial"/>
          <w:sz w:val="22"/>
          <w:szCs w:val="22"/>
          <w:highlight w:val="black"/>
          <w:u w:val="single"/>
        </w:rPr>
        <w:t>****************************************************************************************************************************</w:t>
      </w:r>
    </w:p>
    <w:p w14:paraId="770E7D3F" w14:textId="6C3F7456" w:rsidR="0008114B" w:rsidRPr="001B7EC7" w:rsidRDefault="001B7EC7" w:rsidP="008008C4">
      <w:pPr>
        <w:spacing w:before="240" w:line="360" w:lineRule="auto"/>
        <w:rPr>
          <w:szCs w:val="22"/>
          <w:highlight w:val="black"/>
          <w:u w:val="single"/>
        </w:rPr>
      </w:pPr>
      <w:r w:rsidRPr="001B7EC7">
        <w:rPr>
          <w:szCs w:val="22"/>
          <w:highlight w:val="black"/>
          <w:u w:val="single"/>
        </w:rPr>
        <w:t>*************************************************************************************************************************************************************************************************************************************************************************************************************************************************************************************************</w:t>
      </w:r>
    </w:p>
    <w:p w14:paraId="01E7DD51" w14:textId="6DCCA585" w:rsidR="0008114B" w:rsidRPr="001B7EC7" w:rsidRDefault="001B7EC7" w:rsidP="008008C4">
      <w:pPr>
        <w:spacing w:before="240" w:line="360" w:lineRule="auto"/>
        <w:rPr>
          <w:szCs w:val="22"/>
          <w:highlight w:val="black"/>
          <w:u w:val="single"/>
        </w:rPr>
      </w:pPr>
      <w:r w:rsidRPr="001B7EC7">
        <w:rPr>
          <w:szCs w:val="22"/>
          <w:highlight w:val="black"/>
          <w:u w:val="single"/>
        </w:rPr>
        <w:t>***************************************************************************************************************************************************************************</w:t>
      </w:r>
      <w:r w:rsidR="0008114B" w:rsidRPr="001B7EC7">
        <w:rPr>
          <w:szCs w:val="22"/>
          <w:highlight w:val="black"/>
          <w:u w:val="single"/>
        </w:rPr>
        <w:fldChar w:fldCharType="begin"/>
      </w:r>
      <w:r w:rsidR="0008114B" w:rsidRPr="001B7EC7">
        <w:rPr>
          <w:szCs w:val="22"/>
          <w:highlight w:val="black"/>
          <w:u w:val="single"/>
        </w:rPr>
        <w:instrText xml:space="preserve"> ADDIN EN.CITE &lt;EndNote&gt;&lt;Cite&gt;&lt;Author&gt;EEPRU&lt;/Author&gt;&lt;Year&gt;2021&lt;/Year&gt;&lt;RecNum&gt;35&lt;/RecNum&gt;&lt;DisplayText&gt;&lt;style face="superscript"&gt;10&lt;/style&gt;&lt;/DisplayText&gt;&lt;record&gt;&lt;rec-number&gt;35&lt;/rec-number&gt;&lt;foreign-keys&gt;&lt;key app="EN" db-id="pd5s0xr0250t2qevxfgxpvwp5eaztd2pavxx" timestamp="1639426181"&gt;35&lt;/key&gt;&lt;/foreign-keys&gt;&lt;ref-type name="Web Page"&gt;12&lt;/ref-type&gt;&lt;contributors&gt;&lt;authors&gt;&lt;author&gt;EEPRU&lt;/author&gt;&lt;/authors&gt;&lt;/contributors&gt;&lt;titles&gt;&lt;title&gt;Ceftazidime with avibactam for treating severe aerobic Gram-negative bacterial infections: Assessment Report - Confidential - version for consultation&lt;/title&gt;&lt;/titles&gt;&lt;dates&gt;&lt;year&gt;2021&lt;/year&gt;&lt;/dates&gt;&lt;urls&gt;&lt;/urls&gt;&lt;/record&gt;&lt;/Cite&gt;&lt;/EndNote&gt;</w:instrText>
      </w:r>
      <w:r w:rsidR="0008114B" w:rsidRPr="001B7EC7">
        <w:rPr>
          <w:szCs w:val="22"/>
          <w:highlight w:val="black"/>
          <w:u w:val="single"/>
        </w:rPr>
        <w:fldChar w:fldCharType="separate"/>
      </w:r>
      <w:r w:rsidRPr="001B7EC7">
        <w:rPr>
          <w:noProof/>
          <w:szCs w:val="22"/>
          <w:highlight w:val="black"/>
          <w:u w:val="single"/>
          <w:vertAlign w:val="superscript"/>
        </w:rPr>
        <w:t>**</w:t>
      </w:r>
      <w:r w:rsidR="0008114B" w:rsidRPr="001B7EC7">
        <w:rPr>
          <w:szCs w:val="22"/>
          <w:highlight w:val="black"/>
          <w:u w:val="single"/>
        </w:rPr>
        <w:fldChar w:fldCharType="end"/>
      </w:r>
      <w:r w:rsidRPr="001B7EC7">
        <w:rPr>
          <w:szCs w:val="22"/>
          <w:highlight w:val="black"/>
          <w:u w:val="single"/>
        </w:rPr>
        <w:t>*</w:t>
      </w:r>
    </w:p>
    <w:p w14:paraId="3722278C" w14:textId="16E448D2" w:rsidR="0008114B" w:rsidRPr="001B7EC7" w:rsidRDefault="001B7EC7" w:rsidP="008008C4">
      <w:pPr>
        <w:pStyle w:val="ListParagraph"/>
        <w:numPr>
          <w:ilvl w:val="0"/>
          <w:numId w:val="39"/>
        </w:numPr>
        <w:spacing w:before="0" w:beforeAutospacing="0" w:line="360" w:lineRule="auto"/>
        <w:rPr>
          <w:rFonts w:ascii="Arial" w:hAnsi="Arial" w:cs="Arial"/>
          <w:sz w:val="22"/>
          <w:szCs w:val="22"/>
          <w:u w:val="single"/>
        </w:rPr>
      </w:pPr>
      <w:r w:rsidRPr="001B7EC7">
        <w:rPr>
          <w:rFonts w:ascii="Arial" w:hAnsi="Arial" w:cs="Arial"/>
          <w:sz w:val="22"/>
          <w:szCs w:val="22"/>
          <w:highlight w:val="black"/>
          <w:u w:val="single"/>
        </w:rPr>
        <w:t>**************</w:t>
      </w:r>
      <w:r w:rsidR="0008114B" w:rsidRPr="001B7EC7">
        <w:rPr>
          <w:rFonts w:ascii="Arial" w:hAnsi="Arial" w:cs="Arial"/>
          <w:sz w:val="22"/>
          <w:szCs w:val="22"/>
          <w:u w:val="single"/>
        </w:rPr>
        <w:t xml:space="preserve"> </w:t>
      </w:r>
    </w:p>
    <w:p w14:paraId="3453E567" w14:textId="5B617513" w:rsidR="0008114B" w:rsidRPr="001B7EC7" w:rsidRDefault="001B7EC7" w:rsidP="008008C4">
      <w:pPr>
        <w:pStyle w:val="ListParagraph"/>
        <w:numPr>
          <w:ilvl w:val="0"/>
          <w:numId w:val="39"/>
        </w:numPr>
        <w:spacing w:before="0" w:beforeAutospacing="0" w:line="360" w:lineRule="auto"/>
        <w:rPr>
          <w:rFonts w:ascii="Arial" w:hAnsi="Arial" w:cs="Arial"/>
          <w:sz w:val="22"/>
          <w:szCs w:val="22"/>
          <w:u w:val="single"/>
        </w:rPr>
      </w:pPr>
      <w:r w:rsidRPr="001B7EC7">
        <w:rPr>
          <w:rFonts w:ascii="Arial" w:hAnsi="Arial" w:cs="Arial"/>
          <w:sz w:val="22"/>
          <w:szCs w:val="22"/>
          <w:highlight w:val="black"/>
          <w:u w:val="single"/>
        </w:rPr>
        <w:t>************************</w:t>
      </w:r>
      <w:r w:rsidR="0008114B" w:rsidRPr="001B7EC7">
        <w:rPr>
          <w:rFonts w:ascii="Arial" w:hAnsi="Arial" w:cs="Arial"/>
          <w:sz w:val="22"/>
          <w:szCs w:val="22"/>
          <w:u w:val="single"/>
        </w:rPr>
        <w:t xml:space="preserve"> </w:t>
      </w:r>
    </w:p>
    <w:p w14:paraId="11946C19" w14:textId="39FCCBBD" w:rsidR="0008114B" w:rsidRPr="001B7EC7" w:rsidRDefault="001B7EC7" w:rsidP="008008C4">
      <w:pPr>
        <w:pStyle w:val="ListParagraph"/>
        <w:numPr>
          <w:ilvl w:val="0"/>
          <w:numId w:val="39"/>
        </w:numPr>
        <w:spacing w:before="0" w:beforeAutospacing="0" w:line="360" w:lineRule="auto"/>
        <w:rPr>
          <w:rFonts w:ascii="Arial" w:hAnsi="Arial" w:cs="Arial"/>
          <w:sz w:val="22"/>
          <w:szCs w:val="22"/>
          <w:u w:val="single"/>
        </w:rPr>
      </w:pPr>
      <w:r w:rsidRPr="001B7EC7">
        <w:rPr>
          <w:rFonts w:ascii="Arial" w:hAnsi="Arial" w:cs="Arial"/>
          <w:sz w:val="22"/>
          <w:szCs w:val="22"/>
          <w:highlight w:val="black"/>
          <w:u w:val="single"/>
        </w:rPr>
        <w:t>********************************</w:t>
      </w:r>
      <w:r w:rsidR="0008114B" w:rsidRPr="001B7EC7">
        <w:rPr>
          <w:rFonts w:ascii="Arial" w:hAnsi="Arial" w:cs="Arial"/>
          <w:sz w:val="22"/>
          <w:szCs w:val="22"/>
          <w:u w:val="single"/>
        </w:rPr>
        <w:t xml:space="preserve"> </w:t>
      </w:r>
    </w:p>
    <w:p w14:paraId="58ED175C" w14:textId="4A5A80C4" w:rsidR="0008114B" w:rsidRPr="001B7EC7" w:rsidRDefault="001B7EC7" w:rsidP="008008C4">
      <w:pPr>
        <w:pStyle w:val="ListParagraph"/>
        <w:numPr>
          <w:ilvl w:val="0"/>
          <w:numId w:val="39"/>
        </w:numPr>
        <w:spacing w:before="0" w:beforeAutospacing="0" w:line="360" w:lineRule="auto"/>
        <w:rPr>
          <w:rFonts w:ascii="Arial" w:hAnsi="Arial" w:cs="Arial"/>
          <w:sz w:val="22"/>
          <w:szCs w:val="22"/>
          <w:u w:val="single"/>
        </w:rPr>
      </w:pPr>
      <w:r w:rsidRPr="001B7EC7">
        <w:rPr>
          <w:rFonts w:ascii="Arial" w:hAnsi="Arial" w:cs="Arial"/>
          <w:sz w:val="22"/>
          <w:szCs w:val="22"/>
          <w:highlight w:val="black"/>
          <w:u w:val="single"/>
        </w:rPr>
        <w:t>*******************************************************************************</w:t>
      </w:r>
      <w:r w:rsidR="0008114B" w:rsidRPr="001B7EC7">
        <w:rPr>
          <w:rFonts w:ascii="Arial" w:hAnsi="Arial" w:cs="Arial"/>
          <w:sz w:val="22"/>
          <w:szCs w:val="22"/>
          <w:highlight w:val="black"/>
          <w:u w:val="single"/>
        </w:rPr>
        <w:fldChar w:fldCharType="begin"/>
      </w:r>
      <w:r w:rsidR="0008114B" w:rsidRPr="001B7EC7">
        <w:rPr>
          <w:rFonts w:ascii="Arial" w:hAnsi="Arial" w:cs="Arial"/>
          <w:sz w:val="22"/>
          <w:szCs w:val="22"/>
          <w:highlight w:val="black"/>
          <w:u w:val="single"/>
        </w:rPr>
        <w:instrText xml:space="preserve"> ADDIN EN.CITE &lt;EndNote&gt;&lt;Cite&gt;&lt;Author&gt;O&amp;apos;Neill&lt;/Author&gt;&lt;Year&gt;2014&lt;/Year&gt;&lt;RecNum&gt;32&lt;/RecNum&gt;&lt;DisplayText&gt;&lt;style face="superscript"&gt;11&lt;/style&gt;&lt;/DisplayText&gt;&lt;record&gt;&lt;rec-number&gt;32&lt;/rec-number&gt;&lt;foreign-keys&gt;&lt;key app="EN" db-id="pd5s0xr0250t2qevxfgxpvwp5eaztd2pavxx" timestamp="1639408416"&gt;32&lt;/key&gt;&lt;/foreign-keys&gt;&lt;ref-type name="Report"&gt;27&lt;/ref-type&gt;&lt;contributors&gt;&lt;authors&gt;&lt;author&gt;O&amp;apos;Neill, J.&lt;/author&gt;&lt;/authors&gt;&lt;tertiary-authors&gt;&lt;author&gt;HM Government, Wellcome Trust&lt;/author&gt;&lt;/tertiary-authors&gt;&lt;/contributors&gt;&lt;titles&gt;&lt;title&gt;Antimicrobial Resistance: Tackling a Crisis for the Health and Wealth of Nations&lt;/title&gt;&lt;secondary-title&gt;Review on Antimicrobial Resistance&lt;/secondary-title&gt;&lt;/titles&gt;&lt;dates&gt;&lt;year&gt;2014&lt;/year&gt;&lt;/dates&gt;&lt;urls&gt;&lt;related-urls&gt;&lt;url&gt;https://www.west-info.eu/drug-resistant-infections-could-lead-to-10-million-extra-deaths-a-year/amr-review-paper-tackling-a-crisis-for-the-health-and-wealth-of-nations_1/&lt;/url&gt;&lt;/related-urls&gt;&lt;/urls&gt;&lt;/record&gt;&lt;/Cite&gt;&lt;/EndNote&gt;</w:instrText>
      </w:r>
      <w:r w:rsidR="0008114B" w:rsidRPr="001B7EC7">
        <w:rPr>
          <w:rFonts w:ascii="Arial" w:hAnsi="Arial" w:cs="Arial"/>
          <w:sz w:val="22"/>
          <w:szCs w:val="22"/>
          <w:highlight w:val="black"/>
          <w:u w:val="single"/>
        </w:rPr>
        <w:fldChar w:fldCharType="separate"/>
      </w:r>
      <w:r w:rsidRPr="001B7EC7">
        <w:rPr>
          <w:rFonts w:ascii="Arial" w:hAnsi="Arial" w:cs="Arial"/>
          <w:noProof/>
          <w:sz w:val="22"/>
          <w:szCs w:val="22"/>
          <w:highlight w:val="black"/>
          <w:u w:val="single"/>
          <w:vertAlign w:val="superscript"/>
        </w:rPr>
        <w:t>**</w:t>
      </w:r>
      <w:r w:rsidR="0008114B" w:rsidRPr="001B7EC7">
        <w:rPr>
          <w:rFonts w:ascii="Arial" w:hAnsi="Arial" w:cs="Arial"/>
          <w:sz w:val="22"/>
          <w:szCs w:val="22"/>
          <w:highlight w:val="black"/>
          <w:u w:val="single"/>
        </w:rPr>
        <w:fldChar w:fldCharType="end"/>
      </w:r>
      <w:r w:rsidR="0008114B" w:rsidRPr="001B7EC7">
        <w:rPr>
          <w:rFonts w:ascii="Arial" w:hAnsi="Arial" w:cs="Arial"/>
          <w:sz w:val="22"/>
          <w:szCs w:val="22"/>
          <w:u w:val="single"/>
        </w:rPr>
        <w:t xml:space="preserve"> </w:t>
      </w:r>
    </w:p>
    <w:p w14:paraId="6C3DABD7" w14:textId="222EA38D" w:rsidR="0008114B" w:rsidRPr="001B7EC7" w:rsidRDefault="001B7EC7" w:rsidP="008008C4">
      <w:pPr>
        <w:spacing w:before="240" w:line="360" w:lineRule="auto"/>
        <w:rPr>
          <w:szCs w:val="22"/>
          <w:highlight w:val="black"/>
          <w:u w:val="single"/>
        </w:rPr>
      </w:pPr>
      <w:r w:rsidRPr="001B7EC7">
        <w:rPr>
          <w:szCs w:val="22"/>
          <w:highlight w:val="black"/>
          <w:u w:val="single"/>
        </w:rPr>
        <w:t>*************************************************************************************************************************************************************************************************************************************************************</w:t>
      </w:r>
    </w:p>
    <w:p w14:paraId="5DF6258B" w14:textId="7CE15B65" w:rsidR="008008C4" w:rsidRDefault="001B7EC7" w:rsidP="008008C4">
      <w:pPr>
        <w:spacing w:before="240" w:line="360" w:lineRule="auto"/>
        <w:rPr>
          <w:szCs w:val="22"/>
          <w:u w:val="single"/>
        </w:rPr>
      </w:pPr>
      <w:r w:rsidRPr="001B7EC7">
        <w:rPr>
          <w:szCs w:val="22"/>
          <w:highlight w:val="black"/>
          <w:u w:val="single"/>
        </w:rPr>
        <w:t>*********************************************************************************************************************************************************************************************************************************************************************************************************************************************************************************************************************************************************************************************************************************************************************************************************************************</w:t>
      </w:r>
      <w:r w:rsidR="0008114B" w:rsidRPr="001B7EC7">
        <w:rPr>
          <w:szCs w:val="22"/>
          <w:highlight w:val="black"/>
          <w:u w:val="single"/>
        </w:rPr>
        <w:fldChar w:fldCharType="begin"/>
      </w:r>
      <w:r w:rsidR="0008114B" w:rsidRPr="001B7EC7">
        <w:rPr>
          <w:szCs w:val="22"/>
          <w:highlight w:val="black"/>
          <w:u w:val="single"/>
        </w:rPr>
        <w:instrText xml:space="preserve"> ADDIN EN.CITE &lt;EndNote&gt;&lt;Cite&gt;&lt;Author&gt;O&amp;apos;Neill&lt;/Author&gt;&lt;Year&gt;2014&lt;/Year&gt;&lt;RecNum&gt;32&lt;/RecNum&gt;&lt;DisplayText&gt;&lt;style face="superscript"&gt;11&lt;/style&gt;&lt;/DisplayText&gt;&lt;record&gt;&lt;rec-number&gt;32&lt;/rec-number&gt;&lt;foreign-keys&gt;&lt;key app="EN" db-id="pd5s0xr0250t2qevxfgxpvwp5eaztd2pavxx" timestamp="1639408416"&gt;32&lt;/key&gt;&lt;/foreign-keys&gt;&lt;ref-type name="Report"&gt;27&lt;/ref-type&gt;&lt;contributors&gt;&lt;authors&gt;&lt;author&gt;O&amp;apos;Neill, J.&lt;/author&gt;&lt;/authors&gt;&lt;tertiary-authors&gt;&lt;author&gt;HM Government, Wellcome Trust&lt;/author&gt;&lt;/tertiary-authors&gt;&lt;/contributors&gt;&lt;titles&gt;&lt;title&gt;Antimicrobial Resistance: Tackling a Crisis for the Health and Wealth of Nations&lt;/title&gt;&lt;secondary-title&gt;Review on Antimicrobial Resistance&lt;/secondary-title&gt;&lt;/titles&gt;&lt;dates&gt;&lt;year&gt;2014&lt;/year&gt;&lt;/dates&gt;&lt;urls&gt;&lt;related-urls&gt;&lt;url&gt;https://www.west-info.eu/drug-resistant-infections-could-lead-to-10-million-extra-deaths-a-year/amr-review-paper-tackling-a-crisis-for-the-health-and-wealth-of-nations_1/&lt;/url&gt;&lt;/related-urls&gt;&lt;/urls&gt;&lt;/record&gt;&lt;/Cite&gt;&lt;/EndNote&gt;</w:instrText>
      </w:r>
      <w:r w:rsidR="0008114B" w:rsidRPr="001B7EC7">
        <w:rPr>
          <w:szCs w:val="22"/>
          <w:highlight w:val="black"/>
          <w:u w:val="single"/>
        </w:rPr>
        <w:fldChar w:fldCharType="separate"/>
      </w:r>
      <w:r w:rsidRPr="001B7EC7">
        <w:rPr>
          <w:noProof/>
          <w:szCs w:val="22"/>
          <w:highlight w:val="black"/>
          <w:u w:val="single"/>
          <w:vertAlign w:val="superscript"/>
        </w:rPr>
        <w:t>**</w:t>
      </w:r>
      <w:r w:rsidR="0008114B" w:rsidRPr="001B7EC7">
        <w:rPr>
          <w:szCs w:val="22"/>
          <w:highlight w:val="black"/>
          <w:u w:val="single"/>
        </w:rPr>
        <w:fldChar w:fldCharType="end"/>
      </w:r>
      <w:r w:rsidR="0008114B" w:rsidRPr="00607431">
        <w:rPr>
          <w:szCs w:val="22"/>
          <w:u w:val="single"/>
        </w:rPr>
        <w:t xml:space="preserve"> </w:t>
      </w:r>
    </w:p>
    <w:p w14:paraId="6548C839" w14:textId="5B54C428" w:rsidR="0008114B" w:rsidRPr="008008C4" w:rsidRDefault="0008114B" w:rsidP="008008C4">
      <w:pPr>
        <w:spacing w:before="240" w:line="360" w:lineRule="auto"/>
        <w:rPr>
          <w:szCs w:val="22"/>
          <w:u w:val="single"/>
        </w:rPr>
      </w:pPr>
      <w:r w:rsidRPr="00607431">
        <w:rPr>
          <w:szCs w:val="22"/>
        </w:rPr>
        <w:lastRenderedPageBreak/>
        <w:t>It must be recognised that both the company’s (Pfizer) submission and the EEPRU Assessment Report do not capture the full concept of insurance value. However, we would implore the committee to recognise that well established insurance modelling techniques can be used to capture the value of new antibiotics in mitigating future probabilistic events, and that although this value would likely need to be considered collectively across the antibiotic spectrum, the value is significant and not currently captured under any of the documentation provided as evidence for the committee meeting.</w:t>
      </w:r>
      <w:r w:rsidRPr="00607431">
        <w:rPr>
          <w:sz w:val="28"/>
          <w:szCs w:val="28"/>
        </w:rPr>
        <w:t xml:space="preserve"> </w:t>
      </w:r>
    </w:p>
    <w:p w14:paraId="1A919141" w14:textId="77777777" w:rsidR="0008114B" w:rsidRPr="008008C4" w:rsidRDefault="0008114B" w:rsidP="0008114B">
      <w:pPr>
        <w:spacing w:line="276" w:lineRule="auto"/>
        <w:ind w:left="567"/>
        <w:rPr>
          <w:sz w:val="24"/>
          <w:szCs w:val="22"/>
          <w:lang w:eastAsia="en-GB"/>
        </w:rPr>
      </w:pPr>
    </w:p>
    <w:p w14:paraId="5D7E371D" w14:textId="2000BD00" w:rsidR="0008114B" w:rsidRDefault="0008114B" w:rsidP="0008114B">
      <w:pPr>
        <w:pStyle w:val="Heading1"/>
        <w:numPr>
          <w:ilvl w:val="1"/>
          <w:numId w:val="27"/>
        </w:numPr>
        <w:rPr>
          <w:lang w:eastAsia="en-GB"/>
        </w:rPr>
      </w:pPr>
      <w:bookmarkStart w:id="9" w:name="_Ref90040118"/>
      <w:r w:rsidRPr="00A573DE">
        <w:rPr>
          <w:lang w:eastAsia="en-GB"/>
        </w:rPr>
        <w:t xml:space="preserve">Impact of CAZ-AVI on enablement </w:t>
      </w:r>
      <w:bookmarkEnd w:id="9"/>
    </w:p>
    <w:p w14:paraId="575F6EFB" w14:textId="77777777" w:rsidR="00623B8B" w:rsidRPr="00623B8B" w:rsidRDefault="00623B8B" w:rsidP="00623B8B">
      <w:pPr>
        <w:rPr>
          <w:lang w:eastAsia="en-GB"/>
        </w:rPr>
      </w:pPr>
    </w:p>
    <w:tbl>
      <w:tblPr>
        <w:tblStyle w:val="TableGrid"/>
        <w:tblW w:w="0" w:type="auto"/>
        <w:tblInd w:w="1119"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7898"/>
      </w:tblGrid>
      <w:tr w:rsidR="0008114B" w:rsidRPr="00A573DE" w14:paraId="20184F6B" w14:textId="77777777" w:rsidTr="0008114B">
        <w:trPr>
          <w:trHeight w:val="312"/>
        </w:trPr>
        <w:tc>
          <w:tcPr>
            <w:tcW w:w="7898" w:type="dxa"/>
            <w:shd w:val="clear" w:color="auto" w:fill="F2F2F2" w:themeFill="background1" w:themeFillShade="F2"/>
          </w:tcPr>
          <w:p w14:paraId="4E153ED5" w14:textId="77777777" w:rsidR="0008114B" w:rsidRPr="00A573DE" w:rsidRDefault="0008114B" w:rsidP="0008114B">
            <w:pPr>
              <w:pStyle w:val="NICEnormal"/>
              <w:spacing w:line="276" w:lineRule="auto"/>
              <w:rPr>
                <w:b/>
                <w:bCs/>
                <w:i/>
                <w:iCs/>
                <w:color w:val="808080" w:themeColor="background1" w:themeShade="80"/>
                <w:lang w:val="en-GB"/>
              </w:rPr>
            </w:pPr>
            <w:r w:rsidRPr="00F012A6">
              <w:rPr>
                <w:b/>
                <w:bCs/>
                <w:i/>
                <w:iCs/>
                <w:lang w:val="en-GB"/>
              </w:rPr>
              <w:t xml:space="preserve">Key messages </w:t>
            </w:r>
          </w:p>
        </w:tc>
      </w:tr>
      <w:tr w:rsidR="0008114B" w:rsidRPr="00A573DE" w14:paraId="4943FF0C" w14:textId="77777777" w:rsidTr="0008114B">
        <w:tc>
          <w:tcPr>
            <w:tcW w:w="7898" w:type="dxa"/>
          </w:tcPr>
          <w:p w14:paraId="5FAB6DC6" w14:textId="77777777" w:rsidR="0008114B" w:rsidRDefault="0008114B" w:rsidP="0008114B">
            <w:pPr>
              <w:pStyle w:val="Bullets"/>
              <w:ind w:left="466" w:hanging="466"/>
            </w:pPr>
            <w:r w:rsidRPr="006D3CF8">
              <w:rPr>
                <w:b/>
                <w:bCs/>
              </w:rPr>
              <w:t>Enablement value</w:t>
            </w:r>
            <w:r w:rsidRPr="006D3CF8">
              <w:t xml:space="preserve"> – New AMs provide additional value enable a wide range of surgical and medical procedures, such as chemotherapy, to take place with reduced risk of post-procedure infection.</w:t>
            </w:r>
          </w:p>
          <w:p w14:paraId="4E9F1DB8" w14:textId="77777777" w:rsidR="0008114B" w:rsidRPr="00A573DE" w:rsidRDefault="0008114B" w:rsidP="0008114B">
            <w:pPr>
              <w:pStyle w:val="Bullets"/>
              <w:ind w:left="466" w:hanging="466"/>
            </w:pPr>
            <w:r w:rsidRPr="006D3CF8">
              <w:t xml:space="preserve">The enablement value captured in the EEPRU assessment does not consider the holistic value associated with a new AM, and therefore, underestimates the true enablement value of </w:t>
            </w:r>
            <w:r>
              <w:t>CAZ-AVI</w:t>
            </w:r>
            <w:r w:rsidRPr="006D3CF8">
              <w:t>.</w:t>
            </w:r>
          </w:p>
        </w:tc>
      </w:tr>
    </w:tbl>
    <w:p w14:paraId="509C5C14" w14:textId="77777777" w:rsidR="0008114B" w:rsidRPr="00A573DE" w:rsidRDefault="0008114B" w:rsidP="0008114B">
      <w:pPr>
        <w:pStyle w:val="NICEnormal"/>
        <w:spacing w:line="276" w:lineRule="auto"/>
        <w:rPr>
          <w:rFonts w:cs="Arial"/>
          <w:lang w:val="en-GB"/>
        </w:rPr>
      </w:pPr>
    </w:p>
    <w:p w14:paraId="19855A9D" w14:textId="77777777" w:rsidR="0008114B" w:rsidRPr="006D3CF8" w:rsidRDefault="0008114B" w:rsidP="0008114B">
      <w:pPr>
        <w:pStyle w:val="NICEnormal"/>
        <w:rPr>
          <w:rFonts w:cs="Arial"/>
          <w:sz w:val="22"/>
          <w:szCs w:val="22"/>
          <w:lang w:val="en-GB"/>
        </w:rPr>
      </w:pPr>
      <w:r>
        <w:rPr>
          <w:rFonts w:cs="Arial"/>
          <w:sz w:val="22"/>
          <w:szCs w:val="22"/>
          <w:lang w:val="en-GB"/>
        </w:rPr>
        <w:t>The ability to effectively treat and prevent infection is an essential element of modern healthcare, without effective AMs many hospital services would not be able to operate.</w:t>
      </w:r>
      <w:r>
        <w:rPr>
          <w:rFonts w:cs="Arial"/>
          <w:sz w:val="22"/>
          <w:szCs w:val="22"/>
          <w:lang w:val="en-GB"/>
        </w:rPr>
        <w:fldChar w:fldCharType="begin"/>
      </w:r>
      <w:r>
        <w:rPr>
          <w:rFonts w:cs="Arial"/>
          <w:sz w:val="22"/>
          <w:szCs w:val="22"/>
          <w:lang w:val="en-GB"/>
        </w:rPr>
        <w:instrText xml:space="preserve"> ADDIN EN.CITE &lt;EndNote&gt;&lt;Cite&gt;&lt;Author&gt;World Health Organisation.&lt;/Author&gt;&lt;Year&gt;2014&lt;/Year&gt;&lt;RecNum&gt;37&lt;/RecNum&gt;&lt;DisplayText&gt;&lt;style face="superscript"&gt;12&lt;/style&gt;&lt;/DisplayText&gt;&lt;record&gt;&lt;rec-number&gt;37&lt;/rec-number&gt;&lt;foreign-keys&gt;&lt;key app="EN" db-id="pd5s0xr0250t2qevxfgxpvwp5eaztd2pavxx" timestamp="1639472650"&gt;37&lt;/key&gt;&lt;/foreign-keys&gt;&lt;ref-type name="Web Page"&gt;12&lt;/ref-type&gt;&lt;contributors&gt;&lt;authors&gt;&lt;author&gt;World Health Organisation.,&lt;/author&gt;&lt;/authors&gt;&lt;/contributors&gt;&lt;titles&gt;&lt;title&gt;Antimicrobial resistance - Global Report on Surveillance&lt;/title&gt;&lt;/titles&gt;&lt;volume&gt;2021&lt;/volume&gt;&lt;number&gt;12/2021&lt;/number&gt;&lt;dates&gt;&lt;year&gt;2014&lt;/year&gt;&lt;/dates&gt;&lt;urls&gt;&lt;related-urls&gt;&lt;url&gt;https://www.who.int/publications/i/item/9789241564748&lt;/url&gt;&lt;/related-urls&gt;&lt;/urls&gt;&lt;/record&gt;&lt;/Cite&gt;&lt;/EndNote&gt;</w:instrText>
      </w:r>
      <w:r>
        <w:rPr>
          <w:rFonts w:cs="Arial"/>
          <w:sz w:val="22"/>
          <w:szCs w:val="22"/>
          <w:lang w:val="en-GB"/>
        </w:rPr>
        <w:fldChar w:fldCharType="separate"/>
      </w:r>
      <w:r w:rsidRPr="00576A39">
        <w:rPr>
          <w:rFonts w:cs="Arial"/>
          <w:noProof/>
          <w:sz w:val="22"/>
          <w:szCs w:val="22"/>
          <w:vertAlign w:val="superscript"/>
          <w:lang w:val="en-GB"/>
        </w:rPr>
        <w:t>12</w:t>
      </w:r>
      <w:r>
        <w:rPr>
          <w:rFonts w:cs="Arial"/>
          <w:sz w:val="22"/>
          <w:szCs w:val="22"/>
          <w:lang w:val="en-GB"/>
        </w:rPr>
        <w:fldChar w:fldCharType="end"/>
      </w:r>
      <w:r>
        <w:rPr>
          <w:rFonts w:cs="Arial"/>
          <w:sz w:val="22"/>
          <w:szCs w:val="22"/>
          <w:lang w:val="en-GB"/>
        </w:rPr>
        <w:t xml:space="preserve"> </w:t>
      </w:r>
      <w:r w:rsidRPr="006D3CF8">
        <w:rPr>
          <w:rFonts w:cs="Arial"/>
          <w:sz w:val="22"/>
          <w:szCs w:val="22"/>
          <w:lang w:val="en-GB"/>
        </w:rPr>
        <w:t xml:space="preserve">Enablement value is the value associated with surgical and medical procedures </w:t>
      </w:r>
      <w:r>
        <w:rPr>
          <w:rFonts w:cs="Arial"/>
          <w:sz w:val="22"/>
          <w:szCs w:val="22"/>
          <w:lang w:val="en-GB"/>
        </w:rPr>
        <w:t>are enabled by effective</w:t>
      </w:r>
      <w:r w:rsidRPr="006D3CF8">
        <w:rPr>
          <w:rFonts w:cs="Arial"/>
          <w:sz w:val="22"/>
          <w:szCs w:val="22"/>
          <w:lang w:val="en-GB"/>
        </w:rPr>
        <w:t xml:space="preserve"> AMs prevent</w:t>
      </w:r>
      <w:r>
        <w:rPr>
          <w:rFonts w:cs="Arial"/>
          <w:sz w:val="22"/>
          <w:szCs w:val="22"/>
          <w:lang w:val="en-GB"/>
        </w:rPr>
        <w:t>ing</w:t>
      </w:r>
      <w:r w:rsidRPr="006D3CF8">
        <w:rPr>
          <w:rFonts w:cs="Arial"/>
          <w:sz w:val="22"/>
          <w:szCs w:val="22"/>
          <w:lang w:val="en-GB"/>
        </w:rPr>
        <w:t xml:space="preserve"> or treat</w:t>
      </w:r>
      <w:r>
        <w:rPr>
          <w:rFonts w:cs="Arial"/>
          <w:sz w:val="22"/>
          <w:szCs w:val="22"/>
          <w:lang w:val="en-GB"/>
        </w:rPr>
        <w:t>ing</w:t>
      </w:r>
      <w:r w:rsidRPr="006D3CF8">
        <w:rPr>
          <w:rFonts w:cs="Arial"/>
          <w:sz w:val="22"/>
          <w:szCs w:val="22"/>
          <w:lang w:val="en-GB"/>
        </w:rPr>
        <w:t xml:space="preserve"> post-procedure infections. The </w:t>
      </w:r>
      <w:r w:rsidRPr="00A573DE">
        <w:rPr>
          <w:rFonts w:cs="Arial"/>
          <w:sz w:val="22"/>
          <w:szCs w:val="22"/>
          <w:lang w:val="en-GB"/>
        </w:rPr>
        <w:t xml:space="preserve">submitted </w:t>
      </w:r>
      <w:r w:rsidRPr="006D3CF8">
        <w:rPr>
          <w:rFonts w:cs="Arial"/>
          <w:sz w:val="22"/>
          <w:szCs w:val="22"/>
          <w:lang w:val="en-GB"/>
        </w:rPr>
        <w:t>Pfizer model did not assess this value element; however, Pfizer do have concerns with the approach taken in the EEPRU assessment. Enablement value has only been considered in terms of treating pre- or post-operative infections</w:t>
      </w:r>
      <w:r w:rsidRPr="00A573DE">
        <w:rPr>
          <w:rFonts w:cs="Arial"/>
          <w:sz w:val="22"/>
          <w:szCs w:val="22"/>
          <w:lang w:val="en-GB"/>
        </w:rPr>
        <w:t>,</w:t>
      </w:r>
      <w:r w:rsidRPr="006D3CF8">
        <w:rPr>
          <w:rFonts w:cs="Arial"/>
          <w:sz w:val="22"/>
          <w:szCs w:val="22"/>
          <w:lang w:val="en-GB"/>
        </w:rPr>
        <w:t xml:space="preserve"> and the reduced use of hospital resources that are associated with the HVCS assessed. Enablement value has much broader implications that are not recogni</w:t>
      </w:r>
      <w:r w:rsidRPr="00A573DE">
        <w:rPr>
          <w:rFonts w:cs="Arial"/>
          <w:sz w:val="22"/>
          <w:szCs w:val="22"/>
          <w:lang w:val="en-GB"/>
        </w:rPr>
        <w:t>s</w:t>
      </w:r>
      <w:r w:rsidRPr="006D3CF8">
        <w:rPr>
          <w:rFonts w:cs="Arial"/>
          <w:sz w:val="22"/>
          <w:szCs w:val="22"/>
          <w:lang w:val="en-GB"/>
        </w:rPr>
        <w:t>ed in this assessment including:</w:t>
      </w:r>
    </w:p>
    <w:p w14:paraId="2BF1E95E" w14:textId="77777777" w:rsidR="0008114B" w:rsidRPr="006D3CF8" w:rsidRDefault="0008114B" w:rsidP="0008114B">
      <w:pPr>
        <w:pStyle w:val="Bullets"/>
        <w:spacing w:after="0" w:line="360" w:lineRule="auto"/>
        <w:rPr>
          <w:sz w:val="22"/>
          <w:szCs w:val="22"/>
        </w:rPr>
      </w:pPr>
      <w:r w:rsidRPr="006D3CF8">
        <w:rPr>
          <w:sz w:val="22"/>
          <w:szCs w:val="22"/>
        </w:rPr>
        <w:t>Implications of enabled procedures (due to avoiding pre-procedure infection, ward closure from outbreak, or</w:t>
      </w:r>
      <w:r>
        <w:rPr>
          <w:sz w:val="22"/>
          <w:szCs w:val="22"/>
        </w:rPr>
        <w:t xml:space="preserve"> additional</w:t>
      </w:r>
      <w:r w:rsidRPr="006D3CF8">
        <w:rPr>
          <w:sz w:val="22"/>
          <w:szCs w:val="22"/>
        </w:rPr>
        <w:t xml:space="preserve"> resource utilisation for MDR infection)</w:t>
      </w:r>
    </w:p>
    <w:p w14:paraId="7A9274B1" w14:textId="77777777" w:rsidR="0008114B" w:rsidRPr="006D3CF8" w:rsidRDefault="0008114B" w:rsidP="0008114B">
      <w:pPr>
        <w:pStyle w:val="Bullets"/>
        <w:spacing w:after="0" w:line="360" w:lineRule="auto"/>
        <w:rPr>
          <w:sz w:val="22"/>
          <w:szCs w:val="22"/>
        </w:rPr>
      </w:pPr>
      <w:r w:rsidRPr="006D3CF8">
        <w:rPr>
          <w:sz w:val="22"/>
          <w:szCs w:val="22"/>
        </w:rPr>
        <w:t>Avoidance of post-procedural infection (i.e.</w:t>
      </w:r>
      <w:r>
        <w:rPr>
          <w:sz w:val="22"/>
          <w:szCs w:val="22"/>
        </w:rPr>
        <w:t>,</w:t>
      </w:r>
      <w:r w:rsidRPr="006D3CF8">
        <w:rPr>
          <w:sz w:val="22"/>
          <w:szCs w:val="22"/>
        </w:rPr>
        <w:t xml:space="preserve"> improved prophylaxis efficacy)</w:t>
      </w:r>
    </w:p>
    <w:p w14:paraId="5F939752" w14:textId="77777777" w:rsidR="0008114B" w:rsidRPr="006D3CF8" w:rsidRDefault="0008114B" w:rsidP="0008114B">
      <w:pPr>
        <w:pStyle w:val="Bullets"/>
        <w:spacing w:after="240" w:line="360" w:lineRule="auto"/>
        <w:rPr>
          <w:sz w:val="22"/>
          <w:szCs w:val="22"/>
        </w:rPr>
      </w:pPr>
      <w:r w:rsidRPr="006D3CF8">
        <w:rPr>
          <w:sz w:val="22"/>
          <w:szCs w:val="22"/>
        </w:rPr>
        <w:t>Effective treatment of post-procedural infection</w:t>
      </w:r>
    </w:p>
    <w:p w14:paraId="3C2109B8" w14:textId="53ECC65B" w:rsidR="0008114B" w:rsidRDefault="0008114B" w:rsidP="0008114B">
      <w:pPr>
        <w:pStyle w:val="NICEnormal"/>
        <w:rPr>
          <w:rFonts w:cs="Arial"/>
          <w:sz w:val="22"/>
          <w:szCs w:val="22"/>
          <w:lang w:val="en-GB"/>
        </w:rPr>
      </w:pPr>
      <w:r w:rsidRPr="006D3CF8">
        <w:rPr>
          <w:rFonts w:cs="Arial"/>
          <w:sz w:val="22"/>
          <w:szCs w:val="22"/>
          <w:lang w:val="en-GB"/>
        </w:rPr>
        <w:t xml:space="preserve">The definition of enablement value of </w:t>
      </w:r>
      <w:r>
        <w:rPr>
          <w:rFonts w:cs="Arial"/>
          <w:sz w:val="22"/>
          <w:szCs w:val="22"/>
          <w:lang w:val="en-GB"/>
        </w:rPr>
        <w:t>CAZ-AVI</w:t>
      </w:r>
      <w:r w:rsidRPr="006D3CF8">
        <w:rPr>
          <w:rFonts w:cs="Arial"/>
          <w:sz w:val="22"/>
          <w:szCs w:val="22"/>
          <w:lang w:val="en-GB"/>
        </w:rPr>
        <w:t xml:space="preserve"> goes beyond the direct use, as considered by EEPRU, but is linked to its impact on AMR. Pfizer have a developed a model </w:t>
      </w:r>
      <w:r w:rsidRPr="00A573DE">
        <w:rPr>
          <w:rFonts w:cs="Arial"/>
          <w:sz w:val="22"/>
          <w:szCs w:val="22"/>
          <w:lang w:val="en-GB"/>
        </w:rPr>
        <w:t>that</w:t>
      </w:r>
      <w:r w:rsidRPr="006D3CF8">
        <w:rPr>
          <w:rFonts w:cs="Arial"/>
          <w:sz w:val="22"/>
          <w:szCs w:val="22"/>
          <w:lang w:val="en-GB"/>
        </w:rPr>
        <w:t xml:space="preserve"> aims to incorporate elements of the enablement value associated with a new AM. This approach estimates the improvement in AM prophylaxis in surgical and chemotherapy procedures, that occurs due to reduced projected AMR. This association is based on the research conducted by </w:t>
      </w:r>
      <w:proofErr w:type="spellStart"/>
      <w:r w:rsidRPr="006D3CF8">
        <w:rPr>
          <w:rFonts w:cs="Arial"/>
          <w:sz w:val="22"/>
          <w:szCs w:val="22"/>
          <w:lang w:val="en-GB"/>
        </w:rPr>
        <w:t>Teillant</w:t>
      </w:r>
      <w:proofErr w:type="spellEnd"/>
      <w:r w:rsidRPr="006D3CF8">
        <w:rPr>
          <w:rFonts w:cs="Arial"/>
          <w:sz w:val="22"/>
          <w:szCs w:val="22"/>
          <w:lang w:val="en-GB"/>
        </w:rPr>
        <w:t xml:space="preserve"> </w:t>
      </w:r>
      <w:r w:rsidRPr="00035B43">
        <w:rPr>
          <w:rFonts w:cs="Arial"/>
          <w:i/>
          <w:sz w:val="22"/>
          <w:szCs w:val="22"/>
          <w:lang w:val="en-GB"/>
        </w:rPr>
        <w:t>et al</w:t>
      </w:r>
      <w:r w:rsidRPr="006D3CF8">
        <w:rPr>
          <w:rFonts w:cs="Arial"/>
          <w:sz w:val="22"/>
          <w:szCs w:val="22"/>
          <w:lang w:val="en-GB"/>
        </w:rPr>
        <w:t>.</w:t>
      </w:r>
      <w:r>
        <w:rPr>
          <w:rFonts w:cs="Arial"/>
          <w:sz w:val="22"/>
          <w:szCs w:val="22"/>
          <w:lang w:val="en-GB"/>
        </w:rPr>
        <w:fldChar w:fldCharType="begin">
          <w:fldData xml:space="preserve">PEVuZE5vdGU+PENpdGU+PEF1dGhvcj5UZWlsbGFudDwvQXV0aG9yPjxZZWFyPjIwMTU8L1llYXI+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</w:fldData>
        </w:fldChar>
      </w:r>
      <w:r>
        <w:rPr>
          <w:rFonts w:cs="Arial"/>
          <w:sz w:val="22"/>
          <w:szCs w:val="22"/>
          <w:lang w:val="en-GB"/>
        </w:rPr>
        <w:instrText xml:space="preserve"> ADDIN EN.CITE </w:instrText>
      </w:r>
      <w:r>
        <w:rPr>
          <w:rFonts w:cs="Arial"/>
          <w:sz w:val="22"/>
          <w:szCs w:val="22"/>
          <w:lang w:val="en-GB"/>
        </w:rPr>
        <w:fldChar w:fldCharType="begin">
          <w:fldData xml:space="preserve">PEVuZE5vdGU+PENpdGU+PEF1dGhvcj5UZWlsbGFudDwvQXV0aG9yPjxZZWFyPjIwMTU8L1llYXI+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</w:fldData>
        </w:fldChar>
      </w:r>
      <w:r>
        <w:rPr>
          <w:rFonts w:cs="Arial"/>
          <w:sz w:val="22"/>
          <w:szCs w:val="22"/>
          <w:lang w:val="en-GB"/>
        </w:rPr>
        <w:instrText xml:space="preserve"> ADDIN EN.CITE.DATA </w:instrText>
      </w:r>
      <w:r>
        <w:rPr>
          <w:rFonts w:cs="Arial"/>
          <w:sz w:val="22"/>
          <w:szCs w:val="22"/>
          <w:lang w:val="en-GB"/>
        </w:rPr>
      </w:r>
      <w:r>
        <w:rPr>
          <w:rFonts w:cs="Arial"/>
          <w:sz w:val="22"/>
          <w:szCs w:val="22"/>
          <w:lang w:val="en-GB"/>
        </w:rPr>
        <w:fldChar w:fldCharType="end"/>
      </w:r>
      <w:r>
        <w:rPr>
          <w:rFonts w:cs="Arial"/>
          <w:sz w:val="22"/>
          <w:szCs w:val="22"/>
          <w:lang w:val="en-GB"/>
        </w:rPr>
      </w:r>
      <w:r>
        <w:rPr>
          <w:rFonts w:cs="Arial"/>
          <w:sz w:val="22"/>
          <w:szCs w:val="22"/>
          <w:lang w:val="en-GB"/>
        </w:rPr>
        <w:fldChar w:fldCharType="separate"/>
      </w:r>
      <w:r w:rsidRPr="00576A39">
        <w:rPr>
          <w:rFonts w:cs="Arial"/>
          <w:noProof/>
          <w:sz w:val="22"/>
          <w:szCs w:val="22"/>
          <w:vertAlign w:val="superscript"/>
          <w:lang w:val="en-GB"/>
        </w:rPr>
        <w:t>13</w:t>
      </w:r>
      <w:r>
        <w:rPr>
          <w:rFonts w:cs="Arial"/>
          <w:sz w:val="22"/>
          <w:szCs w:val="22"/>
          <w:lang w:val="en-GB"/>
        </w:rPr>
        <w:fldChar w:fldCharType="end"/>
      </w:r>
      <w:r w:rsidRPr="006D3CF8">
        <w:rPr>
          <w:rFonts w:cs="Arial"/>
          <w:sz w:val="22"/>
          <w:szCs w:val="22"/>
          <w:lang w:val="en-GB"/>
        </w:rPr>
        <w:t xml:space="preserve"> Analyses based on US healthcare </w:t>
      </w:r>
      <w:r w:rsidRPr="006D3CF8">
        <w:rPr>
          <w:rFonts w:cs="Arial"/>
          <w:sz w:val="22"/>
          <w:szCs w:val="22"/>
          <w:lang w:val="en-GB"/>
        </w:rPr>
        <w:lastRenderedPageBreak/>
        <w:t>system shows that enablement value accounts for around 40% of the overall value (the remaining 60% being diversity value).</w:t>
      </w:r>
    </w:p>
    <w:p w14:paraId="3D827982" w14:textId="77777777" w:rsidR="0008114B" w:rsidRDefault="0008114B">
      <w:pPr>
        <w:rPr>
          <w:rFonts w:cs="Arial"/>
          <w:szCs w:val="22"/>
        </w:rPr>
      </w:pPr>
      <w:r>
        <w:rPr>
          <w:rFonts w:cs="Arial"/>
          <w:szCs w:val="22"/>
        </w:rPr>
        <w:br w:type="page"/>
      </w:r>
    </w:p>
    <w:p w14:paraId="5A7EA505" w14:textId="517C5202" w:rsidR="0008114B" w:rsidRPr="00681DEB" w:rsidRDefault="0008114B" w:rsidP="0008114B">
      <w:pPr>
        <w:pStyle w:val="Heading1"/>
        <w:numPr>
          <w:ilvl w:val="0"/>
          <w:numId w:val="27"/>
        </w:numPr>
        <w:rPr>
          <w:sz w:val="24"/>
          <w:szCs w:val="22"/>
          <w:lang w:eastAsia="en-GB"/>
        </w:rPr>
      </w:pPr>
      <w:bookmarkStart w:id="10" w:name="_Ref90129492"/>
      <w:r w:rsidRPr="00681DEB">
        <w:rPr>
          <w:sz w:val="24"/>
          <w:szCs w:val="22"/>
          <w:lang w:eastAsia="en-GB"/>
        </w:rPr>
        <w:lastRenderedPageBreak/>
        <w:t>Key drivers of CAZ-AVI model benefits – treatment efficacy and resistance</w:t>
      </w:r>
      <w:bookmarkEnd w:id="10"/>
    </w:p>
    <w:p w14:paraId="2962F224" w14:textId="77777777" w:rsidR="0008114B" w:rsidRPr="0008114B" w:rsidRDefault="0008114B" w:rsidP="0008114B">
      <w:pPr>
        <w:rPr>
          <w:lang w:eastAsia="en-GB"/>
        </w:rPr>
      </w:pPr>
    </w:p>
    <w:tbl>
      <w:tblPr>
        <w:tblStyle w:val="TableGrid"/>
        <w:tblW w:w="0" w:type="auto"/>
        <w:tblInd w:w="1174"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7782"/>
      </w:tblGrid>
      <w:tr w:rsidR="0008114B" w:rsidRPr="00A573DE" w14:paraId="1C915AC2" w14:textId="77777777" w:rsidTr="0008114B">
        <w:trPr>
          <w:trHeight w:val="312"/>
        </w:trPr>
        <w:tc>
          <w:tcPr>
            <w:tcW w:w="7782" w:type="dxa"/>
            <w:shd w:val="clear" w:color="auto" w:fill="F2F2F2" w:themeFill="background1" w:themeFillShade="F2"/>
          </w:tcPr>
          <w:p w14:paraId="478D8E1A" w14:textId="77777777" w:rsidR="0008114B" w:rsidRPr="00A573DE" w:rsidRDefault="0008114B" w:rsidP="0008114B">
            <w:pPr>
              <w:pStyle w:val="NICEnormal"/>
              <w:spacing w:line="276" w:lineRule="auto"/>
              <w:rPr>
                <w:b/>
                <w:bCs/>
                <w:i/>
                <w:iCs/>
                <w:color w:val="808080" w:themeColor="background1" w:themeShade="80"/>
                <w:lang w:val="en-GB"/>
              </w:rPr>
            </w:pPr>
            <w:r w:rsidRPr="00F012A6">
              <w:rPr>
                <w:b/>
                <w:bCs/>
                <w:i/>
                <w:iCs/>
                <w:lang w:val="en-GB"/>
              </w:rPr>
              <w:t xml:space="preserve">Key messages </w:t>
            </w:r>
          </w:p>
        </w:tc>
      </w:tr>
      <w:tr w:rsidR="0008114B" w:rsidRPr="00A573DE" w14:paraId="1F2777BA" w14:textId="77777777" w:rsidTr="0008114B">
        <w:tc>
          <w:tcPr>
            <w:tcW w:w="7782" w:type="dxa"/>
          </w:tcPr>
          <w:p w14:paraId="0F5379C1" w14:textId="77777777" w:rsidR="0008114B" w:rsidRDefault="0008114B" w:rsidP="0008114B">
            <w:pPr>
              <w:pStyle w:val="Bullets"/>
              <w:ind w:left="447"/>
            </w:pPr>
            <w:r w:rsidRPr="00A573DE">
              <w:t xml:space="preserve">The key driver of QALY gains is driven by treatment efficacy, namely, </w:t>
            </w:r>
            <w:r>
              <w:t xml:space="preserve">preventing </w:t>
            </w:r>
            <w:r w:rsidRPr="00A573DE">
              <w:t xml:space="preserve">loss of life years </w:t>
            </w:r>
            <w:proofErr w:type="gramStart"/>
            <w:r>
              <w:t>as a consequence of</w:t>
            </w:r>
            <w:proofErr w:type="gramEnd"/>
            <w:r>
              <w:t xml:space="preserve"> unsuccessful treatment.</w:t>
            </w:r>
          </w:p>
          <w:p w14:paraId="10729A36" w14:textId="77777777" w:rsidR="0008114B" w:rsidRPr="00A573DE" w:rsidRDefault="0008114B" w:rsidP="0008114B">
            <w:pPr>
              <w:pStyle w:val="Bullets"/>
              <w:ind w:left="447"/>
            </w:pPr>
            <w:r>
              <w:t>Time to appropriate therapy is critical to ensuring the optimal outcomes for patients in terms of preventing unnecessary death.</w:t>
            </w:r>
          </w:p>
          <w:p w14:paraId="1792CCD5" w14:textId="77777777" w:rsidR="0008114B" w:rsidRPr="00A573DE" w:rsidRDefault="0008114B" w:rsidP="0008114B">
            <w:pPr>
              <w:pStyle w:val="Bullets"/>
              <w:ind w:left="447"/>
            </w:pPr>
            <w:r w:rsidRPr="00A573DE">
              <w:t xml:space="preserve">Reducing projected resistance levels to current </w:t>
            </w:r>
            <w:r>
              <w:t>AMs</w:t>
            </w:r>
            <w:r w:rsidRPr="00A573DE">
              <w:t xml:space="preserve"> promotes the insurance value element as there is less chance of an outbreak of resistant infections. Additionally, if an outbreak of infections resistant to a particular antimicrobial were to </w:t>
            </w:r>
            <w:bookmarkStart w:id="11" w:name="_Hlk90041237"/>
            <w:r w:rsidRPr="00A573DE">
              <w:t>occur</w:t>
            </w:r>
            <w:bookmarkEnd w:id="11"/>
            <w:r w:rsidRPr="00A573DE">
              <w:t xml:space="preserve">, more options would be available by preserving susceptibility to current </w:t>
            </w:r>
            <w:r>
              <w:t>AMs</w:t>
            </w:r>
            <w:r w:rsidRPr="00A573DE">
              <w:t>.</w:t>
            </w:r>
          </w:p>
          <w:p w14:paraId="75C8B83B" w14:textId="77777777" w:rsidR="0008114B" w:rsidRPr="006D3CF8" w:rsidRDefault="0008114B" w:rsidP="0008114B">
            <w:pPr>
              <w:pStyle w:val="Bullets"/>
              <w:ind w:left="447"/>
              <w:rPr>
                <w:i/>
                <w:iCs/>
              </w:rPr>
            </w:pPr>
            <w:r>
              <w:t>R</w:t>
            </w:r>
            <w:r w:rsidRPr="00A573DE">
              <w:t>educi</w:t>
            </w:r>
            <w:r>
              <w:t>ng</w:t>
            </w:r>
            <w:r w:rsidRPr="00A573DE">
              <w:t xml:space="preserve"> projected resistance levels </w:t>
            </w:r>
            <w:r>
              <w:t xml:space="preserve">for current AMs is a smaller driver of </w:t>
            </w:r>
            <w:r w:rsidRPr="00A573DE">
              <w:t xml:space="preserve">QALY </w:t>
            </w:r>
            <w:r>
              <w:t>accrual in the Pfizer model. However, preventing resistance development supports fewer unsuccessful treatments (and hence fewer deaths). Further, this objective has broader societal value</w:t>
            </w:r>
            <w:r w:rsidRPr="00A573DE">
              <w:t>.</w:t>
            </w:r>
            <w:r>
              <w:t xml:space="preserve"> </w:t>
            </w:r>
          </w:p>
          <w:p w14:paraId="305099C2" w14:textId="77777777" w:rsidR="0008114B" w:rsidRPr="00A573DE" w:rsidRDefault="0008114B" w:rsidP="0008114B">
            <w:pPr>
              <w:pStyle w:val="Bullets"/>
              <w:ind w:left="447"/>
              <w:rPr>
                <w:i/>
                <w:iCs/>
              </w:rPr>
            </w:pPr>
            <w:r>
              <w:t>Given that introduction of a new antimicrobial (in this case CAZ-AVI) would have value in terms of fewer unsuccessful treatments, t</w:t>
            </w:r>
            <w:r w:rsidRPr="00A573DE">
              <w:t xml:space="preserve">he estimated QALY gains </w:t>
            </w:r>
            <w:r>
              <w:t>predicted by the EEPRU approach (</w:t>
            </w:r>
            <w:r w:rsidRPr="00A573DE">
              <w:t>approx.0.1</w:t>
            </w:r>
            <w:r>
              <w:t>–</w:t>
            </w:r>
            <w:r w:rsidRPr="00A573DE">
              <w:t>0.2</w:t>
            </w:r>
            <w:r>
              <w:t xml:space="preserve"> per patient)</w:t>
            </w:r>
            <w:r w:rsidRPr="00A573DE">
              <w:t xml:space="preserve"> </w:t>
            </w:r>
            <w:r w:rsidRPr="008F2E0B">
              <w:t>lack face validity where the most probable outcome of unsuccessful treatment leads to death</w:t>
            </w:r>
            <w:r w:rsidRPr="00A573DE">
              <w:t>. Th</w:t>
            </w:r>
            <w:r>
              <w:t xml:space="preserve">e EEPRU approach cannot be considered to identify the value of novel AMs </w:t>
            </w:r>
            <w:r w:rsidRPr="00A573DE">
              <w:t>and</w:t>
            </w:r>
            <w:r>
              <w:t xml:space="preserve"> hence</w:t>
            </w:r>
            <w:r w:rsidRPr="00A573DE">
              <w:t xml:space="preserve"> would defeat the whole objective of the value assessment of </w:t>
            </w:r>
            <w:r>
              <w:t>CAZ-AVI.</w:t>
            </w:r>
          </w:p>
        </w:tc>
      </w:tr>
    </w:tbl>
    <w:p w14:paraId="4828E2A7" w14:textId="32B3EB90" w:rsidR="0008114B" w:rsidRDefault="0008114B" w:rsidP="0008114B">
      <w:pPr>
        <w:pStyle w:val="Heading3"/>
        <w:spacing w:before="240"/>
        <w:jc w:val="left"/>
        <w:rPr>
          <w:lang w:eastAsia="en-GB"/>
        </w:rPr>
      </w:pPr>
      <w:r>
        <w:rPr>
          <w:lang w:eastAsia="en-GB"/>
        </w:rPr>
        <w:t>Differences in key drivers: EEPRU approach vs Pfizer approach</w:t>
      </w:r>
    </w:p>
    <w:p w14:paraId="3B60CBE1" w14:textId="77777777" w:rsidR="008008C4" w:rsidRPr="008008C4" w:rsidRDefault="008008C4" w:rsidP="008008C4">
      <w:pPr>
        <w:rPr>
          <w:lang w:eastAsia="en-GB"/>
        </w:rPr>
      </w:pPr>
    </w:p>
    <w:p w14:paraId="638BF077" w14:textId="77777777" w:rsidR="0008114B" w:rsidRPr="006D3CF8" w:rsidRDefault="0008114B" w:rsidP="0008114B">
      <w:pPr>
        <w:shd w:val="clear" w:color="auto" w:fill="FFFFFF"/>
        <w:spacing w:before="100" w:beforeAutospacing="1" w:after="240" w:line="360" w:lineRule="auto"/>
        <w:rPr>
          <w:rFonts w:cs="Arial"/>
          <w:color w:val="242424"/>
          <w:szCs w:val="22"/>
          <w:lang w:eastAsia="en-GB"/>
        </w:rPr>
      </w:pPr>
      <w:r>
        <w:rPr>
          <w:rFonts w:cs="Arial"/>
          <w:color w:val="242424"/>
          <w:szCs w:val="22"/>
          <w:lang w:eastAsia="en-GB"/>
        </w:rPr>
        <w:t>As outlined previously, there are numerous differences between the EEPRU approach and the Pfizer approach. However, the following differences impact on key cost-effectiveness drivers.</w:t>
      </w:r>
    </w:p>
    <w:p w14:paraId="0A94F03B" w14:textId="77777777" w:rsidR="0008114B" w:rsidRPr="006D3CF8" w:rsidRDefault="0008114B" w:rsidP="0008114B">
      <w:pPr>
        <w:pStyle w:val="ListParagraph"/>
        <w:numPr>
          <w:ilvl w:val="0"/>
          <w:numId w:val="38"/>
        </w:numPr>
        <w:shd w:val="clear" w:color="auto" w:fill="FFFFFF"/>
        <w:spacing w:after="240" w:afterAutospacing="0" w:line="360" w:lineRule="auto"/>
        <w:ind w:left="714" w:hanging="357"/>
        <w:rPr>
          <w:rFonts w:ascii="Arial" w:hAnsi="Arial" w:cs="Arial"/>
          <w:color w:val="242424"/>
          <w:sz w:val="22"/>
          <w:szCs w:val="22"/>
        </w:rPr>
      </w:pPr>
      <w:r w:rsidRPr="006D3CF8">
        <w:rPr>
          <w:rFonts w:ascii="Arial" w:hAnsi="Arial" w:cs="Arial"/>
          <w:b/>
          <w:bCs/>
          <w:color w:val="242424"/>
          <w:sz w:val="22"/>
          <w:szCs w:val="22"/>
        </w:rPr>
        <w:t>Model approach</w:t>
      </w:r>
      <w:r w:rsidRPr="006D3CF8">
        <w:rPr>
          <w:rFonts w:ascii="Arial" w:hAnsi="Arial" w:cs="Arial"/>
          <w:color w:val="242424"/>
          <w:sz w:val="22"/>
          <w:szCs w:val="22"/>
        </w:rPr>
        <w:t xml:space="preserve">: </w:t>
      </w:r>
      <w:r>
        <w:rPr>
          <w:rFonts w:ascii="Arial" w:hAnsi="Arial" w:cs="Arial"/>
          <w:color w:val="242424"/>
          <w:sz w:val="22"/>
          <w:szCs w:val="22"/>
        </w:rPr>
        <w:t xml:space="preserve">The </w:t>
      </w:r>
      <w:r w:rsidRPr="006D3CF8">
        <w:rPr>
          <w:rFonts w:ascii="Arial" w:hAnsi="Arial" w:cs="Arial"/>
          <w:color w:val="242424"/>
          <w:sz w:val="22"/>
          <w:szCs w:val="22"/>
        </w:rPr>
        <w:t xml:space="preserve">EEPRU </w:t>
      </w:r>
      <w:r>
        <w:rPr>
          <w:rFonts w:ascii="Arial" w:hAnsi="Arial" w:cs="Arial"/>
          <w:color w:val="242424"/>
          <w:sz w:val="22"/>
          <w:szCs w:val="22"/>
        </w:rPr>
        <w:t xml:space="preserve">approach is more aligned with a standard </w:t>
      </w:r>
      <w:r w:rsidRPr="006D3CF8">
        <w:rPr>
          <w:rFonts w:ascii="Arial" w:hAnsi="Arial" w:cs="Arial"/>
          <w:color w:val="242424"/>
          <w:sz w:val="22"/>
          <w:szCs w:val="22"/>
        </w:rPr>
        <w:t>HTA perspective, assessing patient-level outcomes before scaling these to a population-level. However, as antimicrobial transmission and resistance does not occur for each patient in isolation, Pfizer has directly assessed population outcomes. This has direct implications for several key cost-effectiveness drivers.</w:t>
      </w:r>
    </w:p>
    <w:p w14:paraId="0ED0C999" w14:textId="399773C9" w:rsidR="0008114B" w:rsidRPr="006D3CF8" w:rsidRDefault="0008114B" w:rsidP="0008114B">
      <w:pPr>
        <w:pStyle w:val="ListParagraph"/>
        <w:numPr>
          <w:ilvl w:val="0"/>
          <w:numId w:val="38"/>
        </w:numPr>
        <w:shd w:val="clear" w:color="auto" w:fill="FFFFFF"/>
        <w:spacing w:after="240" w:afterAutospacing="0" w:line="360" w:lineRule="auto"/>
        <w:ind w:left="714" w:hanging="357"/>
        <w:rPr>
          <w:rFonts w:ascii="Arial" w:hAnsi="Arial" w:cs="Arial"/>
          <w:color w:val="242424"/>
          <w:sz w:val="22"/>
          <w:szCs w:val="22"/>
        </w:rPr>
      </w:pPr>
      <w:r w:rsidRPr="006D3CF8">
        <w:rPr>
          <w:rFonts w:ascii="Arial" w:hAnsi="Arial" w:cs="Arial"/>
          <w:b/>
          <w:bCs/>
          <w:color w:val="242424"/>
          <w:sz w:val="22"/>
          <w:szCs w:val="22"/>
        </w:rPr>
        <w:t>Population and source of evidence</w:t>
      </w:r>
      <w:r w:rsidRPr="006D3CF8">
        <w:rPr>
          <w:rFonts w:ascii="Arial" w:hAnsi="Arial" w:cs="Arial"/>
          <w:color w:val="242424"/>
          <w:sz w:val="22"/>
          <w:szCs w:val="22"/>
        </w:rPr>
        <w:t xml:space="preserve">: as outlined under </w:t>
      </w:r>
      <w:r w:rsidRPr="006D3CF8">
        <w:rPr>
          <w:rFonts w:ascii="Arial" w:hAnsi="Arial" w:cs="Arial"/>
          <w:color w:val="242424"/>
          <w:sz w:val="22"/>
          <w:szCs w:val="22"/>
        </w:rPr>
        <w:fldChar w:fldCharType="begin"/>
      </w:r>
      <w:r w:rsidRPr="006D3CF8">
        <w:rPr>
          <w:rFonts w:ascii="Arial" w:hAnsi="Arial" w:cs="Arial"/>
          <w:color w:val="242424"/>
          <w:sz w:val="22"/>
          <w:szCs w:val="22"/>
        </w:rPr>
        <w:instrText xml:space="preserve"> REF _Ref90121730 \r \h  \* MERGEFORMAT </w:instrText>
      </w:r>
      <w:r w:rsidRPr="006D3CF8">
        <w:rPr>
          <w:rFonts w:ascii="Arial" w:hAnsi="Arial" w:cs="Arial"/>
          <w:color w:val="242424"/>
          <w:sz w:val="22"/>
          <w:szCs w:val="22"/>
        </w:rPr>
      </w:r>
      <w:r w:rsidRPr="006D3CF8">
        <w:rPr>
          <w:rFonts w:ascii="Arial" w:hAnsi="Arial" w:cs="Arial"/>
          <w:color w:val="242424"/>
          <w:sz w:val="22"/>
          <w:szCs w:val="22"/>
        </w:rPr>
        <w:fldChar w:fldCharType="separate"/>
      </w:r>
      <w:r w:rsidR="00D772D3">
        <w:rPr>
          <w:rFonts w:ascii="Arial" w:hAnsi="Arial" w:cs="Arial"/>
          <w:color w:val="242424"/>
          <w:sz w:val="22"/>
          <w:szCs w:val="22"/>
        </w:rPr>
        <w:t>Issue 4</w:t>
      </w:r>
      <w:r w:rsidRPr="006D3CF8">
        <w:rPr>
          <w:rFonts w:ascii="Arial" w:hAnsi="Arial" w:cs="Arial"/>
          <w:color w:val="242424"/>
          <w:sz w:val="22"/>
          <w:szCs w:val="22"/>
        </w:rPr>
        <w:fldChar w:fldCharType="end"/>
      </w:r>
      <w:r w:rsidRPr="006D3CF8">
        <w:rPr>
          <w:rFonts w:ascii="Arial" w:hAnsi="Arial" w:cs="Arial"/>
          <w:color w:val="242424"/>
          <w:sz w:val="22"/>
          <w:szCs w:val="22"/>
        </w:rPr>
        <w:t xml:space="preserve"> </w:t>
      </w:r>
      <w:r w:rsidRPr="00D772D3">
        <w:rPr>
          <w:rFonts w:ascii="Arial" w:hAnsi="Arial" w:cs="Arial"/>
          <w:color w:val="242424"/>
          <w:sz w:val="22"/>
          <w:szCs w:val="22"/>
        </w:rPr>
        <w:t xml:space="preserve">and </w:t>
      </w:r>
      <w:r w:rsidR="00D772D3">
        <w:rPr>
          <w:rFonts w:ascii="Arial" w:hAnsi="Arial" w:cs="Arial"/>
          <w:color w:val="242424"/>
          <w:sz w:val="22"/>
          <w:szCs w:val="22"/>
        </w:rPr>
        <w:t xml:space="preserve">in the </w:t>
      </w:r>
      <w:r w:rsidR="00D772D3" w:rsidRPr="00D772D3">
        <w:rPr>
          <w:rFonts w:ascii="Arial" w:hAnsi="Arial" w:cs="Arial"/>
          <w:color w:val="242424"/>
          <w:sz w:val="22"/>
          <w:szCs w:val="22"/>
        </w:rPr>
        <w:fldChar w:fldCharType="begin"/>
      </w:r>
      <w:r w:rsidR="00D772D3" w:rsidRPr="00D772D3">
        <w:rPr>
          <w:rFonts w:ascii="Arial" w:hAnsi="Arial" w:cs="Arial"/>
          <w:color w:val="242424"/>
          <w:sz w:val="22"/>
          <w:szCs w:val="22"/>
        </w:rPr>
        <w:instrText xml:space="preserve"> REF _Ref90421923 \h  \* MERGEFORMAT </w:instrText>
      </w:r>
      <w:r w:rsidR="00D772D3" w:rsidRPr="00D772D3">
        <w:rPr>
          <w:rFonts w:ascii="Arial" w:hAnsi="Arial" w:cs="Arial"/>
          <w:color w:val="242424"/>
          <w:sz w:val="22"/>
          <w:szCs w:val="22"/>
        </w:rPr>
      </w:r>
      <w:r w:rsidR="00D772D3" w:rsidRPr="00D772D3">
        <w:rPr>
          <w:rFonts w:ascii="Arial" w:hAnsi="Arial" w:cs="Arial"/>
          <w:color w:val="242424"/>
          <w:sz w:val="22"/>
          <w:szCs w:val="22"/>
        </w:rPr>
        <w:fldChar w:fldCharType="separate"/>
      </w:r>
      <w:r w:rsidR="00D772D3" w:rsidRPr="00D772D3">
        <w:rPr>
          <w:rFonts w:ascii="Arial" w:hAnsi="Arial" w:cs="Arial"/>
          <w:sz w:val="22"/>
          <w:szCs w:val="22"/>
        </w:rPr>
        <w:t>Modelling approach</w:t>
      </w:r>
      <w:r w:rsidR="00D772D3" w:rsidRPr="00D772D3">
        <w:rPr>
          <w:rFonts w:ascii="Arial" w:hAnsi="Arial" w:cs="Arial"/>
          <w:color w:val="242424"/>
          <w:sz w:val="22"/>
          <w:szCs w:val="22"/>
        </w:rPr>
        <w:fldChar w:fldCharType="end"/>
      </w:r>
      <w:r w:rsidR="00D772D3">
        <w:rPr>
          <w:rFonts w:ascii="Arial" w:hAnsi="Arial" w:cs="Arial"/>
          <w:color w:val="242424"/>
          <w:sz w:val="22"/>
          <w:szCs w:val="22"/>
        </w:rPr>
        <w:t xml:space="preserve"> section</w:t>
      </w:r>
      <w:r w:rsidRPr="00D772D3">
        <w:rPr>
          <w:rFonts w:ascii="Arial" w:hAnsi="Arial" w:cs="Arial"/>
          <w:color w:val="242424"/>
          <w:sz w:val="22"/>
          <w:szCs w:val="22"/>
        </w:rPr>
        <w:t xml:space="preserve">, </w:t>
      </w:r>
      <w:r w:rsidR="00D772D3" w:rsidRPr="006D3CF8">
        <w:rPr>
          <w:rFonts w:ascii="Arial" w:hAnsi="Arial" w:cs="Arial"/>
          <w:color w:val="242424"/>
          <w:sz w:val="22"/>
          <w:szCs w:val="22"/>
        </w:rPr>
        <w:t>EEPRU is modelling H</w:t>
      </w:r>
      <w:r w:rsidR="00D772D3">
        <w:rPr>
          <w:rFonts w:ascii="Arial" w:hAnsi="Arial" w:cs="Arial"/>
          <w:color w:val="242424"/>
          <w:sz w:val="22"/>
          <w:szCs w:val="22"/>
        </w:rPr>
        <w:t>VC</w:t>
      </w:r>
      <w:r w:rsidR="00D772D3" w:rsidRPr="006D3CF8">
        <w:rPr>
          <w:rFonts w:ascii="Arial" w:hAnsi="Arial" w:cs="Arial"/>
          <w:color w:val="242424"/>
          <w:sz w:val="22"/>
          <w:szCs w:val="22"/>
        </w:rPr>
        <w:t xml:space="preserve">Ss, which is a small subgroup of the patient numbers currently </w:t>
      </w:r>
      <w:r w:rsidR="00D772D3" w:rsidRPr="006D3CF8">
        <w:rPr>
          <w:rFonts w:ascii="Arial" w:hAnsi="Arial" w:cs="Arial"/>
          <w:color w:val="242424"/>
          <w:sz w:val="22"/>
          <w:szCs w:val="22"/>
        </w:rPr>
        <w:lastRenderedPageBreak/>
        <w:t xml:space="preserve">receiving </w:t>
      </w:r>
      <w:r w:rsidR="00D772D3">
        <w:rPr>
          <w:rFonts w:ascii="Arial" w:hAnsi="Arial" w:cs="Arial"/>
          <w:color w:val="242424"/>
          <w:sz w:val="22"/>
          <w:szCs w:val="22"/>
        </w:rPr>
        <w:t>CAZ-AVI</w:t>
      </w:r>
      <w:r w:rsidR="00D772D3" w:rsidRPr="006D3CF8">
        <w:rPr>
          <w:rFonts w:ascii="Arial" w:hAnsi="Arial" w:cs="Arial"/>
          <w:color w:val="242424"/>
          <w:sz w:val="22"/>
          <w:szCs w:val="22"/>
        </w:rPr>
        <w:t xml:space="preserve">. As a result, EEPRU is reliant on </w:t>
      </w:r>
      <w:r w:rsidR="00D772D3" w:rsidRPr="006D3CF8">
        <w:rPr>
          <w:rFonts w:ascii="Arial" w:hAnsi="Arial" w:cs="Arial"/>
          <w:i/>
          <w:iCs/>
          <w:color w:val="242424"/>
          <w:sz w:val="22"/>
          <w:szCs w:val="22"/>
        </w:rPr>
        <w:t>in vitro</w:t>
      </w:r>
      <w:r w:rsidR="00D772D3" w:rsidRPr="006D3CF8">
        <w:rPr>
          <w:rFonts w:ascii="Arial" w:hAnsi="Arial" w:cs="Arial"/>
          <w:color w:val="242424"/>
          <w:sz w:val="22"/>
          <w:szCs w:val="22"/>
        </w:rPr>
        <w:t xml:space="preserve"> susceptibility evidence and an uncertain surrogate relationship with clinical outcomes, resulting in a lack of clarity as to actual efficacy for </w:t>
      </w:r>
      <w:r w:rsidR="00D772D3">
        <w:rPr>
          <w:rFonts w:ascii="Arial" w:hAnsi="Arial" w:cs="Arial"/>
          <w:color w:val="242424"/>
          <w:sz w:val="22"/>
          <w:szCs w:val="22"/>
        </w:rPr>
        <w:t>CAZ-AVI</w:t>
      </w:r>
      <w:r w:rsidR="00D772D3" w:rsidRPr="006D3CF8">
        <w:rPr>
          <w:rFonts w:ascii="Arial" w:hAnsi="Arial" w:cs="Arial"/>
          <w:color w:val="242424"/>
          <w:sz w:val="22"/>
          <w:szCs w:val="22"/>
        </w:rPr>
        <w:t xml:space="preserve"> and comparators.</w:t>
      </w:r>
      <w:r w:rsidR="00DC1EFF">
        <w:rPr>
          <w:rFonts w:ascii="Arial" w:hAnsi="Arial" w:cs="Arial"/>
          <w:color w:val="242424"/>
          <w:sz w:val="22"/>
          <w:szCs w:val="22"/>
        </w:rPr>
        <w:t xml:space="preserve"> By contrast, </w:t>
      </w:r>
      <w:r w:rsidRPr="00D772D3">
        <w:rPr>
          <w:rFonts w:ascii="Arial" w:hAnsi="Arial" w:cs="Arial"/>
          <w:color w:val="242424"/>
          <w:sz w:val="22"/>
          <w:szCs w:val="22"/>
        </w:rPr>
        <w:t>the</w:t>
      </w:r>
      <w:r w:rsidRPr="006D3CF8">
        <w:rPr>
          <w:rFonts w:ascii="Arial" w:hAnsi="Arial" w:cs="Arial"/>
          <w:color w:val="242424"/>
          <w:sz w:val="22"/>
          <w:szCs w:val="22"/>
        </w:rPr>
        <w:t xml:space="preserve"> Pfizer approach models the population currently receiving </w:t>
      </w:r>
      <w:r>
        <w:rPr>
          <w:rFonts w:ascii="Arial" w:hAnsi="Arial" w:cs="Arial"/>
          <w:color w:val="242424"/>
          <w:sz w:val="22"/>
          <w:szCs w:val="22"/>
        </w:rPr>
        <w:t>CAZ-AVI</w:t>
      </w:r>
      <w:r w:rsidRPr="006D3CF8">
        <w:rPr>
          <w:rFonts w:ascii="Arial" w:hAnsi="Arial" w:cs="Arial"/>
          <w:color w:val="242424"/>
          <w:sz w:val="22"/>
          <w:szCs w:val="22"/>
        </w:rPr>
        <w:t xml:space="preserve"> in the UK, which is aligned with the marketing authorisation and the clinical trial evidence. As effectiveness data is a key driver for outcomes in both modelling approaches, this difference in approach has a large impact on outcomes.</w:t>
      </w:r>
    </w:p>
    <w:p w14:paraId="7AD2B4F7" w14:textId="77777777" w:rsidR="0008114B" w:rsidRPr="006D3CF8" w:rsidRDefault="0008114B" w:rsidP="0008114B">
      <w:pPr>
        <w:pStyle w:val="ListParagraph"/>
        <w:numPr>
          <w:ilvl w:val="0"/>
          <w:numId w:val="38"/>
        </w:numPr>
        <w:shd w:val="clear" w:color="auto" w:fill="FFFFFF"/>
        <w:spacing w:after="240" w:afterAutospacing="0" w:line="360" w:lineRule="auto"/>
        <w:ind w:left="714" w:hanging="357"/>
        <w:rPr>
          <w:rFonts w:ascii="Arial" w:hAnsi="Arial" w:cs="Arial"/>
          <w:color w:val="242424"/>
          <w:sz w:val="22"/>
          <w:szCs w:val="22"/>
        </w:rPr>
      </w:pPr>
      <w:r w:rsidRPr="006D3CF8">
        <w:rPr>
          <w:rFonts w:ascii="Arial" w:hAnsi="Arial" w:cs="Arial"/>
          <w:b/>
          <w:bCs/>
          <w:color w:val="242424"/>
          <w:sz w:val="22"/>
          <w:szCs w:val="22"/>
        </w:rPr>
        <w:t>Onwards transmission</w:t>
      </w:r>
      <w:r w:rsidRPr="00A8618D">
        <w:rPr>
          <w:rFonts w:ascii="Arial" w:hAnsi="Arial" w:cs="Arial"/>
          <w:color w:val="242424"/>
          <w:sz w:val="22"/>
          <w:szCs w:val="22"/>
        </w:rPr>
        <w:t xml:space="preserve">: as previously discussed in Section </w:t>
      </w:r>
      <w:r w:rsidRPr="00A8618D">
        <w:rPr>
          <w:rFonts w:ascii="Arial" w:hAnsi="Arial" w:cs="Arial"/>
          <w:color w:val="242424"/>
          <w:sz w:val="22"/>
          <w:szCs w:val="22"/>
        </w:rPr>
        <w:fldChar w:fldCharType="begin"/>
      </w:r>
      <w:r w:rsidRPr="00A8618D">
        <w:rPr>
          <w:rFonts w:ascii="Arial" w:hAnsi="Arial" w:cs="Arial"/>
          <w:color w:val="242424"/>
          <w:sz w:val="22"/>
          <w:szCs w:val="22"/>
        </w:rPr>
        <w:instrText xml:space="preserve"> REF _Ref90124217 \r \h  \* MERGEFORMAT </w:instrText>
      </w:r>
      <w:r w:rsidRPr="00A8618D">
        <w:rPr>
          <w:rFonts w:ascii="Arial" w:hAnsi="Arial" w:cs="Arial"/>
          <w:color w:val="242424"/>
          <w:sz w:val="22"/>
          <w:szCs w:val="22"/>
        </w:rPr>
      </w:r>
      <w:r w:rsidRPr="00A8618D">
        <w:rPr>
          <w:rFonts w:ascii="Arial" w:hAnsi="Arial" w:cs="Arial"/>
          <w:color w:val="242424"/>
          <w:sz w:val="22"/>
          <w:szCs w:val="22"/>
        </w:rPr>
        <w:fldChar w:fldCharType="separate"/>
      </w:r>
      <w:r>
        <w:rPr>
          <w:rFonts w:ascii="Arial" w:hAnsi="Arial" w:cs="Arial"/>
          <w:color w:val="242424"/>
          <w:sz w:val="22"/>
          <w:szCs w:val="22"/>
        </w:rPr>
        <w:t>2.2</w:t>
      </w:r>
      <w:r w:rsidRPr="00A8618D">
        <w:rPr>
          <w:rFonts w:ascii="Arial" w:hAnsi="Arial" w:cs="Arial"/>
          <w:color w:val="242424"/>
          <w:sz w:val="22"/>
          <w:szCs w:val="22"/>
        </w:rPr>
        <w:fldChar w:fldCharType="end"/>
      </w:r>
      <w:r w:rsidRPr="00A8618D">
        <w:rPr>
          <w:rFonts w:ascii="Arial" w:hAnsi="Arial" w:cs="Arial"/>
          <w:color w:val="242424"/>
          <w:sz w:val="22"/>
          <w:szCs w:val="22"/>
        </w:rPr>
        <w:t xml:space="preserve">, the Pfizer model reflects the transmission value for new </w:t>
      </w:r>
      <w:r>
        <w:rPr>
          <w:rFonts w:ascii="Arial" w:hAnsi="Arial" w:cs="Arial"/>
          <w:color w:val="242424"/>
          <w:sz w:val="22"/>
          <w:szCs w:val="22"/>
        </w:rPr>
        <w:t>AMs</w:t>
      </w:r>
      <w:r w:rsidRPr="00A8618D">
        <w:rPr>
          <w:rFonts w:ascii="Arial" w:hAnsi="Arial" w:cs="Arial"/>
          <w:color w:val="242424"/>
          <w:sz w:val="22"/>
          <w:szCs w:val="22"/>
        </w:rPr>
        <w:t>, in line with the EEPRU framework; the Pfizer approach to transmission has been peer-reviewed, published and subject to considerable external validation. By contrast, transmission was not considered within the EEPRU approach, as this was not thought feasible within the time and resources available for this project and would be uncertain. However, this transmission value has a considerable impact on modelled outcomes, so that differences in approach lead to a large variation in outcomes.</w:t>
      </w:r>
    </w:p>
    <w:p w14:paraId="00756564" w14:textId="77777777" w:rsidR="0008114B" w:rsidRPr="00A8618D" w:rsidRDefault="0008114B" w:rsidP="0008114B">
      <w:pPr>
        <w:pStyle w:val="ListParagraph"/>
        <w:numPr>
          <w:ilvl w:val="0"/>
          <w:numId w:val="38"/>
        </w:numPr>
        <w:shd w:val="clear" w:color="auto" w:fill="FFFFFF"/>
        <w:spacing w:after="240" w:afterAutospacing="0" w:line="360" w:lineRule="auto"/>
        <w:rPr>
          <w:rFonts w:ascii="Arial" w:hAnsi="Arial" w:cs="Arial"/>
          <w:color w:val="242424"/>
          <w:sz w:val="22"/>
          <w:szCs w:val="22"/>
        </w:rPr>
      </w:pPr>
      <w:r w:rsidRPr="006D3CF8">
        <w:rPr>
          <w:rFonts w:ascii="Arial" w:hAnsi="Arial" w:cs="Arial"/>
          <w:b/>
          <w:bCs/>
          <w:color w:val="242424"/>
          <w:sz w:val="22"/>
          <w:szCs w:val="22"/>
        </w:rPr>
        <w:t>Antimicrobial resistance</w:t>
      </w:r>
      <w:r w:rsidRPr="00A8618D">
        <w:rPr>
          <w:rFonts w:ascii="Arial" w:hAnsi="Arial" w:cs="Arial"/>
          <w:color w:val="242424"/>
          <w:sz w:val="22"/>
          <w:szCs w:val="22"/>
        </w:rPr>
        <w:t>:</w:t>
      </w:r>
      <w:r w:rsidRPr="006D3CF8">
        <w:rPr>
          <w:rFonts w:ascii="Arial" w:hAnsi="Arial" w:cs="Arial"/>
          <w:color w:val="242424"/>
          <w:sz w:val="22"/>
          <w:szCs w:val="22"/>
        </w:rPr>
        <w:t xml:space="preserve"> as outlined in </w:t>
      </w:r>
      <w:r w:rsidRPr="00A8618D">
        <w:rPr>
          <w:rFonts w:ascii="Arial" w:hAnsi="Arial" w:cs="Arial"/>
          <w:color w:val="242424"/>
          <w:sz w:val="22"/>
          <w:szCs w:val="22"/>
        </w:rPr>
        <w:t xml:space="preserve">the </w:t>
      </w:r>
      <w:r w:rsidRPr="00A8618D">
        <w:rPr>
          <w:rFonts w:ascii="Arial" w:hAnsi="Arial" w:cs="Arial"/>
          <w:color w:val="242424"/>
          <w:sz w:val="22"/>
          <w:szCs w:val="22"/>
        </w:rPr>
        <w:fldChar w:fldCharType="begin"/>
      </w:r>
      <w:r w:rsidRPr="00A8618D">
        <w:rPr>
          <w:rFonts w:ascii="Arial" w:hAnsi="Arial" w:cs="Arial"/>
          <w:color w:val="242424"/>
          <w:sz w:val="22"/>
          <w:szCs w:val="22"/>
        </w:rPr>
        <w:instrText xml:space="preserve"> REF _Ref90270315 \h  \* MERGEFORMAT </w:instrText>
      </w:r>
      <w:r w:rsidRPr="00A8618D">
        <w:rPr>
          <w:rFonts w:ascii="Arial" w:hAnsi="Arial" w:cs="Arial"/>
          <w:color w:val="242424"/>
          <w:sz w:val="22"/>
          <w:szCs w:val="22"/>
        </w:rPr>
      </w:r>
      <w:r w:rsidRPr="00A8618D">
        <w:rPr>
          <w:rFonts w:ascii="Arial" w:hAnsi="Arial" w:cs="Arial"/>
          <w:color w:val="242424"/>
          <w:sz w:val="22"/>
          <w:szCs w:val="22"/>
        </w:rPr>
        <w:fldChar w:fldCharType="separate"/>
      </w:r>
      <w:r w:rsidRPr="00663A8E">
        <w:rPr>
          <w:rFonts w:ascii="Arial" w:hAnsi="Arial" w:cs="Arial"/>
          <w:sz w:val="22"/>
          <w:szCs w:val="22"/>
        </w:rPr>
        <w:t>Resistance development</w:t>
      </w:r>
      <w:r w:rsidRPr="00A8618D">
        <w:rPr>
          <w:rFonts w:ascii="Arial" w:hAnsi="Arial" w:cs="Arial"/>
          <w:color w:val="242424"/>
          <w:sz w:val="22"/>
          <w:szCs w:val="22"/>
        </w:rPr>
        <w:fldChar w:fldCharType="end"/>
      </w:r>
      <w:r w:rsidRPr="00A8618D">
        <w:rPr>
          <w:rFonts w:ascii="Arial" w:hAnsi="Arial" w:cs="Arial"/>
          <w:color w:val="242424"/>
          <w:sz w:val="22"/>
          <w:szCs w:val="22"/>
        </w:rPr>
        <w:t xml:space="preserve"> section, EEPRU modelled only resistance to </w:t>
      </w:r>
      <w:r>
        <w:rPr>
          <w:rFonts w:ascii="Arial" w:hAnsi="Arial" w:cs="Arial"/>
          <w:color w:val="242424"/>
          <w:sz w:val="22"/>
          <w:szCs w:val="22"/>
        </w:rPr>
        <w:t>CAZ-AVI</w:t>
      </w:r>
      <w:r w:rsidRPr="00A8618D">
        <w:rPr>
          <w:rFonts w:ascii="Arial" w:hAnsi="Arial" w:cs="Arial"/>
          <w:color w:val="242424"/>
          <w:sz w:val="22"/>
          <w:szCs w:val="22"/>
        </w:rPr>
        <w:t xml:space="preserve"> while the Pfizer approach included resistance to both </w:t>
      </w:r>
      <w:r>
        <w:rPr>
          <w:rFonts w:ascii="Arial" w:hAnsi="Arial" w:cs="Arial"/>
          <w:color w:val="242424"/>
          <w:sz w:val="22"/>
          <w:szCs w:val="22"/>
        </w:rPr>
        <w:t>CAZ-AVI</w:t>
      </w:r>
      <w:r w:rsidRPr="00A8618D">
        <w:rPr>
          <w:rFonts w:ascii="Arial" w:hAnsi="Arial" w:cs="Arial"/>
          <w:color w:val="242424"/>
          <w:sz w:val="22"/>
          <w:szCs w:val="22"/>
        </w:rPr>
        <w:t xml:space="preserve"> and existing AMs. However, one of the aspects of novel AMs is the reduction in resistance to existing AMs (as outlined in </w:t>
      </w:r>
      <w:r w:rsidRPr="00A8618D">
        <w:rPr>
          <w:rFonts w:ascii="Arial" w:hAnsi="Arial" w:cs="Arial"/>
          <w:color w:val="242424"/>
          <w:sz w:val="22"/>
          <w:szCs w:val="22"/>
        </w:rPr>
        <w:fldChar w:fldCharType="begin"/>
      </w:r>
      <w:r w:rsidRPr="00A8618D">
        <w:rPr>
          <w:rFonts w:ascii="Arial" w:hAnsi="Arial" w:cs="Arial"/>
          <w:color w:val="242424"/>
          <w:sz w:val="22"/>
          <w:szCs w:val="22"/>
        </w:rPr>
        <w:instrText xml:space="preserve"> REF _Ref90269910 \h  \* MERGEFORMAT </w:instrText>
      </w:r>
      <w:r w:rsidRPr="00A8618D">
        <w:rPr>
          <w:rFonts w:ascii="Arial" w:hAnsi="Arial" w:cs="Arial"/>
          <w:color w:val="242424"/>
          <w:sz w:val="22"/>
          <w:szCs w:val="22"/>
        </w:rPr>
      </w:r>
      <w:r w:rsidRPr="00A8618D">
        <w:rPr>
          <w:rFonts w:ascii="Arial" w:hAnsi="Arial" w:cs="Arial"/>
          <w:color w:val="242424"/>
          <w:sz w:val="22"/>
          <w:szCs w:val="22"/>
        </w:rPr>
        <w:fldChar w:fldCharType="separate"/>
      </w:r>
      <w:r w:rsidRPr="00663A8E">
        <w:rPr>
          <w:rFonts w:ascii="Arial" w:hAnsi="Arial" w:cs="Arial"/>
          <w:sz w:val="22"/>
          <w:szCs w:val="22"/>
        </w:rPr>
        <w:t xml:space="preserve">Figure </w:t>
      </w:r>
      <w:r w:rsidRPr="00663A8E">
        <w:rPr>
          <w:rFonts w:ascii="Arial" w:hAnsi="Arial" w:cs="Arial"/>
          <w:noProof/>
          <w:sz w:val="22"/>
          <w:szCs w:val="22"/>
        </w:rPr>
        <w:t>1</w:t>
      </w:r>
      <w:r w:rsidRPr="00A8618D">
        <w:rPr>
          <w:rFonts w:ascii="Arial" w:hAnsi="Arial" w:cs="Arial"/>
          <w:color w:val="242424"/>
          <w:sz w:val="22"/>
          <w:szCs w:val="22"/>
        </w:rPr>
        <w:fldChar w:fldCharType="end"/>
      </w:r>
      <w:r w:rsidRPr="00A8618D">
        <w:rPr>
          <w:rFonts w:ascii="Arial" w:hAnsi="Arial" w:cs="Arial"/>
          <w:color w:val="242424"/>
          <w:sz w:val="22"/>
          <w:szCs w:val="22"/>
        </w:rPr>
        <w:t xml:space="preserve">). A reduction in population resistance levels corresponds with a reduction in patient resistance to infections and hence fewer instances of unsuccessful treatments. As a result, reduced resistance rates </w:t>
      </w:r>
      <w:r>
        <w:rPr>
          <w:rFonts w:ascii="Arial" w:hAnsi="Arial" w:cs="Arial"/>
          <w:color w:val="242424"/>
          <w:sz w:val="22"/>
          <w:szCs w:val="22"/>
        </w:rPr>
        <w:t>have</w:t>
      </w:r>
      <w:r w:rsidRPr="00A8618D">
        <w:rPr>
          <w:rFonts w:ascii="Arial" w:hAnsi="Arial" w:cs="Arial"/>
          <w:color w:val="242424"/>
          <w:sz w:val="22"/>
          <w:szCs w:val="22"/>
        </w:rPr>
        <w:t xml:space="preserve"> a substantial impact on QALY gains predicted at a patient level in comparison to current antimicrobial use. This difference in approach between Pfizer and EEPRU causes a significant difference in cost-effectiveness outcomes.</w:t>
      </w:r>
      <w:r>
        <w:rPr>
          <w:rFonts w:ascii="Arial" w:hAnsi="Arial" w:cs="Arial"/>
          <w:color w:val="242424"/>
          <w:sz w:val="22"/>
          <w:szCs w:val="22"/>
        </w:rPr>
        <w:t xml:space="preserve"> Considering this comparison, the Pfizer approach attempts to identify the additional value associated with minimising long-term resistance to the included AMs.</w:t>
      </w:r>
    </w:p>
    <w:p w14:paraId="32BF51F8" w14:textId="77777777" w:rsidR="0008114B" w:rsidRPr="00A8618D" w:rsidRDefault="0008114B" w:rsidP="0008114B">
      <w:pPr>
        <w:pStyle w:val="ListParagraph"/>
        <w:numPr>
          <w:ilvl w:val="0"/>
          <w:numId w:val="38"/>
        </w:numPr>
        <w:shd w:val="clear" w:color="auto" w:fill="FFFFFF"/>
        <w:spacing w:after="240" w:line="360" w:lineRule="auto"/>
        <w:rPr>
          <w:rFonts w:ascii="Arial" w:hAnsi="Arial" w:cs="Arial"/>
          <w:color w:val="242424"/>
          <w:sz w:val="22"/>
          <w:szCs w:val="22"/>
        </w:rPr>
      </w:pPr>
      <w:r w:rsidRPr="006D3CF8">
        <w:rPr>
          <w:rFonts w:ascii="Arial" w:hAnsi="Arial" w:cs="Arial"/>
          <w:b/>
          <w:bCs/>
          <w:color w:val="242424"/>
          <w:sz w:val="22"/>
          <w:szCs w:val="22"/>
        </w:rPr>
        <w:t xml:space="preserve">Placement of </w:t>
      </w:r>
      <w:r>
        <w:rPr>
          <w:rFonts w:ascii="Arial" w:hAnsi="Arial" w:cs="Arial"/>
          <w:b/>
          <w:bCs/>
          <w:color w:val="242424"/>
          <w:sz w:val="22"/>
          <w:szCs w:val="22"/>
        </w:rPr>
        <w:t>CAZ-AVI</w:t>
      </w:r>
      <w:r w:rsidRPr="006D3CF8">
        <w:rPr>
          <w:rFonts w:ascii="Arial" w:hAnsi="Arial" w:cs="Arial"/>
          <w:b/>
          <w:bCs/>
          <w:color w:val="242424"/>
          <w:sz w:val="22"/>
          <w:szCs w:val="22"/>
        </w:rPr>
        <w:t xml:space="preserve"> in treatment pathway</w:t>
      </w:r>
      <w:r w:rsidRPr="00A8618D">
        <w:rPr>
          <w:rFonts w:ascii="Arial" w:hAnsi="Arial" w:cs="Arial"/>
          <w:color w:val="242424"/>
          <w:sz w:val="22"/>
          <w:szCs w:val="22"/>
        </w:rPr>
        <w:t xml:space="preserve">: the EEPRU approach takes a </w:t>
      </w:r>
      <w:r>
        <w:rPr>
          <w:rFonts w:ascii="Arial" w:hAnsi="Arial" w:cs="Arial"/>
          <w:color w:val="242424"/>
          <w:sz w:val="22"/>
          <w:szCs w:val="22"/>
        </w:rPr>
        <w:t>traditional</w:t>
      </w:r>
      <w:r w:rsidRPr="00A8618D">
        <w:rPr>
          <w:rFonts w:ascii="Arial" w:hAnsi="Arial" w:cs="Arial"/>
          <w:color w:val="242424"/>
          <w:sz w:val="22"/>
          <w:szCs w:val="22"/>
        </w:rPr>
        <w:t xml:space="preserve"> HTA approach and considers the outcomes for </w:t>
      </w:r>
      <w:r>
        <w:rPr>
          <w:rFonts w:ascii="Arial" w:hAnsi="Arial" w:cs="Arial"/>
          <w:color w:val="242424"/>
          <w:sz w:val="22"/>
          <w:szCs w:val="22"/>
        </w:rPr>
        <w:t>CAZ-AVI</w:t>
      </w:r>
      <w:r w:rsidRPr="00A8618D">
        <w:rPr>
          <w:rFonts w:ascii="Arial" w:hAnsi="Arial" w:cs="Arial"/>
          <w:color w:val="242424"/>
          <w:sz w:val="22"/>
          <w:szCs w:val="22"/>
        </w:rPr>
        <w:t xml:space="preserve"> treatment versus those for comparators. However, this misses a significant aspect of value for novel AMs. As resistance to current AMs is predicted to increase over time, the introduction of a novel AM has the potential to reduce this trend, with the reduction dependent on the stewardship strategy used.</w:t>
      </w:r>
      <w:r>
        <w:rPr>
          <w:rFonts w:ascii="Arial" w:hAnsi="Arial" w:cs="Arial"/>
          <w:color w:val="242424"/>
          <w:sz w:val="22"/>
          <w:szCs w:val="22"/>
        </w:rPr>
        <w:fldChar w:fldCharType="begin"/>
      </w:r>
      <w:r>
        <w:rPr>
          <w:rFonts w:ascii="Arial" w:hAnsi="Arial" w:cs="Arial"/>
          <w:color w:val="242424"/>
          <w:sz w:val="22"/>
          <w:szCs w:val="22"/>
        </w:rPr>
        <w:instrText xml:space="preserve"> ADDIN EN.CITE &lt;EndNote&gt;&lt;Cite&gt;&lt;Author&gt;Gordon&lt;/Author&gt;&lt;Year&gt;2020&lt;/Year&gt;&lt;RecNum&gt;11&lt;/RecNum&gt;&lt;DisplayText&gt;&lt;style face="superscript"&gt;5&lt;/style&gt;&lt;/DisplayText&gt;&lt;record&gt;&lt;rec-number&gt;11&lt;/rec-number&gt;&lt;foreign-keys&gt;&lt;key app="EN" db-id="pd5s0xr0250t2qevxfgxpvwp5eaztd2pavxx" timestamp="1638912392"&gt;11&lt;/key&gt;&lt;/foreign-keys&gt;&lt;ref-type name="Journal Article"&gt;17&lt;/ref-type&gt;&lt;contributors&gt;&lt;authors&gt;&lt;author&gt;Gordon, J.&lt;/author&gt;&lt;author&gt;Darlington, O.&lt;/author&gt;&lt;author&gt;McEwan, P.&lt;/author&gt;&lt;author&gt;Lumley, M.&lt;/author&gt;&lt;author&gt;Taie, A.&lt;/author&gt;&lt;author&gt;Hicks, M.&lt;/author&gt;&lt;author&gt;Charbonneau, C.&lt;/author&gt;&lt;author&gt;Blake, A.&lt;/author&gt;&lt;author&gt;Hawkins, N.&lt;/author&gt;&lt;author&gt;Goldenberg, S.&lt;/author&gt;&lt;author&gt;Otter, J.&lt;/author&gt;&lt;author&gt;Wilcox, M.&lt;/author&gt;&lt;/authors&gt;&lt;/contributors&gt;&lt;auth-address&gt;Health Economics and Outcomes Research Limited, Birmingham, UK. jason.gordon@heor.co.uk.&amp;#xD;Health Economics and Outcomes Research Limited, Cardiff, UK.&amp;#xD;Pfizer, Tadworth, UK.&amp;#xD;University of Glasgow, Glasgow, UK.&amp;#xD;Guy&amp;apos;s and St Thomas&amp;apos; NHS Foundation Trust, London, UK.&amp;#xD;Imperial College London, London, UK.&amp;#xD;University of Leeds, Leeds, UK.&lt;/auth-address&gt;&lt;titles&gt;&lt;title&gt;Estimating the Value of New Antimicrobials in the Context of Antimicrobial Resistance: Development and Application of a Dynamic Disease Transmission Model&lt;/title&gt;&lt;secondary-title&gt;Pharmacoeconomics&lt;/secondary-title&gt;&lt;/titles&gt;&lt;periodical&gt;&lt;full-title&gt;Pharmacoeconomics&lt;/full-title&gt;&lt;/periodical&gt;&lt;pages&gt;857-869&lt;/pages&gt;&lt;volume&gt;38&lt;/volume&gt;&lt;number&gt;8&lt;/number&gt;&lt;edition&gt;2020/04/07&lt;/edition&gt;&lt;dates&gt;&lt;year&gt;2020&lt;/year&gt;&lt;pub-dates&gt;&lt;date&gt;Aug&lt;/date&gt;&lt;/pub-dates&gt;&lt;/dates&gt;&lt;isbn&gt;1170-7690&lt;/isbn&gt;&lt;accession-num&gt;32249396&lt;/accession-num&gt;&lt;urls&gt;&lt;/urls&gt;&lt;electronic-resource-num&gt;10.1007/s40273-020-00906-6&lt;/electronic-resource-num&gt;&lt;remote-database-provider&gt;NLM&lt;/remote-database-provider&gt;&lt;language&gt;eng&lt;/language&gt;&lt;/record&gt;&lt;/Cite&gt;&lt;/EndNote&gt;</w:instrText>
      </w:r>
      <w:r>
        <w:rPr>
          <w:rFonts w:ascii="Arial" w:hAnsi="Arial" w:cs="Arial"/>
          <w:color w:val="242424"/>
          <w:sz w:val="22"/>
          <w:szCs w:val="22"/>
        </w:rPr>
        <w:fldChar w:fldCharType="separate"/>
      </w:r>
      <w:r w:rsidRPr="00B94641">
        <w:rPr>
          <w:rFonts w:ascii="Arial" w:hAnsi="Arial" w:cs="Arial"/>
          <w:noProof/>
          <w:color w:val="242424"/>
          <w:sz w:val="22"/>
          <w:szCs w:val="22"/>
          <w:vertAlign w:val="superscript"/>
        </w:rPr>
        <w:t>5</w:t>
      </w:r>
      <w:r>
        <w:rPr>
          <w:rFonts w:ascii="Arial" w:hAnsi="Arial" w:cs="Arial"/>
          <w:color w:val="242424"/>
          <w:sz w:val="22"/>
          <w:szCs w:val="22"/>
        </w:rPr>
        <w:fldChar w:fldCharType="end"/>
      </w:r>
      <w:r w:rsidRPr="00A8618D">
        <w:rPr>
          <w:rFonts w:ascii="Arial" w:hAnsi="Arial" w:cs="Arial"/>
          <w:color w:val="242424"/>
          <w:sz w:val="22"/>
          <w:szCs w:val="22"/>
        </w:rPr>
        <w:t xml:space="preserve"> A diversity strategy (i.e. concurrent use of existing AMs with the novel AM at a population level) </w:t>
      </w:r>
      <w:r>
        <w:rPr>
          <w:rFonts w:ascii="Arial" w:hAnsi="Arial" w:cs="Arial"/>
          <w:color w:val="242424"/>
          <w:sz w:val="22"/>
          <w:szCs w:val="22"/>
        </w:rPr>
        <w:t>was included to ensure that the proposed treatment pathway matched to those discussions at earlier stages of the project (one which there is early empiric usage and suspected resistance). This strategy was seen to be representative of suspected usage of CAZ-AVI and, as per the Gordon et. al publication,</w:t>
      </w:r>
      <w:r>
        <w:rPr>
          <w:rFonts w:ascii="Arial" w:hAnsi="Arial" w:cs="Arial"/>
          <w:color w:val="242424"/>
          <w:sz w:val="22"/>
          <w:szCs w:val="22"/>
        </w:rPr>
        <w:fldChar w:fldCharType="begin"/>
      </w:r>
      <w:r>
        <w:rPr>
          <w:rFonts w:ascii="Arial" w:hAnsi="Arial" w:cs="Arial"/>
          <w:color w:val="242424"/>
          <w:sz w:val="22"/>
          <w:szCs w:val="22"/>
        </w:rPr>
        <w:instrText xml:space="preserve"> ADDIN EN.CITE &lt;EndNote&gt;&lt;Cite&gt;&lt;Author&gt;Gordon&lt;/Author&gt;&lt;Year&gt;2020&lt;/Year&gt;&lt;RecNum&gt;11&lt;/RecNum&gt;&lt;DisplayText&gt;&lt;style face="superscript"&gt;5&lt;/style&gt;&lt;/DisplayText&gt;&lt;record&gt;&lt;rec-number&gt;11&lt;/rec-number&gt;&lt;foreign-keys&gt;&lt;key app="EN" db-id="pd5s0xr0250t2qevxfgxpvwp5eaztd2pavxx" timestamp="1638912392"&gt;11&lt;/key&gt;&lt;/foreign-keys&gt;&lt;ref-type name="Journal Article"&gt;17&lt;/ref-type&gt;&lt;contributors&gt;&lt;authors&gt;&lt;author&gt;Gordon, J.&lt;/author&gt;&lt;author&gt;Darlington, O.&lt;/author&gt;&lt;author&gt;McEwan, P.&lt;/author&gt;&lt;author&gt;Lumley, M.&lt;/author&gt;&lt;author&gt;Taie, A.&lt;/author&gt;&lt;author&gt;Hicks, M.&lt;/author&gt;&lt;author&gt;Charbonneau, C.&lt;/author&gt;&lt;author&gt;Blake, A.&lt;/author&gt;&lt;author&gt;Hawkins, N.&lt;/author&gt;&lt;author&gt;Goldenberg, S.&lt;/author&gt;&lt;author&gt;Otter, J.&lt;/author&gt;&lt;author&gt;Wilcox, M.&lt;/author&gt;&lt;/authors&gt;&lt;/contributors&gt;&lt;auth-address&gt;Health Economics and Outcomes Research Limited, Birmingham, UK. jason.gordon@heor.co.uk.&amp;#xD;Health Economics and Outcomes Research Limited, Cardiff, UK.&amp;#xD;Pfizer, Tadworth, UK.&amp;#xD;University of Glasgow, Glasgow, UK.&amp;#xD;Guy&amp;apos;s and St Thomas&amp;apos; NHS Foundation Trust, London, UK.&amp;#xD;Imperial College London, London, UK.&amp;#xD;University of Leeds, Leeds, UK.&lt;/auth-address&gt;&lt;titles&gt;&lt;title&gt;Estimating the Value of New Antimicrobials in the Context of Antimicrobial Resistance: Development and Application of a Dynamic Disease Transmission Model&lt;/title&gt;&lt;secondary-title&gt;Pharmacoeconomics&lt;/secondary-title&gt;&lt;/titles&gt;&lt;periodical&gt;&lt;full-title&gt;Pharmacoeconomics&lt;/full-title&gt;&lt;/periodical&gt;&lt;pages&gt;857-869&lt;/pages&gt;&lt;volume&gt;38&lt;/volume&gt;&lt;number&gt;8&lt;/number&gt;&lt;edition&gt;2020/04/07&lt;/edition&gt;&lt;dates&gt;&lt;year&gt;2020&lt;/year&gt;&lt;pub-dates&gt;&lt;date&gt;Aug&lt;/date&gt;&lt;/pub-dates&gt;&lt;/dates&gt;&lt;isbn&gt;1170-7690&lt;/isbn&gt;&lt;accession-num&gt;32249396&lt;/accession-num&gt;&lt;urls&gt;&lt;/urls&gt;&lt;electronic-resource-num&gt;10.1007/s40273-020-00906-6&lt;/electronic-resource-num&gt;&lt;remote-database-provider&gt;NLM&lt;/remote-database-provider&gt;&lt;language&gt;eng&lt;/language&gt;&lt;/record&gt;&lt;/Cite&gt;&lt;/EndNote&gt;</w:instrText>
      </w:r>
      <w:r>
        <w:rPr>
          <w:rFonts w:ascii="Arial" w:hAnsi="Arial" w:cs="Arial"/>
          <w:color w:val="242424"/>
          <w:sz w:val="22"/>
          <w:szCs w:val="22"/>
        </w:rPr>
        <w:fldChar w:fldCharType="separate"/>
      </w:r>
      <w:r w:rsidRPr="00B94641">
        <w:rPr>
          <w:rFonts w:ascii="Arial" w:hAnsi="Arial" w:cs="Arial"/>
          <w:noProof/>
          <w:color w:val="242424"/>
          <w:sz w:val="22"/>
          <w:szCs w:val="22"/>
          <w:vertAlign w:val="superscript"/>
        </w:rPr>
        <w:t>5</w:t>
      </w:r>
      <w:r>
        <w:rPr>
          <w:rFonts w:ascii="Arial" w:hAnsi="Arial" w:cs="Arial"/>
          <w:color w:val="242424"/>
          <w:sz w:val="22"/>
          <w:szCs w:val="22"/>
        </w:rPr>
        <w:fldChar w:fldCharType="end"/>
      </w:r>
      <w:r>
        <w:rPr>
          <w:rFonts w:ascii="Arial" w:hAnsi="Arial" w:cs="Arial"/>
          <w:color w:val="242424"/>
          <w:sz w:val="22"/>
          <w:szCs w:val="22"/>
        </w:rPr>
        <w:t xml:space="preserve"> </w:t>
      </w:r>
      <w:r w:rsidRPr="00A8618D">
        <w:rPr>
          <w:rFonts w:ascii="Arial" w:hAnsi="Arial" w:cs="Arial"/>
          <w:color w:val="242424"/>
          <w:sz w:val="22"/>
          <w:szCs w:val="22"/>
        </w:rPr>
        <w:t>has the most improved outcomes in terms of minimising resistance development (for existing AMs and the novel AM) and results in the largest number of QALYs.</w:t>
      </w:r>
    </w:p>
    <w:p w14:paraId="70B86A1D" w14:textId="77777777" w:rsidR="0008114B" w:rsidRDefault="0008114B" w:rsidP="0008114B">
      <w:pPr>
        <w:shd w:val="clear" w:color="auto" w:fill="FFFFFF"/>
        <w:spacing w:before="100" w:beforeAutospacing="1" w:after="240" w:line="360" w:lineRule="auto"/>
        <w:rPr>
          <w:rFonts w:cs="Arial"/>
          <w:color w:val="242424"/>
          <w:szCs w:val="22"/>
          <w:lang w:eastAsia="en-GB"/>
        </w:rPr>
      </w:pPr>
    </w:p>
    <w:p w14:paraId="6DCBC9C4" w14:textId="77777777" w:rsidR="0008114B" w:rsidRDefault="0008114B" w:rsidP="0008114B">
      <w:pPr>
        <w:shd w:val="clear" w:color="auto" w:fill="FFFFFF"/>
        <w:spacing w:before="100" w:beforeAutospacing="1" w:after="240" w:line="360" w:lineRule="auto"/>
        <w:rPr>
          <w:rFonts w:cs="Arial"/>
          <w:color w:val="242424"/>
          <w:szCs w:val="22"/>
          <w:lang w:eastAsia="en-GB"/>
        </w:rPr>
      </w:pPr>
      <w:r>
        <w:rPr>
          <w:rFonts w:cs="Arial"/>
          <w:noProof/>
          <w:color w:val="242424"/>
          <w:szCs w:val="22"/>
          <w:lang w:eastAsia="en-GB"/>
        </w:rPr>
        <w:drawing>
          <wp:inline distT="0" distB="0" distL="0" distR="0" wp14:anchorId="2920F353" wp14:editId="0FE45488">
            <wp:extent cx="5524500" cy="3276600"/>
            <wp:effectExtent l="0" t="0" r="0" b="0"/>
            <wp:docPr id="8" name="Picture 8" descr="Figure showing proportion of infections resistant to at least one of the existing antimicrobials over time for different stewardship strategies (derived from Gordon et al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showing proportion of infections resistant to at least one of the existing antimicrobials over time for different stewardship strategies (derived from Gordon et al 20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0" cy="3276600"/>
                    </a:xfrm>
                    <a:prstGeom prst="rect">
                      <a:avLst/>
                    </a:prstGeom>
                    <a:noFill/>
                    <a:ln>
                      <a:noFill/>
                    </a:ln>
                  </pic:spPr>
                </pic:pic>
              </a:graphicData>
            </a:graphic>
          </wp:inline>
        </w:drawing>
      </w:r>
    </w:p>
    <w:p w14:paraId="3E0843BD" w14:textId="77777777" w:rsidR="0008114B" w:rsidRDefault="0008114B" w:rsidP="0008114B">
      <w:pPr>
        <w:pStyle w:val="Caption"/>
        <w:rPr>
          <w:rFonts w:cs="Arial"/>
          <w:color w:val="242424"/>
          <w:lang w:eastAsia="en-GB"/>
        </w:rPr>
      </w:pPr>
      <w:bookmarkStart w:id="12" w:name="_Ref90269910"/>
      <w:r>
        <w:t xml:space="preserve">Figure </w:t>
      </w:r>
      <w:r>
        <w:fldChar w:fldCharType="begin"/>
      </w:r>
      <w:r>
        <w:instrText>SEQ Figure \* ARABIC</w:instrText>
      </w:r>
      <w:r>
        <w:fldChar w:fldCharType="separate"/>
      </w:r>
      <w:r>
        <w:rPr>
          <w:noProof/>
        </w:rPr>
        <w:t>1</w:t>
      </w:r>
      <w:r>
        <w:fldChar w:fldCharType="end"/>
      </w:r>
      <w:bookmarkEnd w:id="12"/>
      <w:r>
        <w:t>. Proportion of infections resistant to at least one of the existing antimicrobials over time for different stewardship strategies (derived from Gordon et al 2020)</w:t>
      </w:r>
      <w:r>
        <w:fldChar w:fldCharType="begin"/>
      </w:r>
      <w:r>
        <w:instrText xml:space="preserve"> ADDIN EN.CITE &lt;EndNote&gt;&lt;Cite&gt;&lt;Author&gt;Gordon&lt;/Author&gt;&lt;Year&gt;2020&lt;/Year&gt;&lt;RecNum&gt;11&lt;/RecNum&gt;&lt;DisplayText&gt;&lt;style face="superscript"&gt;5&lt;/style&gt;&lt;/DisplayText&gt;&lt;record&gt;&lt;rec-number&gt;11&lt;/rec-number&gt;&lt;foreign-keys&gt;&lt;key app="EN" db-id="pd5s0xr0250t2qevxfgxpvwp5eaztd2pavxx" timestamp="1638912392"&gt;11&lt;/key&gt;&lt;/foreign-keys&gt;&lt;ref-type name="Journal Article"&gt;17&lt;/ref-type&gt;&lt;contributors&gt;&lt;authors&gt;&lt;author&gt;Gordon, J.&lt;/author&gt;&lt;author&gt;Darlington, O.&lt;/author&gt;&lt;author&gt;McEwan, P.&lt;/author&gt;&lt;author&gt;Lumley, M.&lt;/author&gt;&lt;author&gt;Taie, A.&lt;/author&gt;&lt;author&gt;Hicks, M.&lt;/author&gt;&lt;author&gt;Charbonneau, C.&lt;/author&gt;&lt;author&gt;Blake, A.&lt;/author&gt;&lt;author&gt;Hawkins, N.&lt;/author&gt;&lt;author&gt;Goldenberg, S.&lt;/author&gt;&lt;author&gt;Otter, J.&lt;/author&gt;&lt;author&gt;Wilcox, M.&lt;/author&gt;&lt;/authors&gt;&lt;/contributors&gt;&lt;auth-address&gt;Health Economics and Outcomes Research Limited, Birmingham, UK. jason.gordon@heor.co.uk.&amp;#xD;Health Economics and Outcomes Research Limited, Cardiff, UK.&amp;#xD;Pfizer, Tadworth, UK.&amp;#xD;University of Glasgow, Glasgow, UK.&amp;#xD;Guy&amp;apos;s and St Thomas&amp;apos; NHS Foundation Trust, London, UK.&amp;#xD;Imperial College London, London, UK.&amp;#xD;University of Leeds, Leeds, UK.&lt;/auth-address&gt;&lt;titles&gt;&lt;title&gt;Estimating the Value of New Antimicrobials in the Context of Antimicrobial Resistance: Development and Application of a Dynamic Disease Transmission Model&lt;/title&gt;&lt;secondary-title&gt;Pharmacoeconomics&lt;/secondary-title&gt;&lt;/titles&gt;&lt;periodical&gt;&lt;full-title&gt;Pharmacoeconomics&lt;/full-title&gt;&lt;/periodical&gt;&lt;pages&gt;857-869&lt;/pages&gt;&lt;volume&gt;38&lt;/volume&gt;&lt;number&gt;8&lt;/number&gt;&lt;edition&gt;2020/04/07&lt;/edition&gt;&lt;dates&gt;&lt;year&gt;2020&lt;/year&gt;&lt;pub-dates&gt;&lt;date&gt;Aug&lt;/date&gt;&lt;/pub-dates&gt;&lt;/dates&gt;&lt;isbn&gt;1170-7690&lt;/isbn&gt;&lt;accession-num&gt;32249396&lt;/accession-num&gt;&lt;urls&gt;&lt;/urls&gt;&lt;electronic-resource-num&gt;10.1007/s40273-020-00906-6&lt;/electronic-resource-num&gt;&lt;remote-database-provider&gt;NLM&lt;/remote-database-provider&gt;&lt;language&gt;eng&lt;/language&gt;&lt;/record&gt;&lt;/Cite&gt;&lt;/EndNote&gt;</w:instrText>
      </w:r>
      <w:r>
        <w:fldChar w:fldCharType="separate"/>
      </w:r>
      <w:r w:rsidRPr="00B94641">
        <w:rPr>
          <w:noProof/>
          <w:vertAlign w:val="superscript"/>
        </w:rPr>
        <w:t>5</w:t>
      </w:r>
      <w:r>
        <w:fldChar w:fldCharType="end"/>
      </w:r>
    </w:p>
    <w:p w14:paraId="5E1B73EA" w14:textId="7EB3D590" w:rsidR="0008114B" w:rsidRDefault="0008114B" w:rsidP="0008114B">
      <w:pPr>
        <w:pStyle w:val="Heading3"/>
        <w:jc w:val="left"/>
        <w:rPr>
          <w:lang w:eastAsia="en-GB"/>
        </w:rPr>
      </w:pPr>
      <w:r w:rsidRPr="006D3CF8">
        <w:rPr>
          <w:lang w:eastAsia="en-GB"/>
        </w:rPr>
        <w:t>Treatment efficacy</w:t>
      </w:r>
    </w:p>
    <w:p w14:paraId="5414DE83" w14:textId="77777777" w:rsidR="006A6027" w:rsidRPr="006A6027" w:rsidRDefault="006A6027" w:rsidP="006A6027">
      <w:pPr>
        <w:rPr>
          <w:lang w:eastAsia="en-GB"/>
        </w:rPr>
      </w:pPr>
    </w:p>
    <w:p w14:paraId="34E1B725" w14:textId="3DC0FD09" w:rsidR="00D772D3" w:rsidRDefault="00D24393" w:rsidP="0008114B">
      <w:pPr>
        <w:pStyle w:val="NICEnormal"/>
        <w:rPr>
          <w:rFonts w:cs="Arial"/>
          <w:color w:val="242424"/>
          <w:sz w:val="22"/>
          <w:szCs w:val="22"/>
          <w:shd w:val="clear" w:color="auto" w:fill="FFFFFF"/>
        </w:rPr>
      </w:pPr>
      <w:r w:rsidRPr="00D24393">
        <w:rPr>
          <w:rFonts w:cs="Arial"/>
          <w:color w:val="242424"/>
          <w:sz w:val="22"/>
          <w:szCs w:val="22"/>
          <w:shd w:val="clear" w:color="auto" w:fill="FFFFFF"/>
        </w:rPr>
        <w:t>Given time and resourcing constraints EEPRU narrowed the focus of the modelling approach to very specific niche HVCSs. Despite there being several high-quality pivotal Phase II/III studies for CAZ-AVI, and a plethora of real-world evidence linked to the full licensed indication for CAZ-AVI</w:t>
      </w:r>
      <w:r w:rsidR="00DC1EFF">
        <w:rPr>
          <w:rFonts w:cs="Arial"/>
          <w:color w:val="242424"/>
          <w:sz w:val="22"/>
          <w:szCs w:val="22"/>
          <w:shd w:val="clear" w:color="auto" w:fill="FFFFFF"/>
        </w:rPr>
        <w:t>.</w:t>
      </w:r>
      <w:r w:rsidRPr="00D24393">
        <w:rPr>
          <w:rFonts w:cs="Arial"/>
          <w:color w:val="242424"/>
          <w:sz w:val="22"/>
          <w:szCs w:val="22"/>
          <w:shd w:val="clear" w:color="auto" w:fill="FFFFFF"/>
        </w:rPr>
        <w:t xml:space="preserve"> </w:t>
      </w:r>
      <w:r w:rsidR="00DC1EFF">
        <w:rPr>
          <w:rFonts w:cs="Arial"/>
          <w:color w:val="242424"/>
          <w:sz w:val="22"/>
          <w:szCs w:val="22"/>
          <w:shd w:val="clear" w:color="auto" w:fill="FFFFFF"/>
        </w:rPr>
        <w:t>T</w:t>
      </w:r>
      <w:r w:rsidRPr="00D24393">
        <w:rPr>
          <w:rFonts w:cs="Arial"/>
          <w:color w:val="242424"/>
          <w:sz w:val="22"/>
          <w:szCs w:val="22"/>
          <w:shd w:val="clear" w:color="auto" w:fill="FFFFFF"/>
        </w:rPr>
        <w:t xml:space="preserve">his </w:t>
      </w:r>
      <w:r w:rsidR="00DC1EFF">
        <w:rPr>
          <w:rFonts w:cs="Arial"/>
          <w:color w:val="242424"/>
          <w:sz w:val="22"/>
          <w:szCs w:val="22"/>
          <w:shd w:val="clear" w:color="auto" w:fill="FFFFFF"/>
        </w:rPr>
        <w:t xml:space="preserve">strong clinical effectiveness data </w:t>
      </w:r>
      <w:r w:rsidRPr="00D24393">
        <w:rPr>
          <w:rFonts w:cs="Arial"/>
          <w:color w:val="242424"/>
          <w:sz w:val="22"/>
          <w:szCs w:val="22"/>
          <w:shd w:val="clear" w:color="auto" w:fill="FFFFFF"/>
        </w:rPr>
        <w:t xml:space="preserve">was unable to be used by EEPRU in their model </w:t>
      </w:r>
      <w:r w:rsidR="008D2D0E">
        <w:rPr>
          <w:rFonts w:cs="Arial"/>
          <w:color w:val="242424"/>
          <w:sz w:val="22"/>
          <w:szCs w:val="22"/>
          <w:shd w:val="clear" w:color="auto" w:fill="FFFFFF"/>
        </w:rPr>
        <w:t>due to th</w:t>
      </w:r>
      <w:r w:rsidR="00DC1EFF">
        <w:rPr>
          <w:rFonts w:cs="Arial"/>
          <w:color w:val="242424"/>
          <w:sz w:val="22"/>
          <w:szCs w:val="22"/>
          <w:shd w:val="clear" w:color="auto" w:fill="FFFFFF"/>
        </w:rPr>
        <w:t>is</w:t>
      </w:r>
      <w:r w:rsidR="008D2D0E">
        <w:rPr>
          <w:rFonts w:cs="Arial"/>
          <w:color w:val="242424"/>
          <w:sz w:val="22"/>
          <w:szCs w:val="22"/>
          <w:shd w:val="clear" w:color="auto" w:fill="FFFFFF"/>
        </w:rPr>
        <w:t xml:space="preserve"> very targeted (narrow) approach</w:t>
      </w:r>
      <w:r w:rsidR="002D1D79">
        <w:rPr>
          <w:rFonts w:cs="Arial"/>
          <w:color w:val="242424"/>
          <w:sz w:val="22"/>
          <w:szCs w:val="22"/>
          <w:shd w:val="clear" w:color="auto" w:fill="FFFFFF"/>
        </w:rPr>
        <w:t>. This</w:t>
      </w:r>
      <w:r w:rsidRPr="00D24393">
        <w:rPr>
          <w:rFonts w:cs="Arial"/>
          <w:color w:val="242424"/>
          <w:sz w:val="22"/>
          <w:szCs w:val="22"/>
          <w:shd w:val="clear" w:color="auto" w:fill="FFFFFF"/>
        </w:rPr>
        <w:t xml:space="preserve"> </w:t>
      </w:r>
      <w:r w:rsidR="002D1D79">
        <w:rPr>
          <w:rFonts w:cs="Arial"/>
          <w:color w:val="242424"/>
          <w:sz w:val="22"/>
          <w:szCs w:val="22"/>
          <w:shd w:val="clear" w:color="auto" w:fill="FFFFFF"/>
        </w:rPr>
        <w:t>forced</w:t>
      </w:r>
      <w:r w:rsidRPr="00D24393">
        <w:rPr>
          <w:rFonts w:cs="Arial"/>
          <w:color w:val="242424"/>
          <w:sz w:val="22"/>
          <w:szCs w:val="22"/>
          <w:shd w:val="clear" w:color="auto" w:fill="FFFFFF"/>
        </w:rPr>
        <w:t xml:space="preserve"> a reliance on </w:t>
      </w:r>
      <w:r w:rsidRPr="00D24393">
        <w:rPr>
          <w:rFonts w:cs="Arial"/>
          <w:i/>
          <w:iCs/>
          <w:color w:val="242424"/>
          <w:sz w:val="22"/>
          <w:szCs w:val="22"/>
          <w:shd w:val="clear" w:color="auto" w:fill="FFFFFF"/>
        </w:rPr>
        <w:t>in vitro</w:t>
      </w:r>
      <w:r w:rsidRPr="00D24393">
        <w:rPr>
          <w:rFonts w:cs="Arial"/>
          <w:color w:val="242424"/>
          <w:sz w:val="22"/>
          <w:szCs w:val="22"/>
          <w:shd w:val="clear" w:color="auto" w:fill="FFFFFF"/>
        </w:rPr>
        <w:t> susceptibility</w:t>
      </w:r>
      <w:r w:rsidR="002D1D79">
        <w:rPr>
          <w:rFonts w:cs="Arial"/>
          <w:color w:val="242424"/>
          <w:sz w:val="22"/>
          <w:szCs w:val="22"/>
          <w:shd w:val="clear" w:color="auto" w:fill="FFFFFF"/>
        </w:rPr>
        <w:t xml:space="preserve"> studies</w:t>
      </w:r>
      <w:r w:rsidR="00D772D3">
        <w:rPr>
          <w:rFonts w:cs="Arial"/>
          <w:color w:val="242424"/>
          <w:sz w:val="22"/>
          <w:szCs w:val="22"/>
          <w:shd w:val="clear" w:color="auto" w:fill="FFFFFF"/>
        </w:rPr>
        <w:t xml:space="preserve"> </w:t>
      </w:r>
      <w:r w:rsidR="002D1D79">
        <w:rPr>
          <w:rFonts w:cs="Arial"/>
          <w:color w:val="242424"/>
          <w:sz w:val="22"/>
          <w:szCs w:val="22"/>
          <w:shd w:val="clear" w:color="auto" w:fill="FFFFFF"/>
        </w:rPr>
        <w:t xml:space="preserve">which according to EEPRU’s clinicians </w:t>
      </w:r>
      <w:r w:rsidR="00DC1EFF">
        <w:rPr>
          <w:rFonts w:cs="Arial"/>
          <w:color w:val="242424"/>
          <w:sz w:val="22"/>
          <w:szCs w:val="22"/>
          <w:shd w:val="clear" w:color="auto" w:fill="FFFFFF"/>
        </w:rPr>
        <w:t xml:space="preserve">in the assessment report </w:t>
      </w:r>
      <w:r w:rsidR="002D1D79">
        <w:rPr>
          <w:rFonts w:cs="Arial"/>
          <w:color w:val="242424"/>
          <w:sz w:val="22"/>
          <w:szCs w:val="22"/>
          <w:shd w:val="clear" w:color="auto" w:fill="FFFFFF"/>
        </w:rPr>
        <w:t xml:space="preserve">and the </w:t>
      </w:r>
      <w:r w:rsidR="00DC1EFF">
        <w:rPr>
          <w:rFonts w:cs="Arial"/>
          <w:color w:val="242424"/>
          <w:sz w:val="22"/>
          <w:szCs w:val="22"/>
          <w:shd w:val="clear" w:color="auto" w:fill="FFFFFF"/>
        </w:rPr>
        <w:t xml:space="preserve">original </w:t>
      </w:r>
      <w:r w:rsidR="002D1D79">
        <w:rPr>
          <w:rFonts w:cs="Arial"/>
          <w:color w:val="242424"/>
          <w:sz w:val="22"/>
          <w:szCs w:val="22"/>
          <w:shd w:val="clear" w:color="auto" w:fill="FFFFFF"/>
        </w:rPr>
        <w:t>EEPRU framework</w:t>
      </w:r>
      <w:r w:rsidR="00DC1EFF">
        <w:rPr>
          <w:rFonts w:cs="Arial"/>
          <w:color w:val="242424"/>
          <w:sz w:val="22"/>
          <w:szCs w:val="22"/>
          <w:shd w:val="clear" w:color="auto" w:fill="FFFFFF"/>
        </w:rPr>
        <w:fldChar w:fldCharType="begin"/>
      </w:r>
      <w:r w:rsidR="00DC1EFF">
        <w:rPr>
          <w:rFonts w:cs="Arial"/>
          <w:color w:val="242424"/>
          <w:sz w:val="22"/>
          <w:szCs w:val="22"/>
          <w:shd w:val="clear" w:color="auto" w:fill="FFFFFF"/>
        </w:rPr>
        <w:instrText xml:space="preserve"> ADDIN EN.CITE &lt;EndNote&gt;&lt;Cite&gt;&lt;Author&gt;EEPRU&lt;/Author&gt;&lt;Year&gt;2018&lt;/Year&gt;&lt;RecNum&gt;9&lt;/RecNum&gt;&lt;DisplayText&gt;&lt;style face="superscript"&gt;3&lt;/style&gt;&lt;/DisplayText&gt;&lt;record&gt;&lt;rec-number&gt;9&lt;/rec-number&gt;&lt;foreign-keys&gt;&lt;key app="EN" db-id="pd5s0xr0250t2qevxfgxpvwp5eaztd2pavxx" timestamp="1638893203"&gt;9&lt;/key&gt;&lt;/foreign-keys&gt;&lt;ref-type name="Web Page"&gt;12&lt;/ref-type&gt;&lt;contributors&gt;&lt;authors&gt;&lt;author&gt;EEPRU&lt;/author&gt;&lt;/authors&gt;&lt;/contributors&gt;&lt;titles&gt;&lt;title&gt;Framework for value assessment of new antimicrobials - Implications of alternative funding arrangements for NICE appraisals&lt;/title&gt;&lt;/titles&gt;&lt;dates&gt;&lt;year&gt;2018&lt;/year&gt;&lt;/dates&gt;&lt;urls&gt;&lt;related-urls&gt;&lt;url&gt;http://www.eepru.org.uk/wp-content/uploads/2017/11/eepru-report-amr-oct-2018-059.pdf&lt;/url&gt;&lt;/related-urls&gt;&lt;/urls&gt;&lt;/record&gt;&lt;/Cite&gt;&lt;/EndNote&gt;</w:instrText>
      </w:r>
      <w:r w:rsidR="00DC1EFF">
        <w:rPr>
          <w:rFonts w:cs="Arial"/>
          <w:color w:val="242424"/>
          <w:sz w:val="22"/>
          <w:szCs w:val="22"/>
          <w:shd w:val="clear" w:color="auto" w:fill="FFFFFF"/>
        </w:rPr>
        <w:fldChar w:fldCharType="separate"/>
      </w:r>
      <w:r w:rsidR="00DC1EFF" w:rsidRPr="00DC1EFF">
        <w:rPr>
          <w:rFonts w:cs="Arial"/>
          <w:noProof/>
          <w:color w:val="242424"/>
          <w:sz w:val="22"/>
          <w:szCs w:val="22"/>
          <w:shd w:val="clear" w:color="auto" w:fill="FFFFFF"/>
          <w:vertAlign w:val="superscript"/>
        </w:rPr>
        <w:t>3</w:t>
      </w:r>
      <w:r w:rsidR="00DC1EFF">
        <w:rPr>
          <w:rFonts w:cs="Arial"/>
          <w:color w:val="242424"/>
          <w:sz w:val="22"/>
          <w:szCs w:val="22"/>
          <w:shd w:val="clear" w:color="auto" w:fill="FFFFFF"/>
        </w:rPr>
        <w:fldChar w:fldCharType="end"/>
      </w:r>
      <w:r w:rsidR="00D772D3">
        <w:rPr>
          <w:rFonts w:cs="Arial"/>
          <w:color w:val="242424"/>
          <w:sz w:val="22"/>
          <w:szCs w:val="22"/>
          <w:shd w:val="clear" w:color="auto" w:fill="FFFFFF"/>
        </w:rPr>
        <w:t xml:space="preserve">, </w:t>
      </w:r>
      <w:r w:rsidR="00DC1EFF">
        <w:rPr>
          <w:rFonts w:cs="Arial"/>
          <w:color w:val="242424"/>
          <w:sz w:val="22"/>
          <w:szCs w:val="22"/>
          <w:shd w:val="clear" w:color="auto" w:fill="FFFFFF"/>
        </w:rPr>
        <w:t xml:space="preserve">it is not always possible to presume that it is not always possible to presume that what happens </w:t>
      </w:r>
      <w:r w:rsidR="00DC1EFF" w:rsidRPr="00DC1EFF">
        <w:rPr>
          <w:rFonts w:cs="Arial"/>
          <w:i/>
          <w:iCs/>
          <w:color w:val="242424"/>
          <w:sz w:val="22"/>
          <w:szCs w:val="22"/>
          <w:shd w:val="clear" w:color="auto" w:fill="FFFFFF"/>
        </w:rPr>
        <w:t>in vitro</w:t>
      </w:r>
      <w:r w:rsidR="00DC1EFF">
        <w:rPr>
          <w:rFonts w:cs="Arial"/>
          <w:color w:val="242424"/>
          <w:sz w:val="22"/>
          <w:szCs w:val="22"/>
          <w:shd w:val="clear" w:color="auto" w:fill="FFFFFF"/>
        </w:rPr>
        <w:t xml:space="preserve"> can be extrapolated to therapeutic outcomes of clinical success or failure</w:t>
      </w:r>
      <w:r w:rsidR="00140CA3">
        <w:rPr>
          <w:rFonts w:cs="Arial"/>
          <w:color w:val="242424"/>
          <w:sz w:val="22"/>
          <w:szCs w:val="22"/>
          <w:shd w:val="clear" w:color="auto" w:fill="FFFFFF"/>
        </w:rPr>
        <w:t xml:space="preserve"> (see </w:t>
      </w:r>
      <w:r w:rsidR="00140CA3" w:rsidRPr="00140CA3">
        <w:rPr>
          <w:rFonts w:cs="Arial"/>
          <w:color w:val="242424"/>
          <w:sz w:val="22"/>
          <w:szCs w:val="22"/>
          <w:shd w:val="clear" w:color="auto" w:fill="FFFFFF"/>
        </w:rPr>
        <w:fldChar w:fldCharType="begin"/>
      </w:r>
      <w:r w:rsidR="00140CA3" w:rsidRPr="00140CA3">
        <w:rPr>
          <w:rFonts w:cs="Arial"/>
          <w:color w:val="242424"/>
          <w:sz w:val="22"/>
          <w:szCs w:val="22"/>
          <w:shd w:val="clear" w:color="auto" w:fill="FFFFFF"/>
        </w:rPr>
        <w:instrText xml:space="preserve"> REF _Ref90271528 \h </w:instrText>
      </w:r>
      <w:r w:rsidR="00140CA3">
        <w:rPr>
          <w:rFonts w:cs="Arial"/>
          <w:color w:val="242424"/>
          <w:sz w:val="22"/>
          <w:szCs w:val="22"/>
          <w:shd w:val="clear" w:color="auto" w:fill="FFFFFF"/>
        </w:rPr>
        <w:instrText xml:space="preserve"> \* MERGEFORMAT </w:instrText>
      </w:r>
      <w:r w:rsidR="00140CA3" w:rsidRPr="00140CA3">
        <w:rPr>
          <w:rFonts w:cs="Arial"/>
          <w:color w:val="242424"/>
          <w:sz w:val="22"/>
          <w:szCs w:val="22"/>
          <w:shd w:val="clear" w:color="auto" w:fill="FFFFFF"/>
        </w:rPr>
      </w:r>
      <w:r w:rsidR="00140CA3" w:rsidRPr="00140CA3">
        <w:rPr>
          <w:rFonts w:cs="Arial"/>
          <w:color w:val="242424"/>
          <w:sz w:val="22"/>
          <w:szCs w:val="22"/>
          <w:shd w:val="clear" w:color="auto" w:fill="FFFFFF"/>
        </w:rPr>
        <w:fldChar w:fldCharType="separate"/>
      </w:r>
      <w:r w:rsidR="00140CA3" w:rsidRPr="00140CA3">
        <w:rPr>
          <w:sz w:val="22"/>
          <w:szCs w:val="22"/>
        </w:rPr>
        <w:t xml:space="preserve">Table </w:t>
      </w:r>
      <w:r w:rsidR="00140CA3" w:rsidRPr="00140CA3">
        <w:rPr>
          <w:noProof/>
          <w:sz w:val="22"/>
          <w:szCs w:val="22"/>
        </w:rPr>
        <w:t>1</w:t>
      </w:r>
      <w:r w:rsidR="00140CA3" w:rsidRPr="00140CA3">
        <w:rPr>
          <w:rFonts w:cs="Arial"/>
          <w:color w:val="242424"/>
          <w:sz w:val="22"/>
          <w:szCs w:val="22"/>
          <w:shd w:val="clear" w:color="auto" w:fill="FFFFFF"/>
        </w:rPr>
        <w:fldChar w:fldCharType="end"/>
      </w:r>
      <w:r w:rsidR="00140CA3" w:rsidRPr="00140CA3">
        <w:rPr>
          <w:rFonts w:cs="Arial"/>
          <w:color w:val="242424"/>
          <w:sz w:val="22"/>
          <w:szCs w:val="22"/>
          <w:shd w:val="clear" w:color="auto" w:fill="FFFFFF"/>
        </w:rPr>
        <w:t>)</w:t>
      </w:r>
      <w:r w:rsidR="00DC1EFF" w:rsidRPr="00140CA3">
        <w:rPr>
          <w:rFonts w:cs="Arial"/>
          <w:color w:val="242424"/>
          <w:sz w:val="22"/>
          <w:szCs w:val="22"/>
          <w:shd w:val="clear" w:color="auto" w:fill="FFFFFF"/>
        </w:rPr>
        <w:t>.</w:t>
      </w:r>
      <w:r w:rsidR="00140CA3">
        <w:rPr>
          <w:rFonts w:cs="Arial"/>
          <w:color w:val="242424"/>
          <w:sz w:val="22"/>
          <w:szCs w:val="22"/>
          <w:shd w:val="clear" w:color="auto" w:fill="FFFFFF"/>
        </w:rPr>
        <w:t xml:space="preserve"> This may lead to an underestimation of the clinical benefit of CAZ-AVI to patients. A QALY gain of </w:t>
      </w:r>
      <w:r w:rsidR="00B554CD" w:rsidRPr="006D3CF8">
        <w:rPr>
          <w:sz w:val="22"/>
          <w:szCs w:val="22"/>
          <w:lang w:val="en-GB" w:eastAsia="en-GB"/>
        </w:rPr>
        <w:t>0.1</w:t>
      </w:r>
      <w:r w:rsidR="00B554CD">
        <w:rPr>
          <w:sz w:val="22"/>
          <w:szCs w:val="22"/>
          <w:lang w:val="en-GB" w:eastAsia="en-GB"/>
        </w:rPr>
        <w:t>–</w:t>
      </w:r>
      <w:r w:rsidR="00B554CD" w:rsidRPr="006D3CF8">
        <w:rPr>
          <w:sz w:val="22"/>
          <w:szCs w:val="22"/>
          <w:lang w:val="en-GB" w:eastAsia="en-GB"/>
        </w:rPr>
        <w:t>0.2</w:t>
      </w:r>
      <w:r w:rsidR="00B554CD">
        <w:rPr>
          <w:sz w:val="22"/>
          <w:szCs w:val="22"/>
          <w:lang w:val="en-GB" w:eastAsia="en-GB"/>
        </w:rPr>
        <w:t xml:space="preserve"> </w:t>
      </w:r>
      <w:r w:rsidR="00140CA3">
        <w:rPr>
          <w:rFonts w:cs="Arial"/>
          <w:color w:val="242424"/>
          <w:sz w:val="22"/>
          <w:szCs w:val="22"/>
          <w:shd w:val="clear" w:color="auto" w:fill="FFFFFF"/>
        </w:rPr>
        <w:t xml:space="preserve">represents that of a comparable treatment efficacy to the current standard of care, indicating that the EEPRU approach fails to </w:t>
      </w:r>
      <w:proofErr w:type="spellStart"/>
      <w:r w:rsidR="00140CA3">
        <w:rPr>
          <w:rFonts w:cs="Arial"/>
          <w:color w:val="242424"/>
          <w:sz w:val="22"/>
          <w:szCs w:val="22"/>
          <w:shd w:val="clear" w:color="auto" w:fill="FFFFFF"/>
        </w:rPr>
        <w:t>recognise</w:t>
      </w:r>
      <w:proofErr w:type="spellEnd"/>
      <w:r w:rsidR="00140CA3">
        <w:rPr>
          <w:rFonts w:cs="Arial"/>
          <w:color w:val="242424"/>
          <w:sz w:val="22"/>
          <w:szCs w:val="22"/>
          <w:shd w:val="clear" w:color="auto" w:fill="FFFFFF"/>
        </w:rPr>
        <w:t xml:space="preserve"> the clinical benefit of CAZ-AVI.</w:t>
      </w:r>
    </w:p>
    <w:p w14:paraId="52130D62" w14:textId="0F8DF8ED" w:rsidR="00B554CD" w:rsidRDefault="00140CA3" w:rsidP="0008114B">
      <w:pPr>
        <w:pStyle w:val="NICEnormal"/>
        <w:rPr>
          <w:sz w:val="22"/>
          <w:szCs w:val="22"/>
          <w:lang w:val="en-GB"/>
        </w:rPr>
      </w:pPr>
      <w:r>
        <w:rPr>
          <w:sz w:val="22"/>
          <w:szCs w:val="22"/>
          <w:lang w:val="en-GB"/>
        </w:rPr>
        <w:t>The above contrasts to t</w:t>
      </w:r>
      <w:r w:rsidR="0008114B" w:rsidRPr="00110B4D">
        <w:rPr>
          <w:sz w:val="22"/>
          <w:szCs w:val="22"/>
          <w:lang w:val="en-GB"/>
        </w:rPr>
        <w:t xml:space="preserve">he Pfizer </w:t>
      </w:r>
      <w:r w:rsidR="00B554CD">
        <w:rPr>
          <w:sz w:val="22"/>
          <w:szCs w:val="22"/>
          <w:lang w:val="en-GB"/>
        </w:rPr>
        <w:t xml:space="preserve">approach </w:t>
      </w:r>
      <w:r>
        <w:rPr>
          <w:sz w:val="22"/>
          <w:szCs w:val="22"/>
          <w:lang w:val="en-GB"/>
        </w:rPr>
        <w:t>which focuse</w:t>
      </w:r>
      <w:r w:rsidR="00B554CD">
        <w:rPr>
          <w:sz w:val="22"/>
          <w:szCs w:val="22"/>
          <w:lang w:val="en-GB"/>
        </w:rPr>
        <w:t>s</w:t>
      </w:r>
      <w:r>
        <w:rPr>
          <w:sz w:val="22"/>
          <w:szCs w:val="22"/>
          <w:lang w:val="en-GB"/>
        </w:rPr>
        <w:t xml:space="preserve"> on the full licensed indication as per the NICE scope</w:t>
      </w:r>
      <w:r w:rsidR="00B554CD">
        <w:rPr>
          <w:sz w:val="22"/>
          <w:szCs w:val="22"/>
          <w:lang w:val="en-GB"/>
        </w:rPr>
        <w:fldChar w:fldCharType="begin"/>
      </w:r>
      <w:r w:rsidR="00B554CD">
        <w:rPr>
          <w:sz w:val="22"/>
          <w:szCs w:val="22"/>
          <w:lang w:val="en-GB"/>
        </w:rPr>
        <w:instrText xml:space="preserve"> ADDIN EN.CITE &lt;EndNote&gt;&lt;Cite&gt;&lt;Author&gt;National Institute for Health and Care Excellence&lt;/Author&gt;&lt;Year&gt;2021&lt;/Year&gt;&lt;RecNum&gt;28&lt;/RecNum&gt;&lt;DisplayText&gt;&lt;style face="superscript"&gt;1&lt;/style&gt;&lt;/DisplayText&gt;&lt;record&gt;&lt;rec-number&gt;28&lt;/rec-number&gt;&lt;foreign-keys&gt;&lt;key app="EN" db-id="pd5s0xr0250t2qevxfgxpvwp5eaztd2pavxx" timestamp="1639399397"&gt;28&lt;/key&gt;&lt;/foreign-keys&gt;&lt;ref-type name="Web Page"&gt;12&lt;/ref-type&gt;&lt;contributors&gt;&lt;authors&gt;&lt;author&gt;National Institute for Health and Care Excellence,&lt;/author&gt;&lt;/authors&gt;&lt;/contributors&gt;&lt;titles&gt;&lt;title&gt;Antimicrobial Health Technology Evaluation. Ceftazidime with avibactam for treating severe aerobic Gram-negative bacterial infections - Final scope &lt;/title&gt;&lt;/titles&gt;&lt;volume&gt;2021&lt;/volume&gt;&lt;number&gt;2/2021&lt;/number&gt;&lt;dates&gt;&lt;year&gt;2021&lt;/year&gt;&lt;/dates&gt;&lt;urls&gt;&lt;related-urls&gt;&lt;url&gt;https://www.nice.org.uk/about/what-we-do/life-sciences/scientific-advice/models-for-the-evaluation-and-purchase-of-antimicrobials/ceftazidime-with-avibactam&lt;/url&gt;&lt;/related-urls&gt;&lt;/urls&gt;&lt;/record&gt;&lt;/Cite&gt;&lt;/EndNote&gt;</w:instrText>
      </w:r>
      <w:r w:rsidR="00B554CD">
        <w:rPr>
          <w:sz w:val="22"/>
          <w:szCs w:val="22"/>
          <w:lang w:val="en-GB"/>
        </w:rPr>
        <w:fldChar w:fldCharType="separate"/>
      </w:r>
      <w:r w:rsidR="00B554CD" w:rsidRPr="00B554CD">
        <w:rPr>
          <w:noProof/>
          <w:sz w:val="22"/>
          <w:szCs w:val="22"/>
          <w:vertAlign w:val="superscript"/>
          <w:lang w:val="en-GB"/>
        </w:rPr>
        <w:t>1</w:t>
      </w:r>
      <w:r w:rsidR="00B554CD">
        <w:rPr>
          <w:sz w:val="22"/>
          <w:szCs w:val="22"/>
          <w:lang w:val="en-GB"/>
        </w:rPr>
        <w:fldChar w:fldCharType="end"/>
      </w:r>
      <w:r>
        <w:rPr>
          <w:sz w:val="22"/>
          <w:szCs w:val="22"/>
          <w:lang w:val="en-GB"/>
        </w:rPr>
        <w:t xml:space="preserve"> and </w:t>
      </w:r>
      <w:r w:rsidR="00B554CD">
        <w:rPr>
          <w:sz w:val="22"/>
          <w:szCs w:val="22"/>
          <w:lang w:val="en-GB"/>
        </w:rPr>
        <w:t xml:space="preserve">enables the use of clinical trial data and real-world evidence to inform treatment efficacy in the model. </w:t>
      </w:r>
    </w:p>
    <w:p w14:paraId="5E3AB212" w14:textId="5032F843" w:rsidR="0008114B" w:rsidRDefault="00B554CD" w:rsidP="0008114B">
      <w:pPr>
        <w:pStyle w:val="NICEnormal"/>
        <w:rPr>
          <w:sz w:val="22"/>
          <w:szCs w:val="22"/>
          <w:lang w:val="en-GB"/>
        </w:rPr>
      </w:pPr>
      <w:r>
        <w:rPr>
          <w:sz w:val="22"/>
          <w:szCs w:val="22"/>
          <w:lang w:val="en-GB"/>
        </w:rPr>
        <w:t xml:space="preserve">Furthermore, the Pfizer model </w:t>
      </w:r>
      <w:r w:rsidR="0008114B" w:rsidRPr="00110B4D">
        <w:rPr>
          <w:sz w:val="22"/>
          <w:szCs w:val="22"/>
          <w:lang w:val="en-GB"/>
        </w:rPr>
        <w:t>assesse</w:t>
      </w:r>
      <w:r>
        <w:rPr>
          <w:sz w:val="22"/>
          <w:szCs w:val="22"/>
          <w:lang w:val="en-GB"/>
        </w:rPr>
        <w:t>s</w:t>
      </w:r>
      <w:r w:rsidR="0008114B" w:rsidRPr="00110B4D">
        <w:rPr>
          <w:sz w:val="22"/>
          <w:szCs w:val="22"/>
          <w:lang w:val="en-GB"/>
        </w:rPr>
        <w:t xml:space="preserve"> lifetime outcomes for patients who become infected over a ten-year period. Successful treatment of the infection allows the accrual of QALYs in line with the quality-adjusted life expectancy of the general population. By contrast, unsuccessful treatment </w:t>
      </w:r>
      <w:r w:rsidR="0008114B">
        <w:rPr>
          <w:sz w:val="22"/>
          <w:szCs w:val="22"/>
          <w:lang w:val="en-GB"/>
        </w:rPr>
        <w:t xml:space="preserve">frequently </w:t>
      </w:r>
      <w:r w:rsidR="0008114B" w:rsidRPr="00110B4D">
        <w:rPr>
          <w:sz w:val="22"/>
          <w:szCs w:val="22"/>
          <w:lang w:val="en-GB"/>
        </w:rPr>
        <w:t xml:space="preserve">results </w:t>
      </w:r>
      <w:r w:rsidR="0008114B" w:rsidRPr="00110B4D">
        <w:rPr>
          <w:sz w:val="22"/>
          <w:szCs w:val="22"/>
          <w:lang w:val="en-GB"/>
        </w:rPr>
        <w:lastRenderedPageBreak/>
        <w:t xml:space="preserve">in death, resulting in loss of the QALYs that would have been accrued for that patient. Hence, treatment efficacy is the key driver of QALY gains in the Pfizer model (as shown in </w:t>
      </w:r>
      <w:r w:rsidR="0008114B" w:rsidRPr="00110B4D">
        <w:rPr>
          <w:sz w:val="22"/>
          <w:szCs w:val="22"/>
          <w:lang w:val="en-GB"/>
        </w:rPr>
        <w:fldChar w:fldCharType="begin"/>
      </w:r>
      <w:r w:rsidR="0008114B" w:rsidRPr="00110B4D">
        <w:rPr>
          <w:sz w:val="22"/>
          <w:szCs w:val="22"/>
          <w:lang w:val="en-GB"/>
        </w:rPr>
        <w:instrText xml:space="preserve"> REF _Ref90123801 \h </w:instrText>
      </w:r>
      <w:r w:rsidR="0008114B">
        <w:rPr>
          <w:sz w:val="22"/>
          <w:szCs w:val="22"/>
          <w:lang w:val="en-GB"/>
        </w:rPr>
        <w:instrText xml:space="preserve"> \* MERGEFORMAT </w:instrText>
      </w:r>
      <w:r w:rsidR="0008114B" w:rsidRPr="00110B4D">
        <w:rPr>
          <w:sz w:val="22"/>
          <w:szCs w:val="22"/>
          <w:lang w:val="en-GB"/>
        </w:rPr>
      </w:r>
      <w:r w:rsidR="0008114B" w:rsidRPr="00110B4D">
        <w:rPr>
          <w:sz w:val="22"/>
          <w:szCs w:val="22"/>
          <w:lang w:val="en-GB"/>
        </w:rPr>
        <w:fldChar w:fldCharType="separate"/>
      </w:r>
      <w:r w:rsidR="0008114B" w:rsidRPr="00663A8E">
        <w:rPr>
          <w:sz w:val="22"/>
          <w:szCs w:val="22"/>
        </w:rPr>
        <w:t xml:space="preserve">Figure </w:t>
      </w:r>
      <w:r w:rsidR="0008114B" w:rsidRPr="00663A8E">
        <w:rPr>
          <w:noProof/>
          <w:sz w:val="22"/>
          <w:szCs w:val="22"/>
        </w:rPr>
        <w:t>2</w:t>
      </w:r>
      <w:r w:rsidR="0008114B" w:rsidRPr="00110B4D">
        <w:rPr>
          <w:sz w:val="22"/>
          <w:szCs w:val="22"/>
          <w:lang w:val="en-GB"/>
        </w:rPr>
        <w:fldChar w:fldCharType="end"/>
      </w:r>
      <w:r w:rsidR="0008114B" w:rsidRPr="00110B4D">
        <w:rPr>
          <w:sz w:val="22"/>
          <w:szCs w:val="22"/>
          <w:lang w:val="en-GB"/>
        </w:rPr>
        <w:t>).</w:t>
      </w:r>
    </w:p>
    <w:p w14:paraId="0CCE431F" w14:textId="77777777" w:rsidR="0008114B" w:rsidRDefault="0008114B" w:rsidP="0008114B">
      <w:pPr>
        <w:pStyle w:val="NICEnormal"/>
        <w:rPr>
          <w:sz w:val="22"/>
          <w:szCs w:val="22"/>
          <w:lang w:val="en-GB"/>
        </w:rPr>
      </w:pPr>
      <w:r>
        <w:rPr>
          <w:sz w:val="22"/>
          <w:szCs w:val="22"/>
          <w:lang w:val="en-GB" w:eastAsia="en-GB"/>
        </w:rPr>
        <w:t xml:space="preserve">As death is the </w:t>
      </w:r>
      <w:r w:rsidRPr="00F17126">
        <w:rPr>
          <w:sz w:val="22"/>
          <w:szCs w:val="22"/>
          <w:lang w:val="en-GB" w:eastAsia="en-GB"/>
        </w:rPr>
        <w:t>most probable outcome of unsuccessful treatment</w:t>
      </w:r>
      <w:r>
        <w:rPr>
          <w:sz w:val="22"/>
          <w:szCs w:val="22"/>
          <w:lang w:val="en-GB" w:eastAsia="en-GB"/>
        </w:rPr>
        <w:t xml:space="preserve">, a </w:t>
      </w:r>
      <w:r w:rsidRPr="006D3CF8">
        <w:rPr>
          <w:sz w:val="22"/>
          <w:szCs w:val="22"/>
          <w:lang w:val="en-GB" w:eastAsia="en-GB"/>
        </w:rPr>
        <w:t>QALY gain of 0.1</w:t>
      </w:r>
      <w:r>
        <w:rPr>
          <w:sz w:val="22"/>
          <w:szCs w:val="22"/>
          <w:lang w:val="en-GB" w:eastAsia="en-GB"/>
        </w:rPr>
        <w:t>–</w:t>
      </w:r>
      <w:r w:rsidRPr="006D3CF8">
        <w:rPr>
          <w:sz w:val="22"/>
          <w:szCs w:val="22"/>
          <w:lang w:val="en-GB" w:eastAsia="en-GB"/>
        </w:rPr>
        <w:t>0.2</w:t>
      </w:r>
      <w:r>
        <w:rPr>
          <w:sz w:val="22"/>
          <w:szCs w:val="22"/>
          <w:lang w:val="en-GB" w:eastAsia="en-GB"/>
        </w:rPr>
        <w:t xml:space="preserve"> per patient (per the EEPRU model) appears to lack face validity where the likelihood of successful treatment</w:t>
      </w:r>
      <w:r w:rsidRPr="006D3CF8">
        <w:rPr>
          <w:sz w:val="22"/>
          <w:szCs w:val="22"/>
          <w:lang w:val="en-GB" w:eastAsia="en-GB"/>
        </w:rPr>
        <w:t xml:space="preserve"> </w:t>
      </w:r>
      <w:r>
        <w:rPr>
          <w:sz w:val="22"/>
          <w:szCs w:val="22"/>
          <w:lang w:val="en-GB" w:eastAsia="en-GB"/>
        </w:rPr>
        <w:t>is increased. CAZ-AVI</w:t>
      </w:r>
      <w:r w:rsidRPr="006D3CF8">
        <w:rPr>
          <w:sz w:val="22"/>
          <w:szCs w:val="22"/>
          <w:lang w:val="en-GB" w:eastAsia="en-GB"/>
        </w:rPr>
        <w:t xml:space="preserve"> is indicated in HAP/VAP</w:t>
      </w:r>
      <w:r>
        <w:rPr>
          <w:sz w:val="22"/>
          <w:szCs w:val="22"/>
          <w:lang w:val="en-GB" w:eastAsia="en-GB"/>
        </w:rPr>
        <w:t>,</w:t>
      </w:r>
      <w:r w:rsidRPr="006D3CF8">
        <w:rPr>
          <w:sz w:val="22"/>
          <w:szCs w:val="22"/>
          <w:lang w:val="en-GB" w:eastAsia="en-GB"/>
        </w:rPr>
        <w:t xml:space="preserve"> which has an estimated mortality rate of 30-70% and is estimated to increase hospital stays by 8 days.</w:t>
      </w:r>
      <w:r w:rsidRPr="006D3CF8">
        <w:rPr>
          <w:sz w:val="22"/>
          <w:szCs w:val="22"/>
          <w:lang w:val="en-GB" w:eastAsia="en-GB"/>
        </w:rPr>
        <w:fldChar w:fldCharType="begin"/>
      </w:r>
      <w:r>
        <w:rPr>
          <w:sz w:val="22"/>
          <w:szCs w:val="22"/>
          <w:lang w:val="en-GB" w:eastAsia="en-GB"/>
        </w:rPr>
        <w:instrText xml:space="preserve"> ADDIN EN.CITE &lt;EndNote&gt;&lt;Cite&gt;&lt;Author&gt;National Institute for Health and Care Excellence&lt;/Author&gt;&lt;Year&gt;2019&lt;/Year&gt;&lt;RecNum&gt;23&lt;/RecNum&gt;&lt;DisplayText&gt;&lt;style face="superscript"&gt;14&lt;/style&gt;&lt;/DisplayText&gt;&lt;record&gt;&lt;rec-number&gt;23&lt;/rec-number&gt;&lt;foreign-keys&gt;&lt;key app="EN" db-id="pd5s0xr0250t2qevxfgxpvwp5eaztd2pavxx" timestamp="1638952356"&gt;23&lt;/key&gt;&lt;/foreign-keys&gt;&lt;ref-type name="Web Page"&gt;12&lt;/ref-type&gt;&lt;contributors&gt;&lt;authors&gt;&lt;author&gt;National Institute for Health and Care Excellence,&lt;/author&gt;&lt;/authors&gt;&lt;/contributors&gt;&lt;titles&gt;&lt;title&gt;Pneumonia (hospital- acquired): antimicrobial prescribing guideline &lt;/title&gt;&lt;/titles&gt;&lt;volume&gt;2020&lt;/volume&gt;&lt;number&gt;12/2020&lt;/number&gt;&lt;dates&gt;&lt;year&gt;2019&lt;/year&gt;&lt;/dates&gt;&lt;urls&gt;&lt;related-urls&gt;&lt;url&gt;https://www.nice.org.uk/guidance/ng139/&lt;/url&gt;&lt;/related-urls&gt;&lt;/urls&gt;&lt;/record&gt;&lt;/Cite&gt;&lt;/EndNote&gt;</w:instrText>
      </w:r>
      <w:r w:rsidRPr="006D3CF8">
        <w:rPr>
          <w:sz w:val="22"/>
          <w:szCs w:val="22"/>
          <w:lang w:val="en-GB" w:eastAsia="en-GB"/>
        </w:rPr>
        <w:fldChar w:fldCharType="separate"/>
      </w:r>
      <w:r w:rsidRPr="00576A39">
        <w:rPr>
          <w:noProof/>
          <w:sz w:val="22"/>
          <w:szCs w:val="22"/>
          <w:vertAlign w:val="superscript"/>
          <w:lang w:val="en-GB" w:eastAsia="en-GB"/>
        </w:rPr>
        <w:t>14</w:t>
      </w:r>
      <w:r w:rsidRPr="006D3CF8">
        <w:rPr>
          <w:sz w:val="22"/>
          <w:szCs w:val="22"/>
          <w:lang w:val="en-GB" w:eastAsia="en-GB"/>
        </w:rPr>
        <w:fldChar w:fldCharType="end"/>
      </w:r>
      <w:r w:rsidRPr="006D3CF8">
        <w:rPr>
          <w:sz w:val="22"/>
          <w:szCs w:val="22"/>
          <w:lang w:val="en-GB" w:eastAsia="en-GB"/>
        </w:rPr>
        <w:t xml:space="preserve"> In the Pfizer model</w:t>
      </w:r>
      <w:r>
        <w:rPr>
          <w:sz w:val="22"/>
          <w:szCs w:val="22"/>
          <w:lang w:val="en-GB" w:eastAsia="en-GB"/>
        </w:rPr>
        <w:t>,</w:t>
      </w:r>
      <w:r w:rsidRPr="006D3CF8">
        <w:rPr>
          <w:sz w:val="22"/>
          <w:szCs w:val="22"/>
          <w:lang w:val="en-GB" w:eastAsia="en-GB"/>
        </w:rPr>
        <w:t xml:space="preserve"> </w:t>
      </w:r>
      <w:r>
        <w:rPr>
          <w:sz w:val="22"/>
          <w:szCs w:val="22"/>
          <w:lang w:val="en-GB" w:eastAsia="en-GB"/>
        </w:rPr>
        <w:t xml:space="preserve">introduction of CAZ-AVI as an additional AM (i.e. in addition to existing AMs) avoided </w:t>
      </w:r>
      <w:r w:rsidRPr="006D3CF8">
        <w:rPr>
          <w:sz w:val="22"/>
          <w:szCs w:val="22"/>
          <w:lang w:val="en-GB" w:eastAsia="en-GB"/>
        </w:rPr>
        <w:t>1,095 deaths over a 10-year period in an estimated population of 28,317 HAP/VAP patien</w:t>
      </w:r>
      <w:r>
        <w:rPr>
          <w:sz w:val="22"/>
          <w:szCs w:val="22"/>
          <w:lang w:val="en-GB" w:eastAsia="en-GB"/>
        </w:rPr>
        <w:t xml:space="preserve">ts. In this context, </w:t>
      </w:r>
      <w:r w:rsidRPr="006D3CF8">
        <w:rPr>
          <w:sz w:val="22"/>
          <w:szCs w:val="22"/>
          <w:lang w:val="en-GB" w:eastAsia="en-GB"/>
        </w:rPr>
        <w:t>20,487 QALY gains</w:t>
      </w:r>
      <w:r>
        <w:rPr>
          <w:sz w:val="22"/>
          <w:szCs w:val="22"/>
          <w:lang w:val="en-GB" w:eastAsia="en-GB"/>
        </w:rPr>
        <w:t xml:space="preserve"> across the patient population can be considered more plausible</w:t>
      </w:r>
      <w:r w:rsidRPr="006D3CF8">
        <w:rPr>
          <w:sz w:val="22"/>
          <w:szCs w:val="22"/>
          <w:lang w:val="en-GB" w:eastAsia="en-GB"/>
        </w:rPr>
        <w:t>.</w:t>
      </w:r>
    </w:p>
    <w:p w14:paraId="5FF1A2EC" w14:textId="3FA92254" w:rsidR="0008114B" w:rsidRDefault="0008114B" w:rsidP="0008114B">
      <w:pPr>
        <w:pStyle w:val="Heading3"/>
        <w:jc w:val="left"/>
      </w:pPr>
      <w:bookmarkStart w:id="13" w:name="_Ref90270315"/>
      <w:r>
        <w:t>Resistance development</w:t>
      </w:r>
      <w:bookmarkEnd w:id="13"/>
    </w:p>
    <w:p w14:paraId="5696C914" w14:textId="77777777" w:rsidR="006A6027" w:rsidRPr="006A6027" w:rsidRDefault="006A6027" w:rsidP="006A6027"/>
    <w:p w14:paraId="54042D72" w14:textId="77777777" w:rsidR="0008114B" w:rsidRDefault="0008114B" w:rsidP="0008114B">
      <w:pPr>
        <w:spacing w:after="240" w:line="360" w:lineRule="auto"/>
        <w:rPr>
          <w:szCs w:val="22"/>
        </w:rPr>
      </w:pPr>
      <w:r>
        <w:rPr>
          <w:szCs w:val="22"/>
        </w:rPr>
        <w:t>T</w:t>
      </w:r>
      <w:r w:rsidRPr="00A573DE">
        <w:rPr>
          <w:szCs w:val="22"/>
        </w:rPr>
        <w:t xml:space="preserve">he EEPRU framework states that the economic model should </w:t>
      </w:r>
      <w:r>
        <w:rPr>
          <w:szCs w:val="22"/>
        </w:rPr>
        <w:t>reflect</w:t>
      </w:r>
      <w:r w:rsidRPr="00A573DE">
        <w:rPr>
          <w:szCs w:val="22"/>
        </w:rPr>
        <w:t xml:space="preserve"> associated resistance</w:t>
      </w:r>
      <w:r>
        <w:rPr>
          <w:szCs w:val="22"/>
        </w:rPr>
        <w:t xml:space="preserve"> development</w:t>
      </w:r>
      <w:r w:rsidRPr="00A573DE">
        <w:rPr>
          <w:szCs w:val="22"/>
        </w:rPr>
        <w:t>.</w:t>
      </w:r>
      <w:r w:rsidRPr="00A573DE">
        <w:rPr>
          <w:szCs w:val="22"/>
        </w:rPr>
        <w:fldChar w:fldCharType="begin"/>
      </w:r>
      <w:r>
        <w:rPr>
          <w:szCs w:val="22"/>
        </w:rPr>
        <w:instrText xml:space="preserve"> ADDIN EN.CITE &lt;EndNote&gt;&lt;Cite&gt;&lt;Author&gt;EEPRU&lt;/Author&gt;&lt;Year&gt;2018&lt;/Year&gt;&lt;RecNum&gt;9&lt;/RecNum&gt;&lt;DisplayText&gt;&lt;style face="superscript"&gt;3&lt;/style&gt;&lt;/DisplayText&gt;&lt;record&gt;&lt;rec-number&gt;9&lt;/rec-number&gt;&lt;foreign-keys&gt;&lt;key app="EN" db-id="pd5s0xr0250t2qevxfgxpvwp5eaztd2pavxx" timestamp="1638893203"&gt;9&lt;/key&gt;&lt;/foreign-keys&gt;&lt;ref-type name="Web Page"&gt;12&lt;/ref-type&gt;&lt;contributors&gt;&lt;authors&gt;&lt;author&gt;EEPRU&lt;/author&gt;&lt;/authors&gt;&lt;/contributors&gt;&lt;titles&gt;&lt;title&gt;Framework for value assessment of new antimicrobials - Implications of alternative funding arrangements for NICE appraisals&lt;/title&gt;&lt;/titles&gt;&lt;dates&gt;&lt;year&gt;2018&lt;/year&gt;&lt;/dates&gt;&lt;urls&gt;&lt;related-urls&gt;&lt;url&gt;http://www.eepru.org.uk/wp-content/uploads/2017/11/eepru-report-amr-oct-2018-059.pdf&lt;/url&gt;&lt;/related-urls&gt;&lt;/urls&gt;&lt;/record&gt;&lt;/Cite&gt;&lt;/EndNote&gt;</w:instrText>
      </w:r>
      <w:r w:rsidRPr="00A573DE">
        <w:rPr>
          <w:szCs w:val="22"/>
        </w:rPr>
        <w:fldChar w:fldCharType="separate"/>
      </w:r>
      <w:r w:rsidRPr="00B94641">
        <w:rPr>
          <w:noProof/>
          <w:szCs w:val="22"/>
          <w:vertAlign w:val="superscript"/>
        </w:rPr>
        <w:t>3</w:t>
      </w:r>
      <w:r w:rsidRPr="00A573DE">
        <w:rPr>
          <w:szCs w:val="22"/>
        </w:rPr>
        <w:fldChar w:fldCharType="end"/>
      </w:r>
      <w:r>
        <w:rPr>
          <w:szCs w:val="22"/>
        </w:rPr>
        <w:t xml:space="preserve"> The Pfizer model reflects resistance development in all modelled AMs and demonstrates that preventing resistance development in existing AMs is a significant aspect of value for novel AMs (as outlined in Section </w:t>
      </w:r>
      <w:r>
        <w:rPr>
          <w:szCs w:val="22"/>
        </w:rPr>
        <w:fldChar w:fldCharType="begin"/>
      </w:r>
      <w:r>
        <w:rPr>
          <w:szCs w:val="22"/>
        </w:rPr>
        <w:instrText xml:space="preserve"> REF _Ref90124217 \r \h </w:instrText>
      </w:r>
      <w:r>
        <w:rPr>
          <w:szCs w:val="22"/>
        </w:rPr>
      </w:r>
      <w:r>
        <w:rPr>
          <w:szCs w:val="22"/>
        </w:rPr>
        <w:fldChar w:fldCharType="separate"/>
      </w:r>
      <w:r>
        <w:rPr>
          <w:szCs w:val="22"/>
        </w:rPr>
        <w:t>2.2</w:t>
      </w:r>
      <w:r>
        <w:rPr>
          <w:szCs w:val="22"/>
        </w:rPr>
        <w:fldChar w:fldCharType="end"/>
      </w:r>
      <w:r>
        <w:rPr>
          <w:szCs w:val="22"/>
        </w:rPr>
        <w:t>); preventing resistance development supports improved outcomes for all AMs, resulting in reduced unsuccessful treatment. However, the EEPRU approach captures development of resistance to CAZ-AVI but has not assessed resistance development for existing AMs; this significantly underestimates the value of novel AMs and overestimates the value of current AMs.</w:t>
      </w:r>
    </w:p>
    <w:p w14:paraId="3F5055F7" w14:textId="77777777" w:rsidR="0008114B" w:rsidRPr="006D3CF8" w:rsidRDefault="0008114B" w:rsidP="0008114B">
      <w:pPr>
        <w:spacing w:after="240" w:line="360" w:lineRule="auto"/>
        <w:rPr>
          <w:szCs w:val="22"/>
        </w:rPr>
      </w:pPr>
      <w:r>
        <w:rPr>
          <w:szCs w:val="22"/>
        </w:rPr>
        <w:t xml:space="preserve">Of </w:t>
      </w:r>
      <w:proofErr w:type="gramStart"/>
      <w:r>
        <w:rPr>
          <w:szCs w:val="22"/>
        </w:rPr>
        <w:t>particular note</w:t>
      </w:r>
      <w:proofErr w:type="gramEnd"/>
      <w:r>
        <w:rPr>
          <w:szCs w:val="22"/>
        </w:rPr>
        <w:t>, scenarios conducted by EEPRU assessing resistance development for CAZ-AVI</w:t>
      </w:r>
      <w:r w:rsidRPr="006D3CF8">
        <w:rPr>
          <w:szCs w:val="22"/>
        </w:rPr>
        <w:t xml:space="preserve"> </w:t>
      </w:r>
      <w:r>
        <w:rPr>
          <w:szCs w:val="22"/>
        </w:rPr>
        <w:t>(</w:t>
      </w:r>
      <w:r w:rsidRPr="006D3CF8">
        <w:rPr>
          <w:szCs w:val="22"/>
        </w:rPr>
        <w:t>1%, 5%, 10% and 30%</w:t>
      </w:r>
      <w:r>
        <w:rPr>
          <w:szCs w:val="22"/>
        </w:rPr>
        <w:t>) are highly likely to be overestimates</w:t>
      </w:r>
      <w:r w:rsidRPr="006D3CF8">
        <w:rPr>
          <w:szCs w:val="22"/>
        </w:rPr>
        <w:t xml:space="preserve">. </w:t>
      </w:r>
      <w:r>
        <w:rPr>
          <w:szCs w:val="22"/>
        </w:rPr>
        <w:t>CAZ-AVI</w:t>
      </w:r>
      <w:r w:rsidRPr="006D3CF8">
        <w:rPr>
          <w:szCs w:val="22"/>
        </w:rPr>
        <w:t xml:space="preserve"> has been increasingly used </w:t>
      </w:r>
      <w:r>
        <w:rPr>
          <w:szCs w:val="22"/>
        </w:rPr>
        <w:t>in UK clinical practice</w:t>
      </w:r>
      <w:r w:rsidRPr="006D3CF8">
        <w:rPr>
          <w:szCs w:val="22"/>
        </w:rPr>
        <w:t xml:space="preserve"> with very strong AMS safeguards and has had negligible reporting of true resistance in the UK.</w:t>
      </w:r>
      <w:r>
        <w:rPr>
          <w:szCs w:val="22"/>
        </w:rPr>
        <w:t xml:space="preserve"> Resistance rates for </w:t>
      </w:r>
      <w:r w:rsidRPr="006D3CF8">
        <w:rPr>
          <w:szCs w:val="22"/>
        </w:rPr>
        <w:t xml:space="preserve">commonly used </w:t>
      </w:r>
      <w:r>
        <w:rPr>
          <w:szCs w:val="22"/>
        </w:rPr>
        <w:t>AM</w:t>
      </w:r>
      <w:r w:rsidRPr="006D3CF8">
        <w:rPr>
          <w:szCs w:val="22"/>
        </w:rPr>
        <w:t xml:space="preserve">s </w:t>
      </w:r>
      <w:r w:rsidRPr="00D60AA6">
        <w:rPr>
          <w:szCs w:val="22"/>
        </w:rPr>
        <w:t xml:space="preserve">do not exceed 20% even for </w:t>
      </w:r>
      <w:r>
        <w:rPr>
          <w:szCs w:val="22"/>
        </w:rPr>
        <w:t>AMs</w:t>
      </w:r>
      <w:r w:rsidRPr="00D60AA6">
        <w:rPr>
          <w:szCs w:val="22"/>
        </w:rPr>
        <w:t xml:space="preserve"> that have been on the market for over 30 years</w:t>
      </w:r>
      <w:r>
        <w:rPr>
          <w:szCs w:val="22"/>
        </w:rPr>
        <w:t xml:space="preserve">, </w:t>
      </w:r>
      <w:proofErr w:type="gramStart"/>
      <w:r>
        <w:rPr>
          <w:szCs w:val="22"/>
        </w:rPr>
        <w:t>with the exception of</w:t>
      </w:r>
      <w:proofErr w:type="gramEnd"/>
      <w:r>
        <w:rPr>
          <w:szCs w:val="22"/>
        </w:rPr>
        <w:t xml:space="preserve"> </w:t>
      </w:r>
      <w:r w:rsidRPr="006D3CF8">
        <w:rPr>
          <w:szCs w:val="22"/>
        </w:rPr>
        <w:t>co</w:t>
      </w:r>
      <w:r w:rsidRPr="006D3CF8">
        <w:rPr>
          <w:szCs w:val="22"/>
        </w:rPr>
        <w:noBreakHyphen/>
        <w:t>amoxiclav</w:t>
      </w:r>
      <w:r>
        <w:rPr>
          <w:szCs w:val="22"/>
        </w:rPr>
        <w:t xml:space="preserve">, which is </w:t>
      </w:r>
      <w:r w:rsidRPr="006D3CF8">
        <w:rPr>
          <w:szCs w:val="22"/>
        </w:rPr>
        <w:t>characterised by poor stewardship and indiscriminate use across healthcare</w:t>
      </w:r>
      <w:r>
        <w:rPr>
          <w:szCs w:val="22"/>
        </w:rPr>
        <w:t>. Further, these AMs</w:t>
      </w:r>
      <w:r w:rsidRPr="006D3CF8">
        <w:rPr>
          <w:szCs w:val="22"/>
        </w:rPr>
        <w:t xml:space="preserve"> are </w:t>
      </w:r>
      <w:r>
        <w:rPr>
          <w:szCs w:val="22"/>
        </w:rPr>
        <w:t xml:space="preserve">frequently </w:t>
      </w:r>
      <w:r w:rsidRPr="006D3CF8">
        <w:rPr>
          <w:szCs w:val="22"/>
        </w:rPr>
        <w:t>used empirically</w:t>
      </w:r>
      <w:r>
        <w:rPr>
          <w:szCs w:val="22"/>
        </w:rPr>
        <w:t xml:space="preserve">, </w:t>
      </w:r>
      <w:r w:rsidRPr="006D3CF8">
        <w:rPr>
          <w:szCs w:val="22"/>
        </w:rPr>
        <w:t>sometimes without sensitivity data which may or may not become available</w:t>
      </w:r>
      <w:r>
        <w:rPr>
          <w:szCs w:val="22"/>
        </w:rPr>
        <w:t xml:space="preserve"> during treatment</w:t>
      </w:r>
      <w:r w:rsidRPr="006D3CF8">
        <w:rPr>
          <w:szCs w:val="22"/>
        </w:rPr>
        <w:t xml:space="preserve">. </w:t>
      </w:r>
      <w:r>
        <w:rPr>
          <w:szCs w:val="22"/>
        </w:rPr>
        <w:t>In this context, t</w:t>
      </w:r>
      <w:r w:rsidRPr="006D3CF8">
        <w:rPr>
          <w:szCs w:val="22"/>
        </w:rPr>
        <w:t>he estimates for CAZ-AVI. To complete this picture, Pfizer must consider carbapenem usage which still sits 63.4/100,000 DDDs and a carbapenem resistance rate estimated at 1% of all Gram-negative infections.</w:t>
      </w:r>
      <w:r>
        <w:rPr>
          <w:szCs w:val="22"/>
        </w:rPr>
        <w:fldChar w:fldCharType="begin"/>
      </w:r>
      <w:r>
        <w:rPr>
          <w:szCs w:val="22"/>
        </w:rPr>
        <w:instrText xml:space="preserve"> ADDIN EN.CITE &lt;EndNote&gt;&lt;Cite ExcludeYear="1"&gt;&lt;Author&gt;Public Health England.&lt;/Author&gt;&lt;RecNum&gt;36&lt;/RecNum&gt;&lt;DisplayText&gt;&lt;style face="superscript"&gt;15&lt;/style&gt;&lt;/DisplayText&gt;&lt;record&gt;&lt;rec-number&gt;36&lt;/rec-number&gt;&lt;foreign-keys&gt;&lt;key app="EN" db-id="pd5s0xr0250t2qevxfgxpvwp5eaztd2pavxx" timestamp="1639426922"&gt;36&lt;/key&gt;&lt;/foreign-keys&gt;&lt;ref-type name="Web Page"&gt;12&lt;/ref-type&gt;&lt;contributors&gt;&lt;authors&gt;&lt;author&gt;Public Health England.,&lt;/author&gt;&lt;/authors&gt;&lt;/contributors&gt;&lt;titles&gt;&lt;title&gt;AMR local indicators - Fingertips profile&lt;/title&gt;&lt;/titles&gt;&lt;volume&gt;26 January 2021&lt;/volume&gt;&lt;dates&gt;&lt;/dates&gt;&lt;urls&gt;&lt;related-urls&gt;&lt;url&gt;https://fingertips.phe.org.uk/profile/amr-local-indicators&lt;/url&gt;&lt;/related-urls&gt;&lt;/urls&gt;&lt;/record&gt;&lt;/Cite&gt;&lt;/EndNote&gt;</w:instrText>
      </w:r>
      <w:r>
        <w:rPr>
          <w:szCs w:val="22"/>
        </w:rPr>
        <w:fldChar w:fldCharType="separate"/>
      </w:r>
      <w:r w:rsidRPr="00576A39">
        <w:rPr>
          <w:noProof/>
          <w:szCs w:val="22"/>
          <w:vertAlign w:val="superscript"/>
        </w:rPr>
        <w:t>15</w:t>
      </w:r>
      <w:r>
        <w:rPr>
          <w:szCs w:val="22"/>
        </w:rPr>
        <w:fldChar w:fldCharType="end"/>
      </w:r>
      <w:r w:rsidRPr="006D3CF8">
        <w:rPr>
          <w:szCs w:val="22"/>
        </w:rPr>
        <w:t xml:space="preserve"> </w:t>
      </w:r>
    </w:p>
    <w:p w14:paraId="5309F6E6" w14:textId="2E663865" w:rsidR="0008114B" w:rsidRDefault="0008114B" w:rsidP="0008114B">
      <w:pPr>
        <w:pStyle w:val="NICEnormal"/>
      </w:pPr>
      <w:r>
        <w:rPr>
          <w:sz w:val="22"/>
          <w:szCs w:val="22"/>
          <w:lang w:val="en-GB"/>
        </w:rPr>
        <w:t xml:space="preserve">Pfizer would highlight that mean consideration of these baseline resistance scenarios significantly lacks face validity, especially when viewed in parallel with the proposed patient numbers. That said, for openness, </w:t>
      </w:r>
      <w:r w:rsidRPr="006D3CF8">
        <w:rPr>
          <w:sz w:val="22"/>
          <w:szCs w:val="22"/>
          <w:lang w:val="en-GB"/>
        </w:rPr>
        <w:t xml:space="preserve">Pfizer did run a scenario analysis where treatment efficacy and baseline resistance was varied using the resistant rates that EEPRU </w:t>
      </w:r>
      <w:r w:rsidRPr="00882090">
        <w:rPr>
          <w:sz w:val="22"/>
          <w:szCs w:val="22"/>
          <w:lang w:val="en-GB"/>
        </w:rPr>
        <w:t>used in its assessment (</w:t>
      </w:r>
      <w:r w:rsidRPr="00882090">
        <w:rPr>
          <w:sz w:val="22"/>
          <w:szCs w:val="22"/>
          <w:lang w:val="en-GB"/>
        </w:rPr>
        <w:fldChar w:fldCharType="begin"/>
      </w:r>
      <w:r w:rsidRPr="00882090">
        <w:rPr>
          <w:sz w:val="22"/>
          <w:szCs w:val="22"/>
          <w:lang w:val="en-GB"/>
        </w:rPr>
        <w:instrText xml:space="preserve"> REF _Ref90123801 \h </w:instrText>
      </w:r>
      <w:r>
        <w:rPr>
          <w:sz w:val="22"/>
          <w:szCs w:val="22"/>
          <w:lang w:val="en-GB"/>
        </w:rPr>
        <w:instrText xml:space="preserve"> \* MERGEFORMAT </w:instrText>
      </w:r>
      <w:r w:rsidRPr="00882090">
        <w:rPr>
          <w:sz w:val="22"/>
          <w:szCs w:val="22"/>
          <w:lang w:val="en-GB"/>
        </w:rPr>
      </w:r>
      <w:r w:rsidRPr="00882090">
        <w:rPr>
          <w:sz w:val="22"/>
          <w:szCs w:val="22"/>
          <w:lang w:val="en-GB"/>
        </w:rPr>
        <w:fldChar w:fldCharType="separate"/>
      </w:r>
      <w:r w:rsidRPr="00663A8E">
        <w:rPr>
          <w:sz w:val="22"/>
          <w:szCs w:val="22"/>
        </w:rPr>
        <w:t xml:space="preserve">Figure </w:t>
      </w:r>
      <w:r w:rsidRPr="00663A8E">
        <w:rPr>
          <w:noProof/>
          <w:sz w:val="22"/>
          <w:szCs w:val="22"/>
        </w:rPr>
        <w:t>2</w:t>
      </w:r>
      <w:r w:rsidRPr="00882090">
        <w:rPr>
          <w:sz w:val="22"/>
          <w:szCs w:val="22"/>
          <w:lang w:val="en-GB"/>
        </w:rPr>
        <w:fldChar w:fldCharType="end"/>
      </w:r>
      <w:r w:rsidRPr="00882090">
        <w:rPr>
          <w:sz w:val="22"/>
          <w:szCs w:val="22"/>
          <w:lang w:val="en-GB"/>
        </w:rPr>
        <w:t xml:space="preserve">). As previously noted, </w:t>
      </w:r>
      <w:r w:rsidRPr="00882090">
        <w:rPr>
          <w:sz w:val="22"/>
          <w:szCs w:val="22"/>
          <w:lang w:val="en-GB"/>
        </w:rPr>
        <w:lastRenderedPageBreak/>
        <w:t xml:space="preserve">treatment efficacy is the key driver, regardless of baseline resistance rates. </w:t>
      </w:r>
      <w:r>
        <w:rPr>
          <w:noProof/>
        </w:rPr>
        <w:drawing>
          <wp:inline distT="0" distB="0" distL="0" distR="0" wp14:anchorId="1CCF30DB" wp14:editId="458B9C2E">
            <wp:extent cx="6205230" cy="2000250"/>
            <wp:effectExtent l="0" t="0" r="508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71890" cy="2053973"/>
                    </a:xfrm>
                    <a:prstGeom prst="rect">
                      <a:avLst/>
                    </a:prstGeom>
                    <a:noFill/>
                  </pic:spPr>
                </pic:pic>
              </a:graphicData>
            </a:graphic>
          </wp:inline>
        </w:drawing>
      </w:r>
    </w:p>
    <w:p w14:paraId="4051C1FA" w14:textId="77777777" w:rsidR="0008114B" w:rsidRPr="00A573DE" w:rsidRDefault="0008114B" w:rsidP="0008114B">
      <w:pPr>
        <w:pStyle w:val="Caption"/>
      </w:pPr>
      <w:bookmarkStart w:id="14" w:name="_Ref90123801"/>
      <w:r>
        <w:t xml:space="preserve">Figure </w:t>
      </w:r>
      <w:r>
        <w:fldChar w:fldCharType="begin"/>
      </w:r>
      <w:r>
        <w:instrText>SEQ Figure \* ARABIC</w:instrText>
      </w:r>
      <w:r>
        <w:fldChar w:fldCharType="separate"/>
      </w:r>
      <w:r>
        <w:rPr>
          <w:noProof/>
        </w:rPr>
        <w:t>2</w:t>
      </w:r>
      <w:r>
        <w:fldChar w:fldCharType="end"/>
      </w:r>
      <w:bookmarkEnd w:id="14"/>
      <w:r>
        <w:t xml:space="preserve">. </w:t>
      </w:r>
      <w:r w:rsidRPr="00110B4D">
        <w:t xml:space="preserve">Heatmap of treatment efficacy and baseline resistance of </w:t>
      </w:r>
      <w:r>
        <w:t>CAZ-AVI</w:t>
      </w:r>
    </w:p>
    <w:p w14:paraId="21AE14F1" w14:textId="77777777" w:rsidR="0008114B" w:rsidRDefault="0008114B">
      <w:pPr>
        <w:rPr>
          <w:b/>
          <w:bCs/>
          <w:lang w:eastAsia="en-GB"/>
        </w:rPr>
      </w:pPr>
      <w:bookmarkStart w:id="15" w:name="_Ref90130344"/>
      <w:r>
        <w:rPr>
          <w:lang w:eastAsia="en-GB"/>
        </w:rPr>
        <w:br w:type="page"/>
      </w:r>
    </w:p>
    <w:p w14:paraId="1B8B674B" w14:textId="31859A09" w:rsidR="0008114B" w:rsidRPr="00681DEB" w:rsidRDefault="0008114B" w:rsidP="0008114B">
      <w:pPr>
        <w:pStyle w:val="Heading1"/>
        <w:numPr>
          <w:ilvl w:val="0"/>
          <w:numId w:val="27"/>
        </w:numPr>
        <w:rPr>
          <w:sz w:val="24"/>
          <w:szCs w:val="22"/>
          <w:lang w:eastAsia="en-GB"/>
        </w:rPr>
      </w:pPr>
      <w:bookmarkStart w:id="16" w:name="_Ref90421680"/>
      <w:r w:rsidRPr="00681DEB">
        <w:rPr>
          <w:sz w:val="24"/>
          <w:szCs w:val="22"/>
          <w:lang w:eastAsia="en-GB"/>
        </w:rPr>
        <w:lastRenderedPageBreak/>
        <w:t xml:space="preserve">Model </w:t>
      </w:r>
      <w:r w:rsidR="00DA6EB5" w:rsidRPr="00681DEB">
        <w:rPr>
          <w:sz w:val="24"/>
          <w:szCs w:val="22"/>
          <w:lang w:eastAsia="en-GB"/>
        </w:rPr>
        <w:t>va</w:t>
      </w:r>
      <w:r w:rsidRPr="00681DEB">
        <w:rPr>
          <w:sz w:val="24"/>
          <w:szCs w:val="22"/>
          <w:lang w:eastAsia="en-GB"/>
        </w:rPr>
        <w:t>lidation</w:t>
      </w:r>
      <w:bookmarkEnd w:id="15"/>
      <w:bookmarkEnd w:id="16"/>
    </w:p>
    <w:p w14:paraId="4E06690F" w14:textId="77777777" w:rsidR="0008114B" w:rsidRPr="00A573DE" w:rsidRDefault="0008114B" w:rsidP="0008114B">
      <w:pPr>
        <w:spacing w:line="276" w:lineRule="auto"/>
        <w:rPr>
          <w:lang w:eastAsia="en-GB"/>
        </w:rPr>
      </w:pPr>
    </w:p>
    <w:tbl>
      <w:tblPr>
        <w:tblStyle w:val="TableGrid"/>
        <w:tblW w:w="0" w:type="auto"/>
        <w:tblInd w:w="679"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8237"/>
      </w:tblGrid>
      <w:tr w:rsidR="0008114B" w:rsidRPr="00A573DE" w14:paraId="0386C6AB" w14:textId="77777777" w:rsidTr="0008114B">
        <w:trPr>
          <w:trHeight w:val="312"/>
        </w:trPr>
        <w:tc>
          <w:tcPr>
            <w:tcW w:w="8237" w:type="dxa"/>
            <w:shd w:val="clear" w:color="auto" w:fill="F2F2F2" w:themeFill="background1" w:themeFillShade="F2"/>
          </w:tcPr>
          <w:p w14:paraId="66F942DB" w14:textId="77777777" w:rsidR="0008114B" w:rsidRPr="00A573DE" w:rsidRDefault="0008114B" w:rsidP="0008114B">
            <w:pPr>
              <w:pStyle w:val="NICEnormal"/>
              <w:spacing w:line="276" w:lineRule="auto"/>
              <w:rPr>
                <w:b/>
                <w:bCs/>
                <w:i/>
                <w:iCs/>
                <w:color w:val="808080" w:themeColor="background1" w:themeShade="80"/>
                <w:lang w:val="en-GB"/>
              </w:rPr>
            </w:pPr>
            <w:r w:rsidRPr="00F012A6">
              <w:rPr>
                <w:b/>
                <w:bCs/>
                <w:i/>
                <w:iCs/>
                <w:lang w:val="en-GB"/>
              </w:rPr>
              <w:t xml:space="preserve">Key messages </w:t>
            </w:r>
          </w:p>
        </w:tc>
      </w:tr>
      <w:tr w:rsidR="0008114B" w:rsidRPr="00A573DE" w14:paraId="6C73409E" w14:textId="77777777" w:rsidTr="0008114B">
        <w:tc>
          <w:tcPr>
            <w:tcW w:w="8237" w:type="dxa"/>
          </w:tcPr>
          <w:p w14:paraId="6480524E" w14:textId="77777777" w:rsidR="0008114B" w:rsidRDefault="0008114B" w:rsidP="0008114B">
            <w:pPr>
              <w:pStyle w:val="Bullets"/>
              <w:ind w:left="447"/>
            </w:pPr>
            <w:r>
              <w:t>EEPRU conducted elicitation exercises and did not validate inputs against historical data. Exercises were limited to the time and resource constraints available. Using processes deemed to be “less complex and easier […] and not as robust and thorough as a Delphi Panel”</w:t>
            </w:r>
            <w:r>
              <w:rPr>
                <w:rFonts w:cs="Arial"/>
                <w:bCs/>
                <w:sz w:val="20"/>
              </w:rPr>
              <w:t xml:space="preserve"> </w:t>
            </w:r>
            <w:r>
              <w:rPr>
                <w:rFonts w:cs="Arial"/>
                <w:bCs/>
                <w:sz w:val="20"/>
              </w:rPr>
              <w:fldChar w:fldCharType="begin"/>
            </w:r>
            <w:r>
              <w:rPr>
                <w:rFonts w:cs="Arial"/>
                <w:bCs/>
                <w:sz w:val="20"/>
              </w:rPr>
              <w:instrText xml:space="preserve"> ADDIN EN.CITE &lt;EndNote&gt;&lt;Cite&gt;&lt;Author&gt;Zondervan-Zwijnenburg&lt;/Author&gt;&lt;Year&gt;2017&lt;/Year&gt;&lt;RecNum&gt;31&lt;/RecNum&gt;&lt;DisplayText&gt;&lt;style face="superscript"&gt;9&lt;/style&gt;&lt;/DisplayText&gt;&lt;record&gt;&lt;rec-number&gt;31&lt;/rec-number&gt;&lt;foreign-keys&gt;&lt;key app="EN" db-id="pd5s0xr0250t2qevxfgxpvwp5eaztd2pavxx" timestamp="1639408042"&gt;31&lt;/key&gt;&lt;/foreign-keys&gt;&lt;ref-type name="Journal Article"&gt;17&lt;/ref-type&gt;&lt;contributors&gt;&lt;authors&gt;&lt;author&gt;Zondervan-Zwijnenburg, M.&lt;/author&gt;&lt;author&gt;van de Schoot-Hubeek, W.&lt;/author&gt;&lt;author&gt;Lek, K.&lt;/author&gt;&lt;author&gt;Hoijtink, H.&lt;/author&gt;&lt;author&gt;van de Schoot, R.&lt;/author&gt;&lt;/authors&gt;&lt;/contributors&gt;&lt;auth-address&gt;Department of Methods and Statistics, Utrecht University Utrecht, Netherlands.&amp;#xD;Schreuder College Location Villeneuvestraat, Horizon Jeugdzorg en Onderwijs [Horizon Youth Care and Education] Rotterdam, Netherlands.&amp;#xD;Department of Methods and Statistics, Utrecht UniversityUtrecht, Netherlands; CITO Institute for Educational MeasurementArnhem, Netherlands.&amp;#xD;Department of Methods and Statistics, Utrecht UniversityUtrecht, Netherlands; Optentia Research Focus Area, North-West UniversityPotchefstroom, South-Africa.&lt;/auth-address&gt;&lt;titles&gt;&lt;title&gt;Application and Evaluation of an Expert Judgment Elicitation Procedure for Correlations&lt;/title&gt;&lt;secondary-title&gt;Front Psychol&lt;/secondary-title&gt;&lt;/titles&gt;&lt;periodical&gt;&lt;full-title&gt;Front Psychol&lt;/full-title&gt;&lt;/periodical&gt;&lt;pages&gt;90&lt;/pages&gt;&lt;volume&gt;8&lt;/volume&gt;&lt;edition&gt;2017/02/16&lt;/edition&gt;&lt;keywords&gt;&lt;keyword&gt;Bayesian analysis&lt;/keyword&gt;&lt;keyword&gt;correlation&lt;/keyword&gt;&lt;keyword&gt;elicitation procedure&lt;/keyword&gt;&lt;keyword&gt;expert judgment&lt;/keyword&gt;&lt;keyword&gt;informative priors&lt;/keyword&gt;&lt;/keywords&gt;&lt;dates&gt;&lt;year&gt;2017&lt;/year&gt;&lt;/dates&gt;&lt;isbn&gt;1664-1078 (Print)&amp;#xD;1664-1078 (Linking)&lt;/isbn&gt;&lt;accession-num&gt;28197115&lt;/accession-num&gt;&lt;urls&gt;&lt;related-urls&gt;&lt;url&gt;https://www.ncbi.nlm.nih.gov/pubmed/28197115&lt;/url&gt;&lt;/related-urls&gt;&lt;/urls&gt;&lt;custom2&gt;PMC5282462&lt;/custom2&gt;&lt;electronic-resource-num&gt;10.3389/fpsyg.2017.00090&lt;/electronic-resource-num&gt;&lt;/record&gt;&lt;/Cite&gt;&lt;/EndNote&gt;</w:instrText>
            </w:r>
            <w:r>
              <w:rPr>
                <w:rFonts w:cs="Arial"/>
                <w:bCs/>
                <w:sz w:val="20"/>
              </w:rPr>
              <w:fldChar w:fldCharType="separate"/>
            </w:r>
            <w:r w:rsidRPr="00576A39">
              <w:rPr>
                <w:rFonts w:cs="Arial"/>
                <w:bCs/>
                <w:noProof/>
                <w:sz w:val="20"/>
                <w:vertAlign w:val="superscript"/>
              </w:rPr>
              <w:t>9</w:t>
            </w:r>
            <w:r>
              <w:rPr>
                <w:rFonts w:cs="Arial"/>
                <w:bCs/>
                <w:sz w:val="20"/>
              </w:rPr>
              <w:fldChar w:fldCharType="end"/>
            </w:r>
            <w:r>
              <w:rPr>
                <w:rFonts w:cs="Arial"/>
                <w:bCs/>
                <w:sz w:val="20"/>
              </w:rPr>
              <w:t>.</w:t>
            </w:r>
          </w:p>
          <w:p w14:paraId="29E25F6A" w14:textId="77777777" w:rsidR="0008114B" w:rsidRPr="00A573DE" w:rsidRDefault="0008114B" w:rsidP="0008114B">
            <w:pPr>
              <w:pStyle w:val="Bullets"/>
              <w:ind w:left="447"/>
            </w:pPr>
            <w:r w:rsidRPr="00A573DE">
              <w:t xml:space="preserve">The </w:t>
            </w:r>
            <w:r>
              <w:t>company submission underwent significant validation; b</w:t>
            </w:r>
            <w:r w:rsidRPr="00A573DE">
              <w:t>ased o</w:t>
            </w:r>
            <w:r>
              <w:t>n</w:t>
            </w:r>
            <w:r w:rsidRPr="00A573DE">
              <w:t xml:space="preserve"> the recent Gordon et al.</w:t>
            </w:r>
            <w:r w:rsidRPr="00A573DE">
              <w:fldChar w:fldCharType="begin"/>
            </w:r>
            <w:r>
              <w:instrText xml:space="preserve"> ADDIN EN.CITE &lt;EndNote&gt;&lt;Cite&gt;&lt;Author&gt;Gordon&lt;/Author&gt;&lt;Year&gt;2020&lt;/Year&gt;&lt;RecNum&gt;11&lt;/RecNum&gt;&lt;DisplayText&gt;&lt;style face="superscript"&gt;5&lt;/style&gt;&lt;/DisplayText&gt;&lt;record&gt;&lt;rec-number&gt;11&lt;/rec-number&gt;&lt;foreign-keys&gt;&lt;key app="EN" db-id="pd5s0xr0250t2qevxfgxpvwp5eaztd2pavxx" timestamp="1638912392"&gt;11&lt;/key&gt;&lt;/foreign-keys&gt;&lt;ref-type name="Journal Article"&gt;17&lt;/ref-type&gt;&lt;contributors&gt;&lt;authors&gt;&lt;author&gt;Gordon, J.&lt;/author&gt;&lt;author&gt;Darlington, O.&lt;/author&gt;&lt;author&gt;McEwan, P.&lt;/author&gt;&lt;author&gt;Lumley, M.&lt;/author&gt;&lt;author&gt;Taie, A.&lt;/author&gt;&lt;author&gt;Hicks, M.&lt;/author&gt;&lt;author&gt;Charbonneau, C.&lt;/author&gt;&lt;author&gt;Blake, A.&lt;/author&gt;&lt;author&gt;Hawkins, N.&lt;/author&gt;&lt;author&gt;Goldenberg, S.&lt;/author&gt;&lt;author&gt;Otter, J.&lt;/author&gt;&lt;author&gt;Wilcox, M.&lt;/author&gt;&lt;/authors&gt;&lt;/contributors&gt;&lt;auth-address&gt;Health Economics and Outcomes Research Limited, Birmingham, UK. jason.gordon@heor.co.uk.&amp;#xD;Health Economics and Outcomes Research Limited, Cardiff, UK.&amp;#xD;Pfizer, Tadworth, UK.&amp;#xD;University of Glasgow, Glasgow, UK.&amp;#xD;Guy&amp;apos;s and St Thomas&amp;apos; NHS Foundation Trust, London, UK.&amp;#xD;Imperial College London, London, UK.&amp;#xD;University of Leeds, Leeds, UK.&lt;/auth-address&gt;&lt;titles&gt;&lt;title&gt;Estimating the Value of New Antimicrobials in the Context of Antimicrobial Resistance: Development and Application of a Dynamic Disease Transmission Model&lt;/title&gt;&lt;secondary-title&gt;Pharmacoeconomics&lt;/secondary-title&gt;&lt;/titles&gt;&lt;periodical&gt;&lt;full-title&gt;Pharmacoeconomics&lt;/full-title&gt;&lt;/periodical&gt;&lt;pages&gt;857-869&lt;/pages&gt;&lt;volume&gt;38&lt;/volume&gt;&lt;number&gt;8&lt;/number&gt;&lt;edition&gt;2020/04/07&lt;/edition&gt;&lt;dates&gt;&lt;year&gt;2020&lt;/year&gt;&lt;pub-dates&gt;&lt;date&gt;Aug&lt;/date&gt;&lt;/pub-dates&gt;&lt;/dates&gt;&lt;isbn&gt;1170-7690&lt;/isbn&gt;&lt;accession-num&gt;32249396&lt;/accession-num&gt;&lt;urls&gt;&lt;/urls&gt;&lt;electronic-resource-num&gt;10.1007/s40273-020-00906-6&lt;/electronic-resource-num&gt;&lt;remote-database-provider&gt;NLM&lt;/remote-database-provider&gt;&lt;language&gt;eng&lt;/language&gt;&lt;/record&gt;&lt;/Cite&gt;&lt;/EndNote&gt;</w:instrText>
            </w:r>
            <w:r w:rsidRPr="00A573DE">
              <w:fldChar w:fldCharType="separate"/>
            </w:r>
            <w:r w:rsidRPr="00B94641">
              <w:rPr>
                <w:noProof/>
                <w:vertAlign w:val="superscript"/>
              </w:rPr>
              <w:t>5</w:t>
            </w:r>
            <w:r w:rsidRPr="00A573DE">
              <w:fldChar w:fldCharType="end"/>
            </w:r>
            <w:r w:rsidRPr="00A573DE">
              <w:t xml:space="preserve"> publication and subjected to extensive external validation exercises to demonstrate the scientific rigour, relevance and the generalisability to the real-world setting. </w:t>
            </w:r>
            <w:r w:rsidRPr="0020066C">
              <w:t>Importantly, any assumptions were verified by a diverse range of external experts via a Delphi panel, with full documentation provided to EEPRU within the company submission</w:t>
            </w:r>
            <w:r>
              <w:t>.</w:t>
            </w:r>
          </w:p>
        </w:tc>
      </w:tr>
    </w:tbl>
    <w:p w14:paraId="1C82E8CF" w14:textId="77777777" w:rsidR="0008114B" w:rsidRPr="00A573DE" w:rsidRDefault="0008114B" w:rsidP="0008114B">
      <w:pPr>
        <w:pStyle w:val="NICEnormal"/>
        <w:spacing w:line="276" w:lineRule="auto"/>
        <w:rPr>
          <w:color w:val="242424"/>
          <w:lang w:val="en-GB" w:eastAsia="en-GB"/>
        </w:rPr>
      </w:pPr>
    </w:p>
    <w:p w14:paraId="652A06F8" w14:textId="77777777" w:rsidR="0008114B" w:rsidRDefault="0008114B" w:rsidP="0008114B">
      <w:pPr>
        <w:pStyle w:val="NICEnormal"/>
        <w:rPr>
          <w:color w:val="242424"/>
          <w:sz w:val="22"/>
          <w:szCs w:val="22"/>
          <w:lang w:val="en-GB" w:eastAsia="en-GB"/>
        </w:rPr>
      </w:pPr>
      <w:r>
        <w:rPr>
          <w:color w:val="242424"/>
          <w:sz w:val="22"/>
          <w:szCs w:val="22"/>
          <w:lang w:val="en-GB" w:eastAsia="en-GB"/>
        </w:rPr>
        <w:t>T</w:t>
      </w:r>
      <w:r w:rsidRPr="006D3CF8">
        <w:rPr>
          <w:color w:val="242424"/>
          <w:sz w:val="22"/>
          <w:szCs w:val="22"/>
          <w:lang w:val="en-GB" w:eastAsia="en-GB"/>
        </w:rPr>
        <w:t xml:space="preserve">he EEPRU model </w:t>
      </w:r>
      <w:r>
        <w:rPr>
          <w:color w:val="242424"/>
          <w:sz w:val="22"/>
          <w:szCs w:val="22"/>
          <w:lang w:val="en-GB" w:eastAsia="en-GB"/>
        </w:rPr>
        <w:t xml:space="preserve">was not able to undergo the robustness of expert </w:t>
      </w:r>
      <w:r w:rsidRPr="006D3CF8">
        <w:rPr>
          <w:color w:val="242424"/>
          <w:sz w:val="22"/>
          <w:szCs w:val="22"/>
          <w:lang w:val="en-GB" w:eastAsia="en-GB"/>
        </w:rPr>
        <w:t xml:space="preserve">peer-review </w:t>
      </w:r>
      <w:r>
        <w:rPr>
          <w:color w:val="242424"/>
          <w:sz w:val="22"/>
          <w:szCs w:val="22"/>
          <w:lang w:val="en-GB" w:eastAsia="en-GB"/>
        </w:rPr>
        <w:t xml:space="preserve">or be </w:t>
      </w:r>
      <w:r w:rsidRPr="006D3CF8">
        <w:rPr>
          <w:color w:val="242424"/>
          <w:sz w:val="22"/>
          <w:szCs w:val="22"/>
          <w:lang w:val="en-GB" w:eastAsia="en-GB"/>
        </w:rPr>
        <w:t xml:space="preserve">externally validated. </w:t>
      </w:r>
      <w:r>
        <w:rPr>
          <w:color w:val="242424"/>
          <w:sz w:val="22"/>
          <w:szCs w:val="22"/>
          <w:lang w:val="en-GB" w:eastAsia="en-GB"/>
        </w:rPr>
        <w:t xml:space="preserve">With techniques used limited by both the availability of resources and time. EEPRU outline that the approaches conducted were not as robust or thorough as a Delphi Panel. </w:t>
      </w:r>
    </w:p>
    <w:p w14:paraId="185A33A9" w14:textId="77777777" w:rsidR="0008114B" w:rsidRPr="006D3CF8" w:rsidRDefault="0008114B" w:rsidP="0008114B">
      <w:pPr>
        <w:pStyle w:val="NICEnormal"/>
        <w:rPr>
          <w:sz w:val="22"/>
          <w:szCs w:val="22"/>
          <w:lang w:val="en-GB"/>
        </w:rPr>
      </w:pPr>
      <w:r w:rsidRPr="006D3CF8">
        <w:rPr>
          <w:color w:val="242424"/>
          <w:sz w:val="22"/>
          <w:szCs w:val="22"/>
          <w:lang w:val="en-GB" w:eastAsia="en-GB"/>
        </w:rPr>
        <w:t xml:space="preserve">The Pfizer </w:t>
      </w:r>
      <w:r>
        <w:rPr>
          <w:color w:val="242424"/>
          <w:sz w:val="22"/>
          <w:szCs w:val="22"/>
          <w:lang w:val="en-GB" w:eastAsia="en-GB"/>
        </w:rPr>
        <w:t xml:space="preserve">modelling </w:t>
      </w:r>
      <w:r w:rsidRPr="006D3CF8">
        <w:rPr>
          <w:color w:val="242424"/>
          <w:sz w:val="22"/>
          <w:szCs w:val="22"/>
          <w:lang w:val="en-GB" w:eastAsia="en-GB"/>
        </w:rPr>
        <w:t xml:space="preserve">approach </w:t>
      </w:r>
      <w:r>
        <w:rPr>
          <w:color w:val="242424"/>
          <w:sz w:val="22"/>
          <w:szCs w:val="22"/>
          <w:lang w:val="en-GB" w:eastAsia="en-GB"/>
        </w:rPr>
        <w:t xml:space="preserve">was </w:t>
      </w:r>
      <w:r w:rsidRPr="006D3CF8">
        <w:rPr>
          <w:color w:val="242424"/>
          <w:sz w:val="22"/>
          <w:szCs w:val="22"/>
          <w:lang w:val="en-GB" w:eastAsia="en-GB"/>
        </w:rPr>
        <w:t>based on published, peer-reviewed cost-effectiveness model and has been extensively validated during the publication process. In particular, thorough external validation was conducted using the Public Health England Report 2018 and 2019</w:t>
      </w:r>
      <w:r w:rsidRPr="006D3CF8">
        <w:rPr>
          <w:sz w:val="22"/>
          <w:szCs w:val="22"/>
          <w:lang w:val="en-GB"/>
        </w:rPr>
        <w:t xml:space="preserve"> to validate observed resistance trajectories.</w:t>
      </w:r>
      <w:r w:rsidRPr="006D3CF8">
        <w:rPr>
          <w:sz w:val="22"/>
          <w:szCs w:val="22"/>
          <w:lang w:val="en-GB"/>
        </w:rPr>
        <w:fldChar w:fldCharType="begin"/>
      </w:r>
      <w:r>
        <w:rPr>
          <w:sz w:val="22"/>
          <w:szCs w:val="22"/>
          <w:lang w:val="en-GB"/>
        </w:rPr>
        <w:instrText xml:space="preserve"> ADDIN EN.CITE &lt;EndNote&gt;&lt;Cite&gt;&lt;Author&gt;Public Health England&lt;/Author&gt;&lt;RecNum&gt;16&lt;/RecNum&gt;&lt;DisplayText&gt;&lt;style face="superscript"&gt;16&lt;/style&gt;&lt;/DisplayText&gt;&lt;record&gt;&lt;rec-number&gt;16&lt;/rec-number&gt;&lt;foreign-keys&gt;&lt;key app="EN" db-id="pd5s0xr0250t2qevxfgxpvwp5eaztd2pavxx" timestamp="1638914076"&gt;16&lt;/key&gt;&lt;/foreign-keys&gt;&lt;ref-type name="Government Document"&gt;46&lt;/ref-type&gt;&lt;contributors&gt;&lt;authors&gt;&lt;author&gt;Public Health England,&lt;/author&gt;&lt;/authors&gt;&lt;secondary-authors&gt;&lt;author&gt;Department of Public Health., &lt;/author&gt;&lt;/secondary-authors&gt;&lt;/contributors&gt;&lt;titles&gt;&lt;title&gt;English Surveillance Programme for Antimicrobial Utilisation and Resistance (ESPAUR) Report 2018 to 2019&lt;/title&gt;&lt;/titles&gt;&lt;dates&gt;&lt;/dates&gt;&lt;pub-location&gt;UK&lt;/pub-location&gt;&lt;publisher&gt;© Crown copyright [2019]&lt;/publisher&gt;&lt;urls&gt;&lt;related-urls&gt;&lt;url&gt;https://webarchive.nationalarchives.gov.uk/20200806045257/https://www.gov.uk/government/publications/english-surveillance-programme-antimicrobial-utilisation-and-resistance-espaur-report&lt;/url&gt;&lt;/related-urls&gt;&lt;/urls&gt;&lt;/record&gt;&lt;/Cite&gt;&lt;/EndNote&gt;</w:instrText>
      </w:r>
      <w:r w:rsidRPr="006D3CF8">
        <w:rPr>
          <w:sz w:val="22"/>
          <w:szCs w:val="22"/>
          <w:lang w:val="en-GB"/>
        </w:rPr>
        <w:fldChar w:fldCharType="separate"/>
      </w:r>
      <w:r w:rsidRPr="00576A39">
        <w:rPr>
          <w:noProof/>
          <w:sz w:val="22"/>
          <w:szCs w:val="22"/>
          <w:vertAlign w:val="superscript"/>
          <w:lang w:val="en-GB"/>
        </w:rPr>
        <w:t>16</w:t>
      </w:r>
      <w:r w:rsidRPr="006D3CF8">
        <w:rPr>
          <w:sz w:val="22"/>
          <w:szCs w:val="22"/>
          <w:lang w:val="en-GB"/>
        </w:rPr>
        <w:fldChar w:fldCharType="end"/>
      </w:r>
      <w:r w:rsidRPr="006D3CF8">
        <w:rPr>
          <w:sz w:val="22"/>
          <w:szCs w:val="22"/>
          <w:lang w:val="en-GB"/>
        </w:rPr>
        <w:t xml:space="preserve"> The Pfizer model was run over a five-year period, utilizing default settings (i.e. availability of piperacillin/tazobactam and meropenem only), and resistance trajectories predicted by the model compared with those observed in the PHE report.</w:t>
      </w:r>
    </w:p>
    <w:p w14:paraId="577C8C85" w14:textId="77777777" w:rsidR="0008114B" w:rsidRDefault="0008114B" w:rsidP="0008114B">
      <w:pPr>
        <w:pStyle w:val="NICEnormal"/>
        <w:rPr>
          <w:color w:val="242424"/>
          <w:sz w:val="22"/>
          <w:szCs w:val="22"/>
          <w:lang w:val="en-GB" w:eastAsia="en-GB"/>
        </w:rPr>
      </w:pPr>
      <w:r w:rsidRPr="006D3CF8">
        <w:rPr>
          <w:color w:val="242424"/>
          <w:sz w:val="22"/>
          <w:szCs w:val="22"/>
          <w:lang w:val="en-GB" w:eastAsia="en-GB"/>
        </w:rPr>
        <w:t xml:space="preserve">Further, </w:t>
      </w:r>
      <w:proofErr w:type="gramStart"/>
      <w:r w:rsidRPr="006D3CF8">
        <w:rPr>
          <w:color w:val="242424"/>
          <w:sz w:val="22"/>
          <w:szCs w:val="22"/>
          <w:lang w:val="en-GB" w:eastAsia="en-GB"/>
        </w:rPr>
        <w:t>robust</w:t>
      </w:r>
      <w:proofErr w:type="gramEnd"/>
      <w:r w:rsidRPr="006D3CF8">
        <w:rPr>
          <w:color w:val="242424"/>
          <w:sz w:val="22"/>
          <w:szCs w:val="22"/>
          <w:lang w:val="en-GB" w:eastAsia="en-GB"/>
        </w:rPr>
        <w:t xml:space="preserve"> and thorough expert elicitation was during model conceptualisation, implementation and validation to ensure and demonstrate the rigour, relevance and value of the model. Further, economic modelling assumptions and parameters were verified prior to submission using the Delphi process with 11 experts (including clinicians and health economists); full documentation is provided in the company submission.</w:t>
      </w:r>
    </w:p>
    <w:p w14:paraId="6027B803" w14:textId="77777777" w:rsidR="0008114B" w:rsidRDefault="0008114B" w:rsidP="0008114B">
      <w:pPr>
        <w:pStyle w:val="NICEnormal"/>
        <w:rPr>
          <w:color w:val="242424"/>
          <w:sz w:val="22"/>
          <w:szCs w:val="22"/>
          <w:lang w:val="en-GB" w:eastAsia="en-GB"/>
        </w:rPr>
      </w:pPr>
      <w:r>
        <w:rPr>
          <w:color w:val="242424"/>
          <w:sz w:val="22"/>
          <w:szCs w:val="22"/>
          <w:lang w:val="en-GB" w:eastAsia="en-GB"/>
        </w:rPr>
        <w:t>Finally</w:t>
      </w:r>
      <w:r w:rsidRPr="006D3CF8">
        <w:rPr>
          <w:color w:val="242424"/>
          <w:sz w:val="22"/>
          <w:szCs w:val="22"/>
          <w:lang w:val="en-GB" w:eastAsia="en-GB"/>
        </w:rPr>
        <w:t>, the Pfizer approach to expert elicitation contrasts with the EEPRU approach, where the scope of the decision model and model structure were validated through unspecified consultation with experts and some model inputs were derived through the SHELF process</w:t>
      </w:r>
      <w:r>
        <w:rPr>
          <w:color w:val="242424"/>
          <w:sz w:val="22"/>
          <w:szCs w:val="22"/>
          <w:lang w:val="en-GB" w:eastAsia="en-GB"/>
        </w:rPr>
        <w:t xml:space="preserve">. </w:t>
      </w:r>
    </w:p>
    <w:p w14:paraId="01E1954F" w14:textId="196C86CC" w:rsidR="0008114B" w:rsidRPr="006D3CF8" w:rsidRDefault="0008114B" w:rsidP="0008114B">
      <w:pPr>
        <w:pStyle w:val="NICEnormal"/>
        <w:rPr>
          <w:color w:val="242424"/>
          <w:sz w:val="22"/>
          <w:szCs w:val="22"/>
          <w:lang w:val="en-GB" w:eastAsia="en-GB"/>
        </w:rPr>
      </w:pPr>
      <w:r w:rsidRPr="00DD72E7">
        <w:rPr>
          <w:color w:val="242424"/>
          <w:sz w:val="22"/>
          <w:szCs w:val="22"/>
          <w:lang w:val="en-GB" w:eastAsia="en-GB"/>
        </w:rPr>
        <w:t xml:space="preserve">We request that the Committee seek to contextualise the EEPRU model and outputs against historical data </w:t>
      </w:r>
      <w:proofErr w:type="gramStart"/>
      <w:r w:rsidRPr="00DD72E7">
        <w:rPr>
          <w:color w:val="242424"/>
          <w:sz w:val="22"/>
          <w:szCs w:val="22"/>
          <w:lang w:val="en-GB" w:eastAsia="en-GB"/>
        </w:rPr>
        <w:t>and also</w:t>
      </w:r>
      <w:proofErr w:type="gramEnd"/>
      <w:r w:rsidRPr="00DD72E7">
        <w:rPr>
          <w:color w:val="242424"/>
          <w:sz w:val="22"/>
          <w:szCs w:val="22"/>
          <w:lang w:val="en-GB" w:eastAsia="en-GB"/>
        </w:rPr>
        <w:t xml:space="preserve"> the Pfizer model, which has undergone extensive peer review and external validation, including comparison to historical data as per the agreed framework.</w:t>
      </w:r>
    </w:p>
    <w:p w14:paraId="4629B644" w14:textId="77777777" w:rsidR="0008114B" w:rsidRPr="00A573DE" w:rsidRDefault="0008114B" w:rsidP="0008114B">
      <w:pPr>
        <w:pStyle w:val="NICEnormal"/>
        <w:sectPr w:rsidR="0008114B" w:rsidRPr="00A573DE" w:rsidSect="000E19C8">
          <w:headerReference w:type="default" r:id="rId11"/>
          <w:footerReference w:type="default" r:id="rId12"/>
          <w:pgSz w:w="11906" w:h="16838" w:code="9"/>
          <w:pgMar w:top="851" w:right="851" w:bottom="709" w:left="851" w:header="284" w:footer="720" w:gutter="0"/>
          <w:cols w:space="708"/>
          <w:docGrid w:linePitch="360"/>
        </w:sectPr>
      </w:pPr>
    </w:p>
    <w:p w14:paraId="49421BE2" w14:textId="737BF7EE" w:rsidR="0008114B" w:rsidRDefault="0008114B" w:rsidP="0008114B">
      <w:pPr>
        <w:pStyle w:val="Heading1"/>
        <w:numPr>
          <w:ilvl w:val="0"/>
          <w:numId w:val="27"/>
        </w:numPr>
        <w:rPr>
          <w:lang w:eastAsia="en-GB"/>
        </w:rPr>
      </w:pPr>
      <w:bookmarkStart w:id="17" w:name="_Ref90121730"/>
      <w:r w:rsidRPr="00681DEB">
        <w:rPr>
          <w:sz w:val="24"/>
          <w:szCs w:val="22"/>
          <w:lang w:eastAsia="en-GB"/>
        </w:rPr>
        <w:lastRenderedPageBreak/>
        <w:t>Population and patient numbers</w:t>
      </w:r>
      <w:bookmarkEnd w:id="17"/>
    </w:p>
    <w:p w14:paraId="75E34BA9" w14:textId="77777777" w:rsidR="00887584" w:rsidRPr="00887584" w:rsidRDefault="00887584" w:rsidP="00887584">
      <w:pPr>
        <w:rPr>
          <w:lang w:eastAsia="en-GB"/>
        </w:rPr>
      </w:pPr>
    </w:p>
    <w:tbl>
      <w:tblPr>
        <w:tblStyle w:val="TableGrid"/>
        <w:tblW w:w="0" w:type="auto"/>
        <w:tblInd w:w="1134"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7923"/>
      </w:tblGrid>
      <w:tr w:rsidR="0008114B" w:rsidRPr="00A573DE" w14:paraId="606091C9" w14:textId="77777777" w:rsidTr="0008114B">
        <w:trPr>
          <w:trHeight w:val="312"/>
        </w:trPr>
        <w:tc>
          <w:tcPr>
            <w:tcW w:w="7923" w:type="dxa"/>
            <w:shd w:val="clear" w:color="auto" w:fill="F2F2F2" w:themeFill="background1" w:themeFillShade="F2"/>
          </w:tcPr>
          <w:p w14:paraId="08347B08" w14:textId="77777777" w:rsidR="0008114B" w:rsidRPr="00A573DE" w:rsidRDefault="0008114B" w:rsidP="0008114B">
            <w:pPr>
              <w:pStyle w:val="NICEnormal"/>
              <w:spacing w:line="276" w:lineRule="auto"/>
              <w:rPr>
                <w:b/>
                <w:bCs/>
                <w:i/>
                <w:iCs/>
                <w:color w:val="808080" w:themeColor="background1" w:themeShade="80"/>
                <w:lang w:val="en-GB"/>
              </w:rPr>
            </w:pPr>
            <w:r w:rsidRPr="00F012A6">
              <w:rPr>
                <w:b/>
                <w:bCs/>
                <w:i/>
                <w:iCs/>
                <w:lang w:val="en-GB"/>
              </w:rPr>
              <w:t xml:space="preserve">Key messages </w:t>
            </w:r>
          </w:p>
        </w:tc>
      </w:tr>
      <w:tr w:rsidR="0008114B" w:rsidRPr="00A573DE" w14:paraId="33AB53D2" w14:textId="77777777" w:rsidTr="0008114B">
        <w:tc>
          <w:tcPr>
            <w:tcW w:w="7923" w:type="dxa"/>
          </w:tcPr>
          <w:p w14:paraId="73C5A87A" w14:textId="77777777" w:rsidR="0008114B" w:rsidRPr="00A573DE" w:rsidRDefault="0008114B" w:rsidP="0008114B">
            <w:pPr>
              <w:pStyle w:val="Bullets"/>
              <w:ind w:left="447"/>
            </w:pPr>
            <w:r w:rsidRPr="00A573DE">
              <w:t xml:space="preserve">The EEPRU </w:t>
            </w:r>
            <w:r>
              <w:t>approach depicts</w:t>
            </w:r>
            <w:r w:rsidRPr="00A573DE">
              <w:t xml:space="preserve"> substantially lower </w:t>
            </w:r>
            <w:r>
              <w:t xml:space="preserve">patient </w:t>
            </w:r>
            <w:r w:rsidRPr="00A573DE">
              <w:t>numbers</w:t>
            </w:r>
            <w:r>
              <w:t xml:space="preserve"> than expected to be clinically relevant,</w:t>
            </w:r>
            <w:r w:rsidRPr="00A573DE">
              <w:t xml:space="preserve"> </w:t>
            </w:r>
            <w:r>
              <w:t>likely due to limiting the indication to</w:t>
            </w:r>
            <w:r w:rsidRPr="00A573DE">
              <w:t xml:space="preserve"> two HVCSs with the extrapolation being based on susceptibility data which is associated with considerable uncertainty.</w:t>
            </w:r>
          </w:p>
          <w:p w14:paraId="00DD5612" w14:textId="77777777" w:rsidR="0008114B" w:rsidRPr="00A573DE" w:rsidRDefault="0008114B" w:rsidP="0008114B">
            <w:pPr>
              <w:pStyle w:val="Bullets"/>
              <w:ind w:left="447"/>
            </w:pPr>
            <w:r w:rsidRPr="00A573DE">
              <w:t>EEPRU estimated the AM use on the 2019/2020 ESPAUR report</w:t>
            </w:r>
            <w:r>
              <w:t>,</w:t>
            </w:r>
            <w:r w:rsidRPr="00A573DE">
              <w:t xml:space="preserve"> which </w:t>
            </w:r>
            <w:r>
              <w:t xml:space="preserve">was previously discussed as </w:t>
            </w:r>
            <w:r w:rsidRPr="00A573DE">
              <w:t xml:space="preserve">deemed to be inappropriate </w:t>
            </w:r>
            <w:r>
              <w:t>given</w:t>
            </w:r>
            <w:r w:rsidRPr="00A573DE">
              <w:t xml:space="preserve"> </w:t>
            </w:r>
            <w:proofErr w:type="spellStart"/>
            <w:r w:rsidRPr="00A573DE">
              <w:t>i</w:t>
            </w:r>
            <w:proofErr w:type="spellEnd"/>
            <w:r w:rsidRPr="00A573DE">
              <w:t xml:space="preserve">) the </w:t>
            </w:r>
            <w:r>
              <w:t>recording</w:t>
            </w:r>
            <w:r w:rsidRPr="00A573DE">
              <w:t xml:space="preserve"> of reporting carbapenem resistance changed, and ii) the COVID-19 pandemic potentially results in this data being an outlier.</w:t>
            </w:r>
            <w:r>
              <w:t xml:space="preserve"> This can be clearly seen in the graphic data cuts.</w:t>
            </w:r>
          </w:p>
          <w:p w14:paraId="463BACDB" w14:textId="77777777" w:rsidR="0008114B" w:rsidRDefault="0008114B" w:rsidP="0008114B">
            <w:pPr>
              <w:pStyle w:val="Bullets"/>
              <w:ind w:left="447"/>
            </w:pPr>
            <w:r w:rsidRPr="00A573DE">
              <w:t xml:space="preserve">Current market data show that about </w:t>
            </w:r>
            <w:r w:rsidRPr="00211F18">
              <w:t xml:space="preserve">currently </w:t>
            </w:r>
            <w:r w:rsidRPr="001B7EC7">
              <w:t>1,400</w:t>
            </w:r>
            <w:r w:rsidRPr="00211F18">
              <w:t xml:space="preserve"> patients</w:t>
            </w:r>
            <w:r w:rsidRPr="00211F18">
              <w:fldChar w:fldCharType="begin"/>
            </w:r>
            <w:r w:rsidRPr="00211F18">
              <w:instrText xml:space="preserve"> ADDIN EN.CITE &lt;EndNote&gt;&lt;Cite&gt;&lt;Author&gt;Pfizer&lt;/Author&gt;&lt;Year&gt;2021&lt;/Year&gt;&lt;RecNum&gt;40&lt;/RecNum&gt;&lt;DisplayText&gt;&lt;style face="superscript"&gt;6&lt;/style&gt;&lt;/DisplayText&gt;&lt;record&gt;&lt;rec-number&gt;40&lt;/rec-number&gt;&lt;foreign-keys&gt;&lt;key app="EN" db-id="pd5s0xr0250t2qevxfgxpvwp5eaztd2pavxx" timestamp="1639504224"&gt;40&lt;/key&gt;&lt;/foreign-keys&gt;&lt;ref-type name="Government Document"&gt;46&lt;/ref-type&gt;&lt;contributors&gt;&lt;authors&gt;&lt;author&gt;Pfizer,&lt;/author&gt;&lt;/authors&gt;&lt;/contributors&gt;&lt;titles&gt;&lt;title&gt;Patient number calculation. data on file&lt;/title&gt;&lt;/titles&gt;&lt;dates&gt;&lt;year&gt;2021&lt;/year&gt;&lt;/dates&gt;&lt;urls&gt;&lt;/urls&gt;&lt;/record&gt;&lt;/Cite&gt;&lt;/EndNote&gt;</w:instrText>
            </w:r>
            <w:r w:rsidRPr="00211F18">
              <w:fldChar w:fldCharType="separate"/>
            </w:r>
            <w:r w:rsidRPr="00211F18">
              <w:rPr>
                <w:noProof/>
                <w:vertAlign w:val="superscript"/>
              </w:rPr>
              <w:t>6</w:t>
            </w:r>
            <w:r w:rsidRPr="00211F18">
              <w:fldChar w:fldCharType="end"/>
            </w:r>
            <w:r w:rsidRPr="00A573DE">
              <w:t xml:space="preserve"> receive </w:t>
            </w:r>
            <w:r>
              <w:t>CAZ-AVI. This does</w:t>
            </w:r>
            <w:r w:rsidRPr="00A573DE">
              <w:t xml:space="preserve"> not align with the 70-575 patients per year that EEPRU calculated.</w:t>
            </w:r>
            <w:r>
              <w:t xml:space="preserve"> Real world usage is expected to increase (in line with good AMS principles) over the life-time horizon demonstrating a significant underestimation of the patient population at present.</w:t>
            </w:r>
          </w:p>
          <w:p w14:paraId="7A632FDD" w14:textId="77777777" w:rsidR="0008114B" w:rsidRPr="00DD72E7" w:rsidRDefault="0008114B" w:rsidP="0008114B">
            <w:pPr>
              <w:pStyle w:val="Bullets"/>
              <w:ind w:left="447"/>
              <w:rPr>
                <w:i/>
                <w:iCs/>
              </w:rPr>
            </w:pPr>
            <w:r w:rsidRPr="00A573DE">
              <w:t>Pfizer based the population used in the submission on the licensed indication and the uptake in clinical practice</w:t>
            </w:r>
            <w:r>
              <w:t>,</w:t>
            </w:r>
            <w:r w:rsidRPr="00A573DE">
              <w:t xml:space="preserve"> which is in line with the EEPRU framework. </w:t>
            </w:r>
          </w:p>
          <w:p w14:paraId="4A302294" w14:textId="77777777" w:rsidR="0008114B" w:rsidRPr="00A573DE" w:rsidRDefault="0008114B" w:rsidP="0008114B">
            <w:pPr>
              <w:pStyle w:val="Bullets"/>
              <w:ind w:left="447"/>
            </w:pPr>
            <w:r>
              <w:t>No reference to, or explanation of, this discrepancy in predicted versus actual usage is provided in the EEPRU report. An urgent request to the re-run of their analysis is required using updated patient numbers.</w:t>
            </w:r>
          </w:p>
        </w:tc>
      </w:tr>
    </w:tbl>
    <w:p w14:paraId="4EBB60C7" w14:textId="77777777" w:rsidR="0008114B" w:rsidRPr="00A573DE" w:rsidRDefault="0008114B" w:rsidP="0008114B">
      <w:pPr>
        <w:rPr>
          <w:lang w:eastAsia="en-GB"/>
        </w:rPr>
      </w:pPr>
    </w:p>
    <w:p w14:paraId="057C82B2" w14:textId="77777777" w:rsidR="0008114B" w:rsidRDefault="0008114B" w:rsidP="0008114B">
      <w:pPr>
        <w:shd w:val="clear" w:color="auto" w:fill="FFFFFF"/>
        <w:spacing w:before="100" w:beforeAutospacing="1" w:after="240" w:line="360" w:lineRule="auto"/>
        <w:rPr>
          <w:szCs w:val="22"/>
        </w:rPr>
      </w:pPr>
      <w:r w:rsidRPr="00D91705">
        <w:rPr>
          <w:szCs w:val="22"/>
        </w:rPr>
        <w:t>The</w:t>
      </w:r>
      <w:r w:rsidRPr="006D3CF8">
        <w:rPr>
          <w:szCs w:val="22"/>
        </w:rPr>
        <w:t xml:space="preserve"> EEPRU framework recommends the population size and the initial distribution of the population across health states should be based on routine, surveillance, or observational data.</w:t>
      </w:r>
      <w:r w:rsidRPr="006D3CF8">
        <w:rPr>
          <w:szCs w:val="22"/>
        </w:rPr>
        <w:fldChar w:fldCharType="begin"/>
      </w:r>
      <w:r>
        <w:rPr>
          <w:szCs w:val="22"/>
        </w:rPr>
        <w:instrText xml:space="preserve"> ADDIN EN.CITE &lt;EndNote&gt;&lt;Cite&gt;&lt;Author&gt;EEPRU&lt;/Author&gt;&lt;Year&gt;2018&lt;/Year&gt;&lt;RecNum&gt;9&lt;/RecNum&gt;&lt;DisplayText&gt;&lt;style face="superscript"&gt;3&lt;/style&gt;&lt;/DisplayText&gt;&lt;record&gt;&lt;rec-number&gt;9&lt;/rec-number&gt;&lt;foreign-keys&gt;&lt;key app="EN" db-id="pd5s0xr0250t2qevxfgxpvwp5eaztd2pavxx" timestamp="1638893203"&gt;9&lt;/key&gt;&lt;/foreign-keys&gt;&lt;ref-type name="Web Page"&gt;12&lt;/ref-type&gt;&lt;contributors&gt;&lt;authors&gt;&lt;author&gt;EEPRU&lt;/author&gt;&lt;/authors&gt;&lt;/contributors&gt;&lt;titles&gt;&lt;title&gt;Framework for value assessment of new antimicrobials - Implications of alternative funding arrangements for NICE appraisals&lt;/title&gt;&lt;/titles&gt;&lt;dates&gt;&lt;year&gt;2018&lt;/year&gt;&lt;/dates&gt;&lt;urls&gt;&lt;related-urls&gt;&lt;url&gt;http://www.eepru.org.uk/wp-content/uploads/2017/11/eepru-report-amr-oct-2018-059.pdf&lt;/url&gt;&lt;/related-urls&gt;&lt;/urls&gt;&lt;/record&gt;&lt;/Cite&gt;&lt;/EndNote&gt;</w:instrText>
      </w:r>
      <w:r w:rsidRPr="006D3CF8">
        <w:rPr>
          <w:szCs w:val="22"/>
        </w:rPr>
        <w:fldChar w:fldCharType="separate"/>
      </w:r>
      <w:r w:rsidRPr="00B94641">
        <w:rPr>
          <w:noProof/>
          <w:szCs w:val="22"/>
          <w:vertAlign w:val="superscript"/>
        </w:rPr>
        <w:t>3</w:t>
      </w:r>
      <w:r w:rsidRPr="006D3CF8">
        <w:rPr>
          <w:szCs w:val="22"/>
        </w:rPr>
        <w:fldChar w:fldCharType="end"/>
      </w:r>
      <w:r w:rsidRPr="006D3CF8">
        <w:rPr>
          <w:szCs w:val="22"/>
        </w:rPr>
        <w:t xml:space="preserve"> The company based the population used in the original submission on the licensed indication and the uptake in clinical practice. The number of patients currently receiving </w:t>
      </w:r>
      <w:r>
        <w:rPr>
          <w:szCs w:val="22"/>
        </w:rPr>
        <w:t>CAZ-AVI</w:t>
      </w:r>
      <w:r w:rsidRPr="006D3CF8">
        <w:rPr>
          <w:szCs w:val="22"/>
        </w:rPr>
        <w:t xml:space="preserve"> is considerably higher than the EEPRU patient numbers estimated for the HVCSs, which focuses on </w:t>
      </w:r>
      <w:r>
        <w:rPr>
          <w:szCs w:val="22"/>
        </w:rPr>
        <w:t xml:space="preserve">a narrow scope of use; </w:t>
      </w:r>
      <w:proofErr w:type="spellStart"/>
      <w:r w:rsidRPr="006D3CF8">
        <w:rPr>
          <w:szCs w:val="22"/>
        </w:rPr>
        <w:t>carbapenemase</w:t>
      </w:r>
      <w:proofErr w:type="spellEnd"/>
      <w:r w:rsidRPr="006D3CF8">
        <w:rPr>
          <w:szCs w:val="22"/>
        </w:rPr>
        <w:t xml:space="preserve">-producing </w:t>
      </w:r>
      <w:proofErr w:type="spellStart"/>
      <w:r w:rsidRPr="006D3CF8">
        <w:rPr>
          <w:i/>
          <w:iCs/>
          <w:szCs w:val="22"/>
        </w:rPr>
        <w:t>Enterobacterales</w:t>
      </w:r>
      <w:proofErr w:type="spellEnd"/>
      <w:r w:rsidRPr="006D3CF8">
        <w:rPr>
          <w:szCs w:val="22"/>
        </w:rPr>
        <w:t xml:space="preserve"> with an OXA-48 mechanism only.</w:t>
      </w:r>
      <w:r w:rsidRPr="00D91705">
        <w:rPr>
          <w:szCs w:val="22"/>
        </w:rPr>
        <w:t xml:space="preserve"> </w:t>
      </w:r>
      <w:r w:rsidRPr="006D3CF8">
        <w:rPr>
          <w:szCs w:val="22"/>
        </w:rPr>
        <w:t xml:space="preserve">EEPRU’s extrapolation to the population expected to use </w:t>
      </w:r>
      <w:r>
        <w:rPr>
          <w:szCs w:val="22"/>
        </w:rPr>
        <w:t>CAZ-AVI</w:t>
      </w:r>
      <w:r w:rsidRPr="006D3CF8">
        <w:rPr>
          <w:szCs w:val="22"/>
        </w:rPr>
        <w:t xml:space="preserve"> was based on a dataset that relies on susceptibility testing. As mentioned in</w:t>
      </w:r>
      <w:r>
        <w:rPr>
          <w:szCs w:val="22"/>
        </w:rPr>
        <w:t xml:space="preserve"> </w:t>
      </w:r>
      <w:r>
        <w:rPr>
          <w:szCs w:val="22"/>
        </w:rPr>
        <w:lastRenderedPageBreak/>
        <w:fldChar w:fldCharType="begin"/>
      </w:r>
      <w:r>
        <w:rPr>
          <w:szCs w:val="22"/>
        </w:rPr>
        <w:instrText xml:space="preserve"> REF _Ref90129492 \r \h </w:instrText>
      </w:r>
      <w:r>
        <w:rPr>
          <w:szCs w:val="22"/>
        </w:rPr>
      </w:r>
      <w:r>
        <w:rPr>
          <w:szCs w:val="22"/>
        </w:rPr>
        <w:fldChar w:fldCharType="separate"/>
      </w:r>
      <w:r>
        <w:rPr>
          <w:szCs w:val="22"/>
        </w:rPr>
        <w:t>Issue 3</w:t>
      </w:r>
      <w:r>
        <w:rPr>
          <w:szCs w:val="22"/>
        </w:rPr>
        <w:fldChar w:fldCharType="end"/>
      </w:r>
      <w:r w:rsidRPr="006D3CF8">
        <w:rPr>
          <w:szCs w:val="22"/>
        </w:rPr>
        <w:t xml:space="preserve">, correlation between susceptibility and clinical outcome, namely resistance, is associated with uncertainty. </w:t>
      </w:r>
    </w:p>
    <w:p w14:paraId="14AE9652" w14:textId="77777777" w:rsidR="0008114B" w:rsidRPr="006D3CF8" w:rsidRDefault="0008114B" w:rsidP="0008114B">
      <w:pPr>
        <w:shd w:val="clear" w:color="auto" w:fill="FFFFFF"/>
        <w:spacing w:before="100" w:beforeAutospacing="1" w:after="240" w:line="360" w:lineRule="auto"/>
        <w:rPr>
          <w:szCs w:val="22"/>
        </w:rPr>
      </w:pPr>
      <w:r w:rsidRPr="006D3CF8">
        <w:rPr>
          <w:szCs w:val="22"/>
        </w:rPr>
        <w:t xml:space="preserve">Alternatively, EEPRU conducted a survey to estimate the patient numbers, but the results were inconclusive. A face-validity check of the estimates of AM use was conducted </w:t>
      </w:r>
      <w:r>
        <w:rPr>
          <w:szCs w:val="22"/>
        </w:rPr>
        <w:t xml:space="preserve">by EEPRU </w:t>
      </w:r>
      <w:r w:rsidRPr="006D3CF8">
        <w:rPr>
          <w:szCs w:val="22"/>
        </w:rPr>
        <w:t>using the 2019/2020 ESPAUR report.</w:t>
      </w:r>
      <w:r>
        <w:rPr>
          <w:szCs w:val="22"/>
        </w:rPr>
        <w:fldChar w:fldCharType="begin"/>
      </w:r>
      <w:r>
        <w:rPr>
          <w:szCs w:val="22"/>
        </w:rPr>
        <w:instrText xml:space="preserve"> ADDIN EN.CITE &lt;EndNote&gt;&lt;Cite&gt;&lt;Author&gt;Public Health England&lt;/Author&gt;&lt;RecNum&gt;39&lt;/RecNum&gt;&lt;DisplayText&gt;&lt;style face="superscript"&gt;17&lt;/style&gt;&lt;/DisplayText&gt;&lt;record&gt;&lt;rec-number&gt;39&lt;/rec-number&gt;&lt;foreign-keys&gt;&lt;key app="EN" db-id="pd5s0xr0250t2qevxfgxpvwp5eaztd2pavxx" timestamp="1639503375"&gt;39&lt;/key&gt;&lt;/foreign-keys&gt;&lt;ref-type name="Government Document"&gt;46&lt;/ref-type&gt;&lt;contributors&gt;&lt;authors&gt;&lt;author&gt;Public Health England,&lt;/author&gt;&lt;/authors&gt;&lt;secondary-authors&gt;&lt;author&gt;Department of Public Health., &lt;/author&gt;&lt;/secondary-authors&gt;&lt;/contributors&gt;&lt;titles&gt;&lt;title&gt;English Surveillance Programme for Antimicrobial Utilisation and Resistance (ESPAUR) Report 2019 to 2020&lt;/title&gt;&lt;/titles&gt;&lt;dates&gt;&lt;/dates&gt;&lt;pub-location&gt;UK&lt;/pub-location&gt;&lt;publisher&gt;© Crown copyright [2020]&lt;/publisher&gt;&lt;urls&gt;&lt;related-urls&gt;&lt;url&gt;https://webarchive.nationalarchives.gov.uk/ukgwa/20211022024510/https://www.gov.uk/government/publications/english-surveillance-programme-antimicrobial-utilisation-and-resistance-espaur-report&lt;/url&gt;&lt;/related-urls&gt;&lt;/urls&gt;&lt;/record&gt;&lt;/Cite&gt;&lt;/EndNote&gt;</w:instrText>
      </w:r>
      <w:r>
        <w:rPr>
          <w:szCs w:val="22"/>
        </w:rPr>
        <w:fldChar w:fldCharType="separate"/>
      </w:r>
      <w:r w:rsidRPr="00576A39">
        <w:rPr>
          <w:noProof/>
          <w:szCs w:val="22"/>
          <w:vertAlign w:val="superscript"/>
        </w:rPr>
        <w:t>17</w:t>
      </w:r>
      <w:r>
        <w:rPr>
          <w:szCs w:val="22"/>
        </w:rPr>
        <w:fldChar w:fldCharType="end"/>
      </w:r>
      <w:r w:rsidRPr="006D3CF8">
        <w:rPr>
          <w:szCs w:val="22"/>
        </w:rPr>
        <w:t xml:space="preserve"> The data from the ESPAUR 2019/2020 report</w:t>
      </w:r>
      <w:r>
        <w:rPr>
          <w:szCs w:val="22"/>
        </w:rPr>
        <w:fldChar w:fldCharType="begin"/>
      </w:r>
      <w:r>
        <w:rPr>
          <w:szCs w:val="22"/>
        </w:rPr>
        <w:instrText xml:space="preserve"> ADDIN EN.CITE &lt;EndNote&gt;&lt;Cite&gt;&lt;Author&gt;Public Health England&lt;/Author&gt;&lt;RecNum&gt;39&lt;/RecNum&gt;&lt;DisplayText&gt;&lt;style face="superscript"&gt;17&lt;/style&gt;&lt;/DisplayText&gt;&lt;record&gt;&lt;rec-number&gt;39&lt;/rec-number&gt;&lt;foreign-keys&gt;&lt;key app="EN" db-id="pd5s0xr0250t2qevxfgxpvwp5eaztd2pavxx" timestamp="1639503375"&gt;39&lt;/key&gt;&lt;/foreign-keys&gt;&lt;ref-type name="Government Document"&gt;46&lt;/ref-type&gt;&lt;contributors&gt;&lt;authors&gt;&lt;author&gt;Public Health England,&lt;/author&gt;&lt;/authors&gt;&lt;secondary-authors&gt;&lt;author&gt;Department of Public Health., &lt;/author&gt;&lt;/secondary-authors&gt;&lt;/contributors&gt;&lt;titles&gt;&lt;title&gt;English Surveillance Programme for Antimicrobial Utilisation and Resistance (ESPAUR) Report 2019 to 2020&lt;/title&gt;&lt;/titles&gt;&lt;dates&gt;&lt;/dates&gt;&lt;pub-location&gt;UK&lt;/pub-location&gt;&lt;publisher&gt;© Crown copyright [2020]&lt;/publisher&gt;&lt;urls&gt;&lt;related-urls&gt;&lt;url&gt;https://webarchive.nationalarchives.gov.uk/ukgwa/20211022024510/https://www.gov.uk/government/publications/english-surveillance-programme-antimicrobial-utilisation-and-resistance-espaur-report&lt;/url&gt;&lt;/related-urls&gt;&lt;/urls&gt;&lt;/record&gt;&lt;/Cite&gt;&lt;/EndNote&gt;</w:instrText>
      </w:r>
      <w:r>
        <w:rPr>
          <w:szCs w:val="22"/>
        </w:rPr>
        <w:fldChar w:fldCharType="separate"/>
      </w:r>
      <w:r w:rsidRPr="00576A39">
        <w:rPr>
          <w:noProof/>
          <w:szCs w:val="22"/>
          <w:vertAlign w:val="superscript"/>
        </w:rPr>
        <w:t>17</w:t>
      </w:r>
      <w:r>
        <w:rPr>
          <w:szCs w:val="22"/>
        </w:rPr>
        <w:fldChar w:fldCharType="end"/>
      </w:r>
      <w:r w:rsidRPr="006D3CF8">
        <w:rPr>
          <w:szCs w:val="22"/>
        </w:rPr>
        <w:t xml:space="preserve"> was not used in the company submission due to the following reasons: </w:t>
      </w:r>
      <w:proofErr w:type="spellStart"/>
      <w:r w:rsidRPr="006D3CF8">
        <w:rPr>
          <w:szCs w:val="22"/>
        </w:rPr>
        <w:t>i</w:t>
      </w:r>
      <w:proofErr w:type="spellEnd"/>
      <w:r w:rsidRPr="006D3CF8">
        <w:rPr>
          <w:szCs w:val="22"/>
        </w:rPr>
        <w:t xml:space="preserve">) the change of rules for reporting carbapenem resistance, and ii) the COVID-19 pandemic which means that 2020 data is likely to be an outlier, both due to limited healthcare capacity potentially affecting the reporting to Public Health England, and due to social distancing measures instituted at NHS hospitals potentially reducing the spread of bacterial, as well as viral infections. </w:t>
      </w:r>
      <w:r>
        <w:rPr>
          <w:szCs w:val="22"/>
        </w:rPr>
        <w:t xml:space="preserve">This issue was discussed with all stakeholders during prior engagement steps and generally understood to be of key consideration when utilising this surveillance report, however, omitted from the current EEPRU assessment report. </w:t>
      </w:r>
    </w:p>
    <w:p w14:paraId="08C98F59" w14:textId="77777777" w:rsidR="0008114B" w:rsidRPr="006D3CF8" w:rsidRDefault="0008114B" w:rsidP="0008114B">
      <w:pPr>
        <w:shd w:val="clear" w:color="auto" w:fill="FFFFFF"/>
        <w:spacing w:before="100" w:beforeAutospacing="1" w:after="240" w:line="360" w:lineRule="auto"/>
        <w:rPr>
          <w:rFonts w:cs="Arial"/>
          <w:color w:val="242424"/>
          <w:szCs w:val="22"/>
          <w:lang w:eastAsia="en-GB"/>
        </w:rPr>
      </w:pPr>
      <w:r w:rsidRPr="006D3CF8">
        <w:rPr>
          <w:rFonts w:cs="Arial"/>
          <w:color w:val="242424"/>
          <w:szCs w:val="22"/>
          <w:lang w:eastAsia="en-GB"/>
        </w:rPr>
        <w:t xml:space="preserve">Pfizer conducted an internal assessment about the patient population eligible for </w:t>
      </w:r>
      <w:r>
        <w:rPr>
          <w:rFonts w:cs="Arial"/>
          <w:color w:val="242424"/>
          <w:szCs w:val="22"/>
          <w:lang w:eastAsia="en-GB"/>
        </w:rPr>
        <w:t>CAZ-AVI</w:t>
      </w:r>
      <w:r w:rsidRPr="006D3CF8">
        <w:rPr>
          <w:rFonts w:cs="Arial"/>
          <w:color w:val="242424"/>
          <w:szCs w:val="22"/>
          <w:lang w:eastAsia="en-GB"/>
        </w:rPr>
        <w:t xml:space="preserve"> treatment, looking at UK Gram-negative epidemiology, and by filtering the population down to adjust to </w:t>
      </w:r>
      <w:r>
        <w:rPr>
          <w:rFonts w:cs="Arial"/>
          <w:color w:val="242424"/>
          <w:szCs w:val="22"/>
          <w:lang w:eastAsia="en-GB"/>
        </w:rPr>
        <w:t>CAZ-AVI</w:t>
      </w:r>
      <w:r w:rsidRPr="006D3CF8">
        <w:rPr>
          <w:rFonts w:cs="Arial"/>
          <w:color w:val="242424"/>
          <w:szCs w:val="22"/>
          <w:lang w:eastAsia="en-GB"/>
        </w:rPr>
        <w:t xml:space="preserve"> indication and pathogen coverage. Data source for epidemiology was extracted from the Decision Resources Group (now Clarivate) reports on Gram-negative bacteria and treatment. To identify the proportion of resistant mechanisms, Pfizer used figures reported in table 2.1 of the latest ESPAUR report (published November 2021) (</w:t>
      </w:r>
      <w:r>
        <w:rPr>
          <w:rFonts w:cs="Arial"/>
          <w:color w:val="242424"/>
          <w:szCs w:val="22"/>
          <w:lang w:eastAsia="en-GB"/>
        </w:rPr>
        <w:fldChar w:fldCharType="begin"/>
      </w:r>
      <w:r>
        <w:rPr>
          <w:rFonts w:cs="Arial"/>
          <w:color w:val="242424"/>
          <w:szCs w:val="22"/>
          <w:lang w:eastAsia="en-GB"/>
        </w:rPr>
        <w:instrText xml:space="preserve"> REF _Ref90271672 \h </w:instrText>
      </w:r>
      <w:r>
        <w:rPr>
          <w:rFonts w:cs="Arial"/>
          <w:color w:val="242424"/>
          <w:szCs w:val="22"/>
          <w:lang w:eastAsia="en-GB"/>
        </w:rPr>
      </w:r>
      <w:r>
        <w:rPr>
          <w:rFonts w:cs="Arial"/>
          <w:color w:val="242424"/>
          <w:szCs w:val="22"/>
          <w:lang w:eastAsia="en-GB"/>
        </w:rPr>
        <w:fldChar w:fldCharType="separate"/>
      </w:r>
      <w:r w:rsidRPr="00A573DE">
        <w:t xml:space="preserve">Table </w:t>
      </w:r>
      <w:r>
        <w:rPr>
          <w:noProof/>
        </w:rPr>
        <w:t>3</w:t>
      </w:r>
      <w:r>
        <w:rPr>
          <w:rFonts w:cs="Arial"/>
          <w:color w:val="242424"/>
          <w:szCs w:val="22"/>
          <w:lang w:eastAsia="en-GB"/>
        </w:rPr>
        <w:fldChar w:fldCharType="end"/>
      </w:r>
      <w:r w:rsidRPr="006D3CF8">
        <w:rPr>
          <w:rFonts w:cs="Arial"/>
          <w:color w:val="242424"/>
          <w:szCs w:val="22"/>
          <w:lang w:eastAsia="en-GB"/>
        </w:rPr>
        <w:t>).</w:t>
      </w:r>
      <w:r w:rsidRPr="006D3CF8">
        <w:rPr>
          <w:rFonts w:cs="Arial"/>
          <w:color w:val="242424"/>
          <w:szCs w:val="22"/>
          <w:lang w:eastAsia="en-GB"/>
        </w:rPr>
        <w:fldChar w:fldCharType="begin"/>
      </w:r>
      <w:r>
        <w:rPr>
          <w:rFonts w:cs="Arial"/>
          <w:color w:val="242424"/>
          <w:szCs w:val="22"/>
          <w:lang w:eastAsia="en-GB"/>
        </w:rPr>
        <w:instrText xml:space="preserve"> ADDIN EN.CITE &lt;EndNote&gt;&lt;Cite ExcludeYear="1"&gt;&lt;Author&gt;Public Health England&lt;/Author&gt;&lt;RecNum&gt;17&lt;/RecNum&gt;&lt;DisplayText&gt;&lt;style face="superscript"&gt;18&lt;/style&gt;&lt;/DisplayText&gt;&lt;record&gt;&lt;rec-number&gt;17&lt;/rec-number&gt;&lt;foreign-keys&gt;&lt;key app="EN" db-id="pd5s0xr0250t2qevxfgxpvwp5eaztd2pavxx" timestamp="1638914077"&gt;17&lt;/key&gt;&lt;/foreign-keys&gt;&lt;ref-type name="Government Document"&gt;46&lt;/ref-type&gt;&lt;contributors&gt;&lt;authors&gt;&lt;author&gt;Public Health England,&lt;/author&gt;&lt;/authors&gt;&lt;secondary-authors&gt;&lt;author&gt;Department of Public Health., &lt;/author&gt;&lt;/secondary-authors&gt;&lt;/contributors&gt;&lt;titles&gt;&lt;title&gt;English Surveillance Programme for Antimicrobial Utilisation and Resistance (ESPAUR) Report 2020 to 2021&lt;/title&gt;&lt;/titles&gt;&lt;dates&gt;&lt;/dates&gt;&lt;pub-location&gt;UK&lt;/pub-location&gt;&lt;publisher&gt;© Crown copyright [2021]&lt;/publisher&gt;&lt;urls&gt;&lt;related-urls&gt;&lt;url&gt;https://assets.publishing.service.gov.uk/government/uploads/system/uploads/attachment_data/file/1033851/espaur-report-2020-to-2021-16-Nov.pdf © Crown copyright [2021]&lt;/url&gt;&lt;/related-urls&gt;&lt;/urls&gt;&lt;access-date&gt;08/2020&lt;/access-date&gt;&lt;/record&gt;&lt;/Cite&gt;&lt;/EndNote&gt;</w:instrText>
      </w:r>
      <w:r w:rsidRPr="006D3CF8">
        <w:rPr>
          <w:rFonts w:cs="Arial"/>
          <w:color w:val="242424"/>
          <w:szCs w:val="22"/>
          <w:lang w:eastAsia="en-GB"/>
        </w:rPr>
        <w:fldChar w:fldCharType="separate"/>
      </w:r>
      <w:r w:rsidRPr="00576A39">
        <w:rPr>
          <w:rFonts w:cs="Arial"/>
          <w:noProof/>
          <w:color w:val="242424"/>
          <w:szCs w:val="22"/>
          <w:vertAlign w:val="superscript"/>
          <w:lang w:eastAsia="en-GB"/>
        </w:rPr>
        <w:t>18</w:t>
      </w:r>
      <w:r w:rsidRPr="006D3CF8">
        <w:rPr>
          <w:rFonts w:cs="Arial"/>
          <w:color w:val="242424"/>
          <w:szCs w:val="22"/>
          <w:lang w:eastAsia="en-GB"/>
        </w:rPr>
        <w:fldChar w:fldCharType="end"/>
      </w:r>
      <w:r w:rsidRPr="006D3CF8">
        <w:rPr>
          <w:rFonts w:cs="Arial"/>
          <w:color w:val="242424"/>
          <w:szCs w:val="22"/>
          <w:lang w:eastAsia="en-GB"/>
        </w:rPr>
        <w:t xml:space="preserve"> </w:t>
      </w:r>
    </w:p>
    <w:p w14:paraId="378D0EB7" w14:textId="77777777" w:rsidR="0008114B" w:rsidRDefault="0008114B" w:rsidP="0008114B">
      <w:pPr>
        <w:pStyle w:val="Caption"/>
      </w:pPr>
      <w:bookmarkStart w:id="18" w:name="_Ref90271672"/>
      <w:r w:rsidRPr="00A573DE">
        <w:lastRenderedPageBreak/>
        <w:t xml:space="preserve">Table </w:t>
      </w:r>
      <w:r>
        <w:fldChar w:fldCharType="begin"/>
      </w:r>
      <w:r>
        <w:instrText>SEQ Table \* ARABIC</w:instrText>
      </w:r>
      <w:r>
        <w:fldChar w:fldCharType="separate"/>
      </w:r>
      <w:r>
        <w:rPr>
          <w:noProof/>
        </w:rPr>
        <w:t>3</w:t>
      </w:r>
      <w:r>
        <w:fldChar w:fldCharType="end"/>
      </w:r>
      <w:bookmarkEnd w:id="18"/>
      <w:r w:rsidRPr="00A573DE">
        <w:t>. Trends in resistance in key drug/bug combinations in bacteraemia, 2016 to 2020, England</w:t>
      </w:r>
    </w:p>
    <w:p w14:paraId="397A63F7" w14:textId="77777777" w:rsidR="0008114B" w:rsidRPr="006D3CF8" w:rsidRDefault="0008114B" w:rsidP="0008114B">
      <w:pPr>
        <w:spacing w:after="240"/>
      </w:pPr>
      <w:r>
        <w:rPr>
          <w:noProof/>
        </w:rPr>
        <w:drawing>
          <wp:inline distT="0" distB="0" distL="0" distR="0" wp14:anchorId="25437FF9" wp14:editId="299138C4">
            <wp:extent cx="4846955" cy="4115435"/>
            <wp:effectExtent l="0" t="0" r="0" b="0"/>
            <wp:docPr id="12" name="Picture 1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abl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46955" cy="4115435"/>
                    </a:xfrm>
                    <a:prstGeom prst="rect">
                      <a:avLst/>
                    </a:prstGeom>
                    <a:noFill/>
                  </pic:spPr>
                </pic:pic>
              </a:graphicData>
            </a:graphic>
          </wp:inline>
        </w:drawing>
      </w:r>
    </w:p>
    <w:p w14:paraId="2759BA46" w14:textId="77777777" w:rsidR="0008114B" w:rsidRPr="006D3CF8" w:rsidRDefault="0008114B" w:rsidP="0008114B">
      <w:pPr>
        <w:shd w:val="clear" w:color="auto" w:fill="FFFFFF"/>
        <w:spacing w:after="240" w:line="360" w:lineRule="auto"/>
        <w:rPr>
          <w:rFonts w:cs="Arial"/>
          <w:color w:val="242424"/>
          <w:szCs w:val="22"/>
          <w:lang w:eastAsia="en-GB"/>
        </w:rPr>
      </w:pPr>
      <w:r w:rsidRPr="006D3CF8">
        <w:rPr>
          <w:rFonts w:cs="Arial"/>
          <w:color w:val="242424"/>
          <w:szCs w:val="22"/>
          <w:lang w:eastAsia="en-GB"/>
        </w:rPr>
        <w:t>In the UK there are over 650,000 diagnosed Gram-negative hospitali</w:t>
      </w:r>
      <w:r>
        <w:rPr>
          <w:rFonts w:cs="Arial"/>
          <w:color w:val="242424"/>
          <w:szCs w:val="22"/>
          <w:lang w:eastAsia="en-GB"/>
        </w:rPr>
        <w:t>s</w:t>
      </w:r>
      <w:r w:rsidRPr="006D3CF8">
        <w:rPr>
          <w:rFonts w:cs="Arial"/>
          <w:color w:val="242424"/>
          <w:szCs w:val="22"/>
          <w:lang w:eastAsia="en-GB"/>
        </w:rPr>
        <w:t>ation events per year</w:t>
      </w:r>
      <w:r>
        <w:rPr>
          <w:rFonts w:cs="Arial"/>
          <w:color w:val="242424"/>
          <w:szCs w:val="22"/>
          <w:lang w:eastAsia="en-GB"/>
        </w:rPr>
        <w:t xml:space="preserve"> whereas </w:t>
      </w:r>
      <w:r w:rsidRPr="006D3CF8">
        <w:rPr>
          <w:rFonts w:cs="Arial"/>
          <w:color w:val="242424"/>
          <w:szCs w:val="22"/>
          <w:lang w:eastAsia="en-GB"/>
        </w:rPr>
        <w:t xml:space="preserve">67% </w:t>
      </w:r>
      <w:r>
        <w:rPr>
          <w:rFonts w:cs="Arial"/>
          <w:color w:val="242424"/>
          <w:szCs w:val="22"/>
          <w:lang w:eastAsia="en-GB"/>
        </w:rPr>
        <w:t xml:space="preserve">of total </w:t>
      </w:r>
      <w:r w:rsidRPr="006D3CF8">
        <w:rPr>
          <w:rFonts w:cs="Arial"/>
          <w:color w:val="242424"/>
          <w:szCs w:val="22"/>
          <w:lang w:eastAsia="en-GB"/>
        </w:rPr>
        <w:t>cases</w:t>
      </w:r>
      <w:r>
        <w:rPr>
          <w:rFonts w:cs="Arial"/>
          <w:color w:val="242424"/>
          <w:szCs w:val="22"/>
          <w:lang w:eastAsia="en-GB"/>
        </w:rPr>
        <w:t xml:space="preserve"> per </w:t>
      </w:r>
      <w:r w:rsidRPr="006D3CF8">
        <w:rPr>
          <w:rFonts w:cs="Arial"/>
          <w:color w:val="242424"/>
          <w:szCs w:val="22"/>
          <w:lang w:eastAsia="en-GB"/>
        </w:rPr>
        <w:t xml:space="preserve">year are caused by three pathogens: </w:t>
      </w:r>
      <w:r w:rsidRPr="006D3CF8">
        <w:rPr>
          <w:rFonts w:cs="Arial"/>
          <w:i/>
          <w:iCs/>
          <w:color w:val="242424"/>
          <w:szCs w:val="22"/>
          <w:lang w:eastAsia="en-GB"/>
        </w:rPr>
        <w:t>E. coli (63%), Pseudomonas (25%) and Klebsiella</w:t>
      </w:r>
      <w:r w:rsidRPr="006D3CF8">
        <w:rPr>
          <w:rFonts w:cs="Arial"/>
          <w:color w:val="242424"/>
          <w:szCs w:val="22"/>
          <w:lang w:eastAsia="en-GB"/>
        </w:rPr>
        <w:t xml:space="preserve"> (12%).</w:t>
      </w:r>
      <w:r>
        <w:rPr>
          <w:rFonts w:cs="Arial"/>
          <w:color w:val="242424"/>
          <w:szCs w:val="22"/>
          <w:lang w:eastAsia="en-GB"/>
        </w:rPr>
        <w:fldChar w:fldCharType="begin"/>
      </w:r>
      <w:r>
        <w:rPr>
          <w:rFonts w:cs="Arial"/>
          <w:color w:val="242424"/>
          <w:szCs w:val="22"/>
          <w:lang w:eastAsia="en-GB"/>
        </w:rPr>
        <w:instrText xml:space="preserve"> ADDIN EN.CITE &lt;EndNote&gt;&lt;Cite&gt;&lt;Author&gt;Clarivate DRG&lt;/Author&gt;&lt;Year&gt;2021&lt;/Year&gt;&lt;RecNum&gt;34&lt;/RecNum&gt;&lt;DisplayText&gt;&lt;style face="superscript"&gt;7&lt;/style&gt;&lt;/DisplayText&gt;&lt;record&gt;&lt;rec-number&gt;34&lt;/rec-number&gt;&lt;foreign-keys&gt;&lt;key app="EN" db-id="pd5s0xr0250t2qevxfgxpvwp5eaztd2pavxx" timestamp="1639409691"&gt;34&lt;/key&gt;&lt;/foreign-keys&gt;&lt;ref-type name="Web Page"&gt;12&lt;/ref-type&gt;&lt;contributors&gt;&lt;authors&gt;&lt;author&gt;Clarivate DRG,&lt;/author&gt;&lt;/authors&gt;&lt;/contributors&gt;&lt;titles&gt;&lt;title&gt;Patient Populations Epidemiology - Number of Gram-negative hospitalisation events per year in the UK&lt;/title&gt;&lt;/titles&gt;&lt;dates&gt;&lt;year&gt;2021&lt;/year&gt;&lt;/dates&gt;&lt;urls&gt;&lt;related-urls&gt;&lt;url&gt;https://insights.decisionresourcesgroup.com/biopharma&lt;/url&gt;&lt;/related-urls&gt;&lt;/urls&gt;&lt;/record&gt;&lt;/Cite&gt;&lt;/EndNote&gt;</w:instrText>
      </w:r>
      <w:r>
        <w:rPr>
          <w:rFonts w:cs="Arial"/>
          <w:color w:val="242424"/>
          <w:szCs w:val="22"/>
          <w:lang w:eastAsia="en-GB"/>
        </w:rPr>
        <w:fldChar w:fldCharType="separate"/>
      </w:r>
      <w:r w:rsidRPr="00576A39">
        <w:rPr>
          <w:rFonts w:cs="Arial"/>
          <w:noProof/>
          <w:color w:val="242424"/>
          <w:szCs w:val="22"/>
          <w:vertAlign w:val="superscript"/>
          <w:lang w:eastAsia="en-GB"/>
        </w:rPr>
        <w:t>7</w:t>
      </w:r>
      <w:r>
        <w:rPr>
          <w:rFonts w:cs="Arial"/>
          <w:color w:val="242424"/>
          <w:szCs w:val="22"/>
          <w:lang w:eastAsia="en-GB"/>
        </w:rPr>
        <w:fldChar w:fldCharType="end"/>
      </w:r>
    </w:p>
    <w:p w14:paraId="384BC41B" w14:textId="77777777" w:rsidR="0008114B" w:rsidRDefault="0008114B" w:rsidP="0008114B">
      <w:pPr>
        <w:shd w:val="clear" w:color="auto" w:fill="FFFFFF"/>
        <w:spacing w:after="240" w:line="360" w:lineRule="auto"/>
        <w:rPr>
          <w:szCs w:val="22"/>
        </w:rPr>
      </w:pPr>
      <w:r w:rsidRPr="006D3CF8">
        <w:rPr>
          <w:rFonts w:cs="Arial"/>
          <w:color w:val="242424"/>
          <w:szCs w:val="22"/>
          <w:lang w:eastAsia="en-GB"/>
        </w:rPr>
        <w:t>Treatment options become limited when resistance to antibacterial arise. To quantify the burden, Pfizer looked at the resistance in key drug/bug combinations published in the latest ESPAUR report, either to a 3</w:t>
      </w:r>
      <w:r w:rsidRPr="006D3CF8">
        <w:rPr>
          <w:rFonts w:cs="Arial"/>
          <w:color w:val="242424"/>
          <w:szCs w:val="22"/>
          <w:vertAlign w:val="superscript"/>
          <w:lang w:eastAsia="en-GB"/>
        </w:rPr>
        <w:t>rd</w:t>
      </w:r>
      <w:r w:rsidRPr="006D3CF8">
        <w:rPr>
          <w:rFonts w:cs="Arial"/>
          <w:color w:val="242424"/>
          <w:szCs w:val="22"/>
          <w:lang w:eastAsia="en-GB"/>
        </w:rPr>
        <w:t xml:space="preserve"> generation cephalosporin or a carbapenem, and applied to the total patient population with a MDR Gram-negative </w:t>
      </w:r>
      <w:proofErr w:type="spellStart"/>
      <w:r w:rsidRPr="006D3CF8">
        <w:rPr>
          <w:rFonts w:cs="Arial"/>
          <w:color w:val="242424"/>
          <w:szCs w:val="22"/>
          <w:lang w:eastAsia="en-GB"/>
        </w:rPr>
        <w:t>cIAI</w:t>
      </w:r>
      <w:proofErr w:type="spellEnd"/>
      <w:r w:rsidRPr="006D3CF8">
        <w:rPr>
          <w:rFonts w:cs="Arial"/>
          <w:color w:val="242424"/>
          <w:szCs w:val="22"/>
          <w:lang w:eastAsia="en-GB"/>
        </w:rPr>
        <w:t xml:space="preserve">, </w:t>
      </w:r>
      <w:proofErr w:type="spellStart"/>
      <w:r w:rsidRPr="006D3CF8">
        <w:rPr>
          <w:rFonts w:cs="Arial"/>
          <w:color w:val="242424"/>
          <w:szCs w:val="22"/>
          <w:lang w:eastAsia="en-GB"/>
        </w:rPr>
        <w:t>cUTI</w:t>
      </w:r>
      <w:proofErr w:type="spellEnd"/>
      <w:r w:rsidRPr="006D3CF8">
        <w:rPr>
          <w:rFonts w:cs="Arial"/>
          <w:color w:val="242424"/>
          <w:szCs w:val="22"/>
          <w:lang w:eastAsia="en-GB"/>
        </w:rPr>
        <w:t xml:space="preserve"> or HAP/VAP infection. This results in an estimation of 50,000 new cases per year.</w:t>
      </w:r>
      <w:r>
        <w:rPr>
          <w:rFonts w:cs="Arial"/>
          <w:color w:val="242424"/>
          <w:szCs w:val="22"/>
          <w:lang w:eastAsia="en-GB"/>
        </w:rPr>
        <w:fldChar w:fldCharType="begin"/>
      </w:r>
      <w:r>
        <w:rPr>
          <w:rFonts w:cs="Arial"/>
          <w:color w:val="242424"/>
          <w:szCs w:val="22"/>
          <w:lang w:eastAsia="en-GB"/>
        </w:rPr>
        <w:instrText xml:space="preserve"> ADDIN EN.CITE &lt;EndNote&gt;&lt;Cite&gt;&lt;Author&gt;Clarivate DRG&lt;/Author&gt;&lt;Year&gt;2021&lt;/Year&gt;&lt;RecNum&gt;34&lt;/RecNum&gt;&lt;DisplayText&gt;&lt;style face="superscript"&gt;7,17&lt;/style&gt;&lt;/DisplayText&gt;&lt;record&gt;&lt;rec-number&gt;34&lt;/rec-number&gt;&lt;foreign-keys&gt;&lt;key app="EN" db-id="pd5s0xr0250t2qevxfgxpvwp5eaztd2pavxx" timestamp="1639409691"&gt;34&lt;/key&gt;&lt;/foreign-keys&gt;&lt;ref-type name="Web Page"&gt;12&lt;/ref-type&gt;&lt;contributors&gt;&lt;authors&gt;&lt;author&gt;Clarivate DRG,&lt;/author&gt;&lt;/authors&gt;&lt;/contributors&gt;&lt;titles&gt;&lt;title&gt;Patient Populations Epidemiology - Number of Gram-negative hospitalisation events per year in the UK&lt;/title&gt;&lt;/titles&gt;&lt;dates&gt;&lt;year&gt;2021&lt;/year&gt;&lt;/dates&gt;&lt;urls&gt;&lt;related-urls&gt;&lt;url&gt;https://insights.decisionresourcesgroup.com/biopharma&lt;/url&gt;&lt;/related-urls&gt;&lt;/urls&gt;&lt;/record&gt;&lt;/Cite&gt;&lt;Cite&gt;&lt;Author&gt;Public Health England&lt;/Author&gt;&lt;RecNum&gt;39&lt;/RecNum&gt;&lt;record&gt;&lt;rec-number&gt;39&lt;/rec-number&gt;&lt;foreign-keys&gt;&lt;key app="EN" db-id="pd5s0xr0250t2qevxfgxpvwp5eaztd2pavxx" timestamp="1639503375"&gt;39&lt;/key&gt;&lt;/foreign-keys&gt;&lt;ref-type name="Government Document"&gt;46&lt;/ref-type&gt;&lt;contributors&gt;&lt;authors&gt;&lt;author&gt;Public Health England,&lt;/author&gt;&lt;/authors&gt;&lt;secondary-authors&gt;&lt;author&gt;Department of Public Health., &lt;/author&gt;&lt;/secondary-authors&gt;&lt;/contributors&gt;&lt;titles&gt;&lt;title&gt;English Surveillance Programme for Antimicrobial Utilisation and Resistance (ESPAUR) Report 2019 to 2020&lt;/title&gt;&lt;/titles&gt;&lt;dates&gt;&lt;/dates&gt;&lt;pub-location&gt;UK&lt;/pub-location&gt;&lt;publisher&gt;© Crown copyright [2020]&lt;/publisher&gt;&lt;urls&gt;&lt;related-urls&gt;&lt;url&gt;https://webarchive.nationalarchives.gov.uk/ukgwa/20211022024510/https://www.gov.uk/government/publications/english-surveillance-programme-antimicrobial-utilisation-and-resistance-espaur-report&lt;/url&gt;&lt;/related-urls&gt;&lt;/urls&gt;&lt;/record&gt;&lt;/Cite&gt;&lt;/EndNote&gt;</w:instrText>
      </w:r>
      <w:r>
        <w:rPr>
          <w:rFonts w:cs="Arial"/>
          <w:color w:val="242424"/>
          <w:szCs w:val="22"/>
          <w:lang w:eastAsia="en-GB"/>
        </w:rPr>
        <w:fldChar w:fldCharType="separate"/>
      </w:r>
      <w:r w:rsidRPr="00576A39">
        <w:rPr>
          <w:rFonts w:cs="Arial"/>
          <w:noProof/>
          <w:color w:val="242424"/>
          <w:szCs w:val="22"/>
          <w:vertAlign w:val="superscript"/>
          <w:lang w:eastAsia="en-GB"/>
        </w:rPr>
        <w:t>7,17</w:t>
      </w:r>
      <w:r>
        <w:rPr>
          <w:rFonts w:cs="Arial"/>
          <w:color w:val="242424"/>
          <w:szCs w:val="22"/>
          <w:lang w:eastAsia="en-GB"/>
        </w:rPr>
        <w:fldChar w:fldCharType="end"/>
      </w:r>
      <w:r>
        <w:rPr>
          <w:rFonts w:cs="Arial"/>
          <w:color w:val="242424"/>
          <w:szCs w:val="22"/>
          <w:lang w:eastAsia="en-GB"/>
        </w:rPr>
        <w:t xml:space="preserve"> This epidemiology patient funnel was discussed with all stakeholders during the open dialogue stage and </w:t>
      </w:r>
      <w:r>
        <w:rPr>
          <w:szCs w:val="22"/>
        </w:rPr>
        <w:t>largely met consensus in being a reasonable approach to estimating the total eligible population.</w:t>
      </w:r>
    </w:p>
    <w:p w14:paraId="4DAF0DE2" w14:textId="77777777" w:rsidR="0008114B" w:rsidRPr="006D3CF8" w:rsidRDefault="0008114B" w:rsidP="0008114B">
      <w:pPr>
        <w:pStyle w:val="NICEnormal"/>
        <w:rPr>
          <w:rFonts w:cs="Arial"/>
          <w:color w:val="242424"/>
          <w:sz w:val="22"/>
          <w:szCs w:val="22"/>
          <w:lang w:val="en-GB" w:eastAsia="en-GB"/>
        </w:rPr>
      </w:pPr>
      <w:r w:rsidRPr="006D3CF8">
        <w:rPr>
          <w:sz w:val="22"/>
          <w:szCs w:val="22"/>
        </w:rPr>
        <w:lastRenderedPageBreak/>
        <w:t xml:space="preserve">The Pfizer model considered a constant infectious environment of 1,000 patients of a single UK hospital. Model outcomes were scaled up to reflect the population level in England, </w:t>
      </w:r>
      <w:proofErr w:type="gramStart"/>
      <w:r w:rsidRPr="006D3CF8">
        <w:rPr>
          <w:sz w:val="22"/>
          <w:szCs w:val="22"/>
        </w:rPr>
        <w:t>assuming that</w:t>
      </w:r>
      <w:proofErr w:type="gramEnd"/>
      <w:r w:rsidRPr="006D3CF8">
        <w:rPr>
          <w:sz w:val="22"/>
          <w:szCs w:val="22"/>
        </w:rPr>
        <w:t xml:space="preserve"> approx. 93,000 beds are constantly occupied in the general and acute wards. In total, the model calculated </w:t>
      </w:r>
      <w:proofErr w:type="gramStart"/>
      <w:r w:rsidRPr="006D3CF8">
        <w:rPr>
          <w:sz w:val="22"/>
          <w:szCs w:val="22"/>
        </w:rPr>
        <w:t xml:space="preserve">that </w:t>
      </w:r>
      <w:r w:rsidRPr="006D3CF8">
        <w:rPr>
          <w:rFonts w:cs="Arial"/>
          <w:color w:val="242424"/>
          <w:sz w:val="22"/>
          <w:szCs w:val="22"/>
          <w:lang w:val="en-GB" w:eastAsia="en-GB"/>
        </w:rPr>
        <w:t>30,689 patients</w:t>
      </w:r>
      <w:proofErr w:type="gramEnd"/>
      <w:r w:rsidRPr="006D3CF8">
        <w:rPr>
          <w:rFonts w:cs="Arial"/>
          <w:color w:val="242424"/>
          <w:sz w:val="22"/>
          <w:szCs w:val="22"/>
          <w:lang w:val="en-GB" w:eastAsia="en-GB"/>
        </w:rPr>
        <w:t xml:space="preserve"> would be exposed to </w:t>
      </w:r>
      <w:r>
        <w:rPr>
          <w:rFonts w:cs="Arial"/>
          <w:color w:val="242424"/>
          <w:sz w:val="22"/>
          <w:szCs w:val="22"/>
          <w:lang w:val="en-GB" w:eastAsia="en-GB"/>
        </w:rPr>
        <w:t>CAZ-AVI</w:t>
      </w:r>
      <w:r w:rsidRPr="006D3CF8">
        <w:rPr>
          <w:rFonts w:cs="Arial"/>
          <w:color w:val="242424"/>
          <w:sz w:val="22"/>
          <w:szCs w:val="22"/>
          <w:lang w:val="en-GB" w:eastAsia="en-GB"/>
        </w:rPr>
        <w:t xml:space="preserve"> over a 10-year period (</w:t>
      </w:r>
      <w:r>
        <w:rPr>
          <w:rFonts w:cs="Arial"/>
          <w:color w:val="242424"/>
          <w:sz w:val="22"/>
          <w:szCs w:val="22"/>
          <w:lang w:val="en-GB" w:eastAsia="en-GB"/>
        </w:rPr>
        <w:fldChar w:fldCharType="begin"/>
      </w:r>
      <w:r>
        <w:rPr>
          <w:rFonts w:cs="Arial"/>
          <w:color w:val="242424"/>
          <w:sz w:val="22"/>
          <w:szCs w:val="22"/>
          <w:lang w:val="en-GB" w:eastAsia="en-GB"/>
        </w:rPr>
        <w:instrText xml:space="preserve"> REF _Ref90271692 \h </w:instrText>
      </w:r>
      <w:r>
        <w:rPr>
          <w:rFonts w:cs="Arial"/>
          <w:color w:val="242424"/>
          <w:sz w:val="22"/>
          <w:szCs w:val="22"/>
          <w:lang w:val="en-GB" w:eastAsia="en-GB"/>
        </w:rPr>
      </w:r>
      <w:r>
        <w:rPr>
          <w:rFonts w:cs="Arial"/>
          <w:color w:val="242424"/>
          <w:sz w:val="22"/>
          <w:szCs w:val="22"/>
          <w:lang w:val="en-GB" w:eastAsia="en-GB"/>
        </w:rPr>
        <w:fldChar w:fldCharType="separate"/>
      </w:r>
      <w:r w:rsidRPr="00D91705">
        <w:t xml:space="preserve">Table </w:t>
      </w:r>
      <w:r>
        <w:rPr>
          <w:noProof/>
        </w:rPr>
        <w:t>4</w:t>
      </w:r>
      <w:r>
        <w:rPr>
          <w:rFonts w:cs="Arial"/>
          <w:color w:val="242424"/>
          <w:sz w:val="22"/>
          <w:szCs w:val="22"/>
          <w:lang w:val="en-GB" w:eastAsia="en-GB"/>
        </w:rPr>
        <w:fldChar w:fldCharType="end"/>
      </w:r>
      <w:r w:rsidRPr="006D3CF8">
        <w:rPr>
          <w:rFonts w:cs="Arial"/>
          <w:color w:val="242424"/>
          <w:sz w:val="22"/>
          <w:szCs w:val="22"/>
          <w:lang w:val="en-GB" w:eastAsia="en-GB"/>
        </w:rPr>
        <w:t xml:space="preserve">). </w:t>
      </w:r>
      <w:r w:rsidRPr="006D3CF8">
        <w:rPr>
          <w:sz w:val="22"/>
          <w:szCs w:val="22"/>
          <w:lang w:val="en-GB"/>
        </w:rPr>
        <w:t xml:space="preserve">The aggregated number of patients was validated against the number of patients currently receiving </w:t>
      </w:r>
      <w:r>
        <w:rPr>
          <w:sz w:val="22"/>
          <w:szCs w:val="22"/>
          <w:lang w:val="en-GB"/>
        </w:rPr>
        <w:t>CAZ-AVI</w:t>
      </w:r>
      <w:r w:rsidRPr="006D3CF8">
        <w:rPr>
          <w:sz w:val="22"/>
          <w:szCs w:val="22"/>
          <w:lang w:val="en-GB"/>
        </w:rPr>
        <w:t xml:space="preserve">. </w:t>
      </w:r>
      <w:r w:rsidRPr="006D3CF8">
        <w:rPr>
          <w:rFonts w:cs="Arial"/>
          <w:color w:val="242424"/>
          <w:sz w:val="22"/>
          <w:szCs w:val="22"/>
          <w:lang w:val="en-GB" w:eastAsia="en-GB"/>
        </w:rPr>
        <w:t>The numbers EEPRU presented in its assessment are considerably lower, stretched over a 20-year period and do not reflect current clinical practice.</w:t>
      </w:r>
    </w:p>
    <w:p w14:paraId="4FB47B48" w14:textId="77777777" w:rsidR="0008114B" w:rsidRPr="00D91705" w:rsidRDefault="0008114B" w:rsidP="0008114B">
      <w:pPr>
        <w:pStyle w:val="Caption"/>
      </w:pPr>
      <w:bookmarkStart w:id="19" w:name="_Ref90271692"/>
      <w:r w:rsidRPr="00D91705">
        <w:t xml:space="preserve">Table </w:t>
      </w:r>
      <w:r>
        <w:fldChar w:fldCharType="begin"/>
      </w:r>
      <w:r>
        <w:instrText>SEQ Table \* ARABIC</w:instrText>
      </w:r>
      <w:r>
        <w:fldChar w:fldCharType="separate"/>
      </w:r>
      <w:r>
        <w:rPr>
          <w:noProof/>
        </w:rPr>
        <w:t>4</w:t>
      </w:r>
      <w:r>
        <w:fldChar w:fldCharType="end"/>
      </w:r>
      <w:bookmarkEnd w:id="19"/>
      <w:r w:rsidRPr="00D91705">
        <w:t xml:space="preserve">. Total number of patients exposed to </w:t>
      </w:r>
      <w:r>
        <w:t>CAZ-AVI</w:t>
      </w:r>
      <w:r w:rsidRPr="00D91705">
        <w:t xml:space="preserve"> </w:t>
      </w:r>
    </w:p>
    <w:tbl>
      <w:tblPr>
        <w:tblStyle w:val="TableGrid"/>
        <w:tblW w:w="0" w:type="auto"/>
        <w:tblLayout w:type="fixed"/>
        <w:tblLook w:val="04A0" w:firstRow="1" w:lastRow="0" w:firstColumn="1" w:lastColumn="0" w:noHBand="0" w:noVBand="1"/>
      </w:tblPr>
      <w:tblGrid>
        <w:gridCol w:w="1786"/>
        <w:gridCol w:w="2037"/>
        <w:gridCol w:w="2146"/>
      </w:tblGrid>
      <w:tr w:rsidR="0008114B" w:rsidRPr="00D91705" w14:paraId="0D699360" w14:textId="77777777" w:rsidTr="0008114B">
        <w:tc>
          <w:tcPr>
            <w:tcW w:w="1786" w:type="dxa"/>
            <w:shd w:val="clear" w:color="auto" w:fill="D9D9D9" w:themeFill="background1" w:themeFillShade="D9"/>
          </w:tcPr>
          <w:p w14:paraId="59EA4D60" w14:textId="77777777" w:rsidR="0008114B" w:rsidRPr="006D3CF8" w:rsidRDefault="0008114B" w:rsidP="0008114B">
            <w:pPr>
              <w:spacing w:before="100" w:beforeAutospacing="1" w:after="100" w:afterAutospacing="1" w:line="276" w:lineRule="auto"/>
              <w:rPr>
                <w:rFonts w:cs="Arial"/>
                <w:b/>
                <w:bCs/>
                <w:color w:val="242424"/>
                <w:sz w:val="20"/>
                <w:lang w:eastAsia="en-GB"/>
              </w:rPr>
            </w:pPr>
            <w:r w:rsidRPr="006D3CF8">
              <w:rPr>
                <w:rFonts w:cs="Arial"/>
                <w:b/>
                <w:bCs/>
                <w:color w:val="242424"/>
                <w:sz w:val="20"/>
                <w:lang w:eastAsia="en-GB"/>
              </w:rPr>
              <w:t>Indication</w:t>
            </w:r>
          </w:p>
        </w:tc>
        <w:tc>
          <w:tcPr>
            <w:tcW w:w="2037" w:type="dxa"/>
            <w:shd w:val="clear" w:color="auto" w:fill="D9D9D9" w:themeFill="background1" w:themeFillShade="D9"/>
          </w:tcPr>
          <w:p w14:paraId="0CA73C03" w14:textId="77777777" w:rsidR="0008114B" w:rsidRPr="006D3CF8" w:rsidRDefault="0008114B" w:rsidP="0008114B">
            <w:pPr>
              <w:spacing w:before="100" w:beforeAutospacing="1" w:after="100" w:afterAutospacing="1" w:line="276" w:lineRule="auto"/>
              <w:rPr>
                <w:rFonts w:cs="Arial"/>
                <w:b/>
                <w:bCs/>
                <w:color w:val="242424"/>
                <w:sz w:val="20"/>
                <w:lang w:eastAsia="en-GB"/>
              </w:rPr>
            </w:pPr>
            <w:r w:rsidRPr="006D3CF8">
              <w:rPr>
                <w:rFonts w:cs="Arial"/>
                <w:b/>
                <w:bCs/>
                <w:color w:val="242424"/>
                <w:sz w:val="20"/>
                <w:lang w:eastAsia="en-GB"/>
              </w:rPr>
              <w:t>Pfizer model</w:t>
            </w:r>
            <w:r w:rsidRPr="006D3CF8">
              <w:rPr>
                <w:rFonts w:cs="Arial"/>
                <w:b/>
                <w:bCs/>
                <w:color w:val="242424"/>
                <w:sz w:val="20"/>
                <w:lang w:eastAsia="en-GB"/>
              </w:rPr>
              <w:br/>
              <w:t>(10-year period)</w:t>
            </w:r>
          </w:p>
        </w:tc>
        <w:tc>
          <w:tcPr>
            <w:tcW w:w="2146" w:type="dxa"/>
            <w:shd w:val="clear" w:color="auto" w:fill="D9D9D9" w:themeFill="background1" w:themeFillShade="D9"/>
          </w:tcPr>
          <w:p w14:paraId="06B5F44B" w14:textId="77777777" w:rsidR="0008114B" w:rsidRPr="006D3CF8" w:rsidRDefault="0008114B" w:rsidP="0008114B">
            <w:pPr>
              <w:spacing w:before="100" w:beforeAutospacing="1" w:after="100" w:afterAutospacing="1" w:line="276" w:lineRule="auto"/>
              <w:rPr>
                <w:rFonts w:cs="Arial"/>
                <w:b/>
                <w:bCs/>
                <w:color w:val="242424"/>
                <w:sz w:val="20"/>
                <w:lang w:eastAsia="en-GB"/>
              </w:rPr>
            </w:pPr>
            <w:r w:rsidRPr="006D3CF8">
              <w:rPr>
                <w:rFonts w:cs="Arial"/>
                <w:b/>
                <w:bCs/>
                <w:color w:val="242424"/>
                <w:sz w:val="20"/>
                <w:lang w:eastAsia="en-GB"/>
              </w:rPr>
              <w:t xml:space="preserve">EEPRU model </w:t>
            </w:r>
            <w:r w:rsidRPr="006D3CF8">
              <w:rPr>
                <w:rFonts w:cs="Arial"/>
                <w:b/>
                <w:bCs/>
                <w:color w:val="242424"/>
                <w:sz w:val="20"/>
                <w:lang w:eastAsia="en-GB"/>
              </w:rPr>
              <w:br/>
              <w:t>(20-year period)</w:t>
            </w:r>
          </w:p>
        </w:tc>
      </w:tr>
      <w:tr w:rsidR="0008114B" w:rsidRPr="00D91705" w14:paraId="62AE0417" w14:textId="77777777" w:rsidTr="0008114B">
        <w:tc>
          <w:tcPr>
            <w:tcW w:w="1786" w:type="dxa"/>
          </w:tcPr>
          <w:p w14:paraId="26479135" w14:textId="77777777" w:rsidR="0008114B" w:rsidRPr="006D3CF8" w:rsidRDefault="0008114B" w:rsidP="0008114B">
            <w:pPr>
              <w:spacing w:before="100" w:beforeAutospacing="1" w:after="100" w:afterAutospacing="1" w:line="276" w:lineRule="auto"/>
              <w:rPr>
                <w:rFonts w:cs="Arial"/>
                <w:color w:val="242424"/>
                <w:sz w:val="20"/>
                <w:lang w:eastAsia="en-GB"/>
              </w:rPr>
            </w:pPr>
            <w:proofErr w:type="spellStart"/>
            <w:r w:rsidRPr="006D3CF8">
              <w:rPr>
                <w:rFonts w:cs="Arial"/>
                <w:color w:val="242424"/>
                <w:sz w:val="20"/>
                <w:lang w:eastAsia="en-GB"/>
              </w:rPr>
              <w:t>cUTI</w:t>
            </w:r>
            <w:proofErr w:type="spellEnd"/>
          </w:p>
        </w:tc>
        <w:tc>
          <w:tcPr>
            <w:tcW w:w="2037" w:type="dxa"/>
          </w:tcPr>
          <w:p w14:paraId="229A7519" w14:textId="77777777" w:rsidR="0008114B" w:rsidRPr="006D3CF8" w:rsidRDefault="0008114B" w:rsidP="0008114B">
            <w:pPr>
              <w:spacing w:before="100" w:beforeAutospacing="1" w:after="100" w:afterAutospacing="1" w:line="276" w:lineRule="auto"/>
              <w:rPr>
                <w:rFonts w:cs="Arial"/>
                <w:color w:val="242424"/>
                <w:sz w:val="20"/>
                <w:lang w:eastAsia="en-GB"/>
              </w:rPr>
            </w:pPr>
            <w:r w:rsidRPr="006D3CF8">
              <w:rPr>
                <w:rFonts w:cs="Arial"/>
                <w:color w:val="242424"/>
                <w:sz w:val="20"/>
                <w:lang w:eastAsia="en-GB"/>
              </w:rPr>
              <w:t>11,417 (incl. LTO)</w:t>
            </w:r>
          </w:p>
        </w:tc>
        <w:tc>
          <w:tcPr>
            <w:tcW w:w="2146" w:type="dxa"/>
          </w:tcPr>
          <w:p w14:paraId="1A8B0791" w14:textId="77777777" w:rsidR="0008114B" w:rsidRPr="006D3CF8" w:rsidRDefault="0008114B" w:rsidP="0008114B">
            <w:pPr>
              <w:spacing w:before="100" w:beforeAutospacing="1" w:after="100" w:afterAutospacing="1" w:line="276" w:lineRule="auto"/>
              <w:rPr>
                <w:rFonts w:cs="Arial"/>
                <w:color w:val="242424"/>
                <w:sz w:val="20"/>
                <w:lang w:eastAsia="en-GB"/>
              </w:rPr>
            </w:pPr>
            <w:r w:rsidRPr="006D3CF8">
              <w:rPr>
                <w:rFonts w:cs="Arial"/>
                <w:color w:val="242424"/>
                <w:sz w:val="20"/>
                <w:lang w:eastAsia="en-GB"/>
              </w:rPr>
              <w:t>588-2,095</w:t>
            </w:r>
          </w:p>
        </w:tc>
      </w:tr>
      <w:tr w:rsidR="0008114B" w:rsidRPr="00D91705" w14:paraId="57B63C69" w14:textId="77777777" w:rsidTr="0008114B">
        <w:tc>
          <w:tcPr>
            <w:tcW w:w="1786" w:type="dxa"/>
          </w:tcPr>
          <w:p w14:paraId="48DFCBF5" w14:textId="77777777" w:rsidR="0008114B" w:rsidRPr="006D3CF8" w:rsidRDefault="0008114B" w:rsidP="0008114B">
            <w:pPr>
              <w:spacing w:before="100" w:beforeAutospacing="1" w:after="100" w:afterAutospacing="1" w:line="276" w:lineRule="auto"/>
              <w:rPr>
                <w:rFonts w:cs="Arial"/>
                <w:color w:val="242424"/>
                <w:sz w:val="20"/>
                <w:lang w:eastAsia="en-GB"/>
              </w:rPr>
            </w:pPr>
            <w:proofErr w:type="spellStart"/>
            <w:r w:rsidRPr="006D3CF8">
              <w:rPr>
                <w:rFonts w:cs="Arial"/>
                <w:color w:val="242424"/>
                <w:sz w:val="20"/>
                <w:lang w:eastAsia="en-GB"/>
              </w:rPr>
              <w:t>cIAI</w:t>
            </w:r>
            <w:proofErr w:type="spellEnd"/>
          </w:p>
        </w:tc>
        <w:tc>
          <w:tcPr>
            <w:tcW w:w="2037" w:type="dxa"/>
          </w:tcPr>
          <w:p w14:paraId="4CA05B88" w14:textId="77777777" w:rsidR="0008114B" w:rsidRPr="006D3CF8" w:rsidRDefault="0008114B" w:rsidP="0008114B">
            <w:pPr>
              <w:spacing w:before="100" w:beforeAutospacing="1" w:after="100" w:afterAutospacing="1" w:line="276" w:lineRule="auto"/>
              <w:rPr>
                <w:rFonts w:cs="Arial"/>
                <w:color w:val="242424"/>
                <w:sz w:val="20"/>
                <w:lang w:eastAsia="en-GB"/>
              </w:rPr>
            </w:pPr>
            <w:r w:rsidRPr="006D3CF8">
              <w:rPr>
                <w:rFonts w:cs="Arial"/>
                <w:color w:val="242424"/>
                <w:sz w:val="20"/>
                <w:lang w:eastAsia="en-GB"/>
              </w:rPr>
              <w:t>5,086 (incl. LTO)</w:t>
            </w:r>
          </w:p>
        </w:tc>
        <w:tc>
          <w:tcPr>
            <w:tcW w:w="2146" w:type="dxa"/>
          </w:tcPr>
          <w:p w14:paraId="3EE44EF7" w14:textId="77777777" w:rsidR="0008114B" w:rsidRPr="006D3CF8" w:rsidRDefault="0008114B" w:rsidP="0008114B">
            <w:pPr>
              <w:spacing w:before="100" w:beforeAutospacing="1" w:after="100" w:afterAutospacing="1" w:line="276" w:lineRule="auto"/>
              <w:rPr>
                <w:rFonts w:cs="Arial"/>
                <w:color w:val="242424"/>
                <w:sz w:val="20"/>
                <w:lang w:eastAsia="en-GB"/>
              </w:rPr>
            </w:pPr>
            <w:r w:rsidRPr="006D3CF8">
              <w:rPr>
                <w:rFonts w:cs="Arial"/>
                <w:color w:val="242424"/>
                <w:sz w:val="20"/>
                <w:lang w:eastAsia="en-GB"/>
              </w:rPr>
              <w:t>257-571</w:t>
            </w:r>
          </w:p>
        </w:tc>
      </w:tr>
      <w:tr w:rsidR="0008114B" w:rsidRPr="00D91705" w14:paraId="04376C70" w14:textId="77777777" w:rsidTr="0008114B">
        <w:tc>
          <w:tcPr>
            <w:tcW w:w="1786" w:type="dxa"/>
          </w:tcPr>
          <w:p w14:paraId="05386A74" w14:textId="77777777" w:rsidR="0008114B" w:rsidRPr="006D3CF8" w:rsidRDefault="0008114B" w:rsidP="0008114B">
            <w:pPr>
              <w:spacing w:before="100" w:beforeAutospacing="1" w:after="100" w:afterAutospacing="1" w:line="276" w:lineRule="auto"/>
              <w:rPr>
                <w:rFonts w:cs="Arial"/>
                <w:color w:val="242424"/>
                <w:sz w:val="20"/>
                <w:lang w:eastAsia="en-GB"/>
              </w:rPr>
            </w:pPr>
            <w:r w:rsidRPr="006D3CF8">
              <w:rPr>
                <w:rFonts w:cs="Arial"/>
                <w:color w:val="242424"/>
                <w:sz w:val="20"/>
                <w:lang w:eastAsia="en-GB"/>
              </w:rPr>
              <w:t>HAP/VAP</w:t>
            </w:r>
          </w:p>
        </w:tc>
        <w:tc>
          <w:tcPr>
            <w:tcW w:w="2037" w:type="dxa"/>
          </w:tcPr>
          <w:p w14:paraId="6058A39A" w14:textId="77777777" w:rsidR="0008114B" w:rsidRPr="006D3CF8" w:rsidRDefault="0008114B" w:rsidP="0008114B">
            <w:pPr>
              <w:spacing w:before="100" w:beforeAutospacing="1" w:after="100" w:afterAutospacing="1" w:line="276" w:lineRule="auto"/>
              <w:rPr>
                <w:rFonts w:cs="Arial"/>
                <w:color w:val="242424"/>
                <w:sz w:val="20"/>
                <w:lang w:eastAsia="en-GB"/>
              </w:rPr>
            </w:pPr>
            <w:r w:rsidRPr="006D3CF8">
              <w:rPr>
                <w:rFonts w:cs="Arial"/>
                <w:color w:val="242424"/>
                <w:sz w:val="20"/>
                <w:lang w:eastAsia="en-GB"/>
              </w:rPr>
              <w:t>14,185 (incl. LTO)</w:t>
            </w:r>
          </w:p>
        </w:tc>
        <w:tc>
          <w:tcPr>
            <w:tcW w:w="2146" w:type="dxa"/>
          </w:tcPr>
          <w:p w14:paraId="43894561" w14:textId="77777777" w:rsidR="0008114B" w:rsidRPr="006D3CF8" w:rsidRDefault="0008114B" w:rsidP="0008114B">
            <w:pPr>
              <w:spacing w:before="100" w:beforeAutospacing="1" w:after="100" w:afterAutospacing="1" w:line="276" w:lineRule="auto"/>
              <w:rPr>
                <w:rFonts w:cs="Arial"/>
                <w:color w:val="242424"/>
                <w:sz w:val="20"/>
                <w:lang w:eastAsia="en-GB"/>
              </w:rPr>
            </w:pPr>
            <w:r w:rsidRPr="006D3CF8">
              <w:rPr>
                <w:rFonts w:cs="Arial"/>
                <w:color w:val="242424"/>
                <w:sz w:val="20"/>
                <w:lang w:eastAsia="en-GB"/>
              </w:rPr>
              <w:t>576-8,860</w:t>
            </w:r>
          </w:p>
        </w:tc>
      </w:tr>
      <w:tr w:rsidR="0008114B" w:rsidRPr="00D91705" w14:paraId="29B84F64" w14:textId="77777777" w:rsidTr="0008114B">
        <w:tc>
          <w:tcPr>
            <w:tcW w:w="1786" w:type="dxa"/>
          </w:tcPr>
          <w:p w14:paraId="5D47C221" w14:textId="77777777" w:rsidR="0008114B" w:rsidRPr="006D3CF8" w:rsidRDefault="0008114B" w:rsidP="0008114B">
            <w:pPr>
              <w:spacing w:before="100" w:beforeAutospacing="1" w:after="100" w:afterAutospacing="1" w:line="276" w:lineRule="auto"/>
              <w:rPr>
                <w:rFonts w:cs="Arial"/>
                <w:color w:val="242424"/>
                <w:sz w:val="20"/>
                <w:lang w:eastAsia="en-GB"/>
              </w:rPr>
            </w:pPr>
            <w:r>
              <w:rPr>
                <w:rFonts w:cs="Arial"/>
                <w:color w:val="242424"/>
                <w:sz w:val="20"/>
                <w:lang w:eastAsia="en-GB"/>
              </w:rPr>
              <w:t>LTO</w:t>
            </w:r>
          </w:p>
        </w:tc>
        <w:tc>
          <w:tcPr>
            <w:tcW w:w="2037" w:type="dxa"/>
          </w:tcPr>
          <w:p w14:paraId="24EF43BB" w14:textId="77777777" w:rsidR="0008114B" w:rsidRPr="006D3CF8" w:rsidRDefault="0008114B" w:rsidP="0008114B">
            <w:pPr>
              <w:spacing w:before="100" w:beforeAutospacing="1" w:after="100" w:afterAutospacing="1" w:line="276" w:lineRule="auto"/>
              <w:rPr>
                <w:rFonts w:cs="Arial"/>
                <w:color w:val="242424"/>
                <w:sz w:val="20"/>
                <w:lang w:eastAsia="en-GB"/>
              </w:rPr>
            </w:pPr>
            <w:r>
              <w:rPr>
                <w:rFonts w:cs="Arial"/>
                <w:color w:val="242424"/>
                <w:sz w:val="20"/>
                <w:lang w:eastAsia="en-GB"/>
              </w:rPr>
              <w:t>Included in above</w:t>
            </w:r>
          </w:p>
        </w:tc>
        <w:tc>
          <w:tcPr>
            <w:tcW w:w="2146" w:type="dxa"/>
          </w:tcPr>
          <w:p w14:paraId="0A062B50" w14:textId="77777777" w:rsidR="0008114B" w:rsidRPr="006D3CF8" w:rsidRDefault="0008114B" w:rsidP="0008114B">
            <w:pPr>
              <w:spacing w:before="100" w:beforeAutospacing="1" w:after="100" w:afterAutospacing="1" w:line="276" w:lineRule="auto"/>
              <w:rPr>
                <w:rFonts w:cs="Arial"/>
                <w:color w:val="242424"/>
                <w:sz w:val="20"/>
                <w:lang w:eastAsia="en-GB"/>
              </w:rPr>
            </w:pPr>
            <w:r>
              <w:rPr>
                <w:rFonts w:cs="Arial"/>
                <w:color w:val="242424"/>
                <w:sz w:val="20"/>
                <w:lang w:eastAsia="en-GB"/>
              </w:rPr>
              <w:t>Not included</w:t>
            </w:r>
          </w:p>
        </w:tc>
      </w:tr>
      <w:tr w:rsidR="0008114B" w:rsidRPr="00D91705" w14:paraId="70CC159F" w14:textId="77777777" w:rsidTr="0008114B">
        <w:tc>
          <w:tcPr>
            <w:tcW w:w="1786" w:type="dxa"/>
          </w:tcPr>
          <w:p w14:paraId="1ECA7311" w14:textId="77777777" w:rsidR="0008114B" w:rsidRPr="006D3CF8" w:rsidRDefault="0008114B" w:rsidP="0008114B">
            <w:pPr>
              <w:spacing w:before="100" w:beforeAutospacing="1" w:after="100" w:afterAutospacing="1" w:line="276" w:lineRule="auto"/>
              <w:rPr>
                <w:rFonts w:cs="Arial"/>
                <w:color w:val="242424"/>
                <w:sz w:val="20"/>
                <w:lang w:eastAsia="en-GB"/>
              </w:rPr>
            </w:pPr>
            <w:r w:rsidRPr="006D3CF8">
              <w:rPr>
                <w:rFonts w:cs="Arial"/>
                <w:color w:val="242424"/>
                <w:sz w:val="20"/>
                <w:lang w:eastAsia="en-GB"/>
              </w:rPr>
              <w:t>Total</w:t>
            </w:r>
          </w:p>
        </w:tc>
        <w:tc>
          <w:tcPr>
            <w:tcW w:w="2037" w:type="dxa"/>
          </w:tcPr>
          <w:p w14:paraId="57AD0E71" w14:textId="77777777" w:rsidR="0008114B" w:rsidRPr="006D3CF8" w:rsidRDefault="0008114B" w:rsidP="0008114B">
            <w:pPr>
              <w:spacing w:before="100" w:beforeAutospacing="1" w:after="100" w:afterAutospacing="1" w:line="276" w:lineRule="auto"/>
              <w:rPr>
                <w:rFonts w:cs="Arial"/>
                <w:color w:val="242424"/>
                <w:sz w:val="20"/>
                <w:lang w:eastAsia="en-GB"/>
              </w:rPr>
            </w:pPr>
            <w:r w:rsidRPr="006D3CF8">
              <w:rPr>
                <w:rFonts w:cs="Arial"/>
                <w:color w:val="242424"/>
                <w:sz w:val="20"/>
                <w:lang w:eastAsia="en-GB"/>
              </w:rPr>
              <w:t>30,689</w:t>
            </w:r>
            <w:r>
              <w:rPr>
                <w:rFonts w:cs="Arial"/>
                <w:color w:val="242424"/>
                <w:sz w:val="20"/>
                <w:lang w:eastAsia="en-GB"/>
              </w:rPr>
              <w:t xml:space="preserve"> </w:t>
            </w:r>
            <w:r w:rsidRPr="006D3CF8">
              <w:rPr>
                <w:rFonts w:cs="Arial"/>
                <w:color w:val="242424"/>
                <w:sz w:val="20"/>
                <w:lang w:eastAsia="en-GB"/>
              </w:rPr>
              <w:t>(incl. LTO)</w:t>
            </w:r>
          </w:p>
        </w:tc>
        <w:tc>
          <w:tcPr>
            <w:tcW w:w="2146" w:type="dxa"/>
          </w:tcPr>
          <w:p w14:paraId="250FF8E4" w14:textId="77777777" w:rsidR="0008114B" w:rsidRPr="006D3CF8" w:rsidRDefault="0008114B" w:rsidP="0008114B">
            <w:pPr>
              <w:spacing w:before="100" w:beforeAutospacing="1" w:after="100" w:afterAutospacing="1" w:line="276" w:lineRule="auto"/>
              <w:rPr>
                <w:rFonts w:cs="Arial"/>
                <w:color w:val="242424"/>
                <w:sz w:val="20"/>
                <w:lang w:eastAsia="en-GB"/>
              </w:rPr>
            </w:pPr>
            <w:r w:rsidRPr="006D3CF8">
              <w:rPr>
                <w:rFonts w:cs="Arial"/>
                <w:color w:val="242424"/>
                <w:sz w:val="20"/>
                <w:lang w:eastAsia="en-GB"/>
              </w:rPr>
              <w:t>1,421-11,526</w:t>
            </w:r>
          </w:p>
        </w:tc>
      </w:tr>
    </w:tbl>
    <w:p w14:paraId="606669F3" w14:textId="77777777" w:rsidR="0008114B" w:rsidRPr="00A573DE" w:rsidRDefault="0008114B" w:rsidP="0008114B">
      <w:pPr>
        <w:shd w:val="clear" w:color="auto" w:fill="FFFFFF"/>
        <w:spacing w:before="100" w:beforeAutospacing="1" w:after="100" w:afterAutospacing="1" w:line="276" w:lineRule="auto"/>
        <w:ind w:left="426"/>
        <w:rPr>
          <w:rFonts w:cs="Arial"/>
          <w:color w:val="242424"/>
          <w:sz w:val="24"/>
          <w:szCs w:val="24"/>
          <w:lang w:eastAsia="en-GB"/>
        </w:rPr>
      </w:pPr>
    </w:p>
    <w:p w14:paraId="53FB6C6A" w14:textId="2BDA894F" w:rsidR="0008114B" w:rsidRPr="008008C4" w:rsidRDefault="0008114B" w:rsidP="0008114B">
      <w:pPr>
        <w:pStyle w:val="Heading3"/>
        <w:numPr>
          <w:ilvl w:val="1"/>
          <w:numId w:val="27"/>
        </w:numPr>
        <w:jc w:val="left"/>
        <w:rPr>
          <w:sz w:val="22"/>
          <w:szCs w:val="22"/>
          <w:lang w:eastAsia="en-GB"/>
        </w:rPr>
      </w:pPr>
      <w:bookmarkStart w:id="20" w:name="_Ref90323719"/>
      <w:r w:rsidRPr="008008C4">
        <w:rPr>
          <w:sz w:val="22"/>
          <w:szCs w:val="22"/>
          <w:lang w:eastAsia="en-GB"/>
        </w:rPr>
        <w:t>Patient population treated with CAZ-AVI</w:t>
      </w:r>
      <w:bookmarkEnd w:id="20"/>
    </w:p>
    <w:p w14:paraId="79D2595D" w14:textId="77777777" w:rsidR="00887584" w:rsidRPr="00887584" w:rsidRDefault="00887584" w:rsidP="00887584">
      <w:pPr>
        <w:rPr>
          <w:lang w:eastAsia="en-GB"/>
        </w:rPr>
      </w:pPr>
    </w:p>
    <w:p w14:paraId="6F7AEFE1" w14:textId="77777777" w:rsidR="0008114B" w:rsidRPr="006D3CF8" w:rsidRDefault="0008114B" w:rsidP="0008114B">
      <w:pPr>
        <w:shd w:val="clear" w:color="auto" w:fill="FFFFFF"/>
        <w:spacing w:after="240" w:line="360" w:lineRule="auto"/>
        <w:rPr>
          <w:rFonts w:cs="Arial"/>
          <w:color w:val="242424"/>
          <w:szCs w:val="22"/>
          <w:lang w:eastAsia="en-GB"/>
        </w:rPr>
      </w:pPr>
      <w:r w:rsidRPr="006D3CF8">
        <w:rPr>
          <w:rFonts w:cs="Arial"/>
          <w:color w:val="242424"/>
          <w:szCs w:val="22"/>
          <w:lang w:eastAsia="en-GB"/>
        </w:rPr>
        <w:t>Current patient</w:t>
      </w:r>
      <w:r>
        <w:rPr>
          <w:rFonts w:cs="Arial"/>
          <w:color w:val="242424"/>
          <w:szCs w:val="22"/>
          <w:lang w:eastAsia="en-GB"/>
        </w:rPr>
        <w:t>s</w:t>
      </w:r>
      <w:r w:rsidRPr="006D3CF8">
        <w:rPr>
          <w:rFonts w:cs="Arial"/>
          <w:color w:val="242424"/>
          <w:szCs w:val="22"/>
          <w:lang w:eastAsia="en-GB"/>
        </w:rPr>
        <w:t xml:space="preserve"> treated </w:t>
      </w:r>
      <w:r w:rsidRPr="00211F18">
        <w:rPr>
          <w:rFonts w:cs="Arial"/>
          <w:color w:val="242424"/>
          <w:szCs w:val="22"/>
          <w:lang w:eastAsia="en-GB"/>
        </w:rPr>
        <w:t xml:space="preserve">per year with CAZ-AVI, based on internal calculation using average duration of treatment of 11 days was estimated at </w:t>
      </w:r>
      <w:r w:rsidRPr="001B7EC7">
        <w:rPr>
          <w:color w:val="242424"/>
        </w:rPr>
        <w:t>1,400 patients</w:t>
      </w:r>
      <w:r w:rsidRPr="001B7EC7">
        <w:rPr>
          <w:color w:val="242424"/>
        </w:rPr>
        <w:fldChar w:fldCharType="begin"/>
      </w:r>
      <w:r w:rsidRPr="001B7EC7">
        <w:rPr>
          <w:color w:val="242424"/>
        </w:rPr>
        <w:instrText xml:space="preserve"> ADDIN EN.CITE &lt;EndNote&gt;&lt;Cite&gt;&lt;Author&gt;Pfizer&lt;/Author&gt;&lt;Year&gt;2021&lt;/Year&gt;&lt;RecNum&gt;40&lt;/RecNum&gt;&lt;DisplayText&gt;&lt;style face="superscript"&gt;6&lt;/style&gt;&lt;/DisplayText&gt;&lt;record&gt;&lt;rec-number&gt;40&lt;/rec-number&gt;&lt;foreign-keys&gt;&lt;key app="EN" db-id="pd5s0xr0250t2qevxfgxpvwp5eaztd2pavxx" timestamp="1639504224"&gt;40&lt;/key&gt;&lt;/foreign-keys&gt;&lt;ref-type name="Government Document"&gt;46&lt;/ref-type&gt;&lt;contributors&gt;&lt;authors&gt;&lt;author&gt;Pfizer,&lt;/author&gt;&lt;/authors&gt;&lt;/contributors&gt;&lt;titles&gt;&lt;title&gt;Patient number calculation. data on file&lt;/title&gt;&lt;/titles&gt;&lt;dates&gt;&lt;year&gt;2021&lt;/year&gt;&lt;/dates&gt;&lt;urls&gt;&lt;/urls&gt;&lt;/record&gt;&lt;/Cite&gt;&lt;/EndNote&gt;</w:instrText>
      </w:r>
      <w:r w:rsidRPr="001B7EC7">
        <w:rPr>
          <w:color w:val="242424"/>
        </w:rPr>
        <w:fldChar w:fldCharType="separate"/>
      </w:r>
      <w:r w:rsidRPr="001B7EC7">
        <w:rPr>
          <w:noProof/>
          <w:color w:val="242424"/>
          <w:vertAlign w:val="superscript"/>
        </w:rPr>
        <w:t>6</w:t>
      </w:r>
      <w:r w:rsidRPr="001B7EC7">
        <w:rPr>
          <w:color w:val="242424"/>
        </w:rPr>
        <w:fldChar w:fldCharType="end"/>
      </w:r>
      <w:r w:rsidRPr="00211F18">
        <w:rPr>
          <w:rFonts w:cs="Arial"/>
          <w:color w:val="242424"/>
          <w:szCs w:val="22"/>
          <w:lang w:eastAsia="en-GB"/>
        </w:rPr>
        <w:t xml:space="preserve"> in 2021 which is approximately </w:t>
      </w:r>
      <w:r w:rsidRPr="001B7EC7">
        <w:rPr>
          <w:color w:val="242424"/>
        </w:rPr>
        <w:t>3%</w:t>
      </w:r>
      <w:r w:rsidRPr="001B7EC7">
        <w:rPr>
          <w:color w:val="242424"/>
        </w:rPr>
        <w:fldChar w:fldCharType="begin"/>
      </w:r>
      <w:r w:rsidRPr="001B7EC7">
        <w:rPr>
          <w:color w:val="242424"/>
        </w:rPr>
        <w:instrText xml:space="preserve"> ADDIN EN.CITE &lt;EndNote&gt;&lt;Cite&gt;&lt;Author&gt;Pfizer&lt;/Author&gt;&lt;Year&gt;2021&lt;/Year&gt;&lt;RecNum&gt;41&lt;/RecNum&gt;&lt;DisplayText&gt;&lt;style face="superscript"&gt;19&lt;/style&gt;&lt;/DisplayText&gt;&lt;record&gt;&lt;rec-number&gt;41&lt;/rec-number&gt;&lt;foreign-keys&gt;&lt;key app="EN" db-id="pd5s0xr0250t2qevxfgxpvwp5eaztd2pavxx" timestamp="1639504496"&gt;41&lt;/key&gt;&lt;/foreign-keys&gt;&lt;ref-type name="Government Document"&gt;46&lt;/ref-type&gt;&lt;contributors&gt;&lt;authors&gt;&lt;author&gt;Pfizer,&lt;/author&gt;&lt;/authors&gt;&lt;/contributors&gt;&lt;titles&gt;&lt;title&gt;Based on Pfizer data on file (IQVIA data bought)&lt;/title&gt;&lt;/titles&gt;&lt;dates&gt;&lt;year&gt;2021&lt;/year&gt;&lt;/dates&gt;&lt;urls&gt;&lt;/urls&gt;&lt;/record&gt;&lt;/Cite&gt;&lt;/EndNote&gt;</w:instrText>
      </w:r>
      <w:r w:rsidRPr="001B7EC7">
        <w:rPr>
          <w:color w:val="242424"/>
        </w:rPr>
        <w:fldChar w:fldCharType="separate"/>
      </w:r>
      <w:r w:rsidRPr="001B7EC7">
        <w:rPr>
          <w:noProof/>
          <w:color w:val="242424"/>
          <w:vertAlign w:val="superscript"/>
        </w:rPr>
        <w:t>19</w:t>
      </w:r>
      <w:r w:rsidRPr="001B7EC7">
        <w:rPr>
          <w:color w:val="242424"/>
        </w:rPr>
        <w:fldChar w:fldCharType="end"/>
      </w:r>
      <w:r w:rsidRPr="00211F18">
        <w:rPr>
          <w:rFonts w:cs="Arial"/>
          <w:color w:val="242424"/>
          <w:szCs w:val="22"/>
          <w:lang w:eastAsia="en-GB"/>
        </w:rPr>
        <w:t xml:space="preserve"> of all treatment options currently available.</w:t>
      </w:r>
    </w:p>
    <w:p w14:paraId="5A516E9E" w14:textId="650A945E" w:rsidR="0008114B" w:rsidRPr="006D3CF8" w:rsidRDefault="0008114B" w:rsidP="0008114B">
      <w:pPr>
        <w:shd w:val="clear" w:color="auto" w:fill="FFFFFF"/>
        <w:spacing w:after="240" w:line="360" w:lineRule="auto"/>
        <w:rPr>
          <w:rFonts w:cs="Arial"/>
          <w:color w:val="242424"/>
          <w:szCs w:val="22"/>
          <w:lang w:eastAsia="en-GB"/>
        </w:rPr>
      </w:pPr>
      <w:r w:rsidRPr="006D3CF8">
        <w:rPr>
          <w:rFonts w:cs="Arial"/>
          <w:color w:val="242424"/>
          <w:szCs w:val="22"/>
          <w:lang w:eastAsia="en-GB"/>
        </w:rPr>
        <w:t>During the company’s analysis</w:t>
      </w:r>
      <w:r>
        <w:rPr>
          <w:rFonts w:cs="Arial"/>
          <w:color w:val="242424"/>
          <w:szCs w:val="22"/>
          <w:lang w:eastAsia="en-GB"/>
        </w:rPr>
        <w:t xml:space="preserve">, and prior conversations during the open dialogue series with the AMR project team </w:t>
      </w:r>
      <w:r w:rsidRPr="006D3CF8">
        <w:rPr>
          <w:rFonts w:cs="Arial"/>
          <w:color w:val="242424"/>
          <w:szCs w:val="22"/>
          <w:lang w:eastAsia="en-GB"/>
        </w:rPr>
        <w:t xml:space="preserve">it was estimated that the maximum number of patients per year, keeping in line with principle of antimicrobial stewardship and use of all available options, would not exceed </w:t>
      </w:r>
      <w:r w:rsidR="006D02F8" w:rsidRPr="006D02F8">
        <w:rPr>
          <w:color w:val="242424"/>
          <w:highlight w:val="black"/>
          <w:u w:val="single"/>
        </w:rPr>
        <w:t>*</w:t>
      </w:r>
      <w:r w:rsidRPr="006D02F8">
        <w:rPr>
          <w:color w:val="242424"/>
        </w:rPr>
        <w:t>%</w:t>
      </w:r>
      <w:r w:rsidRPr="006D3CF8">
        <w:rPr>
          <w:rFonts w:cs="Arial"/>
          <w:color w:val="242424"/>
          <w:szCs w:val="22"/>
          <w:lang w:eastAsia="en-GB"/>
        </w:rPr>
        <w:t xml:space="preserve"> to </w:t>
      </w:r>
      <w:r w:rsidR="006D02F8" w:rsidRPr="006D02F8">
        <w:rPr>
          <w:color w:val="242424"/>
          <w:highlight w:val="black"/>
          <w:u w:val="single"/>
        </w:rPr>
        <w:t>**</w:t>
      </w:r>
      <w:r w:rsidRPr="006D02F8">
        <w:rPr>
          <w:color w:val="242424"/>
        </w:rPr>
        <w:t>%</w:t>
      </w:r>
      <w:r w:rsidRPr="006D3CF8">
        <w:rPr>
          <w:rFonts w:cs="Arial"/>
          <w:color w:val="242424"/>
          <w:szCs w:val="22"/>
          <w:lang w:eastAsia="en-GB"/>
        </w:rPr>
        <w:t xml:space="preserve"> of the MDR population, which </w:t>
      </w:r>
      <w:r>
        <w:rPr>
          <w:rFonts w:cs="Arial"/>
          <w:color w:val="242424"/>
          <w:szCs w:val="22"/>
          <w:lang w:eastAsia="en-GB"/>
        </w:rPr>
        <w:t>equates to</w:t>
      </w:r>
      <w:r w:rsidRPr="006D3CF8">
        <w:rPr>
          <w:rFonts w:cs="Arial"/>
          <w:color w:val="242424"/>
          <w:szCs w:val="22"/>
          <w:lang w:eastAsia="en-GB"/>
        </w:rPr>
        <w:t xml:space="preserve"> about </w:t>
      </w:r>
      <w:r w:rsidR="006D02F8" w:rsidRPr="006D02F8">
        <w:rPr>
          <w:rFonts w:cs="Arial"/>
          <w:color w:val="242424"/>
          <w:szCs w:val="22"/>
          <w:highlight w:val="black"/>
          <w:lang w:eastAsia="en-GB"/>
        </w:rPr>
        <w:t>*****</w:t>
      </w:r>
      <w:r w:rsidRPr="006D3CF8">
        <w:rPr>
          <w:rFonts w:cs="Arial"/>
          <w:color w:val="242424"/>
          <w:szCs w:val="22"/>
          <w:lang w:eastAsia="en-GB"/>
        </w:rPr>
        <w:t xml:space="preserve"> to </w:t>
      </w:r>
      <w:r w:rsidR="006D02F8" w:rsidRPr="006D02F8">
        <w:rPr>
          <w:rFonts w:cs="Arial"/>
          <w:color w:val="242424"/>
          <w:szCs w:val="22"/>
          <w:highlight w:val="black"/>
          <w:lang w:eastAsia="en-GB"/>
        </w:rPr>
        <w:t>*****</w:t>
      </w:r>
      <w:r w:rsidRPr="006D3CF8">
        <w:rPr>
          <w:rFonts w:cs="Arial"/>
          <w:color w:val="242424"/>
          <w:szCs w:val="22"/>
          <w:lang w:eastAsia="en-GB"/>
        </w:rPr>
        <w:t xml:space="preserve"> patients per year.</w:t>
      </w:r>
      <w:r>
        <w:rPr>
          <w:rFonts w:cs="Arial"/>
          <w:color w:val="242424"/>
          <w:szCs w:val="22"/>
          <w:lang w:eastAsia="en-GB"/>
        </w:rPr>
        <w:t xml:space="preserve"> </w:t>
      </w:r>
    </w:p>
    <w:p w14:paraId="010D8230" w14:textId="77777777" w:rsidR="0008114B" w:rsidRPr="006D3CF8" w:rsidRDefault="0008114B" w:rsidP="0008114B">
      <w:pPr>
        <w:spacing w:after="240" w:line="360" w:lineRule="auto"/>
        <w:rPr>
          <w:rFonts w:cs="Arial"/>
          <w:szCs w:val="22"/>
        </w:rPr>
      </w:pPr>
      <w:r w:rsidRPr="006D3CF8">
        <w:rPr>
          <w:rFonts w:cs="Arial"/>
          <w:szCs w:val="22"/>
        </w:rPr>
        <w:t xml:space="preserve">Therefore, Pfizer feels it is essential that as much effort goes into estimating the population at risk. Given the rising proportion of carbapenem-resistant infections from blood stream infections in the 2021 ESPAUR report Pfizer has a strong signal that the problem is still very much here to stay. Pfizer </w:t>
      </w:r>
      <w:r w:rsidRPr="006D3CF8">
        <w:rPr>
          <w:rFonts w:cs="Arial"/>
          <w:szCs w:val="22"/>
        </w:rPr>
        <w:lastRenderedPageBreak/>
        <w:t xml:space="preserve">considers that phase 3 trial data is permissive in providing efficacy and tolerability information but that the focus of evaluation must remain strongly on prevalence (and future extrapolation) of AMR and specific mechanisms, namely here OXA-48. </w:t>
      </w:r>
    </w:p>
    <w:p w14:paraId="7E48164B" w14:textId="77777777" w:rsidR="0008114B" w:rsidRPr="006D3CF8" w:rsidRDefault="0008114B" w:rsidP="0008114B">
      <w:pPr>
        <w:spacing w:after="240" w:line="360" w:lineRule="auto"/>
        <w:rPr>
          <w:rFonts w:cs="Arial"/>
          <w:szCs w:val="22"/>
        </w:rPr>
      </w:pPr>
      <w:r w:rsidRPr="006D3CF8">
        <w:rPr>
          <w:rFonts w:cs="Arial"/>
          <w:szCs w:val="22"/>
        </w:rPr>
        <w:t xml:space="preserve">Real world use of </w:t>
      </w:r>
      <w:r>
        <w:rPr>
          <w:rFonts w:cs="Arial"/>
          <w:szCs w:val="22"/>
        </w:rPr>
        <w:t>CAZ-AVI</w:t>
      </w:r>
      <w:r w:rsidRPr="006D3CF8">
        <w:rPr>
          <w:rFonts w:cs="Arial"/>
          <w:szCs w:val="22"/>
        </w:rPr>
        <w:t xml:space="preserve"> already suggests that there is a strong base of eligible patients. Without granular registry data tethered to each antimicrobial it is challenging to know what mechanism this use is directed at. The spectra of activity of </w:t>
      </w:r>
      <w:r>
        <w:rPr>
          <w:rFonts w:cs="Arial"/>
          <w:szCs w:val="22"/>
        </w:rPr>
        <w:t>CAZ-AVI</w:t>
      </w:r>
      <w:r w:rsidRPr="006D3CF8">
        <w:rPr>
          <w:rFonts w:cs="Arial"/>
          <w:szCs w:val="22"/>
        </w:rPr>
        <w:t xml:space="preserve"> (and Cefiderocol) can allow the clinical community to make pathogen-directed decisions for OXA-48 activity beyond the clinical syndrome alone. To reflect this, we feel it is vital to assess the value of </w:t>
      </w:r>
      <w:r>
        <w:rPr>
          <w:rFonts w:cs="Arial"/>
          <w:szCs w:val="22"/>
        </w:rPr>
        <w:t>CAZ-AVI</w:t>
      </w:r>
      <w:r w:rsidRPr="006D3CF8">
        <w:rPr>
          <w:rFonts w:cs="Arial"/>
          <w:szCs w:val="22"/>
        </w:rPr>
        <w:t xml:space="preserve"> including emergency urgent situations such as bacteraemia and where there are limited treatment options.</w:t>
      </w:r>
    </w:p>
    <w:p w14:paraId="2E8C378E" w14:textId="77777777" w:rsidR="0008114B" w:rsidRDefault="0008114B" w:rsidP="0008114B">
      <w:pPr>
        <w:pStyle w:val="NICEnormal"/>
        <w:rPr>
          <w:sz w:val="22"/>
          <w:szCs w:val="22"/>
        </w:rPr>
      </w:pPr>
      <w:r w:rsidRPr="005F6D98">
        <w:rPr>
          <w:sz w:val="22"/>
          <w:szCs w:val="22"/>
        </w:rPr>
        <w:t>The approach of escalating (from comparators to other treatments) is outmoded and not consistent with good stewardship practice. It is very challenging to understand how this can best be approached in modelling with the current status quo of surveillance data.</w:t>
      </w:r>
    </w:p>
    <w:p w14:paraId="543C0EC9" w14:textId="77777777" w:rsidR="0008114B" w:rsidRPr="0004397F" w:rsidRDefault="0008114B" w:rsidP="0008114B">
      <w:pPr>
        <w:pStyle w:val="NICEnormal"/>
        <w:rPr>
          <w:sz w:val="22"/>
          <w:szCs w:val="22"/>
          <w:lang w:val="en-GB" w:eastAsia="en-GB"/>
        </w:rPr>
      </w:pPr>
      <w:r w:rsidRPr="0004397F">
        <w:rPr>
          <w:sz w:val="22"/>
          <w:szCs w:val="22"/>
          <w:lang w:val="en-GB" w:eastAsia="en-GB"/>
        </w:rPr>
        <w:t xml:space="preserve">We </w:t>
      </w:r>
      <w:r>
        <w:rPr>
          <w:sz w:val="22"/>
          <w:szCs w:val="22"/>
          <w:lang w:val="en-GB" w:eastAsia="en-GB"/>
        </w:rPr>
        <w:t xml:space="preserve">readdress the urgent call above, for </w:t>
      </w:r>
      <w:r w:rsidRPr="0004397F">
        <w:rPr>
          <w:sz w:val="22"/>
          <w:szCs w:val="22"/>
          <w:lang w:val="en-GB" w:eastAsia="en-GB"/>
        </w:rPr>
        <w:t xml:space="preserve">EEPRU to re-run their analysis using updated patient numbers. </w:t>
      </w:r>
      <w:r>
        <w:rPr>
          <w:sz w:val="22"/>
          <w:szCs w:val="22"/>
          <w:lang w:val="en-GB" w:eastAsia="en-GB"/>
        </w:rPr>
        <w:t>In addition, we</w:t>
      </w:r>
      <w:r w:rsidRPr="0004397F">
        <w:rPr>
          <w:sz w:val="22"/>
          <w:szCs w:val="22"/>
          <w:lang w:val="en-GB" w:eastAsia="en-GB"/>
        </w:rPr>
        <w:t xml:space="preserve"> request that the Committee should consider current real world usage data and increasing resistance trends both domestically and globally when considering future lifetime usage patterns.</w:t>
      </w:r>
    </w:p>
    <w:p w14:paraId="1F102ACF" w14:textId="77777777" w:rsidR="0008114B" w:rsidRDefault="0008114B" w:rsidP="0008114B">
      <w:pPr>
        <w:pStyle w:val="NICEnormal"/>
        <w:rPr>
          <w:lang w:eastAsia="en-GB"/>
        </w:rPr>
      </w:pPr>
      <w:r>
        <w:rPr>
          <w:lang w:eastAsia="en-GB"/>
        </w:rPr>
        <w:br/>
      </w:r>
      <w:r>
        <w:rPr>
          <w:lang w:eastAsia="en-GB"/>
        </w:rPr>
        <w:br/>
      </w:r>
    </w:p>
    <w:p w14:paraId="4A470F5B" w14:textId="77777777" w:rsidR="0008114B" w:rsidRDefault="0008114B" w:rsidP="0008114B">
      <w:pPr>
        <w:rPr>
          <w:sz w:val="24"/>
          <w:szCs w:val="24"/>
          <w:lang w:val="en-US" w:eastAsia="en-GB"/>
        </w:rPr>
      </w:pPr>
      <w:r>
        <w:rPr>
          <w:lang w:eastAsia="en-GB"/>
        </w:rPr>
        <w:br w:type="page"/>
      </w:r>
    </w:p>
    <w:p w14:paraId="2324ECD4" w14:textId="77777777" w:rsidR="0008114B" w:rsidRPr="00681DEB" w:rsidRDefault="0008114B" w:rsidP="0008114B">
      <w:pPr>
        <w:pStyle w:val="Heading1"/>
        <w:numPr>
          <w:ilvl w:val="0"/>
          <w:numId w:val="27"/>
        </w:numPr>
        <w:rPr>
          <w:sz w:val="24"/>
          <w:szCs w:val="22"/>
        </w:rPr>
      </w:pPr>
      <w:bookmarkStart w:id="21" w:name="_Ref89940836"/>
      <w:r w:rsidRPr="00681DEB">
        <w:rPr>
          <w:sz w:val="24"/>
          <w:szCs w:val="22"/>
        </w:rPr>
        <w:lastRenderedPageBreak/>
        <w:t>Antimicrobial Stewardship</w:t>
      </w:r>
      <w:bookmarkEnd w:id="21"/>
      <w:r w:rsidRPr="00681DEB">
        <w:rPr>
          <w:sz w:val="24"/>
          <w:szCs w:val="22"/>
        </w:rPr>
        <w:t xml:space="preserve"> </w:t>
      </w:r>
    </w:p>
    <w:p w14:paraId="5A9E4187" w14:textId="77777777" w:rsidR="0008114B" w:rsidRPr="00A573DE" w:rsidRDefault="0008114B" w:rsidP="0008114B">
      <w:pPr>
        <w:spacing w:line="276" w:lineRule="auto"/>
      </w:pPr>
    </w:p>
    <w:tbl>
      <w:tblPr>
        <w:tblStyle w:val="TableGrid"/>
        <w:tblW w:w="0" w:type="auto"/>
        <w:jc w:val="cente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9017"/>
      </w:tblGrid>
      <w:tr w:rsidR="0008114B" w:rsidRPr="00A573DE" w14:paraId="5CAAC2C7" w14:textId="77777777" w:rsidTr="0008114B">
        <w:trPr>
          <w:trHeight w:val="312"/>
          <w:jc w:val="center"/>
        </w:trPr>
        <w:tc>
          <w:tcPr>
            <w:tcW w:w="9017" w:type="dxa"/>
            <w:shd w:val="clear" w:color="auto" w:fill="F2F2F2" w:themeFill="background1" w:themeFillShade="F2"/>
          </w:tcPr>
          <w:p w14:paraId="0444C0F2" w14:textId="77777777" w:rsidR="0008114B" w:rsidRPr="00A573DE" w:rsidRDefault="0008114B" w:rsidP="0008114B">
            <w:pPr>
              <w:pStyle w:val="NICEnormal"/>
              <w:spacing w:line="276" w:lineRule="auto"/>
              <w:rPr>
                <w:b/>
                <w:bCs/>
                <w:i/>
                <w:iCs/>
                <w:color w:val="808080" w:themeColor="background1" w:themeShade="80"/>
                <w:lang w:val="en-GB"/>
              </w:rPr>
            </w:pPr>
            <w:r w:rsidRPr="00F012A6">
              <w:rPr>
                <w:b/>
                <w:bCs/>
                <w:i/>
                <w:iCs/>
                <w:lang w:val="en-GB"/>
              </w:rPr>
              <w:t xml:space="preserve">Key messages </w:t>
            </w:r>
          </w:p>
        </w:tc>
      </w:tr>
      <w:tr w:rsidR="0008114B" w:rsidRPr="00A573DE" w14:paraId="78C6487C" w14:textId="77777777" w:rsidTr="0008114B">
        <w:trPr>
          <w:jc w:val="center"/>
        </w:trPr>
        <w:tc>
          <w:tcPr>
            <w:tcW w:w="9017" w:type="dxa"/>
          </w:tcPr>
          <w:p w14:paraId="1DFF3558" w14:textId="77777777" w:rsidR="0008114B" w:rsidRPr="00A573DE" w:rsidRDefault="0008114B" w:rsidP="0008114B">
            <w:pPr>
              <w:pStyle w:val="Bullets"/>
              <w:ind w:left="447"/>
            </w:pPr>
            <w:r w:rsidRPr="00A573DE">
              <w:t xml:space="preserve">Antimicrobial stewardship (AMS) strategies have been developed with the aim of limiting the rise of antimicrobial resistance. </w:t>
            </w:r>
          </w:p>
          <w:p w14:paraId="62AE3DC5" w14:textId="77777777" w:rsidR="0008114B" w:rsidRPr="00A573DE" w:rsidRDefault="0008114B" w:rsidP="0008114B">
            <w:pPr>
              <w:pStyle w:val="Bullets"/>
              <w:ind w:left="447" w:hanging="425"/>
            </w:pPr>
            <w:r w:rsidRPr="00A573DE">
              <w:t>Carbapenems are considered the last line of therapy for severe infection management in critically ill patients. While still relatively rare, detection of carbapenem-resistant bacteria has increased by over 1,000-fold in England. The rise in carbapenem resistance limits the available treatment options for some patients.</w:t>
            </w:r>
          </w:p>
          <w:p w14:paraId="51848F5F" w14:textId="77777777" w:rsidR="0008114B" w:rsidRPr="00A573DE" w:rsidRDefault="0008114B" w:rsidP="0008114B">
            <w:pPr>
              <w:pStyle w:val="Bullets"/>
              <w:ind w:left="447" w:hanging="425"/>
            </w:pPr>
            <w:r w:rsidRPr="00A573DE">
              <w:t>There is significant clinical need and societal benefit associated with obtaining a diverse set of novel antibiotics.</w:t>
            </w:r>
          </w:p>
          <w:p w14:paraId="657D236C" w14:textId="77777777" w:rsidR="0008114B" w:rsidRPr="00A573DE" w:rsidRDefault="0008114B" w:rsidP="0008114B">
            <w:pPr>
              <w:pStyle w:val="Bullets"/>
              <w:ind w:left="447" w:hanging="425"/>
            </w:pPr>
            <w:r w:rsidRPr="00A573DE">
              <w:t xml:space="preserve">The Pfizer model </w:t>
            </w:r>
            <w:proofErr w:type="gramStart"/>
            <w:r w:rsidRPr="00A573DE">
              <w:t>is capable of reflecting</w:t>
            </w:r>
            <w:proofErr w:type="gramEnd"/>
            <w:r w:rsidRPr="00A573DE">
              <w:t xml:space="preserve"> a range of antimicrobial stewardship. An all-lines diversity stewardship strategy</w:t>
            </w:r>
            <w:r>
              <w:t xml:space="preserve"> (i.e., use of CAZ-AVI alongside existing AMs)</w:t>
            </w:r>
            <w:r w:rsidRPr="00A573DE">
              <w:t xml:space="preserve"> was chosen to provide an optimal balance between maximising population health gains and minimising resistance development. The different treatment lines allow for a simplified pathway to be modelled, capturing key aspects of </w:t>
            </w:r>
            <w:r>
              <w:t>CAZ-AVI</w:t>
            </w:r>
            <w:r w:rsidRPr="00A573DE">
              <w:t xml:space="preserve"> value in an imperfect healthcare setting.</w:t>
            </w:r>
          </w:p>
          <w:p w14:paraId="0CC4E65D" w14:textId="77777777" w:rsidR="0008114B" w:rsidRPr="00A573DE" w:rsidRDefault="0008114B" w:rsidP="0008114B">
            <w:pPr>
              <w:pStyle w:val="Bullets"/>
              <w:ind w:left="447" w:hanging="425"/>
            </w:pPr>
            <w:r w:rsidRPr="00A573DE">
              <w:t>Comparators should be considered in an adapted way to those in other clinical areas outside of infection. With pathogen-directed approaches for OXA-48 there are very few putative options available and therefore the term comparator must be used with awareness and caveat. Indeed, modelling against a placebo/limited treatment option situation is likely to reflect the value of having a novel option available more accurately.</w:t>
            </w:r>
          </w:p>
        </w:tc>
      </w:tr>
    </w:tbl>
    <w:p w14:paraId="69D7C0EB" w14:textId="77777777" w:rsidR="0008114B" w:rsidRPr="00A573DE" w:rsidRDefault="0008114B" w:rsidP="0008114B">
      <w:pPr>
        <w:pStyle w:val="NICEnormal"/>
        <w:spacing w:line="276" w:lineRule="auto"/>
        <w:rPr>
          <w:lang w:val="en-GB"/>
        </w:rPr>
      </w:pPr>
    </w:p>
    <w:p w14:paraId="452AA8C4" w14:textId="692B8B47" w:rsidR="0008114B" w:rsidRDefault="0008114B" w:rsidP="008008C4">
      <w:pPr>
        <w:spacing w:after="240" w:line="360" w:lineRule="auto"/>
        <w:rPr>
          <w:rFonts w:cs="Arial"/>
          <w:sz w:val="24"/>
          <w:szCs w:val="24"/>
        </w:rPr>
      </w:pPr>
      <w:r w:rsidRPr="003451F3">
        <w:rPr>
          <w:szCs w:val="22"/>
        </w:rPr>
        <w:t xml:space="preserve">Antimicrobial stewardship (AMS) strategies aim to limit the rise of AMR and, at the same time, promote effective treatment of serious infections, which is generally separated into two phases (the “Start Smart – Then Focus” approach). This consists of an empirical phase (based on prompt risk factor-directed antibiotic prescribing) and a targeted phase (using mechanism / pathogen-directed treatment). </w:t>
      </w:r>
      <w:r>
        <w:rPr>
          <w:szCs w:val="22"/>
        </w:rPr>
        <w:t>CAZ-AVI</w:t>
      </w:r>
      <w:r w:rsidRPr="003451F3">
        <w:rPr>
          <w:szCs w:val="22"/>
        </w:rPr>
        <w:t xml:space="preserve"> can be used both as part of risk-based empirical therapy, to accelerate effective treatment and improve patient outcomes, where considered appropriate, and in the setting of pathogen- or resistance mechanism-directed approach, where antimicrobial susceptibility is known when therapy commences. </w:t>
      </w:r>
      <w:r w:rsidRPr="003451F3">
        <w:rPr>
          <w:szCs w:val="22"/>
        </w:rPr>
        <w:lastRenderedPageBreak/>
        <w:t xml:space="preserve">According to EEPRU in its assessment </w:t>
      </w:r>
      <w:r>
        <w:rPr>
          <w:szCs w:val="22"/>
        </w:rPr>
        <w:t>CAZ-AVI</w:t>
      </w:r>
      <w:r w:rsidRPr="003451F3">
        <w:rPr>
          <w:szCs w:val="22"/>
        </w:rPr>
        <w:t xml:space="preserve"> is expected to be used in a more restricted way does not align properly with the principle of good stewardship.</w:t>
      </w:r>
    </w:p>
    <w:p w14:paraId="109947CA" w14:textId="4595EB45" w:rsidR="0008114B" w:rsidRPr="008008C4" w:rsidRDefault="00321BEE" w:rsidP="008008C4">
      <w:pPr>
        <w:pStyle w:val="Heading3"/>
        <w:ind w:left="1440"/>
        <w:jc w:val="left"/>
        <w:rPr>
          <w:sz w:val="22"/>
          <w:szCs w:val="22"/>
        </w:rPr>
      </w:pPr>
      <w:r w:rsidRPr="008008C4">
        <w:rPr>
          <w:sz w:val="22"/>
          <w:szCs w:val="22"/>
        </w:rPr>
        <w:t>5</w:t>
      </w:r>
      <w:r w:rsidR="0008114B" w:rsidRPr="008008C4">
        <w:rPr>
          <w:sz w:val="22"/>
          <w:szCs w:val="22"/>
        </w:rPr>
        <w:t>.1</w:t>
      </w:r>
      <w:r w:rsidR="0008114B" w:rsidRPr="008008C4">
        <w:rPr>
          <w:sz w:val="22"/>
          <w:szCs w:val="22"/>
        </w:rPr>
        <w:tab/>
        <w:t>Comparators</w:t>
      </w:r>
    </w:p>
    <w:p w14:paraId="4964317C" w14:textId="77777777" w:rsidR="00887584" w:rsidRPr="00887584" w:rsidRDefault="00887584" w:rsidP="00887584"/>
    <w:p w14:paraId="6363C907" w14:textId="77777777" w:rsidR="0008114B" w:rsidRPr="003451F3" w:rsidRDefault="0008114B" w:rsidP="0008114B">
      <w:pPr>
        <w:spacing w:after="240" w:line="360" w:lineRule="auto"/>
        <w:rPr>
          <w:rFonts w:cs="Arial"/>
          <w:szCs w:val="22"/>
        </w:rPr>
      </w:pPr>
      <w:r w:rsidRPr="003451F3">
        <w:rPr>
          <w:rFonts w:cs="Arial"/>
          <w:szCs w:val="22"/>
        </w:rPr>
        <w:t xml:space="preserve">Comparators should be considered in a very different manner to those in clinical areas outside of infection. Therefore, comparators should be considered as other treatment options which are </w:t>
      </w:r>
      <w:proofErr w:type="gramStart"/>
      <w:r w:rsidRPr="003451F3">
        <w:rPr>
          <w:rFonts w:cs="Arial"/>
          <w:szCs w:val="22"/>
        </w:rPr>
        <w:t>most commonly investigated</w:t>
      </w:r>
      <w:proofErr w:type="gramEnd"/>
      <w:r w:rsidRPr="003451F3">
        <w:rPr>
          <w:rFonts w:cs="Arial"/>
          <w:szCs w:val="22"/>
        </w:rPr>
        <w:t xml:space="preserve"> in non-inferiority trials which include patients infected with the pathogen treatable with both the new AM and a comparator of best available therapy. Since there is a need for new AMs superiority trials would not be a good solution</w:t>
      </w:r>
      <w:r>
        <w:rPr>
          <w:rFonts w:cs="Arial"/>
          <w:szCs w:val="22"/>
        </w:rPr>
        <w:t>, it would give evidence to us reaching an antimicrobial resistance scenario we are working to prevent</w:t>
      </w:r>
      <w:r w:rsidRPr="003451F3">
        <w:rPr>
          <w:rFonts w:cs="Arial"/>
          <w:szCs w:val="22"/>
        </w:rPr>
        <w:t>. New AMs with similar efficacy compared to current AMs are needed on the market in case of increased resistance of pathogens to the existing ones.</w:t>
      </w:r>
    </w:p>
    <w:p w14:paraId="0623F7AD" w14:textId="77777777" w:rsidR="0008114B" w:rsidRPr="003451F3" w:rsidRDefault="0008114B" w:rsidP="0008114B">
      <w:pPr>
        <w:spacing w:after="240" w:line="360" w:lineRule="auto"/>
        <w:rPr>
          <w:rFonts w:cs="Arial"/>
          <w:szCs w:val="22"/>
        </w:rPr>
      </w:pPr>
      <w:r w:rsidRPr="003451F3">
        <w:rPr>
          <w:rFonts w:cs="Arial"/>
          <w:szCs w:val="22"/>
        </w:rPr>
        <w:t>For OXA-48, as focused on in EEPRU assessment, there are very few putative options available and therefore the term comparator must be used with awareness and caveat. Indeed, modelling against a placebo/limited treatment option situation is more likely to reflect the value of having a novel option available. In that case instead of multi-drug salvage</w:t>
      </w:r>
      <w:r>
        <w:rPr>
          <w:rFonts w:cs="Arial"/>
          <w:szCs w:val="22"/>
        </w:rPr>
        <w:t>,</w:t>
      </w:r>
      <w:r w:rsidRPr="003451F3">
        <w:rPr>
          <w:rFonts w:cs="Arial"/>
          <w:szCs w:val="22"/>
        </w:rPr>
        <w:t xml:space="preserve"> </w:t>
      </w:r>
      <w:r>
        <w:rPr>
          <w:rFonts w:cs="Arial"/>
          <w:szCs w:val="22"/>
        </w:rPr>
        <w:t>CAZ-AVI</w:t>
      </w:r>
      <w:r w:rsidRPr="003451F3">
        <w:rPr>
          <w:rFonts w:cs="Arial"/>
          <w:szCs w:val="22"/>
        </w:rPr>
        <w:t xml:space="preserve"> could be given. Clinical practice often relies on changing the antibacterial option due to poor response and therefore, real world management is not consistent with using one comparator regimen at a given time.</w:t>
      </w:r>
    </w:p>
    <w:p w14:paraId="2CE14B11" w14:textId="77777777" w:rsidR="0008114B" w:rsidRPr="003451F3" w:rsidRDefault="0008114B" w:rsidP="0008114B">
      <w:pPr>
        <w:spacing w:after="240" w:line="360" w:lineRule="auto"/>
        <w:rPr>
          <w:rFonts w:cs="Arial"/>
          <w:szCs w:val="22"/>
        </w:rPr>
      </w:pPr>
      <w:r w:rsidRPr="003451F3">
        <w:rPr>
          <w:rFonts w:cs="Arial"/>
          <w:szCs w:val="22"/>
        </w:rPr>
        <w:t>EEPRU stated that evidence is lacking for the HVCSs. Concerns were raised by Pfizer at the protocol stage already. The EEPRU assessment included colistin and aminoglycosides as options when no other treatment option exists although they carry an elevated risk of neurotoxicity</w:t>
      </w:r>
      <w:r>
        <w:rPr>
          <w:rFonts w:cs="Arial"/>
          <w:szCs w:val="22"/>
        </w:rPr>
        <w:t>,</w:t>
      </w:r>
      <w:r w:rsidRPr="003451F3">
        <w:rPr>
          <w:rFonts w:cs="Arial"/>
          <w:szCs w:val="22"/>
        </w:rPr>
        <w:t xml:space="preserve"> as carbapenems are not a valid option for OXA-48 by virtue of the primary resistance issue. Aminoglycoside</w:t>
      </w:r>
      <w:r>
        <w:rPr>
          <w:rFonts w:cs="Arial"/>
          <w:szCs w:val="22"/>
        </w:rPr>
        <w:t>s</w:t>
      </w:r>
      <w:r w:rsidRPr="003451F3">
        <w:rPr>
          <w:rFonts w:cs="Arial"/>
          <w:szCs w:val="22"/>
        </w:rPr>
        <w:t xml:space="preserve"> may variably have a role to play, however, they are not a preferred treatment for pneumonia (HAP/VAP) due to poor lung penetration.</w:t>
      </w:r>
      <w:r w:rsidRPr="003451F3">
        <w:rPr>
          <w:rFonts w:cs="Arial"/>
          <w:szCs w:val="22"/>
        </w:rPr>
        <w:fldChar w:fldCharType="begin">
          <w:fldData xml:space="preserve">PEVuZE5vdGU+PENpdGU+PEF1dGhvcj5OYWptZWRkaW48L0F1dGhvcj48WWVhcj4yMDIwPC9ZZWFy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</w:fldData>
        </w:fldChar>
      </w:r>
      <w:r>
        <w:rPr>
          <w:rFonts w:cs="Arial"/>
          <w:szCs w:val="22"/>
        </w:rPr>
        <w:instrText xml:space="preserve"> ADDIN EN.CITE </w:instrText>
      </w:r>
      <w:r>
        <w:rPr>
          <w:rFonts w:cs="Arial"/>
          <w:szCs w:val="22"/>
        </w:rPr>
        <w:fldChar w:fldCharType="begin">
          <w:fldData xml:space="preserve">PEVuZE5vdGU+PENpdGU+PEF1dGhvcj5OYWptZWRkaW48L0F1dGhvcj48WWVhcj4yMDIwPC9ZZWFy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</w:fldData>
        </w:fldChar>
      </w:r>
      <w:r>
        <w:rPr>
          <w:rFonts w:cs="Arial"/>
          <w:szCs w:val="22"/>
        </w:rPr>
        <w:instrText xml:space="preserve"> ADDIN EN.CITE.DATA </w:instrText>
      </w:r>
      <w:r>
        <w:rPr>
          <w:rFonts w:cs="Arial"/>
          <w:szCs w:val="22"/>
        </w:rPr>
      </w:r>
      <w:r>
        <w:rPr>
          <w:rFonts w:cs="Arial"/>
          <w:szCs w:val="22"/>
        </w:rPr>
        <w:fldChar w:fldCharType="end"/>
      </w:r>
      <w:r w:rsidRPr="003451F3">
        <w:rPr>
          <w:rFonts w:cs="Arial"/>
          <w:szCs w:val="22"/>
        </w:rPr>
      </w:r>
      <w:r w:rsidRPr="003451F3">
        <w:rPr>
          <w:rFonts w:cs="Arial"/>
          <w:szCs w:val="22"/>
        </w:rPr>
        <w:fldChar w:fldCharType="separate"/>
      </w:r>
      <w:r w:rsidRPr="002F79F9">
        <w:rPr>
          <w:rFonts w:cs="Arial"/>
          <w:noProof/>
          <w:szCs w:val="22"/>
          <w:vertAlign w:val="superscript"/>
        </w:rPr>
        <w:t>20</w:t>
      </w:r>
      <w:r w:rsidRPr="003451F3">
        <w:rPr>
          <w:rFonts w:cs="Arial"/>
          <w:szCs w:val="22"/>
        </w:rPr>
        <w:fldChar w:fldCharType="end"/>
      </w:r>
      <w:r w:rsidRPr="003451F3">
        <w:rPr>
          <w:rFonts w:cs="Arial"/>
          <w:szCs w:val="22"/>
        </w:rPr>
        <w:t xml:space="preserve"> In general use, higher aminoglycoside doses have been recommended by ESPAUR but even they sometimes fall short of complete coverage.</w:t>
      </w:r>
      <w:r w:rsidRPr="003451F3">
        <w:rPr>
          <w:rFonts w:cs="Arial"/>
          <w:szCs w:val="22"/>
        </w:rPr>
        <w:fldChar w:fldCharType="begin"/>
      </w:r>
      <w:r>
        <w:rPr>
          <w:rFonts w:cs="Arial"/>
          <w:szCs w:val="22"/>
        </w:rPr>
        <w:instrText xml:space="preserve"> ADDIN EN.CITE &lt;EndNote&gt;&lt;Cite&gt;&lt;Author&gt;EUCAST&lt;/Author&gt;&lt;Year&gt;2020&lt;/Year&gt;&lt;RecNum&gt;22&lt;/RecNum&gt;&lt;DisplayText&gt;&lt;style face="superscript"&gt;21&lt;/style&gt;&lt;/DisplayText&gt;&lt;record&gt;&lt;rec-number&gt;22&lt;/rec-number&gt;&lt;foreign-keys&gt;&lt;key app="EN" db-id="pd5s0xr0250t2qevxfgxpvwp5eaztd2pavxx" timestamp="1638918903"&gt;22&lt;/key&gt;&lt;/foreign-keys&gt;&lt;ref-type name="Web Page"&gt;12&lt;/ref-type&gt;&lt;contributors&gt;&lt;authors&gt;&lt;author&gt;EUCAST,&lt;/author&gt;&lt;/authors&gt;&lt;/contributors&gt;&lt;titles&gt;&lt;title&gt;Guidance Document on Implementation and Use of the Revised Aminoglycoside Breakpoints&lt;/title&gt;&lt;/titles&gt;&lt;dates&gt;&lt;year&gt;2020&lt;/year&gt;&lt;/dates&gt;&lt;urls&gt;&lt;related-urls&gt;&lt;url&gt;https://www.eucast.org/fileadmin/src/media/PDFs/EUCAST_files/Guidance_documents/Aminoglycoside_guidance_document_20200424.pdf&lt;/url&gt;&lt;/related-urls&gt;&lt;/urls&gt;&lt;/record&gt;&lt;/Cite&gt;&lt;/EndNote&gt;</w:instrText>
      </w:r>
      <w:r w:rsidRPr="003451F3">
        <w:rPr>
          <w:rFonts w:cs="Arial"/>
          <w:szCs w:val="22"/>
        </w:rPr>
        <w:fldChar w:fldCharType="separate"/>
      </w:r>
      <w:r w:rsidRPr="002F79F9">
        <w:rPr>
          <w:rFonts w:cs="Arial"/>
          <w:noProof/>
          <w:szCs w:val="22"/>
          <w:vertAlign w:val="superscript"/>
        </w:rPr>
        <w:t>21</w:t>
      </w:r>
      <w:r w:rsidRPr="003451F3">
        <w:rPr>
          <w:rFonts w:cs="Arial"/>
          <w:szCs w:val="22"/>
        </w:rPr>
        <w:fldChar w:fldCharType="end"/>
      </w:r>
      <w:r w:rsidRPr="003451F3">
        <w:rPr>
          <w:rFonts w:cs="Arial"/>
          <w:szCs w:val="22"/>
        </w:rPr>
        <w:t xml:space="preserve"> </w:t>
      </w:r>
    </w:p>
    <w:p w14:paraId="5A098CE3" w14:textId="77777777" w:rsidR="0008114B" w:rsidRPr="003451F3" w:rsidRDefault="0008114B" w:rsidP="0008114B">
      <w:pPr>
        <w:spacing w:after="240" w:line="360" w:lineRule="auto"/>
        <w:rPr>
          <w:rFonts w:cs="Arial"/>
          <w:szCs w:val="22"/>
        </w:rPr>
      </w:pPr>
      <w:r w:rsidRPr="003451F3">
        <w:rPr>
          <w:rStyle w:val="normaltextrun"/>
          <w:rFonts w:cs="Arial"/>
          <w:color w:val="000000"/>
          <w:szCs w:val="22"/>
          <w:shd w:val="clear" w:color="auto" w:fill="FFFFFF"/>
        </w:rPr>
        <w:t>In contrast, Pfizer developed non-inferiority-trials which were based on expert advice such as REPROVE, RECAPTURE and REPRISE (see Document A of company submission, section 3) using the best available therapies for the pathogen to be treated.</w:t>
      </w:r>
    </w:p>
    <w:p w14:paraId="2D97B364" w14:textId="49014B67" w:rsidR="0008114B" w:rsidRPr="00A573DE" w:rsidRDefault="0008114B" w:rsidP="00887584">
      <w:pPr>
        <w:spacing w:after="240" w:line="360" w:lineRule="auto"/>
        <w:rPr>
          <w:lang w:eastAsia="en-GB"/>
        </w:rPr>
      </w:pPr>
      <w:r w:rsidRPr="003451F3">
        <w:rPr>
          <w:rFonts w:cs="Arial"/>
          <w:szCs w:val="22"/>
        </w:rPr>
        <w:t xml:space="preserve">As a note, comparator information on projected resistance was not included in the EEPRU model citing lack of data, however resistance rates of </w:t>
      </w:r>
      <w:r>
        <w:rPr>
          <w:rFonts w:cs="Arial"/>
          <w:szCs w:val="22"/>
        </w:rPr>
        <w:t>CAZ-AVI</w:t>
      </w:r>
      <w:r w:rsidRPr="003451F3">
        <w:rPr>
          <w:rFonts w:cs="Arial"/>
          <w:szCs w:val="22"/>
        </w:rPr>
        <w:t xml:space="preserve"> were modelled at 1%, 5%, 10% and 30% over 20 </w:t>
      </w:r>
      <w:r w:rsidRPr="003451F3">
        <w:rPr>
          <w:rFonts w:cs="Arial"/>
          <w:szCs w:val="22"/>
        </w:rPr>
        <w:lastRenderedPageBreak/>
        <w:t>years</w:t>
      </w:r>
      <w:r>
        <w:rPr>
          <w:rFonts w:cs="Arial"/>
          <w:szCs w:val="22"/>
        </w:rPr>
        <w:t>. The proposed patient numbers in these scenarios significantly lack face-validity in terms of the number of patients treated with CAZ-AVI in clinical practice</w:t>
      </w:r>
      <w:r w:rsidRPr="003451F3">
        <w:rPr>
          <w:rFonts w:cs="Arial"/>
          <w:szCs w:val="22"/>
        </w:rPr>
        <w:t>.</w:t>
      </w:r>
      <w:r w:rsidRPr="00A573DE">
        <w:rPr>
          <w:lang w:eastAsia="en-GB"/>
        </w:rPr>
        <w:br w:type="page"/>
      </w:r>
    </w:p>
    <w:p w14:paraId="2FC9BE26" w14:textId="51B67958" w:rsidR="0008114B" w:rsidRDefault="0008114B" w:rsidP="0008114B">
      <w:pPr>
        <w:pStyle w:val="Heading1"/>
        <w:rPr>
          <w:lang w:eastAsia="en-GB"/>
        </w:rPr>
      </w:pPr>
      <w:r w:rsidRPr="00A573DE">
        <w:rPr>
          <w:lang w:eastAsia="en-GB"/>
        </w:rPr>
        <w:lastRenderedPageBreak/>
        <w:t>Response comments</w:t>
      </w:r>
    </w:p>
    <w:p w14:paraId="605A1762" w14:textId="77777777" w:rsidR="00887584" w:rsidRPr="00887584" w:rsidRDefault="00887584" w:rsidP="00887584">
      <w:pPr>
        <w:rPr>
          <w:lang w:eastAsia="en-GB"/>
        </w:rPr>
      </w:pPr>
    </w:p>
    <w:tbl>
      <w:tblPr>
        <w:tblStyle w:val="TableGrid1"/>
        <w:tblW w:w="5005" w:type="pct"/>
        <w:tblLayout w:type="fixed"/>
        <w:tblLook w:val="0020" w:firstRow="1" w:lastRow="0" w:firstColumn="0" w:lastColumn="0" w:noHBand="0" w:noVBand="0"/>
      </w:tblPr>
      <w:tblGrid>
        <w:gridCol w:w="703"/>
        <w:gridCol w:w="850"/>
        <w:gridCol w:w="1418"/>
        <w:gridCol w:w="2503"/>
        <w:gridCol w:w="4724"/>
      </w:tblGrid>
      <w:tr w:rsidR="00A5430D" w:rsidRPr="00A573DE" w14:paraId="43B42145" w14:textId="77777777" w:rsidTr="00A5430D">
        <w:tc>
          <w:tcPr>
            <w:tcW w:w="345" w:type="pct"/>
          </w:tcPr>
          <w:p w14:paraId="699081D5" w14:textId="77777777" w:rsidR="0008114B" w:rsidRPr="00A573DE" w:rsidRDefault="0008114B" w:rsidP="0008114B">
            <w:pPr>
              <w:widowControl w:val="0"/>
              <w:jc w:val="center"/>
              <w:rPr>
                <w:rFonts w:cs="Arial"/>
                <w:b/>
                <w:bCs/>
                <w:color w:val="000000"/>
                <w:sz w:val="20"/>
              </w:rPr>
            </w:pPr>
            <w:r w:rsidRPr="00A573DE">
              <w:rPr>
                <w:rFonts w:cs="Arial"/>
                <w:b/>
                <w:bCs/>
                <w:color w:val="000000"/>
                <w:sz w:val="20"/>
              </w:rPr>
              <w:t>Comment no.</w:t>
            </w:r>
          </w:p>
        </w:tc>
        <w:tc>
          <w:tcPr>
            <w:tcW w:w="417" w:type="pct"/>
          </w:tcPr>
          <w:p w14:paraId="67D1B3E6" w14:textId="77777777" w:rsidR="0008114B" w:rsidRPr="00A573DE" w:rsidRDefault="0008114B" w:rsidP="0008114B">
            <w:pPr>
              <w:widowControl w:val="0"/>
              <w:rPr>
                <w:rFonts w:cs="Arial"/>
                <w:b/>
                <w:bCs/>
                <w:color w:val="000000"/>
                <w:sz w:val="20"/>
              </w:rPr>
            </w:pPr>
            <w:r w:rsidRPr="00A573DE">
              <w:rPr>
                <w:rFonts w:cs="Arial"/>
                <w:b/>
                <w:bCs/>
                <w:color w:val="000000"/>
                <w:sz w:val="20"/>
              </w:rPr>
              <w:t xml:space="preserve">Page </w:t>
            </w:r>
          </w:p>
          <w:p w14:paraId="72EF717E" w14:textId="77777777" w:rsidR="0008114B" w:rsidRPr="00A573DE" w:rsidRDefault="0008114B" w:rsidP="0008114B">
            <w:pPr>
              <w:widowControl w:val="0"/>
              <w:rPr>
                <w:rFonts w:cs="Arial"/>
                <w:b/>
                <w:bCs/>
                <w:color w:val="000000"/>
                <w:sz w:val="20"/>
              </w:rPr>
            </w:pPr>
            <w:r w:rsidRPr="00A573DE">
              <w:rPr>
                <w:rFonts w:cs="Arial"/>
                <w:b/>
                <w:bCs/>
                <w:color w:val="000000"/>
                <w:sz w:val="20"/>
              </w:rPr>
              <w:t>no.</w:t>
            </w:r>
          </w:p>
        </w:tc>
        <w:tc>
          <w:tcPr>
            <w:tcW w:w="695" w:type="pct"/>
          </w:tcPr>
          <w:p w14:paraId="66E1E109" w14:textId="77777777" w:rsidR="0008114B" w:rsidRPr="00A573DE" w:rsidRDefault="0008114B" w:rsidP="0008114B">
            <w:pPr>
              <w:widowControl w:val="0"/>
              <w:jc w:val="center"/>
              <w:rPr>
                <w:rFonts w:cs="Arial"/>
                <w:b/>
                <w:bCs/>
                <w:color w:val="000000"/>
                <w:sz w:val="20"/>
              </w:rPr>
            </w:pPr>
            <w:r w:rsidRPr="00A573DE">
              <w:rPr>
                <w:rFonts w:cs="Arial"/>
                <w:b/>
                <w:bCs/>
                <w:color w:val="000000"/>
                <w:sz w:val="20"/>
              </w:rPr>
              <w:t>Section no.</w:t>
            </w:r>
          </w:p>
        </w:tc>
        <w:tc>
          <w:tcPr>
            <w:tcW w:w="3543" w:type="pct"/>
            <w:gridSpan w:val="2"/>
          </w:tcPr>
          <w:p w14:paraId="028316A0" w14:textId="77777777" w:rsidR="0008114B" w:rsidRPr="00A573DE" w:rsidRDefault="0008114B" w:rsidP="0008114B">
            <w:pPr>
              <w:widowControl w:val="0"/>
              <w:jc w:val="center"/>
              <w:rPr>
                <w:rFonts w:cs="Arial"/>
                <w:szCs w:val="22"/>
              </w:rPr>
            </w:pPr>
            <w:r w:rsidRPr="00A573DE">
              <w:rPr>
                <w:rFonts w:cs="Arial"/>
                <w:b/>
                <w:bCs/>
                <w:color w:val="000000"/>
                <w:sz w:val="24"/>
                <w:szCs w:val="24"/>
              </w:rPr>
              <w:t>Comment</w:t>
            </w:r>
            <w:r w:rsidRPr="00A573DE">
              <w:rPr>
                <w:rFonts w:cs="Arial"/>
                <w:szCs w:val="22"/>
              </w:rPr>
              <w:t xml:space="preserve"> </w:t>
            </w:r>
          </w:p>
          <w:p w14:paraId="7A07B15E" w14:textId="77777777" w:rsidR="0008114B" w:rsidRPr="00A573DE" w:rsidRDefault="0008114B" w:rsidP="0008114B">
            <w:pPr>
              <w:widowControl w:val="0"/>
              <w:jc w:val="center"/>
              <w:rPr>
                <w:rFonts w:cs="Arial"/>
                <w:sz w:val="18"/>
                <w:szCs w:val="18"/>
              </w:rPr>
            </w:pPr>
          </w:p>
          <w:p w14:paraId="142C5AAA" w14:textId="77777777" w:rsidR="0008114B" w:rsidRPr="00A573DE" w:rsidRDefault="0008114B" w:rsidP="0008114B">
            <w:pPr>
              <w:widowControl w:val="0"/>
              <w:jc w:val="center"/>
              <w:rPr>
                <w:rFonts w:cs="Arial"/>
                <w:sz w:val="18"/>
                <w:szCs w:val="18"/>
              </w:rPr>
            </w:pPr>
            <w:r w:rsidRPr="00A573DE">
              <w:rPr>
                <w:rFonts w:cs="Arial"/>
                <w:sz w:val="18"/>
                <w:szCs w:val="18"/>
              </w:rPr>
              <w:t>Insert each comment in a new row.</w:t>
            </w:r>
          </w:p>
          <w:p w14:paraId="049EEB60" w14:textId="77777777" w:rsidR="0008114B" w:rsidRPr="00A573DE" w:rsidRDefault="0008114B" w:rsidP="0008114B">
            <w:pPr>
              <w:widowControl w:val="0"/>
              <w:ind w:left="360"/>
              <w:jc w:val="center"/>
              <w:rPr>
                <w:rFonts w:cs="Arial"/>
                <w:sz w:val="18"/>
                <w:szCs w:val="18"/>
              </w:rPr>
            </w:pPr>
            <w:r w:rsidRPr="00A573DE">
              <w:rPr>
                <w:rFonts w:cs="Arial"/>
                <w:sz w:val="18"/>
                <w:szCs w:val="18"/>
              </w:rPr>
              <w:t>Do not paste other tables into this table, because your comments could get lost – type directly into this table.</w:t>
            </w:r>
          </w:p>
          <w:p w14:paraId="5FB87D84" w14:textId="77777777" w:rsidR="0008114B" w:rsidRPr="00A573DE" w:rsidRDefault="0008114B" w:rsidP="0008114B">
            <w:pPr>
              <w:widowControl w:val="0"/>
              <w:rPr>
                <w:rFonts w:cs="Arial"/>
                <w:b/>
                <w:bCs/>
                <w:color w:val="000000"/>
                <w:sz w:val="20"/>
              </w:rPr>
            </w:pPr>
          </w:p>
        </w:tc>
      </w:tr>
      <w:tr w:rsidR="00A5430D" w:rsidRPr="00A573DE" w14:paraId="2921FC76" w14:textId="77777777" w:rsidTr="00A5430D">
        <w:tc>
          <w:tcPr>
            <w:tcW w:w="345" w:type="pct"/>
          </w:tcPr>
          <w:p w14:paraId="190C2A27" w14:textId="33FE10D6" w:rsidR="00A5430D" w:rsidRPr="00EE56F0" w:rsidRDefault="00A5430D" w:rsidP="0008114B">
            <w:pPr>
              <w:widowControl w:val="0"/>
              <w:rPr>
                <w:rFonts w:cs="Arial"/>
                <w:b/>
                <w:bCs/>
                <w:color w:val="000000"/>
                <w:sz w:val="24"/>
                <w:szCs w:val="24"/>
              </w:rPr>
            </w:pPr>
          </w:p>
        </w:tc>
        <w:tc>
          <w:tcPr>
            <w:tcW w:w="417" w:type="pct"/>
          </w:tcPr>
          <w:p w14:paraId="02B9DEF5" w14:textId="77777777" w:rsidR="00A5430D" w:rsidRPr="00EE56F0" w:rsidRDefault="00A5430D" w:rsidP="0008114B">
            <w:pPr>
              <w:widowControl w:val="0"/>
              <w:rPr>
                <w:rFonts w:cs="Arial"/>
                <w:b/>
                <w:bCs/>
                <w:color w:val="000000"/>
                <w:sz w:val="24"/>
                <w:szCs w:val="24"/>
              </w:rPr>
            </w:pPr>
          </w:p>
        </w:tc>
        <w:tc>
          <w:tcPr>
            <w:tcW w:w="695" w:type="pct"/>
          </w:tcPr>
          <w:p w14:paraId="2FAB06BE" w14:textId="77777777" w:rsidR="00A5430D" w:rsidRPr="00EE56F0" w:rsidRDefault="00A5430D" w:rsidP="0008114B">
            <w:pPr>
              <w:widowControl w:val="0"/>
              <w:rPr>
                <w:rFonts w:cs="Arial"/>
                <w:b/>
                <w:bCs/>
                <w:color w:val="000000"/>
                <w:sz w:val="24"/>
                <w:szCs w:val="24"/>
              </w:rPr>
            </w:pPr>
          </w:p>
        </w:tc>
        <w:tc>
          <w:tcPr>
            <w:tcW w:w="3543" w:type="pct"/>
            <w:gridSpan w:val="2"/>
          </w:tcPr>
          <w:p w14:paraId="706D389E" w14:textId="34D8A9F9" w:rsidR="00A5430D" w:rsidRPr="00EE56F0" w:rsidRDefault="00A5430D" w:rsidP="0008114B">
            <w:pPr>
              <w:widowControl w:val="0"/>
              <w:rPr>
                <w:rFonts w:cs="Arial"/>
                <w:b/>
                <w:bCs/>
                <w:color w:val="000000"/>
                <w:sz w:val="24"/>
                <w:szCs w:val="24"/>
              </w:rPr>
            </w:pPr>
            <w:r w:rsidRPr="00EE56F0">
              <w:rPr>
                <w:rFonts w:cs="Arial"/>
                <w:b/>
                <w:bCs/>
                <w:color w:val="000000"/>
                <w:sz w:val="20"/>
              </w:rPr>
              <w:t>Key issues identified in the assessment</w:t>
            </w:r>
          </w:p>
        </w:tc>
      </w:tr>
      <w:tr w:rsidR="00A5430D" w:rsidRPr="00A573DE" w14:paraId="5C89315B" w14:textId="77777777" w:rsidTr="00A5430D">
        <w:tc>
          <w:tcPr>
            <w:tcW w:w="345" w:type="pct"/>
          </w:tcPr>
          <w:p w14:paraId="17DF0679" w14:textId="77777777" w:rsidR="0008114B" w:rsidRPr="00A27F2C" w:rsidRDefault="0008114B" w:rsidP="0008114B">
            <w:pPr>
              <w:widowControl w:val="0"/>
              <w:jc w:val="center"/>
              <w:rPr>
                <w:rFonts w:cs="Arial"/>
                <w:color w:val="000000"/>
                <w:sz w:val="20"/>
              </w:rPr>
            </w:pPr>
            <w:r>
              <w:rPr>
                <w:rFonts w:cs="Arial"/>
                <w:color w:val="000000"/>
                <w:sz w:val="20"/>
              </w:rPr>
              <w:t>1</w:t>
            </w:r>
          </w:p>
        </w:tc>
        <w:tc>
          <w:tcPr>
            <w:tcW w:w="417" w:type="pct"/>
          </w:tcPr>
          <w:p w14:paraId="62080DFF" w14:textId="77777777" w:rsidR="0008114B" w:rsidRPr="00A27F2C" w:rsidRDefault="0008114B" w:rsidP="0008114B">
            <w:pPr>
              <w:widowControl w:val="0"/>
              <w:rPr>
                <w:rFonts w:cs="Arial"/>
                <w:color w:val="000000"/>
                <w:sz w:val="20"/>
              </w:rPr>
            </w:pPr>
          </w:p>
        </w:tc>
        <w:tc>
          <w:tcPr>
            <w:tcW w:w="695" w:type="pct"/>
          </w:tcPr>
          <w:p w14:paraId="6A0DD8C2" w14:textId="77777777" w:rsidR="0008114B" w:rsidRPr="00A27F2C" w:rsidRDefault="0008114B" w:rsidP="0008114B">
            <w:pPr>
              <w:widowControl w:val="0"/>
              <w:jc w:val="center"/>
              <w:rPr>
                <w:rFonts w:cs="Arial"/>
                <w:color w:val="000000"/>
                <w:sz w:val="20"/>
              </w:rPr>
            </w:pPr>
          </w:p>
        </w:tc>
        <w:tc>
          <w:tcPr>
            <w:tcW w:w="3543" w:type="pct"/>
            <w:gridSpan w:val="2"/>
          </w:tcPr>
          <w:p w14:paraId="3041849C" w14:textId="77777777" w:rsidR="0008114B" w:rsidRPr="00861A00" w:rsidRDefault="0008114B" w:rsidP="0008114B">
            <w:pPr>
              <w:rPr>
                <w:rFonts w:cs="Arial"/>
                <w:color w:val="000000"/>
                <w:sz w:val="20"/>
              </w:rPr>
            </w:pPr>
            <w:r w:rsidRPr="00F46460">
              <w:rPr>
                <w:sz w:val="20"/>
                <w:szCs w:val="18"/>
              </w:rPr>
              <w:t xml:space="preserve">As the EEPRU approach is focused on very specific niche HVCSs, there is a lack of clinical effectiveness data in a relevant population as stated by EEPRU itself, resulting in a reliance on </w:t>
            </w:r>
            <w:r w:rsidRPr="00F46460">
              <w:rPr>
                <w:i/>
                <w:iCs/>
                <w:sz w:val="20"/>
                <w:szCs w:val="18"/>
              </w:rPr>
              <w:t>in vitro</w:t>
            </w:r>
            <w:r w:rsidRPr="00F46460">
              <w:rPr>
                <w:sz w:val="20"/>
                <w:szCs w:val="18"/>
              </w:rPr>
              <w:t xml:space="preserve"> susceptibility, which as validated by their own clinical experts may not reflect treatment success. Why </w:t>
            </w:r>
            <w:r>
              <w:rPr>
                <w:sz w:val="20"/>
                <w:szCs w:val="18"/>
              </w:rPr>
              <w:t xml:space="preserve">was the no attempt to capture more fully the full licenced indication as per normal NICE process and the final scope, and why </w:t>
            </w:r>
            <w:r w:rsidRPr="00F46460">
              <w:rPr>
                <w:sz w:val="20"/>
                <w:szCs w:val="18"/>
              </w:rPr>
              <w:t>was susceptibility testing used as a proxy for clinical effectiveness although it is known that a correlation is afflicted with high uncertainty?</w:t>
            </w:r>
            <w:r>
              <w:rPr>
                <w:sz w:val="20"/>
                <w:szCs w:val="18"/>
              </w:rPr>
              <w:t xml:space="preserve"> </w:t>
            </w:r>
          </w:p>
        </w:tc>
      </w:tr>
      <w:tr w:rsidR="00A5430D" w:rsidRPr="00A573DE" w14:paraId="7E2688E8" w14:textId="77777777" w:rsidTr="00A5430D">
        <w:tc>
          <w:tcPr>
            <w:tcW w:w="345" w:type="pct"/>
          </w:tcPr>
          <w:p w14:paraId="1637645A" w14:textId="77777777" w:rsidR="0008114B" w:rsidRPr="00A27F2C" w:rsidRDefault="0008114B" w:rsidP="0008114B">
            <w:pPr>
              <w:widowControl w:val="0"/>
              <w:jc w:val="center"/>
              <w:rPr>
                <w:rFonts w:cs="Arial"/>
                <w:color w:val="000000"/>
                <w:sz w:val="20"/>
              </w:rPr>
            </w:pPr>
            <w:r>
              <w:rPr>
                <w:rFonts w:cs="Arial"/>
                <w:color w:val="000000"/>
                <w:sz w:val="20"/>
              </w:rPr>
              <w:t>2</w:t>
            </w:r>
          </w:p>
        </w:tc>
        <w:tc>
          <w:tcPr>
            <w:tcW w:w="417" w:type="pct"/>
          </w:tcPr>
          <w:p w14:paraId="66118093" w14:textId="77777777" w:rsidR="0008114B" w:rsidRPr="00A27F2C" w:rsidRDefault="0008114B" w:rsidP="0008114B">
            <w:pPr>
              <w:widowControl w:val="0"/>
              <w:rPr>
                <w:rFonts w:cs="Arial"/>
                <w:color w:val="000000"/>
                <w:sz w:val="20"/>
              </w:rPr>
            </w:pPr>
          </w:p>
        </w:tc>
        <w:tc>
          <w:tcPr>
            <w:tcW w:w="695" w:type="pct"/>
          </w:tcPr>
          <w:p w14:paraId="487E63DD" w14:textId="77777777" w:rsidR="0008114B" w:rsidRPr="00A27F2C" w:rsidRDefault="0008114B" w:rsidP="0008114B">
            <w:pPr>
              <w:widowControl w:val="0"/>
              <w:jc w:val="center"/>
              <w:rPr>
                <w:rFonts w:cs="Arial"/>
                <w:color w:val="000000"/>
                <w:sz w:val="20"/>
              </w:rPr>
            </w:pPr>
          </w:p>
        </w:tc>
        <w:tc>
          <w:tcPr>
            <w:tcW w:w="3543" w:type="pct"/>
            <w:gridSpan w:val="2"/>
          </w:tcPr>
          <w:p w14:paraId="33C9F4AC" w14:textId="77777777" w:rsidR="0008114B" w:rsidRDefault="0008114B" w:rsidP="0008114B">
            <w:pPr>
              <w:rPr>
                <w:sz w:val="20"/>
              </w:rPr>
            </w:pPr>
            <w:r w:rsidRPr="00861A00">
              <w:rPr>
                <w:sz w:val="20"/>
                <w:szCs w:val="18"/>
              </w:rPr>
              <w:t>The EEPRU model deviates significantly from the EEPRU framework</w:t>
            </w:r>
            <w:r w:rsidRPr="00861A00">
              <w:rPr>
                <w:sz w:val="20"/>
                <w:szCs w:val="18"/>
              </w:rPr>
              <w:fldChar w:fldCharType="begin"/>
            </w:r>
            <w:r>
              <w:rPr>
                <w:sz w:val="20"/>
                <w:szCs w:val="18"/>
              </w:rPr>
              <w:instrText xml:space="preserve"> ADDIN EN.CITE &lt;EndNote&gt;&lt;Cite&gt;&lt;Author&gt;EEPRU&lt;/Author&gt;&lt;Year&gt;2018&lt;/Year&gt;&lt;RecNum&gt;9&lt;/RecNum&gt;&lt;DisplayText&gt;&lt;style face="superscript"&gt;3&lt;/style&gt;&lt;/DisplayText&gt;&lt;record&gt;&lt;rec-number&gt;9&lt;/rec-number&gt;&lt;foreign-keys&gt;&lt;key app="EN" db-id="pd5s0xr0250t2qevxfgxpvwp5eaztd2pavxx" timestamp="1638893203"&gt;9&lt;/key&gt;&lt;/foreign-keys&gt;&lt;ref-type name="Web Page"&gt;12&lt;/ref-type&gt;&lt;contributors&gt;&lt;authors&gt;&lt;author&gt;EEPRU&lt;/author&gt;&lt;/authors&gt;&lt;/contributors&gt;&lt;titles&gt;&lt;title&gt;Framework for value assessment of new antimicrobials - Implications of alternative funding arrangements for NICE appraisals&lt;/title&gt;&lt;/titles&gt;&lt;dates&gt;&lt;year&gt;2018&lt;/year&gt;&lt;/dates&gt;&lt;urls&gt;&lt;related-urls&gt;&lt;url&gt;http://www.eepru.org.uk/wp-content/uploads/2017/11/eepru-report-amr-oct-2018-059.pdf&lt;/url&gt;&lt;/related-urls&gt;&lt;/urls&gt;&lt;/record&gt;&lt;/Cite&gt;&lt;/EndNote&gt;</w:instrText>
            </w:r>
            <w:r w:rsidRPr="00861A00">
              <w:rPr>
                <w:sz w:val="20"/>
                <w:szCs w:val="18"/>
              </w:rPr>
              <w:fldChar w:fldCharType="separate"/>
            </w:r>
            <w:r w:rsidRPr="00B94641">
              <w:rPr>
                <w:noProof/>
                <w:sz w:val="20"/>
                <w:szCs w:val="18"/>
                <w:vertAlign w:val="superscript"/>
              </w:rPr>
              <w:t>3</w:t>
            </w:r>
            <w:r w:rsidRPr="00861A00">
              <w:rPr>
                <w:sz w:val="20"/>
                <w:szCs w:val="18"/>
              </w:rPr>
              <w:fldChar w:fldCharType="end"/>
            </w:r>
            <w:r w:rsidRPr="00861A00">
              <w:rPr>
                <w:sz w:val="20"/>
                <w:szCs w:val="18"/>
              </w:rPr>
              <w:t xml:space="preserve"> and the NICE reference case. </w:t>
            </w:r>
            <w:r w:rsidRPr="00861A00">
              <w:rPr>
                <w:sz w:val="20"/>
              </w:rPr>
              <w:t>Why was the proposed model type changed from the previously suggested dynamic disease transmission model?</w:t>
            </w:r>
            <w:r>
              <w:rPr>
                <w:sz w:val="20"/>
              </w:rPr>
              <w:t xml:space="preserve"> </w:t>
            </w:r>
          </w:p>
          <w:p w14:paraId="65BC26BA" w14:textId="77777777" w:rsidR="0008114B" w:rsidRPr="00861A00" w:rsidRDefault="0008114B" w:rsidP="0008114B">
            <w:pPr>
              <w:rPr>
                <w:rFonts w:cs="Arial"/>
                <w:color w:val="000000"/>
                <w:sz w:val="20"/>
              </w:rPr>
            </w:pPr>
            <w:r>
              <w:rPr>
                <w:sz w:val="20"/>
              </w:rPr>
              <w:t>An analysis should be conducted as to whether the deviation from the original framework has now led to a lack of recognition of population health benefit?</w:t>
            </w:r>
          </w:p>
        </w:tc>
      </w:tr>
      <w:tr w:rsidR="00A5430D" w:rsidRPr="00A573DE" w14:paraId="536C47BF" w14:textId="77777777" w:rsidTr="00A5430D">
        <w:tc>
          <w:tcPr>
            <w:tcW w:w="345" w:type="pct"/>
          </w:tcPr>
          <w:p w14:paraId="275F163B" w14:textId="77777777" w:rsidR="0008114B" w:rsidRPr="00A27F2C" w:rsidRDefault="0008114B" w:rsidP="0008114B">
            <w:pPr>
              <w:widowControl w:val="0"/>
              <w:jc w:val="center"/>
              <w:rPr>
                <w:rFonts w:cs="Arial"/>
                <w:color w:val="000000"/>
                <w:sz w:val="20"/>
              </w:rPr>
            </w:pPr>
            <w:r>
              <w:rPr>
                <w:rFonts w:cs="Arial"/>
                <w:color w:val="000000"/>
                <w:sz w:val="20"/>
              </w:rPr>
              <w:t>3</w:t>
            </w:r>
          </w:p>
        </w:tc>
        <w:tc>
          <w:tcPr>
            <w:tcW w:w="417" w:type="pct"/>
          </w:tcPr>
          <w:p w14:paraId="05E4A948" w14:textId="77777777" w:rsidR="0008114B" w:rsidRPr="00A27F2C" w:rsidRDefault="0008114B" w:rsidP="0008114B">
            <w:pPr>
              <w:widowControl w:val="0"/>
              <w:rPr>
                <w:rFonts w:cs="Arial"/>
                <w:color w:val="000000"/>
                <w:sz w:val="20"/>
              </w:rPr>
            </w:pPr>
          </w:p>
        </w:tc>
        <w:tc>
          <w:tcPr>
            <w:tcW w:w="695" w:type="pct"/>
          </w:tcPr>
          <w:p w14:paraId="303EEC73" w14:textId="77777777" w:rsidR="0008114B" w:rsidRPr="00A27F2C" w:rsidRDefault="0008114B" w:rsidP="0008114B">
            <w:pPr>
              <w:widowControl w:val="0"/>
              <w:jc w:val="center"/>
              <w:rPr>
                <w:rFonts w:cs="Arial"/>
                <w:color w:val="000000"/>
                <w:sz w:val="20"/>
              </w:rPr>
            </w:pPr>
          </w:p>
        </w:tc>
        <w:tc>
          <w:tcPr>
            <w:tcW w:w="3543" w:type="pct"/>
            <w:gridSpan w:val="2"/>
          </w:tcPr>
          <w:p w14:paraId="7901C194" w14:textId="77777777" w:rsidR="0008114B" w:rsidRPr="00861A00" w:rsidRDefault="0008114B" w:rsidP="0008114B">
            <w:pPr>
              <w:widowControl w:val="0"/>
              <w:rPr>
                <w:rFonts w:cs="Arial"/>
                <w:color w:val="000000"/>
                <w:sz w:val="20"/>
              </w:rPr>
            </w:pPr>
            <w:r w:rsidRPr="00861A00">
              <w:rPr>
                <w:rFonts w:cs="Arial"/>
                <w:sz w:val="20"/>
              </w:rPr>
              <w:t>Only emergence of resistance for the new antibiotic (</w:t>
            </w:r>
            <w:r>
              <w:rPr>
                <w:rFonts w:cs="Arial"/>
                <w:sz w:val="20"/>
              </w:rPr>
              <w:t>CAZ-AVI</w:t>
            </w:r>
            <w:r w:rsidRPr="00861A00">
              <w:rPr>
                <w:rFonts w:cs="Arial"/>
                <w:sz w:val="20"/>
              </w:rPr>
              <w:t>) was considered in the EEPRU model however, resistance to existing antibiotics was not captured in their approach.</w:t>
            </w:r>
            <w:r>
              <w:rPr>
                <w:rFonts w:cs="Arial"/>
                <w:sz w:val="20"/>
              </w:rPr>
              <w:t xml:space="preserve"> </w:t>
            </w:r>
            <w:r w:rsidRPr="00F46460">
              <w:rPr>
                <w:sz w:val="20"/>
              </w:rPr>
              <w:t xml:space="preserve">Why was resistance over time was not applied to the comparator AMs but a scenario analysis for </w:t>
            </w:r>
            <w:r>
              <w:rPr>
                <w:sz w:val="20"/>
              </w:rPr>
              <w:t>CAZ-AVI</w:t>
            </w:r>
            <w:r w:rsidRPr="00F46460">
              <w:rPr>
                <w:sz w:val="20"/>
              </w:rPr>
              <w:t xml:space="preserve"> conducted with varying resistance rates?</w:t>
            </w:r>
          </w:p>
        </w:tc>
      </w:tr>
      <w:tr w:rsidR="00A5430D" w:rsidRPr="00A573DE" w14:paraId="3F9B138E" w14:textId="77777777" w:rsidTr="00A5430D">
        <w:tc>
          <w:tcPr>
            <w:tcW w:w="345" w:type="pct"/>
          </w:tcPr>
          <w:p w14:paraId="7C094353" w14:textId="77777777" w:rsidR="0008114B" w:rsidRPr="00A27F2C" w:rsidRDefault="0008114B" w:rsidP="0008114B">
            <w:pPr>
              <w:widowControl w:val="0"/>
              <w:jc w:val="center"/>
              <w:rPr>
                <w:rFonts w:cs="Arial"/>
                <w:color w:val="000000"/>
                <w:sz w:val="20"/>
              </w:rPr>
            </w:pPr>
            <w:r>
              <w:rPr>
                <w:rFonts w:cs="Arial"/>
                <w:color w:val="000000"/>
                <w:sz w:val="20"/>
              </w:rPr>
              <w:t>4</w:t>
            </w:r>
          </w:p>
        </w:tc>
        <w:tc>
          <w:tcPr>
            <w:tcW w:w="417" w:type="pct"/>
          </w:tcPr>
          <w:p w14:paraId="0A68B84C" w14:textId="77777777" w:rsidR="0008114B" w:rsidRPr="00A27F2C" w:rsidRDefault="0008114B" w:rsidP="0008114B">
            <w:pPr>
              <w:widowControl w:val="0"/>
              <w:rPr>
                <w:rFonts w:cs="Arial"/>
                <w:color w:val="000000"/>
                <w:sz w:val="20"/>
              </w:rPr>
            </w:pPr>
          </w:p>
        </w:tc>
        <w:tc>
          <w:tcPr>
            <w:tcW w:w="695" w:type="pct"/>
          </w:tcPr>
          <w:p w14:paraId="6E72F9DF" w14:textId="77777777" w:rsidR="0008114B" w:rsidRPr="00A27F2C" w:rsidRDefault="0008114B" w:rsidP="0008114B">
            <w:pPr>
              <w:widowControl w:val="0"/>
              <w:jc w:val="center"/>
              <w:rPr>
                <w:rFonts w:cs="Arial"/>
                <w:color w:val="000000"/>
                <w:sz w:val="20"/>
              </w:rPr>
            </w:pPr>
          </w:p>
        </w:tc>
        <w:tc>
          <w:tcPr>
            <w:tcW w:w="3543" w:type="pct"/>
            <w:gridSpan w:val="2"/>
          </w:tcPr>
          <w:p w14:paraId="4BE8DE0A" w14:textId="77777777" w:rsidR="0008114B" w:rsidRPr="00861A00" w:rsidRDefault="0008114B" w:rsidP="0008114B">
            <w:pPr>
              <w:widowControl w:val="0"/>
              <w:rPr>
                <w:rFonts w:cs="Arial"/>
                <w:color w:val="000000"/>
                <w:sz w:val="20"/>
              </w:rPr>
            </w:pPr>
            <w:r w:rsidRPr="00861A00">
              <w:rPr>
                <w:rFonts w:cs="Arial"/>
                <w:sz w:val="20"/>
              </w:rPr>
              <w:t>Unsuccessful treatment of infection would most likely result in death (with exception of those which naturally resolve infection), therefore, a QALY gain of 0.1-0.2 (per the EEPRU model) lacks face validity in the recognition of the health benefit where the most probable outcome of unsuccessful treatment of complicated infections leads to death</w:t>
            </w:r>
            <w:r>
              <w:rPr>
                <w:rFonts w:cs="Arial"/>
                <w:sz w:val="20"/>
              </w:rPr>
              <w:t xml:space="preserve">. </w:t>
            </w:r>
            <w:r w:rsidRPr="00DB6A86">
              <w:rPr>
                <w:rFonts w:cs="Arial"/>
                <w:sz w:val="20"/>
              </w:rPr>
              <w:t>The stated QALY gain represents that of comparable treatment efficacy to the current standard of care, indicating the EEPRU model fails to recognise the additional clinical benefit of CAZ-AVI. Considering death as a primary outcome of unsuccessful treatment the QALY gains estimated via a more holistic, dynamic modelling approach validated by at least 14 KOLs estimates patient QALY gain of 0.67. The Committee must address the face validity of both modelled QALY gains and the appropriateness with respects to this lifesaving</w:t>
            </w:r>
            <w:r>
              <w:rPr>
                <w:rFonts w:cs="Arial"/>
                <w:sz w:val="20"/>
              </w:rPr>
              <w:t>.</w:t>
            </w:r>
          </w:p>
        </w:tc>
      </w:tr>
      <w:tr w:rsidR="00A5430D" w:rsidRPr="00A573DE" w14:paraId="3BC35EF3" w14:textId="77777777" w:rsidTr="00A5430D">
        <w:tc>
          <w:tcPr>
            <w:tcW w:w="345" w:type="pct"/>
          </w:tcPr>
          <w:p w14:paraId="3B49F3F8" w14:textId="77777777" w:rsidR="0008114B" w:rsidRPr="00A27F2C" w:rsidRDefault="0008114B" w:rsidP="0008114B">
            <w:pPr>
              <w:widowControl w:val="0"/>
              <w:jc w:val="center"/>
              <w:rPr>
                <w:rFonts w:cs="Arial"/>
                <w:color w:val="000000"/>
                <w:sz w:val="20"/>
              </w:rPr>
            </w:pPr>
            <w:r>
              <w:rPr>
                <w:rFonts w:cs="Arial"/>
                <w:color w:val="000000"/>
                <w:sz w:val="20"/>
              </w:rPr>
              <w:t>5</w:t>
            </w:r>
          </w:p>
        </w:tc>
        <w:tc>
          <w:tcPr>
            <w:tcW w:w="417" w:type="pct"/>
          </w:tcPr>
          <w:p w14:paraId="1F215294" w14:textId="77777777" w:rsidR="0008114B" w:rsidRPr="00A27F2C" w:rsidRDefault="0008114B" w:rsidP="0008114B">
            <w:pPr>
              <w:widowControl w:val="0"/>
              <w:rPr>
                <w:rFonts w:cs="Arial"/>
                <w:color w:val="000000"/>
                <w:sz w:val="20"/>
              </w:rPr>
            </w:pPr>
          </w:p>
        </w:tc>
        <w:tc>
          <w:tcPr>
            <w:tcW w:w="695" w:type="pct"/>
          </w:tcPr>
          <w:p w14:paraId="5C69B74E" w14:textId="77777777" w:rsidR="0008114B" w:rsidRPr="00A27F2C" w:rsidRDefault="0008114B" w:rsidP="0008114B">
            <w:pPr>
              <w:widowControl w:val="0"/>
              <w:jc w:val="center"/>
              <w:rPr>
                <w:rFonts w:cs="Arial"/>
                <w:color w:val="000000"/>
                <w:sz w:val="20"/>
              </w:rPr>
            </w:pPr>
          </w:p>
        </w:tc>
        <w:tc>
          <w:tcPr>
            <w:tcW w:w="3543" w:type="pct"/>
            <w:gridSpan w:val="2"/>
          </w:tcPr>
          <w:p w14:paraId="5EAA065F" w14:textId="77777777" w:rsidR="0008114B" w:rsidRPr="00861A00" w:rsidRDefault="0008114B" w:rsidP="0008114B">
            <w:pPr>
              <w:widowControl w:val="0"/>
              <w:rPr>
                <w:rFonts w:cs="Arial"/>
                <w:color w:val="000000"/>
                <w:sz w:val="20"/>
              </w:rPr>
            </w:pPr>
            <w:r>
              <w:rPr>
                <w:rFonts w:cs="Arial"/>
                <w:sz w:val="20"/>
              </w:rPr>
              <w:t>T</w:t>
            </w:r>
            <w:r w:rsidRPr="00861A00">
              <w:rPr>
                <w:rFonts w:cs="Arial"/>
                <w:sz w:val="20"/>
              </w:rPr>
              <w:t>he EEPRU framework</w:t>
            </w:r>
            <w:r w:rsidRPr="00861A00">
              <w:rPr>
                <w:rFonts w:cs="Arial"/>
                <w:sz w:val="20"/>
              </w:rPr>
              <w:fldChar w:fldCharType="begin"/>
            </w:r>
            <w:r>
              <w:rPr>
                <w:rFonts w:cs="Arial"/>
                <w:sz w:val="20"/>
              </w:rPr>
              <w:instrText xml:space="preserve"> ADDIN EN.CITE &lt;EndNote&gt;&lt;Cite&gt;&lt;Author&gt;EEPRU&lt;/Author&gt;&lt;Year&gt;2018&lt;/Year&gt;&lt;RecNum&gt;9&lt;/RecNum&gt;&lt;DisplayText&gt;&lt;style face="superscript"&gt;3&lt;/style&gt;&lt;/DisplayText&gt;&lt;record&gt;&lt;rec-number&gt;9&lt;/rec-number&gt;&lt;foreign-keys&gt;&lt;key app="EN" db-id="pd5s0xr0250t2qevxfgxpvwp5eaztd2pavxx" timestamp="1638893203"&gt;9&lt;/key&gt;&lt;/foreign-keys&gt;&lt;ref-type name="Web Page"&gt;12&lt;/ref-type&gt;&lt;contributors&gt;&lt;authors&gt;&lt;author&gt;EEPRU&lt;/author&gt;&lt;/authors&gt;&lt;/contributors&gt;&lt;titles&gt;&lt;title&gt;Framework for value assessment of new antimicrobials - Implications of alternative funding arrangements for NICE appraisals&lt;/title&gt;&lt;/titles&gt;&lt;dates&gt;&lt;year&gt;2018&lt;/year&gt;&lt;/dates&gt;&lt;urls&gt;&lt;related-urls&gt;&lt;url&gt;http://www.eepru.org.uk/wp-content/uploads/2017/11/eepru-report-amr-oct-2018-059.pdf&lt;/url&gt;&lt;/related-urls&gt;&lt;/urls&gt;&lt;/record&gt;&lt;/Cite&gt;&lt;/EndNote&gt;</w:instrText>
            </w:r>
            <w:r w:rsidRPr="00861A00">
              <w:rPr>
                <w:rFonts w:cs="Arial"/>
                <w:sz w:val="20"/>
              </w:rPr>
              <w:fldChar w:fldCharType="separate"/>
            </w:r>
            <w:r w:rsidRPr="00B94641">
              <w:rPr>
                <w:rFonts w:cs="Arial"/>
                <w:noProof/>
                <w:sz w:val="20"/>
                <w:vertAlign w:val="superscript"/>
              </w:rPr>
              <w:t>3</w:t>
            </w:r>
            <w:r w:rsidRPr="00861A00">
              <w:rPr>
                <w:rFonts w:cs="Arial"/>
                <w:sz w:val="20"/>
              </w:rPr>
              <w:fldChar w:fldCharType="end"/>
            </w:r>
            <w:r w:rsidRPr="00861A00">
              <w:rPr>
                <w:rFonts w:cs="Arial"/>
                <w:sz w:val="20"/>
              </w:rPr>
              <w:t xml:space="preserve"> cites six additional elements of value for new antibiotics, but the EEPRU assessment report does not recognise or explore a number of these important value elements.</w:t>
            </w:r>
            <w:r>
              <w:t xml:space="preserve"> </w:t>
            </w:r>
            <w:r w:rsidRPr="00A254AD">
              <w:rPr>
                <w:rFonts w:cs="Arial"/>
                <w:sz w:val="20"/>
              </w:rPr>
              <w:t xml:space="preserve">We request that the value elements which have been quantified and those that have not, along with the limitations are clearly laid out for the Committee. We request that the Committee consider the likely undervaluation of CAZ/AVI </w:t>
            </w:r>
            <w:proofErr w:type="gramStart"/>
            <w:r w:rsidRPr="00A254AD">
              <w:rPr>
                <w:rFonts w:cs="Arial"/>
                <w:sz w:val="20"/>
              </w:rPr>
              <w:t>as a result of</w:t>
            </w:r>
            <w:proofErr w:type="gramEnd"/>
            <w:r w:rsidRPr="00A254AD">
              <w:rPr>
                <w:rFonts w:cs="Arial"/>
                <w:sz w:val="20"/>
              </w:rPr>
              <w:t xml:space="preserve"> not quantifying all value elements and make clear recommendations for future research.</w:t>
            </w:r>
          </w:p>
        </w:tc>
      </w:tr>
      <w:tr w:rsidR="00A5430D" w:rsidRPr="00A573DE" w14:paraId="4C4F1C1C" w14:textId="77777777" w:rsidTr="00A5430D">
        <w:tc>
          <w:tcPr>
            <w:tcW w:w="345" w:type="pct"/>
          </w:tcPr>
          <w:p w14:paraId="511E7475" w14:textId="77777777" w:rsidR="0008114B" w:rsidRPr="00A27F2C" w:rsidRDefault="0008114B" w:rsidP="0008114B">
            <w:pPr>
              <w:widowControl w:val="0"/>
              <w:jc w:val="center"/>
              <w:rPr>
                <w:rFonts w:cs="Arial"/>
                <w:color w:val="000000"/>
                <w:sz w:val="20"/>
              </w:rPr>
            </w:pPr>
            <w:r>
              <w:rPr>
                <w:rFonts w:cs="Arial"/>
                <w:color w:val="000000"/>
                <w:sz w:val="20"/>
              </w:rPr>
              <w:t>6</w:t>
            </w:r>
          </w:p>
        </w:tc>
        <w:tc>
          <w:tcPr>
            <w:tcW w:w="417" w:type="pct"/>
          </w:tcPr>
          <w:p w14:paraId="186680BA" w14:textId="77777777" w:rsidR="0008114B" w:rsidRPr="00A27F2C" w:rsidRDefault="0008114B" w:rsidP="0008114B">
            <w:pPr>
              <w:widowControl w:val="0"/>
              <w:rPr>
                <w:rFonts w:cs="Arial"/>
                <w:color w:val="000000"/>
                <w:sz w:val="20"/>
              </w:rPr>
            </w:pPr>
          </w:p>
        </w:tc>
        <w:tc>
          <w:tcPr>
            <w:tcW w:w="695" w:type="pct"/>
          </w:tcPr>
          <w:p w14:paraId="2F651957" w14:textId="77777777" w:rsidR="0008114B" w:rsidRPr="00A27F2C" w:rsidRDefault="0008114B" w:rsidP="0008114B">
            <w:pPr>
              <w:widowControl w:val="0"/>
              <w:jc w:val="center"/>
              <w:rPr>
                <w:rFonts w:cs="Arial"/>
                <w:color w:val="000000"/>
                <w:sz w:val="20"/>
              </w:rPr>
            </w:pPr>
          </w:p>
        </w:tc>
        <w:tc>
          <w:tcPr>
            <w:tcW w:w="3543" w:type="pct"/>
            <w:gridSpan w:val="2"/>
          </w:tcPr>
          <w:p w14:paraId="5489FA2B" w14:textId="77777777" w:rsidR="0008114B" w:rsidRPr="00861A00" w:rsidRDefault="0008114B" w:rsidP="0008114B">
            <w:pPr>
              <w:widowControl w:val="0"/>
              <w:rPr>
                <w:rFonts w:cs="Arial"/>
                <w:color w:val="000000"/>
                <w:sz w:val="20"/>
              </w:rPr>
            </w:pPr>
            <w:r w:rsidRPr="00861A00">
              <w:rPr>
                <w:rFonts w:cs="Arial"/>
                <w:sz w:val="20"/>
              </w:rPr>
              <w:t>The validation undertaken by EEPRU is not in alignment with the EEPRU framework</w:t>
            </w:r>
            <w:r w:rsidRPr="00861A00">
              <w:rPr>
                <w:rFonts w:cs="Arial"/>
                <w:sz w:val="20"/>
              </w:rPr>
              <w:fldChar w:fldCharType="begin"/>
            </w:r>
            <w:r>
              <w:rPr>
                <w:rFonts w:cs="Arial"/>
                <w:sz w:val="20"/>
              </w:rPr>
              <w:instrText xml:space="preserve"> ADDIN EN.CITE &lt;EndNote&gt;&lt;Cite&gt;&lt;Author&gt;EEPRU&lt;/Author&gt;&lt;Year&gt;2018&lt;/Year&gt;&lt;RecNum&gt;9&lt;/RecNum&gt;&lt;DisplayText&gt;&lt;style face="superscript"&gt;3&lt;/style&gt;&lt;/DisplayText&gt;&lt;record&gt;&lt;rec-number&gt;9&lt;/rec-number&gt;&lt;foreign-keys&gt;&lt;key app="EN" db-id="pd5s0xr0250t2qevxfgxpvwp5eaztd2pavxx" timestamp="1638893203"&gt;9&lt;/key&gt;&lt;/foreign-keys&gt;&lt;ref-type name="Web Page"&gt;12&lt;/ref-type&gt;&lt;contributors&gt;&lt;authors&gt;&lt;author&gt;EEPRU&lt;/author&gt;&lt;/authors&gt;&lt;/contributors&gt;&lt;titles&gt;&lt;title&gt;Framework for value assessment of new antimicrobials - Implications of alternative funding arrangements for NICE appraisals&lt;/title&gt;&lt;/titles&gt;&lt;dates&gt;&lt;year&gt;2018&lt;/year&gt;&lt;/dates&gt;&lt;urls&gt;&lt;related-urls&gt;&lt;url&gt;http://www.eepru.org.uk/wp-content/uploads/2017/11/eepru-report-amr-oct-2018-059.pdf&lt;/url&gt;&lt;/related-urls&gt;&lt;/urls&gt;&lt;/record&gt;&lt;/Cite&gt;&lt;/EndNote&gt;</w:instrText>
            </w:r>
            <w:r w:rsidRPr="00861A00">
              <w:rPr>
                <w:rFonts w:cs="Arial"/>
                <w:sz w:val="20"/>
              </w:rPr>
              <w:fldChar w:fldCharType="separate"/>
            </w:r>
            <w:r w:rsidRPr="00B94641">
              <w:rPr>
                <w:rFonts w:cs="Arial"/>
                <w:noProof/>
                <w:sz w:val="20"/>
                <w:vertAlign w:val="superscript"/>
              </w:rPr>
              <w:t>3</w:t>
            </w:r>
            <w:r w:rsidRPr="00861A00">
              <w:rPr>
                <w:rFonts w:cs="Arial"/>
                <w:sz w:val="20"/>
              </w:rPr>
              <w:fldChar w:fldCharType="end"/>
            </w:r>
            <w:r w:rsidRPr="00861A00">
              <w:rPr>
                <w:rFonts w:cs="Arial"/>
                <w:sz w:val="20"/>
              </w:rPr>
              <w:t xml:space="preserve"> as the scope of the decision model, model structure and some model inputs were validated only by expert opinion and not against historical data.</w:t>
            </w:r>
            <w:r>
              <w:t xml:space="preserve"> </w:t>
            </w:r>
            <w:r w:rsidRPr="004212B1">
              <w:rPr>
                <w:rFonts w:cs="Arial"/>
                <w:sz w:val="20"/>
              </w:rPr>
              <w:t xml:space="preserve">We request that </w:t>
            </w:r>
            <w:r>
              <w:rPr>
                <w:rFonts w:cs="Arial"/>
                <w:sz w:val="20"/>
              </w:rPr>
              <w:t xml:space="preserve">EEPRU provide commentary as to why this approach was taken. And propose </w:t>
            </w:r>
            <w:r w:rsidRPr="004212B1">
              <w:rPr>
                <w:rFonts w:cs="Arial"/>
                <w:sz w:val="20"/>
              </w:rPr>
              <w:t xml:space="preserve">the Committee seek to contextualise the EEPRU </w:t>
            </w:r>
            <w:r w:rsidRPr="004212B1">
              <w:rPr>
                <w:rFonts w:cs="Arial"/>
                <w:sz w:val="20"/>
              </w:rPr>
              <w:lastRenderedPageBreak/>
              <w:t xml:space="preserve">model and outputs against historical data and the Pfizer model. The robustness of external validation </w:t>
            </w:r>
            <w:r>
              <w:rPr>
                <w:rFonts w:cs="Arial"/>
                <w:sz w:val="20"/>
              </w:rPr>
              <w:t xml:space="preserve">that </w:t>
            </w:r>
            <w:r w:rsidRPr="004212B1">
              <w:rPr>
                <w:rFonts w:cs="Arial"/>
                <w:sz w:val="20"/>
              </w:rPr>
              <w:t>each model has undergone to solidify clinical relevancy of the assumptions and comparison to historical data should be considered by the Committee.</w:t>
            </w:r>
          </w:p>
        </w:tc>
      </w:tr>
      <w:tr w:rsidR="00A5430D" w:rsidRPr="00A573DE" w14:paraId="7E25BEC6" w14:textId="77777777" w:rsidTr="00A5430D">
        <w:tc>
          <w:tcPr>
            <w:tcW w:w="345" w:type="pct"/>
          </w:tcPr>
          <w:p w14:paraId="11F64BDF" w14:textId="77777777" w:rsidR="0008114B" w:rsidRPr="00A27F2C" w:rsidRDefault="0008114B" w:rsidP="0008114B">
            <w:pPr>
              <w:widowControl w:val="0"/>
              <w:jc w:val="center"/>
              <w:rPr>
                <w:rFonts w:cs="Arial"/>
                <w:color w:val="000000"/>
                <w:sz w:val="20"/>
              </w:rPr>
            </w:pPr>
            <w:r>
              <w:rPr>
                <w:rFonts w:cs="Arial"/>
                <w:color w:val="000000"/>
                <w:sz w:val="20"/>
              </w:rPr>
              <w:lastRenderedPageBreak/>
              <w:t>7</w:t>
            </w:r>
          </w:p>
        </w:tc>
        <w:tc>
          <w:tcPr>
            <w:tcW w:w="417" w:type="pct"/>
          </w:tcPr>
          <w:p w14:paraId="30C95A7E" w14:textId="77777777" w:rsidR="0008114B" w:rsidRPr="00A27F2C" w:rsidRDefault="0008114B" w:rsidP="0008114B">
            <w:pPr>
              <w:widowControl w:val="0"/>
              <w:rPr>
                <w:rFonts w:cs="Arial"/>
                <w:color w:val="000000"/>
                <w:sz w:val="20"/>
              </w:rPr>
            </w:pPr>
          </w:p>
        </w:tc>
        <w:tc>
          <w:tcPr>
            <w:tcW w:w="695" w:type="pct"/>
          </w:tcPr>
          <w:p w14:paraId="37A15B42" w14:textId="77777777" w:rsidR="0008114B" w:rsidRPr="00A27F2C" w:rsidRDefault="0008114B" w:rsidP="0008114B">
            <w:pPr>
              <w:widowControl w:val="0"/>
              <w:jc w:val="center"/>
              <w:rPr>
                <w:rFonts w:cs="Arial"/>
                <w:color w:val="000000"/>
                <w:sz w:val="20"/>
              </w:rPr>
            </w:pPr>
          </w:p>
        </w:tc>
        <w:tc>
          <w:tcPr>
            <w:tcW w:w="3543" w:type="pct"/>
            <w:gridSpan w:val="2"/>
          </w:tcPr>
          <w:p w14:paraId="4436B164" w14:textId="77777777" w:rsidR="0008114B" w:rsidRDefault="0008114B" w:rsidP="0008114B">
            <w:pPr>
              <w:rPr>
                <w:rFonts w:cs="Arial"/>
                <w:sz w:val="20"/>
              </w:rPr>
            </w:pPr>
            <w:r w:rsidRPr="00F46460">
              <w:rPr>
                <w:rFonts w:cs="Arial"/>
                <w:sz w:val="20"/>
              </w:rPr>
              <w:t xml:space="preserve">EEPRU focuses on two HVCSs. This approach </w:t>
            </w:r>
            <w:r>
              <w:rPr>
                <w:rFonts w:cs="Arial"/>
                <w:sz w:val="20"/>
              </w:rPr>
              <w:t xml:space="preserve">to extrapolate to the full licenced indication for CAZ-AVI has significantly </w:t>
            </w:r>
            <w:r w:rsidRPr="00F46460">
              <w:rPr>
                <w:rFonts w:cs="Arial"/>
                <w:sz w:val="20"/>
              </w:rPr>
              <w:t>underestimate</w:t>
            </w:r>
            <w:r>
              <w:rPr>
                <w:rFonts w:cs="Arial"/>
                <w:sz w:val="20"/>
              </w:rPr>
              <w:t>d</w:t>
            </w:r>
            <w:r w:rsidRPr="00F46460">
              <w:rPr>
                <w:rFonts w:cs="Arial"/>
                <w:sz w:val="20"/>
              </w:rPr>
              <w:t xml:space="preserve"> the </w:t>
            </w:r>
            <w:r>
              <w:rPr>
                <w:rFonts w:cs="Arial"/>
                <w:sz w:val="20"/>
              </w:rPr>
              <w:t>eligible patient population, and the overall health threat of MDR infections</w:t>
            </w:r>
            <w:r w:rsidRPr="00F46460">
              <w:rPr>
                <w:rFonts w:cs="Arial"/>
                <w:sz w:val="20"/>
              </w:rPr>
              <w:t xml:space="preserve">. </w:t>
            </w:r>
          </w:p>
          <w:p w14:paraId="01402EEF" w14:textId="77777777" w:rsidR="0008114B" w:rsidRDefault="0008114B" w:rsidP="0008114B">
            <w:r w:rsidRPr="00F46460">
              <w:rPr>
                <w:sz w:val="20"/>
              </w:rPr>
              <w:t xml:space="preserve">Why was the approach to define the eligible population a significant deviation from the traditional NICE approach, and not a reflection of how </w:t>
            </w:r>
            <w:r>
              <w:rPr>
                <w:sz w:val="20"/>
              </w:rPr>
              <w:t>CAZ-AVI</w:t>
            </w:r>
            <w:r w:rsidRPr="00F46460">
              <w:rPr>
                <w:sz w:val="20"/>
              </w:rPr>
              <w:t xml:space="preserve"> is currently used in clinical practice?</w:t>
            </w:r>
            <w:r>
              <w:t xml:space="preserve"> </w:t>
            </w:r>
          </w:p>
          <w:p w14:paraId="165545FE" w14:textId="77777777" w:rsidR="0008114B" w:rsidRDefault="0008114B" w:rsidP="0008114B">
            <w:pPr>
              <w:rPr>
                <w:sz w:val="20"/>
              </w:rPr>
            </w:pPr>
            <w:r w:rsidRPr="009022FC">
              <w:rPr>
                <w:sz w:val="20"/>
              </w:rPr>
              <w:t xml:space="preserve">We urgently request EEPRU to re-run their analysis using updated patient numbers </w:t>
            </w:r>
            <w:r>
              <w:rPr>
                <w:sz w:val="20"/>
              </w:rPr>
              <w:t xml:space="preserve">(as provided under Issue 4) </w:t>
            </w:r>
            <w:r w:rsidRPr="009022FC">
              <w:rPr>
                <w:sz w:val="20"/>
              </w:rPr>
              <w:t xml:space="preserve">and provide a subsequent scenario to the Committee ahead of the committee meeting. </w:t>
            </w:r>
          </w:p>
          <w:p w14:paraId="606AD978" w14:textId="77777777" w:rsidR="0008114B" w:rsidRPr="00743483" w:rsidRDefault="0008114B" w:rsidP="0008114B">
            <w:pPr>
              <w:rPr>
                <w:sz w:val="20"/>
              </w:rPr>
            </w:pPr>
            <w:r w:rsidRPr="009022FC">
              <w:rPr>
                <w:sz w:val="20"/>
              </w:rPr>
              <w:t>We request that the Committee should consider current real-world usage and increasing resistance trends both domestically and globally when considering future lifetime usage patterns.</w:t>
            </w:r>
          </w:p>
        </w:tc>
      </w:tr>
      <w:tr w:rsidR="00A5430D" w:rsidRPr="00A573DE" w14:paraId="21A0624B" w14:textId="77777777" w:rsidTr="00A5430D">
        <w:tc>
          <w:tcPr>
            <w:tcW w:w="345" w:type="pct"/>
          </w:tcPr>
          <w:p w14:paraId="0914A2ED" w14:textId="77777777" w:rsidR="0008114B" w:rsidRPr="00A27F2C" w:rsidRDefault="0008114B" w:rsidP="0008114B">
            <w:pPr>
              <w:widowControl w:val="0"/>
              <w:jc w:val="center"/>
              <w:rPr>
                <w:rFonts w:cs="Arial"/>
                <w:color w:val="000000"/>
                <w:sz w:val="20"/>
              </w:rPr>
            </w:pPr>
            <w:r>
              <w:rPr>
                <w:rFonts w:cs="Arial"/>
                <w:color w:val="000000"/>
                <w:sz w:val="20"/>
              </w:rPr>
              <w:t>8</w:t>
            </w:r>
          </w:p>
        </w:tc>
        <w:tc>
          <w:tcPr>
            <w:tcW w:w="417" w:type="pct"/>
          </w:tcPr>
          <w:p w14:paraId="77BB0E46" w14:textId="77777777" w:rsidR="0008114B" w:rsidRPr="00A27F2C" w:rsidRDefault="0008114B" w:rsidP="0008114B">
            <w:pPr>
              <w:widowControl w:val="0"/>
              <w:rPr>
                <w:rFonts w:cs="Arial"/>
                <w:color w:val="000000"/>
                <w:sz w:val="20"/>
              </w:rPr>
            </w:pPr>
          </w:p>
        </w:tc>
        <w:tc>
          <w:tcPr>
            <w:tcW w:w="695" w:type="pct"/>
          </w:tcPr>
          <w:p w14:paraId="5E1F8BC3" w14:textId="77777777" w:rsidR="0008114B" w:rsidRPr="00A27F2C" w:rsidRDefault="0008114B" w:rsidP="0008114B">
            <w:pPr>
              <w:widowControl w:val="0"/>
              <w:jc w:val="center"/>
              <w:rPr>
                <w:rFonts w:cs="Arial"/>
                <w:color w:val="000000"/>
                <w:sz w:val="20"/>
              </w:rPr>
            </w:pPr>
          </w:p>
        </w:tc>
        <w:tc>
          <w:tcPr>
            <w:tcW w:w="3543" w:type="pct"/>
            <w:gridSpan w:val="2"/>
          </w:tcPr>
          <w:p w14:paraId="7B41AD40" w14:textId="77777777" w:rsidR="0008114B" w:rsidRPr="00861A00" w:rsidRDefault="0008114B" w:rsidP="0008114B">
            <w:pPr>
              <w:widowControl w:val="0"/>
              <w:rPr>
                <w:rFonts w:cs="Arial"/>
                <w:color w:val="000000"/>
                <w:sz w:val="20"/>
              </w:rPr>
            </w:pPr>
            <w:r w:rsidRPr="002E3C4D">
              <w:rPr>
                <w:rFonts w:cs="Arial"/>
                <w:sz w:val="20"/>
              </w:rPr>
              <w:t>In complete contrast to the EEPRU framework3 and protocol, the current EEPRU model has not attempted to assess the diversity value of novel antibiotics. We request EEPRU to present an alternative scenario for Committee consideration that attempts to model different AMS strategies and their impact on the emergence of resistance. If it is not possible to provide some quantification of diversity value, we request that the Committee qualitatively consider the impact and appropriate usage of new antibiotics as a critical factor in attempting to tackle the clear trend of increasing resistance.</w:t>
            </w:r>
          </w:p>
        </w:tc>
      </w:tr>
      <w:tr w:rsidR="00A5430D" w:rsidRPr="00A573DE" w14:paraId="061D77F8" w14:textId="77777777" w:rsidTr="00A5430D">
        <w:tc>
          <w:tcPr>
            <w:tcW w:w="345" w:type="pct"/>
          </w:tcPr>
          <w:p w14:paraId="206BF05C" w14:textId="493EBE90" w:rsidR="00A5430D" w:rsidRPr="00B5251B" w:rsidRDefault="00A5430D" w:rsidP="0008114B">
            <w:pPr>
              <w:widowControl w:val="0"/>
              <w:rPr>
                <w:rFonts w:cs="Arial"/>
                <w:b/>
                <w:bCs/>
                <w:sz w:val="20"/>
              </w:rPr>
            </w:pPr>
          </w:p>
        </w:tc>
        <w:tc>
          <w:tcPr>
            <w:tcW w:w="417" w:type="pct"/>
          </w:tcPr>
          <w:p w14:paraId="67F0ABC6" w14:textId="77777777" w:rsidR="00A5430D" w:rsidRPr="00B5251B" w:rsidRDefault="00A5430D" w:rsidP="0008114B">
            <w:pPr>
              <w:widowControl w:val="0"/>
              <w:rPr>
                <w:rFonts w:cs="Arial"/>
                <w:b/>
                <w:bCs/>
                <w:sz w:val="20"/>
              </w:rPr>
            </w:pPr>
          </w:p>
        </w:tc>
        <w:tc>
          <w:tcPr>
            <w:tcW w:w="695" w:type="pct"/>
          </w:tcPr>
          <w:p w14:paraId="16FAA72B" w14:textId="77777777" w:rsidR="00A5430D" w:rsidRPr="00B5251B" w:rsidRDefault="00A5430D" w:rsidP="0008114B">
            <w:pPr>
              <w:widowControl w:val="0"/>
              <w:rPr>
                <w:rFonts w:cs="Arial"/>
                <w:b/>
                <w:bCs/>
                <w:sz w:val="20"/>
              </w:rPr>
            </w:pPr>
          </w:p>
        </w:tc>
        <w:tc>
          <w:tcPr>
            <w:tcW w:w="3543" w:type="pct"/>
            <w:gridSpan w:val="2"/>
          </w:tcPr>
          <w:p w14:paraId="7F694F8B" w14:textId="07216C23" w:rsidR="00A5430D" w:rsidRPr="00B5251B" w:rsidRDefault="00A5430D" w:rsidP="0008114B">
            <w:pPr>
              <w:widowControl w:val="0"/>
              <w:rPr>
                <w:rFonts w:cs="Arial"/>
                <w:b/>
                <w:bCs/>
                <w:sz w:val="20"/>
              </w:rPr>
            </w:pPr>
            <w:r>
              <w:rPr>
                <w:rFonts w:cs="Arial"/>
                <w:b/>
                <w:bCs/>
                <w:sz w:val="20"/>
              </w:rPr>
              <w:t xml:space="preserve">Addressing </w:t>
            </w:r>
            <w:r w:rsidRPr="00B5251B">
              <w:rPr>
                <w:rFonts w:cs="Arial"/>
                <w:b/>
                <w:bCs/>
                <w:sz w:val="20"/>
              </w:rPr>
              <w:t>EEPRU’s comments</w:t>
            </w:r>
          </w:p>
        </w:tc>
      </w:tr>
      <w:tr w:rsidR="00A5430D" w:rsidRPr="00A573DE" w14:paraId="70680E5B" w14:textId="77777777" w:rsidTr="00A5430D">
        <w:tc>
          <w:tcPr>
            <w:tcW w:w="345" w:type="pct"/>
          </w:tcPr>
          <w:p w14:paraId="091E346F" w14:textId="39D7A25E" w:rsidR="00A5430D" w:rsidRPr="00A573DE" w:rsidRDefault="00A5430D" w:rsidP="0008114B">
            <w:pPr>
              <w:widowControl w:val="0"/>
              <w:rPr>
                <w:rFonts w:cs="Arial"/>
                <w:b/>
                <w:bCs/>
                <w:sz w:val="20"/>
              </w:rPr>
            </w:pPr>
          </w:p>
        </w:tc>
        <w:tc>
          <w:tcPr>
            <w:tcW w:w="417" w:type="pct"/>
          </w:tcPr>
          <w:p w14:paraId="66CE311B" w14:textId="77777777" w:rsidR="00A5430D" w:rsidRPr="00A573DE" w:rsidRDefault="00A5430D" w:rsidP="0008114B">
            <w:pPr>
              <w:widowControl w:val="0"/>
              <w:rPr>
                <w:rFonts w:cs="Arial"/>
                <w:b/>
                <w:bCs/>
                <w:sz w:val="20"/>
              </w:rPr>
            </w:pPr>
          </w:p>
        </w:tc>
        <w:tc>
          <w:tcPr>
            <w:tcW w:w="695" w:type="pct"/>
          </w:tcPr>
          <w:p w14:paraId="0F3ECE26" w14:textId="77777777" w:rsidR="00A5430D" w:rsidRPr="00A573DE" w:rsidRDefault="00A5430D" w:rsidP="0008114B">
            <w:pPr>
              <w:widowControl w:val="0"/>
              <w:rPr>
                <w:rFonts w:cs="Arial"/>
                <w:b/>
                <w:bCs/>
                <w:sz w:val="20"/>
              </w:rPr>
            </w:pPr>
          </w:p>
        </w:tc>
        <w:tc>
          <w:tcPr>
            <w:tcW w:w="3543" w:type="pct"/>
            <w:gridSpan w:val="2"/>
          </w:tcPr>
          <w:p w14:paraId="20E79C68" w14:textId="207CD514" w:rsidR="00A5430D" w:rsidRPr="00A573DE" w:rsidRDefault="00A5430D" w:rsidP="0008114B">
            <w:pPr>
              <w:widowControl w:val="0"/>
              <w:rPr>
                <w:rFonts w:cs="Arial"/>
                <w:b/>
                <w:bCs/>
                <w:sz w:val="20"/>
              </w:rPr>
            </w:pPr>
            <w:r>
              <w:rPr>
                <w:rFonts w:cs="Arial"/>
                <w:b/>
                <w:bCs/>
                <w:sz w:val="20"/>
              </w:rPr>
              <w:t>Defining treatment, and success</w:t>
            </w:r>
            <w:r w:rsidRPr="00A573DE">
              <w:rPr>
                <w:rFonts w:cs="Arial"/>
                <w:b/>
                <w:bCs/>
                <w:sz w:val="20"/>
              </w:rPr>
              <w:t xml:space="preserve"> (see </w:t>
            </w:r>
            <w:r>
              <w:rPr>
                <w:rFonts w:cs="Arial"/>
                <w:b/>
                <w:bCs/>
                <w:sz w:val="20"/>
              </w:rPr>
              <w:fldChar w:fldCharType="begin"/>
            </w:r>
            <w:r>
              <w:rPr>
                <w:rFonts w:cs="Arial"/>
                <w:b/>
                <w:bCs/>
                <w:sz w:val="20"/>
              </w:rPr>
              <w:instrText xml:space="preserve"> REF _Ref90129492 \r \h </w:instrText>
            </w:r>
            <w:r>
              <w:rPr>
                <w:rFonts w:cs="Arial"/>
                <w:b/>
                <w:bCs/>
                <w:sz w:val="20"/>
              </w:rPr>
            </w:r>
            <w:r>
              <w:rPr>
                <w:rFonts w:cs="Arial"/>
                <w:b/>
                <w:bCs/>
                <w:sz w:val="20"/>
              </w:rPr>
              <w:fldChar w:fldCharType="separate"/>
            </w:r>
            <w:r>
              <w:rPr>
                <w:rFonts w:cs="Arial"/>
                <w:b/>
                <w:bCs/>
                <w:sz w:val="20"/>
              </w:rPr>
              <w:t>Issue 2</w:t>
            </w:r>
            <w:r>
              <w:rPr>
                <w:rFonts w:cs="Arial"/>
                <w:b/>
                <w:bCs/>
                <w:sz w:val="20"/>
              </w:rPr>
              <w:fldChar w:fldCharType="end"/>
            </w:r>
            <w:r>
              <w:rPr>
                <w:rFonts w:cs="Arial"/>
                <w:b/>
                <w:bCs/>
                <w:sz w:val="20"/>
              </w:rPr>
              <w:t xml:space="preserve"> </w:t>
            </w:r>
            <w:r w:rsidRPr="00A573DE">
              <w:rPr>
                <w:rFonts w:cs="Arial"/>
                <w:b/>
                <w:bCs/>
                <w:sz w:val="20"/>
              </w:rPr>
              <w:t>for further clarification)</w:t>
            </w:r>
          </w:p>
        </w:tc>
      </w:tr>
      <w:tr w:rsidR="00A5430D" w:rsidRPr="00A573DE" w14:paraId="3751E6CE" w14:textId="77777777" w:rsidTr="00A5430D">
        <w:tc>
          <w:tcPr>
            <w:tcW w:w="345" w:type="pct"/>
          </w:tcPr>
          <w:p w14:paraId="62FBAB53" w14:textId="77777777" w:rsidR="0008114B" w:rsidRPr="00A573DE" w:rsidRDefault="0008114B" w:rsidP="0008114B">
            <w:pPr>
              <w:widowControl w:val="0"/>
              <w:jc w:val="center"/>
              <w:rPr>
                <w:rFonts w:cs="Arial"/>
                <w:sz w:val="20"/>
              </w:rPr>
            </w:pPr>
            <w:r>
              <w:rPr>
                <w:rFonts w:cs="Arial"/>
                <w:sz w:val="20"/>
              </w:rPr>
              <w:t>9</w:t>
            </w:r>
          </w:p>
        </w:tc>
        <w:tc>
          <w:tcPr>
            <w:tcW w:w="417" w:type="pct"/>
          </w:tcPr>
          <w:p w14:paraId="6BE86924" w14:textId="77777777" w:rsidR="0008114B" w:rsidRPr="00A573DE" w:rsidRDefault="0008114B" w:rsidP="0008114B">
            <w:pPr>
              <w:widowControl w:val="0"/>
              <w:rPr>
                <w:rFonts w:cs="Arial"/>
                <w:sz w:val="20"/>
              </w:rPr>
            </w:pPr>
            <w:r w:rsidRPr="00A573DE">
              <w:rPr>
                <w:rFonts w:cs="Arial"/>
                <w:sz w:val="20"/>
              </w:rPr>
              <w:t>106</w:t>
            </w:r>
          </w:p>
        </w:tc>
        <w:tc>
          <w:tcPr>
            <w:tcW w:w="695" w:type="pct"/>
          </w:tcPr>
          <w:p w14:paraId="4E1669B0" w14:textId="77777777" w:rsidR="0008114B" w:rsidRPr="00A573DE" w:rsidRDefault="0008114B" w:rsidP="0008114B">
            <w:pPr>
              <w:widowControl w:val="0"/>
              <w:rPr>
                <w:rFonts w:cs="Arial"/>
                <w:sz w:val="20"/>
              </w:rPr>
            </w:pPr>
            <w:r w:rsidRPr="00A573DE">
              <w:rPr>
                <w:rFonts w:cs="Arial"/>
                <w:sz w:val="20"/>
              </w:rPr>
              <w:t>7.2.2</w:t>
            </w:r>
          </w:p>
        </w:tc>
        <w:tc>
          <w:tcPr>
            <w:tcW w:w="3543" w:type="pct"/>
            <w:gridSpan w:val="2"/>
          </w:tcPr>
          <w:p w14:paraId="4CE15616" w14:textId="77777777" w:rsidR="0008114B" w:rsidRPr="00A573DE" w:rsidRDefault="0008114B" w:rsidP="0008114B">
            <w:pPr>
              <w:widowControl w:val="0"/>
              <w:rPr>
                <w:rFonts w:cs="Arial"/>
                <w:sz w:val="20"/>
              </w:rPr>
            </w:pPr>
            <w:r w:rsidRPr="00A573DE">
              <w:rPr>
                <w:rFonts w:cs="Arial"/>
                <w:sz w:val="20"/>
              </w:rPr>
              <w:t xml:space="preserve">“We have assumed that differences across treatments in </w:t>
            </w:r>
            <w:r w:rsidRPr="00A573DE">
              <w:rPr>
                <w:rFonts w:cs="Arial"/>
                <w:i/>
                <w:iCs/>
                <w:sz w:val="20"/>
              </w:rPr>
              <w:t>in vitro</w:t>
            </w:r>
            <w:r w:rsidRPr="00A573DE">
              <w:rPr>
                <w:rFonts w:cs="Arial"/>
                <w:sz w:val="20"/>
              </w:rPr>
              <w:t xml:space="preserve"> susceptibility are predictive of </w:t>
            </w:r>
            <w:r w:rsidRPr="00A573DE">
              <w:rPr>
                <w:rFonts w:cs="Arial"/>
                <w:i/>
                <w:iCs/>
                <w:sz w:val="20"/>
              </w:rPr>
              <w:t>in vivo</w:t>
            </w:r>
            <w:r w:rsidRPr="00A573DE">
              <w:rPr>
                <w:rFonts w:cs="Arial"/>
                <w:sz w:val="20"/>
              </w:rPr>
              <w:t xml:space="preserve"> clinical outcomes.”</w:t>
            </w:r>
          </w:p>
          <w:p w14:paraId="7BB058F7" w14:textId="77777777" w:rsidR="0008114B" w:rsidRPr="00A573DE" w:rsidRDefault="0008114B" w:rsidP="0008114B">
            <w:pPr>
              <w:widowControl w:val="0"/>
              <w:rPr>
                <w:rFonts w:cs="Arial"/>
                <w:sz w:val="20"/>
              </w:rPr>
            </w:pPr>
            <w:r w:rsidRPr="00A573DE">
              <w:rPr>
                <w:rFonts w:cs="Arial"/>
                <w:b/>
                <w:bCs/>
                <w:color w:val="242424"/>
                <w:sz w:val="20"/>
                <w:lang w:eastAsia="en-GB"/>
              </w:rPr>
              <w:t>Clinical advisors noted to EEPRU in the assessment that “</w:t>
            </w:r>
            <w:r w:rsidRPr="00A573DE">
              <w:rPr>
                <w:rFonts w:cs="Arial"/>
                <w:b/>
                <w:bCs/>
                <w:i/>
                <w:iCs/>
                <w:color w:val="242424"/>
                <w:sz w:val="20"/>
                <w:lang w:eastAsia="en-GB"/>
              </w:rPr>
              <w:t>in vitro</w:t>
            </w:r>
            <w:r w:rsidRPr="00A573DE">
              <w:rPr>
                <w:rFonts w:cs="Arial"/>
                <w:b/>
                <w:bCs/>
                <w:color w:val="242424"/>
                <w:sz w:val="20"/>
                <w:lang w:eastAsia="en-GB"/>
              </w:rPr>
              <w:t xml:space="preserve"> susceptibility to meropenem in particular does not always indicate how well a patient will respond to this treatment in clinical practice.” In line with this advice, the difference in the treatment effectiveness for the Pfizer model was informed by clinical trial data and </w:t>
            </w:r>
            <w:r w:rsidRPr="006D3CF8">
              <w:rPr>
                <w:rFonts w:cs="Arial"/>
                <w:b/>
                <w:bCs/>
                <w:i/>
                <w:iCs/>
                <w:color w:val="242424"/>
                <w:sz w:val="20"/>
                <w:lang w:eastAsia="en-GB"/>
              </w:rPr>
              <w:t>in vivo</w:t>
            </w:r>
            <w:r w:rsidRPr="00A573DE">
              <w:rPr>
                <w:rFonts w:cs="Arial"/>
                <w:b/>
                <w:bCs/>
                <w:color w:val="242424"/>
                <w:sz w:val="20"/>
                <w:lang w:eastAsia="en-GB"/>
              </w:rPr>
              <w:t xml:space="preserve"> evidence from the published literature.</w:t>
            </w:r>
          </w:p>
        </w:tc>
      </w:tr>
      <w:tr w:rsidR="0008114B" w:rsidRPr="00A573DE" w14:paraId="2882D3D4" w14:textId="77777777" w:rsidTr="00A5430D">
        <w:tc>
          <w:tcPr>
            <w:tcW w:w="345" w:type="pct"/>
          </w:tcPr>
          <w:p w14:paraId="5C10360A" w14:textId="77777777" w:rsidR="0008114B" w:rsidRPr="00A573DE" w:rsidRDefault="0008114B" w:rsidP="0008114B">
            <w:pPr>
              <w:widowControl w:val="0"/>
              <w:jc w:val="center"/>
              <w:rPr>
                <w:rFonts w:cs="Arial"/>
                <w:sz w:val="20"/>
              </w:rPr>
            </w:pPr>
            <w:r>
              <w:rPr>
                <w:rFonts w:cs="Arial"/>
                <w:sz w:val="20"/>
              </w:rPr>
              <w:t>10</w:t>
            </w:r>
          </w:p>
        </w:tc>
        <w:tc>
          <w:tcPr>
            <w:tcW w:w="417" w:type="pct"/>
          </w:tcPr>
          <w:p w14:paraId="74F6093A" w14:textId="77777777" w:rsidR="0008114B" w:rsidRPr="00A573DE" w:rsidRDefault="0008114B" w:rsidP="0008114B">
            <w:pPr>
              <w:widowControl w:val="0"/>
              <w:rPr>
                <w:rFonts w:cs="Arial"/>
                <w:sz w:val="20"/>
              </w:rPr>
            </w:pPr>
            <w:r w:rsidRPr="00A573DE">
              <w:rPr>
                <w:rFonts w:cs="Arial"/>
                <w:sz w:val="20"/>
              </w:rPr>
              <w:t>158</w:t>
            </w:r>
          </w:p>
        </w:tc>
        <w:tc>
          <w:tcPr>
            <w:tcW w:w="695" w:type="pct"/>
          </w:tcPr>
          <w:p w14:paraId="1DCCEFFB" w14:textId="77777777" w:rsidR="0008114B" w:rsidRPr="00A573DE" w:rsidRDefault="0008114B" w:rsidP="0008114B">
            <w:pPr>
              <w:widowControl w:val="0"/>
              <w:rPr>
                <w:rFonts w:cs="Arial"/>
                <w:sz w:val="20"/>
              </w:rPr>
            </w:pPr>
            <w:r w:rsidRPr="00A573DE">
              <w:rPr>
                <w:rFonts w:cs="Arial"/>
                <w:sz w:val="20"/>
              </w:rPr>
              <w:t>8.1.1</w:t>
            </w:r>
          </w:p>
        </w:tc>
        <w:tc>
          <w:tcPr>
            <w:tcW w:w="1227" w:type="pct"/>
          </w:tcPr>
          <w:p w14:paraId="5A1F380A" w14:textId="77777777" w:rsidR="0008114B" w:rsidRPr="00A573DE" w:rsidRDefault="0008114B" w:rsidP="0008114B">
            <w:pPr>
              <w:widowControl w:val="0"/>
              <w:rPr>
                <w:rFonts w:cs="Arial"/>
                <w:sz w:val="20"/>
              </w:rPr>
            </w:pPr>
            <w:r w:rsidRPr="00A573DE">
              <w:rPr>
                <w:rFonts w:cs="Arial"/>
                <w:sz w:val="20"/>
              </w:rPr>
              <w:t xml:space="preserve">“In the average ES patient suspected of having OXA-48 </w:t>
            </w:r>
            <w:proofErr w:type="spellStart"/>
            <w:r w:rsidRPr="00A573DE">
              <w:rPr>
                <w:rFonts w:cs="Arial"/>
                <w:i/>
                <w:iCs/>
                <w:sz w:val="20"/>
              </w:rPr>
              <w:t>Enterobacterales</w:t>
            </w:r>
            <w:proofErr w:type="spellEnd"/>
            <w:r w:rsidRPr="00A573DE">
              <w:rPr>
                <w:rFonts w:cs="Arial"/>
                <w:sz w:val="20"/>
              </w:rPr>
              <w:t>, use of CAZ-AVI in the ES is associated with a per patient INHE gain of 0.19 QALYs […].”</w:t>
            </w:r>
          </w:p>
        </w:tc>
        <w:tc>
          <w:tcPr>
            <w:tcW w:w="2316" w:type="pct"/>
            <w:vMerge w:val="restart"/>
          </w:tcPr>
          <w:p w14:paraId="7AB5B8E3" w14:textId="77777777" w:rsidR="0008114B" w:rsidRPr="00A573DE" w:rsidRDefault="0008114B" w:rsidP="0008114B">
            <w:pPr>
              <w:widowControl w:val="0"/>
              <w:rPr>
                <w:rFonts w:cs="Arial"/>
                <w:b/>
                <w:bCs/>
                <w:sz w:val="20"/>
                <w:szCs w:val="18"/>
              </w:rPr>
            </w:pPr>
            <w:r w:rsidRPr="00A573DE">
              <w:rPr>
                <w:b/>
                <w:bCs/>
                <w:sz w:val="20"/>
                <w:szCs w:val="18"/>
                <w:lang w:eastAsia="en-GB"/>
              </w:rPr>
              <w:t xml:space="preserve">The Pfizer model looked at lifetime QALY gains </w:t>
            </w:r>
            <w:proofErr w:type="gramStart"/>
            <w:r w:rsidRPr="00A573DE">
              <w:rPr>
                <w:b/>
                <w:bCs/>
                <w:sz w:val="20"/>
                <w:szCs w:val="18"/>
                <w:lang w:eastAsia="en-GB"/>
              </w:rPr>
              <w:t>as a result of</w:t>
            </w:r>
            <w:proofErr w:type="gramEnd"/>
            <w:r w:rsidRPr="00A573DE">
              <w:rPr>
                <w:b/>
                <w:bCs/>
                <w:sz w:val="20"/>
                <w:szCs w:val="18"/>
                <w:lang w:eastAsia="en-GB"/>
              </w:rPr>
              <w:t xml:space="preserve"> successful versus unsuccessful treatment of infection over a 10-year transmission horizon. As unsuccessful treatment of infection would </w:t>
            </w:r>
            <w:r>
              <w:rPr>
                <w:b/>
                <w:bCs/>
                <w:sz w:val="20"/>
                <w:szCs w:val="18"/>
                <w:lang w:eastAsia="en-GB"/>
              </w:rPr>
              <w:t xml:space="preserve">frequently </w:t>
            </w:r>
            <w:r w:rsidRPr="00A573DE">
              <w:rPr>
                <w:b/>
                <w:bCs/>
                <w:sz w:val="20"/>
                <w:szCs w:val="18"/>
                <w:lang w:eastAsia="en-GB"/>
              </w:rPr>
              <w:t>result in death, a QALY gain of 0.1-0.2 may not fully reflect the benefits for scenarios where fewer people have unsuccessful treatment.</w:t>
            </w:r>
            <w:r>
              <w:rPr>
                <w:b/>
                <w:bCs/>
                <w:sz w:val="20"/>
                <w:szCs w:val="18"/>
                <w:lang w:eastAsia="en-GB"/>
              </w:rPr>
              <w:t xml:space="preserve"> Further information is provided as </w:t>
            </w:r>
            <w:r>
              <w:rPr>
                <w:b/>
                <w:bCs/>
                <w:sz w:val="20"/>
                <w:szCs w:val="18"/>
                <w:lang w:eastAsia="en-GB"/>
              </w:rPr>
              <w:fldChar w:fldCharType="begin"/>
            </w:r>
            <w:r>
              <w:rPr>
                <w:b/>
                <w:bCs/>
                <w:sz w:val="20"/>
                <w:szCs w:val="18"/>
                <w:lang w:eastAsia="en-GB"/>
              </w:rPr>
              <w:instrText xml:space="preserve"> REF _Ref90129492 \r \h  \* MERGEFORMAT </w:instrText>
            </w:r>
            <w:r>
              <w:rPr>
                <w:b/>
                <w:bCs/>
                <w:sz w:val="20"/>
                <w:szCs w:val="18"/>
                <w:lang w:eastAsia="en-GB"/>
              </w:rPr>
            </w:r>
            <w:r>
              <w:rPr>
                <w:b/>
                <w:bCs/>
                <w:sz w:val="20"/>
                <w:szCs w:val="18"/>
                <w:lang w:eastAsia="en-GB"/>
              </w:rPr>
              <w:fldChar w:fldCharType="separate"/>
            </w:r>
            <w:r>
              <w:rPr>
                <w:b/>
                <w:bCs/>
                <w:sz w:val="20"/>
                <w:szCs w:val="18"/>
                <w:lang w:eastAsia="en-GB"/>
              </w:rPr>
              <w:t>Issue 3</w:t>
            </w:r>
            <w:r>
              <w:rPr>
                <w:b/>
                <w:bCs/>
                <w:sz w:val="20"/>
                <w:szCs w:val="18"/>
                <w:lang w:eastAsia="en-GB"/>
              </w:rPr>
              <w:fldChar w:fldCharType="end"/>
            </w:r>
            <w:r>
              <w:rPr>
                <w:b/>
                <w:bCs/>
                <w:sz w:val="20"/>
                <w:szCs w:val="18"/>
                <w:lang w:eastAsia="en-GB"/>
              </w:rPr>
              <w:t>.</w:t>
            </w:r>
          </w:p>
        </w:tc>
      </w:tr>
      <w:tr w:rsidR="0008114B" w:rsidRPr="00A573DE" w14:paraId="699235A0" w14:textId="77777777" w:rsidTr="00A5430D">
        <w:tc>
          <w:tcPr>
            <w:tcW w:w="345" w:type="pct"/>
          </w:tcPr>
          <w:p w14:paraId="3E052D21" w14:textId="77777777" w:rsidR="0008114B" w:rsidRPr="00A573DE" w:rsidRDefault="0008114B" w:rsidP="0008114B">
            <w:pPr>
              <w:widowControl w:val="0"/>
              <w:jc w:val="center"/>
              <w:rPr>
                <w:rFonts w:cs="Arial"/>
                <w:sz w:val="20"/>
              </w:rPr>
            </w:pPr>
            <w:r>
              <w:rPr>
                <w:rFonts w:cs="Arial"/>
                <w:sz w:val="20"/>
              </w:rPr>
              <w:t>11</w:t>
            </w:r>
          </w:p>
        </w:tc>
        <w:tc>
          <w:tcPr>
            <w:tcW w:w="417" w:type="pct"/>
          </w:tcPr>
          <w:p w14:paraId="67A11EE8" w14:textId="77777777" w:rsidR="0008114B" w:rsidRPr="00A573DE" w:rsidRDefault="0008114B" w:rsidP="0008114B">
            <w:pPr>
              <w:widowControl w:val="0"/>
              <w:rPr>
                <w:rFonts w:cs="Arial"/>
                <w:sz w:val="20"/>
              </w:rPr>
            </w:pPr>
            <w:r w:rsidRPr="00A573DE">
              <w:rPr>
                <w:rFonts w:cs="Arial"/>
                <w:sz w:val="20"/>
              </w:rPr>
              <w:t>163</w:t>
            </w:r>
          </w:p>
        </w:tc>
        <w:tc>
          <w:tcPr>
            <w:tcW w:w="695" w:type="pct"/>
          </w:tcPr>
          <w:p w14:paraId="2B2B94E8" w14:textId="77777777" w:rsidR="0008114B" w:rsidRPr="00A573DE" w:rsidRDefault="0008114B" w:rsidP="0008114B">
            <w:pPr>
              <w:widowControl w:val="0"/>
              <w:rPr>
                <w:rFonts w:cs="Arial"/>
                <w:sz w:val="20"/>
              </w:rPr>
            </w:pPr>
            <w:r w:rsidRPr="00A573DE">
              <w:rPr>
                <w:rFonts w:cs="Arial"/>
                <w:sz w:val="20"/>
              </w:rPr>
              <w:t>8.1.2</w:t>
            </w:r>
          </w:p>
        </w:tc>
        <w:tc>
          <w:tcPr>
            <w:tcW w:w="1227" w:type="pct"/>
          </w:tcPr>
          <w:p w14:paraId="41FC4DF7" w14:textId="77777777" w:rsidR="0008114B" w:rsidRPr="00A573DE" w:rsidRDefault="0008114B" w:rsidP="0008114B">
            <w:pPr>
              <w:widowControl w:val="0"/>
              <w:rPr>
                <w:rFonts w:cs="Arial"/>
                <w:sz w:val="20"/>
              </w:rPr>
            </w:pPr>
            <w:r w:rsidRPr="00A573DE">
              <w:rPr>
                <w:rFonts w:cs="Arial"/>
                <w:sz w:val="20"/>
              </w:rPr>
              <w:t xml:space="preserve">“Overall, the per patient INHE associated with using CAZ-AVI in the MDS are 0.06 QALYs for HAP/VAP and 0.05 QALYs for </w:t>
            </w:r>
            <w:proofErr w:type="spellStart"/>
            <w:r w:rsidRPr="00A573DE">
              <w:rPr>
                <w:rFonts w:cs="Arial"/>
                <w:sz w:val="20"/>
              </w:rPr>
              <w:t>cUTI</w:t>
            </w:r>
            <w:proofErr w:type="spellEnd"/>
            <w:r w:rsidRPr="00A573DE">
              <w:rPr>
                <w:rFonts w:cs="Arial"/>
                <w:sz w:val="20"/>
              </w:rPr>
              <w:t>.”</w:t>
            </w:r>
          </w:p>
        </w:tc>
        <w:tc>
          <w:tcPr>
            <w:tcW w:w="2316" w:type="pct"/>
            <w:vMerge/>
          </w:tcPr>
          <w:p w14:paraId="0747D3BA" w14:textId="77777777" w:rsidR="0008114B" w:rsidRPr="00A573DE" w:rsidRDefault="0008114B" w:rsidP="0008114B">
            <w:pPr>
              <w:widowControl w:val="0"/>
              <w:rPr>
                <w:rFonts w:cs="Arial"/>
                <w:sz w:val="20"/>
              </w:rPr>
            </w:pPr>
          </w:p>
        </w:tc>
      </w:tr>
      <w:tr w:rsidR="00A5430D" w:rsidRPr="00A573DE" w14:paraId="4F3894BF" w14:textId="77777777" w:rsidTr="00A5430D">
        <w:tc>
          <w:tcPr>
            <w:tcW w:w="345" w:type="pct"/>
          </w:tcPr>
          <w:p w14:paraId="5AA819D5" w14:textId="684E8D4F" w:rsidR="00A5430D" w:rsidRPr="00A573DE" w:rsidRDefault="00A5430D" w:rsidP="0008114B">
            <w:pPr>
              <w:widowControl w:val="0"/>
              <w:rPr>
                <w:rFonts w:cs="Arial"/>
                <w:sz w:val="20"/>
              </w:rPr>
            </w:pPr>
          </w:p>
        </w:tc>
        <w:tc>
          <w:tcPr>
            <w:tcW w:w="417" w:type="pct"/>
          </w:tcPr>
          <w:p w14:paraId="7DF3D5B8" w14:textId="77777777" w:rsidR="00A5430D" w:rsidRPr="00A573DE" w:rsidRDefault="00A5430D" w:rsidP="0008114B">
            <w:pPr>
              <w:widowControl w:val="0"/>
              <w:rPr>
                <w:rFonts w:cs="Arial"/>
                <w:sz w:val="20"/>
              </w:rPr>
            </w:pPr>
          </w:p>
        </w:tc>
        <w:tc>
          <w:tcPr>
            <w:tcW w:w="695" w:type="pct"/>
          </w:tcPr>
          <w:p w14:paraId="0E5AEFC7" w14:textId="77777777" w:rsidR="00A5430D" w:rsidRPr="00A573DE" w:rsidRDefault="00A5430D" w:rsidP="0008114B">
            <w:pPr>
              <w:widowControl w:val="0"/>
              <w:rPr>
                <w:rFonts w:cs="Arial"/>
                <w:sz w:val="20"/>
              </w:rPr>
            </w:pPr>
          </w:p>
        </w:tc>
        <w:tc>
          <w:tcPr>
            <w:tcW w:w="3543" w:type="pct"/>
            <w:gridSpan w:val="2"/>
          </w:tcPr>
          <w:p w14:paraId="292017AA" w14:textId="288FF527" w:rsidR="00A5430D" w:rsidRPr="00A573DE" w:rsidRDefault="00A5430D" w:rsidP="0008114B">
            <w:pPr>
              <w:widowControl w:val="0"/>
              <w:rPr>
                <w:rFonts w:cs="Arial"/>
                <w:sz w:val="20"/>
              </w:rPr>
            </w:pPr>
            <w:r w:rsidRPr="00A573DE">
              <w:rPr>
                <w:rFonts w:cs="Arial"/>
                <w:b/>
                <w:bCs/>
                <w:sz w:val="20"/>
              </w:rPr>
              <w:t xml:space="preserve">Key drivers of benefit – treatment efficacy and resistance (see </w:t>
            </w:r>
            <w:r>
              <w:rPr>
                <w:rFonts w:cs="Arial"/>
                <w:b/>
                <w:bCs/>
                <w:sz w:val="20"/>
              </w:rPr>
              <w:fldChar w:fldCharType="begin"/>
            </w:r>
            <w:r>
              <w:rPr>
                <w:rFonts w:cs="Arial"/>
                <w:b/>
                <w:bCs/>
                <w:sz w:val="20"/>
              </w:rPr>
              <w:instrText xml:space="preserve"> REF _Ref90129492 \r \h </w:instrText>
            </w:r>
            <w:r>
              <w:rPr>
                <w:rFonts w:cs="Arial"/>
                <w:b/>
                <w:bCs/>
                <w:sz w:val="20"/>
              </w:rPr>
            </w:r>
            <w:r>
              <w:rPr>
                <w:rFonts w:cs="Arial"/>
                <w:b/>
                <w:bCs/>
                <w:sz w:val="20"/>
              </w:rPr>
              <w:instrText xml:space="preserve"> \* MERGEFORMAT </w:instrText>
            </w:r>
            <w:r>
              <w:rPr>
                <w:rFonts w:cs="Arial"/>
                <w:b/>
                <w:bCs/>
                <w:sz w:val="20"/>
              </w:rPr>
              <w:fldChar w:fldCharType="separate"/>
            </w:r>
            <w:r>
              <w:rPr>
                <w:rFonts w:cs="Arial"/>
                <w:b/>
                <w:bCs/>
                <w:sz w:val="20"/>
              </w:rPr>
              <w:t>Issue 2</w:t>
            </w:r>
            <w:r>
              <w:rPr>
                <w:rFonts w:cs="Arial"/>
                <w:b/>
                <w:bCs/>
                <w:sz w:val="20"/>
              </w:rPr>
              <w:fldChar w:fldCharType="end"/>
            </w:r>
            <w:r>
              <w:rPr>
                <w:rFonts w:cs="Arial"/>
                <w:b/>
                <w:bCs/>
                <w:sz w:val="20"/>
              </w:rPr>
              <w:t xml:space="preserve"> </w:t>
            </w:r>
            <w:r w:rsidRPr="00A573DE">
              <w:rPr>
                <w:rFonts w:cs="Arial"/>
                <w:b/>
                <w:bCs/>
                <w:sz w:val="20"/>
              </w:rPr>
              <w:t>for further clarification)</w:t>
            </w:r>
          </w:p>
        </w:tc>
      </w:tr>
      <w:tr w:rsidR="00A5430D" w:rsidRPr="00A573DE" w14:paraId="38BE6FE6" w14:textId="77777777" w:rsidTr="00A5430D">
        <w:tc>
          <w:tcPr>
            <w:tcW w:w="345" w:type="pct"/>
          </w:tcPr>
          <w:p w14:paraId="48AF41DF" w14:textId="77777777" w:rsidR="0008114B" w:rsidRPr="00A573DE" w:rsidRDefault="0008114B" w:rsidP="0008114B">
            <w:pPr>
              <w:widowControl w:val="0"/>
              <w:jc w:val="center"/>
              <w:rPr>
                <w:rFonts w:cs="Arial"/>
                <w:sz w:val="20"/>
              </w:rPr>
            </w:pPr>
            <w:r>
              <w:rPr>
                <w:rFonts w:cs="Arial"/>
                <w:sz w:val="20"/>
              </w:rPr>
              <w:t>12</w:t>
            </w:r>
          </w:p>
        </w:tc>
        <w:tc>
          <w:tcPr>
            <w:tcW w:w="417" w:type="pct"/>
          </w:tcPr>
          <w:p w14:paraId="067EE3BA" w14:textId="77777777" w:rsidR="0008114B" w:rsidRPr="00A573DE" w:rsidRDefault="0008114B" w:rsidP="0008114B">
            <w:pPr>
              <w:widowControl w:val="0"/>
              <w:rPr>
                <w:rFonts w:cs="Arial"/>
                <w:sz w:val="20"/>
              </w:rPr>
            </w:pPr>
            <w:r w:rsidRPr="00A573DE">
              <w:rPr>
                <w:rFonts w:cs="Arial"/>
                <w:sz w:val="20"/>
              </w:rPr>
              <w:t>9</w:t>
            </w:r>
          </w:p>
        </w:tc>
        <w:tc>
          <w:tcPr>
            <w:tcW w:w="695" w:type="pct"/>
          </w:tcPr>
          <w:p w14:paraId="4CF316A2" w14:textId="77777777" w:rsidR="0008114B" w:rsidRPr="00A573DE" w:rsidRDefault="0008114B" w:rsidP="0008114B">
            <w:pPr>
              <w:widowControl w:val="0"/>
              <w:rPr>
                <w:rFonts w:cs="Arial"/>
                <w:sz w:val="20"/>
              </w:rPr>
            </w:pPr>
            <w:r w:rsidRPr="00A573DE">
              <w:rPr>
                <w:rFonts w:cs="Arial"/>
                <w:sz w:val="20"/>
              </w:rPr>
              <w:t>As above</w:t>
            </w:r>
          </w:p>
        </w:tc>
        <w:tc>
          <w:tcPr>
            <w:tcW w:w="3543" w:type="pct"/>
            <w:gridSpan w:val="2"/>
          </w:tcPr>
          <w:p w14:paraId="24B82A4E" w14:textId="77777777" w:rsidR="0008114B" w:rsidRPr="00A573DE" w:rsidRDefault="0008114B" w:rsidP="0008114B">
            <w:pPr>
              <w:widowControl w:val="0"/>
              <w:rPr>
                <w:rFonts w:cs="Arial"/>
                <w:sz w:val="20"/>
              </w:rPr>
            </w:pPr>
            <w:r w:rsidRPr="00A573DE">
              <w:rPr>
                <w:rFonts w:cs="Arial"/>
                <w:sz w:val="20"/>
              </w:rPr>
              <w:t xml:space="preserve">“In the model, CAZ-AVI is associated with similar efficacy to comparator AMs </w:t>
            </w:r>
            <w:r w:rsidRPr="00A573DE">
              <w:rPr>
                <w:rFonts w:cs="Arial"/>
                <w:sz w:val="20"/>
              </w:rPr>
              <w:lastRenderedPageBreak/>
              <w:t>and Pfizer has not provided account of the processes driving the large health benefits estimated in the model.”</w:t>
            </w:r>
          </w:p>
          <w:p w14:paraId="483BC9ED" w14:textId="77777777" w:rsidR="0008114B" w:rsidRPr="00A573DE" w:rsidRDefault="0008114B" w:rsidP="0008114B">
            <w:pPr>
              <w:widowControl w:val="0"/>
              <w:rPr>
                <w:rFonts w:cs="Arial"/>
                <w:sz w:val="20"/>
              </w:rPr>
            </w:pPr>
            <w:r w:rsidRPr="00A573DE">
              <w:rPr>
                <w:rFonts w:cs="Arial"/>
                <w:b/>
                <w:bCs/>
                <w:sz w:val="20"/>
              </w:rPr>
              <w:t xml:space="preserve">The key driver of the model outcomes is the treatment efficacy, as successful treatment directly impacts the loss of life years over a lifetime through the treatment decision tree component of the model. These drivers are shown in the deterministic scenario analysis presented in the company submission (see p.192 – 194 in Document A). </w:t>
            </w:r>
          </w:p>
        </w:tc>
      </w:tr>
      <w:tr w:rsidR="00A5430D" w:rsidRPr="00A573DE" w14:paraId="2F6296B4" w14:textId="77777777" w:rsidTr="00A5430D">
        <w:tc>
          <w:tcPr>
            <w:tcW w:w="345" w:type="pct"/>
          </w:tcPr>
          <w:p w14:paraId="7CD7AC7C" w14:textId="77777777" w:rsidR="0008114B" w:rsidRPr="00A573DE" w:rsidRDefault="0008114B" w:rsidP="0008114B">
            <w:pPr>
              <w:widowControl w:val="0"/>
              <w:jc w:val="center"/>
              <w:rPr>
                <w:rFonts w:cs="Arial"/>
                <w:sz w:val="20"/>
              </w:rPr>
            </w:pPr>
            <w:r>
              <w:rPr>
                <w:rFonts w:cs="Arial"/>
                <w:sz w:val="20"/>
              </w:rPr>
              <w:lastRenderedPageBreak/>
              <w:t>13</w:t>
            </w:r>
          </w:p>
        </w:tc>
        <w:tc>
          <w:tcPr>
            <w:tcW w:w="417" w:type="pct"/>
          </w:tcPr>
          <w:p w14:paraId="7900FA65" w14:textId="77777777" w:rsidR="0008114B" w:rsidRPr="00A573DE" w:rsidRDefault="0008114B" w:rsidP="0008114B">
            <w:pPr>
              <w:widowControl w:val="0"/>
              <w:rPr>
                <w:rFonts w:cs="Arial"/>
                <w:sz w:val="20"/>
              </w:rPr>
            </w:pPr>
            <w:r w:rsidRPr="00A573DE">
              <w:rPr>
                <w:rFonts w:cs="Arial"/>
                <w:sz w:val="20"/>
              </w:rPr>
              <w:t>89</w:t>
            </w:r>
          </w:p>
        </w:tc>
        <w:tc>
          <w:tcPr>
            <w:tcW w:w="695" w:type="pct"/>
          </w:tcPr>
          <w:p w14:paraId="3592DD84" w14:textId="77777777" w:rsidR="0008114B" w:rsidRPr="00A573DE" w:rsidRDefault="0008114B" w:rsidP="0008114B">
            <w:pPr>
              <w:widowControl w:val="0"/>
              <w:rPr>
                <w:rFonts w:cs="Arial"/>
                <w:sz w:val="20"/>
              </w:rPr>
            </w:pPr>
            <w:r w:rsidRPr="00A573DE">
              <w:rPr>
                <w:rFonts w:cs="Arial"/>
                <w:sz w:val="20"/>
              </w:rPr>
              <w:t>6.1.5</w:t>
            </w:r>
          </w:p>
        </w:tc>
        <w:tc>
          <w:tcPr>
            <w:tcW w:w="3543" w:type="pct"/>
            <w:gridSpan w:val="2"/>
          </w:tcPr>
          <w:p w14:paraId="5E48EF49" w14:textId="77777777" w:rsidR="0008114B" w:rsidRPr="00A573DE" w:rsidRDefault="0008114B" w:rsidP="0008114B">
            <w:pPr>
              <w:widowControl w:val="0"/>
              <w:rPr>
                <w:rFonts w:cs="Arial"/>
                <w:sz w:val="20"/>
              </w:rPr>
            </w:pPr>
            <w:r w:rsidRPr="00A573DE">
              <w:rPr>
                <w:rFonts w:cs="Arial"/>
                <w:sz w:val="20"/>
              </w:rPr>
              <w:t>“[…] there was a lack of transparency on the processes that are driving the economic results.”</w:t>
            </w:r>
          </w:p>
          <w:p w14:paraId="2F10B7A9" w14:textId="77777777" w:rsidR="0008114B" w:rsidRPr="00A573DE" w:rsidRDefault="0008114B" w:rsidP="0008114B">
            <w:pPr>
              <w:widowControl w:val="0"/>
              <w:rPr>
                <w:rFonts w:cs="Arial"/>
                <w:sz w:val="20"/>
              </w:rPr>
            </w:pPr>
            <w:r w:rsidRPr="00A573DE">
              <w:rPr>
                <w:rFonts w:cs="Arial"/>
                <w:b/>
                <w:bCs/>
                <w:sz w:val="20"/>
              </w:rPr>
              <w:t xml:space="preserve">As stated above, the key driver of the model outcomes is the treatment efficacy. Further, it should be noted that this model has been peer-reviewed and published, including several validation exercises to verify the accuracy of projections for resistance development. </w:t>
            </w:r>
            <w:r>
              <w:rPr>
                <w:rFonts w:cs="Arial"/>
                <w:b/>
                <w:bCs/>
                <w:sz w:val="20"/>
              </w:rPr>
              <w:t>The submission was kept concise, with the additional sharing of a technical report, and reference to the peer reviewed publication which provided further details.</w:t>
            </w:r>
          </w:p>
        </w:tc>
      </w:tr>
      <w:tr w:rsidR="00A5430D" w:rsidRPr="00A573DE" w14:paraId="44E62591" w14:textId="77777777" w:rsidTr="00A5430D">
        <w:tc>
          <w:tcPr>
            <w:tcW w:w="345" w:type="pct"/>
          </w:tcPr>
          <w:p w14:paraId="220CD939" w14:textId="753BA8CF" w:rsidR="00A5430D" w:rsidRPr="00A573DE" w:rsidRDefault="00A5430D" w:rsidP="0008114B">
            <w:pPr>
              <w:widowControl w:val="0"/>
              <w:rPr>
                <w:rFonts w:cs="Arial"/>
                <w:b/>
                <w:bCs/>
                <w:sz w:val="20"/>
              </w:rPr>
            </w:pPr>
          </w:p>
        </w:tc>
        <w:tc>
          <w:tcPr>
            <w:tcW w:w="417" w:type="pct"/>
          </w:tcPr>
          <w:p w14:paraId="61F63041" w14:textId="77777777" w:rsidR="00A5430D" w:rsidRPr="00A573DE" w:rsidRDefault="00A5430D" w:rsidP="0008114B">
            <w:pPr>
              <w:widowControl w:val="0"/>
              <w:rPr>
                <w:rFonts w:cs="Arial"/>
                <w:b/>
                <w:bCs/>
                <w:sz w:val="20"/>
              </w:rPr>
            </w:pPr>
          </w:p>
        </w:tc>
        <w:tc>
          <w:tcPr>
            <w:tcW w:w="695" w:type="pct"/>
          </w:tcPr>
          <w:p w14:paraId="3CA61191" w14:textId="77777777" w:rsidR="00A5430D" w:rsidRPr="00A573DE" w:rsidRDefault="00A5430D" w:rsidP="0008114B">
            <w:pPr>
              <w:widowControl w:val="0"/>
              <w:rPr>
                <w:rFonts w:cs="Arial"/>
                <w:b/>
                <w:bCs/>
                <w:sz w:val="20"/>
              </w:rPr>
            </w:pPr>
          </w:p>
        </w:tc>
        <w:tc>
          <w:tcPr>
            <w:tcW w:w="3543" w:type="pct"/>
            <w:gridSpan w:val="2"/>
          </w:tcPr>
          <w:p w14:paraId="743C35BA" w14:textId="0CC7FD85" w:rsidR="00A5430D" w:rsidRPr="00A573DE" w:rsidRDefault="00A5430D" w:rsidP="0008114B">
            <w:pPr>
              <w:widowControl w:val="0"/>
              <w:rPr>
                <w:rFonts w:cs="Arial"/>
                <w:b/>
                <w:bCs/>
                <w:sz w:val="20"/>
              </w:rPr>
            </w:pPr>
            <w:r w:rsidRPr="00A573DE">
              <w:rPr>
                <w:rFonts w:cs="Arial"/>
                <w:b/>
                <w:bCs/>
                <w:sz w:val="20"/>
              </w:rPr>
              <w:t xml:space="preserve">Elements of value (see </w:t>
            </w:r>
            <w:r>
              <w:rPr>
                <w:rFonts w:cs="Arial"/>
                <w:b/>
                <w:bCs/>
                <w:sz w:val="20"/>
              </w:rPr>
              <w:fldChar w:fldCharType="begin"/>
            </w:r>
            <w:r>
              <w:rPr>
                <w:rFonts w:cs="Arial"/>
                <w:b/>
                <w:bCs/>
                <w:sz w:val="20"/>
              </w:rPr>
              <w:instrText xml:space="preserve"> REF _Ref90271453 \r \h </w:instrText>
            </w:r>
            <w:r>
              <w:rPr>
                <w:rFonts w:cs="Arial"/>
                <w:b/>
                <w:bCs/>
                <w:sz w:val="20"/>
              </w:rPr>
            </w:r>
            <w:r>
              <w:rPr>
                <w:rFonts w:cs="Arial"/>
                <w:b/>
                <w:bCs/>
                <w:sz w:val="20"/>
              </w:rPr>
              <w:fldChar w:fldCharType="separate"/>
            </w:r>
            <w:r>
              <w:rPr>
                <w:rFonts w:cs="Arial"/>
                <w:b/>
                <w:bCs/>
                <w:sz w:val="20"/>
              </w:rPr>
              <w:t>Issue 1</w:t>
            </w:r>
            <w:r>
              <w:rPr>
                <w:rFonts w:cs="Arial"/>
                <w:b/>
                <w:bCs/>
                <w:sz w:val="20"/>
              </w:rPr>
              <w:fldChar w:fldCharType="end"/>
            </w:r>
            <w:r>
              <w:rPr>
                <w:rFonts w:cs="Arial"/>
                <w:b/>
                <w:bCs/>
                <w:sz w:val="20"/>
              </w:rPr>
              <w:t xml:space="preserve"> </w:t>
            </w:r>
            <w:r w:rsidRPr="00A573DE">
              <w:rPr>
                <w:rFonts w:cs="Arial"/>
                <w:b/>
                <w:bCs/>
                <w:sz w:val="20"/>
              </w:rPr>
              <w:t>for further clarification)</w:t>
            </w:r>
          </w:p>
        </w:tc>
      </w:tr>
      <w:tr w:rsidR="00A5430D" w:rsidRPr="00A573DE" w14:paraId="533F45B1" w14:textId="77777777" w:rsidTr="00A5430D">
        <w:tc>
          <w:tcPr>
            <w:tcW w:w="345" w:type="pct"/>
          </w:tcPr>
          <w:p w14:paraId="4C3C1566" w14:textId="77777777" w:rsidR="0008114B" w:rsidRPr="00A573DE" w:rsidRDefault="0008114B" w:rsidP="0008114B">
            <w:pPr>
              <w:widowControl w:val="0"/>
              <w:jc w:val="center"/>
              <w:rPr>
                <w:rFonts w:cs="Arial"/>
                <w:sz w:val="20"/>
              </w:rPr>
            </w:pPr>
            <w:r>
              <w:rPr>
                <w:rFonts w:cs="Arial"/>
                <w:sz w:val="20"/>
              </w:rPr>
              <w:t>14</w:t>
            </w:r>
          </w:p>
        </w:tc>
        <w:tc>
          <w:tcPr>
            <w:tcW w:w="417" w:type="pct"/>
          </w:tcPr>
          <w:p w14:paraId="380DCF35" w14:textId="77777777" w:rsidR="0008114B" w:rsidRPr="00A573DE" w:rsidRDefault="0008114B" w:rsidP="0008114B">
            <w:pPr>
              <w:widowControl w:val="0"/>
              <w:rPr>
                <w:rFonts w:cs="Arial"/>
                <w:sz w:val="20"/>
              </w:rPr>
            </w:pPr>
            <w:r w:rsidRPr="00A573DE">
              <w:rPr>
                <w:rFonts w:cs="Arial"/>
                <w:sz w:val="20"/>
              </w:rPr>
              <w:t>177</w:t>
            </w:r>
          </w:p>
        </w:tc>
        <w:tc>
          <w:tcPr>
            <w:tcW w:w="695" w:type="pct"/>
          </w:tcPr>
          <w:p w14:paraId="04D30657" w14:textId="77777777" w:rsidR="0008114B" w:rsidRPr="00A573DE" w:rsidRDefault="0008114B" w:rsidP="0008114B">
            <w:pPr>
              <w:widowControl w:val="0"/>
              <w:rPr>
                <w:rFonts w:cs="Arial"/>
                <w:sz w:val="20"/>
              </w:rPr>
            </w:pPr>
            <w:r w:rsidRPr="00A573DE">
              <w:rPr>
                <w:rFonts w:cs="Arial"/>
                <w:sz w:val="20"/>
              </w:rPr>
              <w:t>8.3.2.4</w:t>
            </w:r>
          </w:p>
        </w:tc>
        <w:tc>
          <w:tcPr>
            <w:tcW w:w="3543" w:type="pct"/>
            <w:gridSpan w:val="2"/>
          </w:tcPr>
          <w:p w14:paraId="2EA6E22B" w14:textId="77777777" w:rsidR="0008114B" w:rsidRPr="00A573DE" w:rsidRDefault="0008114B" w:rsidP="0008114B">
            <w:pPr>
              <w:widowControl w:val="0"/>
              <w:rPr>
                <w:rFonts w:cs="Arial"/>
                <w:sz w:val="20"/>
              </w:rPr>
            </w:pPr>
            <w:r w:rsidRPr="00A573DE">
              <w:rPr>
                <w:rFonts w:cs="Arial"/>
                <w:sz w:val="20"/>
              </w:rPr>
              <w:t>“Our clinical advisors indicated that the direct of effect of introduction CAZ-AVI on transmission was uncertain, but that overall, the magnitude effect was expected to be small.”</w:t>
            </w:r>
            <w:r w:rsidRPr="00A573DE">
              <w:rPr>
                <w:rFonts w:cs="Arial"/>
                <w:sz w:val="20"/>
              </w:rPr>
              <w:br/>
            </w:r>
            <w:r w:rsidRPr="00A573DE">
              <w:rPr>
                <w:b/>
                <w:bCs/>
                <w:sz w:val="20"/>
                <w:szCs w:val="18"/>
              </w:rPr>
              <w:t>The Pfizer model was built on the EEPRU framework</w:t>
            </w:r>
            <w:r>
              <w:rPr>
                <w:b/>
                <w:bCs/>
                <w:sz w:val="20"/>
                <w:szCs w:val="18"/>
              </w:rPr>
              <w:fldChar w:fldCharType="begin"/>
            </w:r>
            <w:r>
              <w:rPr>
                <w:b/>
                <w:bCs/>
                <w:sz w:val="20"/>
                <w:szCs w:val="18"/>
              </w:rPr>
              <w:instrText xml:space="preserve"> ADDIN EN.CITE &lt;EndNote&gt;&lt;Cite&gt;&lt;Author&gt;EEPRU&lt;/Author&gt;&lt;Year&gt;2018&lt;/Year&gt;&lt;RecNum&gt;9&lt;/RecNum&gt;&lt;DisplayText&gt;&lt;style face="superscript"&gt;3&lt;/style&gt;&lt;/DisplayText&gt;&lt;record&gt;&lt;rec-number&gt;9&lt;/rec-number&gt;&lt;foreign-keys&gt;&lt;key app="EN" db-id="pd5s0xr0250t2qevxfgxpvwp5eaztd2pavxx" timestamp="1638893203"&gt;9&lt;/key&gt;&lt;/foreign-keys&gt;&lt;ref-type name="Web Page"&gt;12&lt;/ref-type&gt;&lt;contributors&gt;&lt;authors&gt;&lt;author&gt;EEPRU&lt;/author&gt;&lt;/authors&gt;&lt;/contributors&gt;&lt;titles&gt;&lt;title&gt;Framework for value assessment of new antimicrobials - Implications of alternative funding arrangements for NICE appraisals&lt;/title&gt;&lt;/titles&gt;&lt;dates&gt;&lt;year&gt;2018&lt;/year&gt;&lt;/dates&gt;&lt;urls&gt;&lt;related-urls&gt;&lt;url&gt;http://www.eepru.org.uk/wp-content/uploads/2017/11/eepru-report-amr-oct-2018-059.pdf&lt;/url&gt;&lt;/related-urls&gt;&lt;/urls&gt;&lt;/record&gt;&lt;/Cite&gt;&lt;/EndNote&gt;</w:instrText>
            </w:r>
            <w:r>
              <w:rPr>
                <w:b/>
                <w:bCs/>
                <w:sz w:val="20"/>
                <w:szCs w:val="18"/>
              </w:rPr>
              <w:fldChar w:fldCharType="separate"/>
            </w:r>
            <w:r w:rsidRPr="00B94641">
              <w:rPr>
                <w:b/>
                <w:bCs/>
                <w:noProof/>
                <w:sz w:val="20"/>
                <w:szCs w:val="18"/>
                <w:vertAlign w:val="superscript"/>
              </w:rPr>
              <w:t>3</w:t>
            </w:r>
            <w:r>
              <w:rPr>
                <w:b/>
                <w:bCs/>
                <w:sz w:val="20"/>
                <w:szCs w:val="18"/>
              </w:rPr>
              <w:fldChar w:fldCharType="end"/>
            </w:r>
            <w:r w:rsidRPr="00A573DE">
              <w:rPr>
                <w:b/>
                <w:bCs/>
                <w:sz w:val="20"/>
                <w:szCs w:val="18"/>
              </w:rPr>
              <w:t>, which clearly states that the economic model should include a component that can estimate the infection transmission dynamics and the associated resistance. Further, transmission value is a key objective in the development and introduction of novel antibiotics. Availability of these antibiotics increases the likelihood of successful treatment of infection, which inherently supports reductions in transmission, particularly in outbreak situations.</w:t>
            </w:r>
          </w:p>
        </w:tc>
      </w:tr>
      <w:tr w:rsidR="00A5430D" w:rsidRPr="00A573DE" w14:paraId="33638F48" w14:textId="77777777" w:rsidTr="00A5430D">
        <w:tc>
          <w:tcPr>
            <w:tcW w:w="345" w:type="pct"/>
          </w:tcPr>
          <w:p w14:paraId="3D616860" w14:textId="77777777" w:rsidR="0008114B" w:rsidRPr="00A573DE" w:rsidRDefault="0008114B" w:rsidP="0008114B">
            <w:pPr>
              <w:widowControl w:val="0"/>
              <w:jc w:val="center"/>
              <w:rPr>
                <w:rFonts w:cs="Arial"/>
                <w:sz w:val="20"/>
              </w:rPr>
            </w:pPr>
            <w:r>
              <w:rPr>
                <w:rFonts w:cs="Arial"/>
                <w:sz w:val="20"/>
              </w:rPr>
              <w:t>15</w:t>
            </w:r>
          </w:p>
        </w:tc>
        <w:tc>
          <w:tcPr>
            <w:tcW w:w="417" w:type="pct"/>
          </w:tcPr>
          <w:p w14:paraId="5CEDF2E1" w14:textId="77777777" w:rsidR="0008114B" w:rsidRPr="00A573DE" w:rsidRDefault="0008114B" w:rsidP="0008114B">
            <w:pPr>
              <w:widowControl w:val="0"/>
              <w:rPr>
                <w:rFonts w:cs="Arial"/>
                <w:sz w:val="20"/>
              </w:rPr>
            </w:pPr>
            <w:r w:rsidRPr="00A573DE">
              <w:rPr>
                <w:rFonts w:cs="Arial"/>
                <w:sz w:val="20"/>
              </w:rPr>
              <w:t>176</w:t>
            </w:r>
          </w:p>
        </w:tc>
        <w:tc>
          <w:tcPr>
            <w:tcW w:w="695" w:type="pct"/>
          </w:tcPr>
          <w:p w14:paraId="2F8B90EF" w14:textId="77777777" w:rsidR="0008114B" w:rsidRPr="00A573DE" w:rsidRDefault="0008114B" w:rsidP="0008114B">
            <w:pPr>
              <w:widowControl w:val="0"/>
              <w:rPr>
                <w:rFonts w:cs="Arial"/>
                <w:sz w:val="20"/>
              </w:rPr>
            </w:pPr>
            <w:r w:rsidRPr="00A573DE">
              <w:rPr>
                <w:rFonts w:cs="Arial"/>
                <w:sz w:val="20"/>
              </w:rPr>
              <w:t>8.3.2.2</w:t>
            </w:r>
          </w:p>
        </w:tc>
        <w:tc>
          <w:tcPr>
            <w:tcW w:w="3543" w:type="pct"/>
            <w:gridSpan w:val="2"/>
          </w:tcPr>
          <w:p w14:paraId="1843E995" w14:textId="77777777" w:rsidR="0008114B" w:rsidRPr="00A573DE" w:rsidRDefault="0008114B" w:rsidP="0008114B">
            <w:pPr>
              <w:widowControl w:val="0"/>
              <w:rPr>
                <w:rFonts w:cs="Arial"/>
                <w:sz w:val="20"/>
              </w:rPr>
            </w:pPr>
            <w:r w:rsidRPr="00A573DE">
              <w:rPr>
                <w:rFonts w:cs="Arial"/>
                <w:sz w:val="20"/>
              </w:rPr>
              <w:t>“[Our clinical advisors] were not supportive of the use of CAZ-AVI in broader populations as part of a diverse prescribing strategy […] and concerns that the evidence for diverse prescribing was uncertain.”</w:t>
            </w:r>
          </w:p>
          <w:p w14:paraId="0064BAEC" w14:textId="77777777" w:rsidR="0008114B" w:rsidRPr="00A573DE" w:rsidRDefault="0008114B" w:rsidP="0008114B">
            <w:pPr>
              <w:widowControl w:val="0"/>
              <w:rPr>
                <w:rFonts w:cs="Arial"/>
                <w:b/>
                <w:bCs/>
                <w:sz w:val="20"/>
              </w:rPr>
            </w:pPr>
            <w:r w:rsidRPr="00A573DE">
              <w:rPr>
                <w:b/>
                <w:bCs/>
                <w:sz w:val="20"/>
                <w:szCs w:val="18"/>
              </w:rPr>
              <w:t xml:space="preserve">The incorporation of diversification prolongs the efficacy of existing AMs by reducing selection pressure and minimising resistance development, and introducing a new AM increases the effectiveness of diversification. In the modelled base case analysis, the use of diversification saw resistance to the initial existing first-line treatment (piperacillin/tazobactam for </w:t>
            </w:r>
            <w:proofErr w:type="spellStart"/>
            <w:r w:rsidRPr="00A573DE">
              <w:rPr>
                <w:b/>
                <w:bCs/>
                <w:sz w:val="20"/>
                <w:szCs w:val="18"/>
              </w:rPr>
              <w:t>cUTI</w:t>
            </w:r>
            <w:proofErr w:type="spellEnd"/>
            <w:r w:rsidRPr="00A573DE">
              <w:rPr>
                <w:b/>
                <w:bCs/>
                <w:sz w:val="20"/>
                <w:szCs w:val="18"/>
              </w:rPr>
              <w:t xml:space="preserve"> and </w:t>
            </w:r>
            <w:proofErr w:type="spellStart"/>
            <w:r w:rsidRPr="00A573DE">
              <w:rPr>
                <w:b/>
                <w:bCs/>
                <w:sz w:val="20"/>
                <w:szCs w:val="18"/>
              </w:rPr>
              <w:t>cIAI</w:t>
            </w:r>
            <w:proofErr w:type="spellEnd"/>
            <w:r w:rsidRPr="00A573DE">
              <w:rPr>
                <w:b/>
                <w:bCs/>
                <w:sz w:val="20"/>
                <w:szCs w:val="18"/>
              </w:rPr>
              <w:t>, colistin for HAP/VAP) reduce by 9.2%.</w:t>
            </w:r>
          </w:p>
        </w:tc>
      </w:tr>
      <w:tr w:rsidR="00A5430D" w:rsidRPr="00A573DE" w14:paraId="7CAE97BD" w14:textId="77777777" w:rsidTr="00A5430D">
        <w:tc>
          <w:tcPr>
            <w:tcW w:w="345" w:type="pct"/>
          </w:tcPr>
          <w:p w14:paraId="2CCD7D13" w14:textId="10FBDD53" w:rsidR="00A5430D" w:rsidRPr="00A573DE" w:rsidRDefault="00A5430D" w:rsidP="0008114B">
            <w:pPr>
              <w:widowControl w:val="0"/>
              <w:rPr>
                <w:rFonts w:cs="Arial"/>
                <w:b/>
                <w:bCs/>
                <w:sz w:val="20"/>
              </w:rPr>
            </w:pPr>
          </w:p>
        </w:tc>
        <w:tc>
          <w:tcPr>
            <w:tcW w:w="417" w:type="pct"/>
          </w:tcPr>
          <w:p w14:paraId="62441226" w14:textId="77777777" w:rsidR="00A5430D" w:rsidRPr="00A573DE" w:rsidRDefault="00A5430D" w:rsidP="0008114B">
            <w:pPr>
              <w:widowControl w:val="0"/>
              <w:rPr>
                <w:rFonts w:cs="Arial"/>
                <w:b/>
                <w:bCs/>
                <w:sz w:val="20"/>
              </w:rPr>
            </w:pPr>
          </w:p>
        </w:tc>
        <w:tc>
          <w:tcPr>
            <w:tcW w:w="695" w:type="pct"/>
          </w:tcPr>
          <w:p w14:paraId="68792A3F" w14:textId="77777777" w:rsidR="00A5430D" w:rsidRPr="00A573DE" w:rsidRDefault="00A5430D" w:rsidP="0008114B">
            <w:pPr>
              <w:widowControl w:val="0"/>
              <w:rPr>
                <w:rFonts w:cs="Arial"/>
                <w:b/>
                <w:bCs/>
                <w:sz w:val="20"/>
              </w:rPr>
            </w:pPr>
          </w:p>
        </w:tc>
        <w:tc>
          <w:tcPr>
            <w:tcW w:w="3543" w:type="pct"/>
            <w:gridSpan w:val="2"/>
          </w:tcPr>
          <w:p w14:paraId="0D7C82B2" w14:textId="29666B0E" w:rsidR="00A5430D" w:rsidRPr="00A573DE" w:rsidRDefault="00A5430D" w:rsidP="0008114B">
            <w:pPr>
              <w:widowControl w:val="0"/>
              <w:rPr>
                <w:rFonts w:cs="Arial"/>
                <w:b/>
                <w:bCs/>
                <w:sz w:val="20"/>
              </w:rPr>
            </w:pPr>
            <w:r w:rsidRPr="00A573DE">
              <w:rPr>
                <w:rFonts w:cs="Arial"/>
                <w:b/>
                <w:bCs/>
                <w:sz w:val="20"/>
              </w:rPr>
              <w:t xml:space="preserve">Population and patient numbers (see </w:t>
            </w:r>
            <w:r>
              <w:rPr>
                <w:rFonts w:cs="Arial"/>
                <w:b/>
                <w:bCs/>
                <w:sz w:val="20"/>
              </w:rPr>
              <w:fldChar w:fldCharType="begin"/>
            </w:r>
            <w:r>
              <w:rPr>
                <w:rFonts w:cs="Arial"/>
                <w:b/>
                <w:bCs/>
                <w:sz w:val="20"/>
              </w:rPr>
              <w:instrText xml:space="preserve"> REF _Ref90121730 \r \h </w:instrText>
            </w:r>
            <w:r>
              <w:rPr>
                <w:rFonts w:cs="Arial"/>
                <w:b/>
                <w:bCs/>
                <w:sz w:val="20"/>
              </w:rPr>
            </w:r>
            <w:r>
              <w:rPr>
                <w:rFonts w:cs="Arial"/>
                <w:b/>
                <w:bCs/>
                <w:sz w:val="20"/>
              </w:rPr>
              <w:fldChar w:fldCharType="separate"/>
            </w:r>
            <w:r>
              <w:rPr>
                <w:rFonts w:cs="Arial"/>
                <w:b/>
                <w:bCs/>
                <w:sz w:val="20"/>
              </w:rPr>
              <w:t>Issue 4</w:t>
            </w:r>
            <w:r>
              <w:rPr>
                <w:rFonts w:cs="Arial"/>
                <w:b/>
                <w:bCs/>
                <w:sz w:val="20"/>
              </w:rPr>
              <w:fldChar w:fldCharType="end"/>
            </w:r>
            <w:r>
              <w:rPr>
                <w:rFonts w:cs="Arial"/>
                <w:b/>
                <w:bCs/>
                <w:sz w:val="20"/>
              </w:rPr>
              <w:t xml:space="preserve"> </w:t>
            </w:r>
            <w:r w:rsidRPr="00A573DE">
              <w:rPr>
                <w:rFonts w:cs="Arial"/>
                <w:b/>
                <w:bCs/>
                <w:sz w:val="20"/>
              </w:rPr>
              <w:t>for further clarification)</w:t>
            </w:r>
          </w:p>
        </w:tc>
      </w:tr>
      <w:tr w:rsidR="00A5430D" w:rsidRPr="00A573DE" w14:paraId="257B0DF2" w14:textId="77777777" w:rsidTr="00A5430D">
        <w:tc>
          <w:tcPr>
            <w:tcW w:w="345" w:type="pct"/>
          </w:tcPr>
          <w:p w14:paraId="51002CE3" w14:textId="77777777" w:rsidR="0008114B" w:rsidRPr="00A573DE" w:rsidRDefault="0008114B" w:rsidP="0008114B">
            <w:pPr>
              <w:widowControl w:val="0"/>
              <w:jc w:val="center"/>
              <w:rPr>
                <w:rFonts w:cs="Arial"/>
                <w:sz w:val="20"/>
              </w:rPr>
            </w:pPr>
            <w:r>
              <w:rPr>
                <w:rFonts w:cs="Arial"/>
                <w:sz w:val="20"/>
              </w:rPr>
              <w:t>16</w:t>
            </w:r>
          </w:p>
        </w:tc>
        <w:tc>
          <w:tcPr>
            <w:tcW w:w="417" w:type="pct"/>
          </w:tcPr>
          <w:p w14:paraId="0EC6EACB" w14:textId="77777777" w:rsidR="0008114B" w:rsidRPr="00A573DE" w:rsidRDefault="0008114B" w:rsidP="0008114B">
            <w:pPr>
              <w:widowControl w:val="0"/>
              <w:rPr>
                <w:rFonts w:cs="Arial"/>
                <w:sz w:val="20"/>
              </w:rPr>
            </w:pPr>
            <w:r w:rsidRPr="00A573DE">
              <w:rPr>
                <w:rFonts w:cs="Arial"/>
                <w:sz w:val="20"/>
              </w:rPr>
              <w:t>21</w:t>
            </w:r>
          </w:p>
        </w:tc>
        <w:tc>
          <w:tcPr>
            <w:tcW w:w="695" w:type="pct"/>
          </w:tcPr>
          <w:p w14:paraId="002A178F" w14:textId="77777777" w:rsidR="0008114B" w:rsidRPr="00A573DE" w:rsidRDefault="0008114B" w:rsidP="0008114B">
            <w:pPr>
              <w:widowControl w:val="0"/>
              <w:rPr>
                <w:rFonts w:cs="Arial"/>
                <w:sz w:val="20"/>
              </w:rPr>
            </w:pPr>
            <w:r w:rsidRPr="00A573DE">
              <w:rPr>
                <w:rFonts w:cs="Arial"/>
                <w:sz w:val="20"/>
              </w:rPr>
              <w:t>3.1</w:t>
            </w:r>
          </w:p>
        </w:tc>
        <w:tc>
          <w:tcPr>
            <w:tcW w:w="3543" w:type="pct"/>
            <w:gridSpan w:val="2"/>
          </w:tcPr>
          <w:p w14:paraId="69D68A0F" w14:textId="77777777" w:rsidR="0008114B" w:rsidRPr="00A573DE" w:rsidRDefault="0008114B" w:rsidP="0008114B">
            <w:pPr>
              <w:widowControl w:val="0"/>
              <w:rPr>
                <w:rFonts w:cs="Arial"/>
                <w:sz w:val="20"/>
              </w:rPr>
            </w:pPr>
            <w:r w:rsidRPr="00A573DE">
              <w:rPr>
                <w:rFonts w:cs="Arial"/>
                <w:sz w:val="20"/>
              </w:rPr>
              <w:t>“[…] CAZ-AVI is expected to be used in a more restricted group of patients than permitted by its license.”</w:t>
            </w:r>
          </w:p>
          <w:p w14:paraId="667B5BBB" w14:textId="77777777" w:rsidR="0008114B" w:rsidRPr="00A573DE" w:rsidRDefault="0008114B" w:rsidP="0008114B">
            <w:pPr>
              <w:widowControl w:val="0"/>
              <w:rPr>
                <w:rFonts w:cs="Arial"/>
                <w:sz w:val="20"/>
              </w:rPr>
            </w:pPr>
            <w:r w:rsidRPr="00A573DE">
              <w:rPr>
                <w:rFonts w:cs="Arial"/>
                <w:b/>
                <w:bCs/>
                <w:sz w:val="20"/>
              </w:rPr>
              <w:t xml:space="preserve">Real-world evidence and marketing data show that </w:t>
            </w:r>
            <w:r>
              <w:rPr>
                <w:rFonts w:cs="Arial"/>
                <w:b/>
                <w:bCs/>
                <w:sz w:val="20"/>
              </w:rPr>
              <w:t>CAZ-AVI</w:t>
            </w:r>
            <w:r w:rsidRPr="00A573DE">
              <w:rPr>
                <w:rFonts w:cs="Arial"/>
                <w:b/>
                <w:bCs/>
                <w:sz w:val="20"/>
              </w:rPr>
              <w:t xml:space="preserve"> is used in a broader indication than outlined in the EEPRU assessment</w:t>
            </w:r>
            <w:r>
              <w:rPr>
                <w:rFonts w:cs="Arial"/>
                <w:b/>
                <w:bCs/>
                <w:sz w:val="20"/>
              </w:rPr>
              <w:t xml:space="preserve"> report</w:t>
            </w:r>
            <w:r w:rsidRPr="00A573DE">
              <w:rPr>
                <w:rFonts w:cs="Arial"/>
                <w:b/>
                <w:bCs/>
                <w:sz w:val="20"/>
              </w:rPr>
              <w:t xml:space="preserve">, namely </w:t>
            </w:r>
            <w:proofErr w:type="spellStart"/>
            <w:r w:rsidRPr="00A573DE">
              <w:rPr>
                <w:rFonts w:cs="Arial"/>
                <w:b/>
                <w:bCs/>
                <w:sz w:val="20"/>
              </w:rPr>
              <w:t>cIAI</w:t>
            </w:r>
            <w:proofErr w:type="spellEnd"/>
            <w:r w:rsidRPr="00A573DE">
              <w:rPr>
                <w:rFonts w:cs="Arial"/>
                <w:b/>
                <w:bCs/>
                <w:sz w:val="20"/>
              </w:rPr>
              <w:t xml:space="preserve">, </w:t>
            </w:r>
            <w:proofErr w:type="spellStart"/>
            <w:r w:rsidRPr="00A573DE">
              <w:rPr>
                <w:rFonts w:cs="Arial"/>
                <w:b/>
                <w:bCs/>
                <w:sz w:val="20"/>
              </w:rPr>
              <w:t>cUTI</w:t>
            </w:r>
            <w:proofErr w:type="spellEnd"/>
            <w:r w:rsidRPr="00A573DE">
              <w:rPr>
                <w:rFonts w:cs="Arial"/>
                <w:b/>
                <w:bCs/>
                <w:sz w:val="20"/>
              </w:rPr>
              <w:t xml:space="preserve"> (incl. pyelonephritis), HAP/VAP, and bacteraemia (adults only).</w:t>
            </w:r>
            <w:r w:rsidRPr="00A573DE">
              <w:t xml:space="preserve"> </w:t>
            </w:r>
            <w:r>
              <w:rPr>
                <w:b/>
                <w:bCs/>
                <w:sz w:val="20"/>
                <w:szCs w:val="18"/>
              </w:rPr>
              <w:t>CAZ-AVI</w:t>
            </w:r>
            <w:r w:rsidRPr="006D3CF8">
              <w:rPr>
                <w:b/>
                <w:bCs/>
                <w:sz w:val="20"/>
                <w:szCs w:val="18"/>
              </w:rPr>
              <w:t xml:space="preserve"> can be used both as part of risk-based empirical therapy, to accelerate effective treatment and improve patient outcomes, where considered appropriate, and in the setting of pathogen- or resistance mechanism-directed approach, where antimicrobial susceptibility is known when therapy commences.</w:t>
            </w:r>
          </w:p>
        </w:tc>
      </w:tr>
      <w:tr w:rsidR="00A5430D" w:rsidRPr="00A573DE" w14:paraId="10B7CA0B" w14:textId="77777777" w:rsidTr="00A5430D">
        <w:tc>
          <w:tcPr>
            <w:tcW w:w="345" w:type="pct"/>
          </w:tcPr>
          <w:p w14:paraId="7CD2BDCC" w14:textId="77777777" w:rsidR="0008114B" w:rsidRPr="00A573DE" w:rsidRDefault="0008114B" w:rsidP="0008114B">
            <w:pPr>
              <w:widowControl w:val="0"/>
              <w:jc w:val="center"/>
              <w:rPr>
                <w:rFonts w:cs="Arial"/>
                <w:sz w:val="20"/>
              </w:rPr>
            </w:pPr>
            <w:r>
              <w:rPr>
                <w:rFonts w:cs="Arial"/>
                <w:sz w:val="20"/>
              </w:rPr>
              <w:t>17</w:t>
            </w:r>
          </w:p>
        </w:tc>
        <w:tc>
          <w:tcPr>
            <w:tcW w:w="417" w:type="pct"/>
          </w:tcPr>
          <w:p w14:paraId="3BC846DA" w14:textId="77777777" w:rsidR="0008114B" w:rsidRPr="00A573DE" w:rsidRDefault="0008114B" w:rsidP="0008114B">
            <w:pPr>
              <w:widowControl w:val="0"/>
              <w:rPr>
                <w:rFonts w:cs="Arial"/>
                <w:sz w:val="20"/>
              </w:rPr>
            </w:pPr>
            <w:r w:rsidRPr="00A573DE">
              <w:rPr>
                <w:rFonts w:cs="Arial"/>
                <w:sz w:val="20"/>
              </w:rPr>
              <w:t>101</w:t>
            </w:r>
          </w:p>
        </w:tc>
        <w:tc>
          <w:tcPr>
            <w:tcW w:w="695" w:type="pct"/>
          </w:tcPr>
          <w:p w14:paraId="0D52E9E6" w14:textId="77777777" w:rsidR="0008114B" w:rsidRPr="00A573DE" w:rsidRDefault="0008114B" w:rsidP="0008114B">
            <w:pPr>
              <w:widowControl w:val="0"/>
              <w:rPr>
                <w:rFonts w:cs="Arial"/>
                <w:sz w:val="20"/>
              </w:rPr>
            </w:pPr>
            <w:r w:rsidRPr="00A573DE">
              <w:rPr>
                <w:rFonts w:cs="Arial"/>
                <w:sz w:val="20"/>
              </w:rPr>
              <w:t>6.1.5.5</w:t>
            </w:r>
          </w:p>
        </w:tc>
        <w:tc>
          <w:tcPr>
            <w:tcW w:w="3543" w:type="pct"/>
            <w:gridSpan w:val="2"/>
          </w:tcPr>
          <w:p w14:paraId="40E3C1B8" w14:textId="77777777" w:rsidR="0008114B" w:rsidRPr="00A573DE" w:rsidRDefault="0008114B" w:rsidP="0008114B">
            <w:pPr>
              <w:widowControl w:val="0"/>
              <w:rPr>
                <w:rFonts w:cs="Arial"/>
                <w:sz w:val="20"/>
              </w:rPr>
            </w:pPr>
            <w:r w:rsidRPr="00A573DE">
              <w:rPr>
                <w:rFonts w:cs="Arial"/>
                <w:sz w:val="20"/>
              </w:rPr>
              <w:t>“There is uncertainty in the appropriateness of the population size used in the NMB calculation.”</w:t>
            </w:r>
          </w:p>
          <w:p w14:paraId="7C8B8D47" w14:textId="77777777" w:rsidR="0008114B" w:rsidRPr="00A573DE" w:rsidRDefault="0008114B" w:rsidP="0008114B">
            <w:pPr>
              <w:widowControl w:val="0"/>
              <w:rPr>
                <w:rFonts w:cs="Arial"/>
                <w:sz w:val="20"/>
              </w:rPr>
            </w:pPr>
            <w:r w:rsidRPr="00A573DE">
              <w:rPr>
                <w:rFonts w:cs="Arial"/>
                <w:b/>
                <w:bCs/>
                <w:sz w:val="20"/>
              </w:rPr>
              <w:t xml:space="preserve">The population size used in the calculation is within the range of patients </w:t>
            </w:r>
            <w:r w:rsidRPr="00A573DE">
              <w:rPr>
                <w:rFonts w:cs="Arial"/>
                <w:b/>
                <w:bCs/>
                <w:sz w:val="20"/>
              </w:rPr>
              <w:lastRenderedPageBreak/>
              <w:t xml:space="preserve">currently receiving </w:t>
            </w:r>
            <w:r>
              <w:rPr>
                <w:rFonts w:cs="Arial"/>
                <w:b/>
                <w:bCs/>
                <w:sz w:val="20"/>
              </w:rPr>
              <w:t>CAZ-AVI</w:t>
            </w:r>
            <w:r w:rsidRPr="00A573DE">
              <w:rPr>
                <w:rFonts w:cs="Arial"/>
                <w:b/>
                <w:bCs/>
                <w:sz w:val="20"/>
              </w:rPr>
              <w:t xml:space="preserve"> for the treatment of </w:t>
            </w:r>
            <w:proofErr w:type="spellStart"/>
            <w:r w:rsidRPr="00A573DE">
              <w:rPr>
                <w:rFonts w:cs="Arial"/>
                <w:b/>
                <w:bCs/>
                <w:sz w:val="20"/>
              </w:rPr>
              <w:t>cUTI</w:t>
            </w:r>
            <w:proofErr w:type="spellEnd"/>
            <w:r w:rsidRPr="00A573DE">
              <w:rPr>
                <w:rFonts w:cs="Arial"/>
                <w:b/>
                <w:bCs/>
                <w:sz w:val="20"/>
              </w:rPr>
              <w:t xml:space="preserve">, </w:t>
            </w:r>
            <w:proofErr w:type="spellStart"/>
            <w:r w:rsidRPr="00A573DE">
              <w:rPr>
                <w:rFonts w:cs="Arial"/>
                <w:b/>
                <w:bCs/>
                <w:sz w:val="20"/>
              </w:rPr>
              <w:t>cIAI</w:t>
            </w:r>
            <w:proofErr w:type="spellEnd"/>
            <w:r w:rsidRPr="00A573DE">
              <w:rPr>
                <w:rFonts w:cs="Arial"/>
                <w:b/>
                <w:bCs/>
                <w:sz w:val="20"/>
              </w:rPr>
              <w:t xml:space="preserve">, and HAP/VAP. According to the model 3,069 were exposed to </w:t>
            </w:r>
            <w:r>
              <w:rPr>
                <w:rFonts w:cs="Arial"/>
                <w:b/>
                <w:bCs/>
                <w:sz w:val="20"/>
              </w:rPr>
              <w:t>CAZ-AVI</w:t>
            </w:r>
            <w:r w:rsidRPr="00A573DE">
              <w:rPr>
                <w:rFonts w:cs="Arial"/>
                <w:b/>
                <w:bCs/>
                <w:sz w:val="20"/>
              </w:rPr>
              <w:t xml:space="preserve"> and in clinical practice </w:t>
            </w:r>
            <w:r w:rsidRPr="00211F18">
              <w:rPr>
                <w:rFonts w:cs="Arial"/>
                <w:b/>
                <w:bCs/>
                <w:sz w:val="20"/>
              </w:rPr>
              <w:t xml:space="preserve">around </w:t>
            </w:r>
            <w:r w:rsidRPr="001B7EC7">
              <w:rPr>
                <w:rFonts w:cs="Arial"/>
                <w:b/>
                <w:bCs/>
                <w:sz w:val="20"/>
              </w:rPr>
              <w:t>1,400 patients</w:t>
            </w:r>
            <w:r w:rsidRPr="00211F18">
              <w:rPr>
                <w:rFonts w:cs="Arial"/>
                <w:b/>
                <w:bCs/>
                <w:sz w:val="20"/>
              </w:rPr>
              <w:t xml:space="preserve"> are</w:t>
            </w:r>
            <w:r w:rsidRPr="00A573DE">
              <w:rPr>
                <w:rFonts w:cs="Arial"/>
                <w:b/>
                <w:bCs/>
                <w:sz w:val="20"/>
              </w:rPr>
              <w:t xml:space="preserve"> treated with </w:t>
            </w:r>
            <w:r>
              <w:rPr>
                <w:rFonts w:cs="Arial"/>
                <w:b/>
                <w:bCs/>
                <w:sz w:val="20"/>
              </w:rPr>
              <w:t>CAZ-AVI</w:t>
            </w:r>
            <w:r w:rsidRPr="00A573DE">
              <w:rPr>
                <w:rFonts w:cs="Arial"/>
                <w:b/>
                <w:bCs/>
                <w:sz w:val="20"/>
              </w:rPr>
              <w:t xml:space="preserve"> each year</w:t>
            </w:r>
            <w:r>
              <w:rPr>
                <w:rFonts w:cs="Arial"/>
                <w:b/>
                <w:bCs/>
                <w:sz w:val="20"/>
              </w:rPr>
              <w:t xml:space="preserve"> (see section </w:t>
            </w:r>
            <w:r>
              <w:rPr>
                <w:rFonts w:cs="Arial"/>
                <w:b/>
                <w:bCs/>
                <w:sz w:val="20"/>
              </w:rPr>
              <w:fldChar w:fldCharType="begin"/>
            </w:r>
            <w:r>
              <w:rPr>
                <w:rFonts w:cs="Arial"/>
                <w:b/>
                <w:bCs/>
                <w:sz w:val="20"/>
              </w:rPr>
              <w:instrText xml:space="preserve"> REF _Ref90323719 \r \h </w:instrText>
            </w:r>
            <w:r>
              <w:rPr>
                <w:rFonts w:cs="Arial"/>
                <w:b/>
                <w:bCs/>
                <w:sz w:val="20"/>
              </w:rPr>
            </w:r>
            <w:r>
              <w:rPr>
                <w:rFonts w:cs="Arial"/>
                <w:b/>
                <w:bCs/>
                <w:sz w:val="20"/>
              </w:rPr>
              <w:fldChar w:fldCharType="separate"/>
            </w:r>
            <w:r>
              <w:rPr>
                <w:rFonts w:cs="Arial"/>
                <w:b/>
                <w:bCs/>
                <w:sz w:val="20"/>
              </w:rPr>
              <w:t>5.1</w:t>
            </w:r>
            <w:r>
              <w:rPr>
                <w:rFonts w:cs="Arial"/>
                <w:b/>
                <w:bCs/>
                <w:sz w:val="20"/>
              </w:rPr>
              <w:fldChar w:fldCharType="end"/>
            </w:r>
            <w:r>
              <w:rPr>
                <w:rFonts w:cs="Arial"/>
                <w:b/>
                <w:bCs/>
                <w:sz w:val="20"/>
              </w:rPr>
              <w:t>), where suboptimal outcomes are already being obtained due to restricted patient access issues</w:t>
            </w:r>
            <w:r w:rsidRPr="00A573DE">
              <w:rPr>
                <w:rFonts w:cs="Arial"/>
                <w:b/>
                <w:bCs/>
                <w:sz w:val="20"/>
              </w:rPr>
              <w:t>.</w:t>
            </w:r>
          </w:p>
        </w:tc>
      </w:tr>
      <w:tr w:rsidR="00A5430D" w:rsidRPr="00A573DE" w14:paraId="2EEF3446" w14:textId="77777777" w:rsidTr="00A5430D">
        <w:tc>
          <w:tcPr>
            <w:tcW w:w="345" w:type="pct"/>
          </w:tcPr>
          <w:p w14:paraId="75CEB52D" w14:textId="77777777" w:rsidR="0008114B" w:rsidRPr="00A573DE" w:rsidRDefault="0008114B" w:rsidP="0008114B">
            <w:pPr>
              <w:widowControl w:val="0"/>
              <w:jc w:val="center"/>
              <w:rPr>
                <w:rFonts w:cs="Arial"/>
                <w:sz w:val="20"/>
              </w:rPr>
            </w:pPr>
            <w:r>
              <w:rPr>
                <w:rFonts w:cs="Arial"/>
                <w:sz w:val="20"/>
              </w:rPr>
              <w:lastRenderedPageBreak/>
              <w:t>18</w:t>
            </w:r>
          </w:p>
        </w:tc>
        <w:tc>
          <w:tcPr>
            <w:tcW w:w="417" w:type="pct"/>
          </w:tcPr>
          <w:p w14:paraId="16096D7F" w14:textId="77777777" w:rsidR="0008114B" w:rsidRPr="00A573DE" w:rsidRDefault="0008114B" w:rsidP="0008114B">
            <w:pPr>
              <w:widowControl w:val="0"/>
              <w:rPr>
                <w:rFonts w:cs="Arial"/>
                <w:sz w:val="20"/>
              </w:rPr>
            </w:pPr>
            <w:r w:rsidRPr="00A573DE">
              <w:rPr>
                <w:rFonts w:cs="Arial"/>
                <w:sz w:val="20"/>
              </w:rPr>
              <w:t>148</w:t>
            </w:r>
          </w:p>
        </w:tc>
        <w:tc>
          <w:tcPr>
            <w:tcW w:w="695" w:type="pct"/>
          </w:tcPr>
          <w:p w14:paraId="02BA5537" w14:textId="77777777" w:rsidR="0008114B" w:rsidRPr="00A573DE" w:rsidRDefault="0008114B" w:rsidP="0008114B">
            <w:pPr>
              <w:widowControl w:val="0"/>
              <w:rPr>
                <w:rFonts w:cs="Arial"/>
                <w:sz w:val="20"/>
              </w:rPr>
            </w:pPr>
            <w:r w:rsidRPr="00A573DE">
              <w:rPr>
                <w:rFonts w:cs="Arial"/>
                <w:sz w:val="20"/>
              </w:rPr>
              <w:t>7.5.2.3</w:t>
            </w:r>
          </w:p>
        </w:tc>
        <w:tc>
          <w:tcPr>
            <w:tcW w:w="3543" w:type="pct"/>
            <w:gridSpan w:val="2"/>
          </w:tcPr>
          <w:p w14:paraId="4163DBAC" w14:textId="77777777" w:rsidR="0008114B" w:rsidRPr="00A573DE" w:rsidRDefault="0008114B" w:rsidP="0008114B">
            <w:pPr>
              <w:widowControl w:val="0"/>
              <w:rPr>
                <w:rFonts w:cs="Arial"/>
                <w:sz w:val="20"/>
              </w:rPr>
            </w:pPr>
            <w:r w:rsidRPr="00A573DE">
              <w:rPr>
                <w:sz w:val="20"/>
                <w:szCs w:val="18"/>
              </w:rPr>
              <w:t>“As a face-validity check of the estimates of AM use employed in the model, these were compared to hospital inpatient drug use as reported in the 2019/20 ESPAUR report.”</w:t>
            </w:r>
            <w:r w:rsidRPr="00A573DE">
              <w:rPr>
                <w:sz w:val="20"/>
                <w:szCs w:val="18"/>
              </w:rPr>
              <w:br/>
            </w:r>
            <w:r w:rsidRPr="00A573DE">
              <w:rPr>
                <w:b/>
                <w:bCs/>
                <w:sz w:val="20"/>
              </w:rPr>
              <w:t xml:space="preserve">The data from the ESPAUR 2019/2020 report was not used in the company submission due to the following reasons: </w:t>
            </w:r>
            <w:proofErr w:type="spellStart"/>
            <w:r w:rsidRPr="00A573DE">
              <w:rPr>
                <w:b/>
                <w:bCs/>
                <w:sz w:val="20"/>
              </w:rPr>
              <w:t>i</w:t>
            </w:r>
            <w:proofErr w:type="spellEnd"/>
            <w:r w:rsidRPr="00A573DE">
              <w:rPr>
                <w:b/>
                <w:bCs/>
                <w:sz w:val="20"/>
              </w:rPr>
              <w:t>) the change of rules for reporting carbapenem resistance, and ii) the COVID-19 pandemic which means that 2020 data is likely to be an outlier, both due to limited healthcare capacity potentially affecting the reporting to Public Health England, and due to social distancing measures instituted at NHS hospitals potentially reducing the spread of bacterial, as well as viral infections.</w:t>
            </w:r>
            <w:r>
              <w:rPr>
                <w:b/>
                <w:bCs/>
                <w:sz w:val="20"/>
              </w:rPr>
              <w:t xml:space="preserve"> This issue was discussed during prior stages of this project with EEPRU and was generally understood that the prior ESPAUR report would be a better base.</w:t>
            </w:r>
          </w:p>
        </w:tc>
      </w:tr>
      <w:tr w:rsidR="00A5430D" w:rsidRPr="00A573DE" w14:paraId="2517C120" w14:textId="77777777" w:rsidTr="00A5430D">
        <w:tc>
          <w:tcPr>
            <w:tcW w:w="345" w:type="pct"/>
          </w:tcPr>
          <w:p w14:paraId="4A4E3BBD" w14:textId="55AC855A" w:rsidR="00A5430D" w:rsidRPr="001B5EE7" w:rsidRDefault="00A5430D" w:rsidP="0008114B">
            <w:pPr>
              <w:widowControl w:val="0"/>
              <w:rPr>
                <w:rFonts w:cs="Arial"/>
                <w:b/>
                <w:bCs/>
                <w:sz w:val="20"/>
              </w:rPr>
            </w:pPr>
          </w:p>
        </w:tc>
        <w:tc>
          <w:tcPr>
            <w:tcW w:w="417" w:type="pct"/>
          </w:tcPr>
          <w:p w14:paraId="36568EEA" w14:textId="77777777" w:rsidR="00A5430D" w:rsidRPr="001B5EE7" w:rsidRDefault="00A5430D" w:rsidP="0008114B">
            <w:pPr>
              <w:widowControl w:val="0"/>
              <w:rPr>
                <w:rFonts w:cs="Arial"/>
                <w:b/>
                <w:bCs/>
                <w:sz w:val="20"/>
              </w:rPr>
            </w:pPr>
          </w:p>
        </w:tc>
        <w:tc>
          <w:tcPr>
            <w:tcW w:w="695" w:type="pct"/>
          </w:tcPr>
          <w:p w14:paraId="31B564E6" w14:textId="77777777" w:rsidR="00A5430D" w:rsidRPr="001B5EE7" w:rsidRDefault="00A5430D" w:rsidP="0008114B">
            <w:pPr>
              <w:widowControl w:val="0"/>
              <w:rPr>
                <w:rFonts w:cs="Arial"/>
                <w:b/>
                <w:bCs/>
                <w:sz w:val="20"/>
              </w:rPr>
            </w:pPr>
          </w:p>
        </w:tc>
        <w:tc>
          <w:tcPr>
            <w:tcW w:w="3543" w:type="pct"/>
            <w:gridSpan w:val="2"/>
          </w:tcPr>
          <w:p w14:paraId="29B5234B" w14:textId="5684C1AF" w:rsidR="00A5430D" w:rsidRPr="001B5EE7" w:rsidRDefault="00A5430D" w:rsidP="0008114B">
            <w:pPr>
              <w:widowControl w:val="0"/>
              <w:rPr>
                <w:rFonts w:cs="Arial"/>
                <w:b/>
                <w:bCs/>
                <w:sz w:val="20"/>
              </w:rPr>
            </w:pPr>
            <w:r w:rsidRPr="001B5EE7">
              <w:rPr>
                <w:rFonts w:cs="Arial"/>
                <w:b/>
                <w:bCs/>
                <w:sz w:val="20"/>
              </w:rPr>
              <w:t xml:space="preserve">Modelling approach (see </w:t>
            </w:r>
            <w:r w:rsidRPr="001B5EE7">
              <w:rPr>
                <w:rFonts w:cs="Arial"/>
                <w:b/>
                <w:bCs/>
                <w:sz w:val="20"/>
              </w:rPr>
              <w:fldChar w:fldCharType="begin"/>
            </w:r>
            <w:r w:rsidRPr="001B5EE7">
              <w:rPr>
                <w:rFonts w:cs="Arial"/>
                <w:b/>
                <w:bCs/>
                <w:sz w:val="20"/>
              </w:rPr>
              <w:instrText xml:space="preserve"> REF _Ref90315306 \h  \* MERGEFORMAT </w:instrText>
            </w:r>
            <w:r w:rsidRPr="001B5EE7">
              <w:rPr>
                <w:rFonts w:cs="Arial"/>
                <w:b/>
                <w:bCs/>
                <w:sz w:val="20"/>
              </w:rPr>
            </w:r>
            <w:r w:rsidRPr="001B5EE7">
              <w:rPr>
                <w:rFonts w:cs="Arial"/>
                <w:b/>
                <w:bCs/>
                <w:sz w:val="20"/>
              </w:rPr>
              <w:fldChar w:fldCharType="separate"/>
            </w:r>
            <w:r w:rsidRPr="001B5EE7">
              <w:rPr>
                <w:b/>
                <w:bCs/>
                <w:sz w:val="20"/>
                <w:lang w:eastAsia="en-GB"/>
              </w:rPr>
              <w:t>Modelling approach</w:t>
            </w:r>
            <w:r w:rsidRPr="001B5EE7">
              <w:rPr>
                <w:rFonts w:cs="Arial"/>
                <w:b/>
                <w:bCs/>
                <w:sz w:val="20"/>
              </w:rPr>
              <w:fldChar w:fldCharType="end"/>
            </w:r>
            <w:r w:rsidRPr="001B5EE7">
              <w:rPr>
                <w:rFonts w:cs="Arial"/>
                <w:b/>
                <w:bCs/>
                <w:sz w:val="20"/>
              </w:rPr>
              <w:t xml:space="preserve"> for further clarification)</w:t>
            </w:r>
          </w:p>
        </w:tc>
      </w:tr>
      <w:tr w:rsidR="00A5430D" w:rsidRPr="00A573DE" w14:paraId="0F002DAD" w14:textId="77777777" w:rsidTr="00A5430D">
        <w:tc>
          <w:tcPr>
            <w:tcW w:w="345" w:type="pct"/>
          </w:tcPr>
          <w:p w14:paraId="1B58AA0A" w14:textId="77777777" w:rsidR="0008114B" w:rsidRPr="00A573DE" w:rsidRDefault="0008114B" w:rsidP="0008114B">
            <w:pPr>
              <w:widowControl w:val="0"/>
              <w:jc w:val="center"/>
              <w:rPr>
                <w:rFonts w:cs="Arial"/>
                <w:sz w:val="20"/>
              </w:rPr>
            </w:pPr>
            <w:r>
              <w:rPr>
                <w:rFonts w:cs="Arial"/>
                <w:sz w:val="20"/>
              </w:rPr>
              <w:t>19</w:t>
            </w:r>
          </w:p>
        </w:tc>
        <w:tc>
          <w:tcPr>
            <w:tcW w:w="417" w:type="pct"/>
          </w:tcPr>
          <w:p w14:paraId="33800B10" w14:textId="77777777" w:rsidR="0008114B" w:rsidRPr="00A573DE" w:rsidRDefault="0008114B" w:rsidP="0008114B">
            <w:pPr>
              <w:widowControl w:val="0"/>
              <w:rPr>
                <w:rFonts w:cs="Arial"/>
                <w:sz w:val="20"/>
              </w:rPr>
            </w:pPr>
            <w:r w:rsidRPr="00A573DE">
              <w:rPr>
                <w:rFonts w:cs="Arial"/>
                <w:sz w:val="20"/>
              </w:rPr>
              <w:t>9</w:t>
            </w:r>
          </w:p>
        </w:tc>
        <w:tc>
          <w:tcPr>
            <w:tcW w:w="695" w:type="pct"/>
          </w:tcPr>
          <w:p w14:paraId="52353EF3" w14:textId="77777777" w:rsidR="0008114B" w:rsidRPr="00A573DE" w:rsidRDefault="0008114B" w:rsidP="0008114B">
            <w:pPr>
              <w:widowControl w:val="0"/>
              <w:rPr>
                <w:rFonts w:cs="Arial"/>
                <w:sz w:val="20"/>
              </w:rPr>
            </w:pPr>
            <w:r w:rsidRPr="00A573DE">
              <w:rPr>
                <w:rFonts w:cs="Arial"/>
                <w:sz w:val="20"/>
              </w:rPr>
              <w:t>Executive summary – economic evidence</w:t>
            </w:r>
          </w:p>
        </w:tc>
        <w:tc>
          <w:tcPr>
            <w:tcW w:w="3543" w:type="pct"/>
            <w:gridSpan w:val="2"/>
          </w:tcPr>
          <w:p w14:paraId="5FBCDDD2" w14:textId="77777777" w:rsidR="0008114B" w:rsidRPr="00A573DE" w:rsidRDefault="0008114B" w:rsidP="0008114B">
            <w:pPr>
              <w:widowControl w:val="0"/>
              <w:rPr>
                <w:rFonts w:cs="Arial"/>
                <w:sz w:val="20"/>
              </w:rPr>
            </w:pPr>
            <w:r w:rsidRPr="00A573DE">
              <w:rPr>
                <w:rFonts w:cs="Arial"/>
                <w:sz w:val="20"/>
              </w:rPr>
              <w:t>“The model makes several strong assumptions relating to the impact of CAZ-AVI on transmission (namely, that treatment can eradicate patients of colonisation) which were not thought to be credible to the clinical advisors to EEPRU.”</w:t>
            </w:r>
          </w:p>
          <w:p w14:paraId="6B96B08E" w14:textId="77777777" w:rsidR="0008114B" w:rsidRPr="00A573DE" w:rsidRDefault="0008114B" w:rsidP="0008114B">
            <w:pPr>
              <w:widowControl w:val="0"/>
              <w:rPr>
                <w:rFonts w:cs="Arial"/>
                <w:b/>
                <w:bCs/>
                <w:sz w:val="20"/>
              </w:rPr>
            </w:pPr>
            <w:r w:rsidRPr="00A573DE">
              <w:rPr>
                <w:rFonts w:cs="Arial"/>
                <w:b/>
                <w:bCs/>
                <w:sz w:val="20"/>
              </w:rPr>
              <w:t xml:space="preserve">Pfizer stated that only patients with </w:t>
            </w:r>
            <w:proofErr w:type="spellStart"/>
            <w:r w:rsidRPr="00A573DE">
              <w:rPr>
                <w:rFonts w:cs="Arial"/>
                <w:b/>
                <w:bCs/>
                <w:sz w:val="20"/>
              </w:rPr>
              <w:t>cUTI</w:t>
            </w:r>
            <w:proofErr w:type="spellEnd"/>
            <w:r w:rsidRPr="00A573DE">
              <w:rPr>
                <w:rFonts w:cs="Arial"/>
                <w:b/>
                <w:bCs/>
                <w:sz w:val="20"/>
              </w:rPr>
              <w:t xml:space="preserve"> would lose colonisation after successful treatment which was based on a publication from Tlaskalová-Hogenová</w:t>
            </w:r>
            <w:r w:rsidRPr="00A573DE">
              <w:rPr>
                <w:rFonts w:cs="Arial"/>
                <w:b/>
                <w:bCs/>
                <w:sz w:val="20"/>
              </w:rPr>
              <w:fldChar w:fldCharType="begin"/>
            </w:r>
            <w:r>
              <w:rPr>
                <w:rFonts w:cs="Arial"/>
                <w:b/>
                <w:bCs/>
                <w:sz w:val="20"/>
              </w:rPr>
              <w:instrText xml:space="preserve"> ADDIN EN.CITE &lt;EndNote&gt;&lt;Cite&gt;&lt;Author&gt;Tlaskalová-Hogenová&lt;/Author&gt;&lt;Year&gt;2004&lt;/Year&gt;&lt;RecNum&gt;1&lt;/RecNum&gt;&lt;DisplayText&gt;&lt;style face="superscript"&gt;22&lt;/style&gt;&lt;/DisplayText&gt;&lt;record&gt;&lt;rec-number&gt;1&lt;/rec-number&gt;&lt;foreign-keys&gt;&lt;key app="EN" db-id="pd5s0xr0250t2qevxfgxpvwp5eaztd2pavxx" timestamp="1638891448"&gt;1&lt;/key&gt;&lt;/foreign-keys&gt;&lt;ref-type name="Journal Article"&gt;17&lt;/ref-type&gt;&lt;contributors&gt;&lt;authors&gt;&lt;author&gt;Tlaskalová-Hogenová, Helena&lt;/author&gt;&lt;author&gt;Štěpánková, Renata&lt;/author&gt;&lt;author&gt;Hudcovic, Tomáš&lt;/author&gt;&lt;author&gt;Tučková, Ludmila&lt;/author&gt;&lt;author&gt;Cukrowska, Božena&lt;/author&gt;&lt;author&gt;Lodinová-Žádnı́ková, Rája&lt;/author&gt;&lt;author&gt;Kozáková, Hana&lt;/author&gt;&lt;author&gt;Rossmann, Pavel&lt;/author&gt;&lt;author&gt;Bártová, Jiřina&lt;/author&gt;&lt;author&gt;Sokol, Dan&lt;/author&gt;&lt;author&gt;Funda, David P.&lt;/author&gt;&lt;author&gt;Borovská, Dana&lt;/author&gt;&lt;author&gt;Řeháková, Zuzana&lt;/author&gt;&lt;author&gt;Šinkora, Jiřı́&lt;/author&gt;&lt;author&gt;Hofman, Jaroslav&lt;/author&gt;&lt;author&gt;Drastich, Pavel&lt;/author&gt;&lt;author&gt;Kokešová, Alena&lt;/author&gt;&lt;/authors&gt;&lt;/contributors&gt;&lt;titles&gt;&lt;title&gt;Commensal bacteria (normal microflora), mucosal immunity and chronic inflammatory and autoimmune diseases&lt;/title&gt;&lt;secondary-title&gt;Immunology Letters&lt;/secondary-title&gt;&lt;/titles&gt;&lt;periodical&gt;&lt;full-title&gt;Immunology Letters&lt;/full-title&gt;&lt;/periodical&gt;&lt;pages&gt;97-108&lt;/pages&gt;&lt;volume&gt;93&lt;/volume&gt;&lt;number&gt;2&lt;/number&gt;&lt;keywords&gt;&lt;keyword&gt;Mucosal microbiota&lt;/keyword&gt;&lt;keyword&gt;Intestinal barrier&lt;/keyword&gt;&lt;keyword&gt;Germ-free animal&lt;/keyword&gt;&lt;keyword&gt;Gut inflammation&lt;/keyword&gt;&lt;keyword&gt;Allergy&lt;/keyword&gt;&lt;keyword&gt;Autoimmunity&lt;/keyword&gt;&lt;keyword&gt;Probiotics&lt;/keyword&gt;&lt;/keywords&gt;&lt;dates&gt;&lt;year&gt;2004&lt;/year&gt;&lt;pub-dates&gt;&lt;date&gt;2004/05/15/&lt;/date&gt;&lt;/pub-dates&gt;&lt;/dates&gt;&lt;isbn&gt;0165-2478&lt;/isbn&gt;&lt;urls&gt;&lt;related-urls&gt;&lt;url&gt;http://www.sciencedirect.com/science/article/pii/S0165247804000379&lt;/url&gt;&lt;/related-urls&gt;&lt;/urls&gt;&lt;electronic-resource-num&gt;https://doi.org/10.1016/j.imlet.2004.02.005&lt;/electronic-resource-num&gt;&lt;/record&gt;&lt;/Cite&gt;&lt;/EndNote&gt;</w:instrText>
            </w:r>
            <w:r w:rsidRPr="00A573DE">
              <w:rPr>
                <w:rFonts w:cs="Arial"/>
                <w:b/>
                <w:bCs/>
                <w:sz w:val="20"/>
              </w:rPr>
              <w:fldChar w:fldCharType="separate"/>
            </w:r>
            <w:r w:rsidRPr="002F79F9">
              <w:rPr>
                <w:rFonts w:cs="Arial"/>
                <w:b/>
                <w:bCs/>
                <w:noProof/>
                <w:sz w:val="20"/>
                <w:vertAlign w:val="superscript"/>
              </w:rPr>
              <w:t>22</w:t>
            </w:r>
            <w:r w:rsidRPr="00A573DE">
              <w:rPr>
                <w:rFonts w:cs="Arial"/>
                <w:b/>
                <w:bCs/>
                <w:sz w:val="20"/>
              </w:rPr>
              <w:fldChar w:fldCharType="end"/>
            </w:r>
            <w:r w:rsidRPr="00A573DE">
              <w:rPr>
                <w:rFonts w:cs="Arial"/>
                <w:b/>
                <w:bCs/>
                <w:sz w:val="20"/>
              </w:rPr>
              <w:t xml:space="preserve"> Additionally, Pfizer conducted an expert elicitation and the medical experts did not reach consensus but stated that it would depend on whether a patients with </w:t>
            </w:r>
            <w:proofErr w:type="spellStart"/>
            <w:r w:rsidRPr="00A573DE">
              <w:rPr>
                <w:rFonts w:cs="Arial"/>
                <w:b/>
                <w:bCs/>
                <w:sz w:val="20"/>
              </w:rPr>
              <w:t>cUTI</w:t>
            </w:r>
            <w:proofErr w:type="spellEnd"/>
            <w:r w:rsidRPr="00A573DE">
              <w:rPr>
                <w:rFonts w:cs="Arial"/>
                <w:b/>
                <w:bCs/>
                <w:sz w:val="20"/>
              </w:rPr>
              <w:t xml:space="preserve"> have a device or not.</w:t>
            </w:r>
          </w:p>
        </w:tc>
      </w:tr>
      <w:tr w:rsidR="00A5430D" w:rsidRPr="00A573DE" w14:paraId="5C2D5D1F" w14:textId="77777777" w:rsidTr="00A5430D">
        <w:tc>
          <w:tcPr>
            <w:tcW w:w="345" w:type="pct"/>
          </w:tcPr>
          <w:p w14:paraId="14E50384" w14:textId="77777777" w:rsidR="0008114B" w:rsidRPr="00A573DE" w:rsidRDefault="0008114B" w:rsidP="0008114B">
            <w:pPr>
              <w:widowControl w:val="0"/>
              <w:jc w:val="center"/>
              <w:rPr>
                <w:rFonts w:cs="Arial"/>
                <w:sz w:val="20"/>
              </w:rPr>
            </w:pPr>
            <w:r>
              <w:rPr>
                <w:rFonts w:cs="Arial"/>
                <w:sz w:val="20"/>
              </w:rPr>
              <w:t>20</w:t>
            </w:r>
          </w:p>
        </w:tc>
        <w:tc>
          <w:tcPr>
            <w:tcW w:w="417" w:type="pct"/>
          </w:tcPr>
          <w:p w14:paraId="30C4A53D" w14:textId="77777777" w:rsidR="0008114B" w:rsidRPr="00A573DE" w:rsidRDefault="0008114B" w:rsidP="0008114B">
            <w:pPr>
              <w:widowControl w:val="0"/>
              <w:rPr>
                <w:rFonts w:cs="Arial"/>
                <w:sz w:val="20"/>
              </w:rPr>
            </w:pPr>
            <w:r w:rsidRPr="00A573DE">
              <w:rPr>
                <w:rFonts w:cs="Arial"/>
                <w:sz w:val="20"/>
              </w:rPr>
              <w:t>89</w:t>
            </w:r>
          </w:p>
        </w:tc>
        <w:tc>
          <w:tcPr>
            <w:tcW w:w="695" w:type="pct"/>
          </w:tcPr>
          <w:p w14:paraId="0303D72D" w14:textId="77777777" w:rsidR="0008114B" w:rsidRPr="00A573DE" w:rsidRDefault="0008114B" w:rsidP="0008114B">
            <w:pPr>
              <w:widowControl w:val="0"/>
              <w:rPr>
                <w:rFonts w:cs="Arial"/>
                <w:sz w:val="20"/>
              </w:rPr>
            </w:pPr>
            <w:r w:rsidRPr="00A573DE">
              <w:rPr>
                <w:rFonts w:cs="Arial"/>
                <w:sz w:val="20"/>
              </w:rPr>
              <w:t>6.1.5</w:t>
            </w:r>
          </w:p>
        </w:tc>
        <w:tc>
          <w:tcPr>
            <w:tcW w:w="3543" w:type="pct"/>
            <w:gridSpan w:val="2"/>
          </w:tcPr>
          <w:p w14:paraId="45628DCC" w14:textId="77777777" w:rsidR="0008114B" w:rsidRPr="00A573DE" w:rsidRDefault="0008114B" w:rsidP="0008114B">
            <w:pPr>
              <w:widowControl w:val="0"/>
              <w:rPr>
                <w:rFonts w:cs="Arial"/>
                <w:sz w:val="20"/>
              </w:rPr>
            </w:pPr>
            <w:r w:rsidRPr="00A573DE">
              <w:rPr>
                <w:rFonts w:cs="Arial"/>
                <w:sz w:val="20"/>
              </w:rPr>
              <w:t>“As shall be seen, there were high-level concerns about the relevance of the company’s submitted model and evaluation.”</w:t>
            </w:r>
          </w:p>
          <w:p w14:paraId="70E6AAA5" w14:textId="77777777" w:rsidR="0008114B" w:rsidRPr="00A573DE" w:rsidRDefault="0008114B" w:rsidP="0008114B">
            <w:pPr>
              <w:widowControl w:val="0"/>
              <w:rPr>
                <w:rFonts w:cs="Arial"/>
                <w:sz w:val="20"/>
              </w:rPr>
            </w:pPr>
            <w:r w:rsidRPr="00A573DE">
              <w:rPr>
                <w:rFonts w:cs="Arial"/>
                <w:b/>
                <w:bCs/>
                <w:sz w:val="20"/>
              </w:rPr>
              <w:t xml:space="preserve">The economic model adheres to the NICE reference case, with adaptations aligning to the EEPRU framework for antimicrobials, and the final NICE scope and was validated </w:t>
            </w:r>
            <w:r>
              <w:rPr>
                <w:rFonts w:cs="Arial"/>
                <w:b/>
                <w:bCs/>
                <w:sz w:val="20"/>
              </w:rPr>
              <w:t xml:space="preserve">extensively </w:t>
            </w:r>
            <w:r w:rsidRPr="00A573DE">
              <w:rPr>
                <w:rFonts w:cs="Arial"/>
                <w:b/>
                <w:bCs/>
                <w:sz w:val="20"/>
              </w:rPr>
              <w:t xml:space="preserve">by external experts </w:t>
            </w:r>
            <w:r>
              <w:rPr>
                <w:rFonts w:cs="Arial"/>
                <w:b/>
                <w:bCs/>
                <w:sz w:val="20"/>
              </w:rPr>
              <w:t xml:space="preserve">including formal methods such as a </w:t>
            </w:r>
            <w:r w:rsidRPr="00A573DE">
              <w:rPr>
                <w:rFonts w:cs="Arial"/>
                <w:b/>
                <w:bCs/>
                <w:sz w:val="20"/>
              </w:rPr>
              <w:t>Delphi panel. The EEPRU model presented in the EEPRU assessment does not align to either of the methodologies agreed on previously. The company does not understand why the relevancy of the Pfizer model was questioned although consensus on this approach was reached before (</w:t>
            </w:r>
            <w:r w:rsidRPr="005F5B3F">
              <w:rPr>
                <w:rFonts w:cs="Arial"/>
                <w:b/>
                <w:bCs/>
                <w:sz w:val="20"/>
              </w:rPr>
              <w:t xml:space="preserve">see </w:t>
            </w:r>
            <w:r w:rsidRPr="005F5B3F">
              <w:rPr>
                <w:rFonts w:cs="Arial"/>
                <w:b/>
                <w:bCs/>
                <w:sz w:val="20"/>
              </w:rPr>
              <w:fldChar w:fldCharType="begin"/>
            </w:r>
            <w:r w:rsidRPr="005F5B3F">
              <w:rPr>
                <w:rFonts w:cs="Arial"/>
                <w:b/>
                <w:bCs/>
                <w:sz w:val="20"/>
              </w:rPr>
              <w:instrText xml:space="preserve"> REF _Ref90315306 \h  \* MERGEFORMAT </w:instrText>
            </w:r>
            <w:r w:rsidRPr="005F5B3F">
              <w:rPr>
                <w:rFonts w:cs="Arial"/>
                <w:b/>
                <w:bCs/>
                <w:sz w:val="20"/>
              </w:rPr>
            </w:r>
            <w:r w:rsidRPr="005F5B3F">
              <w:rPr>
                <w:rFonts w:cs="Arial"/>
                <w:b/>
                <w:bCs/>
                <w:sz w:val="20"/>
              </w:rPr>
              <w:fldChar w:fldCharType="separate"/>
            </w:r>
            <w:r w:rsidRPr="005F5B3F">
              <w:rPr>
                <w:b/>
                <w:bCs/>
                <w:sz w:val="20"/>
                <w:lang w:eastAsia="en-GB"/>
              </w:rPr>
              <w:t>Modelling approach</w:t>
            </w:r>
            <w:r w:rsidRPr="005F5B3F">
              <w:rPr>
                <w:rFonts w:cs="Arial"/>
                <w:b/>
                <w:bCs/>
                <w:sz w:val="20"/>
              </w:rPr>
              <w:fldChar w:fldCharType="end"/>
            </w:r>
            <w:r w:rsidRPr="005F5B3F">
              <w:rPr>
                <w:rFonts w:cs="Arial"/>
                <w:b/>
                <w:bCs/>
                <w:sz w:val="20"/>
              </w:rPr>
              <w:t xml:space="preserve"> section for further details).</w:t>
            </w:r>
          </w:p>
        </w:tc>
      </w:tr>
      <w:tr w:rsidR="00A5430D" w:rsidRPr="00A573DE" w14:paraId="5932BAD2" w14:textId="77777777" w:rsidTr="00A5430D">
        <w:tc>
          <w:tcPr>
            <w:tcW w:w="345" w:type="pct"/>
          </w:tcPr>
          <w:p w14:paraId="535A5EBA" w14:textId="77777777" w:rsidR="0008114B" w:rsidRPr="00A573DE" w:rsidRDefault="0008114B" w:rsidP="0008114B">
            <w:pPr>
              <w:widowControl w:val="0"/>
              <w:jc w:val="center"/>
              <w:rPr>
                <w:rFonts w:cs="Arial"/>
                <w:sz w:val="20"/>
              </w:rPr>
            </w:pPr>
            <w:r>
              <w:rPr>
                <w:rFonts w:cs="Arial"/>
                <w:sz w:val="20"/>
              </w:rPr>
              <w:t>21</w:t>
            </w:r>
          </w:p>
        </w:tc>
        <w:tc>
          <w:tcPr>
            <w:tcW w:w="417" w:type="pct"/>
          </w:tcPr>
          <w:p w14:paraId="4CF0F80F" w14:textId="77777777" w:rsidR="0008114B" w:rsidRPr="00A573DE" w:rsidRDefault="0008114B" w:rsidP="0008114B">
            <w:pPr>
              <w:widowControl w:val="0"/>
              <w:rPr>
                <w:rFonts w:cs="Arial"/>
                <w:sz w:val="20"/>
              </w:rPr>
            </w:pPr>
            <w:r w:rsidRPr="00A573DE">
              <w:rPr>
                <w:rFonts w:cs="Arial"/>
                <w:sz w:val="20"/>
              </w:rPr>
              <w:t>90</w:t>
            </w:r>
          </w:p>
        </w:tc>
        <w:tc>
          <w:tcPr>
            <w:tcW w:w="695" w:type="pct"/>
          </w:tcPr>
          <w:p w14:paraId="53694644" w14:textId="77777777" w:rsidR="0008114B" w:rsidRPr="00A573DE" w:rsidRDefault="0008114B" w:rsidP="0008114B">
            <w:pPr>
              <w:widowControl w:val="0"/>
              <w:rPr>
                <w:rFonts w:cs="Arial"/>
                <w:sz w:val="20"/>
              </w:rPr>
            </w:pPr>
            <w:r w:rsidRPr="00A573DE">
              <w:rPr>
                <w:rFonts w:cs="Arial"/>
                <w:sz w:val="20"/>
              </w:rPr>
              <w:t>6.1.5.1</w:t>
            </w:r>
          </w:p>
        </w:tc>
        <w:tc>
          <w:tcPr>
            <w:tcW w:w="3543" w:type="pct"/>
            <w:gridSpan w:val="2"/>
          </w:tcPr>
          <w:p w14:paraId="08B99159" w14:textId="77777777" w:rsidR="0008114B" w:rsidRPr="00A573DE" w:rsidRDefault="0008114B" w:rsidP="0008114B">
            <w:pPr>
              <w:widowControl w:val="0"/>
              <w:rPr>
                <w:rFonts w:cs="Arial"/>
                <w:sz w:val="20"/>
              </w:rPr>
            </w:pPr>
            <w:r w:rsidRPr="00A573DE">
              <w:rPr>
                <w:rFonts w:cs="Arial"/>
                <w:sz w:val="20"/>
              </w:rPr>
              <w:t>“The comparator line is CAZ-AVI, and the treatment line is a sequence of two antibiotics.”</w:t>
            </w:r>
          </w:p>
          <w:p w14:paraId="5209B35C" w14:textId="77777777" w:rsidR="0008114B" w:rsidRPr="00A573DE" w:rsidRDefault="0008114B" w:rsidP="0008114B">
            <w:pPr>
              <w:widowControl w:val="0"/>
              <w:rPr>
                <w:rFonts w:cs="Arial"/>
                <w:b/>
                <w:bCs/>
                <w:sz w:val="20"/>
              </w:rPr>
            </w:pPr>
            <w:r w:rsidRPr="00A573DE">
              <w:rPr>
                <w:rFonts w:cs="Arial"/>
                <w:b/>
                <w:bCs/>
                <w:sz w:val="20"/>
              </w:rPr>
              <w:t xml:space="preserve">In contrast to the EEPRU’s microbiology-directed setting where only one line of treatment was explicitly modelled the Pfizer model included up to three treatment lines. This simplification allowed for an easy-to-use economic model, </w:t>
            </w:r>
            <w:r>
              <w:rPr>
                <w:rFonts w:cs="Arial"/>
                <w:b/>
                <w:bCs/>
                <w:sz w:val="20"/>
              </w:rPr>
              <w:t xml:space="preserve">which </w:t>
            </w:r>
            <w:r w:rsidRPr="00A573DE">
              <w:rPr>
                <w:rFonts w:cs="Arial"/>
                <w:b/>
                <w:bCs/>
                <w:sz w:val="20"/>
              </w:rPr>
              <w:t>was validated by external experts, and reflects real-life practice.</w:t>
            </w:r>
          </w:p>
        </w:tc>
      </w:tr>
      <w:tr w:rsidR="00A5430D" w:rsidRPr="00A573DE" w14:paraId="76AB19E8" w14:textId="77777777" w:rsidTr="00A5430D">
        <w:tc>
          <w:tcPr>
            <w:tcW w:w="345" w:type="pct"/>
          </w:tcPr>
          <w:p w14:paraId="0A35E16F" w14:textId="77777777" w:rsidR="0008114B" w:rsidRPr="00A573DE" w:rsidRDefault="0008114B" w:rsidP="0008114B">
            <w:pPr>
              <w:widowControl w:val="0"/>
              <w:jc w:val="center"/>
              <w:rPr>
                <w:rFonts w:cs="Arial"/>
                <w:sz w:val="20"/>
              </w:rPr>
            </w:pPr>
            <w:r>
              <w:rPr>
                <w:rFonts w:cs="Arial"/>
                <w:sz w:val="20"/>
              </w:rPr>
              <w:t>22</w:t>
            </w:r>
          </w:p>
        </w:tc>
        <w:tc>
          <w:tcPr>
            <w:tcW w:w="417" w:type="pct"/>
          </w:tcPr>
          <w:p w14:paraId="50161C51" w14:textId="77777777" w:rsidR="0008114B" w:rsidRPr="00A573DE" w:rsidRDefault="0008114B" w:rsidP="0008114B">
            <w:pPr>
              <w:widowControl w:val="0"/>
              <w:rPr>
                <w:rFonts w:cs="Arial"/>
                <w:sz w:val="20"/>
              </w:rPr>
            </w:pPr>
            <w:r w:rsidRPr="00A573DE">
              <w:rPr>
                <w:rFonts w:cs="Arial"/>
                <w:sz w:val="20"/>
              </w:rPr>
              <w:t>98</w:t>
            </w:r>
          </w:p>
        </w:tc>
        <w:tc>
          <w:tcPr>
            <w:tcW w:w="695" w:type="pct"/>
          </w:tcPr>
          <w:p w14:paraId="7B4923B8" w14:textId="77777777" w:rsidR="0008114B" w:rsidRPr="00A573DE" w:rsidRDefault="0008114B" w:rsidP="0008114B">
            <w:pPr>
              <w:widowControl w:val="0"/>
              <w:rPr>
                <w:rFonts w:cs="Arial"/>
                <w:sz w:val="20"/>
              </w:rPr>
            </w:pPr>
            <w:r w:rsidRPr="00A573DE">
              <w:rPr>
                <w:rFonts w:cs="Arial"/>
                <w:sz w:val="20"/>
              </w:rPr>
              <w:t>6.1.5.5</w:t>
            </w:r>
          </w:p>
        </w:tc>
        <w:tc>
          <w:tcPr>
            <w:tcW w:w="3543" w:type="pct"/>
            <w:gridSpan w:val="2"/>
          </w:tcPr>
          <w:p w14:paraId="3FEC30F2" w14:textId="77777777" w:rsidR="0008114B" w:rsidRPr="00A573DE" w:rsidRDefault="0008114B" w:rsidP="0008114B">
            <w:pPr>
              <w:widowControl w:val="0"/>
              <w:rPr>
                <w:rFonts w:cs="Arial"/>
                <w:sz w:val="20"/>
              </w:rPr>
            </w:pPr>
            <w:r w:rsidRPr="00A573DE">
              <w:rPr>
                <w:rFonts w:cs="Arial"/>
                <w:sz w:val="20"/>
              </w:rPr>
              <w:t>“During the treatment pathway, a patient with an infection and sensitive pathogen may develop resistance from treatment and become infected with a resistant pathogen. Such changes are not represented in the model.”</w:t>
            </w:r>
          </w:p>
          <w:p w14:paraId="631E8B5B" w14:textId="77777777" w:rsidR="0008114B" w:rsidRPr="00A573DE" w:rsidRDefault="0008114B" w:rsidP="0008114B">
            <w:pPr>
              <w:widowControl w:val="0"/>
              <w:rPr>
                <w:rFonts w:cs="Arial"/>
                <w:b/>
                <w:bCs/>
                <w:sz w:val="20"/>
              </w:rPr>
            </w:pPr>
            <w:r w:rsidRPr="00A573DE">
              <w:rPr>
                <w:rFonts w:cs="Arial"/>
                <w:b/>
                <w:bCs/>
                <w:sz w:val="20"/>
              </w:rPr>
              <w:t>The Pfizer model used simplifications</w:t>
            </w:r>
            <w:r>
              <w:rPr>
                <w:rFonts w:cs="Arial"/>
                <w:b/>
                <w:bCs/>
                <w:sz w:val="20"/>
              </w:rPr>
              <w:t xml:space="preserve"> (validated by experts)</w:t>
            </w:r>
            <w:r w:rsidRPr="00A573DE">
              <w:rPr>
                <w:rFonts w:cs="Arial"/>
                <w:b/>
                <w:bCs/>
                <w:sz w:val="20"/>
              </w:rPr>
              <w:t xml:space="preserve">, including assumptions that apply to the general population but does not consider </w:t>
            </w:r>
            <w:r w:rsidRPr="00A573DE">
              <w:rPr>
                <w:rFonts w:cs="Arial"/>
                <w:b/>
                <w:bCs/>
                <w:sz w:val="20"/>
              </w:rPr>
              <w:lastRenderedPageBreak/>
              <w:t xml:space="preserve">specific cases such as the development of reinfection due to resistance within one treatment cycle. In the Pfizer model, to capture resistance gain within the infectious environment, a patient may develop resistance due to treatment exposure, where it is assumed any resistance gain is applied to the resistance profiles of newly admitted patients. </w:t>
            </w:r>
          </w:p>
          <w:p w14:paraId="25D4FAED" w14:textId="77777777" w:rsidR="0008114B" w:rsidRPr="00A573DE" w:rsidRDefault="0008114B" w:rsidP="0008114B">
            <w:pPr>
              <w:widowControl w:val="0"/>
              <w:rPr>
                <w:rFonts w:cs="Arial"/>
                <w:b/>
                <w:bCs/>
                <w:sz w:val="20"/>
              </w:rPr>
            </w:pPr>
            <w:r w:rsidRPr="00A573DE">
              <w:rPr>
                <w:rFonts w:cs="Arial"/>
                <w:b/>
                <w:bCs/>
                <w:sz w:val="20"/>
              </w:rPr>
              <w:t>Infections are treated using the appropriate stewardship strategy which should include to avoid using an AM which can cause a sensitive pathogen to develop into a resistant pathogen. It will be complicated to assess how many patients would be re-infected with a now resistant pathogen and the impact on the value is potentially not that huge.</w:t>
            </w:r>
          </w:p>
        </w:tc>
      </w:tr>
      <w:tr w:rsidR="00A5430D" w:rsidRPr="00A573DE" w14:paraId="08E28C79" w14:textId="77777777" w:rsidTr="00A5430D">
        <w:tc>
          <w:tcPr>
            <w:tcW w:w="345" w:type="pct"/>
          </w:tcPr>
          <w:p w14:paraId="1D0DC1E2" w14:textId="77777777" w:rsidR="0008114B" w:rsidRPr="00A573DE" w:rsidRDefault="0008114B" w:rsidP="0008114B">
            <w:pPr>
              <w:widowControl w:val="0"/>
              <w:jc w:val="center"/>
              <w:rPr>
                <w:rFonts w:cs="Arial"/>
                <w:sz w:val="20"/>
              </w:rPr>
            </w:pPr>
            <w:r>
              <w:rPr>
                <w:rFonts w:cs="Arial"/>
                <w:sz w:val="20"/>
              </w:rPr>
              <w:lastRenderedPageBreak/>
              <w:t>23</w:t>
            </w:r>
          </w:p>
        </w:tc>
        <w:tc>
          <w:tcPr>
            <w:tcW w:w="417" w:type="pct"/>
          </w:tcPr>
          <w:p w14:paraId="33D3C475" w14:textId="77777777" w:rsidR="0008114B" w:rsidRPr="00A573DE" w:rsidRDefault="0008114B" w:rsidP="0008114B">
            <w:pPr>
              <w:widowControl w:val="0"/>
              <w:rPr>
                <w:rFonts w:cs="Arial"/>
                <w:sz w:val="20"/>
              </w:rPr>
            </w:pPr>
            <w:r w:rsidRPr="00A573DE">
              <w:rPr>
                <w:rFonts w:cs="Arial"/>
                <w:sz w:val="20"/>
              </w:rPr>
              <w:t>98</w:t>
            </w:r>
          </w:p>
        </w:tc>
        <w:tc>
          <w:tcPr>
            <w:tcW w:w="695" w:type="pct"/>
          </w:tcPr>
          <w:p w14:paraId="5E248FAC" w14:textId="77777777" w:rsidR="0008114B" w:rsidRPr="00A573DE" w:rsidRDefault="0008114B" w:rsidP="0008114B">
            <w:pPr>
              <w:widowControl w:val="0"/>
              <w:rPr>
                <w:rFonts w:cs="Arial"/>
                <w:sz w:val="20"/>
              </w:rPr>
            </w:pPr>
            <w:r w:rsidRPr="00A573DE">
              <w:rPr>
                <w:rFonts w:cs="Arial"/>
                <w:sz w:val="20"/>
              </w:rPr>
              <w:t>6.1.5.5</w:t>
            </w:r>
          </w:p>
        </w:tc>
        <w:tc>
          <w:tcPr>
            <w:tcW w:w="3543" w:type="pct"/>
            <w:gridSpan w:val="2"/>
          </w:tcPr>
          <w:p w14:paraId="3BA8AB27" w14:textId="77777777" w:rsidR="0008114B" w:rsidRPr="00A573DE" w:rsidRDefault="0008114B" w:rsidP="0008114B">
            <w:pPr>
              <w:widowControl w:val="0"/>
              <w:rPr>
                <w:rFonts w:cs="Arial"/>
                <w:sz w:val="20"/>
              </w:rPr>
            </w:pPr>
            <w:r w:rsidRPr="00A573DE">
              <w:rPr>
                <w:rFonts w:cs="Arial"/>
                <w:sz w:val="20"/>
              </w:rPr>
              <w:t>“There is a transition from infected with a sensitive pathogen to colonised with a sensitive pathogen. The submission does not explain the mechanism of this transition.”</w:t>
            </w:r>
          </w:p>
          <w:p w14:paraId="50BABFB3" w14:textId="77777777" w:rsidR="0008114B" w:rsidRDefault="0008114B" w:rsidP="0008114B">
            <w:pPr>
              <w:widowControl w:val="0"/>
              <w:rPr>
                <w:b/>
                <w:bCs/>
                <w:sz w:val="20"/>
                <w:szCs w:val="18"/>
              </w:rPr>
            </w:pPr>
            <w:r w:rsidRPr="00A573DE">
              <w:rPr>
                <w:b/>
                <w:bCs/>
                <w:sz w:val="20"/>
                <w:szCs w:val="18"/>
              </w:rPr>
              <w:t>This transition is captured via the outcomes of patients infected with a sensitive pathogen going through the treatment pathway. Of these patients who are cured and do not gain resistance, the resistance profile is applied to those who are newly admitted to hospital.</w:t>
            </w:r>
            <w:r>
              <w:rPr>
                <w:b/>
                <w:bCs/>
                <w:sz w:val="20"/>
                <w:szCs w:val="18"/>
              </w:rPr>
              <w:t xml:space="preserve"> This is shown in the below diagram.</w:t>
            </w:r>
          </w:p>
          <w:p w14:paraId="27590946" w14:textId="77777777" w:rsidR="0008114B" w:rsidRDefault="0008114B" w:rsidP="0008114B">
            <w:pPr>
              <w:widowControl w:val="0"/>
              <w:rPr>
                <w:rFonts w:cs="Arial"/>
                <w:b/>
                <w:bCs/>
                <w:sz w:val="20"/>
                <w:szCs w:val="18"/>
              </w:rPr>
            </w:pPr>
          </w:p>
          <w:p w14:paraId="1DC594B4" w14:textId="77777777" w:rsidR="0008114B" w:rsidRDefault="0008114B" w:rsidP="0008114B">
            <w:pPr>
              <w:widowControl w:val="0"/>
              <w:rPr>
                <w:rFonts w:cs="Arial"/>
                <w:b/>
                <w:bCs/>
                <w:sz w:val="20"/>
                <w:szCs w:val="18"/>
              </w:rPr>
            </w:pPr>
            <w:r>
              <w:rPr>
                <w:noProof/>
              </w:rPr>
              <w:drawing>
                <wp:inline distT="0" distB="0" distL="0" distR="0" wp14:anchorId="433B91B7" wp14:editId="5F520381">
                  <wp:extent cx="4512310" cy="1810723"/>
                  <wp:effectExtent l="0" t="0" r="254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4"/>
                          <a:stretch>
                            <a:fillRect/>
                          </a:stretch>
                        </pic:blipFill>
                        <pic:spPr>
                          <a:xfrm>
                            <a:off x="0" y="0"/>
                            <a:ext cx="4537947" cy="1821011"/>
                          </a:xfrm>
                          <a:prstGeom prst="rect">
                            <a:avLst/>
                          </a:prstGeom>
                        </pic:spPr>
                      </pic:pic>
                    </a:graphicData>
                  </a:graphic>
                </wp:inline>
              </w:drawing>
            </w:r>
          </w:p>
          <w:p w14:paraId="3FE681CD" w14:textId="77777777" w:rsidR="0008114B" w:rsidRDefault="0008114B" w:rsidP="0008114B">
            <w:pPr>
              <w:widowControl w:val="0"/>
              <w:rPr>
                <w:rFonts w:cs="Arial"/>
                <w:b/>
                <w:bCs/>
                <w:sz w:val="20"/>
                <w:szCs w:val="18"/>
              </w:rPr>
            </w:pPr>
          </w:p>
          <w:p w14:paraId="090E6919" w14:textId="77777777" w:rsidR="0008114B" w:rsidRPr="00A573DE" w:rsidRDefault="0008114B" w:rsidP="0008114B">
            <w:pPr>
              <w:widowControl w:val="0"/>
              <w:rPr>
                <w:rFonts w:cs="Arial"/>
                <w:b/>
                <w:bCs/>
                <w:sz w:val="20"/>
              </w:rPr>
            </w:pPr>
          </w:p>
        </w:tc>
      </w:tr>
      <w:tr w:rsidR="00A5430D" w:rsidRPr="00A573DE" w14:paraId="6EB86980" w14:textId="77777777" w:rsidTr="00A5430D">
        <w:tc>
          <w:tcPr>
            <w:tcW w:w="345" w:type="pct"/>
          </w:tcPr>
          <w:p w14:paraId="7633ADC2" w14:textId="77777777" w:rsidR="0008114B" w:rsidRPr="00A573DE" w:rsidRDefault="0008114B" w:rsidP="0008114B">
            <w:pPr>
              <w:widowControl w:val="0"/>
              <w:jc w:val="center"/>
              <w:rPr>
                <w:rFonts w:cs="Arial"/>
                <w:sz w:val="20"/>
              </w:rPr>
            </w:pPr>
            <w:r>
              <w:rPr>
                <w:rFonts w:cs="Arial"/>
                <w:sz w:val="20"/>
              </w:rPr>
              <w:t>24</w:t>
            </w:r>
          </w:p>
        </w:tc>
        <w:tc>
          <w:tcPr>
            <w:tcW w:w="417" w:type="pct"/>
          </w:tcPr>
          <w:p w14:paraId="379DE755" w14:textId="77777777" w:rsidR="0008114B" w:rsidRPr="00A573DE" w:rsidRDefault="0008114B" w:rsidP="0008114B">
            <w:pPr>
              <w:widowControl w:val="0"/>
              <w:rPr>
                <w:rFonts w:cs="Arial"/>
                <w:sz w:val="20"/>
              </w:rPr>
            </w:pPr>
            <w:r w:rsidRPr="00A573DE">
              <w:rPr>
                <w:rFonts w:cs="Arial"/>
                <w:sz w:val="20"/>
              </w:rPr>
              <w:t>98</w:t>
            </w:r>
          </w:p>
        </w:tc>
        <w:tc>
          <w:tcPr>
            <w:tcW w:w="695" w:type="pct"/>
          </w:tcPr>
          <w:p w14:paraId="3FC08B75" w14:textId="77777777" w:rsidR="0008114B" w:rsidRPr="00A573DE" w:rsidRDefault="0008114B" w:rsidP="0008114B">
            <w:pPr>
              <w:widowControl w:val="0"/>
              <w:rPr>
                <w:rFonts w:cs="Arial"/>
                <w:sz w:val="20"/>
              </w:rPr>
            </w:pPr>
            <w:r w:rsidRPr="00A573DE">
              <w:rPr>
                <w:rFonts w:cs="Arial"/>
                <w:sz w:val="20"/>
              </w:rPr>
              <w:t>6.1.5.5</w:t>
            </w:r>
          </w:p>
        </w:tc>
        <w:tc>
          <w:tcPr>
            <w:tcW w:w="3543" w:type="pct"/>
            <w:gridSpan w:val="2"/>
          </w:tcPr>
          <w:p w14:paraId="58B2F0B4" w14:textId="77777777" w:rsidR="0008114B" w:rsidRPr="00A573DE" w:rsidRDefault="0008114B" w:rsidP="0008114B">
            <w:pPr>
              <w:widowControl w:val="0"/>
              <w:rPr>
                <w:rFonts w:cs="Arial"/>
                <w:sz w:val="20"/>
              </w:rPr>
            </w:pPr>
            <w:r w:rsidRPr="00A573DE">
              <w:rPr>
                <w:rFonts w:cs="Arial"/>
                <w:sz w:val="20"/>
              </w:rPr>
              <w:t>“The model can allow treatment cycling to examine the impact of different stewardship strategies. The approach to treatment cycling adopted in the model is explained in detail in the submission. However, it appears that all results are presented without any form of treatment cycling because cycling is not mentioned in the company’s result section.”</w:t>
            </w:r>
          </w:p>
          <w:p w14:paraId="63C90420" w14:textId="77777777" w:rsidR="0008114B" w:rsidRPr="00DB51A6" w:rsidRDefault="0008114B" w:rsidP="0008114B">
            <w:pPr>
              <w:widowControl w:val="0"/>
              <w:rPr>
                <w:rFonts w:cs="Arial"/>
                <w:b/>
                <w:bCs/>
                <w:sz w:val="20"/>
              </w:rPr>
            </w:pPr>
            <w:r w:rsidRPr="00A573DE">
              <w:rPr>
                <w:rFonts w:cs="Arial"/>
                <w:b/>
                <w:bCs/>
                <w:sz w:val="20"/>
              </w:rPr>
              <w:t xml:space="preserve">The </w:t>
            </w:r>
            <w:r w:rsidRPr="00DB51A6">
              <w:rPr>
                <w:rFonts w:cs="Arial"/>
                <w:b/>
                <w:bCs/>
                <w:sz w:val="20"/>
              </w:rPr>
              <w:t xml:space="preserve">model has the capability to explore treatment cycling, however, this was not considered in the results. In the base case the model uses an all-line diversity antimicrobial stewardship strategy where infected patients are treated with piperacillin/tazobactam or colistin, meropenem, and </w:t>
            </w:r>
            <w:r>
              <w:rPr>
                <w:rFonts w:cs="Arial"/>
                <w:b/>
                <w:bCs/>
                <w:sz w:val="20"/>
              </w:rPr>
              <w:t>CAZ-AVI</w:t>
            </w:r>
            <w:r w:rsidRPr="00DB51A6">
              <w:rPr>
                <w:rFonts w:cs="Arial"/>
                <w:b/>
                <w:bCs/>
                <w:sz w:val="20"/>
              </w:rPr>
              <w:t xml:space="preserve"> in the following sequences:</w:t>
            </w:r>
          </w:p>
          <w:p w14:paraId="31B03E8E" w14:textId="77777777" w:rsidR="0008114B" w:rsidRPr="006D3CF8" w:rsidRDefault="0008114B" w:rsidP="0008114B">
            <w:pPr>
              <w:pStyle w:val="ListParagraph"/>
              <w:numPr>
                <w:ilvl w:val="0"/>
                <w:numId w:val="35"/>
              </w:numPr>
              <w:rPr>
                <w:rFonts w:ascii="Arial" w:hAnsi="Arial" w:cs="Arial"/>
                <w:b/>
                <w:bCs/>
                <w:sz w:val="20"/>
                <w:szCs w:val="20"/>
              </w:rPr>
            </w:pPr>
            <w:r w:rsidRPr="006D3CF8">
              <w:rPr>
                <w:rFonts w:ascii="Arial" w:hAnsi="Arial" w:cs="Arial"/>
                <w:b/>
                <w:bCs/>
                <w:sz w:val="20"/>
                <w:szCs w:val="20"/>
              </w:rPr>
              <w:t xml:space="preserve">piperacillin/tazobactam (or colistin) → meropenem → </w:t>
            </w:r>
            <w:r>
              <w:rPr>
                <w:rFonts w:ascii="Arial" w:hAnsi="Arial" w:cs="Arial"/>
                <w:b/>
                <w:bCs/>
                <w:sz w:val="20"/>
                <w:szCs w:val="20"/>
              </w:rPr>
              <w:t>CAZ-AVI</w:t>
            </w:r>
          </w:p>
          <w:p w14:paraId="515C9BE3" w14:textId="77777777" w:rsidR="0008114B" w:rsidRPr="006D3CF8" w:rsidRDefault="0008114B" w:rsidP="0008114B">
            <w:pPr>
              <w:pStyle w:val="ListParagraph"/>
              <w:numPr>
                <w:ilvl w:val="0"/>
                <w:numId w:val="35"/>
              </w:numPr>
              <w:rPr>
                <w:rFonts w:ascii="Arial" w:hAnsi="Arial" w:cs="Arial"/>
                <w:b/>
                <w:bCs/>
                <w:sz w:val="20"/>
                <w:szCs w:val="20"/>
              </w:rPr>
            </w:pPr>
            <w:r w:rsidRPr="006D3CF8">
              <w:rPr>
                <w:rFonts w:ascii="Arial" w:hAnsi="Arial" w:cs="Arial"/>
                <w:b/>
                <w:bCs/>
                <w:sz w:val="20"/>
                <w:szCs w:val="20"/>
              </w:rPr>
              <w:t xml:space="preserve">meropenem → piperacillin/tazobactam (or colistin) → </w:t>
            </w:r>
            <w:r>
              <w:rPr>
                <w:rFonts w:ascii="Arial" w:hAnsi="Arial" w:cs="Arial"/>
                <w:b/>
                <w:bCs/>
                <w:sz w:val="20"/>
                <w:szCs w:val="20"/>
              </w:rPr>
              <w:t>CAZ-AVI</w:t>
            </w:r>
          </w:p>
          <w:p w14:paraId="68D5262F" w14:textId="77777777" w:rsidR="0008114B" w:rsidRPr="001B5EE7" w:rsidRDefault="0008114B" w:rsidP="0008114B">
            <w:pPr>
              <w:pStyle w:val="ListParagraph"/>
              <w:numPr>
                <w:ilvl w:val="0"/>
                <w:numId w:val="35"/>
              </w:numPr>
              <w:rPr>
                <w:rFonts w:ascii="Arial" w:hAnsi="Arial" w:cs="Arial"/>
                <w:b/>
                <w:bCs/>
                <w:sz w:val="20"/>
                <w:szCs w:val="20"/>
              </w:rPr>
            </w:pPr>
            <w:r>
              <w:rPr>
                <w:rFonts w:ascii="Arial" w:hAnsi="Arial" w:cs="Arial"/>
                <w:b/>
                <w:bCs/>
                <w:sz w:val="20"/>
                <w:szCs w:val="20"/>
              </w:rPr>
              <w:t>CAZ-AVI</w:t>
            </w:r>
            <w:r w:rsidRPr="006D3CF8">
              <w:rPr>
                <w:rFonts w:ascii="Arial" w:hAnsi="Arial" w:cs="Arial"/>
                <w:b/>
                <w:bCs/>
                <w:sz w:val="20"/>
                <w:szCs w:val="20"/>
              </w:rPr>
              <w:t xml:space="preserve"> → piperacillin/tazobactam (or colistin) → meropenem</w:t>
            </w:r>
          </w:p>
          <w:p w14:paraId="5426C74B" w14:textId="77777777" w:rsidR="0008114B" w:rsidRPr="005F6D98" w:rsidRDefault="0008114B" w:rsidP="0008114B">
            <w:pPr>
              <w:rPr>
                <w:b/>
                <w:sz w:val="20"/>
              </w:rPr>
            </w:pPr>
            <w:r>
              <w:rPr>
                <w:rFonts w:cs="Arial"/>
                <w:b/>
                <w:bCs/>
                <w:sz w:val="20"/>
              </w:rPr>
              <w:t xml:space="preserve">The publication and technical report highlight the additional abilities of the model, however, these are not addressed in the company’s </w:t>
            </w:r>
            <w:r>
              <w:rPr>
                <w:rFonts w:cs="Arial"/>
                <w:b/>
                <w:bCs/>
                <w:sz w:val="20"/>
              </w:rPr>
              <w:lastRenderedPageBreak/>
              <w:t>submission due to the need to focus on depicting a scenario of both suspected and empiric usage treatment pathway. The diversity scenario was the best scenario to depict both forms of usage.</w:t>
            </w:r>
          </w:p>
        </w:tc>
      </w:tr>
      <w:tr w:rsidR="00A5430D" w:rsidRPr="00A573DE" w14:paraId="689BA30D" w14:textId="77777777" w:rsidTr="00A5430D">
        <w:tc>
          <w:tcPr>
            <w:tcW w:w="345" w:type="pct"/>
          </w:tcPr>
          <w:p w14:paraId="33B44ADD" w14:textId="77777777" w:rsidR="0008114B" w:rsidRPr="00A573DE" w:rsidRDefault="0008114B" w:rsidP="0008114B">
            <w:pPr>
              <w:widowControl w:val="0"/>
              <w:jc w:val="center"/>
              <w:rPr>
                <w:rFonts w:cs="Arial"/>
                <w:sz w:val="20"/>
              </w:rPr>
            </w:pPr>
            <w:r>
              <w:rPr>
                <w:rFonts w:cs="Arial"/>
                <w:sz w:val="20"/>
              </w:rPr>
              <w:lastRenderedPageBreak/>
              <w:t>25</w:t>
            </w:r>
          </w:p>
        </w:tc>
        <w:tc>
          <w:tcPr>
            <w:tcW w:w="417" w:type="pct"/>
          </w:tcPr>
          <w:p w14:paraId="26A8C166" w14:textId="77777777" w:rsidR="0008114B" w:rsidRPr="00A573DE" w:rsidRDefault="0008114B" w:rsidP="0008114B">
            <w:pPr>
              <w:widowControl w:val="0"/>
              <w:rPr>
                <w:rFonts w:cs="Arial"/>
                <w:sz w:val="20"/>
              </w:rPr>
            </w:pPr>
            <w:r w:rsidRPr="00A573DE">
              <w:rPr>
                <w:rFonts w:cs="Arial"/>
                <w:sz w:val="20"/>
              </w:rPr>
              <w:t>98</w:t>
            </w:r>
          </w:p>
        </w:tc>
        <w:tc>
          <w:tcPr>
            <w:tcW w:w="695" w:type="pct"/>
          </w:tcPr>
          <w:p w14:paraId="331039FA" w14:textId="77777777" w:rsidR="0008114B" w:rsidRPr="00A573DE" w:rsidRDefault="0008114B" w:rsidP="0008114B">
            <w:pPr>
              <w:widowControl w:val="0"/>
              <w:rPr>
                <w:rFonts w:cs="Arial"/>
                <w:sz w:val="20"/>
              </w:rPr>
            </w:pPr>
            <w:r w:rsidRPr="00A573DE">
              <w:rPr>
                <w:rFonts w:cs="Arial"/>
                <w:sz w:val="20"/>
              </w:rPr>
              <w:t>6.1.5.5</w:t>
            </w:r>
          </w:p>
        </w:tc>
        <w:tc>
          <w:tcPr>
            <w:tcW w:w="3543" w:type="pct"/>
            <w:gridSpan w:val="2"/>
          </w:tcPr>
          <w:p w14:paraId="108CF015" w14:textId="77777777" w:rsidR="0008114B" w:rsidRPr="00A573DE" w:rsidRDefault="0008114B" w:rsidP="0008114B">
            <w:pPr>
              <w:widowControl w:val="0"/>
              <w:rPr>
                <w:sz w:val="20"/>
                <w:szCs w:val="18"/>
              </w:rPr>
            </w:pPr>
            <w:r w:rsidRPr="00A573DE">
              <w:rPr>
                <w:sz w:val="20"/>
                <w:szCs w:val="18"/>
              </w:rPr>
              <w:t xml:space="preserve">“The description of treatment success is ambiguous in places: “after a patient is successfully treated, they may return to the susceptible or colonised health states” </w:t>
            </w:r>
            <w:proofErr w:type="gramStart"/>
            <w:r w:rsidRPr="00A573DE">
              <w:rPr>
                <w:sz w:val="20"/>
                <w:szCs w:val="18"/>
              </w:rPr>
              <w:t>is in contrast to</w:t>
            </w:r>
            <w:proofErr w:type="gramEnd"/>
            <w:r w:rsidRPr="00A573DE">
              <w:rPr>
                <w:sz w:val="20"/>
                <w:szCs w:val="18"/>
              </w:rPr>
              <w:t xml:space="preserve"> a suggestion that the pathogen is always eliminated: “The proportion of infections cleared, denoted by the symbol φ, corresponds to the likelihood that a patient has been successfully treated, resulting in the patient no longer being infected or colonised by the pathogen.” (p.11, Appendix K)”.</w:t>
            </w:r>
          </w:p>
          <w:p w14:paraId="09E31B51" w14:textId="77777777" w:rsidR="0008114B" w:rsidRPr="00A573DE" w:rsidRDefault="0008114B" w:rsidP="0008114B">
            <w:pPr>
              <w:widowControl w:val="0"/>
              <w:rPr>
                <w:rFonts w:cs="Arial"/>
                <w:sz w:val="20"/>
              </w:rPr>
            </w:pPr>
            <w:r w:rsidRPr="00A573DE">
              <w:rPr>
                <w:b/>
                <w:bCs/>
                <w:sz w:val="20"/>
                <w:szCs w:val="18"/>
              </w:rPr>
              <w:t xml:space="preserve">As clearly stated in the technical model report (appendix K to original company submission) it should be noted that φ is </w:t>
            </w:r>
            <w:r w:rsidRPr="00A573DE">
              <w:rPr>
                <w:b/>
                <w:bCs/>
                <w:sz w:val="20"/>
                <w:szCs w:val="18"/>
                <w:u w:val="single"/>
              </w:rPr>
              <w:t>only</w:t>
            </w:r>
            <w:r w:rsidRPr="00A573DE">
              <w:rPr>
                <w:b/>
                <w:bCs/>
                <w:sz w:val="20"/>
                <w:szCs w:val="18"/>
              </w:rPr>
              <w:t xml:space="preserve"> applied in indications where clearance of colonisation or infection is plausible (</w:t>
            </w:r>
            <w:proofErr w:type="gramStart"/>
            <w:r w:rsidRPr="00A573DE">
              <w:rPr>
                <w:b/>
                <w:bCs/>
                <w:sz w:val="20"/>
                <w:szCs w:val="18"/>
              </w:rPr>
              <w:t>i.e.</w:t>
            </w:r>
            <w:proofErr w:type="gramEnd"/>
            <w:r w:rsidRPr="00A573DE">
              <w:rPr>
                <w:b/>
                <w:bCs/>
                <w:sz w:val="20"/>
                <w:szCs w:val="18"/>
              </w:rPr>
              <w:t xml:space="preserve"> </w:t>
            </w:r>
            <w:proofErr w:type="spellStart"/>
            <w:r w:rsidRPr="00A573DE">
              <w:rPr>
                <w:b/>
                <w:bCs/>
                <w:sz w:val="20"/>
                <w:szCs w:val="18"/>
              </w:rPr>
              <w:t>cUTI</w:t>
            </w:r>
            <w:proofErr w:type="spellEnd"/>
            <w:r w:rsidRPr="00A573DE">
              <w:rPr>
                <w:b/>
                <w:bCs/>
                <w:sz w:val="20"/>
                <w:szCs w:val="18"/>
              </w:rPr>
              <w:t xml:space="preserve">). φ is applied at the final step of the treatment pathway and is considered for the health state profiles of newly admitted patients. </w:t>
            </w:r>
          </w:p>
        </w:tc>
      </w:tr>
      <w:tr w:rsidR="00A5430D" w:rsidRPr="00A573DE" w14:paraId="59C065EF" w14:textId="77777777" w:rsidTr="00A5430D">
        <w:tc>
          <w:tcPr>
            <w:tcW w:w="345" w:type="pct"/>
          </w:tcPr>
          <w:p w14:paraId="35CB2581" w14:textId="77777777" w:rsidR="0008114B" w:rsidRPr="00A573DE" w:rsidRDefault="0008114B" w:rsidP="0008114B">
            <w:pPr>
              <w:widowControl w:val="0"/>
              <w:jc w:val="center"/>
              <w:rPr>
                <w:rFonts w:cs="Arial"/>
                <w:sz w:val="20"/>
              </w:rPr>
            </w:pPr>
            <w:r>
              <w:rPr>
                <w:rFonts w:cs="Arial"/>
                <w:sz w:val="20"/>
              </w:rPr>
              <w:t>26</w:t>
            </w:r>
          </w:p>
        </w:tc>
        <w:tc>
          <w:tcPr>
            <w:tcW w:w="417" w:type="pct"/>
          </w:tcPr>
          <w:p w14:paraId="4D6AA266" w14:textId="77777777" w:rsidR="0008114B" w:rsidRPr="00A573DE" w:rsidRDefault="0008114B" w:rsidP="0008114B">
            <w:pPr>
              <w:widowControl w:val="0"/>
              <w:rPr>
                <w:rFonts w:cs="Arial"/>
                <w:sz w:val="20"/>
              </w:rPr>
            </w:pPr>
            <w:r w:rsidRPr="00A573DE">
              <w:rPr>
                <w:rFonts w:cs="Arial"/>
                <w:sz w:val="20"/>
              </w:rPr>
              <w:t>98</w:t>
            </w:r>
          </w:p>
        </w:tc>
        <w:tc>
          <w:tcPr>
            <w:tcW w:w="695" w:type="pct"/>
          </w:tcPr>
          <w:p w14:paraId="0EE50969" w14:textId="77777777" w:rsidR="0008114B" w:rsidRPr="00A573DE" w:rsidRDefault="0008114B" w:rsidP="0008114B">
            <w:pPr>
              <w:widowControl w:val="0"/>
              <w:rPr>
                <w:rFonts w:cs="Arial"/>
                <w:sz w:val="20"/>
              </w:rPr>
            </w:pPr>
            <w:r w:rsidRPr="00A573DE">
              <w:rPr>
                <w:rFonts w:cs="Arial"/>
                <w:sz w:val="20"/>
              </w:rPr>
              <w:t>6.1.5.5</w:t>
            </w:r>
          </w:p>
        </w:tc>
        <w:tc>
          <w:tcPr>
            <w:tcW w:w="3543" w:type="pct"/>
            <w:gridSpan w:val="2"/>
          </w:tcPr>
          <w:p w14:paraId="03A6B945" w14:textId="77777777" w:rsidR="0008114B" w:rsidRPr="00A573DE" w:rsidRDefault="0008114B" w:rsidP="0008114B">
            <w:pPr>
              <w:widowControl w:val="0"/>
              <w:rPr>
                <w:sz w:val="20"/>
              </w:rPr>
            </w:pPr>
            <w:r w:rsidRPr="00A573DE">
              <w:rPr>
                <w:sz w:val="20"/>
              </w:rPr>
              <w:t xml:space="preserve">“The model assumptions appear to be inconsistent regarding the transmission of resistant pathogens between colonised patients. The company submission states that “Patients may not move directly between different colonised health states” […] This appears to contradict the model schematic” </w:t>
            </w:r>
          </w:p>
          <w:p w14:paraId="2E1E416B" w14:textId="77777777" w:rsidR="0008114B" w:rsidRPr="00A573DE" w:rsidRDefault="0008114B" w:rsidP="0008114B">
            <w:pPr>
              <w:widowControl w:val="0"/>
              <w:rPr>
                <w:rFonts w:cs="Arial"/>
                <w:sz w:val="20"/>
              </w:rPr>
            </w:pPr>
            <w:r w:rsidRPr="00A573DE">
              <w:rPr>
                <w:rFonts w:cs="Arial"/>
                <w:b/>
                <w:bCs/>
                <w:sz w:val="20"/>
              </w:rPr>
              <w:t xml:space="preserve">The model schematic correctly depicts possible patient movement between health states. The patients </w:t>
            </w:r>
            <w:proofErr w:type="gramStart"/>
            <w:r w:rsidRPr="00A573DE">
              <w:rPr>
                <w:rFonts w:cs="Arial"/>
                <w:b/>
                <w:bCs/>
                <w:sz w:val="20"/>
              </w:rPr>
              <w:t>are able to</w:t>
            </w:r>
            <w:proofErr w:type="gramEnd"/>
            <w:r w:rsidRPr="00A573DE">
              <w:rPr>
                <w:rFonts w:cs="Arial"/>
                <w:b/>
                <w:bCs/>
                <w:sz w:val="20"/>
              </w:rPr>
              <w:t xml:space="preserve"> move directly between different colonised health states which is reflected in the model. The “not” would need to be removed from the model assumption section.</w:t>
            </w:r>
          </w:p>
        </w:tc>
      </w:tr>
      <w:tr w:rsidR="00A5430D" w:rsidRPr="00A573DE" w14:paraId="421373CA" w14:textId="77777777" w:rsidTr="00A5430D">
        <w:tc>
          <w:tcPr>
            <w:tcW w:w="345" w:type="pct"/>
          </w:tcPr>
          <w:p w14:paraId="45136747" w14:textId="77777777" w:rsidR="0008114B" w:rsidRPr="00A573DE" w:rsidRDefault="0008114B" w:rsidP="0008114B">
            <w:pPr>
              <w:widowControl w:val="0"/>
              <w:jc w:val="center"/>
              <w:rPr>
                <w:rFonts w:cs="Arial"/>
                <w:sz w:val="20"/>
              </w:rPr>
            </w:pPr>
            <w:r>
              <w:rPr>
                <w:rFonts w:cs="Arial"/>
                <w:sz w:val="20"/>
              </w:rPr>
              <w:t>27</w:t>
            </w:r>
          </w:p>
        </w:tc>
        <w:tc>
          <w:tcPr>
            <w:tcW w:w="417" w:type="pct"/>
          </w:tcPr>
          <w:p w14:paraId="146DE663" w14:textId="77777777" w:rsidR="0008114B" w:rsidRPr="00A573DE" w:rsidRDefault="0008114B" w:rsidP="0008114B">
            <w:pPr>
              <w:widowControl w:val="0"/>
              <w:rPr>
                <w:rFonts w:cs="Arial"/>
                <w:sz w:val="20"/>
              </w:rPr>
            </w:pPr>
            <w:r w:rsidRPr="00A573DE">
              <w:rPr>
                <w:rFonts w:cs="Arial"/>
                <w:sz w:val="20"/>
              </w:rPr>
              <w:t>99</w:t>
            </w:r>
          </w:p>
        </w:tc>
        <w:tc>
          <w:tcPr>
            <w:tcW w:w="695" w:type="pct"/>
          </w:tcPr>
          <w:p w14:paraId="572C2467" w14:textId="77777777" w:rsidR="0008114B" w:rsidRPr="00A573DE" w:rsidRDefault="0008114B" w:rsidP="0008114B">
            <w:pPr>
              <w:widowControl w:val="0"/>
              <w:rPr>
                <w:rFonts w:cs="Arial"/>
                <w:sz w:val="20"/>
              </w:rPr>
            </w:pPr>
            <w:r w:rsidRPr="00A573DE">
              <w:rPr>
                <w:rFonts w:cs="Arial"/>
                <w:sz w:val="20"/>
              </w:rPr>
              <w:t>6.1.5.5</w:t>
            </w:r>
          </w:p>
        </w:tc>
        <w:tc>
          <w:tcPr>
            <w:tcW w:w="3543" w:type="pct"/>
            <w:gridSpan w:val="2"/>
          </w:tcPr>
          <w:p w14:paraId="537D6559" w14:textId="77777777" w:rsidR="0008114B" w:rsidRPr="00A573DE" w:rsidRDefault="0008114B" w:rsidP="0008114B">
            <w:pPr>
              <w:widowControl w:val="0"/>
              <w:rPr>
                <w:rFonts w:cs="Arial"/>
                <w:sz w:val="20"/>
              </w:rPr>
            </w:pPr>
            <w:r w:rsidRPr="00A573DE">
              <w:rPr>
                <w:rFonts w:cs="Arial"/>
                <w:sz w:val="20"/>
              </w:rPr>
              <w:t>“The model assumes that on presentation, 20% of patients have known resistance […]. Further, no evidence is provided for the assumed 20% rate of directed testing.”</w:t>
            </w:r>
          </w:p>
          <w:p w14:paraId="0CA5F0AF" w14:textId="77777777" w:rsidR="0008114B" w:rsidRPr="00A573DE" w:rsidRDefault="0008114B" w:rsidP="0008114B">
            <w:pPr>
              <w:widowControl w:val="0"/>
              <w:rPr>
                <w:rFonts w:cs="Arial"/>
                <w:b/>
                <w:bCs/>
                <w:sz w:val="20"/>
              </w:rPr>
            </w:pPr>
            <w:r w:rsidRPr="00A573DE">
              <w:rPr>
                <w:rFonts w:cs="Arial"/>
                <w:b/>
                <w:bCs/>
                <w:sz w:val="20"/>
              </w:rPr>
              <w:t>The 20% were verified by experts in Delphi panel and the statement is presented in the Delphi panel report (Appendix L of original company submission).</w:t>
            </w:r>
          </w:p>
          <w:p w14:paraId="550F2BE3" w14:textId="77777777" w:rsidR="0008114B" w:rsidRPr="00A573DE" w:rsidRDefault="0008114B" w:rsidP="0008114B">
            <w:pPr>
              <w:widowControl w:val="0"/>
              <w:rPr>
                <w:rFonts w:cs="Arial"/>
                <w:b/>
                <w:bCs/>
                <w:sz w:val="20"/>
              </w:rPr>
            </w:pPr>
            <w:r w:rsidRPr="00A573DE">
              <w:rPr>
                <w:rFonts w:cs="Arial"/>
                <w:b/>
                <w:bCs/>
                <w:sz w:val="20"/>
              </w:rPr>
              <w:t>“</w:t>
            </w:r>
            <w:r w:rsidRPr="00A573DE">
              <w:rPr>
                <w:b/>
                <w:bCs/>
                <w:sz w:val="20"/>
              </w:rPr>
              <w:t>[C]</w:t>
            </w:r>
            <w:proofErr w:type="spellStart"/>
            <w:r w:rsidRPr="00A573DE">
              <w:rPr>
                <w:b/>
                <w:bCs/>
                <w:sz w:val="20"/>
              </w:rPr>
              <w:t>omments</w:t>
            </w:r>
            <w:proofErr w:type="spellEnd"/>
            <w:r w:rsidRPr="00A573DE">
              <w:rPr>
                <w:b/>
                <w:bCs/>
                <w:sz w:val="20"/>
              </w:rPr>
              <w:t xml:space="preserve"> indicated that 15% of patients receiving targeted therapy is reasonable but still quite low, the exact proportion would be highly variable in practice depending on the indication. In consideration of these comments, using 20% targeted therapy </w:t>
            </w:r>
            <w:proofErr w:type="gramStart"/>
            <w:r w:rsidRPr="00A573DE">
              <w:rPr>
                <w:b/>
                <w:bCs/>
                <w:sz w:val="20"/>
              </w:rPr>
              <w:t>was considered to be</w:t>
            </w:r>
            <w:proofErr w:type="gramEnd"/>
            <w:r w:rsidRPr="00A573DE">
              <w:rPr>
                <w:b/>
                <w:bCs/>
                <w:sz w:val="20"/>
              </w:rPr>
              <w:t xml:space="preserve"> a more appropriate representation of UK clinical practice and was incorporated into the base case model.”</w:t>
            </w:r>
          </w:p>
        </w:tc>
      </w:tr>
      <w:tr w:rsidR="00A5430D" w:rsidRPr="00A573DE" w14:paraId="2E5CF1A7" w14:textId="77777777" w:rsidTr="00A5430D">
        <w:tc>
          <w:tcPr>
            <w:tcW w:w="345" w:type="pct"/>
          </w:tcPr>
          <w:p w14:paraId="7F4DDB6E" w14:textId="77777777" w:rsidR="0008114B" w:rsidRPr="00A573DE" w:rsidRDefault="0008114B" w:rsidP="0008114B">
            <w:pPr>
              <w:widowControl w:val="0"/>
              <w:jc w:val="center"/>
              <w:rPr>
                <w:rFonts w:cs="Arial"/>
                <w:sz w:val="20"/>
              </w:rPr>
            </w:pPr>
            <w:r>
              <w:rPr>
                <w:rFonts w:cs="Arial"/>
                <w:sz w:val="20"/>
              </w:rPr>
              <w:t>28</w:t>
            </w:r>
          </w:p>
        </w:tc>
        <w:tc>
          <w:tcPr>
            <w:tcW w:w="417" w:type="pct"/>
          </w:tcPr>
          <w:p w14:paraId="68E7FD00" w14:textId="77777777" w:rsidR="0008114B" w:rsidRPr="00A573DE" w:rsidRDefault="0008114B" w:rsidP="0008114B">
            <w:pPr>
              <w:widowControl w:val="0"/>
              <w:rPr>
                <w:rFonts w:cs="Arial"/>
                <w:sz w:val="20"/>
              </w:rPr>
            </w:pPr>
            <w:r w:rsidRPr="00A573DE">
              <w:rPr>
                <w:rFonts w:cs="Arial"/>
                <w:sz w:val="20"/>
              </w:rPr>
              <w:t>99</w:t>
            </w:r>
          </w:p>
        </w:tc>
        <w:tc>
          <w:tcPr>
            <w:tcW w:w="695" w:type="pct"/>
          </w:tcPr>
          <w:p w14:paraId="26E1D486" w14:textId="77777777" w:rsidR="0008114B" w:rsidRPr="00A573DE" w:rsidRDefault="0008114B" w:rsidP="0008114B">
            <w:pPr>
              <w:widowControl w:val="0"/>
              <w:rPr>
                <w:rFonts w:cs="Arial"/>
                <w:sz w:val="20"/>
              </w:rPr>
            </w:pPr>
            <w:r w:rsidRPr="00A573DE">
              <w:rPr>
                <w:rFonts w:cs="Arial"/>
                <w:sz w:val="20"/>
              </w:rPr>
              <w:t>6.1.5.5</w:t>
            </w:r>
          </w:p>
        </w:tc>
        <w:tc>
          <w:tcPr>
            <w:tcW w:w="3543" w:type="pct"/>
            <w:gridSpan w:val="2"/>
          </w:tcPr>
          <w:p w14:paraId="40A2E542" w14:textId="77777777" w:rsidR="0008114B" w:rsidRPr="00A573DE" w:rsidRDefault="0008114B" w:rsidP="0008114B">
            <w:pPr>
              <w:widowControl w:val="0"/>
              <w:rPr>
                <w:rFonts w:cs="Arial"/>
                <w:sz w:val="20"/>
              </w:rPr>
            </w:pPr>
            <w:r w:rsidRPr="00A573DE">
              <w:rPr>
                <w:rFonts w:cs="Arial"/>
                <w:sz w:val="20"/>
              </w:rPr>
              <w:t>“The clinical advisors to EEPRU believe that complete eradication is unlikely to happen as there will always be a reservoir of the pathogen remaining in the gut.”</w:t>
            </w:r>
          </w:p>
          <w:p w14:paraId="4441E0E1" w14:textId="77777777" w:rsidR="0008114B" w:rsidRPr="00A573DE" w:rsidRDefault="0008114B" w:rsidP="0008114B">
            <w:pPr>
              <w:widowControl w:val="0"/>
              <w:rPr>
                <w:rFonts w:cs="Arial"/>
                <w:b/>
                <w:bCs/>
                <w:sz w:val="20"/>
              </w:rPr>
            </w:pPr>
            <w:r w:rsidRPr="00A573DE">
              <w:rPr>
                <w:rFonts w:cs="Arial"/>
                <w:b/>
                <w:bCs/>
                <w:sz w:val="20"/>
              </w:rPr>
              <w:t xml:space="preserve">Pfizer stated that only patients with </w:t>
            </w:r>
            <w:proofErr w:type="spellStart"/>
            <w:r w:rsidRPr="00A573DE">
              <w:rPr>
                <w:rFonts w:cs="Arial"/>
                <w:b/>
                <w:bCs/>
                <w:sz w:val="20"/>
              </w:rPr>
              <w:t>cUTI</w:t>
            </w:r>
            <w:proofErr w:type="spellEnd"/>
            <w:r w:rsidRPr="00A573DE">
              <w:rPr>
                <w:rFonts w:cs="Arial"/>
                <w:b/>
                <w:bCs/>
                <w:sz w:val="20"/>
              </w:rPr>
              <w:t xml:space="preserve"> would lose colonisation after successful treatment which was based on a publication from </w:t>
            </w:r>
            <w:proofErr w:type="spellStart"/>
            <w:r w:rsidRPr="00A573DE">
              <w:rPr>
                <w:rFonts w:cs="Arial"/>
                <w:b/>
                <w:bCs/>
                <w:sz w:val="20"/>
              </w:rPr>
              <w:t>Tlaskalová-Hogenová</w:t>
            </w:r>
            <w:proofErr w:type="spellEnd"/>
            <w:r w:rsidRPr="00A573DE">
              <w:rPr>
                <w:rFonts w:cs="Arial"/>
                <w:b/>
                <w:bCs/>
                <w:sz w:val="20"/>
              </w:rPr>
              <w:t xml:space="preserve"> </w:t>
            </w:r>
            <w:r w:rsidRPr="00743483">
              <w:rPr>
                <w:rFonts w:cs="Arial"/>
                <w:b/>
                <w:i/>
                <w:sz w:val="20"/>
              </w:rPr>
              <w:t>et al</w:t>
            </w:r>
            <w:r w:rsidRPr="00A573DE">
              <w:rPr>
                <w:rFonts w:cs="Arial"/>
                <w:b/>
                <w:bCs/>
                <w:sz w:val="20"/>
              </w:rPr>
              <w:t>.</w:t>
            </w:r>
            <w:r w:rsidRPr="00A573DE">
              <w:rPr>
                <w:rFonts w:cs="Arial"/>
                <w:b/>
                <w:bCs/>
                <w:sz w:val="20"/>
              </w:rPr>
              <w:fldChar w:fldCharType="begin"/>
            </w:r>
            <w:r>
              <w:rPr>
                <w:rFonts w:cs="Arial"/>
                <w:b/>
                <w:bCs/>
                <w:sz w:val="20"/>
              </w:rPr>
              <w:instrText xml:space="preserve"> ADDIN EN.CITE &lt;EndNote&gt;&lt;Cite&gt;&lt;Author&gt;Tlaskalová-Hogenová&lt;/Author&gt;&lt;Year&gt;2004&lt;/Year&gt;&lt;RecNum&gt;1&lt;/RecNum&gt;&lt;DisplayText&gt;&lt;style face="superscript"&gt;22&lt;/style&gt;&lt;/DisplayText&gt;&lt;record&gt;&lt;rec-number&gt;1&lt;/rec-number&gt;&lt;foreign-keys&gt;&lt;key app="EN" db-id="pd5s0xr0250t2qevxfgxpvwp5eaztd2pavxx" timestamp="1638891448"&gt;1&lt;/key&gt;&lt;/foreign-keys&gt;&lt;ref-type name="Journal Article"&gt;17&lt;/ref-type&gt;&lt;contributors&gt;&lt;authors&gt;&lt;author&gt;Tlaskalová-Hogenová, Helena&lt;/author&gt;&lt;author&gt;Štěpánková, Renata&lt;/author&gt;&lt;author&gt;Hudcovic, Tomáš&lt;/author&gt;&lt;author&gt;Tučková, Ludmila&lt;/author&gt;&lt;author&gt;Cukrowska, Božena&lt;/author&gt;&lt;author&gt;Lodinová-Žádnı́ková, Rája&lt;/author&gt;&lt;author&gt;Kozáková, Hana&lt;/author&gt;&lt;author&gt;Rossmann, Pavel&lt;/author&gt;&lt;author&gt;Bártová, Jiřina&lt;/author&gt;&lt;author&gt;Sokol, Dan&lt;/author&gt;&lt;author&gt;Funda, David P.&lt;/author&gt;&lt;author&gt;Borovská, Dana&lt;/author&gt;&lt;author&gt;Řeháková, Zuzana&lt;/author&gt;&lt;author&gt;Šinkora, Jiřı́&lt;/author&gt;&lt;author&gt;Hofman, Jaroslav&lt;/author&gt;&lt;author&gt;Drastich, Pavel&lt;/author&gt;&lt;author&gt;Kokešová, Alena&lt;/author&gt;&lt;/authors&gt;&lt;/contributors&gt;&lt;titles&gt;&lt;title&gt;Commensal bacteria (normal microflora), mucosal immunity and chronic inflammatory and autoimmune diseases&lt;/title&gt;&lt;secondary-title&gt;Immunology Letters&lt;/secondary-title&gt;&lt;/titles&gt;&lt;periodical&gt;&lt;full-title&gt;Immunology Letters&lt;/full-title&gt;&lt;/periodical&gt;&lt;pages&gt;97-108&lt;/pages&gt;&lt;volume&gt;93&lt;/volume&gt;&lt;number&gt;2&lt;/number&gt;&lt;keywords&gt;&lt;keyword&gt;Mucosal microbiota&lt;/keyword&gt;&lt;keyword&gt;Intestinal barrier&lt;/keyword&gt;&lt;keyword&gt;Germ-free animal&lt;/keyword&gt;&lt;keyword&gt;Gut inflammation&lt;/keyword&gt;&lt;keyword&gt;Allergy&lt;/keyword&gt;&lt;keyword&gt;Autoimmunity&lt;/keyword&gt;&lt;keyword&gt;Probiotics&lt;/keyword&gt;&lt;/keywords&gt;&lt;dates&gt;&lt;year&gt;2004&lt;/year&gt;&lt;pub-dates&gt;&lt;date&gt;2004/05/15/&lt;/date&gt;&lt;/pub-dates&gt;&lt;/dates&gt;&lt;isbn&gt;0165-2478&lt;/isbn&gt;&lt;urls&gt;&lt;related-urls&gt;&lt;url&gt;http://www.sciencedirect.com/science/article/pii/S0165247804000379&lt;/url&gt;&lt;/related-urls&gt;&lt;/urls&gt;&lt;electronic-resource-num&gt;https://doi.org/10.1016/j.imlet.2004.02.005&lt;/electronic-resource-num&gt;&lt;/record&gt;&lt;/Cite&gt;&lt;/EndNote&gt;</w:instrText>
            </w:r>
            <w:r w:rsidRPr="00A573DE">
              <w:rPr>
                <w:rFonts w:cs="Arial"/>
                <w:b/>
                <w:bCs/>
                <w:sz w:val="20"/>
              </w:rPr>
              <w:fldChar w:fldCharType="separate"/>
            </w:r>
            <w:r w:rsidRPr="002F79F9">
              <w:rPr>
                <w:rFonts w:cs="Arial"/>
                <w:b/>
                <w:bCs/>
                <w:noProof/>
                <w:sz w:val="20"/>
                <w:vertAlign w:val="superscript"/>
              </w:rPr>
              <w:t>22</w:t>
            </w:r>
            <w:r w:rsidRPr="00A573DE">
              <w:rPr>
                <w:rFonts w:cs="Arial"/>
                <w:b/>
                <w:bCs/>
                <w:sz w:val="20"/>
              </w:rPr>
              <w:fldChar w:fldCharType="end"/>
            </w:r>
            <w:r w:rsidRPr="00A573DE">
              <w:rPr>
                <w:rFonts w:cs="Arial"/>
                <w:b/>
                <w:bCs/>
                <w:sz w:val="20"/>
              </w:rPr>
              <w:t xml:space="preserve"> Additionally, Pfizer conducted an expert elicitation, and the medical experts did not reach consensus but stated that it would depend on whether a patient s with cUTI have a device or not. In general, to build economic models pragmatic approaches are required and model simplification need to be made. The company determined that an incomplete eradication would not have a significant impact on the establishing the value of </w:t>
            </w:r>
            <w:r>
              <w:rPr>
                <w:rFonts w:cs="Arial"/>
                <w:b/>
                <w:bCs/>
                <w:sz w:val="20"/>
              </w:rPr>
              <w:t>CAZ-AVI</w:t>
            </w:r>
            <w:r w:rsidRPr="00A573DE">
              <w:rPr>
                <w:rFonts w:cs="Arial"/>
                <w:b/>
                <w:bCs/>
                <w:sz w:val="20"/>
              </w:rPr>
              <w:t xml:space="preserve">. </w:t>
            </w:r>
            <w:r>
              <w:rPr>
                <w:rFonts w:cs="Arial"/>
                <w:b/>
                <w:bCs/>
                <w:sz w:val="20"/>
              </w:rPr>
              <w:t>This was also previously validated as part of the peer reviewed publication</w:t>
            </w:r>
            <w:r>
              <w:rPr>
                <w:rFonts w:cs="Arial"/>
                <w:b/>
                <w:bCs/>
                <w:sz w:val="20"/>
              </w:rPr>
              <w:fldChar w:fldCharType="begin"/>
            </w:r>
            <w:r>
              <w:rPr>
                <w:rFonts w:cs="Arial"/>
                <w:b/>
                <w:bCs/>
                <w:sz w:val="20"/>
              </w:rPr>
              <w:instrText xml:space="preserve"> ADDIN EN.CITE &lt;EndNote&gt;&lt;Cite&gt;&lt;Author&gt;Gordon&lt;/Author&gt;&lt;Year&gt;2020&lt;/Year&gt;&lt;RecNum&gt;11&lt;/RecNum&gt;&lt;DisplayText&gt;&lt;style face="superscript"&gt;5&lt;/style&gt;&lt;/DisplayText&gt;&lt;record&gt;&lt;rec-number&gt;11&lt;/rec-number&gt;&lt;foreign-keys&gt;&lt;key app="EN" db-id="pd5s0xr0250t2qevxfgxpvwp5eaztd2pavxx" timestamp="1638912392"&gt;11&lt;/key&gt;&lt;/foreign-keys&gt;&lt;ref-type name="Journal Article"&gt;17&lt;/ref-type&gt;&lt;contributors&gt;&lt;authors&gt;&lt;author&gt;Gordon, J.&lt;/author&gt;&lt;author&gt;Darlington, O.&lt;/author&gt;&lt;author&gt;McEwan, P.&lt;/author&gt;&lt;author&gt;Lumley, M.&lt;/author&gt;&lt;author&gt;Taie, A.&lt;/author&gt;&lt;author&gt;Hicks, M.&lt;/author&gt;&lt;author&gt;Charbonneau, C.&lt;/author&gt;&lt;author&gt;Blake, A.&lt;/author&gt;&lt;author&gt;Hawkins, N.&lt;/author&gt;&lt;author&gt;Goldenberg, S.&lt;/author&gt;&lt;author&gt;Otter, J.&lt;/author&gt;&lt;author&gt;Wilcox, M.&lt;/author&gt;&lt;/authors&gt;&lt;/contributors&gt;&lt;auth-address&gt;Health Economics and Outcomes Research Limited, Birmingham, UK. jason.gordon@heor.co.uk.&amp;#xD;Health Economics and Outcomes Research Limited, Cardiff, UK.&amp;#xD;Pfizer, Tadworth, UK.&amp;#xD;University of Glasgow, Glasgow, UK.&amp;#xD;Guy&amp;apos;s and St Thomas&amp;apos; NHS Foundation Trust, London, UK.&amp;#xD;Imperial College London, London, UK.&amp;#xD;University of Leeds, Leeds, UK.&lt;/auth-address&gt;&lt;titles&gt;&lt;title&gt;Estimating the Value of New Antimicrobials in the Context of Antimicrobial Resistance: Development and Application of a Dynamic Disease Transmission Model&lt;/title&gt;&lt;secondary-title&gt;Pharmacoeconomics&lt;/secondary-title&gt;&lt;/titles&gt;&lt;periodical&gt;&lt;full-title&gt;Pharmacoeconomics&lt;/full-title&gt;&lt;/periodical&gt;&lt;pages&gt;857-869&lt;/pages&gt;&lt;volume&gt;38&lt;/volume&gt;&lt;number&gt;8&lt;/number&gt;&lt;edition&gt;2020/04/07&lt;/edition&gt;&lt;dates&gt;&lt;year&gt;2020&lt;/year&gt;&lt;pub-dates&gt;&lt;date&gt;Aug&lt;/date&gt;&lt;/pub-dates&gt;&lt;/dates&gt;&lt;isbn&gt;1170-7690&lt;/isbn&gt;&lt;accession-num&gt;32249396&lt;/accession-num&gt;&lt;urls&gt;&lt;/urls&gt;&lt;electronic-resource-num&gt;10.1007/s40273-020-00906-6&lt;/electronic-resource-num&gt;&lt;remote-database-provider&gt;NLM&lt;/remote-database-provider&gt;&lt;language&gt;eng&lt;/language&gt;&lt;/record&gt;&lt;/Cite&gt;&lt;/EndNote&gt;</w:instrText>
            </w:r>
            <w:r>
              <w:rPr>
                <w:rFonts w:cs="Arial"/>
                <w:b/>
                <w:bCs/>
                <w:sz w:val="20"/>
              </w:rPr>
              <w:fldChar w:fldCharType="separate"/>
            </w:r>
            <w:r w:rsidRPr="00B94641">
              <w:rPr>
                <w:rFonts w:cs="Arial"/>
                <w:b/>
                <w:bCs/>
                <w:noProof/>
                <w:sz w:val="20"/>
                <w:vertAlign w:val="superscript"/>
              </w:rPr>
              <w:t>5</w:t>
            </w:r>
            <w:r>
              <w:rPr>
                <w:rFonts w:cs="Arial"/>
                <w:b/>
                <w:bCs/>
                <w:sz w:val="20"/>
              </w:rPr>
              <w:fldChar w:fldCharType="end"/>
            </w:r>
            <w:r>
              <w:rPr>
                <w:rFonts w:cs="Arial"/>
                <w:b/>
                <w:bCs/>
                <w:sz w:val="20"/>
              </w:rPr>
              <w:t xml:space="preserve"> and the Delphi panel (see Appendix L of company submission). </w:t>
            </w:r>
          </w:p>
        </w:tc>
      </w:tr>
      <w:tr w:rsidR="00A5430D" w:rsidRPr="00A573DE" w14:paraId="10BF1191" w14:textId="77777777" w:rsidTr="00A5430D">
        <w:tc>
          <w:tcPr>
            <w:tcW w:w="345" w:type="pct"/>
          </w:tcPr>
          <w:p w14:paraId="3EAF6C4F" w14:textId="77777777" w:rsidR="0008114B" w:rsidRPr="00A573DE" w:rsidRDefault="0008114B" w:rsidP="0008114B">
            <w:pPr>
              <w:widowControl w:val="0"/>
              <w:jc w:val="center"/>
              <w:rPr>
                <w:rFonts w:cs="Arial"/>
                <w:sz w:val="20"/>
              </w:rPr>
            </w:pPr>
            <w:r>
              <w:rPr>
                <w:rFonts w:cs="Arial"/>
                <w:sz w:val="20"/>
              </w:rPr>
              <w:t>29</w:t>
            </w:r>
          </w:p>
        </w:tc>
        <w:tc>
          <w:tcPr>
            <w:tcW w:w="417" w:type="pct"/>
          </w:tcPr>
          <w:p w14:paraId="6ADAE7F7" w14:textId="77777777" w:rsidR="0008114B" w:rsidRPr="00A573DE" w:rsidRDefault="0008114B" w:rsidP="0008114B">
            <w:pPr>
              <w:widowControl w:val="0"/>
              <w:rPr>
                <w:rFonts w:cs="Arial"/>
                <w:sz w:val="20"/>
              </w:rPr>
            </w:pPr>
            <w:r w:rsidRPr="00A573DE">
              <w:rPr>
                <w:rFonts w:cs="Arial"/>
                <w:sz w:val="20"/>
              </w:rPr>
              <w:t>100</w:t>
            </w:r>
          </w:p>
        </w:tc>
        <w:tc>
          <w:tcPr>
            <w:tcW w:w="695" w:type="pct"/>
          </w:tcPr>
          <w:p w14:paraId="6B01E3B1" w14:textId="77777777" w:rsidR="0008114B" w:rsidRPr="00A573DE" w:rsidRDefault="0008114B" w:rsidP="0008114B">
            <w:pPr>
              <w:widowControl w:val="0"/>
              <w:rPr>
                <w:rFonts w:cs="Arial"/>
                <w:sz w:val="20"/>
              </w:rPr>
            </w:pPr>
            <w:r w:rsidRPr="00A573DE">
              <w:rPr>
                <w:rFonts w:cs="Arial"/>
                <w:sz w:val="20"/>
              </w:rPr>
              <w:t>6.1.5.5</w:t>
            </w:r>
          </w:p>
        </w:tc>
        <w:tc>
          <w:tcPr>
            <w:tcW w:w="3543" w:type="pct"/>
            <w:gridSpan w:val="2"/>
          </w:tcPr>
          <w:p w14:paraId="4288EBF8" w14:textId="77777777" w:rsidR="0008114B" w:rsidRPr="00A573DE" w:rsidRDefault="0008114B" w:rsidP="0008114B">
            <w:pPr>
              <w:widowControl w:val="0"/>
              <w:rPr>
                <w:rFonts w:cs="Arial"/>
                <w:sz w:val="20"/>
              </w:rPr>
            </w:pPr>
            <w:r w:rsidRPr="00A573DE">
              <w:rPr>
                <w:rFonts w:cs="Arial"/>
                <w:sz w:val="20"/>
              </w:rPr>
              <w:t>“[...</w:t>
            </w:r>
            <w:proofErr w:type="gramStart"/>
            <w:r w:rsidRPr="00A573DE">
              <w:rPr>
                <w:rFonts w:cs="Arial"/>
                <w:sz w:val="20"/>
              </w:rPr>
              <w:t>T]he</w:t>
            </w:r>
            <w:proofErr w:type="gramEnd"/>
            <w:r w:rsidRPr="00A573DE">
              <w:rPr>
                <w:rFonts w:cs="Arial"/>
                <w:sz w:val="20"/>
              </w:rPr>
              <w:t xml:space="preserve"> company’s model applies a two-line sequence as the comparator (it is unclear if a treatment could be used twice). A clear justification for choice of </w:t>
            </w:r>
            <w:r w:rsidRPr="00A573DE">
              <w:rPr>
                <w:rFonts w:cs="Arial"/>
                <w:sz w:val="20"/>
              </w:rPr>
              <w:lastRenderedPageBreak/>
              <w:t>comparators is not provided in the company’s submission.”</w:t>
            </w:r>
          </w:p>
          <w:p w14:paraId="19D16DE0" w14:textId="77777777" w:rsidR="0008114B" w:rsidRDefault="0008114B" w:rsidP="0008114B">
            <w:pPr>
              <w:widowControl w:val="0"/>
              <w:rPr>
                <w:rFonts w:cs="Arial"/>
                <w:b/>
                <w:bCs/>
                <w:sz w:val="20"/>
              </w:rPr>
            </w:pPr>
            <w:r w:rsidRPr="00A573DE">
              <w:rPr>
                <w:rFonts w:cs="Arial"/>
                <w:b/>
                <w:bCs/>
                <w:sz w:val="20"/>
              </w:rPr>
              <w:t xml:space="preserve">The model assumes that patients may receive up to three treatment lines, as a simplified assumption. In theory, more treatment lines could be added, however, this would increase the complexity of the disease transmission component and decrease the user-friendliness of the model. In scenarios without </w:t>
            </w:r>
            <w:r>
              <w:rPr>
                <w:rFonts w:cs="Arial"/>
                <w:b/>
                <w:bCs/>
                <w:sz w:val="20"/>
              </w:rPr>
              <w:t>CAZ-AVI</w:t>
            </w:r>
            <w:r w:rsidRPr="00A573DE">
              <w:rPr>
                <w:rFonts w:cs="Arial"/>
                <w:b/>
                <w:bCs/>
                <w:sz w:val="20"/>
              </w:rPr>
              <w:t xml:space="preserve">, only two-lines of treatment were considered where the same treatment cannot be used twice. As stated above when building an economic model, simplifications are necessary especially when the value of adding further complexity is potentially not adding to the value of, in this case, </w:t>
            </w:r>
            <w:r>
              <w:rPr>
                <w:rFonts w:cs="Arial"/>
                <w:b/>
                <w:bCs/>
                <w:sz w:val="20"/>
              </w:rPr>
              <w:t>CAZ-AVI</w:t>
            </w:r>
            <w:r w:rsidRPr="00A573DE">
              <w:rPr>
                <w:rFonts w:cs="Arial"/>
                <w:b/>
                <w:bCs/>
                <w:sz w:val="20"/>
              </w:rPr>
              <w:t xml:space="preserve">. Additionally, the EEPRU model did not use more than two treatment lines in their model. Additionally, Pfizer questions what impact an additional line would have. From a clinical perspective the addition of </w:t>
            </w:r>
            <w:r>
              <w:rPr>
                <w:rFonts w:cs="Arial"/>
                <w:b/>
                <w:bCs/>
                <w:sz w:val="20"/>
              </w:rPr>
              <w:t>CAZ-AVI</w:t>
            </w:r>
            <w:r w:rsidRPr="00A573DE">
              <w:rPr>
                <w:rFonts w:cs="Arial"/>
                <w:b/>
                <w:bCs/>
                <w:sz w:val="20"/>
              </w:rPr>
              <w:t xml:space="preserve"> should provide an additional treatment option and not be considered as a potential third line agent.</w:t>
            </w:r>
          </w:p>
          <w:p w14:paraId="1270E99E" w14:textId="77777777" w:rsidR="0008114B" w:rsidRPr="00A573DE" w:rsidRDefault="0008114B" w:rsidP="0008114B">
            <w:pPr>
              <w:widowControl w:val="0"/>
              <w:rPr>
                <w:rFonts w:cs="Arial"/>
                <w:b/>
                <w:bCs/>
                <w:sz w:val="20"/>
              </w:rPr>
            </w:pPr>
            <w:r>
              <w:rPr>
                <w:rFonts w:cs="Arial"/>
                <w:b/>
                <w:bCs/>
                <w:sz w:val="20"/>
              </w:rPr>
              <w:t xml:space="preserve">All simplifications were validated by extensive expert elicitation, including the Delphi panel exercise where results in full were submitted as part of the company’s submission. </w:t>
            </w:r>
          </w:p>
        </w:tc>
      </w:tr>
      <w:tr w:rsidR="0008114B" w:rsidRPr="00A573DE" w14:paraId="782F10B0" w14:textId="77777777" w:rsidTr="00A5430D">
        <w:tc>
          <w:tcPr>
            <w:tcW w:w="5000" w:type="pct"/>
            <w:gridSpan w:val="5"/>
          </w:tcPr>
          <w:p w14:paraId="0D119FE0" w14:textId="13B88D75" w:rsidR="0008114B" w:rsidRPr="00A573DE" w:rsidRDefault="0008114B" w:rsidP="0008114B">
            <w:pPr>
              <w:widowControl w:val="0"/>
              <w:rPr>
                <w:rFonts w:cs="Arial"/>
                <w:b/>
                <w:bCs/>
                <w:sz w:val="20"/>
              </w:rPr>
            </w:pPr>
            <w:r w:rsidRPr="00A573DE">
              <w:rPr>
                <w:rFonts w:cs="Arial"/>
                <w:b/>
                <w:bCs/>
                <w:sz w:val="20"/>
              </w:rPr>
              <w:lastRenderedPageBreak/>
              <w:t xml:space="preserve">Model validation (see </w:t>
            </w:r>
            <w:r w:rsidR="001413A6">
              <w:rPr>
                <w:rFonts w:cs="Arial"/>
                <w:b/>
                <w:bCs/>
                <w:sz w:val="20"/>
              </w:rPr>
              <w:fldChar w:fldCharType="begin"/>
            </w:r>
            <w:r w:rsidR="001413A6">
              <w:rPr>
                <w:rFonts w:cs="Arial"/>
                <w:b/>
                <w:bCs/>
                <w:sz w:val="20"/>
              </w:rPr>
              <w:instrText xml:space="preserve"> REF _Ref90421680 \r \h </w:instrText>
            </w:r>
            <w:r w:rsidR="001413A6">
              <w:rPr>
                <w:rFonts w:cs="Arial"/>
                <w:b/>
                <w:bCs/>
                <w:sz w:val="20"/>
              </w:rPr>
            </w:r>
            <w:r w:rsidR="001413A6">
              <w:rPr>
                <w:rFonts w:cs="Arial"/>
                <w:b/>
                <w:bCs/>
                <w:sz w:val="20"/>
              </w:rPr>
              <w:fldChar w:fldCharType="separate"/>
            </w:r>
            <w:r w:rsidR="001413A6">
              <w:rPr>
                <w:rFonts w:cs="Arial"/>
                <w:b/>
                <w:bCs/>
                <w:sz w:val="20"/>
              </w:rPr>
              <w:t>Issue 3</w:t>
            </w:r>
            <w:r w:rsidR="001413A6">
              <w:rPr>
                <w:rFonts w:cs="Arial"/>
                <w:b/>
                <w:bCs/>
                <w:sz w:val="20"/>
              </w:rPr>
              <w:fldChar w:fldCharType="end"/>
            </w:r>
            <w:r>
              <w:rPr>
                <w:rFonts w:cs="Arial"/>
                <w:b/>
                <w:bCs/>
                <w:sz w:val="20"/>
              </w:rPr>
              <w:t xml:space="preserve"> </w:t>
            </w:r>
            <w:r w:rsidRPr="00A573DE">
              <w:rPr>
                <w:rFonts w:cs="Arial"/>
                <w:b/>
                <w:bCs/>
                <w:sz w:val="20"/>
              </w:rPr>
              <w:t>for further clarification)</w:t>
            </w:r>
          </w:p>
        </w:tc>
      </w:tr>
      <w:tr w:rsidR="00A5430D" w:rsidRPr="00A573DE" w14:paraId="39F928C9" w14:textId="77777777" w:rsidTr="00A5430D">
        <w:trPr>
          <w:trHeight w:val="2590"/>
        </w:trPr>
        <w:tc>
          <w:tcPr>
            <w:tcW w:w="345" w:type="pct"/>
          </w:tcPr>
          <w:p w14:paraId="40A0389B" w14:textId="77777777" w:rsidR="0008114B" w:rsidRPr="00A573DE" w:rsidRDefault="0008114B" w:rsidP="0008114B">
            <w:pPr>
              <w:widowControl w:val="0"/>
              <w:jc w:val="center"/>
              <w:rPr>
                <w:rFonts w:cs="Arial"/>
                <w:sz w:val="20"/>
              </w:rPr>
            </w:pPr>
            <w:r>
              <w:rPr>
                <w:rFonts w:cs="Arial"/>
                <w:sz w:val="20"/>
              </w:rPr>
              <w:t>30</w:t>
            </w:r>
          </w:p>
        </w:tc>
        <w:tc>
          <w:tcPr>
            <w:tcW w:w="417" w:type="pct"/>
          </w:tcPr>
          <w:p w14:paraId="5DA87822" w14:textId="77777777" w:rsidR="0008114B" w:rsidRPr="00A573DE" w:rsidRDefault="0008114B" w:rsidP="0008114B">
            <w:pPr>
              <w:widowControl w:val="0"/>
              <w:rPr>
                <w:rFonts w:cs="Arial"/>
                <w:sz w:val="20"/>
              </w:rPr>
            </w:pPr>
            <w:r w:rsidRPr="00A573DE">
              <w:rPr>
                <w:rFonts w:cs="Arial"/>
                <w:sz w:val="20"/>
              </w:rPr>
              <w:t>102</w:t>
            </w:r>
          </w:p>
        </w:tc>
        <w:tc>
          <w:tcPr>
            <w:tcW w:w="695" w:type="pct"/>
          </w:tcPr>
          <w:p w14:paraId="2315AAC9" w14:textId="77777777" w:rsidR="0008114B" w:rsidRPr="00A573DE" w:rsidRDefault="0008114B" w:rsidP="0008114B">
            <w:pPr>
              <w:widowControl w:val="0"/>
              <w:rPr>
                <w:rFonts w:cs="Arial"/>
                <w:sz w:val="20"/>
              </w:rPr>
            </w:pPr>
            <w:r w:rsidRPr="00A573DE">
              <w:rPr>
                <w:rFonts w:cs="Arial"/>
                <w:sz w:val="20"/>
              </w:rPr>
              <w:t>6.1.5.6</w:t>
            </w:r>
          </w:p>
        </w:tc>
        <w:tc>
          <w:tcPr>
            <w:tcW w:w="3543" w:type="pct"/>
            <w:gridSpan w:val="2"/>
          </w:tcPr>
          <w:p w14:paraId="1145B338" w14:textId="77777777" w:rsidR="0008114B" w:rsidRPr="00A573DE" w:rsidRDefault="0008114B" w:rsidP="0008114B">
            <w:pPr>
              <w:pStyle w:val="NICEnormal"/>
              <w:spacing w:after="0" w:line="240" w:lineRule="auto"/>
              <w:rPr>
                <w:rFonts w:cs="Arial"/>
                <w:sz w:val="20"/>
                <w:lang w:val="en-GB"/>
              </w:rPr>
            </w:pPr>
            <w:r w:rsidRPr="00A573DE">
              <w:rPr>
                <w:sz w:val="20"/>
                <w:szCs w:val="18"/>
                <w:lang w:val="en-GB"/>
              </w:rPr>
              <w:t>“Model calibration is conducted with reference to national resistance and incidence data in all settings. Calibration to the subset of data available from hospital settings (acute trusts) is more appropriate given that the model simulates a hospital environment and the greater use of antibiotics in hospital environments means the rates of resistance are typically larger than in the community.”</w:t>
            </w:r>
            <w:r w:rsidRPr="00A573DE">
              <w:rPr>
                <w:sz w:val="20"/>
                <w:szCs w:val="18"/>
                <w:lang w:val="en-GB"/>
              </w:rPr>
              <w:br/>
            </w:r>
            <w:r w:rsidRPr="00A573DE">
              <w:rPr>
                <w:b/>
                <w:bCs/>
                <w:color w:val="242424"/>
                <w:sz w:val="20"/>
                <w:szCs w:val="20"/>
                <w:lang w:val="en-GB" w:eastAsia="en-GB"/>
              </w:rPr>
              <w:t>Thorough external validation was conducted</w:t>
            </w:r>
            <w:r w:rsidRPr="00A573DE">
              <w:rPr>
                <w:b/>
                <w:bCs/>
                <w:sz w:val="20"/>
                <w:szCs w:val="20"/>
                <w:lang w:val="en-GB"/>
              </w:rPr>
              <w:t>.</w:t>
            </w:r>
            <w:r w:rsidRPr="00A573DE">
              <w:rPr>
                <w:b/>
                <w:bCs/>
                <w:sz w:val="20"/>
                <w:szCs w:val="18"/>
                <w:lang w:val="en-GB"/>
              </w:rPr>
              <w:t xml:space="preserve"> The Pfizer model was run over a five-year period, utilizing default settings (</w:t>
            </w:r>
            <w:proofErr w:type="gramStart"/>
            <w:r w:rsidRPr="00A573DE">
              <w:rPr>
                <w:b/>
                <w:bCs/>
                <w:sz w:val="20"/>
                <w:szCs w:val="18"/>
                <w:lang w:val="en-GB"/>
              </w:rPr>
              <w:t>i.e.</w:t>
            </w:r>
            <w:proofErr w:type="gramEnd"/>
            <w:r w:rsidRPr="00A573DE">
              <w:rPr>
                <w:b/>
                <w:bCs/>
                <w:sz w:val="20"/>
                <w:szCs w:val="18"/>
                <w:lang w:val="en-GB"/>
              </w:rPr>
              <w:t xml:space="preserve"> availability of piperacillin/tazobactam and meropenem only), and resistance trajectories predicted by the model compared with those observed in the PHE report.</w:t>
            </w:r>
          </w:p>
        </w:tc>
      </w:tr>
      <w:tr w:rsidR="00A5430D" w:rsidRPr="00A573DE" w14:paraId="0B137F4D" w14:textId="77777777" w:rsidTr="00A5430D">
        <w:tc>
          <w:tcPr>
            <w:tcW w:w="345" w:type="pct"/>
          </w:tcPr>
          <w:p w14:paraId="269E7EC3" w14:textId="77777777" w:rsidR="0008114B" w:rsidRPr="00A573DE" w:rsidRDefault="0008114B" w:rsidP="0008114B">
            <w:pPr>
              <w:widowControl w:val="0"/>
              <w:jc w:val="center"/>
              <w:rPr>
                <w:rFonts w:cs="Arial"/>
                <w:sz w:val="20"/>
              </w:rPr>
            </w:pPr>
            <w:r>
              <w:rPr>
                <w:rFonts w:cs="Arial"/>
                <w:sz w:val="20"/>
              </w:rPr>
              <w:t>31</w:t>
            </w:r>
          </w:p>
        </w:tc>
        <w:tc>
          <w:tcPr>
            <w:tcW w:w="417" w:type="pct"/>
          </w:tcPr>
          <w:p w14:paraId="2971CD37" w14:textId="77777777" w:rsidR="0008114B" w:rsidRPr="00A573DE" w:rsidRDefault="0008114B" w:rsidP="0008114B">
            <w:pPr>
              <w:widowControl w:val="0"/>
              <w:rPr>
                <w:rFonts w:cs="Arial"/>
                <w:sz w:val="20"/>
              </w:rPr>
            </w:pPr>
            <w:r w:rsidRPr="00A573DE">
              <w:rPr>
                <w:rFonts w:cs="Arial"/>
                <w:sz w:val="20"/>
              </w:rPr>
              <w:t>102</w:t>
            </w:r>
          </w:p>
        </w:tc>
        <w:tc>
          <w:tcPr>
            <w:tcW w:w="695" w:type="pct"/>
          </w:tcPr>
          <w:p w14:paraId="0DDA90AC" w14:textId="77777777" w:rsidR="0008114B" w:rsidRPr="00A573DE" w:rsidRDefault="0008114B" w:rsidP="0008114B">
            <w:pPr>
              <w:widowControl w:val="0"/>
              <w:rPr>
                <w:rFonts w:cs="Arial"/>
                <w:sz w:val="20"/>
              </w:rPr>
            </w:pPr>
            <w:r w:rsidRPr="00A573DE">
              <w:rPr>
                <w:rFonts w:cs="Arial"/>
                <w:sz w:val="20"/>
              </w:rPr>
              <w:t>6.1.5.6</w:t>
            </w:r>
          </w:p>
        </w:tc>
        <w:tc>
          <w:tcPr>
            <w:tcW w:w="3543" w:type="pct"/>
            <w:gridSpan w:val="2"/>
          </w:tcPr>
          <w:p w14:paraId="14ECDA39" w14:textId="77777777" w:rsidR="0008114B" w:rsidRPr="00A573DE" w:rsidRDefault="0008114B" w:rsidP="0008114B">
            <w:pPr>
              <w:widowControl w:val="0"/>
              <w:rPr>
                <w:sz w:val="20"/>
                <w:szCs w:val="18"/>
              </w:rPr>
            </w:pPr>
            <w:r w:rsidRPr="00A573DE">
              <w:rPr>
                <w:sz w:val="20"/>
                <w:szCs w:val="18"/>
              </w:rPr>
              <w:t>“There do not appear to be any formal structured expert elicitation exercises to reduce this reliance on assumptions. This is a concern as there is no validation of the model outcomes to additional data sources.”</w:t>
            </w:r>
          </w:p>
          <w:p w14:paraId="5D7C77F9" w14:textId="77777777" w:rsidR="0008114B" w:rsidRPr="00A573DE" w:rsidRDefault="0008114B" w:rsidP="0008114B">
            <w:pPr>
              <w:widowControl w:val="0"/>
              <w:rPr>
                <w:rFonts w:cs="Arial"/>
                <w:b/>
                <w:bCs/>
                <w:sz w:val="20"/>
              </w:rPr>
            </w:pPr>
            <w:r w:rsidRPr="00A573DE">
              <w:rPr>
                <w:b/>
                <w:bCs/>
                <w:sz w:val="20"/>
                <w:szCs w:val="18"/>
              </w:rPr>
              <w:t xml:space="preserve">The Pfizer model was based off the recent Gordon </w:t>
            </w:r>
            <w:r w:rsidRPr="00743483">
              <w:rPr>
                <w:b/>
                <w:i/>
                <w:sz w:val="20"/>
                <w:szCs w:val="18"/>
              </w:rPr>
              <w:t>et al</w:t>
            </w:r>
            <w:r w:rsidRPr="00A573DE">
              <w:rPr>
                <w:b/>
                <w:bCs/>
                <w:sz w:val="20"/>
                <w:szCs w:val="18"/>
              </w:rPr>
              <w:t>.</w:t>
            </w:r>
            <w:r w:rsidRPr="00A573DE">
              <w:rPr>
                <w:b/>
                <w:bCs/>
                <w:sz w:val="20"/>
                <w:szCs w:val="18"/>
              </w:rPr>
              <w:fldChar w:fldCharType="begin"/>
            </w:r>
            <w:r>
              <w:rPr>
                <w:b/>
                <w:bCs/>
                <w:sz w:val="20"/>
                <w:szCs w:val="18"/>
              </w:rPr>
              <w:instrText xml:space="preserve"> ADDIN EN.CITE &lt;EndNote&gt;&lt;Cite&gt;&lt;Author&gt;Gordon&lt;/Author&gt;&lt;Year&gt;2020&lt;/Year&gt;&lt;RecNum&gt;11&lt;/RecNum&gt;&lt;DisplayText&gt;&lt;style face="superscript"&gt;5&lt;/style&gt;&lt;/DisplayText&gt;&lt;record&gt;&lt;rec-number&gt;11&lt;/rec-number&gt;&lt;foreign-keys&gt;&lt;key app="EN" db-id="pd5s0xr0250t2qevxfgxpvwp5eaztd2pavxx" timestamp="1638912392"&gt;11&lt;/key&gt;&lt;/foreign-keys&gt;&lt;ref-type name="Journal Article"&gt;17&lt;/ref-type&gt;&lt;contributors&gt;&lt;authors&gt;&lt;author&gt;Gordon, J.&lt;/author&gt;&lt;author&gt;Darlington, O.&lt;/author&gt;&lt;author&gt;McEwan, P.&lt;/author&gt;&lt;author&gt;Lumley, M.&lt;/author&gt;&lt;author&gt;Taie, A.&lt;/author&gt;&lt;author&gt;Hicks, M.&lt;/author&gt;&lt;author&gt;Charbonneau, C.&lt;/author&gt;&lt;author&gt;Blake, A.&lt;/author&gt;&lt;author&gt;Hawkins, N.&lt;/author&gt;&lt;author&gt;Goldenberg, S.&lt;/author&gt;&lt;author&gt;Otter, J.&lt;/author&gt;&lt;author&gt;Wilcox, M.&lt;/author&gt;&lt;/authors&gt;&lt;/contributors&gt;&lt;auth-address&gt;Health Economics and Outcomes Research Limited, Birmingham, UK. jason.gordon@heor.co.uk.&amp;#xD;Health Economics and Outcomes Research Limited, Cardiff, UK.&amp;#xD;Pfizer, Tadworth, UK.&amp;#xD;University of Glasgow, Glasgow, UK.&amp;#xD;Guy&amp;apos;s and St Thomas&amp;apos; NHS Foundation Trust, London, UK.&amp;#xD;Imperial College London, London, UK.&amp;#xD;University of Leeds, Leeds, UK.&lt;/auth-address&gt;&lt;titles&gt;&lt;title&gt;Estimating the Value of New Antimicrobials in the Context of Antimicrobial Resistance: Development and Application of a Dynamic Disease Transmission Model&lt;/title&gt;&lt;secondary-title&gt;Pharmacoeconomics&lt;/secondary-title&gt;&lt;/titles&gt;&lt;periodical&gt;&lt;full-title&gt;Pharmacoeconomics&lt;/full-title&gt;&lt;/periodical&gt;&lt;pages&gt;857-869&lt;/pages&gt;&lt;volume&gt;38&lt;/volume&gt;&lt;number&gt;8&lt;/number&gt;&lt;edition&gt;2020/04/07&lt;/edition&gt;&lt;dates&gt;&lt;year&gt;2020&lt;/year&gt;&lt;pub-dates&gt;&lt;date&gt;Aug&lt;/date&gt;&lt;/pub-dates&gt;&lt;/dates&gt;&lt;isbn&gt;1170-7690&lt;/isbn&gt;&lt;accession-num&gt;32249396&lt;/accession-num&gt;&lt;urls&gt;&lt;/urls&gt;&lt;electronic-resource-num&gt;10.1007/s40273-020-00906-6&lt;/electronic-resource-num&gt;&lt;remote-database-provider&gt;NLM&lt;/remote-database-provider&gt;&lt;language&gt;eng&lt;/language&gt;&lt;/record&gt;&lt;/Cite&gt;&lt;/EndNote&gt;</w:instrText>
            </w:r>
            <w:r w:rsidRPr="00A573DE">
              <w:rPr>
                <w:b/>
                <w:bCs/>
                <w:sz w:val="20"/>
                <w:szCs w:val="18"/>
              </w:rPr>
              <w:fldChar w:fldCharType="separate"/>
            </w:r>
            <w:r w:rsidRPr="00B94641">
              <w:rPr>
                <w:b/>
                <w:bCs/>
                <w:noProof/>
                <w:sz w:val="20"/>
                <w:szCs w:val="18"/>
                <w:vertAlign w:val="superscript"/>
              </w:rPr>
              <w:t>5</w:t>
            </w:r>
            <w:r w:rsidRPr="00A573DE">
              <w:rPr>
                <w:b/>
                <w:bCs/>
                <w:sz w:val="20"/>
                <w:szCs w:val="18"/>
              </w:rPr>
              <w:fldChar w:fldCharType="end"/>
            </w:r>
            <w:r w:rsidRPr="00A573DE">
              <w:rPr>
                <w:b/>
                <w:bCs/>
                <w:sz w:val="20"/>
                <w:szCs w:val="18"/>
              </w:rPr>
              <w:t xml:space="preserve"> publication and subjected to extensive external validation exercises to demonstrate the scientific rigour, relevance and the generalisability to the real-world setting. These external validation exercises compared outputs from the model to publicly available data not specifically used to construct the disease transmission component and demonstrated a high degree of accuracy for projections for resistance. In addition, model inputs were taken from published sources. Importantly, any assumptions were verified by external experts via Delphi panel, with full documentation provided to EEPRU</w:t>
            </w:r>
            <w:r>
              <w:rPr>
                <w:b/>
                <w:bCs/>
                <w:sz w:val="20"/>
                <w:szCs w:val="18"/>
              </w:rPr>
              <w:t>.</w:t>
            </w:r>
          </w:p>
        </w:tc>
      </w:tr>
      <w:tr w:rsidR="00A5430D" w:rsidRPr="00A573DE" w14:paraId="62FDB99B" w14:textId="77777777" w:rsidTr="00A5430D">
        <w:tc>
          <w:tcPr>
            <w:tcW w:w="345" w:type="pct"/>
          </w:tcPr>
          <w:p w14:paraId="1CD08B8A" w14:textId="2DE2DE1B" w:rsidR="00A5430D" w:rsidRPr="00A573DE" w:rsidRDefault="00A5430D" w:rsidP="0008114B">
            <w:pPr>
              <w:widowControl w:val="0"/>
              <w:rPr>
                <w:rFonts w:cs="Arial"/>
                <w:b/>
                <w:bCs/>
                <w:sz w:val="20"/>
              </w:rPr>
            </w:pPr>
          </w:p>
        </w:tc>
        <w:tc>
          <w:tcPr>
            <w:tcW w:w="417" w:type="pct"/>
          </w:tcPr>
          <w:p w14:paraId="0785FFDB" w14:textId="77777777" w:rsidR="00A5430D" w:rsidRPr="00A573DE" w:rsidRDefault="00A5430D" w:rsidP="0008114B">
            <w:pPr>
              <w:widowControl w:val="0"/>
              <w:rPr>
                <w:rFonts w:cs="Arial"/>
                <w:b/>
                <w:bCs/>
                <w:sz w:val="20"/>
              </w:rPr>
            </w:pPr>
          </w:p>
        </w:tc>
        <w:tc>
          <w:tcPr>
            <w:tcW w:w="694" w:type="pct"/>
          </w:tcPr>
          <w:p w14:paraId="3AB53C6A" w14:textId="77777777" w:rsidR="00A5430D" w:rsidRPr="00A573DE" w:rsidRDefault="00A5430D" w:rsidP="0008114B">
            <w:pPr>
              <w:widowControl w:val="0"/>
              <w:rPr>
                <w:rFonts w:cs="Arial"/>
                <w:b/>
                <w:bCs/>
                <w:sz w:val="20"/>
              </w:rPr>
            </w:pPr>
          </w:p>
        </w:tc>
        <w:tc>
          <w:tcPr>
            <w:tcW w:w="3544" w:type="pct"/>
            <w:gridSpan w:val="2"/>
          </w:tcPr>
          <w:p w14:paraId="06075969" w14:textId="736F728B" w:rsidR="00A5430D" w:rsidRPr="00A573DE" w:rsidRDefault="00A5430D" w:rsidP="0008114B">
            <w:pPr>
              <w:widowControl w:val="0"/>
              <w:rPr>
                <w:rFonts w:cs="Arial"/>
                <w:b/>
                <w:bCs/>
                <w:sz w:val="20"/>
              </w:rPr>
            </w:pPr>
            <w:r w:rsidRPr="00A573DE">
              <w:rPr>
                <w:rFonts w:cs="Arial"/>
                <w:b/>
                <w:bCs/>
                <w:sz w:val="20"/>
              </w:rPr>
              <w:t xml:space="preserve">Antimicrobial stewardship (see </w:t>
            </w:r>
            <w:r w:rsidRPr="00A573DE">
              <w:rPr>
                <w:rFonts w:cs="Arial"/>
                <w:b/>
                <w:bCs/>
                <w:sz w:val="20"/>
              </w:rPr>
              <w:fldChar w:fldCharType="begin"/>
            </w:r>
            <w:r w:rsidRPr="00A573DE">
              <w:rPr>
                <w:rFonts w:cs="Arial"/>
                <w:b/>
                <w:bCs/>
                <w:sz w:val="20"/>
              </w:rPr>
              <w:instrText xml:space="preserve"> REF _Ref89940836 \r \h  \* MERGEFORMAT </w:instrText>
            </w:r>
            <w:r w:rsidRPr="00A573DE">
              <w:rPr>
                <w:rFonts w:cs="Arial"/>
                <w:b/>
                <w:bCs/>
                <w:sz w:val="20"/>
              </w:rPr>
            </w:r>
            <w:r w:rsidRPr="00A573DE">
              <w:rPr>
                <w:rFonts w:cs="Arial"/>
                <w:b/>
                <w:bCs/>
                <w:sz w:val="20"/>
              </w:rPr>
              <w:fldChar w:fldCharType="separate"/>
            </w:r>
            <w:r>
              <w:rPr>
                <w:rFonts w:cs="Arial"/>
                <w:b/>
                <w:bCs/>
                <w:sz w:val="20"/>
              </w:rPr>
              <w:t>Issue 5</w:t>
            </w:r>
            <w:r w:rsidRPr="00A573DE">
              <w:rPr>
                <w:rFonts w:cs="Arial"/>
                <w:b/>
                <w:bCs/>
                <w:sz w:val="20"/>
              </w:rPr>
              <w:fldChar w:fldCharType="end"/>
            </w:r>
            <w:r w:rsidRPr="00A573DE">
              <w:rPr>
                <w:rFonts w:cs="Arial"/>
                <w:b/>
                <w:bCs/>
                <w:sz w:val="20"/>
              </w:rPr>
              <w:t xml:space="preserve"> for further clarification)</w:t>
            </w:r>
          </w:p>
        </w:tc>
      </w:tr>
      <w:tr w:rsidR="00A5430D" w:rsidRPr="00A573DE" w14:paraId="340D1512" w14:textId="77777777" w:rsidTr="00A5430D">
        <w:tc>
          <w:tcPr>
            <w:tcW w:w="345" w:type="pct"/>
          </w:tcPr>
          <w:p w14:paraId="3AC64C72" w14:textId="77777777" w:rsidR="0008114B" w:rsidRPr="00A573DE" w:rsidRDefault="0008114B" w:rsidP="0008114B">
            <w:pPr>
              <w:widowControl w:val="0"/>
              <w:jc w:val="center"/>
              <w:rPr>
                <w:rFonts w:cs="Arial"/>
                <w:sz w:val="20"/>
              </w:rPr>
            </w:pPr>
            <w:r>
              <w:rPr>
                <w:rFonts w:cs="Arial"/>
                <w:sz w:val="20"/>
              </w:rPr>
              <w:t>32</w:t>
            </w:r>
          </w:p>
        </w:tc>
        <w:tc>
          <w:tcPr>
            <w:tcW w:w="417" w:type="pct"/>
          </w:tcPr>
          <w:p w14:paraId="646F82C9" w14:textId="77777777" w:rsidR="0008114B" w:rsidRPr="00A573DE" w:rsidRDefault="0008114B" w:rsidP="0008114B">
            <w:pPr>
              <w:widowControl w:val="0"/>
              <w:rPr>
                <w:rFonts w:cs="Arial"/>
                <w:sz w:val="20"/>
              </w:rPr>
            </w:pPr>
            <w:r w:rsidRPr="00A573DE">
              <w:rPr>
                <w:rFonts w:cs="Arial"/>
                <w:sz w:val="20"/>
              </w:rPr>
              <w:t>150</w:t>
            </w:r>
          </w:p>
        </w:tc>
        <w:tc>
          <w:tcPr>
            <w:tcW w:w="695" w:type="pct"/>
          </w:tcPr>
          <w:p w14:paraId="24F93CE7" w14:textId="77777777" w:rsidR="0008114B" w:rsidRPr="00A573DE" w:rsidRDefault="0008114B" w:rsidP="0008114B">
            <w:pPr>
              <w:widowControl w:val="0"/>
              <w:rPr>
                <w:rFonts w:cs="Arial"/>
                <w:sz w:val="20"/>
              </w:rPr>
            </w:pPr>
            <w:r w:rsidRPr="00A573DE">
              <w:rPr>
                <w:rFonts w:cs="Arial"/>
                <w:sz w:val="20"/>
              </w:rPr>
              <w:t>7.5.2.6</w:t>
            </w:r>
          </w:p>
        </w:tc>
        <w:tc>
          <w:tcPr>
            <w:tcW w:w="3543" w:type="pct"/>
            <w:gridSpan w:val="2"/>
          </w:tcPr>
          <w:p w14:paraId="08A22245" w14:textId="77777777" w:rsidR="0008114B" w:rsidRPr="00A573DE" w:rsidRDefault="0008114B" w:rsidP="0008114B">
            <w:pPr>
              <w:widowControl w:val="0"/>
              <w:rPr>
                <w:sz w:val="20"/>
                <w:szCs w:val="18"/>
              </w:rPr>
            </w:pPr>
            <w:r w:rsidRPr="00A573DE">
              <w:rPr>
                <w:sz w:val="20"/>
                <w:szCs w:val="18"/>
              </w:rPr>
              <w:t>“[T]he clinical advisors also expressed concerns that a broader definition could lead to stewardship challenges.”</w:t>
            </w:r>
          </w:p>
          <w:p w14:paraId="4F0954F5" w14:textId="77777777" w:rsidR="0008114B" w:rsidRPr="00A573DE" w:rsidRDefault="0008114B" w:rsidP="0008114B">
            <w:pPr>
              <w:widowControl w:val="0"/>
              <w:rPr>
                <w:rFonts w:cs="Arial"/>
                <w:b/>
                <w:bCs/>
                <w:sz w:val="20"/>
                <w:szCs w:val="18"/>
              </w:rPr>
            </w:pPr>
            <w:r w:rsidRPr="00A573DE">
              <w:rPr>
                <w:b/>
                <w:bCs/>
                <w:sz w:val="20"/>
                <w:szCs w:val="18"/>
              </w:rPr>
              <w:t xml:space="preserve">The Pfizer model </w:t>
            </w:r>
            <w:proofErr w:type="gramStart"/>
            <w:r w:rsidRPr="00A573DE">
              <w:rPr>
                <w:b/>
                <w:bCs/>
                <w:sz w:val="20"/>
                <w:szCs w:val="18"/>
              </w:rPr>
              <w:t>is capable of reflecting</w:t>
            </w:r>
            <w:proofErr w:type="gramEnd"/>
            <w:r w:rsidRPr="00A573DE">
              <w:rPr>
                <w:b/>
                <w:bCs/>
                <w:sz w:val="20"/>
                <w:szCs w:val="18"/>
              </w:rPr>
              <w:t xml:space="preserve"> a range of antimicrobial stewardship. An all-lines diversity stewardship strategy was chosen to </w:t>
            </w:r>
            <w:r>
              <w:rPr>
                <w:b/>
                <w:bCs/>
                <w:sz w:val="20"/>
                <w:szCs w:val="18"/>
              </w:rPr>
              <w:t xml:space="preserve">capture usage as part of an empirical and suspected usage setting. In addition, as depicted in the Gordon </w:t>
            </w:r>
            <w:r w:rsidRPr="00743483">
              <w:rPr>
                <w:b/>
                <w:i/>
                <w:sz w:val="20"/>
                <w:szCs w:val="18"/>
              </w:rPr>
              <w:t>et. al</w:t>
            </w:r>
            <w:r>
              <w:rPr>
                <w:b/>
                <w:bCs/>
                <w:sz w:val="20"/>
                <w:szCs w:val="18"/>
              </w:rPr>
              <w:t xml:space="preserve"> publication, this provides the </w:t>
            </w:r>
            <w:r w:rsidRPr="00A573DE">
              <w:rPr>
                <w:b/>
                <w:bCs/>
                <w:sz w:val="20"/>
                <w:szCs w:val="18"/>
              </w:rPr>
              <w:t xml:space="preserve">optimal balance between maximising population health gains and </w:t>
            </w:r>
            <w:r w:rsidRPr="00A573DE">
              <w:rPr>
                <w:b/>
                <w:bCs/>
                <w:sz w:val="20"/>
                <w:szCs w:val="18"/>
              </w:rPr>
              <w:lastRenderedPageBreak/>
              <w:t>minimising resistance development.</w:t>
            </w:r>
            <w:r>
              <w:rPr>
                <w:b/>
                <w:bCs/>
                <w:sz w:val="20"/>
                <w:szCs w:val="18"/>
              </w:rPr>
              <w:fldChar w:fldCharType="begin"/>
            </w:r>
            <w:r>
              <w:rPr>
                <w:b/>
                <w:bCs/>
                <w:sz w:val="20"/>
                <w:szCs w:val="18"/>
              </w:rPr>
              <w:instrText xml:space="preserve"> ADDIN EN.CITE &lt;EndNote&gt;&lt;Cite&gt;&lt;Author&gt;Gordon&lt;/Author&gt;&lt;Year&gt;2020&lt;/Year&gt;&lt;RecNum&gt;11&lt;/RecNum&gt;&lt;DisplayText&gt;&lt;style face="superscript"&gt;5&lt;/style&gt;&lt;/DisplayText&gt;&lt;record&gt;&lt;rec-number&gt;11&lt;/rec-number&gt;&lt;foreign-keys&gt;&lt;key app="EN" db-id="pd5s0xr0250t2qevxfgxpvwp5eaztd2pavxx" timestamp="1638912392"&gt;11&lt;/key&gt;&lt;/foreign-keys&gt;&lt;ref-type name="Journal Article"&gt;17&lt;/ref-type&gt;&lt;contributors&gt;&lt;authors&gt;&lt;author&gt;Gordon, J.&lt;/author&gt;&lt;author&gt;Darlington, O.&lt;/author&gt;&lt;author&gt;McEwan, P.&lt;/author&gt;&lt;author&gt;Lumley, M.&lt;/author&gt;&lt;author&gt;Taie, A.&lt;/author&gt;&lt;author&gt;Hicks, M.&lt;/author&gt;&lt;author&gt;Charbonneau, C.&lt;/author&gt;&lt;author&gt;Blake, A.&lt;/author&gt;&lt;author&gt;Hawkins, N.&lt;/author&gt;&lt;author&gt;Goldenberg, S.&lt;/author&gt;&lt;author&gt;Otter, J.&lt;/author&gt;&lt;author&gt;Wilcox, M.&lt;/author&gt;&lt;/authors&gt;&lt;/contributors&gt;&lt;auth-address&gt;Health Economics and Outcomes Research Limited, Birmingham, UK. jason.gordon@heor.co.uk.&amp;#xD;Health Economics and Outcomes Research Limited, Cardiff, UK.&amp;#xD;Pfizer, Tadworth, UK.&amp;#xD;University of Glasgow, Glasgow, UK.&amp;#xD;Guy&amp;apos;s and St Thomas&amp;apos; NHS Foundation Trust, London, UK.&amp;#xD;Imperial College London, London, UK.&amp;#xD;University of Leeds, Leeds, UK.&lt;/auth-address&gt;&lt;titles&gt;&lt;title&gt;Estimating the Value of New Antimicrobials in the Context of Antimicrobial Resistance: Development and Application of a Dynamic Disease Transmission Model&lt;/title&gt;&lt;secondary-title&gt;Pharmacoeconomics&lt;/secondary-title&gt;&lt;/titles&gt;&lt;periodical&gt;&lt;full-title&gt;Pharmacoeconomics&lt;/full-title&gt;&lt;/periodical&gt;&lt;pages&gt;857-869&lt;/pages&gt;&lt;volume&gt;38&lt;/volume&gt;&lt;number&gt;8&lt;/number&gt;&lt;edition&gt;2020/04/07&lt;/edition&gt;&lt;dates&gt;&lt;year&gt;2020&lt;/year&gt;&lt;pub-dates&gt;&lt;date&gt;Aug&lt;/date&gt;&lt;/pub-dates&gt;&lt;/dates&gt;&lt;isbn&gt;1170-7690&lt;/isbn&gt;&lt;accession-num&gt;32249396&lt;/accession-num&gt;&lt;urls&gt;&lt;/urls&gt;&lt;electronic-resource-num&gt;10.1007/s40273-020-00906-6&lt;/electronic-resource-num&gt;&lt;remote-database-provider&gt;NLM&lt;/remote-database-provider&gt;&lt;language&gt;eng&lt;/language&gt;&lt;/record&gt;&lt;/Cite&gt;&lt;/EndNote&gt;</w:instrText>
            </w:r>
            <w:r>
              <w:rPr>
                <w:b/>
                <w:bCs/>
                <w:sz w:val="20"/>
                <w:szCs w:val="18"/>
              </w:rPr>
              <w:fldChar w:fldCharType="separate"/>
            </w:r>
            <w:r w:rsidRPr="00B94641">
              <w:rPr>
                <w:b/>
                <w:bCs/>
                <w:noProof/>
                <w:sz w:val="20"/>
                <w:szCs w:val="18"/>
                <w:vertAlign w:val="superscript"/>
              </w:rPr>
              <w:t>5</w:t>
            </w:r>
            <w:r>
              <w:rPr>
                <w:b/>
                <w:bCs/>
                <w:sz w:val="20"/>
                <w:szCs w:val="18"/>
              </w:rPr>
              <w:fldChar w:fldCharType="end"/>
            </w:r>
            <w:r w:rsidRPr="00A573DE">
              <w:rPr>
                <w:b/>
                <w:bCs/>
                <w:sz w:val="20"/>
                <w:szCs w:val="18"/>
              </w:rPr>
              <w:t xml:space="preserve"> The different treatment lines allow for a simplified pathway to be modelled, capturing key aspects of </w:t>
            </w:r>
            <w:r>
              <w:rPr>
                <w:b/>
                <w:bCs/>
                <w:sz w:val="20"/>
                <w:szCs w:val="18"/>
              </w:rPr>
              <w:t>CAZ-AVI</w:t>
            </w:r>
            <w:r w:rsidRPr="00A573DE">
              <w:rPr>
                <w:b/>
                <w:bCs/>
                <w:sz w:val="20"/>
                <w:szCs w:val="18"/>
              </w:rPr>
              <w:t xml:space="preserve"> value in an imperfect healthcare setting.</w:t>
            </w:r>
          </w:p>
        </w:tc>
      </w:tr>
      <w:tr w:rsidR="00A5430D" w:rsidRPr="00A573DE" w14:paraId="04CC8991" w14:textId="77777777" w:rsidTr="00A5430D">
        <w:tc>
          <w:tcPr>
            <w:tcW w:w="345" w:type="pct"/>
          </w:tcPr>
          <w:p w14:paraId="74EE13C0" w14:textId="77777777" w:rsidR="0008114B" w:rsidRPr="00A573DE" w:rsidRDefault="0008114B" w:rsidP="0008114B">
            <w:pPr>
              <w:widowControl w:val="0"/>
              <w:jc w:val="center"/>
              <w:rPr>
                <w:rFonts w:cs="Arial"/>
                <w:sz w:val="20"/>
              </w:rPr>
            </w:pPr>
            <w:r>
              <w:rPr>
                <w:rFonts w:cs="Arial"/>
                <w:sz w:val="20"/>
              </w:rPr>
              <w:lastRenderedPageBreak/>
              <w:t>33</w:t>
            </w:r>
          </w:p>
        </w:tc>
        <w:tc>
          <w:tcPr>
            <w:tcW w:w="417" w:type="pct"/>
          </w:tcPr>
          <w:p w14:paraId="6C78A023" w14:textId="77777777" w:rsidR="0008114B" w:rsidRPr="00A573DE" w:rsidRDefault="0008114B" w:rsidP="0008114B">
            <w:pPr>
              <w:widowControl w:val="0"/>
              <w:rPr>
                <w:rFonts w:cs="Arial"/>
                <w:sz w:val="20"/>
              </w:rPr>
            </w:pPr>
            <w:r w:rsidRPr="00A573DE">
              <w:rPr>
                <w:rFonts w:cs="Arial"/>
                <w:sz w:val="20"/>
              </w:rPr>
              <w:t>106</w:t>
            </w:r>
          </w:p>
        </w:tc>
        <w:tc>
          <w:tcPr>
            <w:tcW w:w="695" w:type="pct"/>
          </w:tcPr>
          <w:p w14:paraId="6AA4546D" w14:textId="77777777" w:rsidR="0008114B" w:rsidRPr="00A573DE" w:rsidRDefault="0008114B" w:rsidP="0008114B">
            <w:pPr>
              <w:widowControl w:val="0"/>
              <w:rPr>
                <w:rFonts w:cs="Arial"/>
                <w:sz w:val="20"/>
              </w:rPr>
            </w:pPr>
            <w:r w:rsidRPr="00A573DE">
              <w:rPr>
                <w:rFonts w:cs="Arial"/>
                <w:sz w:val="20"/>
              </w:rPr>
              <w:t>7.2.1.3</w:t>
            </w:r>
          </w:p>
        </w:tc>
        <w:tc>
          <w:tcPr>
            <w:tcW w:w="3543" w:type="pct"/>
            <w:gridSpan w:val="2"/>
          </w:tcPr>
          <w:p w14:paraId="3D47C139" w14:textId="77777777" w:rsidR="0008114B" w:rsidRPr="00A573DE" w:rsidRDefault="0008114B" w:rsidP="0008114B">
            <w:pPr>
              <w:widowControl w:val="0"/>
              <w:rPr>
                <w:rFonts w:cs="Arial"/>
                <w:sz w:val="20"/>
              </w:rPr>
            </w:pPr>
            <w:r w:rsidRPr="00A573DE">
              <w:rPr>
                <w:rFonts w:cs="Arial"/>
                <w:sz w:val="20"/>
              </w:rPr>
              <w:t>“</w:t>
            </w:r>
            <w:r w:rsidRPr="00A573DE">
              <w:rPr>
                <w:sz w:val="20"/>
              </w:rPr>
              <w:t>A wide range of drugs is considered relevant in the HVCS, and different drugs were considered relevant depending on the site, pathogen, mechanism and setting.”</w:t>
            </w:r>
            <w:r w:rsidRPr="00A573DE">
              <w:rPr>
                <w:sz w:val="20"/>
              </w:rPr>
              <w:br/>
            </w:r>
            <w:r w:rsidRPr="00A573DE">
              <w:rPr>
                <w:b/>
                <w:bCs/>
                <w:sz w:val="20"/>
              </w:rPr>
              <w:t>Comparators should be considered in an adapted way to those in other clinical areas outside of infection. With pathogen-directed approaches for OXA-48 there are very few putative options available and therefore the term comparator must be used with awareness and caveat. Indeed, modelling against a placebo/limited treatment option situation is likely to reflect the value of having a novel option available more accurately.</w:t>
            </w:r>
          </w:p>
        </w:tc>
      </w:tr>
    </w:tbl>
    <w:p w14:paraId="35C63BB2" w14:textId="77777777" w:rsidR="0008114B" w:rsidRPr="00A573DE" w:rsidRDefault="0008114B" w:rsidP="0008114B">
      <w:pPr>
        <w:spacing w:line="276" w:lineRule="auto"/>
        <w:rPr>
          <w:lang w:eastAsia="en-GB"/>
        </w:rPr>
      </w:pPr>
    </w:p>
    <w:p w14:paraId="10ECE21A" w14:textId="77777777" w:rsidR="0008114B" w:rsidRPr="00A573DE" w:rsidRDefault="0008114B" w:rsidP="0008114B">
      <w:pPr>
        <w:spacing w:line="276" w:lineRule="auto"/>
        <w:rPr>
          <w:lang w:eastAsia="en-GB"/>
        </w:rPr>
      </w:pPr>
    </w:p>
    <w:p w14:paraId="6AAAA907" w14:textId="77777777" w:rsidR="0008114B" w:rsidRPr="00A573DE" w:rsidRDefault="0008114B" w:rsidP="0008114B">
      <w:pPr>
        <w:shd w:val="clear" w:color="auto" w:fill="FFFFFF"/>
        <w:spacing w:before="100" w:beforeAutospacing="1" w:after="100" w:afterAutospacing="1" w:line="276" w:lineRule="auto"/>
        <w:rPr>
          <w:rFonts w:ascii="Segoe UI" w:hAnsi="Segoe UI" w:cs="Segoe UI"/>
          <w:color w:val="242424"/>
          <w:sz w:val="21"/>
          <w:szCs w:val="21"/>
          <w:lang w:eastAsia="en-GB"/>
        </w:rPr>
      </w:pPr>
    </w:p>
    <w:p w14:paraId="71C921A6" w14:textId="77777777" w:rsidR="0008114B" w:rsidRDefault="0008114B">
      <w:pPr>
        <w:rPr>
          <w:b/>
          <w:bCs/>
        </w:rPr>
      </w:pPr>
      <w:r>
        <w:br w:type="page"/>
      </w:r>
    </w:p>
    <w:p w14:paraId="59B8AA9A" w14:textId="50F568FA" w:rsidR="0008114B" w:rsidRPr="00A573DE" w:rsidRDefault="0008114B" w:rsidP="0008114B">
      <w:pPr>
        <w:pStyle w:val="Heading1"/>
      </w:pPr>
      <w:r w:rsidRPr="00A573DE">
        <w:lastRenderedPageBreak/>
        <w:t>References</w:t>
      </w:r>
    </w:p>
    <w:p w14:paraId="1C75BF72" w14:textId="77777777" w:rsidR="0008114B" w:rsidRPr="00A573DE" w:rsidRDefault="0008114B" w:rsidP="0008114B">
      <w:pPr>
        <w:rPr>
          <w:rFonts w:cs="Arial"/>
          <w:sz w:val="20"/>
        </w:rPr>
      </w:pPr>
    </w:p>
    <w:p w14:paraId="2EDAD54D" w14:textId="244BDBE4" w:rsidR="00B554CD" w:rsidRPr="00B554CD" w:rsidRDefault="0008114B" w:rsidP="00B554CD">
      <w:pPr>
        <w:pStyle w:val="EndNoteBibliography"/>
        <w:spacing w:after="0"/>
        <w:ind w:left="720" w:hanging="720"/>
        <w:rPr>
          <w:noProof/>
        </w:rPr>
      </w:pPr>
      <w:r w:rsidRPr="00A573DE">
        <w:rPr>
          <w:sz w:val="20"/>
          <w:lang w:val="en-GB"/>
        </w:rPr>
        <w:fldChar w:fldCharType="begin"/>
      </w:r>
      <w:r w:rsidRPr="001B5EE7">
        <w:rPr>
          <w:sz w:val="20"/>
          <w:lang w:val="en-GB"/>
        </w:rPr>
        <w:instrText xml:space="preserve"> ADDIN EN.REFLIST </w:instrText>
      </w:r>
      <w:r w:rsidRPr="00A573DE">
        <w:rPr>
          <w:sz w:val="20"/>
          <w:lang w:val="en-GB"/>
        </w:rPr>
        <w:fldChar w:fldCharType="separate"/>
      </w:r>
      <w:r w:rsidR="00B554CD" w:rsidRPr="00B554CD">
        <w:rPr>
          <w:noProof/>
        </w:rPr>
        <w:t>1.</w:t>
      </w:r>
      <w:r w:rsidR="00B554CD" w:rsidRPr="00B554CD">
        <w:rPr>
          <w:noProof/>
        </w:rPr>
        <w:tab/>
        <w:t xml:space="preserve">National Institute for Health and Care Excellence. Antimicrobial Health Technology Evaluation. Ceftazidime with avibactam for treating severe aerobic Gram-negative bacterial infections - Final scope 2021. Available from: </w:t>
      </w:r>
      <w:hyperlink r:id="rId15" w:history="1">
        <w:r w:rsidR="00B554CD" w:rsidRPr="00B554CD">
          <w:rPr>
            <w:rStyle w:val="Hyperlink"/>
            <w:noProof/>
          </w:rPr>
          <w:t>https://www.nice.org.uk/about/what-we-do/life-sciences/scientific-advice/models-for-the-evaluation-and-purchase-of-antimicrobials/ceftazidime-with-avibactam</w:t>
        </w:r>
      </w:hyperlink>
      <w:r w:rsidR="00B554CD" w:rsidRPr="00B554CD">
        <w:rPr>
          <w:noProof/>
        </w:rPr>
        <w:t xml:space="preserve"> [accessed 2/2021].</w:t>
      </w:r>
    </w:p>
    <w:p w14:paraId="397944D5" w14:textId="553AEE9D" w:rsidR="00B554CD" w:rsidRPr="00B554CD" w:rsidRDefault="00B554CD" w:rsidP="00B554CD">
      <w:pPr>
        <w:pStyle w:val="EndNoteBibliography"/>
        <w:spacing w:after="0"/>
        <w:ind w:left="720" w:hanging="720"/>
        <w:rPr>
          <w:noProof/>
        </w:rPr>
      </w:pPr>
      <w:r w:rsidRPr="00B554CD">
        <w:rPr>
          <w:noProof/>
        </w:rPr>
        <w:t>2.</w:t>
      </w:r>
      <w:r w:rsidRPr="00B554CD">
        <w:rPr>
          <w:noProof/>
        </w:rPr>
        <w:tab/>
        <w:t xml:space="preserve">NHS. AMR002 - Annex 7: health technology assessment process. . Available from: </w:t>
      </w:r>
      <w:hyperlink r:id="rId16" w:history="1">
        <w:r w:rsidRPr="00B554CD">
          <w:rPr>
            <w:rStyle w:val="Hyperlink"/>
            <w:noProof/>
          </w:rPr>
          <w:t>https://www.nice.org.uk/Media/Default/About/what-we-do/Life-sciences/evaluation-framework.pdf</w:t>
        </w:r>
      </w:hyperlink>
      <w:r w:rsidRPr="00B554CD">
        <w:rPr>
          <w:noProof/>
        </w:rPr>
        <w:t xml:space="preserve"> [accessed 12/2021].</w:t>
      </w:r>
    </w:p>
    <w:p w14:paraId="74637027" w14:textId="62965296" w:rsidR="00B554CD" w:rsidRPr="00B554CD" w:rsidRDefault="00B554CD" w:rsidP="00B554CD">
      <w:pPr>
        <w:pStyle w:val="EndNoteBibliography"/>
        <w:spacing w:after="0"/>
        <w:ind w:left="720" w:hanging="720"/>
        <w:rPr>
          <w:noProof/>
        </w:rPr>
      </w:pPr>
      <w:r w:rsidRPr="00B554CD">
        <w:rPr>
          <w:noProof/>
        </w:rPr>
        <w:t>3.</w:t>
      </w:r>
      <w:r w:rsidRPr="00B554CD">
        <w:rPr>
          <w:noProof/>
        </w:rPr>
        <w:tab/>
        <w:t xml:space="preserve">EEPRU. Framework for value assessment of new antimicrobials - Implications of alternative funding arrangements for NICE appraisals. 2018. Available from: </w:t>
      </w:r>
      <w:hyperlink r:id="rId17" w:history="1">
        <w:r w:rsidRPr="00B554CD">
          <w:rPr>
            <w:rStyle w:val="Hyperlink"/>
            <w:noProof/>
          </w:rPr>
          <w:t>http://www.eepru.org.uk/wp-content/uploads/2017/11/eepru-report-amr-oct-2018-059.pdf</w:t>
        </w:r>
      </w:hyperlink>
      <w:r w:rsidRPr="00B554CD">
        <w:rPr>
          <w:noProof/>
        </w:rPr>
        <w:t>.</w:t>
      </w:r>
    </w:p>
    <w:p w14:paraId="3A742C69" w14:textId="0F7EEE0D" w:rsidR="00B554CD" w:rsidRPr="00B554CD" w:rsidRDefault="00B554CD" w:rsidP="00B554CD">
      <w:pPr>
        <w:pStyle w:val="EndNoteBibliography"/>
        <w:spacing w:after="0"/>
        <w:ind w:left="720" w:hanging="720"/>
        <w:rPr>
          <w:noProof/>
        </w:rPr>
      </w:pPr>
      <w:r w:rsidRPr="00B554CD">
        <w:rPr>
          <w:noProof/>
        </w:rPr>
        <w:t>4.</w:t>
      </w:r>
      <w:r w:rsidRPr="00B554CD">
        <w:rPr>
          <w:noProof/>
        </w:rPr>
        <w:tab/>
        <w:t xml:space="preserve">National Institute for Health and Care Excellence. Guide to the methods of technology appraisal 2013. Available from: </w:t>
      </w:r>
      <w:hyperlink r:id="rId18" w:history="1">
        <w:r w:rsidRPr="00B554CD">
          <w:rPr>
            <w:rStyle w:val="Hyperlink"/>
            <w:noProof/>
          </w:rPr>
          <w:t>https://www.nice.org.uk/process/pmg9/resources/guide-to-the-methods-of-technology-appraisal-2013-pdf-2007975843781</w:t>
        </w:r>
      </w:hyperlink>
      <w:r w:rsidRPr="00B554CD">
        <w:rPr>
          <w:noProof/>
        </w:rPr>
        <w:t>.</w:t>
      </w:r>
    </w:p>
    <w:p w14:paraId="5D80BC71" w14:textId="77777777" w:rsidR="00B554CD" w:rsidRPr="00B554CD" w:rsidRDefault="00B554CD" w:rsidP="00B554CD">
      <w:pPr>
        <w:pStyle w:val="EndNoteBibliography"/>
        <w:spacing w:after="0"/>
        <w:ind w:left="720" w:hanging="720"/>
        <w:rPr>
          <w:noProof/>
        </w:rPr>
      </w:pPr>
      <w:r w:rsidRPr="00B554CD">
        <w:rPr>
          <w:noProof/>
        </w:rPr>
        <w:t>5.</w:t>
      </w:r>
      <w:r w:rsidRPr="00B554CD">
        <w:rPr>
          <w:noProof/>
        </w:rPr>
        <w:tab/>
        <w:t>Gordon J, Darlington O, McEwan P, et al. Estimating the Value of New Antimicrobials in the Context of Antimicrobial Resistance: Development and Application of a Dynamic Disease Transmission Model. Pharmacoeconomics. 2020;38(8):857-69.</w:t>
      </w:r>
    </w:p>
    <w:p w14:paraId="1C61C00B" w14:textId="77777777" w:rsidR="00B554CD" w:rsidRPr="00B554CD" w:rsidRDefault="00B554CD" w:rsidP="00B554CD">
      <w:pPr>
        <w:pStyle w:val="EndNoteBibliography"/>
        <w:spacing w:after="0"/>
        <w:ind w:left="720" w:hanging="720"/>
        <w:rPr>
          <w:noProof/>
        </w:rPr>
      </w:pPr>
      <w:r w:rsidRPr="00B554CD">
        <w:rPr>
          <w:noProof/>
        </w:rPr>
        <w:t>6.</w:t>
      </w:r>
      <w:r w:rsidRPr="00B554CD">
        <w:rPr>
          <w:noProof/>
        </w:rPr>
        <w:tab/>
        <w:t>Pfizer. Patient number calculation. data on file. 2021.</w:t>
      </w:r>
    </w:p>
    <w:p w14:paraId="0FEA4289" w14:textId="5414CAA5" w:rsidR="00B554CD" w:rsidRPr="00B554CD" w:rsidRDefault="00B554CD" w:rsidP="00B554CD">
      <w:pPr>
        <w:pStyle w:val="EndNoteBibliography"/>
        <w:spacing w:after="0"/>
        <w:ind w:left="720" w:hanging="720"/>
        <w:rPr>
          <w:noProof/>
        </w:rPr>
      </w:pPr>
      <w:r w:rsidRPr="00B554CD">
        <w:rPr>
          <w:noProof/>
        </w:rPr>
        <w:t>7.</w:t>
      </w:r>
      <w:r w:rsidRPr="00B554CD">
        <w:rPr>
          <w:noProof/>
        </w:rPr>
        <w:tab/>
        <w:t xml:space="preserve">Clarivate DRG. Patient Populations Epidemiology - Number of Gram-negative hospitalisation events per year in the UK. 2021. Available from: </w:t>
      </w:r>
      <w:hyperlink r:id="rId19" w:history="1">
        <w:r w:rsidRPr="00B554CD">
          <w:rPr>
            <w:rStyle w:val="Hyperlink"/>
            <w:noProof/>
          </w:rPr>
          <w:t>https://insights.decisionresourcesgroup.com/biopharma</w:t>
        </w:r>
      </w:hyperlink>
      <w:r w:rsidRPr="00B554CD">
        <w:rPr>
          <w:noProof/>
        </w:rPr>
        <w:t>.</w:t>
      </w:r>
    </w:p>
    <w:p w14:paraId="1EA11C03" w14:textId="3A86B116" w:rsidR="00B554CD" w:rsidRPr="00B554CD" w:rsidRDefault="00B554CD" w:rsidP="00B554CD">
      <w:pPr>
        <w:pStyle w:val="EndNoteBibliography"/>
        <w:spacing w:after="0"/>
        <w:ind w:left="720" w:hanging="720"/>
        <w:rPr>
          <w:noProof/>
        </w:rPr>
      </w:pPr>
      <w:r w:rsidRPr="00B554CD">
        <w:rPr>
          <w:noProof/>
        </w:rPr>
        <w:t>8.</w:t>
      </w:r>
      <w:r w:rsidRPr="00B554CD">
        <w:rPr>
          <w:noProof/>
        </w:rPr>
        <w:tab/>
        <w:t xml:space="preserve">EEPRU. Protocol for the technology evaluation of ceftazidime with avibactam for treating severe aerobic Gram-negative bacterial infections. 2021. Available from: </w:t>
      </w:r>
      <w:hyperlink r:id="rId20" w:history="1">
        <w:r w:rsidRPr="00B554CD">
          <w:rPr>
            <w:rStyle w:val="Hyperlink"/>
            <w:noProof/>
          </w:rPr>
          <w:t>https://www.nice.org.uk/about/what-we-do/life-sciences/scientific-advice/models-for-the-evaluation-and-purchase-of-antimicrobials/ceftazidime-with-avibactam</w:t>
        </w:r>
      </w:hyperlink>
      <w:r w:rsidRPr="00B554CD">
        <w:rPr>
          <w:noProof/>
        </w:rPr>
        <w:t>.</w:t>
      </w:r>
    </w:p>
    <w:p w14:paraId="2D274D0D" w14:textId="77777777" w:rsidR="00B554CD" w:rsidRPr="00B554CD" w:rsidRDefault="00B554CD" w:rsidP="00B554CD">
      <w:pPr>
        <w:pStyle w:val="EndNoteBibliography"/>
        <w:spacing w:after="0"/>
        <w:ind w:left="720" w:hanging="720"/>
        <w:rPr>
          <w:noProof/>
        </w:rPr>
      </w:pPr>
      <w:r w:rsidRPr="001B7EC7">
        <w:rPr>
          <w:noProof/>
          <w:lang w:val="en-GB"/>
        </w:rPr>
        <w:t>9.</w:t>
      </w:r>
      <w:r w:rsidRPr="001B7EC7">
        <w:rPr>
          <w:noProof/>
          <w:lang w:val="en-GB"/>
        </w:rPr>
        <w:tab/>
        <w:t xml:space="preserve">Zondervan-Zwijnenburg M, van de Schoot-Hubeek W, Lek K, et al. </w:t>
      </w:r>
      <w:r w:rsidRPr="00B554CD">
        <w:rPr>
          <w:noProof/>
        </w:rPr>
        <w:t>Application and Evaluation of an Expert Judgment Elicitation Procedure for Correlations. Front Psychol. 2017;8:90.</w:t>
      </w:r>
    </w:p>
    <w:p w14:paraId="08A50359" w14:textId="77777777" w:rsidR="00B554CD" w:rsidRPr="00B554CD" w:rsidRDefault="00B554CD" w:rsidP="00B554CD">
      <w:pPr>
        <w:pStyle w:val="EndNoteBibliography"/>
        <w:spacing w:after="0"/>
        <w:ind w:left="720" w:hanging="720"/>
        <w:rPr>
          <w:noProof/>
        </w:rPr>
      </w:pPr>
      <w:r w:rsidRPr="00B554CD">
        <w:rPr>
          <w:noProof/>
        </w:rPr>
        <w:t>10.</w:t>
      </w:r>
      <w:r w:rsidRPr="00B554CD">
        <w:rPr>
          <w:noProof/>
        </w:rPr>
        <w:tab/>
        <w:t>EEPRU. Ceftazidime with avibactam for treating severe aerobic Gram-negative bacterial infections: Assessment Report - Confidential - version for consultation. 2021.</w:t>
      </w:r>
    </w:p>
    <w:p w14:paraId="2424F9B2" w14:textId="77777777" w:rsidR="00B554CD" w:rsidRPr="00B554CD" w:rsidRDefault="00B554CD" w:rsidP="00B554CD">
      <w:pPr>
        <w:pStyle w:val="EndNoteBibliography"/>
        <w:spacing w:after="0"/>
        <w:ind w:left="720" w:hanging="720"/>
        <w:rPr>
          <w:noProof/>
        </w:rPr>
      </w:pPr>
      <w:r w:rsidRPr="00B554CD">
        <w:rPr>
          <w:noProof/>
        </w:rPr>
        <w:t>11.</w:t>
      </w:r>
      <w:r w:rsidRPr="00B554CD">
        <w:rPr>
          <w:noProof/>
        </w:rPr>
        <w:tab/>
        <w:t>O'Neill J. Antimicrobial Resistance: Tackling a Crisis for the Health and Wealth of Nations. 2014.</w:t>
      </w:r>
    </w:p>
    <w:p w14:paraId="4978DE54" w14:textId="2A921CE7" w:rsidR="00B554CD" w:rsidRPr="00B554CD" w:rsidRDefault="00B554CD" w:rsidP="00B554CD">
      <w:pPr>
        <w:pStyle w:val="EndNoteBibliography"/>
        <w:spacing w:after="0"/>
        <w:ind w:left="720" w:hanging="720"/>
        <w:rPr>
          <w:noProof/>
        </w:rPr>
      </w:pPr>
      <w:r w:rsidRPr="00B554CD">
        <w:rPr>
          <w:noProof/>
        </w:rPr>
        <w:t>12.</w:t>
      </w:r>
      <w:r w:rsidRPr="00B554CD">
        <w:rPr>
          <w:noProof/>
        </w:rPr>
        <w:tab/>
        <w:t xml:space="preserve">World Health Organisation. Antimicrobial resistance - Global Report on Surveillance. 2014. Available from: </w:t>
      </w:r>
      <w:hyperlink r:id="rId21" w:history="1">
        <w:r w:rsidRPr="00B554CD">
          <w:rPr>
            <w:rStyle w:val="Hyperlink"/>
            <w:noProof/>
          </w:rPr>
          <w:t>https://www.who.int/publications/i/item/9789241564748</w:t>
        </w:r>
      </w:hyperlink>
      <w:r w:rsidRPr="00B554CD">
        <w:rPr>
          <w:noProof/>
        </w:rPr>
        <w:t xml:space="preserve"> [accessed 12/2021].</w:t>
      </w:r>
    </w:p>
    <w:p w14:paraId="73B454EB" w14:textId="77777777" w:rsidR="00B554CD" w:rsidRPr="00B554CD" w:rsidRDefault="00B554CD" w:rsidP="00B554CD">
      <w:pPr>
        <w:pStyle w:val="EndNoteBibliography"/>
        <w:spacing w:after="0"/>
        <w:ind w:left="720" w:hanging="720"/>
        <w:rPr>
          <w:noProof/>
        </w:rPr>
      </w:pPr>
      <w:r w:rsidRPr="00B554CD">
        <w:rPr>
          <w:noProof/>
        </w:rPr>
        <w:t>13.</w:t>
      </w:r>
      <w:r w:rsidRPr="00B554CD">
        <w:rPr>
          <w:noProof/>
        </w:rPr>
        <w:tab/>
        <w:t>Teillant A, Gandra S, Barter D, et al. Potential burden of antibiotic resistance on surgery and cancer chemotherapy antibiotic prophylaxis in the USA: a literature review and modelling study. Lancet Infect Dis. 2015;15(12):1429-37.</w:t>
      </w:r>
    </w:p>
    <w:p w14:paraId="3E646EF5" w14:textId="790D46D8" w:rsidR="00B554CD" w:rsidRPr="00B554CD" w:rsidRDefault="00B554CD" w:rsidP="00B554CD">
      <w:pPr>
        <w:pStyle w:val="EndNoteBibliography"/>
        <w:spacing w:after="0"/>
        <w:ind w:left="720" w:hanging="720"/>
        <w:rPr>
          <w:noProof/>
        </w:rPr>
      </w:pPr>
      <w:r w:rsidRPr="00B554CD">
        <w:rPr>
          <w:noProof/>
        </w:rPr>
        <w:t>14.</w:t>
      </w:r>
      <w:r w:rsidRPr="00B554CD">
        <w:rPr>
          <w:noProof/>
        </w:rPr>
        <w:tab/>
        <w:t xml:space="preserve">National Institute for Health and Care Excellence. Pneumonia (hospital- acquired): antimicrobial prescribing guideline 2019. Available from: </w:t>
      </w:r>
      <w:hyperlink r:id="rId22" w:history="1">
        <w:r w:rsidRPr="00B554CD">
          <w:rPr>
            <w:rStyle w:val="Hyperlink"/>
            <w:noProof/>
          </w:rPr>
          <w:t>https://www.nice.org.uk/guidance/ng139/</w:t>
        </w:r>
      </w:hyperlink>
      <w:r w:rsidRPr="00B554CD">
        <w:rPr>
          <w:noProof/>
        </w:rPr>
        <w:t xml:space="preserve"> [accessed 12/2020].</w:t>
      </w:r>
    </w:p>
    <w:p w14:paraId="05FEF012" w14:textId="7FB8B81D" w:rsidR="00B554CD" w:rsidRPr="00B554CD" w:rsidRDefault="00B554CD" w:rsidP="00B554CD">
      <w:pPr>
        <w:pStyle w:val="EndNoteBibliography"/>
        <w:spacing w:after="0"/>
        <w:ind w:left="720" w:hanging="720"/>
        <w:rPr>
          <w:noProof/>
        </w:rPr>
      </w:pPr>
      <w:r w:rsidRPr="00B554CD">
        <w:rPr>
          <w:noProof/>
        </w:rPr>
        <w:t>15.</w:t>
      </w:r>
      <w:r w:rsidRPr="00B554CD">
        <w:rPr>
          <w:noProof/>
        </w:rPr>
        <w:tab/>
        <w:t xml:space="preserve">Public Health England. AMR local indicators - Fingertips profile. Available from: </w:t>
      </w:r>
      <w:hyperlink r:id="rId23" w:history="1">
        <w:r w:rsidRPr="00B554CD">
          <w:rPr>
            <w:rStyle w:val="Hyperlink"/>
            <w:noProof/>
          </w:rPr>
          <w:t>https://fingertips.phe.org.uk/profile/amr-local-indicators</w:t>
        </w:r>
      </w:hyperlink>
      <w:r w:rsidRPr="00B554CD">
        <w:rPr>
          <w:noProof/>
        </w:rPr>
        <w:t>.</w:t>
      </w:r>
    </w:p>
    <w:p w14:paraId="7E879EF0" w14:textId="77777777" w:rsidR="00B554CD" w:rsidRPr="00B554CD" w:rsidRDefault="00B554CD" w:rsidP="00B554CD">
      <w:pPr>
        <w:pStyle w:val="EndNoteBibliography"/>
        <w:spacing w:after="0"/>
        <w:ind w:left="720" w:hanging="720"/>
        <w:rPr>
          <w:noProof/>
        </w:rPr>
      </w:pPr>
      <w:r w:rsidRPr="00B554CD">
        <w:rPr>
          <w:noProof/>
        </w:rPr>
        <w:t>16.</w:t>
      </w:r>
      <w:r w:rsidRPr="00B554CD">
        <w:rPr>
          <w:noProof/>
        </w:rPr>
        <w:tab/>
        <w:t>Public Health England. English Surveillance Programme for Antimicrobial Utilisation and Resistance (ESPAUR) Report 2018 to 2019. In: Department of Public Health., editor. UK: © Crown copyright [2019].</w:t>
      </w:r>
    </w:p>
    <w:p w14:paraId="17DC37AB" w14:textId="77777777" w:rsidR="00B554CD" w:rsidRPr="00B554CD" w:rsidRDefault="00B554CD" w:rsidP="00B554CD">
      <w:pPr>
        <w:pStyle w:val="EndNoteBibliography"/>
        <w:spacing w:after="0"/>
        <w:ind w:left="720" w:hanging="720"/>
        <w:rPr>
          <w:noProof/>
        </w:rPr>
      </w:pPr>
      <w:r w:rsidRPr="00B554CD">
        <w:rPr>
          <w:noProof/>
        </w:rPr>
        <w:lastRenderedPageBreak/>
        <w:t>17.</w:t>
      </w:r>
      <w:r w:rsidRPr="00B554CD">
        <w:rPr>
          <w:noProof/>
        </w:rPr>
        <w:tab/>
        <w:t>Public Health England. English Surveillance Programme for Antimicrobial Utilisation and Resistance (ESPAUR) Report 2019 to 2020. In: Department of Public Health., editor. UK: © Crown copyright [2020].</w:t>
      </w:r>
    </w:p>
    <w:p w14:paraId="21E518A2" w14:textId="77777777" w:rsidR="00B554CD" w:rsidRPr="00B554CD" w:rsidRDefault="00B554CD" w:rsidP="00B554CD">
      <w:pPr>
        <w:pStyle w:val="EndNoteBibliography"/>
        <w:spacing w:after="0"/>
        <w:ind w:left="720" w:hanging="720"/>
        <w:rPr>
          <w:noProof/>
        </w:rPr>
      </w:pPr>
      <w:r w:rsidRPr="00B554CD">
        <w:rPr>
          <w:noProof/>
        </w:rPr>
        <w:t>18.</w:t>
      </w:r>
      <w:r w:rsidRPr="00B554CD">
        <w:rPr>
          <w:noProof/>
        </w:rPr>
        <w:tab/>
        <w:t>Public Health England. English Surveillance Programme for Antimicrobial Utilisation and Resistance (ESPAUR) Report 2020 to 2021. In: Department of Public Health., editor. UK: © Crown copyright [2021].</w:t>
      </w:r>
    </w:p>
    <w:p w14:paraId="1CB203E4" w14:textId="77777777" w:rsidR="00B554CD" w:rsidRPr="00B554CD" w:rsidRDefault="00B554CD" w:rsidP="00B554CD">
      <w:pPr>
        <w:pStyle w:val="EndNoteBibliography"/>
        <w:spacing w:after="0"/>
        <w:ind w:left="720" w:hanging="720"/>
        <w:rPr>
          <w:noProof/>
        </w:rPr>
      </w:pPr>
      <w:r w:rsidRPr="00B554CD">
        <w:rPr>
          <w:noProof/>
        </w:rPr>
        <w:t>19.</w:t>
      </w:r>
      <w:r w:rsidRPr="00B554CD">
        <w:rPr>
          <w:noProof/>
        </w:rPr>
        <w:tab/>
        <w:t>Pfizer. Based on Pfizer data on file (IQVIA data bought). 2021.</w:t>
      </w:r>
    </w:p>
    <w:p w14:paraId="4E473196" w14:textId="77777777" w:rsidR="00B554CD" w:rsidRPr="00B554CD" w:rsidRDefault="00B554CD" w:rsidP="00B554CD">
      <w:pPr>
        <w:pStyle w:val="EndNoteBibliography"/>
        <w:spacing w:after="0"/>
        <w:ind w:left="720" w:hanging="720"/>
        <w:rPr>
          <w:noProof/>
        </w:rPr>
      </w:pPr>
      <w:r w:rsidRPr="00B554CD">
        <w:rPr>
          <w:noProof/>
        </w:rPr>
        <w:t>20.</w:t>
      </w:r>
      <w:r w:rsidRPr="00B554CD">
        <w:rPr>
          <w:noProof/>
        </w:rPr>
        <w:tab/>
        <w:t>Najmeddin F, Shahrami B, Azadbakht S, et al. Evaluation of Epithelial Lining Fluid Concentration of Amikacin in Critically Ill Patients With Ventilator-Associated Pneumonia. J Intensive Care Med. 2020;35(4):400-4.</w:t>
      </w:r>
    </w:p>
    <w:p w14:paraId="475701C8" w14:textId="43BB0F29" w:rsidR="00B554CD" w:rsidRPr="00B554CD" w:rsidRDefault="00B554CD" w:rsidP="00B554CD">
      <w:pPr>
        <w:pStyle w:val="EndNoteBibliography"/>
        <w:spacing w:after="0"/>
        <w:ind w:left="720" w:hanging="720"/>
        <w:rPr>
          <w:noProof/>
        </w:rPr>
      </w:pPr>
      <w:r w:rsidRPr="00B554CD">
        <w:rPr>
          <w:noProof/>
        </w:rPr>
        <w:t>21.</w:t>
      </w:r>
      <w:r w:rsidRPr="00B554CD">
        <w:rPr>
          <w:noProof/>
        </w:rPr>
        <w:tab/>
        <w:t xml:space="preserve">EUCAST. Guidance Document on Implementation and Use of the Revised Aminoglycoside Breakpoints. 2020. Available from: </w:t>
      </w:r>
      <w:hyperlink r:id="rId24" w:history="1">
        <w:r w:rsidRPr="00B554CD">
          <w:rPr>
            <w:rStyle w:val="Hyperlink"/>
            <w:noProof/>
          </w:rPr>
          <w:t>https://www.eucast.org/fileadmin/src/media/PDFs/EUCAST_files/Guidance_documents/Aminoglycoside_guidance_document_20200424.pdf</w:t>
        </w:r>
      </w:hyperlink>
      <w:r w:rsidRPr="00B554CD">
        <w:rPr>
          <w:noProof/>
        </w:rPr>
        <w:t>.</w:t>
      </w:r>
    </w:p>
    <w:p w14:paraId="7A62EE8B" w14:textId="77777777" w:rsidR="00B554CD" w:rsidRPr="00B554CD" w:rsidRDefault="00B554CD" w:rsidP="00B554CD">
      <w:pPr>
        <w:pStyle w:val="EndNoteBibliography"/>
        <w:ind w:left="720" w:hanging="720"/>
        <w:rPr>
          <w:noProof/>
        </w:rPr>
      </w:pPr>
      <w:r w:rsidRPr="00B554CD">
        <w:rPr>
          <w:noProof/>
        </w:rPr>
        <w:t>22.</w:t>
      </w:r>
      <w:r w:rsidRPr="00B554CD">
        <w:rPr>
          <w:noProof/>
        </w:rPr>
        <w:tab/>
        <w:t>Tlaskalová-Hogenová H, Štěpánková R, Hudcovic T, et al. Commensal bacteria (normal microflora), mucosal immunity and chronic inflammatory and autoimmune diseases. Immunology Letters. 2004;93(2):97-108.</w:t>
      </w:r>
    </w:p>
    <w:p w14:paraId="11EC1652" w14:textId="51B07AC6" w:rsidR="0008114B" w:rsidRPr="00A573DE" w:rsidRDefault="0008114B" w:rsidP="0008114B">
      <w:pPr>
        <w:rPr>
          <w:rFonts w:cs="Arial"/>
          <w:sz w:val="20"/>
        </w:rPr>
      </w:pPr>
      <w:r w:rsidRPr="00A573DE">
        <w:rPr>
          <w:rFonts w:cs="Arial"/>
          <w:sz w:val="20"/>
        </w:rPr>
        <w:fldChar w:fldCharType="end"/>
      </w:r>
    </w:p>
    <w:p w14:paraId="0F07A431" w14:textId="77777777" w:rsidR="0008114B" w:rsidRDefault="0008114B"/>
    <w:p w14:paraId="2DC84F29" w14:textId="77777777" w:rsidR="000B0C48" w:rsidRDefault="000B0C48"/>
    <w:p w14:paraId="691865AA" w14:textId="77777777" w:rsidR="0008114B" w:rsidRDefault="0008114B">
      <w:pPr>
        <w:rPr>
          <w:rFonts w:cs="Arial"/>
          <w:b/>
          <w:sz w:val="20"/>
        </w:rPr>
      </w:pPr>
      <w:r>
        <w:rPr>
          <w:rFonts w:cs="Arial"/>
          <w:b/>
          <w:sz w:val="20"/>
        </w:rPr>
        <w:br w:type="page"/>
      </w:r>
    </w:p>
    <w:p w14:paraId="6A9D827D" w14:textId="18D2C691" w:rsidR="00A543EF" w:rsidRPr="005F244E" w:rsidRDefault="00A543EF" w:rsidP="00A543EF">
      <w:pPr>
        <w:rPr>
          <w:rFonts w:cs="Arial"/>
          <w:b/>
          <w:sz w:val="20"/>
        </w:rPr>
      </w:pPr>
      <w:r w:rsidRPr="005F244E">
        <w:rPr>
          <w:rFonts w:cs="Arial"/>
          <w:b/>
          <w:sz w:val="20"/>
        </w:rPr>
        <w:lastRenderedPageBreak/>
        <w:t>Checklist for submitting comments</w:t>
      </w:r>
    </w:p>
    <w:p w14:paraId="37A3ECD9" w14:textId="00A71A49" w:rsidR="00A543EF" w:rsidRPr="005F244E" w:rsidRDefault="00A543EF" w:rsidP="00A543EF">
      <w:pPr>
        <w:numPr>
          <w:ilvl w:val="0"/>
          <w:numId w:val="9"/>
        </w:numPr>
        <w:rPr>
          <w:rFonts w:cs="Arial"/>
          <w:sz w:val="20"/>
        </w:rPr>
      </w:pPr>
      <w:r w:rsidRPr="005F244E">
        <w:rPr>
          <w:rFonts w:cs="Arial"/>
          <w:sz w:val="20"/>
        </w:rPr>
        <w:t>Use this comment</w:t>
      </w:r>
      <w:r w:rsidR="005F244E" w:rsidRPr="005F244E">
        <w:rPr>
          <w:rFonts w:cs="Arial"/>
          <w:sz w:val="20"/>
        </w:rPr>
        <w:t>s</w:t>
      </w:r>
      <w:r w:rsidRPr="005F244E">
        <w:rPr>
          <w:rFonts w:cs="Arial"/>
          <w:sz w:val="20"/>
        </w:rPr>
        <w:t xml:space="preserve"> form and submit it as a Word document (not a PDF).</w:t>
      </w:r>
    </w:p>
    <w:p w14:paraId="26C208D7" w14:textId="77777777" w:rsidR="00A543EF" w:rsidRPr="005F244E" w:rsidRDefault="00A543EF" w:rsidP="00A543EF">
      <w:pPr>
        <w:numPr>
          <w:ilvl w:val="0"/>
          <w:numId w:val="9"/>
        </w:numPr>
        <w:rPr>
          <w:sz w:val="20"/>
        </w:rPr>
      </w:pPr>
      <w:r w:rsidRPr="005F244E">
        <w:rPr>
          <w:sz w:val="20"/>
        </w:rPr>
        <w:t>Complete the disclosure about links with, or funding from, the tobacco industry.</w:t>
      </w:r>
    </w:p>
    <w:p w14:paraId="7CD9E8EF" w14:textId="77777777" w:rsidR="00A543EF" w:rsidRPr="005F244E" w:rsidRDefault="00A543EF" w:rsidP="00A543EF">
      <w:pPr>
        <w:numPr>
          <w:ilvl w:val="0"/>
          <w:numId w:val="9"/>
        </w:numPr>
        <w:rPr>
          <w:rFonts w:cs="Arial"/>
          <w:sz w:val="20"/>
        </w:rPr>
      </w:pPr>
      <w:r w:rsidRPr="005F244E">
        <w:rPr>
          <w:rFonts w:cs="Arial"/>
          <w:sz w:val="20"/>
        </w:rPr>
        <w:t xml:space="preserve">Combine all comments from your organisation into 1 response. We cannot accept more than 1 set of comments from each organisation. </w:t>
      </w:r>
    </w:p>
    <w:p w14:paraId="4ECA07F1" w14:textId="77777777" w:rsidR="00A543EF" w:rsidRPr="005F244E" w:rsidRDefault="00A543EF" w:rsidP="00A543EF">
      <w:pPr>
        <w:numPr>
          <w:ilvl w:val="0"/>
          <w:numId w:val="9"/>
        </w:numPr>
        <w:rPr>
          <w:rFonts w:cs="Arial"/>
          <w:sz w:val="20"/>
        </w:rPr>
      </w:pPr>
      <w:r w:rsidRPr="005F244E">
        <w:rPr>
          <w:rFonts w:cs="Arial"/>
          <w:sz w:val="20"/>
        </w:rPr>
        <w:t>Do not paste other tables into this table – type directly into the table.</w:t>
      </w:r>
    </w:p>
    <w:p w14:paraId="379F90C7" w14:textId="6198175A" w:rsidR="00A543EF" w:rsidRPr="005F244E" w:rsidRDefault="00A543EF" w:rsidP="00A543EF">
      <w:pPr>
        <w:numPr>
          <w:ilvl w:val="0"/>
          <w:numId w:val="9"/>
        </w:numPr>
        <w:rPr>
          <w:rFonts w:cs="Arial"/>
          <w:sz w:val="20"/>
          <w:highlight w:val="yellow"/>
        </w:rPr>
      </w:pPr>
      <w:r w:rsidRPr="005F244E">
        <w:rPr>
          <w:rFonts w:cs="Arial"/>
          <w:sz w:val="20"/>
        </w:rPr>
        <w:t xml:space="preserve">Please underline all confidential information, and separately highlight information that is submitted under </w:t>
      </w:r>
      <w:r w:rsidRPr="005F244E">
        <w:rPr>
          <w:rFonts w:cs="Arial"/>
          <w:sz w:val="20"/>
          <w:highlight w:val="cyan"/>
          <w:u w:val="single"/>
        </w:rPr>
        <w:t>‘commercial in confidence’ in turquoise</w:t>
      </w:r>
      <w:r w:rsidRPr="005F244E">
        <w:rPr>
          <w:rFonts w:cs="Arial"/>
          <w:sz w:val="20"/>
        </w:rPr>
        <w:t xml:space="preserve"> and all information submitted under </w:t>
      </w:r>
      <w:r w:rsidRPr="005F244E">
        <w:rPr>
          <w:rFonts w:cs="Arial"/>
          <w:sz w:val="20"/>
          <w:highlight w:val="yellow"/>
          <w:u w:val="single"/>
        </w:rPr>
        <w:t>‘academic in confidence’ in yellow</w:t>
      </w:r>
      <w:r w:rsidRPr="005F244E">
        <w:rPr>
          <w:rFonts w:cs="Arial"/>
          <w:sz w:val="20"/>
        </w:rPr>
        <w:t>. If confidential information is submitted, please also send a 2</w:t>
      </w:r>
      <w:r w:rsidRPr="005F244E">
        <w:rPr>
          <w:rFonts w:cs="Arial"/>
          <w:sz w:val="20"/>
          <w:vertAlign w:val="superscript"/>
        </w:rPr>
        <w:t>nd</w:t>
      </w:r>
      <w:r w:rsidRPr="005F244E">
        <w:rPr>
          <w:rFonts w:cs="Arial"/>
          <w:sz w:val="20"/>
        </w:rPr>
        <w:t xml:space="preserve"> version of your comment with that information replaced with the following text: ‘academic / commercial in confidence information removed’</w:t>
      </w:r>
      <w:r w:rsidR="00AC41A1">
        <w:rPr>
          <w:rFonts w:cs="Arial"/>
          <w:sz w:val="20"/>
        </w:rPr>
        <w:t>.</w:t>
      </w:r>
    </w:p>
    <w:p w14:paraId="7F81EF2A" w14:textId="77777777" w:rsidR="00A543EF" w:rsidRPr="005F244E" w:rsidRDefault="00A543EF" w:rsidP="00A543EF">
      <w:pPr>
        <w:numPr>
          <w:ilvl w:val="0"/>
          <w:numId w:val="9"/>
        </w:numPr>
        <w:rPr>
          <w:rFonts w:cs="Arial"/>
          <w:sz w:val="20"/>
        </w:rPr>
      </w:pPr>
      <w:r w:rsidRPr="005F244E">
        <w:rPr>
          <w:rFonts w:cs="Arial"/>
          <w:sz w:val="20"/>
        </w:rPr>
        <w:t xml:space="preserve">Do not include medical information about yourself or another person from which you or the person could be identified. </w:t>
      </w:r>
    </w:p>
    <w:p w14:paraId="36C12C66" w14:textId="77777777" w:rsidR="00A543EF" w:rsidRPr="005F244E" w:rsidRDefault="00A543EF" w:rsidP="00A543EF">
      <w:pPr>
        <w:numPr>
          <w:ilvl w:val="0"/>
          <w:numId w:val="9"/>
        </w:numPr>
        <w:rPr>
          <w:rFonts w:cs="Arial"/>
          <w:sz w:val="20"/>
        </w:rPr>
      </w:pPr>
      <w:r w:rsidRPr="005F244E">
        <w:rPr>
          <w:rFonts w:cs="Arial"/>
          <w:sz w:val="20"/>
        </w:rPr>
        <w:t xml:space="preserve">Do not use abbreviations </w:t>
      </w:r>
    </w:p>
    <w:p w14:paraId="2BD10E90" w14:textId="09E0F8FF" w:rsidR="00A543EF" w:rsidRPr="005F244E" w:rsidRDefault="00A543EF" w:rsidP="00A543EF">
      <w:pPr>
        <w:numPr>
          <w:ilvl w:val="0"/>
          <w:numId w:val="9"/>
        </w:numPr>
        <w:rPr>
          <w:rFonts w:cs="Arial"/>
          <w:sz w:val="20"/>
        </w:rPr>
      </w:pPr>
      <w:r w:rsidRPr="005F244E">
        <w:rPr>
          <w:rFonts w:cs="Arial"/>
          <w:sz w:val="20"/>
        </w:rPr>
        <w:t xml:space="preserve">Do not include attachments such as research articles, </w:t>
      </w:r>
      <w:proofErr w:type="gramStart"/>
      <w:r w:rsidRPr="005F244E">
        <w:rPr>
          <w:rFonts w:cs="Arial"/>
          <w:sz w:val="20"/>
        </w:rPr>
        <w:t>letters</w:t>
      </w:r>
      <w:proofErr w:type="gramEnd"/>
      <w:r w:rsidRPr="005F244E">
        <w:rPr>
          <w:rFonts w:cs="Arial"/>
          <w:sz w:val="20"/>
        </w:rPr>
        <w:t xml:space="preserve"> or leaflets. For copyright reasons, we will have to return comments forms that have attachments without reading them. You can resubmit your comments form without attachments, it must </w:t>
      </w:r>
      <w:r w:rsidR="002B12BF">
        <w:rPr>
          <w:rFonts w:cs="Arial"/>
          <w:sz w:val="20"/>
        </w:rPr>
        <w:t xml:space="preserve">be </w:t>
      </w:r>
      <w:r w:rsidRPr="005F244E">
        <w:rPr>
          <w:rFonts w:cs="Arial"/>
          <w:sz w:val="20"/>
        </w:rPr>
        <w:t>sen</w:t>
      </w:r>
      <w:r w:rsidR="002B12BF">
        <w:rPr>
          <w:rFonts w:cs="Arial"/>
          <w:sz w:val="20"/>
        </w:rPr>
        <w:t>t</w:t>
      </w:r>
      <w:r w:rsidRPr="005F244E">
        <w:rPr>
          <w:rFonts w:cs="Arial"/>
          <w:sz w:val="20"/>
        </w:rPr>
        <w:t xml:space="preserve"> by the deadline.</w:t>
      </w:r>
    </w:p>
    <w:p w14:paraId="2ED8137C" w14:textId="77777777" w:rsidR="00324A43" w:rsidRPr="005F244E" w:rsidRDefault="00324A43" w:rsidP="00A543EF">
      <w:pPr>
        <w:pStyle w:val="NICEnormal"/>
        <w:spacing w:after="120" w:line="240" w:lineRule="auto"/>
        <w:rPr>
          <w:rFonts w:cs="Arial"/>
          <w:b/>
          <w:sz w:val="20"/>
          <w:szCs w:val="20"/>
          <w:lang w:val="en-GB"/>
        </w:rPr>
      </w:pPr>
    </w:p>
    <w:p w14:paraId="3EB9B383" w14:textId="0861E698" w:rsidR="00A543EF" w:rsidRPr="005F244E" w:rsidRDefault="00A543EF" w:rsidP="00A543EF">
      <w:pPr>
        <w:pStyle w:val="NICEnormal"/>
        <w:spacing w:after="120" w:line="240" w:lineRule="auto"/>
        <w:rPr>
          <w:rFonts w:cs="Arial"/>
          <w:sz w:val="20"/>
          <w:szCs w:val="20"/>
          <w:lang w:val="en-GB"/>
        </w:rPr>
      </w:pPr>
      <w:r w:rsidRPr="005F244E">
        <w:rPr>
          <w:rFonts w:cs="Arial"/>
          <w:b/>
          <w:sz w:val="20"/>
          <w:szCs w:val="20"/>
          <w:lang w:val="en-GB"/>
        </w:rPr>
        <w:t>Note:</w:t>
      </w:r>
      <w:r w:rsidRPr="005F244E">
        <w:rPr>
          <w:rFonts w:cs="Arial"/>
          <w:sz w:val="20"/>
          <w:szCs w:val="20"/>
          <w:lang w:val="en-GB"/>
        </w:rPr>
        <w:t xml:space="preserve"> We reserve the right to summarise and edit comments received during consultations, or not to publish them at all, if we consider the comments are too long, or publication would be unlawful or otherwise inappropriate.</w:t>
      </w:r>
    </w:p>
    <w:p w14:paraId="752871DE" w14:textId="0CDAEC38" w:rsidR="00B81DC8" w:rsidRPr="005F244E" w:rsidRDefault="00A543EF" w:rsidP="00A543EF">
      <w:pPr>
        <w:rPr>
          <w:rFonts w:cs="Arial"/>
          <w:sz w:val="20"/>
        </w:rPr>
      </w:pPr>
      <w:r w:rsidRPr="005F244E">
        <w:rPr>
          <w:rFonts w:cs="Arial"/>
          <w:bCs/>
          <w:sz w:val="20"/>
        </w:rPr>
        <w:t>Comments received during our consultations are published in the interests of openness and transparency. The comments are published as a record of the comments we received, and are not endorsed by NICE, its officers or advisory committees.</w:t>
      </w:r>
    </w:p>
    <w:p w14:paraId="2BA54437" w14:textId="77777777" w:rsidR="003F6C97" w:rsidRPr="005F244E" w:rsidRDefault="003F6C97" w:rsidP="00FC2698">
      <w:pPr>
        <w:rPr>
          <w:rFonts w:cs="Arial"/>
          <w:sz w:val="20"/>
        </w:rPr>
      </w:pPr>
    </w:p>
    <w:p w14:paraId="7E36C17A" w14:textId="77777777" w:rsidR="003F6C97" w:rsidRDefault="003F6C97" w:rsidP="00FC2698">
      <w:pPr>
        <w:rPr>
          <w:rFonts w:cs="Arial"/>
          <w:sz w:val="20"/>
        </w:rPr>
      </w:pPr>
    </w:p>
    <w:p w14:paraId="15A95AD0" w14:textId="16363304" w:rsidR="003F6C97" w:rsidRPr="00B81DC8" w:rsidRDefault="003F6C97" w:rsidP="00FC2698">
      <w:pPr>
        <w:rPr>
          <w:rFonts w:cs="Arial"/>
          <w:sz w:val="20"/>
        </w:rPr>
      </w:pPr>
    </w:p>
    <w:sectPr w:rsidR="003F6C97" w:rsidRPr="00B81DC8" w:rsidSect="000E19C8">
      <w:headerReference w:type="default" r:id="rId25"/>
      <w:footerReference w:type="default" r:id="rId26"/>
      <w:pgSz w:w="11906" w:h="16838" w:code="9"/>
      <w:pgMar w:top="851" w:right="851" w:bottom="709" w:left="851" w:header="28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84365" w14:textId="77777777" w:rsidR="0008114B" w:rsidRDefault="0008114B">
      <w:r>
        <w:separator/>
      </w:r>
    </w:p>
  </w:endnote>
  <w:endnote w:type="continuationSeparator" w:id="0">
    <w:p w14:paraId="25973F20" w14:textId="77777777" w:rsidR="0008114B" w:rsidRDefault="0008114B">
      <w:r>
        <w:continuationSeparator/>
      </w:r>
    </w:p>
  </w:endnote>
  <w:endnote w:type="continuationNotice" w:id="1">
    <w:p w14:paraId="388EE559" w14:textId="77777777" w:rsidR="0008114B" w:rsidRDefault="000811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28C9E" w14:textId="77777777" w:rsidR="0008114B" w:rsidRDefault="0008114B" w:rsidP="00EE6C88">
    <w:pPr>
      <w:tabs>
        <w:tab w:val="left" w:pos="5565"/>
      </w:tabs>
      <w:rPr>
        <w:sz w:val="18"/>
      </w:rPr>
    </w:pP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5AA1" w14:textId="77777777" w:rsidR="0008114B" w:rsidRDefault="0008114B" w:rsidP="00EE6C88">
    <w:pPr>
      <w:tabs>
        <w:tab w:val="left" w:pos="5565"/>
      </w:tabs>
      <w:rPr>
        <w:sz w:val="18"/>
      </w:rPr>
    </w:pPr>
    <w:r>
      <w:rPr>
        <w:sz w:val="18"/>
      </w:rPr>
      <w:tab/>
    </w:r>
  </w:p>
  <w:p w14:paraId="11BFD910" w14:textId="7D462E0F" w:rsidR="0008114B" w:rsidRDefault="0008114B" w:rsidP="00EE6C88">
    <w:pPr>
      <w:rPr>
        <w:b/>
      </w:rPr>
    </w:pPr>
    <w:r>
      <w:rPr>
        <w:szCs w:val="22"/>
      </w:rPr>
      <w:t>Please return upload and return via</w:t>
    </w:r>
    <w:r>
      <w:t xml:space="preserve"> </w:t>
    </w:r>
    <w:r w:rsidRPr="00DF57F3">
      <w:rPr>
        <w:b/>
        <w:bCs/>
      </w:rPr>
      <w:t>NICE DOCS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D89D9" w14:textId="77777777" w:rsidR="0008114B" w:rsidRDefault="0008114B">
      <w:r>
        <w:separator/>
      </w:r>
    </w:p>
  </w:footnote>
  <w:footnote w:type="continuationSeparator" w:id="0">
    <w:p w14:paraId="379E1A39" w14:textId="77777777" w:rsidR="0008114B" w:rsidRDefault="0008114B">
      <w:r>
        <w:continuationSeparator/>
      </w:r>
    </w:p>
  </w:footnote>
  <w:footnote w:type="continuationNotice" w:id="1">
    <w:p w14:paraId="67B1FA70" w14:textId="77777777" w:rsidR="0008114B" w:rsidRDefault="000811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D4686" w14:textId="77777777" w:rsidR="0008114B" w:rsidRDefault="0008114B" w:rsidP="0008114B">
    <w:pPr>
      <w:pStyle w:val="Header"/>
    </w:pPr>
    <w:r w:rsidRPr="00E53E36">
      <w:rPr>
        <w:noProof/>
        <w:lang w:eastAsia="en-GB"/>
      </w:rPr>
      <w:drawing>
        <wp:inline distT="0" distB="0" distL="0" distR="0" wp14:anchorId="19C5DF54" wp14:editId="57155A67">
          <wp:extent cx="2971800" cy="304800"/>
          <wp:effectExtent l="0" t="0" r="0" b="0"/>
          <wp:docPr id="3"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r>
      <w:br/>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8B7FF" w14:textId="77777777" w:rsidR="0008114B" w:rsidRDefault="0008114B" w:rsidP="0008114B">
    <w:pPr>
      <w:pStyle w:val="Heading3"/>
    </w:pPr>
  </w:p>
  <w:p w14:paraId="4617AA59" w14:textId="77777777" w:rsidR="0008114B" w:rsidRDefault="0008114B" w:rsidP="0008114B">
    <w:pPr>
      <w:pStyle w:val="Heading3"/>
    </w:pPr>
    <w:r w:rsidRPr="00E53E36">
      <w:rPr>
        <w:noProof/>
        <w:lang w:eastAsia="en-GB"/>
      </w:rPr>
      <w:drawing>
        <wp:inline distT="0" distB="0" distL="0" distR="0" wp14:anchorId="693A06CB" wp14:editId="722390BB">
          <wp:extent cx="2971800" cy="304800"/>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r>
      <w:br/>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F890" w14:textId="77777777" w:rsidR="0008114B" w:rsidRDefault="0008114B" w:rsidP="000E19C8">
    <w:pPr>
      <w:pStyle w:val="Heading3"/>
      <w:jc w:val="left"/>
    </w:pPr>
  </w:p>
  <w:p w14:paraId="0ABCD737" w14:textId="77777777" w:rsidR="0008114B" w:rsidRDefault="0008114B" w:rsidP="000E19C8">
    <w:pPr>
      <w:pStyle w:val="Heading3"/>
    </w:pPr>
    <w:r w:rsidRPr="00E53E36">
      <w:rPr>
        <w:noProof/>
        <w:lang w:eastAsia="en-GB"/>
      </w:rPr>
      <w:drawing>
        <wp:inline distT="0" distB="0" distL="0" distR="0" wp14:anchorId="59EE35EA" wp14:editId="0A8413E3">
          <wp:extent cx="2971800" cy="304800"/>
          <wp:effectExtent l="0" t="0" r="0" b="0"/>
          <wp:docPr id="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r>
      <w:br/>
    </w:r>
    <w:r>
      <w:br/>
    </w:r>
  </w:p>
  <w:p w14:paraId="0E428AEB" w14:textId="77777777" w:rsidR="0008114B" w:rsidRPr="00703D2E" w:rsidRDefault="0008114B" w:rsidP="00703D2E">
    <w:pPr>
      <w:spacing w:before="100" w:beforeAutospacing="1" w:after="100" w:afterAutospacing="1"/>
      <w:jc w:val="center"/>
      <w:rPr>
        <w:rFonts w:cs="Arial"/>
        <w:b/>
        <w:color w:val="2F5496" w:themeColor="accent1" w:themeShade="BF"/>
        <w:szCs w:val="22"/>
      </w:rPr>
    </w:pPr>
    <w:r w:rsidRPr="00703D2E">
      <w:rPr>
        <w:rFonts w:cs="Arial"/>
        <w:b/>
        <w:color w:val="2F5496" w:themeColor="accent1" w:themeShade="BF"/>
        <w:szCs w:val="22"/>
      </w:rPr>
      <w:t>Ceftazidime with avibactam for treating severe aerobic Gram-negative bacterial infections</w:t>
    </w:r>
  </w:p>
  <w:p w14:paraId="3D15CD82" w14:textId="40A0DE64" w:rsidR="0008114B" w:rsidRDefault="0008114B" w:rsidP="00FE39DA">
    <w:pPr>
      <w:pStyle w:val="Heading3"/>
      <w:rPr>
        <w:rFonts w:cs="Arial"/>
        <w:bCs w:val="0"/>
      </w:rPr>
    </w:pPr>
    <w:r w:rsidRPr="008039AA">
      <w:rPr>
        <w:rFonts w:cs="Arial"/>
        <w:bCs w:val="0"/>
      </w:rPr>
      <w:t xml:space="preserve">Consultation on </w:t>
    </w:r>
    <w:r>
      <w:rPr>
        <w:rFonts w:cs="Arial"/>
        <w:bCs w:val="0"/>
      </w:rPr>
      <w:t>the Assessment Report</w:t>
    </w:r>
  </w:p>
  <w:p w14:paraId="76808036" w14:textId="77777777" w:rsidR="0008114B" w:rsidRPr="005F244E" w:rsidRDefault="0008114B" w:rsidP="005F244E"/>
  <w:p w14:paraId="2D42999A" w14:textId="330796AB" w:rsidR="0008114B" w:rsidRDefault="0008114B" w:rsidP="00FE39DA">
    <w:pPr>
      <w:pStyle w:val="Heading3"/>
    </w:pPr>
    <w:r>
      <w:t>Deadline for comments:</w:t>
    </w:r>
    <w:r>
      <w:rPr>
        <w:rFonts w:cs="Arial"/>
        <w:b w:val="0"/>
        <w:bCs w:val="0"/>
      </w:rPr>
      <w:t xml:space="preserve"> </w:t>
    </w:r>
    <w:r w:rsidRPr="00526B24">
      <w:t>5pm on</w:t>
    </w:r>
    <w:r w:rsidRPr="000E19C8">
      <w:rPr>
        <w:b w:val="0"/>
        <w:bCs w:val="0"/>
      </w:rPr>
      <w:t xml:space="preserve"> </w:t>
    </w:r>
    <w:r>
      <w:t>Monday 13 December 2021</w:t>
    </w:r>
  </w:p>
  <w:p w14:paraId="23105F75" w14:textId="77777777" w:rsidR="0008114B" w:rsidRDefault="0008114B" w:rsidP="003F6C97">
    <w:pPr>
      <w:pStyle w:val="Heading3"/>
      <w:jc w:val="left"/>
    </w:pPr>
  </w:p>
  <w:p w14:paraId="2E4B5CD6" w14:textId="247FD207" w:rsidR="0008114B" w:rsidRPr="00FE39DA" w:rsidRDefault="0008114B" w:rsidP="003F6C97">
    <w:pPr>
      <w:pStyle w:val="Heading3"/>
      <w:jc w:val="left"/>
      <w:rPr>
        <w:sz w:val="22"/>
        <w:szCs w:val="22"/>
      </w:rPr>
    </w:pPr>
    <w:r w:rsidRPr="00FE39DA">
      <w:rPr>
        <w:sz w:val="22"/>
        <w:szCs w:val="22"/>
      </w:rPr>
      <w:t xml:space="preserve">Please return via NICE Docs.  If you have any queries, please email </w:t>
    </w:r>
    <w:hyperlink r:id="rId2" w:history="1">
      <w:r w:rsidRPr="00FE39DA">
        <w:rPr>
          <w:rStyle w:val="Hyperlink"/>
          <w:sz w:val="22"/>
          <w:szCs w:val="22"/>
        </w:rPr>
        <w:t>amrexisting@nice.org.uk</w:t>
      </w:r>
    </w:hyperlink>
  </w:p>
  <w:p w14:paraId="0671B78B" w14:textId="77777777" w:rsidR="0008114B" w:rsidRDefault="00081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C6A8B"/>
    <w:multiLevelType w:val="multilevel"/>
    <w:tmpl w:val="9ADC59D8"/>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2"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A5017B"/>
    <w:multiLevelType w:val="hybridMultilevel"/>
    <w:tmpl w:val="A0B48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17BEF"/>
    <w:multiLevelType w:val="hybridMultilevel"/>
    <w:tmpl w:val="F5A42ECE"/>
    <w:lvl w:ilvl="0" w:tplc="473C23D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75E5A"/>
    <w:multiLevelType w:val="hybridMultilevel"/>
    <w:tmpl w:val="C70C966E"/>
    <w:lvl w:ilvl="0" w:tplc="719CDBB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258AC"/>
    <w:multiLevelType w:val="hybridMultilevel"/>
    <w:tmpl w:val="ACCC7EC2"/>
    <w:lvl w:ilvl="0" w:tplc="374236AC">
      <w:numFmt w:val="bullet"/>
      <w:lvlText w:val="•"/>
      <w:lvlJc w:val="left"/>
      <w:pPr>
        <w:ind w:left="1440" w:hanging="108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DF265D"/>
    <w:multiLevelType w:val="hybridMultilevel"/>
    <w:tmpl w:val="CB4A7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20277B"/>
    <w:multiLevelType w:val="hybridMultilevel"/>
    <w:tmpl w:val="C6041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AC1A6A"/>
    <w:multiLevelType w:val="hybridMultilevel"/>
    <w:tmpl w:val="B4DAADF8"/>
    <w:lvl w:ilvl="0" w:tplc="9822D8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6D194B"/>
    <w:multiLevelType w:val="hybridMultilevel"/>
    <w:tmpl w:val="FFFFFFFF"/>
    <w:lvl w:ilvl="0" w:tplc="26CCC5A0">
      <w:start w:val="1"/>
      <w:numFmt w:val="bullet"/>
      <w:lvlText w:val=""/>
      <w:lvlJc w:val="left"/>
      <w:pPr>
        <w:ind w:left="720" w:hanging="360"/>
      </w:pPr>
      <w:rPr>
        <w:rFonts w:ascii="Symbol" w:hAnsi="Symbol" w:hint="default"/>
      </w:rPr>
    </w:lvl>
    <w:lvl w:ilvl="1" w:tplc="3920D194">
      <w:start w:val="1"/>
      <w:numFmt w:val="bullet"/>
      <w:lvlText w:val="o"/>
      <w:lvlJc w:val="left"/>
      <w:pPr>
        <w:ind w:left="1440" w:hanging="360"/>
      </w:pPr>
      <w:rPr>
        <w:rFonts w:ascii="Courier New" w:hAnsi="Courier New" w:cs="Times New Roman" w:hint="default"/>
      </w:rPr>
    </w:lvl>
    <w:lvl w:ilvl="2" w:tplc="B3568BE2">
      <w:start w:val="1"/>
      <w:numFmt w:val="bullet"/>
      <w:lvlText w:val=""/>
      <w:lvlJc w:val="left"/>
      <w:pPr>
        <w:ind w:left="2160" w:hanging="360"/>
      </w:pPr>
      <w:rPr>
        <w:rFonts w:ascii="Wingdings" w:hAnsi="Wingdings" w:hint="default"/>
      </w:rPr>
    </w:lvl>
    <w:lvl w:ilvl="3" w:tplc="C30C365C">
      <w:start w:val="1"/>
      <w:numFmt w:val="bullet"/>
      <w:lvlText w:val=""/>
      <w:lvlJc w:val="left"/>
      <w:pPr>
        <w:ind w:left="2880" w:hanging="360"/>
      </w:pPr>
      <w:rPr>
        <w:rFonts w:ascii="Symbol" w:hAnsi="Symbol" w:hint="default"/>
      </w:rPr>
    </w:lvl>
    <w:lvl w:ilvl="4" w:tplc="F5F2F2F2">
      <w:start w:val="1"/>
      <w:numFmt w:val="bullet"/>
      <w:lvlText w:val="o"/>
      <w:lvlJc w:val="left"/>
      <w:pPr>
        <w:ind w:left="3600" w:hanging="360"/>
      </w:pPr>
      <w:rPr>
        <w:rFonts w:ascii="Courier New" w:hAnsi="Courier New" w:cs="Times New Roman" w:hint="default"/>
      </w:rPr>
    </w:lvl>
    <w:lvl w:ilvl="5" w:tplc="D52820C8">
      <w:start w:val="1"/>
      <w:numFmt w:val="bullet"/>
      <w:lvlText w:val=""/>
      <w:lvlJc w:val="left"/>
      <w:pPr>
        <w:ind w:left="4320" w:hanging="360"/>
      </w:pPr>
      <w:rPr>
        <w:rFonts w:ascii="Wingdings" w:hAnsi="Wingdings" w:hint="default"/>
      </w:rPr>
    </w:lvl>
    <w:lvl w:ilvl="6" w:tplc="FE384770">
      <w:start w:val="1"/>
      <w:numFmt w:val="bullet"/>
      <w:lvlText w:val=""/>
      <w:lvlJc w:val="left"/>
      <w:pPr>
        <w:ind w:left="5040" w:hanging="360"/>
      </w:pPr>
      <w:rPr>
        <w:rFonts w:ascii="Symbol" w:hAnsi="Symbol" w:hint="default"/>
      </w:rPr>
    </w:lvl>
    <w:lvl w:ilvl="7" w:tplc="1676FD34">
      <w:start w:val="1"/>
      <w:numFmt w:val="bullet"/>
      <w:lvlText w:val="o"/>
      <w:lvlJc w:val="left"/>
      <w:pPr>
        <w:ind w:left="5760" w:hanging="360"/>
      </w:pPr>
      <w:rPr>
        <w:rFonts w:ascii="Courier New" w:hAnsi="Courier New" w:cs="Times New Roman" w:hint="default"/>
      </w:rPr>
    </w:lvl>
    <w:lvl w:ilvl="8" w:tplc="78444378">
      <w:start w:val="1"/>
      <w:numFmt w:val="bullet"/>
      <w:lvlText w:val=""/>
      <w:lvlJc w:val="left"/>
      <w:pPr>
        <w:ind w:left="6480" w:hanging="360"/>
      </w:pPr>
      <w:rPr>
        <w:rFonts w:ascii="Wingdings" w:hAnsi="Wingdings" w:hint="default"/>
      </w:rPr>
    </w:lvl>
  </w:abstractNum>
  <w:abstractNum w:abstractNumId="12" w15:restartNumberingAfterBreak="0">
    <w:nsid w:val="1DFD2273"/>
    <w:multiLevelType w:val="hybridMultilevel"/>
    <w:tmpl w:val="8D2440A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2AA1036"/>
    <w:multiLevelType w:val="hybridMultilevel"/>
    <w:tmpl w:val="3DF2E47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4BC7396"/>
    <w:multiLevelType w:val="multilevel"/>
    <w:tmpl w:val="194CE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16" w15:restartNumberingAfterBreak="0">
    <w:nsid w:val="306A087C"/>
    <w:multiLevelType w:val="hybridMultilevel"/>
    <w:tmpl w:val="3C200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6B1221"/>
    <w:multiLevelType w:val="hybridMultilevel"/>
    <w:tmpl w:val="2032A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3F77FC"/>
    <w:multiLevelType w:val="hybridMultilevel"/>
    <w:tmpl w:val="AD2AA874"/>
    <w:lvl w:ilvl="0" w:tplc="719CDBB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742548"/>
    <w:multiLevelType w:val="hybridMultilevel"/>
    <w:tmpl w:val="35D497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333547"/>
    <w:multiLevelType w:val="hybridMultilevel"/>
    <w:tmpl w:val="8BFE02A8"/>
    <w:lvl w:ilvl="0" w:tplc="33FCA5B4">
      <w:start w:val="7"/>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4" w15:restartNumberingAfterBreak="0">
    <w:nsid w:val="484409A7"/>
    <w:multiLevelType w:val="multilevel"/>
    <w:tmpl w:val="94480B00"/>
    <w:lvl w:ilvl="0">
      <w:start w:val="1"/>
      <w:numFmt w:val="decimal"/>
      <w:lvlText w:val="Issue %1."/>
      <w:lvlJc w:val="left"/>
      <w:pPr>
        <w:ind w:left="720" w:hanging="360"/>
      </w:pPr>
      <w:rPr>
        <w:rFonts w:hint="default"/>
        <w:sz w:val="24"/>
        <w:szCs w:val="24"/>
        <w:lang w:val="en-GB"/>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25" w15:restartNumberingAfterBreak="0">
    <w:nsid w:val="4C1A4CA6"/>
    <w:multiLevelType w:val="hybridMultilevel"/>
    <w:tmpl w:val="74A42308"/>
    <w:lvl w:ilvl="0" w:tplc="374236AC">
      <w:numFmt w:val="bullet"/>
      <w:lvlText w:val="•"/>
      <w:lvlJc w:val="left"/>
      <w:pPr>
        <w:ind w:left="1800" w:hanging="108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E682021"/>
    <w:multiLevelType w:val="hybridMultilevel"/>
    <w:tmpl w:val="24704024"/>
    <w:lvl w:ilvl="0" w:tplc="2B1C6068">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1003BA0"/>
    <w:multiLevelType w:val="hybridMultilevel"/>
    <w:tmpl w:val="63369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DB03D0"/>
    <w:multiLevelType w:val="hybridMultilevel"/>
    <w:tmpl w:val="DAA21E1E"/>
    <w:lvl w:ilvl="0" w:tplc="08090001">
      <w:start w:val="1"/>
      <w:numFmt w:val="bullet"/>
      <w:lvlText w:val=""/>
      <w:lvlJc w:val="left"/>
      <w:pPr>
        <w:ind w:left="720" w:hanging="360"/>
      </w:pPr>
      <w:rPr>
        <w:rFonts w:ascii="Symbol" w:hAnsi="Symbol" w:hint="default"/>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21A6C40"/>
    <w:multiLevelType w:val="hybridMultilevel"/>
    <w:tmpl w:val="92F0AACA"/>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3B7459"/>
    <w:multiLevelType w:val="hybridMultilevel"/>
    <w:tmpl w:val="B1385CF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66786D"/>
    <w:multiLevelType w:val="hybridMultilevel"/>
    <w:tmpl w:val="7EA2AC80"/>
    <w:lvl w:ilvl="0" w:tplc="5992B23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AF6311"/>
    <w:multiLevelType w:val="hybridMultilevel"/>
    <w:tmpl w:val="9B06BF9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044FBD"/>
    <w:multiLevelType w:val="multilevel"/>
    <w:tmpl w:val="77160C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0306C2"/>
    <w:multiLevelType w:val="hybridMultilevel"/>
    <w:tmpl w:val="FFFFFFFF"/>
    <w:lvl w:ilvl="0" w:tplc="F61416EE">
      <w:start w:val="1"/>
      <w:numFmt w:val="bullet"/>
      <w:lvlText w:val=""/>
      <w:lvlJc w:val="left"/>
      <w:pPr>
        <w:ind w:left="1080" w:hanging="360"/>
      </w:pPr>
      <w:rPr>
        <w:rFonts w:ascii="Symbol" w:hAnsi="Symbol" w:hint="default"/>
      </w:rPr>
    </w:lvl>
    <w:lvl w:ilvl="1" w:tplc="12465F30">
      <w:start w:val="1"/>
      <w:numFmt w:val="bullet"/>
      <w:lvlText w:val="o"/>
      <w:lvlJc w:val="left"/>
      <w:pPr>
        <w:ind w:left="1800" w:hanging="360"/>
      </w:pPr>
      <w:rPr>
        <w:rFonts w:ascii="Courier New" w:hAnsi="Courier New" w:hint="default"/>
      </w:rPr>
    </w:lvl>
    <w:lvl w:ilvl="2" w:tplc="2384E47A">
      <w:start w:val="1"/>
      <w:numFmt w:val="bullet"/>
      <w:lvlText w:val=""/>
      <w:lvlJc w:val="left"/>
      <w:pPr>
        <w:ind w:left="2520" w:hanging="360"/>
      </w:pPr>
      <w:rPr>
        <w:rFonts w:ascii="Wingdings" w:hAnsi="Wingdings" w:hint="default"/>
      </w:rPr>
    </w:lvl>
    <w:lvl w:ilvl="3" w:tplc="E146CF18">
      <w:start w:val="1"/>
      <w:numFmt w:val="bullet"/>
      <w:lvlText w:val=""/>
      <w:lvlJc w:val="left"/>
      <w:pPr>
        <w:ind w:left="3240" w:hanging="360"/>
      </w:pPr>
      <w:rPr>
        <w:rFonts w:ascii="Symbol" w:hAnsi="Symbol" w:hint="default"/>
      </w:rPr>
    </w:lvl>
    <w:lvl w:ilvl="4" w:tplc="6E1A5CBA">
      <w:start w:val="1"/>
      <w:numFmt w:val="bullet"/>
      <w:lvlText w:val="o"/>
      <w:lvlJc w:val="left"/>
      <w:pPr>
        <w:ind w:left="3960" w:hanging="360"/>
      </w:pPr>
      <w:rPr>
        <w:rFonts w:ascii="Courier New" w:hAnsi="Courier New" w:hint="default"/>
      </w:rPr>
    </w:lvl>
    <w:lvl w:ilvl="5" w:tplc="9E8E36F0">
      <w:start w:val="1"/>
      <w:numFmt w:val="bullet"/>
      <w:lvlText w:val=""/>
      <w:lvlJc w:val="left"/>
      <w:pPr>
        <w:ind w:left="4680" w:hanging="360"/>
      </w:pPr>
      <w:rPr>
        <w:rFonts w:ascii="Wingdings" w:hAnsi="Wingdings" w:hint="default"/>
      </w:rPr>
    </w:lvl>
    <w:lvl w:ilvl="6" w:tplc="DD58056C">
      <w:start w:val="1"/>
      <w:numFmt w:val="bullet"/>
      <w:lvlText w:val=""/>
      <w:lvlJc w:val="left"/>
      <w:pPr>
        <w:ind w:left="5400" w:hanging="360"/>
      </w:pPr>
      <w:rPr>
        <w:rFonts w:ascii="Symbol" w:hAnsi="Symbol" w:hint="default"/>
      </w:rPr>
    </w:lvl>
    <w:lvl w:ilvl="7" w:tplc="41780CEC">
      <w:start w:val="1"/>
      <w:numFmt w:val="bullet"/>
      <w:lvlText w:val="o"/>
      <w:lvlJc w:val="left"/>
      <w:pPr>
        <w:ind w:left="6120" w:hanging="360"/>
      </w:pPr>
      <w:rPr>
        <w:rFonts w:ascii="Courier New" w:hAnsi="Courier New" w:hint="default"/>
      </w:rPr>
    </w:lvl>
    <w:lvl w:ilvl="8" w:tplc="2336343A">
      <w:start w:val="1"/>
      <w:numFmt w:val="bullet"/>
      <w:lvlText w:val=""/>
      <w:lvlJc w:val="left"/>
      <w:pPr>
        <w:ind w:left="6840" w:hanging="360"/>
      </w:pPr>
      <w:rPr>
        <w:rFonts w:ascii="Wingdings" w:hAnsi="Wingdings" w:hint="default"/>
      </w:rPr>
    </w:lvl>
  </w:abstractNum>
  <w:abstractNum w:abstractNumId="36" w15:restartNumberingAfterBreak="0">
    <w:nsid w:val="662F67E1"/>
    <w:multiLevelType w:val="hybridMultilevel"/>
    <w:tmpl w:val="050255B0"/>
    <w:lvl w:ilvl="0" w:tplc="719CDBB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996941"/>
    <w:multiLevelType w:val="hybridMultilevel"/>
    <w:tmpl w:val="549EB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C53BF4"/>
    <w:multiLevelType w:val="hybridMultilevel"/>
    <w:tmpl w:val="A0AA2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287641"/>
    <w:multiLevelType w:val="hybridMultilevel"/>
    <w:tmpl w:val="F8545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5"/>
  </w:num>
  <w:num w:numId="2">
    <w:abstractNumId w:val="37"/>
  </w:num>
  <w:num w:numId="3">
    <w:abstractNumId w:val="33"/>
  </w:num>
  <w:num w:numId="4">
    <w:abstractNumId w:val="38"/>
  </w:num>
  <w:num w:numId="5">
    <w:abstractNumId w:val="38"/>
    <w:lvlOverride w:ilvl="0">
      <w:startOverride w:val="1"/>
    </w:lvlOverride>
  </w:num>
  <w:num w:numId="6">
    <w:abstractNumId w:val="18"/>
  </w:num>
  <w:num w:numId="7">
    <w:abstractNumId w:val="19"/>
  </w:num>
  <w:num w:numId="8">
    <w:abstractNumId w:val="21"/>
  </w:num>
  <w:num w:numId="9">
    <w:abstractNumId w:val="0"/>
  </w:num>
  <w:num w:numId="10">
    <w:abstractNumId w:val="7"/>
  </w:num>
  <w:num w:numId="11">
    <w:abstractNumId w:val="2"/>
  </w:num>
  <w:num w:numId="12">
    <w:abstractNumId w:val="39"/>
  </w:num>
  <w:num w:numId="13">
    <w:abstractNumId w:val="6"/>
  </w:num>
  <w:num w:numId="14">
    <w:abstractNumId w:val="25"/>
  </w:num>
  <w:num w:numId="15">
    <w:abstractNumId w:val="17"/>
  </w:num>
  <w:num w:numId="16">
    <w:abstractNumId w:val="20"/>
  </w:num>
  <w:num w:numId="17">
    <w:abstractNumId w:val="5"/>
  </w:num>
  <w:num w:numId="18">
    <w:abstractNumId w:val="36"/>
  </w:num>
  <w:num w:numId="19">
    <w:abstractNumId w:val="28"/>
  </w:num>
  <w:num w:numId="20">
    <w:abstractNumId w:val="34"/>
  </w:num>
  <w:num w:numId="21">
    <w:abstractNumId w:val="31"/>
  </w:num>
  <w:num w:numId="22">
    <w:abstractNumId w:val="8"/>
  </w:num>
  <w:num w:numId="23">
    <w:abstractNumId w:val="4"/>
  </w:num>
  <w:num w:numId="24">
    <w:abstractNumId w:val="3"/>
  </w:num>
  <w:num w:numId="25">
    <w:abstractNumId w:val="32"/>
  </w:num>
  <w:num w:numId="26">
    <w:abstractNumId w:val="12"/>
  </w:num>
  <w:num w:numId="27">
    <w:abstractNumId w:val="24"/>
  </w:num>
  <w:num w:numId="28">
    <w:abstractNumId w:val="40"/>
  </w:num>
  <w:num w:numId="29">
    <w:abstractNumId w:val="35"/>
  </w:num>
  <w:num w:numId="30">
    <w:abstractNumId w:val="1"/>
  </w:num>
  <w:num w:numId="31">
    <w:abstractNumId w:val="10"/>
  </w:num>
  <w:num w:numId="32">
    <w:abstractNumId w:val="23"/>
  </w:num>
  <w:num w:numId="33">
    <w:abstractNumId w:val="29"/>
  </w:num>
  <w:num w:numId="34">
    <w:abstractNumId w:val="22"/>
  </w:num>
  <w:num w:numId="35">
    <w:abstractNumId w:val="30"/>
  </w:num>
  <w:num w:numId="36">
    <w:abstractNumId w:val="9"/>
  </w:num>
  <w:num w:numId="37">
    <w:abstractNumId w:val="14"/>
  </w:num>
  <w:num w:numId="38">
    <w:abstractNumId w:val="16"/>
  </w:num>
  <w:num w:numId="39">
    <w:abstractNumId w:val="13"/>
  </w:num>
  <w:num w:numId="40">
    <w:abstractNumId w:val="41"/>
  </w:num>
  <w:num w:numId="41">
    <w:abstractNumId w:val="11"/>
  </w:num>
  <w:num w:numId="42">
    <w:abstractNumId w:val="27"/>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 superscript &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d5s0xr0250t2qevxfgxpvwp5eaztd2pavxx&quot;&gt;Response to EEPRU assessment&lt;record-ids&gt;&lt;item&gt;1&lt;/item&gt;&lt;item&gt;9&lt;/item&gt;&lt;item&gt;11&lt;/item&gt;&lt;item&gt;16&lt;/item&gt;&lt;item&gt;17&lt;/item&gt;&lt;item&gt;21&lt;/item&gt;&lt;item&gt;22&lt;/item&gt;&lt;item&gt;23&lt;/item&gt;&lt;item&gt;25&lt;/item&gt;&lt;item&gt;27&lt;/item&gt;&lt;item&gt;28&lt;/item&gt;&lt;item&gt;30&lt;/item&gt;&lt;item&gt;31&lt;/item&gt;&lt;item&gt;32&lt;/item&gt;&lt;item&gt;33&lt;/item&gt;&lt;item&gt;34&lt;/item&gt;&lt;item&gt;35&lt;/item&gt;&lt;item&gt;36&lt;/item&gt;&lt;item&gt;37&lt;/item&gt;&lt;item&gt;39&lt;/item&gt;&lt;item&gt;40&lt;/item&gt;&lt;item&gt;41&lt;/item&gt;&lt;/record-ids&gt;&lt;/item&gt;&lt;/Libraries&gt;"/>
  </w:docVars>
  <w:rsids>
    <w:rsidRoot w:val="00AC3854"/>
    <w:rsid w:val="000214A8"/>
    <w:rsid w:val="00021B83"/>
    <w:rsid w:val="00025820"/>
    <w:rsid w:val="000342F2"/>
    <w:rsid w:val="00044D17"/>
    <w:rsid w:val="00062223"/>
    <w:rsid w:val="0006636E"/>
    <w:rsid w:val="0008114B"/>
    <w:rsid w:val="00092639"/>
    <w:rsid w:val="00093834"/>
    <w:rsid w:val="0009427C"/>
    <w:rsid w:val="00097482"/>
    <w:rsid w:val="000A6E0D"/>
    <w:rsid w:val="000B0C48"/>
    <w:rsid w:val="000C30A4"/>
    <w:rsid w:val="000C3C6E"/>
    <w:rsid w:val="000E19C8"/>
    <w:rsid w:val="000E31ED"/>
    <w:rsid w:val="000E5927"/>
    <w:rsid w:val="000E70BD"/>
    <w:rsid w:val="000F6532"/>
    <w:rsid w:val="001074E7"/>
    <w:rsid w:val="00121D06"/>
    <w:rsid w:val="001401C3"/>
    <w:rsid w:val="00140CA3"/>
    <w:rsid w:val="001413A6"/>
    <w:rsid w:val="00144F40"/>
    <w:rsid w:val="00152216"/>
    <w:rsid w:val="00153E23"/>
    <w:rsid w:val="0016312E"/>
    <w:rsid w:val="001663B1"/>
    <w:rsid w:val="00166F26"/>
    <w:rsid w:val="00172DC7"/>
    <w:rsid w:val="00187C7A"/>
    <w:rsid w:val="00191ED8"/>
    <w:rsid w:val="0019281A"/>
    <w:rsid w:val="00192C75"/>
    <w:rsid w:val="001A6E9A"/>
    <w:rsid w:val="001A777C"/>
    <w:rsid w:val="001B06C3"/>
    <w:rsid w:val="001B7EC7"/>
    <w:rsid w:val="001C64F0"/>
    <w:rsid w:val="001D0B89"/>
    <w:rsid w:val="001D6BCA"/>
    <w:rsid w:val="001E56D1"/>
    <w:rsid w:val="001E689F"/>
    <w:rsid w:val="001F520D"/>
    <w:rsid w:val="00211F18"/>
    <w:rsid w:val="00224BF9"/>
    <w:rsid w:val="00246154"/>
    <w:rsid w:val="002475F1"/>
    <w:rsid w:val="00256B77"/>
    <w:rsid w:val="00257BDB"/>
    <w:rsid w:val="00261963"/>
    <w:rsid w:val="00282094"/>
    <w:rsid w:val="00292396"/>
    <w:rsid w:val="002A7173"/>
    <w:rsid w:val="002A7A97"/>
    <w:rsid w:val="002A7D99"/>
    <w:rsid w:val="002B12BF"/>
    <w:rsid w:val="002C0DB3"/>
    <w:rsid w:val="002D1D79"/>
    <w:rsid w:val="002E6A85"/>
    <w:rsid w:val="002E7FE1"/>
    <w:rsid w:val="002F342B"/>
    <w:rsid w:val="00300024"/>
    <w:rsid w:val="00303BB0"/>
    <w:rsid w:val="00310C57"/>
    <w:rsid w:val="003174B2"/>
    <w:rsid w:val="0032029A"/>
    <w:rsid w:val="00321BEE"/>
    <w:rsid w:val="00321DA6"/>
    <w:rsid w:val="00321FBA"/>
    <w:rsid w:val="00324A43"/>
    <w:rsid w:val="00325106"/>
    <w:rsid w:val="0034087C"/>
    <w:rsid w:val="00341C5B"/>
    <w:rsid w:val="00342A8C"/>
    <w:rsid w:val="00344D98"/>
    <w:rsid w:val="00361105"/>
    <w:rsid w:val="00373C43"/>
    <w:rsid w:val="00376811"/>
    <w:rsid w:val="00386C8D"/>
    <w:rsid w:val="0039057E"/>
    <w:rsid w:val="00392C6A"/>
    <w:rsid w:val="00395155"/>
    <w:rsid w:val="003A74B8"/>
    <w:rsid w:val="003B324A"/>
    <w:rsid w:val="003B5556"/>
    <w:rsid w:val="003C0F3D"/>
    <w:rsid w:val="003D47BB"/>
    <w:rsid w:val="003E30E5"/>
    <w:rsid w:val="003E4FEE"/>
    <w:rsid w:val="003F6C97"/>
    <w:rsid w:val="003F71DC"/>
    <w:rsid w:val="004210CD"/>
    <w:rsid w:val="004235B0"/>
    <w:rsid w:val="00437587"/>
    <w:rsid w:val="00443A18"/>
    <w:rsid w:val="00451001"/>
    <w:rsid w:val="00455DC8"/>
    <w:rsid w:val="00457F3F"/>
    <w:rsid w:val="0046008C"/>
    <w:rsid w:val="00460339"/>
    <w:rsid w:val="00465545"/>
    <w:rsid w:val="004732FE"/>
    <w:rsid w:val="00481C73"/>
    <w:rsid w:val="00487456"/>
    <w:rsid w:val="004A1670"/>
    <w:rsid w:val="004A1C8F"/>
    <w:rsid w:val="004B0799"/>
    <w:rsid w:val="004C2E02"/>
    <w:rsid w:val="004C3125"/>
    <w:rsid w:val="004C70EE"/>
    <w:rsid w:val="004E107E"/>
    <w:rsid w:val="004E513A"/>
    <w:rsid w:val="005007BE"/>
    <w:rsid w:val="00501DA6"/>
    <w:rsid w:val="005231A3"/>
    <w:rsid w:val="00526B24"/>
    <w:rsid w:val="00531029"/>
    <w:rsid w:val="00541137"/>
    <w:rsid w:val="00542537"/>
    <w:rsid w:val="00560A71"/>
    <w:rsid w:val="00575316"/>
    <w:rsid w:val="005853F7"/>
    <w:rsid w:val="00593405"/>
    <w:rsid w:val="005A0634"/>
    <w:rsid w:val="005A45BD"/>
    <w:rsid w:val="005B15A2"/>
    <w:rsid w:val="005C1942"/>
    <w:rsid w:val="005C7F7C"/>
    <w:rsid w:val="005D335F"/>
    <w:rsid w:val="005F0AAA"/>
    <w:rsid w:val="005F244E"/>
    <w:rsid w:val="005F745A"/>
    <w:rsid w:val="006033FE"/>
    <w:rsid w:val="00603F57"/>
    <w:rsid w:val="00623125"/>
    <w:rsid w:val="00623B8B"/>
    <w:rsid w:val="00624222"/>
    <w:rsid w:val="0063356A"/>
    <w:rsid w:val="00634E8F"/>
    <w:rsid w:val="00636279"/>
    <w:rsid w:val="00656C93"/>
    <w:rsid w:val="0066157A"/>
    <w:rsid w:val="00673600"/>
    <w:rsid w:val="006808A0"/>
    <w:rsid w:val="00681DEB"/>
    <w:rsid w:val="00686669"/>
    <w:rsid w:val="006A6027"/>
    <w:rsid w:val="006B6ADD"/>
    <w:rsid w:val="006C0B0D"/>
    <w:rsid w:val="006D02F8"/>
    <w:rsid w:val="006F2675"/>
    <w:rsid w:val="006F679F"/>
    <w:rsid w:val="0070312D"/>
    <w:rsid w:val="00703D2E"/>
    <w:rsid w:val="00715C1F"/>
    <w:rsid w:val="00717E28"/>
    <w:rsid w:val="0072077E"/>
    <w:rsid w:val="00733036"/>
    <w:rsid w:val="007334BB"/>
    <w:rsid w:val="00742457"/>
    <w:rsid w:val="00751401"/>
    <w:rsid w:val="00751457"/>
    <w:rsid w:val="00763790"/>
    <w:rsid w:val="00775C56"/>
    <w:rsid w:val="007866C8"/>
    <w:rsid w:val="00790A29"/>
    <w:rsid w:val="007968D4"/>
    <w:rsid w:val="007B25F3"/>
    <w:rsid w:val="007B6E20"/>
    <w:rsid w:val="007C2716"/>
    <w:rsid w:val="007D3BD0"/>
    <w:rsid w:val="007D5358"/>
    <w:rsid w:val="007E0074"/>
    <w:rsid w:val="007E1DD9"/>
    <w:rsid w:val="007E22AC"/>
    <w:rsid w:val="007E258B"/>
    <w:rsid w:val="007F085B"/>
    <w:rsid w:val="008008C4"/>
    <w:rsid w:val="008039AA"/>
    <w:rsid w:val="00804864"/>
    <w:rsid w:val="0080710A"/>
    <w:rsid w:val="00807889"/>
    <w:rsid w:val="00810A2E"/>
    <w:rsid w:val="00827634"/>
    <w:rsid w:val="00834AB9"/>
    <w:rsid w:val="0084727A"/>
    <w:rsid w:val="008514EA"/>
    <w:rsid w:val="00857205"/>
    <w:rsid w:val="008611EC"/>
    <w:rsid w:val="00862EF8"/>
    <w:rsid w:val="008728E3"/>
    <w:rsid w:val="00887584"/>
    <w:rsid w:val="00894A46"/>
    <w:rsid w:val="008A2552"/>
    <w:rsid w:val="008A3466"/>
    <w:rsid w:val="008A4C19"/>
    <w:rsid w:val="008C584A"/>
    <w:rsid w:val="008D2D0E"/>
    <w:rsid w:val="008D749A"/>
    <w:rsid w:val="00904312"/>
    <w:rsid w:val="009071D4"/>
    <w:rsid w:val="00907944"/>
    <w:rsid w:val="009204F8"/>
    <w:rsid w:val="00922752"/>
    <w:rsid w:val="009448BE"/>
    <w:rsid w:val="009524A0"/>
    <w:rsid w:val="00953727"/>
    <w:rsid w:val="00956108"/>
    <w:rsid w:val="00966357"/>
    <w:rsid w:val="00975502"/>
    <w:rsid w:val="0099379D"/>
    <w:rsid w:val="009B7261"/>
    <w:rsid w:val="009C4360"/>
    <w:rsid w:val="009D0DDF"/>
    <w:rsid w:val="009D7079"/>
    <w:rsid w:val="009E26F6"/>
    <w:rsid w:val="009E7AF2"/>
    <w:rsid w:val="00A201B2"/>
    <w:rsid w:val="00A23948"/>
    <w:rsid w:val="00A46B9E"/>
    <w:rsid w:val="00A47EB7"/>
    <w:rsid w:val="00A50E26"/>
    <w:rsid w:val="00A5430D"/>
    <w:rsid w:val="00A543EF"/>
    <w:rsid w:val="00A5711E"/>
    <w:rsid w:val="00A67C9D"/>
    <w:rsid w:val="00A701DB"/>
    <w:rsid w:val="00A75B8B"/>
    <w:rsid w:val="00AB2050"/>
    <w:rsid w:val="00AB5A1D"/>
    <w:rsid w:val="00AC1D13"/>
    <w:rsid w:val="00AC3854"/>
    <w:rsid w:val="00AC3880"/>
    <w:rsid w:val="00AC41A1"/>
    <w:rsid w:val="00AC493A"/>
    <w:rsid w:val="00AD186A"/>
    <w:rsid w:val="00AD3005"/>
    <w:rsid w:val="00AE45DA"/>
    <w:rsid w:val="00AF3947"/>
    <w:rsid w:val="00B056C8"/>
    <w:rsid w:val="00B07B3D"/>
    <w:rsid w:val="00B16F72"/>
    <w:rsid w:val="00B370E9"/>
    <w:rsid w:val="00B5251B"/>
    <w:rsid w:val="00B554CD"/>
    <w:rsid w:val="00B57C37"/>
    <w:rsid w:val="00B60144"/>
    <w:rsid w:val="00B671EA"/>
    <w:rsid w:val="00B67C7F"/>
    <w:rsid w:val="00B75E21"/>
    <w:rsid w:val="00B81DC8"/>
    <w:rsid w:val="00B83648"/>
    <w:rsid w:val="00B90A06"/>
    <w:rsid w:val="00B9334D"/>
    <w:rsid w:val="00BA1971"/>
    <w:rsid w:val="00BA208C"/>
    <w:rsid w:val="00BB513C"/>
    <w:rsid w:val="00BB593E"/>
    <w:rsid w:val="00BB6A20"/>
    <w:rsid w:val="00BB72DD"/>
    <w:rsid w:val="00BC212E"/>
    <w:rsid w:val="00BE015F"/>
    <w:rsid w:val="00BE18A8"/>
    <w:rsid w:val="00BF04F2"/>
    <w:rsid w:val="00C15A0A"/>
    <w:rsid w:val="00C32551"/>
    <w:rsid w:val="00C51B4B"/>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393"/>
    <w:rsid w:val="00D2452F"/>
    <w:rsid w:val="00D36D76"/>
    <w:rsid w:val="00D370C4"/>
    <w:rsid w:val="00D50EB7"/>
    <w:rsid w:val="00D525E7"/>
    <w:rsid w:val="00D63D97"/>
    <w:rsid w:val="00D713A8"/>
    <w:rsid w:val="00D731F4"/>
    <w:rsid w:val="00D772D3"/>
    <w:rsid w:val="00D8029C"/>
    <w:rsid w:val="00D8461F"/>
    <w:rsid w:val="00D87756"/>
    <w:rsid w:val="00D93033"/>
    <w:rsid w:val="00D937BE"/>
    <w:rsid w:val="00DA30DF"/>
    <w:rsid w:val="00DA6EB5"/>
    <w:rsid w:val="00DB1C72"/>
    <w:rsid w:val="00DB6AB5"/>
    <w:rsid w:val="00DC1EFF"/>
    <w:rsid w:val="00DC47AF"/>
    <w:rsid w:val="00DE50FC"/>
    <w:rsid w:val="00DF57F3"/>
    <w:rsid w:val="00E025D0"/>
    <w:rsid w:val="00E2483C"/>
    <w:rsid w:val="00E330B0"/>
    <w:rsid w:val="00E33719"/>
    <w:rsid w:val="00E57605"/>
    <w:rsid w:val="00E6681A"/>
    <w:rsid w:val="00E73623"/>
    <w:rsid w:val="00E8689D"/>
    <w:rsid w:val="00E911D0"/>
    <w:rsid w:val="00E96424"/>
    <w:rsid w:val="00EA2094"/>
    <w:rsid w:val="00EA5FA0"/>
    <w:rsid w:val="00EB1DC7"/>
    <w:rsid w:val="00EE6C88"/>
    <w:rsid w:val="00EF337F"/>
    <w:rsid w:val="00F012A6"/>
    <w:rsid w:val="00F054D6"/>
    <w:rsid w:val="00F06BC1"/>
    <w:rsid w:val="00F3010A"/>
    <w:rsid w:val="00F3163F"/>
    <w:rsid w:val="00F37587"/>
    <w:rsid w:val="00F44858"/>
    <w:rsid w:val="00F51243"/>
    <w:rsid w:val="00F61A63"/>
    <w:rsid w:val="00F656B1"/>
    <w:rsid w:val="00F762C1"/>
    <w:rsid w:val="00F83603"/>
    <w:rsid w:val="00F837D7"/>
    <w:rsid w:val="00F901B2"/>
    <w:rsid w:val="00FA208F"/>
    <w:rsid w:val="00FA7E1A"/>
    <w:rsid w:val="00FB6090"/>
    <w:rsid w:val="00FB7253"/>
    <w:rsid w:val="00FB7E35"/>
    <w:rsid w:val="00FC2698"/>
    <w:rsid w:val="00FC64F6"/>
    <w:rsid w:val="00FE304D"/>
    <w:rsid w:val="00FE39DA"/>
    <w:rsid w:val="00FE3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C0A91"/>
  <w15:chartTrackingRefBased/>
  <w15:docId w15:val="{90AA9F52-8E9F-4BA0-B87A-755BA8CC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uiPriority w:val="39"/>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qFormat/>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paragraph" w:styleId="ListParagraph">
    <w:name w:val="List Paragraph"/>
    <w:basedOn w:val="Normal"/>
    <w:uiPriority w:val="34"/>
    <w:qFormat/>
    <w:rsid w:val="00623125"/>
    <w:pPr>
      <w:spacing w:before="100" w:beforeAutospacing="1" w:after="100" w:afterAutospacing="1"/>
    </w:pPr>
    <w:rPr>
      <w:rFonts w:ascii="Times New Roman" w:eastAsia="Calibri" w:hAnsi="Times New Roman"/>
      <w:sz w:val="24"/>
      <w:szCs w:val="24"/>
      <w:lang w:eastAsia="en-GB"/>
    </w:rPr>
  </w:style>
  <w:style w:type="character" w:styleId="UnresolvedMention">
    <w:name w:val="Unresolved Mention"/>
    <w:basedOn w:val="DefaultParagraphFont"/>
    <w:uiPriority w:val="99"/>
    <w:unhideWhenUsed/>
    <w:rsid w:val="00324A43"/>
    <w:rPr>
      <w:color w:val="605E5C"/>
      <w:shd w:val="clear" w:color="auto" w:fill="E1DFDD"/>
    </w:rPr>
  </w:style>
  <w:style w:type="paragraph" w:styleId="Title">
    <w:name w:val="Title"/>
    <w:basedOn w:val="Normal"/>
    <w:next w:val="Heading1"/>
    <w:link w:val="TitleChar"/>
    <w:qFormat/>
    <w:rsid w:val="002E6A85"/>
    <w:pPr>
      <w:spacing w:before="240" w:after="240"/>
      <w:jc w:val="center"/>
      <w:outlineLvl w:val="0"/>
    </w:pPr>
    <w:rPr>
      <w:b/>
      <w:bCs/>
      <w:kern w:val="28"/>
      <w:sz w:val="32"/>
      <w:szCs w:val="32"/>
      <w:lang w:eastAsia="en-GB"/>
    </w:rPr>
  </w:style>
  <w:style w:type="character" w:customStyle="1" w:styleId="TitleChar">
    <w:name w:val="Title Char"/>
    <w:basedOn w:val="DefaultParagraphFont"/>
    <w:link w:val="Title"/>
    <w:rsid w:val="002E6A85"/>
    <w:rPr>
      <w:rFonts w:ascii="Arial" w:hAnsi="Arial"/>
      <w:b/>
      <w:bCs/>
      <w:kern w:val="28"/>
      <w:sz w:val="32"/>
      <w:szCs w:val="32"/>
    </w:rPr>
  </w:style>
  <w:style w:type="table" w:styleId="TableElegant">
    <w:name w:val="Table Elegant"/>
    <w:basedOn w:val="TableNormal"/>
    <w:rsid w:val="003E4FE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5">
    <w:name w:val="Table Grid 5"/>
    <w:basedOn w:val="TableNormal"/>
    <w:rsid w:val="003E4FE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D8461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rmaltextrun">
    <w:name w:val="normaltextrun"/>
    <w:basedOn w:val="DefaultParagraphFont"/>
    <w:rsid w:val="0008114B"/>
  </w:style>
  <w:style w:type="paragraph" w:styleId="Caption">
    <w:name w:val="caption"/>
    <w:basedOn w:val="Normal"/>
    <w:next w:val="Normal"/>
    <w:unhideWhenUsed/>
    <w:qFormat/>
    <w:rsid w:val="0008114B"/>
    <w:pPr>
      <w:keepNext/>
      <w:spacing w:after="200"/>
    </w:pPr>
    <w:rPr>
      <w:i/>
      <w:iCs/>
      <w:color w:val="44546A" w:themeColor="text2"/>
      <w:szCs w:val="22"/>
    </w:rPr>
  </w:style>
  <w:style w:type="character" w:styleId="Mention">
    <w:name w:val="Mention"/>
    <w:basedOn w:val="DefaultParagraphFont"/>
    <w:uiPriority w:val="99"/>
    <w:unhideWhenUsed/>
    <w:rsid w:val="0008114B"/>
    <w:rPr>
      <w:color w:val="2B579A"/>
      <w:shd w:val="clear" w:color="auto" w:fill="E1DFDD"/>
    </w:rPr>
  </w:style>
  <w:style w:type="character" w:customStyle="1" w:styleId="eop">
    <w:name w:val="eop"/>
    <w:basedOn w:val="DefaultParagraphFont"/>
    <w:rsid w:val="0008114B"/>
  </w:style>
  <w:style w:type="character" w:customStyle="1" w:styleId="fieldrange">
    <w:name w:val="fieldrange"/>
    <w:basedOn w:val="DefaultParagraphFont"/>
    <w:rsid w:val="0008114B"/>
  </w:style>
  <w:style w:type="paragraph" w:customStyle="1" w:styleId="EndNoteBibliography">
    <w:name w:val="EndNote Bibliography"/>
    <w:basedOn w:val="Normal"/>
    <w:link w:val="EndNoteBibliographyChar"/>
    <w:rsid w:val="0008114B"/>
    <w:pPr>
      <w:spacing w:after="200"/>
      <w:jc w:val="both"/>
    </w:pPr>
    <w:rPr>
      <w:rFonts w:eastAsiaTheme="minorHAnsi" w:cs="Arial"/>
      <w:color w:val="404040" w:themeColor="text1" w:themeTint="BF"/>
      <w:szCs w:val="22"/>
      <w:lang w:val="en-US"/>
    </w:rPr>
  </w:style>
  <w:style w:type="character" w:customStyle="1" w:styleId="EndNoteBibliographyChar">
    <w:name w:val="EndNote Bibliography Char"/>
    <w:basedOn w:val="DefaultParagraphFont"/>
    <w:link w:val="EndNoteBibliography"/>
    <w:rsid w:val="0008114B"/>
    <w:rPr>
      <w:rFonts w:ascii="Arial" w:eastAsiaTheme="minorHAnsi" w:hAnsi="Arial" w:cs="Arial"/>
      <w:color w:val="404040" w:themeColor="text1" w:themeTint="BF"/>
      <w:sz w:val="22"/>
      <w:szCs w:val="22"/>
      <w:lang w:val="en-US" w:eastAsia="en-US"/>
    </w:rPr>
  </w:style>
  <w:style w:type="paragraph" w:customStyle="1" w:styleId="paragraph0">
    <w:name w:val="paragraph"/>
    <w:basedOn w:val="Normal"/>
    <w:link w:val="paragraphChar"/>
    <w:rsid w:val="0008114B"/>
    <w:pPr>
      <w:spacing w:before="100" w:beforeAutospacing="1" w:after="100" w:afterAutospacing="1"/>
    </w:pPr>
    <w:rPr>
      <w:rFonts w:ascii="Times New Roman" w:hAnsi="Times New Roman"/>
      <w:sz w:val="24"/>
      <w:szCs w:val="24"/>
      <w:lang w:eastAsia="en-GB"/>
    </w:rPr>
  </w:style>
  <w:style w:type="paragraph" w:customStyle="1" w:styleId="EndNoteBibliographyTitle">
    <w:name w:val="EndNote Bibliography Title"/>
    <w:basedOn w:val="Normal"/>
    <w:link w:val="EndNoteBibliographyTitleChar"/>
    <w:rsid w:val="0008114B"/>
    <w:pPr>
      <w:jc w:val="center"/>
    </w:pPr>
    <w:rPr>
      <w:rFonts w:cs="Arial"/>
      <w:noProof/>
      <w:szCs w:val="24"/>
      <w:lang w:val="en-US"/>
    </w:rPr>
  </w:style>
  <w:style w:type="character" w:customStyle="1" w:styleId="EndNoteBibliographyTitleChar">
    <w:name w:val="EndNote Bibliography Title Char"/>
    <w:basedOn w:val="NICEnormalChar"/>
    <w:link w:val="EndNoteBibliographyTitle"/>
    <w:rsid w:val="0008114B"/>
    <w:rPr>
      <w:rFonts w:ascii="Arial" w:hAnsi="Arial" w:cs="Arial"/>
      <w:noProof/>
      <w:sz w:val="22"/>
      <w:szCs w:val="24"/>
      <w:lang w:val="en-US" w:eastAsia="en-US"/>
    </w:rPr>
  </w:style>
  <w:style w:type="paragraph" w:customStyle="1" w:styleId="nova-legacy-e-listitem">
    <w:name w:val="nova-legacy-e-list__item"/>
    <w:basedOn w:val="Normal"/>
    <w:rsid w:val="0008114B"/>
    <w:pPr>
      <w:spacing w:before="100" w:beforeAutospacing="1" w:after="100" w:afterAutospacing="1"/>
    </w:pPr>
    <w:rPr>
      <w:rFonts w:ascii="Times New Roman" w:hAnsi="Times New Roman"/>
      <w:sz w:val="24"/>
      <w:szCs w:val="24"/>
      <w:lang w:eastAsia="en-GB"/>
    </w:rPr>
  </w:style>
  <w:style w:type="character" w:customStyle="1" w:styleId="paragraphChar">
    <w:name w:val="paragraph Char"/>
    <w:basedOn w:val="DefaultParagraphFont"/>
    <w:link w:val="paragraph0"/>
    <w:locked/>
    <w:rsid w:val="000811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452213">
      <w:bodyDiv w:val="1"/>
      <w:marLeft w:val="0"/>
      <w:marRight w:val="0"/>
      <w:marTop w:val="0"/>
      <w:marBottom w:val="0"/>
      <w:divBdr>
        <w:top w:val="none" w:sz="0" w:space="0" w:color="auto"/>
        <w:left w:val="none" w:sz="0" w:space="0" w:color="auto"/>
        <w:bottom w:val="none" w:sz="0" w:space="0" w:color="auto"/>
        <w:right w:val="none" w:sz="0" w:space="0" w:color="auto"/>
      </w:divBdr>
    </w:div>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yperlink" Target="https://www.nice.org.uk/process/pmg9/resources/guide-to-the-methods-of-technology-appraisal-2013-pdf-2007975843781"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who.int/publications/i/item/9789241564748"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eepru.org.uk/wp-content/uploads/2017/11/eepru-report-amr-oct-2018-059.pdf"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nice.org.uk/Media/Default/About/what-we-do/Life-sciences/evaluation-framework.pdf" TargetMode="External"/><Relationship Id="rId20" Type="http://schemas.openxmlformats.org/officeDocument/2006/relationships/hyperlink" Target="https://www.nice.org.uk/about/what-we-do/life-sciences/scientific-advice/models-for-the-evaluation-and-purchase-of-antimicrobials/ceftazidime-with-avibact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eucast.org/fileadmin/src/media/PDFs/EUCAST_files/Guidance_documents/Aminoglycoside_guidance_document_20200424.pdf" TargetMode="External"/><Relationship Id="rId5" Type="http://schemas.openxmlformats.org/officeDocument/2006/relationships/webSettings" Target="webSettings.xml"/><Relationship Id="rId15" Type="http://schemas.openxmlformats.org/officeDocument/2006/relationships/hyperlink" Target="https://www.nice.org.uk/about/what-we-do/life-sciences/scientific-advice/models-for-the-evaluation-and-purchase-of-antimicrobials/ceftazidime-with-avibactam" TargetMode="External"/><Relationship Id="rId23" Type="http://schemas.openxmlformats.org/officeDocument/2006/relationships/hyperlink" Target="https://fingertips.phe.org.uk/profile/amr-local-indicators"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insights.decisionresourcesgroup.com/biopharm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hyperlink" Target="https://www.nice.org.uk/guidance/ng139/"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hyperlink" Target="mailto:amrexisting@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04A27-EEBD-471B-8603-6CD7BF17F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45</Pages>
  <Words>14223</Words>
  <Characters>153077</Characters>
  <Application>Microsoft Office Word</Application>
  <DocSecurity>0</DocSecurity>
  <Lines>1275</Lines>
  <Paragraphs>333</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166967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Rebecca Pye</dc:creator>
  <cp:keywords/>
  <cp:lastModifiedBy>Ian Pye</cp:lastModifiedBy>
  <cp:revision>4</cp:revision>
  <cp:lastPrinted>2005-11-01T10:30:00Z</cp:lastPrinted>
  <dcterms:created xsi:type="dcterms:W3CDTF">2022-01-06T14:45:00Z</dcterms:created>
  <dcterms:modified xsi:type="dcterms:W3CDTF">2022-03-30T13:28:00Z</dcterms:modified>
</cp:coreProperties>
</file>