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0529" w14:textId="410359A0" w:rsidR="002444F5" w:rsidRDefault="00230851" w:rsidP="00230851">
      <w:pPr>
        <w:tabs>
          <w:tab w:val="left" w:pos="7930"/>
        </w:tabs>
        <w:rPr>
          <w:b/>
          <w:bCs/>
        </w:rPr>
      </w:pPr>
      <w:r>
        <w:rPr>
          <w:b/>
          <w:bCs/>
        </w:rPr>
        <w:tab/>
      </w:r>
    </w:p>
    <w:p w14:paraId="76F2DC37" w14:textId="2E040BD2" w:rsidR="00FE39DA" w:rsidRPr="00922752" w:rsidRDefault="002444F5" w:rsidP="000B0C48">
      <w:pPr>
        <w:rPr>
          <w:b/>
          <w:bCs/>
        </w:rPr>
      </w:pPr>
      <w:r>
        <w:rPr>
          <w:b/>
          <w:bCs/>
        </w:rPr>
        <w:t>Expert</w:t>
      </w:r>
      <w:r w:rsidR="00922752" w:rsidRPr="00922752">
        <w:rPr>
          <w:b/>
          <w:bCs/>
        </w:rPr>
        <w:t xml:space="preserve"> name:</w:t>
      </w:r>
      <w:r w:rsidR="000B0C48">
        <w:rPr>
          <w:b/>
          <w:bCs/>
        </w:rPr>
        <w:t xml:space="preserve"> </w:t>
      </w:r>
      <w:r w:rsidR="00564883">
        <w:rPr>
          <w:b/>
          <w:bCs/>
        </w:rPr>
        <w:t>Dr R Andrew Seaton</w:t>
      </w: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D8461F">
        <w:tc>
          <w:tcPr>
            <w:tcW w:w="547"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33"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5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6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D8461F">
        <w:tc>
          <w:tcPr>
            <w:tcW w:w="547"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33" w:type="pct"/>
          </w:tcPr>
          <w:p w14:paraId="7CD2A4FA" w14:textId="6A2885BD" w:rsidR="002E6A85" w:rsidRPr="00810A2E" w:rsidRDefault="002E6A85" w:rsidP="00807889">
            <w:pPr>
              <w:widowControl w:val="0"/>
              <w:rPr>
                <w:rFonts w:cs="Arial"/>
                <w:sz w:val="20"/>
              </w:rPr>
            </w:pPr>
          </w:p>
        </w:tc>
        <w:tc>
          <w:tcPr>
            <w:tcW w:w="451" w:type="pct"/>
          </w:tcPr>
          <w:p w14:paraId="2A91C8C7" w14:textId="77777777" w:rsidR="002E6A85" w:rsidRPr="00810A2E" w:rsidRDefault="002E6A85" w:rsidP="00807889">
            <w:pPr>
              <w:widowControl w:val="0"/>
              <w:rPr>
                <w:rFonts w:cs="Arial"/>
                <w:sz w:val="20"/>
              </w:rPr>
            </w:pPr>
          </w:p>
        </w:tc>
        <w:tc>
          <w:tcPr>
            <w:tcW w:w="3669" w:type="pct"/>
          </w:tcPr>
          <w:p w14:paraId="380FF3A5" w14:textId="0D32CE60" w:rsidR="002E6A85" w:rsidRPr="00810A2E" w:rsidRDefault="00564883" w:rsidP="00564883">
            <w:pPr>
              <w:widowControl w:val="0"/>
              <w:rPr>
                <w:rFonts w:cs="Arial"/>
                <w:sz w:val="20"/>
              </w:rPr>
            </w:pPr>
            <w:r>
              <w:rPr>
                <w:rFonts w:cs="Arial"/>
                <w:sz w:val="20"/>
              </w:rPr>
              <w:t xml:space="preserve">My comments are general and relate to potential undervaluation of Ceftazidime/avibactam. I have listed specific scenarios </w:t>
            </w:r>
          </w:p>
        </w:tc>
      </w:tr>
      <w:tr w:rsidR="002E6A85" w:rsidRPr="00810A2E" w14:paraId="5A61DE1E" w14:textId="77777777" w:rsidTr="00D8461F">
        <w:tc>
          <w:tcPr>
            <w:tcW w:w="547" w:type="pct"/>
          </w:tcPr>
          <w:p w14:paraId="528FAAA3" w14:textId="77777777" w:rsidR="002E6A85" w:rsidRDefault="002E6A85" w:rsidP="00807889">
            <w:pPr>
              <w:widowControl w:val="0"/>
              <w:jc w:val="center"/>
              <w:rPr>
                <w:rFonts w:cs="Arial"/>
                <w:sz w:val="20"/>
              </w:rPr>
            </w:pPr>
            <w:r w:rsidRPr="00810A2E">
              <w:rPr>
                <w:rFonts w:cs="Arial"/>
                <w:sz w:val="20"/>
              </w:rPr>
              <w:t>2</w:t>
            </w:r>
          </w:p>
          <w:p w14:paraId="243C7492" w14:textId="4972C22A" w:rsidR="002E6A85" w:rsidRPr="00810A2E" w:rsidRDefault="002E6A85" w:rsidP="00807889">
            <w:pPr>
              <w:widowControl w:val="0"/>
              <w:jc w:val="center"/>
              <w:rPr>
                <w:rFonts w:cs="Arial"/>
                <w:sz w:val="20"/>
              </w:rPr>
            </w:pPr>
          </w:p>
        </w:tc>
        <w:tc>
          <w:tcPr>
            <w:tcW w:w="333" w:type="pct"/>
          </w:tcPr>
          <w:p w14:paraId="3E50CD58" w14:textId="77777777" w:rsidR="002E6A85" w:rsidRPr="00810A2E" w:rsidRDefault="002E6A85" w:rsidP="00807889">
            <w:pPr>
              <w:widowControl w:val="0"/>
              <w:rPr>
                <w:rFonts w:cs="Arial"/>
                <w:sz w:val="20"/>
              </w:rPr>
            </w:pPr>
          </w:p>
        </w:tc>
        <w:tc>
          <w:tcPr>
            <w:tcW w:w="451" w:type="pct"/>
          </w:tcPr>
          <w:p w14:paraId="12D3FE10" w14:textId="77777777" w:rsidR="002E6A85" w:rsidRPr="00810A2E" w:rsidRDefault="002E6A85" w:rsidP="00807889">
            <w:pPr>
              <w:widowControl w:val="0"/>
              <w:rPr>
                <w:rFonts w:cs="Arial"/>
                <w:sz w:val="20"/>
              </w:rPr>
            </w:pPr>
          </w:p>
        </w:tc>
        <w:tc>
          <w:tcPr>
            <w:tcW w:w="3669" w:type="pct"/>
          </w:tcPr>
          <w:p w14:paraId="3CE28DAC" w14:textId="5135959E" w:rsidR="002E6A85" w:rsidRPr="00810A2E" w:rsidRDefault="00564883" w:rsidP="00564883">
            <w:pPr>
              <w:widowControl w:val="0"/>
              <w:rPr>
                <w:rFonts w:cs="Arial"/>
                <w:sz w:val="20"/>
              </w:rPr>
            </w:pPr>
            <w:r>
              <w:rPr>
                <w:rFonts w:cs="Arial"/>
                <w:sz w:val="20"/>
              </w:rPr>
              <w:t>Other Serine Carbapenemase producing organisms may increase over time and therefore there may be further future value which has not been captured</w:t>
            </w:r>
          </w:p>
        </w:tc>
      </w:tr>
      <w:tr w:rsidR="002E6A85" w:rsidRPr="00810A2E" w14:paraId="0CBFD7F3" w14:textId="77777777" w:rsidTr="00D8461F">
        <w:tc>
          <w:tcPr>
            <w:tcW w:w="547" w:type="pct"/>
          </w:tcPr>
          <w:p w14:paraId="38109FAA" w14:textId="77777777" w:rsidR="002E6A85" w:rsidRDefault="002E6A85" w:rsidP="00807889">
            <w:pPr>
              <w:widowControl w:val="0"/>
              <w:jc w:val="center"/>
              <w:rPr>
                <w:rFonts w:cs="Arial"/>
                <w:sz w:val="20"/>
              </w:rPr>
            </w:pPr>
            <w:r w:rsidRPr="00810A2E">
              <w:rPr>
                <w:rFonts w:cs="Arial"/>
                <w:sz w:val="20"/>
              </w:rPr>
              <w:t>3</w:t>
            </w:r>
          </w:p>
          <w:p w14:paraId="77930E8B" w14:textId="6C91FFD6" w:rsidR="002E6A85" w:rsidRPr="00810A2E" w:rsidRDefault="002E6A85" w:rsidP="00807889">
            <w:pPr>
              <w:widowControl w:val="0"/>
              <w:jc w:val="center"/>
              <w:rPr>
                <w:rFonts w:cs="Arial"/>
                <w:sz w:val="20"/>
              </w:rPr>
            </w:pPr>
          </w:p>
        </w:tc>
        <w:tc>
          <w:tcPr>
            <w:tcW w:w="333" w:type="pct"/>
          </w:tcPr>
          <w:p w14:paraId="5FA1EF0B" w14:textId="77777777" w:rsidR="002E6A85" w:rsidRPr="00810A2E" w:rsidRDefault="002E6A85" w:rsidP="00807889">
            <w:pPr>
              <w:widowControl w:val="0"/>
              <w:rPr>
                <w:rFonts w:cs="Arial"/>
                <w:sz w:val="20"/>
              </w:rPr>
            </w:pPr>
          </w:p>
        </w:tc>
        <w:tc>
          <w:tcPr>
            <w:tcW w:w="451" w:type="pct"/>
          </w:tcPr>
          <w:p w14:paraId="7C08971E" w14:textId="77777777" w:rsidR="002E6A85" w:rsidRPr="00810A2E" w:rsidRDefault="002E6A85" w:rsidP="00807889">
            <w:pPr>
              <w:widowControl w:val="0"/>
              <w:rPr>
                <w:rFonts w:cs="Arial"/>
                <w:sz w:val="20"/>
              </w:rPr>
            </w:pPr>
          </w:p>
        </w:tc>
        <w:tc>
          <w:tcPr>
            <w:tcW w:w="3669" w:type="pct"/>
          </w:tcPr>
          <w:p w14:paraId="625C5F45" w14:textId="5FCA0B73" w:rsidR="002E6A85" w:rsidRPr="00810A2E" w:rsidRDefault="00600D14" w:rsidP="00600D14">
            <w:pPr>
              <w:widowControl w:val="0"/>
              <w:rPr>
                <w:rFonts w:cs="Arial"/>
                <w:sz w:val="20"/>
              </w:rPr>
            </w:pPr>
            <w:r>
              <w:rPr>
                <w:rFonts w:cs="Arial"/>
                <w:sz w:val="20"/>
              </w:rPr>
              <w:t xml:space="preserve">Enablement: </w:t>
            </w:r>
            <w:r w:rsidR="00564883">
              <w:rPr>
                <w:rFonts w:cs="Arial"/>
                <w:sz w:val="20"/>
              </w:rPr>
              <w:t>Ceftazidime/avibactam is likely to be used in other clinical scenarios including some non MBL producing Pseudomonas organisms</w:t>
            </w:r>
            <w:r>
              <w:rPr>
                <w:rFonts w:cs="Arial"/>
                <w:sz w:val="20"/>
              </w:rPr>
              <w:t xml:space="preserve"> and Serratia</w:t>
            </w:r>
            <w:r w:rsidR="00564883">
              <w:rPr>
                <w:rFonts w:cs="Arial"/>
                <w:sz w:val="20"/>
              </w:rPr>
              <w:t xml:space="preserve"> due to either toxicity</w:t>
            </w:r>
            <w:r>
              <w:rPr>
                <w:rFonts w:cs="Arial"/>
                <w:sz w:val="20"/>
              </w:rPr>
              <w:t>,</w:t>
            </w:r>
            <w:r w:rsidR="00564883">
              <w:rPr>
                <w:rFonts w:cs="Arial"/>
                <w:sz w:val="20"/>
              </w:rPr>
              <w:t xml:space="preserve"> intolerability to other agents</w:t>
            </w:r>
            <w:r>
              <w:rPr>
                <w:rFonts w:cs="Arial"/>
                <w:sz w:val="20"/>
              </w:rPr>
              <w:t xml:space="preserve"> or drug interactions/ QTc prolongation</w:t>
            </w:r>
            <w:r w:rsidR="00564883">
              <w:rPr>
                <w:rFonts w:cs="Arial"/>
                <w:sz w:val="20"/>
              </w:rPr>
              <w:t xml:space="preserve"> – this is something I am aware of particularly already in the Cystic fibrosis population where timely use of this agent may contribute towards enabling lung transplantation</w:t>
            </w:r>
            <w:r>
              <w:rPr>
                <w:rFonts w:cs="Arial"/>
                <w:sz w:val="20"/>
              </w:rPr>
              <w:t>. Also relevant to growing numbers of other immunocompromised patient populations.</w:t>
            </w:r>
            <w:r w:rsidR="00564883">
              <w:rPr>
                <w:rFonts w:cs="Arial"/>
                <w:sz w:val="20"/>
              </w:rPr>
              <w:t xml:space="preserve"> </w:t>
            </w:r>
          </w:p>
        </w:tc>
      </w:tr>
      <w:tr w:rsidR="002E6A85" w:rsidRPr="00810A2E" w14:paraId="4F6D2F97" w14:textId="77777777" w:rsidTr="00D8461F">
        <w:tc>
          <w:tcPr>
            <w:tcW w:w="547" w:type="pct"/>
          </w:tcPr>
          <w:p w14:paraId="14FCAFCF" w14:textId="77777777" w:rsidR="002E6A85" w:rsidRDefault="002E6A85" w:rsidP="00807889">
            <w:pPr>
              <w:widowControl w:val="0"/>
              <w:jc w:val="center"/>
              <w:rPr>
                <w:rFonts w:cs="Arial"/>
                <w:sz w:val="20"/>
              </w:rPr>
            </w:pPr>
            <w:r>
              <w:rPr>
                <w:rFonts w:cs="Arial"/>
                <w:sz w:val="20"/>
              </w:rPr>
              <w:t>4</w:t>
            </w:r>
          </w:p>
          <w:p w14:paraId="36CC3EC0" w14:textId="70CA1E63" w:rsidR="002E6A85" w:rsidRPr="00810A2E" w:rsidRDefault="002E6A85" w:rsidP="00807889">
            <w:pPr>
              <w:widowControl w:val="0"/>
              <w:jc w:val="center"/>
              <w:rPr>
                <w:rFonts w:cs="Arial"/>
                <w:sz w:val="20"/>
              </w:rPr>
            </w:pPr>
          </w:p>
        </w:tc>
        <w:tc>
          <w:tcPr>
            <w:tcW w:w="333" w:type="pct"/>
          </w:tcPr>
          <w:p w14:paraId="54900B70" w14:textId="77777777" w:rsidR="002E6A85" w:rsidRPr="00810A2E" w:rsidRDefault="002E6A85" w:rsidP="00807889">
            <w:pPr>
              <w:widowControl w:val="0"/>
              <w:rPr>
                <w:rFonts w:cs="Arial"/>
                <w:sz w:val="20"/>
              </w:rPr>
            </w:pPr>
          </w:p>
        </w:tc>
        <w:tc>
          <w:tcPr>
            <w:tcW w:w="451" w:type="pct"/>
          </w:tcPr>
          <w:p w14:paraId="6C966828" w14:textId="77777777" w:rsidR="002E6A85" w:rsidRPr="00810A2E" w:rsidRDefault="002E6A85" w:rsidP="00807889">
            <w:pPr>
              <w:widowControl w:val="0"/>
              <w:rPr>
                <w:rFonts w:cs="Arial"/>
                <w:sz w:val="20"/>
              </w:rPr>
            </w:pPr>
          </w:p>
        </w:tc>
        <w:tc>
          <w:tcPr>
            <w:tcW w:w="3669" w:type="pct"/>
          </w:tcPr>
          <w:p w14:paraId="3513B0AA" w14:textId="3E07328E" w:rsidR="002E6A85" w:rsidRPr="00810A2E" w:rsidRDefault="00564883" w:rsidP="00564883">
            <w:pPr>
              <w:widowControl w:val="0"/>
              <w:rPr>
                <w:rFonts w:cs="Arial"/>
                <w:sz w:val="20"/>
              </w:rPr>
            </w:pPr>
            <w:r>
              <w:rPr>
                <w:rFonts w:cs="Arial"/>
                <w:sz w:val="20"/>
              </w:rPr>
              <w:t>The model presented assumes there will be non-colistin based alternatives to Ceftazidime/avibactam. It is likely that this will not always be case again either due to toxicity or intolerability to other agents or indeed drug interactions</w:t>
            </w:r>
            <w:r w:rsidR="00600D14">
              <w:rPr>
                <w:rFonts w:cs="Arial"/>
                <w:sz w:val="20"/>
              </w:rPr>
              <w:t>. It could be estimated that approximately 25% of the time there will not be a non-colistin based treatment option.</w:t>
            </w:r>
          </w:p>
        </w:tc>
      </w:tr>
      <w:tr w:rsidR="002E6A85" w:rsidRPr="00810A2E" w14:paraId="1C9A6E17" w14:textId="77777777" w:rsidTr="00D8461F">
        <w:tc>
          <w:tcPr>
            <w:tcW w:w="547"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33" w:type="pct"/>
          </w:tcPr>
          <w:p w14:paraId="463D2432" w14:textId="77777777" w:rsidR="002E6A85" w:rsidRPr="00810A2E" w:rsidRDefault="002E6A85" w:rsidP="00807889">
            <w:pPr>
              <w:widowControl w:val="0"/>
              <w:rPr>
                <w:rFonts w:cs="Arial"/>
                <w:sz w:val="20"/>
              </w:rPr>
            </w:pPr>
          </w:p>
        </w:tc>
        <w:tc>
          <w:tcPr>
            <w:tcW w:w="451" w:type="pct"/>
          </w:tcPr>
          <w:p w14:paraId="23AF1992" w14:textId="77777777" w:rsidR="002E6A85" w:rsidRPr="00810A2E" w:rsidRDefault="002E6A85" w:rsidP="00807889">
            <w:pPr>
              <w:widowControl w:val="0"/>
              <w:rPr>
                <w:rFonts w:cs="Arial"/>
                <w:sz w:val="20"/>
              </w:rPr>
            </w:pPr>
          </w:p>
        </w:tc>
        <w:tc>
          <w:tcPr>
            <w:tcW w:w="3669" w:type="pct"/>
          </w:tcPr>
          <w:p w14:paraId="32A26F73" w14:textId="3C68677C" w:rsidR="002E6A85" w:rsidRPr="00810A2E" w:rsidRDefault="00600D14" w:rsidP="00600D14">
            <w:pPr>
              <w:widowControl w:val="0"/>
              <w:rPr>
                <w:rFonts w:cs="Arial"/>
                <w:sz w:val="20"/>
              </w:rPr>
            </w:pPr>
            <w:r>
              <w:rPr>
                <w:rFonts w:cs="Arial"/>
                <w:sz w:val="20"/>
              </w:rPr>
              <w:t>It is more likely than not that the model has underestimated the potential patient numbers with significant Oxa-48 related infections due to variability in local laboratory diagnosis and failure to adequately culture blood or other relevant body sites. It is likely over time diagnostic accuracy and speed will significantly improve and likely identify a greater number of patients who would benefit from earlier therapy</w:t>
            </w:r>
          </w:p>
        </w:tc>
      </w:tr>
      <w:tr w:rsidR="002E6A85" w:rsidRPr="00810A2E" w14:paraId="311E735F" w14:textId="77777777" w:rsidTr="00D8461F">
        <w:tc>
          <w:tcPr>
            <w:tcW w:w="547"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33" w:type="pct"/>
          </w:tcPr>
          <w:p w14:paraId="604388F2" w14:textId="77777777" w:rsidR="002E6A85" w:rsidRPr="00810A2E" w:rsidRDefault="002E6A85" w:rsidP="00807889">
            <w:pPr>
              <w:widowControl w:val="0"/>
              <w:rPr>
                <w:rFonts w:cs="Arial"/>
                <w:sz w:val="20"/>
              </w:rPr>
            </w:pPr>
          </w:p>
        </w:tc>
        <w:tc>
          <w:tcPr>
            <w:tcW w:w="451" w:type="pct"/>
          </w:tcPr>
          <w:p w14:paraId="097E1FCB" w14:textId="77777777" w:rsidR="002E6A85" w:rsidRPr="00810A2E" w:rsidRDefault="002E6A85" w:rsidP="00807889">
            <w:pPr>
              <w:widowControl w:val="0"/>
              <w:rPr>
                <w:rFonts w:cs="Arial"/>
                <w:sz w:val="20"/>
              </w:rPr>
            </w:pPr>
          </w:p>
        </w:tc>
        <w:tc>
          <w:tcPr>
            <w:tcW w:w="3669" w:type="pct"/>
          </w:tcPr>
          <w:p w14:paraId="19E995A4" w14:textId="65261BE2" w:rsidR="002E6A85" w:rsidRPr="00810A2E" w:rsidRDefault="002E6A85" w:rsidP="00807889">
            <w:pPr>
              <w:widowControl w:val="0"/>
              <w:rPr>
                <w:rFonts w:cs="Arial"/>
                <w:sz w:val="20"/>
              </w:rPr>
            </w:pPr>
          </w:p>
        </w:tc>
      </w:tr>
      <w:tr w:rsidR="00FE39DA" w:rsidRPr="00810A2E" w14:paraId="23D83C36" w14:textId="77777777" w:rsidTr="00D8461F">
        <w:tc>
          <w:tcPr>
            <w:tcW w:w="547"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33" w:type="pct"/>
          </w:tcPr>
          <w:p w14:paraId="5FEE973A" w14:textId="77777777" w:rsidR="00FE39DA" w:rsidRPr="00810A2E" w:rsidRDefault="00FE39DA" w:rsidP="00807889">
            <w:pPr>
              <w:widowControl w:val="0"/>
              <w:rPr>
                <w:rFonts w:cs="Arial"/>
                <w:sz w:val="20"/>
              </w:rPr>
            </w:pPr>
          </w:p>
        </w:tc>
        <w:tc>
          <w:tcPr>
            <w:tcW w:w="451" w:type="pct"/>
          </w:tcPr>
          <w:p w14:paraId="5F2C6861" w14:textId="77777777" w:rsidR="00FE39DA" w:rsidRPr="00810A2E" w:rsidRDefault="00FE39DA" w:rsidP="00807889">
            <w:pPr>
              <w:widowControl w:val="0"/>
              <w:rPr>
                <w:rFonts w:cs="Arial"/>
                <w:sz w:val="20"/>
              </w:rPr>
            </w:pPr>
          </w:p>
        </w:tc>
        <w:tc>
          <w:tcPr>
            <w:tcW w:w="3669" w:type="pct"/>
          </w:tcPr>
          <w:p w14:paraId="45AD490C" w14:textId="77777777" w:rsidR="00FE39DA" w:rsidRPr="00810A2E" w:rsidRDefault="00FE39DA" w:rsidP="00807889">
            <w:pPr>
              <w:widowControl w:val="0"/>
              <w:rPr>
                <w:rFonts w:cs="Arial"/>
                <w:sz w:val="20"/>
              </w:rPr>
            </w:pPr>
          </w:p>
        </w:tc>
      </w:tr>
      <w:tr w:rsidR="00D8461F" w:rsidRPr="00810A2E" w14:paraId="0CEA1F0D" w14:textId="77777777" w:rsidTr="00D8461F">
        <w:tc>
          <w:tcPr>
            <w:tcW w:w="547"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33" w:type="pct"/>
          </w:tcPr>
          <w:p w14:paraId="35B0C5DE" w14:textId="77777777" w:rsidR="00D8461F" w:rsidRPr="00810A2E" w:rsidRDefault="00D8461F" w:rsidP="00807889">
            <w:pPr>
              <w:widowControl w:val="0"/>
              <w:rPr>
                <w:rFonts w:cs="Arial"/>
                <w:sz w:val="20"/>
              </w:rPr>
            </w:pPr>
          </w:p>
        </w:tc>
        <w:tc>
          <w:tcPr>
            <w:tcW w:w="451" w:type="pct"/>
          </w:tcPr>
          <w:p w14:paraId="59A3A73E" w14:textId="77777777" w:rsidR="00D8461F" w:rsidRPr="00810A2E" w:rsidRDefault="00D8461F" w:rsidP="00807889">
            <w:pPr>
              <w:widowControl w:val="0"/>
              <w:rPr>
                <w:rFonts w:cs="Arial"/>
                <w:sz w:val="20"/>
              </w:rPr>
            </w:pPr>
          </w:p>
        </w:tc>
        <w:tc>
          <w:tcPr>
            <w:tcW w:w="3669" w:type="pct"/>
          </w:tcPr>
          <w:p w14:paraId="7653EE4E" w14:textId="77777777" w:rsidR="00D8461F" w:rsidRPr="00810A2E" w:rsidRDefault="00D8461F" w:rsidP="00807889">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lastRenderedPageBreak/>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letters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F225" w14:textId="77777777" w:rsidR="00693AAF" w:rsidRDefault="00693AAF">
      <w:r>
        <w:separator/>
      </w:r>
    </w:p>
  </w:endnote>
  <w:endnote w:type="continuationSeparator" w:id="0">
    <w:p w14:paraId="70D17412" w14:textId="77777777" w:rsidR="00693AAF" w:rsidRDefault="00693AAF">
      <w:r>
        <w:continuationSeparator/>
      </w:r>
    </w:p>
  </w:endnote>
  <w:endnote w:type="continuationNotice" w:id="1">
    <w:p w14:paraId="06F3CDB0" w14:textId="77777777" w:rsidR="00693AAF" w:rsidRDefault="00693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DE7B" w14:textId="77777777" w:rsidR="00693AAF" w:rsidRDefault="00693AAF">
      <w:r>
        <w:separator/>
      </w:r>
    </w:p>
  </w:footnote>
  <w:footnote w:type="continuationSeparator" w:id="0">
    <w:p w14:paraId="5C022874" w14:textId="77777777" w:rsidR="00693AAF" w:rsidRDefault="00693AAF">
      <w:r>
        <w:continuationSeparator/>
      </w:r>
    </w:p>
  </w:footnote>
  <w:footnote w:type="continuationNotice" w:id="1">
    <w:p w14:paraId="1EB1FB30" w14:textId="77777777" w:rsidR="00693AAF" w:rsidRDefault="00693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2FB39CEC" w14:textId="77777777" w:rsidR="00230851" w:rsidRDefault="00230851" w:rsidP="00FE39DA">
    <w:pPr>
      <w:pStyle w:val="Heading3"/>
      <w:rPr>
        <w:rFonts w:cs="Arial"/>
        <w:color w:val="2F5496" w:themeColor="accent1" w:themeShade="BF"/>
        <w:sz w:val="22"/>
        <w:szCs w:val="22"/>
      </w:rPr>
    </w:pPr>
    <w:r w:rsidRPr="00230851">
      <w:rPr>
        <w:rFonts w:cs="Arial"/>
        <w:color w:val="2F5496" w:themeColor="accent1" w:themeShade="BF"/>
        <w:sz w:val="22"/>
        <w:szCs w:val="22"/>
      </w:rPr>
      <w:t>Ceftazidime with avibactam for treating severe aerobic Gram-negative bacterial infections</w:t>
    </w:r>
  </w:p>
  <w:p w14:paraId="1333B069" w14:textId="77777777" w:rsidR="00230851" w:rsidRDefault="00230851" w:rsidP="00FE39DA">
    <w:pPr>
      <w:pStyle w:val="Heading3"/>
      <w:rPr>
        <w:rFonts w:cs="Arial"/>
        <w:color w:val="2F5496" w:themeColor="accent1" w:themeShade="BF"/>
        <w:sz w:val="22"/>
        <w:szCs w:val="22"/>
      </w:rPr>
    </w:pPr>
  </w:p>
  <w:p w14:paraId="3D15CD82" w14:textId="1897D0D8"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3374"/>
    <w:rsid w:val="00224BF9"/>
    <w:rsid w:val="00230851"/>
    <w:rsid w:val="002444F5"/>
    <w:rsid w:val="00246154"/>
    <w:rsid w:val="002475F1"/>
    <w:rsid w:val="00257BDB"/>
    <w:rsid w:val="00261963"/>
    <w:rsid w:val="00282094"/>
    <w:rsid w:val="00292396"/>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41137"/>
    <w:rsid w:val="00542537"/>
    <w:rsid w:val="00560A71"/>
    <w:rsid w:val="00564883"/>
    <w:rsid w:val="00575316"/>
    <w:rsid w:val="005853F7"/>
    <w:rsid w:val="00593405"/>
    <w:rsid w:val="005A0634"/>
    <w:rsid w:val="005A45BD"/>
    <w:rsid w:val="005B15A2"/>
    <w:rsid w:val="005C1942"/>
    <w:rsid w:val="005C7F7C"/>
    <w:rsid w:val="005D335F"/>
    <w:rsid w:val="005F0AAA"/>
    <w:rsid w:val="005F244E"/>
    <w:rsid w:val="005F745A"/>
    <w:rsid w:val="00600D14"/>
    <w:rsid w:val="006033FE"/>
    <w:rsid w:val="00603F57"/>
    <w:rsid w:val="00623125"/>
    <w:rsid w:val="00624222"/>
    <w:rsid w:val="0063356A"/>
    <w:rsid w:val="00634E8F"/>
    <w:rsid w:val="00636279"/>
    <w:rsid w:val="00656C93"/>
    <w:rsid w:val="0066157A"/>
    <w:rsid w:val="00673600"/>
    <w:rsid w:val="006808A0"/>
    <w:rsid w:val="00693AAF"/>
    <w:rsid w:val="006B6ADD"/>
    <w:rsid w:val="006F2675"/>
    <w:rsid w:val="006F679F"/>
    <w:rsid w:val="0070312D"/>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7F085B"/>
    <w:rsid w:val="008039AA"/>
    <w:rsid w:val="00804864"/>
    <w:rsid w:val="0080710A"/>
    <w:rsid w:val="00807889"/>
    <w:rsid w:val="00810A2E"/>
    <w:rsid w:val="00827634"/>
    <w:rsid w:val="00834AB9"/>
    <w:rsid w:val="00835540"/>
    <w:rsid w:val="0084727A"/>
    <w:rsid w:val="008514EA"/>
    <w:rsid w:val="00857205"/>
    <w:rsid w:val="008611EC"/>
    <w:rsid w:val="00862EF8"/>
    <w:rsid w:val="008728E3"/>
    <w:rsid w:val="00894A46"/>
    <w:rsid w:val="008A2552"/>
    <w:rsid w:val="008A4C19"/>
    <w:rsid w:val="008C584A"/>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customStyle="1" w:styleId="UnresolvedMention1">
    <w:name w:val="Unresolved Mention1"/>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4432-29C7-434B-9594-F1EC6085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Charlotte Downing</cp:lastModifiedBy>
  <cp:revision>2</cp:revision>
  <cp:lastPrinted>2005-11-01T10:30:00Z</cp:lastPrinted>
  <dcterms:created xsi:type="dcterms:W3CDTF">2021-12-13T08:35:00Z</dcterms:created>
  <dcterms:modified xsi:type="dcterms:W3CDTF">2021-12-13T08:35:00Z</dcterms:modified>
</cp:coreProperties>
</file>