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20903DAB" w:rsidR="00FE39DA" w:rsidRPr="00922752" w:rsidRDefault="00922752" w:rsidP="000B0C48">
      <w:pPr>
        <w:rPr>
          <w:b/>
          <w:bCs/>
        </w:rPr>
      </w:pPr>
      <w:r w:rsidRPr="00922752">
        <w:rPr>
          <w:b/>
          <w:bCs/>
        </w:rPr>
        <w:t>Organisation name:</w:t>
      </w:r>
      <w:r w:rsidR="000B0C48">
        <w:rPr>
          <w:b/>
          <w:bCs/>
        </w:rPr>
        <w:t xml:space="preserve"> </w:t>
      </w:r>
      <w:r w:rsidR="00323835">
        <w:rPr>
          <w:b/>
          <w:bCs/>
        </w:rPr>
        <w:t>NHS England and NHS Improvement</w:t>
      </w:r>
    </w:p>
    <w:p w14:paraId="3158A3D2" w14:textId="77777777" w:rsidR="00922752" w:rsidRDefault="00922752" w:rsidP="000B0C48"/>
    <w:p w14:paraId="0767E7F6" w14:textId="77777777" w:rsidR="000B0C48" w:rsidRDefault="000B0C48" w:rsidP="00703D2E">
      <w:pPr>
        <w:jc w:val="center"/>
        <w:rPr>
          <w:b/>
          <w:bCs/>
        </w:rPr>
      </w:pPr>
    </w:p>
    <w:p w14:paraId="59F7C2C4" w14:textId="13EEF2D4" w:rsidR="00922752" w:rsidRDefault="00922752" w:rsidP="000B0C48">
      <w:pPr>
        <w:rPr>
          <w:sz w:val="18"/>
          <w:szCs w:val="18"/>
        </w:rPr>
      </w:pPr>
      <w:r w:rsidRPr="00922752">
        <w:rPr>
          <w:b/>
          <w:bCs/>
        </w:rPr>
        <w:t>Disclosure:</w:t>
      </w:r>
      <w:r>
        <w:t xml:space="preserve"> </w:t>
      </w:r>
      <w:r w:rsidR="00323835">
        <w:rPr>
          <w:sz w:val="18"/>
          <w:szCs w:val="18"/>
        </w:rPr>
        <w:t>I have no conflicts of interest or links to disclose</w:t>
      </w:r>
    </w:p>
    <w:p w14:paraId="0A2A6B90" w14:textId="77777777" w:rsidR="00922752" w:rsidRPr="00922752" w:rsidRDefault="00922752" w:rsidP="000B0C48">
      <w:pPr>
        <w:rPr>
          <w:sz w:val="18"/>
          <w:szCs w:val="18"/>
        </w:rPr>
      </w:pPr>
    </w:p>
    <w:p w14:paraId="06CCBCF3" w14:textId="77777777" w:rsidR="000B0C48" w:rsidRDefault="000B0C48" w:rsidP="000B0C48">
      <w:pPr>
        <w:rPr>
          <w:b/>
          <w:bCs/>
        </w:rPr>
      </w:pPr>
    </w:p>
    <w:p w14:paraId="169805D0" w14:textId="253F155F" w:rsidR="00922752" w:rsidRPr="00922752" w:rsidRDefault="00922752" w:rsidP="000B0C48">
      <w:pPr>
        <w:rPr>
          <w:b/>
          <w:bCs/>
        </w:rPr>
      </w:pPr>
      <w:r w:rsidRPr="00922752">
        <w:rPr>
          <w:b/>
          <w:bCs/>
        </w:rPr>
        <w:t xml:space="preserve">Name of person completing form: </w:t>
      </w:r>
      <w:proofErr w:type="spellStart"/>
      <w:r w:rsidR="005B54AC" w:rsidRPr="005B54AC">
        <w:rPr>
          <w:b/>
          <w:bCs/>
          <w:highlight w:val="black"/>
        </w:rPr>
        <w:t>xxxxxxxxxxxxxxxxxxxxxxxxxxxxxxx</w:t>
      </w:r>
      <w:proofErr w:type="spellEnd"/>
      <w:r w:rsidR="00323835">
        <w:rPr>
          <w:b/>
          <w:bCs/>
        </w:rPr>
        <w:t xml:space="preserve"> </w:t>
      </w:r>
    </w:p>
    <w:p w14:paraId="39161453" w14:textId="580B70D8" w:rsidR="00922752" w:rsidRDefault="00922752" w:rsidP="00097482">
      <w:pPr>
        <w:jc w:val="center"/>
      </w:pP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695"/>
        <w:gridCol w:w="939"/>
        <w:gridCol w:w="7415"/>
      </w:tblGrid>
      <w:tr w:rsidR="002E6A85" w:rsidRPr="00481C73" w14:paraId="51CD6243" w14:textId="77777777" w:rsidTr="002E1954">
        <w:tc>
          <w:tcPr>
            <w:tcW w:w="559"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41"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6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3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2E6A85" w:rsidRPr="00810A2E" w14:paraId="5702DF46" w14:textId="77777777" w:rsidTr="002E1954">
        <w:tc>
          <w:tcPr>
            <w:tcW w:w="559"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41" w:type="pct"/>
          </w:tcPr>
          <w:p w14:paraId="7CD2A4FA" w14:textId="6A2885BD" w:rsidR="002E6A85" w:rsidRPr="00810A2E" w:rsidRDefault="002E6A85" w:rsidP="00807889">
            <w:pPr>
              <w:widowControl w:val="0"/>
              <w:rPr>
                <w:rFonts w:cs="Arial"/>
                <w:sz w:val="20"/>
              </w:rPr>
            </w:pPr>
          </w:p>
        </w:tc>
        <w:tc>
          <w:tcPr>
            <w:tcW w:w="461" w:type="pct"/>
          </w:tcPr>
          <w:p w14:paraId="2A91C8C7" w14:textId="77777777" w:rsidR="002E6A85" w:rsidRPr="00810A2E" w:rsidRDefault="002E6A85" w:rsidP="00807889">
            <w:pPr>
              <w:widowControl w:val="0"/>
              <w:rPr>
                <w:rFonts w:cs="Arial"/>
                <w:sz w:val="20"/>
              </w:rPr>
            </w:pPr>
          </w:p>
        </w:tc>
        <w:tc>
          <w:tcPr>
            <w:tcW w:w="3639" w:type="pct"/>
          </w:tcPr>
          <w:p w14:paraId="5FE7DA0A" w14:textId="77777777" w:rsidR="00323835" w:rsidRDefault="00323835" w:rsidP="00323835">
            <w:pPr>
              <w:rPr>
                <w:rFonts w:ascii="Calibri" w:eastAsia="Calibri" w:hAnsi="Calibri" w:cs="Calibri"/>
              </w:rPr>
            </w:pPr>
            <w:r w:rsidRPr="11DAE956">
              <w:rPr>
                <w:rFonts w:ascii="Calibri" w:eastAsia="Calibri" w:hAnsi="Calibri" w:cs="Calibri"/>
                <w:szCs w:val="22"/>
                <w:lang w:val="en-US"/>
              </w:rPr>
              <w:t xml:space="preserve">NHSEI </w:t>
            </w:r>
            <w:proofErr w:type="spellStart"/>
            <w:r w:rsidRPr="11DAE956">
              <w:rPr>
                <w:rFonts w:ascii="Calibri" w:eastAsia="Calibri" w:hAnsi="Calibri" w:cs="Calibri"/>
                <w:szCs w:val="22"/>
                <w:lang w:val="en-US"/>
              </w:rPr>
              <w:t>recognises</w:t>
            </w:r>
            <w:proofErr w:type="spellEnd"/>
            <w:r w:rsidRPr="11DAE956">
              <w:rPr>
                <w:rFonts w:ascii="Calibri" w:eastAsia="Calibri" w:hAnsi="Calibri" w:cs="Calibri"/>
                <w:szCs w:val="22"/>
                <w:lang w:val="en-US"/>
              </w:rPr>
              <w:t xml:space="preserve"> the challenges of conducting a health technology assessment for antibiotics and that these assessments follow the multiple technology appraisal process.  We believe that the use of high value clinical scenarios to estimate the patient level net health gains and then extrapolating to wider populations is a valid pragmatic approach.</w:t>
            </w:r>
          </w:p>
          <w:p w14:paraId="5CA4A40C" w14:textId="77777777" w:rsidR="00323835" w:rsidRDefault="00323835" w:rsidP="00323835">
            <w:r w:rsidRPr="11DAE956">
              <w:rPr>
                <w:rFonts w:ascii="Calibri" w:eastAsia="Calibri" w:hAnsi="Calibri" w:cs="Calibri"/>
                <w:szCs w:val="22"/>
                <w:lang w:val="en-US"/>
              </w:rPr>
              <w:t xml:space="preserve">We have one substantive comment on the method used in the report - it would benefit from a discussion of alternative resistance patterns.  </w:t>
            </w:r>
            <w:bookmarkStart w:id="0" w:name="_Int_gPT5RCcb"/>
            <w:proofErr w:type="gramStart"/>
            <w:r w:rsidRPr="11DAE956">
              <w:rPr>
                <w:rFonts w:ascii="Calibri" w:eastAsia="Calibri" w:hAnsi="Calibri" w:cs="Calibri"/>
                <w:szCs w:val="22"/>
                <w:lang w:val="en-US"/>
              </w:rPr>
              <w:t>In particular, we</w:t>
            </w:r>
            <w:bookmarkEnd w:id="0"/>
            <w:proofErr w:type="gramEnd"/>
            <w:r w:rsidRPr="11DAE956">
              <w:rPr>
                <w:rFonts w:ascii="Calibri" w:eastAsia="Calibri" w:hAnsi="Calibri" w:cs="Calibri"/>
                <w:szCs w:val="22"/>
                <w:lang w:val="en-US"/>
              </w:rPr>
              <w:t xml:space="preserve"> would have liked to have seen a discussion of the ‘long tail’ scenario of a very low probability, but high impact event.  This might be the state where resistance profiles to all other treatments </w:t>
            </w:r>
            <w:proofErr w:type="gramStart"/>
            <w:r w:rsidRPr="11DAE956">
              <w:rPr>
                <w:rFonts w:ascii="Calibri" w:eastAsia="Calibri" w:hAnsi="Calibri" w:cs="Calibri"/>
                <w:szCs w:val="22"/>
                <w:lang w:val="en-US"/>
              </w:rPr>
              <w:t>has</w:t>
            </w:r>
            <w:proofErr w:type="gramEnd"/>
            <w:r w:rsidRPr="11DAE956">
              <w:rPr>
                <w:rFonts w:ascii="Calibri" w:eastAsia="Calibri" w:hAnsi="Calibri" w:cs="Calibri"/>
                <w:szCs w:val="22"/>
                <w:lang w:val="en-US"/>
              </w:rPr>
              <w:t xml:space="preserve"> made those treatments ineffective against the relevant pathogens. We think this omission potentially neglects to address one of the main market failures that the payment model seeks to address – </w:t>
            </w:r>
            <w:proofErr w:type="gramStart"/>
            <w:r w:rsidRPr="11DAE956">
              <w:rPr>
                <w:rFonts w:ascii="Calibri" w:eastAsia="Calibri" w:hAnsi="Calibri" w:cs="Calibri"/>
                <w:szCs w:val="22"/>
                <w:lang w:val="en-US"/>
              </w:rPr>
              <w:t>i.e.</w:t>
            </w:r>
            <w:proofErr w:type="gramEnd"/>
            <w:r w:rsidRPr="11DAE956">
              <w:rPr>
                <w:rFonts w:ascii="Calibri" w:eastAsia="Calibri" w:hAnsi="Calibri" w:cs="Calibri"/>
                <w:szCs w:val="22"/>
                <w:lang w:val="en-US"/>
              </w:rPr>
              <w:t xml:space="preserve"> the long tail risk.</w:t>
            </w:r>
          </w:p>
          <w:p w14:paraId="33364836" w14:textId="77777777" w:rsidR="00323835" w:rsidRDefault="00323835" w:rsidP="00323835">
            <w:r w:rsidRPr="11DAE956">
              <w:rPr>
                <w:rFonts w:ascii="Calibri" w:eastAsia="Calibri" w:hAnsi="Calibri" w:cs="Calibri"/>
                <w:szCs w:val="22"/>
                <w:lang w:val="en-US"/>
              </w:rPr>
              <w:t>The report states ‘We did not model changes in resistance to existing AMs over time due to the sparsity of evidence available to inform these forecasts.’.  We also note that the manufacturer did not model these changes in their assessment either. The important bit for NHSEI is not simply that the usage volume of the antimicrobial would increase, but that you would get a much higher incremental QALY gain for ceftazidime with avibactam in the absence of alternative treatments.</w:t>
            </w:r>
          </w:p>
          <w:p w14:paraId="447D1004" w14:textId="77777777" w:rsidR="00323835" w:rsidRDefault="00323835" w:rsidP="00323835">
            <w:pPr>
              <w:rPr>
                <w:rFonts w:ascii="Calibri" w:eastAsia="Calibri" w:hAnsi="Calibri" w:cs="Calibri"/>
              </w:rPr>
            </w:pPr>
            <w:r w:rsidRPr="62C26837">
              <w:rPr>
                <w:rFonts w:ascii="Calibri" w:eastAsia="Calibri" w:hAnsi="Calibri" w:cs="Calibri"/>
                <w:szCs w:val="22"/>
                <w:lang w:val="en-US"/>
              </w:rPr>
              <w:t xml:space="preserve">For example, if the incremental net health benefit per patient of ceftazidime with avibactam is 0.16 QALYs </w:t>
            </w:r>
            <w:bookmarkStart w:id="1" w:name="_Hlk90299809"/>
            <w:r w:rsidRPr="62C26837">
              <w:rPr>
                <w:rFonts w:ascii="Calibri" w:eastAsia="Calibri" w:hAnsi="Calibri" w:cs="Calibri"/>
                <w:szCs w:val="22"/>
                <w:lang w:val="en-US"/>
              </w:rPr>
              <w:t>conditional on current alternative treatments being effective, this could increase to 7.8 - 9.0 QALY’s [</w:t>
            </w:r>
            <w:r>
              <w:rPr>
                <w:rFonts w:ascii="Calibri" w:eastAsia="Calibri" w:hAnsi="Calibri" w:cs="Calibri"/>
              </w:rPr>
              <w:t xml:space="preserve">if the hypothetical values apply from </w:t>
            </w:r>
            <w:r w:rsidRPr="62C26837">
              <w:rPr>
                <w:rFonts w:ascii="Calibri" w:eastAsia="Calibri" w:hAnsi="Calibri" w:cs="Calibri"/>
                <w:szCs w:val="22"/>
                <w:lang w:val="en-US"/>
              </w:rPr>
              <w:t xml:space="preserve">box 1, page 34] in the absence of effective </w:t>
            </w:r>
            <w:proofErr w:type="gramStart"/>
            <w:r w:rsidRPr="62C26837">
              <w:rPr>
                <w:rFonts w:ascii="Calibri" w:eastAsia="Calibri" w:hAnsi="Calibri" w:cs="Calibri"/>
                <w:szCs w:val="22"/>
                <w:lang w:val="en-US"/>
              </w:rPr>
              <w:t>alternatives</w:t>
            </w:r>
            <w:r>
              <w:rPr>
                <w:rFonts w:ascii="Calibri" w:eastAsia="Calibri" w:hAnsi="Calibri" w:cs="Calibri"/>
              </w:rPr>
              <w:t xml:space="preserve"> </w:t>
            </w:r>
            <w:r w:rsidRPr="62C26837">
              <w:rPr>
                <w:rFonts w:ascii="Calibri" w:eastAsia="Calibri" w:hAnsi="Calibri" w:cs="Calibri"/>
                <w:szCs w:val="22"/>
                <w:lang w:val="en-US"/>
              </w:rPr>
              <w:t xml:space="preserve"> –</w:t>
            </w:r>
            <w:proofErr w:type="gramEnd"/>
            <w:r w:rsidRPr="62C26837">
              <w:rPr>
                <w:rFonts w:ascii="Calibri" w:eastAsia="Calibri" w:hAnsi="Calibri" w:cs="Calibri"/>
                <w:szCs w:val="22"/>
                <w:lang w:val="en-US"/>
              </w:rPr>
              <w:t xml:space="preserve"> thus the value per patient increases by a factor of 50. If, for illustrative purposes, we assume a 1% chance of total resistance to existing alternative treatments occurring at some point over the </w:t>
            </w:r>
            <w:proofErr w:type="gramStart"/>
            <w:r w:rsidRPr="62C26837">
              <w:rPr>
                <w:rFonts w:ascii="Calibri" w:eastAsia="Calibri" w:hAnsi="Calibri" w:cs="Calibri"/>
                <w:szCs w:val="22"/>
                <w:lang w:val="en-US"/>
              </w:rPr>
              <w:t>20 year</w:t>
            </w:r>
            <w:proofErr w:type="gramEnd"/>
            <w:r w:rsidRPr="62C26837">
              <w:rPr>
                <w:rFonts w:ascii="Calibri" w:eastAsia="Calibri" w:hAnsi="Calibri" w:cs="Calibri"/>
                <w:szCs w:val="22"/>
                <w:lang w:val="en-US"/>
              </w:rPr>
              <w:t xml:space="preserve"> period then the expected (probability weighted) net health benefit increase </w:t>
            </w:r>
            <w:r>
              <w:rPr>
                <w:rFonts w:ascii="Calibri" w:eastAsia="Calibri" w:hAnsi="Calibri" w:cs="Calibri"/>
              </w:rPr>
              <w:t>in terms of the</w:t>
            </w:r>
            <w:r w:rsidRPr="62C26837">
              <w:rPr>
                <w:rFonts w:ascii="Calibri" w:eastAsia="Calibri" w:hAnsi="Calibri" w:cs="Calibri"/>
                <w:szCs w:val="22"/>
                <w:lang w:val="en-US"/>
              </w:rPr>
              <w:t xml:space="preserve"> QALYs per patient for the remaining period. As the treatment options will have diminished to just ceftazidime with avibactam, the population receiving this product would also </w:t>
            </w:r>
            <w:proofErr w:type="gramStart"/>
            <w:r w:rsidRPr="62C26837">
              <w:rPr>
                <w:rFonts w:ascii="Calibri" w:eastAsia="Calibri" w:hAnsi="Calibri" w:cs="Calibri"/>
                <w:szCs w:val="22"/>
                <w:lang w:val="en-US"/>
              </w:rPr>
              <w:lastRenderedPageBreak/>
              <w:t>need  to</w:t>
            </w:r>
            <w:proofErr w:type="gramEnd"/>
            <w:r w:rsidRPr="62C26837">
              <w:rPr>
                <w:rFonts w:ascii="Calibri" w:eastAsia="Calibri" w:hAnsi="Calibri" w:cs="Calibri"/>
                <w:szCs w:val="22"/>
                <w:lang w:val="en-US"/>
              </w:rPr>
              <w:t xml:space="preserve"> be increased to the relevant treatment population. In this scenario as the remaining single treatment </w:t>
            </w:r>
            <w:proofErr w:type="gramStart"/>
            <w:r w:rsidRPr="62C26837">
              <w:rPr>
                <w:rFonts w:ascii="Calibri" w:eastAsia="Calibri" w:hAnsi="Calibri" w:cs="Calibri"/>
                <w:szCs w:val="22"/>
                <w:lang w:val="en-US"/>
              </w:rPr>
              <w:t>option</w:t>
            </w:r>
            <w:proofErr w:type="gramEnd"/>
            <w:r w:rsidRPr="62C26837">
              <w:rPr>
                <w:rFonts w:ascii="Calibri" w:eastAsia="Calibri" w:hAnsi="Calibri" w:cs="Calibri"/>
                <w:szCs w:val="22"/>
                <w:lang w:val="en-US"/>
              </w:rPr>
              <w:t xml:space="preserve"> the benefits are also likely to extend beyond the appraisal period of 20 years.</w:t>
            </w:r>
          </w:p>
          <w:bookmarkEnd w:id="1"/>
          <w:p w14:paraId="380FF3A5" w14:textId="5DF8BDAF" w:rsidR="002E6A85" w:rsidRPr="00810A2E" w:rsidRDefault="002E6A85" w:rsidP="00807889">
            <w:pPr>
              <w:widowControl w:val="0"/>
              <w:rPr>
                <w:rFonts w:cs="Arial"/>
                <w:sz w:val="20"/>
              </w:rPr>
            </w:pPr>
          </w:p>
        </w:tc>
      </w:tr>
      <w:tr w:rsidR="002E1954" w:rsidRPr="00810A2E" w14:paraId="5A61DE1E" w14:textId="77777777" w:rsidTr="002E1954">
        <w:tc>
          <w:tcPr>
            <w:tcW w:w="559" w:type="pct"/>
          </w:tcPr>
          <w:p w14:paraId="528FAAA3" w14:textId="77777777" w:rsidR="002E1954" w:rsidRDefault="002E1954" w:rsidP="002E1954">
            <w:pPr>
              <w:widowControl w:val="0"/>
              <w:jc w:val="center"/>
              <w:rPr>
                <w:rFonts w:cs="Arial"/>
                <w:sz w:val="20"/>
              </w:rPr>
            </w:pPr>
            <w:r w:rsidRPr="00810A2E">
              <w:rPr>
                <w:rFonts w:cs="Arial"/>
                <w:sz w:val="20"/>
              </w:rPr>
              <w:lastRenderedPageBreak/>
              <w:t>2</w:t>
            </w:r>
          </w:p>
          <w:p w14:paraId="243C7492" w14:textId="4972C22A" w:rsidR="002E1954" w:rsidRPr="00810A2E" w:rsidRDefault="002E1954" w:rsidP="002E1954">
            <w:pPr>
              <w:widowControl w:val="0"/>
              <w:jc w:val="center"/>
              <w:rPr>
                <w:rFonts w:cs="Arial"/>
                <w:sz w:val="20"/>
              </w:rPr>
            </w:pPr>
          </w:p>
        </w:tc>
        <w:tc>
          <w:tcPr>
            <w:tcW w:w="341" w:type="pct"/>
          </w:tcPr>
          <w:p w14:paraId="3E50CD58" w14:textId="77777777" w:rsidR="002E1954" w:rsidRPr="00810A2E" w:rsidRDefault="002E1954" w:rsidP="002E1954">
            <w:pPr>
              <w:widowControl w:val="0"/>
              <w:rPr>
                <w:rFonts w:cs="Arial"/>
                <w:sz w:val="20"/>
              </w:rPr>
            </w:pPr>
          </w:p>
        </w:tc>
        <w:tc>
          <w:tcPr>
            <w:tcW w:w="461" w:type="pct"/>
          </w:tcPr>
          <w:p w14:paraId="12D3FE10" w14:textId="77777777" w:rsidR="002E1954" w:rsidRPr="00810A2E" w:rsidRDefault="002E1954" w:rsidP="002E1954">
            <w:pPr>
              <w:widowControl w:val="0"/>
              <w:rPr>
                <w:rFonts w:cs="Arial"/>
                <w:sz w:val="20"/>
              </w:rPr>
            </w:pPr>
          </w:p>
        </w:tc>
        <w:tc>
          <w:tcPr>
            <w:tcW w:w="3639" w:type="pct"/>
          </w:tcPr>
          <w:p w14:paraId="3CE28DAC" w14:textId="1A083B3D" w:rsidR="002E1954" w:rsidRPr="00810A2E" w:rsidRDefault="002E1954" w:rsidP="002E1954">
            <w:pPr>
              <w:widowControl w:val="0"/>
              <w:rPr>
                <w:rFonts w:cs="Arial"/>
                <w:sz w:val="20"/>
              </w:rPr>
            </w:pPr>
            <w:r w:rsidRPr="00BA2FBE">
              <w:t>The empirical high-value clinical scenario would appear to offer the best INHBs, in contrast to microbiology-directed treatment.  But the way the INHB are set out in the reports make it difficult for non-economists to understand the overall level of benefit.</w:t>
            </w:r>
          </w:p>
        </w:tc>
      </w:tr>
      <w:tr w:rsidR="002E1954" w:rsidRPr="00810A2E" w14:paraId="0CBFD7F3" w14:textId="77777777" w:rsidTr="002E1954">
        <w:tc>
          <w:tcPr>
            <w:tcW w:w="559" w:type="pct"/>
          </w:tcPr>
          <w:p w14:paraId="38109FAA" w14:textId="77777777" w:rsidR="002E1954" w:rsidRDefault="002E1954" w:rsidP="002E1954">
            <w:pPr>
              <w:widowControl w:val="0"/>
              <w:jc w:val="center"/>
              <w:rPr>
                <w:rFonts w:cs="Arial"/>
                <w:sz w:val="20"/>
              </w:rPr>
            </w:pPr>
            <w:r w:rsidRPr="00810A2E">
              <w:rPr>
                <w:rFonts w:cs="Arial"/>
                <w:sz w:val="20"/>
              </w:rPr>
              <w:t>3</w:t>
            </w:r>
          </w:p>
          <w:p w14:paraId="77930E8B" w14:textId="6C91FFD6" w:rsidR="002E1954" w:rsidRPr="00810A2E" w:rsidRDefault="002E1954" w:rsidP="002E1954">
            <w:pPr>
              <w:widowControl w:val="0"/>
              <w:jc w:val="center"/>
              <w:rPr>
                <w:rFonts w:cs="Arial"/>
                <w:sz w:val="20"/>
              </w:rPr>
            </w:pPr>
          </w:p>
        </w:tc>
        <w:tc>
          <w:tcPr>
            <w:tcW w:w="341" w:type="pct"/>
          </w:tcPr>
          <w:p w14:paraId="5FA1EF0B" w14:textId="77777777" w:rsidR="002E1954" w:rsidRPr="00810A2E" w:rsidRDefault="002E1954" w:rsidP="002E1954">
            <w:pPr>
              <w:widowControl w:val="0"/>
              <w:rPr>
                <w:rFonts w:cs="Arial"/>
                <w:sz w:val="20"/>
              </w:rPr>
            </w:pPr>
          </w:p>
        </w:tc>
        <w:tc>
          <w:tcPr>
            <w:tcW w:w="461" w:type="pct"/>
          </w:tcPr>
          <w:p w14:paraId="7C08971E" w14:textId="77777777" w:rsidR="002E1954" w:rsidRPr="00810A2E" w:rsidRDefault="002E1954" w:rsidP="002E1954">
            <w:pPr>
              <w:widowControl w:val="0"/>
              <w:rPr>
                <w:rFonts w:cs="Arial"/>
                <w:sz w:val="20"/>
              </w:rPr>
            </w:pPr>
          </w:p>
        </w:tc>
        <w:tc>
          <w:tcPr>
            <w:tcW w:w="3639" w:type="pct"/>
          </w:tcPr>
          <w:p w14:paraId="625C5F45" w14:textId="48D5601C" w:rsidR="002E1954" w:rsidRPr="00810A2E" w:rsidRDefault="002E1954" w:rsidP="002E1954">
            <w:pPr>
              <w:widowControl w:val="0"/>
              <w:rPr>
                <w:rFonts w:cs="Arial"/>
                <w:sz w:val="20"/>
              </w:rPr>
            </w:pPr>
            <w:r w:rsidRPr="00BA2FBE">
              <w:t xml:space="preserve">Three patient characteristics were considered as relevant by clinical advisors in identifying patients are high risk of an MBL infection.  Absent from this list is past exposure to carbapenem antibiotics. Was the clinical advisors’ opinion validated with published evidence of prognostic risk factors for MBL infection because there is certainly literature published on this subject? PICOS for high value clinical scenarios: CAZ-AVI section 3.2.3.1; </w:t>
            </w:r>
            <w:proofErr w:type="spellStart"/>
            <w:r w:rsidRPr="00BA2FBE">
              <w:t>cefidericol</w:t>
            </w:r>
            <w:proofErr w:type="spellEnd"/>
            <w:r w:rsidRPr="00BA2FBE">
              <w:t xml:space="preserve"> section 4.2.4.</w:t>
            </w:r>
          </w:p>
        </w:tc>
      </w:tr>
      <w:tr w:rsidR="002E6A85" w:rsidRPr="00810A2E" w14:paraId="4F6D2F97" w14:textId="77777777" w:rsidTr="002E1954">
        <w:tc>
          <w:tcPr>
            <w:tcW w:w="559" w:type="pct"/>
          </w:tcPr>
          <w:p w14:paraId="14FCAFCF" w14:textId="77777777" w:rsidR="002E6A85" w:rsidRDefault="002E6A85" w:rsidP="00807889">
            <w:pPr>
              <w:widowControl w:val="0"/>
              <w:jc w:val="center"/>
              <w:rPr>
                <w:rFonts w:cs="Arial"/>
                <w:sz w:val="20"/>
              </w:rPr>
            </w:pPr>
            <w:r>
              <w:rPr>
                <w:rFonts w:cs="Arial"/>
                <w:sz w:val="20"/>
              </w:rPr>
              <w:t>4</w:t>
            </w:r>
          </w:p>
          <w:p w14:paraId="36CC3EC0" w14:textId="70CA1E63" w:rsidR="002E6A85" w:rsidRPr="00810A2E" w:rsidRDefault="002E6A85" w:rsidP="00807889">
            <w:pPr>
              <w:widowControl w:val="0"/>
              <w:jc w:val="center"/>
              <w:rPr>
                <w:rFonts w:cs="Arial"/>
                <w:sz w:val="20"/>
              </w:rPr>
            </w:pPr>
          </w:p>
        </w:tc>
        <w:tc>
          <w:tcPr>
            <w:tcW w:w="341" w:type="pct"/>
          </w:tcPr>
          <w:p w14:paraId="54900B70" w14:textId="77777777" w:rsidR="002E6A85" w:rsidRPr="00810A2E" w:rsidRDefault="002E6A85" w:rsidP="00807889">
            <w:pPr>
              <w:widowControl w:val="0"/>
              <w:rPr>
                <w:rFonts w:cs="Arial"/>
                <w:sz w:val="20"/>
              </w:rPr>
            </w:pPr>
          </w:p>
        </w:tc>
        <w:tc>
          <w:tcPr>
            <w:tcW w:w="461" w:type="pct"/>
          </w:tcPr>
          <w:p w14:paraId="6C966828" w14:textId="77777777" w:rsidR="002E6A85" w:rsidRPr="00810A2E" w:rsidRDefault="002E6A85" w:rsidP="00807889">
            <w:pPr>
              <w:widowControl w:val="0"/>
              <w:rPr>
                <w:rFonts w:cs="Arial"/>
                <w:sz w:val="20"/>
              </w:rPr>
            </w:pPr>
          </w:p>
        </w:tc>
        <w:tc>
          <w:tcPr>
            <w:tcW w:w="3639" w:type="pct"/>
          </w:tcPr>
          <w:p w14:paraId="3513B0AA" w14:textId="0042884B" w:rsidR="002E6A85" w:rsidRPr="00810A2E" w:rsidRDefault="002E1954" w:rsidP="00807889">
            <w:pPr>
              <w:widowControl w:val="0"/>
              <w:rPr>
                <w:rFonts w:cs="Arial"/>
                <w:sz w:val="20"/>
              </w:rPr>
            </w:pPr>
            <w:r>
              <w:rPr>
                <w:rFonts w:cs="Arial"/>
                <w:sz w:val="20"/>
              </w:rPr>
              <w:t>From a clinical perspective, t</w:t>
            </w:r>
            <w:r w:rsidRPr="002E1954">
              <w:rPr>
                <w:rFonts w:cs="Arial"/>
                <w:sz w:val="20"/>
              </w:rPr>
              <w:t>he fact that the model considers that a much broader population of patients would receive CAZ-AVI than considered appropriate by clinical advisors to EEPRU is welcomed because clinical experience in the past has demonstrated that many antimicrobials are used off-label, particularly for the treatment of difficult deep-seated infection, when susceptibility date indicate a limited range of treatment options</w:t>
            </w:r>
          </w:p>
        </w:tc>
      </w:tr>
      <w:tr w:rsidR="002E6A85" w:rsidRPr="00810A2E" w14:paraId="1C9A6E17" w14:textId="77777777" w:rsidTr="002E1954">
        <w:tc>
          <w:tcPr>
            <w:tcW w:w="559" w:type="pct"/>
          </w:tcPr>
          <w:p w14:paraId="0EE8896C" w14:textId="77777777" w:rsidR="002E6A85" w:rsidRDefault="002E6A85" w:rsidP="00807889">
            <w:pPr>
              <w:widowControl w:val="0"/>
              <w:jc w:val="center"/>
              <w:rPr>
                <w:rFonts w:cs="Arial"/>
                <w:sz w:val="20"/>
              </w:rPr>
            </w:pPr>
            <w:r>
              <w:rPr>
                <w:rFonts w:cs="Arial"/>
                <w:sz w:val="20"/>
              </w:rPr>
              <w:t>5</w:t>
            </w:r>
          </w:p>
          <w:p w14:paraId="2AC798C9" w14:textId="3CF144C8" w:rsidR="002E6A85" w:rsidRPr="00810A2E" w:rsidRDefault="002E6A85" w:rsidP="00807889">
            <w:pPr>
              <w:widowControl w:val="0"/>
              <w:jc w:val="center"/>
              <w:rPr>
                <w:rFonts w:cs="Arial"/>
                <w:sz w:val="20"/>
              </w:rPr>
            </w:pPr>
          </w:p>
        </w:tc>
        <w:tc>
          <w:tcPr>
            <w:tcW w:w="341" w:type="pct"/>
          </w:tcPr>
          <w:p w14:paraId="463D2432" w14:textId="77777777" w:rsidR="002E6A85" w:rsidRPr="00810A2E" w:rsidRDefault="002E6A85" w:rsidP="00807889">
            <w:pPr>
              <w:widowControl w:val="0"/>
              <w:rPr>
                <w:rFonts w:cs="Arial"/>
                <w:sz w:val="20"/>
              </w:rPr>
            </w:pPr>
          </w:p>
        </w:tc>
        <w:tc>
          <w:tcPr>
            <w:tcW w:w="461" w:type="pct"/>
          </w:tcPr>
          <w:p w14:paraId="23AF1992" w14:textId="77777777" w:rsidR="002E6A85" w:rsidRPr="00810A2E" w:rsidRDefault="002E6A85" w:rsidP="00807889">
            <w:pPr>
              <w:widowControl w:val="0"/>
              <w:rPr>
                <w:rFonts w:cs="Arial"/>
                <w:sz w:val="20"/>
              </w:rPr>
            </w:pPr>
          </w:p>
        </w:tc>
        <w:tc>
          <w:tcPr>
            <w:tcW w:w="3639" w:type="pct"/>
          </w:tcPr>
          <w:p w14:paraId="32A26F73" w14:textId="6126AC5B" w:rsidR="002E6A85" w:rsidRPr="00810A2E" w:rsidRDefault="002E6A85" w:rsidP="00807889">
            <w:pPr>
              <w:widowControl w:val="0"/>
              <w:rPr>
                <w:rFonts w:cs="Arial"/>
                <w:sz w:val="20"/>
              </w:rPr>
            </w:pPr>
          </w:p>
        </w:tc>
      </w:tr>
      <w:tr w:rsidR="002E6A85" w:rsidRPr="00810A2E" w14:paraId="311E735F" w14:textId="77777777" w:rsidTr="002E1954">
        <w:tc>
          <w:tcPr>
            <w:tcW w:w="559" w:type="pct"/>
          </w:tcPr>
          <w:p w14:paraId="562D0B53" w14:textId="77777777" w:rsidR="002E6A85" w:rsidRDefault="002E6A85" w:rsidP="00807889">
            <w:pPr>
              <w:widowControl w:val="0"/>
              <w:jc w:val="center"/>
              <w:rPr>
                <w:rFonts w:cs="Arial"/>
                <w:sz w:val="20"/>
              </w:rPr>
            </w:pPr>
            <w:r>
              <w:rPr>
                <w:rFonts w:cs="Arial"/>
                <w:sz w:val="20"/>
              </w:rPr>
              <w:t>6</w:t>
            </w:r>
          </w:p>
          <w:p w14:paraId="6B7E1DA1" w14:textId="09ECA2C5" w:rsidR="002E6A85" w:rsidRPr="00810A2E" w:rsidRDefault="002E6A85" w:rsidP="00807889">
            <w:pPr>
              <w:widowControl w:val="0"/>
              <w:jc w:val="center"/>
              <w:rPr>
                <w:rFonts w:cs="Arial"/>
                <w:sz w:val="20"/>
              </w:rPr>
            </w:pPr>
          </w:p>
        </w:tc>
        <w:tc>
          <w:tcPr>
            <w:tcW w:w="341" w:type="pct"/>
          </w:tcPr>
          <w:p w14:paraId="604388F2" w14:textId="77777777" w:rsidR="002E6A85" w:rsidRPr="00810A2E" w:rsidRDefault="002E6A85" w:rsidP="00807889">
            <w:pPr>
              <w:widowControl w:val="0"/>
              <w:rPr>
                <w:rFonts w:cs="Arial"/>
                <w:sz w:val="20"/>
              </w:rPr>
            </w:pPr>
          </w:p>
        </w:tc>
        <w:tc>
          <w:tcPr>
            <w:tcW w:w="461" w:type="pct"/>
          </w:tcPr>
          <w:p w14:paraId="097E1FCB" w14:textId="77777777" w:rsidR="002E6A85" w:rsidRPr="00810A2E" w:rsidRDefault="002E6A85" w:rsidP="00807889">
            <w:pPr>
              <w:widowControl w:val="0"/>
              <w:rPr>
                <w:rFonts w:cs="Arial"/>
                <w:sz w:val="20"/>
              </w:rPr>
            </w:pPr>
          </w:p>
        </w:tc>
        <w:tc>
          <w:tcPr>
            <w:tcW w:w="3639" w:type="pct"/>
          </w:tcPr>
          <w:p w14:paraId="19E995A4" w14:textId="0F74A8D8" w:rsidR="002E6A85" w:rsidRPr="00810A2E" w:rsidRDefault="002E6A85" w:rsidP="00807889">
            <w:pPr>
              <w:widowControl w:val="0"/>
              <w:rPr>
                <w:rFonts w:cs="Arial"/>
                <w:sz w:val="20"/>
              </w:rPr>
            </w:pPr>
          </w:p>
        </w:tc>
      </w:tr>
      <w:tr w:rsidR="00FE39DA" w:rsidRPr="00810A2E" w14:paraId="23D83C36" w14:textId="77777777" w:rsidTr="002E1954">
        <w:tc>
          <w:tcPr>
            <w:tcW w:w="559" w:type="pct"/>
          </w:tcPr>
          <w:p w14:paraId="14F0041A" w14:textId="56DA09A0" w:rsidR="00FE39DA" w:rsidRDefault="00FE39DA" w:rsidP="00807889">
            <w:pPr>
              <w:widowControl w:val="0"/>
              <w:jc w:val="center"/>
              <w:rPr>
                <w:rFonts w:cs="Arial"/>
                <w:sz w:val="20"/>
              </w:rPr>
            </w:pPr>
            <w:r>
              <w:rPr>
                <w:rFonts w:cs="Arial"/>
                <w:sz w:val="20"/>
              </w:rPr>
              <w:t>7</w:t>
            </w:r>
          </w:p>
          <w:p w14:paraId="5ACF5B4E" w14:textId="398A97D8" w:rsidR="00FE39DA" w:rsidRDefault="00FE39DA" w:rsidP="00807889">
            <w:pPr>
              <w:widowControl w:val="0"/>
              <w:jc w:val="center"/>
              <w:rPr>
                <w:rFonts w:cs="Arial"/>
                <w:sz w:val="20"/>
              </w:rPr>
            </w:pPr>
          </w:p>
        </w:tc>
        <w:tc>
          <w:tcPr>
            <w:tcW w:w="341" w:type="pct"/>
          </w:tcPr>
          <w:p w14:paraId="5FEE973A" w14:textId="77777777" w:rsidR="00FE39DA" w:rsidRPr="00810A2E" w:rsidRDefault="00FE39DA" w:rsidP="00807889">
            <w:pPr>
              <w:widowControl w:val="0"/>
              <w:rPr>
                <w:rFonts w:cs="Arial"/>
                <w:sz w:val="20"/>
              </w:rPr>
            </w:pPr>
          </w:p>
        </w:tc>
        <w:tc>
          <w:tcPr>
            <w:tcW w:w="461" w:type="pct"/>
          </w:tcPr>
          <w:p w14:paraId="5F2C6861" w14:textId="77777777" w:rsidR="00FE39DA" w:rsidRPr="00810A2E" w:rsidRDefault="00FE39DA" w:rsidP="00807889">
            <w:pPr>
              <w:widowControl w:val="0"/>
              <w:rPr>
                <w:rFonts w:cs="Arial"/>
                <w:sz w:val="20"/>
              </w:rPr>
            </w:pPr>
          </w:p>
        </w:tc>
        <w:tc>
          <w:tcPr>
            <w:tcW w:w="3639" w:type="pct"/>
          </w:tcPr>
          <w:p w14:paraId="45AD490C" w14:textId="77777777" w:rsidR="00FE39DA" w:rsidRPr="00810A2E" w:rsidRDefault="00FE39DA" w:rsidP="00807889">
            <w:pPr>
              <w:widowControl w:val="0"/>
              <w:rPr>
                <w:rFonts w:cs="Arial"/>
                <w:sz w:val="20"/>
              </w:rPr>
            </w:pPr>
          </w:p>
        </w:tc>
      </w:tr>
      <w:tr w:rsidR="00D8461F" w:rsidRPr="00810A2E" w14:paraId="0CEA1F0D" w14:textId="77777777" w:rsidTr="002E1954">
        <w:tc>
          <w:tcPr>
            <w:tcW w:w="559" w:type="pct"/>
          </w:tcPr>
          <w:p w14:paraId="37983408" w14:textId="6510E1E8" w:rsidR="00D8461F" w:rsidRDefault="00D8461F" w:rsidP="00807889">
            <w:pPr>
              <w:widowControl w:val="0"/>
              <w:jc w:val="center"/>
              <w:rPr>
                <w:rFonts w:cs="Arial"/>
                <w:sz w:val="20"/>
              </w:rPr>
            </w:pPr>
            <w:r>
              <w:rPr>
                <w:rFonts w:cs="Arial"/>
                <w:sz w:val="20"/>
              </w:rPr>
              <w:t>8</w:t>
            </w:r>
          </w:p>
          <w:p w14:paraId="159FFCC5" w14:textId="0CB5DAD1" w:rsidR="00D8461F" w:rsidRDefault="00D8461F" w:rsidP="00807889">
            <w:pPr>
              <w:widowControl w:val="0"/>
              <w:jc w:val="center"/>
              <w:rPr>
                <w:rFonts w:cs="Arial"/>
                <w:sz w:val="20"/>
              </w:rPr>
            </w:pPr>
          </w:p>
        </w:tc>
        <w:tc>
          <w:tcPr>
            <w:tcW w:w="341" w:type="pct"/>
          </w:tcPr>
          <w:p w14:paraId="35B0C5DE" w14:textId="77777777" w:rsidR="00D8461F" w:rsidRPr="00810A2E" w:rsidRDefault="00D8461F" w:rsidP="00807889">
            <w:pPr>
              <w:widowControl w:val="0"/>
              <w:rPr>
                <w:rFonts w:cs="Arial"/>
                <w:sz w:val="20"/>
              </w:rPr>
            </w:pPr>
          </w:p>
        </w:tc>
        <w:tc>
          <w:tcPr>
            <w:tcW w:w="461" w:type="pct"/>
          </w:tcPr>
          <w:p w14:paraId="59A3A73E" w14:textId="77777777" w:rsidR="00D8461F" w:rsidRPr="00810A2E" w:rsidRDefault="00D8461F" w:rsidP="00807889">
            <w:pPr>
              <w:widowControl w:val="0"/>
              <w:rPr>
                <w:rFonts w:cs="Arial"/>
                <w:sz w:val="20"/>
              </w:rPr>
            </w:pPr>
          </w:p>
        </w:tc>
        <w:tc>
          <w:tcPr>
            <w:tcW w:w="3639" w:type="pct"/>
          </w:tcPr>
          <w:p w14:paraId="7653EE4E" w14:textId="77777777" w:rsidR="00D8461F" w:rsidRPr="00810A2E" w:rsidRDefault="00D8461F" w:rsidP="00807889">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lastRenderedPageBreak/>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 xml:space="preserve">Comments received during our consultations are published in the interests of openness and transparency. The comments are published as a record of the comments we received, and are not endorsed by NICE, its </w:t>
      </w:r>
      <w:proofErr w:type="gramStart"/>
      <w:r w:rsidRPr="005F244E">
        <w:rPr>
          <w:rFonts w:cs="Arial"/>
          <w:bCs/>
          <w:sz w:val="20"/>
        </w:rPr>
        <w:t>officers</w:t>
      </w:r>
      <w:proofErr w:type="gramEnd"/>
      <w:r w:rsidRPr="005F244E">
        <w:rPr>
          <w:rFonts w:cs="Arial"/>
          <w:bCs/>
          <w:sz w:val="20"/>
        </w:rPr>
        <w:t xml:space="preserve">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303BB0" w:rsidRDefault="00303BB0">
      <w:r>
        <w:separator/>
      </w:r>
    </w:p>
  </w:endnote>
  <w:endnote w:type="continuationSeparator" w:id="0">
    <w:p w14:paraId="25973F20" w14:textId="77777777" w:rsidR="00303BB0" w:rsidRDefault="00303BB0">
      <w:r>
        <w:continuationSeparator/>
      </w:r>
    </w:p>
  </w:endnote>
  <w:endnote w:type="continuationNotice" w:id="1">
    <w:p w14:paraId="388EE559" w14:textId="77777777" w:rsidR="00303BB0" w:rsidRDefault="0030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303BB0" w:rsidRDefault="00303BB0">
      <w:r>
        <w:separator/>
      </w:r>
    </w:p>
  </w:footnote>
  <w:footnote w:type="continuationSeparator" w:id="0">
    <w:p w14:paraId="379E1A39" w14:textId="77777777" w:rsidR="00303BB0" w:rsidRDefault="00303BB0">
      <w:r>
        <w:continuationSeparator/>
      </w:r>
    </w:p>
  </w:footnote>
  <w:footnote w:type="continuationNotice" w:id="1">
    <w:p w14:paraId="67B1FA70" w14:textId="77777777" w:rsidR="00303BB0" w:rsidRDefault="0030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0E428AEB" w14:textId="77777777" w:rsidR="00703D2E" w:rsidRPr="00703D2E" w:rsidRDefault="00703D2E" w:rsidP="00703D2E">
    <w:pPr>
      <w:spacing w:before="100" w:beforeAutospacing="1" w:after="100" w:afterAutospacing="1"/>
      <w:jc w:val="center"/>
      <w:rPr>
        <w:rFonts w:cs="Arial"/>
        <w:b/>
        <w:color w:val="2F5496" w:themeColor="accent1" w:themeShade="BF"/>
        <w:szCs w:val="22"/>
      </w:rPr>
    </w:pPr>
    <w:r w:rsidRPr="00703D2E">
      <w:rPr>
        <w:rFonts w:cs="Arial"/>
        <w:b/>
        <w:color w:val="2F5496" w:themeColor="accent1" w:themeShade="BF"/>
        <w:szCs w:val="22"/>
      </w:rPr>
      <w:t>Ceftazidime with avibactam for treating severe aerobic Gram-negative bacterial infections</w:t>
    </w:r>
  </w:p>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247FD207"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FE39DA" w:rsidRPr="00FE39DA">
        <w:rPr>
          <w:rStyle w:val="Hyperlink"/>
          <w:sz w:val="22"/>
          <w:szCs w:val="22"/>
        </w:rPr>
        <w:t>amrexisting@nice.org.uk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46154"/>
    <w:rsid w:val="002475F1"/>
    <w:rsid w:val="00257BDB"/>
    <w:rsid w:val="00261963"/>
    <w:rsid w:val="00282094"/>
    <w:rsid w:val="00292396"/>
    <w:rsid w:val="002A7173"/>
    <w:rsid w:val="002A7A97"/>
    <w:rsid w:val="002A7D99"/>
    <w:rsid w:val="002B12BF"/>
    <w:rsid w:val="002C0DB3"/>
    <w:rsid w:val="002E1954"/>
    <w:rsid w:val="002E6A85"/>
    <w:rsid w:val="002E7FE1"/>
    <w:rsid w:val="002F342B"/>
    <w:rsid w:val="00300024"/>
    <w:rsid w:val="00303BB0"/>
    <w:rsid w:val="00310C57"/>
    <w:rsid w:val="003174B2"/>
    <w:rsid w:val="0032029A"/>
    <w:rsid w:val="00321DA6"/>
    <w:rsid w:val="00321FBA"/>
    <w:rsid w:val="00323835"/>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B54AC"/>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86669"/>
    <w:rsid w:val="006B6ADD"/>
    <w:rsid w:val="006F2675"/>
    <w:rsid w:val="006F679F"/>
    <w:rsid w:val="0070312D"/>
    <w:rsid w:val="00703D2E"/>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7205"/>
    <w:rsid w:val="008611EC"/>
    <w:rsid w:val="00862EF8"/>
    <w:rsid w:val="008728E3"/>
    <w:rsid w:val="00894A46"/>
    <w:rsid w:val="008A2552"/>
    <w:rsid w:val="008A4C19"/>
    <w:rsid w:val="008C584A"/>
    <w:rsid w:val="008D749A"/>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92F7F"/>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E50FC"/>
    <w:rsid w:val="00DF57F3"/>
    <w:rsid w:val="00E025D0"/>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2022-01-05T12:59:00Z</dcterms:created>
  <dcterms:modified xsi:type="dcterms:W3CDTF">2022-01-05T12:59:00Z</dcterms:modified>
</cp:coreProperties>
</file>