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C37" w14:textId="354E43E0" w:rsidR="00FE39DA" w:rsidRPr="00223C87" w:rsidRDefault="00922752" w:rsidP="000B0C48">
      <w:r w:rsidRPr="00922752">
        <w:rPr>
          <w:b/>
          <w:bCs/>
        </w:rPr>
        <w:t>Organisation name:</w:t>
      </w:r>
      <w:r w:rsidR="000B0C48">
        <w:rPr>
          <w:b/>
          <w:bCs/>
        </w:rPr>
        <w:t xml:space="preserve"> </w:t>
      </w:r>
      <w:r w:rsidR="00223C87">
        <w:t>MSD</w:t>
      </w:r>
    </w:p>
    <w:p w14:paraId="3158A3D2" w14:textId="77777777" w:rsidR="00922752" w:rsidRDefault="00922752" w:rsidP="000B0C48"/>
    <w:p w14:paraId="0767E7F6" w14:textId="77777777" w:rsidR="000B0C48" w:rsidRDefault="000B0C48" w:rsidP="00703D2E">
      <w:pPr>
        <w:jc w:val="center"/>
        <w:rPr>
          <w:b/>
          <w:bCs/>
        </w:rPr>
      </w:pPr>
    </w:p>
    <w:p w14:paraId="59F7C2C4" w14:textId="777966C1" w:rsidR="00922752" w:rsidRDefault="00922752" w:rsidP="000B0C48">
      <w:pPr>
        <w:rPr>
          <w:sz w:val="18"/>
          <w:szCs w:val="18"/>
        </w:rPr>
      </w:pPr>
      <w:r w:rsidRPr="00922752">
        <w:rPr>
          <w:b/>
          <w:bCs/>
        </w:rPr>
        <w:t>Disclosure:</w:t>
      </w:r>
      <w:r>
        <w:t xml:space="preserve"> </w:t>
      </w:r>
      <w:r w:rsidRPr="00922752">
        <w:rPr>
          <w:sz w:val="18"/>
          <w:szCs w:val="18"/>
        </w:rPr>
        <w:t xml:space="preserve">Please disclose any past or current, </w:t>
      </w:r>
      <w:proofErr w:type="gramStart"/>
      <w:r w:rsidRPr="00922752">
        <w:rPr>
          <w:sz w:val="18"/>
          <w:szCs w:val="18"/>
        </w:rPr>
        <w:t>direct</w:t>
      </w:r>
      <w:proofErr w:type="gramEnd"/>
      <w:r w:rsidRPr="00922752">
        <w:rPr>
          <w:sz w:val="18"/>
          <w:szCs w:val="18"/>
        </w:rPr>
        <w:t xml:space="preserve"> or indirect links to, or funding from, the tobacco industry:</w:t>
      </w:r>
    </w:p>
    <w:p w14:paraId="0A2A6B90" w14:textId="77777777" w:rsidR="00922752" w:rsidRPr="00922752" w:rsidRDefault="00922752" w:rsidP="000B0C48">
      <w:pPr>
        <w:rPr>
          <w:sz w:val="18"/>
          <w:szCs w:val="18"/>
        </w:rPr>
      </w:pPr>
    </w:p>
    <w:p w14:paraId="06CCBCF3" w14:textId="77777777" w:rsidR="000B0C48" w:rsidRDefault="000B0C48" w:rsidP="000B0C48">
      <w:pPr>
        <w:rPr>
          <w:b/>
          <w:bCs/>
        </w:rPr>
      </w:pPr>
    </w:p>
    <w:p w14:paraId="169805D0" w14:textId="3CFD5768" w:rsidR="00922752" w:rsidRPr="00922752" w:rsidRDefault="00922752" w:rsidP="000B0C48">
      <w:pPr>
        <w:rPr>
          <w:b/>
          <w:bCs/>
        </w:rPr>
      </w:pPr>
      <w:r w:rsidRPr="00922752">
        <w:rPr>
          <w:b/>
          <w:bCs/>
        </w:rPr>
        <w:t xml:space="preserve">Name of person completing form: </w:t>
      </w:r>
      <w:proofErr w:type="spellStart"/>
      <w:r w:rsidR="00824EBA" w:rsidRPr="00824EBA">
        <w:rPr>
          <w:highlight w:val="black"/>
        </w:rPr>
        <w:t>xxxxxxxxxxxxxx</w:t>
      </w:r>
      <w:proofErr w:type="spellEnd"/>
    </w:p>
    <w:p w14:paraId="39161453" w14:textId="580B70D8" w:rsidR="00922752" w:rsidRDefault="00922752" w:rsidP="00097482">
      <w:pPr>
        <w:jc w:val="center"/>
      </w:pPr>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928"/>
        <w:gridCol w:w="939"/>
        <w:gridCol w:w="7182"/>
      </w:tblGrid>
      <w:tr w:rsidR="002E6A85" w:rsidRPr="00481C73" w14:paraId="51CD6243" w14:textId="77777777" w:rsidTr="00D8461F">
        <w:tc>
          <w:tcPr>
            <w:tcW w:w="547" w:type="pct"/>
          </w:tcPr>
          <w:p w14:paraId="16F78B5E" w14:textId="565E605A" w:rsidR="002E6A85" w:rsidRPr="002E6A85" w:rsidRDefault="002E6A85" w:rsidP="00807889">
            <w:pPr>
              <w:widowControl w:val="0"/>
              <w:jc w:val="center"/>
              <w:rPr>
                <w:rFonts w:cs="Arial"/>
                <w:b/>
                <w:bCs/>
                <w:color w:val="000000"/>
                <w:sz w:val="20"/>
              </w:rPr>
            </w:pPr>
            <w:r w:rsidRPr="002E6A85">
              <w:rPr>
                <w:rFonts w:cs="Arial"/>
                <w:b/>
                <w:bCs/>
                <w:color w:val="000000"/>
                <w:sz w:val="20"/>
              </w:rPr>
              <w:t>Comment no.</w:t>
            </w:r>
          </w:p>
        </w:tc>
        <w:tc>
          <w:tcPr>
            <w:tcW w:w="333" w:type="pct"/>
          </w:tcPr>
          <w:p w14:paraId="59445086" w14:textId="77777777" w:rsidR="002E6A85" w:rsidRPr="002E6A85" w:rsidRDefault="002E6A85" w:rsidP="00807889">
            <w:pPr>
              <w:widowControl w:val="0"/>
              <w:rPr>
                <w:rFonts w:cs="Arial"/>
                <w:b/>
                <w:bCs/>
                <w:color w:val="000000"/>
                <w:sz w:val="20"/>
              </w:rPr>
            </w:pPr>
            <w:r w:rsidRPr="002E6A85">
              <w:rPr>
                <w:rFonts w:cs="Arial"/>
                <w:b/>
                <w:bCs/>
                <w:color w:val="000000"/>
                <w:sz w:val="20"/>
              </w:rPr>
              <w:t xml:space="preserve">Page </w:t>
            </w:r>
          </w:p>
          <w:p w14:paraId="31AA49C0" w14:textId="7AC0484F" w:rsidR="002E6A85" w:rsidRPr="002E6A85" w:rsidRDefault="002E6A85" w:rsidP="00807889">
            <w:pPr>
              <w:widowControl w:val="0"/>
              <w:rPr>
                <w:rFonts w:cs="Arial"/>
                <w:b/>
                <w:bCs/>
                <w:color w:val="000000"/>
                <w:sz w:val="20"/>
              </w:rPr>
            </w:pPr>
            <w:r w:rsidRPr="002E6A85">
              <w:rPr>
                <w:rFonts w:cs="Arial"/>
                <w:b/>
                <w:bCs/>
                <w:color w:val="000000"/>
                <w:sz w:val="20"/>
              </w:rPr>
              <w:t>no.</w:t>
            </w:r>
          </w:p>
        </w:tc>
        <w:tc>
          <w:tcPr>
            <w:tcW w:w="451" w:type="pct"/>
          </w:tcPr>
          <w:p w14:paraId="463F9700" w14:textId="2DC6DBF2" w:rsidR="002E6A85" w:rsidRPr="002E6A85" w:rsidRDefault="002E6A85" w:rsidP="00807889">
            <w:pPr>
              <w:widowControl w:val="0"/>
              <w:jc w:val="center"/>
              <w:rPr>
                <w:rFonts w:cs="Arial"/>
                <w:b/>
                <w:bCs/>
                <w:color w:val="000000"/>
                <w:sz w:val="20"/>
              </w:rPr>
            </w:pPr>
            <w:r w:rsidRPr="002E6A85">
              <w:rPr>
                <w:rFonts w:cs="Arial"/>
                <w:b/>
                <w:bCs/>
                <w:color w:val="000000"/>
                <w:sz w:val="20"/>
              </w:rPr>
              <w:t>Section no.</w:t>
            </w:r>
          </w:p>
        </w:tc>
        <w:tc>
          <w:tcPr>
            <w:tcW w:w="3669" w:type="pct"/>
          </w:tcPr>
          <w:p w14:paraId="6CDC11DB" w14:textId="743C3EBC" w:rsidR="002E6A85" w:rsidRPr="0019281A" w:rsidRDefault="002E6A85" w:rsidP="00807889">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51A5E6DC" w14:textId="77777777" w:rsidR="002E6A85" w:rsidRDefault="002E6A85" w:rsidP="00807889">
            <w:pPr>
              <w:widowControl w:val="0"/>
              <w:jc w:val="center"/>
              <w:rPr>
                <w:rFonts w:cs="Arial"/>
                <w:sz w:val="18"/>
                <w:szCs w:val="18"/>
              </w:rPr>
            </w:pPr>
          </w:p>
          <w:p w14:paraId="649659C4" w14:textId="77777777" w:rsidR="002E6A85" w:rsidRPr="005F745A" w:rsidRDefault="002E6A85" w:rsidP="00807889">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76FE97DB" w14:textId="77777777" w:rsidR="002E6A85" w:rsidRPr="005F745A" w:rsidRDefault="002E6A85" w:rsidP="00807889">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20149CBB" w14:textId="77777777" w:rsidR="002E6A85" w:rsidRPr="00481C73" w:rsidRDefault="002E6A85" w:rsidP="00807889">
            <w:pPr>
              <w:widowControl w:val="0"/>
              <w:rPr>
                <w:rFonts w:cs="Arial"/>
                <w:b/>
                <w:bCs/>
                <w:color w:val="000000"/>
                <w:sz w:val="20"/>
              </w:rPr>
            </w:pPr>
          </w:p>
        </w:tc>
      </w:tr>
      <w:tr w:rsidR="002E6A85" w:rsidRPr="00810A2E" w14:paraId="5702DF46" w14:textId="77777777" w:rsidTr="00D8461F">
        <w:tc>
          <w:tcPr>
            <w:tcW w:w="547" w:type="pct"/>
          </w:tcPr>
          <w:p w14:paraId="77F69303" w14:textId="77777777" w:rsidR="002E6A85" w:rsidRDefault="002E6A85" w:rsidP="00807889">
            <w:pPr>
              <w:widowControl w:val="0"/>
              <w:jc w:val="center"/>
              <w:rPr>
                <w:rFonts w:cs="Arial"/>
                <w:sz w:val="20"/>
              </w:rPr>
            </w:pPr>
            <w:r w:rsidRPr="00810A2E">
              <w:rPr>
                <w:rFonts w:cs="Arial"/>
                <w:sz w:val="20"/>
              </w:rPr>
              <w:t>1</w:t>
            </w:r>
          </w:p>
          <w:p w14:paraId="270B6FF4" w14:textId="46319A3B" w:rsidR="002E6A85" w:rsidRPr="00810A2E" w:rsidRDefault="002E6A85" w:rsidP="00807889">
            <w:pPr>
              <w:widowControl w:val="0"/>
              <w:jc w:val="center"/>
              <w:rPr>
                <w:rFonts w:cs="Arial"/>
                <w:sz w:val="20"/>
              </w:rPr>
            </w:pPr>
          </w:p>
        </w:tc>
        <w:tc>
          <w:tcPr>
            <w:tcW w:w="333" w:type="pct"/>
          </w:tcPr>
          <w:p w14:paraId="7CD2A4FA" w14:textId="0D311553" w:rsidR="002E6A85" w:rsidRPr="00810A2E" w:rsidRDefault="00223C87" w:rsidP="00807889">
            <w:pPr>
              <w:widowControl w:val="0"/>
              <w:rPr>
                <w:rFonts w:cs="Arial"/>
                <w:sz w:val="20"/>
              </w:rPr>
            </w:pPr>
            <w:r>
              <w:rPr>
                <w:rFonts w:cs="Arial"/>
                <w:sz w:val="20"/>
              </w:rPr>
              <w:t>General</w:t>
            </w:r>
          </w:p>
        </w:tc>
        <w:tc>
          <w:tcPr>
            <w:tcW w:w="451" w:type="pct"/>
          </w:tcPr>
          <w:p w14:paraId="2A91C8C7" w14:textId="41977897" w:rsidR="002E6A85" w:rsidRPr="00810A2E" w:rsidRDefault="00223C87" w:rsidP="00807889">
            <w:pPr>
              <w:widowControl w:val="0"/>
              <w:rPr>
                <w:rFonts w:cs="Arial"/>
                <w:sz w:val="20"/>
              </w:rPr>
            </w:pPr>
            <w:r>
              <w:rPr>
                <w:rFonts w:cs="Arial"/>
                <w:sz w:val="20"/>
              </w:rPr>
              <w:t>General</w:t>
            </w:r>
          </w:p>
        </w:tc>
        <w:tc>
          <w:tcPr>
            <w:tcW w:w="3669" w:type="pct"/>
          </w:tcPr>
          <w:p w14:paraId="71F5BEE4" w14:textId="77777777" w:rsidR="00223C87" w:rsidRPr="008D4B96" w:rsidRDefault="00223C87" w:rsidP="00223C87">
            <w:r w:rsidRPr="008D4B96">
              <w:t xml:space="preserve">The below commentary is applicable to both </w:t>
            </w:r>
            <w:r>
              <w:t xml:space="preserve">novel antibiotic </w:t>
            </w:r>
            <w:r w:rsidRPr="008D4B96">
              <w:t xml:space="preserve">appraisals. As such, MSD will be submitting the same response to both consultations. </w:t>
            </w:r>
          </w:p>
          <w:p w14:paraId="7BA937EC" w14:textId="77777777" w:rsidR="00223C87" w:rsidRPr="008D4B96" w:rsidRDefault="00223C87" w:rsidP="00223C87"/>
          <w:p w14:paraId="25D345C2" w14:textId="77777777" w:rsidR="00223C87" w:rsidRPr="008D4B96" w:rsidRDefault="00223C87" w:rsidP="00223C87">
            <w:r w:rsidRPr="008D4B96">
              <w:t>MSD welcomes the opportunity to comment on this first of its kind health technology evaluation</w:t>
            </w:r>
            <w:r>
              <w:t xml:space="preserve"> of novel antibiotics</w:t>
            </w:r>
            <w:r w:rsidRPr="008D4B96">
              <w:t xml:space="preserve">. As one of the few large biopharmaceutical companies still pursuing antimicrobial research, we have maintained a strong and active interest in this UK pilot initiative to test a new valuation framework for antibiotics and apply this to a novel reimbursement model. </w:t>
            </w:r>
            <w:r>
              <w:t xml:space="preserve">Ensuring there is an adequate pipeline of new antibiotics to address growing resistance will require that governments create market conditions, including through reforms to their systems for </w:t>
            </w:r>
            <w:r w:rsidRPr="008D4B96">
              <w:t>valuing and reimbursing antimicrobials</w:t>
            </w:r>
            <w:r>
              <w:t xml:space="preserve">, that enable a predictable and sustainable return on investment. While we commend the UK government for its leadership on AMR and its willingness to pilot new approaches, </w:t>
            </w:r>
            <w:r w:rsidRPr="008D4B96">
              <w:t xml:space="preserve">MSD is concerned that the methodology employed by EEPRU has several limitations that, if not addressed, could render it </w:t>
            </w:r>
            <w:r>
              <w:t>inappropriate</w:t>
            </w:r>
            <w:r w:rsidRPr="008D4B96">
              <w:t xml:space="preserve"> for routine application in future </w:t>
            </w:r>
            <w:r>
              <w:t xml:space="preserve">– i.e., </w:t>
            </w:r>
            <w:r w:rsidRPr="008D4B96">
              <w:t xml:space="preserve">to antimicrobials currently in development. </w:t>
            </w:r>
            <w:r>
              <w:t xml:space="preserve">We also believe this methodology will likely result in valuations that continue to underestimate the societal value of novel antibiotics and fail to incentivize their early research &amp; development.  </w:t>
            </w:r>
            <w:r w:rsidRPr="008D4B96">
              <w:t>Our concerns centre around:</w:t>
            </w:r>
          </w:p>
          <w:p w14:paraId="3527E20B" w14:textId="77777777" w:rsidR="00223C87" w:rsidRPr="008D4B96" w:rsidRDefault="00223C87" w:rsidP="00223C87"/>
          <w:p w14:paraId="56178D2C" w14:textId="77777777" w:rsidR="00223C87" w:rsidRPr="008D4B96" w:rsidRDefault="00223C87" w:rsidP="00223C87">
            <w:pPr>
              <w:pStyle w:val="ListParagraph"/>
              <w:numPr>
                <w:ilvl w:val="0"/>
                <w:numId w:val="19"/>
              </w:numPr>
              <w:spacing w:before="0" w:beforeAutospacing="0" w:after="0" w:afterAutospacing="0"/>
              <w:rPr>
                <w:rFonts w:eastAsia="Times New Roman"/>
              </w:rPr>
            </w:pPr>
            <w:r w:rsidRPr="008D4B96">
              <w:rPr>
                <w:rFonts w:eastAsia="Times New Roman"/>
              </w:rPr>
              <w:t>The selection of high</w:t>
            </w:r>
            <w:r>
              <w:rPr>
                <w:rFonts w:eastAsia="Times New Roman"/>
              </w:rPr>
              <w:t>-</w:t>
            </w:r>
            <w:r w:rsidRPr="008D4B96">
              <w:rPr>
                <w:rFonts w:eastAsia="Times New Roman"/>
              </w:rPr>
              <w:t>value clinical scenarios:</w:t>
            </w:r>
            <w:r>
              <w:rPr>
                <w:rFonts w:eastAsia="Times New Roman"/>
              </w:rPr>
              <w:t xml:space="preserve"> The consultation document does not clearly, and in sufficient detail, explain the basis/rationale for how the high-value clinical scenarios were selected. This should be made explicit since there are many factors to be considered. Further, the high-</w:t>
            </w:r>
            <w:r w:rsidRPr="00656FAC">
              <w:rPr>
                <w:rFonts w:eastAsia="Times New Roman"/>
              </w:rPr>
              <w:t xml:space="preserve">value scenarios are very narrow in their focus and may not </w:t>
            </w:r>
            <w:r w:rsidRPr="008D4B96">
              <w:rPr>
                <w:rFonts w:eastAsia="Times New Roman"/>
              </w:rPr>
              <w:t>reflect real world usage.</w:t>
            </w:r>
          </w:p>
          <w:p w14:paraId="608FAE45" w14:textId="77777777" w:rsidR="00223C87" w:rsidRPr="008D4B96" w:rsidRDefault="00223C87" w:rsidP="00223C87">
            <w:pPr>
              <w:pStyle w:val="ListParagraph"/>
              <w:numPr>
                <w:ilvl w:val="0"/>
                <w:numId w:val="19"/>
              </w:numPr>
              <w:spacing w:before="0" w:beforeAutospacing="0" w:after="0" w:afterAutospacing="0"/>
              <w:rPr>
                <w:rFonts w:eastAsia="Times New Roman"/>
              </w:rPr>
            </w:pPr>
            <w:r w:rsidRPr="008D4B96">
              <w:rPr>
                <w:rFonts w:eastAsia="Times New Roman"/>
              </w:rPr>
              <w:lastRenderedPageBreak/>
              <w:t>The application of the STEDI values:</w:t>
            </w:r>
            <w:r>
              <w:rPr>
                <w:rFonts w:eastAsia="Times New Roman"/>
              </w:rPr>
              <w:t xml:space="preserve"> As noted in previous reports, there are many challenges in quantifying </w:t>
            </w:r>
            <w:r w:rsidRPr="008D4B96">
              <w:rPr>
                <w:rFonts w:eastAsia="Times New Roman"/>
              </w:rPr>
              <w:t>the</w:t>
            </w:r>
            <w:r>
              <w:rPr>
                <w:rFonts w:eastAsia="Times New Roman"/>
              </w:rPr>
              <w:t xml:space="preserve"> STEDI</w:t>
            </w:r>
            <w:r w:rsidRPr="008D4B96">
              <w:rPr>
                <w:rFonts w:eastAsia="Times New Roman"/>
              </w:rPr>
              <w:t xml:space="preserve"> values</w:t>
            </w:r>
            <w:r>
              <w:rPr>
                <w:rFonts w:eastAsia="Times New Roman"/>
              </w:rPr>
              <w:t xml:space="preserve">. However, we </w:t>
            </w:r>
            <w:r w:rsidRPr="008D4B96">
              <w:rPr>
                <w:rFonts w:eastAsia="Times New Roman"/>
              </w:rPr>
              <w:t xml:space="preserve">understood these values </w:t>
            </w:r>
            <w:r>
              <w:rPr>
                <w:rFonts w:eastAsia="Times New Roman"/>
              </w:rPr>
              <w:t xml:space="preserve">would </w:t>
            </w:r>
            <w:r w:rsidRPr="008D4B96">
              <w:rPr>
                <w:rFonts w:eastAsia="Times New Roman"/>
              </w:rPr>
              <w:t>be central to the assessment framework</w:t>
            </w:r>
            <w:r>
              <w:rPr>
                <w:rFonts w:eastAsia="Times New Roman"/>
              </w:rPr>
              <w:t xml:space="preserve"> – indeed, that one of the primary objectives of the pilot was to attempt to reflect these STEDI values in the antibiotic valuations</w:t>
            </w:r>
            <w:r w:rsidRPr="008D4B96">
              <w:rPr>
                <w:rFonts w:eastAsia="Times New Roman"/>
              </w:rPr>
              <w:t xml:space="preserve">. </w:t>
            </w:r>
            <w:r>
              <w:rPr>
                <w:rFonts w:eastAsia="Times New Roman"/>
              </w:rPr>
              <w:t xml:space="preserve">Unfortunately, </w:t>
            </w:r>
            <w:r w:rsidRPr="008D4B96">
              <w:rPr>
                <w:rFonts w:eastAsia="Times New Roman"/>
              </w:rPr>
              <w:t xml:space="preserve">some </w:t>
            </w:r>
            <w:r>
              <w:rPr>
                <w:rFonts w:eastAsia="Times New Roman"/>
              </w:rPr>
              <w:t xml:space="preserve">STEDI values </w:t>
            </w:r>
            <w:r w:rsidRPr="008D4B96">
              <w:rPr>
                <w:rFonts w:eastAsia="Times New Roman"/>
              </w:rPr>
              <w:t>appear to have been only lightly touched on due to time constraints (transmission value) or somewhat disregarded as having minimal impact (diversity and spectrum values). Again, MSD is aware of the inherent difficulties associated with modelling these values, however we understood that addressing such barriers was very much within the stated remit of the project.  </w:t>
            </w:r>
          </w:p>
          <w:p w14:paraId="031D6C61" w14:textId="77777777" w:rsidR="00223C87" w:rsidRPr="008D4B96" w:rsidRDefault="00223C87" w:rsidP="00223C87">
            <w:pPr>
              <w:pStyle w:val="ListParagraph"/>
              <w:numPr>
                <w:ilvl w:val="0"/>
                <w:numId w:val="19"/>
              </w:numPr>
              <w:spacing w:before="0" w:beforeAutospacing="0" w:after="0" w:afterAutospacing="0"/>
              <w:rPr>
                <w:rFonts w:eastAsia="Times New Roman"/>
              </w:rPr>
            </w:pPr>
            <w:r w:rsidRPr="008D4B96">
              <w:rPr>
                <w:rFonts w:eastAsia="Times New Roman"/>
              </w:rPr>
              <w:t>Expert elicitation:</w:t>
            </w:r>
            <w:r>
              <w:rPr>
                <w:rFonts w:eastAsia="Times New Roman"/>
              </w:rPr>
              <w:t xml:space="preserve"> W</w:t>
            </w:r>
            <w:r w:rsidRPr="008D4B96">
              <w:rPr>
                <w:rFonts w:eastAsia="Times New Roman"/>
              </w:rPr>
              <w:t xml:space="preserve">hilst MSD is supportive of the use of expert elicitation </w:t>
            </w:r>
            <w:r>
              <w:rPr>
                <w:rFonts w:eastAsia="Times New Roman"/>
              </w:rPr>
              <w:t xml:space="preserve">methodology to </w:t>
            </w:r>
            <w:r w:rsidRPr="008D4B96">
              <w:rPr>
                <w:rFonts w:eastAsia="Times New Roman"/>
              </w:rPr>
              <w:t xml:space="preserve">help fill evidence gaps, we </w:t>
            </w:r>
            <w:r>
              <w:rPr>
                <w:rFonts w:eastAsia="Times New Roman"/>
              </w:rPr>
              <w:t xml:space="preserve">question </w:t>
            </w:r>
            <w:r w:rsidRPr="008D4B96">
              <w:rPr>
                <w:rFonts w:eastAsia="Times New Roman"/>
              </w:rPr>
              <w:t xml:space="preserve">the robustness of the results given the small number </w:t>
            </w:r>
            <w:r>
              <w:rPr>
                <w:rFonts w:eastAsia="Times New Roman"/>
              </w:rPr>
              <w:t xml:space="preserve">of experts </w:t>
            </w:r>
            <w:r w:rsidRPr="008D4B96">
              <w:rPr>
                <w:rFonts w:eastAsia="Times New Roman"/>
              </w:rPr>
              <w:t>involved at key junctures</w:t>
            </w:r>
            <w:r>
              <w:rPr>
                <w:rFonts w:eastAsia="Times New Roman"/>
              </w:rPr>
              <w:t xml:space="preserve">. </w:t>
            </w:r>
          </w:p>
          <w:p w14:paraId="1AD37A84" w14:textId="77777777" w:rsidR="00223C87" w:rsidRPr="0076784D" w:rsidRDefault="00223C87" w:rsidP="00223C87">
            <w:pPr>
              <w:pStyle w:val="ListParagraph"/>
              <w:numPr>
                <w:ilvl w:val="0"/>
                <w:numId w:val="19"/>
              </w:numPr>
              <w:spacing w:before="0" w:beforeAutospacing="0" w:after="0" w:afterAutospacing="0"/>
              <w:rPr>
                <w:rFonts w:eastAsia="Times New Roman"/>
              </w:rPr>
            </w:pPr>
            <w:r w:rsidRPr="008D4B96">
              <w:rPr>
                <w:rFonts w:eastAsia="Times New Roman"/>
              </w:rPr>
              <w:t>Safety</w:t>
            </w:r>
            <w:r>
              <w:rPr>
                <w:rFonts w:eastAsia="Times New Roman"/>
              </w:rPr>
              <w:t>-</w:t>
            </w:r>
            <w:r w:rsidRPr="008D4B96">
              <w:rPr>
                <w:rFonts w:eastAsia="Times New Roman"/>
              </w:rPr>
              <w:t>related issues:</w:t>
            </w:r>
            <w:r>
              <w:rPr>
                <w:rFonts w:eastAsia="Times New Roman"/>
              </w:rPr>
              <w:t xml:space="preserve"> We do not feel the well-documented risks associated with the </w:t>
            </w:r>
            <w:r w:rsidRPr="008D4B96">
              <w:rPr>
                <w:rFonts w:eastAsia="Times New Roman"/>
              </w:rPr>
              <w:t xml:space="preserve">older comparator agents </w:t>
            </w:r>
            <w:r>
              <w:rPr>
                <w:rFonts w:eastAsia="Times New Roman"/>
              </w:rPr>
              <w:t xml:space="preserve">– i.e., </w:t>
            </w:r>
            <w:r w:rsidRPr="008D4B96">
              <w:rPr>
                <w:rFonts w:eastAsia="Times New Roman"/>
              </w:rPr>
              <w:t xml:space="preserve">nephrotoxicity, </w:t>
            </w:r>
            <w:r w:rsidRPr="0076784D">
              <w:rPr>
                <w:rFonts w:eastAsia="Times New Roman"/>
              </w:rPr>
              <w:t xml:space="preserve">AKI, </w:t>
            </w:r>
            <w:proofErr w:type="gramStart"/>
            <w:r w:rsidRPr="0076784D">
              <w:rPr>
                <w:rFonts w:eastAsia="Times New Roman"/>
              </w:rPr>
              <w:t>ototoxicity</w:t>
            </w:r>
            <w:proofErr w:type="gramEnd"/>
            <w:r w:rsidRPr="0076784D">
              <w:rPr>
                <w:rFonts w:eastAsia="Times New Roman"/>
              </w:rPr>
              <w:t xml:space="preserve"> and potential for drug-drug interactions – have been appropriately factored into the valuation.</w:t>
            </w:r>
          </w:p>
          <w:p w14:paraId="3E0FD30D" w14:textId="77777777" w:rsidR="00223C87" w:rsidRPr="008D4B96" w:rsidRDefault="00223C87" w:rsidP="00223C87">
            <w:pPr>
              <w:pStyle w:val="ListParagraph"/>
              <w:numPr>
                <w:ilvl w:val="0"/>
                <w:numId w:val="19"/>
              </w:numPr>
              <w:spacing w:before="0" w:beforeAutospacing="0" w:after="0" w:afterAutospacing="0"/>
              <w:rPr>
                <w:rFonts w:eastAsia="Times New Roman"/>
              </w:rPr>
            </w:pPr>
            <w:r w:rsidRPr="008D4B96">
              <w:rPr>
                <w:rFonts w:eastAsia="Times New Roman"/>
              </w:rPr>
              <w:t>Optimal usage scenario(s):</w:t>
            </w:r>
            <w:r>
              <w:rPr>
                <w:rFonts w:eastAsia="Times New Roman"/>
              </w:rPr>
              <w:t xml:space="preserve"> The </w:t>
            </w:r>
            <w:r w:rsidRPr="008D4B96">
              <w:rPr>
                <w:rFonts w:eastAsia="Times New Roman"/>
              </w:rPr>
              <w:t xml:space="preserve">crucial stewardship component of the technology appraisals appears to have been omitted entirely. </w:t>
            </w:r>
            <w:r>
              <w:rPr>
                <w:rFonts w:eastAsia="Times New Roman"/>
              </w:rPr>
              <w:t>The final scope document for both appraisals states that ‘</w:t>
            </w:r>
            <w:r w:rsidRPr="0076784D">
              <w:rPr>
                <w:rFonts w:eastAsia="Times New Roman"/>
                <w:i/>
                <w:iCs/>
              </w:rPr>
              <w:t>Guidance will include consideration of the optimal stewardship scenarios</w:t>
            </w:r>
            <w:r>
              <w:rPr>
                <w:rFonts w:eastAsia="Times New Roman"/>
              </w:rPr>
              <w:t xml:space="preserve">’ (NICE, Feb 2021). </w:t>
            </w:r>
            <w:r w:rsidRPr="008D4B96">
              <w:rPr>
                <w:rFonts w:eastAsia="Times New Roman"/>
              </w:rPr>
              <w:t xml:space="preserve">If such a valuation framework is to be deployed in future for antimicrobials currently in development, </w:t>
            </w:r>
            <w:r>
              <w:rPr>
                <w:rFonts w:eastAsia="Times New Roman"/>
              </w:rPr>
              <w:t xml:space="preserve">these optimal usage scenario(s) will be critical to </w:t>
            </w:r>
            <w:r w:rsidRPr="008D4B96">
              <w:rPr>
                <w:rFonts w:eastAsia="Times New Roman"/>
              </w:rPr>
              <w:t xml:space="preserve">balance individual clinical judgement with national guidance. </w:t>
            </w:r>
          </w:p>
          <w:p w14:paraId="002073F1" w14:textId="77777777" w:rsidR="00223C87" w:rsidRPr="008D4B96" w:rsidRDefault="00223C87" w:rsidP="00223C87"/>
          <w:p w14:paraId="780C8C56" w14:textId="77777777" w:rsidR="00223C87" w:rsidRDefault="00223C87" w:rsidP="00223C87">
            <w:r>
              <w:t xml:space="preserve">It will be critical to address these issues in any </w:t>
            </w:r>
            <w:r w:rsidRPr="008D4B96">
              <w:t>longer-term solution</w:t>
            </w:r>
            <w:r>
              <w:t xml:space="preserve"> beyond this pilot – particularly given its international implications as a potential model for other countries.  </w:t>
            </w:r>
            <w:r w:rsidRPr="008D4B96">
              <w:t xml:space="preserve">This </w:t>
            </w:r>
            <w:r>
              <w:t>will likely</w:t>
            </w:r>
            <w:r w:rsidRPr="008D4B96">
              <w:t xml:space="preserve"> require a re-examination of the methods employed </w:t>
            </w:r>
            <w:r>
              <w:t>and/</w:t>
            </w:r>
            <w:r w:rsidRPr="008D4B96">
              <w:t xml:space="preserve">or </w:t>
            </w:r>
            <w:r>
              <w:t xml:space="preserve">increased </w:t>
            </w:r>
            <w:r w:rsidRPr="008D4B96">
              <w:t xml:space="preserve">resource allocated to NICE to continue exploring potential solutions. </w:t>
            </w:r>
            <w:r>
              <w:t>A</w:t>
            </w:r>
            <w:r w:rsidRPr="008D4B96">
              <w:t>s soon as this initial test has concluded</w:t>
            </w:r>
            <w:r>
              <w:t>,</w:t>
            </w:r>
            <w:r w:rsidRPr="008D4B96" w:rsidDel="003E26D5">
              <w:t xml:space="preserve"> </w:t>
            </w:r>
            <w:r>
              <w:t xml:space="preserve">MSD is committed to joining broader </w:t>
            </w:r>
            <w:r w:rsidRPr="008D4B96">
              <w:t xml:space="preserve">stakeholders to discuss the next phase of the UK’s approach to antimicrobial evaluation and reimbursement. </w:t>
            </w:r>
          </w:p>
          <w:p w14:paraId="380FF3A5" w14:textId="5DF8BDAF" w:rsidR="002E6A85" w:rsidRPr="00810A2E" w:rsidRDefault="002E6A85" w:rsidP="00807889">
            <w:pPr>
              <w:widowControl w:val="0"/>
              <w:rPr>
                <w:rFonts w:cs="Arial"/>
                <w:sz w:val="20"/>
              </w:rPr>
            </w:pPr>
          </w:p>
        </w:tc>
      </w:tr>
      <w:tr w:rsidR="002E6A85" w:rsidRPr="00810A2E" w14:paraId="5A61DE1E" w14:textId="77777777" w:rsidTr="00D8461F">
        <w:tc>
          <w:tcPr>
            <w:tcW w:w="547" w:type="pct"/>
          </w:tcPr>
          <w:p w14:paraId="528FAAA3" w14:textId="77777777" w:rsidR="002E6A85" w:rsidRDefault="002E6A85" w:rsidP="00807889">
            <w:pPr>
              <w:widowControl w:val="0"/>
              <w:jc w:val="center"/>
              <w:rPr>
                <w:rFonts w:cs="Arial"/>
                <w:sz w:val="20"/>
              </w:rPr>
            </w:pPr>
            <w:r w:rsidRPr="00810A2E">
              <w:rPr>
                <w:rFonts w:cs="Arial"/>
                <w:sz w:val="20"/>
              </w:rPr>
              <w:lastRenderedPageBreak/>
              <w:t>2</w:t>
            </w:r>
          </w:p>
          <w:p w14:paraId="243C7492" w14:textId="4972C22A" w:rsidR="002E6A85" w:rsidRPr="00810A2E" w:rsidRDefault="002E6A85" w:rsidP="00807889">
            <w:pPr>
              <w:widowControl w:val="0"/>
              <w:jc w:val="center"/>
              <w:rPr>
                <w:rFonts w:cs="Arial"/>
                <w:sz w:val="20"/>
              </w:rPr>
            </w:pPr>
          </w:p>
        </w:tc>
        <w:tc>
          <w:tcPr>
            <w:tcW w:w="333" w:type="pct"/>
          </w:tcPr>
          <w:p w14:paraId="3E50CD58" w14:textId="77777777" w:rsidR="002E6A85" w:rsidRPr="00810A2E" w:rsidRDefault="002E6A85" w:rsidP="00807889">
            <w:pPr>
              <w:widowControl w:val="0"/>
              <w:rPr>
                <w:rFonts w:cs="Arial"/>
                <w:sz w:val="20"/>
              </w:rPr>
            </w:pPr>
          </w:p>
        </w:tc>
        <w:tc>
          <w:tcPr>
            <w:tcW w:w="451" w:type="pct"/>
          </w:tcPr>
          <w:p w14:paraId="12D3FE10" w14:textId="77777777" w:rsidR="002E6A85" w:rsidRPr="00810A2E" w:rsidRDefault="002E6A85" w:rsidP="00807889">
            <w:pPr>
              <w:widowControl w:val="0"/>
              <w:rPr>
                <w:rFonts w:cs="Arial"/>
                <w:sz w:val="20"/>
              </w:rPr>
            </w:pPr>
          </w:p>
        </w:tc>
        <w:tc>
          <w:tcPr>
            <w:tcW w:w="3669" w:type="pct"/>
          </w:tcPr>
          <w:p w14:paraId="3CE28DAC" w14:textId="35D04AD8" w:rsidR="002E6A85" w:rsidRPr="00810A2E" w:rsidRDefault="002E6A85" w:rsidP="00807889">
            <w:pPr>
              <w:widowControl w:val="0"/>
              <w:rPr>
                <w:rFonts w:cs="Arial"/>
                <w:sz w:val="20"/>
              </w:rPr>
            </w:pPr>
          </w:p>
        </w:tc>
      </w:tr>
      <w:tr w:rsidR="002E6A85" w:rsidRPr="00810A2E" w14:paraId="0CBFD7F3" w14:textId="77777777" w:rsidTr="00D8461F">
        <w:tc>
          <w:tcPr>
            <w:tcW w:w="547" w:type="pct"/>
          </w:tcPr>
          <w:p w14:paraId="38109FAA" w14:textId="77777777" w:rsidR="002E6A85" w:rsidRDefault="002E6A85" w:rsidP="00807889">
            <w:pPr>
              <w:widowControl w:val="0"/>
              <w:jc w:val="center"/>
              <w:rPr>
                <w:rFonts w:cs="Arial"/>
                <w:sz w:val="20"/>
              </w:rPr>
            </w:pPr>
            <w:r w:rsidRPr="00810A2E">
              <w:rPr>
                <w:rFonts w:cs="Arial"/>
                <w:sz w:val="20"/>
              </w:rPr>
              <w:t>3</w:t>
            </w:r>
          </w:p>
          <w:p w14:paraId="77930E8B" w14:textId="6C91FFD6" w:rsidR="002E6A85" w:rsidRPr="00810A2E" w:rsidRDefault="002E6A85" w:rsidP="00807889">
            <w:pPr>
              <w:widowControl w:val="0"/>
              <w:jc w:val="center"/>
              <w:rPr>
                <w:rFonts w:cs="Arial"/>
                <w:sz w:val="20"/>
              </w:rPr>
            </w:pPr>
          </w:p>
        </w:tc>
        <w:tc>
          <w:tcPr>
            <w:tcW w:w="333" w:type="pct"/>
          </w:tcPr>
          <w:p w14:paraId="5FA1EF0B" w14:textId="77777777" w:rsidR="002E6A85" w:rsidRPr="00810A2E" w:rsidRDefault="002E6A85" w:rsidP="00807889">
            <w:pPr>
              <w:widowControl w:val="0"/>
              <w:rPr>
                <w:rFonts w:cs="Arial"/>
                <w:sz w:val="20"/>
              </w:rPr>
            </w:pPr>
          </w:p>
        </w:tc>
        <w:tc>
          <w:tcPr>
            <w:tcW w:w="451" w:type="pct"/>
          </w:tcPr>
          <w:p w14:paraId="7C08971E" w14:textId="77777777" w:rsidR="002E6A85" w:rsidRPr="00810A2E" w:rsidRDefault="002E6A85" w:rsidP="00807889">
            <w:pPr>
              <w:widowControl w:val="0"/>
              <w:rPr>
                <w:rFonts w:cs="Arial"/>
                <w:sz w:val="20"/>
              </w:rPr>
            </w:pPr>
          </w:p>
        </w:tc>
        <w:tc>
          <w:tcPr>
            <w:tcW w:w="3669" w:type="pct"/>
          </w:tcPr>
          <w:p w14:paraId="625C5F45" w14:textId="69C66B20" w:rsidR="002E6A85" w:rsidRPr="00810A2E" w:rsidRDefault="002E6A85" w:rsidP="00807889">
            <w:pPr>
              <w:widowControl w:val="0"/>
              <w:rPr>
                <w:rFonts w:cs="Arial"/>
                <w:sz w:val="20"/>
              </w:rPr>
            </w:pPr>
          </w:p>
        </w:tc>
      </w:tr>
      <w:tr w:rsidR="002E6A85" w:rsidRPr="00810A2E" w14:paraId="4F6D2F97" w14:textId="77777777" w:rsidTr="00D8461F">
        <w:tc>
          <w:tcPr>
            <w:tcW w:w="547" w:type="pct"/>
          </w:tcPr>
          <w:p w14:paraId="14FCAFCF" w14:textId="77777777" w:rsidR="002E6A85" w:rsidRDefault="002E6A85" w:rsidP="00807889">
            <w:pPr>
              <w:widowControl w:val="0"/>
              <w:jc w:val="center"/>
              <w:rPr>
                <w:rFonts w:cs="Arial"/>
                <w:sz w:val="20"/>
              </w:rPr>
            </w:pPr>
            <w:r>
              <w:rPr>
                <w:rFonts w:cs="Arial"/>
                <w:sz w:val="20"/>
              </w:rPr>
              <w:lastRenderedPageBreak/>
              <w:t>4</w:t>
            </w:r>
          </w:p>
          <w:p w14:paraId="36CC3EC0" w14:textId="70CA1E63" w:rsidR="002E6A85" w:rsidRPr="00810A2E" w:rsidRDefault="002E6A85" w:rsidP="00807889">
            <w:pPr>
              <w:widowControl w:val="0"/>
              <w:jc w:val="center"/>
              <w:rPr>
                <w:rFonts w:cs="Arial"/>
                <w:sz w:val="20"/>
              </w:rPr>
            </w:pPr>
          </w:p>
        </w:tc>
        <w:tc>
          <w:tcPr>
            <w:tcW w:w="333" w:type="pct"/>
          </w:tcPr>
          <w:p w14:paraId="54900B70" w14:textId="77777777" w:rsidR="002E6A85" w:rsidRPr="00810A2E" w:rsidRDefault="002E6A85" w:rsidP="00807889">
            <w:pPr>
              <w:widowControl w:val="0"/>
              <w:rPr>
                <w:rFonts w:cs="Arial"/>
                <w:sz w:val="20"/>
              </w:rPr>
            </w:pPr>
          </w:p>
        </w:tc>
        <w:tc>
          <w:tcPr>
            <w:tcW w:w="451" w:type="pct"/>
          </w:tcPr>
          <w:p w14:paraId="6C966828" w14:textId="77777777" w:rsidR="002E6A85" w:rsidRPr="00810A2E" w:rsidRDefault="002E6A85" w:rsidP="00807889">
            <w:pPr>
              <w:widowControl w:val="0"/>
              <w:rPr>
                <w:rFonts w:cs="Arial"/>
                <w:sz w:val="20"/>
              </w:rPr>
            </w:pPr>
          </w:p>
        </w:tc>
        <w:tc>
          <w:tcPr>
            <w:tcW w:w="3669" w:type="pct"/>
          </w:tcPr>
          <w:p w14:paraId="3513B0AA" w14:textId="709A5AB3" w:rsidR="002E6A85" w:rsidRPr="00810A2E" w:rsidRDefault="002E6A85" w:rsidP="00807889">
            <w:pPr>
              <w:widowControl w:val="0"/>
              <w:rPr>
                <w:rFonts w:cs="Arial"/>
                <w:sz w:val="20"/>
              </w:rPr>
            </w:pPr>
          </w:p>
        </w:tc>
      </w:tr>
      <w:tr w:rsidR="002E6A85" w:rsidRPr="00810A2E" w14:paraId="1C9A6E17" w14:textId="77777777" w:rsidTr="00D8461F">
        <w:tc>
          <w:tcPr>
            <w:tcW w:w="547" w:type="pct"/>
          </w:tcPr>
          <w:p w14:paraId="0EE8896C" w14:textId="77777777" w:rsidR="002E6A85" w:rsidRDefault="002E6A85" w:rsidP="00807889">
            <w:pPr>
              <w:widowControl w:val="0"/>
              <w:jc w:val="center"/>
              <w:rPr>
                <w:rFonts w:cs="Arial"/>
                <w:sz w:val="20"/>
              </w:rPr>
            </w:pPr>
            <w:r>
              <w:rPr>
                <w:rFonts w:cs="Arial"/>
                <w:sz w:val="20"/>
              </w:rPr>
              <w:t>5</w:t>
            </w:r>
          </w:p>
          <w:p w14:paraId="2AC798C9" w14:textId="3CF144C8" w:rsidR="002E6A85" w:rsidRPr="00810A2E" w:rsidRDefault="002E6A85" w:rsidP="00807889">
            <w:pPr>
              <w:widowControl w:val="0"/>
              <w:jc w:val="center"/>
              <w:rPr>
                <w:rFonts w:cs="Arial"/>
                <w:sz w:val="20"/>
              </w:rPr>
            </w:pPr>
          </w:p>
        </w:tc>
        <w:tc>
          <w:tcPr>
            <w:tcW w:w="333" w:type="pct"/>
          </w:tcPr>
          <w:p w14:paraId="463D2432" w14:textId="77777777" w:rsidR="002E6A85" w:rsidRPr="00810A2E" w:rsidRDefault="002E6A85" w:rsidP="00807889">
            <w:pPr>
              <w:widowControl w:val="0"/>
              <w:rPr>
                <w:rFonts w:cs="Arial"/>
                <w:sz w:val="20"/>
              </w:rPr>
            </w:pPr>
          </w:p>
        </w:tc>
        <w:tc>
          <w:tcPr>
            <w:tcW w:w="451" w:type="pct"/>
          </w:tcPr>
          <w:p w14:paraId="23AF1992" w14:textId="77777777" w:rsidR="002E6A85" w:rsidRPr="00810A2E" w:rsidRDefault="002E6A85" w:rsidP="00807889">
            <w:pPr>
              <w:widowControl w:val="0"/>
              <w:rPr>
                <w:rFonts w:cs="Arial"/>
                <w:sz w:val="20"/>
              </w:rPr>
            </w:pPr>
          </w:p>
        </w:tc>
        <w:tc>
          <w:tcPr>
            <w:tcW w:w="3669" w:type="pct"/>
          </w:tcPr>
          <w:p w14:paraId="32A26F73" w14:textId="6126AC5B" w:rsidR="002E6A85" w:rsidRPr="00810A2E" w:rsidRDefault="002E6A85" w:rsidP="00807889">
            <w:pPr>
              <w:widowControl w:val="0"/>
              <w:rPr>
                <w:rFonts w:cs="Arial"/>
                <w:sz w:val="20"/>
              </w:rPr>
            </w:pPr>
          </w:p>
        </w:tc>
      </w:tr>
      <w:tr w:rsidR="002E6A85" w:rsidRPr="00810A2E" w14:paraId="311E735F" w14:textId="77777777" w:rsidTr="00D8461F">
        <w:tc>
          <w:tcPr>
            <w:tcW w:w="547" w:type="pct"/>
          </w:tcPr>
          <w:p w14:paraId="562D0B53" w14:textId="77777777" w:rsidR="002E6A85" w:rsidRDefault="002E6A85" w:rsidP="00807889">
            <w:pPr>
              <w:widowControl w:val="0"/>
              <w:jc w:val="center"/>
              <w:rPr>
                <w:rFonts w:cs="Arial"/>
                <w:sz w:val="20"/>
              </w:rPr>
            </w:pPr>
            <w:r>
              <w:rPr>
                <w:rFonts w:cs="Arial"/>
                <w:sz w:val="20"/>
              </w:rPr>
              <w:t>6</w:t>
            </w:r>
          </w:p>
          <w:p w14:paraId="6B7E1DA1" w14:textId="09ECA2C5" w:rsidR="002E6A85" w:rsidRPr="00810A2E" w:rsidRDefault="002E6A85" w:rsidP="00807889">
            <w:pPr>
              <w:widowControl w:val="0"/>
              <w:jc w:val="center"/>
              <w:rPr>
                <w:rFonts w:cs="Arial"/>
                <w:sz w:val="20"/>
              </w:rPr>
            </w:pPr>
          </w:p>
        </w:tc>
        <w:tc>
          <w:tcPr>
            <w:tcW w:w="333" w:type="pct"/>
          </w:tcPr>
          <w:p w14:paraId="604388F2" w14:textId="77777777" w:rsidR="002E6A85" w:rsidRPr="00810A2E" w:rsidRDefault="002E6A85" w:rsidP="00807889">
            <w:pPr>
              <w:widowControl w:val="0"/>
              <w:rPr>
                <w:rFonts w:cs="Arial"/>
                <w:sz w:val="20"/>
              </w:rPr>
            </w:pPr>
          </w:p>
        </w:tc>
        <w:tc>
          <w:tcPr>
            <w:tcW w:w="451" w:type="pct"/>
          </w:tcPr>
          <w:p w14:paraId="097E1FCB" w14:textId="77777777" w:rsidR="002E6A85" w:rsidRPr="00810A2E" w:rsidRDefault="002E6A85" w:rsidP="00807889">
            <w:pPr>
              <w:widowControl w:val="0"/>
              <w:rPr>
                <w:rFonts w:cs="Arial"/>
                <w:sz w:val="20"/>
              </w:rPr>
            </w:pPr>
          </w:p>
        </w:tc>
        <w:tc>
          <w:tcPr>
            <w:tcW w:w="3669" w:type="pct"/>
          </w:tcPr>
          <w:p w14:paraId="19E995A4" w14:textId="0F74A8D8" w:rsidR="002E6A85" w:rsidRPr="00810A2E" w:rsidRDefault="002E6A85" w:rsidP="00807889">
            <w:pPr>
              <w:widowControl w:val="0"/>
              <w:rPr>
                <w:rFonts w:cs="Arial"/>
                <w:sz w:val="20"/>
              </w:rPr>
            </w:pPr>
          </w:p>
        </w:tc>
      </w:tr>
      <w:tr w:rsidR="00FE39DA" w:rsidRPr="00810A2E" w14:paraId="23D83C36" w14:textId="77777777" w:rsidTr="00D8461F">
        <w:tc>
          <w:tcPr>
            <w:tcW w:w="547" w:type="pct"/>
          </w:tcPr>
          <w:p w14:paraId="14F0041A" w14:textId="56DA09A0" w:rsidR="00FE39DA" w:rsidRDefault="00FE39DA" w:rsidP="00807889">
            <w:pPr>
              <w:widowControl w:val="0"/>
              <w:jc w:val="center"/>
              <w:rPr>
                <w:rFonts w:cs="Arial"/>
                <w:sz w:val="20"/>
              </w:rPr>
            </w:pPr>
            <w:r>
              <w:rPr>
                <w:rFonts w:cs="Arial"/>
                <w:sz w:val="20"/>
              </w:rPr>
              <w:t>7</w:t>
            </w:r>
          </w:p>
          <w:p w14:paraId="5ACF5B4E" w14:textId="398A97D8" w:rsidR="00FE39DA" w:rsidRDefault="00FE39DA" w:rsidP="00807889">
            <w:pPr>
              <w:widowControl w:val="0"/>
              <w:jc w:val="center"/>
              <w:rPr>
                <w:rFonts w:cs="Arial"/>
                <w:sz w:val="20"/>
              </w:rPr>
            </w:pPr>
          </w:p>
        </w:tc>
        <w:tc>
          <w:tcPr>
            <w:tcW w:w="333" w:type="pct"/>
          </w:tcPr>
          <w:p w14:paraId="5FEE973A" w14:textId="77777777" w:rsidR="00FE39DA" w:rsidRPr="00810A2E" w:rsidRDefault="00FE39DA" w:rsidP="00807889">
            <w:pPr>
              <w:widowControl w:val="0"/>
              <w:rPr>
                <w:rFonts w:cs="Arial"/>
                <w:sz w:val="20"/>
              </w:rPr>
            </w:pPr>
          </w:p>
        </w:tc>
        <w:tc>
          <w:tcPr>
            <w:tcW w:w="451" w:type="pct"/>
          </w:tcPr>
          <w:p w14:paraId="5F2C6861" w14:textId="77777777" w:rsidR="00FE39DA" w:rsidRPr="00810A2E" w:rsidRDefault="00FE39DA" w:rsidP="00807889">
            <w:pPr>
              <w:widowControl w:val="0"/>
              <w:rPr>
                <w:rFonts w:cs="Arial"/>
                <w:sz w:val="20"/>
              </w:rPr>
            </w:pPr>
          </w:p>
        </w:tc>
        <w:tc>
          <w:tcPr>
            <w:tcW w:w="3669" w:type="pct"/>
          </w:tcPr>
          <w:p w14:paraId="45AD490C" w14:textId="77777777" w:rsidR="00FE39DA" w:rsidRPr="00810A2E" w:rsidRDefault="00FE39DA" w:rsidP="00807889">
            <w:pPr>
              <w:widowControl w:val="0"/>
              <w:rPr>
                <w:rFonts w:cs="Arial"/>
                <w:sz w:val="20"/>
              </w:rPr>
            </w:pPr>
          </w:p>
        </w:tc>
      </w:tr>
      <w:tr w:rsidR="00D8461F" w:rsidRPr="00810A2E" w14:paraId="0CEA1F0D" w14:textId="77777777" w:rsidTr="00D8461F">
        <w:tc>
          <w:tcPr>
            <w:tcW w:w="547" w:type="pct"/>
          </w:tcPr>
          <w:p w14:paraId="37983408" w14:textId="6510E1E8" w:rsidR="00D8461F" w:rsidRDefault="00D8461F" w:rsidP="00807889">
            <w:pPr>
              <w:widowControl w:val="0"/>
              <w:jc w:val="center"/>
              <w:rPr>
                <w:rFonts w:cs="Arial"/>
                <w:sz w:val="20"/>
              </w:rPr>
            </w:pPr>
            <w:r>
              <w:rPr>
                <w:rFonts w:cs="Arial"/>
                <w:sz w:val="20"/>
              </w:rPr>
              <w:t>8</w:t>
            </w:r>
          </w:p>
          <w:p w14:paraId="159FFCC5" w14:textId="0CB5DAD1" w:rsidR="00D8461F" w:rsidRDefault="00D8461F" w:rsidP="00807889">
            <w:pPr>
              <w:widowControl w:val="0"/>
              <w:jc w:val="center"/>
              <w:rPr>
                <w:rFonts w:cs="Arial"/>
                <w:sz w:val="20"/>
              </w:rPr>
            </w:pPr>
          </w:p>
        </w:tc>
        <w:tc>
          <w:tcPr>
            <w:tcW w:w="333" w:type="pct"/>
          </w:tcPr>
          <w:p w14:paraId="35B0C5DE" w14:textId="77777777" w:rsidR="00D8461F" w:rsidRPr="00810A2E" w:rsidRDefault="00D8461F" w:rsidP="00807889">
            <w:pPr>
              <w:widowControl w:val="0"/>
              <w:rPr>
                <w:rFonts w:cs="Arial"/>
                <w:sz w:val="20"/>
              </w:rPr>
            </w:pPr>
          </w:p>
        </w:tc>
        <w:tc>
          <w:tcPr>
            <w:tcW w:w="451" w:type="pct"/>
          </w:tcPr>
          <w:p w14:paraId="59A3A73E" w14:textId="77777777" w:rsidR="00D8461F" w:rsidRPr="00810A2E" w:rsidRDefault="00D8461F" w:rsidP="00807889">
            <w:pPr>
              <w:widowControl w:val="0"/>
              <w:rPr>
                <w:rFonts w:cs="Arial"/>
                <w:sz w:val="20"/>
              </w:rPr>
            </w:pPr>
          </w:p>
        </w:tc>
        <w:tc>
          <w:tcPr>
            <w:tcW w:w="3669" w:type="pct"/>
          </w:tcPr>
          <w:p w14:paraId="7653EE4E" w14:textId="77777777" w:rsidR="00D8461F" w:rsidRPr="00810A2E" w:rsidRDefault="00D8461F" w:rsidP="00807889">
            <w:pPr>
              <w:widowControl w:val="0"/>
              <w:rPr>
                <w:rFonts w:cs="Arial"/>
                <w:sz w:val="20"/>
              </w:rPr>
            </w:pP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26C208D7" w14:textId="77777777" w:rsidR="00A543EF" w:rsidRPr="005F244E" w:rsidRDefault="00A543EF" w:rsidP="00A543EF">
      <w:pPr>
        <w:numPr>
          <w:ilvl w:val="0"/>
          <w:numId w:val="9"/>
        </w:numPr>
        <w:rPr>
          <w:sz w:val="20"/>
        </w:rPr>
      </w:pPr>
      <w:r w:rsidRPr="005F244E">
        <w:rPr>
          <w:sz w:val="20"/>
        </w:rPr>
        <w:t>Complete the disclosure about links with, or funding from, the tobacco industry.</w:t>
      </w:r>
    </w:p>
    <w:p w14:paraId="7CD9E8EF" w14:textId="77777777" w:rsidR="00A543EF" w:rsidRPr="005F244E" w:rsidRDefault="00A543EF" w:rsidP="00A543EF">
      <w:pPr>
        <w:numPr>
          <w:ilvl w:val="0"/>
          <w:numId w:val="9"/>
        </w:numPr>
        <w:rPr>
          <w:rFonts w:cs="Arial"/>
          <w:sz w:val="20"/>
        </w:rPr>
      </w:pPr>
      <w:r w:rsidRPr="005F244E">
        <w:rPr>
          <w:rFonts w:cs="Arial"/>
          <w:sz w:val="20"/>
        </w:rPr>
        <w:t xml:space="preserve">Combine all comments from your organisation into 1 response. We cannot accept more than 1 set of comments from each organisation. </w:t>
      </w:r>
    </w:p>
    <w:p w14:paraId="4ECA07F1" w14:textId="77777777" w:rsidR="00A543EF" w:rsidRPr="005F244E" w:rsidRDefault="00A543EF" w:rsidP="00A543EF">
      <w:pPr>
        <w:numPr>
          <w:ilvl w:val="0"/>
          <w:numId w:val="9"/>
        </w:numPr>
        <w:rPr>
          <w:rFonts w:cs="Arial"/>
          <w:sz w:val="20"/>
        </w:rPr>
      </w:pPr>
      <w:r w:rsidRPr="005F244E">
        <w:rPr>
          <w:rFonts w:cs="Arial"/>
          <w:sz w:val="20"/>
        </w:rPr>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w:t>
      </w:r>
      <w:proofErr w:type="gramStart"/>
      <w:r w:rsidRPr="005F244E">
        <w:rPr>
          <w:rFonts w:cs="Arial"/>
          <w:sz w:val="20"/>
        </w:rPr>
        <w:t>letters</w:t>
      </w:r>
      <w:proofErr w:type="gramEnd"/>
      <w:r w:rsidRPr="005F244E">
        <w:rPr>
          <w:rFonts w:cs="Arial"/>
          <w:sz w:val="20"/>
        </w:rPr>
        <w:t xml:space="preserve">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t xml:space="preserve">Comments received during our consultations are published in the interests of openness and transparency. The comments are published as a record of the comments we received, and are not endorsed by NICE, its </w:t>
      </w:r>
      <w:proofErr w:type="gramStart"/>
      <w:r w:rsidRPr="005F244E">
        <w:rPr>
          <w:rFonts w:cs="Arial"/>
          <w:bCs/>
          <w:sz w:val="20"/>
        </w:rPr>
        <w:t>officers</w:t>
      </w:r>
      <w:proofErr w:type="gramEnd"/>
      <w:r w:rsidRPr="005F244E">
        <w:rPr>
          <w:rFonts w:cs="Arial"/>
          <w:bCs/>
          <w:sz w:val="20"/>
        </w:rPr>
        <w:t xml:space="preserve">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4365" w14:textId="77777777" w:rsidR="00303BB0" w:rsidRDefault="00303BB0">
      <w:r>
        <w:separator/>
      </w:r>
    </w:p>
  </w:endnote>
  <w:endnote w:type="continuationSeparator" w:id="0">
    <w:p w14:paraId="25973F20" w14:textId="77777777" w:rsidR="00303BB0" w:rsidRDefault="00303BB0">
      <w:r>
        <w:continuationSeparator/>
      </w:r>
    </w:p>
  </w:endnote>
  <w:endnote w:type="continuationNotice" w:id="1">
    <w:p w14:paraId="388EE559" w14:textId="77777777" w:rsidR="00303BB0" w:rsidRDefault="00303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89D9" w14:textId="77777777" w:rsidR="00303BB0" w:rsidRDefault="00303BB0">
      <w:r>
        <w:separator/>
      </w:r>
    </w:p>
  </w:footnote>
  <w:footnote w:type="continuationSeparator" w:id="0">
    <w:p w14:paraId="379E1A39" w14:textId="77777777" w:rsidR="00303BB0" w:rsidRDefault="00303BB0">
      <w:r>
        <w:continuationSeparator/>
      </w:r>
    </w:p>
  </w:footnote>
  <w:footnote w:type="continuationNotice" w:id="1">
    <w:p w14:paraId="67B1FA70" w14:textId="77777777" w:rsidR="00303BB0" w:rsidRDefault="00303B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0E428AEB" w14:textId="77777777" w:rsidR="00703D2E" w:rsidRPr="00703D2E" w:rsidRDefault="00703D2E" w:rsidP="00703D2E">
    <w:pPr>
      <w:spacing w:before="100" w:beforeAutospacing="1" w:after="100" w:afterAutospacing="1"/>
      <w:jc w:val="center"/>
      <w:rPr>
        <w:rFonts w:cs="Arial"/>
        <w:b/>
        <w:color w:val="2F5496" w:themeColor="accent1" w:themeShade="BF"/>
        <w:szCs w:val="22"/>
      </w:rPr>
    </w:pPr>
    <w:r w:rsidRPr="00703D2E">
      <w:rPr>
        <w:rFonts w:cs="Arial"/>
        <w:b/>
        <w:color w:val="2F5496" w:themeColor="accent1" w:themeShade="BF"/>
        <w:szCs w:val="22"/>
      </w:rPr>
      <w:t>Ceftazidime with avibactam for treating severe aerobic Gram-negative bacterial infections</w:t>
    </w:r>
  </w:p>
  <w:p w14:paraId="3D15CD82" w14:textId="40A0DE64"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247FD207"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FE39DA" w:rsidRPr="00FE39DA">
        <w:rPr>
          <w:rStyle w:val="Hyperlink"/>
          <w:sz w:val="22"/>
          <w:szCs w:val="22"/>
        </w:rPr>
        <w:t>amrexisting@nice.org.uk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637547"/>
    <w:multiLevelType w:val="hybridMultilevel"/>
    <w:tmpl w:val="AB3CCF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7"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3"/>
  </w:num>
  <w:num w:numId="4">
    <w:abstractNumId w:val="16"/>
  </w:num>
  <w:num w:numId="5">
    <w:abstractNumId w:val="16"/>
    <w:lvlOverride w:ilvl="0">
      <w:startOverride w:val="1"/>
    </w:lvlOverride>
  </w:num>
  <w:num w:numId="6">
    <w:abstractNumId w:val="8"/>
  </w:num>
  <w:num w:numId="7">
    <w:abstractNumId w:val="9"/>
  </w:num>
  <w:num w:numId="8">
    <w:abstractNumId w:val="11"/>
  </w:num>
  <w:num w:numId="9">
    <w:abstractNumId w:val="0"/>
  </w:num>
  <w:num w:numId="10">
    <w:abstractNumId w:val="4"/>
  </w:num>
  <w:num w:numId="11">
    <w:abstractNumId w:val="1"/>
  </w:num>
  <w:num w:numId="12">
    <w:abstractNumId w:val="17"/>
  </w:num>
  <w:num w:numId="13">
    <w:abstractNumId w:val="3"/>
  </w:num>
  <w:num w:numId="14">
    <w:abstractNumId w:val="12"/>
  </w:num>
  <w:num w:numId="15">
    <w:abstractNumId w:val="7"/>
  </w:num>
  <w:num w:numId="16">
    <w:abstractNumId w:val="10"/>
  </w:num>
  <w:num w:numId="17">
    <w:abstractNumId w:val="2"/>
  </w:num>
  <w:num w:numId="18">
    <w:abstractNumId w:val="14"/>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54"/>
    <w:rsid w:val="000214A8"/>
    <w:rsid w:val="00021B83"/>
    <w:rsid w:val="00025820"/>
    <w:rsid w:val="000342F2"/>
    <w:rsid w:val="00044D17"/>
    <w:rsid w:val="00062223"/>
    <w:rsid w:val="0006636E"/>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223C87"/>
    <w:rsid w:val="00224BF9"/>
    <w:rsid w:val="00246154"/>
    <w:rsid w:val="002475F1"/>
    <w:rsid w:val="00257BDB"/>
    <w:rsid w:val="00261963"/>
    <w:rsid w:val="00282094"/>
    <w:rsid w:val="00292396"/>
    <w:rsid w:val="002A7173"/>
    <w:rsid w:val="002A7A97"/>
    <w:rsid w:val="002A7D99"/>
    <w:rsid w:val="002B12BF"/>
    <w:rsid w:val="002C0DB3"/>
    <w:rsid w:val="002E6A85"/>
    <w:rsid w:val="002E7FE1"/>
    <w:rsid w:val="002F342B"/>
    <w:rsid w:val="00300024"/>
    <w:rsid w:val="00303BB0"/>
    <w:rsid w:val="00310C57"/>
    <w:rsid w:val="003174B2"/>
    <w:rsid w:val="0032029A"/>
    <w:rsid w:val="00321DA6"/>
    <w:rsid w:val="00321FBA"/>
    <w:rsid w:val="00324A43"/>
    <w:rsid w:val="00325106"/>
    <w:rsid w:val="0034087C"/>
    <w:rsid w:val="00341C5B"/>
    <w:rsid w:val="00342A8C"/>
    <w:rsid w:val="00344D98"/>
    <w:rsid w:val="00361105"/>
    <w:rsid w:val="00373C43"/>
    <w:rsid w:val="00376811"/>
    <w:rsid w:val="00386C8D"/>
    <w:rsid w:val="0039057E"/>
    <w:rsid w:val="00392C6A"/>
    <w:rsid w:val="00395155"/>
    <w:rsid w:val="003A74B8"/>
    <w:rsid w:val="003B324A"/>
    <w:rsid w:val="003B5556"/>
    <w:rsid w:val="003C0F3D"/>
    <w:rsid w:val="003D47BB"/>
    <w:rsid w:val="003E30E5"/>
    <w:rsid w:val="003E4FEE"/>
    <w:rsid w:val="003F6C97"/>
    <w:rsid w:val="003F71DC"/>
    <w:rsid w:val="004210CD"/>
    <w:rsid w:val="004235B0"/>
    <w:rsid w:val="00437587"/>
    <w:rsid w:val="00443A18"/>
    <w:rsid w:val="00451001"/>
    <w:rsid w:val="00457F3F"/>
    <w:rsid w:val="0046008C"/>
    <w:rsid w:val="00460339"/>
    <w:rsid w:val="00465545"/>
    <w:rsid w:val="00481C73"/>
    <w:rsid w:val="00487456"/>
    <w:rsid w:val="004A1670"/>
    <w:rsid w:val="004A1C8F"/>
    <w:rsid w:val="004B0799"/>
    <w:rsid w:val="004C70EE"/>
    <w:rsid w:val="004E107E"/>
    <w:rsid w:val="004E513A"/>
    <w:rsid w:val="005007BE"/>
    <w:rsid w:val="00501DA6"/>
    <w:rsid w:val="005231A3"/>
    <w:rsid w:val="00526B24"/>
    <w:rsid w:val="00531029"/>
    <w:rsid w:val="00541137"/>
    <w:rsid w:val="00542537"/>
    <w:rsid w:val="00560A71"/>
    <w:rsid w:val="00575316"/>
    <w:rsid w:val="005853F7"/>
    <w:rsid w:val="00593405"/>
    <w:rsid w:val="005A0634"/>
    <w:rsid w:val="005A45BD"/>
    <w:rsid w:val="005B15A2"/>
    <w:rsid w:val="005C1942"/>
    <w:rsid w:val="005C7F7C"/>
    <w:rsid w:val="005D335F"/>
    <w:rsid w:val="005F0AAA"/>
    <w:rsid w:val="005F244E"/>
    <w:rsid w:val="005F745A"/>
    <w:rsid w:val="006033FE"/>
    <w:rsid w:val="00603F57"/>
    <w:rsid w:val="00623125"/>
    <w:rsid w:val="00624222"/>
    <w:rsid w:val="0063356A"/>
    <w:rsid w:val="00634E8F"/>
    <w:rsid w:val="00636279"/>
    <w:rsid w:val="00656C93"/>
    <w:rsid w:val="0066157A"/>
    <w:rsid w:val="00673600"/>
    <w:rsid w:val="006808A0"/>
    <w:rsid w:val="00686669"/>
    <w:rsid w:val="006B6ADD"/>
    <w:rsid w:val="006F2675"/>
    <w:rsid w:val="006F679F"/>
    <w:rsid w:val="0070312D"/>
    <w:rsid w:val="00703D2E"/>
    <w:rsid w:val="00715C1F"/>
    <w:rsid w:val="00717E28"/>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D3BD0"/>
    <w:rsid w:val="007D5358"/>
    <w:rsid w:val="007E0074"/>
    <w:rsid w:val="007E1DD9"/>
    <w:rsid w:val="007E22AC"/>
    <w:rsid w:val="007E258B"/>
    <w:rsid w:val="007F085B"/>
    <w:rsid w:val="008039AA"/>
    <w:rsid w:val="00804864"/>
    <w:rsid w:val="0080710A"/>
    <w:rsid w:val="00807889"/>
    <w:rsid w:val="00810A2E"/>
    <w:rsid w:val="00824EBA"/>
    <w:rsid w:val="00827634"/>
    <w:rsid w:val="00834AB9"/>
    <w:rsid w:val="0084727A"/>
    <w:rsid w:val="008514EA"/>
    <w:rsid w:val="00857205"/>
    <w:rsid w:val="008611EC"/>
    <w:rsid w:val="00862EF8"/>
    <w:rsid w:val="008728E3"/>
    <w:rsid w:val="00894A46"/>
    <w:rsid w:val="008A2552"/>
    <w:rsid w:val="008A4C19"/>
    <w:rsid w:val="008C584A"/>
    <w:rsid w:val="008D0FA3"/>
    <w:rsid w:val="008D749A"/>
    <w:rsid w:val="00904312"/>
    <w:rsid w:val="009071D4"/>
    <w:rsid w:val="00907944"/>
    <w:rsid w:val="009204F8"/>
    <w:rsid w:val="00922752"/>
    <w:rsid w:val="009448BE"/>
    <w:rsid w:val="009524A0"/>
    <w:rsid w:val="00953727"/>
    <w:rsid w:val="00956108"/>
    <w:rsid w:val="00966357"/>
    <w:rsid w:val="00975502"/>
    <w:rsid w:val="0099379D"/>
    <w:rsid w:val="009B7261"/>
    <w:rsid w:val="009C4360"/>
    <w:rsid w:val="009D0DDF"/>
    <w:rsid w:val="009D7079"/>
    <w:rsid w:val="009E26F6"/>
    <w:rsid w:val="009E7AF2"/>
    <w:rsid w:val="00A201B2"/>
    <w:rsid w:val="00A23948"/>
    <w:rsid w:val="00A46B9E"/>
    <w:rsid w:val="00A47EB7"/>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45DA"/>
    <w:rsid w:val="00AF3947"/>
    <w:rsid w:val="00B056C8"/>
    <w:rsid w:val="00B07B3D"/>
    <w:rsid w:val="00B16F72"/>
    <w:rsid w:val="00B370E9"/>
    <w:rsid w:val="00B57C37"/>
    <w:rsid w:val="00B60144"/>
    <w:rsid w:val="00B671EA"/>
    <w:rsid w:val="00B67C7F"/>
    <w:rsid w:val="00B75E21"/>
    <w:rsid w:val="00B81DC8"/>
    <w:rsid w:val="00B83648"/>
    <w:rsid w:val="00B90A06"/>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7756"/>
    <w:rsid w:val="00D93033"/>
    <w:rsid w:val="00D937BE"/>
    <w:rsid w:val="00DA30DF"/>
    <w:rsid w:val="00DB1C72"/>
    <w:rsid w:val="00DB6AB5"/>
    <w:rsid w:val="00DC47AF"/>
    <w:rsid w:val="00DE50FC"/>
    <w:rsid w:val="00DF57F3"/>
    <w:rsid w:val="00E025D0"/>
    <w:rsid w:val="00E2483C"/>
    <w:rsid w:val="00E330B0"/>
    <w:rsid w:val="00E33719"/>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exist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Pratit Shah</cp:lastModifiedBy>
  <cp:revision>2</cp:revision>
  <cp:lastPrinted>2005-11-01T10:30:00Z</cp:lastPrinted>
  <dcterms:created xsi:type="dcterms:W3CDTF">2022-01-05T12:57:00Z</dcterms:created>
  <dcterms:modified xsi:type="dcterms:W3CDTF">2022-01-05T12:57:00Z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2021-12-13T09:48:18Z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d1d77d2a-c6be-4b61-b271-597b73035097</vt:lpwstr>
  </property>
  <property fmtid="{D5CDD505-2E9C-101B-9397-08002B2CF9AE}" pid="8" name="MSIP_Label_e81acc0d-dcc4-4dc9-a2c5-be70b05a2fe6_ContentBits">
    <vt:lpwstr>0</vt:lpwstr>
  </property>
  <property fmtid="{D5CDD505-2E9C-101B-9397-08002B2CF9AE}" pid="9" name="MerckAIPLabel">
    <vt:lpwstr>NotClassified</vt:lpwstr>
  </property>
  <property fmtid="{D5CDD505-2E9C-101B-9397-08002B2CF9AE}" pid="10" name="MerckAIPDataExchange">
    <vt:lpwstr>!MRKMIP@NotClassified</vt:lpwstr>
  </property>
  <property fmtid="{D5CDD505-2E9C-101B-9397-08002B2CF9AE}" pid="11" name="_AdHocReviewCycleID">
    <vt:i4>-975902529</vt:i4>
  </property>
  <property fmtid="{D5CDD505-2E9C-101B-9397-08002B2CF9AE}" pid="12" name="_NewReviewCycle">
    <vt:lpwstr/>
  </property>
  <property fmtid="{D5CDD505-2E9C-101B-9397-08002B2CF9AE}" pid="13" name="_EmailSubject">
    <vt:lpwstr>Final Responses - NICE Antibiotics</vt:lpwstr>
  </property>
  <property fmtid="{D5CDD505-2E9C-101B-9397-08002B2CF9AE}" pid="14" name="_AuthorEmail">
    <vt:lpwstr>mark.johnson1@msd.com</vt:lpwstr>
  </property>
  <property fmtid="{D5CDD505-2E9C-101B-9397-08002B2CF9AE}" pid="15" name="_AuthorEmailDisplayName">
    <vt:lpwstr>Johnson, Mark</vt:lpwstr>
  </property>
  <property fmtid="{D5CDD505-2E9C-101B-9397-08002B2CF9AE}" pid="16" name="_ReviewingToolsShownOnce">
    <vt:lpwstr/>
  </property>
</Properties>
</file>