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7BB49" w14:textId="27D4BEF9" w:rsidR="0097522C" w:rsidRPr="006A4082" w:rsidRDefault="0097522C" w:rsidP="0097522C">
      <w:pPr>
        <w:pStyle w:val="EEPRUnumberedLevel1Heading"/>
        <w:numPr>
          <w:ilvl w:val="0"/>
          <w:numId w:val="0"/>
        </w:numPr>
        <w:ind w:left="720"/>
      </w:pPr>
      <w:bookmarkStart w:id="0" w:name="_Toc85752738"/>
      <w:bookmarkStart w:id="1" w:name="_Toc86237749"/>
      <w:bookmarkStart w:id="2" w:name="_Toc86352885"/>
      <w:bookmarkStart w:id="3" w:name="_Toc86418668"/>
      <w:bookmarkStart w:id="4" w:name="_Toc87462954"/>
      <w:r>
        <w:rPr>
          <w:noProof/>
          <w:lang w:eastAsia="en-GB"/>
        </w:rPr>
        <w:drawing>
          <wp:anchor distT="0" distB="0" distL="114300" distR="114300" simplePos="0" relativeHeight="251662336" behindDoc="1" locked="0" layoutInCell="1" allowOverlap="1" wp14:anchorId="62419F76" wp14:editId="5424D805">
            <wp:simplePos x="0" y="0"/>
            <wp:positionH relativeFrom="column">
              <wp:posOffset>-912245</wp:posOffset>
            </wp:positionH>
            <wp:positionV relativeFrom="paragraph">
              <wp:posOffset>-445135</wp:posOffset>
            </wp:positionV>
            <wp:extent cx="7598664" cy="10744200"/>
            <wp:effectExtent l="0" t="0" r="2540" b="0"/>
            <wp:wrapNone/>
            <wp:docPr id="6" name="Picture 6"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98664" cy="10744200"/>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p>
    <w:p w14:paraId="4928AF8B" w14:textId="583127BB" w:rsidR="0097522C" w:rsidRPr="006A4082" w:rsidRDefault="0097522C" w:rsidP="0097522C">
      <w:pPr>
        <w:spacing w:line="360" w:lineRule="auto"/>
        <w:jc w:val="both"/>
        <w:rPr>
          <w:rFonts w:asciiTheme="majorBidi" w:hAnsiTheme="majorBidi" w:cstheme="majorBidi"/>
        </w:rPr>
      </w:pPr>
    </w:p>
    <w:p w14:paraId="38E34109" w14:textId="032424FA" w:rsidR="0097522C" w:rsidRPr="006A4082" w:rsidRDefault="0097522C" w:rsidP="0097522C">
      <w:pPr>
        <w:spacing w:line="360" w:lineRule="auto"/>
        <w:jc w:val="both"/>
        <w:rPr>
          <w:rFonts w:asciiTheme="majorBidi" w:hAnsiTheme="majorBidi" w:cstheme="majorBidi"/>
        </w:rPr>
      </w:pPr>
    </w:p>
    <w:p w14:paraId="0142D26F" w14:textId="0FB0E09A" w:rsidR="0097522C" w:rsidRPr="006A4082" w:rsidRDefault="0097522C" w:rsidP="0097522C">
      <w:pPr>
        <w:spacing w:line="360" w:lineRule="auto"/>
        <w:jc w:val="both"/>
        <w:rPr>
          <w:rFonts w:asciiTheme="majorBidi" w:hAnsiTheme="majorBidi" w:cstheme="majorBidi"/>
        </w:rPr>
      </w:pPr>
    </w:p>
    <w:p w14:paraId="7B8FAFD5" w14:textId="07424A0A" w:rsidR="0097522C" w:rsidRPr="009D35E4" w:rsidRDefault="0097522C" w:rsidP="0097522C"/>
    <w:p w14:paraId="52597178" w14:textId="04D4ADCB" w:rsidR="0097522C" w:rsidRPr="006A4082" w:rsidRDefault="0097522C" w:rsidP="0097522C">
      <w:pPr>
        <w:tabs>
          <w:tab w:val="left" w:pos="6405"/>
        </w:tabs>
        <w:spacing w:line="360" w:lineRule="auto"/>
        <w:jc w:val="both"/>
        <w:rPr>
          <w:rFonts w:asciiTheme="majorBidi" w:hAnsiTheme="majorBidi" w:cstheme="majorBidi"/>
        </w:rPr>
      </w:pPr>
      <w:r>
        <w:rPr>
          <w:rFonts w:asciiTheme="majorBidi" w:hAnsiTheme="majorBidi" w:cstheme="majorBidi"/>
        </w:rPr>
        <w:tab/>
      </w:r>
    </w:p>
    <w:p w14:paraId="4C62EDF9" w14:textId="7078F8AC" w:rsidR="0097522C" w:rsidRPr="006A4082" w:rsidRDefault="0097522C" w:rsidP="0097522C">
      <w:pPr>
        <w:spacing w:line="360" w:lineRule="auto"/>
        <w:jc w:val="both"/>
        <w:rPr>
          <w:rFonts w:asciiTheme="majorBidi" w:hAnsiTheme="majorBidi" w:cstheme="majorBidi"/>
        </w:rPr>
      </w:pPr>
    </w:p>
    <w:p w14:paraId="0A503A15" w14:textId="737D573E" w:rsidR="0097522C" w:rsidRPr="006A4082" w:rsidRDefault="0097522C" w:rsidP="0097522C">
      <w:pPr>
        <w:spacing w:line="360" w:lineRule="auto"/>
        <w:jc w:val="both"/>
        <w:rPr>
          <w:rFonts w:asciiTheme="majorBidi" w:hAnsiTheme="majorBidi" w:cstheme="majorBidi"/>
        </w:rPr>
      </w:pPr>
    </w:p>
    <w:p w14:paraId="42D0FC30" w14:textId="60CC06A4" w:rsidR="0097522C" w:rsidRPr="006A4082" w:rsidRDefault="0097522C" w:rsidP="0097522C">
      <w:pPr>
        <w:spacing w:line="360" w:lineRule="auto"/>
        <w:jc w:val="both"/>
        <w:rPr>
          <w:rFonts w:asciiTheme="majorBidi" w:hAnsiTheme="majorBidi" w:cstheme="majorBidi"/>
        </w:rPr>
      </w:pPr>
    </w:p>
    <w:p w14:paraId="66679EFE" w14:textId="369806AC" w:rsidR="0097522C" w:rsidRPr="006A4082" w:rsidRDefault="0097522C" w:rsidP="0097522C">
      <w:pPr>
        <w:spacing w:line="360" w:lineRule="auto"/>
        <w:jc w:val="both"/>
        <w:rPr>
          <w:rFonts w:asciiTheme="majorBidi" w:hAnsiTheme="majorBidi" w:cstheme="majorBidi"/>
        </w:rPr>
      </w:pPr>
    </w:p>
    <w:p w14:paraId="304B6325" w14:textId="06886D37" w:rsidR="0097522C" w:rsidRPr="006A4082" w:rsidRDefault="0097522C" w:rsidP="0097522C">
      <w:pPr>
        <w:spacing w:line="360" w:lineRule="auto"/>
        <w:jc w:val="both"/>
        <w:rPr>
          <w:rFonts w:asciiTheme="majorBidi" w:hAnsiTheme="majorBidi" w:cstheme="majorBidi"/>
        </w:rPr>
      </w:pPr>
    </w:p>
    <w:p w14:paraId="5727595B" w14:textId="069B0968" w:rsidR="0097522C" w:rsidRPr="006A4082" w:rsidRDefault="0097522C" w:rsidP="0097522C">
      <w:pPr>
        <w:spacing w:line="360" w:lineRule="auto"/>
        <w:jc w:val="both"/>
        <w:rPr>
          <w:rFonts w:asciiTheme="majorBidi" w:hAnsiTheme="majorBidi" w:cstheme="majorBidi"/>
        </w:rPr>
      </w:pPr>
      <w:r w:rsidRPr="006A4082">
        <w:rPr>
          <w:rFonts w:asciiTheme="majorBidi" w:hAnsiTheme="majorBidi" w:cstheme="majorBidi"/>
          <w:noProof/>
        </w:rPr>
        <mc:AlternateContent>
          <mc:Choice Requires="wps">
            <w:drawing>
              <wp:anchor distT="0" distB="0" distL="114300" distR="114300" simplePos="0" relativeHeight="251663360" behindDoc="0" locked="0" layoutInCell="1" allowOverlap="1" wp14:anchorId="503FDDA3" wp14:editId="31ABFD54">
                <wp:simplePos x="0" y="0"/>
                <wp:positionH relativeFrom="margin">
                  <wp:posOffset>-914681</wp:posOffset>
                </wp:positionH>
                <wp:positionV relativeFrom="paragraph">
                  <wp:posOffset>2292985</wp:posOffset>
                </wp:positionV>
                <wp:extent cx="6267450" cy="431800"/>
                <wp:effectExtent l="0" t="0" r="0" b="6350"/>
                <wp:wrapSquare wrapText="bothSides"/>
                <wp:docPr id="8" name="Text Box 8"/>
                <wp:cNvGraphicFramePr/>
                <a:graphic xmlns:a="http://schemas.openxmlformats.org/drawingml/2006/main">
                  <a:graphicData uri="http://schemas.microsoft.com/office/word/2010/wordprocessingShape">
                    <wps:wsp>
                      <wps:cNvSpPr txBox="1"/>
                      <wps:spPr>
                        <a:xfrm>
                          <a:off x="0" y="0"/>
                          <a:ext cx="6267450" cy="431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34AE8D8C" w14:textId="77777777" w:rsidR="0097522C" w:rsidRPr="00CD41A0" w:rsidRDefault="0097522C" w:rsidP="0097522C">
                            <w:pPr>
                              <w:pStyle w:val="EEPRUTitlePageAdditionalTitleInfoandDate"/>
                              <w:rPr>
                                <w:bCs/>
                                <w:sz w:val="32"/>
                                <w:szCs w:val="32"/>
                              </w:rPr>
                            </w:pPr>
                          </w:p>
                          <w:p w14:paraId="2778FEB7" w14:textId="77777777" w:rsidR="0097522C" w:rsidRDefault="0097522C" w:rsidP="0097522C">
                            <w:pPr>
                              <w:pStyle w:val="EEPRUTitlePageAdditionalTitleInfoandDat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3FDDA3" id="_x0000_t202" coordsize="21600,21600" o:spt="202" path="m,l,21600r21600,l21600,xe">
                <v:stroke joinstyle="miter"/>
                <v:path gradientshapeok="t" o:connecttype="rect"/>
              </v:shapetype>
              <v:shape id="Text Box 8" o:spid="_x0000_s1026" type="#_x0000_t202" style="position:absolute;left:0;text-align:left;margin-left:-1in;margin-top:180.55pt;width:493.5pt;height:3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" filled="f" stroked="f">
                <v:textbox>
                  <w:txbxContent>
                    <w:p w14:paraId="34AE8D8C" w14:textId="77777777" w:rsidR="0097522C" w:rsidRPr="00CD41A0" w:rsidRDefault="0097522C" w:rsidP="0097522C">
                      <w:pPr>
                        <w:pStyle w:val="EEPRUTitlePageAdditionalTitleInfoandDate"/>
                        <w:rPr>
                          <w:bCs/>
                          <w:sz w:val="32"/>
                          <w:szCs w:val="32"/>
                        </w:rPr>
                      </w:pPr>
                    </w:p>
                    <w:p w14:paraId="2778FEB7" w14:textId="77777777" w:rsidR="0097522C" w:rsidRDefault="0097522C" w:rsidP="0097522C">
                      <w:pPr>
                        <w:pStyle w:val="EEPRUTitlePageAdditionalTitleInfoandDate"/>
                      </w:pPr>
                    </w:p>
                  </w:txbxContent>
                </v:textbox>
                <w10:wrap type="square" anchorx="margin"/>
              </v:shape>
            </w:pict>
          </mc:Fallback>
        </mc:AlternateContent>
      </w:r>
    </w:p>
    <w:p w14:paraId="3AE44541" w14:textId="50D274DF" w:rsidR="0097522C" w:rsidRPr="006A4082" w:rsidRDefault="0097522C" w:rsidP="0097522C">
      <w:pPr>
        <w:spacing w:line="360" w:lineRule="auto"/>
        <w:jc w:val="both"/>
        <w:rPr>
          <w:rFonts w:asciiTheme="majorBidi" w:hAnsiTheme="majorBidi" w:cstheme="majorBidi"/>
          <w:b/>
          <w:sz w:val="26"/>
          <w:szCs w:val="26"/>
        </w:rPr>
      </w:pPr>
    </w:p>
    <w:p w14:paraId="1FBA3DB6" w14:textId="42CB6468" w:rsidR="0097522C" w:rsidRDefault="005A3EA2">
      <w:pPr>
        <w:rPr>
          <w:b/>
          <w:sz w:val="32"/>
          <w:szCs w:val="40"/>
        </w:rPr>
      </w:pPr>
      <w:r w:rsidRPr="009D35E4">
        <w:rPr>
          <w:noProof/>
        </w:rPr>
        <mc:AlternateContent>
          <mc:Choice Requires="wps">
            <w:drawing>
              <wp:anchor distT="0" distB="0" distL="114300" distR="114300" simplePos="0" relativeHeight="251660288" behindDoc="0" locked="0" layoutInCell="1" allowOverlap="1" wp14:anchorId="3649D113" wp14:editId="13D0D5E9">
                <wp:simplePos x="0" y="0"/>
                <wp:positionH relativeFrom="column">
                  <wp:posOffset>-259080</wp:posOffset>
                </wp:positionH>
                <wp:positionV relativeFrom="paragraph">
                  <wp:posOffset>371985</wp:posOffset>
                </wp:positionV>
                <wp:extent cx="6646545" cy="2190750"/>
                <wp:effectExtent l="0" t="0" r="0" b="0"/>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6545" cy="21907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259D197" w14:textId="039F8319" w:rsidR="0097522C" w:rsidRDefault="0097522C" w:rsidP="0097522C">
                            <w:pPr>
                              <w:spacing w:after="240"/>
                              <w:jc w:val="center"/>
                              <w:rPr>
                                <w:rFonts w:ascii="Helvetica" w:hAnsi="Helvetica" w:cs="HelveticaNeue-Bold"/>
                                <w:b/>
                                <w:bCs/>
                                <w:color w:val="092E41"/>
                                <w:sz w:val="50"/>
                                <w:szCs w:val="50"/>
                              </w:rPr>
                            </w:pPr>
                            <w:r>
                              <w:rPr>
                                <w:rFonts w:ascii="Helvetica" w:hAnsi="Helvetica" w:cs="HelveticaNeue-Bold"/>
                                <w:b/>
                                <w:bCs/>
                                <w:color w:val="092E41"/>
                                <w:sz w:val="50"/>
                                <w:szCs w:val="50"/>
                              </w:rPr>
                              <w:t>Final report for the technology evaluation of c</w:t>
                            </w:r>
                            <w:r w:rsidRPr="009D10CA">
                              <w:rPr>
                                <w:rFonts w:ascii="Helvetica" w:hAnsi="Helvetica" w:cs="HelveticaNeue-Bold"/>
                                <w:b/>
                                <w:bCs/>
                                <w:color w:val="092E41"/>
                                <w:sz w:val="50"/>
                                <w:szCs w:val="50"/>
                              </w:rPr>
                              <w:t>eftazidime with avibactam</w:t>
                            </w:r>
                            <w:r>
                              <w:rPr>
                                <w:rFonts w:ascii="Helvetica" w:hAnsi="Helvetica" w:cs="HelveticaNeue-Bold"/>
                                <w:b/>
                                <w:bCs/>
                                <w:color w:val="092E41"/>
                                <w:sz w:val="50"/>
                                <w:szCs w:val="50"/>
                              </w:rPr>
                              <w:t>: addendum relating to scenario analyses</w:t>
                            </w:r>
                          </w:p>
                          <w:p w14:paraId="3ACA50D8" w14:textId="3AA7E72B" w:rsidR="0097522C" w:rsidRPr="00CD41A0" w:rsidRDefault="005A3EA2" w:rsidP="0097522C">
                            <w:pPr>
                              <w:pStyle w:val="BasicParagraph"/>
                              <w:suppressAutoHyphens/>
                              <w:jc w:val="center"/>
                              <w:rPr>
                                <w:rFonts w:ascii="Helvetica" w:hAnsi="Helvetica" w:cs="HelveticaNeue-Bold"/>
                                <w:b/>
                                <w:bCs/>
                                <w:color w:val="6D8A9A"/>
                                <w:spacing w:val="-3"/>
                                <w:sz w:val="32"/>
                                <w:szCs w:val="32"/>
                              </w:rPr>
                            </w:pPr>
                            <w:r>
                              <w:rPr>
                                <w:rFonts w:ascii="Helvetica" w:hAnsi="Helvetica" w:cs="HelveticaNeue-Bold"/>
                                <w:b/>
                                <w:bCs/>
                                <w:color w:val="6D8A9A"/>
                                <w:spacing w:val="-3"/>
                                <w:sz w:val="32"/>
                                <w:szCs w:val="32"/>
                              </w:rPr>
                              <w:t>20</w:t>
                            </w:r>
                            <w:r w:rsidR="0097522C" w:rsidRPr="0097522C">
                              <w:rPr>
                                <w:rFonts w:ascii="Helvetica" w:hAnsi="Helvetica" w:cs="HelveticaNeue-Bold"/>
                                <w:b/>
                                <w:bCs/>
                                <w:color w:val="6D8A9A"/>
                                <w:spacing w:val="-3"/>
                                <w:sz w:val="32"/>
                                <w:szCs w:val="32"/>
                                <w:vertAlign w:val="superscript"/>
                              </w:rPr>
                              <w:t>th</w:t>
                            </w:r>
                            <w:r w:rsidR="0097522C">
                              <w:rPr>
                                <w:rFonts w:ascii="Helvetica" w:hAnsi="Helvetica" w:cs="HelveticaNeue-Bold"/>
                                <w:b/>
                                <w:bCs/>
                                <w:color w:val="6D8A9A"/>
                                <w:spacing w:val="-3"/>
                                <w:sz w:val="32"/>
                                <w:szCs w:val="32"/>
                              </w:rPr>
                              <w:t xml:space="preserve"> January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9D113" id="Text Box 22" o:spid="_x0000_s1027" type="#_x0000_t202" style="position:absolute;margin-left:-20.4pt;margin-top:29.3pt;width:523.3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" filled="f" stroked="f">
                <v:textbox>
                  <w:txbxContent>
                    <w:p w14:paraId="3259D197" w14:textId="039F8319" w:rsidR="0097522C" w:rsidRDefault="0097522C" w:rsidP="0097522C">
                      <w:pPr>
                        <w:spacing w:after="240"/>
                        <w:jc w:val="center"/>
                        <w:rPr>
                          <w:rFonts w:ascii="Helvetica" w:hAnsi="Helvetica" w:cs="HelveticaNeue-Bold"/>
                          <w:b/>
                          <w:bCs/>
                          <w:color w:val="092E41"/>
                          <w:sz w:val="50"/>
                          <w:szCs w:val="50"/>
                        </w:rPr>
                      </w:pPr>
                      <w:r>
                        <w:rPr>
                          <w:rFonts w:ascii="Helvetica" w:hAnsi="Helvetica" w:cs="HelveticaNeue-Bold"/>
                          <w:b/>
                          <w:bCs/>
                          <w:color w:val="092E41"/>
                          <w:sz w:val="50"/>
                          <w:szCs w:val="50"/>
                        </w:rPr>
                        <w:t>Final report for the technology evaluation of c</w:t>
                      </w:r>
                      <w:r w:rsidRPr="009D10CA">
                        <w:rPr>
                          <w:rFonts w:ascii="Helvetica" w:hAnsi="Helvetica" w:cs="HelveticaNeue-Bold"/>
                          <w:b/>
                          <w:bCs/>
                          <w:color w:val="092E41"/>
                          <w:sz w:val="50"/>
                          <w:szCs w:val="50"/>
                        </w:rPr>
                        <w:t>eftazidime with avibactam</w:t>
                      </w:r>
                      <w:r>
                        <w:rPr>
                          <w:rFonts w:ascii="Helvetica" w:hAnsi="Helvetica" w:cs="HelveticaNeue-Bold"/>
                          <w:b/>
                          <w:bCs/>
                          <w:color w:val="092E41"/>
                          <w:sz w:val="50"/>
                          <w:szCs w:val="50"/>
                        </w:rPr>
                        <w:t>: addendum relating to scenario analyses</w:t>
                      </w:r>
                    </w:p>
                    <w:p w14:paraId="3ACA50D8" w14:textId="3AA7E72B" w:rsidR="0097522C" w:rsidRPr="00CD41A0" w:rsidRDefault="005A3EA2" w:rsidP="0097522C">
                      <w:pPr>
                        <w:pStyle w:val="BasicParagraph"/>
                        <w:suppressAutoHyphens/>
                        <w:jc w:val="center"/>
                        <w:rPr>
                          <w:rFonts w:ascii="Helvetica" w:hAnsi="Helvetica" w:cs="HelveticaNeue-Bold"/>
                          <w:b/>
                          <w:bCs/>
                          <w:color w:val="6D8A9A"/>
                          <w:spacing w:val="-3"/>
                          <w:sz w:val="32"/>
                          <w:szCs w:val="32"/>
                        </w:rPr>
                      </w:pPr>
                      <w:r>
                        <w:rPr>
                          <w:rFonts w:ascii="Helvetica" w:hAnsi="Helvetica" w:cs="HelveticaNeue-Bold"/>
                          <w:b/>
                          <w:bCs/>
                          <w:color w:val="6D8A9A"/>
                          <w:spacing w:val="-3"/>
                          <w:sz w:val="32"/>
                          <w:szCs w:val="32"/>
                        </w:rPr>
                        <w:t>20</w:t>
                      </w:r>
                      <w:r w:rsidR="0097522C" w:rsidRPr="0097522C">
                        <w:rPr>
                          <w:rFonts w:ascii="Helvetica" w:hAnsi="Helvetica" w:cs="HelveticaNeue-Bold"/>
                          <w:b/>
                          <w:bCs/>
                          <w:color w:val="6D8A9A"/>
                          <w:spacing w:val="-3"/>
                          <w:sz w:val="32"/>
                          <w:szCs w:val="32"/>
                          <w:vertAlign w:val="superscript"/>
                        </w:rPr>
                        <w:t>th</w:t>
                      </w:r>
                      <w:r w:rsidR="0097522C">
                        <w:rPr>
                          <w:rFonts w:ascii="Helvetica" w:hAnsi="Helvetica" w:cs="HelveticaNeue-Bold"/>
                          <w:b/>
                          <w:bCs/>
                          <w:color w:val="6D8A9A"/>
                          <w:spacing w:val="-3"/>
                          <w:sz w:val="32"/>
                          <w:szCs w:val="32"/>
                        </w:rPr>
                        <w:t xml:space="preserve"> January 2022</w:t>
                      </w:r>
                    </w:p>
                  </w:txbxContent>
                </v:textbox>
                <w10:wrap type="square"/>
              </v:shape>
            </w:pict>
          </mc:Fallback>
        </mc:AlternateContent>
      </w:r>
      <w:r w:rsidR="0097522C">
        <w:rPr>
          <w:noProof/>
        </w:rPr>
        <w:drawing>
          <wp:anchor distT="0" distB="0" distL="114300" distR="114300" simplePos="0" relativeHeight="251665408" behindDoc="1" locked="0" layoutInCell="1" allowOverlap="1" wp14:anchorId="7D03DD23" wp14:editId="0FD7C951">
            <wp:simplePos x="0" y="0"/>
            <wp:positionH relativeFrom="margin">
              <wp:posOffset>4009463</wp:posOffset>
            </wp:positionH>
            <wp:positionV relativeFrom="paragraph">
              <wp:posOffset>4945890</wp:posOffset>
            </wp:positionV>
            <wp:extent cx="2277745" cy="476250"/>
            <wp:effectExtent l="0" t="0" r="8255" b="0"/>
            <wp:wrapTight wrapText="bothSides">
              <wp:wrapPolygon edited="0">
                <wp:start x="0" y="0"/>
                <wp:lineTo x="0" y="20736"/>
                <wp:lineTo x="21498" y="20736"/>
                <wp:lineTo x="21498" y="0"/>
                <wp:lineTo x="0" y="0"/>
              </wp:wrapPolygon>
            </wp:wrapTight>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277745" cy="476250"/>
                    </a:xfrm>
                    <a:prstGeom prst="rect">
                      <a:avLst/>
                    </a:prstGeom>
                  </pic:spPr>
                </pic:pic>
              </a:graphicData>
            </a:graphic>
            <wp14:sizeRelH relativeFrom="margin">
              <wp14:pctWidth>0</wp14:pctWidth>
            </wp14:sizeRelH>
            <wp14:sizeRelV relativeFrom="margin">
              <wp14:pctHeight>0</wp14:pctHeight>
            </wp14:sizeRelV>
          </wp:anchor>
        </w:drawing>
      </w:r>
      <w:r w:rsidR="0097522C">
        <w:br w:type="page"/>
      </w:r>
    </w:p>
    <w:p w14:paraId="00000003" w14:textId="2F245414" w:rsidR="004351A4" w:rsidRPr="00593DE9" w:rsidRDefault="0083584A" w:rsidP="00593DE9">
      <w:pPr>
        <w:pStyle w:val="Heading1"/>
      </w:pPr>
      <w:r>
        <w:lastRenderedPageBreak/>
        <w:t>Scenario 1: F</w:t>
      </w:r>
      <w:r w:rsidR="00A91706">
        <w:t>uture population health gains scenario</w:t>
      </w:r>
    </w:p>
    <w:p w14:paraId="00000005" w14:textId="3CB9CC8C" w:rsidR="004351A4" w:rsidRDefault="00A91706" w:rsidP="0097522C">
      <w:pPr>
        <w:pStyle w:val="Heading2"/>
      </w:pPr>
      <w:r>
        <w:t xml:space="preserve">Background </w:t>
      </w:r>
    </w:p>
    <w:p w14:paraId="00000006" w14:textId="55D117DC" w:rsidR="004351A4" w:rsidRDefault="0097522C" w:rsidP="0097522C">
      <w:pPr>
        <w:jc w:val="both"/>
      </w:pPr>
      <w:r>
        <w:t>Based on</w:t>
      </w:r>
      <w:r w:rsidR="00A91706">
        <w:t xml:space="preserve"> advice from clinical advisors, EEPRU has modelled a level of expected usage for the new antimicrobials (CAZ-AVI and cefiderocol) that reflects a relatively restrictive stewardship policy. An important expected benefit of such a policy is that future cohorts of patients can benefit from the new drugs as they will continue to be effective in the long term. These longer-term population health gains resulting from restricted short-term use have been described in the literature as </w:t>
      </w:r>
      <w:r w:rsidR="00A7690D">
        <w:t>‘</w:t>
      </w:r>
      <w:r w:rsidR="00A91706">
        <w:t>insurance value</w:t>
      </w:r>
      <w:r w:rsidR="00A7690D">
        <w:t>’</w:t>
      </w:r>
      <w:r w:rsidR="00A91706">
        <w:t>.  Feedback from NICE, the committee and consultees to the NICE process has questioned the extent to which the EEPRU evaluation work fully captures this aspect of benefit from the new products.</w:t>
      </w:r>
    </w:p>
    <w:p w14:paraId="00000007" w14:textId="77777777" w:rsidR="004351A4" w:rsidRDefault="004351A4" w:rsidP="0097522C">
      <w:pPr>
        <w:jc w:val="both"/>
      </w:pPr>
    </w:p>
    <w:p w14:paraId="00000008" w14:textId="77777777" w:rsidR="004351A4" w:rsidRDefault="00A91706" w:rsidP="0097522C">
      <w:pPr>
        <w:jc w:val="both"/>
      </w:pPr>
      <w:r>
        <w:t xml:space="preserve">The EEPRU evaluation work has captured these long-term benefits to the extent that they accrue to patients within the quantified areas of expected usage, and assuming that, within these highly resistant infections, the level of resistance to existing drugs is constant over time. The latter assumption was based on available time series data on drug susceptibility. </w:t>
      </w:r>
    </w:p>
    <w:p w14:paraId="00000009" w14:textId="77777777" w:rsidR="004351A4" w:rsidRDefault="004351A4" w:rsidP="0097522C">
      <w:pPr>
        <w:jc w:val="both"/>
      </w:pPr>
    </w:p>
    <w:p w14:paraId="0000000A" w14:textId="3184D4CC" w:rsidR="004351A4" w:rsidRDefault="00A91706" w:rsidP="0097522C">
      <w:pPr>
        <w:jc w:val="both"/>
      </w:pPr>
      <w:r>
        <w:t xml:space="preserve">There are </w:t>
      </w:r>
      <w:r w:rsidR="00A7690D">
        <w:t>several</w:t>
      </w:r>
      <w:r>
        <w:t xml:space="preserve"> reasons why this may not fully quantify longer-term benefits: </w:t>
      </w:r>
    </w:p>
    <w:p w14:paraId="0000000B" w14:textId="77777777" w:rsidR="004351A4" w:rsidRDefault="004351A4" w:rsidP="0097522C">
      <w:pPr>
        <w:jc w:val="both"/>
      </w:pPr>
    </w:p>
    <w:p w14:paraId="1FE1D9B3" w14:textId="2467D95E" w:rsidR="00A7690D" w:rsidRDefault="00A91706" w:rsidP="0097522C">
      <w:pPr>
        <w:pStyle w:val="ListParagraph"/>
        <w:numPr>
          <w:ilvl w:val="0"/>
          <w:numId w:val="3"/>
        </w:numPr>
        <w:jc w:val="both"/>
      </w:pPr>
      <w:r>
        <w:t>We may see higher levels of resistance to existing drugs within the areas of expected usage over time.</w:t>
      </w:r>
    </w:p>
    <w:p w14:paraId="5446BD3A" w14:textId="3F336FC6" w:rsidR="00A7690D" w:rsidRDefault="00A91706" w:rsidP="00191C92">
      <w:pPr>
        <w:pStyle w:val="ListParagraph"/>
        <w:numPr>
          <w:ilvl w:val="0"/>
          <w:numId w:val="3"/>
        </w:numPr>
        <w:jc w:val="both"/>
      </w:pPr>
      <w:r>
        <w:t>We may see multi-drug resistant pathogens</w:t>
      </w:r>
      <w:r w:rsidR="00A7690D">
        <w:t>,</w:t>
      </w:r>
      <w:r>
        <w:t xml:space="preserve"> against which the new drugs are effective</w:t>
      </w:r>
      <w:r w:rsidR="00A7690D">
        <w:t>,</w:t>
      </w:r>
      <w:r>
        <w:t xml:space="preserve"> emerge that are currently rare or even unknown. </w:t>
      </w:r>
    </w:p>
    <w:p w14:paraId="0000000E" w14:textId="07918B6E" w:rsidR="004351A4" w:rsidRDefault="00A91706" w:rsidP="00E953E3">
      <w:pPr>
        <w:pStyle w:val="ListParagraph"/>
        <w:numPr>
          <w:ilvl w:val="0"/>
          <w:numId w:val="3"/>
        </w:numPr>
        <w:jc w:val="both"/>
      </w:pPr>
      <w:r>
        <w:t>We may see pathogens that are currently treatable with existing therapies (and are not therefore included in the areas of expected usage) become resistant.</w:t>
      </w:r>
    </w:p>
    <w:p w14:paraId="0000000F" w14:textId="77777777" w:rsidR="004351A4" w:rsidRDefault="00A91706" w:rsidP="0097522C">
      <w:pPr>
        <w:jc w:val="both"/>
      </w:pPr>
      <w:r>
        <w:t xml:space="preserve"> </w:t>
      </w:r>
    </w:p>
    <w:p w14:paraId="00000010" w14:textId="31E6601A" w:rsidR="004351A4" w:rsidRDefault="00A91706" w:rsidP="0097522C">
      <w:pPr>
        <w:jc w:val="both"/>
      </w:pPr>
      <w:r>
        <w:t>If one or more of these factors emerge, they would be expected to occur in the long-term and quite possibly beyond 20 years.</w:t>
      </w:r>
    </w:p>
    <w:p w14:paraId="6E01A26E" w14:textId="4FC13FC2" w:rsidR="008D53ED" w:rsidRDefault="008D53ED" w:rsidP="0097522C">
      <w:pPr>
        <w:jc w:val="both"/>
      </w:pPr>
    </w:p>
    <w:p w14:paraId="00000011" w14:textId="3E329942" w:rsidR="004351A4" w:rsidRDefault="00593DE9" w:rsidP="0097522C">
      <w:pPr>
        <w:jc w:val="both"/>
      </w:pPr>
      <w:r>
        <w:t xml:space="preserve">Conducting quantitative modelling of these effects is unavoidably highly speculative; however, the committee may wish to reflect on these possibilities. Therefore, EEPRU has </w:t>
      </w:r>
      <w:r w:rsidR="00A7690D">
        <w:t>developed</w:t>
      </w:r>
      <w:r>
        <w:t xml:space="preserve"> an additional scenario for exploring the magnitude of these effects. </w:t>
      </w:r>
    </w:p>
    <w:p w14:paraId="00000012" w14:textId="16B5A396" w:rsidR="004351A4" w:rsidRDefault="00A042AE" w:rsidP="00593DE9">
      <w:pPr>
        <w:pStyle w:val="Heading2"/>
      </w:pPr>
      <w:r>
        <w:t>Methods</w:t>
      </w:r>
    </w:p>
    <w:p w14:paraId="6D28DAAE" w14:textId="62516AC8" w:rsidR="00593DE9" w:rsidRDefault="00593DE9" w:rsidP="0026475D">
      <w:pPr>
        <w:jc w:val="both"/>
      </w:pPr>
      <w:r w:rsidRPr="00593DE9">
        <w:t xml:space="preserve">The scenario aimed to explore the effect </w:t>
      </w:r>
      <w:r w:rsidR="00343351">
        <w:t xml:space="preserve">on incremental net health </w:t>
      </w:r>
      <w:r w:rsidR="00343351" w:rsidRPr="007941E2">
        <w:t xml:space="preserve">effects (INHEs) </w:t>
      </w:r>
      <w:r w:rsidRPr="007941E2">
        <w:t xml:space="preserve">of </w:t>
      </w:r>
      <w:r w:rsidR="003F12C0" w:rsidRPr="007941E2">
        <w:t>CAZ-AVI</w:t>
      </w:r>
      <w:r w:rsidRPr="007941E2">
        <w:t xml:space="preserve"> in case of emergence of multi-resistant pathogens against which CAZ-AVI is the only effective treatment</w:t>
      </w:r>
      <w:r w:rsidR="005B6797" w:rsidRPr="007941E2">
        <w:t xml:space="preserve"> and, in that product’s absence, clinicians would be forced to use multidrug salvage therapy</w:t>
      </w:r>
      <w:r w:rsidRPr="007941E2">
        <w:t>.</w:t>
      </w:r>
    </w:p>
    <w:p w14:paraId="0FE077DD" w14:textId="5E9B3010" w:rsidR="00593DE9" w:rsidRDefault="00593DE9" w:rsidP="0026475D">
      <w:pPr>
        <w:pStyle w:val="Heading3"/>
        <w:spacing w:line="276" w:lineRule="auto"/>
      </w:pPr>
      <w:r>
        <w:t>Patient-level benefit</w:t>
      </w:r>
    </w:p>
    <w:p w14:paraId="6DC3BEA3" w14:textId="23CDC291" w:rsidR="00F43762" w:rsidRPr="00F43762" w:rsidRDefault="003F12C0" w:rsidP="000B481E">
      <w:pPr>
        <w:jc w:val="both"/>
        <w:rPr>
          <w:rFonts w:cs="Times New Roman"/>
        </w:rPr>
      </w:pPr>
      <w:r>
        <w:t xml:space="preserve">The patient-level benefit was derived by adapting the model in the EEPRU report. Specifically, we assumed </w:t>
      </w:r>
      <w:r w:rsidR="00593DE9">
        <w:t>that</w:t>
      </w:r>
      <w:r w:rsidR="00E50675">
        <w:t>,</w:t>
      </w:r>
      <w:r w:rsidR="00593DE9">
        <w:t xml:space="preserve"> in patients with these new </w:t>
      </w:r>
      <w:r w:rsidR="00E50675">
        <w:t>highly</w:t>
      </w:r>
      <w:r w:rsidR="00593DE9">
        <w:t xml:space="preserve"> resistant infections, existing therapies are no longer effective. </w:t>
      </w:r>
      <w:r w:rsidR="00E50675">
        <w:t>In this model, t</w:t>
      </w:r>
      <w:r w:rsidR="00A91706">
        <w:t xml:space="preserve">his </w:t>
      </w:r>
      <w:r w:rsidR="00593DE9">
        <w:t>was</w:t>
      </w:r>
      <w:r w:rsidR="00A91706">
        <w:t xml:space="preserve"> achieved by setting the susceptibility </w:t>
      </w:r>
      <w:r w:rsidR="00593DE9">
        <w:t>for</w:t>
      </w:r>
      <w:r w:rsidR="00A91706">
        <w:t xml:space="preserve"> all comparators to zero. Under this </w:t>
      </w:r>
      <w:r w:rsidR="00343351">
        <w:t xml:space="preserve">illustrative </w:t>
      </w:r>
      <w:r w:rsidR="00A91706">
        <w:t>scenario</w:t>
      </w:r>
      <w:r w:rsidR="00E50675">
        <w:t>,</w:t>
      </w:r>
      <w:r w:rsidR="00A91706">
        <w:t xml:space="preserve"> no safety differences </w:t>
      </w:r>
      <w:r w:rsidR="00343351">
        <w:t>are assumed</w:t>
      </w:r>
      <w:r w:rsidR="00A91706">
        <w:t xml:space="preserve"> as it is expected that, if treatments become completely ineffective, no treatment or only safe antimicrobials will be used. </w:t>
      </w:r>
      <w:r w:rsidR="00343351">
        <w:t>Furthermore, t</w:t>
      </w:r>
      <w:r w:rsidR="00A91706">
        <w:t xml:space="preserve">he </w:t>
      </w:r>
      <w:r w:rsidR="002A4679">
        <w:t>s</w:t>
      </w:r>
      <w:r w:rsidR="00E4160C">
        <w:t xml:space="preserve">usceptibility for CAZ-AVI </w:t>
      </w:r>
      <w:r w:rsidR="00343351">
        <w:t>is</w:t>
      </w:r>
      <w:r w:rsidR="00E4160C">
        <w:t xml:space="preserve"> set to 90% (an estimate broadly reflecting the susceptibility across </w:t>
      </w:r>
      <w:r w:rsidR="00E4160C" w:rsidRPr="00F43762">
        <w:rPr>
          <w:rFonts w:cs="Times New Roman"/>
        </w:rPr>
        <w:lastRenderedPageBreak/>
        <w:t xml:space="preserve">different scenarios in the report), and </w:t>
      </w:r>
      <w:r w:rsidR="00A91706" w:rsidRPr="00F43762">
        <w:rPr>
          <w:rFonts w:cs="Times New Roman"/>
        </w:rPr>
        <w:t xml:space="preserve">maintained at </w:t>
      </w:r>
      <w:r w:rsidR="002A4679" w:rsidRPr="00F43762">
        <w:rPr>
          <w:rFonts w:cs="Times New Roman"/>
        </w:rPr>
        <w:t xml:space="preserve">this level </w:t>
      </w:r>
      <w:r w:rsidR="00A91706" w:rsidRPr="00F43762">
        <w:rPr>
          <w:rFonts w:cs="Times New Roman"/>
        </w:rPr>
        <w:t>over the long-term</w:t>
      </w:r>
      <w:r w:rsidR="00343351" w:rsidRPr="00F43762">
        <w:rPr>
          <w:rFonts w:cs="Times New Roman"/>
        </w:rPr>
        <w:t>,</w:t>
      </w:r>
      <w:r w:rsidR="00A91706" w:rsidRPr="00F43762">
        <w:rPr>
          <w:rFonts w:cs="Times New Roman"/>
        </w:rPr>
        <w:t xml:space="preserve"> </w:t>
      </w:r>
      <w:r w:rsidR="00343351" w:rsidRPr="00F43762">
        <w:rPr>
          <w:rFonts w:cs="Times New Roman"/>
        </w:rPr>
        <w:t>al</w:t>
      </w:r>
      <w:r w:rsidR="00A91706" w:rsidRPr="00F43762">
        <w:rPr>
          <w:rFonts w:cs="Times New Roman"/>
        </w:rPr>
        <w:t>though we note that this is likely to overestimate INHEs</w:t>
      </w:r>
      <w:r w:rsidR="008D53ED">
        <w:rPr>
          <w:rFonts w:cs="Times New Roman"/>
        </w:rPr>
        <w:t xml:space="preserve"> as susceptibility to CAZ-AVI may be expected to wane over time</w:t>
      </w:r>
      <w:r w:rsidR="00A91706" w:rsidRPr="00F43762">
        <w:rPr>
          <w:rFonts w:cs="Times New Roman"/>
        </w:rPr>
        <w:t xml:space="preserve">. </w:t>
      </w:r>
    </w:p>
    <w:p w14:paraId="3CCB70E2" w14:textId="1DB7570F" w:rsidR="00BA1525" w:rsidRPr="00171777" w:rsidRDefault="00BA1525" w:rsidP="000B481E">
      <w:pPr>
        <w:spacing w:before="100" w:beforeAutospacing="1" w:after="100" w:afterAutospacing="1"/>
        <w:jc w:val="both"/>
        <w:rPr>
          <w:rFonts w:eastAsia="Times New Roman" w:cs="Times New Roman"/>
          <w:color w:val="000000"/>
        </w:rPr>
      </w:pPr>
      <w:r w:rsidRPr="00171777">
        <w:rPr>
          <w:rFonts w:cs="Times New Roman"/>
        </w:rPr>
        <w:t>I</w:t>
      </w:r>
      <w:r w:rsidR="00F43762" w:rsidRPr="00171777">
        <w:rPr>
          <w:rFonts w:eastAsia="Times New Roman" w:cs="Times New Roman"/>
          <w:color w:val="000000"/>
        </w:rPr>
        <w:t xml:space="preserve">n the ES, we assume everyone gets CAZ-AVI or non-colistin/aminoglycosides (comparator), then 5 days later they </w:t>
      </w:r>
      <w:r w:rsidR="00655A30" w:rsidRPr="00171777">
        <w:rPr>
          <w:rFonts w:eastAsia="Times New Roman" w:cs="Times New Roman"/>
          <w:color w:val="000000"/>
        </w:rPr>
        <w:t xml:space="preserve">move into the MDS, and </w:t>
      </w:r>
      <w:r w:rsidR="00F43762" w:rsidRPr="00171777">
        <w:rPr>
          <w:rFonts w:eastAsia="Times New Roman" w:cs="Times New Roman"/>
          <w:color w:val="000000"/>
        </w:rPr>
        <w:t xml:space="preserve">switch to the treatment they are susceptible to. </w:t>
      </w:r>
      <w:r w:rsidR="003F0E2D">
        <w:rPr>
          <w:rFonts w:eastAsia="Times New Roman" w:cs="Times New Roman"/>
          <w:color w:val="000000"/>
        </w:rPr>
        <w:t xml:space="preserve"> </w:t>
      </w:r>
      <w:r w:rsidR="00F43762" w:rsidRPr="00171777">
        <w:rPr>
          <w:rFonts w:eastAsia="Times New Roman" w:cs="Times New Roman"/>
          <w:color w:val="000000"/>
        </w:rPr>
        <w:t xml:space="preserve">For both </w:t>
      </w:r>
      <w:r w:rsidR="00655A30" w:rsidRPr="00171777">
        <w:rPr>
          <w:rFonts w:eastAsia="Times New Roman" w:cs="Times New Roman"/>
          <w:color w:val="000000"/>
        </w:rPr>
        <w:t>CAZ-AVI and the comparator</w:t>
      </w:r>
      <w:r w:rsidR="00F43762" w:rsidRPr="00171777">
        <w:rPr>
          <w:rFonts w:eastAsia="Times New Roman" w:cs="Times New Roman"/>
          <w:color w:val="000000"/>
        </w:rPr>
        <w:t xml:space="preserve">, 80% of the patients </w:t>
      </w:r>
      <w:r w:rsidR="00171777" w:rsidRPr="00171777">
        <w:rPr>
          <w:rFonts w:eastAsia="Times New Roman" w:cs="Times New Roman"/>
          <w:color w:val="000000"/>
        </w:rPr>
        <w:t>are assumed n</w:t>
      </w:r>
      <w:r w:rsidR="00F43762" w:rsidRPr="00171777">
        <w:rPr>
          <w:rFonts w:eastAsia="Times New Roman" w:cs="Times New Roman"/>
          <w:color w:val="000000"/>
        </w:rPr>
        <w:t xml:space="preserve">ot have </w:t>
      </w:r>
      <w:r w:rsidR="00171777">
        <w:rPr>
          <w:rFonts w:eastAsia="Times New Roman" w:cs="Times New Roman"/>
          <w:color w:val="000000"/>
        </w:rPr>
        <w:t xml:space="preserve">the target MDR </w:t>
      </w:r>
      <w:r w:rsidR="00171777" w:rsidRPr="00171777">
        <w:rPr>
          <w:rFonts w:eastAsia="Times New Roman" w:cs="Times New Roman"/>
          <w:color w:val="000000"/>
        </w:rPr>
        <w:t xml:space="preserve">infection </w:t>
      </w:r>
      <w:r w:rsidR="00171777">
        <w:rPr>
          <w:rFonts w:cs="Times New Roman"/>
          <w:color w:val="000000"/>
        </w:rPr>
        <w:t>(as in the base-case modelling)</w:t>
      </w:r>
      <w:r w:rsidR="00171777">
        <w:rPr>
          <w:rFonts w:eastAsia="Times New Roman" w:cs="Times New Roman"/>
          <w:color w:val="000000"/>
        </w:rPr>
        <w:t xml:space="preserve"> and these patients</w:t>
      </w:r>
      <w:r w:rsidR="00F43762" w:rsidRPr="00171777">
        <w:rPr>
          <w:rFonts w:eastAsia="Times New Roman" w:cs="Times New Roman"/>
          <w:color w:val="000000"/>
        </w:rPr>
        <w:t xml:space="preserve"> receive something else</w:t>
      </w:r>
      <w:r w:rsidR="00171777">
        <w:rPr>
          <w:rFonts w:eastAsia="Times New Roman" w:cs="Times New Roman"/>
          <w:color w:val="000000"/>
        </w:rPr>
        <w:t xml:space="preserve">.  </w:t>
      </w:r>
      <w:r w:rsidR="003F0E2D">
        <w:rPr>
          <w:rFonts w:eastAsia="Times New Roman" w:cs="Times New Roman"/>
          <w:color w:val="000000"/>
        </w:rPr>
        <w:t>When CAZ-AVI is available, t</w:t>
      </w:r>
      <w:r w:rsidR="00171777">
        <w:rPr>
          <w:rFonts w:eastAsia="Times New Roman" w:cs="Times New Roman"/>
          <w:color w:val="000000"/>
        </w:rPr>
        <w:t>he</w:t>
      </w:r>
      <w:r w:rsidR="00F43762" w:rsidRPr="00171777">
        <w:rPr>
          <w:rFonts w:eastAsia="Times New Roman" w:cs="Times New Roman"/>
          <w:color w:val="000000"/>
        </w:rPr>
        <w:t xml:space="preserve"> 20% </w:t>
      </w:r>
      <w:r w:rsidR="00171777">
        <w:rPr>
          <w:rFonts w:eastAsia="Times New Roman" w:cs="Times New Roman"/>
          <w:color w:val="000000"/>
        </w:rPr>
        <w:t xml:space="preserve">who do have that </w:t>
      </w:r>
      <w:r w:rsidR="003F0E2D">
        <w:rPr>
          <w:rFonts w:eastAsia="Times New Roman" w:cs="Times New Roman"/>
          <w:color w:val="000000"/>
        </w:rPr>
        <w:t xml:space="preserve">target </w:t>
      </w:r>
      <w:r w:rsidR="00171777">
        <w:rPr>
          <w:rFonts w:eastAsia="Times New Roman" w:cs="Times New Roman"/>
          <w:color w:val="000000"/>
        </w:rPr>
        <w:t xml:space="preserve">infection </w:t>
      </w:r>
      <w:r w:rsidR="00F43762" w:rsidRPr="00171777">
        <w:rPr>
          <w:rFonts w:eastAsia="Times New Roman" w:cs="Times New Roman"/>
          <w:color w:val="000000"/>
        </w:rPr>
        <w:t>receive either CAZ-AVI</w:t>
      </w:r>
      <w:r w:rsidR="003F0E2D">
        <w:rPr>
          <w:rFonts w:eastAsia="Times New Roman" w:cs="Times New Roman"/>
          <w:color w:val="000000"/>
        </w:rPr>
        <w:t xml:space="preserve"> (for 90% who are susceptible) or </w:t>
      </w:r>
      <w:r w:rsidR="00F43762" w:rsidRPr="00171777">
        <w:rPr>
          <w:rFonts w:eastAsia="Times New Roman" w:cs="Times New Roman"/>
          <w:color w:val="000000"/>
        </w:rPr>
        <w:t xml:space="preserve">salvage therapy </w:t>
      </w:r>
      <w:r w:rsidR="003F0E2D">
        <w:rPr>
          <w:rFonts w:eastAsia="Times New Roman" w:cs="Times New Roman"/>
          <w:color w:val="000000"/>
        </w:rPr>
        <w:t>(for the 10% not susceptible to CAZ-AVI).  When CAZ-AVI is not available,</w:t>
      </w:r>
      <w:r w:rsidR="00F43762" w:rsidRPr="00171777">
        <w:rPr>
          <w:rFonts w:eastAsia="Times New Roman" w:cs="Times New Roman"/>
          <w:color w:val="000000"/>
        </w:rPr>
        <w:t xml:space="preserve"> 100% </w:t>
      </w:r>
      <w:r w:rsidR="003F0E2D">
        <w:rPr>
          <w:rFonts w:eastAsia="Times New Roman" w:cs="Times New Roman"/>
          <w:color w:val="000000"/>
        </w:rPr>
        <w:t xml:space="preserve">of patients receive </w:t>
      </w:r>
      <w:r w:rsidR="00F43762" w:rsidRPr="00171777">
        <w:rPr>
          <w:rFonts w:eastAsia="Times New Roman" w:cs="Times New Roman"/>
          <w:color w:val="000000"/>
        </w:rPr>
        <w:t>salvage therapy (</w:t>
      </w:r>
      <w:r w:rsidR="003F0E2D">
        <w:rPr>
          <w:rFonts w:eastAsia="Times New Roman" w:cs="Times New Roman"/>
          <w:color w:val="000000"/>
        </w:rPr>
        <w:t xml:space="preserve">the </w:t>
      </w:r>
      <w:r w:rsidR="00F43762" w:rsidRPr="00171777">
        <w:rPr>
          <w:rFonts w:eastAsia="Times New Roman" w:cs="Times New Roman"/>
          <w:color w:val="000000"/>
        </w:rPr>
        <w:t xml:space="preserve">comparator).  </w:t>
      </w:r>
    </w:p>
    <w:p w14:paraId="33F2A27E" w14:textId="6DE03E1D" w:rsidR="00E4160C" w:rsidRPr="00BA1525" w:rsidRDefault="00F43762" w:rsidP="000B481E">
      <w:pPr>
        <w:spacing w:before="100" w:beforeAutospacing="1" w:after="100" w:afterAutospacing="1"/>
        <w:jc w:val="both"/>
        <w:rPr>
          <w:rFonts w:eastAsia="Times New Roman" w:cs="Times New Roman"/>
          <w:color w:val="000000"/>
        </w:rPr>
      </w:pPr>
      <w:r w:rsidRPr="00F43762">
        <w:rPr>
          <w:rFonts w:eastAsia="Times New Roman" w:cs="Times New Roman"/>
          <w:color w:val="000000"/>
        </w:rPr>
        <w:t>In MDS we assume 90% CAZ-AVI/10% salvage therapy (when CAZ-AVI is available) or 100% salvage therapy (comparator).</w:t>
      </w:r>
    </w:p>
    <w:p w14:paraId="77DE34C3" w14:textId="2CA96197" w:rsidR="00E4160C" w:rsidRDefault="00E4160C" w:rsidP="000B481E">
      <w:pPr>
        <w:jc w:val="both"/>
      </w:pPr>
      <w:r>
        <w:t>The results represent the lifetime patient-level INHE</w:t>
      </w:r>
      <w:r w:rsidR="00343351">
        <w:t xml:space="preserve"> </w:t>
      </w:r>
      <w:r w:rsidR="002A4679">
        <w:t>of CAZ-AVI relative to multidrug salvage therapy</w:t>
      </w:r>
      <w:r>
        <w:t xml:space="preserve"> expressed in QALYs.</w:t>
      </w:r>
    </w:p>
    <w:p w14:paraId="5F9D7E92" w14:textId="388B50B0" w:rsidR="00E4160C" w:rsidRDefault="00E4160C" w:rsidP="000B481E">
      <w:pPr>
        <w:pStyle w:val="Heading3"/>
        <w:spacing w:line="276" w:lineRule="auto"/>
      </w:pPr>
      <w:r>
        <w:t>Population-level benefit</w:t>
      </w:r>
    </w:p>
    <w:p w14:paraId="08AC03DB" w14:textId="6F2433D4" w:rsidR="00933A4B" w:rsidRDefault="00933A4B" w:rsidP="000B481E">
      <w:pPr>
        <w:jc w:val="both"/>
      </w:pPr>
      <w:r>
        <w:t xml:space="preserve">To derive population-level benefits, patient level </w:t>
      </w:r>
      <w:r w:rsidR="005744C1">
        <w:t xml:space="preserve">INHE is </w:t>
      </w:r>
      <w:r>
        <w:t xml:space="preserve">multiplied by the expected population size </w:t>
      </w:r>
      <w:r w:rsidR="001376DD">
        <w:t>over the relevant time horizon</w:t>
      </w:r>
      <w:r w:rsidR="001561CB">
        <w:t xml:space="preserve"> </w:t>
      </w:r>
      <w:r w:rsidR="001376DD">
        <w:t>and the probability of th</w:t>
      </w:r>
      <w:r w:rsidR="00343351">
        <w:t>is</w:t>
      </w:r>
      <w:r w:rsidR="001376DD">
        <w:t xml:space="preserve"> scenario</w:t>
      </w:r>
      <w:r w:rsidR="00343351">
        <w:t xml:space="preserve"> occurring</w:t>
      </w:r>
      <w:r w:rsidR="001376DD">
        <w:t xml:space="preserve">. The patient-level </w:t>
      </w:r>
      <w:r w:rsidR="005744C1">
        <w:t xml:space="preserve">INHE </w:t>
      </w:r>
      <w:r w:rsidR="001376DD">
        <w:t xml:space="preserve">was assumed to remain constant over time. The population size </w:t>
      </w:r>
      <w:r w:rsidR="001561CB">
        <w:t xml:space="preserve">is </w:t>
      </w:r>
      <w:r w:rsidR="001376DD">
        <w:t xml:space="preserve">increased over time at a constant rate relative to baseline. </w:t>
      </w:r>
      <w:r w:rsidR="001376DD" w:rsidRPr="007941E2">
        <w:t xml:space="preserve">Population </w:t>
      </w:r>
      <w:r w:rsidR="00343351" w:rsidRPr="007941E2">
        <w:t xml:space="preserve">benefits </w:t>
      </w:r>
      <w:r w:rsidR="001376DD" w:rsidRPr="007941E2">
        <w:t>over time w</w:t>
      </w:r>
      <w:r w:rsidR="00343351" w:rsidRPr="007941E2">
        <w:t>ere</w:t>
      </w:r>
      <w:r w:rsidR="001376DD" w:rsidRPr="007941E2">
        <w:t xml:space="preserve"> discounted to reflect the delay in benefits received.</w:t>
      </w:r>
      <w:r w:rsidR="001561CB">
        <w:t xml:space="preserve">  Note that the relevant population here is not the same as the expected population in the main EEPRU report as these assumed to be entirely different pathogens.  </w:t>
      </w:r>
    </w:p>
    <w:p w14:paraId="188BB702" w14:textId="405FE86C" w:rsidR="00933A4B" w:rsidRDefault="00933A4B" w:rsidP="000B481E">
      <w:pPr>
        <w:jc w:val="both"/>
      </w:pPr>
    </w:p>
    <w:p w14:paraId="293251F9" w14:textId="305A22E1" w:rsidR="007652D1" w:rsidRDefault="00992DDA" w:rsidP="000B481E">
      <w:pPr>
        <w:jc w:val="both"/>
      </w:pPr>
      <w:r w:rsidRPr="00992DDA">
        <w:rPr>
          <w:color w:val="000000" w:themeColor="text1"/>
        </w:rPr>
        <w:t xml:space="preserve">The hypothetical nature of the scenario meant that there was no </w:t>
      </w:r>
      <w:r w:rsidR="000B481E">
        <w:rPr>
          <w:color w:val="000000" w:themeColor="text1"/>
        </w:rPr>
        <w:t>formal evidence</w:t>
      </w:r>
      <w:r w:rsidRPr="00992DDA">
        <w:rPr>
          <w:color w:val="000000" w:themeColor="text1"/>
        </w:rPr>
        <w:t xml:space="preserve"> to inform the extrapolation parameters and</w:t>
      </w:r>
      <w:r w:rsidR="000B481E">
        <w:rPr>
          <w:color w:val="000000" w:themeColor="text1"/>
        </w:rPr>
        <w:t>,</w:t>
      </w:r>
      <w:r w:rsidRPr="00992DDA">
        <w:rPr>
          <w:color w:val="000000" w:themeColor="text1"/>
        </w:rPr>
        <w:t xml:space="preserve"> a</w:t>
      </w:r>
      <w:r w:rsidR="00933A4B" w:rsidRPr="00992DDA">
        <w:rPr>
          <w:color w:val="000000" w:themeColor="text1"/>
        </w:rPr>
        <w:t>s result, the parameter</w:t>
      </w:r>
      <w:r w:rsidR="001376DD" w:rsidRPr="00992DDA">
        <w:rPr>
          <w:color w:val="000000" w:themeColor="text1"/>
        </w:rPr>
        <w:t xml:space="preserve"> range</w:t>
      </w:r>
      <w:r w:rsidR="00933A4B" w:rsidRPr="00992DDA">
        <w:rPr>
          <w:color w:val="000000" w:themeColor="text1"/>
        </w:rPr>
        <w:t>s</w:t>
      </w:r>
      <w:r w:rsidR="000B481E">
        <w:rPr>
          <w:color w:val="000000" w:themeColor="text1"/>
        </w:rPr>
        <w:t xml:space="preserve"> </w:t>
      </w:r>
      <w:r w:rsidR="00933A4B" w:rsidRPr="00992DDA">
        <w:rPr>
          <w:color w:val="000000" w:themeColor="text1"/>
        </w:rPr>
        <w:t xml:space="preserve">were </w:t>
      </w:r>
      <w:r w:rsidR="000B481E">
        <w:rPr>
          <w:color w:val="000000" w:themeColor="text1"/>
        </w:rPr>
        <w:t>provided</w:t>
      </w:r>
      <w:r w:rsidR="00933A4B" w:rsidRPr="00992DDA">
        <w:rPr>
          <w:color w:val="000000" w:themeColor="text1"/>
        </w:rPr>
        <w:t xml:space="preserve"> by the </w:t>
      </w:r>
      <w:r w:rsidR="00F43762">
        <w:rPr>
          <w:color w:val="000000" w:themeColor="text1"/>
        </w:rPr>
        <w:t>C</w:t>
      </w:r>
      <w:r w:rsidR="00933A4B" w:rsidRPr="00992DDA">
        <w:rPr>
          <w:color w:val="000000" w:themeColor="text1"/>
        </w:rPr>
        <w:t>ommittee</w:t>
      </w:r>
      <w:r w:rsidR="001376DD" w:rsidRPr="00992DDA">
        <w:rPr>
          <w:color w:val="000000" w:themeColor="text1"/>
        </w:rPr>
        <w:t>. H</w:t>
      </w:r>
      <w:r w:rsidR="00933A4B" w:rsidRPr="00992DDA">
        <w:rPr>
          <w:color w:val="000000" w:themeColor="text1"/>
        </w:rPr>
        <w:t xml:space="preserve">owever, given the highly speculative nature of the </w:t>
      </w:r>
      <w:r w:rsidR="001376DD" w:rsidRPr="00992DDA">
        <w:rPr>
          <w:color w:val="000000" w:themeColor="text1"/>
        </w:rPr>
        <w:t>analysis</w:t>
      </w:r>
      <w:r w:rsidR="00933A4B" w:rsidRPr="00992DDA">
        <w:rPr>
          <w:color w:val="000000" w:themeColor="text1"/>
        </w:rPr>
        <w:t xml:space="preserve">, </w:t>
      </w:r>
      <w:r w:rsidR="001376DD" w:rsidRPr="00992DDA">
        <w:rPr>
          <w:color w:val="000000" w:themeColor="text1"/>
        </w:rPr>
        <w:t>EEPRU provided a flexible Excel-based tool</w:t>
      </w:r>
      <w:r w:rsidR="000B481E">
        <w:rPr>
          <w:color w:val="000000" w:themeColor="text1"/>
        </w:rPr>
        <w:t>,</w:t>
      </w:r>
      <w:r w:rsidR="001376DD" w:rsidRPr="00992DDA">
        <w:rPr>
          <w:color w:val="000000" w:themeColor="text1"/>
        </w:rPr>
        <w:t xml:space="preserve"> </w:t>
      </w:r>
      <w:r w:rsidRPr="00992DDA">
        <w:rPr>
          <w:color w:val="000000" w:themeColor="text1"/>
        </w:rPr>
        <w:t>with user defined parameters</w:t>
      </w:r>
      <w:r>
        <w:rPr>
          <w:color w:val="000000" w:themeColor="text1"/>
        </w:rPr>
        <w:t>,</w:t>
      </w:r>
      <w:r w:rsidR="000B481E">
        <w:rPr>
          <w:color w:val="000000" w:themeColor="text1"/>
        </w:rPr>
        <w:t xml:space="preserve"> to support</w:t>
      </w:r>
      <w:r w:rsidRPr="00992DDA">
        <w:rPr>
          <w:color w:val="000000" w:themeColor="text1"/>
        </w:rPr>
        <w:t xml:space="preserve"> </w:t>
      </w:r>
      <w:r w:rsidR="000B481E">
        <w:rPr>
          <w:color w:val="000000" w:themeColor="text1"/>
        </w:rPr>
        <w:t>C</w:t>
      </w:r>
      <w:r w:rsidRPr="00992DDA">
        <w:rPr>
          <w:color w:val="000000" w:themeColor="text1"/>
        </w:rPr>
        <w:t>ommittee</w:t>
      </w:r>
      <w:r w:rsidR="000B481E">
        <w:rPr>
          <w:color w:val="000000" w:themeColor="text1"/>
        </w:rPr>
        <w:t xml:space="preserve"> deliberations</w:t>
      </w:r>
      <w:r w:rsidRPr="00992DDA">
        <w:rPr>
          <w:color w:val="000000" w:themeColor="text1"/>
        </w:rPr>
        <w:t xml:space="preserve"> </w:t>
      </w:r>
      <w:r w:rsidR="000B481E">
        <w:rPr>
          <w:color w:val="000000" w:themeColor="text1"/>
        </w:rPr>
        <w:t xml:space="preserve">in </w:t>
      </w:r>
      <w:r w:rsidRPr="00992DDA">
        <w:rPr>
          <w:color w:val="000000" w:themeColor="text1"/>
        </w:rPr>
        <w:t>assess</w:t>
      </w:r>
      <w:r w:rsidR="000B481E">
        <w:rPr>
          <w:color w:val="000000" w:themeColor="text1"/>
        </w:rPr>
        <w:t>ing</w:t>
      </w:r>
      <w:r w:rsidRPr="00992DDA">
        <w:rPr>
          <w:color w:val="000000" w:themeColor="text1"/>
        </w:rPr>
        <w:t xml:space="preserve"> the potential additional long-term health effects </w:t>
      </w:r>
      <w:r>
        <w:t>that may result from CAZ-AVI usage.</w:t>
      </w:r>
    </w:p>
    <w:p w14:paraId="55E6EB9D" w14:textId="403DF375" w:rsidR="007652D1" w:rsidRDefault="007652D1"/>
    <w:p w14:paraId="0CFF830C" w14:textId="349A0AE2" w:rsidR="00992DDA" w:rsidRDefault="00992DDA" w:rsidP="00992DDA">
      <w:pPr>
        <w:pStyle w:val="Caption"/>
        <w:keepNext/>
      </w:pPr>
      <w:bookmarkStart w:id="5" w:name="_Ref93412655"/>
      <w:r>
        <w:t xml:space="preserve">Table </w:t>
      </w:r>
      <w:fldSimple w:instr=" SEQ Table \* ARABIC ">
        <w:r w:rsidR="00D60EC4">
          <w:rPr>
            <w:noProof/>
          </w:rPr>
          <w:t>1</w:t>
        </w:r>
      </w:fldSimple>
      <w:bookmarkEnd w:id="5"/>
      <w:r>
        <w:t xml:space="preserve">. Extrapolation parameters </w:t>
      </w:r>
      <w:r w:rsidR="005B6797">
        <w:t>used in the base-case of the scenario and sensitivity analysis</w:t>
      </w:r>
    </w:p>
    <w:tbl>
      <w:tblPr>
        <w:tblStyle w:val="TableGrid"/>
        <w:tblW w:w="0" w:type="auto"/>
        <w:tblLook w:val="04A0" w:firstRow="1" w:lastRow="0" w:firstColumn="1" w:lastColumn="0" w:noHBand="0" w:noVBand="1"/>
      </w:tblPr>
      <w:tblGrid>
        <w:gridCol w:w="6236"/>
        <w:gridCol w:w="2551"/>
      </w:tblGrid>
      <w:tr w:rsidR="007652D1" w14:paraId="6F979379" w14:textId="77777777" w:rsidTr="007652D1">
        <w:tc>
          <w:tcPr>
            <w:tcW w:w="6236" w:type="dxa"/>
          </w:tcPr>
          <w:p w14:paraId="4B88B434" w14:textId="6ABA74B0" w:rsidR="007652D1" w:rsidRDefault="007652D1" w:rsidP="007652D1">
            <w:pPr>
              <w:spacing w:before="80" w:after="80"/>
            </w:pPr>
            <w:r>
              <w:t>User defined parameter</w:t>
            </w:r>
          </w:p>
        </w:tc>
        <w:tc>
          <w:tcPr>
            <w:tcW w:w="2551" w:type="dxa"/>
          </w:tcPr>
          <w:p w14:paraId="5675FE77" w14:textId="5613D8E2" w:rsidR="007652D1" w:rsidRDefault="00197D4B" w:rsidP="007652D1">
            <w:pPr>
              <w:spacing w:before="80" w:after="80"/>
            </w:pPr>
            <w:r>
              <w:t>Base</w:t>
            </w:r>
            <w:r w:rsidR="00343351">
              <w:t>-</w:t>
            </w:r>
            <w:r>
              <w:t>case</w:t>
            </w:r>
            <w:r w:rsidR="007652D1">
              <w:t xml:space="preserve"> (range)</w:t>
            </w:r>
          </w:p>
        </w:tc>
      </w:tr>
      <w:tr w:rsidR="007652D1" w14:paraId="1088B023" w14:textId="77777777" w:rsidTr="007652D1">
        <w:tc>
          <w:tcPr>
            <w:tcW w:w="6236" w:type="dxa"/>
          </w:tcPr>
          <w:p w14:paraId="25016AD1" w14:textId="1C4D20D9" w:rsidR="007652D1" w:rsidRDefault="007652D1" w:rsidP="007652D1">
            <w:pPr>
              <w:spacing w:before="80" w:after="80"/>
            </w:pPr>
            <w:r>
              <w:t>Probability of event (emergence of highly resistant strains)</w:t>
            </w:r>
          </w:p>
        </w:tc>
        <w:tc>
          <w:tcPr>
            <w:tcW w:w="2551" w:type="dxa"/>
          </w:tcPr>
          <w:p w14:paraId="426B9018" w14:textId="6EA2FBAC" w:rsidR="007652D1" w:rsidRDefault="007652D1" w:rsidP="007652D1">
            <w:pPr>
              <w:spacing w:before="80" w:after="80"/>
            </w:pPr>
            <w:r>
              <w:t>1% (0.5% - 5%)</w:t>
            </w:r>
          </w:p>
        </w:tc>
      </w:tr>
      <w:tr w:rsidR="007652D1" w14:paraId="03D0F4C1" w14:textId="77777777" w:rsidTr="007652D1">
        <w:tc>
          <w:tcPr>
            <w:tcW w:w="6236" w:type="dxa"/>
          </w:tcPr>
          <w:p w14:paraId="66D9E197" w14:textId="50E9E391" w:rsidR="007652D1" w:rsidRDefault="007652D1" w:rsidP="007652D1">
            <w:pPr>
              <w:spacing w:before="80" w:after="80"/>
            </w:pPr>
            <w:r w:rsidRPr="007941E2">
              <w:t xml:space="preserve">Time of </w:t>
            </w:r>
            <w:r w:rsidR="005B6797" w:rsidRPr="007941E2">
              <w:t xml:space="preserve">first </w:t>
            </w:r>
            <w:r w:rsidRPr="007941E2">
              <w:t>event (from now)</w:t>
            </w:r>
          </w:p>
        </w:tc>
        <w:tc>
          <w:tcPr>
            <w:tcW w:w="2551" w:type="dxa"/>
          </w:tcPr>
          <w:p w14:paraId="4FB04482" w14:textId="71D59ABD" w:rsidR="007652D1" w:rsidRDefault="007652D1" w:rsidP="007652D1">
            <w:pPr>
              <w:spacing w:before="80" w:after="80"/>
            </w:pPr>
            <w:r>
              <w:t>10 years (5 – 15 years)</w:t>
            </w:r>
          </w:p>
        </w:tc>
      </w:tr>
      <w:tr w:rsidR="007652D1" w14:paraId="6F40D2F7" w14:textId="77777777" w:rsidTr="007652D1">
        <w:tc>
          <w:tcPr>
            <w:tcW w:w="6236" w:type="dxa"/>
          </w:tcPr>
          <w:p w14:paraId="024A411F" w14:textId="35A73D47" w:rsidR="007652D1" w:rsidRDefault="007652D1" w:rsidP="007652D1">
            <w:pPr>
              <w:spacing w:before="80" w:after="80"/>
            </w:pPr>
            <w:r>
              <w:t>The number of patients affected in the first year</w:t>
            </w:r>
          </w:p>
        </w:tc>
        <w:tc>
          <w:tcPr>
            <w:tcW w:w="2551" w:type="dxa"/>
          </w:tcPr>
          <w:p w14:paraId="75B0EDCB" w14:textId="28C42650" w:rsidR="007652D1" w:rsidRDefault="007652D1" w:rsidP="007652D1">
            <w:pPr>
              <w:spacing w:before="80" w:after="80"/>
            </w:pPr>
            <w:r>
              <w:t>25 individuals</w:t>
            </w:r>
            <w:r w:rsidR="003D7E2B">
              <w:t xml:space="preserve"> (25-100)</w:t>
            </w:r>
          </w:p>
        </w:tc>
      </w:tr>
      <w:tr w:rsidR="007652D1" w14:paraId="152E217F" w14:textId="77777777" w:rsidTr="007652D1">
        <w:tc>
          <w:tcPr>
            <w:tcW w:w="6236" w:type="dxa"/>
          </w:tcPr>
          <w:p w14:paraId="24EA3236" w14:textId="23D7AD56" w:rsidR="007652D1" w:rsidRDefault="007652D1" w:rsidP="007652D1">
            <w:pPr>
              <w:spacing w:before="80" w:after="80"/>
            </w:pPr>
            <w:r>
              <w:t>The annual growth in the number of infections (from baseline)</w:t>
            </w:r>
          </w:p>
        </w:tc>
        <w:tc>
          <w:tcPr>
            <w:tcW w:w="2551" w:type="dxa"/>
          </w:tcPr>
          <w:p w14:paraId="47950B6C" w14:textId="60DE2C10" w:rsidR="007652D1" w:rsidRDefault="007652D1" w:rsidP="007652D1">
            <w:pPr>
              <w:spacing w:before="80" w:after="80"/>
            </w:pPr>
            <w:r>
              <w:t>20% (3% - 30%)</w:t>
            </w:r>
          </w:p>
        </w:tc>
      </w:tr>
      <w:tr w:rsidR="003D7E2B" w14:paraId="39A56CA6" w14:textId="77777777" w:rsidTr="007652D1">
        <w:tc>
          <w:tcPr>
            <w:tcW w:w="6236" w:type="dxa"/>
          </w:tcPr>
          <w:p w14:paraId="35676E5A" w14:textId="78C49DEC" w:rsidR="003D7E2B" w:rsidRDefault="003D7E2B" w:rsidP="007652D1">
            <w:pPr>
              <w:spacing w:before="80" w:after="80"/>
            </w:pPr>
            <w:r>
              <w:t>Analysis time horizon (years)</w:t>
            </w:r>
          </w:p>
        </w:tc>
        <w:tc>
          <w:tcPr>
            <w:tcW w:w="2551" w:type="dxa"/>
          </w:tcPr>
          <w:p w14:paraId="5C0151A1" w14:textId="73E91E23" w:rsidR="003D7E2B" w:rsidRDefault="003D7E2B" w:rsidP="003D7E2B">
            <w:pPr>
              <w:spacing w:before="80" w:after="80"/>
            </w:pPr>
            <w:r>
              <w:t>50 (20-50)</w:t>
            </w:r>
          </w:p>
        </w:tc>
      </w:tr>
      <w:tr w:rsidR="00992DDA" w14:paraId="4F62E563" w14:textId="77777777" w:rsidTr="007652D1">
        <w:tc>
          <w:tcPr>
            <w:tcW w:w="6236" w:type="dxa"/>
          </w:tcPr>
          <w:p w14:paraId="4CD7F2FC" w14:textId="35E633FD" w:rsidR="00992DDA" w:rsidRDefault="00992DDA" w:rsidP="007652D1">
            <w:pPr>
              <w:spacing w:before="80" w:after="80"/>
            </w:pPr>
            <w:r>
              <w:t>Population discount rate</w:t>
            </w:r>
          </w:p>
        </w:tc>
        <w:tc>
          <w:tcPr>
            <w:tcW w:w="2551" w:type="dxa"/>
          </w:tcPr>
          <w:p w14:paraId="13917C86" w14:textId="1F2D2CCB" w:rsidR="00992DDA" w:rsidRDefault="00992DDA" w:rsidP="003D7E2B">
            <w:pPr>
              <w:spacing w:before="80" w:after="80"/>
            </w:pPr>
            <w:r>
              <w:t>3.5%</w:t>
            </w:r>
          </w:p>
        </w:tc>
      </w:tr>
    </w:tbl>
    <w:p w14:paraId="23B1AFB7" w14:textId="77777777" w:rsidR="007652D1" w:rsidRDefault="007652D1"/>
    <w:p w14:paraId="150FBAB3" w14:textId="77777777" w:rsidR="00992DDA" w:rsidRDefault="00992DDA" w:rsidP="00992DDA"/>
    <w:p w14:paraId="45F8004D" w14:textId="23D325A7" w:rsidR="005B6797" w:rsidRDefault="00992DDA" w:rsidP="00F13373">
      <w:pPr>
        <w:jc w:val="both"/>
      </w:pPr>
      <w:r>
        <w:t>The modifiable parameter</w:t>
      </w:r>
      <w:r w:rsidR="005B6797">
        <w:t>s</w:t>
      </w:r>
      <w:r>
        <w:t xml:space="preserve"> in the Excel </w:t>
      </w:r>
      <w:r w:rsidR="00D95A45">
        <w:t xml:space="preserve">tool </w:t>
      </w:r>
      <w:r>
        <w:t>include the six extrapolation parameters: the probability of emergence of the highly resistant strains</w:t>
      </w:r>
      <w:r w:rsidR="005B6797" w:rsidRPr="007941E2">
        <w:t>;</w:t>
      </w:r>
      <w:r w:rsidRPr="007941E2">
        <w:t xml:space="preserve"> the time of </w:t>
      </w:r>
      <w:r w:rsidR="005B6797" w:rsidRPr="007941E2">
        <w:t xml:space="preserve">the first </w:t>
      </w:r>
      <w:r w:rsidRPr="007941E2">
        <w:t>event</w:t>
      </w:r>
      <w:r w:rsidR="005B6797" w:rsidRPr="007941E2">
        <w:t>;</w:t>
      </w:r>
      <w:r w:rsidRPr="007941E2">
        <w:t xml:space="preserve"> the</w:t>
      </w:r>
      <w:r>
        <w:t xml:space="preserve"> number of patients affected in </w:t>
      </w:r>
      <w:r>
        <w:lastRenderedPageBreak/>
        <w:t>the first year</w:t>
      </w:r>
      <w:r w:rsidR="005B6797">
        <w:t>;</w:t>
      </w:r>
      <w:r>
        <w:t xml:space="preserve"> the annual growth rate in the number of infections (constant, relative to baseline)</w:t>
      </w:r>
      <w:r w:rsidR="005B6797">
        <w:t>;</w:t>
      </w:r>
      <w:r>
        <w:t xml:space="preserve"> the analysis time horizon</w:t>
      </w:r>
      <w:r w:rsidR="005B6797">
        <w:t>;</w:t>
      </w:r>
      <w:r>
        <w:t xml:space="preserve"> and the discount rate. </w:t>
      </w:r>
    </w:p>
    <w:p w14:paraId="1A60A082" w14:textId="77777777" w:rsidR="005B6797" w:rsidRDefault="005B6797" w:rsidP="00F13373">
      <w:pPr>
        <w:jc w:val="both"/>
      </w:pPr>
    </w:p>
    <w:p w14:paraId="3C93BF53" w14:textId="49214DFB" w:rsidR="00992DDA" w:rsidRDefault="00992DDA" w:rsidP="00F13373">
      <w:pPr>
        <w:jc w:val="both"/>
      </w:pPr>
      <w:r>
        <w:t xml:space="preserve">In addition, the user can specify the site of infection and treatment setting reflected in the results (HAP/VAP empiric setting, HAP/VAP microbiology-directed setting and </w:t>
      </w:r>
      <w:proofErr w:type="spellStart"/>
      <w:r>
        <w:t>cUTI</w:t>
      </w:r>
      <w:proofErr w:type="spellEnd"/>
      <w:r>
        <w:t xml:space="preserve"> microbiology directed setting), </w:t>
      </w:r>
      <w:r w:rsidR="004C240A">
        <w:t xml:space="preserve">or an </w:t>
      </w:r>
      <w:r>
        <w:t>alternative patient-level INHE reflecting the impact of these highly resistant infections in an alternative population.</w:t>
      </w:r>
    </w:p>
    <w:p w14:paraId="1DB97BF0" w14:textId="6FD47349" w:rsidR="00D05161" w:rsidRDefault="00D05161" w:rsidP="00F13373">
      <w:pPr>
        <w:jc w:val="both"/>
      </w:pPr>
    </w:p>
    <w:p w14:paraId="4457B433" w14:textId="3D91D819" w:rsidR="00D05161" w:rsidRDefault="00D05161" w:rsidP="00F13373">
      <w:pPr>
        <w:jc w:val="both"/>
      </w:pPr>
      <w:r w:rsidRPr="007941E2">
        <w:t>The parameter estimates to use in the model were sought from the Committee and have been based on David Partridge’s email to NICE dated 30</w:t>
      </w:r>
      <w:r w:rsidRPr="007941E2">
        <w:rPr>
          <w:vertAlign w:val="superscript"/>
        </w:rPr>
        <w:t>th</w:t>
      </w:r>
      <w:r w:rsidRPr="007941E2">
        <w:t xml:space="preserve"> December 2021 (Table 1).</w:t>
      </w:r>
      <w:r>
        <w:t xml:space="preserve">   </w:t>
      </w:r>
    </w:p>
    <w:p w14:paraId="00000023" w14:textId="3305C5E9" w:rsidR="004351A4" w:rsidRDefault="004C240A" w:rsidP="004C240A">
      <w:pPr>
        <w:pStyle w:val="Heading2"/>
      </w:pPr>
      <w:r>
        <w:t>Results</w:t>
      </w:r>
    </w:p>
    <w:p w14:paraId="609BE135" w14:textId="6D106B5A" w:rsidR="004C240A" w:rsidRDefault="004C240A" w:rsidP="007A435A">
      <w:pPr>
        <w:jc w:val="both"/>
      </w:pPr>
      <w:r>
        <w:t xml:space="preserve">The patient-level </w:t>
      </w:r>
      <w:r w:rsidR="00002999">
        <w:t>INHEs</w:t>
      </w:r>
      <w:r w:rsidRPr="004C240A">
        <w:t xml:space="preserve"> </w:t>
      </w:r>
      <w:r>
        <w:t>in the base</w:t>
      </w:r>
      <w:r w:rsidR="00F13373">
        <w:t>-</w:t>
      </w:r>
      <w:r>
        <w:t xml:space="preserve">case </w:t>
      </w:r>
      <w:r w:rsidR="00F13373">
        <w:t>from the main EEPRU report and as used in this additional scenario,</w:t>
      </w:r>
      <w:r>
        <w:t xml:space="preserve"> expressed in QALYs</w:t>
      </w:r>
      <w:r w:rsidR="00F13373">
        <w:t xml:space="preserve"> per patient</w:t>
      </w:r>
      <w:r>
        <w:t xml:space="preserve">, are shown in </w:t>
      </w:r>
      <w:r>
        <w:fldChar w:fldCharType="begin"/>
      </w:r>
      <w:r>
        <w:instrText xml:space="preserve"> REF _Ref93413030 \h </w:instrText>
      </w:r>
      <w:r w:rsidR="007A435A">
        <w:instrText xml:space="preserve"> \* MERGEFORMAT </w:instrText>
      </w:r>
      <w:r>
        <w:fldChar w:fldCharType="separate"/>
      </w:r>
      <w:r w:rsidR="00A352DD" w:rsidRPr="00A352DD">
        <w:t xml:space="preserve">Table </w:t>
      </w:r>
      <w:r w:rsidR="00A352DD" w:rsidRPr="00A352DD">
        <w:rPr>
          <w:noProof/>
        </w:rPr>
        <w:t>2</w:t>
      </w:r>
      <w:r>
        <w:fldChar w:fldCharType="end"/>
      </w:r>
      <w:r>
        <w:t xml:space="preserve">. In summary, </w:t>
      </w:r>
      <w:r w:rsidR="007A435A">
        <w:t>assuming all specific existing treatment options have zero</w:t>
      </w:r>
      <w:r>
        <w:t xml:space="preserve"> </w:t>
      </w:r>
      <w:r w:rsidR="007A435A">
        <w:t>effectiveness</w:t>
      </w:r>
      <w:r>
        <w:t xml:space="preserve"> increases the patient-level INHE for all sites and settings. The increase is greate</w:t>
      </w:r>
      <w:r w:rsidR="00002999">
        <w:t>st</w:t>
      </w:r>
      <w:r>
        <w:t xml:space="preserve"> in the microbiology-directed setting, as all patients benefit from the treatment with CAZ-AVI, compared to the empiric setting </w:t>
      </w:r>
      <w:r w:rsidR="007A435A">
        <w:t xml:space="preserve">where </w:t>
      </w:r>
      <w:r>
        <w:t xml:space="preserve">only 20% of </w:t>
      </w:r>
      <w:r w:rsidRPr="004C240A">
        <w:t>people have the suspected pathogen-mechanism</w:t>
      </w:r>
      <w:r>
        <w:t xml:space="preserve"> (as per EEPRU report, Table 26).</w:t>
      </w:r>
    </w:p>
    <w:p w14:paraId="0B0D6223" w14:textId="77777777" w:rsidR="004C240A" w:rsidRDefault="004C240A" w:rsidP="004C240A"/>
    <w:p w14:paraId="7A649DF2" w14:textId="107BF847" w:rsidR="004C240A" w:rsidRPr="007A435A" w:rsidRDefault="004C240A" w:rsidP="004C240A">
      <w:pPr>
        <w:pStyle w:val="Caption"/>
        <w:keepNext/>
        <w:rPr>
          <w:rFonts w:cs="Times New Roman"/>
        </w:rPr>
      </w:pPr>
      <w:bookmarkStart w:id="6" w:name="_Ref93413030"/>
      <w:r w:rsidRPr="007A435A">
        <w:rPr>
          <w:rFonts w:cs="Times New Roman"/>
        </w:rPr>
        <w:t xml:space="preserve">Table </w:t>
      </w:r>
      <w:r w:rsidRPr="007A435A">
        <w:rPr>
          <w:rFonts w:cs="Times New Roman"/>
        </w:rPr>
        <w:fldChar w:fldCharType="begin"/>
      </w:r>
      <w:r w:rsidRPr="007A435A">
        <w:rPr>
          <w:rFonts w:cs="Times New Roman"/>
        </w:rPr>
        <w:instrText xml:space="preserve"> SEQ Table \* ARABIC </w:instrText>
      </w:r>
      <w:r w:rsidRPr="007A435A">
        <w:rPr>
          <w:rFonts w:cs="Times New Roman"/>
        </w:rPr>
        <w:fldChar w:fldCharType="separate"/>
      </w:r>
      <w:r w:rsidR="00D60EC4">
        <w:rPr>
          <w:rFonts w:cs="Times New Roman"/>
          <w:noProof/>
        </w:rPr>
        <w:t>2</w:t>
      </w:r>
      <w:r w:rsidRPr="007A435A">
        <w:rPr>
          <w:rFonts w:cs="Times New Roman"/>
        </w:rPr>
        <w:fldChar w:fldCharType="end"/>
      </w:r>
      <w:bookmarkEnd w:id="6"/>
      <w:r w:rsidRPr="007A435A">
        <w:rPr>
          <w:rFonts w:cs="Times New Roman"/>
        </w:rPr>
        <w:t>. Patient-level INHE (QALYs</w:t>
      </w:r>
      <w:r w:rsidR="007A435A" w:rsidRPr="007A435A">
        <w:rPr>
          <w:rFonts w:cs="Times New Roman"/>
        </w:rPr>
        <w:t>/patient</w:t>
      </w:r>
      <w:r w:rsidRPr="007A435A">
        <w:rPr>
          <w:rFonts w:cs="Times New Roman"/>
        </w:rPr>
        <w:t>)</w:t>
      </w:r>
    </w:p>
    <w:tbl>
      <w:tblPr>
        <w:tblW w:w="7710" w:type="dxa"/>
        <w:tblCellMar>
          <w:left w:w="0" w:type="dxa"/>
          <w:right w:w="0" w:type="dxa"/>
        </w:tblCellMar>
        <w:tblLook w:val="0420" w:firstRow="1" w:lastRow="0" w:firstColumn="0" w:lastColumn="0" w:noHBand="0" w:noVBand="1"/>
      </w:tblPr>
      <w:tblGrid>
        <w:gridCol w:w="1587"/>
        <w:gridCol w:w="2381"/>
        <w:gridCol w:w="1871"/>
        <w:gridCol w:w="1871"/>
      </w:tblGrid>
      <w:tr w:rsidR="004C240A" w:rsidRPr="007A435A" w14:paraId="15D11450" w14:textId="77777777" w:rsidTr="00094736">
        <w:trPr>
          <w:trHeight w:val="283"/>
        </w:trPr>
        <w:tc>
          <w:tcPr>
            <w:tcW w:w="15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843DFF" w14:textId="77777777" w:rsidR="004C240A" w:rsidRPr="007A435A" w:rsidRDefault="004C240A" w:rsidP="004C240A">
            <w:pPr>
              <w:spacing w:line="240" w:lineRule="auto"/>
              <w:rPr>
                <w:rFonts w:eastAsia="Times New Roman" w:cs="Times New Roman"/>
              </w:rPr>
            </w:pPr>
          </w:p>
        </w:tc>
        <w:tc>
          <w:tcPr>
            <w:tcW w:w="23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4B3CEC" w14:textId="77777777" w:rsidR="004C240A" w:rsidRPr="007A435A" w:rsidRDefault="004C240A" w:rsidP="004C240A">
            <w:pPr>
              <w:spacing w:line="240" w:lineRule="auto"/>
              <w:jc w:val="center"/>
              <w:rPr>
                <w:rFonts w:eastAsia="Times New Roman" w:cs="Times New Roman"/>
              </w:rPr>
            </w:pPr>
            <w:r w:rsidRPr="007A435A">
              <w:rPr>
                <w:rFonts w:eastAsia="Times New Roman" w:cs="Times New Roman"/>
                <w:b/>
                <w:bCs/>
                <w:color w:val="000000"/>
                <w:kern w:val="24"/>
              </w:rPr>
              <w:t>HAP/VAP, ES</w:t>
            </w:r>
          </w:p>
        </w:tc>
        <w:tc>
          <w:tcPr>
            <w:tcW w:w="18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B6D090B" w14:textId="77777777" w:rsidR="004C240A" w:rsidRPr="007A435A" w:rsidRDefault="004C240A" w:rsidP="004C240A">
            <w:pPr>
              <w:spacing w:line="240" w:lineRule="auto"/>
              <w:jc w:val="center"/>
              <w:rPr>
                <w:rFonts w:eastAsia="Times New Roman" w:cs="Times New Roman"/>
              </w:rPr>
            </w:pPr>
            <w:r w:rsidRPr="007A435A">
              <w:rPr>
                <w:rFonts w:eastAsia="Times New Roman" w:cs="Times New Roman"/>
                <w:b/>
                <w:bCs/>
                <w:color w:val="000000"/>
                <w:kern w:val="24"/>
              </w:rPr>
              <w:t>HAP/VAP, MDS</w:t>
            </w:r>
          </w:p>
        </w:tc>
        <w:tc>
          <w:tcPr>
            <w:tcW w:w="18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100C6A3" w14:textId="2A417CBF" w:rsidR="004C240A" w:rsidRPr="007A435A" w:rsidRDefault="004C240A" w:rsidP="004C240A">
            <w:pPr>
              <w:spacing w:line="240" w:lineRule="auto"/>
              <w:jc w:val="center"/>
              <w:rPr>
                <w:rFonts w:eastAsia="Times New Roman" w:cs="Times New Roman"/>
              </w:rPr>
            </w:pPr>
            <w:proofErr w:type="spellStart"/>
            <w:r w:rsidRPr="007A435A">
              <w:rPr>
                <w:rFonts w:eastAsia="Times New Roman" w:cs="Times New Roman"/>
                <w:b/>
                <w:bCs/>
                <w:color w:val="000000"/>
                <w:kern w:val="24"/>
              </w:rPr>
              <w:t>cUTIs</w:t>
            </w:r>
            <w:proofErr w:type="spellEnd"/>
            <w:r w:rsidR="0083584A" w:rsidRPr="007A435A">
              <w:rPr>
                <w:rFonts w:eastAsia="Times New Roman" w:cs="Times New Roman"/>
                <w:b/>
                <w:bCs/>
                <w:color w:val="000000"/>
                <w:kern w:val="24"/>
              </w:rPr>
              <w:t>, MDS</w:t>
            </w:r>
          </w:p>
        </w:tc>
      </w:tr>
      <w:tr w:rsidR="004C240A" w:rsidRPr="007A435A" w14:paraId="74363C03" w14:textId="77777777" w:rsidTr="00094736">
        <w:trPr>
          <w:trHeight w:val="283"/>
        </w:trPr>
        <w:tc>
          <w:tcPr>
            <w:tcW w:w="15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1050447" w14:textId="57390E4B" w:rsidR="004C240A" w:rsidRPr="007A435A" w:rsidRDefault="004C240A" w:rsidP="004C240A">
            <w:pPr>
              <w:spacing w:line="240" w:lineRule="auto"/>
              <w:rPr>
                <w:rFonts w:eastAsia="Times New Roman" w:cs="Times New Roman"/>
              </w:rPr>
            </w:pPr>
            <w:r w:rsidRPr="007A435A">
              <w:rPr>
                <w:rFonts w:eastAsia="Times New Roman" w:cs="Times New Roman"/>
                <w:b/>
                <w:bCs/>
                <w:color w:val="000000"/>
                <w:kern w:val="24"/>
              </w:rPr>
              <w:t>Base</w:t>
            </w:r>
            <w:r w:rsidR="00F13373" w:rsidRPr="007A435A">
              <w:rPr>
                <w:rFonts w:eastAsia="Times New Roman" w:cs="Times New Roman"/>
                <w:b/>
                <w:bCs/>
                <w:color w:val="000000"/>
                <w:kern w:val="24"/>
              </w:rPr>
              <w:t>-</w:t>
            </w:r>
            <w:r w:rsidR="007A435A" w:rsidRPr="007A435A">
              <w:rPr>
                <w:rFonts w:eastAsia="Times New Roman" w:cs="Times New Roman"/>
                <w:b/>
                <w:bCs/>
                <w:color w:val="000000"/>
                <w:kern w:val="24"/>
              </w:rPr>
              <w:t>c</w:t>
            </w:r>
            <w:r w:rsidRPr="007A435A">
              <w:rPr>
                <w:rFonts w:eastAsia="Times New Roman" w:cs="Times New Roman"/>
                <w:b/>
                <w:bCs/>
                <w:color w:val="000000"/>
                <w:kern w:val="24"/>
              </w:rPr>
              <w:t>ase</w:t>
            </w:r>
          </w:p>
        </w:tc>
        <w:tc>
          <w:tcPr>
            <w:tcW w:w="23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1DF4BF1" w14:textId="00D05BDF" w:rsidR="004C240A" w:rsidRDefault="004C240A" w:rsidP="004C240A">
            <w:pPr>
              <w:spacing w:line="240" w:lineRule="auto"/>
              <w:jc w:val="center"/>
              <w:rPr>
                <w:rFonts w:eastAsia="Times New Roman" w:cs="Times New Roman"/>
                <w:color w:val="000000"/>
                <w:kern w:val="24"/>
              </w:rPr>
            </w:pPr>
            <w:r w:rsidRPr="007A435A">
              <w:rPr>
                <w:rFonts w:eastAsia="Times New Roman" w:cs="Times New Roman"/>
                <w:color w:val="000000"/>
                <w:kern w:val="24"/>
              </w:rPr>
              <w:t>0.163</w:t>
            </w:r>
            <w:r w:rsidR="00094736">
              <w:rPr>
                <w:rFonts w:eastAsia="Times New Roman" w:cs="Times New Roman"/>
                <w:color w:val="000000"/>
                <w:kern w:val="24"/>
              </w:rPr>
              <w:t xml:space="preserve"> compared to </w:t>
            </w:r>
            <w:proofErr w:type="spellStart"/>
            <w:r w:rsidR="00094736">
              <w:rPr>
                <w:rFonts w:eastAsia="Times New Roman" w:cs="Times New Roman"/>
                <w:color w:val="000000"/>
                <w:kern w:val="24"/>
              </w:rPr>
              <w:t>nca</w:t>
            </w:r>
            <w:proofErr w:type="spellEnd"/>
          </w:p>
          <w:p w14:paraId="0881D427" w14:textId="26E91D5F" w:rsidR="00094736" w:rsidRPr="007A435A" w:rsidRDefault="00094736" w:rsidP="00094736">
            <w:pPr>
              <w:spacing w:line="240" w:lineRule="auto"/>
              <w:jc w:val="center"/>
              <w:rPr>
                <w:rFonts w:eastAsia="Times New Roman" w:cs="Times New Roman"/>
              </w:rPr>
            </w:pPr>
            <w:r>
              <w:rPr>
                <w:rFonts w:eastAsia="Times New Roman" w:cs="Times New Roman"/>
                <w:color w:val="000000"/>
                <w:kern w:val="24"/>
              </w:rPr>
              <w:t>0.215 compared to ca</w:t>
            </w:r>
          </w:p>
        </w:tc>
        <w:tc>
          <w:tcPr>
            <w:tcW w:w="18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7B48869" w14:textId="77777777" w:rsidR="004C240A" w:rsidRPr="007A435A" w:rsidRDefault="004C240A" w:rsidP="004C240A">
            <w:pPr>
              <w:spacing w:line="240" w:lineRule="auto"/>
              <w:jc w:val="center"/>
              <w:rPr>
                <w:rFonts w:eastAsia="Times New Roman" w:cs="Times New Roman"/>
              </w:rPr>
            </w:pPr>
            <w:r w:rsidRPr="007A435A">
              <w:rPr>
                <w:rFonts w:eastAsia="Times New Roman" w:cs="Times New Roman"/>
                <w:color w:val="000000"/>
                <w:kern w:val="24"/>
              </w:rPr>
              <w:t>0.071</w:t>
            </w:r>
          </w:p>
        </w:tc>
        <w:tc>
          <w:tcPr>
            <w:tcW w:w="18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3E21B17" w14:textId="77777777" w:rsidR="004C240A" w:rsidRPr="007A435A" w:rsidRDefault="004C240A" w:rsidP="004C240A">
            <w:pPr>
              <w:spacing w:line="240" w:lineRule="auto"/>
              <w:jc w:val="center"/>
              <w:rPr>
                <w:rFonts w:eastAsia="Times New Roman" w:cs="Times New Roman"/>
              </w:rPr>
            </w:pPr>
            <w:r w:rsidRPr="007A435A">
              <w:rPr>
                <w:rFonts w:eastAsia="Times New Roman" w:cs="Times New Roman"/>
                <w:color w:val="000000"/>
                <w:kern w:val="24"/>
              </w:rPr>
              <w:t>0.069</w:t>
            </w:r>
          </w:p>
        </w:tc>
      </w:tr>
      <w:tr w:rsidR="004C240A" w:rsidRPr="007A435A" w14:paraId="3C64130E" w14:textId="77777777" w:rsidTr="00094736">
        <w:trPr>
          <w:trHeight w:val="283"/>
        </w:trPr>
        <w:tc>
          <w:tcPr>
            <w:tcW w:w="15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FA92631" w14:textId="77777777" w:rsidR="004C240A" w:rsidRPr="007A435A" w:rsidRDefault="004C240A" w:rsidP="004C240A">
            <w:pPr>
              <w:spacing w:line="240" w:lineRule="auto"/>
              <w:rPr>
                <w:rFonts w:eastAsia="Times New Roman" w:cs="Times New Roman"/>
              </w:rPr>
            </w:pPr>
            <w:r w:rsidRPr="007A435A">
              <w:rPr>
                <w:rFonts w:eastAsia="Times New Roman" w:cs="Times New Roman"/>
                <w:b/>
                <w:bCs/>
                <w:color w:val="000000"/>
                <w:kern w:val="24"/>
              </w:rPr>
              <w:t>New scenario</w:t>
            </w:r>
          </w:p>
        </w:tc>
        <w:tc>
          <w:tcPr>
            <w:tcW w:w="23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72AFD3D" w14:textId="77777777" w:rsidR="004C240A" w:rsidRPr="007A435A" w:rsidRDefault="004C240A" w:rsidP="004C240A">
            <w:pPr>
              <w:spacing w:line="240" w:lineRule="auto"/>
              <w:jc w:val="center"/>
              <w:rPr>
                <w:rFonts w:eastAsia="Times New Roman" w:cs="Times New Roman"/>
              </w:rPr>
            </w:pPr>
            <w:r w:rsidRPr="007A435A">
              <w:rPr>
                <w:rFonts w:eastAsia="Times New Roman" w:cs="Times New Roman"/>
                <w:color w:val="000000"/>
                <w:kern w:val="24"/>
              </w:rPr>
              <w:t>0.395</w:t>
            </w:r>
          </w:p>
        </w:tc>
        <w:tc>
          <w:tcPr>
            <w:tcW w:w="18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7420C63" w14:textId="77777777" w:rsidR="004C240A" w:rsidRPr="007A435A" w:rsidRDefault="004C240A" w:rsidP="004C240A">
            <w:pPr>
              <w:spacing w:line="240" w:lineRule="auto"/>
              <w:jc w:val="center"/>
              <w:rPr>
                <w:rFonts w:eastAsia="Times New Roman" w:cs="Times New Roman"/>
              </w:rPr>
            </w:pPr>
            <w:r w:rsidRPr="007A435A">
              <w:rPr>
                <w:rFonts w:eastAsia="Times New Roman" w:cs="Times New Roman"/>
                <w:color w:val="000000"/>
                <w:kern w:val="24"/>
              </w:rPr>
              <w:t>1.031</w:t>
            </w:r>
          </w:p>
        </w:tc>
        <w:tc>
          <w:tcPr>
            <w:tcW w:w="18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BE21C4A" w14:textId="77777777" w:rsidR="004C240A" w:rsidRPr="007A435A" w:rsidRDefault="004C240A" w:rsidP="004C240A">
            <w:pPr>
              <w:spacing w:line="240" w:lineRule="auto"/>
              <w:jc w:val="center"/>
              <w:rPr>
                <w:rFonts w:eastAsia="Times New Roman" w:cs="Times New Roman"/>
              </w:rPr>
            </w:pPr>
            <w:r w:rsidRPr="007A435A">
              <w:rPr>
                <w:rFonts w:eastAsia="Times New Roman" w:cs="Times New Roman"/>
                <w:color w:val="000000"/>
                <w:kern w:val="24"/>
              </w:rPr>
              <w:t>1.032</w:t>
            </w:r>
          </w:p>
        </w:tc>
      </w:tr>
    </w:tbl>
    <w:p w14:paraId="637AE88A" w14:textId="223F41AD" w:rsidR="004C240A" w:rsidRPr="009B0351" w:rsidRDefault="00094736" w:rsidP="004C240A">
      <w:pPr>
        <w:rPr>
          <w:rFonts w:cs="Times New Roman"/>
          <w:sz w:val="20"/>
          <w:szCs w:val="20"/>
        </w:rPr>
      </w:pPr>
      <w:proofErr w:type="spellStart"/>
      <w:r w:rsidRPr="009B0351">
        <w:rPr>
          <w:rFonts w:cs="Times New Roman"/>
          <w:sz w:val="20"/>
          <w:szCs w:val="20"/>
        </w:rPr>
        <w:t>cUTI</w:t>
      </w:r>
      <w:proofErr w:type="spellEnd"/>
      <w:r w:rsidR="009B0351" w:rsidRPr="009B0351">
        <w:rPr>
          <w:rFonts w:cs="Times New Roman"/>
          <w:sz w:val="20"/>
          <w:szCs w:val="20"/>
        </w:rPr>
        <w:t>, complicated urinary tract infection</w:t>
      </w:r>
      <w:r w:rsidRPr="009B0351">
        <w:rPr>
          <w:rFonts w:cs="Times New Roman"/>
          <w:sz w:val="20"/>
          <w:szCs w:val="20"/>
        </w:rPr>
        <w:t>; ca</w:t>
      </w:r>
      <w:r w:rsidR="009B0351" w:rsidRPr="009B0351">
        <w:rPr>
          <w:rFonts w:cs="Times New Roman"/>
          <w:sz w:val="20"/>
          <w:szCs w:val="20"/>
        </w:rPr>
        <w:t>, colistin/aminoglycosides</w:t>
      </w:r>
      <w:r w:rsidRPr="009B0351">
        <w:rPr>
          <w:rFonts w:cs="Times New Roman"/>
          <w:sz w:val="20"/>
          <w:szCs w:val="20"/>
        </w:rPr>
        <w:t>; ES</w:t>
      </w:r>
      <w:r w:rsidR="009B0351" w:rsidRPr="009B0351">
        <w:rPr>
          <w:rFonts w:cs="Times New Roman"/>
          <w:sz w:val="20"/>
          <w:szCs w:val="20"/>
        </w:rPr>
        <w:t>, empiric setting</w:t>
      </w:r>
      <w:r w:rsidRPr="009B0351">
        <w:rPr>
          <w:rFonts w:cs="Times New Roman"/>
          <w:sz w:val="20"/>
          <w:szCs w:val="20"/>
        </w:rPr>
        <w:t>; HAP/VAP</w:t>
      </w:r>
      <w:r w:rsidR="009B0351" w:rsidRPr="009B0351">
        <w:rPr>
          <w:rFonts w:cs="Times New Roman"/>
          <w:sz w:val="20"/>
          <w:szCs w:val="20"/>
        </w:rPr>
        <w:t>, hospital acquired pneumonia/ventilator associated pneumonia</w:t>
      </w:r>
      <w:r w:rsidRPr="009B0351">
        <w:rPr>
          <w:rFonts w:cs="Times New Roman"/>
          <w:sz w:val="20"/>
          <w:szCs w:val="20"/>
        </w:rPr>
        <w:t>; MDS</w:t>
      </w:r>
      <w:r w:rsidR="009B0351" w:rsidRPr="009B0351">
        <w:rPr>
          <w:rFonts w:cs="Times New Roman"/>
          <w:sz w:val="20"/>
          <w:szCs w:val="20"/>
        </w:rPr>
        <w:t>, microbiology-directed setting</w:t>
      </w:r>
      <w:r w:rsidRPr="009B0351">
        <w:rPr>
          <w:rFonts w:cs="Times New Roman"/>
          <w:sz w:val="20"/>
          <w:szCs w:val="20"/>
        </w:rPr>
        <w:t xml:space="preserve">; </w:t>
      </w:r>
      <w:proofErr w:type="spellStart"/>
      <w:r w:rsidRPr="009B0351">
        <w:rPr>
          <w:rFonts w:cs="Times New Roman"/>
          <w:sz w:val="20"/>
          <w:szCs w:val="20"/>
        </w:rPr>
        <w:t>nca</w:t>
      </w:r>
      <w:proofErr w:type="spellEnd"/>
      <w:r w:rsidR="009B0351" w:rsidRPr="009B0351">
        <w:rPr>
          <w:rFonts w:cs="Times New Roman"/>
          <w:sz w:val="20"/>
          <w:szCs w:val="20"/>
        </w:rPr>
        <w:t>, non-colistin/aminoglycosides.</w:t>
      </w:r>
    </w:p>
    <w:p w14:paraId="4087E464" w14:textId="77777777" w:rsidR="00094736" w:rsidRPr="007A435A" w:rsidRDefault="00094736" w:rsidP="004C240A">
      <w:pPr>
        <w:rPr>
          <w:rFonts w:cs="Times New Roman"/>
        </w:rPr>
      </w:pPr>
    </w:p>
    <w:p w14:paraId="1ED1EA44" w14:textId="6A067094" w:rsidR="004C240A" w:rsidRDefault="004C240A" w:rsidP="00B34333">
      <w:pPr>
        <w:jc w:val="both"/>
      </w:pPr>
      <w:r>
        <w:t xml:space="preserve">The population-level </w:t>
      </w:r>
      <w:r w:rsidR="00A87F24">
        <w:t>INHE</w:t>
      </w:r>
      <w:r w:rsidR="0083584A">
        <w:t xml:space="preserve"> </w:t>
      </w:r>
      <w:r w:rsidR="00A87F24">
        <w:t xml:space="preserve">(assuming patient-level benefit </w:t>
      </w:r>
      <w:r w:rsidR="0083584A">
        <w:t xml:space="preserve">in </w:t>
      </w:r>
      <w:proofErr w:type="spellStart"/>
      <w:r w:rsidR="0083584A">
        <w:t>cUTIs</w:t>
      </w:r>
      <w:proofErr w:type="spellEnd"/>
      <w:r w:rsidR="00A87F24">
        <w:t xml:space="preserve"> - </w:t>
      </w:r>
      <w:r w:rsidR="0083584A">
        <w:t>the site with the highest patient-level INHE)</w:t>
      </w:r>
      <w:r>
        <w:t xml:space="preserve"> </w:t>
      </w:r>
      <w:r w:rsidR="0083584A">
        <w:t>is</w:t>
      </w:r>
      <w:r>
        <w:t xml:space="preserve"> shown in </w:t>
      </w:r>
      <w:r w:rsidR="0083584A">
        <w:fldChar w:fldCharType="begin"/>
      </w:r>
      <w:r w:rsidR="0083584A">
        <w:instrText xml:space="preserve"> REF _Ref93414742 \h </w:instrText>
      </w:r>
      <w:r w:rsidR="00B34333">
        <w:instrText xml:space="preserve"> \* MERGEFORMAT </w:instrText>
      </w:r>
      <w:r w:rsidR="0083584A">
        <w:fldChar w:fldCharType="separate"/>
      </w:r>
      <w:r w:rsidR="00A352DD" w:rsidRPr="007A435A">
        <w:rPr>
          <w:rFonts w:cs="Times New Roman"/>
        </w:rPr>
        <w:t xml:space="preserve">Table </w:t>
      </w:r>
      <w:r w:rsidR="00A352DD">
        <w:rPr>
          <w:rFonts w:cs="Times New Roman"/>
          <w:noProof/>
        </w:rPr>
        <w:t>3</w:t>
      </w:r>
      <w:r w:rsidR="0083584A">
        <w:fldChar w:fldCharType="end"/>
      </w:r>
      <w:r w:rsidR="0083584A">
        <w:t xml:space="preserve"> for a range of population-related scenarios</w:t>
      </w:r>
      <w:r>
        <w:t>.</w:t>
      </w:r>
      <w:r w:rsidR="0083584A">
        <w:t xml:space="preserve"> Overall, </w:t>
      </w:r>
      <w:r w:rsidR="0083584A" w:rsidRPr="0083584A">
        <w:t xml:space="preserve">the benefit is relatively low (between 0.8 and 58.4 QALYs) compared to the </w:t>
      </w:r>
      <w:r w:rsidR="0083584A">
        <w:t xml:space="preserve">benefit in </w:t>
      </w:r>
      <w:r w:rsidR="0083584A" w:rsidRPr="0083584A">
        <w:t xml:space="preserve">EEPRU HVCSs (between </w:t>
      </w:r>
      <w:r w:rsidR="00354C9B">
        <w:t>629</w:t>
      </w:r>
      <w:r w:rsidR="0083584A" w:rsidRPr="0083584A">
        <w:t xml:space="preserve"> and 2,211 QALYs).</w:t>
      </w:r>
    </w:p>
    <w:p w14:paraId="1F98ADB0" w14:textId="59EB0D3F" w:rsidR="004C240A" w:rsidRDefault="004C240A" w:rsidP="004C240A"/>
    <w:p w14:paraId="06DEAF6C" w14:textId="77777777" w:rsidR="00A87F24" w:rsidRDefault="00A87F24">
      <w:pPr>
        <w:rPr>
          <w:rFonts w:cs="Times New Roman"/>
          <w:b/>
          <w:iCs/>
          <w:color w:val="000000" w:themeColor="text1"/>
        </w:rPr>
      </w:pPr>
      <w:bookmarkStart w:id="7" w:name="_Ref93414742"/>
      <w:r>
        <w:rPr>
          <w:rFonts w:cs="Times New Roman"/>
        </w:rPr>
        <w:br w:type="page"/>
      </w:r>
    </w:p>
    <w:p w14:paraId="3E854FF9" w14:textId="56ED7B31" w:rsidR="00197D4B" w:rsidRPr="007A435A" w:rsidRDefault="00197D4B" w:rsidP="00197D4B">
      <w:pPr>
        <w:pStyle w:val="Caption"/>
        <w:keepNext/>
        <w:rPr>
          <w:rFonts w:cs="Times New Roman"/>
          <w:szCs w:val="22"/>
        </w:rPr>
      </w:pPr>
      <w:r w:rsidRPr="007A435A">
        <w:rPr>
          <w:rFonts w:cs="Times New Roman"/>
          <w:szCs w:val="22"/>
        </w:rPr>
        <w:lastRenderedPageBreak/>
        <w:t xml:space="preserve">Table </w:t>
      </w:r>
      <w:r w:rsidRPr="007A435A">
        <w:rPr>
          <w:rFonts w:cs="Times New Roman"/>
          <w:szCs w:val="22"/>
        </w:rPr>
        <w:fldChar w:fldCharType="begin"/>
      </w:r>
      <w:r w:rsidRPr="007A435A">
        <w:rPr>
          <w:rFonts w:cs="Times New Roman"/>
          <w:szCs w:val="22"/>
        </w:rPr>
        <w:instrText xml:space="preserve"> SEQ Table \* ARABIC </w:instrText>
      </w:r>
      <w:r w:rsidRPr="007A435A">
        <w:rPr>
          <w:rFonts w:cs="Times New Roman"/>
          <w:szCs w:val="22"/>
        </w:rPr>
        <w:fldChar w:fldCharType="separate"/>
      </w:r>
      <w:r w:rsidR="00D60EC4">
        <w:rPr>
          <w:rFonts w:cs="Times New Roman"/>
          <w:noProof/>
          <w:szCs w:val="22"/>
        </w:rPr>
        <w:t>3</w:t>
      </w:r>
      <w:r w:rsidRPr="007A435A">
        <w:rPr>
          <w:rFonts w:cs="Times New Roman"/>
          <w:szCs w:val="22"/>
        </w:rPr>
        <w:fldChar w:fldCharType="end"/>
      </w:r>
      <w:bookmarkEnd w:id="7"/>
      <w:r w:rsidRPr="007A435A">
        <w:rPr>
          <w:rFonts w:cs="Times New Roman"/>
          <w:szCs w:val="22"/>
        </w:rPr>
        <w:t xml:space="preserve">. Population-level results </w:t>
      </w:r>
      <w:r w:rsidR="007A435A">
        <w:rPr>
          <w:rFonts w:cs="Times New Roman"/>
          <w:szCs w:val="22"/>
        </w:rPr>
        <w:t xml:space="preserve">using the </w:t>
      </w:r>
      <w:r w:rsidR="00B34333">
        <w:rPr>
          <w:rFonts w:cs="Times New Roman"/>
          <w:szCs w:val="22"/>
        </w:rPr>
        <w:t xml:space="preserve">scenario </w:t>
      </w:r>
      <w:r w:rsidR="007A435A">
        <w:rPr>
          <w:rFonts w:cs="Times New Roman"/>
          <w:szCs w:val="22"/>
        </w:rPr>
        <w:t xml:space="preserve">base-case assumptions and </w:t>
      </w:r>
      <w:r w:rsidR="00664BE2">
        <w:rPr>
          <w:rFonts w:cs="Times New Roman"/>
          <w:szCs w:val="22"/>
        </w:rPr>
        <w:t>sensitivity analyses</w:t>
      </w:r>
    </w:p>
    <w:tbl>
      <w:tblPr>
        <w:tblW w:w="9067" w:type="dxa"/>
        <w:tblLayout w:type="fixed"/>
        <w:tblLook w:val="04A0" w:firstRow="1" w:lastRow="0" w:firstColumn="1" w:lastColumn="0" w:noHBand="0" w:noVBand="1"/>
      </w:tblPr>
      <w:tblGrid>
        <w:gridCol w:w="2494"/>
        <w:gridCol w:w="2665"/>
        <w:gridCol w:w="1191"/>
        <w:gridCol w:w="1442"/>
        <w:gridCol w:w="1275"/>
      </w:tblGrid>
      <w:tr w:rsidR="001B689E" w:rsidRPr="007A435A" w14:paraId="1F9DEF66" w14:textId="18B4BA0C" w:rsidTr="0070535D">
        <w:trPr>
          <w:trHeight w:val="1800"/>
        </w:trPr>
        <w:tc>
          <w:tcPr>
            <w:tcW w:w="2494" w:type="dxa"/>
            <w:tcBorders>
              <w:top w:val="single" w:sz="4" w:space="0" w:color="auto"/>
              <w:left w:val="single" w:sz="4" w:space="0" w:color="auto"/>
              <w:bottom w:val="single" w:sz="4" w:space="0" w:color="auto"/>
              <w:right w:val="single" w:sz="4" w:space="0" w:color="auto"/>
            </w:tcBorders>
            <w:vAlign w:val="center"/>
          </w:tcPr>
          <w:p w14:paraId="10FB113A" w14:textId="77777777" w:rsidR="001B689E" w:rsidRPr="007A435A" w:rsidRDefault="001B689E" w:rsidP="001B689E">
            <w:pPr>
              <w:spacing w:line="240" w:lineRule="auto"/>
              <w:jc w:val="center"/>
              <w:rPr>
                <w:rFonts w:eastAsia="Times New Roman" w:cs="Times New Roman"/>
                <w:b/>
                <w:bCs/>
                <w:color w:val="000000"/>
              </w:rPr>
            </w:pPr>
            <w:r>
              <w:rPr>
                <w:rFonts w:eastAsia="Times New Roman" w:cs="Times New Roman"/>
                <w:b/>
                <w:bCs/>
                <w:color w:val="000000"/>
              </w:rPr>
              <w:t>V</w:t>
            </w:r>
            <w:r w:rsidRPr="007A435A">
              <w:rPr>
                <w:rFonts w:eastAsia="Times New Roman" w:cs="Times New Roman"/>
                <w:b/>
                <w:bCs/>
                <w:color w:val="000000"/>
              </w:rPr>
              <w:t>alue/assumption</w:t>
            </w:r>
            <w:r>
              <w:rPr>
                <w:rFonts w:eastAsia="Times New Roman" w:cs="Times New Roman"/>
                <w:b/>
                <w:bCs/>
                <w:color w:val="000000"/>
              </w:rPr>
              <w:t xml:space="preserve"> in base-case</w:t>
            </w:r>
          </w:p>
        </w:tc>
        <w:tc>
          <w:tcPr>
            <w:tcW w:w="2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D087E2" w14:textId="77777777" w:rsidR="001B689E" w:rsidRPr="007A435A" w:rsidRDefault="001B689E" w:rsidP="001B689E">
            <w:pPr>
              <w:spacing w:line="240" w:lineRule="auto"/>
              <w:rPr>
                <w:rFonts w:eastAsia="Times New Roman" w:cs="Times New Roman"/>
                <w:b/>
                <w:bCs/>
                <w:color w:val="000000"/>
              </w:rPr>
            </w:pPr>
            <w:r>
              <w:rPr>
                <w:rFonts w:eastAsia="Times New Roman" w:cs="Times New Roman"/>
                <w:b/>
                <w:bCs/>
                <w:color w:val="000000"/>
              </w:rPr>
              <w:t>Va</w:t>
            </w:r>
            <w:r w:rsidRPr="007A435A">
              <w:rPr>
                <w:rFonts w:eastAsia="Times New Roman" w:cs="Times New Roman"/>
                <w:b/>
                <w:bCs/>
                <w:color w:val="000000"/>
              </w:rPr>
              <w:t>lue/assumption</w:t>
            </w:r>
            <w:r>
              <w:rPr>
                <w:rFonts w:eastAsia="Times New Roman" w:cs="Times New Roman"/>
                <w:b/>
                <w:bCs/>
                <w:color w:val="000000"/>
              </w:rPr>
              <w:t xml:space="preserve"> in sensitivity analyses</w:t>
            </w:r>
          </w:p>
        </w:tc>
        <w:tc>
          <w:tcPr>
            <w:tcW w:w="1191" w:type="dxa"/>
            <w:tcBorders>
              <w:top w:val="single" w:sz="4" w:space="0" w:color="auto"/>
              <w:left w:val="nil"/>
              <w:bottom w:val="single" w:sz="4" w:space="0" w:color="auto"/>
              <w:right w:val="single" w:sz="4" w:space="0" w:color="auto"/>
            </w:tcBorders>
            <w:shd w:val="clear" w:color="auto" w:fill="auto"/>
            <w:vAlign w:val="center"/>
            <w:hideMark/>
          </w:tcPr>
          <w:p w14:paraId="7CF9AA36" w14:textId="77777777" w:rsidR="001B689E" w:rsidRPr="007A435A" w:rsidRDefault="001B689E" w:rsidP="001B689E">
            <w:pPr>
              <w:spacing w:line="240" w:lineRule="auto"/>
              <w:rPr>
                <w:rFonts w:eastAsia="Times New Roman" w:cs="Times New Roman"/>
                <w:b/>
                <w:bCs/>
                <w:color w:val="000000"/>
              </w:rPr>
            </w:pPr>
            <w:r w:rsidRPr="007A435A">
              <w:rPr>
                <w:rFonts w:eastAsia="Times New Roman" w:cs="Times New Roman"/>
                <w:b/>
                <w:bCs/>
                <w:color w:val="000000"/>
              </w:rPr>
              <w:t>Total number of patients</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5092D" w14:textId="2C885369" w:rsidR="001B689E" w:rsidRPr="007A435A" w:rsidRDefault="00DC3B0C" w:rsidP="001B689E">
            <w:pPr>
              <w:spacing w:line="240" w:lineRule="auto"/>
              <w:rPr>
                <w:rFonts w:eastAsia="Times New Roman" w:cs="Times New Roman"/>
                <w:b/>
                <w:bCs/>
                <w:color w:val="000000"/>
              </w:rPr>
            </w:pPr>
            <w:r>
              <w:rPr>
                <w:rFonts w:eastAsia="Times New Roman" w:cs="Times New Roman"/>
                <w:b/>
                <w:bCs/>
                <w:color w:val="000000"/>
              </w:rPr>
              <w:t xml:space="preserve">Total </w:t>
            </w:r>
            <w:r w:rsidR="001B689E" w:rsidRPr="007A435A">
              <w:rPr>
                <w:rFonts w:eastAsia="Times New Roman" w:cs="Times New Roman"/>
                <w:b/>
                <w:bCs/>
                <w:color w:val="000000"/>
              </w:rPr>
              <w:t>INHE (QALYs) conditional on event occurring</w:t>
            </w:r>
          </w:p>
        </w:tc>
        <w:tc>
          <w:tcPr>
            <w:tcW w:w="1275" w:type="dxa"/>
            <w:tcBorders>
              <w:top w:val="single" w:sz="4" w:space="0" w:color="auto"/>
              <w:left w:val="single" w:sz="4" w:space="0" w:color="auto"/>
              <w:bottom w:val="single" w:sz="4" w:space="0" w:color="auto"/>
              <w:right w:val="single" w:sz="4" w:space="0" w:color="auto"/>
            </w:tcBorders>
            <w:vAlign w:val="center"/>
          </w:tcPr>
          <w:p w14:paraId="37ADA9B0" w14:textId="356F034D" w:rsidR="001B689E" w:rsidRPr="007A435A" w:rsidRDefault="00DC3B0C" w:rsidP="001B689E">
            <w:pPr>
              <w:spacing w:line="240" w:lineRule="auto"/>
              <w:rPr>
                <w:rFonts w:eastAsia="Times New Roman" w:cs="Times New Roman"/>
                <w:b/>
                <w:bCs/>
                <w:color w:val="000000"/>
              </w:rPr>
            </w:pPr>
            <w:r>
              <w:rPr>
                <w:rFonts w:eastAsia="Times New Roman" w:cs="Times New Roman"/>
                <w:b/>
                <w:bCs/>
                <w:color w:val="000000"/>
              </w:rPr>
              <w:t>E</w:t>
            </w:r>
            <w:r w:rsidR="001B689E" w:rsidRPr="007A435A">
              <w:rPr>
                <w:rFonts w:eastAsia="Times New Roman" w:cs="Times New Roman"/>
                <w:b/>
                <w:bCs/>
                <w:color w:val="000000"/>
              </w:rPr>
              <w:t>xpected INHE (QALYs)</w:t>
            </w:r>
          </w:p>
        </w:tc>
      </w:tr>
      <w:tr w:rsidR="001B689E" w:rsidRPr="007A435A" w14:paraId="50A27CDB" w14:textId="1C53A23A" w:rsidTr="0070535D">
        <w:trPr>
          <w:trHeight w:val="300"/>
        </w:trPr>
        <w:tc>
          <w:tcPr>
            <w:tcW w:w="515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8F5CCB0" w14:textId="77777777" w:rsidR="001B689E" w:rsidRPr="007A435A" w:rsidRDefault="001B689E" w:rsidP="001B689E">
            <w:pPr>
              <w:spacing w:before="80" w:after="80" w:line="240" w:lineRule="auto"/>
              <w:rPr>
                <w:rFonts w:eastAsia="Times New Roman" w:cs="Times New Roman"/>
                <w:color w:val="000000"/>
              </w:rPr>
            </w:pPr>
            <w:r w:rsidRPr="007A435A">
              <w:rPr>
                <w:rFonts w:eastAsia="Times New Roman" w:cs="Times New Roman"/>
                <w:color w:val="000000"/>
              </w:rPr>
              <w:t xml:space="preserve">Base-case, parameter values shown in </w:t>
            </w:r>
            <w:r w:rsidRPr="007A435A">
              <w:rPr>
                <w:rFonts w:eastAsia="Times New Roman" w:cs="Times New Roman"/>
                <w:color w:val="000000"/>
              </w:rPr>
              <w:fldChar w:fldCharType="begin"/>
            </w:r>
            <w:r w:rsidRPr="007A435A">
              <w:rPr>
                <w:rFonts w:eastAsia="Times New Roman" w:cs="Times New Roman"/>
                <w:color w:val="000000"/>
              </w:rPr>
              <w:instrText xml:space="preserve"> REF _Ref93412655 \h  \* MERGEFORMAT </w:instrText>
            </w:r>
            <w:r w:rsidRPr="007A435A">
              <w:rPr>
                <w:rFonts w:eastAsia="Times New Roman" w:cs="Times New Roman"/>
                <w:color w:val="000000"/>
              </w:rPr>
            </w:r>
            <w:r w:rsidRPr="007A435A">
              <w:rPr>
                <w:rFonts w:eastAsia="Times New Roman" w:cs="Times New Roman"/>
                <w:color w:val="000000"/>
              </w:rPr>
              <w:fldChar w:fldCharType="separate"/>
            </w:r>
            <w:r w:rsidRPr="00A352DD">
              <w:rPr>
                <w:rFonts w:cs="Times New Roman"/>
              </w:rPr>
              <w:t xml:space="preserve">Table </w:t>
            </w:r>
            <w:r w:rsidRPr="00A352DD">
              <w:rPr>
                <w:rFonts w:cs="Times New Roman"/>
                <w:noProof/>
              </w:rPr>
              <w:t>1</w:t>
            </w:r>
            <w:r w:rsidRPr="007A435A">
              <w:rPr>
                <w:rFonts w:eastAsia="Times New Roman" w:cs="Times New Roman"/>
                <w:color w:val="000000"/>
              </w:rPr>
              <w:fldChar w:fldCharType="end"/>
            </w:r>
          </w:p>
        </w:tc>
        <w:tc>
          <w:tcPr>
            <w:tcW w:w="1191" w:type="dxa"/>
            <w:tcBorders>
              <w:top w:val="nil"/>
              <w:left w:val="nil"/>
              <w:bottom w:val="single" w:sz="4" w:space="0" w:color="auto"/>
              <w:right w:val="single" w:sz="4" w:space="0" w:color="auto"/>
            </w:tcBorders>
            <w:shd w:val="clear" w:color="auto" w:fill="auto"/>
            <w:vAlign w:val="center"/>
            <w:hideMark/>
          </w:tcPr>
          <w:p w14:paraId="58BA2AFE" w14:textId="77777777" w:rsidR="001B689E" w:rsidRPr="007A435A" w:rsidRDefault="001B689E" w:rsidP="001B689E">
            <w:pPr>
              <w:spacing w:before="80" w:after="80" w:line="240" w:lineRule="auto"/>
              <w:jc w:val="center"/>
              <w:rPr>
                <w:rFonts w:eastAsia="Times New Roman" w:cs="Times New Roman"/>
                <w:color w:val="000000"/>
              </w:rPr>
            </w:pPr>
            <w:r w:rsidRPr="007A435A">
              <w:rPr>
                <w:rFonts w:eastAsia="Times New Roman" w:cs="Times New Roman"/>
                <w:color w:val="000000"/>
              </w:rPr>
              <w:t>4,720</w:t>
            </w:r>
          </w:p>
        </w:tc>
        <w:tc>
          <w:tcPr>
            <w:tcW w:w="1442" w:type="dxa"/>
            <w:tcBorders>
              <w:top w:val="nil"/>
              <w:left w:val="single" w:sz="4" w:space="0" w:color="auto"/>
              <w:bottom w:val="single" w:sz="4" w:space="0" w:color="auto"/>
              <w:right w:val="single" w:sz="4" w:space="0" w:color="auto"/>
            </w:tcBorders>
            <w:shd w:val="clear" w:color="auto" w:fill="auto"/>
            <w:vAlign w:val="center"/>
            <w:hideMark/>
          </w:tcPr>
          <w:p w14:paraId="7CE0A18C" w14:textId="77777777" w:rsidR="001B689E" w:rsidRPr="007A435A" w:rsidRDefault="001B689E" w:rsidP="001B689E">
            <w:pPr>
              <w:spacing w:before="80" w:after="80" w:line="240" w:lineRule="auto"/>
              <w:jc w:val="center"/>
              <w:rPr>
                <w:rFonts w:eastAsia="Times New Roman" w:cs="Times New Roman"/>
                <w:color w:val="000000"/>
              </w:rPr>
            </w:pPr>
            <w:r w:rsidRPr="007A435A">
              <w:rPr>
                <w:rFonts w:eastAsia="Times New Roman" w:cs="Times New Roman"/>
                <w:color w:val="000000"/>
              </w:rPr>
              <w:t>1460</w:t>
            </w:r>
          </w:p>
        </w:tc>
        <w:tc>
          <w:tcPr>
            <w:tcW w:w="1275" w:type="dxa"/>
            <w:tcBorders>
              <w:top w:val="nil"/>
              <w:left w:val="single" w:sz="4" w:space="0" w:color="auto"/>
              <w:bottom w:val="single" w:sz="4" w:space="0" w:color="auto"/>
              <w:right w:val="single" w:sz="4" w:space="0" w:color="auto"/>
            </w:tcBorders>
          </w:tcPr>
          <w:p w14:paraId="616FC983" w14:textId="303C7016" w:rsidR="001B689E" w:rsidRPr="007A435A" w:rsidRDefault="001B689E" w:rsidP="001B689E">
            <w:pPr>
              <w:spacing w:before="80" w:after="80" w:line="240" w:lineRule="auto"/>
              <w:jc w:val="center"/>
              <w:rPr>
                <w:rFonts w:eastAsia="Times New Roman" w:cs="Times New Roman"/>
                <w:color w:val="000000"/>
              </w:rPr>
            </w:pPr>
            <w:r w:rsidRPr="007A435A">
              <w:rPr>
                <w:rFonts w:eastAsia="Times New Roman" w:cs="Times New Roman"/>
                <w:color w:val="000000"/>
              </w:rPr>
              <w:t>14.6</w:t>
            </w:r>
          </w:p>
        </w:tc>
      </w:tr>
      <w:tr w:rsidR="001B689E" w:rsidRPr="007A435A" w14:paraId="3B240E9A" w14:textId="1892A200" w:rsidTr="0070535D">
        <w:trPr>
          <w:trHeight w:val="300"/>
        </w:trPr>
        <w:tc>
          <w:tcPr>
            <w:tcW w:w="2494" w:type="dxa"/>
            <w:tcBorders>
              <w:top w:val="single" w:sz="4" w:space="0" w:color="auto"/>
              <w:left w:val="single" w:sz="4" w:space="0" w:color="auto"/>
              <w:bottom w:val="single" w:sz="4" w:space="0" w:color="auto"/>
              <w:right w:val="single" w:sz="4" w:space="0" w:color="auto"/>
            </w:tcBorders>
            <w:vAlign w:val="bottom"/>
          </w:tcPr>
          <w:p w14:paraId="049CC749" w14:textId="77777777" w:rsidR="001B689E" w:rsidRPr="007A435A" w:rsidRDefault="001B689E" w:rsidP="001B689E">
            <w:pPr>
              <w:spacing w:before="80" w:after="80" w:line="240" w:lineRule="auto"/>
              <w:rPr>
                <w:rFonts w:eastAsia="Times New Roman" w:cs="Times New Roman"/>
                <w:color w:val="000000"/>
              </w:rPr>
            </w:pPr>
            <w:r w:rsidRPr="007A435A">
              <w:rPr>
                <w:rFonts w:eastAsia="Times New Roman" w:cs="Times New Roman"/>
                <w:color w:val="000000"/>
              </w:rPr>
              <w:t>Probability of event = 1%</w:t>
            </w:r>
          </w:p>
        </w:tc>
        <w:tc>
          <w:tcPr>
            <w:tcW w:w="2665" w:type="dxa"/>
            <w:tcBorders>
              <w:top w:val="nil"/>
              <w:left w:val="single" w:sz="4" w:space="0" w:color="auto"/>
              <w:bottom w:val="single" w:sz="4" w:space="0" w:color="auto"/>
              <w:right w:val="single" w:sz="4" w:space="0" w:color="auto"/>
            </w:tcBorders>
            <w:shd w:val="clear" w:color="auto" w:fill="auto"/>
            <w:noWrap/>
            <w:vAlign w:val="bottom"/>
            <w:hideMark/>
          </w:tcPr>
          <w:p w14:paraId="0D95FA50" w14:textId="77777777" w:rsidR="001B689E" w:rsidRPr="007A435A" w:rsidRDefault="001B689E" w:rsidP="001B689E">
            <w:pPr>
              <w:spacing w:before="80" w:after="80" w:line="240" w:lineRule="auto"/>
              <w:rPr>
                <w:rFonts w:eastAsia="Times New Roman" w:cs="Times New Roman"/>
                <w:color w:val="000000"/>
              </w:rPr>
            </w:pPr>
            <w:r w:rsidRPr="007A435A">
              <w:rPr>
                <w:rFonts w:eastAsia="Times New Roman" w:cs="Times New Roman"/>
                <w:color w:val="000000"/>
              </w:rPr>
              <w:t>Probability of event = 0.5%</w:t>
            </w:r>
          </w:p>
        </w:tc>
        <w:tc>
          <w:tcPr>
            <w:tcW w:w="1191" w:type="dxa"/>
            <w:tcBorders>
              <w:top w:val="nil"/>
              <w:left w:val="nil"/>
              <w:bottom w:val="single" w:sz="4" w:space="0" w:color="auto"/>
              <w:right w:val="single" w:sz="4" w:space="0" w:color="auto"/>
            </w:tcBorders>
            <w:shd w:val="clear" w:color="auto" w:fill="auto"/>
            <w:vAlign w:val="center"/>
            <w:hideMark/>
          </w:tcPr>
          <w:p w14:paraId="4DB08AC8" w14:textId="77777777" w:rsidR="001B689E" w:rsidRPr="007A435A" w:rsidRDefault="001B689E" w:rsidP="001B689E">
            <w:pPr>
              <w:spacing w:before="80" w:after="80" w:line="240" w:lineRule="auto"/>
              <w:jc w:val="center"/>
              <w:rPr>
                <w:rFonts w:eastAsia="Times New Roman" w:cs="Times New Roman"/>
                <w:color w:val="000000"/>
              </w:rPr>
            </w:pPr>
            <w:r w:rsidRPr="007A435A">
              <w:rPr>
                <w:rFonts w:eastAsia="Times New Roman" w:cs="Times New Roman"/>
                <w:color w:val="000000"/>
              </w:rPr>
              <w:t>4,720</w:t>
            </w:r>
          </w:p>
        </w:tc>
        <w:tc>
          <w:tcPr>
            <w:tcW w:w="1442" w:type="dxa"/>
            <w:tcBorders>
              <w:top w:val="nil"/>
              <w:left w:val="single" w:sz="4" w:space="0" w:color="auto"/>
              <w:bottom w:val="single" w:sz="4" w:space="0" w:color="auto"/>
              <w:right w:val="single" w:sz="4" w:space="0" w:color="auto"/>
            </w:tcBorders>
            <w:shd w:val="clear" w:color="auto" w:fill="auto"/>
            <w:vAlign w:val="center"/>
            <w:hideMark/>
          </w:tcPr>
          <w:p w14:paraId="1F026D33" w14:textId="77777777" w:rsidR="001B689E" w:rsidRPr="007A435A" w:rsidRDefault="001B689E" w:rsidP="001B689E">
            <w:pPr>
              <w:spacing w:before="80" w:after="80" w:line="240" w:lineRule="auto"/>
              <w:jc w:val="center"/>
              <w:rPr>
                <w:rFonts w:eastAsia="Times New Roman" w:cs="Times New Roman"/>
                <w:color w:val="000000"/>
              </w:rPr>
            </w:pPr>
            <w:r w:rsidRPr="007A435A">
              <w:rPr>
                <w:rFonts w:eastAsia="Times New Roman" w:cs="Times New Roman"/>
                <w:color w:val="000000"/>
              </w:rPr>
              <w:t>1460</w:t>
            </w:r>
          </w:p>
        </w:tc>
        <w:tc>
          <w:tcPr>
            <w:tcW w:w="1275" w:type="dxa"/>
            <w:tcBorders>
              <w:top w:val="nil"/>
              <w:left w:val="single" w:sz="4" w:space="0" w:color="auto"/>
              <w:bottom w:val="single" w:sz="4" w:space="0" w:color="auto"/>
              <w:right w:val="single" w:sz="4" w:space="0" w:color="auto"/>
            </w:tcBorders>
            <w:vAlign w:val="center"/>
          </w:tcPr>
          <w:p w14:paraId="019636D1" w14:textId="0A498671" w:rsidR="001B689E" w:rsidRPr="007A435A" w:rsidRDefault="001B689E" w:rsidP="001B689E">
            <w:pPr>
              <w:spacing w:before="80" w:after="80" w:line="240" w:lineRule="auto"/>
              <w:jc w:val="center"/>
              <w:rPr>
                <w:rFonts w:eastAsia="Times New Roman" w:cs="Times New Roman"/>
                <w:color w:val="000000"/>
              </w:rPr>
            </w:pPr>
            <w:r w:rsidRPr="007A435A">
              <w:rPr>
                <w:rFonts w:eastAsia="Times New Roman" w:cs="Times New Roman"/>
                <w:color w:val="000000"/>
              </w:rPr>
              <w:t>7.3</w:t>
            </w:r>
          </w:p>
        </w:tc>
      </w:tr>
      <w:tr w:rsidR="001B689E" w:rsidRPr="007A435A" w14:paraId="10AFDE5B" w14:textId="3CF7E842" w:rsidTr="0070535D">
        <w:trPr>
          <w:trHeight w:val="300"/>
        </w:trPr>
        <w:tc>
          <w:tcPr>
            <w:tcW w:w="2494" w:type="dxa"/>
            <w:tcBorders>
              <w:top w:val="single" w:sz="4" w:space="0" w:color="auto"/>
              <w:left w:val="single" w:sz="4" w:space="0" w:color="auto"/>
              <w:bottom w:val="single" w:sz="4" w:space="0" w:color="auto"/>
              <w:right w:val="single" w:sz="4" w:space="0" w:color="auto"/>
            </w:tcBorders>
            <w:vAlign w:val="bottom"/>
          </w:tcPr>
          <w:p w14:paraId="7150F1F3" w14:textId="77777777" w:rsidR="001B689E" w:rsidRPr="007A435A" w:rsidRDefault="001B689E" w:rsidP="001B689E">
            <w:pPr>
              <w:spacing w:before="80" w:after="80" w:line="240" w:lineRule="auto"/>
              <w:rPr>
                <w:rFonts w:eastAsia="Times New Roman" w:cs="Times New Roman"/>
                <w:color w:val="000000"/>
              </w:rPr>
            </w:pPr>
            <w:r w:rsidRPr="007A435A">
              <w:rPr>
                <w:rFonts w:eastAsia="Times New Roman" w:cs="Times New Roman"/>
                <w:color w:val="000000"/>
              </w:rPr>
              <w:t>Probability of event = 1%</w:t>
            </w:r>
          </w:p>
        </w:tc>
        <w:tc>
          <w:tcPr>
            <w:tcW w:w="2665" w:type="dxa"/>
            <w:tcBorders>
              <w:top w:val="nil"/>
              <w:left w:val="single" w:sz="4" w:space="0" w:color="auto"/>
              <w:bottom w:val="single" w:sz="4" w:space="0" w:color="auto"/>
              <w:right w:val="single" w:sz="4" w:space="0" w:color="auto"/>
            </w:tcBorders>
            <w:shd w:val="clear" w:color="auto" w:fill="auto"/>
            <w:noWrap/>
            <w:vAlign w:val="bottom"/>
            <w:hideMark/>
          </w:tcPr>
          <w:p w14:paraId="495EE678" w14:textId="77777777" w:rsidR="001B689E" w:rsidRPr="007A435A" w:rsidRDefault="001B689E" w:rsidP="001B689E">
            <w:pPr>
              <w:spacing w:before="80" w:after="80" w:line="240" w:lineRule="auto"/>
              <w:rPr>
                <w:rFonts w:eastAsia="Times New Roman" w:cs="Times New Roman"/>
                <w:color w:val="000000"/>
              </w:rPr>
            </w:pPr>
            <w:r w:rsidRPr="007A435A">
              <w:rPr>
                <w:rFonts w:eastAsia="Times New Roman" w:cs="Times New Roman"/>
                <w:color w:val="000000"/>
              </w:rPr>
              <w:t>Probability of event = 5%</w:t>
            </w:r>
          </w:p>
        </w:tc>
        <w:tc>
          <w:tcPr>
            <w:tcW w:w="1191" w:type="dxa"/>
            <w:tcBorders>
              <w:top w:val="nil"/>
              <w:left w:val="nil"/>
              <w:bottom w:val="single" w:sz="4" w:space="0" w:color="auto"/>
              <w:right w:val="single" w:sz="4" w:space="0" w:color="auto"/>
            </w:tcBorders>
            <w:shd w:val="clear" w:color="auto" w:fill="auto"/>
            <w:vAlign w:val="center"/>
            <w:hideMark/>
          </w:tcPr>
          <w:p w14:paraId="58BC78B6" w14:textId="77777777" w:rsidR="001B689E" w:rsidRPr="007A435A" w:rsidRDefault="001B689E" w:rsidP="001B689E">
            <w:pPr>
              <w:spacing w:before="80" w:after="80" w:line="240" w:lineRule="auto"/>
              <w:jc w:val="center"/>
              <w:rPr>
                <w:rFonts w:eastAsia="Times New Roman" w:cs="Times New Roman"/>
                <w:color w:val="000000"/>
              </w:rPr>
            </w:pPr>
            <w:r w:rsidRPr="007A435A">
              <w:rPr>
                <w:rFonts w:eastAsia="Times New Roman" w:cs="Times New Roman"/>
                <w:color w:val="000000"/>
              </w:rPr>
              <w:t>4,720</w:t>
            </w:r>
          </w:p>
        </w:tc>
        <w:tc>
          <w:tcPr>
            <w:tcW w:w="1442" w:type="dxa"/>
            <w:tcBorders>
              <w:top w:val="nil"/>
              <w:left w:val="single" w:sz="4" w:space="0" w:color="auto"/>
              <w:bottom w:val="single" w:sz="4" w:space="0" w:color="auto"/>
              <w:right w:val="single" w:sz="4" w:space="0" w:color="auto"/>
            </w:tcBorders>
            <w:shd w:val="clear" w:color="auto" w:fill="auto"/>
            <w:vAlign w:val="center"/>
            <w:hideMark/>
          </w:tcPr>
          <w:p w14:paraId="48160AF9" w14:textId="77777777" w:rsidR="001B689E" w:rsidRPr="007A435A" w:rsidRDefault="001B689E" w:rsidP="001B689E">
            <w:pPr>
              <w:spacing w:before="80" w:after="80" w:line="240" w:lineRule="auto"/>
              <w:jc w:val="center"/>
              <w:rPr>
                <w:rFonts w:eastAsia="Times New Roman" w:cs="Times New Roman"/>
                <w:color w:val="000000"/>
              </w:rPr>
            </w:pPr>
            <w:r w:rsidRPr="007A435A">
              <w:rPr>
                <w:rFonts w:eastAsia="Times New Roman" w:cs="Times New Roman"/>
                <w:color w:val="000000"/>
              </w:rPr>
              <w:t>1460</w:t>
            </w:r>
          </w:p>
        </w:tc>
        <w:tc>
          <w:tcPr>
            <w:tcW w:w="1275" w:type="dxa"/>
            <w:tcBorders>
              <w:top w:val="nil"/>
              <w:left w:val="single" w:sz="4" w:space="0" w:color="auto"/>
              <w:bottom w:val="single" w:sz="4" w:space="0" w:color="auto"/>
              <w:right w:val="single" w:sz="4" w:space="0" w:color="auto"/>
            </w:tcBorders>
            <w:vAlign w:val="center"/>
          </w:tcPr>
          <w:p w14:paraId="7407DCAC" w14:textId="41B75FD0" w:rsidR="001B689E" w:rsidRPr="007A435A" w:rsidRDefault="001B689E" w:rsidP="001B689E">
            <w:pPr>
              <w:spacing w:before="80" w:after="80" w:line="240" w:lineRule="auto"/>
              <w:jc w:val="center"/>
              <w:rPr>
                <w:rFonts w:eastAsia="Times New Roman" w:cs="Times New Roman"/>
                <w:color w:val="000000"/>
              </w:rPr>
            </w:pPr>
            <w:r w:rsidRPr="007A435A">
              <w:rPr>
                <w:rFonts w:eastAsia="Times New Roman" w:cs="Times New Roman"/>
                <w:color w:val="000000"/>
              </w:rPr>
              <w:t>73.0</w:t>
            </w:r>
          </w:p>
        </w:tc>
      </w:tr>
      <w:tr w:rsidR="001B689E" w:rsidRPr="007A435A" w14:paraId="23470AC9" w14:textId="4FD44FD0" w:rsidTr="0070535D">
        <w:trPr>
          <w:trHeight w:val="300"/>
        </w:trPr>
        <w:tc>
          <w:tcPr>
            <w:tcW w:w="2494" w:type="dxa"/>
            <w:tcBorders>
              <w:top w:val="single" w:sz="4" w:space="0" w:color="auto"/>
              <w:left w:val="single" w:sz="4" w:space="0" w:color="auto"/>
              <w:bottom w:val="single" w:sz="4" w:space="0" w:color="auto"/>
              <w:right w:val="single" w:sz="4" w:space="0" w:color="auto"/>
            </w:tcBorders>
            <w:vAlign w:val="bottom"/>
          </w:tcPr>
          <w:p w14:paraId="45F2121D" w14:textId="77777777" w:rsidR="001B689E" w:rsidRPr="007A435A" w:rsidRDefault="001B689E" w:rsidP="001B689E">
            <w:pPr>
              <w:spacing w:before="80" w:after="80" w:line="240" w:lineRule="auto"/>
              <w:rPr>
                <w:rFonts w:eastAsia="Times New Roman" w:cs="Times New Roman"/>
                <w:color w:val="000000"/>
              </w:rPr>
            </w:pPr>
            <w:r w:rsidRPr="007A435A">
              <w:rPr>
                <w:rFonts w:eastAsia="Times New Roman" w:cs="Times New Roman"/>
                <w:color w:val="000000"/>
              </w:rPr>
              <w:t>Event occurs in 10 years</w:t>
            </w:r>
          </w:p>
        </w:tc>
        <w:tc>
          <w:tcPr>
            <w:tcW w:w="2665" w:type="dxa"/>
            <w:tcBorders>
              <w:top w:val="nil"/>
              <w:left w:val="single" w:sz="4" w:space="0" w:color="auto"/>
              <w:bottom w:val="single" w:sz="4" w:space="0" w:color="auto"/>
              <w:right w:val="single" w:sz="4" w:space="0" w:color="auto"/>
            </w:tcBorders>
            <w:shd w:val="clear" w:color="auto" w:fill="auto"/>
            <w:noWrap/>
            <w:vAlign w:val="bottom"/>
            <w:hideMark/>
          </w:tcPr>
          <w:p w14:paraId="72ADC031" w14:textId="77777777" w:rsidR="001B689E" w:rsidRPr="007A435A" w:rsidRDefault="001B689E" w:rsidP="001B689E">
            <w:pPr>
              <w:spacing w:before="80" w:after="80" w:line="240" w:lineRule="auto"/>
              <w:rPr>
                <w:rFonts w:eastAsia="Times New Roman" w:cs="Times New Roman"/>
                <w:color w:val="000000"/>
              </w:rPr>
            </w:pPr>
            <w:r w:rsidRPr="007A435A">
              <w:rPr>
                <w:rFonts w:eastAsia="Times New Roman" w:cs="Times New Roman"/>
                <w:color w:val="000000"/>
              </w:rPr>
              <w:t>Event occurs in 5 years</w:t>
            </w:r>
          </w:p>
        </w:tc>
        <w:tc>
          <w:tcPr>
            <w:tcW w:w="1191" w:type="dxa"/>
            <w:tcBorders>
              <w:top w:val="nil"/>
              <w:left w:val="nil"/>
              <w:bottom w:val="single" w:sz="4" w:space="0" w:color="auto"/>
              <w:right w:val="single" w:sz="4" w:space="0" w:color="auto"/>
            </w:tcBorders>
            <w:shd w:val="clear" w:color="auto" w:fill="auto"/>
            <w:vAlign w:val="center"/>
            <w:hideMark/>
          </w:tcPr>
          <w:p w14:paraId="0EB319F4" w14:textId="77777777" w:rsidR="001B689E" w:rsidRPr="007A435A" w:rsidRDefault="001B689E" w:rsidP="001B689E">
            <w:pPr>
              <w:spacing w:before="80" w:after="80" w:line="240" w:lineRule="auto"/>
              <w:jc w:val="center"/>
              <w:rPr>
                <w:rFonts w:eastAsia="Times New Roman" w:cs="Times New Roman"/>
                <w:color w:val="000000"/>
              </w:rPr>
            </w:pPr>
            <w:r w:rsidRPr="007A435A">
              <w:rPr>
                <w:rFonts w:eastAsia="Times New Roman" w:cs="Times New Roman"/>
                <w:color w:val="000000"/>
              </w:rPr>
              <w:t>6,195</w:t>
            </w:r>
          </w:p>
        </w:tc>
        <w:tc>
          <w:tcPr>
            <w:tcW w:w="1442" w:type="dxa"/>
            <w:tcBorders>
              <w:top w:val="nil"/>
              <w:left w:val="single" w:sz="4" w:space="0" w:color="auto"/>
              <w:bottom w:val="single" w:sz="4" w:space="0" w:color="auto"/>
              <w:right w:val="single" w:sz="4" w:space="0" w:color="auto"/>
            </w:tcBorders>
            <w:shd w:val="clear" w:color="auto" w:fill="auto"/>
            <w:vAlign w:val="center"/>
            <w:hideMark/>
          </w:tcPr>
          <w:p w14:paraId="3A13C3B0" w14:textId="77777777" w:rsidR="001B689E" w:rsidRPr="007A435A" w:rsidRDefault="001B689E" w:rsidP="001B689E">
            <w:pPr>
              <w:spacing w:before="80" w:after="80" w:line="240" w:lineRule="auto"/>
              <w:jc w:val="center"/>
              <w:rPr>
                <w:rFonts w:eastAsia="Times New Roman" w:cs="Times New Roman"/>
                <w:color w:val="000000"/>
              </w:rPr>
            </w:pPr>
            <w:r w:rsidRPr="007A435A">
              <w:rPr>
                <w:rFonts w:eastAsia="Times New Roman" w:cs="Times New Roman"/>
                <w:color w:val="000000"/>
              </w:rPr>
              <w:t>2180</w:t>
            </w:r>
          </w:p>
        </w:tc>
        <w:tc>
          <w:tcPr>
            <w:tcW w:w="1275" w:type="dxa"/>
            <w:tcBorders>
              <w:top w:val="nil"/>
              <w:left w:val="single" w:sz="4" w:space="0" w:color="auto"/>
              <w:bottom w:val="single" w:sz="4" w:space="0" w:color="auto"/>
              <w:right w:val="single" w:sz="4" w:space="0" w:color="auto"/>
            </w:tcBorders>
            <w:vAlign w:val="center"/>
          </w:tcPr>
          <w:p w14:paraId="426FFBC2" w14:textId="32E38255" w:rsidR="001B689E" w:rsidRPr="007A435A" w:rsidRDefault="001B689E" w:rsidP="001B689E">
            <w:pPr>
              <w:spacing w:before="80" w:after="80" w:line="240" w:lineRule="auto"/>
              <w:jc w:val="center"/>
              <w:rPr>
                <w:rFonts w:eastAsia="Times New Roman" w:cs="Times New Roman"/>
                <w:color w:val="000000"/>
              </w:rPr>
            </w:pPr>
            <w:r w:rsidRPr="007A435A">
              <w:rPr>
                <w:rFonts w:eastAsia="Times New Roman" w:cs="Times New Roman"/>
                <w:color w:val="000000"/>
              </w:rPr>
              <w:t>21.8</w:t>
            </w:r>
          </w:p>
        </w:tc>
      </w:tr>
      <w:tr w:rsidR="001B689E" w:rsidRPr="007A435A" w14:paraId="21DF096B" w14:textId="5FF1382F" w:rsidTr="0070535D">
        <w:trPr>
          <w:trHeight w:val="300"/>
        </w:trPr>
        <w:tc>
          <w:tcPr>
            <w:tcW w:w="2494" w:type="dxa"/>
            <w:tcBorders>
              <w:top w:val="single" w:sz="4" w:space="0" w:color="auto"/>
              <w:left w:val="single" w:sz="4" w:space="0" w:color="auto"/>
              <w:bottom w:val="single" w:sz="4" w:space="0" w:color="auto"/>
              <w:right w:val="single" w:sz="4" w:space="0" w:color="auto"/>
            </w:tcBorders>
            <w:vAlign w:val="bottom"/>
          </w:tcPr>
          <w:p w14:paraId="77757E4F" w14:textId="77777777" w:rsidR="001B689E" w:rsidRPr="007A435A" w:rsidRDefault="001B689E" w:rsidP="001B689E">
            <w:pPr>
              <w:spacing w:before="80" w:after="80" w:line="240" w:lineRule="auto"/>
              <w:rPr>
                <w:rFonts w:eastAsia="Times New Roman" w:cs="Times New Roman"/>
                <w:color w:val="000000"/>
              </w:rPr>
            </w:pPr>
            <w:r w:rsidRPr="007A435A">
              <w:rPr>
                <w:rFonts w:eastAsia="Times New Roman" w:cs="Times New Roman"/>
                <w:color w:val="000000"/>
              </w:rPr>
              <w:t>Event occurs in 10 years</w:t>
            </w:r>
          </w:p>
        </w:tc>
        <w:tc>
          <w:tcPr>
            <w:tcW w:w="2665" w:type="dxa"/>
            <w:tcBorders>
              <w:top w:val="nil"/>
              <w:left w:val="single" w:sz="4" w:space="0" w:color="auto"/>
              <w:bottom w:val="single" w:sz="4" w:space="0" w:color="auto"/>
              <w:right w:val="single" w:sz="4" w:space="0" w:color="auto"/>
            </w:tcBorders>
            <w:shd w:val="clear" w:color="auto" w:fill="auto"/>
            <w:noWrap/>
            <w:vAlign w:val="bottom"/>
            <w:hideMark/>
          </w:tcPr>
          <w:p w14:paraId="717B8CDD" w14:textId="77777777" w:rsidR="001B689E" w:rsidRPr="007A435A" w:rsidRDefault="001B689E" w:rsidP="001B689E">
            <w:pPr>
              <w:spacing w:before="80" w:after="80" w:line="240" w:lineRule="auto"/>
              <w:rPr>
                <w:rFonts w:eastAsia="Times New Roman" w:cs="Times New Roman"/>
                <w:color w:val="000000"/>
              </w:rPr>
            </w:pPr>
            <w:r w:rsidRPr="007A435A">
              <w:rPr>
                <w:rFonts w:eastAsia="Times New Roman" w:cs="Times New Roman"/>
                <w:color w:val="000000"/>
              </w:rPr>
              <w:t>Event occurs in 15 years</w:t>
            </w:r>
          </w:p>
        </w:tc>
        <w:tc>
          <w:tcPr>
            <w:tcW w:w="1191" w:type="dxa"/>
            <w:tcBorders>
              <w:top w:val="nil"/>
              <w:left w:val="nil"/>
              <w:bottom w:val="single" w:sz="4" w:space="0" w:color="auto"/>
              <w:right w:val="single" w:sz="4" w:space="0" w:color="auto"/>
            </w:tcBorders>
            <w:shd w:val="clear" w:color="auto" w:fill="auto"/>
            <w:vAlign w:val="center"/>
            <w:hideMark/>
          </w:tcPr>
          <w:p w14:paraId="2BD7F758" w14:textId="77777777" w:rsidR="001B689E" w:rsidRPr="007A435A" w:rsidRDefault="001B689E" w:rsidP="001B689E">
            <w:pPr>
              <w:spacing w:before="80" w:after="80" w:line="240" w:lineRule="auto"/>
              <w:jc w:val="center"/>
              <w:rPr>
                <w:rFonts w:eastAsia="Times New Roman" w:cs="Times New Roman"/>
                <w:color w:val="000000"/>
              </w:rPr>
            </w:pPr>
            <w:r w:rsidRPr="007A435A">
              <w:rPr>
                <w:rFonts w:eastAsia="Times New Roman" w:cs="Times New Roman"/>
                <w:color w:val="000000"/>
              </w:rPr>
              <w:t>3,245</w:t>
            </w:r>
          </w:p>
        </w:tc>
        <w:tc>
          <w:tcPr>
            <w:tcW w:w="1442" w:type="dxa"/>
            <w:tcBorders>
              <w:top w:val="nil"/>
              <w:left w:val="single" w:sz="4" w:space="0" w:color="auto"/>
              <w:bottom w:val="single" w:sz="4" w:space="0" w:color="auto"/>
              <w:right w:val="single" w:sz="4" w:space="0" w:color="auto"/>
            </w:tcBorders>
            <w:shd w:val="clear" w:color="auto" w:fill="auto"/>
            <w:vAlign w:val="center"/>
            <w:hideMark/>
          </w:tcPr>
          <w:p w14:paraId="730F027A" w14:textId="77777777" w:rsidR="001B689E" w:rsidRPr="007A435A" w:rsidRDefault="001B689E" w:rsidP="001B689E">
            <w:pPr>
              <w:spacing w:before="80" w:after="80" w:line="240" w:lineRule="auto"/>
              <w:jc w:val="center"/>
              <w:rPr>
                <w:rFonts w:eastAsia="Times New Roman" w:cs="Times New Roman"/>
                <w:color w:val="000000"/>
              </w:rPr>
            </w:pPr>
            <w:r w:rsidRPr="007A435A">
              <w:rPr>
                <w:rFonts w:eastAsia="Times New Roman" w:cs="Times New Roman"/>
                <w:color w:val="000000"/>
              </w:rPr>
              <w:t>870</w:t>
            </w:r>
          </w:p>
        </w:tc>
        <w:tc>
          <w:tcPr>
            <w:tcW w:w="1275" w:type="dxa"/>
            <w:tcBorders>
              <w:top w:val="nil"/>
              <w:left w:val="single" w:sz="4" w:space="0" w:color="auto"/>
              <w:bottom w:val="single" w:sz="4" w:space="0" w:color="auto"/>
              <w:right w:val="single" w:sz="4" w:space="0" w:color="auto"/>
            </w:tcBorders>
            <w:vAlign w:val="center"/>
          </w:tcPr>
          <w:p w14:paraId="4C82D083" w14:textId="5D0BD390" w:rsidR="001B689E" w:rsidRPr="007A435A" w:rsidRDefault="001B689E" w:rsidP="001B689E">
            <w:pPr>
              <w:spacing w:before="80" w:after="80" w:line="240" w:lineRule="auto"/>
              <w:jc w:val="center"/>
              <w:rPr>
                <w:rFonts w:eastAsia="Times New Roman" w:cs="Times New Roman"/>
                <w:color w:val="000000"/>
              </w:rPr>
            </w:pPr>
            <w:r w:rsidRPr="007A435A">
              <w:rPr>
                <w:rFonts w:eastAsia="Times New Roman" w:cs="Times New Roman"/>
                <w:color w:val="000000"/>
              </w:rPr>
              <w:t>8.7</w:t>
            </w:r>
          </w:p>
        </w:tc>
      </w:tr>
      <w:tr w:rsidR="001B689E" w:rsidRPr="007A435A" w14:paraId="48207873" w14:textId="195A7F09" w:rsidTr="0070535D">
        <w:trPr>
          <w:trHeight w:val="300"/>
        </w:trPr>
        <w:tc>
          <w:tcPr>
            <w:tcW w:w="2494" w:type="dxa"/>
            <w:tcBorders>
              <w:top w:val="single" w:sz="4" w:space="0" w:color="auto"/>
              <w:left w:val="single" w:sz="4" w:space="0" w:color="auto"/>
              <w:bottom w:val="single" w:sz="4" w:space="0" w:color="auto"/>
              <w:right w:val="single" w:sz="4" w:space="0" w:color="auto"/>
            </w:tcBorders>
            <w:vAlign w:val="bottom"/>
          </w:tcPr>
          <w:p w14:paraId="04791488" w14:textId="77777777" w:rsidR="001B689E" w:rsidRPr="007A435A" w:rsidRDefault="001B689E" w:rsidP="001B689E">
            <w:pPr>
              <w:spacing w:before="80" w:after="80" w:line="240" w:lineRule="auto"/>
              <w:rPr>
                <w:rFonts w:eastAsia="Times New Roman" w:cs="Times New Roman"/>
                <w:color w:val="000000"/>
              </w:rPr>
            </w:pPr>
            <w:r w:rsidRPr="007A435A">
              <w:rPr>
                <w:rFonts w:eastAsia="Times New Roman" w:cs="Times New Roman"/>
                <w:color w:val="000000"/>
              </w:rPr>
              <w:t>Number of patients in year 1 = 25</w:t>
            </w:r>
          </w:p>
        </w:tc>
        <w:tc>
          <w:tcPr>
            <w:tcW w:w="2665" w:type="dxa"/>
            <w:tcBorders>
              <w:top w:val="nil"/>
              <w:left w:val="single" w:sz="4" w:space="0" w:color="auto"/>
              <w:bottom w:val="single" w:sz="4" w:space="0" w:color="auto"/>
              <w:right w:val="single" w:sz="4" w:space="0" w:color="auto"/>
            </w:tcBorders>
            <w:shd w:val="clear" w:color="auto" w:fill="auto"/>
            <w:noWrap/>
            <w:vAlign w:val="bottom"/>
            <w:hideMark/>
          </w:tcPr>
          <w:p w14:paraId="341563E6" w14:textId="77777777" w:rsidR="001B689E" w:rsidRPr="007A435A" w:rsidRDefault="001B689E" w:rsidP="001B689E">
            <w:pPr>
              <w:spacing w:before="80" w:after="80" w:line="240" w:lineRule="auto"/>
              <w:rPr>
                <w:rFonts w:eastAsia="Times New Roman" w:cs="Times New Roman"/>
                <w:color w:val="000000"/>
              </w:rPr>
            </w:pPr>
            <w:r w:rsidRPr="007A435A">
              <w:rPr>
                <w:rFonts w:eastAsia="Times New Roman" w:cs="Times New Roman"/>
                <w:color w:val="000000"/>
              </w:rPr>
              <w:t>Number of patients in year 1 = 100</w:t>
            </w:r>
          </w:p>
        </w:tc>
        <w:tc>
          <w:tcPr>
            <w:tcW w:w="1191" w:type="dxa"/>
            <w:tcBorders>
              <w:top w:val="nil"/>
              <w:left w:val="nil"/>
              <w:bottom w:val="single" w:sz="4" w:space="0" w:color="auto"/>
              <w:right w:val="single" w:sz="4" w:space="0" w:color="auto"/>
            </w:tcBorders>
            <w:shd w:val="clear" w:color="auto" w:fill="auto"/>
            <w:vAlign w:val="center"/>
            <w:hideMark/>
          </w:tcPr>
          <w:p w14:paraId="33A634C3" w14:textId="77777777" w:rsidR="001B689E" w:rsidRPr="007A435A" w:rsidRDefault="001B689E" w:rsidP="001B689E">
            <w:pPr>
              <w:spacing w:before="80" w:after="80" w:line="240" w:lineRule="auto"/>
              <w:jc w:val="center"/>
              <w:rPr>
                <w:rFonts w:eastAsia="Times New Roman" w:cs="Times New Roman"/>
                <w:color w:val="000000"/>
              </w:rPr>
            </w:pPr>
            <w:r w:rsidRPr="007A435A">
              <w:rPr>
                <w:rFonts w:eastAsia="Times New Roman" w:cs="Times New Roman"/>
                <w:color w:val="000000"/>
              </w:rPr>
              <w:t>18,880</w:t>
            </w:r>
          </w:p>
        </w:tc>
        <w:tc>
          <w:tcPr>
            <w:tcW w:w="1442" w:type="dxa"/>
            <w:tcBorders>
              <w:top w:val="nil"/>
              <w:left w:val="single" w:sz="4" w:space="0" w:color="auto"/>
              <w:bottom w:val="single" w:sz="4" w:space="0" w:color="auto"/>
              <w:right w:val="single" w:sz="4" w:space="0" w:color="auto"/>
            </w:tcBorders>
            <w:shd w:val="clear" w:color="auto" w:fill="auto"/>
            <w:vAlign w:val="center"/>
            <w:hideMark/>
          </w:tcPr>
          <w:p w14:paraId="472095D2" w14:textId="77777777" w:rsidR="001B689E" w:rsidRPr="007A435A" w:rsidRDefault="001B689E" w:rsidP="001B689E">
            <w:pPr>
              <w:spacing w:before="80" w:after="80" w:line="240" w:lineRule="auto"/>
              <w:jc w:val="center"/>
              <w:rPr>
                <w:rFonts w:eastAsia="Times New Roman" w:cs="Times New Roman"/>
                <w:color w:val="000000"/>
              </w:rPr>
            </w:pPr>
            <w:r w:rsidRPr="007A435A">
              <w:rPr>
                <w:rFonts w:eastAsia="Times New Roman" w:cs="Times New Roman"/>
                <w:color w:val="000000"/>
              </w:rPr>
              <w:t>5839</w:t>
            </w:r>
          </w:p>
        </w:tc>
        <w:tc>
          <w:tcPr>
            <w:tcW w:w="1275" w:type="dxa"/>
            <w:tcBorders>
              <w:top w:val="nil"/>
              <w:left w:val="single" w:sz="4" w:space="0" w:color="auto"/>
              <w:bottom w:val="single" w:sz="4" w:space="0" w:color="auto"/>
              <w:right w:val="single" w:sz="4" w:space="0" w:color="auto"/>
            </w:tcBorders>
            <w:vAlign w:val="center"/>
          </w:tcPr>
          <w:p w14:paraId="202BF8B8" w14:textId="29C02F9A" w:rsidR="001B689E" w:rsidRPr="007A435A" w:rsidRDefault="001B689E" w:rsidP="001B689E">
            <w:pPr>
              <w:spacing w:before="80" w:after="80" w:line="240" w:lineRule="auto"/>
              <w:jc w:val="center"/>
              <w:rPr>
                <w:rFonts w:eastAsia="Times New Roman" w:cs="Times New Roman"/>
                <w:color w:val="000000"/>
              </w:rPr>
            </w:pPr>
            <w:r w:rsidRPr="007A435A">
              <w:rPr>
                <w:rFonts w:eastAsia="Times New Roman" w:cs="Times New Roman"/>
                <w:color w:val="000000"/>
              </w:rPr>
              <w:t>58.4</w:t>
            </w:r>
          </w:p>
        </w:tc>
      </w:tr>
      <w:tr w:rsidR="001B689E" w:rsidRPr="007A435A" w14:paraId="53752140" w14:textId="7DCE24B4" w:rsidTr="0070535D">
        <w:trPr>
          <w:trHeight w:val="300"/>
        </w:trPr>
        <w:tc>
          <w:tcPr>
            <w:tcW w:w="2494" w:type="dxa"/>
            <w:tcBorders>
              <w:top w:val="single" w:sz="4" w:space="0" w:color="auto"/>
              <w:left w:val="single" w:sz="4" w:space="0" w:color="auto"/>
              <w:bottom w:val="single" w:sz="4" w:space="0" w:color="auto"/>
              <w:right w:val="single" w:sz="4" w:space="0" w:color="auto"/>
            </w:tcBorders>
            <w:vAlign w:val="bottom"/>
          </w:tcPr>
          <w:p w14:paraId="20B9A17B" w14:textId="77777777" w:rsidR="001B689E" w:rsidRPr="007A435A" w:rsidRDefault="001B689E" w:rsidP="001B689E">
            <w:pPr>
              <w:spacing w:before="80" w:after="80" w:line="240" w:lineRule="auto"/>
              <w:rPr>
                <w:rFonts w:eastAsia="Times New Roman" w:cs="Times New Roman"/>
                <w:color w:val="000000"/>
              </w:rPr>
            </w:pPr>
            <w:r w:rsidRPr="007A435A">
              <w:rPr>
                <w:rFonts w:eastAsia="Times New Roman" w:cs="Times New Roman"/>
                <w:color w:val="000000"/>
              </w:rPr>
              <w:t>Population growth = 20%</w:t>
            </w:r>
          </w:p>
        </w:tc>
        <w:tc>
          <w:tcPr>
            <w:tcW w:w="2665" w:type="dxa"/>
            <w:tcBorders>
              <w:top w:val="nil"/>
              <w:left w:val="single" w:sz="4" w:space="0" w:color="auto"/>
              <w:bottom w:val="single" w:sz="4" w:space="0" w:color="auto"/>
              <w:right w:val="single" w:sz="4" w:space="0" w:color="auto"/>
            </w:tcBorders>
            <w:shd w:val="clear" w:color="auto" w:fill="auto"/>
            <w:noWrap/>
            <w:vAlign w:val="bottom"/>
            <w:hideMark/>
          </w:tcPr>
          <w:p w14:paraId="0C74AD06" w14:textId="77777777" w:rsidR="001B689E" w:rsidRPr="007A435A" w:rsidRDefault="001B689E" w:rsidP="001B689E">
            <w:pPr>
              <w:spacing w:before="80" w:after="80" w:line="240" w:lineRule="auto"/>
              <w:rPr>
                <w:rFonts w:eastAsia="Times New Roman" w:cs="Times New Roman"/>
                <w:color w:val="000000"/>
              </w:rPr>
            </w:pPr>
            <w:r w:rsidRPr="007A435A">
              <w:rPr>
                <w:rFonts w:eastAsia="Times New Roman" w:cs="Times New Roman"/>
                <w:color w:val="000000"/>
              </w:rPr>
              <w:t>Population growth = 3%</w:t>
            </w:r>
          </w:p>
        </w:tc>
        <w:tc>
          <w:tcPr>
            <w:tcW w:w="1191" w:type="dxa"/>
            <w:tcBorders>
              <w:top w:val="nil"/>
              <w:left w:val="nil"/>
              <w:bottom w:val="single" w:sz="4" w:space="0" w:color="auto"/>
              <w:right w:val="single" w:sz="4" w:space="0" w:color="auto"/>
            </w:tcBorders>
            <w:shd w:val="clear" w:color="auto" w:fill="auto"/>
            <w:vAlign w:val="center"/>
            <w:hideMark/>
          </w:tcPr>
          <w:p w14:paraId="731E81A3" w14:textId="77777777" w:rsidR="001B689E" w:rsidRPr="007A435A" w:rsidRDefault="001B689E" w:rsidP="001B689E">
            <w:pPr>
              <w:spacing w:before="80" w:after="80" w:line="240" w:lineRule="auto"/>
              <w:jc w:val="center"/>
              <w:rPr>
                <w:rFonts w:eastAsia="Times New Roman" w:cs="Times New Roman"/>
                <w:color w:val="000000"/>
              </w:rPr>
            </w:pPr>
            <w:r w:rsidRPr="007A435A">
              <w:rPr>
                <w:rFonts w:eastAsia="Times New Roman" w:cs="Times New Roman"/>
                <w:color w:val="000000"/>
              </w:rPr>
              <w:t>1,388</w:t>
            </w:r>
          </w:p>
        </w:tc>
        <w:tc>
          <w:tcPr>
            <w:tcW w:w="1442" w:type="dxa"/>
            <w:tcBorders>
              <w:top w:val="nil"/>
              <w:left w:val="single" w:sz="4" w:space="0" w:color="auto"/>
              <w:bottom w:val="single" w:sz="4" w:space="0" w:color="auto"/>
              <w:right w:val="single" w:sz="4" w:space="0" w:color="auto"/>
            </w:tcBorders>
            <w:shd w:val="clear" w:color="auto" w:fill="auto"/>
            <w:vAlign w:val="center"/>
            <w:hideMark/>
          </w:tcPr>
          <w:p w14:paraId="2DBD5510" w14:textId="77777777" w:rsidR="001B689E" w:rsidRPr="007A435A" w:rsidRDefault="001B689E" w:rsidP="001B689E">
            <w:pPr>
              <w:spacing w:before="80" w:after="80" w:line="240" w:lineRule="auto"/>
              <w:jc w:val="center"/>
              <w:rPr>
                <w:rFonts w:eastAsia="Times New Roman" w:cs="Times New Roman"/>
                <w:color w:val="000000"/>
              </w:rPr>
            </w:pPr>
            <w:r w:rsidRPr="007A435A">
              <w:rPr>
                <w:rFonts w:eastAsia="Times New Roman" w:cs="Times New Roman"/>
                <w:color w:val="000000"/>
              </w:rPr>
              <w:t>452</w:t>
            </w:r>
          </w:p>
        </w:tc>
        <w:tc>
          <w:tcPr>
            <w:tcW w:w="1275" w:type="dxa"/>
            <w:tcBorders>
              <w:top w:val="nil"/>
              <w:left w:val="single" w:sz="4" w:space="0" w:color="auto"/>
              <w:bottom w:val="single" w:sz="4" w:space="0" w:color="auto"/>
              <w:right w:val="single" w:sz="4" w:space="0" w:color="auto"/>
            </w:tcBorders>
            <w:vAlign w:val="center"/>
          </w:tcPr>
          <w:p w14:paraId="364BA3FA" w14:textId="4CEEFD30" w:rsidR="001B689E" w:rsidRPr="007A435A" w:rsidRDefault="001B689E" w:rsidP="001B689E">
            <w:pPr>
              <w:spacing w:before="80" w:after="80" w:line="240" w:lineRule="auto"/>
              <w:jc w:val="center"/>
              <w:rPr>
                <w:rFonts w:eastAsia="Times New Roman" w:cs="Times New Roman"/>
                <w:color w:val="000000"/>
              </w:rPr>
            </w:pPr>
            <w:r w:rsidRPr="007A435A">
              <w:rPr>
                <w:rFonts w:eastAsia="Times New Roman" w:cs="Times New Roman"/>
                <w:color w:val="000000"/>
              </w:rPr>
              <w:t>4.5</w:t>
            </w:r>
          </w:p>
        </w:tc>
      </w:tr>
      <w:tr w:rsidR="001B689E" w:rsidRPr="007A435A" w14:paraId="6033E9CA" w14:textId="3852D151" w:rsidTr="0070535D">
        <w:trPr>
          <w:trHeight w:val="300"/>
        </w:trPr>
        <w:tc>
          <w:tcPr>
            <w:tcW w:w="2494" w:type="dxa"/>
            <w:tcBorders>
              <w:top w:val="single" w:sz="4" w:space="0" w:color="auto"/>
              <w:left w:val="single" w:sz="4" w:space="0" w:color="auto"/>
              <w:bottom w:val="single" w:sz="4" w:space="0" w:color="auto"/>
              <w:right w:val="single" w:sz="4" w:space="0" w:color="auto"/>
            </w:tcBorders>
            <w:vAlign w:val="bottom"/>
          </w:tcPr>
          <w:p w14:paraId="4F89774E" w14:textId="77777777" w:rsidR="001B689E" w:rsidRPr="007A435A" w:rsidRDefault="001B689E" w:rsidP="001B689E">
            <w:pPr>
              <w:spacing w:before="80" w:after="80" w:line="240" w:lineRule="auto"/>
              <w:rPr>
                <w:rFonts w:eastAsia="Times New Roman" w:cs="Times New Roman"/>
                <w:color w:val="000000"/>
              </w:rPr>
            </w:pPr>
            <w:r w:rsidRPr="007A435A">
              <w:rPr>
                <w:rFonts w:eastAsia="Times New Roman" w:cs="Times New Roman"/>
                <w:color w:val="000000"/>
              </w:rPr>
              <w:t>Population growth = 20%</w:t>
            </w:r>
          </w:p>
        </w:tc>
        <w:tc>
          <w:tcPr>
            <w:tcW w:w="2665" w:type="dxa"/>
            <w:tcBorders>
              <w:top w:val="nil"/>
              <w:left w:val="single" w:sz="4" w:space="0" w:color="auto"/>
              <w:bottom w:val="single" w:sz="4" w:space="0" w:color="auto"/>
              <w:right w:val="single" w:sz="4" w:space="0" w:color="auto"/>
            </w:tcBorders>
            <w:shd w:val="clear" w:color="auto" w:fill="auto"/>
            <w:noWrap/>
            <w:vAlign w:val="bottom"/>
            <w:hideMark/>
          </w:tcPr>
          <w:p w14:paraId="67B2CA1E" w14:textId="77777777" w:rsidR="001B689E" w:rsidRPr="007A435A" w:rsidRDefault="001B689E" w:rsidP="001B689E">
            <w:pPr>
              <w:spacing w:before="80" w:after="80" w:line="240" w:lineRule="auto"/>
              <w:rPr>
                <w:rFonts w:eastAsia="Times New Roman" w:cs="Times New Roman"/>
                <w:color w:val="000000"/>
              </w:rPr>
            </w:pPr>
            <w:r w:rsidRPr="007A435A">
              <w:rPr>
                <w:rFonts w:eastAsia="Times New Roman" w:cs="Times New Roman"/>
                <w:color w:val="000000"/>
              </w:rPr>
              <w:t>Population growth = 30%</w:t>
            </w:r>
          </w:p>
        </w:tc>
        <w:tc>
          <w:tcPr>
            <w:tcW w:w="1191" w:type="dxa"/>
            <w:tcBorders>
              <w:top w:val="nil"/>
              <w:left w:val="nil"/>
              <w:bottom w:val="single" w:sz="4" w:space="0" w:color="auto"/>
              <w:right w:val="single" w:sz="4" w:space="0" w:color="auto"/>
            </w:tcBorders>
            <w:shd w:val="clear" w:color="auto" w:fill="auto"/>
            <w:vAlign w:val="center"/>
            <w:hideMark/>
          </w:tcPr>
          <w:p w14:paraId="5100D87C" w14:textId="77777777" w:rsidR="001B689E" w:rsidRPr="007A435A" w:rsidRDefault="001B689E" w:rsidP="001B689E">
            <w:pPr>
              <w:spacing w:before="80" w:after="80" w:line="240" w:lineRule="auto"/>
              <w:jc w:val="center"/>
              <w:rPr>
                <w:rFonts w:eastAsia="Times New Roman" w:cs="Times New Roman"/>
                <w:color w:val="000000"/>
              </w:rPr>
            </w:pPr>
            <w:r w:rsidRPr="007A435A">
              <w:rPr>
                <w:rFonts w:eastAsia="Times New Roman" w:cs="Times New Roman"/>
                <w:color w:val="000000"/>
              </w:rPr>
              <w:t>6,680</w:t>
            </w:r>
          </w:p>
        </w:tc>
        <w:tc>
          <w:tcPr>
            <w:tcW w:w="1442" w:type="dxa"/>
            <w:tcBorders>
              <w:top w:val="nil"/>
              <w:left w:val="single" w:sz="4" w:space="0" w:color="auto"/>
              <w:bottom w:val="single" w:sz="4" w:space="0" w:color="auto"/>
              <w:right w:val="single" w:sz="4" w:space="0" w:color="auto"/>
            </w:tcBorders>
            <w:shd w:val="clear" w:color="auto" w:fill="auto"/>
            <w:vAlign w:val="center"/>
            <w:hideMark/>
          </w:tcPr>
          <w:p w14:paraId="0079EADE" w14:textId="77777777" w:rsidR="001B689E" w:rsidRPr="007A435A" w:rsidRDefault="001B689E" w:rsidP="001B689E">
            <w:pPr>
              <w:spacing w:before="80" w:after="80" w:line="240" w:lineRule="auto"/>
              <w:jc w:val="center"/>
              <w:rPr>
                <w:rFonts w:eastAsia="Times New Roman" w:cs="Times New Roman"/>
                <w:color w:val="000000"/>
              </w:rPr>
            </w:pPr>
            <w:r w:rsidRPr="007A435A">
              <w:rPr>
                <w:rFonts w:eastAsia="Times New Roman" w:cs="Times New Roman"/>
                <w:color w:val="000000"/>
              </w:rPr>
              <w:t>2053</w:t>
            </w:r>
          </w:p>
        </w:tc>
        <w:tc>
          <w:tcPr>
            <w:tcW w:w="1275" w:type="dxa"/>
            <w:tcBorders>
              <w:top w:val="nil"/>
              <w:left w:val="single" w:sz="4" w:space="0" w:color="auto"/>
              <w:bottom w:val="single" w:sz="4" w:space="0" w:color="auto"/>
              <w:right w:val="single" w:sz="4" w:space="0" w:color="auto"/>
            </w:tcBorders>
            <w:vAlign w:val="center"/>
          </w:tcPr>
          <w:p w14:paraId="07219170" w14:textId="0773F6E7" w:rsidR="001B689E" w:rsidRPr="007A435A" w:rsidRDefault="001B689E" w:rsidP="001B689E">
            <w:pPr>
              <w:spacing w:before="80" w:after="80" w:line="240" w:lineRule="auto"/>
              <w:jc w:val="center"/>
              <w:rPr>
                <w:rFonts w:eastAsia="Times New Roman" w:cs="Times New Roman"/>
                <w:color w:val="000000"/>
              </w:rPr>
            </w:pPr>
            <w:r w:rsidRPr="007A435A">
              <w:rPr>
                <w:rFonts w:eastAsia="Times New Roman" w:cs="Times New Roman"/>
                <w:color w:val="000000"/>
              </w:rPr>
              <w:t>20.5</w:t>
            </w:r>
          </w:p>
        </w:tc>
      </w:tr>
      <w:tr w:rsidR="001B689E" w:rsidRPr="007A435A" w14:paraId="65358B27" w14:textId="75931E4B" w:rsidTr="0070535D">
        <w:trPr>
          <w:trHeight w:val="300"/>
        </w:trPr>
        <w:tc>
          <w:tcPr>
            <w:tcW w:w="2494" w:type="dxa"/>
            <w:tcBorders>
              <w:top w:val="single" w:sz="4" w:space="0" w:color="auto"/>
              <w:left w:val="single" w:sz="4" w:space="0" w:color="auto"/>
              <w:bottom w:val="single" w:sz="4" w:space="0" w:color="auto"/>
              <w:right w:val="single" w:sz="4" w:space="0" w:color="auto"/>
            </w:tcBorders>
            <w:vAlign w:val="bottom"/>
          </w:tcPr>
          <w:p w14:paraId="429CCB7E" w14:textId="77777777" w:rsidR="001B689E" w:rsidRPr="007A435A" w:rsidRDefault="001B689E" w:rsidP="001B689E">
            <w:pPr>
              <w:spacing w:before="80" w:after="80" w:line="240" w:lineRule="auto"/>
              <w:rPr>
                <w:rFonts w:eastAsia="Times New Roman" w:cs="Times New Roman"/>
                <w:color w:val="000000"/>
              </w:rPr>
            </w:pPr>
            <w:r w:rsidRPr="007A435A">
              <w:rPr>
                <w:rFonts w:eastAsia="Times New Roman" w:cs="Times New Roman"/>
                <w:color w:val="000000"/>
              </w:rPr>
              <w:t>Analysis time horizon = 50 years</w:t>
            </w:r>
          </w:p>
        </w:tc>
        <w:tc>
          <w:tcPr>
            <w:tcW w:w="2665" w:type="dxa"/>
            <w:tcBorders>
              <w:top w:val="nil"/>
              <w:left w:val="single" w:sz="4" w:space="0" w:color="auto"/>
              <w:bottom w:val="single" w:sz="4" w:space="0" w:color="auto"/>
              <w:right w:val="single" w:sz="4" w:space="0" w:color="auto"/>
            </w:tcBorders>
            <w:shd w:val="clear" w:color="auto" w:fill="auto"/>
            <w:noWrap/>
            <w:vAlign w:val="bottom"/>
            <w:hideMark/>
          </w:tcPr>
          <w:p w14:paraId="14376F4D" w14:textId="77777777" w:rsidR="001B689E" w:rsidRPr="007A435A" w:rsidRDefault="001B689E" w:rsidP="001B689E">
            <w:pPr>
              <w:spacing w:before="80" w:after="80" w:line="240" w:lineRule="auto"/>
              <w:rPr>
                <w:rFonts w:eastAsia="Times New Roman" w:cs="Times New Roman"/>
                <w:color w:val="000000"/>
              </w:rPr>
            </w:pPr>
            <w:r w:rsidRPr="007A435A">
              <w:rPr>
                <w:rFonts w:eastAsia="Times New Roman" w:cs="Times New Roman"/>
                <w:color w:val="000000"/>
              </w:rPr>
              <w:t>Analysis time horizon = 20 years</w:t>
            </w:r>
          </w:p>
        </w:tc>
        <w:tc>
          <w:tcPr>
            <w:tcW w:w="1191" w:type="dxa"/>
            <w:tcBorders>
              <w:top w:val="nil"/>
              <w:left w:val="nil"/>
              <w:bottom w:val="single" w:sz="4" w:space="0" w:color="auto"/>
              <w:right w:val="single" w:sz="4" w:space="0" w:color="auto"/>
            </w:tcBorders>
            <w:shd w:val="clear" w:color="auto" w:fill="auto"/>
            <w:vAlign w:val="center"/>
            <w:hideMark/>
          </w:tcPr>
          <w:p w14:paraId="2DB59E3D" w14:textId="77777777" w:rsidR="001B689E" w:rsidRPr="007A435A" w:rsidRDefault="001B689E" w:rsidP="001B689E">
            <w:pPr>
              <w:spacing w:before="80" w:after="80" w:line="240" w:lineRule="auto"/>
              <w:jc w:val="center"/>
              <w:rPr>
                <w:rFonts w:eastAsia="Times New Roman" w:cs="Times New Roman"/>
                <w:color w:val="000000"/>
              </w:rPr>
            </w:pPr>
            <w:r w:rsidRPr="007A435A">
              <w:rPr>
                <w:rFonts w:eastAsia="Times New Roman" w:cs="Times New Roman"/>
                <w:color w:val="000000"/>
              </w:rPr>
              <w:t>145</w:t>
            </w:r>
          </w:p>
        </w:tc>
        <w:tc>
          <w:tcPr>
            <w:tcW w:w="1442" w:type="dxa"/>
            <w:tcBorders>
              <w:top w:val="nil"/>
              <w:left w:val="single" w:sz="4" w:space="0" w:color="auto"/>
              <w:bottom w:val="single" w:sz="4" w:space="0" w:color="auto"/>
              <w:right w:val="single" w:sz="4" w:space="0" w:color="auto"/>
            </w:tcBorders>
            <w:shd w:val="clear" w:color="auto" w:fill="auto"/>
            <w:vAlign w:val="center"/>
            <w:hideMark/>
          </w:tcPr>
          <w:p w14:paraId="0C70FA0D" w14:textId="77777777" w:rsidR="001B689E" w:rsidRPr="007A435A" w:rsidRDefault="001B689E" w:rsidP="001B689E">
            <w:pPr>
              <w:spacing w:before="80" w:after="80" w:line="240" w:lineRule="auto"/>
              <w:jc w:val="center"/>
              <w:rPr>
                <w:rFonts w:eastAsia="Times New Roman" w:cs="Times New Roman"/>
                <w:color w:val="000000"/>
              </w:rPr>
            </w:pPr>
            <w:r w:rsidRPr="007A435A">
              <w:rPr>
                <w:rFonts w:eastAsia="Times New Roman" w:cs="Times New Roman"/>
                <w:color w:val="000000"/>
              </w:rPr>
              <w:t>79</w:t>
            </w:r>
          </w:p>
        </w:tc>
        <w:tc>
          <w:tcPr>
            <w:tcW w:w="1275" w:type="dxa"/>
            <w:tcBorders>
              <w:top w:val="nil"/>
              <w:left w:val="single" w:sz="4" w:space="0" w:color="auto"/>
              <w:bottom w:val="single" w:sz="4" w:space="0" w:color="auto"/>
              <w:right w:val="single" w:sz="4" w:space="0" w:color="auto"/>
            </w:tcBorders>
            <w:vAlign w:val="center"/>
          </w:tcPr>
          <w:p w14:paraId="63E41596" w14:textId="06D3B4F1" w:rsidR="001B689E" w:rsidRPr="007A435A" w:rsidRDefault="001B689E" w:rsidP="001B689E">
            <w:pPr>
              <w:spacing w:before="80" w:after="80" w:line="240" w:lineRule="auto"/>
              <w:jc w:val="center"/>
              <w:rPr>
                <w:rFonts w:eastAsia="Times New Roman" w:cs="Times New Roman"/>
                <w:color w:val="000000"/>
              </w:rPr>
            </w:pPr>
            <w:r w:rsidRPr="007A435A">
              <w:rPr>
                <w:rFonts w:eastAsia="Times New Roman" w:cs="Times New Roman"/>
                <w:color w:val="000000"/>
              </w:rPr>
              <w:t>0.8</w:t>
            </w:r>
          </w:p>
        </w:tc>
      </w:tr>
    </w:tbl>
    <w:p w14:paraId="52284D7B" w14:textId="77777777" w:rsidR="00A87F24" w:rsidRPr="009B0351" w:rsidRDefault="00A87F24" w:rsidP="00A87F24">
      <w:pPr>
        <w:rPr>
          <w:rFonts w:cs="Times New Roman"/>
          <w:sz w:val="20"/>
          <w:szCs w:val="20"/>
        </w:rPr>
      </w:pPr>
      <w:r w:rsidRPr="009B0351">
        <w:rPr>
          <w:sz w:val="20"/>
          <w:szCs w:val="20"/>
        </w:rPr>
        <w:t>INHE, incremental net health effects; QALYs, quality adjusted life years.</w:t>
      </w:r>
    </w:p>
    <w:p w14:paraId="24708AA5" w14:textId="77777777" w:rsidR="007941E2" w:rsidRPr="007941E2" w:rsidRDefault="007941E2" w:rsidP="007941E2">
      <w:pPr>
        <w:keepNext/>
        <w:keepLines/>
        <w:spacing w:before="400" w:after="120" w:line="360" w:lineRule="auto"/>
        <w:jc w:val="both"/>
        <w:outlineLvl w:val="0"/>
        <w:rPr>
          <w:b/>
          <w:sz w:val="32"/>
          <w:szCs w:val="40"/>
        </w:rPr>
      </w:pPr>
      <w:r w:rsidRPr="007941E2">
        <w:rPr>
          <w:b/>
          <w:sz w:val="32"/>
          <w:szCs w:val="40"/>
        </w:rPr>
        <w:t xml:space="preserve">Scenario 2: Accounting for the benefit in patients who cannot take colistin/aminoglycosides </w:t>
      </w:r>
    </w:p>
    <w:p w14:paraId="51033236" w14:textId="224CC496" w:rsidR="004A1B14" w:rsidRDefault="007941E2" w:rsidP="007941E2">
      <w:pPr>
        <w:keepNext/>
        <w:keepLines/>
        <w:spacing w:before="360" w:after="120" w:line="360" w:lineRule="auto"/>
        <w:jc w:val="both"/>
        <w:outlineLvl w:val="1"/>
        <w:rPr>
          <w:b/>
          <w:sz w:val="26"/>
          <w:szCs w:val="32"/>
        </w:rPr>
      </w:pPr>
      <w:r w:rsidRPr="007941E2">
        <w:rPr>
          <w:b/>
          <w:sz w:val="26"/>
          <w:szCs w:val="32"/>
        </w:rPr>
        <w:t>Background</w:t>
      </w:r>
    </w:p>
    <w:p w14:paraId="761E7C87" w14:textId="3324237B" w:rsidR="004A1B14" w:rsidRDefault="00953ED4" w:rsidP="005E5780">
      <w:pPr>
        <w:jc w:val="both"/>
      </w:pPr>
      <w:r>
        <w:t>The analysis in the EEPRU report was based on a proportion of patients being resistant to existing therapies other than colistin/aminoglycosides.  In which case it was assumed that</w:t>
      </w:r>
      <w:r w:rsidR="007E1C79">
        <w:t>,</w:t>
      </w:r>
      <w:r>
        <w:t xml:space="preserve"> in the absence of CAZ-AVI, </w:t>
      </w:r>
      <w:r w:rsidR="00AF6BDC">
        <w:t xml:space="preserve">colistin/aminoglycosides would be administered to patients.  The negative health effects and additional costs of renal toxicity associated with these products were explicitly modelled in assessing the patient-level INHEs of CAZ-AVI compared with existing therapies.  </w:t>
      </w:r>
      <w:r w:rsidR="007A68B1" w:rsidRPr="00894506">
        <w:t xml:space="preserve">Based </w:t>
      </w:r>
      <w:r w:rsidR="00A87F24" w:rsidRPr="00894506">
        <w:t>the results of the network meta-analysis of EUCAST studies (Section 7.2.3.2 of the EEPRU report),</w:t>
      </w:r>
      <w:r w:rsidR="007A68B1" w:rsidRPr="00894506">
        <w:t xml:space="preserve"> </w:t>
      </w:r>
      <w:r w:rsidR="00354C9B" w:rsidRPr="00894506">
        <w:t>6</w:t>
      </w:r>
      <w:r w:rsidR="007A68B1" w:rsidRPr="00894506">
        <w:t xml:space="preserve">5% </w:t>
      </w:r>
      <w:r w:rsidR="00E12703" w:rsidRPr="00894506">
        <w:t xml:space="preserve">of </w:t>
      </w:r>
      <w:r w:rsidR="00566F47" w:rsidRPr="00894506">
        <w:t xml:space="preserve">patients shown to have </w:t>
      </w:r>
      <w:r w:rsidR="00E12703" w:rsidRPr="00894506">
        <w:t xml:space="preserve">OXA-48 </w:t>
      </w:r>
      <w:r w:rsidR="00566F47" w:rsidRPr="00894506">
        <w:t>in</w:t>
      </w:r>
      <w:r w:rsidR="00E12703" w:rsidRPr="00894506">
        <w:t xml:space="preserve"> the ES were resistant to existing therapies other than colistin/aminoglycosides. In the MDS, </w:t>
      </w:r>
      <w:r w:rsidR="00354C9B" w:rsidRPr="00894506">
        <w:t>3</w:t>
      </w:r>
      <w:r w:rsidR="00E12703" w:rsidRPr="00894506">
        <w:t xml:space="preserve">5% </w:t>
      </w:r>
      <w:r w:rsidR="00E9490F" w:rsidRPr="00894506">
        <w:t xml:space="preserve">of </w:t>
      </w:r>
      <w:r w:rsidR="00E12703" w:rsidRPr="00894506">
        <w:t xml:space="preserve">patients were resistant to existing therapies other than colistin/aminoglycosides.  </w:t>
      </w:r>
    </w:p>
    <w:p w14:paraId="18A1541E" w14:textId="0024CBBC" w:rsidR="007A68B1" w:rsidRDefault="007A68B1" w:rsidP="005E5780">
      <w:pPr>
        <w:jc w:val="both"/>
      </w:pPr>
    </w:p>
    <w:p w14:paraId="1EA88DB1" w14:textId="49BEE546" w:rsidR="007A68B1" w:rsidRPr="007941E2" w:rsidRDefault="007A68B1" w:rsidP="005E5780">
      <w:pPr>
        <w:jc w:val="both"/>
      </w:pPr>
      <w:r>
        <w:t>Consultees have indicated that, in terms of existing therapies (i.e., in world without CAZ-AVI)</w:t>
      </w:r>
      <w:r w:rsidR="00E12703">
        <w:t>,</w:t>
      </w:r>
      <w:r>
        <w:t xml:space="preserve"> there is a proportion of patients who would not receive colistin/aminoglycosides even </w:t>
      </w:r>
      <w:r w:rsidR="00E12703">
        <w:t xml:space="preserve">if </w:t>
      </w:r>
      <w:r>
        <w:t xml:space="preserve">no other effective therapy was available.  This would be due to </w:t>
      </w:r>
      <w:r w:rsidR="00E9490F">
        <w:t xml:space="preserve">a patient’s </w:t>
      </w:r>
      <w:r>
        <w:t xml:space="preserve">high </w:t>
      </w:r>
      <w:r w:rsidR="005E5780">
        <w:t xml:space="preserve">clinical </w:t>
      </w:r>
      <w:r>
        <w:t>risk</w:t>
      </w:r>
      <w:r w:rsidR="00582B5F">
        <w:t xml:space="preserve"> of</w:t>
      </w:r>
      <w:r>
        <w:t xml:space="preserve"> renal toxicity.  </w:t>
      </w:r>
      <w:r w:rsidR="005E5780">
        <w:t xml:space="preserve">For such patients it can be assumed that they would only receive salvage therapy.  The size of this sub-group of patients contraindicated to colistin/aminoglycosides was considered small by EEPRU’s clinical </w:t>
      </w:r>
      <w:r w:rsidR="005E5780">
        <w:lastRenderedPageBreak/>
        <w:t>advisors.  The Committee has requested a scenario which considers the magnitude of population-level INHEs for this sub-group</w:t>
      </w:r>
      <w:r w:rsidR="00582B5F">
        <w:t xml:space="preserve"> using the Committee’s</w:t>
      </w:r>
      <w:r w:rsidR="005E5780">
        <w:t xml:space="preserve"> assumptions about the size of the cohort as a proportion of those estimated for the HVCSs in the report.</w:t>
      </w:r>
    </w:p>
    <w:p w14:paraId="3091917B" w14:textId="77777777" w:rsidR="007941E2" w:rsidRPr="007941E2" w:rsidRDefault="007941E2" w:rsidP="00D330DB">
      <w:pPr>
        <w:keepNext/>
        <w:keepLines/>
        <w:spacing w:before="360" w:after="120"/>
        <w:jc w:val="both"/>
        <w:outlineLvl w:val="1"/>
        <w:rPr>
          <w:b/>
          <w:sz w:val="26"/>
          <w:szCs w:val="32"/>
        </w:rPr>
      </w:pPr>
      <w:r w:rsidRPr="007941E2">
        <w:rPr>
          <w:b/>
          <w:sz w:val="26"/>
          <w:szCs w:val="32"/>
        </w:rPr>
        <w:t>Methods</w:t>
      </w:r>
    </w:p>
    <w:p w14:paraId="5B86E928" w14:textId="51C7EFB4" w:rsidR="007941E2" w:rsidRPr="007941E2" w:rsidRDefault="007941E2" w:rsidP="00D330DB">
      <w:pPr>
        <w:jc w:val="both"/>
      </w:pPr>
      <w:r w:rsidRPr="007941E2">
        <w:t xml:space="preserve">The scenario aimed to </w:t>
      </w:r>
      <w:r>
        <w:t>reflect</w:t>
      </w:r>
      <w:r w:rsidRPr="007941E2">
        <w:t xml:space="preserve"> the benefit of CAZ-AVI in patients who cannot take colistin and other aminoglycoside treatments and</w:t>
      </w:r>
      <w:r w:rsidR="008E5764">
        <w:t>,</w:t>
      </w:r>
      <w:r w:rsidRPr="007941E2">
        <w:t xml:space="preserve"> therefore, without </w:t>
      </w:r>
      <w:r>
        <w:t>the new drug</w:t>
      </w:r>
      <w:r w:rsidRPr="007941E2">
        <w:t>, would receive multidrug salvage therapy.</w:t>
      </w:r>
    </w:p>
    <w:p w14:paraId="61AB9CB0" w14:textId="77777777" w:rsidR="007941E2" w:rsidRPr="007941E2" w:rsidRDefault="007941E2" w:rsidP="00D330DB">
      <w:pPr>
        <w:jc w:val="both"/>
      </w:pPr>
    </w:p>
    <w:p w14:paraId="34301D1B" w14:textId="77777777" w:rsidR="0096482F" w:rsidRDefault="0096482F" w:rsidP="0096482F">
      <w:pPr>
        <w:pStyle w:val="Heading3"/>
      </w:pPr>
      <w:r>
        <w:t>Patient-level benefit</w:t>
      </w:r>
    </w:p>
    <w:p w14:paraId="34D9528D" w14:textId="47B81DC1" w:rsidR="0096482F" w:rsidRDefault="008E5764" w:rsidP="0096482F">
      <w:pPr>
        <w:jc w:val="both"/>
      </w:pPr>
      <w:r>
        <w:t>For this scenario, t</w:t>
      </w:r>
      <w:r w:rsidR="0096482F">
        <w:t xml:space="preserve">he patient-level INHEs in those who can take colistin (the EEPRU base-case) and those who cannot are shown in </w:t>
      </w:r>
      <w:r w:rsidR="0096482F" w:rsidRPr="006A0CFE">
        <w:fldChar w:fldCharType="begin"/>
      </w:r>
      <w:r w:rsidR="0096482F" w:rsidRPr="006A0CFE">
        <w:instrText xml:space="preserve"> REF _Ref93503483 \h  \* MERGEFORMAT </w:instrText>
      </w:r>
      <w:r w:rsidR="0096482F" w:rsidRPr="006A0CFE">
        <w:fldChar w:fldCharType="separate"/>
      </w:r>
      <w:r w:rsidR="0096482F" w:rsidRPr="006A0CFE">
        <w:rPr>
          <w:rFonts w:cs="Times New Roman"/>
          <w:iCs/>
          <w:color w:val="000000" w:themeColor="text1"/>
          <w:szCs w:val="18"/>
        </w:rPr>
        <w:t xml:space="preserve">Table </w:t>
      </w:r>
      <w:r w:rsidR="0096482F" w:rsidRPr="006A0CFE">
        <w:rPr>
          <w:rFonts w:cs="Times New Roman"/>
          <w:iCs/>
          <w:noProof/>
          <w:color w:val="000000" w:themeColor="text1"/>
          <w:szCs w:val="18"/>
        </w:rPr>
        <w:t>4</w:t>
      </w:r>
      <w:r w:rsidR="0096482F" w:rsidRPr="006A0CFE">
        <w:fldChar w:fldCharType="end"/>
      </w:r>
      <w:r w:rsidR="0096482F" w:rsidRPr="006A0CFE">
        <w:t>.</w:t>
      </w:r>
      <w:r w:rsidR="0096482F">
        <w:t xml:space="preserve"> In the empiric setting (HAP/VAP and BSIs), the incremental patient-level benefit of CAZ-AVI was derived by combining the EEPRU base-case and Scenario 1 above. In patients who were treated empirically and who were later confirmed to have an infection caused by OXA-48 (20% of patients,</w:t>
      </w:r>
      <w:r w:rsidR="00D60EC4">
        <w:t xml:space="preserve"> </w:t>
      </w:r>
      <w:r w:rsidR="0096482F">
        <w:t xml:space="preserve">Table 26 of the EEPRU report), outcomes were derived from Scenario 1 above, </w:t>
      </w:r>
      <w:r w:rsidR="0096482F" w:rsidRPr="00503ADA">
        <w:t xml:space="preserve">assuming </w:t>
      </w:r>
      <w:r w:rsidR="001732E4">
        <w:t xml:space="preserve">that, without CAZ-AVI, </w:t>
      </w:r>
      <w:r w:rsidR="0096482F" w:rsidRPr="00503ADA">
        <w:t>all patients received ineffective empiric treatment.  The incremental benefit of CAZ-AVI in this sub</w:t>
      </w:r>
      <w:r w:rsidR="00503ADA">
        <w:t>-group</w:t>
      </w:r>
      <w:r w:rsidR="0096482F" w:rsidRPr="00503ADA">
        <w:t xml:space="preserve"> was 2.2 QALYs per person. In patients who were treated empirically and who were later confirmed not to have an infection caused by OXA-48 (80% of the sample), outcomes with colistin and with salvage therapy were assumed to be the same (0.221 QALYs in the amended Table 36 of the EEPRU report).</w:t>
      </w:r>
      <w:r w:rsidR="0096482F">
        <w:t xml:space="preserve"> </w:t>
      </w:r>
    </w:p>
    <w:p w14:paraId="1040B87A" w14:textId="77777777" w:rsidR="0096482F" w:rsidRDefault="0096482F" w:rsidP="0096482F">
      <w:pPr>
        <w:jc w:val="both"/>
      </w:pPr>
    </w:p>
    <w:p w14:paraId="1DF1DE37" w14:textId="77777777" w:rsidR="0096482F" w:rsidRDefault="0096482F" w:rsidP="0096482F">
      <w:pPr>
        <w:jc w:val="both"/>
      </w:pPr>
      <w:r w:rsidRPr="003C7851">
        <w:t>In the MDS</w:t>
      </w:r>
      <w:r>
        <w:t xml:space="preserve"> (</w:t>
      </w:r>
      <w:proofErr w:type="spellStart"/>
      <w:r>
        <w:t>cUTI</w:t>
      </w:r>
      <w:proofErr w:type="spellEnd"/>
      <w:r>
        <w:t xml:space="preserve"> and IAI, as discussed in Section 7.5.2.7 of the EEPRU report), without CAZ-AVI</w:t>
      </w:r>
      <w:r w:rsidRPr="003C7851">
        <w:t>, patients who cannot take colistin/aminoglycosides were assumed to receive multidrug salvage therapy</w:t>
      </w:r>
      <w:r>
        <w:t>. The incremental benefit of CAZ-AVI</w:t>
      </w:r>
      <w:r w:rsidRPr="003C7851">
        <w:t xml:space="preserve"> was derived in Scenario 1 above (1.032 for </w:t>
      </w:r>
      <w:proofErr w:type="spellStart"/>
      <w:r w:rsidRPr="003C7851">
        <w:t>cUTIs</w:t>
      </w:r>
      <w:proofErr w:type="spellEnd"/>
      <w:r w:rsidRPr="003C7851">
        <w:t xml:space="preserve"> in </w:t>
      </w:r>
      <w:r>
        <w:fldChar w:fldCharType="begin"/>
      </w:r>
      <w:r>
        <w:instrText xml:space="preserve"> REF _Ref93413030 \h  \* MERGEFORMAT </w:instrText>
      </w:r>
      <w:r>
        <w:fldChar w:fldCharType="separate"/>
      </w:r>
      <w:r w:rsidRPr="00A352DD">
        <w:t xml:space="preserve">Table </w:t>
      </w:r>
      <w:r w:rsidRPr="00A352DD">
        <w:rPr>
          <w:noProof/>
        </w:rPr>
        <w:t>2</w:t>
      </w:r>
      <w:r>
        <w:fldChar w:fldCharType="end"/>
      </w:r>
      <w:r w:rsidRPr="003C7851">
        <w:t>).</w:t>
      </w:r>
      <w:r>
        <w:t xml:space="preserve"> </w:t>
      </w:r>
    </w:p>
    <w:p w14:paraId="3D44FA8B" w14:textId="77777777" w:rsidR="0096482F" w:rsidRDefault="0096482F"/>
    <w:p w14:paraId="1A4C7EFD" w14:textId="032FCC56" w:rsidR="0096482F" w:rsidRPr="003C7851" w:rsidRDefault="0096482F" w:rsidP="0096482F">
      <w:pPr>
        <w:keepNext/>
        <w:spacing w:after="200" w:line="240" w:lineRule="auto"/>
        <w:rPr>
          <w:rFonts w:cs="Times New Roman"/>
          <w:b/>
          <w:iCs/>
          <w:color w:val="000000" w:themeColor="text1"/>
          <w:szCs w:val="18"/>
        </w:rPr>
      </w:pPr>
      <w:bookmarkStart w:id="8" w:name="_Ref93503483"/>
      <w:r w:rsidRPr="00D60EC4">
        <w:rPr>
          <w:rFonts w:cs="Times New Roman"/>
          <w:b/>
          <w:iCs/>
          <w:color w:val="000000" w:themeColor="text1"/>
          <w:szCs w:val="18"/>
        </w:rPr>
        <w:t xml:space="preserve">Table </w:t>
      </w:r>
      <w:r w:rsidRPr="00D60EC4">
        <w:rPr>
          <w:rFonts w:cs="Times New Roman"/>
          <w:b/>
          <w:iCs/>
          <w:color w:val="000000" w:themeColor="text1"/>
          <w:szCs w:val="18"/>
        </w:rPr>
        <w:fldChar w:fldCharType="begin"/>
      </w:r>
      <w:r w:rsidRPr="00D60EC4">
        <w:rPr>
          <w:rFonts w:cs="Times New Roman"/>
          <w:b/>
          <w:iCs/>
          <w:color w:val="000000" w:themeColor="text1"/>
          <w:szCs w:val="18"/>
        </w:rPr>
        <w:instrText xml:space="preserve"> SEQ Table \* ARABIC </w:instrText>
      </w:r>
      <w:r w:rsidRPr="00D60EC4">
        <w:rPr>
          <w:rFonts w:cs="Times New Roman"/>
          <w:b/>
          <w:iCs/>
          <w:color w:val="000000" w:themeColor="text1"/>
          <w:szCs w:val="18"/>
        </w:rPr>
        <w:fldChar w:fldCharType="separate"/>
      </w:r>
      <w:r w:rsidR="00D60EC4">
        <w:rPr>
          <w:rFonts w:cs="Times New Roman"/>
          <w:b/>
          <w:iCs/>
          <w:noProof/>
          <w:color w:val="000000" w:themeColor="text1"/>
          <w:szCs w:val="18"/>
        </w:rPr>
        <w:t>4</w:t>
      </w:r>
      <w:r w:rsidRPr="00D60EC4">
        <w:rPr>
          <w:rFonts w:cs="Times New Roman"/>
          <w:b/>
          <w:iCs/>
          <w:color w:val="000000" w:themeColor="text1"/>
          <w:szCs w:val="18"/>
        </w:rPr>
        <w:fldChar w:fldCharType="end"/>
      </w:r>
      <w:bookmarkEnd w:id="8"/>
      <w:r w:rsidRPr="00D60EC4">
        <w:rPr>
          <w:rFonts w:cs="Times New Roman"/>
          <w:b/>
          <w:iCs/>
          <w:color w:val="000000" w:themeColor="text1"/>
          <w:szCs w:val="18"/>
        </w:rPr>
        <w:t>. Patient-level INHE (QALYs/patient)</w:t>
      </w:r>
    </w:p>
    <w:tbl>
      <w:tblPr>
        <w:tblW w:w="6633" w:type="dxa"/>
        <w:tblCellMar>
          <w:left w:w="0" w:type="dxa"/>
          <w:right w:w="0" w:type="dxa"/>
        </w:tblCellMar>
        <w:tblLook w:val="0420" w:firstRow="1" w:lastRow="0" w:firstColumn="0" w:lastColumn="0" w:noHBand="0" w:noVBand="1"/>
      </w:tblPr>
      <w:tblGrid>
        <w:gridCol w:w="2381"/>
        <w:gridCol w:w="2381"/>
        <w:gridCol w:w="1871"/>
      </w:tblGrid>
      <w:tr w:rsidR="0096482F" w:rsidRPr="003C7851" w14:paraId="2EDC8A45" w14:textId="77777777" w:rsidTr="002367E1">
        <w:trPr>
          <w:trHeight w:val="283"/>
        </w:trPr>
        <w:tc>
          <w:tcPr>
            <w:tcW w:w="23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B0773F" w14:textId="77777777" w:rsidR="0096482F" w:rsidRPr="003C7851" w:rsidRDefault="0096482F" w:rsidP="002367E1">
            <w:pPr>
              <w:spacing w:line="240" w:lineRule="auto"/>
              <w:rPr>
                <w:rFonts w:eastAsia="Times New Roman" w:cs="Times New Roman"/>
              </w:rPr>
            </w:pPr>
          </w:p>
        </w:tc>
        <w:tc>
          <w:tcPr>
            <w:tcW w:w="23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DB5C5E" w14:textId="0772069B" w:rsidR="0096482F" w:rsidRPr="003C7851" w:rsidRDefault="0096482F" w:rsidP="002367E1">
            <w:pPr>
              <w:spacing w:line="240" w:lineRule="auto"/>
              <w:jc w:val="center"/>
              <w:rPr>
                <w:rFonts w:eastAsia="Times New Roman" w:cs="Times New Roman"/>
              </w:rPr>
            </w:pPr>
            <w:r w:rsidRPr="003C7851">
              <w:rPr>
                <w:rFonts w:eastAsia="Times New Roman" w:cs="Times New Roman"/>
                <w:b/>
                <w:bCs/>
                <w:color w:val="000000"/>
                <w:kern w:val="24"/>
              </w:rPr>
              <w:t>ES</w:t>
            </w:r>
            <w:r w:rsidR="00894506" w:rsidRPr="00894506">
              <w:rPr>
                <w:rFonts w:eastAsia="Times New Roman" w:cs="Times New Roman"/>
                <w:b/>
                <w:bCs/>
                <w:color w:val="000000"/>
                <w:kern w:val="24"/>
                <w:vertAlign w:val="superscript"/>
              </w:rPr>
              <w:t>1</w:t>
            </w:r>
          </w:p>
        </w:tc>
        <w:tc>
          <w:tcPr>
            <w:tcW w:w="18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17349A2" w14:textId="01A57482" w:rsidR="0096482F" w:rsidRPr="00894506" w:rsidRDefault="0096482F" w:rsidP="002367E1">
            <w:pPr>
              <w:spacing w:line="240" w:lineRule="auto"/>
              <w:jc w:val="center"/>
              <w:rPr>
                <w:rFonts w:eastAsia="Times New Roman" w:cs="Times New Roman"/>
                <w:vertAlign w:val="superscript"/>
              </w:rPr>
            </w:pPr>
            <w:r w:rsidRPr="003C7851">
              <w:rPr>
                <w:rFonts w:eastAsia="Times New Roman" w:cs="Times New Roman"/>
                <w:b/>
                <w:bCs/>
                <w:color w:val="000000"/>
                <w:kern w:val="24"/>
              </w:rPr>
              <w:t>MDS</w:t>
            </w:r>
            <w:r w:rsidR="00894506" w:rsidRPr="00894506">
              <w:rPr>
                <w:rFonts w:eastAsia="Times New Roman" w:cs="Times New Roman"/>
                <w:b/>
                <w:bCs/>
                <w:color w:val="000000"/>
                <w:kern w:val="24"/>
                <w:vertAlign w:val="superscript"/>
              </w:rPr>
              <w:t>2</w:t>
            </w:r>
          </w:p>
        </w:tc>
      </w:tr>
      <w:tr w:rsidR="0096482F" w:rsidRPr="003C7851" w14:paraId="55CDE24C" w14:textId="77777777" w:rsidTr="002367E1">
        <w:trPr>
          <w:trHeight w:val="283"/>
        </w:trPr>
        <w:tc>
          <w:tcPr>
            <w:tcW w:w="23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DB1384E" w14:textId="77777777" w:rsidR="0096482F" w:rsidRPr="003C7851" w:rsidRDefault="0096482F" w:rsidP="002367E1">
            <w:pPr>
              <w:spacing w:line="240" w:lineRule="auto"/>
              <w:rPr>
                <w:rFonts w:eastAsia="Times New Roman" w:cs="Times New Roman"/>
              </w:rPr>
            </w:pPr>
            <w:r w:rsidRPr="003C7851">
              <w:rPr>
                <w:rFonts w:eastAsia="Times New Roman" w:cs="Times New Roman"/>
                <w:b/>
                <w:bCs/>
                <w:color w:val="000000"/>
                <w:kern w:val="24"/>
              </w:rPr>
              <w:t>Base-case</w:t>
            </w:r>
          </w:p>
        </w:tc>
        <w:tc>
          <w:tcPr>
            <w:tcW w:w="23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2C9EDDC" w14:textId="77777777" w:rsidR="0096482F" w:rsidRPr="003C7851" w:rsidRDefault="0096482F" w:rsidP="002367E1">
            <w:pPr>
              <w:spacing w:line="240" w:lineRule="auto"/>
              <w:jc w:val="center"/>
              <w:rPr>
                <w:rFonts w:eastAsia="Times New Roman" w:cs="Times New Roman"/>
              </w:rPr>
            </w:pPr>
            <w:r>
              <w:rPr>
                <w:rFonts w:eastAsia="Times New Roman" w:cs="Times New Roman"/>
                <w:color w:val="000000"/>
                <w:kern w:val="24"/>
              </w:rPr>
              <w:t>0.215</w:t>
            </w:r>
          </w:p>
        </w:tc>
        <w:tc>
          <w:tcPr>
            <w:tcW w:w="18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7B715D8" w14:textId="77777777" w:rsidR="0096482F" w:rsidRPr="003C7851" w:rsidRDefault="0096482F" w:rsidP="002367E1">
            <w:pPr>
              <w:spacing w:line="240" w:lineRule="auto"/>
              <w:jc w:val="center"/>
              <w:rPr>
                <w:rFonts w:eastAsia="Times New Roman" w:cs="Times New Roman"/>
              </w:rPr>
            </w:pPr>
            <w:r w:rsidRPr="003C7851">
              <w:rPr>
                <w:rFonts w:eastAsia="Times New Roman" w:cs="Times New Roman"/>
                <w:color w:val="000000"/>
                <w:kern w:val="24"/>
              </w:rPr>
              <w:t>0.069</w:t>
            </w:r>
          </w:p>
        </w:tc>
      </w:tr>
      <w:tr w:rsidR="0096482F" w:rsidRPr="003C7851" w14:paraId="54967579" w14:textId="77777777" w:rsidTr="002367E1">
        <w:trPr>
          <w:trHeight w:val="283"/>
        </w:trPr>
        <w:tc>
          <w:tcPr>
            <w:tcW w:w="23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66F6DDA" w14:textId="77777777" w:rsidR="0096482F" w:rsidRPr="003C7851" w:rsidRDefault="0096482F" w:rsidP="002367E1">
            <w:pPr>
              <w:spacing w:line="240" w:lineRule="auto"/>
              <w:rPr>
                <w:rFonts w:eastAsia="Times New Roman" w:cs="Times New Roman"/>
              </w:rPr>
            </w:pPr>
            <w:r w:rsidRPr="003C7851">
              <w:rPr>
                <w:rFonts w:eastAsia="Times New Roman" w:cs="Times New Roman"/>
                <w:b/>
                <w:bCs/>
                <w:color w:val="000000"/>
                <w:kern w:val="24"/>
              </w:rPr>
              <w:t>New scenario</w:t>
            </w:r>
          </w:p>
        </w:tc>
        <w:tc>
          <w:tcPr>
            <w:tcW w:w="23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BD621C9" w14:textId="77777777" w:rsidR="0096482F" w:rsidRPr="003C7851" w:rsidRDefault="0096482F" w:rsidP="002367E1">
            <w:pPr>
              <w:spacing w:line="240" w:lineRule="auto"/>
              <w:jc w:val="center"/>
              <w:rPr>
                <w:rFonts w:eastAsia="Times New Roman" w:cs="Times New Roman"/>
              </w:rPr>
            </w:pPr>
            <w:r>
              <w:rPr>
                <w:rFonts w:eastAsia="Times New Roman" w:cs="Times New Roman"/>
                <w:color w:val="000000"/>
                <w:kern w:val="24"/>
              </w:rPr>
              <w:t>0.622</w:t>
            </w:r>
          </w:p>
        </w:tc>
        <w:tc>
          <w:tcPr>
            <w:tcW w:w="18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0DACA7A" w14:textId="77777777" w:rsidR="0096482F" w:rsidRPr="003C7851" w:rsidRDefault="0096482F" w:rsidP="002367E1">
            <w:pPr>
              <w:spacing w:line="240" w:lineRule="auto"/>
              <w:jc w:val="center"/>
              <w:rPr>
                <w:rFonts w:eastAsia="Times New Roman" w:cs="Times New Roman"/>
              </w:rPr>
            </w:pPr>
            <w:r w:rsidRPr="003C7851">
              <w:rPr>
                <w:rFonts w:eastAsia="Times New Roman" w:cs="Times New Roman"/>
                <w:color w:val="000000"/>
                <w:kern w:val="24"/>
              </w:rPr>
              <w:t>1.032</w:t>
            </w:r>
          </w:p>
        </w:tc>
      </w:tr>
    </w:tbl>
    <w:p w14:paraId="2B2583EA" w14:textId="027FCC38" w:rsidR="0096482F" w:rsidRDefault="00D60EC4" w:rsidP="00894506">
      <w:pPr>
        <w:jc w:val="both"/>
        <w:rPr>
          <w:rFonts w:cs="Times New Roman"/>
          <w:sz w:val="20"/>
          <w:szCs w:val="20"/>
        </w:rPr>
      </w:pPr>
      <w:r>
        <w:rPr>
          <w:rFonts w:cs="Times New Roman"/>
          <w:sz w:val="20"/>
          <w:szCs w:val="20"/>
        </w:rPr>
        <w:t xml:space="preserve">Abbreviations: </w:t>
      </w:r>
      <w:r w:rsidR="0096482F" w:rsidRPr="003C7851">
        <w:rPr>
          <w:rFonts w:cs="Times New Roman"/>
          <w:sz w:val="20"/>
          <w:szCs w:val="20"/>
        </w:rPr>
        <w:t>ES, empiric setting; MDS, microbiology-directed setting.</w:t>
      </w:r>
    </w:p>
    <w:p w14:paraId="4D076371" w14:textId="09089F2F" w:rsidR="00894506" w:rsidRPr="00D60EC4" w:rsidRDefault="00D60EC4" w:rsidP="00D60EC4">
      <w:pPr>
        <w:jc w:val="both"/>
        <w:rPr>
          <w:rFonts w:cs="Times New Roman"/>
          <w:sz w:val="20"/>
          <w:szCs w:val="20"/>
        </w:rPr>
      </w:pPr>
      <w:r w:rsidRPr="00D60EC4">
        <w:rPr>
          <w:rFonts w:cs="Times New Roman"/>
          <w:sz w:val="20"/>
          <w:szCs w:val="20"/>
          <w:vertAlign w:val="superscript"/>
        </w:rPr>
        <w:t>1</w:t>
      </w:r>
      <w:r>
        <w:rPr>
          <w:rFonts w:cs="Times New Roman"/>
          <w:sz w:val="20"/>
          <w:szCs w:val="20"/>
        </w:rPr>
        <w:t xml:space="preserve"> </w:t>
      </w:r>
      <w:r w:rsidR="00894506" w:rsidRPr="00D60EC4">
        <w:rPr>
          <w:rFonts w:cs="Times New Roman"/>
          <w:sz w:val="20"/>
          <w:szCs w:val="20"/>
        </w:rPr>
        <w:t>Derived from the HAP/VAP model but applied to HAP/VAP and BSI</w:t>
      </w:r>
    </w:p>
    <w:p w14:paraId="3B804652" w14:textId="2ACF9615" w:rsidR="00894506" w:rsidRPr="00D60EC4" w:rsidRDefault="00D60EC4" w:rsidP="00D60EC4">
      <w:pPr>
        <w:jc w:val="both"/>
        <w:rPr>
          <w:rFonts w:cs="Times New Roman"/>
          <w:sz w:val="20"/>
          <w:szCs w:val="20"/>
        </w:rPr>
      </w:pPr>
      <w:r w:rsidRPr="00D60EC4">
        <w:rPr>
          <w:rFonts w:cs="Times New Roman"/>
          <w:sz w:val="20"/>
          <w:szCs w:val="20"/>
          <w:vertAlign w:val="superscript"/>
        </w:rPr>
        <w:t>2</w:t>
      </w:r>
      <w:r>
        <w:rPr>
          <w:rFonts w:cs="Times New Roman"/>
          <w:sz w:val="20"/>
          <w:szCs w:val="20"/>
        </w:rPr>
        <w:t xml:space="preserve"> </w:t>
      </w:r>
      <w:r w:rsidR="00894506" w:rsidRPr="00D60EC4">
        <w:rPr>
          <w:rFonts w:cs="Times New Roman"/>
          <w:sz w:val="20"/>
          <w:szCs w:val="20"/>
        </w:rPr>
        <w:t xml:space="preserve">Derived from the </w:t>
      </w:r>
      <w:proofErr w:type="spellStart"/>
      <w:r w:rsidR="00894506" w:rsidRPr="00D60EC4">
        <w:rPr>
          <w:rFonts w:cs="Times New Roman"/>
          <w:sz w:val="20"/>
          <w:szCs w:val="20"/>
        </w:rPr>
        <w:t>cUTI</w:t>
      </w:r>
      <w:proofErr w:type="spellEnd"/>
      <w:r w:rsidR="00894506" w:rsidRPr="00D60EC4">
        <w:rPr>
          <w:rFonts w:cs="Times New Roman"/>
          <w:sz w:val="20"/>
          <w:szCs w:val="20"/>
        </w:rPr>
        <w:t xml:space="preserve"> model but applied to </w:t>
      </w:r>
      <w:proofErr w:type="spellStart"/>
      <w:r w:rsidR="00894506" w:rsidRPr="00D60EC4">
        <w:rPr>
          <w:rFonts w:cs="Times New Roman"/>
          <w:sz w:val="20"/>
          <w:szCs w:val="20"/>
        </w:rPr>
        <w:t>cUTI</w:t>
      </w:r>
      <w:proofErr w:type="spellEnd"/>
      <w:r w:rsidR="00894506" w:rsidRPr="00D60EC4">
        <w:rPr>
          <w:rFonts w:cs="Times New Roman"/>
          <w:sz w:val="20"/>
          <w:szCs w:val="20"/>
        </w:rPr>
        <w:t xml:space="preserve"> and </w:t>
      </w:r>
      <w:proofErr w:type="spellStart"/>
      <w:r w:rsidR="00894506" w:rsidRPr="00D60EC4">
        <w:rPr>
          <w:rFonts w:cs="Times New Roman"/>
          <w:sz w:val="20"/>
          <w:szCs w:val="20"/>
        </w:rPr>
        <w:t>IaI</w:t>
      </w:r>
      <w:proofErr w:type="spellEnd"/>
    </w:p>
    <w:p w14:paraId="0CC85A09" w14:textId="77777777" w:rsidR="0096482F" w:rsidRDefault="0096482F"/>
    <w:p w14:paraId="7D32CC9B" w14:textId="77777777" w:rsidR="0096482F" w:rsidRDefault="0096482F" w:rsidP="0096482F">
      <w:pPr>
        <w:pStyle w:val="Heading3"/>
      </w:pPr>
      <w:r>
        <w:t>Population-level benefit</w:t>
      </w:r>
    </w:p>
    <w:p w14:paraId="7E3AC839" w14:textId="77667775" w:rsidR="0096482F" w:rsidRDefault="0096482F" w:rsidP="0096482F">
      <w:pPr>
        <w:jc w:val="both"/>
      </w:pPr>
      <w:r w:rsidRPr="007941E2">
        <w:t xml:space="preserve">The scenario was implemented by </w:t>
      </w:r>
      <w:r>
        <w:t>updating the</w:t>
      </w:r>
      <w:r w:rsidRPr="007941E2">
        <w:t xml:space="preserve"> E</w:t>
      </w:r>
      <w:r>
        <w:t>xcel tool derived for S</w:t>
      </w:r>
      <w:r w:rsidRPr="007941E2">
        <w:t>cenario</w:t>
      </w:r>
      <w:r>
        <w:t xml:space="preserve"> 1 above, to reflect the updated patient-level INHE </w:t>
      </w:r>
      <w:r w:rsidR="00A57A27">
        <w:t xml:space="preserve">(Table 4) </w:t>
      </w:r>
      <w:r>
        <w:t xml:space="preserve">and the extrapolation parameters </w:t>
      </w:r>
      <w:r w:rsidRPr="007941E2">
        <w:t>shown in</w:t>
      </w:r>
      <w:r w:rsidR="00A57A27">
        <w:t xml:space="preserve"> Table 5.</w:t>
      </w:r>
    </w:p>
    <w:p w14:paraId="6DA13FFF" w14:textId="77777777" w:rsidR="00D330DB" w:rsidRDefault="00D330DB" w:rsidP="00D330DB">
      <w:pPr>
        <w:jc w:val="both"/>
      </w:pPr>
    </w:p>
    <w:p w14:paraId="14E305C4" w14:textId="5E4355C0" w:rsidR="007941E2" w:rsidRPr="007941E2" w:rsidRDefault="007941E2" w:rsidP="00D330DB">
      <w:pPr>
        <w:jc w:val="both"/>
      </w:pPr>
      <w:r w:rsidRPr="007941E2">
        <w:t xml:space="preserve">The initial population size was site and setting specific, derived as described in the </w:t>
      </w:r>
      <w:r w:rsidR="00D330DB">
        <w:t>S</w:t>
      </w:r>
      <w:r w:rsidRPr="007941E2">
        <w:t xml:space="preserve">ection 7.5.2.7 of the </w:t>
      </w:r>
      <w:r>
        <w:t xml:space="preserve">EEPRU </w:t>
      </w:r>
      <w:r w:rsidRPr="007941E2">
        <w:t>report. Two different scenarios for the initial population size were explored derived from different classifications of specimen samples in SGSS dataset</w:t>
      </w:r>
      <w:r>
        <w:t xml:space="preserve"> (</w:t>
      </w:r>
      <w:r w:rsidR="00D330DB">
        <w:t>S</w:t>
      </w:r>
      <w:r w:rsidRPr="007941E2">
        <w:t>cenarios P1 and P2 in Table 34</w:t>
      </w:r>
      <w:r>
        <w:t xml:space="preserve"> or the EEPRU report)</w:t>
      </w:r>
      <w:r w:rsidRPr="007941E2">
        <w:t xml:space="preserve">. The population growth rate was assumed to be the same across all sites of infection </w:t>
      </w:r>
      <w:r w:rsidRPr="007941E2">
        <w:lastRenderedPageBreak/>
        <w:t xml:space="preserve">and settings. It was approximated using the population size in year 1 and year 20 in the report (shown in Figure 21), assuming a constant rate of increase </w:t>
      </w:r>
      <w:r>
        <w:t>between those two time points</w:t>
      </w:r>
      <w:r w:rsidRPr="007941E2">
        <w:t>. Two scenarios for the population growth rate were explored</w:t>
      </w:r>
      <w:r w:rsidR="00922E43">
        <w:t xml:space="preserve"> derived </w:t>
      </w:r>
      <w:r>
        <w:t xml:space="preserve">assuming </w:t>
      </w:r>
      <w:r w:rsidRPr="007941E2">
        <w:t>damped and non-damped</w:t>
      </w:r>
      <w:r>
        <w:t xml:space="preserve"> population</w:t>
      </w:r>
      <w:r w:rsidRPr="007941E2">
        <w:t xml:space="preserve"> growth trends</w:t>
      </w:r>
      <w:r>
        <w:t xml:space="preserve"> (</w:t>
      </w:r>
      <w:r w:rsidR="00D330DB">
        <w:t>S</w:t>
      </w:r>
      <w:r w:rsidRPr="007941E2">
        <w:t xml:space="preserve">cenarios G1 and G2 </w:t>
      </w:r>
      <w:r>
        <w:t xml:space="preserve">in Figure 21 in </w:t>
      </w:r>
      <w:r w:rsidRPr="007941E2">
        <w:t xml:space="preserve">the </w:t>
      </w:r>
      <w:r>
        <w:t xml:space="preserve">EEPRU </w:t>
      </w:r>
      <w:r w:rsidRPr="007941E2">
        <w:t>report</w:t>
      </w:r>
      <w:r>
        <w:t>)</w:t>
      </w:r>
      <w:r w:rsidR="00922E43">
        <w:t xml:space="preserve"> – these correspond to 1.2% and 17.1% annual </w:t>
      </w:r>
      <w:r w:rsidR="00922E43" w:rsidRPr="007941E2">
        <w:t>increase on baseline</w:t>
      </w:r>
      <w:r w:rsidR="00D54968">
        <w:t xml:space="preserve"> in the Excel tool</w:t>
      </w:r>
      <w:r w:rsidR="00922E43">
        <w:t>.</w:t>
      </w:r>
    </w:p>
    <w:p w14:paraId="6460DB36" w14:textId="77777777" w:rsidR="007941E2" w:rsidRPr="007941E2" w:rsidRDefault="007941E2" w:rsidP="00D330DB">
      <w:pPr>
        <w:jc w:val="both"/>
      </w:pPr>
    </w:p>
    <w:p w14:paraId="2A1CFB54" w14:textId="77777777" w:rsidR="00A57A27" w:rsidRDefault="00A57A27" w:rsidP="00A352DD">
      <w:pPr>
        <w:pStyle w:val="Caption"/>
      </w:pPr>
      <w:bookmarkStart w:id="9" w:name="_Ref93418944"/>
    </w:p>
    <w:bookmarkEnd w:id="9"/>
    <w:p w14:paraId="25722D76" w14:textId="367523BE" w:rsidR="00D60EC4" w:rsidRDefault="00D60EC4" w:rsidP="00D60EC4">
      <w:pPr>
        <w:pStyle w:val="Caption"/>
        <w:keepNext/>
      </w:pPr>
      <w:r>
        <w:t xml:space="preserve">Table </w:t>
      </w:r>
      <w:fldSimple w:instr=" SEQ Table \* ARABIC ">
        <w:r>
          <w:rPr>
            <w:noProof/>
          </w:rPr>
          <w:t>5</w:t>
        </w:r>
      </w:fldSimple>
      <w:r>
        <w:t xml:space="preserve">. </w:t>
      </w:r>
      <w:r w:rsidRPr="007941E2">
        <w:t>Extrapolation parameters</w:t>
      </w:r>
    </w:p>
    <w:tbl>
      <w:tblPr>
        <w:tblStyle w:val="TableGrid1"/>
        <w:tblW w:w="0" w:type="auto"/>
        <w:tblLook w:val="04A0" w:firstRow="1" w:lastRow="0" w:firstColumn="1" w:lastColumn="0" w:noHBand="0" w:noVBand="1"/>
      </w:tblPr>
      <w:tblGrid>
        <w:gridCol w:w="6236"/>
        <w:gridCol w:w="2551"/>
      </w:tblGrid>
      <w:tr w:rsidR="007941E2" w:rsidRPr="007941E2" w14:paraId="3ECA210E" w14:textId="77777777" w:rsidTr="00753C2F">
        <w:tc>
          <w:tcPr>
            <w:tcW w:w="6236" w:type="dxa"/>
          </w:tcPr>
          <w:p w14:paraId="45BC08D9" w14:textId="77777777" w:rsidR="007941E2" w:rsidRPr="007941E2" w:rsidRDefault="007941E2" w:rsidP="007941E2">
            <w:pPr>
              <w:spacing w:before="80" w:after="80"/>
            </w:pPr>
            <w:r w:rsidRPr="007941E2">
              <w:t>User defined parameter</w:t>
            </w:r>
          </w:p>
        </w:tc>
        <w:tc>
          <w:tcPr>
            <w:tcW w:w="2551" w:type="dxa"/>
          </w:tcPr>
          <w:p w14:paraId="59AC3716" w14:textId="350ED444" w:rsidR="007941E2" w:rsidRPr="007941E2" w:rsidRDefault="007941E2" w:rsidP="007941E2">
            <w:pPr>
              <w:spacing w:before="80" w:after="80"/>
            </w:pPr>
            <w:r w:rsidRPr="007941E2">
              <w:t>Base</w:t>
            </w:r>
            <w:r w:rsidR="00D330DB">
              <w:t>-</w:t>
            </w:r>
            <w:r w:rsidRPr="007941E2">
              <w:t>case (range)</w:t>
            </w:r>
          </w:p>
        </w:tc>
      </w:tr>
      <w:tr w:rsidR="007941E2" w:rsidRPr="007941E2" w14:paraId="0F3A385F" w14:textId="77777777" w:rsidTr="00753C2F">
        <w:tc>
          <w:tcPr>
            <w:tcW w:w="6236" w:type="dxa"/>
          </w:tcPr>
          <w:p w14:paraId="6B62FCA9" w14:textId="77777777" w:rsidR="007941E2" w:rsidRPr="007941E2" w:rsidRDefault="007941E2" w:rsidP="007941E2">
            <w:pPr>
              <w:spacing w:before="80" w:after="80"/>
            </w:pPr>
            <w:r w:rsidRPr="007941E2">
              <w:t>Probability of event (emergence of highly resistant strains)</w:t>
            </w:r>
          </w:p>
        </w:tc>
        <w:tc>
          <w:tcPr>
            <w:tcW w:w="2551" w:type="dxa"/>
          </w:tcPr>
          <w:p w14:paraId="4F83D2C9" w14:textId="77777777" w:rsidR="007941E2" w:rsidRPr="007941E2" w:rsidRDefault="007941E2" w:rsidP="007941E2">
            <w:pPr>
              <w:spacing w:before="80" w:after="80"/>
            </w:pPr>
            <w:r w:rsidRPr="007941E2">
              <w:t>100%</w:t>
            </w:r>
          </w:p>
        </w:tc>
      </w:tr>
      <w:tr w:rsidR="007941E2" w:rsidRPr="007941E2" w14:paraId="44248D83" w14:textId="77777777" w:rsidTr="00753C2F">
        <w:tc>
          <w:tcPr>
            <w:tcW w:w="6236" w:type="dxa"/>
          </w:tcPr>
          <w:p w14:paraId="479155B3" w14:textId="77777777" w:rsidR="007941E2" w:rsidRPr="007941E2" w:rsidRDefault="007941E2" w:rsidP="007941E2">
            <w:pPr>
              <w:spacing w:before="80" w:after="80"/>
            </w:pPr>
            <w:r w:rsidRPr="007941E2">
              <w:t>Time of event (from now)</w:t>
            </w:r>
          </w:p>
        </w:tc>
        <w:tc>
          <w:tcPr>
            <w:tcW w:w="2551" w:type="dxa"/>
          </w:tcPr>
          <w:p w14:paraId="2D918EEB" w14:textId="77777777" w:rsidR="007941E2" w:rsidRPr="007941E2" w:rsidRDefault="007941E2" w:rsidP="007941E2">
            <w:pPr>
              <w:spacing w:before="80" w:after="80"/>
            </w:pPr>
            <w:r w:rsidRPr="007941E2">
              <w:t>0 years</w:t>
            </w:r>
          </w:p>
        </w:tc>
      </w:tr>
      <w:tr w:rsidR="007941E2" w:rsidRPr="007941E2" w14:paraId="3BC93A1B" w14:textId="77777777" w:rsidTr="00753C2F">
        <w:tc>
          <w:tcPr>
            <w:tcW w:w="6236" w:type="dxa"/>
          </w:tcPr>
          <w:p w14:paraId="4955A0A6" w14:textId="77777777" w:rsidR="007941E2" w:rsidRPr="007941E2" w:rsidRDefault="007941E2" w:rsidP="007941E2">
            <w:pPr>
              <w:spacing w:before="80" w:after="80"/>
            </w:pPr>
            <w:r w:rsidRPr="007941E2">
              <w:t>The number of patients affected in the first year</w:t>
            </w:r>
          </w:p>
        </w:tc>
        <w:tc>
          <w:tcPr>
            <w:tcW w:w="2551" w:type="dxa"/>
          </w:tcPr>
          <w:p w14:paraId="7500D3C6" w14:textId="34E29C95" w:rsidR="007941E2" w:rsidRPr="007941E2" w:rsidRDefault="007941E2" w:rsidP="007941E2">
            <w:pPr>
              <w:spacing w:before="80" w:after="80"/>
            </w:pPr>
            <w:r w:rsidRPr="007941E2">
              <w:t xml:space="preserve">See Table 34 of the </w:t>
            </w:r>
            <w:r w:rsidR="009B0351">
              <w:t xml:space="preserve">EEPRU </w:t>
            </w:r>
            <w:r w:rsidRPr="007941E2">
              <w:t>report</w:t>
            </w:r>
          </w:p>
        </w:tc>
      </w:tr>
      <w:tr w:rsidR="007941E2" w:rsidRPr="007941E2" w14:paraId="07CA316F" w14:textId="77777777" w:rsidTr="00753C2F">
        <w:tc>
          <w:tcPr>
            <w:tcW w:w="6236" w:type="dxa"/>
          </w:tcPr>
          <w:p w14:paraId="31C6FC4B" w14:textId="77777777" w:rsidR="007941E2" w:rsidRPr="007941E2" w:rsidRDefault="007941E2" w:rsidP="007941E2">
            <w:pPr>
              <w:spacing w:before="80" w:after="80"/>
            </w:pPr>
            <w:r w:rsidRPr="007941E2">
              <w:t>The annual growth in the number of infections (from baseline)</w:t>
            </w:r>
          </w:p>
        </w:tc>
        <w:tc>
          <w:tcPr>
            <w:tcW w:w="2551" w:type="dxa"/>
          </w:tcPr>
          <w:p w14:paraId="39C9A4F6" w14:textId="3914690D" w:rsidR="007941E2" w:rsidRPr="007941E2" w:rsidRDefault="007941E2" w:rsidP="00922E43">
            <w:pPr>
              <w:spacing w:before="80" w:after="80"/>
            </w:pPr>
            <w:r w:rsidRPr="007941E2">
              <w:t xml:space="preserve">1.2% </w:t>
            </w:r>
            <w:r w:rsidR="00922E43">
              <w:t>or</w:t>
            </w:r>
            <w:r w:rsidRPr="007941E2">
              <w:t xml:space="preserve"> 17.1%</w:t>
            </w:r>
          </w:p>
        </w:tc>
      </w:tr>
      <w:tr w:rsidR="007941E2" w:rsidRPr="007941E2" w14:paraId="120555F6" w14:textId="77777777" w:rsidTr="00753C2F">
        <w:tc>
          <w:tcPr>
            <w:tcW w:w="6236" w:type="dxa"/>
          </w:tcPr>
          <w:p w14:paraId="72D72E69" w14:textId="77777777" w:rsidR="007941E2" w:rsidRPr="007941E2" w:rsidRDefault="007941E2" w:rsidP="007941E2">
            <w:pPr>
              <w:spacing w:before="80" w:after="80"/>
            </w:pPr>
            <w:r w:rsidRPr="007941E2">
              <w:t>Analysis time horizon (years)</w:t>
            </w:r>
          </w:p>
        </w:tc>
        <w:tc>
          <w:tcPr>
            <w:tcW w:w="2551" w:type="dxa"/>
          </w:tcPr>
          <w:p w14:paraId="441C7019" w14:textId="77777777" w:rsidR="007941E2" w:rsidRPr="007941E2" w:rsidRDefault="007941E2" w:rsidP="007941E2">
            <w:pPr>
              <w:spacing w:before="80" w:after="80"/>
            </w:pPr>
            <w:r w:rsidRPr="007941E2">
              <w:t>20</w:t>
            </w:r>
          </w:p>
        </w:tc>
      </w:tr>
      <w:tr w:rsidR="007941E2" w:rsidRPr="007941E2" w14:paraId="39A28B91" w14:textId="77777777" w:rsidTr="00753C2F">
        <w:tc>
          <w:tcPr>
            <w:tcW w:w="6236" w:type="dxa"/>
          </w:tcPr>
          <w:p w14:paraId="71BF80E7" w14:textId="06F056B8" w:rsidR="007941E2" w:rsidRPr="007941E2" w:rsidRDefault="007941E2" w:rsidP="007941E2">
            <w:pPr>
              <w:spacing w:before="80" w:after="80"/>
            </w:pPr>
            <w:r w:rsidRPr="007941E2">
              <w:t xml:space="preserve">Population </w:t>
            </w:r>
            <w:r w:rsidR="00A57A27">
              <w:t xml:space="preserve">annual </w:t>
            </w:r>
            <w:r w:rsidRPr="007941E2">
              <w:t>discount rate</w:t>
            </w:r>
          </w:p>
        </w:tc>
        <w:tc>
          <w:tcPr>
            <w:tcW w:w="2551" w:type="dxa"/>
          </w:tcPr>
          <w:p w14:paraId="5AC10325" w14:textId="77777777" w:rsidR="007941E2" w:rsidRPr="007941E2" w:rsidRDefault="007941E2" w:rsidP="007941E2">
            <w:pPr>
              <w:spacing w:before="80" w:after="80"/>
            </w:pPr>
            <w:r w:rsidRPr="007941E2">
              <w:t>3.5%</w:t>
            </w:r>
          </w:p>
        </w:tc>
      </w:tr>
    </w:tbl>
    <w:p w14:paraId="0DFDAB1B" w14:textId="77777777" w:rsidR="007941E2" w:rsidRPr="007941E2" w:rsidRDefault="007941E2" w:rsidP="007941E2"/>
    <w:p w14:paraId="5799D25F" w14:textId="77777777" w:rsidR="007941E2" w:rsidRPr="007941E2" w:rsidRDefault="007941E2" w:rsidP="007941E2"/>
    <w:p w14:paraId="1C8D6F5B" w14:textId="4F2D3D70" w:rsidR="00FF0699" w:rsidRDefault="007941E2" w:rsidP="00D07AB8">
      <w:pPr>
        <w:jc w:val="both"/>
      </w:pPr>
      <w:r w:rsidRPr="007941E2">
        <w:t xml:space="preserve">The overall benefit was derived by averaging the </w:t>
      </w:r>
      <w:r w:rsidR="00E07610">
        <w:t>total INHE</w:t>
      </w:r>
      <w:r w:rsidRPr="007941E2">
        <w:t xml:space="preserve"> from the base</w:t>
      </w:r>
      <w:r w:rsidR="00D330DB">
        <w:t>-</w:t>
      </w:r>
      <w:r w:rsidRPr="007941E2">
        <w:t>case and the new scenario, weighte</w:t>
      </w:r>
      <w:r w:rsidR="00FF0699">
        <w:t xml:space="preserve">d by the proportion of the total treated population who are </w:t>
      </w:r>
      <w:r w:rsidR="00E07610">
        <w:t xml:space="preserve">susceptible to </w:t>
      </w:r>
      <w:r w:rsidR="003406AB">
        <w:t>colistin</w:t>
      </w:r>
      <w:r w:rsidR="00E07610">
        <w:t xml:space="preserve">/aminoglycosides but would be given salvage therapy due to </w:t>
      </w:r>
      <w:r w:rsidR="003406AB">
        <w:t>colistin</w:t>
      </w:r>
      <w:r w:rsidR="00E07610">
        <w:t>/aminoglycoside toxicity.</w:t>
      </w:r>
    </w:p>
    <w:p w14:paraId="43CD6C02" w14:textId="2BEABDF3" w:rsidR="00FF0699" w:rsidRDefault="00FF0699" w:rsidP="00D07AB8">
      <w:pPr>
        <w:jc w:val="both"/>
      </w:pPr>
    </w:p>
    <w:p w14:paraId="6785D703" w14:textId="03D4FC55" w:rsidR="00FF0699" w:rsidRDefault="00FF0699" w:rsidP="00D07AB8">
      <w:pPr>
        <w:jc w:val="both"/>
      </w:pPr>
      <w:r>
        <w:t xml:space="preserve">Considering the lack of empiric evidence, the NICE </w:t>
      </w:r>
      <w:r w:rsidR="00506D28">
        <w:t>C</w:t>
      </w:r>
      <w:r>
        <w:t>ommittee suggested a plausible range (20% – 40%) for the proportion of patients who</w:t>
      </w:r>
      <w:r w:rsidR="00506D28">
        <w:t>, despite being</w:t>
      </w:r>
      <w:r>
        <w:t xml:space="preserve"> susceptible to </w:t>
      </w:r>
      <w:r w:rsidR="003406AB">
        <w:t>colistin</w:t>
      </w:r>
      <w:r>
        <w:t xml:space="preserve">/aminoglycosides, would </w:t>
      </w:r>
      <w:r w:rsidR="00506D28">
        <w:t xml:space="preserve">instead </w:t>
      </w:r>
      <w:r>
        <w:t xml:space="preserve">be given salvage therapy due to </w:t>
      </w:r>
      <w:r w:rsidR="003406AB">
        <w:t>colistin</w:t>
      </w:r>
      <w:r>
        <w:t>/aminoglycoside toxicit</w:t>
      </w:r>
      <w:r w:rsidR="00D07AB8">
        <w:t>y</w:t>
      </w:r>
      <w:r w:rsidR="00506D28">
        <w:t>,</w:t>
      </w:r>
      <w:r w:rsidR="00D07AB8">
        <w:t xml:space="preserve"> in the absence of CAZ-AVI.</w:t>
      </w:r>
    </w:p>
    <w:p w14:paraId="02497555" w14:textId="0950564A" w:rsidR="00FF0699" w:rsidRDefault="00FF0699" w:rsidP="00D07AB8">
      <w:pPr>
        <w:jc w:val="both"/>
      </w:pPr>
    </w:p>
    <w:p w14:paraId="5A1FB956" w14:textId="77777777" w:rsidR="00506D28" w:rsidRDefault="00E07610" w:rsidP="00D07AB8">
      <w:pPr>
        <w:jc w:val="both"/>
      </w:pPr>
      <w:r>
        <w:t>In the empiric setting (HAP/VAP and BSIs), this represents 20</w:t>
      </w:r>
      <w:r w:rsidR="00506D28">
        <w:t>%</w:t>
      </w:r>
      <w:r w:rsidR="00FF0699">
        <w:t xml:space="preserve"> </w:t>
      </w:r>
      <w:r>
        <w:t>-</w:t>
      </w:r>
      <w:r w:rsidR="00FF0699">
        <w:t xml:space="preserve"> </w:t>
      </w:r>
      <w:r>
        <w:t>40% of the total treated population</w:t>
      </w:r>
      <w:r w:rsidR="00D54968">
        <w:t xml:space="preserve"> when colistin/aminoglycosides are used empirically</w:t>
      </w:r>
      <w:r>
        <w:t xml:space="preserve">. </w:t>
      </w:r>
    </w:p>
    <w:p w14:paraId="7CB82CFE" w14:textId="77777777" w:rsidR="00506D28" w:rsidRDefault="00506D28" w:rsidP="00D07AB8">
      <w:pPr>
        <w:jc w:val="both"/>
      </w:pPr>
    </w:p>
    <w:p w14:paraId="46B7946A" w14:textId="4DCA7945" w:rsidR="00E07610" w:rsidRPr="007941E2" w:rsidRDefault="00E07610" w:rsidP="00D07AB8">
      <w:pPr>
        <w:jc w:val="both"/>
      </w:pPr>
      <w:r>
        <w:t>In the m</w:t>
      </w:r>
      <w:r w:rsidR="002B2B21">
        <w:t>i</w:t>
      </w:r>
      <w:r>
        <w:t>c</w:t>
      </w:r>
      <w:r w:rsidR="002B2B21">
        <w:t>r</w:t>
      </w:r>
      <w:r>
        <w:t>obiology-directed setting (</w:t>
      </w:r>
      <w:proofErr w:type="spellStart"/>
      <w:r w:rsidR="002B2B21">
        <w:t>cUTI</w:t>
      </w:r>
      <w:proofErr w:type="spellEnd"/>
      <w:r w:rsidR="002B2B21">
        <w:t xml:space="preserve"> and IAI</w:t>
      </w:r>
      <w:r>
        <w:t>)</w:t>
      </w:r>
      <w:r w:rsidR="00506D28">
        <w:t>,</w:t>
      </w:r>
      <w:r>
        <w:t xml:space="preserve"> </w:t>
      </w:r>
      <w:r w:rsidR="00D54968">
        <w:t xml:space="preserve">the scenario </w:t>
      </w:r>
      <w:r w:rsidR="00506D28">
        <w:t xml:space="preserve">is </w:t>
      </w:r>
      <w:r w:rsidR="00D54968">
        <w:t>assume</w:t>
      </w:r>
      <w:r w:rsidR="00506D28">
        <w:t>d</w:t>
      </w:r>
      <w:r w:rsidR="00D54968">
        <w:t xml:space="preserve"> to be applicable to</w:t>
      </w:r>
      <w:r>
        <w:t xml:space="preserve"> 20</w:t>
      </w:r>
      <w:r w:rsidR="00506D28">
        <w:t>%</w:t>
      </w:r>
      <w:r w:rsidR="00FF0699">
        <w:t xml:space="preserve"> </w:t>
      </w:r>
      <w:r>
        <w:t>-</w:t>
      </w:r>
      <w:r w:rsidR="0073051E">
        <w:t xml:space="preserve"> </w:t>
      </w:r>
      <w:r>
        <w:t xml:space="preserve">40% of </w:t>
      </w:r>
      <w:r w:rsidR="002B2B21">
        <w:t xml:space="preserve">the </w:t>
      </w:r>
      <w:r>
        <w:t>patients who were not susceptible to non-colistin/aminoglycoside therapy</w:t>
      </w:r>
      <w:r w:rsidR="002B2B21">
        <w:t xml:space="preserve"> (100%</w:t>
      </w:r>
      <w:r w:rsidR="00FF0699">
        <w:t xml:space="preserve"> </w:t>
      </w:r>
      <w:r w:rsidR="002B2B21">
        <w:t>-</w:t>
      </w:r>
      <w:r w:rsidR="00FF0699">
        <w:t xml:space="preserve"> </w:t>
      </w:r>
      <w:r w:rsidR="002B2B21">
        <w:t>65% =</w:t>
      </w:r>
      <w:r w:rsidR="00FF0699">
        <w:t xml:space="preserve"> </w:t>
      </w:r>
      <w:r w:rsidR="002B2B21">
        <w:t>35% of the sample, as per Table 24 of the EEPRU report)</w:t>
      </w:r>
      <w:r>
        <w:t>, assuming that all such patients would be considered for colistin/aminoglycoside therapy.</w:t>
      </w:r>
      <w:r w:rsidR="002B2B21">
        <w:t xml:space="preserve"> </w:t>
      </w:r>
      <w:r w:rsidR="00FF0699">
        <w:t xml:space="preserve">Therefore, the proportion of the total sample in the MDS </w:t>
      </w:r>
      <w:r w:rsidR="00506D28">
        <w:t xml:space="preserve">who would be in this sub-group </w:t>
      </w:r>
      <w:r w:rsidR="00FF0699">
        <w:t xml:space="preserve">was </w:t>
      </w:r>
      <w:r w:rsidR="00506D28">
        <w:t xml:space="preserve">between </w:t>
      </w:r>
      <w:r w:rsidR="00FF0699">
        <w:t>7</w:t>
      </w:r>
      <w:r w:rsidR="00506D28">
        <w:t>%</w:t>
      </w:r>
      <w:r w:rsidR="00FF0699">
        <w:t xml:space="preserve"> </w:t>
      </w:r>
      <w:r w:rsidR="00506D28">
        <w:t>(= 0.2*35%) and</w:t>
      </w:r>
      <w:r w:rsidR="00FF0699">
        <w:t xml:space="preserve"> 14% (</w:t>
      </w:r>
      <w:r w:rsidR="00506D28">
        <w:t xml:space="preserve">= </w:t>
      </w:r>
      <w:r w:rsidR="00FF0699">
        <w:t xml:space="preserve">0.4*35%). </w:t>
      </w:r>
    </w:p>
    <w:p w14:paraId="7C28AC19" w14:textId="022051D7" w:rsidR="001925C1" w:rsidRDefault="001925C1" w:rsidP="00D07AB8">
      <w:pPr>
        <w:jc w:val="both"/>
      </w:pPr>
    </w:p>
    <w:p w14:paraId="579CCAC9" w14:textId="374A8A6F" w:rsidR="007941E2" w:rsidRPr="007941E2" w:rsidRDefault="007941E2" w:rsidP="007941E2">
      <w:pPr>
        <w:keepNext/>
        <w:keepLines/>
        <w:spacing w:before="360" w:after="120" w:line="360" w:lineRule="auto"/>
        <w:jc w:val="both"/>
        <w:outlineLvl w:val="1"/>
        <w:rPr>
          <w:b/>
          <w:sz w:val="26"/>
          <w:szCs w:val="32"/>
        </w:rPr>
      </w:pPr>
      <w:r w:rsidRPr="007941E2">
        <w:rPr>
          <w:b/>
          <w:sz w:val="26"/>
          <w:szCs w:val="32"/>
        </w:rPr>
        <w:t>Results</w:t>
      </w:r>
    </w:p>
    <w:p w14:paraId="48BD1B8D" w14:textId="52065520" w:rsidR="0004297F" w:rsidRDefault="000D0589" w:rsidP="0004297F">
      <w:r w:rsidRPr="00A352DD">
        <w:fldChar w:fldCharType="begin"/>
      </w:r>
      <w:r w:rsidRPr="00A352DD">
        <w:instrText xml:space="preserve"> REF _Ref93431990 \h </w:instrText>
      </w:r>
      <w:r w:rsidR="00A352DD" w:rsidRPr="00A352DD">
        <w:instrText xml:space="preserve"> \* MERGEFORMAT </w:instrText>
      </w:r>
      <w:r w:rsidRPr="00A352DD">
        <w:fldChar w:fldCharType="separate"/>
      </w:r>
      <w:r w:rsidR="00A352DD" w:rsidRPr="00A352DD">
        <w:rPr>
          <w:iCs/>
        </w:rPr>
        <w:t xml:space="preserve">Figure </w:t>
      </w:r>
      <w:r w:rsidR="00A352DD" w:rsidRPr="00A352DD">
        <w:rPr>
          <w:iCs/>
          <w:noProof/>
        </w:rPr>
        <w:t>1</w:t>
      </w:r>
      <w:r w:rsidRPr="00A352DD">
        <w:fldChar w:fldCharType="end"/>
      </w:r>
      <w:r w:rsidRPr="007941E2">
        <w:t xml:space="preserve"> shows </w:t>
      </w:r>
      <w:r w:rsidR="00A352DD">
        <w:t xml:space="preserve">how the </w:t>
      </w:r>
      <w:r w:rsidRPr="007941E2">
        <w:t>total expected INHE changes with the proportion of patients who cannot take colistin, compared to the EEPRU base</w:t>
      </w:r>
      <w:r w:rsidR="00BE469A">
        <w:t>-</w:t>
      </w:r>
      <w:r w:rsidRPr="007941E2">
        <w:t>case.</w:t>
      </w:r>
      <w:r w:rsidR="00A352DD">
        <w:t xml:space="preserve"> In summary, reflecting the outcomes of patients who cannot take colistin/aminoglycosides increases the benefit of CAZ-AVI</w:t>
      </w:r>
      <w:r w:rsidR="00295C46">
        <w:t>, and the benefit increases with the proportion of such patients</w:t>
      </w:r>
      <w:r w:rsidR="00A352DD">
        <w:t>.</w:t>
      </w:r>
      <w:r w:rsidR="0004297F">
        <w:t xml:space="preserve"> </w:t>
      </w:r>
      <w:r w:rsidR="00A352DD">
        <w:t xml:space="preserve">The </w:t>
      </w:r>
      <w:r w:rsidR="0004297F">
        <w:t xml:space="preserve">absolute </w:t>
      </w:r>
      <w:r w:rsidR="00295C46">
        <w:t>increase in INHE</w:t>
      </w:r>
      <w:r w:rsidR="0004297F">
        <w:t xml:space="preserve"> </w:t>
      </w:r>
      <w:r w:rsidR="00295C46">
        <w:t xml:space="preserve">in this scenario </w:t>
      </w:r>
      <w:r w:rsidR="0004297F">
        <w:t>increases with</w:t>
      </w:r>
      <w:r w:rsidR="00A352DD">
        <w:t xml:space="preserve"> the </w:t>
      </w:r>
      <w:r w:rsidR="00A352DD">
        <w:lastRenderedPageBreak/>
        <w:t>population size</w:t>
      </w:r>
      <w:r w:rsidR="0004297F">
        <w:t xml:space="preserve">, as shown by the orange solid and dashed lines (representing a scenario with a higher patient population) diverging more than the blue </w:t>
      </w:r>
      <w:r w:rsidR="00295C46">
        <w:t xml:space="preserve">solid and dashed </w:t>
      </w:r>
      <w:r w:rsidR="0004297F">
        <w:t>lines.</w:t>
      </w:r>
    </w:p>
    <w:p w14:paraId="753FD0F7" w14:textId="380D1514" w:rsidR="007941E2" w:rsidRPr="007941E2" w:rsidRDefault="007941E2" w:rsidP="007941E2"/>
    <w:p w14:paraId="2C409954" w14:textId="32838BAC" w:rsidR="007941E2" w:rsidRDefault="007941E2" w:rsidP="00A352DD">
      <w:pPr>
        <w:pStyle w:val="Caption"/>
      </w:pPr>
      <w:bookmarkStart w:id="10" w:name="_Ref93431990"/>
      <w:r w:rsidRPr="007941E2">
        <w:t xml:space="preserve">Figure </w:t>
      </w:r>
      <w:fldSimple w:instr=" SEQ Figure \* ARABIC ">
        <w:r w:rsidR="00A352DD">
          <w:rPr>
            <w:noProof/>
          </w:rPr>
          <w:t>1</w:t>
        </w:r>
      </w:fldSimple>
      <w:bookmarkEnd w:id="10"/>
      <w:r w:rsidRPr="007941E2">
        <w:t xml:space="preserve">. </w:t>
      </w:r>
      <w:r w:rsidR="00724321">
        <w:t>Change in total population-level</w:t>
      </w:r>
      <w:r w:rsidRPr="007941E2">
        <w:t xml:space="preserve"> INHE </w:t>
      </w:r>
      <w:r w:rsidR="00724321">
        <w:t xml:space="preserve">with </w:t>
      </w:r>
      <w:r w:rsidRPr="007941E2">
        <w:t>varying proportion of patients who cannot take colistin</w:t>
      </w:r>
      <w:r w:rsidR="00724321">
        <w:t xml:space="preserve">, </w:t>
      </w:r>
      <w:r w:rsidR="00724321" w:rsidRPr="007941E2">
        <w:t>derived from different assumption</w:t>
      </w:r>
      <w:r w:rsidR="00724321">
        <w:t>s about the population size.</w:t>
      </w:r>
      <w:r w:rsidR="001732E4">
        <w:t xml:space="preserve"> </w:t>
      </w:r>
    </w:p>
    <w:p w14:paraId="21AABB99" w14:textId="7B9214FB" w:rsidR="008958E3" w:rsidRPr="007941E2" w:rsidRDefault="001732E4" w:rsidP="007941E2">
      <w:pPr>
        <w:keepNext/>
        <w:spacing w:after="200" w:line="240" w:lineRule="auto"/>
        <w:rPr>
          <w:b/>
          <w:iCs/>
          <w:color w:val="000000" w:themeColor="text1"/>
          <w:szCs w:val="18"/>
        </w:rPr>
      </w:pPr>
      <w:r>
        <w:rPr>
          <w:b/>
          <w:iCs/>
          <w:noProof/>
          <w:color w:val="000000" w:themeColor="text1"/>
          <w:szCs w:val="18"/>
        </w:rPr>
        <w:drawing>
          <wp:inline distT="0" distB="0" distL="0" distR="0" wp14:anchorId="2AC29EEE" wp14:editId="6B8052A1">
            <wp:extent cx="4892714" cy="3289464"/>
            <wp:effectExtent l="0" t="0" r="317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7519" cy="3299417"/>
                    </a:xfrm>
                    <a:prstGeom prst="rect">
                      <a:avLst/>
                    </a:prstGeom>
                    <a:noFill/>
                  </pic:spPr>
                </pic:pic>
              </a:graphicData>
            </a:graphic>
          </wp:inline>
        </w:drawing>
      </w:r>
    </w:p>
    <w:p w14:paraId="4FE1CE86" w14:textId="77777777" w:rsidR="007941E2" w:rsidRPr="007941E2" w:rsidRDefault="007941E2" w:rsidP="007941E2">
      <w:pPr>
        <w:spacing w:after="160" w:line="259" w:lineRule="auto"/>
        <w:rPr>
          <w:rFonts w:eastAsia="Calibri" w:cs="Times New Roman"/>
          <w:lang w:eastAsia="en-US"/>
        </w:rPr>
      </w:pPr>
      <w:r w:rsidRPr="007941E2">
        <w:rPr>
          <w:rFonts w:eastAsia="Calibri" w:cs="Times New Roman"/>
          <w:sz w:val="18"/>
          <w:lang w:eastAsia="en-US"/>
        </w:rPr>
        <w:t>P1G1:</w:t>
      </w:r>
      <w:r w:rsidRPr="007941E2">
        <w:rPr>
          <w:rFonts w:eastAsia="Calibri" w:cs="Times New Roman"/>
          <w:sz w:val="18"/>
          <w:szCs w:val="18"/>
          <w:lang w:eastAsia="en-US"/>
        </w:rPr>
        <w:t xml:space="preserve"> baseline population (point estimate) based on PHE categorisation of infection sites, growth rate damped; </w:t>
      </w:r>
      <w:r w:rsidRPr="007941E2">
        <w:rPr>
          <w:rFonts w:eastAsia="Calibri" w:cs="Times New Roman"/>
          <w:sz w:val="18"/>
          <w:lang w:eastAsia="en-US"/>
        </w:rPr>
        <w:t>P2G2</w:t>
      </w:r>
      <w:r w:rsidRPr="007941E2">
        <w:rPr>
          <w:rFonts w:eastAsia="Calibri" w:cs="Times New Roman"/>
          <w:sz w:val="18"/>
          <w:szCs w:val="18"/>
          <w:lang w:eastAsia="en-US"/>
        </w:rPr>
        <w:t>: baseline population (point estimate) based on clinical advisors’ categorisation of infection sites, growth rate not damped.</w:t>
      </w:r>
    </w:p>
    <w:p w14:paraId="5CAC8CB0" w14:textId="652178BF" w:rsidR="0083056B" w:rsidRDefault="0004297F" w:rsidP="0004297F">
      <w:r>
        <w:fldChar w:fldCharType="begin"/>
      </w:r>
      <w:r>
        <w:instrText xml:space="preserve"> REF _Ref93440900 \h </w:instrText>
      </w:r>
      <w:r>
        <w:fldChar w:fldCharType="separate"/>
      </w:r>
      <w:r w:rsidR="00D60EC4">
        <w:t xml:space="preserve">Table </w:t>
      </w:r>
      <w:r>
        <w:fldChar w:fldCharType="end"/>
      </w:r>
      <w:r w:rsidR="00401983">
        <w:t>6</w:t>
      </w:r>
      <w:r>
        <w:t xml:space="preserve"> shows the breakdown of the population-level INHE for each site of infection</w:t>
      </w:r>
      <w:r w:rsidR="001D7DFF">
        <w:t xml:space="preserve"> for a range of proportions of patients who cannot take </w:t>
      </w:r>
      <w:r w:rsidR="003406AB">
        <w:t>colistin</w:t>
      </w:r>
      <w:r w:rsidR="001D7DFF">
        <w:t>/aminoglycosides, compared to the EEPRU base</w:t>
      </w:r>
      <w:r w:rsidR="00466D69">
        <w:t>-</w:t>
      </w:r>
      <w:r w:rsidR="001D7DFF">
        <w:t>case</w:t>
      </w:r>
      <w:r>
        <w:t>. The change in INHE compared to the base</w:t>
      </w:r>
      <w:r w:rsidR="00466D69">
        <w:t>-</w:t>
      </w:r>
      <w:r>
        <w:t xml:space="preserve">case </w:t>
      </w:r>
      <w:r w:rsidR="001D7DFF">
        <w:t xml:space="preserve">is higher in </w:t>
      </w:r>
      <w:r w:rsidR="003406AB">
        <w:t xml:space="preserve">the </w:t>
      </w:r>
      <w:r w:rsidR="001D7DFF">
        <w:t>MDS (</w:t>
      </w:r>
      <w:proofErr w:type="spellStart"/>
      <w:r w:rsidR="001D7DFF">
        <w:t>cUTI</w:t>
      </w:r>
      <w:proofErr w:type="spellEnd"/>
      <w:r w:rsidR="001D7DFF">
        <w:t xml:space="preserve"> and IAI) than </w:t>
      </w:r>
      <w:r w:rsidR="003406AB">
        <w:t xml:space="preserve">the </w:t>
      </w:r>
      <w:r w:rsidR="001D7DFF">
        <w:t xml:space="preserve">ES (HAP/VAP and BSI) because </w:t>
      </w:r>
      <w:r w:rsidR="0083056B">
        <w:t xml:space="preserve">the patient-level benefit of CAZ-AVI in patients who cannot take colistin is higher in </w:t>
      </w:r>
      <w:r w:rsidR="003406AB">
        <w:t xml:space="preserve">the </w:t>
      </w:r>
      <w:r w:rsidR="0083056B">
        <w:t xml:space="preserve">MDS than </w:t>
      </w:r>
      <w:r w:rsidR="003406AB">
        <w:t xml:space="preserve">the </w:t>
      </w:r>
      <w:r w:rsidR="0083056B">
        <w:t>ES</w:t>
      </w:r>
      <w:r w:rsidR="00295C46">
        <w:t xml:space="preserve"> (shown in </w:t>
      </w:r>
      <w:r w:rsidR="00295C46">
        <w:fldChar w:fldCharType="begin"/>
      </w:r>
      <w:r w:rsidR="00295C46">
        <w:instrText xml:space="preserve"> REF _Ref93413030 \h  \* MERGEFORMAT </w:instrText>
      </w:r>
      <w:r w:rsidR="00295C46">
        <w:fldChar w:fldCharType="separate"/>
      </w:r>
      <w:r w:rsidR="00295C46" w:rsidRPr="00A352DD">
        <w:t xml:space="preserve">Table </w:t>
      </w:r>
      <w:r w:rsidR="00295C46" w:rsidRPr="00A352DD">
        <w:rPr>
          <w:noProof/>
        </w:rPr>
        <w:t>2</w:t>
      </w:r>
      <w:r w:rsidR="00295C46">
        <w:fldChar w:fldCharType="end"/>
      </w:r>
      <w:r w:rsidR="00295C46">
        <w:t>)</w:t>
      </w:r>
      <w:r w:rsidR="001D7DFF">
        <w:t>.</w:t>
      </w:r>
    </w:p>
    <w:p w14:paraId="54B10F02" w14:textId="77777777" w:rsidR="0083056B" w:rsidRDefault="0083056B" w:rsidP="0004297F"/>
    <w:p w14:paraId="24BCCFC3" w14:textId="77777777" w:rsidR="007941E2" w:rsidRPr="007941E2" w:rsidRDefault="007941E2" w:rsidP="007941E2"/>
    <w:p w14:paraId="7C10B846" w14:textId="45CFCB30" w:rsidR="00D60EC4" w:rsidRDefault="00D60EC4" w:rsidP="00D60EC4">
      <w:pPr>
        <w:pStyle w:val="Caption"/>
        <w:keepNext/>
      </w:pPr>
      <w:r>
        <w:t xml:space="preserve">Table </w:t>
      </w:r>
      <w:fldSimple w:instr=" SEQ Table \* ARABIC ">
        <w:r>
          <w:rPr>
            <w:noProof/>
          </w:rPr>
          <w:t>6</w:t>
        </w:r>
      </w:fldSimple>
      <w:r>
        <w:t>. Total population-level INHE (QALYs) per site of infection</w:t>
      </w:r>
    </w:p>
    <w:tbl>
      <w:tblPr>
        <w:tblW w:w="92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71"/>
        <w:gridCol w:w="1474"/>
        <w:gridCol w:w="1474"/>
        <w:gridCol w:w="1474"/>
        <w:gridCol w:w="1474"/>
        <w:gridCol w:w="1474"/>
      </w:tblGrid>
      <w:tr w:rsidR="0065557C" w:rsidRPr="0065557C" w14:paraId="710E950D" w14:textId="77777777" w:rsidTr="0065557C">
        <w:trPr>
          <w:trHeight w:val="300"/>
        </w:trPr>
        <w:tc>
          <w:tcPr>
            <w:tcW w:w="1871" w:type="dxa"/>
            <w:shd w:val="clear" w:color="000000" w:fill="FFFFFF"/>
            <w:noWrap/>
            <w:vAlign w:val="center"/>
            <w:hideMark/>
          </w:tcPr>
          <w:p w14:paraId="5514EF59" w14:textId="4EA9E28D" w:rsidR="0065557C" w:rsidRPr="0065557C" w:rsidRDefault="0065557C" w:rsidP="00724321">
            <w:pPr>
              <w:spacing w:line="240" w:lineRule="auto"/>
              <w:jc w:val="center"/>
              <w:rPr>
                <w:rFonts w:eastAsia="Times New Roman" w:cs="Times New Roman"/>
                <w:color w:val="000000"/>
              </w:rPr>
            </w:pPr>
            <w:r w:rsidRPr="0065557C">
              <w:rPr>
                <w:rFonts w:eastAsia="Times New Roman" w:cs="Times New Roman"/>
                <w:color w:val="000000"/>
              </w:rPr>
              <w:t>Proportion</w:t>
            </w:r>
            <w:r>
              <w:rPr>
                <w:rFonts w:eastAsia="Times New Roman" w:cs="Times New Roman"/>
                <w:color w:val="000000"/>
              </w:rPr>
              <w:t xml:space="preserve"> of susceptible patients</w:t>
            </w:r>
            <w:r w:rsidRPr="0065557C">
              <w:rPr>
                <w:rFonts w:eastAsia="Times New Roman" w:cs="Times New Roman"/>
                <w:color w:val="000000"/>
              </w:rPr>
              <w:t xml:space="preserve"> </w:t>
            </w:r>
            <w:r w:rsidR="00724321">
              <w:rPr>
                <w:rFonts w:eastAsia="Times New Roman" w:cs="Times New Roman"/>
                <w:color w:val="000000"/>
              </w:rPr>
              <w:t>who cannot take</w:t>
            </w:r>
            <w:r w:rsidRPr="0065557C">
              <w:rPr>
                <w:rFonts w:eastAsia="Times New Roman" w:cs="Times New Roman"/>
                <w:color w:val="000000"/>
              </w:rPr>
              <w:t xml:space="preserve"> ca</w:t>
            </w:r>
          </w:p>
        </w:tc>
        <w:tc>
          <w:tcPr>
            <w:tcW w:w="1474" w:type="dxa"/>
            <w:shd w:val="clear" w:color="000000" w:fill="FFFFFF"/>
            <w:noWrap/>
            <w:vAlign w:val="center"/>
            <w:hideMark/>
          </w:tcPr>
          <w:p w14:paraId="1F2F178E" w14:textId="11E13764" w:rsidR="0065557C" w:rsidRPr="0065557C" w:rsidRDefault="0065557C" w:rsidP="00724321">
            <w:pPr>
              <w:spacing w:line="240" w:lineRule="auto"/>
              <w:jc w:val="center"/>
              <w:rPr>
                <w:rFonts w:eastAsia="Times New Roman" w:cs="Times New Roman"/>
                <w:color w:val="000000"/>
              </w:rPr>
            </w:pPr>
            <w:r w:rsidRPr="0065557C">
              <w:rPr>
                <w:rFonts w:eastAsia="Times New Roman" w:cs="Times New Roman"/>
                <w:color w:val="000000"/>
              </w:rPr>
              <w:t>HAP/VAP</w:t>
            </w:r>
            <w:r w:rsidR="00920EA8" w:rsidRPr="00920EA8">
              <w:rPr>
                <w:vertAlign w:val="superscript"/>
              </w:rPr>
              <w:t>1</w:t>
            </w:r>
          </w:p>
        </w:tc>
        <w:tc>
          <w:tcPr>
            <w:tcW w:w="1474" w:type="dxa"/>
            <w:shd w:val="clear" w:color="000000" w:fill="FFFFFF"/>
            <w:noWrap/>
            <w:vAlign w:val="center"/>
            <w:hideMark/>
          </w:tcPr>
          <w:p w14:paraId="6CA75D7A" w14:textId="1A1F79ED" w:rsidR="0065557C" w:rsidRPr="0065557C" w:rsidRDefault="0065557C" w:rsidP="0065557C">
            <w:pPr>
              <w:spacing w:line="240" w:lineRule="auto"/>
              <w:jc w:val="center"/>
              <w:rPr>
                <w:rFonts w:eastAsia="Times New Roman" w:cs="Times New Roman"/>
                <w:color w:val="000000"/>
              </w:rPr>
            </w:pPr>
            <w:r w:rsidRPr="0065557C">
              <w:rPr>
                <w:rFonts w:eastAsia="Times New Roman" w:cs="Times New Roman"/>
                <w:color w:val="000000"/>
              </w:rPr>
              <w:t>cUTI</w:t>
            </w:r>
            <w:r w:rsidR="00920EA8" w:rsidRPr="00920EA8">
              <w:rPr>
                <w:vertAlign w:val="superscript"/>
              </w:rPr>
              <w:t>1</w:t>
            </w:r>
          </w:p>
        </w:tc>
        <w:tc>
          <w:tcPr>
            <w:tcW w:w="1474" w:type="dxa"/>
            <w:shd w:val="clear" w:color="000000" w:fill="FFFFFF"/>
            <w:noWrap/>
            <w:vAlign w:val="center"/>
            <w:hideMark/>
          </w:tcPr>
          <w:p w14:paraId="6BBA08AE" w14:textId="2A4ECFE7" w:rsidR="0065557C" w:rsidRPr="0065557C" w:rsidRDefault="0065557C" w:rsidP="0065557C">
            <w:pPr>
              <w:spacing w:line="240" w:lineRule="auto"/>
              <w:jc w:val="center"/>
              <w:rPr>
                <w:rFonts w:eastAsia="Times New Roman" w:cs="Times New Roman"/>
                <w:color w:val="000000"/>
              </w:rPr>
            </w:pPr>
            <w:r w:rsidRPr="0065557C">
              <w:rPr>
                <w:rFonts w:eastAsia="Times New Roman" w:cs="Times New Roman"/>
                <w:color w:val="000000"/>
              </w:rPr>
              <w:t>BSI</w:t>
            </w:r>
            <w:r w:rsidR="00920EA8" w:rsidRPr="00920EA8">
              <w:rPr>
                <w:vertAlign w:val="superscript"/>
              </w:rPr>
              <w:t>1</w:t>
            </w:r>
          </w:p>
        </w:tc>
        <w:tc>
          <w:tcPr>
            <w:tcW w:w="1474" w:type="dxa"/>
            <w:shd w:val="clear" w:color="000000" w:fill="FFFFFF"/>
            <w:noWrap/>
            <w:vAlign w:val="center"/>
            <w:hideMark/>
          </w:tcPr>
          <w:p w14:paraId="5AEBE2B0" w14:textId="5CFF7A95" w:rsidR="0065557C" w:rsidRPr="0065557C" w:rsidRDefault="0065557C" w:rsidP="0065557C">
            <w:pPr>
              <w:spacing w:line="240" w:lineRule="auto"/>
              <w:jc w:val="center"/>
              <w:rPr>
                <w:rFonts w:eastAsia="Times New Roman" w:cs="Times New Roman"/>
                <w:color w:val="000000"/>
              </w:rPr>
            </w:pPr>
            <w:r w:rsidRPr="0065557C">
              <w:rPr>
                <w:rFonts w:eastAsia="Times New Roman" w:cs="Times New Roman"/>
                <w:color w:val="000000"/>
              </w:rPr>
              <w:t>IAI</w:t>
            </w:r>
            <w:r w:rsidR="00920EA8" w:rsidRPr="00920EA8">
              <w:rPr>
                <w:vertAlign w:val="superscript"/>
              </w:rPr>
              <w:t>1</w:t>
            </w:r>
          </w:p>
        </w:tc>
        <w:tc>
          <w:tcPr>
            <w:tcW w:w="1474" w:type="dxa"/>
            <w:shd w:val="clear" w:color="000000" w:fill="FFFFFF"/>
            <w:noWrap/>
            <w:vAlign w:val="center"/>
            <w:hideMark/>
          </w:tcPr>
          <w:p w14:paraId="26644DEF" w14:textId="5716A15A" w:rsidR="0065557C" w:rsidRPr="0065557C" w:rsidRDefault="0065557C" w:rsidP="0065557C">
            <w:pPr>
              <w:spacing w:line="240" w:lineRule="auto"/>
              <w:jc w:val="center"/>
              <w:rPr>
                <w:rFonts w:eastAsia="Times New Roman" w:cs="Times New Roman"/>
                <w:color w:val="000000"/>
              </w:rPr>
            </w:pPr>
            <w:r w:rsidRPr="0065557C">
              <w:rPr>
                <w:rFonts w:eastAsia="Times New Roman" w:cs="Times New Roman"/>
                <w:color w:val="000000"/>
              </w:rPr>
              <w:t>Total</w:t>
            </w:r>
            <w:r w:rsidR="00920EA8" w:rsidRPr="00920EA8">
              <w:rPr>
                <w:vertAlign w:val="superscript"/>
              </w:rPr>
              <w:t>1</w:t>
            </w:r>
          </w:p>
        </w:tc>
      </w:tr>
      <w:tr w:rsidR="0065557C" w:rsidRPr="0065557C" w14:paraId="4F1A9B40" w14:textId="77777777" w:rsidTr="0065557C">
        <w:trPr>
          <w:trHeight w:val="300"/>
        </w:trPr>
        <w:tc>
          <w:tcPr>
            <w:tcW w:w="1871" w:type="dxa"/>
            <w:shd w:val="clear" w:color="000000" w:fill="FFFFFF"/>
            <w:noWrap/>
            <w:vAlign w:val="center"/>
            <w:hideMark/>
          </w:tcPr>
          <w:p w14:paraId="5778FBA6" w14:textId="6B555378" w:rsidR="0065557C" w:rsidRPr="00F5668B" w:rsidRDefault="0065557C" w:rsidP="0065557C">
            <w:pPr>
              <w:spacing w:line="240" w:lineRule="auto"/>
              <w:jc w:val="center"/>
              <w:rPr>
                <w:rFonts w:eastAsia="Times New Roman" w:cs="Times New Roman"/>
                <w:color w:val="000000"/>
                <w:vertAlign w:val="superscript"/>
              </w:rPr>
            </w:pPr>
            <w:r w:rsidRPr="0065557C">
              <w:rPr>
                <w:rFonts w:eastAsia="Times New Roman" w:cs="Times New Roman"/>
                <w:color w:val="000000"/>
              </w:rPr>
              <w:t>0</w:t>
            </w:r>
            <w:r>
              <w:rPr>
                <w:rFonts w:eastAsia="Times New Roman" w:cs="Times New Roman"/>
                <w:color w:val="000000"/>
              </w:rPr>
              <w:t>%</w:t>
            </w:r>
            <w:r w:rsidRPr="0065557C">
              <w:rPr>
                <w:rFonts w:eastAsia="Times New Roman" w:cs="Times New Roman"/>
                <w:color w:val="000000"/>
              </w:rPr>
              <w:t xml:space="preserve"> (base</w:t>
            </w:r>
            <w:r w:rsidR="00466D69">
              <w:rPr>
                <w:rFonts w:eastAsia="Times New Roman" w:cs="Times New Roman"/>
                <w:color w:val="000000"/>
              </w:rPr>
              <w:t>-</w:t>
            </w:r>
            <w:r w:rsidRPr="0065557C">
              <w:rPr>
                <w:rFonts w:eastAsia="Times New Roman" w:cs="Times New Roman"/>
                <w:color w:val="000000"/>
              </w:rPr>
              <w:t>case)</w:t>
            </w:r>
            <w:r w:rsidR="00F5668B">
              <w:rPr>
                <w:rFonts w:eastAsia="Times New Roman" w:cs="Times New Roman"/>
                <w:color w:val="000000"/>
                <w:vertAlign w:val="superscript"/>
              </w:rPr>
              <w:t>2</w:t>
            </w:r>
          </w:p>
        </w:tc>
        <w:tc>
          <w:tcPr>
            <w:tcW w:w="1474" w:type="dxa"/>
            <w:shd w:val="clear" w:color="000000" w:fill="FFFFFF"/>
            <w:noWrap/>
            <w:vAlign w:val="center"/>
            <w:hideMark/>
          </w:tcPr>
          <w:p w14:paraId="575AE6BF" w14:textId="77777777" w:rsidR="0065557C" w:rsidRPr="0065557C" w:rsidRDefault="0065557C" w:rsidP="0065557C">
            <w:pPr>
              <w:spacing w:line="240" w:lineRule="auto"/>
              <w:jc w:val="center"/>
              <w:rPr>
                <w:rFonts w:eastAsia="Times New Roman" w:cs="Times New Roman"/>
                <w:color w:val="000000"/>
              </w:rPr>
            </w:pPr>
            <w:r w:rsidRPr="0065557C">
              <w:rPr>
                <w:rFonts w:eastAsia="Times New Roman" w:cs="Times New Roman"/>
                <w:color w:val="000000"/>
              </w:rPr>
              <w:t>66 - 946</w:t>
            </w:r>
          </w:p>
        </w:tc>
        <w:tc>
          <w:tcPr>
            <w:tcW w:w="1474" w:type="dxa"/>
            <w:shd w:val="clear" w:color="000000" w:fill="FFFFFF"/>
            <w:noWrap/>
            <w:vAlign w:val="center"/>
            <w:hideMark/>
          </w:tcPr>
          <w:p w14:paraId="55530640" w14:textId="77777777" w:rsidR="0065557C" w:rsidRPr="0065557C" w:rsidRDefault="0065557C" w:rsidP="0065557C">
            <w:pPr>
              <w:spacing w:line="240" w:lineRule="auto"/>
              <w:jc w:val="center"/>
              <w:rPr>
                <w:rFonts w:eastAsia="Times New Roman" w:cs="Times New Roman"/>
                <w:color w:val="000000"/>
              </w:rPr>
            </w:pPr>
            <w:r w:rsidRPr="0065557C">
              <w:rPr>
                <w:rFonts w:eastAsia="Times New Roman" w:cs="Times New Roman"/>
                <w:color w:val="000000"/>
              </w:rPr>
              <w:t>83 - 274</w:t>
            </w:r>
          </w:p>
        </w:tc>
        <w:tc>
          <w:tcPr>
            <w:tcW w:w="1474" w:type="dxa"/>
            <w:shd w:val="clear" w:color="000000" w:fill="FFFFFF"/>
            <w:noWrap/>
            <w:vAlign w:val="center"/>
            <w:hideMark/>
          </w:tcPr>
          <w:p w14:paraId="6D23AF6C" w14:textId="77777777" w:rsidR="0065557C" w:rsidRPr="0065557C" w:rsidRDefault="0065557C" w:rsidP="0065557C">
            <w:pPr>
              <w:spacing w:line="240" w:lineRule="auto"/>
              <w:jc w:val="center"/>
              <w:rPr>
                <w:rFonts w:eastAsia="Times New Roman" w:cs="Times New Roman"/>
                <w:color w:val="000000"/>
              </w:rPr>
            </w:pPr>
            <w:r w:rsidRPr="0065557C">
              <w:rPr>
                <w:rFonts w:eastAsia="Times New Roman" w:cs="Times New Roman"/>
                <w:color w:val="000000"/>
              </w:rPr>
              <w:t>444 - 916</w:t>
            </w:r>
          </w:p>
        </w:tc>
        <w:tc>
          <w:tcPr>
            <w:tcW w:w="1474" w:type="dxa"/>
            <w:shd w:val="clear" w:color="000000" w:fill="FFFFFF"/>
            <w:noWrap/>
            <w:vAlign w:val="center"/>
            <w:hideMark/>
          </w:tcPr>
          <w:p w14:paraId="0D0DAAD6" w14:textId="77777777" w:rsidR="0065557C" w:rsidRPr="0065557C" w:rsidRDefault="0065557C" w:rsidP="0065557C">
            <w:pPr>
              <w:spacing w:line="240" w:lineRule="auto"/>
              <w:jc w:val="center"/>
              <w:rPr>
                <w:rFonts w:eastAsia="Times New Roman" w:cs="Times New Roman"/>
                <w:color w:val="000000"/>
              </w:rPr>
            </w:pPr>
            <w:r w:rsidRPr="0065557C">
              <w:rPr>
                <w:rFonts w:eastAsia="Times New Roman" w:cs="Times New Roman"/>
                <w:color w:val="000000"/>
              </w:rPr>
              <w:t>36 - 75</w:t>
            </w:r>
          </w:p>
        </w:tc>
        <w:tc>
          <w:tcPr>
            <w:tcW w:w="1474" w:type="dxa"/>
            <w:shd w:val="clear" w:color="000000" w:fill="FFFFFF"/>
            <w:noWrap/>
            <w:vAlign w:val="center"/>
            <w:hideMark/>
          </w:tcPr>
          <w:p w14:paraId="605F9D18" w14:textId="77777777" w:rsidR="0065557C" w:rsidRPr="0065557C" w:rsidRDefault="0065557C" w:rsidP="0065557C">
            <w:pPr>
              <w:spacing w:line="240" w:lineRule="auto"/>
              <w:jc w:val="center"/>
              <w:rPr>
                <w:rFonts w:eastAsia="Times New Roman" w:cs="Times New Roman"/>
                <w:color w:val="000000"/>
              </w:rPr>
            </w:pPr>
            <w:r w:rsidRPr="0065557C">
              <w:rPr>
                <w:rFonts w:eastAsia="Times New Roman" w:cs="Times New Roman"/>
                <w:color w:val="000000"/>
              </w:rPr>
              <w:t>629 - 2,211</w:t>
            </w:r>
          </w:p>
        </w:tc>
      </w:tr>
      <w:tr w:rsidR="002B5BDC" w:rsidRPr="0065557C" w14:paraId="38A70B8E" w14:textId="77777777" w:rsidTr="002B5BDC">
        <w:trPr>
          <w:trHeight w:val="300"/>
        </w:trPr>
        <w:tc>
          <w:tcPr>
            <w:tcW w:w="1871" w:type="dxa"/>
            <w:shd w:val="clear" w:color="000000" w:fill="FFFFFF"/>
            <w:noWrap/>
            <w:vAlign w:val="center"/>
            <w:hideMark/>
          </w:tcPr>
          <w:p w14:paraId="4AC2D7EA" w14:textId="76825EB6" w:rsidR="002B5BDC" w:rsidRPr="0065557C" w:rsidRDefault="002B5BDC" w:rsidP="002B5BDC">
            <w:pPr>
              <w:spacing w:line="240" w:lineRule="auto"/>
              <w:jc w:val="center"/>
              <w:rPr>
                <w:rFonts w:eastAsia="Times New Roman" w:cs="Times New Roman"/>
                <w:color w:val="000000"/>
              </w:rPr>
            </w:pPr>
            <w:r>
              <w:rPr>
                <w:rFonts w:eastAsia="Times New Roman" w:cs="Times New Roman"/>
                <w:color w:val="000000"/>
              </w:rPr>
              <w:t>20%</w:t>
            </w:r>
          </w:p>
        </w:tc>
        <w:tc>
          <w:tcPr>
            <w:tcW w:w="1474" w:type="dxa"/>
            <w:shd w:val="clear" w:color="000000" w:fill="FFFFFF"/>
            <w:noWrap/>
            <w:vAlign w:val="bottom"/>
            <w:hideMark/>
          </w:tcPr>
          <w:p w14:paraId="2FE21AE7" w14:textId="6AF29679" w:rsidR="002B5BDC" w:rsidRPr="002B5BDC" w:rsidRDefault="002B5BDC" w:rsidP="002B5BDC">
            <w:pPr>
              <w:spacing w:line="240" w:lineRule="auto"/>
              <w:jc w:val="center"/>
              <w:rPr>
                <w:rFonts w:eastAsia="Times New Roman" w:cs="Times New Roman"/>
                <w:color w:val="000000"/>
              </w:rPr>
            </w:pPr>
            <w:r w:rsidRPr="002B5BDC">
              <w:rPr>
                <w:rFonts w:cs="Times New Roman"/>
                <w:color w:val="000000"/>
              </w:rPr>
              <w:t>102 – 1,546</w:t>
            </w:r>
          </w:p>
        </w:tc>
        <w:tc>
          <w:tcPr>
            <w:tcW w:w="1474" w:type="dxa"/>
            <w:shd w:val="clear" w:color="000000" w:fill="FFFFFF"/>
            <w:noWrap/>
            <w:vAlign w:val="bottom"/>
            <w:hideMark/>
          </w:tcPr>
          <w:p w14:paraId="102EE32B" w14:textId="0E2EF188" w:rsidR="002B5BDC" w:rsidRPr="002B5BDC" w:rsidRDefault="002B5BDC" w:rsidP="002B5BDC">
            <w:pPr>
              <w:spacing w:line="240" w:lineRule="auto"/>
              <w:jc w:val="center"/>
              <w:rPr>
                <w:rFonts w:eastAsia="Times New Roman" w:cs="Times New Roman"/>
                <w:color w:val="000000"/>
              </w:rPr>
            </w:pPr>
            <w:r w:rsidRPr="002B5BDC">
              <w:rPr>
                <w:rFonts w:cs="Times New Roman"/>
                <w:color w:val="000000"/>
              </w:rPr>
              <w:t>174 - 619</w:t>
            </w:r>
          </w:p>
        </w:tc>
        <w:tc>
          <w:tcPr>
            <w:tcW w:w="1474" w:type="dxa"/>
            <w:shd w:val="clear" w:color="000000" w:fill="FFFFFF"/>
            <w:noWrap/>
            <w:vAlign w:val="bottom"/>
            <w:hideMark/>
          </w:tcPr>
          <w:p w14:paraId="71CD9487" w14:textId="778395E4" w:rsidR="002B5BDC" w:rsidRPr="002B5BDC" w:rsidRDefault="002B5BDC" w:rsidP="002B5BDC">
            <w:pPr>
              <w:spacing w:line="240" w:lineRule="auto"/>
              <w:jc w:val="center"/>
              <w:rPr>
                <w:rFonts w:eastAsia="Times New Roman" w:cs="Times New Roman"/>
                <w:color w:val="000000"/>
              </w:rPr>
            </w:pPr>
            <w:r w:rsidRPr="002B5BDC">
              <w:rPr>
                <w:rFonts w:cs="Times New Roman"/>
                <w:color w:val="000000"/>
              </w:rPr>
              <w:t>683 – 1,499</w:t>
            </w:r>
          </w:p>
        </w:tc>
        <w:tc>
          <w:tcPr>
            <w:tcW w:w="1474" w:type="dxa"/>
            <w:shd w:val="clear" w:color="000000" w:fill="FFFFFF"/>
            <w:noWrap/>
            <w:vAlign w:val="bottom"/>
            <w:hideMark/>
          </w:tcPr>
          <w:p w14:paraId="76C7E9D0" w14:textId="33B6557A" w:rsidR="002B5BDC" w:rsidRPr="002B5BDC" w:rsidRDefault="002B5BDC" w:rsidP="002B5BDC">
            <w:pPr>
              <w:spacing w:line="240" w:lineRule="auto"/>
              <w:jc w:val="center"/>
              <w:rPr>
                <w:rFonts w:eastAsia="Times New Roman" w:cs="Times New Roman"/>
                <w:color w:val="000000"/>
              </w:rPr>
            </w:pPr>
            <w:r w:rsidRPr="002B5BDC">
              <w:rPr>
                <w:rFonts w:cs="Times New Roman"/>
                <w:color w:val="000000"/>
              </w:rPr>
              <w:t>76 - 169</w:t>
            </w:r>
          </w:p>
        </w:tc>
        <w:tc>
          <w:tcPr>
            <w:tcW w:w="1474" w:type="dxa"/>
            <w:shd w:val="clear" w:color="000000" w:fill="FFFFFF"/>
            <w:noWrap/>
            <w:vAlign w:val="bottom"/>
            <w:hideMark/>
          </w:tcPr>
          <w:p w14:paraId="6E61CA9E" w14:textId="771DEF6E" w:rsidR="002B5BDC" w:rsidRPr="002B5BDC" w:rsidRDefault="002B5BDC" w:rsidP="002B5BDC">
            <w:pPr>
              <w:spacing w:line="240" w:lineRule="auto"/>
              <w:jc w:val="center"/>
              <w:rPr>
                <w:rFonts w:eastAsia="Times New Roman" w:cs="Times New Roman"/>
                <w:color w:val="000000"/>
              </w:rPr>
            </w:pPr>
            <w:r w:rsidRPr="002B5BDC">
              <w:rPr>
                <w:rFonts w:cs="Times New Roman"/>
                <w:color w:val="000000"/>
              </w:rPr>
              <w:t>1</w:t>
            </w:r>
            <w:r w:rsidR="00C951D7">
              <w:rPr>
                <w:rFonts w:cs="Times New Roman"/>
                <w:color w:val="000000"/>
              </w:rPr>
              <w:t>,</w:t>
            </w:r>
            <w:r w:rsidRPr="002B5BDC">
              <w:rPr>
                <w:rFonts w:cs="Times New Roman"/>
                <w:color w:val="000000"/>
              </w:rPr>
              <w:t>035 – 3,833</w:t>
            </w:r>
          </w:p>
        </w:tc>
      </w:tr>
      <w:tr w:rsidR="002B5BDC" w:rsidRPr="0065557C" w14:paraId="2A3B4159" w14:textId="77777777" w:rsidTr="002B5BDC">
        <w:trPr>
          <w:trHeight w:val="300"/>
        </w:trPr>
        <w:tc>
          <w:tcPr>
            <w:tcW w:w="1871" w:type="dxa"/>
            <w:shd w:val="clear" w:color="000000" w:fill="FFFFFF"/>
            <w:noWrap/>
            <w:vAlign w:val="center"/>
            <w:hideMark/>
          </w:tcPr>
          <w:p w14:paraId="7B731FAC" w14:textId="24B24BA4" w:rsidR="002B5BDC" w:rsidRPr="0065557C" w:rsidRDefault="002B5BDC" w:rsidP="002B5BDC">
            <w:pPr>
              <w:spacing w:line="240" w:lineRule="auto"/>
              <w:jc w:val="center"/>
              <w:rPr>
                <w:rFonts w:eastAsia="Times New Roman" w:cs="Times New Roman"/>
                <w:color w:val="000000"/>
              </w:rPr>
            </w:pPr>
            <w:r>
              <w:rPr>
                <w:rFonts w:eastAsia="Times New Roman" w:cs="Times New Roman"/>
                <w:color w:val="000000"/>
              </w:rPr>
              <w:t>40%</w:t>
            </w:r>
          </w:p>
        </w:tc>
        <w:tc>
          <w:tcPr>
            <w:tcW w:w="1474" w:type="dxa"/>
            <w:shd w:val="clear" w:color="000000" w:fill="FFFFFF"/>
            <w:noWrap/>
            <w:vAlign w:val="bottom"/>
            <w:hideMark/>
          </w:tcPr>
          <w:p w14:paraId="0A930891" w14:textId="2159A6DD" w:rsidR="002B5BDC" w:rsidRPr="002B5BDC" w:rsidRDefault="002B5BDC" w:rsidP="002B5BDC">
            <w:pPr>
              <w:spacing w:line="240" w:lineRule="auto"/>
              <w:jc w:val="center"/>
              <w:rPr>
                <w:rFonts w:eastAsia="Times New Roman" w:cs="Times New Roman"/>
                <w:color w:val="000000"/>
              </w:rPr>
            </w:pPr>
            <w:r w:rsidRPr="002B5BDC">
              <w:rPr>
                <w:rFonts w:cs="Times New Roman"/>
                <w:color w:val="000000"/>
              </w:rPr>
              <w:t>137 – 2,147</w:t>
            </w:r>
          </w:p>
        </w:tc>
        <w:tc>
          <w:tcPr>
            <w:tcW w:w="1474" w:type="dxa"/>
            <w:shd w:val="clear" w:color="000000" w:fill="FFFFFF"/>
            <w:noWrap/>
            <w:vAlign w:val="bottom"/>
            <w:hideMark/>
          </w:tcPr>
          <w:p w14:paraId="45BC588D" w14:textId="655272E8" w:rsidR="002B5BDC" w:rsidRPr="002B5BDC" w:rsidRDefault="002B5BDC" w:rsidP="002B5BDC">
            <w:pPr>
              <w:spacing w:line="240" w:lineRule="auto"/>
              <w:jc w:val="center"/>
              <w:rPr>
                <w:rFonts w:eastAsia="Times New Roman" w:cs="Times New Roman"/>
                <w:color w:val="000000"/>
              </w:rPr>
            </w:pPr>
            <w:r w:rsidRPr="002B5BDC">
              <w:rPr>
                <w:rFonts w:cs="Times New Roman"/>
                <w:color w:val="000000"/>
              </w:rPr>
              <w:t>265 - 965</w:t>
            </w:r>
          </w:p>
        </w:tc>
        <w:tc>
          <w:tcPr>
            <w:tcW w:w="1474" w:type="dxa"/>
            <w:shd w:val="clear" w:color="000000" w:fill="FFFFFF"/>
            <w:noWrap/>
            <w:vAlign w:val="bottom"/>
            <w:hideMark/>
          </w:tcPr>
          <w:p w14:paraId="659DE3B3" w14:textId="07632C47" w:rsidR="002B5BDC" w:rsidRPr="002B5BDC" w:rsidRDefault="002B5BDC" w:rsidP="002B5BDC">
            <w:pPr>
              <w:spacing w:line="240" w:lineRule="auto"/>
              <w:jc w:val="center"/>
              <w:rPr>
                <w:rFonts w:eastAsia="Times New Roman" w:cs="Times New Roman"/>
                <w:color w:val="000000"/>
              </w:rPr>
            </w:pPr>
            <w:r w:rsidRPr="002B5BDC">
              <w:rPr>
                <w:rFonts w:cs="Times New Roman"/>
                <w:color w:val="000000"/>
              </w:rPr>
              <w:t>922 – 2,081</w:t>
            </w:r>
          </w:p>
        </w:tc>
        <w:tc>
          <w:tcPr>
            <w:tcW w:w="1474" w:type="dxa"/>
            <w:shd w:val="clear" w:color="000000" w:fill="FFFFFF"/>
            <w:noWrap/>
            <w:vAlign w:val="bottom"/>
            <w:hideMark/>
          </w:tcPr>
          <w:p w14:paraId="753538FE" w14:textId="4B6F82CB" w:rsidR="002B5BDC" w:rsidRPr="002B5BDC" w:rsidRDefault="002B5BDC" w:rsidP="002B5BDC">
            <w:pPr>
              <w:spacing w:line="240" w:lineRule="auto"/>
              <w:jc w:val="center"/>
              <w:rPr>
                <w:rFonts w:eastAsia="Times New Roman" w:cs="Times New Roman"/>
                <w:color w:val="000000"/>
              </w:rPr>
            </w:pPr>
            <w:r w:rsidRPr="002B5BDC">
              <w:rPr>
                <w:rFonts w:cs="Times New Roman"/>
                <w:color w:val="000000"/>
              </w:rPr>
              <w:t>116 - 263</w:t>
            </w:r>
          </w:p>
        </w:tc>
        <w:tc>
          <w:tcPr>
            <w:tcW w:w="1474" w:type="dxa"/>
            <w:shd w:val="clear" w:color="000000" w:fill="FFFFFF"/>
            <w:noWrap/>
            <w:vAlign w:val="bottom"/>
            <w:hideMark/>
          </w:tcPr>
          <w:p w14:paraId="15D868DA" w14:textId="701F2D68" w:rsidR="002B5BDC" w:rsidRPr="002B5BDC" w:rsidRDefault="002B5BDC" w:rsidP="002B5BDC">
            <w:pPr>
              <w:spacing w:line="240" w:lineRule="auto"/>
              <w:jc w:val="center"/>
              <w:rPr>
                <w:rFonts w:eastAsia="Times New Roman" w:cs="Times New Roman"/>
                <w:color w:val="000000"/>
              </w:rPr>
            </w:pPr>
            <w:r w:rsidRPr="002B5BDC">
              <w:rPr>
                <w:rFonts w:cs="Times New Roman"/>
                <w:color w:val="000000"/>
              </w:rPr>
              <w:t>1</w:t>
            </w:r>
            <w:r w:rsidR="00C951D7">
              <w:rPr>
                <w:rFonts w:cs="Times New Roman"/>
                <w:color w:val="000000"/>
              </w:rPr>
              <w:t>,</w:t>
            </w:r>
            <w:r w:rsidRPr="002B5BDC">
              <w:rPr>
                <w:rFonts w:cs="Times New Roman"/>
                <w:color w:val="000000"/>
              </w:rPr>
              <w:t>441 – 5,456</w:t>
            </w:r>
          </w:p>
        </w:tc>
      </w:tr>
    </w:tbl>
    <w:p w14:paraId="2F1089DD" w14:textId="1E521877" w:rsidR="000D0589" w:rsidRPr="00401983" w:rsidRDefault="000D0589" w:rsidP="000D0589">
      <w:pPr>
        <w:rPr>
          <w:rFonts w:cs="Times New Roman"/>
          <w:sz w:val="18"/>
          <w:szCs w:val="18"/>
        </w:rPr>
      </w:pPr>
      <w:r w:rsidRPr="00401983">
        <w:rPr>
          <w:rFonts w:eastAsia="Calibri" w:cs="Times New Roman"/>
          <w:sz w:val="18"/>
          <w:szCs w:val="18"/>
          <w:lang w:eastAsia="en-US"/>
        </w:rPr>
        <w:t xml:space="preserve">Abbreviations: </w:t>
      </w:r>
      <w:proofErr w:type="spellStart"/>
      <w:r w:rsidRPr="00401983">
        <w:rPr>
          <w:rFonts w:cs="Times New Roman"/>
          <w:sz w:val="18"/>
          <w:szCs w:val="18"/>
        </w:rPr>
        <w:t>cUTI</w:t>
      </w:r>
      <w:proofErr w:type="spellEnd"/>
      <w:r w:rsidRPr="00401983">
        <w:rPr>
          <w:rFonts w:cs="Times New Roman"/>
          <w:sz w:val="18"/>
          <w:szCs w:val="18"/>
        </w:rPr>
        <w:t xml:space="preserve">, complicated urinary tract infection; ca, colistin/aminoglycosides; HAP/VAP, hospital acquired pneumonia/ventilator associated pneumonia; </w:t>
      </w:r>
      <w:r w:rsidRPr="00401983">
        <w:rPr>
          <w:sz w:val="18"/>
          <w:szCs w:val="18"/>
        </w:rPr>
        <w:t>INHE, incremental net health effects</w:t>
      </w:r>
      <w:r w:rsidR="00724321" w:rsidRPr="00401983">
        <w:rPr>
          <w:sz w:val="18"/>
          <w:szCs w:val="18"/>
        </w:rPr>
        <w:t xml:space="preserve">; </w:t>
      </w:r>
      <w:r w:rsidRPr="00401983">
        <w:rPr>
          <w:sz w:val="18"/>
          <w:szCs w:val="18"/>
        </w:rPr>
        <w:t>QALYs, quality-adjusted life years</w:t>
      </w:r>
      <w:r w:rsidRPr="00401983">
        <w:rPr>
          <w:rFonts w:cs="Times New Roman"/>
          <w:sz w:val="18"/>
          <w:szCs w:val="18"/>
        </w:rPr>
        <w:t>.</w:t>
      </w:r>
      <w:r w:rsidRPr="00401983">
        <w:rPr>
          <w:sz w:val="18"/>
          <w:szCs w:val="18"/>
        </w:rPr>
        <w:t xml:space="preserve"> </w:t>
      </w:r>
    </w:p>
    <w:p w14:paraId="6B2B0966" w14:textId="6BF20486" w:rsidR="007941E2" w:rsidRDefault="00724321" w:rsidP="001B4A98">
      <w:pPr>
        <w:rPr>
          <w:rFonts w:eastAsia="Calibri" w:cs="Times New Roman"/>
          <w:sz w:val="18"/>
          <w:szCs w:val="18"/>
          <w:lang w:eastAsia="en-US"/>
        </w:rPr>
      </w:pPr>
      <w:r w:rsidRPr="00401983">
        <w:rPr>
          <w:rFonts w:eastAsia="Calibri" w:cs="Times New Roman"/>
          <w:sz w:val="18"/>
          <w:szCs w:val="18"/>
          <w:lang w:eastAsia="en-US"/>
        </w:rPr>
        <w:t>P1G1: baseline population (point estimate) based on PHE categorisation of infection sites, growth rate damped; P2G2: baseline population (point estimate) based on clinical advisors’ categorisation of infection sites, growth rate not damped.</w:t>
      </w:r>
    </w:p>
    <w:p w14:paraId="7F47829A" w14:textId="4A1CA64D" w:rsidR="00684BC7" w:rsidRPr="00401983" w:rsidRDefault="00F5668B" w:rsidP="001B4A98">
      <w:pPr>
        <w:rPr>
          <w:rFonts w:eastAsia="Calibri" w:cs="Times New Roman"/>
          <w:sz w:val="18"/>
          <w:szCs w:val="18"/>
          <w:lang w:eastAsia="en-US"/>
        </w:rPr>
      </w:pPr>
      <w:r>
        <w:rPr>
          <w:rFonts w:eastAsia="Calibri" w:cs="Times New Roman"/>
          <w:sz w:val="18"/>
          <w:szCs w:val="18"/>
          <w:vertAlign w:val="superscript"/>
          <w:lang w:eastAsia="en-US"/>
        </w:rPr>
        <w:t>1</w:t>
      </w:r>
      <w:r w:rsidRPr="00401983">
        <w:rPr>
          <w:rFonts w:eastAsia="Calibri" w:cs="Times New Roman"/>
          <w:sz w:val="18"/>
          <w:szCs w:val="18"/>
          <w:lang w:eastAsia="en-US"/>
        </w:rPr>
        <w:t xml:space="preserve"> </w:t>
      </w:r>
      <w:r w:rsidR="00920EA8">
        <w:rPr>
          <w:rFonts w:eastAsia="Calibri" w:cs="Times New Roman"/>
          <w:sz w:val="18"/>
          <w:szCs w:val="18"/>
          <w:lang w:eastAsia="en-US"/>
        </w:rPr>
        <w:t>Ranges represent mean INHE (QALYs) for</w:t>
      </w:r>
      <w:r>
        <w:rPr>
          <w:rFonts w:eastAsia="Calibri" w:cs="Times New Roman"/>
          <w:sz w:val="18"/>
          <w:szCs w:val="18"/>
          <w:lang w:eastAsia="en-US"/>
        </w:rPr>
        <w:t xml:space="preserve"> the</w:t>
      </w:r>
      <w:r w:rsidR="00920EA8">
        <w:rPr>
          <w:rFonts w:eastAsia="Calibri" w:cs="Times New Roman"/>
          <w:sz w:val="18"/>
          <w:szCs w:val="18"/>
          <w:lang w:eastAsia="en-US"/>
        </w:rPr>
        <w:t xml:space="preserve"> two most extreme scenarios regarding the </w:t>
      </w:r>
      <w:r>
        <w:rPr>
          <w:rFonts w:eastAsia="Calibri" w:cs="Times New Roman"/>
          <w:sz w:val="18"/>
          <w:szCs w:val="18"/>
          <w:lang w:eastAsia="en-US"/>
        </w:rPr>
        <w:t>population size and growth, P1G1 and P2G2 in the EEPRU report.</w:t>
      </w:r>
    </w:p>
    <w:p w14:paraId="41456DFD" w14:textId="3B64B25D" w:rsidR="00684BC7" w:rsidRDefault="00F5668B" w:rsidP="00684BC7">
      <w:pPr>
        <w:rPr>
          <w:rFonts w:eastAsia="Calibri" w:cs="Times New Roman"/>
          <w:sz w:val="18"/>
          <w:szCs w:val="18"/>
          <w:lang w:eastAsia="en-US"/>
        </w:rPr>
      </w:pPr>
      <w:r w:rsidRPr="00F5668B">
        <w:rPr>
          <w:rFonts w:eastAsia="Calibri" w:cs="Times New Roman"/>
          <w:sz w:val="18"/>
          <w:szCs w:val="18"/>
          <w:vertAlign w:val="superscript"/>
          <w:lang w:eastAsia="en-US"/>
        </w:rPr>
        <w:t>2</w:t>
      </w:r>
      <w:r w:rsidR="00684BC7" w:rsidRPr="00401983">
        <w:rPr>
          <w:rFonts w:eastAsia="Calibri" w:cs="Times New Roman"/>
          <w:sz w:val="18"/>
          <w:szCs w:val="18"/>
          <w:lang w:eastAsia="en-US"/>
        </w:rPr>
        <w:t xml:space="preserve"> In the base-case resistance to CAZ-AVI was assumed to increase by 1% over 20 years. This assumption was not applied in the new scenarios.</w:t>
      </w:r>
    </w:p>
    <w:p w14:paraId="39373C7F" w14:textId="1718A8CF" w:rsidR="0022238A" w:rsidRDefault="0022238A" w:rsidP="00684BC7">
      <w:pPr>
        <w:rPr>
          <w:rFonts w:eastAsia="Calibri" w:cs="Times New Roman"/>
          <w:sz w:val="18"/>
          <w:szCs w:val="18"/>
          <w:lang w:eastAsia="en-US"/>
        </w:rPr>
      </w:pPr>
    </w:p>
    <w:p w14:paraId="27322DB5" w14:textId="3D9230B8" w:rsidR="0022238A" w:rsidRPr="00CD4C55" w:rsidRDefault="0022238A" w:rsidP="0022238A">
      <w:pPr>
        <w:jc w:val="both"/>
        <w:rPr>
          <w:rFonts w:eastAsia="Times New Roman" w:cs="Times New Roman"/>
        </w:rPr>
      </w:pPr>
      <w:r>
        <w:t xml:space="preserve">These expected population-level INHE may overestimate the total INHE for several reasons.  Firstly, the 20%-40% proportion of patients who would not be given colistin/aminoglycosides because of toxicity fears in the absence of CAZ-AVI is high compared to the assessment of the clinical advisors consulted by EEPRU.  Secondly, the scenario assumes that </w:t>
      </w:r>
      <w:r w:rsidRPr="0073051E">
        <w:rPr>
          <w:color w:val="000000" w:themeColor="text1"/>
        </w:rPr>
        <w:t xml:space="preserve">outcomes in patients who can and cannot take </w:t>
      </w:r>
      <w:r w:rsidRPr="001C29F4">
        <w:rPr>
          <w:rFonts w:cs="Times New Roman"/>
          <w:color w:val="000000" w:themeColor="text1"/>
        </w:rPr>
        <w:t>colistin/aminoglycosides are comparable when, in practice, patients who cannot take colistin may have poorer prognoses than patients who can.  Thirdly, the scenario a</w:t>
      </w:r>
      <w:r w:rsidRPr="00CD4C55">
        <w:rPr>
          <w:rFonts w:eastAsia="Times New Roman" w:cs="Times New Roman"/>
          <w:color w:val="000000"/>
        </w:rPr>
        <w:t>ssum</w:t>
      </w:r>
      <w:r w:rsidRPr="001C29F4">
        <w:rPr>
          <w:rFonts w:eastAsia="Times New Roman" w:cs="Times New Roman"/>
          <w:color w:val="000000"/>
        </w:rPr>
        <w:t>es</w:t>
      </w:r>
      <w:r w:rsidRPr="00CD4C55">
        <w:rPr>
          <w:rFonts w:eastAsia="Times New Roman" w:cs="Times New Roman"/>
          <w:color w:val="000000"/>
        </w:rPr>
        <w:t xml:space="preserve"> </w:t>
      </w:r>
      <w:r w:rsidRPr="001C29F4">
        <w:rPr>
          <w:rFonts w:eastAsia="Times New Roman" w:cs="Times New Roman"/>
          <w:color w:val="000000"/>
        </w:rPr>
        <w:t>patients</w:t>
      </w:r>
      <w:r w:rsidRPr="00CD4C55">
        <w:rPr>
          <w:rFonts w:eastAsia="Times New Roman" w:cs="Times New Roman"/>
          <w:color w:val="000000"/>
        </w:rPr>
        <w:t xml:space="preserve"> would be contraindicated to colistin </w:t>
      </w:r>
      <w:r w:rsidRPr="00CD4C55">
        <w:rPr>
          <w:rFonts w:eastAsia="Times New Roman" w:cs="Times New Roman"/>
          <w:i/>
          <w:iCs/>
          <w:color w:val="000000"/>
        </w:rPr>
        <w:t>and</w:t>
      </w:r>
      <w:r w:rsidRPr="00CD4C55">
        <w:rPr>
          <w:rFonts w:eastAsia="Times New Roman" w:cs="Times New Roman"/>
          <w:color w:val="000000"/>
        </w:rPr>
        <w:t xml:space="preserve"> </w:t>
      </w:r>
      <w:r w:rsidRPr="001C29F4">
        <w:rPr>
          <w:rFonts w:cs="Times New Roman"/>
          <w:color w:val="000000" w:themeColor="text1"/>
        </w:rPr>
        <w:t>aminoglycosides</w:t>
      </w:r>
      <w:r>
        <w:rPr>
          <w:rFonts w:cs="Times New Roman"/>
          <w:color w:val="000000" w:themeColor="text1"/>
        </w:rPr>
        <w:t>,</w:t>
      </w:r>
      <w:r w:rsidRPr="001C29F4">
        <w:rPr>
          <w:rFonts w:eastAsia="Times New Roman" w:cs="Times New Roman"/>
          <w:color w:val="000000"/>
        </w:rPr>
        <w:t xml:space="preserve"> but clinical advisors to EEPRU (and consultation comments from the </w:t>
      </w:r>
      <w:r w:rsidRPr="00CD4C55">
        <w:rPr>
          <w:rFonts w:eastAsia="Times New Roman" w:cs="Times New Roman"/>
          <w:color w:val="000000"/>
        </w:rPr>
        <w:t>British Infection Association</w:t>
      </w:r>
      <w:r>
        <w:rPr>
          <w:rFonts w:eastAsia="Times New Roman" w:cs="Times New Roman"/>
          <w:color w:val="000000"/>
        </w:rPr>
        <w:t>)</w:t>
      </w:r>
      <w:r w:rsidRPr="00CD4C55">
        <w:rPr>
          <w:rFonts w:eastAsia="Times New Roman" w:cs="Times New Roman"/>
          <w:color w:val="000000"/>
        </w:rPr>
        <w:t xml:space="preserve"> </w:t>
      </w:r>
      <w:r w:rsidRPr="001C29F4">
        <w:rPr>
          <w:rFonts w:eastAsia="Times New Roman" w:cs="Times New Roman"/>
          <w:color w:val="000000"/>
        </w:rPr>
        <w:t xml:space="preserve">suggested that </w:t>
      </w:r>
      <w:r w:rsidRPr="00CD4C55">
        <w:rPr>
          <w:rFonts w:eastAsia="Times New Roman" w:cs="Times New Roman"/>
          <w:color w:val="000000"/>
        </w:rPr>
        <w:t>most of the concern is about colist</w:t>
      </w:r>
      <w:r w:rsidRPr="001C29F4">
        <w:rPr>
          <w:rFonts w:eastAsia="Times New Roman" w:cs="Times New Roman"/>
          <w:color w:val="000000"/>
        </w:rPr>
        <w:t>in.</w:t>
      </w:r>
    </w:p>
    <w:p w14:paraId="2810CA6B" w14:textId="77777777" w:rsidR="0022238A" w:rsidRPr="00401983" w:rsidRDefault="0022238A" w:rsidP="00684BC7">
      <w:pPr>
        <w:rPr>
          <w:rFonts w:cs="Times New Roman"/>
          <w:sz w:val="18"/>
          <w:szCs w:val="18"/>
        </w:rPr>
      </w:pPr>
    </w:p>
    <w:p w14:paraId="5FFE78C0" w14:textId="63AEC1F4" w:rsidR="000F3E73" w:rsidRDefault="0061705D" w:rsidP="001B4A98">
      <w:pPr>
        <w:rPr>
          <w:rFonts w:cs="Times New Roman"/>
        </w:rPr>
      </w:pPr>
      <w:r>
        <w:rPr>
          <w:rFonts w:cs="Times New Roman"/>
        </w:rPr>
        <w:t>Finally, t</w:t>
      </w:r>
      <w:r w:rsidR="00195D30">
        <w:rPr>
          <w:rFonts w:cs="Times New Roman"/>
        </w:rPr>
        <w:t>he scenario results in Table 6 represent the benefit in HVCS</w:t>
      </w:r>
      <w:r w:rsidR="00B2332A">
        <w:rPr>
          <w:rFonts w:cs="Times New Roman"/>
        </w:rPr>
        <w:t>s</w:t>
      </w:r>
      <w:r w:rsidR="00195D30">
        <w:rPr>
          <w:rFonts w:cs="Times New Roman"/>
        </w:rPr>
        <w:t xml:space="preserve"> when, in the ES, all patients with suspected OXA-48 infection are treated with colistin/aminoglycosides. In the EEPRU base</w:t>
      </w:r>
      <w:r w:rsidR="00B2332A">
        <w:rPr>
          <w:rFonts w:cs="Times New Roman"/>
        </w:rPr>
        <w:t>-</w:t>
      </w:r>
      <w:r w:rsidR="00195D30">
        <w:rPr>
          <w:rFonts w:cs="Times New Roman"/>
        </w:rPr>
        <w:t xml:space="preserve">case, the empiric treatment with non-colistin/glycoside therapy had a higher patient-level net benefit </w:t>
      </w:r>
      <w:r w:rsidR="00920EA8">
        <w:rPr>
          <w:rFonts w:cs="Times New Roman"/>
        </w:rPr>
        <w:t xml:space="preserve">(and lower incremental benefit of CAZ-AVI) </w:t>
      </w:r>
      <w:r w:rsidR="00195D30">
        <w:rPr>
          <w:rFonts w:cs="Times New Roman"/>
        </w:rPr>
        <w:t>than treatment with colistin/glycosides</w:t>
      </w:r>
      <w:r w:rsidR="00920EA8">
        <w:rPr>
          <w:rFonts w:cs="Times New Roman"/>
        </w:rPr>
        <w:t>, suggesting that</w:t>
      </w:r>
      <w:r w:rsidR="00B2332A">
        <w:rPr>
          <w:rFonts w:cs="Times New Roman"/>
        </w:rPr>
        <w:t>,</w:t>
      </w:r>
      <w:r w:rsidR="00920EA8">
        <w:rPr>
          <w:rFonts w:cs="Times New Roman"/>
        </w:rPr>
        <w:t xml:space="preserve"> without CAZ-AVI, non-aminoglycosides are the preferred empiric treatment</w:t>
      </w:r>
      <w:r w:rsidR="00195D30">
        <w:rPr>
          <w:rFonts w:cs="Times New Roman"/>
        </w:rPr>
        <w:t>.</w:t>
      </w:r>
      <w:r w:rsidR="00920EA8">
        <w:rPr>
          <w:rFonts w:cs="Times New Roman"/>
        </w:rPr>
        <w:t xml:space="preserve"> The base</w:t>
      </w:r>
      <w:r w:rsidR="00B2332A">
        <w:rPr>
          <w:rFonts w:cs="Times New Roman"/>
        </w:rPr>
        <w:t>-</w:t>
      </w:r>
      <w:r w:rsidR="00920EA8">
        <w:rPr>
          <w:rFonts w:cs="Times New Roman"/>
        </w:rPr>
        <w:t xml:space="preserve">case results in </w:t>
      </w:r>
      <w:r w:rsidR="000F3E73">
        <w:rPr>
          <w:rFonts w:cs="Times New Roman"/>
        </w:rPr>
        <w:t xml:space="preserve">the EEPRU report and in </w:t>
      </w:r>
      <w:r w:rsidR="00920EA8">
        <w:rPr>
          <w:rFonts w:cs="Times New Roman"/>
        </w:rPr>
        <w:t xml:space="preserve">Table 6 reflect this lower incremental benefit of CAZ-AVI </w:t>
      </w:r>
      <w:r w:rsidR="000F3E73">
        <w:rPr>
          <w:rFonts w:cs="Times New Roman"/>
        </w:rPr>
        <w:t xml:space="preserve">achieved when only non-colistin/aminoglycosides are used </w:t>
      </w:r>
      <w:r w:rsidR="00B2332A">
        <w:rPr>
          <w:rFonts w:cs="Times New Roman"/>
        </w:rPr>
        <w:t>as</w:t>
      </w:r>
      <w:r w:rsidR="00E91BCF">
        <w:rPr>
          <w:rFonts w:cs="Times New Roman"/>
        </w:rPr>
        <w:t xml:space="preserve"> first line empiric treatment</w:t>
      </w:r>
      <w:r w:rsidR="00920EA8">
        <w:rPr>
          <w:rFonts w:cs="Times New Roman"/>
        </w:rPr>
        <w:t>.</w:t>
      </w:r>
    </w:p>
    <w:p w14:paraId="70EF1799" w14:textId="77777777" w:rsidR="000F3E73" w:rsidRDefault="000F3E73" w:rsidP="001B4A98">
      <w:pPr>
        <w:rPr>
          <w:rFonts w:cs="Times New Roman"/>
        </w:rPr>
      </w:pPr>
    </w:p>
    <w:p w14:paraId="00140246" w14:textId="3DA7FCD1" w:rsidR="0061705D" w:rsidRDefault="000F3E73" w:rsidP="000F3E73">
      <w:pPr>
        <w:rPr>
          <w:rFonts w:cs="Times New Roman"/>
        </w:rPr>
      </w:pPr>
      <w:r>
        <w:rPr>
          <w:rFonts w:cs="Times New Roman"/>
        </w:rPr>
        <w:t xml:space="preserve">The benefit of CAZ-AVI generated </w:t>
      </w:r>
      <w:r w:rsidR="005569C5">
        <w:rPr>
          <w:rFonts w:cs="Times New Roman"/>
        </w:rPr>
        <w:t>in</w:t>
      </w:r>
      <w:r>
        <w:rPr>
          <w:rFonts w:cs="Times New Roman"/>
        </w:rPr>
        <w:t xml:space="preserve"> patients who are susceptible to</w:t>
      </w:r>
      <w:r w:rsidR="00B2332A">
        <w:rPr>
          <w:rFonts w:cs="Times New Roman"/>
        </w:rPr>
        <w:t>,</w:t>
      </w:r>
      <w:r>
        <w:rPr>
          <w:rFonts w:cs="Times New Roman"/>
        </w:rPr>
        <w:t xml:space="preserve"> but who cannot take colistin</w:t>
      </w:r>
      <w:r w:rsidR="00B2332A">
        <w:rPr>
          <w:rFonts w:cs="Times New Roman"/>
        </w:rPr>
        <w:t>,</w:t>
      </w:r>
      <w:r w:rsidR="00E91BCF" w:rsidRPr="00E91BCF">
        <w:rPr>
          <w:rFonts w:cs="Times New Roman"/>
        </w:rPr>
        <w:t xml:space="preserve"> </w:t>
      </w:r>
      <w:r w:rsidR="00E91BCF">
        <w:rPr>
          <w:rFonts w:cs="Times New Roman"/>
        </w:rPr>
        <w:t>in the ES</w:t>
      </w:r>
      <w:r>
        <w:rPr>
          <w:rFonts w:cs="Times New Roman"/>
        </w:rPr>
        <w:t xml:space="preserve"> is likely to be lower </w:t>
      </w:r>
      <w:r w:rsidR="00E91BCF">
        <w:rPr>
          <w:rFonts w:cs="Times New Roman"/>
        </w:rPr>
        <w:t xml:space="preserve">than the estimates in Table 6 </w:t>
      </w:r>
      <w:r>
        <w:rPr>
          <w:rFonts w:cs="Times New Roman"/>
        </w:rPr>
        <w:t>if empiric treatment does not include colistin/aminoglycosides</w:t>
      </w:r>
      <w:r w:rsidR="005569C5">
        <w:rPr>
          <w:rFonts w:cs="Times New Roman"/>
        </w:rPr>
        <w:t>.  This is because</w:t>
      </w:r>
      <w:r>
        <w:rPr>
          <w:rFonts w:cs="Times New Roman"/>
        </w:rPr>
        <w:t xml:space="preserve"> it would only apply to </w:t>
      </w:r>
      <w:r w:rsidR="0061705D">
        <w:rPr>
          <w:rFonts w:cs="Times New Roman"/>
        </w:rPr>
        <w:t xml:space="preserve">between </w:t>
      </w:r>
      <w:r w:rsidR="00F5668B">
        <w:rPr>
          <w:rFonts w:cs="Times New Roman"/>
        </w:rPr>
        <w:t xml:space="preserve">6% </w:t>
      </w:r>
      <w:r w:rsidR="0061705D">
        <w:rPr>
          <w:rFonts w:cs="Times New Roman"/>
        </w:rPr>
        <w:t>and</w:t>
      </w:r>
      <w:r w:rsidR="00F5668B">
        <w:rPr>
          <w:rFonts w:cs="Times New Roman"/>
        </w:rPr>
        <w:t xml:space="preserve"> 12% of the total sample of patients in this setting (20% to 40% of the 13% (0.2 x 65%</w:t>
      </w:r>
      <w:r w:rsidR="00B2332A">
        <w:rPr>
          <w:rFonts w:cs="Times New Roman"/>
        </w:rPr>
        <w:t>)</w:t>
      </w:r>
      <w:r w:rsidR="00F5668B">
        <w:rPr>
          <w:rFonts w:cs="Times New Roman"/>
        </w:rPr>
        <w:t xml:space="preserve"> who have the infection but are not susceptible to the empiric treatment with </w:t>
      </w:r>
      <w:r w:rsidR="004B4C5B">
        <w:rPr>
          <w:rFonts w:cs="Times New Roman"/>
        </w:rPr>
        <w:t>non-</w:t>
      </w:r>
      <w:r w:rsidR="00F5668B">
        <w:rPr>
          <w:rFonts w:cs="Times New Roman"/>
        </w:rPr>
        <w:t>aminoglycosides). The benefit in this subpopulation could not be quantified as</w:t>
      </w:r>
      <w:r w:rsidR="0061705D">
        <w:rPr>
          <w:rFonts w:cs="Times New Roman"/>
        </w:rPr>
        <w:t xml:space="preserve"> EEPRU did not explicitly model the</w:t>
      </w:r>
      <w:r w:rsidR="00F5668B">
        <w:rPr>
          <w:rFonts w:cs="Times New Roman"/>
        </w:rPr>
        <w:t xml:space="preserve"> second line of treatment in the ES. </w:t>
      </w:r>
      <w:r w:rsidR="0061705D">
        <w:rPr>
          <w:rFonts w:cs="Times New Roman"/>
        </w:rPr>
        <w:t xml:space="preserve">The lower bound of the estimate, assuming no added benefit of CAZ-AVI when suspected OXA-48 infections are treated with non-colistin/aminoglycosides in the ES, leads to 760-2,651 QALYs if 20% of </w:t>
      </w:r>
      <w:r w:rsidR="0061705D">
        <w:rPr>
          <w:rFonts w:eastAsia="Times New Roman" w:cs="Times New Roman"/>
          <w:color w:val="000000"/>
        </w:rPr>
        <w:t>susceptible patients</w:t>
      </w:r>
      <w:r w:rsidR="0061705D" w:rsidRPr="0065557C">
        <w:rPr>
          <w:rFonts w:eastAsia="Times New Roman" w:cs="Times New Roman"/>
          <w:color w:val="000000"/>
        </w:rPr>
        <w:t xml:space="preserve"> </w:t>
      </w:r>
      <w:r w:rsidR="0061705D">
        <w:rPr>
          <w:rFonts w:eastAsia="Times New Roman" w:cs="Times New Roman"/>
          <w:color w:val="000000"/>
        </w:rPr>
        <w:t>cannot take</w:t>
      </w:r>
      <w:r w:rsidR="0061705D" w:rsidRPr="0065557C">
        <w:rPr>
          <w:rFonts w:eastAsia="Times New Roman" w:cs="Times New Roman"/>
          <w:color w:val="000000"/>
        </w:rPr>
        <w:t xml:space="preserve"> </w:t>
      </w:r>
      <w:r w:rsidR="0061705D">
        <w:rPr>
          <w:rFonts w:eastAsia="Times New Roman" w:cs="Times New Roman"/>
          <w:color w:val="000000"/>
        </w:rPr>
        <w:t xml:space="preserve">colistin/aminoglycosides, and </w:t>
      </w:r>
      <w:r w:rsidR="0061705D">
        <w:rPr>
          <w:rFonts w:cs="Times New Roman"/>
        </w:rPr>
        <w:t>891 – 3,090 QALYs if that proportion is 40%.</w:t>
      </w:r>
    </w:p>
    <w:p w14:paraId="352B2C21" w14:textId="77777777" w:rsidR="0061705D" w:rsidRDefault="0061705D" w:rsidP="000F3E73">
      <w:pPr>
        <w:rPr>
          <w:rFonts w:cs="Times New Roman"/>
        </w:rPr>
      </w:pPr>
    </w:p>
    <w:sectPr w:rsidR="0061705D">
      <w:footerReference w:type="defaul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CF360" w14:textId="77777777" w:rsidR="00EF0B30" w:rsidRDefault="00EF0B30">
      <w:pPr>
        <w:spacing w:line="240" w:lineRule="auto"/>
      </w:pPr>
      <w:r>
        <w:separator/>
      </w:r>
    </w:p>
  </w:endnote>
  <w:endnote w:type="continuationSeparator" w:id="0">
    <w:p w14:paraId="7BF574D1" w14:textId="77777777" w:rsidR="00EF0B30" w:rsidRDefault="00EF0B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nionPro-Regular">
    <w:altName w:val="Calibri"/>
    <w:panose1 w:val="020B0604020202020204"/>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HelveticaNeue-Bold">
    <w:altName w:val="Sylfaen"/>
    <w:panose1 w:val="02000803000000090004"/>
    <w:charset w:val="4D"/>
    <w:family w:val="auto"/>
    <w:notTrueType/>
    <w:pitch w:val="default"/>
    <w:sig w:usb0="00000003" w:usb1="00000000" w:usb2="00000000" w:usb3="00000000" w:csb0="00000001" w:csb1="00000000"/>
  </w:font>
  <w:font w:name="HelveticaNeue-Medium">
    <w:altName w:val="Arial"/>
    <w:panose1 w:val="020B0604020202020204"/>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4" w14:textId="697C6368" w:rsidR="004351A4" w:rsidRDefault="00A91706">
    <w:pPr>
      <w:jc w:val="right"/>
    </w:pPr>
    <w:r>
      <w:fldChar w:fldCharType="begin"/>
    </w:r>
    <w:r>
      <w:instrText>PAGE</w:instrText>
    </w:r>
    <w:r>
      <w:fldChar w:fldCharType="separate"/>
    </w:r>
    <w:r w:rsidR="00724321">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59398" w14:textId="77777777" w:rsidR="00EF0B30" w:rsidRDefault="00EF0B30">
      <w:pPr>
        <w:spacing w:line="240" w:lineRule="auto"/>
      </w:pPr>
      <w:r>
        <w:separator/>
      </w:r>
    </w:p>
  </w:footnote>
  <w:footnote w:type="continuationSeparator" w:id="0">
    <w:p w14:paraId="53453E8D" w14:textId="77777777" w:rsidR="00EF0B30" w:rsidRDefault="00EF0B3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038C2"/>
    <w:multiLevelType w:val="hybridMultilevel"/>
    <w:tmpl w:val="618CAEE4"/>
    <w:lvl w:ilvl="0" w:tplc="3852F6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3C1BF5"/>
    <w:multiLevelType w:val="hybridMultilevel"/>
    <w:tmpl w:val="CE6CACC4"/>
    <w:lvl w:ilvl="0" w:tplc="428C817A">
      <w:start w:val="1"/>
      <w:numFmt w:val="bullet"/>
      <w:pStyle w:val="EEPRUnumberedLevel1Heading"/>
      <w:lvlText w:val="-"/>
      <w:lvlJc w:val="left"/>
      <w:pPr>
        <w:ind w:left="720" w:hanging="360"/>
      </w:pPr>
      <w:rPr>
        <w:rFonts w:ascii="Calibri" w:eastAsiaTheme="minorHAnsi" w:hAnsi="Calibri" w:cs="Calibri" w:hint="default"/>
      </w:rPr>
    </w:lvl>
    <w:lvl w:ilvl="1" w:tplc="08090003">
      <w:start w:val="1"/>
      <w:numFmt w:val="bullet"/>
      <w:pStyle w:val="EEPRUnumberedheadinglevel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E30577"/>
    <w:multiLevelType w:val="hybridMultilevel"/>
    <w:tmpl w:val="9F147060"/>
    <w:lvl w:ilvl="0" w:tplc="0604333C">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79571A"/>
    <w:multiLevelType w:val="multilevel"/>
    <w:tmpl w:val="775225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3370C1A"/>
    <w:multiLevelType w:val="hybridMultilevel"/>
    <w:tmpl w:val="DEF84F0A"/>
    <w:lvl w:ilvl="0" w:tplc="E9200E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C6122E"/>
    <w:multiLevelType w:val="multilevel"/>
    <w:tmpl w:val="38A80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1A4"/>
    <w:rsid w:val="00002999"/>
    <w:rsid w:val="00014F42"/>
    <w:rsid w:val="00022D3E"/>
    <w:rsid w:val="0004297F"/>
    <w:rsid w:val="00054F43"/>
    <w:rsid w:val="00094736"/>
    <w:rsid w:val="000A31A0"/>
    <w:rsid w:val="000B481E"/>
    <w:rsid w:val="000D0589"/>
    <w:rsid w:val="000F2DAC"/>
    <w:rsid w:val="000F3E73"/>
    <w:rsid w:val="000F74BD"/>
    <w:rsid w:val="00103C3A"/>
    <w:rsid w:val="001376DD"/>
    <w:rsid w:val="001561CB"/>
    <w:rsid w:val="00171777"/>
    <w:rsid w:val="001732E4"/>
    <w:rsid w:val="00191C92"/>
    <w:rsid w:val="001925C1"/>
    <w:rsid w:val="00195D30"/>
    <w:rsid w:val="00197D4B"/>
    <w:rsid w:val="001A04E5"/>
    <w:rsid w:val="001B0421"/>
    <w:rsid w:val="001B4A98"/>
    <w:rsid w:val="001B689E"/>
    <w:rsid w:val="001C29F4"/>
    <w:rsid w:val="001D7DFF"/>
    <w:rsid w:val="0022238A"/>
    <w:rsid w:val="00235553"/>
    <w:rsid w:val="002456DE"/>
    <w:rsid w:val="0026475D"/>
    <w:rsid w:val="00295C46"/>
    <w:rsid w:val="002A4679"/>
    <w:rsid w:val="002B2B21"/>
    <w:rsid w:val="002B5BDC"/>
    <w:rsid w:val="00300A6B"/>
    <w:rsid w:val="003406AB"/>
    <w:rsid w:val="00343351"/>
    <w:rsid w:val="00354C9B"/>
    <w:rsid w:val="003D7E2B"/>
    <w:rsid w:val="003F0E2D"/>
    <w:rsid w:val="003F12C0"/>
    <w:rsid w:val="00401983"/>
    <w:rsid w:val="004351A4"/>
    <w:rsid w:val="004540AC"/>
    <w:rsid w:val="00466D69"/>
    <w:rsid w:val="00490A96"/>
    <w:rsid w:val="004A1B14"/>
    <w:rsid w:val="004B4C5B"/>
    <w:rsid w:val="004C240A"/>
    <w:rsid w:val="004D5F87"/>
    <w:rsid w:val="00503ADA"/>
    <w:rsid w:val="005065E6"/>
    <w:rsid w:val="00506D28"/>
    <w:rsid w:val="005569C5"/>
    <w:rsid w:val="00566F47"/>
    <w:rsid w:val="0057093F"/>
    <w:rsid w:val="005744C1"/>
    <w:rsid w:val="00582B5F"/>
    <w:rsid w:val="00593DE9"/>
    <w:rsid w:val="005A3EA2"/>
    <w:rsid w:val="005B6797"/>
    <w:rsid w:val="005E5780"/>
    <w:rsid w:val="0061705D"/>
    <w:rsid w:val="0065557C"/>
    <w:rsid w:val="00655A30"/>
    <w:rsid w:val="00664BE2"/>
    <w:rsid w:val="00684BC7"/>
    <w:rsid w:val="006C2DE7"/>
    <w:rsid w:val="0070535D"/>
    <w:rsid w:val="00724321"/>
    <w:rsid w:val="0073051E"/>
    <w:rsid w:val="00762712"/>
    <w:rsid w:val="00763A6B"/>
    <w:rsid w:val="007652D1"/>
    <w:rsid w:val="007941E2"/>
    <w:rsid w:val="00796963"/>
    <w:rsid w:val="007A435A"/>
    <w:rsid w:val="007A5E15"/>
    <w:rsid w:val="007A68B1"/>
    <w:rsid w:val="007E1C79"/>
    <w:rsid w:val="0083056B"/>
    <w:rsid w:val="0083584A"/>
    <w:rsid w:val="00894506"/>
    <w:rsid w:val="008958E3"/>
    <w:rsid w:val="008A268C"/>
    <w:rsid w:val="008B045A"/>
    <w:rsid w:val="008D53ED"/>
    <w:rsid w:val="008E5764"/>
    <w:rsid w:val="00920EA8"/>
    <w:rsid w:val="00922E43"/>
    <w:rsid w:val="00933A4B"/>
    <w:rsid w:val="00953ED4"/>
    <w:rsid w:val="0096482F"/>
    <w:rsid w:val="0097522C"/>
    <w:rsid w:val="009851E3"/>
    <w:rsid w:val="00992DDA"/>
    <w:rsid w:val="009A61D1"/>
    <w:rsid w:val="009B0351"/>
    <w:rsid w:val="00A03837"/>
    <w:rsid w:val="00A042AE"/>
    <w:rsid w:val="00A352DD"/>
    <w:rsid w:val="00A57A27"/>
    <w:rsid w:val="00A64922"/>
    <w:rsid w:val="00A7690D"/>
    <w:rsid w:val="00A87F24"/>
    <w:rsid w:val="00A91706"/>
    <w:rsid w:val="00A92842"/>
    <w:rsid w:val="00AF6BDC"/>
    <w:rsid w:val="00B2332A"/>
    <w:rsid w:val="00B34333"/>
    <w:rsid w:val="00BA1525"/>
    <w:rsid w:val="00BC0816"/>
    <w:rsid w:val="00BC2739"/>
    <w:rsid w:val="00BD1770"/>
    <w:rsid w:val="00BE469A"/>
    <w:rsid w:val="00C90DD7"/>
    <w:rsid w:val="00C951D7"/>
    <w:rsid w:val="00CD4C55"/>
    <w:rsid w:val="00CD665E"/>
    <w:rsid w:val="00D05161"/>
    <w:rsid w:val="00D07AB8"/>
    <w:rsid w:val="00D27312"/>
    <w:rsid w:val="00D330DB"/>
    <w:rsid w:val="00D54968"/>
    <w:rsid w:val="00D60EC4"/>
    <w:rsid w:val="00D9100C"/>
    <w:rsid w:val="00D95A45"/>
    <w:rsid w:val="00DC3B0C"/>
    <w:rsid w:val="00DD6514"/>
    <w:rsid w:val="00DF450E"/>
    <w:rsid w:val="00E07610"/>
    <w:rsid w:val="00E12703"/>
    <w:rsid w:val="00E4160C"/>
    <w:rsid w:val="00E50675"/>
    <w:rsid w:val="00E91BCF"/>
    <w:rsid w:val="00E9490F"/>
    <w:rsid w:val="00EC7DD2"/>
    <w:rsid w:val="00ED6335"/>
    <w:rsid w:val="00EF0B30"/>
    <w:rsid w:val="00F13373"/>
    <w:rsid w:val="00F43762"/>
    <w:rsid w:val="00F5668B"/>
    <w:rsid w:val="00F82F66"/>
    <w:rsid w:val="00FE5580"/>
    <w:rsid w:val="00FF069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F6DFE"/>
  <w15:docId w15:val="{7B777272-AF20-D046-8D93-347977A11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2C0"/>
    <w:rPr>
      <w:rFonts w:ascii="Times New Roman" w:hAnsi="Times New Roman"/>
    </w:rPr>
  </w:style>
  <w:style w:type="paragraph" w:styleId="Heading1">
    <w:name w:val="heading 1"/>
    <w:basedOn w:val="Normal"/>
    <w:next w:val="Normal"/>
    <w:uiPriority w:val="9"/>
    <w:qFormat/>
    <w:rsid w:val="00593DE9"/>
    <w:pPr>
      <w:keepNext/>
      <w:keepLines/>
      <w:spacing w:before="400" w:after="120" w:line="360" w:lineRule="auto"/>
      <w:jc w:val="both"/>
      <w:outlineLvl w:val="0"/>
    </w:pPr>
    <w:rPr>
      <w:b/>
      <w:sz w:val="32"/>
      <w:szCs w:val="40"/>
    </w:rPr>
  </w:style>
  <w:style w:type="paragraph" w:styleId="Heading2">
    <w:name w:val="heading 2"/>
    <w:basedOn w:val="Normal"/>
    <w:next w:val="Normal"/>
    <w:uiPriority w:val="9"/>
    <w:unhideWhenUsed/>
    <w:qFormat/>
    <w:rsid w:val="00593DE9"/>
    <w:pPr>
      <w:keepNext/>
      <w:keepLines/>
      <w:spacing w:before="360" w:after="120" w:line="360" w:lineRule="auto"/>
      <w:jc w:val="both"/>
      <w:outlineLvl w:val="1"/>
    </w:pPr>
    <w:rPr>
      <w:b/>
      <w:sz w:val="26"/>
      <w:szCs w:val="32"/>
    </w:rPr>
  </w:style>
  <w:style w:type="paragraph" w:styleId="Heading3">
    <w:name w:val="heading 3"/>
    <w:basedOn w:val="Normal"/>
    <w:next w:val="Normal"/>
    <w:uiPriority w:val="9"/>
    <w:unhideWhenUsed/>
    <w:qFormat/>
    <w:rsid w:val="00593DE9"/>
    <w:pPr>
      <w:keepNext/>
      <w:keepLines/>
      <w:spacing w:before="320" w:after="80" w:line="360" w:lineRule="auto"/>
      <w:jc w:val="both"/>
      <w:outlineLvl w:val="2"/>
    </w:pPr>
    <w:rPr>
      <w:b/>
      <w:color w:val="000000" w:themeColor="text1"/>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39"/>
    <w:rsid w:val="007652D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92DDA"/>
    <w:pPr>
      <w:spacing w:after="200" w:line="240" w:lineRule="auto"/>
    </w:pPr>
    <w:rPr>
      <w:b/>
      <w:iCs/>
      <w:color w:val="000000" w:themeColor="text1"/>
      <w:szCs w:val="18"/>
    </w:rPr>
  </w:style>
  <w:style w:type="paragraph" w:customStyle="1" w:styleId="BasicParagraph">
    <w:name w:val="[Basic Paragraph]"/>
    <w:basedOn w:val="Normal"/>
    <w:link w:val="BasicParagraphChar"/>
    <w:uiPriority w:val="99"/>
    <w:locked/>
    <w:rsid w:val="0097522C"/>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szCs w:val="24"/>
      <w:lang w:eastAsia="en-US"/>
    </w:rPr>
  </w:style>
  <w:style w:type="paragraph" w:customStyle="1" w:styleId="EEPRUMainHeading">
    <w:name w:val="EEPRU Main Heading"/>
    <w:basedOn w:val="Normal"/>
    <w:link w:val="EEPRUMainHeadingChar"/>
    <w:rsid w:val="0097522C"/>
    <w:pPr>
      <w:spacing w:after="160" w:line="259" w:lineRule="auto"/>
      <w:jc w:val="both"/>
    </w:pPr>
    <w:rPr>
      <w:rFonts w:asciiTheme="majorBidi" w:eastAsiaTheme="minorHAnsi" w:hAnsiTheme="majorBidi" w:cstheme="majorBidi"/>
      <w:b/>
      <w:sz w:val="32"/>
      <w:szCs w:val="32"/>
      <w:lang w:eastAsia="en-US"/>
    </w:rPr>
  </w:style>
  <w:style w:type="character" w:customStyle="1" w:styleId="EEPRUMainHeadingChar">
    <w:name w:val="EEPRU Main Heading Char"/>
    <w:basedOn w:val="DefaultParagraphFont"/>
    <w:link w:val="EEPRUMainHeading"/>
    <w:rsid w:val="0097522C"/>
    <w:rPr>
      <w:rFonts w:asciiTheme="majorBidi" w:eastAsiaTheme="minorHAnsi" w:hAnsiTheme="majorBidi" w:cstheme="majorBidi"/>
      <w:b/>
      <w:sz w:val="32"/>
      <w:szCs w:val="32"/>
      <w:lang w:eastAsia="en-US"/>
    </w:rPr>
  </w:style>
  <w:style w:type="paragraph" w:customStyle="1" w:styleId="EEPRUTitlePageAdditionalTitleInfoandDate">
    <w:name w:val="EEPRU Title Page Additional Title Info and Date"/>
    <w:basedOn w:val="Normal"/>
    <w:link w:val="EEPRUTitlePageAdditionalTitleInfoandDateChar"/>
    <w:rsid w:val="0097522C"/>
    <w:rPr>
      <w:rFonts w:ascii="Helvetica" w:eastAsiaTheme="minorEastAsia" w:hAnsi="Helvetica" w:cs="HelveticaNeue-Bold"/>
      <w:b/>
      <w:color w:val="6D8A9A"/>
      <w:spacing w:val="-3"/>
      <w:sz w:val="31"/>
      <w:szCs w:val="31"/>
      <w:lang w:eastAsia="en-US"/>
    </w:rPr>
  </w:style>
  <w:style w:type="character" w:customStyle="1" w:styleId="BasicParagraphChar">
    <w:name w:val="[Basic Paragraph] Char"/>
    <w:basedOn w:val="DefaultParagraphFont"/>
    <w:link w:val="BasicParagraph"/>
    <w:uiPriority w:val="99"/>
    <w:rsid w:val="0097522C"/>
    <w:rPr>
      <w:rFonts w:ascii="MinionPro-Regular" w:eastAsiaTheme="minorEastAsia" w:hAnsi="MinionPro-Regular" w:cs="MinionPro-Regular"/>
      <w:color w:val="000000"/>
      <w:sz w:val="24"/>
      <w:szCs w:val="24"/>
      <w:lang w:eastAsia="en-US"/>
    </w:rPr>
  </w:style>
  <w:style w:type="paragraph" w:customStyle="1" w:styleId="EEPRUTItlePageAuthorsandAffiliations">
    <w:name w:val="EEPRU TItle Page Authors and Affiliations"/>
    <w:basedOn w:val="BasicParagraph"/>
    <w:link w:val="EEPRUTItlePageAuthorsandAffiliationsChar"/>
    <w:rsid w:val="0097522C"/>
    <w:pPr>
      <w:suppressAutoHyphens/>
      <w:spacing w:after="113"/>
    </w:pPr>
    <w:rPr>
      <w:rFonts w:ascii="Helvetica" w:hAnsi="Helvetica" w:cs="HelveticaNeue-Medium"/>
      <w:color w:val="092E41"/>
    </w:rPr>
  </w:style>
  <w:style w:type="character" w:customStyle="1" w:styleId="EEPRUTitlePageAdditionalTitleInfoandDateChar">
    <w:name w:val="EEPRU Title Page Additional Title Info and Date Char"/>
    <w:basedOn w:val="DefaultParagraphFont"/>
    <w:link w:val="EEPRUTitlePageAdditionalTitleInfoandDate"/>
    <w:rsid w:val="0097522C"/>
    <w:rPr>
      <w:rFonts w:ascii="Helvetica" w:eastAsiaTheme="minorEastAsia" w:hAnsi="Helvetica" w:cs="HelveticaNeue-Bold"/>
      <w:b/>
      <w:color w:val="6D8A9A"/>
      <w:spacing w:val="-3"/>
      <w:sz w:val="31"/>
      <w:szCs w:val="31"/>
      <w:lang w:eastAsia="en-US"/>
    </w:rPr>
  </w:style>
  <w:style w:type="character" w:customStyle="1" w:styleId="EEPRUTItlePageAuthorsandAffiliationsChar">
    <w:name w:val="EEPRU TItle Page Authors and Affiliations Char"/>
    <w:basedOn w:val="BasicParagraphChar"/>
    <w:link w:val="EEPRUTItlePageAuthorsandAffiliations"/>
    <w:rsid w:val="0097522C"/>
    <w:rPr>
      <w:rFonts w:ascii="Helvetica" w:eastAsiaTheme="minorEastAsia" w:hAnsi="Helvetica" w:cs="HelveticaNeue-Medium"/>
      <w:color w:val="092E41"/>
      <w:sz w:val="24"/>
      <w:szCs w:val="24"/>
      <w:lang w:eastAsia="en-US"/>
    </w:rPr>
  </w:style>
  <w:style w:type="paragraph" w:customStyle="1" w:styleId="EEPRUnumberedLevel1Heading">
    <w:name w:val="EEPRU numbered Level 1 Heading"/>
    <w:basedOn w:val="Normal"/>
    <w:link w:val="EEPRUnumberedLevel1HeadingChar"/>
    <w:qFormat/>
    <w:rsid w:val="0097522C"/>
    <w:pPr>
      <w:keepNext/>
      <w:keepLines/>
      <w:numPr>
        <w:numId w:val="2"/>
      </w:numPr>
      <w:spacing w:before="480" w:line="259" w:lineRule="auto"/>
      <w:outlineLvl w:val="0"/>
    </w:pPr>
    <w:rPr>
      <w:rFonts w:asciiTheme="majorBidi" w:eastAsiaTheme="majorEastAsia" w:hAnsiTheme="majorBidi" w:cstheme="majorBidi"/>
      <w:b/>
      <w:bCs/>
      <w:sz w:val="32"/>
      <w:szCs w:val="28"/>
      <w:lang w:eastAsia="en-US"/>
    </w:rPr>
  </w:style>
  <w:style w:type="paragraph" w:customStyle="1" w:styleId="EEPRUnumberedheadinglevel2">
    <w:name w:val="EEPRU numbered heading level 2"/>
    <w:basedOn w:val="Normal"/>
    <w:qFormat/>
    <w:rsid w:val="0097522C"/>
    <w:pPr>
      <w:keepNext/>
      <w:keepLines/>
      <w:numPr>
        <w:ilvl w:val="1"/>
        <w:numId w:val="2"/>
      </w:numPr>
      <w:spacing w:before="240" w:after="240" w:line="240" w:lineRule="auto"/>
      <w:outlineLvl w:val="1"/>
    </w:pPr>
    <w:rPr>
      <w:rFonts w:asciiTheme="majorBidi" w:eastAsiaTheme="majorEastAsia" w:hAnsiTheme="majorBidi" w:cstheme="majorBidi"/>
      <w:b/>
      <w:bCs/>
      <w:sz w:val="26"/>
      <w:szCs w:val="26"/>
      <w:lang w:eastAsia="en-US"/>
    </w:rPr>
  </w:style>
  <w:style w:type="character" w:customStyle="1" w:styleId="EEPRUnumberedLevel1HeadingChar">
    <w:name w:val="EEPRU numbered Level 1 Heading Char"/>
    <w:basedOn w:val="DefaultParagraphFont"/>
    <w:link w:val="EEPRUnumberedLevel1Heading"/>
    <w:rsid w:val="0097522C"/>
    <w:rPr>
      <w:rFonts w:asciiTheme="majorBidi" w:eastAsiaTheme="majorEastAsia" w:hAnsiTheme="majorBidi" w:cstheme="majorBidi"/>
      <w:b/>
      <w:bCs/>
      <w:sz w:val="32"/>
      <w:szCs w:val="28"/>
      <w:lang w:eastAsia="en-US"/>
    </w:rPr>
  </w:style>
  <w:style w:type="paragraph" w:styleId="Header">
    <w:name w:val="header"/>
    <w:basedOn w:val="Normal"/>
    <w:link w:val="HeaderChar"/>
    <w:uiPriority w:val="99"/>
    <w:unhideWhenUsed/>
    <w:rsid w:val="00A7690D"/>
    <w:pPr>
      <w:tabs>
        <w:tab w:val="center" w:pos="4680"/>
        <w:tab w:val="right" w:pos="9360"/>
      </w:tabs>
      <w:spacing w:line="240" w:lineRule="auto"/>
    </w:pPr>
  </w:style>
  <w:style w:type="character" w:customStyle="1" w:styleId="HeaderChar">
    <w:name w:val="Header Char"/>
    <w:basedOn w:val="DefaultParagraphFont"/>
    <w:link w:val="Header"/>
    <w:uiPriority w:val="99"/>
    <w:rsid w:val="00A7690D"/>
    <w:rPr>
      <w:rFonts w:ascii="Times New Roman" w:hAnsi="Times New Roman"/>
    </w:rPr>
  </w:style>
  <w:style w:type="paragraph" w:styleId="Footer">
    <w:name w:val="footer"/>
    <w:basedOn w:val="Normal"/>
    <w:link w:val="FooterChar"/>
    <w:uiPriority w:val="99"/>
    <w:unhideWhenUsed/>
    <w:rsid w:val="00A7690D"/>
    <w:pPr>
      <w:tabs>
        <w:tab w:val="center" w:pos="4680"/>
        <w:tab w:val="right" w:pos="9360"/>
      </w:tabs>
      <w:spacing w:line="240" w:lineRule="auto"/>
    </w:pPr>
  </w:style>
  <w:style w:type="character" w:customStyle="1" w:styleId="FooterChar">
    <w:name w:val="Footer Char"/>
    <w:basedOn w:val="DefaultParagraphFont"/>
    <w:link w:val="Footer"/>
    <w:uiPriority w:val="99"/>
    <w:rsid w:val="00A7690D"/>
    <w:rPr>
      <w:rFonts w:ascii="Times New Roman" w:hAnsi="Times New Roman"/>
    </w:rPr>
  </w:style>
  <w:style w:type="paragraph" w:styleId="ListParagraph">
    <w:name w:val="List Paragraph"/>
    <w:basedOn w:val="Normal"/>
    <w:uiPriority w:val="34"/>
    <w:qFormat/>
    <w:rsid w:val="00A7690D"/>
    <w:pPr>
      <w:ind w:left="720"/>
      <w:contextualSpacing/>
    </w:pPr>
  </w:style>
  <w:style w:type="character" w:styleId="CommentReference">
    <w:name w:val="annotation reference"/>
    <w:basedOn w:val="DefaultParagraphFont"/>
    <w:uiPriority w:val="99"/>
    <w:semiHidden/>
    <w:unhideWhenUsed/>
    <w:rsid w:val="007941E2"/>
    <w:rPr>
      <w:sz w:val="16"/>
      <w:szCs w:val="16"/>
    </w:rPr>
  </w:style>
  <w:style w:type="paragraph" w:styleId="CommentText">
    <w:name w:val="annotation text"/>
    <w:basedOn w:val="Normal"/>
    <w:link w:val="CommentTextChar"/>
    <w:uiPriority w:val="99"/>
    <w:semiHidden/>
    <w:unhideWhenUsed/>
    <w:rsid w:val="007941E2"/>
    <w:pPr>
      <w:spacing w:line="240" w:lineRule="auto"/>
    </w:pPr>
    <w:rPr>
      <w:sz w:val="20"/>
      <w:szCs w:val="20"/>
    </w:rPr>
  </w:style>
  <w:style w:type="character" w:customStyle="1" w:styleId="CommentTextChar">
    <w:name w:val="Comment Text Char"/>
    <w:basedOn w:val="DefaultParagraphFont"/>
    <w:link w:val="CommentText"/>
    <w:uiPriority w:val="99"/>
    <w:semiHidden/>
    <w:rsid w:val="007941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941E2"/>
    <w:rPr>
      <w:b/>
      <w:bCs/>
    </w:rPr>
  </w:style>
  <w:style w:type="character" w:customStyle="1" w:styleId="CommentSubjectChar">
    <w:name w:val="Comment Subject Char"/>
    <w:basedOn w:val="CommentTextChar"/>
    <w:link w:val="CommentSubject"/>
    <w:uiPriority w:val="99"/>
    <w:semiHidden/>
    <w:rsid w:val="007941E2"/>
    <w:rPr>
      <w:rFonts w:ascii="Times New Roman" w:hAnsi="Times New Roman"/>
      <w:b/>
      <w:bCs/>
      <w:sz w:val="20"/>
      <w:szCs w:val="20"/>
    </w:rPr>
  </w:style>
  <w:style w:type="paragraph" w:styleId="BalloonText">
    <w:name w:val="Balloon Text"/>
    <w:basedOn w:val="Normal"/>
    <w:link w:val="BalloonTextChar"/>
    <w:uiPriority w:val="99"/>
    <w:semiHidden/>
    <w:unhideWhenUsed/>
    <w:rsid w:val="007941E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41E2"/>
    <w:rPr>
      <w:rFonts w:ascii="Segoe UI" w:hAnsi="Segoe UI" w:cs="Segoe UI"/>
      <w:sz w:val="18"/>
      <w:szCs w:val="18"/>
    </w:rPr>
  </w:style>
  <w:style w:type="table" w:customStyle="1" w:styleId="TableGrid1">
    <w:name w:val="Table Grid1"/>
    <w:basedOn w:val="TableNormal"/>
    <w:next w:val="TableGrid"/>
    <w:uiPriority w:val="39"/>
    <w:rsid w:val="007941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92842"/>
    <w:pPr>
      <w:spacing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71939">
      <w:bodyDiv w:val="1"/>
      <w:marLeft w:val="0"/>
      <w:marRight w:val="0"/>
      <w:marTop w:val="0"/>
      <w:marBottom w:val="0"/>
      <w:divBdr>
        <w:top w:val="none" w:sz="0" w:space="0" w:color="auto"/>
        <w:left w:val="none" w:sz="0" w:space="0" w:color="auto"/>
        <w:bottom w:val="none" w:sz="0" w:space="0" w:color="auto"/>
        <w:right w:val="none" w:sz="0" w:space="0" w:color="auto"/>
      </w:divBdr>
    </w:div>
    <w:div w:id="516579036">
      <w:bodyDiv w:val="1"/>
      <w:marLeft w:val="0"/>
      <w:marRight w:val="0"/>
      <w:marTop w:val="0"/>
      <w:marBottom w:val="0"/>
      <w:divBdr>
        <w:top w:val="none" w:sz="0" w:space="0" w:color="auto"/>
        <w:left w:val="none" w:sz="0" w:space="0" w:color="auto"/>
        <w:bottom w:val="none" w:sz="0" w:space="0" w:color="auto"/>
        <w:right w:val="none" w:sz="0" w:space="0" w:color="auto"/>
      </w:divBdr>
    </w:div>
    <w:div w:id="692651705">
      <w:bodyDiv w:val="1"/>
      <w:marLeft w:val="0"/>
      <w:marRight w:val="0"/>
      <w:marTop w:val="0"/>
      <w:marBottom w:val="0"/>
      <w:divBdr>
        <w:top w:val="none" w:sz="0" w:space="0" w:color="auto"/>
        <w:left w:val="none" w:sz="0" w:space="0" w:color="auto"/>
        <w:bottom w:val="none" w:sz="0" w:space="0" w:color="auto"/>
        <w:right w:val="none" w:sz="0" w:space="0" w:color="auto"/>
      </w:divBdr>
    </w:div>
    <w:div w:id="1151141566">
      <w:bodyDiv w:val="1"/>
      <w:marLeft w:val="0"/>
      <w:marRight w:val="0"/>
      <w:marTop w:val="0"/>
      <w:marBottom w:val="0"/>
      <w:divBdr>
        <w:top w:val="none" w:sz="0" w:space="0" w:color="auto"/>
        <w:left w:val="none" w:sz="0" w:space="0" w:color="auto"/>
        <w:bottom w:val="none" w:sz="0" w:space="0" w:color="auto"/>
        <w:right w:val="none" w:sz="0" w:space="0" w:color="auto"/>
      </w:divBdr>
    </w:div>
    <w:div w:id="1165823527">
      <w:bodyDiv w:val="1"/>
      <w:marLeft w:val="0"/>
      <w:marRight w:val="0"/>
      <w:marTop w:val="0"/>
      <w:marBottom w:val="0"/>
      <w:divBdr>
        <w:top w:val="none" w:sz="0" w:space="0" w:color="auto"/>
        <w:left w:val="none" w:sz="0" w:space="0" w:color="auto"/>
        <w:bottom w:val="none" w:sz="0" w:space="0" w:color="auto"/>
        <w:right w:val="none" w:sz="0" w:space="0" w:color="auto"/>
      </w:divBdr>
    </w:div>
    <w:div w:id="1721705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3026</Words>
  <Characters>17252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Sophie Cooper</dc:creator>
  <cp:lastModifiedBy>Mark Sculpher</cp:lastModifiedBy>
  <cp:revision>6</cp:revision>
  <dcterms:created xsi:type="dcterms:W3CDTF">2022-01-20T14:35:00Z</dcterms:created>
  <dcterms:modified xsi:type="dcterms:W3CDTF">2022-01-20T16:12:00Z</dcterms:modified>
</cp:coreProperties>
</file>