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43AEAE24" w:rsidR="00FE39DA" w:rsidRPr="00922752" w:rsidRDefault="00922752" w:rsidP="000B0C48">
      <w:pPr>
        <w:rPr>
          <w:b/>
          <w:bCs/>
        </w:rPr>
      </w:pPr>
      <w:r w:rsidRPr="00922752">
        <w:rPr>
          <w:b/>
          <w:bCs/>
        </w:rPr>
        <w:t>Organisation name:</w:t>
      </w:r>
      <w:r w:rsidR="000B0C48">
        <w:rPr>
          <w:b/>
          <w:bCs/>
        </w:rPr>
        <w:t xml:space="preserve"> </w:t>
      </w:r>
      <w:r w:rsidR="00A51C37">
        <w:rPr>
          <w:b/>
          <w:bCs/>
        </w:rPr>
        <w:t>British Infection Association</w:t>
      </w:r>
    </w:p>
    <w:p w14:paraId="3158A3D2" w14:textId="77777777" w:rsidR="00922752" w:rsidRDefault="00922752" w:rsidP="000B0C48"/>
    <w:p w14:paraId="0767E7F6" w14:textId="77777777" w:rsidR="000B0C48" w:rsidRDefault="000B0C48" w:rsidP="000B0C48">
      <w:pPr>
        <w:rPr>
          <w:b/>
          <w:bCs/>
        </w:rPr>
      </w:pPr>
    </w:p>
    <w:p w14:paraId="59F7C2C4" w14:textId="777966C1" w:rsidR="00922752" w:rsidRDefault="00922752" w:rsidP="000B0C48">
      <w:pPr>
        <w:rPr>
          <w:sz w:val="18"/>
          <w:szCs w:val="18"/>
        </w:rPr>
      </w:pPr>
      <w:r w:rsidRPr="00922752">
        <w:rPr>
          <w:b/>
          <w:bCs/>
        </w:rPr>
        <w:t>Disclosure:</w:t>
      </w:r>
      <w:r>
        <w:t xml:space="preserve"> </w:t>
      </w:r>
      <w:r w:rsidRPr="00922752">
        <w:rPr>
          <w:sz w:val="18"/>
          <w:szCs w:val="18"/>
        </w:rPr>
        <w:t xml:space="preserve">Please disclose any past or current, </w:t>
      </w:r>
      <w:proofErr w:type="gramStart"/>
      <w:r w:rsidRPr="00922752">
        <w:rPr>
          <w:sz w:val="18"/>
          <w:szCs w:val="18"/>
        </w:rPr>
        <w:t>direct</w:t>
      </w:r>
      <w:proofErr w:type="gramEnd"/>
      <w:r w:rsidRPr="00922752">
        <w:rPr>
          <w:sz w:val="18"/>
          <w:szCs w:val="18"/>
        </w:rPr>
        <w:t xml:space="preserve"> or indirect links to, or funding from, the tobacco industry:</w:t>
      </w:r>
    </w:p>
    <w:p w14:paraId="0A2A6B90" w14:textId="77777777" w:rsidR="00922752" w:rsidRPr="00922752" w:rsidRDefault="00922752" w:rsidP="000B0C48">
      <w:pPr>
        <w:rPr>
          <w:sz w:val="18"/>
          <w:szCs w:val="18"/>
        </w:rPr>
      </w:pPr>
    </w:p>
    <w:p w14:paraId="06CCBCF3" w14:textId="77777777" w:rsidR="000B0C48" w:rsidRDefault="000B0C48" w:rsidP="000B0C48">
      <w:pPr>
        <w:rPr>
          <w:b/>
          <w:bCs/>
        </w:rPr>
      </w:pPr>
    </w:p>
    <w:p w14:paraId="169805D0" w14:textId="3D023F77" w:rsidR="00922752" w:rsidRPr="00922752" w:rsidRDefault="00922752" w:rsidP="000B0C48">
      <w:pPr>
        <w:rPr>
          <w:b/>
          <w:bCs/>
        </w:rPr>
      </w:pPr>
      <w:r w:rsidRPr="00922752">
        <w:rPr>
          <w:b/>
          <w:bCs/>
        </w:rPr>
        <w:t xml:space="preserve">Name of person completing form: </w:t>
      </w:r>
      <w:proofErr w:type="spellStart"/>
      <w:r w:rsidR="009138C9" w:rsidRPr="009138C9">
        <w:rPr>
          <w:b/>
          <w:bCs/>
          <w:highlight w:val="black"/>
        </w:rPr>
        <w:t>xxxxxxxxxxxxxx</w:t>
      </w:r>
      <w:proofErr w:type="spellEnd"/>
    </w:p>
    <w:p w14:paraId="39161453" w14:textId="580B70D8" w:rsidR="00922752" w:rsidRDefault="00922752" w:rsidP="00097482">
      <w:pPr>
        <w:jc w:val="center"/>
      </w:pP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850"/>
        <w:gridCol w:w="939"/>
        <w:gridCol w:w="7260"/>
      </w:tblGrid>
      <w:tr w:rsidR="002E6A85" w:rsidRPr="00481C73" w14:paraId="51CD6243" w14:textId="77777777" w:rsidTr="00873A3B">
        <w:tc>
          <w:tcPr>
            <w:tcW w:w="559"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41"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6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3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873A3B">
        <w:tc>
          <w:tcPr>
            <w:tcW w:w="559"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41" w:type="pct"/>
          </w:tcPr>
          <w:p w14:paraId="7CD2A4FA" w14:textId="1A876264" w:rsidR="002E6A85" w:rsidRPr="00810A2E" w:rsidRDefault="00873A3B" w:rsidP="00807889">
            <w:pPr>
              <w:widowControl w:val="0"/>
              <w:rPr>
                <w:rFonts w:cs="Arial"/>
                <w:sz w:val="20"/>
              </w:rPr>
            </w:pPr>
            <w:r>
              <w:rPr>
                <w:rFonts w:cs="Arial"/>
                <w:sz w:val="20"/>
              </w:rPr>
              <w:t>Overall</w:t>
            </w:r>
          </w:p>
        </w:tc>
        <w:tc>
          <w:tcPr>
            <w:tcW w:w="461" w:type="pct"/>
          </w:tcPr>
          <w:p w14:paraId="2A91C8C7" w14:textId="56D65352" w:rsidR="002E6A85" w:rsidRPr="00810A2E" w:rsidRDefault="00873A3B" w:rsidP="00807889">
            <w:pPr>
              <w:widowControl w:val="0"/>
              <w:rPr>
                <w:rFonts w:cs="Arial"/>
                <w:sz w:val="20"/>
              </w:rPr>
            </w:pPr>
            <w:r>
              <w:rPr>
                <w:rFonts w:cs="Arial"/>
                <w:sz w:val="20"/>
              </w:rPr>
              <w:t>Overall</w:t>
            </w:r>
          </w:p>
        </w:tc>
        <w:tc>
          <w:tcPr>
            <w:tcW w:w="3639" w:type="pct"/>
          </w:tcPr>
          <w:p w14:paraId="380FF3A5" w14:textId="6B464F03" w:rsidR="002E6A85" w:rsidRPr="00810A2E" w:rsidRDefault="00873A3B" w:rsidP="00807889">
            <w:pPr>
              <w:widowControl w:val="0"/>
              <w:rPr>
                <w:rFonts w:cs="Arial"/>
                <w:sz w:val="20"/>
              </w:rPr>
            </w:pPr>
            <w:r>
              <w:rPr>
                <w:rFonts w:cs="Arial"/>
                <w:sz w:val="20"/>
              </w:rPr>
              <w:t>A thorough review though at nearly 400 pages it is difficult to be thorough as a reviewer.</w:t>
            </w:r>
            <w:r w:rsidR="00332A24">
              <w:rPr>
                <w:rFonts w:cs="Arial"/>
                <w:sz w:val="20"/>
              </w:rPr>
              <w:t xml:space="preserve"> It is an amazing document which clearly represents a huge amount of thorough work and most of my comments on the introductory sections were then clearly addressed later in the text but might be simply worth highlighting as having been addressed in the first section with the detail in the later sections.</w:t>
            </w:r>
          </w:p>
        </w:tc>
      </w:tr>
      <w:tr w:rsidR="00873A3B" w:rsidRPr="00810A2E" w14:paraId="5A61DE1E" w14:textId="77777777" w:rsidTr="00873A3B">
        <w:tc>
          <w:tcPr>
            <w:tcW w:w="559" w:type="pct"/>
          </w:tcPr>
          <w:p w14:paraId="528FAAA3" w14:textId="77777777" w:rsidR="00873A3B" w:rsidRDefault="00873A3B" w:rsidP="00873A3B">
            <w:pPr>
              <w:widowControl w:val="0"/>
              <w:jc w:val="center"/>
              <w:rPr>
                <w:rFonts w:cs="Arial"/>
                <w:sz w:val="20"/>
              </w:rPr>
            </w:pPr>
            <w:r w:rsidRPr="00810A2E">
              <w:rPr>
                <w:rFonts w:cs="Arial"/>
                <w:sz w:val="20"/>
              </w:rPr>
              <w:t>2</w:t>
            </w:r>
          </w:p>
          <w:p w14:paraId="243C7492" w14:textId="4972C22A" w:rsidR="00873A3B" w:rsidRPr="00810A2E" w:rsidRDefault="00873A3B" w:rsidP="00873A3B">
            <w:pPr>
              <w:widowControl w:val="0"/>
              <w:jc w:val="center"/>
              <w:rPr>
                <w:rFonts w:cs="Arial"/>
                <w:sz w:val="20"/>
              </w:rPr>
            </w:pPr>
          </w:p>
        </w:tc>
        <w:tc>
          <w:tcPr>
            <w:tcW w:w="341" w:type="pct"/>
          </w:tcPr>
          <w:p w14:paraId="3E50CD58" w14:textId="747D2B05" w:rsidR="00873A3B" w:rsidRPr="00810A2E" w:rsidRDefault="00873A3B" w:rsidP="00873A3B">
            <w:pPr>
              <w:widowControl w:val="0"/>
              <w:rPr>
                <w:rFonts w:cs="Arial"/>
                <w:sz w:val="20"/>
              </w:rPr>
            </w:pPr>
            <w:r>
              <w:rPr>
                <w:rFonts w:cs="Arial"/>
                <w:sz w:val="20"/>
              </w:rPr>
              <w:t>13</w:t>
            </w:r>
          </w:p>
        </w:tc>
        <w:tc>
          <w:tcPr>
            <w:tcW w:w="461" w:type="pct"/>
          </w:tcPr>
          <w:p w14:paraId="12D3FE10" w14:textId="00E851FC" w:rsidR="00873A3B" w:rsidRPr="00810A2E" w:rsidRDefault="00873A3B" w:rsidP="00873A3B">
            <w:pPr>
              <w:widowControl w:val="0"/>
              <w:rPr>
                <w:rFonts w:cs="Arial"/>
                <w:sz w:val="20"/>
              </w:rPr>
            </w:pPr>
            <w:r>
              <w:rPr>
                <w:rFonts w:cs="Arial"/>
                <w:sz w:val="20"/>
              </w:rPr>
              <w:t>1.3</w:t>
            </w:r>
          </w:p>
        </w:tc>
        <w:tc>
          <w:tcPr>
            <w:tcW w:w="3639" w:type="pct"/>
          </w:tcPr>
          <w:p w14:paraId="3CE28DAC" w14:textId="475E555A" w:rsidR="00873A3B" w:rsidRPr="00810A2E" w:rsidRDefault="00873A3B" w:rsidP="00873A3B">
            <w:pPr>
              <w:widowControl w:val="0"/>
              <w:rPr>
                <w:rFonts w:cs="Arial"/>
                <w:sz w:val="20"/>
              </w:rPr>
            </w:pPr>
            <w:r>
              <w:rPr>
                <w:rFonts w:cs="Arial"/>
                <w:sz w:val="20"/>
              </w:rPr>
              <w:t xml:space="preserve">“Empiric setting”. The use in empiric situations will encourage over-prescribing and resistance. We do not believe this should have been included in the economic model nor should the treatment </w:t>
            </w:r>
            <w:r w:rsidR="00115FC7">
              <w:rPr>
                <w:rFonts w:cs="Arial"/>
                <w:sz w:val="20"/>
              </w:rPr>
              <w:t>be widely available in this way at this time given the low current UK rates of resistance.</w:t>
            </w:r>
            <w:r>
              <w:rPr>
                <w:rFonts w:cs="Arial"/>
                <w:sz w:val="20"/>
              </w:rPr>
              <w:t xml:space="preserve"> We realise calculations were then done for % of these </w:t>
            </w:r>
            <w:proofErr w:type="gramStart"/>
            <w:r>
              <w:rPr>
                <w:rFonts w:cs="Arial"/>
                <w:sz w:val="20"/>
              </w:rPr>
              <w:t>actually infected</w:t>
            </w:r>
            <w:proofErr w:type="gramEnd"/>
            <w:r>
              <w:rPr>
                <w:rFonts w:cs="Arial"/>
                <w:sz w:val="20"/>
              </w:rPr>
              <w:t xml:space="preserve"> with resistant organisms but encouragement of empiric prescribing is a high-risk approach.</w:t>
            </w:r>
            <w:r w:rsidR="00115FC7">
              <w:rPr>
                <w:rFonts w:cs="Arial"/>
                <w:sz w:val="20"/>
              </w:rPr>
              <w:t xml:space="preserve"> We cannot see the % who require this treatment in the </w:t>
            </w:r>
            <w:proofErr w:type="gramStart"/>
            <w:r w:rsidR="00115FC7">
              <w:rPr>
                <w:rFonts w:cs="Arial"/>
                <w:sz w:val="20"/>
              </w:rPr>
              <w:t>text</w:t>
            </w:r>
            <w:proofErr w:type="gramEnd"/>
            <w:r w:rsidR="00115FC7">
              <w:rPr>
                <w:rFonts w:cs="Arial"/>
                <w:sz w:val="20"/>
              </w:rPr>
              <w:t xml:space="preserve"> but it is referred to as having been used in the calculation. This is important information which should be clear throughout.</w:t>
            </w:r>
          </w:p>
        </w:tc>
      </w:tr>
      <w:tr w:rsidR="00873A3B" w:rsidRPr="00810A2E" w14:paraId="0CBFD7F3" w14:textId="77777777" w:rsidTr="00873A3B">
        <w:tc>
          <w:tcPr>
            <w:tcW w:w="559" w:type="pct"/>
          </w:tcPr>
          <w:p w14:paraId="38109FAA" w14:textId="77777777" w:rsidR="00873A3B" w:rsidRDefault="00873A3B" w:rsidP="00873A3B">
            <w:pPr>
              <w:widowControl w:val="0"/>
              <w:jc w:val="center"/>
              <w:rPr>
                <w:rFonts w:cs="Arial"/>
                <w:sz w:val="20"/>
              </w:rPr>
            </w:pPr>
            <w:r w:rsidRPr="00810A2E">
              <w:rPr>
                <w:rFonts w:cs="Arial"/>
                <w:sz w:val="20"/>
              </w:rPr>
              <w:t>3</w:t>
            </w:r>
          </w:p>
          <w:p w14:paraId="77930E8B" w14:textId="6C91FFD6" w:rsidR="00873A3B" w:rsidRPr="00810A2E" w:rsidRDefault="00873A3B" w:rsidP="00873A3B">
            <w:pPr>
              <w:widowControl w:val="0"/>
              <w:jc w:val="center"/>
              <w:rPr>
                <w:rFonts w:cs="Arial"/>
                <w:sz w:val="20"/>
              </w:rPr>
            </w:pPr>
          </w:p>
        </w:tc>
        <w:tc>
          <w:tcPr>
            <w:tcW w:w="341" w:type="pct"/>
          </w:tcPr>
          <w:p w14:paraId="5FA1EF0B" w14:textId="244FBFB3" w:rsidR="00873A3B" w:rsidRPr="00810A2E" w:rsidRDefault="00873A3B" w:rsidP="00873A3B">
            <w:pPr>
              <w:widowControl w:val="0"/>
              <w:rPr>
                <w:rFonts w:cs="Arial"/>
                <w:sz w:val="20"/>
              </w:rPr>
            </w:pPr>
            <w:r>
              <w:rPr>
                <w:rFonts w:cs="Arial"/>
                <w:sz w:val="20"/>
              </w:rPr>
              <w:t>13</w:t>
            </w:r>
          </w:p>
        </w:tc>
        <w:tc>
          <w:tcPr>
            <w:tcW w:w="461" w:type="pct"/>
          </w:tcPr>
          <w:p w14:paraId="7C08971E" w14:textId="2279F0D9" w:rsidR="00873A3B" w:rsidRPr="00810A2E" w:rsidRDefault="00873A3B" w:rsidP="00873A3B">
            <w:pPr>
              <w:widowControl w:val="0"/>
              <w:rPr>
                <w:rFonts w:cs="Arial"/>
                <w:sz w:val="20"/>
              </w:rPr>
            </w:pPr>
            <w:r>
              <w:rPr>
                <w:rFonts w:cs="Arial"/>
                <w:sz w:val="20"/>
              </w:rPr>
              <w:t>1.3</w:t>
            </w:r>
          </w:p>
        </w:tc>
        <w:tc>
          <w:tcPr>
            <w:tcW w:w="3639" w:type="pct"/>
          </w:tcPr>
          <w:p w14:paraId="625C5F45" w14:textId="396A3823" w:rsidR="00873A3B" w:rsidRPr="00810A2E" w:rsidRDefault="00873A3B" w:rsidP="00873A3B">
            <w:pPr>
              <w:widowControl w:val="0"/>
              <w:rPr>
                <w:rFonts w:cs="Arial"/>
                <w:sz w:val="20"/>
              </w:rPr>
            </w:pPr>
            <w:r>
              <w:rPr>
                <w:rFonts w:cs="Arial"/>
                <w:sz w:val="20"/>
              </w:rPr>
              <w:t xml:space="preserve">“Microbiology directed setting”- it seems this has included the situation in which there are clear alternative antibiotics. </w:t>
            </w:r>
            <w:proofErr w:type="spellStart"/>
            <w:r>
              <w:rPr>
                <w:rFonts w:cs="Arial"/>
                <w:sz w:val="20"/>
              </w:rPr>
              <w:t>Cefiderocol</w:t>
            </w:r>
            <w:proofErr w:type="spellEnd"/>
            <w:r>
              <w:rPr>
                <w:rFonts w:cs="Arial"/>
                <w:sz w:val="20"/>
              </w:rPr>
              <w:t xml:space="preserve"> should be reserved for when there is no alternative due to resistance, intolerance, </w:t>
            </w:r>
            <w:proofErr w:type="gramStart"/>
            <w:r>
              <w:rPr>
                <w:rFonts w:cs="Arial"/>
                <w:sz w:val="20"/>
              </w:rPr>
              <w:t>toxicity</w:t>
            </w:r>
            <w:proofErr w:type="gramEnd"/>
            <w:r>
              <w:rPr>
                <w:rFonts w:cs="Arial"/>
                <w:sz w:val="20"/>
              </w:rPr>
              <w:t xml:space="preserve"> or allergy. Even the presumed toxicity of aminoglycosides may have been excess in the calculation as is limited when doses are </w:t>
            </w:r>
            <w:proofErr w:type="gramStart"/>
            <w:r>
              <w:rPr>
                <w:rFonts w:cs="Arial"/>
                <w:sz w:val="20"/>
              </w:rPr>
              <w:t>correct</w:t>
            </w:r>
            <w:proofErr w:type="gramEnd"/>
            <w:r>
              <w:rPr>
                <w:rFonts w:cs="Arial"/>
                <w:sz w:val="20"/>
              </w:rPr>
              <w:t xml:space="preserve"> and hydration correct.</w:t>
            </w:r>
            <w:r w:rsidR="00FB270A">
              <w:rPr>
                <w:rFonts w:cs="Arial"/>
                <w:sz w:val="20"/>
              </w:rPr>
              <w:t xml:space="preserve"> It seems 8.2.2.1 suggests this so perhaps it’s accounted for but unclear in the introduction.</w:t>
            </w:r>
          </w:p>
        </w:tc>
      </w:tr>
      <w:tr w:rsidR="00873A3B" w:rsidRPr="00810A2E" w14:paraId="4F6D2F97" w14:textId="77777777" w:rsidTr="00873A3B">
        <w:tc>
          <w:tcPr>
            <w:tcW w:w="559" w:type="pct"/>
          </w:tcPr>
          <w:p w14:paraId="14FCAFCF" w14:textId="77777777" w:rsidR="00873A3B" w:rsidRDefault="00873A3B" w:rsidP="00873A3B">
            <w:pPr>
              <w:widowControl w:val="0"/>
              <w:jc w:val="center"/>
              <w:rPr>
                <w:rFonts w:cs="Arial"/>
                <w:sz w:val="20"/>
              </w:rPr>
            </w:pPr>
            <w:r>
              <w:rPr>
                <w:rFonts w:cs="Arial"/>
                <w:sz w:val="20"/>
              </w:rPr>
              <w:t>4</w:t>
            </w:r>
          </w:p>
          <w:p w14:paraId="36CC3EC0" w14:textId="70CA1E63" w:rsidR="00873A3B" w:rsidRPr="00810A2E" w:rsidRDefault="00873A3B" w:rsidP="00873A3B">
            <w:pPr>
              <w:widowControl w:val="0"/>
              <w:jc w:val="center"/>
              <w:rPr>
                <w:rFonts w:cs="Arial"/>
                <w:sz w:val="20"/>
              </w:rPr>
            </w:pPr>
          </w:p>
        </w:tc>
        <w:tc>
          <w:tcPr>
            <w:tcW w:w="341" w:type="pct"/>
          </w:tcPr>
          <w:p w14:paraId="54900B70" w14:textId="5C24A971" w:rsidR="00873A3B" w:rsidRPr="00810A2E" w:rsidRDefault="00873A3B" w:rsidP="00873A3B">
            <w:pPr>
              <w:widowControl w:val="0"/>
              <w:rPr>
                <w:rFonts w:cs="Arial"/>
                <w:sz w:val="20"/>
              </w:rPr>
            </w:pPr>
            <w:r>
              <w:rPr>
                <w:rFonts w:cs="Arial"/>
                <w:sz w:val="20"/>
              </w:rPr>
              <w:t>14</w:t>
            </w:r>
          </w:p>
        </w:tc>
        <w:tc>
          <w:tcPr>
            <w:tcW w:w="461" w:type="pct"/>
          </w:tcPr>
          <w:p w14:paraId="6C966828" w14:textId="058546FF" w:rsidR="00873A3B" w:rsidRPr="00810A2E" w:rsidRDefault="00873A3B" w:rsidP="00873A3B">
            <w:pPr>
              <w:widowControl w:val="0"/>
              <w:rPr>
                <w:rFonts w:cs="Arial"/>
                <w:sz w:val="20"/>
              </w:rPr>
            </w:pPr>
            <w:r>
              <w:rPr>
                <w:rFonts w:cs="Arial"/>
                <w:sz w:val="20"/>
              </w:rPr>
              <w:t>1.4</w:t>
            </w:r>
          </w:p>
        </w:tc>
        <w:tc>
          <w:tcPr>
            <w:tcW w:w="3639" w:type="pct"/>
          </w:tcPr>
          <w:p w14:paraId="3513B0AA" w14:textId="65014A2D" w:rsidR="00873A3B" w:rsidRPr="00810A2E" w:rsidRDefault="00873A3B" w:rsidP="00873A3B">
            <w:pPr>
              <w:widowControl w:val="0"/>
              <w:rPr>
                <w:rFonts w:cs="Arial"/>
                <w:sz w:val="20"/>
              </w:rPr>
            </w:pPr>
            <w:r>
              <w:rPr>
                <w:rFonts w:cs="Arial"/>
                <w:sz w:val="20"/>
              </w:rPr>
              <w:t>In review 3 those with in vitro susceptibility were included but it seems even if other alternative agents may have been available and more suitable.</w:t>
            </w:r>
          </w:p>
        </w:tc>
      </w:tr>
      <w:tr w:rsidR="00873A3B" w:rsidRPr="00810A2E" w14:paraId="1C9A6E17" w14:textId="77777777" w:rsidTr="00873A3B">
        <w:tc>
          <w:tcPr>
            <w:tcW w:w="559" w:type="pct"/>
          </w:tcPr>
          <w:p w14:paraId="0EE8896C" w14:textId="77777777" w:rsidR="00873A3B" w:rsidRDefault="00873A3B" w:rsidP="00873A3B">
            <w:pPr>
              <w:widowControl w:val="0"/>
              <w:jc w:val="center"/>
              <w:rPr>
                <w:rFonts w:cs="Arial"/>
                <w:sz w:val="20"/>
              </w:rPr>
            </w:pPr>
            <w:r>
              <w:rPr>
                <w:rFonts w:cs="Arial"/>
                <w:sz w:val="20"/>
              </w:rPr>
              <w:t>5</w:t>
            </w:r>
          </w:p>
          <w:p w14:paraId="2AC798C9" w14:textId="3CF144C8" w:rsidR="00873A3B" w:rsidRPr="00810A2E" w:rsidRDefault="00873A3B" w:rsidP="00873A3B">
            <w:pPr>
              <w:widowControl w:val="0"/>
              <w:jc w:val="center"/>
              <w:rPr>
                <w:rFonts w:cs="Arial"/>
                <w:sz w:val="20"/>
              </w:rPr>
            </w:pPr>
          </w:p>
        </w:tc>
        <w:tc>
          <w:tcPr>
            <w:tcW w:w="341" w:type="pct"/>
          </w:tcPr>
          <w:p w14:paraId="463D2432" w14:textId="7D877A42" w:rsidR="00873A3B" w:rsidRPr="00810A2E" w:rsidRDefault="00873A3B" w:rsidP="00873A3B">
            <w:pPr>
              <w:widowControl w:val="0"/>
              <w:rPr>
                <w:rFonts w:cs="Arial"/>
                <w:sz w:val="20"/>
              </w:rPr>
            </w:pPr>
            <w:r>
              <w:rPr>
                <w:rFonts w:cs="Arial"/>
                <w:sz w:val="20"/>
              </w:rPr>
              <w:t>16</w:t>
            </w:r>
          </w:p>
        </w:tc>
        <w:tc>
          <w:tcPr>
            <w:tcW w:w="461" w:type="pct"/>
          </w:tcPr>
          <w:p w14:paraId="23AF1992" w14:textId="516A34FB" w:rsidR="00873A3B" w:rsidRPr="00810A2E" w:rsidRDefault="00873A3B" w:rsidP="00873A3B">
            <w:pPr>
              <w:widowControl w:val="0"/>
              <w:rPr>
                <w:rFonts w:cs="Arial"/>
                <w:sz w:val="20"/>
              </w:rPr>
            </w:pPr>
            <w:r>
              <w:rPr>
                <w:rFonts w:cs="Arial"/>
                <w:sz w:val="20"/>
              </w:rPr>
              <w:t>1.4.2</w:t>
            </w:r>
          </w:p>
        </w:tc>
        <w:tc>
          <w:tcPr>
            <w:tcW w:w="3639" w:type="pct"/>
          </w:tcPr>
          <w:p w14:paraId="32A26F73" w14:textId="4E76671C" w:rsidR="00873A3B" w:rsidRPr="00810A2E" w:rsidRDefault="00873A3B" w:rsidP="00873A3B">
            <w:pPr>
              <w:widowControl w:val="0"/>
              <w:rPr>
                <w:rFonts w:cs="Arial"/>
                <w:sz w:val="20"/>
              </w:rPr>
            </w:pPr>
            <w:r>
              <w:rPr>
                <w:rFonts w:cs="Arial"/>
                <w:sz w:val="20"/>
              </w:rPr>
              <w:t>Whilst CREDIBLE-CR and APEKS-UTI and APEKS-NP may have high risk of bias and unsuitable numbers it is good there is later discussion of these trials.</w:t>
            </w:r>
          </w:p>
        </w:tc>
      </w:tr>
      <w:tr w:rsidR="00873A3B" w:rsidRPr="00810A2E" w14:paraId="311E735F" w14:textId="77777777" w:rsidTr="00873A3B">
        <w:tc>
          <w:tcPr>
            <w:tcW w:w="559" w:type="pct"/>
          </w:tcPr>
          <w:p w14:paraId="562D0B53" w14:textId="77777777" w:rsidR="00873A3B" w:rsidRDefault="00873A3B" w:rsidP="00873A3B">
            <w:pPr>
              <w:widowControl w:val="0"/>
              <w:jc w:val="center"/>
              <w:rPr>
                <w:rFonts w:cs="Arial"/>
                <w:sz w:val="20"/>
              </w:rPr>
            </w:pPr>
            <w:r>
              <w:rPr>
                <w:rFonts w:cs="Arial"/>
                <w:sz w:val="20"/>
              </w:rPr>
              <w:t>6</w:t>
            </w:r>
          </w:p>
          <w:p w14:paraId="6B7E1DA1" w14:textId="09ECA2C5" w:rsidR="00873A3B" w:rsidRPr="00810A2E" w:rsidRDefault="00873A3B" w:rsidP="00873A3B">
            <w:pPr>
              <w:widowControl w:val="0"/>
              <w:jc w:val="center"/>
              <w:rPr>
                <w:rFonts w:cs="Arial"/>
                <w:sz w:val="20"/>
              </w:rPr>
            </w:pPr>
          </w:p>
        </w:tc>
        <w:tc>
          <w:tcPr>
            <w:tcW w:w="341" w:type="pct"/>
          </w:tcPr>
          <w:p w14:paraId="604388F2" w14:textId="1A274E9D" w:rsidR="00873A3B" w:rsidRPr="00810A2E" w:rsidRDefault="00873A3B" w:rsidP="00873A3B">
            <w:pPr>
              <w:widowControl w:val="0"/>
              <w:rPr>
                <w:rFonts w:cs="Arial"/>
                <w:sz w:val="20"/>
              </w:rPr>
            </w:pPr>
            <w:r>
              <w:rPr>
                <w:rFonts w:cs="Arial"/>
                <w:sz w:val="20"/>
              </w:rPr>
              <w:t>19</w:t>
            </w:r>
          </w:p>
        </w:tc>
        <w:tc>
          <w:tcPr>
            <w:tcW w:w="461" w:type="pct"/>
          </w:tcPr>
          <w:p w14:paraId="097E1FCB" w14:textId="70FFA14B" w:rsidR="00873A3B" w:rsidRPr="00810A2E" w:rsidRDefault="00873A3B" w:rsidP="00873A3B">
            <w:pPr>
              <w:widowControl w:val="0"/>
              <w:rPr>
                <w:rFonts w:cs="Arial"/>
                <w:sz w:val="20"/>
              </w:rPr>
            </w:pPr>
            <w:r>
              <w:rPr>
                <w:rFonts w:cs="Arial"/>
                <w:sz w:val="20"/>
              </w:rPr>
              <w:t>Figure 1</w:t>
            </w:r>
          </w:p>
        </w:tc>
        <w:tc>
          <w:tcPr>
            <w:tcW w:w="3639" w:type="pct"/>
          </w:tcPr>
          <w:p w14:paraId="19E995A4" w14:textId="55C0A2FE" w:rsidR="00873A3B" w:rsidRPr="00810A2E" w:rsidRDefault="00873A3B" w:rsidP="00873A3B">
            <w:pPr>
              <w:widowControl w:val="0"/>
              <w:rPr>
                <w:rFonts w:cs="Arial"/>
                <w:sz w:val="20"/>
              </w:rPr>
            </w:pPr>
            <w:r>
              <w:rPr>
                <w:rFonts w:cs="Arial"/>
                <w:sz w:val="20"/>
              </w:rPr>
              <w:t>There appears no section in this figure of this agent being only used where alternatives are not available.</w:t>
            </w:r>
          </w:p>
        </w:tc>
      </w:tr>
      <w:tr w:rsidR="00873A3B" w:rsidRPr="00810A2E" w14:paraId="23D83C36" w14:textId="77777777" w:rsidTr="00873A3B">
        <w:tc>
          <w:tcPr>
            <w:tcW w:w="559" w:type="pct"/>
          </w:tcPr>
          <w:p w14:paraId="14F0041A" w14:textId="56DA09A0" w:rsidR="00873A3B" w:rsidRDefault="00873A3B" w:rsidP="00873A3B">
            <w:pPr>
              <w:widowControl w:val="0"/>
              <w:jc w:val="center"/>
              <w:rPr>
                <w:rFonts w:cs="Arial"/>
                <w:sz w:val="20"/>
              </w:rPr>
            </w:pPr>
            <w:r>
              <w:rPr>
                <w:rFonts w:cs="Arial"/>
                <w:sz w:val="20"/>
              </w:rPr>
              <w:t>7</w:t>
            </w:r>
          </w:p>
          <w:p w14:paraId="5ACF5B4E" w14:textId="398A97D8" w:rsidR="00873A3B" w:rsidRDefault="00873A3B" w:rsidP="00873A3B">
            <w:pPr>
              <w:widowControl w:val="0"/>
              <w:jc w:val="center"/>
              <w:rPr>
                <w:rFonts w:cs="Arial"/>
                <w:sz w:val="20"/>
              </w:rPr>
            </w:pPr>
          </w:p>
        </w:tc>
        <w:tc>
          <w:tcPr>
            <w:tcW w:w="341" w:type="pct"/>
          </w:tcPr>
          <w:p w14:paraId="5FEE973A" w14:textId="5A39DDF6" w:rsidR="00873A3B" w:rsidRPr="00810A2E" w:rsidRDefault="00873A3B" w:rsidP="00873A3B">
            <w:pPr>
              <w:widowControl w:val="0"/>
              <w:rPr>
                <w:rFonts w:cs="Arial"/>
                <w:sz w:val="20"/>
              </w:rPr>
            </w:pPr>
            <w:r>
              <w:rPr>
                <w:rFonts w:cs="Arial"/>
                <w:sz w:val="20"/>
              </w:rPr>
              <w:t>21</w:t>
            </w:r>
          </w:p>
        </w:tc>
        <w:tc>
          <w:tcPr>
            <w:tcW w:w="461" w:type="pct"/>
          </w:tcPr>
          <w:p w14:paraId="5F2C6861" w14:textId="79051196" w:rsidR="00873A3B" w:rsidRPr="00810A2E" w:rsidRDefault="00873A3B" w:rsidP="00873A3B">
            <w:pPr>
              <w:widowControl w:val="0"/>
              <w:rPr>
                <w:rFonts w:cs="Arial"/>
                <w:sz w:val="20"/>
              </w:rPr>
            </w:pPr>
            <w:r>
              <w:rPr>
                <w:rFonts w:cs="Arial"/>
                <w:sz w:val="20"/>
              </w:rPr>
              <w:t>1.5.2</w:t>
            </w:r>
          </w:p>
        </w:tc>
        <w:tc>
          <w:tcPr>
            <w:tcW w:w="3639" w:type="pct"/>
          </w:tcPr>
          <w:p w14:paraId="45AD490C" w14:textId="4B85CF5C" w:rsidR="00873A3B" w:rsidRPr="00810A2E" w:rsidRDefault="00873A3B" w:rsidP="00873A3B">
            <w:pPr>
              <w:widowControl w:val="0"/>
              <w:rPr>
                <w:rFonts w:cs="Arial"/>
                <w:sz w:val="20"/>
              </w:rPr>
            </w:pPr>
            <w:r>
              <w:rPr>
                <w:rFonts w:cs="Arial"/>
                <w:sz w:val="20"/>
              </w:rPr>
              <w:t xml:space="preserve">I am struggling to find in the document the information on which the risk of empiric treatment being given when not required. There is clear mention of this information being obtained from </w:t>
            </w:r>
            <w:proofErr w:type="gramStart"/>
            <w:r>
              <w:rPr>
                <w:rFonts w:cs="Arial"/>
                <w:sz w:val="20"/>
              </w:rPr>
              <w:t>PHE</w:t>
            </w:r>
            <w:proofErr w:type="gramEnd"/>
            <w:r>
              <w:rPr>
                <w:rFonts w:cs="Arial"/>
                <w:sz w:val="20"/>
              </w:rPr>
              <w:t xml:space="preserve"> but I cannot see the numbers clearly in the text.</w:t>
            </w:r>
          </w:p>
        </w:tc>
      </w:tr>
      <w:tr w:rsidR="00873A3B" w:rsidRPr="00810A2E" w14:paraId="0CEA1F0D" w14:textId="77777777" w:rsidTr="00873A3B">
        <w:tc>
          <w:tcPr>
            <w:tcW w:w="559" w:type="pct"/>
          </w:tcPr>
          <w:p w14:paraId="37983408" w14:textId="6510E1E8" w:rsidR="00873A3B" w:rsidRDefault="00873A3B" w:rsidP="00873A3B">
            <w:pPr>
              <w:widowControl w:val="0"/>
              <w:jc w:val="center"/>
              <w:rPr>
                <w:rFonts w:cs="Arial"/>
                <w:sz w:val="20"/>
              </w:rPr>
            </w:pPr>
            <w:r>
              <w:rPr>
                <w:rFonts w:cs="Arial"/>
                <w:sz w:val="20"/>
              </w:rPr>
              <w:t>8</w:t>
            </w:r>
          </w:p>
          <w:p w14:paraId="159FFCC5" w14:textId="0CB5DAD1" w:rsidR="00873A3B" w:rsidRDefault="00873A3B" w:rsidP="00873A3B">
            <w:pPr>
              <w:widowControl w:val="0"/>
              <w:jc w:val="center"/>
              <w:rPr>
                <w:rFonts w:cs="Arial"/>
                <w:sz w:val="20"/>
              </w:rPr>
            </w:pPr>
          </w:p>
        </w:tc>
        <w:tc>
          <w:tcPr>
            <w:tcW w:w="341" w:type="pct"/>
          </w:tcPr>
          <w:p w14:paraId="35B0C5DE" w14:textId="6770DCDA" w:rsidR="00873A3B" w:rsidRPr="00810A2E" w:rsidRDefault="00873A3B" w:rsidP="00873A3B">
            <w:pPr>
              <w:widowControl w:val="0"/>
              <w:rPr>
                <w:rFonts w:cs="Arial"/>
                <w:sz w:val="20"/>
              </w:rPr>
            </w:pPr>
            <w:r>
              <w:rPr>
                <w:rFonts w:cs="Arial"/>
                <w:sz w:val="20"/>
              </w:rPr>
              <w:t>22</w:t>
            </w:r>
          </w:p>
        </w:tc>
        <w:tc>
          <w:tcPr>
            <w:tcW w:w="461" w:type="pct"/>
          </w:tcPr>
          <w:p w14:paraId="59A3A73E" w14:textId="6FD58EA1" w:rsidR="00873A3B" w:rsidRPr="00810A2E" w:rsidRDefault="00873A3B" w:rsidP="00873A3B">
            <w:pPr>
              <w:widowControl w:val="0"/>
              <w:rPr>
                <w:rFonts w:cs="Arial"/>
                <w:sz w:val="20"/>
              </w:rPr>
            </w:pPr>
            <w:r>
              <w:rPr>
                <w:rFonts w:cs="Arial"/>
                <w:sz w:val="20"/>
              </w:rPr>
              <w:t>1.5.2</w:t>
            </w:r>
          </w:p>
        </w:tc>
        <w:tc>
          <w:tcPr>
            <w:tcW w:w="3639" w:type="pct"/>
          </w:tcPr>
          <w:p w14:paraId="7653EE4E" w14:textId="4F94D09D" w:rsidR="00873A3B" w:rsidRPr="00810A2E" w:rsidRDefault="00873A3B" w:rsidP="00873A3B">
            <w:pPr>
              <w:widowControl w:val="0"/>
              <w:rPr>
                <w:rFonts w:cs="Arial"/>
                <w:sz w:val="20"/>
              </w:rPr>
            </w:pPr>
            <w:r>
              <w:rPr>
                <w:rFonts w:cs="Arial"/>
                <w:sz w:val="20"/>
              </w:rPr>
              <w:t xml:space="preserve">HAP/VAP- there seems a presumption that treatment is required but there will be cases of HAP/VAP which would respond to aminoglycosides alone without toxicity expected with a short course such as 3 days. It is possible there would </w:t>
            </w:r>
            <w:r>
              <w:rPr>
                <w:rFonts w:cs="Arial"/>
                <w:sz w:val="20"/>
              </w:rPr>
              <w:lastRenderedPageBreak/>
              <w:t>be recovery without antibiotic treatment as the organism may be a coloniser and the CXR change for other reasons such as inflammation, fluid overload or aspiration.</w:t>
            </w:r>
            <w:r w:rsidR="007C3740">
              <w:rPr>
                <w:rFonts w:cs="Arial"/>
                <w:sz w:val="20"/>
              </w:rPr>
              <w:t xml:space="preserve"> HAP/VAP is difficult to diagnose with certainty.</w:t>
            </w:r>
          </w:p>
        </w:tc>
      </w:tr>
      <w:tr w:rsidR="00873A3B" w:rsidRPr="00810A2E" w14:paraId="552A03D7" w14:textId="77777777" w:rsidTr="00873A3B">
        <w:tc>
          <w:tcPr>
            <w:tcW w:w="559" w:type="pct"/>
          </w:tcPr>
          <w:p w14:paraId="7D13EFFD" w14:textId="1B13EE1B" w:rsidR="00873A3B" w:rsidRDefault="007C3740" w:rsidP="00873A3B">
            <w:pPr>
              <w:widowControl w:val="0"/>
              <w:jc w:val="center"/>
              <w:rPr>
                <w:rFonts w:cs="Arial"/>
                <w:sz w:val="20"/>
              </w:rPr>
            </w:pPr>
            <w:r>
              <w:rPr>
                <w:rFonts w:cs="Arial"/>
                <w:sz w:val="20"/>
              </w:rPr>
              <w:lastRenderedPageBreak/>
              <w:t>9</w:t>
            </w:r>
          </w:p>
        </w:tc>
        <w:tc>
          <w:tcPr>
            <w:tcW w:w="341" w:type="pct"/>
          </w:tcPr>
          <w:p w14:paraId="00EAC8BB" w14:textId="66A237D4" w:rsidR="00873A3B" w:rsidRPr="00810A2E" w:rsidRDefault="007C3740" w:rsidP="00873A3B">
            <w:pPr>
              <w:widowControl w:val="0"/>
              <w:rPr>
                <w:rFonts w:cs="Arial"/>
                <w:sz w:val="20"/>
              </w:rPr>
            </w:pPr>
            <w:r>
              <w:rPr>
                <w:rFonts w:cs="Arial"/>
                <w:sz w:val="20"/>
              </w:rPr>
              <w:t>28</w:t>
            </w:r>
          </w:p>
        </w:tc>
        <w:tc>
          <w:tcPr>
            <w:tcW w:w="461" w:type="pct"/>
          </w:tcPr>
          <w:p w14:paraId="4A235F50" w14:textId="7844BECB" w:rsidR="00873A3B" w:rsidRPr="00810A2E" w:rsidRDefault="007C3740" w:rsidP="00873A3B">
            <w:pPr>
              <w:widowControl w:val="0"/>
              <w:rPr>
                <w:rFonts w:cs="Arial"/>
                <w:sz w:val="20"/>
              </w:rPr>
            </w:pPr>
            <w:r>
              <w:rPr>
                <w:rFonts w:cs="Arial"/>
                <w:sz w:val="20"/>
              </w:rPr>
              <w:t>2.2</w:t>
            </w:r>
          </w:p>
        </w:tc>
        <w:tc>
          <w:tcPr>
            <w:tcW w:w="3639" w:type="pct"/>
          </w:tcPr>
          <w:p w14:paraId="4A0C4E70" w14:textId="0058587A" w:rsidR="00873A3B" w:rsidRPr="00810A2E" w:rsidRDefault="007C3740" w:rsidP="00873A3B">
            <w:pPr>
              <w:widowControl w:val="0"/>
              <w:rPr>
                <w:rFonts w:cs="Arial"/>
                <w:sz w:val="20"/>
              </w:rPr>
            </w:pPr>
            <w:r>
              <w:rPr>
                <w:rFonts w:cs="Arial"/>
                <w:sz w:val="20"/>
              </w:rPr>
              <w:t xml:space="preserve">It would be helpful context to understand how much </w:t>
            </w:r>
            <w:proofErr w:type="spellStart"/>
            <w:r>
              <w:rPr>
                <w:rFonts w:cs="Arial"/>
                <w:sz w:val="20"/>
              </w:rPr>
              <w:t>cefiderocol</w:t>
            </w:r>
            <w:proofErr w:type="spellEnd"/>
            <w:r>
              <w:rPr>
                <w:rFonts w:cs="Arial"/>
                <w:sz w:val="20"/>
              </w:rPr>
              <w:t xml:space="preserve"> has already been prescribed in the UK and at what cost if this could be added here.</w:t>
            </w:r>
          </w:p>
        </w:tc>
      </w:tr>
      <w:tr w:rsidR="00873A3B" w:rsidRPr="00810A2E" w14:paraId="2EDD53C6" w14:textId="77777777" w:rsidTr="00873A3B">
        <w:tc>
          <w:tcPr>
            <w:tcW w:w="559" w:type="pct"/>
          </w:tcPr>
          <w:p w14:paraId="703D5CFF" w14:textId="5846F4FE" w:rsidR="00873A3B" w:rsidRDefault="007C3740" w:rsidP="00873A3B">
            <w:pPr>
              <w:widowControl w:val="0"/>
              <w:jc w:val="center"/>
              <w:rPr>
                <w:rFonts w:cs="Arial"/>
                <w:sz w:val="20"/>
              </w:rPr>
            </w:pPr>
            <w:r>
              <w:rPr>
                <w:rFonts w:cs="Arial"/>
                <w:sz w:val="20"/>
              </w:rPr>
              <w:t>10</w:t>
            </w:r>
          </w:p>
        </w:tc>
        <w:tc>
          <w:tcPr>
            <w:tcW w:w="341" w:type="pct"/>
          </w:tcPr>
          <w:p w14:paraId="7D25907A" w14:textId="3531A8B7" w:rsidR="00873A3B" w:rsidRPr="00810A2E" w:rsidRDefault="007C3740" w:rsidP="00873A3B">
            <w:pPr>
              <w:widowControl w:val="0"/>
              <w:rPr>
                <w:rFonts w:cs="Arial"/>
                <w:sz w:val="20"/>
              </w:rPr>
            </w:pPr>
            <w:r>
              <w:rPr>
                <w:rFonts w:cs="Arial"/>
                <w:sz w:val="20"/>
              </w:rPr>
              <w:t>30</w:t>
            </w:r>
          </w:p>
        </w:tc>
        <w:tc>
          <w:tcPr>
            <w:tcW w:w="461" w:type="pct"/>
          </w:tcPr>
          <w:p w14:paraId="2524A39D" w14:textId="4D2240AF" w:rsidR="00873A3B" w:rsidRPr="00810A2E" w:rsidRDefault="007C3740" w:rsidP="00873A3B">
            <w:pPr>
              <w:widowControl w:val="0"/>
              <w:rPr>
                <w:rFonts w:cs="Arial"/>
                <w:sz w:val="20"/>
              </w:rPr>
            </w:pPr>
            <w:r>
              <w:rPr>
                <w:rFonts w:cs="Arial"/>
                <w:sz w:val="20"/>
              </w:rPr>
              <w:t>Box 1</w:t>
            </w:r>
          </w:p>
        </w:tc>
        <w:tc>
          <w:tcPr>
            <w:tcW w:w="3639" w:type="pct"/>
          </w:tcPr>
          <w:p w14:paraId="09A58B4A" w14:textId="467906C0" w:rsidR="00873A3B" w:rsidRPr="00810A2E" w:rsidRDefault="007C3740" w:rsidP="00873A3B">
            <w:pPr>
              <w:widowControl w:val="0"/>
              <w:rPr>
                <w:rFonts w:cs="Arial"/>
                <w:sz w:val="20"/>
              </w:rPr>
            </w:pPr>
            <w:r>
              <w:rPr>
                <w:rFonts w:cs="Arial"/>
                <w:sz w:val="20"/>
              </w:rPr>
              <w:t>Is the context of attributable and non-attributable morbidity accounted for? If not these QALYs may be overestimated as these patients may be unwell for other reasons.</w:t>
            </w:r>
            <w:r w:rsidR="00332A24">
              <w:rPr>
                <w:rFonts w:cs="Arial"/>
                <w:sz w:val="20"/>
              </w:rPr>
              <w:t xml:space="preserve"> I see attributable and non-attributable AKI is discussed later and this too. Please </w:t>
            </w:r>
            <w:proofErr w:type="gramStart"/>
            <w:r w:rsidR="00332A24">
              <w:rPr>
                <w:rFonts w:cs="Arial"/>
                <w:sz w:val="20"/>
              </w:rPr>
              <w:t>include clearly</w:t>
            </w:r>
            <w:proofErr w:type="gramEnd"/>
            <w:r w:rsidR="00332A24">
              <w:rPr>
                <w:rFonts w:cs="Arial"/>
                <w:sz w:val="20"/>
              </w:rPr>
              <w:t xml:space="preserve"> this aspect in the introduction.</w:t>
            </w:r>
          </w:p>
        </w:tc>
      </w:tr>
      <w:tr w:rsidR="007C3740" w:rsidRPr="00810A2E" w14:paraId="050A168E" w14:textId="77777777" w:rsidTr="00873A3B">
        <w:tc>
          <w:tcPr>
            <w:tcW w:w="559" w:type="pct"/>
          </w:tcPr>
          <w:p w14:paraId="1521E431" w14:textId="74953835" w:rsidR="007C3740" w:rsidRDefault="007C3740" w:rsidP="00873A3B">
            <w:pPr>
              <w:widowControl w:val="0"/>
              <w:jc w:val="center"/>
              <w:rPr>
                <w:rFonts w:cs="Arial"/>
                <w:sz w:val="20"/>
              </w:rPr>
            </w:pPr>
            <w:r>
              <w:rPr>
                <w:rFonts w:cs="Arial"/>
                <w:sz w:val="20"/>
              </w:rPr>
              <w:t>11</w:t>
            </w:r>
          </w:p>
        </w:tc>
        <w:tc>
          <w:tcPr>
            <w:tcW w:w="341" w:type="pct"/>
          </w:tcPr>
          <w:p w14:paraId="503BF95A" w14:textId="1B9A4D81" w:rsidR="007C3740" w:rsidRDefault="007C3740" w:rsidP="00873A3B">
            <w:pPr>
              <w:widowControl w:val="0"/>
              <w:rPr>
                <w:rFonts w:cs="Arial"/>
                <w:sz w:val="20"/>
              </w:rPr>
            </w:pPr>
            <w:r>
              <w:rPr>
                <w:rFonts w:cs="Arial"/>
                <w:sz w:val="20"/>
              </w:rPr>
              <w:t>32</w:t>
            </w:r>
          </w:p>
        </w:tc>
        <w:tc>
          <w:tcPr>
            <w:tcW w:w="461" w:type="pct"/>
          </w:tcPr>
          <w:p w14:paraId="27D9CB76" w14:textId="099C1845" w:rsidR="007C3740" w:rsidRDefault="007C3740" w:rsidP="00873A3B">
            <w:pPr>
              <w:widowControl w:val="0"/>
              <w:rPr>
                <w:rFonts w:cs="Arial"/>
                <w:sz w:val="20"/>
              </w:rPr>
            </w:pPr>
            <w:r>
              <w:rPr>
                <w:rFonts w:cs="Arial"/>
                <w:sz w:val="20"/>
              </w:rPr>
              <w:t>4.2.1</w:t>
            </w:r>
          </w:p>
        </w:tc>
        <w:tc>
          <w:tcPr>
            <w:tcW w:w="3639" w:type="pct"/>
          </w:tcPr>
          <w:p w14:paraId="695F3892" w14:textId="38A166C6" w:rsidR="007C3740" w:rsidRDefault="007C3740" w:rsidP="00873A3B">
            <w:pPr>
              <w:widowControl w:val="0"/>
              <w:rPr>
                <w:rFonts w:cs="Arial"/>
                <w:sz w:val="20"/>
              </w:rPr>
            </w:pPr>
            <w:r>
              <w:rPr>
                <w:rFonts w:cs="Arial"/>
                <w:sz w:val="20"/>
              </w:rPr>
              <w:t>Consultation stated reserved for those with carbapenem-resistance but should this statement also state ‘and without other non-toxic available options based on susceptibility’?</w:t>
            </w:r>
          </w:p>
        </w:tc>
      </w:tr>
      <w:tr w:rsidR="00873A3B" w:rsidRPr="00810A2E" w14:paraId="17521CE3" w14:textId="77777777" w:rsidTr="00873A3B">
        <w:tc>
          <w:tcPr>
            <w:tcW w:w="559" w:type="pct"/>
          </w:tcPr>
          <w:p w14:paraId="4A26C32C" w14:textId="08FD4AB8" w:rsidR="00873A3B" w:rsidRDefault="00115FC7" w:rsidP="00873A3B">
            <w:pPr>
              <w:widowControl w:val="0"/>
              <w:jc w:val="center"/>
              <w:rPr>
                <w:rFonts w:cs="Arial"/>
                <w:sz w:val="20"/>
              </w:rPr>
            </w:pPr>
            <w:r>
              <w:rPr>
                <w:rFonts w:cs="Arial"/>
                <w:sz w:val="20"/>
              </w:rPr>
              <w:t>12</w:t>
            </w:r>
          </w:p>
        </w:tc>
        <w:tc>
          <w:tcPr>
            <w:tcW w:w="341" w:type="pct"/>
          </w:tcPr>
          <w:p w14:paraId="4C1A47C6" w14:textId="78283355" w:rsidR="00873A3B" w:rsidRPr="00810A2E" w:rsidRDefault="00115FC7" w:rsidP="00873A3B">
            <w:pPr>
              <w:widowControl w:val="0"/>
              <w:rPr>
                <w:rFonts w:cs="Arial"/>
                <w:sz w:val="20"/>
              </w:rPr>
            </w:pPr>
            <w:r>
              <w:rPr>
                <w:rFonts w:cs="Arial"/>
                <w:sz w:val="20"/>
              </w:rPr>
              <w:t>100</w:t>
            </w:r>
          </w:p>
        </w:tc>
        <w:tc>
          <w:tcPr>
            <w:tcW w:w="461" w:type="pct"/>
          </w:tcPr>
          <w:p w14:paraId="27405A23" w14:textId="39463073" w:rsidR="00873A3B" w:rsidRPr="00810A2E" w:rsidRDefault="00115FC7" w:rsidP="00873A3B">
            <w:pPr>
              <w:widowControl w:val="0"/>
              <w:rPr>
                <w:rFonts w:cs="Arial"/>
                <w:sz w:val="20"/>
              </w:rPr>
            </w:pPr>
            <w:r>
              <w:rPr>
                <w:rFonts w:cs="Arial"/>
                <w:sz w:val="20"/>
              </w:rPr>
              <w:t>6.1.2</w:t>
            </w:r>
          </w:p>
        </w:tc>
        <w:tc>
          <w:tcPr>
            <w:tcW w:w="3639" w:type="pct"/>
          </w:tcPr>
          <w:p w14:paraId="6ACEB712" w14:textId="01384CC8" w:rsidR="00873A3B" w:rsidRPr="00810A2E" w:rsidRDefault="00115FC7" w:rsidP="00873A3B">
            <w:pPr>
              <w:widowControl w:val="0"/>
              <w:rPr>
                <w:rFonts w:cs="Arial"/>
                <w:sz w:val="20"/>
              </w:rPr>
            </w:pPr>
            <w:r>
              <w:rPr>
                <w:rFonts w:cs="Arial"/>
                <w:sz w:val="20"/>
              </w:rPr>
              <w:t>Were no infectious diseases consultants recruited to this? If they were this should be listed.</w:t>
            </w:r>
          </w:p>
        </w:tc>
      </w:tr>
      <w:tr w:rsidR="00873A3B" w:rsidRPr="00810A2E" w14:paraId="1C9C8F14" w14:textId="77777777" w:rsidTr="00873A3B">
        <w:tc>
          <w:tcPr>
            <w:tcW w:w="559" w:type="pct"/>
          </w:tcPr>
          <w:p w14:paraId="0E8CB6B2" w14:textId="67E63C5E" w:rsidR="00873A3B" w:rsidRDefault="00115FC7" w:rsidP="00873A3B">
            <w:pPr>
              <w:widowControl w:val="0"/>
              <w:jc w:val="center"/>
              <w:rPr>
                <w:rFonts w:cs="Arial"/>
                <w:sz w:val="20"/>
              </w:rPr>
            </w:pPr>
            <w:r>
              <w:rPr>
                <w:rFonts w:cs="Arial"/>
                <w:sz w:val="20"/>
              </w:rPr>
              <w:t>13</w:t>
            </w:r>
          </w:p>
        </w:tc>
        <w:tc>
          <w:tcPr>
            <w:tcW w:w="341" w:type="pct"/>
          </w:tcPr>
          <w:p w14:paraId="474982DC" w14:textId="06A6C655" w:rsidR="00873A3B" w:rsidRPr="00810A2E" w:rsidRDefault="00115FC7" w:rsidP="00873A3B">
            <w:pPr>
              <w:widowControl w:val="0"/>
              <w:rPr>
                <w:rFonts w:cs="Arial"/>
                <w:sz w:val="20"/>
              </w:rPr>
            </w:pPr>
            <w:r>
              <w:rPr>
                <w:rFonts w:cs="Arial"/>
                <w:sz w:val="20"/>
              </w:rPr>
              <w:t>101</w:t>
            </w:r>
          </w:p>
        </w:tc>
        <w:tc>
          <w:tcPr>
            <w:tcW w:w="461" w:type="pct"/>
          </w:tcPr>
          <w:p w14:paraId="6A2E149A" w14:textId="47136433" w:rsidR="00873A3B" w:rsidRPr="00810A2E" w:rsidRDefault="00115FC7" w:rsidP="00873A3B">
            <w:pPr>
              <w:widowControl w:val="0"/>
              <w:rPr>
                <w:rFonts w:cs="Arial"/>
                <w:sz w:val="20"/>
              </w:rPr>
            </w:pPr>
            <w:r>
              <w:rPr>
                <w:rFonts w:cs="Arial"/>
                <w:sz w:val="20"/>
              </w:rPr>
              <w:t>6.2.1</w:t>
            </w:r>
          </w:p>
        </w:tc>
        <w:tc>
          <w:tcPr>
            <w:tcW w:w="3639" w:type="pct"/>
          </w:tcPr>
          <w:p w14:paraId="04D93A41" w14:textId="4DF7D0A4" w:rsidR="00873A3B" w:rsidRPr="00810A2E" w:rsidRDefault="00115FC7" w:rsidP="00873A3B">
            <w:pPr>
              <w:widowControl w:val="0"/>
              <w:rPr>
                <w:rFonts w:cs="Arial"/>
                <w:sz w:val="20"/>
              </w:rPr>
            </w:pPr>
            <w:r>
              <w:rPr>
                <w:rFonts w:cs="Arial"/>
                <w:sz w:val="20"/>
              </w:rPr>
              <w:t xml:space="preserve">Were the two with </w:t>
            </w:r>
            <w:proofErr w:type="spellStart"/>
            <w:r>
              <w:rPr>
                <w:rFonts w:cs="Arial"/>
                <w:sz w:val="20"/>
              </w:rPr>
              <w:t>inplausible</w:t>
            </w:r>
            <w:proofErr w:type="spellEnd"/>
            <w:r>
              <w:rPr>
                <w:rFonts w:cs="Arial"/>
                <w:sz w:val="20"/>
              </w:rPr>
              <w:t xml:space="preserve"> answers removed from the entire analysis (all questions) or just this question?</w:t>
            </w:r>
          </w:p>
        </w:tc>
      </w:tr>
      <w:tr w:rsidR="00873A3B" w:rsidRPr="00810A2E" w14:paraId="7E4614BB" w14:textId="77777777" w:rsidTr="00873A3B">
        <w:tc>
          <w:tcPr>
            <w:tcW w:w="559" w:type="pct"/>
          </w:tcPr>
          <w:p w14:paraId="7B120653" w14:textId="3AF8605F" w:rsidR="00873A3B" w:rsidRDefault="00FB270A" w:rsidP="00873A3B">
            <w:pPr>
              <w:widowControl w:val="0"/>
              <w:jc w:val="center"/>
              <w:rPr>
                <w:rFonts w:cs="Arial"/>
                <w:sz w:val="20"/>
              </w:rPr>
            </w:pPr>
            <w:r>
              <w:rPr>
                <w:rFonts w:cs="Arial"/>
                <w:sz w:val="20"/>
              </w:rPr>
              <w:t>14</w:t>
            </w:r>
          </w:p>
        </w:tc>
        <w:tc>
          <w:tcPr>
            <w:tcW w:w="341" w:type="pct"/>
          </w:tcPr>
          <w:p w14:paraId="7D899E34" w14:textId="6595E531" w:rsidR="00873A3B" w:rsidRPr="00810A2E" w:rsidRDefault="00FB270A" w:rsidP="00873A3B">
            <w:pPr>
              <w:widowControl w:val="0"/>
              <w:rPr>
                <w:rFonts w:cs="Arial"/>
                <w:sz w:val="20"/>
              </w:rPr>
            </w:pPr>
            <w:r>
              <w:rPr>
                <w:rFonts w:cs="Arial"/>
                <w:sz w:val="20"/>
              </w:rPr>
              <w:t>111</w:t>
            </w:r>
          </w:p>
        </w:tc>
        <w:tc>
          <w:tcPr>
            <w:tcW w:w="461" w:type="pct"/>
          </w:tcPr>
          <w:p w14:paraId="23871B11" w14:textId="428669FC" w:rsidR="00873A3B" w:rsidRPr="00810A2E" w:rsidRDefault="00FB270A" w:rsidP="00873A3B">
            <w:pPr>
              <w:widowControl w:val="0"/>
              <w:rPr>
                <w:rFonts w:cs="Arial"/>
                <w:sz w:val="20"/>
              </w:rPr>
            </w:pPr>
            <w:r>
              <w:rPr>
                <w:rFonts w:cs="Arial"/>
                <w:sz w:val="20"/>
              </w:rPr>
              <w:t>8.2.2.1</w:t>
            </w:r>
          </w:p>
        </w:tc>
        <w:tc>
          <w:tcPr>
            <w:tcW w:w="3639" w:type="pct"/>
          </w:tcPr>
          <w:p w14:paraId="11261D7E" w14:textId="7C55A42F" w:rsidR="00873A3B" w:rsidRPr="00810A2E" w:rsidRDefault="00FB270A" w:rsidP="00873A3B">
            <w:pPr>
              <w:widowControl w:val="0"/>
              <w:rPr>
                <w:rFonts w:cs="Arial"/>
                <w:sz w:val="20"/>
              </w:rPr>
            </w:pPr>
            <w:r>
              <w:rPr>
                <w:rFonts w:cs="Arial"/>
                <w:sz w:val="20"/>
              </w:rPr>
              <w:t xml:space="preserve">It seems aminoglycoside toxicity is being considered as the same as colistin toxicity but in clinical practice the risk from colistin in terms of nephrotoxicity is higher than from aminoglycoside (approximately double the risk with </w:t>
            </w:r>
            <w:proofErr w:type="spellStart"/>
            <w:r>
              <w:rPr>
                <w:rFonts w:cs="Arial"/>
                <w:sz w:val="20"/>
              </w:rPr>
              <w:t>colisin</w:t>
            </w:r>
            <w:proofErr w:type="spellEnd"/>
            <w:r>
              <w:rPr>
                <w:rFonts w:cs="Arial"/>
                <w:sz w:val="20"/>
              </w:rPr>
              <w:t xml:space="preserve"> at brief review). </w:t>
            </w:r>
            <w:proofErr w:type="gramStart"/>
            <w:r>
              <w:rPr>
                <w:rFonts w:cs="Arial"/>
                <w:sz w:val="20"/>
              </w:rPr>
              <w:t>Therefore</w:t>
            </w:r>
            <w:proofErr w:type="gramEnd"/>
            <w:r>
              <w:rPr>
                <w:rFonts w:cs="Arial"/>
                <w:sz w:val="20"/>
              </w:rPr>
              <w:t xml:space="preserve"> the colistin is a realistic treatment to avoid but aminoglycosides could continue to be safely administered with appropriate mechanisms in place- of course these mechanisms have cost too (such as serum levels and the care required to ensure safety) so this may enter calculations. In table 16 however it would be preferable to compare colistin only to those in whom aminoglycosides could be use given the lower risk profile associated with aminoglycosides than colistin and the overall implications of </w:t>
            </w:r>
            <w:proofErr w:type="spellStart"/>
            <w:r>
              <w:rPr>
                <w:rFonts w:cs="Arial"/>
                <w:sz w:val="20"/>
              </w:rPr>
              <w:t>stewadship</w:t>
            </w:r>
            <w:proofErr w:type="spellEnd"/>
          </w:p>
        </w:tc>
      </w:tr>
      <w:tr w:rsidR="003C5657" w:rsidRPr="00810A2E" w14:paraId="20271AF2" w14:textId="77777777" w:rsidTr="00873A3B">
        <w:tc>
          <w:tcPr>
            <w:tcW w:w="559" w:type="pct"/>
          </w:tcPr>
          <w:p w14:paraId="58486F87" w14:textId="1741669F" w:rsidR="003C5657" w:rsidRDefault="003C5657" w:rsidP="00873A3B">
            <w:pPr>
              <w:widowControl w:val="0"/>
              <w:jc w:val="center"/>
              <w:rPr>
                <w:rFonts w:cs="Arial"/>
                <w:sz w:val="20"/>
              </w:rPr>
            </w:pPr>
            <w:r>
              <w:rPr>
                <w:rFonts w:cs="Arial"/>
                <w:sz w:val="20"/>
              </w:rPr>
              <w:t>15</w:t>
            </w:r>
          </w:p>
        </w:tc>
        <w:tc>
          <w:tcPr>
            <w:tcW w:w="341" w:type="pct"/>
          </w:tcPr>
          <w:p w14:paraId="6DEB6AE0" w14:textId="430A97C9" w:rsidR="003C5657" w:rsidRDefault="003C5657" w:rsidP="00873A3B">
            <w:pPr>
              <w:widowControl w:val="0"/>
              <w:rPr>
                <w:rFonts w:cs="Arial"/>
                <w:sz w:val="20"/>
              </w:rPr>
            </w:pPr>
            <w:r>
              <w:rPr>
                <w:rFonts w:cs="Arial"/>
                <w:sz w:val="20"/>
              </w:rPr>
              <w:t>117</w:t>
            </w:r>
          </w:p>
        </w:tc>
        <w:tc>
          <w:tcPr>
            <w:tcW w:w="461" w:type="pct"/>
          </w:tcPr>
          <w:p w14:paraId="7B701599" w14:textId="086DD270" w:rsidR="003C5657" w:rsidRDefault="003C5657" w:rsidP="00873A3B">
            <w:pPr>
              <w:widowControl w:val="0"/>
              <w:rPr>
                <w:rFonts w:cs="Arial"/>
                <w:sz w:val="20"/>
              </w:rPr>
            </w:pPr>
            <w:r>
              <w:rPr>
                <w:rFonts w:cs="Arial"/>
                <w:sz w:val="20"/>
              </w:rPr>
              <w:t>8.2.2.1</w:t>
            </w:r>
          </w:p>
        </w:tc>
        <w:tc>
          <w:tcPr>
            <w:tcW w:w="3639" w:type="pct"/>
          </w:tcPr>
          <w:p w14:paraId="15F98319" w14:textId="3DD18D0A" w:rsidR="003C5657" w:rsidRDefault="003C5657" w:rsidP="00873A3B">
            <w:pPr>
              <w:widowControl w:val="0"/>
              <w:rPr>
                <w:rFonts w:cs="Arial"/>
                <w:sz w:val="20"/>
              </w:rPr>
            </w:pPr>
            <w:r>
              <w:rPr>
                <w:rFonts w:cs="Arial"/>
                <w:sz w:val="20"/>
              </w:rPr>
              <w:t>The thorough discussion of AKI and CKD in this section is excellent and shows clear consideration of the potential long-term impacts of this condition and treatments.</w:t>
            </w:r>
          </w:p>
        </w:tc>
      </w:tr>
      <w:tr w:rsidR="00115FC7" w:rsidRPr="00810A2E" w14:paraId="6AD27DA3" w14:textId="77777777" w:rsidTr="00873A3B">
        <w:tc>
          <w:tcPr>
            <w:tcW w:w="559" w:type="pct"/>
          </w:tcPr>
          <w:p w14:paraId="62FABB2E" w14:textId="4BCC5FE6" w:rsidR="00115FC7" w:rsidRDefault="00332A24" w:rsidP="00873A3B">
            <w:pPr>
              <w:widowControl w:val="0"/>
              <w:jc w:val="center"/>
              <w:rPr>
                <w:rFonts w:cs="Arial"/>
                <w:sz w:val="20"/>
              </w:rPr>
            </w:pPr>
            <w:r>
              <w:rPr>
                <w:rFonts w:cs="Arial"/>
                <w:sz w:val="20"/>
              </w:rPr>
              <w:t>16</w:t>
            </w:r>
          </w:p>
        </w:tc>
        <w:tc>
          <w:tcPr>
            <w:tcW w:w="341" w:type="pct"/>
          </w:tcPr>
          <w:p w14:paraId="47EBAFDF" w14:textId="68F64BF2" w:rsidR="00115FC7" w:rsidRPr="00810A2E" w:rsidRDefault="00332A24" w:rsidP="00873A3B">
            <w:pPr>
              <w:widowControl w:val="0"/>
              <w:rPr>
                <w:rFonts w:cs="Arial"/>
                <w:sz w:val="20"/>
              </w:rPr>
            </w:pPr>
            <w:r>
              <w:rPr>
                <w:rFonts w:cs="Arial"/>
                <w:sz w:val="20"/>
              </w:rPr>
              <w:t>119</w:t>
            </w:r>
          </w:p>
        </w:tc>
        <w:tc>
          <w:tcPr>
            <w:tcW w:w="461" w:type="pct"/>
          </w:tcPr>
          <w:p w14:paraId="37C6E7E3" w14:textId="7A87E45A" w:rsidR="00115FC7" w:rsidRPr="00810A2E" w:rsidRDefault="00332A24" w:rsidP="00873A3B">
            <w:pPr>
              <w:widowControl w:val="0"/>
              <w:rPr>
                <w:rFonts w:cs="Arial"/>
                <w:sz w:val="20"/>
              </w:rPr>
            </w:pPr>
            <w:r>
              <w:rPr>
                <w:rFonts w:cs="Arial"/>
                <w:sz w:val="20"/>
              </w:rPr>
              <w:t>8.2.3.2</w:t>
            </w:r>
          </w:p>
        </w:tc>
        <w:tc>
          <w:tcPr>
            <w:tcW w:w="3639" w:type="pct"/>
          </w:tcPr>
          <w:p w14:paraId="64BABC31" w14:textId="78E6F3A4" w:rsidR="00115FC7" w:rsidRPr="00810A2E" w:rsidRDefault="00332A24" w:rsidP="00873A3B">
            <w:pPr>
              <w:widowControl w:val="0"/>
              <w:rPr>
                <w:rFonts w:cs="Arial"/>
                <w:sz w:val="20"/>
              </w:rPr>
            </w:pPr>
            <w:r>
              <w:rPr>
                <w:rFonts w:cs="Arial"/>
                <w:sz w:val="20"/>
              </w:rPr>
              <w:t>Could the sentence at bottom link to the next page as it seems to end in mid-air (though I realise relates to table 18 which is stated on the next page)</w:t>
            </w:r>
          </w:p>
        </w:tc>
      </w:tr>
      <w:tr w:rsidR="00332A24" w:rsidRPr="00810A2E" w14:paraId="60639FCC" w14:textId="77777777" w:rsidTr="00873A3B">
        <w:tc>
          <w:tcPr>
            <w:tcW w:w="559" w:type="pct"/>
          </w:tcPr>
          <w:p w14:paraId="1704237E" w14:textId="77777777" w:rsidR="00332A24" w:rsidRDefault="00332A24" w:rsidP="00873A3B">
            <w:pPr>
              <w:widowControl w:val="0"/>
              <w:jc w:val="center"/>
              <w:rPr>
                <w:rFonts w:cs="Arial"/>
                <w:sz w:val="20"/>
              </w:rPr>
            </w:pPr>
          </w:p>
        </w:tc>
        <w:tc>
          <w:tcPr>
            <w:tcW w:w="341" w:type="pct"/>
          </w:tcPr>
          <w:p w14:paraId="14D2608F" w14:textId="77777777" w:rsidR="00332A24" w:rsidRPr="00810A2E" w:rsidRDefault="00332A24" w:rsidP="00873A3B">
            <w:pPr>
              <w:widowControl w:val="0"/>
              <w:rPr>
                <w:rFonts w:cs="Arial"/>
                <w:sz w:val="20"/>
              </w:rPr>
            </w:pPr>
          </w:p>
        </w:tc>
        <w:tc>
          <w:tcPr>
            <w:tcW w:w="461" w:type="pct"/>
          </w:tcPr>
          <w:p w14:paraId="65CF01DF" w14:textId="77777777" w:rsidR="00332A24" w:rsidRPr="00810A2E" w:rsidRDefault="00332A24" w:rsidP="00873A3B">
            <w:pPr>
              <w:widowControl w:val="0"/>
              <w:rPr>
                <w:rFonts w:cs="Arial"/>
                <w:sz w:val="20"/>
              </w:rPr>
            </w:pPr>
          </w:p>
        </w:tc>
        <w:tc>
          <w:tcPr>
            <w:tcW w:w="3639" w:type="pct"/>
          </w:tcPr>
          <w:p w14:paraId="5187C37E" w14:textId="77777777" w:rsidR="00332A24" w:rsidRPr="00810A2E" w:rsidRDefault="00332A24" w:rsidP="00873A3B">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lastRenderedPageBreak/>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 xml:space="preserve">Comments received during our consultations are published in the interests of openness and transparency. The comments are published as a record of the comments we received, and are not endorsed by NICE, its </w:t>
      </w:r>
      <w:proofErr w:type="gramStart"/>
      <w:r w:rsidRPr="005F244E">
        <w:rPr>
          <w:rFonts w:cs="Arial"/>
          <w:bCs/>
          <w:sz w:val="20"/>
        </w:rPr>
        <w:t>officers</w:t>
      </w:r>
      <w:proofErr w:type="gramEnd"/>
      <w:r w:rsidRPr="005F244E">
        <w:rPr>
          <w:rFonts w:cs="Arial"/>
          <w:bCs/>
          <w:sz w:val="20"/>
        </w:rPr>
        <w:t xml:space="preserve">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633F9D8B" w14:textId="77777777" w:rsidR="00187C7A" w:rsidRPr="00187C7A" w:rsidRDefault="00187C7A" w:rsidP="00187C7A">
    <w:pPr>
      <w:spacing w:after="240"/>
      <w:jc w:val="center"/>
      <w:rPr>
        <w:rFonts w:cs="Arial"/>
        <w:b/>
        <w:bCs/>
        <w:color w:val="2F5496" w:themeColor="accent1" w:themeShade="BF"/>
        <w:szCs w:val="22"/>
      </w:rPr>
    </w:pPr>
    <w:bookmarkStart w:id="0" w:name="_Hlk8726590"/>
    <w:proofErr w:type="spellStart"/>
    <w:r w:rsidRPr="00187C7A">
      <w:rPr>
        <w:rFonts w:cs="Arial"/>
        <w:b/>
        <w:bCs/>
        <w:color w:val="2F5496" w:themeColor="accent1" w:themeShade="BF"/>
        <w:szCs w:val="22"/>
      </w:rPr>
      <w:t>Cefiderocol</w:t>
    </w:r>
    <w:proofErr w:type="spellEnd"/>
    <w:r w:rsidRPr="00187C7A">
      <w:rPr>
        <w:rFonts w:cs="Arial"/>
        <w:b/>
        <w:bCs/>
        <w:color w:val="2F5496" w:themeColor="accent1" w:themeShade="BF"/>
        <w:szCs w:val="22"/>
      </w:rPr>
      <w:t xml:space="preserve"> for treating </w:t>
    </w:r>
    <w:bookmarkStart w:id="1" w:name="_Hlk57285176"/>
    <w:r w:rsidRPr="00187C7A">
      <w:rPr>
        <w:rFonts w:cs="Arial"/>
        <w:b/>
        <w:bCs/>
        <w:color w:val="2F5496" w:themeColor="accent1" w:themeShade="BF"/>
        <w:szCs w:val="22"/>
      </w:rPr>
      <w:t>severe aerobic</w:t>
    </w:r>
    <w:r w:rsidRPr="00187C7A">
      <w:rPr>
        <w:rFonts w:cs="Arial"/>
        <w:color w:val="2F5496" w:themeColor="accent1" w:themeShade="BF"/>
      </w:rPr>
      <w:t xml:space="preserve"> </w:t>
    </w:r>
    <w:r w:rsidRPr="00187C7A">
      <w:rPr>
        <w:rFonts w:cs="Arial"/>
        <w:b/>
        <w:bCs/>
        <w:color w:val="2F5496" w:themeColor="accent1" w:themeShade="BF"/>
        <w:szCs w:val="22"/>
      </w:rPr>
      <w:t>Gram-negative</w:t>
    </w:r>
    <w:r w:rsidRPr="00187C7A">
      <w:rPr>
        <w:rFonts w:cs="Arial"/>
        <w:color w:val="2F5496" w:themeColor="accent1" w:themeShade="BF"/>
      </w:rPr>
      <w:t xml:space="preserve"> </w:t>
    </w:r>
    <w:r w:rsidRPr="00187C7A">
      <w:rPr>
        <w:rFonts w:cs="Arial"/>
        <w:b/>
        <w:bCs/>
        <w:color w:val="2F5496" w:themeColor="accent1" w:themeShade="BF"/>
        <w:szCs w:val="22"/>
      </w:rPr>
      <w:t xml:space="preserve">bacterial infections </w:t>
    </w:r>
    <w:bookmarkEnd w:id="1"/>
  </w:p>
  <w:bookmarkEnd w:id="0"/>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133C03D0"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BB1ECB" w:rsidRPr="00BF5447">
        <w:rPr>
          <w:rStyle w:val="Hyperlink"/>
          <w:sz w:val="22"/>
          <w:szCs w:val="22"/>
        </w:rPr>
        <w:t>amrnew@nice.org.uk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54"/>
    <w:rsid w:val="00011D3B"/>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15FC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46154"/>
    <w:rsid w:val="002475F1"/>
    <w:rsid w:val="00257BDB"/>
    <w:rsid w:val="00261963"/>
    <w:rsid w:val="00282094"/>
    <w:rsid w:val="00292396"/>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32A24"/>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C5657"/>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B6ADD"/>
    <w:rsid w:val="006F2675"/>
    <w:rsid w:val="006F679F"/>
    <w:rsid w:val="0070312D"/>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C3740"/>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5"/>
    <w:rsid w:val="008611EC"/>
    <w:rsid w:val="00862EF8"/>
    <w:rsid w:val="008728E3"/>
    <w:rsid w:val="00873A3B"/>
    <w:rsid w:val="00894A46"/>
    <w:rsid w:val="008A2552"/>
    <w:rsid w:val="008A4C19"/>
    <w:rsid w:val="008C584A"/>
    <w:rsid w:val="008D749A"/>
    <w:rsid w:val="00904312"/>
    <w:rsid w:val="009071D4"/>
    <w:rsid w:val="00907944"/>
    <w:rsid w:val="009138C9"/>
    <w:rsid w:val="009204F8"/>
    <w:rsid w:val="00922752"/>
    <w:rsid w:val="00932FA7"/>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1C3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1ECB"/>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2483C"/>
    <w:rsid w:val="00E330B0"/>
    <w:rsid w:val="00E33719"/>
    <w:rsid w:val="00E52310"/>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281"/>
    <w:rsid w:val="00F44858"/>
    <w:rsid w:val="00F51243"/>
    <w:rsid w:val="00F61A63"/>
    <w:rsid w:val="00F656B1"/>
    <w:rsid w:val="00F762C1"/>
    <w:rsid w:val="00F83603"/>
    <w:rsid w:val="00F837D7"/>
    <w:rsid w:val="00F901B2"/>
    <w:rsid w:val="00FA7E1A"/>
    <w:rsid w:val="00FB270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customStyle="1" w:styleId="UnresolvedMention1">
    <w:name w:val="Unresolved Mention1"/>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new@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6425-3AC2-4BA8-9BB8-CE2DCA1B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2022-01-04T17:39:00Z</dcterms:created>
  <dcterms:modified xsi:type="dcterms:W3CDTF">2022-01-04T17:39:00Z</dcterms:modified>
</cp:coreProperties>
</file>