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0529" w14:textId="410359A0" w:rsidR="002444F5" w:rsidRDefault="00230851" w:rsidP="00230851">
      <w:pPr>
        <w:tabs>
          <w:tab w:val="left" w:pos="7930"/>
        </w:tabs>
        <w:rPr>
          <w:b/>
          <w:bCs/>
        </w:rPr>
      </w:pPr>
      <w:r>
        <w:rPr>
          <w:b/>
          <w:bCs/>
        </w:rPr>
        <w:tab/>
      </w:r>
    </w:p>
    <w:p w14:paraId="76F2DC37" w14:textId="57C0723F" w:rsidR="00FE39DA" w:rsidRPr="00922752" w:rsidRDefault="002444F5" w:rsidP="000B0C48">
      <w:pPr>
        <w:rPr>
          <w:b/>
          <w:bCs/>
        </w:rPr>
      </w:pPr>
      <w:r>
        <w:rPr>
          <w:b/>
          <w:bCs/>
        </w:rPr>
        <w:t>Expert</w:t>
      </w:r>
      <w:r w:rsidR="00922752" w:rsidRPr="00922752">
        <w:rPr>
          <w:b/>
          <w:bCs/>
        </w:rPr>
        <w:t xml:space="preserve"> name:</w:t>
      </w:r>
      <w:r w:rsidR="000B0C48">
        <w:rPr>
          <w:b/>
          <w:bCs/>
        </w:rPr>
        <w:t xml:space="preserve"> </w:t>
      </w:r>
      <w:proofErr w:type="spellStart"/>
      <w:r w:rsidR="00600E1F" w:rsidRPr="00600E1F">
        <w:rPr>
          <w:b/>
          <w:bCs/>
          <w:highlight w:val="black"/>
        </w:rPr>
        <w:t>xxxxxxxxxxxxx</w:t>
      </w:r>
      <w:proofErr w:type="spellEnd"/>
      <w:r w:rsidR="00080515">
        <w:rPr>
          <w:b/>
          <w:bCs/>
        </w:rPr>
        <w:t xml:space="preserve"> (representing BSAC and </w:t>
      </w:r>
      <w:proofErr w:type="spellStart"/>
      <w:r w:rsidR="00080515">
        <w:rPr>
          <w:b/>
          <w:bCs/>
        </w:rPr>
        <w:t>RCPath</w:t>
      </w:r>
      <w:proofErr w:type="spellEnd"/>
      <w:r w:rsidR="00080515">
        <w:rPr>
          <w:b/>
          <w:bCs/>
        </w:rPr>
        <w:t>)</w:t>
      </w: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695"/>
        <w:gridCol w:w="939"/>
        <w:gridCol w:w="7415"/>
      </w:tblGrid>
      <w:tr w:rsidR="002E6A85" w:rsidRPr="00481C73" w14:paraId="51CD6243" w14:textId="77777777" w:rsidTr="00DC31C0">
        <w:tc>
          <w:tcPr>
            <w:tcW w:w="559"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41"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6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3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78462C" w:rsidRPr="00810A2E" w14:paraId="36E04645" w14:textId="77777777" w:rsidTr="00DC31C0">
        <w:tc>
          <w:tcPr>
            <w:tcW w:w="559" w:type="pct"/>
          </w:tcPr>
          <w:p w14:paraId="3ABD4555" w14:textId="54F48D72" w:rsidR="0078462C" w:rsidRPr="00810A2E" w:rsidRDefault="0078462C" w:rsidP="00807889">
            <w:pPr>
              <w:widowControl w:val="0"/>
              <w:jc w:val="center"/>
              <w:rPr>
                <w:rFonts w:cs="Arial"/>
                <w:sz w:val="20"/>
              </w:rPr>
            </w:pPr>
            <w:r>
              <w:rPr>
                <w:rFonts w:cs="Arial"/>
                <w:sz w:val="20"/>
              </w:rPr>
              <w:t>1</w:t>
            </w:r>
          </w:p>
        </w:tc>
        <w:tc>
          <w:tcPr>
            <w:tcW w:w="341" w:type="pct"/>
          </w:tcPr>
          <w:p w14:paraId="0A19AF24" w14:textId="44E33A16" w:rsidR="0078462C" w:rsidRDefault="0078462C" w:rsidP="00981509">
            <w:pPr>
              <w:widowControl w:val="0"/>
              <w:rPr>
                <w:rFonts w:cs="Arial"/>
                <w:sz w:val="20"/>
              </w:rPr>
            </w:pPr>
            <w:r>
              <w:rPr>
                <w:rFonts w:cs="Arial"/>
                <w:sz w:val="20"/>
              </w:rPr>
              <w:t>1</w:t>
            </w:r>
          </w:p>
        </w:tc>
        <w:tc>
          <w:tcPr>
            <w:tcW w:w="461" w:type="pct"/>
          </w:tcPr>
          <w:p w14:paraId="1660A2B7" w14:textId="5C383881" w:rsidR="0078462C" w:rsidRDefault="0078462C" w:rsidP="00807889">
            <w:pPr>
              <w:widowControl w:val="0"/>
              <w:rPr>
                <w:rFonts w:cs="Arial"/>
                <w:sz w:val="20"/>
              </w:rPr>
            </w:pPr>
            <w:r>
              <w:rPr>
                <w:rFonts w:cs="Arial"/>
                <w:sz w:val="20"/>
              </w:rPr>
              <w:t>1</w:t>
            </w:r>
          </w:p>
        </w:tc>
        <w:tc>
          <w:tcPr>
            <w:tcW w:w="3639" w:type="pct"/>
          </w:tcPr>
          <w:p w14:paraId="144F0785" w14:textId="753744B5" w:rsidR="0078462C" w:rsidRDefault="0078462C" w:rsidP="00DA485E">
            <w:pPr>
              <w:widowControl w:val="0"/>
              <w:rPr>
                <w:rFonts w:cs="Arial"/>
                <w:sz w:val="20"/>
              </w:rPr>
            </w:pPr>
            <w:r>
              <w:rPr>
                <w:rFonts w:cs="Arial"/>
                <w:sz w:val="20"/>
              </w:rPr>
              <w:t xml:space="preserve">As a general point, the assessment report is comprehensive and the rationale for decisions is explained clearly and logically. The input of the clinical </w:t>
            </w:r>
            <w:r w:rsidR="00DA485E">
              <w:rPr>
                <w:rFonts w:cs="Arial"/>
                <w:sz w:val="20"/>
              </w:rPr>
              <w:t>advisors</w:t>
            </w:r>
            <w:r>
              <w:rPr>
                <w:rFonts w:cs="Arial"/>
                <w:sz w:val="20"/>
              </w:rPr>
              <w:t xml:space="preserve"> is noted. The members of this panel include colleagues who are senior members of BSAC and </w:t>
            </w:r>
            <w:proofErr w:type="spellStart"/>
            <w:r>
              <w:rPr>
                <w:rFonts w:cs="Arial"/>
                <w:sz w:val="20"/>
              </w:rPr>
              <w:t>RCPath</w:t>
            </w:r>
            <w:proofErr w:type="spellEnd"/>
            <w:r>
              <w:rPr>
                <w:rFonts w:cs="Arial"/>
                <w:sz w:val="20"/>
              </w:rPr>
              <w:t>, even if they were not formally representing these organisations.</w:t>
            </w:r>
          </w:p>
        </w:tc>
      </w:tr>
      <w:tr w:rsidR="002E6A85" w:rsidRPr="00810A2E" w14:paraId="5702DF46" w14:textId="77777777" w:rsidTr="00DC31C0">
        <w:tc>
          <w:tcPr>
            <w:tcW w:w="559"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41" w:type="pct"/>
          </w:tcPr>
          <w:p w14:paraId="7CD2A4FA" w14:textId="750DB084" w:rsidR="002E6A85" w:rsidRPr="00810A2E" w:rsidRDefault="006E2A75" w:rsidP="00981509">
            <w:pPr>
              <w:widowControl w:val="0"/>
              <w:rPr>
                <w:rFonts w:cs="Arial"/>
                <w:sz w:val="20"/>
              </w:rPr>
            </w:pPr>
            <w:r>
              <w:rPr>
                <w:rFonts w:cs="Arial"/>
                <w:sz w:val="20"/>
              </w:rPr>
              <w:t>2</w:t>
            </w:r>
            <w:r w:rsidR="00981509">
              <w:rPr>
                <w:rFonts w:cs="Arial"/>
                <w:sz w:val="20"/>
              </w:rPr>
              <w:t>4</w:t>
            </w:r>
          </w:p>
        </w:tc>
        <w:tc>
          <w:tcPr>
            <w:tcW w:w="461" w:type="pct"/>
          </w:tcPr>
          <w:p w14:paraId="2A91C8C7" w14:textId="3DF56ED2" w:rsidR="002E6A85" w:rsidRPr="00810A2E" w:rsidRDefault="006E2A75" w:rsidP="00807889">
            <w:pPr>
              <w:widowControl w:val="0"/>
              <w:rPr>
                <w:rFonts w:cs="Arial"/>
                <w:sz w:val="20"/>
              </w:rPr>
            </w:pPr>
            <w:r>
              <w:rPr>
                <w:rFonts w:cs="Arial"/>
                <w:sz w:val="20"/>
              </w:rPr>
              <w:t>3.</w:t>
            </w:r>
            <w:r w:rsidR="00981509">
              <w:rPr>
                <w:rFonts w:cs="Arial"/>
                <w:sz w:val="20"/>
              </w:rPr>
              <w:t>2.3.</w:t>
            </w:r>
            <w:r>
              <w:rPr>
                <w:rFonts w:cs="Arial"/>
                <w:sz w:val="20"/>
              </w:rPr>
              <w:t>1</w:t>
            </w:r>
          </w:p>
        </w:tc>
        <w:tc>
          <w:tcPr>
            <w:tcW w:w="3639" w:type="pct"/>
          </w:tcPr>
          <w:p w14:paraId="380FF3A5" w14:textId="46328207" w:rsidR="002E6A85" w:rsidRPr="00810A2E" w:rsidRDefault="0078462C" w:rsidP="00E76BFC">
            <w:pPr>
              <w:widowControl w:val="0"/>
              <w:rPr>
                <w:rFonts w:cs="Arial"/>
                <w:sz w:val="20"/>
              </w:rPr>
            </w:pPr>
            <w:r>
              <w:rPr>
                <w:rFonts w:cs="Arial"/>
                <w:sz w:val="20"/>
              </w:rPr>
              <w:t>T</w:t>
            </w:r>
            <w:r w:rsidR="006E2A75">
              <w:rPr>
                <w:rFonts w:cs="Arial"/>
                <w:sz w:val="20"/>
              </w:rPr>
              <w:t xml:space="preserve">he uncertainty around the projected use of Caz-Avi is well explained. Use is </w:t>
            </w:r>
            <w:r w:rsidR="006E2A75" w:rsidRPr="00E76BFC">
              <w:rPr>
                <w:rFonts w:cs="Arial"/>
                <w:sz w:val="20"/>
                <w:u w:val="single"/>
              </w:rPr>
              <w:t>un</w:t>
            </w:r>
            <w:r w:rsidR="006E2A75">
              <w:rPr>
                <w:rFonts w:cs="Arial"/>
                <w:sz w:val="20"/>
              </w:rPr>
              <w:t xml:space="preserve">likely to reflect the licenced indications and will probably be restricted to select groups of vulnerable patients with proven resistant Gram-negative infections, most likely with </w:t>
            </w:r>
            <w:proofErr w:type="spellStart"/>
            <w:r w:rsidR="006E2A75">
              <w:rPr>
                <w:rFonts w:cs="Arial"/>
                <w:sz w:val="20"/>
              </w:rPr>
              <w:t>carbapenemases</w:t>
            </w:r>
            <w:proofErr w:type="spellEnd"/>
            <w:r w:rsidR="006E2A75">
              <w:rPr>
                <w:rFonts w:cs="Arial"/>
                <w:sz w:val="20"/>
              </w:rPr>
              <w:t xml:space="preserve">. </w:t>
            </w:r>
            <w:r w:rsidR="00E76BFC">
              <w:rPr>
                <w:rFonts w:cs="Arial"/>
                <w:sz w:val="20"/>
              </w:rPr>
              <w:t>O</w:t>
            </w:r>
            <w:r w:rsidR="00981509">
              <w:rPr>
                <w:rFonts w:cs="Arial"/>
                <w:sz w:val="20"/>
              </w:rPr>
              <w:t>f the HVCS, microbiology directed treatment reflects current practice more than risk-based empiric treatment.</w:t>
            </w:r>
          </w:p>
        </w:tc>
      </w:tr>
      <w:tr w:rsidR="002E6A85" w:rsidRPr="00810A2E" w14:paraId="5A61DE1E" w14:textId="77777777" w:rsidTr="00DC31C0">
        <w:tc>
          <w:tcPr>
            <w:tcW w:w="559" w:type="pct"/>
          </w:tcPr>
          <w:p w14:paraId="528FAAA3" w14:textId="77777777" w:rsidR="002E6A85" w:rsidRDefault="002E6A85" w:rsidP="00807889">
            <w:pPr>
              <w:widowControl w:val="0"/>
              <w:jc w:val="center"/>
              <w:rPr>
                <w:rFonts w:cs="Arial"/>
                <w:sz w:val="20"/>
              </w:rPr>
            </w:pPr>
            <w:r w:rsidRPr="00810A2E">
              <w:rPr>
                <w:rFonts w:cs="Arial"/>
                <w:sz w:val="20"/>
              </w:rPr>
              <w:t>2</w:t>
            </w:r>
          </w:p>
          <w:p w14:paraId="243C7492" w14:textId="4972C22A" w:rsidR="002E6A85" w:rsidRPr="00810A2E" w:rsidRDefault="002E6A85" w:rsidP="00807889">
            <w:pPr>
              <w:widowControl w:val="0"/>
              <w:jc w:val="center"/>
              <w:rPr>
                <w:rFonts w:cs="Arial"/>
                <w:sz w:val="20"/>
              </w:rPr>
            </w:pPr>
          </w:p>
        </w:tc>
        <w:tc>
          <w:tcPr>
            <w:tcW w:w="341" w:type="pct"/>
          </w:tcPr>
          <w:p w14:paraId="3E50CD58" w14:textId="1AD5FBCF" w:rsidR="002E6A85" w:rsidRPr="00810A2E" w:rsidRDefault="00AE3F54" w:rsidP="00807889">
            <w:pPr>
              <w:widowControl w:val="0"/>
              <w:rPr>
                <w:rFonts w:cs="Arial"/>
                <w:sz w:val="20"/>
              </w:rPr>
            </w:pPr>
            <w:r>
              <w:rPr>
                <w:rFonts w:cs="Arial"/>
                <w:sz w:val="20"/>
              </w:rPr>
              <w:t>31</w:t>
            </w:r>
          </w:p>
        </w:tc>
        <w:tc>
          <w:tcPr>
            <w:tcW w:w="461" w:type="pct"/>
          </w:tcPr>
          <w:p w14:paraId="12D3FE10" w14:textId="510A1F20" w:rsidR="002E6A85" w:rsidRPr="00810A2E" w:rsidRDefault="00AE3F54" w:rsidP="00807889">
            <w:pPr>
              <w:widowControl w:val="0"/>
              <w:rPr>
                <w:rFonts w:cs="Arial"/>
                <w:sz w:val="20"/>
              </w:rPr>
            </w:pPr>
            <w:r>
              <w:rPr>
                <w:rFonts w:cs="Arial"/>
                <w:sz w:val="20"/>
              </w:rPr>
              <w:t>4.1.2</w:t>
            </w:r>
          </w:p>
        </w:tc>
        <w:tc>
          <w:tcPr>
            <w:tcW w:w="3639" w:type="pct"/>
          </w:tcPr>
          <w:p w14:paraId="3CE28DAC" w14:textId="16E7F27B" w:rsidR="00AE3F54" w:rsidRPr="00810A2E" w:rsidRDefault="00AE3F54" w:rsidP="00500928">
            <w:pPr>
              <w:widowControl w:val="0"/>
              <w:rPr>
                <w:rFonts w:cs="Arial"/>
                <w:sz w:val="20"/>
              </w:rPr>
            </w:pPr>
            <w:r>
              <w:rPr>
                <w:rFonts w:cs="Arial"/>
                <w:sz w:val="20"/>
              </w:rPr>
              <w:t xml:space="preserve">In the discussion on setting breakpoints it could be acknowledged that considerable work has been done to standardise breakpoints within European countries and more recently between EUCAST and CLSI. Therefore, the variation and lack of standardisation is much less than historically. Also, </w:t>
            </w:r>
            <w:r w:rsidR="00AF29BD">
              <w:rPr>
                <w:rFonts w:cs="Arial"/>
                <w:sz w:val="20"/>
              </w:rPr>
              <w:t xml:space="preserve">in light of the variation described, </w:t>
            </w:r>
            <w:r>
              <w:rPr>
                <w:rFonts w:cs="Arial"/>
                <w:sz w:val="20"/>
              </w:rPr>
              <w:t xml:space="preserve">it is most important that any review of surveillance </w:t>
            </w:r>
            <w:r w:rsidR="00500928">
              <w:rPr>
                <w:rFonts w:cs="Arial"/>
                <w:sz w:val="20"/>
              </w:rPr>
              <w:t>data</w:t>
            </w:r>
            <w:r>
              <w:rPr>
                <w:rFonts w:cs="Arial"/>
                <w:sz w:val="20"/>
              </w:rPr>
              <w:t xml:space="preserve"> takes account of the actual breakpoints used within each publication at the time. That is, not simply report the number of ‘sensitive’ or ‘resistant’ isolates</w:t>
            </w:r>
            <w:r w:rsidR="004C2808">
              <w:rPr>
                <w:rFonts w:cs="Arial"/>
                <w:sz w:val="20"/>
              </w:rPr>
              <w:t>. Ideally,</w:t>
            </w:r>
            <w:r>
              <w:rPr>
                <w:rFonts w:cs="Arial"/>
                <w:sz w:val="20"/>
              </w:rPr>
              <w:t xml:space="preserve"> consider actual MICs.</w:t>
            </w:r>
            <w:r w:rsidR="003163E9">
              <w:rPr>
                <w:rFonts w:cs="Arial"/>
                <w:sz w:val="20"/>
              </w:rPr>
              <w:t xml:space="preserve"> The MIC is the baseline upon which all susceptibility testing methods are standardised.</w:t>
            </w:r>
          </w:p>
        </w:tc>
      </w:tr>
      <w:tr w:rsidR="0078462C" w:rsidRPr="00810A2E" w14:paraId="6468CD17" w14:textId="77777777" w:rsidTr="00DC31C0">
        <w:tc>
          <w:tcPr>
            <w:tcW w:w="559" w:type="pct"/>
          </w:tcPr>
          <w:p w14:paraId="59FED015" w14:textId="2390D9CD" w:rsidR="0078462C" w:rsidRPr="00810A2E" w:rsidRDefault="0078462C" w:rsidP="00807889">
            <w:pPr>
              <w:widowControl w:val="0"/>
              <w:jc w:val="center"/>
              <w:rPr>
                <w:rFonts w:cs="Arial"/>
                <w:sz w:val="20"/>
              </w:rPr>
            </w:pPr>
            <w:r>
              <w:rPr>
                <w:rFonts w:cs="Arial"/>
                <w:sz w:val="20"/>
              </w:rPr>
              <w:t>4</w:t>
            </w:r>
          </w:p>
        </w:tc>
        <w:tc>
          <w:tcPr>
            <w:tcW w:w="341" w:type="pct"/>
          </w:tcPr>
          <w:p w14:paraId="1F81AE91" w14:textId="34070B11" w:rsidR="0078462C" w:rsidRDefault="0078462C" w:rsidP="00807889">
            <w:pPr>
              <w:widowControl w:val="0"/>
              <w:rPr>
                <w:rFonts w:cs="Arial"/>
                <w:sz w:val="20"/>
              </w:rPr>
            </w:pPr>
            <w:r>
              <w:rPr>
                <w:rFonts w:cs="Arial"/>
                <w:sz w:val="20"/>
              </w:rPr>
              <w:t>31</w:t>
            </w:r>
          </w:p>
        </w:tc>
        <w:tc>
          <w:tcPr>
            <w:tcW w:w="461" w:type="pct"/>
          </w:tcPr>
          <w:p w14:paraId="4D12AA98" w14:textId="2E846A3C" w:rsidR="0078462C" w:rsidRDefault="0078462C" w:rsidP="00807889">
            <w:pPr>
              <w:widowControl w:val="0"/>
              <w:rPr>
                <w:rFonts w:cs="Arial"/>
                <w:sz w:val="20"/>
              </w:rPr>
            </w:pPr>
            <w:r>
              <w:rPr>
                <w:rFonts w:cs="Arial"/>
                <w:sz w:val="20"/>
              </w:rPr>
              <w:t>4.1.2</w:t>
            </w:r>
          </w:p>
        </w:tc>
        <w:tc>
          <w:tcPr>
            <w:tcW w:w="3639" w:type="pct"/>
          </w:tcPr>
          <w:p w14:paraId="602772B7" w14:textId="7B6E28B4" w:rsidR="0078462C" w:rsidRDefault="0078462C" w:rsidP="00080515">
            <w:pPr>
              <w:widowControl w:val="0"/>
              <w:rPr>
                <w:rFonts w:cs="Arial"/>
                <w:sz w:val="20"/>
              </w:rPr>
            </w:pPr>
            <w:r>
              <w:rPr>
                <w:rFonts w:cs="Arial"/>
                <w:sz w:val="20"/>
              </w:rPr>
              <w:t>It may be the professional view of BSAC that EUCAST breakpoints should be used, but laboratories are free to choose what method they want. CLSI breakpoints are very widely used worldwide and are an acceptable alternative. It is more important the laboratories using a EUCAST test method</w:t>
            </w:r>
            <w:r w:rsidR="00E76BFC">
              <w:rPr>
                <w:rFonts w:cs="Arial"/>
                <w:sz w:val="20"/>
              </w:rPr>
              <w:t>ology</w:t>
            </w:r>
            <w:r>
              <w:rPr>
                <w:rFonts w:cs="Arial"/>
                <w:sz w:val="20"/>
              </w:rPr>
              <w:t xml:space="preserve"> interpret results using EUCAST breakpoints and that laboratories using a CLSI test method</w:t>
            </w:r>
            <w:r w:rsidR="00E76BFC">
              <w:rPr>
                <w:rFonts w:cs="Arial"/>
                <w:sz w:val="20"/>
              </w:rPr>
              <w:t>ology</w:t>
            </w:r>
            <w:r>
              <w:rPr>
                <w:rFonts w:cs="Arial"/>
                <w:sz w:val="20"/>
              </w:rPr>
              <w:t xml:space="preserve"> interpret results using CLSI breakpoints. This is because </w:t>
            </w:r>
            <w:r w:rsidR="00080515">
              <w:rPr>
                <w:rFonts w:cs="Arial"/>
                <w:sz w:val="20"/>
              </w:rPr>
              <w:t>breakpoints</w:t>
            </w:r>
            <w:r>
              <w:rPr>
                <w:rFonts w:cs="Arial"/>
                <w:sz w:val="20"/>
              </w:rPr>
              <w:t xml:space="preserve"> are calibrated for the method used.</w:t>
            </w:r>
          </w:p>
        </w:tc>
      </w:tr>
      <w:tr w:rsidR="002E6A85" w:rsidRPr="00810A2E" w14:paraId="0CBFD7F3" w14:textId="77777777" w:rsidTr="00DC31C0">
        <w:tc>
          <w:tcPr>
            <w:tcW w:w="559" w:type="pct"/>
          </w:tcPr>
          <w:p w14:paraId="77930E8B" w14:textId="50D00F78" w:rsidR="00AF29BD" w:rsidRPr="00810A2E" w:rsidRDefault="00DC31C0" w:rsidP="00807889">
            <w:pPr>
              <w:widowControl w:val="0"/>
              <w:jc w:val="center"/>
              <w:rPr>
                <w:rFonts w:cs="Arial"/>
                <w:sz w:val="20"/>
              </w:rPr>
            </w:pPr>
            <w:r>
              <w:rPr>
                <w:rFonts w:cs="Arial"/>
                <w:sz w:val="20"/>
              </w:rPr>
              <w:t>3</w:t>
            </w:r>
          </w:p>
        </w:tc>
        <w:tc>
          <w:tcPr>
            <w:tcW w:w="341" w:type="pct"/>
          </w:tcPr>
          <w:p w14:paraId="5FA1EF0B" w14:textId="48D376B2" w:rsidR="002E6A85" w:rsidRPr="00810A2E" w:rsidRDefault="00DC31C0" w:rsidP="00807889">
            <w:pPr>
              <w:widowControl w:val="0"/>
              <w:rPr>
                <w:rFonts w:cs="Arial"/>
                <w:sz w:val="20"/>
              </w:rPr>
            </w:pPr>
            <w:r>
              <w:rPr>
                <w:rFonts w:cs="Arial"/>
                <w:sz w:val="20"/>
              </w:rPr>
              <w:t>31</w:t>
            </w:r>
          </w:p>
        </w:tc>
        <w:tc>
          <w:tcPr>
            <w:tcW w:w="461" w:type="pct"/>
          </w:tcPr>
          <w:p w14:paraId="7C08971E" w14:textId="30367B4F" w:rsidR="002E6A85" w:rsidRPr="00810A2E" w:rsidRDefault="00DC31C0" w:rsidP="002F67CE">
            <w:pPr>
              <w:widowControl w:val="0"/>
              <w:rPr>
                <w:rFonts w:cs="Arial"/>
                <w:sz w:val="20"/>
              </w:rPr>
            </w:pPr>
            <w:r>
              <w:rPr>
                <w:rFonts w:cs="Arial"/>
                <w:sz w:val="20"/>
              </w:rPr>
              <w:t>4.1.2</w:t>
            </w:r>
          </w:p>
        </w:tc>
        <w:tc>
          <w:tcPr>
            <w:tcW w:w="3639" w:type="pct"/>
          </w:tcPr>
          <w:p w14:paraId="625C5F45" w14:textId="40C15DD0" w:rsidR="002E6A85" w:rsidRPr="00810A2E" w:rsidRDefault="00DC31C0" w:rsidP="00DC31C0">
            <w:pPr>
              <w:widowControl w:val="0"/>
              <w:rPr>
                <w:rFonts w:cs="Arial"/>
                <w:sz w:val="20"/>
              </w:rPr>
            </w:pPr>
            <w:r>
              <w:rPr>
                <w:rFonts w:cs="Arial"/>
                <w:sz w:val="20"/>
              </w:rPr>
              <w:t>There are major methodological issues with susceptibility testing of colistin. Laboratory practice has changed in the last 5 years. Results using surveillance data may be unreliable.</w:t>
            </w:r>
          </w:p>
        </w:tc>
      </w:tr>
      <w:tr w:rsidR="00DC31C0" w:rsidRPr="00810A2E" w14:paraId="49B7789F" w14:textId="77777777" w:rsidTr="00DC31C0">
        <w:tc>
          <w:tcPr>
            <w:tcW w:w="559" w:type="pct"/>
          </w:tcPr>
          <w:p w14:paraId="5594597A" w14:textId="77777777" w:rsidR="00DC31C0" w:rsidRDefault="00DC31C0" w:rsidP="00824CBE">
            <w:pPr>
              <w:widowControl w:val="0"/>
              <w:jc w:val="center"/>
              <w:rPr>
                <w:rFonts w:cs="Arial"/>
                <w:sz w:val="20"/>
              </w:rPr>
            </w:pPr>
            <w:r>
              <w:rPr>
                <w:rFonts w:cs="Arial"/>
                <w:sz w:val="20"/>
              </w:rPr>
              <w:t>3</w:t>
            </w:r>
          </w:p>
          <w:p w14:paraId="373988EB" w14:textId="77777777" w:rsidR="00DC31C0" w:rsidRPr="00810A2E" w:rsidRDefault="00DC31C0" w:rsidP="00824CBE">
            <w:pPr>
              <w:widowControl w:val="0"/>
              <w:jc w:val="center"/>
              <w:rPr>
                <w:rFonts w:cs="Arial"/>
                <w:sz w:val="20"/>
              </w:rPr>
            </w:pPr>
          </w:p>
        </w:tc>
        <w:tc>
          <w:tcPr>
            <w:tcW w:w="341" w:type="pct"/>
          </w:tcPr>
          <w:p w14:paraId="354672EB" w14:textId="77777777" w:rsidR="00DC31C0" w:rsidRPr="00810A2E" w:rsidRDefault="00DC31C0" w:rsidP="00824CBE">
            <w:pPr>
              <w:widowControl w:val="0"/>
              <w:rPr>
                <w:rFonts w:cs="Arial"/>
                <w:sz w:val="20"/>
              </w:rPr>
            </w:pPr>
            <w:r>
              <w:rPr>
                <w:rFonts w:cs="Arial"/>
                <w:sz w:val="20"/>
              </w:rPr>
              <w:t>102</w:t>
            </w:r>
          </w:p>
        </w:tc>
        <w:tc>
          <w:tcPr>
            <w:tcW w:w="461" w:type="pct"/>
          </w:tcPr>
          <w:p w14:paraId="6AB36926" w14:textId="77777777" w:rsidR="00DC31C0" w:rsidRPr="00810A2E" w:rsidRDefault="00DC31C0" w:rsidP="00824CBE">
            <w:pPr>
              <w:widowControl w:val="0"/>
              <w:rPr>
                <w:rFonts w:cs="Arial"/>
                <w:sz w:val="20"/>
              </w:rPr>
            </w:pPr>
            <w:r>
              <w:rPr>
                <w:rFonts w:cs="Arial"/>
                <w:sz w:val="20"/>
              </w:rPr>
              <w:t>6.1.5.6</w:t>
            </w:r>
          </w:p>
        </w:tc>
        <w:tc>
          <w:tcPr>
            <w:tcW w:w="3639" w:type="pct"/>
          </w:tcPr>
          <w:p w14:paraId="7FD5D774" w14:textId="77777777" w:rsidR="00DC31C0" w:rsidRPr="00810A2E" w:rsidRDefault="00DC31C0" w:rsidP="00824CBE">
            <w:pPr>
              <w:widowControl w:val="0"/>
              <w:rPr>
                <w:rFonts w:cs="Arial"/>
                <w:sz w:val="20"/>
              </w:rPr>
            </w:pPr>
            <w:r>
              <w:rPr>
                <w:rFonts w:cs="Arial"/>
                <w:sz w:val="20"/>
              </w:rPr>
              <w:t>While appreciating that licencing studies have focussed on UTI and HAP/VAP, these infections are notorious for having issues with diagnosis and specifically differentiating between colonisation and infection. This is a major weakness of assessment of these indications, which are unlikely to reflect most common use of Caz-Avi.</w:t>
            </w:r>
          </w:p>
        </w:tc>
      </w:tr>
      <w:tr w:rsidR="00DC31C0" w:rsidRPr="00810A2E" w14:paraId="69327C1B" w14:textId="77777777" w:rsidTr="00DC31C0">
        <w:tc>
          <w:tcPr>
            <w:tcW w:w="559" w:type="pct"/>
          </w:tcPr>
          <w:p w14:paraId="1E9B52CA" w14:textId="77777777" w:rsidR="00DC31C0" w:rsidRDefault="00DC31C0" w:rsidP="00824CBE">
            <w:pPr>
              <w:widowControl w:val="0"/>
              <w:jc w:val="center"/>
              <w:rPr>
                <w:rFonts w:cs="Arial"/>
                <w:sz w:val="20"/>
              </w:rPr>
            </w:pPr>
            <w:r>
              <w:rPr>
                <w:rFonts w:cs="Arial"/>
                <w:sz w:val="20"/>
              </w:rPr>
              <w:t>4</w:t>
            </w:r>
          </w:p>
          <w:p w14:paraId="47C3DFDB" w14:textId="77777777" w:rsidR="00DC31C0" w:rsidRPr="00810A2E" w:rsidRDefault="00DC31C0" w:rsidP="00824CBE">
            <w:pPr>
              <w:widowControl w:val="0"/>
              <w:jc w:val="center"/>
              <w:rPr>
                <w:rFonts w:cs="Arial"/>
                <w:sz w:val="20"/>
              </w:rPr>
            </w:pPr>
          </w:p>
        </w:tc>
        <w:tc>
          <w:tcPr>
            <w:tcW w:w="341" w:type="pct"/>
          </w:tcPr>
          <w:p w14:paraId="406FB18B" w14:textId="77777777" w:rsidR="00DC31C0" w:rsidRPr="00810A2E" w:rsidRDefault="00DC31C0" w:rsidP="00824CBE">
            <w:pPr>
              <w:widowControl w:val="0"/>
              <w:rPr>
                <w:rFonts w:cs="Arial"/>
                <w:sz w:val="20"/>
              </w:rPr>
            </w:pPr>
            <w:r>
              <w:rPr>
                <w:rFonts w:cs="Arial"/>
                <w:sz w:val="20"/>
              </w:rPr>
              <w:t>119</w:t>
            </w:r>
          </w:p>
        </w:tc>
        <w:tc>
          <w:tcPr>
            <w:tcW w:w="461" w:type="pct"/>
          </w:tcPr>
          <w:p w14:paraId="17FB0B4C" w14:textId="77777777" w:rsidR="00DC31C0" w:rsidRPr="00810A2E" w:rsidRDefault="00DC31C0" w:rsidP="00824CBE">
            <w:pPr>
              <w:widowControl w:val="0"/>
              <w:rPr>
                <w:rFonts w:cs="Arial"/>
                <w:sz w:val="20"/>
              </w:rPr>
            </w:pPr>
            <w:r>
              <w:rPr>
                <w:rFonts w:cs="Arial"/>
                <w:sz w:val="20"/>
              </w:rPr>
              <w:t>7.2.3.2</w:t>
            </w:r>
          </w:p>
        </w:tc>
        <w:tc>
          <w:tcPr>
            <w:tcW w:w="3639" w:type="pct"/>
          </w:tcPr>
          <w:p w14:paraId="14ED285F" w14:textId="6D33AE08" w:rsidR="00DC31C0" w:rsidRPr="00810A2E" w:rsidRDefault="00DC31C0" w:rsidP="00753A0B">
            <w:pPr>
              <w:widowControl w:val="0"/>
              <w:rPr>
                <w:rFonts w:cs="Arial"/>
                <w:sz w:val="20"/>
              </w:rPr>
            </w:pPr>
            <w:r>
              <w:rPr>
                <w:rFonts w:cs="Arial"/>
                <w:sz w:val="20"/>
              </w:rPr>
              <w:t xml:space="preserve">In the summary, it is acknowledged that carbapenems have variable activity against </w:t>
            </w:r>
            <w:proofErr w:type="spellStart"/>
            <w:r>
              <w:rPr>
                <w:rFonts w:cs="Arial"/>
                <w:sz w:val="20"/>
              </w:rPr>
              <w:t>carbapenemase</w:t>
            </w:r>
            <w:proofErr w:type="spellEnd"/>
            <w:r>
              <w:rPr>
                <w:rFonts w:cs="Arial"/>
                <w:sz w:val="20"/>
              </w:rPr>
              <w:t xml:space="preserve">-producing isolates. However, this is not considered further in the modelling. Meropenem is a common component of treatment regimens for OXA-48 CPE if the </w:t>
            </w:r>
            <w:r w:rsidR="00753A0B">
              <w:rPr>
                <w:rFonts w:cs="Arial"/>
                <w:sz w:val="20"/>
              </w:rPr>
              <w:t xml:space="preserve">meropenem </w:t>
            </w:r>
            <w:r>
              <w:rPr>
                <w:rFonts w:cs="Arial"/>
                <w:sz w:val="20"/>
              </w:rPr>
              <w:t xml:space="preserve">MIC has been shown to be low (e.g. 1-2 mg/L). </w:t>
            </w:r>
            <w:r w:rsidR="00D063F3">
              <w:rPr>
                <w:rFonts w:cs="Arial"/>
                <w:sz w:val="20"/>
              </w:rPr>
              <w:t xml:space="preserve">It is accepted that published data may be lacking, but in reality, use of meropenem in these infections will often mean that treatment is not escalated to Caz-Avi. </w:t>
            </w:r>
          </w:p>
        </w:tc>
      </w:tr>
      <w:tr w:rsidR="002E6A85" w:rsidRPr="00810A2E" w14:paraId="4F6D2F97" w14:textId="77777777" w:rsidTr="00DC31C0">
        <w:tc>
          <w:tcPr>
            <w:tcW w:w="559" w:type="pct"/>
          </w:tcPr>
          <w:p w14:paraId="36CC3EC0" w14:textId="70CA1E63" w:rsidR="002E6A85" w:rsidRPr="00810A2E" w:rsidRDefault="002E6A85" w:rsidP="00807889">
            <w:pPr>
              <w:widowControl w:val="0"/>
              <w:jc w:val="center"/>
              <w:rPr>
                <w:rFonts w:cs="Arial"/>
                <w:sz w:val="20"/>
              </w:rPr>
            </w:pPr>
          </w:p>
        </w:tc>
        <w:tc>
          <w:tcPr>
            <w:tcW w:w="341" w:type="pct"/>
          </w:tcPr>
          <w:p w14:paraId="54900B70" w14:textId="380B733C" w:rsidR="002E6A85" w:rsidRPr="00810A2E" w:rsidRDefault="00DA485E" w:rsidP="00807889">
            <w:pPr>
              <w:widowControl w:val="0"/>
              <w:rPr>
                <w:rFonts w:cs="Arial"/>
                <w:sz w:val="20"/>
              </w:rPr>
            </w:pPr>
            <w:r>
              <w:rPr>
                <w:rFonts w:cs="Arial"/>
                <w:sz w:val="20"/>
              </w:rPr>
              <w:t>150</w:t>
            </w:r>
          </w:p>
        </w:tc>
        <w:tc>
          <w:tcPr>
            <w:tcW w:w="461" w:type="pct"/>
          </w:tcPr>
          <w:p w14:paraId="6C966828" w14:textId="192E86FA" w:rsidR="002E6A85" w:rsidRPr="00810A2E" w:rsidRDefault="00DA485E" w:rsidP="00807889">
            <w:pPr>
              <w:widowControl w:val="0"/>
              <w:rPr>
                <w:rFonts w:cs="Arial"/>
                <w:sz w:val="20"/>
              </w:rPr>
            </w:pPr>
            <w:r>
              <w:rPr>
                <w:rFonts w:cs="Arial"/>
                <w:sz w:val="20"/>
              </w:rPr>
              <w:t>7.5.2.6</w:t>
            </w:r>
          </w:p>
        </w:tc>
        <w:tc>
          <w:tcPr>
            <w:tcW w:w="3639" w:type="pct"/>
          </w:tcPr>
          <w:p w14:paraId="3513B0AA" w14:textId="368D0A96" w:rsidR="002E6A85" w:rsidRPr="00810A2E" w:rsidRDefault="00495F64" w:rsidP="00495F64">
            <w:pPr>
              <w:widowControl w:val="0"/>
              <w:rPr>
                <w:rFonts w:cs="Arial"/>
                <w:sz w:val="20"/>
              </w:rPr>
            </w:pPr>
            <w:r>
              <w:rPr>
                <w:rFonts w:cs="Arial"/>
                <w:sz w:val="20"/>
              </w:rPr>
              <w:t>The discussion on expected areas of empiric use notes differences between views of the clinical advisors and the manufacturer. I consider that the narrower use suggested by the clinical advisors is probably more accurate in the short term (~5 years). Broader use is possible in the longer term if Caz-Avi ceases to be used as a restricted agent and becomes a part of the standard hospital formulary. This might be influenced by a variety of factors, for example, drug costs to the Trust and pressure to avoid carbapenems to meet prescribing targets, among others.</w:t>
            </w:r>
          </w:p>
        </w:tc>
      </w:tr>
      <w:tr w:rsidR="002E6A85" w:rsidRPr="00810A2E" w14:paraId="1C9A6E17" w14:textId="77777777" w:rsidTr="00DC31C0">
        <w:tc>
          <w:tcPr>
            <w:tcW w:w="559" w:type="pct"/>
          </w:tcPr>
          <w:p w14:paraId="0EE8896C" w14:textId="77777777" w:rsidR="002E6A85" w:rsidRDefault="002E6A85" w:rsidP="00807889">
            <w:pPr>
              <w:widowControl w:val="0"/>
              <w:jc w:val="center"/>
              <w:rPr>
                <w:rFonts w:cs="Arial"/>
                <w:sz w:val="20"/>
              </w:rPr>
            </w:pPr>
            <w:r>
              <w:rPr>
                <w:rFonts w:cs="Arial"/>
                <w:sz w:val="20"/>
              </w:rPr>
              <w:t>5</w:t>
            </w:r>
          </w:p>
          <w:p w14:paraId="2AC798C9" w14:textId="3CF144C8" w:rsidR="002E6A85" w:rsidRPr="00810A2E" w:rsidRDefault="002E6A85" w:rsidP="00807889">
            <w:pPr>
              <w:widowControl w:val="0"/>
              <w:jc w:val="center"/>
              <w:rPr>
                <w:rFonts w:cs="Arial"/>
                <w:sz w:val="20"/>
              </w:rPr>
            </w:pPr>
          </w:p>
        </w:tc>
        <w:tc>
          <w:tcPr>
            <w:tcW w:w="341" w:type="pct"/>
          </w:tcPr>
          <w:p w14:paraId="463D2432" w14:textId="1CEEF2E4" w:rsidR="002E6A85" w:rsidRPr="00810A2E" w:rsidRDefault="00DB5252" w:rsidP="00807889">
            <w:pPr>
              <w:widowControl w:val="0"/>
              <w:rPr>
                <w:rFonts w:cs="Arial"/>
                <w:sz w:val="20"/>
              </w:rPr>
            </w:pPr>
            <w:r>
              <w:rPr>
                <w:rFonts w:cs="Arial"/>
                <w:sz w:val="20"/>
              </w:rPr>
              <w:t>152</w:t>
            </w:r>
          </w:p>
        </w:tc>
        <w:tc>
          <w:tcPr>
            <w:tcW w:w="461" w:type="pct"/>
          </w:tcPr>
          <w:p w14:paraId="23AF1992" w14:textId="14EF28CF" w:rsidR="002E6A85" w:rsidRPr="00810A2E" w:rsidRDefault="00DB5252" w:rsidP="00807889">
            <w:pPr>
              <w:widowControl w:val="0"/>
              <w:rPr>
                <w:rFonts w:cs="Arial"/>
                <w:sz w:val="20"/>
              </w:rPr>
            </w:pPr>
            <w:r>
              <w:rPr>
                <w:rFonts w:cs="Arial"/>
                <w:sz w:val="20"/>
              </w:rPr>
              <w:t>7.5.2.7</w:t>
            </w:r>
          </w:p>
        </w:tc>
        <w:tc>
          <w:tcPr>
            <w:tcW w:w="3639" w:type="pct"/>
          </w:tcPr>
          <w:p w14:paraId="32A26F73" w14:textId="4877E0B1" w:rsidR="002E6A85" w:rsidRPr="00810A2E" w:rsidRDefault="00DB5252" w:rsidP="00E76BFC">
            <w:pPr>
              <w:widowControl w:val="0"/>
              <w:rPr>
                <w:rFonts w:cs="Arial"/>
                <w:sz w:val="20"/>
              </w:rPr>
            </w:pPr>
            <w:r>
              <w:rPr>
                <w:rFonts w:cs="Arial"/>
                <w:sz w:val="20"/>
              </w:rPr>
              <w:t xml:space="preserve">Note that estimates based on lower respiratory tract sample surveillance data will </w:t>
            </w:r>
            <w:r w:rsidR="00E76BFC">
              <w:rPr>
                <w:rFonts w:cs="Arial"/>
                <w:sz w:val="20"/>
              </w:rPr>
              <w:t xml:space="preserve">significantly </w:t>
            </w:r>
            <w:r>
              <w:rPr>
                <w:rFonts w:cs="Arial"/>
                <w:sz w:val="20"/>
              </w:rPr>
              <w:t xml:space="preserve">overestimate incidence, since the diagnosis of HAP/VAP is made on clinical and radiological grounds, as well as from culture results. </w:t>
            </w:r>
          </w:p>
        </w:tc>
      </w:tr>
      <w:tr w:rsidR="002E6A85" w:rsidRPr="00810A2E" w14:paraId="311E735F" w14:textId="77777777" w:rsidTr="00DC31C0">
        <w:tc>
          <w:tcPr>
            <w:tcW w:w="559" w:type="pct"/>
          </w:tcPr>
          <w:p w14:paraId="562D0B53" w14:textId="77777777" w:rsidR="002E6A85" w:rsidRDefault="002E6A85" w:rsidP="00807889">
            <w:pPr>
              <w:widowControl w:val="0"/>
              <w:jc w:val="center"/>
              <w:rPr>
                <w:rFonts w:cs="Arial"/>
                <w:sz w:val="20"/>
              </w:rPr>
            </w:pPr>
            <w:r>
              <w:rPr>
                <w:rFonts w:cs="Arial"/>
                <w:sz w:val="20"/>
              </w:rPr>
              <w:t>6</w:t>
            </w:r>
          </w:p>
          <w:p w14:paraId="6B7E1DA1" w14:textId="09ECA2C5" w:rsidR="002E6A85" w:rsidRPr="00810A2E" w:rsidRDefault="002E6A85" w:rsidP="00807889">
            <w:pPr>
              <w:widowControl w:val="0"/>
              <w:jc w:val="center"/>
              <w:rPr>
                <w:rFonts w:cs="Arial"/>
                <w:sz w:val="20"/>
              </w:rPr>
            </w:pPr>
          </w:p>
        </w:tc>
        <w:tc>
          <w:tcPr>
            <w:tcW w:w="341" w:type="pct"/>
          </w:tcPr>
          <w:p w14:paraId="604388F2" w14:textId="7C6D6FA8" w:rsidR="002E6A85" w:rsidRPr="00810A2E" w:rsidRDefault="00DB5252" w:rsidP="00807889">
            <w:pPr>
              <w:widowControl w:val="0"/>
              <w:rPr>
                <w:rFonts w:cs="Arial"/>
                <w:sz w:val="20"/>
              </w:rPr>
            </w:pPr>
            <w:r>
              <w:rPr>
                <w:rFonts w:cs="Arial"/>
                <w:sz w:val="20"/>
              </w:rPr>
              <w:t>163</w:t>
            </w:r>
          </w:p>
        </w:tc>
        <w:tc>
          <w:tcPr>
            <w:tcW w:w="461" w:type="pct"/>
          </w:tcPr>
          <w:p w14:paraId="097E1FCB" w14:textId="182AE391" w:rsidR="002E6A85" w:rsidRPr="00810A2E" w:rsidRDefault="00DB5252" w:rsidP="00807889">
            <w:pPr>
              <w:widowControl w:val="0"/>
              <w:rPr>
                <w:rFonts w:cs="Arial"/>
                <w:sz w:val="20"/>
              </w:rPr>
            </w:pPr>
            <w:r>
              <w:rPr>
                <w:rFonts w:cs="Arial"/>
                <w:sz w:val="20"/>
              </w:rPr>
              <w:t>8.1.2</w:t>
            </w:r>
          </w:p>
        </w:tc>
        <w:tc>
          <w:tcPr>
            <w:tcW w:w="3639" w:type="pct"/>
          </w:tcPr>
          <w:p w14:paraId="19E995A4" w14:textId="63EB6FA7" w:rsidR="002E6A85" w:rsidRPr="00810A2E" w:rsidRDefault="00DB5252" w:rsidP="00D92882">
            <w:pPr>
              <w:widowControl w:val="0"/>
              <w:rPr>
                <w:rFonts w:cs="Arial"/>
                <w:sz w:val="20"/>
              </w:rPr>
            </w:pPr>
            <w:r>
              <w:rPr>
                <w:rFonts w:cs="Arial"/>
                <w:sz w:val="20"/>
              </w:rPr>
              <w:t xml:space="preserve">It is </w:t>
            </w:r>
            <w:r w:rsidR="00D92882">
              <w:rPr>
                <w:rFonts w:cs="Arial"/>
                <w:sz w:val="20"/>
              </w:rPr>
              <w:t xml:space="preserve">an </w:t>
            </w:r>
            <w:r>
              <w:rPr>
                <w:rFonts w:cs="Arial"/>
                <w:sz w:val="20"/>
              </w:rPr>
              <w:t xml:space="preserve">interesting finding that the benefit of microbiology directed treatment is less than empirical treatment, given that this would be where Caz-Avi is more likely to be used. The explanation given </w:t>
            </w:r>
            <w:r w:rsidR="00D92882">
              <w:rPr>
                <w:rFonts w:cs="Arial"/>
                <w:sz w:val="20"/>
              </w:rPr>
              <w:t xml:space="preserve">is </w:t>
            </w:r>
            <w:r>
              <w:rPr>
                <w:rFonts w:cs="Arial"/>
                <w:sz w:val="20"/>
              </w:rPr>
              <w:t xml:space="preserve">that </w:t>
            </w:r>
            <w:r w:rsidR="00D92882">
              <w:rPr>
                <w:rFonts w:cs="Arial"/>
                <w:sz w:val="20"/>
              </w:rPr>
              <w:t>the advantages of Caz-Avi are less once susceptibilities are known as a wider number of non-toxic options are available. This implies that a lot of the modelled empiric use would be unnecessary, because susceptibility information would later demonstrate that an alternative could be used instead.</w:t>
            </w:r>
          </w:p>
        </w:tc>
      </w:tr>
      <w:tr w:rsidR="00FE39DA" w:rsidRPr="00810A2E" w14:paraId="23D83C36" w14:textId="77777777" w:rsidTr="00DC31C0">
        <w:tc>
          <w:tcPr>
            <w:tcW w:w="559" w:type="pct"/>
          </w:tcPr>
          <w:p w14:paraId="14F0041A" w14:textId="56DA09A0" w:rsidR="00FE39DA" w:rsidRDefault="00FE39DA" w:rsidP="00807889">
            <w:pPr>
              <w:widowControl w:val="0"/>
              <w:jc w:val="center"/>
              <w:rPr>
                <w:rFonts w:cs="Arial"/>
                <w:sz w:val="20"/>
              </w:rPr>
            </w:pPr>
            <w:r>
              <w:rPr>
                <w:rFonts w:cs="Arial"/>
                <w:sz w:val="20"/>
              </w:rPr>
              <w:t>7</w:t>
            </w:r>
          </w:p>
          <w:p w14:paraId="5ACF5B4E" w14:textId="398A97D8" w:rsidR="00FE39DA" w:rsidRDefault="00FE39DA" w:rsidP="00807889">
            <w:pPr>
              <w:widowControl w:val="0"/>
              <w:jc w:val="center"/>
              <w:rPr>
                <w:rFonts w:cs="Arial"/>
                <w:sz w:val="20"/>
              </w:rPr>
            </w:pPr>
          </w:p>
        </w:tc>
        <w:tc>
          <w:tcPr>
            <w:tcW w:w="341" w:type="pct"/>
          </w:tcPr>
          <w:p w14:paraId="5FEE973A" w14:textId="11428960" w:rsidR="00FE39DA" w:rsidRPr="00810A2E" w:rsidRDefault="00D92882" w:rsidP="00807889">
            <w:pPr>
              <w:widowControl w:val="0"/>
              <w:rPr>
                <w:rFonts w:cs="Arial"/>
                <w:sz w:val="20"/>
              </w:rPr>
            </w:pPr>
            <w:r>
              <w:rPr>
                <w:rFonts w:cs="Arial"/>
                <w:sz w:val="20"/>
              </w:rPr>
              <w:t>176</w:t>
            </w:r>
          </w:p>
        </w:tc>
        <w:tc>
          <w:tcPr>
            <w:tcW w:w="461" w:type="pct"/>
          </w:tcPr>
          <w:p w14:paraId="5F2C6861" w14:textId="5FAD65B2" w:rsidR="00FE39DA" w:rsidRPr="00810A2E" w:rsidRDefault="00D92882" w:rsidP="00807889">
            <w:pPr>
              <w:widowControl w:val="0"/>
              <w:rPr>
                <w:rFonts w:cs="Arial"/>
                <w:sz w:val="20"/>
              </w:rPr>
            </w:pPr>
            <w:r>
              <w:rPr>
                <w:rFonts w:cs="Arial"/>
                <w:sz w:val="20"/>
              </w:rPr>
              <w:t>8.3.2.2</w:t>
            </w:r>
          </w:p>
        </w:tc>
        <w:tc>
          <w:tcPr>
            <w:tcW w:w="3639" w:type="pct"/>
          </w:tcPr>
          <w:p w14:paraId="45AD490C" w14:textId="1331E981" w:rsidR="00FE39DA" w:rsidRPr="00810A2E" w:rsidRDefault="00D92882" w:rsidP="00807889">
            <w:pPr>
              <w:widowControl w:val="0"/>
              <w:rPr>
                <w:rFonts w:cs="Arial"/>
                <w:sz w:val="20"/>
              </w:rPr>
            </w:pPr>
            <w:r>
              <w:rPr>
                <w:rFonts w:cs="Arial"/>
                <w:sz w:val="20"/>
              </w:rPr>
              <w:t xml:space="preserve">An uncertainty under Diversity value is the use of Caz-Avi as a carbapenem sparing agent. NHS Trusts are put under pressure to avoid prescribing carbapenems and this may drive use of Caz-Avi outside the clinical scenarios modelled. </w:t>
            </w:r>
          </w:p>
        </w:tc>
      </w:tr>
      <w:tr w:rsidR="00D8461F" w:rsidRPr="00810A2E" w14:paraId="0CEA1F0D" w14:textId="77777777" w:rsidTr="00DC31C0">
        <w:tc>
          <w:tcPr>
            <w:tcW w:w="559" w:type="pct"/>
          </w:tcPr>
          <w:p w14:paraId="37983408" w14:textId="6510E1E8" w:rsidR="00D8461F" w:rsidRDefault="00D8461F" w:rsidP="00807889">
            <w:pPr>
              <w:widowControl w:val="0"/>
              <w:jc w:val="center"/>
              <w:rPr>
                <w:rFonts w:cs="Arial"/>
                <w:sz w:val="20"/>
              </w:rPr>
            </w:pPr>
            <w:r>
              <w:rPr>
                <w:rFonts w:cs="Arial"/>
                <w:sz w:val="20"/>
              </w:rPr>
              <w:t>8</w:t>
            </w:r>
          </w:p>
          <w:p w14:paraId="159FFCC5" w14:textId="0CB5DAD1" w:rsidR="00D8461F" w:rsidRDefault="00D8461F" w:rsidP="00807889">
            <w:pPr>
              <w:widowControl w:val="0"/>
              <w:jc w:val="center"/>
              <w:rPr>
                <w:rFonts w:cs="Arial"/>
                <w:sz w:val="20"/>
              </w:rPr>
            </w:pPr>
          </w:p>
        </w:tc>
        <w:tc>
          <w:tcPr>
            <w:tcW w:w="341" w:type="pct"/>
          </w:tcPr>
          <w:p w14:paraId="35B0C5DE" w14:textId="25FCCBEE" w:rsidR="00D8461F" w:rsidRPr="00810A2E" w:rsidRDefault="00D92882" w:rsidP="00807889">
            <w:pPr>
              <w:widowControl w:val="0"/>
              <w:rPr>
                <w:rFonts w:cs="Arial"/>
                <w:sz w:val="20"/>
              </w:rPr>
            </w:pPr>
            <w:r>
              <w:rPr>
                <w:rFonts w:cs="Arial"/>
                <w:sz w:val="20"/>
              </w:rPr>
              <w:t>177</w:t>
            </w:r>
          </w:p>
        </w:tc>
        <w:tc>
          <w:tcPr>
            <w:tcW w:w="461" w:type="pct"/>
          </w:tcPr>
          <w:p w14:paraId="59A3A73E" w14:textId="78CDA54C" w:rsidR="00D8461F" w:rsidRPr="00810A2E" w:rsidRDefault="00D92882" w:rsidP="00807889">
            <w:pPr>
              <w:widowControl w:val="0"/>
              <w:rPr>
                <w:rFonts w:cs="Arial"/>
                <w:sz w:val="20"/>
              </w:rPr>
            </w:pPr>
            <w:r>
              <w:rPr>
                <w:rFonts w:cs="Arial"/>
                <w:sz w:val="20"/>
              </w:rPr>
              <w:t>8.3.2.3</w:t>
            </w:r>
          </w:p>
        </w:tc>
        <w:tc>
          <w:tcPr>
            <w:tcW w:w="3639" w:type="pct"/>
          </w:tcPr>
          <w:p w14:paraId="7653EE4E" w14:textId="6C0071AA" w:rsidR="00D8461F" w:rsidRPr="00810A2E" w:rsidRDefault="00D92882" w:rsidP="00930A9C">
            <w:pPr>
              <w:widowControl w:val="0"/>
              <w:rPr>
                <w:rFonts w:cs="Arial"/>
                <w:sz w:val="20"/>
              </w:rPr>
            </w:pPr>
            <w:r>
              <w:rPr>
                <w:rFonts w:cs="Arial"/>
                <w:sz w:val="20"/>
              </w:rPr>
              <w:t xml:space="preserve">Insurance value is very important, although clearly difficult to </w:t>
            </w:r>
            <w:r w:rsidR="00930A9C">
              <w:rPr>
                <w:rFonts w:cs="Arial"/>
                <w:sz w:val="20"/>
              </w:rPr>
              <w:t xml:space="preserve">model as a ‘on the shelf in case we need it’ scenario. As a result insurance value maybe under-appreciated. The experience in the US is quite telling. Initially a reserve agent, use quickly became very widespread as KPC </w:t>
            </w:r>
            <w:proofErr w:type="spellStart"/>
            <w:r w:rsidR="00930A9C">
              <w:rPr>
                <w:rFonts w:cs="Arial"/>
                <w:sz w:val="20"/>
              </w:rPr>
              <w:t>carbapenemases</w:t>
            </w:r>
            <w:proofErr w:type="spellEnd"/>
            <w:r w:rsidR="00930A9C">
              <w:rPr>
                <w:rFonts w:cs="Arial"/>
                <w:sz w:val="20"/>
              </w:rPr>
              <w:t xml:space="preserve"> became prevalent.  </w:t>
            </w:r>
          </w:p>
        </w:tc>
      </w:tr>
      <w:tr w:rsidR="00930A9C" w:rsidRPr="00810A2E" w14:paraId="200CA935" w14:textId="77777777" w:rsidTr="00DC31C0">
        <w:tc>
          <w:tcPr>
            <w:tcW w:w="559" w:type="pct"/>
          </w:tcPr>
          <w:p w14:paraId="1EAD3CFA" w14:textId="77777777" w:rsidR="00930A9C" w:rsidRDefault="00930A9C" w:rsidP="00807889">
            <w:pPr>
              <w:widowControl w:val="0"/>
              <w:jc w:val="center"/>
              <w:rPr>
                <w:rFonts w:cs="Arial"/>
                <w:sz w:val="20"/>
              </w:rPr>
            </w:pPr>
          </w:p>
        </w:tc>
        <w:tc>
          <w:tcPr>
            <w:tcW w:w="341" w:type="pct"/>
          </w:tcPr>
          <w:p w14:paraId="7708F5B2" w14:textId="77777777" w:rsidR="00930A9C" w:rsidRDefault="00930A9C" w:rsidP="00807889">
            <w:pPr>
              <w:widowControl w:val="0"/>
              <w:rPr>
                <w:rFonts w:cs="Arial"/>
                <w:sz w:val="20"/>
              </w:rPr>
            </w:pPr>
          </w:p>
        </w:tc>
        <w:tc>
          <w:tcPr>
            <w:tcW w:w="461" w:type="pct"/>
          </w:tcPr>
          <w:p w14:paraId="2DC69451" w14:textId="77777777" w:rsidR="00930A9C" w:rsidRDefault="00930A9C" w:rsidP="00807889">
            <w:pPr>
              <w:widowControl w:val="0"/>
              <w:rPr>
                <w:rFonts w:cs="Arial"/>
                <w:sz w:val="20"/>
              </w:rPr>
            </w:pPr>
          </w:p>
        </w:tc>
        <w:tc>
          <w:tcPr>
            <w:tcW w:w="3639" w:type="pct"/>
          </w:tcPr>
          <w:p w14:paraId="3634BB92" w14:textId="77777777" w:rsidR="00930A9C" w:rsidRDefault="00930A9C" w:rsidP="00930A9C">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letters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lastRenderedPageBreak/>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303BB0" w:rsidRDefault="00303BB0">
      <w:r>
        <w:separator/>
      </w:r>
    </w:p>
  </w:endnote>
  <w:endnote w:type="continuationSeparator" w:id="0">
    <w:p w14:paraId="25973F20" w14:textId="77777777" w:rsidR="00303BB0" w:rsidRDefault="00303BB0">
      <w:r>
        <w:continuationSeparator/>
      </w:r>
    </w:p>
  </w:endnote>
  <w:endnote w:type="continuationNotice" w:id="1">
    <w:p w14:paraId="388EE559" w14:textId="77777777" w:rsidR="00303BB0" w:rsidRDefault="00303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303BB0" w:rsidRDefault="00303BB0">
      <w:r>
        <w:separator/>
      </w:r>
    </w:p>
  </w:footnote>
  <w:footnote w:type="continuationSeparator" w:id="0">
    <w:p w14:paraId="379E1A39" w14:textId="77777777" w:rsidR="00303BB0" w:rsidRDefault="00303BB0">
      <w:r>
        <w:continuationSeparator/>
      </w:r>
    </w:p>
  </w:footnote>
  <w:footnote w:type="continuationNotice" w:id="1">
    <w:p w14:paraId="67B1FA70" w14:textId="77777777" w:rsidR="00303BB0" w:rsidRDefault="00303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2FB39CEC" w14:textId="77777777" w:rsidR="00230851" w:rsidRDefault="00230851" w:rsidP="00FE39DA">
    <w:pPr>
      <w:pStyle w:val="Heading3"/>
      <w:rPr>
        <w:rFonts w:cs="Arial"/>
        <w:color w:val="2F5496" w:themeColor="accent1" w:themeShade="BF"/>
        <w:sz w:val="22"/>
        <w:szCs w:val="22"/>
      </w:rPr>
    </w:pPr>
    <w:r w:rsidRPr="00230851">
      <w:rPr>
        <w:rFonts w:cs="Arial"/>
        <w:color w:val="2F5496" w:themeColor="accent1" w:themeShade="BF"/>
        <w:sz w:val="22"/>
        <w:szCs w:val="22"/>
      </w:rPr>
      <w:t>Ceftazidime with avibactam for treating severe aerobic Gram-negative bacterial infections</w:t>
    </w:r>
  </w:p>
  <w:p w14:paraId="1333B069" w14:textId="77777777" w:rsidR="00230851" w:rsidRDefault="00230851" w:rsidP="00FE39DA">
    <w:pPr>
      <w:pStyle w:val="Heading3"/>
      <w:rPr>
        <w:rFonts w:cs="Arial"/>
        <w:color w:val="2F5496" w:themeColor="accent1" w:themeShade="BF"/>
        <w:sz w:val="22"/>
        <w:szCs w:val="22"/>
      </w:rPr>
    </w:pPr>
  </w:p>
  <w:p w14:paraId="3D15CD82" w14:textId="1897D0D8"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247FD207"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FE39DA" w:rsidRPr="00FE39DA">
        <w:rPr>
          <w:rStyle w:val="Hyperlink"/>
          <w:sz w:val="22"/>
          <w:szCs w:val="22"/>
        </w:rPr>
        <w:t>amrexisting@nice.org.uk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960489">
    <w:abstractNumId w:val="5"/>
  </w:num>
  <w:num w:numId="2" w16cid:durableId="1694334742">
    <w:abstractNumId w:val="14"/>
  </w:num>
  <w:num w:numId="3" w16cid:durableId="1450785599">
    <w:abstractNumId w:val="12"/>
  </w:num>
  <w:num w:numId="4" w16cid:durableId="2057509898">
    <w:abstractNumId w:val="15"/>
  </w:num>
  <w:num w:numId="5" w16cid:durableId="527916600">
    <w:abstractNumId w:val="15"/>
    <w:lvlOverride w:ilvl="0">
      <w:startOverride w:val="1"/>
    </w:lvlOverride>
  </w:num>
  <w:num w:numId="6" w16cid:durableId="633560894">
    <w:abstractNumId w:val="7"/>
  </w:num>
  <w:num w:numId="7" w16cid:durableId="456528832">
    <w:abstractNumId w:val="8"/>
  </w:num>
  <w:num w:numId="8" w16cid:durableId="1799566837">
    <w:abstractNumId w:val="10"/>
  </w:num>
  <w:num w:numId="9" w16cid:durableId="711802934">
    <w:abstractNumId w:val="0"/>
  </w:num>
  <w:num w:numId="10" w16cid:durableId="903107414">
    <w:abstractNumId w:val="4"/>
  </w:num>
  <w:num w:numId="11" w16cid:durableId="240869465">
    <w:abstractNumId w:val="1"/>
  </w:num>
  <w:num w:numId="12" w16cid:durableId="1284844968">
    <w:abstractNumId w:val="16"/>
  </w:num>
  <w:num w:numId="13" w16cid:durableId="1781755819">
    <w:abstractNumId w:val="3"/>
  </w:num>
  <w:num w:numId="14" w16cid:durableId="620960603">
    <w:abstractNumId w:val="11"/>
  </w:num>
  <w:num w:numId="15" w16cid:durableId="4479896">
    <w:abstractNumId w:val="6"/>
  </w:num>
  <w:num w:numId="16" w16cid:durableId="1989674422">
    <w:abstractNumId w:val="9"/>
  </w:num>
  <w:num w:numId="17" w16cid:durableId="2058124713">
    <w:abstractNumId w:val="2"/>
  </w:num>
  <w:num w:numId="18" w16cid:durableId="266233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54"/>
    <w:rsid w:val="000214A8"/>
    <w:rsid w:val="00021B83"/>
    <w:rsid w:val="00025820"/>
    <w:rsid w:val="000342F2"/>
    <w:rsid w:val="00044D17"/>
    <w:rsid w:val="00060E93"/>
    <w:rsid w:val="00062223"/>
    <w:rsid w:val="0006636E"/>
    <w:rsid w:val="00080515"/>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4BF9"/>
    <w:rsid w:val="00230851"/>
    <w:rsid w:val="002444F5"/>
    <w:rsid w:val="00246154"/>
    <w:rsid w:val="002475F1"/>
    <w:rsid w:val="00257BDB"/>
    <w:rsid w:val="00261963"/>
    <w:rsid w:val="00282094"/>
    <w:rsid w:val="00292396"/>
    <w:rsid w:val="002A7173"/>
    <w:rsid w:val="002A7A97"/>
    <w:rsid w:val="002A7D99"/>
    <w:rsid w:val="002B12BF"/>
    <w:rsid w:val="002C0DB3"/>
    <w:rsid w:val="002E6A85"/>
    <w:rsid w:val="002E7FE1"/>
    <w:rsid w:val="002F342B"/>
    <w:rsid w:val="002F67CE"/>
    <w:rsid w:val="00300024"/>
    <w:rsid w:val="00303BB0"/>
    <w:rsid w:val="00310C57"/>
    <w:rsid w:val="003163E9"/>
    <w:rsid w:val="003174B2"/>
    <w:rsid w:val="0032029A"/>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C0F3D"/>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95F64"/>
    <w:rsid w:val="004A1670"/>
    <w:rsid w:val="004A1C8F"/>
    <w:rsid w:val="004B0799"/>
    <w:rsid w:val="004C2808"/>
    <w:rsid w:val="004C70EE"/>
    <w:rsid w:val="004E107E"/>
    <w:rsid w:val="004E513A"/>
    <w:rsid w:val="005007BE"/>
    <w:rsid w:val="00500928"/>
    <w:rsid w:val="00501DA6"/>
    <w:rsid w:val="005231A3"/>
    <w:rsid w:val="00526B24"/>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5FD6"/>
    <w:rsid w:val="005F745A"/>
    <w:rsid w:val="00600E1F"/>
    <w:rsid w:val="006033FE"/>
    <w:rsid w:val="00603F57"/>
    <w:rsid w:val="00623125"/>
    <w:rsid w:val="00624222"/>
    <w:rsid w:val="0063356A"/>
    <w:rsid w:val="00634E8F"/>
    <w:rsid w:val="00636279"/>
    <w:rsid w:val="00656C93"/>
    <w:rsid w:val="0066157A"/>
    <w:rsid w:val="00673600"/>
    <w:rsid w:val="006808A0"/>
    <w:rsid w:val="006B6ADD"/>
    <w:rsid w:val="006E2A75"/>
    <w:rsid w:val="006F2675"/>
    <w:rsid w:val="006F679F"/>
    <w:rsid w:val="0070312D"/>
    <w:rsid w:val="00715C1F"/>
    <w:rsid w:val="00717E28"/>
    <w:rsid w:val="0072077E"/>
    <w:rsid w:val="00733036"/>
    <w:rsid w:val="007334BB"/>
    <w:rsid w:val="00742457"/>
    <w:rsid w:val="00751401"/>
    <w:rsid w:val="00751457"/>
    <w:rsid w:val="00753A0B"/>
    <w:rsid w:val="00763790"/>
    <w:rsid w:val="00775C56"/>
    <w:rsid w:val="0078462C"/>
    <w:rsid w:val="007866C8"/>
    <w:rsid w:val="00790A29"/>
    <w:rsid w:val="007968D4"/>
    <w:rsid w:val="007B25F3"/>
    <w:rsid w:val="007B6E20"/>
    <w:rsid w:val="007C2716"/>
    <w:rsid w:val="007D5358"/>
    <w:rsid w:val="007E0074"/>
    <w:rsid w:val="007E1DD9"/>
    <w:rsid w:val="007E22AC"/>
    <w:rsid w:val="007E258B"/>
    <w:rsid w:val="007F085B"/>
    <w:rsid w:val="008039AA"/>
    <w:rsid w:val="00804864"/>
    <w:rsid w:val="0080710A"/>
    <w:rsid w:val="00807889"/>
    <w:rsid w:val="00810A2E"/>
    <w:rsid w:val="00827634"/>
    <w:rsid w:val="00834AB9"/>
    <w:rsid w:val="00835540"/>
    <w:rsid w:val="0084727A"/>
    <w:rsid w:val="008514EA"/>
    <w:rsid w:val="00857205"/>
    <w:rsid w:val="008611EC"/>
    <w:rsid w:val="00862EF8"/>
    <w:rsid w:val="008728E3"/>
    <w:rsid w:val="00894A46"/>
    <w:rsid w:val="008A2552"/>
    <w:rsid w:val="008A4C19"/>
    <w:rsid w:val="008C584A"/>
    <w:rsid w:val="008D749A"/>
    <w:rsid w:val="00904312"/>
    <w:rsid w:val="009071D4"/>
    <w:rsid w:val="00907944"/>
    <w:rsid w:val="009204F8"/>
    <w:rsid w:val="00922752"/>
    <w:rsid w:val="00930A9C"/>
    <w:rsid w:val="009448BE"/>
    <w:rsid w:val="009524A0"/>
    <w:rsid w:val="00953727"/>
    <w:rsid w:val="00956108"/>
    <w:rsid w:val="00966357"/>
    <w:rsid w:val="00975502"/>
    <w:rsid w:val="00981509"/>
    <w:rsid w:val="0099379D"/>
    <w:rsid w:val="009B7261"/>
    <w:rsid w:val="009C4360"/>
    <w:rsid w:val="009D0DDF"/>
    <w:rsid w:val="009D7079"/>
    <w:rsid w:val="009E26F6"/>
    <w:rsid w:val="009E7AF2"/>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3F54"/>
    <w:rsid w:val="00AE45DA"/>
    <w:rsid w:val="00AF29BD"/>
    <w:rsid w:val="00AF3947"/>
    <w:rsid w:val="00B056C8"/>
    <w:rsid w:val="00B07B3D"/>
    <w:rsid w:val="00B16F72"/>
    <w:rsid w:val="00B370E9"/>
    <w:rsid w:val="00B57C37"/>
    <w:rsid w:val="00B60144"/>
    <w:rsid w:val="00B671EA"/>
    <w:rsid w:val="00B67C7F"/>
    <w:rsid w:val="00B75E21"/>
    <w:rsid w:val="00B81DC8"/>
    <w:rsid w:val="00B83648"/>
    <w:rsid w:val="00B90A06"/>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26B6"/>
    <w:rsid w:val="00C979F9"/>
    <w:rsid w:val="00CB03E3"/>
    <w:rsid w:val="00CB1334"/>
    <w:rsid w:val="00CB213B"/>
    <w:rsid w:val="00CD04AA"/>
    <w:rsid w:val="00CD238D"/>
    <w:rsid w:val="00CE1E29"/>
    <w:rsid w:val="00CF302B"/>
    <w:rsid w:val="00D032FB"/>
    <w:rsid w:val="00D06290"/>
    <w:rsid w:val="00D063F3"/>
    <w:rsid w:val="00D117FA"/>
    <w:rsid w:val="00D209B9"/>
    <w:rsid w:val="00D2452F"/>
    <w:rsid w:val="00D36D76"/>
    <w:rsid w:val="00D370C4"/>
    <w:rsid w:val="00D50EB7"/>
    <w:rsid w:val="00D525E7"/>
    <w:rsid w:val="00D63D97"/>
    <w:rsid w:val="00D713A8"/>
    <w:rsid w:val="00D731F4"/>
    <w:rsid w:val="00D8029C"/>
    <w:rsid w:val="00D8461F"/>
    <w:rsid w:val="00D87756"/>
    <w:rsid w:val="00D92882"/>
    <w:rsid w:val="00D93033"/>
    <w:rsid w:val="00D937BE"/>
    <w:rsid w:val="00DA30DF"/>
    <w:rsid w:val="00DA485E"/>
    <w:rsid w:val="00DB1C72"/>
    <w:rsid w:val="00DB5252"/>
    <w:rsid w:val="00DB6AB5"/>
    <w:rsid w:val="00DC31C0"/>
    <w:rsid w:val="00DC47AF"/>
    <w:rsid w:val="00DE50FC"/>
    <w:rsid w:val="00DF57F3"/>
    <w:rsid w:val="00E025D0"/>
    <w:rsid w:val="00E2483C"/>
    <w:rsid w:val="00E330B0"/>
    <w:rsid w:val="00E33719"/>
    <w:rsid w:val="00E57605"/>
    <w:rsid w:val="00E6681A"/>
    <w:rsid w:val="00E73623"/>
    <w:rsid w:val="00E74623"/>
    <w:rsid w:val="00E76BFC"/>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customStyle="1" w:styleId="UnresolvedMention1">
    <w:name w:val="Unresolved Mention1"/>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E41C-6EF1-4B66-BB98-2590A9EA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5623</Characters>
  <Application>Microsoft Office Word</Application>
  <DocSecurity>0</DocSecurity>
  <Lines>100</Lines>
  <Paragraphs>17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Merissa Bellew</cp:lastModifiedBy>
  <cp:revision>2</cp:revision>
  <cp:lastPrinted>2005-11-01T10:30:00Z</cp:lastPrinted>
  <dcterms:created xsi:type="dcterms:W3CDTF">2024-02-13T08:20:00Z</dcterms:created>
  <dcterms:modified xsi:type="dcterms:W3CDTF">2024-02-13T08:20:00Z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2024-02-13T08:20:10Z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259f071b-41ac-47ee-9412-c315424c2a19</vt:lpwstr>
  </property>
  <property fmtid="{D5CDD505-2E9C-101B-9397-08002B2CF9AE}" pid="8" name="MSIP_Label_c69d85d5-6d9e-4305-a294-1f636ec0f2d6_ContentBits">
    <vt:lpwstr>0</vt:lpwstr>
  </property>
</Properties>
</file>