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693089F6" w:rsidR="00FE39DA" w:rsidRPr="00922752" w:rsidRDefault="00922752" w:rsidP="000B0C48">
      <w:pPr>
        <w:rPr>
          <w:b/>
          <w:bCs/>
        </w:rPr>
      </w:pPr>
      <w:r w:rsidRPr="00922752">
        <w:rPr>
          <w:b/>
          <w:bCs/>
        </w:rPr>
        <w:t>Organisation name:</w:t>
      </w:r>
      <w:r w:rsidR="000B0C48">
        <w:rPr>
          <w:b/>
          <w:bCs/>
        </w:rPr>
        <w:t xml:space="preserve"> </w:t>
      </w:r>
      <w:r w:rsidR="00B40BC2">
        <w:rPr>
          <w:b/>
          <w:bCs/>
        </w:rPr>
        <w:t>APRHAI</w:t>
      </w:r>
      <w:r w:rsidR="0072063E">
        <w:rPr>
          <w:b/>
          <w:bCs/>
        </w:rPr>
        <w:t xml:space="preserve"> (</w:t>
      </w:r>
      <w:r w:rsidR="0072063E" w:rsidRPr="0072063E">
        <w:rPr>
          <w:b/>
          <w:bCs/>
        </w:rPr>
        <w:t>Advisory Committee on Antimicrobial Prescribing, Resistance and Healthcare Associated Infections</w:t>
      </w:r>
      <w:r w:rsidR="0072063E">
        <w:rPr>
          <w:b/>
          <w:bCs/>
        </w:rPr>
        <w:t>)</w:t>
      </w:r>
    </w:p>
    <w:p w14:paraId="3158A3D2" w14:textId="77777777" w:rsidR="00922752" w:rsidRDefault="00922752" w:rsidP="000B0C48"/>
    <w:p w14:paraId="0767E7F6" w14:textId="77777777" w:rsidR="000B0C48" w:rsidRDefault="000B0C48" w:rsidP="000B0C48">
      <w:pP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6A3362C0" w:rsidR="00922752" w:rsidRPr="00922752" w:rsidRDefault="00B40BC2" w:rsidP="000B0C48">
      <w:pPr>
        <w:rPr>
          <w:sz w:val="18"/>
          <w:szCs w:val="18"/>
        </w:rPr>
      </w:pPr>
      <w:r>
        <w:rPr>
          <w:sz w:val="18"/>
          <w:szCs w:val="18"/>
        </w:rPr>
        <w:t>None</w:t>
      </w:r>
    </w:p>
    <w:p w14:paraId="06CCBCF3" w14:textId="77777777" w:rsidR="000B0C48" w:rsidRDefault="000B0C48" w:rsidP="000B0C48">
      <w:pPr>
        <w:rPr>
          <w:b/>
          <w:bCs/>
        </w:rPr>
      </w:pPr>
    </w:p>
    <w:p w14:paraId="169805D0" w14:textId="7891A751" w:rsidR="00922752" w:rsidRPr="00922752" w:rsidRDefault="00922752" w:rsidP="000B0C48">
      <w:pPr>
        <w:rPr>
          <w:b/>
          <w:bCs/>
        </w:rPr>
      </w:pPr>
      <w:r w:rsidRPr="00922752">
        <w:rPr>
          <w:b/>
          <w:bCs/>
        </w:rPr>
        <w:t xml:space="preserve">Name of person completing form: </w:t>
      </w:r>
    </w:p>
    <w:p w14:paraId="39161453" w14:textId="4FD161F2" w:rsidR="00922752" w:rsidRDefault="00407F3B" w:rsidP="00097482">
      <w:pPr>
        <w:jc w:val="center"/>
      </w:pPr>
      <w:proofErr w:type="spellStart"/>
      <w:r w:rsidRPr="00407F3B">
        <w:rPr>
          <w:highlight w:val="black"/>
        </w:rPr>
        <w:t>xxxxxxxxxxxxxxx</w:t>
      </w:r>
      <w:proofErr w:type="spellEnd"/>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717"/>
        <w:gridCol w:w="1039"/>
        <w:gridCol w:w="7293"/>
      </w:tblGrid>
      <w:tr w:rsidR="007D48B0" w:rsidRPr="00481C73" w14:paraId="51CD6243" w14:textId="77777777" w:rsidTr="00B0719C">
        <w:tc>
          <w:tcPr>
            <w:tcW w:w="559" w:type="pct"/>
          </w:tcPr>
          <w:p w14:paraId="1259AD6A" w14:textId="4F752F92" w:rsidR="007D48B0" w:rsidRPr="002E6A85" w:rsidRDefault="007D48B0" w:rsidP="007D48B0">
            <w:pPr>
              <w:widowControl w:val="0"/>
              <w:jc w:val="center"/>
              <w:rPr>
                <w:rFonts w:cs="Arial"/>
                <w:b/>
                <w:bCs/>
                <w:color w:val="000000"/>
                <w:sz w:val="20"/>
              </w:rPr>
            </w:pPr>
            <w:r w:rsidRPr="002E6A85">
              <w:rPr>
                <w:rFonts w:cs="Arial"/>
                <w:b/>
                <w:bCs/>
                <w:color w:val="000000"/>
                <w:sz w:val="20"/>
              </w:rPr>
              <w:t>Comment no.</w:t>
            </w:r>
          </w:p>
        </w:tc>
        <w:tc>
          <w:tcPr>
            <w:tcW w:w="352" w:type="pct"/>
          </w:tcPr>
          <w:p w14:paraId="43E626F2" w14:textId="77777777" w:rsidR="007D48B0" w:rsidRPr="002E6A85" w:rsidRDefault="007D48B0" w:rsidP="007D48B0">
            <w:pPr>
              <w:widowControl w:val="0"/>
              <w:rPr>
                <w:rFonts w:cs="Arial"/>
                <w:b/>
                <w:bCs/>
                <w:color w:val="000000"/>
                <w:sz w:val="20"/>
              </w:rPr>
            </w:pPr>
            <w:r w:rsidRPr="002E6A85">
              <w:rPr>
                <w:rFonts w:cs="Arial"/>
                <w:b/>
                <w:bCs/>
                <w:color w:val="000000"/>
                <w:sz w:val="20"/>
              </w:rPr>
              <w:t xml:space="preserve">Page </w:t>
            </w:r>
          </w:p>
          <w:p w14:paraId="408B1547" w14:textId="6F70E4B5" w:rsidR="007D48B0" w:rsidRPr="002E6A85" w:rsidRDefault="007D48B0" w:rsidP="007D48B0">
            <w:pPr>
              <w:widowControl w:val="0"/>
              <w:rPr>
                <w:rFonts w:cs="Arial"/>
                <w:b/>
                <w:bCs/>
                <w:color w:val="000000"/>
                <w:sz w:val="20"/>
              </w:rPr>
            </w:pPr>
            <w:r w:rsidRPr="002E6A85">
              <w:rPr>
                <w:rFonts w:cs="Arial"/>
                <w:b/>
                <w:bCs/>
                <w:color w:val="000000"/>
                <w:sz w:val="20"/>
              </w:rPr>
              <w:t>no.</w:t>
            </w:r>
          </w:p>
        </w:tc>
        <w:tc>
          <w:tcPr>
            <w:tcW w:w="510" w:type="pct"/>
          </w:tcPr>
          <w:p w14:paraId="78390B6A" w14:textId="11BFF7D5" w:rsidR="007D48B0" w:rsidRPr="002E6A85" w:rsidRDefault="007D48B0" w:rsidP="007D48B0">
            <w:pPr>
              <w:widowControl w:val="0"/>
              <w:jc w:val="center"/>
              <w:rPr>
                <w:rFonts w:cs="Arial"/>
                <w:b/>
                <w:bCs/>
                <w:color w:val="000000"/>
                <w:sz w:val="20"/>
              </w:rPr>
            </w:pPr>
            <w:r w:rsidRPr="002E6A85">
              <w:rPr>
                <w:rFonts w:cs="Arial"/>
                <w:b/>
                <w:bCs/>
                <w:color w:val="000000"/>
                <w:sz w:val="20"/>
              </w:rPr>
              <w:t>Section no.</w:t>
            </w:r>
          </w:p>
        </w:tc>
        <w:tc>
          <w:tcPr>
            <w:tcW w:w="3579" w:type="pct"/>
          </w:tcPr>
          <w:p w14:paraId="4811F0D8" w14:textId="77777777" w:rsidR="007D48B0" w:rsidRPr="0019281A" w:rsidRDefault="007D48B0" w:rsidP="007D48B0">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73516588" w14:textId="77777777" w:rsidR="007D48B0" w:rsidRDefault="007D48B0" w:rsidP="007D48B0">
            <w:pPr>
              <w:widowControl w:val="0"/>
              <w:jc w:val="center"/>
              <w:rPr>
                <w:rFonts w:cs="Arial"/>
                <w:sz w:val="18"/>
                <w:szCs w:val="18"/>
              </w:rPr>
            </w:pPr>
          </w:p>
          <w:p w14:paraId="14B11529" w14:textId="77777777" w:rsidR="007D48B0" w:rsidRPr="005F745A" w:rsidRDefault="007D48B0" w:rsidP="007D48B0">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68857805" w14:textId="77777777" w:rsidR="007D48B0" w:rsidRPr="005F745A" w:rsidRDefault="007D48B0" w:rsidP="007D48B0">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5EFBCAED" w14:textId="77777777" w:rsidR="007D48B0" w:rsidRPr="0019281A" w:rsidRDefault="007D48B0" w:rsidP="007D48B0">
            <w:pPr>
              <w:widowControl w:val="0"/>
              <w:jc w:val="center"/>
              <w:rPr>
                <w:rFonts w:cs="Arial"/>
                <w:b/>
                <w:bCs/>
                <w:color w:val="000000"/>
                <w:sz w:val="24"/>
                <w:szCs w:val="24"/>
              </w:rPr>
            </w:pPr>
          </w:p>
        </w:tc>
      </w:tr>
      <w:tr w:rsidR="007D48B0" w:rsidRPr="00810A2E" w14:paraId="5702DF46" w14:textId="77777777" w:rsidTr="00B0719C">
        <w:tc>
          <w:tcPr>
            <w:tcW w:w="559" w:type="pct"/>
          </w:tcPr>
          <w:p w14:paraId="5DAED3A5" w14:textId="77777777" w:rsidR="007D48B0" w:rsidRDefault="007D48B0" w:rsidP="007D48B0">
            <w:pPr>
              <w:widowControl w:val="0"/>
              <w:jc w:val="center"/>
              <w:rPr>
                <w:rFonts w:cs="Arial"/>
                <w:sz w:val="20"/>
              </w:rPr>
            </w:pPr>
            <w:r w:rsidRPr="00810A2E">
              <w:rPr>
                <w:rFonts w:cs="Arial"/>
                <w:sz w:val="20"/>
              </w:rPr>
              <w:t>1</w:t>
            </w:r>
          </w:p>
          <w:p w14:paraId="6530300F" w14:textId="77777777" w:rsidR="007D48B0" w:rsidRPr="00810A2E" w:rsidRDefault="007D48B0" w:rsidP="007D48B0">
            <w:pPr>
              <w:widowControl w:val="0"/>
              <w:jc w:val="center"/>
              <w:rPr>
                <w:rFonts w:cs="Arial"/>
                <w:sz w:val="20"/>
              </w:rPr>
            </w:pPr>
          </w:p>
        </w:tc>
        <w:tc>
          <w:tcPr>
            <w:tcW w:w="352" w:type="pct"/>
          </w:tcPr>
          <w:p w14:paraId="7485CED1" w14:textId="62BFAF4A" w:rsidR="007D48B0" w:rsidRPr="00810A2E" w:rsidRDefault="007D48B0" w:rsidP="007D48B0">
            <w:pPr>
              <w:widowControl w:val="0"/>
              <w:rPr>
                <w:rFonts w:cs="Arial"/>
                <w:sz w:val="20"/>
              </w:rPr>
            </w:pPr>
            <w:r>
              <w:rPr>
                <w:rFonts w:cs="Arial"/>
                <w:sz w:val="20"/>
              </w:rPr>
              <w:t>13</w:t>
            </w:r>
          </w:p>
        </w:tc>
        <w:tc>
          <w:tcPr>
            <w:tcW w:w="510" w:type="pct"/>
          </w:tcPr>
          <w:p w14:paraId="72719396" w14:textId="2CB56521" w:rsidR="007D48B0" w:rsidRPr="00810A2E" w:rsidRDefault="007D48B0" w:rsidP="007D48B0">
            <w:pPr>
              <w:widowControl w:val="0"/>
              <w:rPr>
                <w:rFonts w:cs="Arial"/>
                <w:sz w:val="20"/>
              </w:rPr>
            </w:pPr>
            <w:r>
              <w:rPr>
                <w:rFonts w:cs="Arial"/>
                <w:sz w:val="20"/>
              </w:rPr>
              <w:t>summary</w:t>
            </w:r>
          </w:p>
        </w:tc>
        <w:tc>
          <w:tcPr>
            <w:tcW w:w="3579" w:type="pct"/>
          </w:tcPr>
          <w:p w14:paraId="5980938B" w14:textId="11D8F258" w:rsidR="007D48B0" w:rsidRPr="00810A2E" w:rsidRDefault="007D48B0" w:rsidP="007D48B0">
            <w:pPr>
              <w:widowControl w:val="0"/>
              <w:rPr>
                <w:rFonts w:cs="Arial"/>
                <w:sz w:val="20"/>
              </w:rPr>
            </w:pPr>
            <w:r>
              <w:rPr>
                <w:rFonts w:cs="Arial"/>
                <w:sz w:val="20"/>
              </w:rPr>
              <w:t xml:space="preserve">Network </w:t>
            </w:r>
            <w:proofErr w:type="spellStart"/>
            <w:proofErr w:type="gramStart"/>
            <w:r>
              <w:rPr>
                <w:rFonts w:cs="Arial"/>
                <w:sz w:val="20"/>
              </w:rPr>
              <w:t>meta analysis</w:t>
            </w:r>
            <w:proofErr w:type="spellEnd"/>
            <w:proofErr w:type="gramEnd"/>
            <w:r>
              <w:rPr>
                <w:rFonts w:cs="Arial"/>
                <w:sz w:val="20"/>
              </w:rPr>
              <w:t xml:space="preserve"> is appropriate but only MBL organisms are included. EUCAST criteria have recently been revised and interpretation of sensitivities may have been affected (see section 4). Sensitivity appears to be the sole evaluator used. Review 4 examined other resistant organisms.</w:t>
            </w:r>
          </w:p>
        </w:tc>
      </w:tr>
      <w:tr w:rsidR="007D48B0" w:rsidRPr="00810A2E" w14:paraId="5A61DE1E" w14:textId="77777777" w:rsidTr="00B0719C">
        <w:tc>
          <w:tcPr>
            <w:tcW w:w="559" w:type="pct"/>
          </w:tcPr>
          <w:p w14:paraId="16FA5874" w14:textId="77777777" w:rsidR="007D48B0" w:rsidRDefault="007D48B0" w:rsidP="007D48B0">
            <w:pPr>
              <w:widowControl w:val="0"/>
              <w:jc w:val="center"/>
              <w:rPr>
                <w:rFonts w:cs="Arial"/>
                <w:sz w:val="20"/>
              </w:rPr>
            </w:pPr>
            <w:r w:rsidRPr="00810A2E">
              <w:rPr>
                <w:rFonts w:cs="Arial"/>
                <w:sz w:val="20"/>
              </w:rPr>
              <w:t>2</w:t>
            </w:r>
          </w:p>
          <w:p w14:paraId="0608111B" w14:textId="77777777" w:rsidR="007D48B0" w:rsidRPr="00810A2E" w:rsidRDefault="007D48B0" w:rsidP="007D48B0">
            <w:pPr>
              <w:widowControl w:val="0"/>
              <w:jc w:val="center"/>
              <w:rPr>
                <w:rFonts w:cs="Arial"/>
                <w:sz w:val="20"/>
              </w:rPr>
            </w:pPr>
          </w:p>
        </w:tc>
        <w:tc>
          <w:tcPr>
            <w:tcW w:w="352" w:type="pct"/>
          </w:tcPr>
          <w:p w14:paraId="03BEEB4B" w14:textId="06C44C6A" w:rsidR="007D48B0" w:rsidRPr="00810A2E" w:rsidRDefault="007D48B0" w:rsidP="007D48B0">
            <w:pPr>
              <w:widowControl w:val="0"/>
              <w:rPr>
                <w:rFonts w:cs="Arial"/>
                <w:sz w:val="20"/>
              </w:rPr>
            </w:pPr>
            <w:r>
              <w:rPr>
                <w:rFonts w:cs="Arial"/>
                <w:sz w:val="20"/>
              </w:rPr>
              <w:t>14</w:t>
            </w:r>
          </w:p>
        </w:tc>
        <w:tc>
          <w:tcPr>
            <w:tcW w:w="510" w:type="pct"/>
          </w:tcPr>
          <w:p w14:paraId="1BC36808" w14:textId="483AF93C" w:rsidR="007D48B0" w:rsidRPr="00810A2E" w:rsidRDefault="007D48B0" w:rsidP="007D48B0">
            <w:pPr>
              <w:widowControl w:val="0"/>
              <w:rPr>
                <w:rFonts w:cs="Arial"/>
                <w:sz w:val="20"/>
              </w:rPr>
            </w:pPr>
            <w:r>
              <w:rPr>
                <w:rFonts w:cs="Arial"/>
                <w:sz w:val="20"/>
              </w:rPr>
              <w:t>summary</w:t>
            </w:r>
          </w:p>
        </w:tc>
        <w:tc>
          <w:tcPr>
            <w:tcW w:w="3579" w:type="pct"/>
          </w:tcPr>
          <w:p w14:paraId="5A392126" w14:textId="57FDDFC7" w:rsidR="007D48B0" w:rsidRPr="00810A2E" w:rsidRDefault="007D48B0" w:rsidP="007D48B0">
            <w:pPr>
              <w:widowControl w:val="0"/>
              <w:rPr>
                <w:rFonts w:cs="Arial"/>
                <w:sz w:val="20"/>
              </w:rPr>
            </w:pPr>
            <w:r>
              <w:rPr>
                <w:rFonts w:cs="Arial"/>
                <w:sz w:val="20"/>
              </w:rPr>
              <w:t xml:space="preserve">QALYS and number of patients are small nationally but should include non MBL patients where this antibiotic was used. </w:t>
            </w:r>
          </w:p>
        </w:tc>
      </w:tr>
      <w:tr w:rsidR="007D48B0" w:rsidRPr="00810A2E" w14:paraId="26E91BA8" w14:textId="77777777" w:rsidTr="00B0719C">
        <w:tc>
          <w:tcPr>
            <w:tcW w:w="559" w:type="pct"/>
          </w:tcPr>
          <w:p w14:paraId="4A560D0F" w14:textId="14C32885" w:rsidR="007D48B0" w:rsidRPr="00810A2E" w:rsidRDefault="007D48B0" w:rsidP="007D48B0">
            <w:pPr>
              <w:widowControl w:val="0"/>
              <w:jc w:val="center"/>
              <w:rPr>
                <w:rFonts w:cs="Arial"/>
                <w:sz w:val="20"/>
              </w:rPr>
            </w:pPr>
            <w:r>
              <w:rPr>
                <w:rFonts w:cs="Arial"/>
                <w:sz w:val="20"/>
              </w:rPr>
              <w:t>3</w:t>
            </w:r>
          </w:p>
        </w:tc>
        <w:tc>
          <w:tcPr>
            <w:tcW w:w="352" w:type="pct"/>
          </w:tcPr>
          <w:p w14:paraId="623FC240" w14:textId="6A91669E" w:rsidR="007D48B0" w:rsidRDefault="007D48B0" w:rsidP="007D48B0">
            <w:pPr>
              <w:widowControl w:val="0"/>
              <w:rPr>
                <w:rFonts w:cs="Arial"/>
                <w:sz w:val="20"/>
              </w:rPr>
            </w:pPr>
            <w:r>
              <w:rPr>
                <w:rFonts w:cs="Arial"/>
                <w:sz w:val="20"/>
              </w:rPr>
              <w:t>1</w:t>
            </w:r>
            <w:r w:rsidR="00B0719C">
              <w:rPr>
                <w:rFonts w:cs="Arial"/>
                <w:sz w:val="20"/>
              </w:rPr>
              <w:t>7</w:t>
            </w:r>
          </w:p>
        </w:tc>
        <w:tc>
          <w:tcPr>
            <w:tcW w:w="510" w:type="pct"/>
          </w:tcPr>
          <w:p w14:paraId="430C0E3B" w14:textId="16FD35A8" w:rsidR="007D48B0" w:rsidRDefault="007D48B0" w:rsidP="007D48B0">
            <w:pPr>
              <w:widowControl w:val="0"/>
              <w:rPr>
                <w:rFonts w:cs="Arial"/>
                <w:sz w:val="20"/>
              </w:rPr>
            </w:pPr>
            <w:r>
              <w:rPr>
                <w:rFonts w:cs="Arial"/>
                <w:sz w:val="20"/>
              </w:rPr>
              <w:t>1.4.2</w:t>
            </w:r>
          </w:p>
        </w:tc>
        <w:tc>
          <w:tcPr>
            <w:tcW w:w="3579" w:type="pct"/>
          </w:tcPr>
          <w:p w14:paraId="408AC660" w14:textId="41AC9454" w:rsidR="007D48B0" w:rsidRDefault="007D48B0" w:rsidP="007D48B0">
            <w:pPr>
              <w:widowControl w:val="0"/>
              <w:rPr>
                <w:rFonts w:cs="Arial"/>
                <w:sz w:val="20"/>
              </w:rPr>
            </w:pPr>
            <w:r>
              <w:rPr>
                <w:rFonts w:cs="Arial"/>
                <w:sz w:val="20"/>
              </w:rPr>
              <w:t>Do not suggest differences in sensitivity when OR shows not significant</w:t>
            </w:r>
          </w:p>
        </w:tc>
      </w:tr>
      <w:tr w:rsidR="00B0719C" w:rsidRPr="00810A2E" w14:paraId="630755A0" w14:textId="77777777" w:rsidTr="00B0719C">
        <w:tc>
          <w:tcPr>
            <w:tcW w:w="559" w:type="pct"/>
          </w:tcPr>
          <w:p w14:paraId="5755C6E9" w14:textId="196CF3AC" w:rsidR="00B0719C" w:rsidRPr="00810A2E" w:rsidRDefault="00B0719C" w:rsidP="007D48B0">
            <w:pPr>
              <w:widowControl w:val="0"/>
              <w:jc w:val="center"/>
              <w:rPr>
                <w:rFonts w:cs="Arial"/>
                <w:sz w:val="20"/>
              </w:rPr>
            </w:pPr>
            <w:r>
              <w:rPr>
                <w:rFonts w:cs="Arial"/>
                <w:sz w:val="20"/>
              </w:rPr>
              <w:t>4</w:t>
            </w:r>
          </w:p>
        </w:tc>
        <w:tc>
          <w:tcPr>
            <w:tcW w:w="352" w:type="pct"/>
          </w:tcPr>
          <w:p w14:paraId="10BCBD6D" w14:textId="505CF698" w:rsidR="00B0719C" w:rsidRDefault="00B0719C" w:rsidP="007D48B0">
            <w:pPr>
              <w:widowControl w:val="0"/>
              <w:rPr>
                <w:rFonts w:cs="Arial"/>
                <w:sz w:val="20"/>
              </w:rPr>
            </w:pPr>
            <w:r>
              <w:rPr>
                <w:rFonts w:cs="Arial"/>
                <w:sz w:val="20"/>
              </w:rPr>
              <w:t>21</w:t>
            </w:r>
          </w:p>
        </w:tc>
        <w:tc>
          <w:tcPr>
            <w:tcW w:w="510" w:type="pct"/>
          </w:tcPr>
          <w:p w14:paraId="33BBBDD7" w14:textId="2166B2E5" w:rsidR="00B0719C" w:rsidRDefault="00B0719C" w:rsidP="007D48B0">
            <w:pPr>
              <w:widowControl w:val="0"/>
              <w:rPr>
                <w:rFonts w:cs="Arial"/>
                <w:sz w:val="20"/>
              </w:rPr>
            </w:pPr>
            <w:r>
              <w:rPr>
                <w:rFonts w:cs="Arial"/>
                <w:sz w:val="20"/>
              </w:rPr>
              <w:t>1.5.2</w:t>
            </w:r>
          </w:p>
        </w:tc>
        <w:tc>
          <w:tcPr>
            <w:tcW w:w="3579" w:type="pct"/>
          </w:tcPr>
          <w:p w14:paraId="446EA045" w14:textId="3777D6F1" w:rsidR="00B0719C" w:rsidRDefault="00B0719C" w:rsidP="007D48B0">
            <w:pPr>
              <w:widowControl w:val="0"/>
              <w:rPr>
                <w:rFonts w:cs="Arial"/>
                <w:sz w:val="20"/>
              </w:rPr>
            </w:pPr>
            <w:r>
              <w:rPr>
                <w:rFonts w:cs="Arial"/>
                <w:sz w:val="20"/>
              </w:rPr>
              <w:t>EUCAST breakpoints have recently been changed relative to CLSI.</w:t>
            </w:r>
          </w:p>
        </w:tc>
      </w:tr>
      <w:tr w:rsidR="00B0719C" w:rsidRPr="00810A2E" w14:paraId="4F6D2F97" w14:textId="77777777" w:rsidTr="00B0719C">
        <w:tc>
          <w:tcPr>
            <w:tcW w:w="559" w:type="pct"/>
          </w:tcPr>
          <w:p w14:paraId="1A9021E0" w14:textId="77777777" w:rsidR="00B0719C" w:rsidRDefault="00B0719C" w:rsidP="007D48B0">
            <w:pPr>
              <w:widowControl w:val="0"/>
              <w:jc w:val="center"/>
              <w:rPr>
                <w:rFonts w:cs="Arial"/>
                <w:sz w:val="20"/>
              </w:rPr>
            </w:pPr>
            <w:r>
              <w:rPr>
                <w:rFonts w:cs="Arial"/>
                <w:sz w:val="20"/>
              </w:rPr>
              <w:t>5</w:t>
            </w:r>
          </w:p>
          <w:p w14:paraId="2BCAE5EE" w14:textId="77777777" w:rsidR="00B0719C" w:rsidRDefault="00B0719C" w:rsidP="007D48B0">
            <w:pPr>
              <w:widowControl w:val="0"/>
              <w:jc w:val="center"/>
              <w:rPr>
                <w:rFonts w:cs="Arial"/>
                <w:sz w:val="20"/>
              </w:rPr>
            </w:pPr>
          </w:p>
        </w:tc>
        <w:tc>
          <w:tcPr>
            <w:tcW w:w="352" w:type="pct"/>
          </w:tcPr>
          <w:p w14:paraId="68BC69C0" w14:textId="3811DA14" w:rsidR="00B0719C" w:rsidRPr="00810A2E" w:rsidRDefault="00B0719C" w:rsidP="007D48B0">
            <w:pPr>
              <w:widowControl w:val="0"/>
              <w:rPr>
                <w:rFonts w:cs="Arial"/>
                <w:sz w:val="20"/>
              </w:rPr>
            </w:pPr>
            <w:r>
              <w:rPr>
                <w:rFonts w:cs="Arial"/>
                <w:sz w:val="20"/>
              </w:rPr>
              <w:t>32</w:t>
            </w:r>
          </w:p>
        </w:tc>
        <w:tc>
          <w:tcPr>
            <w:tcW w:w="510" w:type="pct"/>
          </w:tcPr>
          <w:p w14:paraId="1454F39C" w14:textId="250A3075" w:rsidR="00B0719C" w:rsidRPr="00810A2E" w:rsidRDefault="00B0719C" w:rsidP="007D48B0">
            <w:pPr>
              <w:widowControl w:val="0"/>
              <w:rPr>
                <w:rFonts w:cs="Arial"/>
                <w:sz w:val="20"/>
              </w:rPr>
            </w:pPr>
            <w:r>
              <w:rPr>
                <w:rFonts w:cs="Arial"/>
                <w:sz w:val="20"/>
              </w:rPr>
              <w:t>4.2.1</w:t>
            </w:r>
          </w:p>
        </w:tc>
        <w:tc>
          <w:tcPr>
            <w:tcW w:w="3579" w:type="pct"/>
          </w:tcPr>
          <w:p w14:paraId="02FE7F74" w14:textId="6AD6BCC7" w:rsidR="00B0719C" w:rsidRPr="00810A2E" w:rsidRDefault="00B0719C" w:rsidP="007D48B0">
            <w:pPr>
              <w:widowControl w:val="0"/>
              <w:rPr>
                <w:rFonts w:cs="Arial"/>
                <w:sz w:val="20"/>
              </w:rPr>
            </w:pPr>
            <w:r>
              <w:rPr>
                <w:rFonts w:cs="Arial"/>
                <w:sz w:val="20"/>
              </w:rPr>
              <w:t xml:space="preserve">Although many trials of efficacy include sensitive organisms many more patients are included and demonstrate efficacy against species not just those strains with resistance to other antibiotics. Hence these studies need to be </w:t>
            </w:r>
            <w:proofErr w:type="gramStart"/>
            <w:r>
              <w:rPr>
                <w:rFonts w:cs="Arial"/>
                <w:sz w:val="20"/>
              </w:rPr>
              <w:t>taken into account</w:t>
            </w:r>
            <w:proofErr w:type="gramEnd"/>
            <w:r>
              <w:rPr>
                <w:rFonts w:cs="Arial"/>
                <w:sz w:val="20"/>
              </w:rPr>
              <w:t xml:space="preserve"> in clinical evidence. </w:t>
            </w:r>
          </w:p>
        </w:tc>
      </w:tr>
      <w:tr w:rsidR="00B0719C" w:rsidRPr="00810A2E" w14:paraId="1C9A6E17" w14:textId="77777777" w:rsidTr="00B0719C">
        <w:tc>
          <w:tcPr>
            <w:tcW w:w="559" w:type="pct"/>
          </w:tcPr>
          <w:p w14:paraId="0B6A4EBC" w14:textId="77777777" w:rsidR="00B0719C" w:rsidRDefault="00B0719C" w:rsidP="007D48B0">
            <w:pPr>
              <w:widowControl w:val="0"/>
              <w:jc w:val="center"/>
              <w:rPr>
                <w:rFonts w:cs="Arial"/>
                <w:sz w:val="20"/>
              </w:rPr>
            </w:pPr>
            <w:r>
              <w:rPr>
                <w:rFonts w:cs="Arial"/>
                <w:sz w:val="20"/>
              </w:rPr>
              <w:t>6</w:t>
            </w:r>
          </w:p>
          <w:p w14:paraId="3747A14D" w14:textId="77777777" w:rsidR="00B0719C" w:rsidRDefault="00B0719C" w:rsidP="007D48B0">
            <w:pPr>
              <w:widowControl w:val="0"/>
              <w:jc w:val="center"/>
              <w:rPr>
                <w:rFonts w:cs="Arial"/>
                <w:sz w:val="20"/>
              </w:rPr>
            </w:pPr>
          </w:p>
        </w:tc>
        <w:tc>
          <w:tcPr>
            <w:tcW w:w="352" w:type="pct"/>
          </w:tcPr>
          <w:p w14:paraId="57859607" w14:textId="4ECDFCE2" w:rsidR="00B0719C" w:rsidRPr="00810A2E" w:rsidRDefault="00B0719C" w:rsidP="007D48B0">
            <w:pPr>
              <w:widowControl w:val="0"/>
              <w:rPr>
                <w:rFonts w:cs="Arial"/>
                <w:sz w:val="20"/>
              </w:rPr>
            </w:pPr>
            <w:r>
              <w:rPr>
                <w:rFonts w:cs="Arial"/>
                <w:sz w:val="20"/>
              </w:rPr>
              <w:t>33</w:t>
            </w:r>
          </w:p>
        </w:tc>
        <w:tc>
          <w:tcPr>
            <w:tcW w:w="510" w:type="pct"/>
          </w:tcPr>
          <w:p w14:paraId="4F6499C6" w14:textId="01D2DBD2" w:rsidR="00B0719C" w:rsidRPr="00810A2E" w:rsidRDefault="00B0719C" w:rsidP="007D48B0">
            <w:pPr>
              <w:widowControl w:val="0"/>
              <w:rPr>
                <w:rFonts w:cs="Arial"/>
                <w:sz w:val="20"/>
              </w:rPr>
            </w:pPr>
            <w:r>
              <w:rPr>
                <w:rFonts w:cs="Arial"/>
                <w:sz w:val="20"/>
              </w:rPr>
              <w:t>4.2.2</w:t>
            </w:r>
          </w:p>
        </w:tc>
        <w:tc>
          <w:tcPr>
            <w:tcW w:w="3579" w:type="pct"/>
          </w:tcPr>
          <w:p w14:paraId="6B601016" w14:textId="7792AD9D" w:rsidR="00B0719C" w:rsidRPr="00810A2E" w:rsidRDefault="00B0719C" w:rsidP="007D48B0">
            <w:pPr>
              <w:widowControl w:val="0"/>
              <w:rPr>
                <w:rFonts w:cs="Arial"/>
                <w:sz w:val="20"/>
              </w:rPr>
            </w:pPr>
            <w:r>
              <w:rPr>
                <w:rFonts w:cs="Arial"/>
                <w:sz w:val="20"/>
              </w:rPr>
              <w:t>CRE screening was suspended during Covid. Different labs and studies will use different methods of sensitivity testing so comparison without stating the test method may be difficult.</w:t>
            </w:r>
          </w:p>
        </w:tc>
      </w:tr>
      <w:tr w:rsidR="00E84F8A" w:rsidRPr="00810A2E" w14:paraId="0BD18F64" w14:textId="77777777" w:rsidTr="00CD5750">
        <w:tc>
          <w:tcPr>
            <w:tcW w:w="559" w:type="pct"/>
          </w:tcPr>
          <w:p w14:paraId="3BC78DE3" w14:textId="3E2B57B3" w:rsidR="00E84F8A" w:rsidRDefault="00E84F8A" w:rsidP="00CD5750">
            <w:pPr>
              <w:widowControl w:val="0"/>
              <w:jc w:val="center"/>
              <w:rPr>
                <w:rFonts w:cs="Arial"/>
                <w:sz w:val="20"/>
              </w:rPr>
            </w:pPr>
            <w:r>
              <w:rPr>
                <w:rFonts w:cs="Arial"/>
                <w:sz w:val="20"/>
              </w:rPr>
              <w:t>7</w:t>
            </w:r>
          </w:p>
        </w:tc>
        <w:tc>
          <w:tcPr>
            <w:tcW w:w="352" w:type="pct"/>
          </w:tcPr>
          <w:p w14:paraId="719B1714" w14:textId="7C121773" w:rsidR="00E84F8A" w:rsidRPr="00810A2E" w:rsidRDefault="00E84F8A" w:rsidP="00CD5750">
            <w:pPr>
              <w:widowControl w:val="0"/>
              <w:rPr>
                <w:rFonts w:cs="Arial"/>
                <w:sz w:val="20"/>
              </w:rPr>
            </w:pPr>
            <w:r>
              <w:rPr>
                <w:rFonts w:cs="Arial"/>
                <w:sz w:val="20"/>
              </w:rPr>
              <w:t>39</w:t>
            </w:r>
          </w:p>
        </w:tc>
        <w:tc>
          <w:tcPr>
            <w:tcW w:w="510" w:type="pct"/>
          </w:tcPr>
          <w:p w14:paraId="65D13D65" w14:textId="77777777" w:rsidR="00E84F8A" w:rsidRPr="00810A2E" w:rsidRDefault="00E84F8A" w:rsidP="00CD5750">
            <w:pPr>
              <w:widowControl w:val="0"/>
              <w:rPr>
                <w:rFonts w:cs="Arial"/>
                <w:sz w:val="20"/>
              </w:rPr>
            </w:pPr>
            <w:r>
              <w:rPr>
                <w:rFonts w:cs="Arial"/>
                <w:sz w:val="20"/>
              </w:rPr>
              <w:t>5</w:t>
            </w:r>
          </w:p>
        </w:tc>
        <w:tc>
          <w:tcPr>
            <w:tcW w:w="3579" w:type="pct"/>
          </w:tcPr>
          <w:p w14:paraId="272D3185" w14:textId="77777777" w:rsidR="00E84F8A" w:rsidRPr="00810A2E" w:rsidRDefault="00E84F8A" w:rsidP="00CD5750">
            <w:pPr>
              <w:widowControl w:val="0"/>
              <w:rPr>
                <w:rFonts w:cs="Arial"/>
                <w:sz w:val="20"/>
              </w:rPr>
            </w:pPr>
            <w:r>
              <w:rPr>
                <w:rFonts w:cs="Arial"/>
                <w:sz w:val="20"/>
              </w:rPr>
              <w:t>Outcome relates to penetration of the antibiotic to the site of infection as well as the susceptibility</w:t>
            </w:r>
          </w:p>
        </w:tc>
      </w:tr>
      <w:tr w:rsidR="00B0719C" w:rsidRPr="00810A2E" w14:paraId="311E735F" w14:textId="77777777" w:rsidTr="00B0719C">
        <w:tc>
          <w:tcPr>
            <w:tcW w:w="559" w:type="pct"/>
          </w:tcPr>
          <w:p w14:paraId="60038C42" w14:textId="78958D54" w:rsidR="00B0719C" w:rsidRDefault="00B0719C" w:rsidP="007D48B0">
            <w:pPr>
              <w:widowControl w:val="0"/>
              <w:jc w:val="center"/>
              <w:rPr>
                <w:rFonts w:cs="Arial"/>
                <w:sz w:val="20"/>
              </w:rPr>
            </w:pPr>
            <w:r>
              <w:rPr>
                <w:rFonts w:cs="Arial"/>
                <w:sz w:val="20"/>
              </w:rPr>
              <w:t>7</w:t>
            </w:r>
          </w:p>
          <w:p w14:paraId="78FFA6CD" w14:textId="77777777" w:rsidR="00B0719C" w:rsidRDefault="00B0719C" w:rsidP="007D48B0">
            <w:pPr>
              <w:widowControl w:val="0"/>
              <w:jc w:val="center"/>
              <w:rPr>
                <w:rFonts w:cs="Arial"/>
                <w:sz w:val="20"/>
              </w:rPr>
            </w:pPr>
          </w:p>
        </w:tc>
        <w:tc>
          <w:tcPr>
            <w:tcW w:w="352" w:type="pct"/>
          </w:tcPr>
          <w:p w14:paraId="44FA8696" w14:textId="494FAC44" w:rsidR="00B0719C" w:rsidRPr="00810A2E" w:rsidRDefault="00E84F8A" w:rsidP="007D48B0">
            <w:pPr>
              <w:widowControl w:val="0"/>
              <w:rPr>
                <w:rFonts w:cs="Arial"/>
                <w:sz w:val="20"/>
              </w:rPr>
            </w:pPr>
            <w:r>
              <w:rPr>
                <w:rFonts w:cs="Arial"/>
                <w:sz w:val="20"/>
              </w:rPr>
              <w:t>39</w:t>
            </w:r>
          </w:p>
        </w:tc>
        <w:tc>
          <w:tcPr>
            <w:tcW w:w="510" w:type="pct"/>
          </w:tcPr>
          <w:p w14:paraId="0E008A13" w14:textId="08E07BC7" w:rsidR="00B0719C" w:rsidRPr="00810A2E" w:rsidRDefault="00E84F8A" w:rsidP="007D48B0">
            <w:pPr>
              <w:widowControl w:val="0"/>
              <w:rPr>
                <w:rFonts w:cs="Arial"/>
                <w:sz w:val="20"/>
              </w:rPr>
            </w:pPr>
            <w:r>
              <w:rPr>
                <w:rFonts w:cs="Arial"/>
                <w:sz w:val="20"/>
              </w:rPr>
              <w:t>5.1.1</w:t>
            </w:r>
          </w:p>
        </w:tc>
        <w:tc>
          <w:tcPr>
            <w:tcW w:w="3579" w:type="pct"/>
          </w:tcPr>
          <w:p w14:paraId="044E09E2" w14:textId="4D099709" w:rsidR="00B0719C" w:rsidRPr="00810A2E" w:rsidRDefault="00B0719C" w:rsidP="007D48B0">
            <w:pPr>
              <w:widowControl w:val="0"/>
              <w:rPr>
                <w:rFonts w:cs="Arial"/>
                <w:sz w:val="20"/>
              </w:rPr>
            </w:pPr>
            <w:r>
              <w:rPr>
                <w:rFonts w:cs="Arial"/>
                <w:sz w:val="20"/>
              </w:rPr>
              <w:t xml:space="preserve">Carbapenem-susceptible infections may nevertheless provide useful indicator of efficacy of this antibiotic when susceptible and many more results available than for </w:t>
            </w:r>
            <w:r w:rsidR="00E84F8A">
              <w:rPr>
                <w:rFonts w:cs="Arial"/>
                <w:sz w:val="20"/>
              </w:rPr>
              <w:t>MBL</w:t>
            </w:r>
            <w:r>
              <w:rPr>
                <w:rFonts w:cs="Arial"/>
                <w:sz w:val="20"/>
              </w:rPr>
              <w:t xml:space="preserve"> </w:t>
            </w:r>
          </w:p>
        </w:tc>
      </w:tr>
      <w:tr w:rsidR="00B0719C" w:rsidRPr="00E84F8A" w14:paraId="23D83C36" w14:textId="77777777" w:rsidTr="00B0719C">
        <w:tc>
          <w:tcPr>
            <w:tcW w:w="559" w:type="pct"/>
          </w:tcPr>
          <w:p w14:paraId="16D4B7E8" w14:textId="77777777" w:rsidR="00B0719C" w:rsidRPr="00E84F8A" w:rsidRDefault="00B0719C" w:rsidP="007D48B0">
            <w:pPr>
              <w:widowControl w:val="0"/>
              <w:jc w:val="center"/>
              <w:rPr>
                <w:rFonts w:cs="Arial"/>
                <w:sz w:val="20"/>
              </w:rPr>
            </w:pPr>
            <w:r w:rsidRPr="00E84F8A">
              <w:rPr>
                <w:rFonts w:cs="Arial"/>
                <w:sz w:val="20"/>
              </w:rPr>
              <w:t>8</w:t>
            </w:r>
          </w:p>
          <w:p w14:paraId="0F43F0BC" w14:textId="77777777" w:rsidR="00B0719C" w:rsidRPr="00E84F8A" w:rsidRDefault="00B0719C" w:rsidP="007D48B0">
            <w:pPr>
              <w:widowControl w:val="0"/>
              <w:jc w:val="center"/>
              <w:rPr>
                <w:rFonts w:cs="Arial"/>
                <w:sz w:val="20"/>
              </w:rPr>
            </w:pPr>
          </w:p>
        </w:tc>
        <w:tc>
          <w:tcPr>
            <w:tcW w:w="352" w:type="pct"/>
          </w:tcPr>
          <w:p w14:paraId="4E3BDAB6" w14:textId="33B69DC1" w:rsidR="00B0719C" w:rsidRPr="00E84F8A" w:rsidRDefault="00E84F8A" w:rsidP="007D48B0">
            <w:pPr>
              <w:widowControl w:val="0"/>
              <w:rPr>
                <w:rFonts w:cs="Arial"/>
                <w:sz w:val="20"/>
              </w:rPr>
            </w:pPr>
            <w:r w:rsidRPr="00E84F8A">
              <w:rPr>
                <w:rFonts w:cs="Arial"/>
                <w:sz w:val="20"/>
              </w:rPr>
              <w:t>41</w:t>
            </w:r>
          </w:p>
        </w:tc>
        <w:tc>
          <w:tcPr>
            <w:tcW w:w="510" w:type="pct"/>
          </w:tcPr>
          <w:p w14:paraId="196A2A51" w14:textId="6895F3E1" w:rsidR="00B0719C" w:rsidRPr="00E84F8A" w:rsidRDefault="00E84F8A" w:rsidP="007D48B0">
            <w:pPr>
              <w:widowControl w:val="0"/>
              <w:rPr>
                <w:rFonts w:cs="Arial"/>
                <w:sz w:val="20"/>
              </w:rPr>
            </w:pPr>
            <w:r w:rsidRPr="00E84F8A">
              <w:rPr>
                <w:rFonts w:cs="Arial"/>
                <w:sz w:val="20"/>
              </w:rPr>
              <w:t>5.1.1.1</w:t>
            </w:r>
          </w:p>
        </w:tc>
        <w:tc>
          <w:tcPr>
            <w:tcW w:w="3579" w:type="pct"/>
          </w:tcPr>
          <w:p w14:paraId="182D6C92" w14:textId="0B055283" w:rsidR="00B0719C" w:rsidRPr="00E84F8A" w:rsidRDefault="00B0719C" w:rsidP="007D48B0">
            <w:pPr>
              <w:widowControl w:val="0"/>
              <w:rPr>
                <w:rFonts w:cs="Arial"/>
                <w:sz w:val="20"/>
              </w:rPr>
            </w:pPr>
            <w:r w:rsidRPr="00E84F8A">
              <w:rPr>
                <w:rFonts w:cs="Arial"/>
                <w:sz w:val="20"/>
              </w:rPr>
              <w:t xml:space="preserve">Submission of isolates to reference labs is variable and biased towards suspected resistance or transmission so not a representative sample. </w:t>
            </w:r>
            <w:r w:rsidR="00E84F8A" w:rsidRPr="00E84F8A">
              <w:rPr>
                <w:rFonts w:cs="Arial"/>
                <w:sz w:val="20"/>
              </w:rPr>
              <w:t>Not only do labs observe different methods but interpretation has changed with the new EUCAST criteria.</w:t>
            </w:r>
          </w:p>
        </w:tc>
      </w:tr>
      <w:tr w:rsidR="00E84F8A" w:rsidRPr="00810A2E" w14:paraId="41E2E9C6" w14:textId="77777777" w:rsidTr="00B0719C">
        <w:tc>
          <w:tcPr>
            <w:tcW w:w="559" w:type="pct"/>
          </w:tcPr>
          <w:p w14:paraId="583FDEEB" w14:textId="35D895F2" w:rsidR="00E84F8A" w:rsidRDefault="00E84F8A" w:rsidP="007D48B0">
            <w:pPr>
              <w:widowControl w:val="0"/>
              <w:jc w:val="center"/>
              <w:rPr>
                <w:rFonts w:cs="Arial"/>
                <w:sz w:val="20"/>
              </w:rPr>
            </w:pPr>
            <w:r>
              <w:rPr>
                <w:rFonts w:cs="Arial"/>
                <w:sz w:val="20"/>
              </w:rPr>
              <w:t>9</w:t>
            </w:r>
          </w:p>
        </w:tc>
        <w:tc>
          <w:tcPr>
            <w:tcW w:w="352" w:type="pct"/>
          </w:tcPr>
          <w:p w14:paraId="2557B50A" w14:textId="61C49CCE" w:rsidR="00E84F8A" w:rsidRDefault="00E84F8A" w:rsidP="007D48B0">
            <w:pPr>
              <w:widowControl w:val="0"/>
              <w:rPr>
                <w:rFonts w:cs="Arial"/>
                <w:sz w:val="20"/>
              </w:rPr>
            </w:pPr>
            <w:r>
              <w:rPr>
                <w:rFonts w:cs="Arial"/>
                <w:sz w:val="20"/>
              </w:rPr>
              <w:t>54</w:t>
            </w:r>
          </w:p>
        </w:tc>
        <w:tc>
          <w:tcPr>
            <w:tcW w:w="510" w:type="pct"/>
          </w:tcPr>
          <w:p w14:paraId="30C9080A" w14:textId="660A853F" w:rsidR="00E84F8A" w:rsidRDefault="00E84F8A" w:rsidP="007D48B0">
            <w:pPr>
              <w:widowControl w:val="0"/>
              <w:rPr>
                <w:rFonts w:cs="Arial"/>
                <w:sz w:val="20"/>
              </w:rPr>
            </w:pPr>
            <w:r>
              <w:rPr>
                <w:rFonts w:cs="Arial"/>
                <w:sz w:val="20"/>
              </w:rPr>
              <w:t>5.4.2</w:t>
            </w:r>
          </w:p>
        </w:tc>
        <w:tc>
          <w:tcPr>
            <w:tcW w:w="3579" w:type="pct"/>
          </w:tcPr>
          <w:p w14:paraId="2B464572" w14:textId="53B5660F" w:rsidR="00E84F8A" w:rsidRDefault="00E84F8A" w:rsidP="007D48B0">
            <w:pPr>
              <w:widowControl w:val="0"/>
              <w:rPr>
                <w:rFonts w:cs="Arial"/>
                <w:sz w:val="20"/>
              </w:rPr>
            </w:pPr>
            <w:r>
              <w:rPr>
                <w:rFonts w:cs="Arial"/>
                <w:sz w:val="20"/>
              </w:rPr>
              <w:t xml:space="preserve">Efficacy assessment of </w:t>
            </w:r>
            <w:proofErr w:type="spellStart"/>
            <w:r>
              <w:rPr>
                <w:rFonts w:cs="Arial"/>
                <w:sz w:val="20"/>
              </w:rPr>
              <w:t>cefciderocol</w:t>
            </w:r>
            <w:proofErr w:type="spellEnd"/>
            <w:r>
              <w:rPr>
                <w:rFonts w:cs="Arial"/>
                <w:sz w:val="20"/>
              </w:rPr>
              <w:t xml:space="preserve"> should not be limited to MBL – if the organism is susceptible is </w:t>
            </w:r>
            <w:proofErr w:type="gramStart"/>
            <w:r>
              <w:rPr>
                <w:rFonts w:cs="Arial"/>
                <w:sz w:val="20"/>
              </w:rPr>
              <w:t>there</w:t>
            </w:r>
            <w:proofErr w:type="gramEnd"/>
            <w:r>
              <w:rPr>
                <w:rFonts w:cs="Arial"/>
                <w:sz w:val="20"/>
              </w:rPr>
              <w:t xml:space="preserve"> evidence would efficacy any different?</w:t>
            </w:r>
          </w:p>
        </w:tc>
      </w:tr>
      <w:tr w:rsidR="00E84F8A" w:rsidRPr="00810A2E" w14:paraId="01D2ED15" w14:textId="77777777" w:rsidTr="00B0719C">
        <w:tc>
          <w:tcPr>
            <w:tcW w:w="559" w:type="pct"/>
          </w:tcPr>
          <w:p w14:paraId="22A6EB3B" w14:textId="47F315B4" w:rsidR="00E84F8A" w:rsidRDefault="00E84F8A" w:rsidP="007D48B0">
            <w:pPr>
              <w:widowControl w:val="0"/>
              <w:jc w:val="center"/>
              <w:rPr>
                <w:rFonts w:cs="Arial"/>
                <w:sz w:val="20"/>
              </w:rPr>
            </w:pPr>
            <w:r>
              <w:rPr>
                <w:rFonts w:cs="Arial"/>
                <w:sz w:val="20"/>
              </w:rPr>
              <w:t>10</w:t>
            </w:r>
          </w:p>
        </w:tc>
        <w:tc>
          <w:tcPr>
            <w:tcW w:w="352" w:type="pct"/>
          </w:tcPr>
          <w:p w14:paraId="789B0481" w14:textId="454D1F98" w:rsidR="00E84F8A" w:rsidRDefault="00E84F8A" w:rsidP="007D48B0">
            <w:pPr>
              <w:widowControl w:val="0"/>
              <w:rPr>
                <w:rFonts w:cs="Arial"/>
                <w:sz w:val="20"/>
              </w:rPr>
            </w:pPr>
            <w:r>
              <w:rPr>
                <w:rFonts w:cs="Arial"/>
                <w:sz w:val="20"/>
              </w:rPr>
              <w:t>67</w:t>
            </w:r>
          </w:p>
        </w:tc>
        <w:tc>
          <w:tcPr>
            <w:tcW w:w="510" w:type="pct"/>
          </w:tcPr>
          <w:p w14:paraId="6E08D367" w14:textId="0410AC97" w:rsidR="00E84F8A" w:rsidRDefault="00E84F8A" w:rsidP="007D48B0">
            <w:pPr>
              <w:widowControl w:val="0"/>
              <w:rPr>
                <w:rFonts w:cs="Arial"/>
                <w:sz w:val="20"/>
              </w:rPr>
            </w:pPr>
            <w:r>
              <w:rPr>
                <w:rFonts w:cs="Arial"/>
                <w:sz w:val="20"/>
              </w:rPr>
              <w:t>5.5.1</w:t>
            </w:r>
          </w:p>
        </w:tc>
        <w:tc>
          <w:tcPr>
            <w:tcW w:w="3579" w:type="pct"/>
          </w:tcPr>
          <w:p w14:paraId="63A31113" w14:textId="2B525D0B" w:rsidR="00E84F8A" w:rsidRDefault="00E84F8A" w:rsidP="007D48B0">
            <w:pPr>
              <w:widowControl w:val="0"/>
              <w:rPr>
                <w:rFonts w:cs="Arial"/>
                <w:sz w:val="20"/>
              </w:rPr>
            </w:pPr>
            <w:r>
              <w:rPr>
                <w:rFonts w:cs="Arial"/>
                <w:sz w:val="20"/>
              </w:rPr>
              <w:t xml:space="preserve">Unclear whether the mistake with excluding two studies has been corrected fully – please explain </w:t>
            </w:r>
          </w:p>
        </w:tc>
      </w:tr>
      <w:tr w:rsidR="00E84F8A" w:rsidRPr="00810A2E" w14:paraId="5E4AC1D4" w14:textId="77777777" w:rsidTr="00B0719C">
        <w:tc>
          <w:tcPr>
            <w:tcW w:w="559" w:type="pct"/>
          </w:tcPr>
          <w:p w14:paraId="4B3CA9A4" w14:textId="79B557C7" w:rsidR="00E84F8A" w:rsidRDefault="00E84F8A" w:rsidP="007D48B0">
            <w:pPr>
              <w:widowControl w:val="0"/>
              <w:jc w:val="center"/>
              <w:rPr>
                <w:rFonts w:cs="Arial"/>
                <w:sz w:val="20"/>
              </w:rPr>
            </w:pPr>
            <w:r>
              <w:rPr>
                <w:rFonts w:cs="Arial"/>
                <w:sz w:val="20"/>
              </w:rPr>
              <w:t>11</w:t>
            </w:r>
          </w:p>
        </w:tc>
        <w:tc>
          <w:tcPr>
            <w:tcW w:w="352" w:type="pct"/>
          </w:tcPr>
          <w:p w14:paraId="7144C766" w14:textId="0C79DA64" w:rsidR="00E84F8A" w:rsidRDefault="00E84F8A" w:rsidP="007D48B0">
            <w:pPr>
              <w:widowControl w:val="0"/>
              <w:rPr>
                <w:rFonts w:cs="Arial"/>
                <w:sz w:val="20"/>
              </w:rPr>
            </w:pPr>
            <w:r>
              <w:rPr>
                <w:rFonts w:cs="Arial"/>
                <w:sz w:val="20"/>
              </w:rPr>
              <w:t>94</w:t>
            </w:r>
          </w:p>
        </w:tc>
        <w:tc>
          <w:tcPr>
            <w:tcW w:w="510" w:type="pct"/>
          </w:tcPr>
          <w:p w14:paraId="76A2978D" w14:textId="191C55A4" w:rsidR="00E84F8A" w:rsidRDefault="00E84F8A" w:rsidP="007D48B0">
            <w:pPr>
              <w:widowControl w:val="0"/>
              <w:rPr>
                <w:rFonts w:cs="Arial"/>
                <w:sz w:val="20"/>
              </w:rPr>
            </w:pPr>
            <w:r>
              <w:rPr>
                <w:rFonts w:cs="Arial"/>
                <w:sz w:val="20"/>
              </w:rPr>
              <w:t>5.8</w:t>
            </w:r>
          </w:p>
        </w:tc>
        <w:tc>
          <w:tcPr>
            <w:tcW w:w="3579" w:type="pct"/>
          </w:tcPr>
          <w:p w14:paraId="569CF408" w14:textId="118CE145" w:rsidR="00E84F8A" w:rsidRDefault="00E84F8A" w:rsidP="007D48B0">
            <w:pPr>
              <w:widowControl w:val="0"/>
              <w:rPr>
                <w:rFonts w:cs="Arial"/>
                <w:sz w:val="20"/>
              </w:rPr>
            </w:pPr>
            <w:r>
              <w:rPr>
                <w:rFonts w:cs="Arial"/>
                <w:sz w:val="20"/>
              </w:rPr>
              <w:t>Differences are stated repeatedly where the odds ratio includes 1. The impression should not be given that there are differences, just not statistically significant. In fact</w:t>
            </w:r>
            <w:r w:rsidR="00246206">
              <w:rPr>
                <w:rFonts w:cs="Arial"/>
                <w:sz w:val="20"/>
              </w:rPr>
              <w:t xml:space="preserve">, </w:t>
            </w:r>
            <w:r>
              <w:rPr>
                <w:rFonts w:cs="Arial"/>
                <w:sz w:val="20"/>
              </w:rPr>
              <w:t xml:space="preserve">there is no significant difference. </w:t>
            </w:r>
          </w:p>
        </w:tc>
      </w:tr>
      <w:tr w:rsidR="00B0719C" w:rsidRPr="00810A2E" w14:paraId="52468721" w14:textId="77777777" w:rsidTr="00B0719C">
        <w:tc>
          <w:tcPr>
            <w:tcW w:w="559" w:type="pct"/>
          </w:tcPr>
          <w:p w14:paraId="6AB5A217" w14:textId="3413AF40" w:rsidR="00B0719C" w:rsidRDefault="00246206" w:rsidP="007D48B0">
            <w:pPr>
              <w:widowControl w:val="0"/>
              <w:jc w:val="center"/>
              <w:rPr>
                <w:rFonts w:cs="Arial"/>
                <w:sz w:val="20"/>
              </w:rPr>
            </w:pPr>
            <w:r>
              <w:rPr>
                <w:rFonts w:cs="Arial"/>
                <w:sz w:val="20"/>
              </w:rPr>
              <w:t>12</w:t>
            </w:r>
          </w:p>
        </w:tc>
        <w:tc>
          <w:tcPr>
            <w:tcW w:w="352" w:type="pct"/>
          </w:tcPr>
          <w:p w14:paraId="077C9BE0" w14:textId="01637704" w:rsidR="00B0719C" w:rsidRPr="00810A2E" w:rsidRDefault="00B0719C" w:rsidP="007D48B0">
            <w:pPr>
              <w:widowControl w:val="0"/>
              <w:rPr>
                <w:rFonts w:cs="Arial"/>
                <w:sz w:val="20"/>
              </w:rPr>
            </w:pPr>
            <w:r>
              <w:rPr>
                <w:rFonts w:cs="Arial"/>
                <w:sz w:val="20"/>
              </w:rPr>
              <w:t>93</w:t>
            </w:r>
          </w:p>
        </w:tc>
        <w:tc>
          <w:tcPr>
            <w:tcW w:w="510" w:type="pct"/>
          </w:tcPr>
          <w:p w14:paraId="26F5DC44" w14:textId="31D7ADE5" w:rsidR="00B0719C" w:rsidRPr="00810A2E" w:rsidRDefault="00246206" w:rsidP="007D48B0">
            <w:pPr>
              <w:widowControl w:val="0"/>
              <w:rPr>
                <w:rFonts w:cs="Arial"/>
                <w:sz w:val="20"/>
              </w:rPr>
            </w:pPr>
            <w:r>
              <w:rPr>
                <w:rFonts w:cs="Arial"/>
                <w:sz w:val="20"/>
              </w:rPr>
              <w:t>6.2.1</w:t>
            </w:r>
          </w:p>
        </w:tc>
        <w:tc>
          <w:tcPr>
            <w:tcW w:w="3579" w:type="pct"/>
          </w:tcPr>
          <w:p w14:paraId="7A5AC289" w14:textId="63C66313" w:rsidR="00B0719C" w:rsidRPr="00810A2E" w:rsidRDefault="00246206" w:rsidP="007D48B0">
            <w:pPr>
              <w:widowControl w:val="0"/>
              <w:rPr>
                <w:rFonts w:cs="Arial"/>
                <w:sz w:val="20"/>
              </w:rPr>
            </w:pPr>
            <w:r>
              <w:rPr>
                <w:rFonts w:cs="Arial"/>
                <w:sz w:val="20"/>
              </w:rPr>
              <w:t xml:space="preserve">9 experts may not be </w:t>
            </w:r>
            <w:proofErr w:type="gramStart"/>
            <w:r>
              <w:rPr>
                <w:rFonts w:cs="Arial"/>
                <w:sz w:val="20"/>
              </w:rPr>
              <w:t>sufficient number</w:t>
            </w:r>
            <w:proofErr w:type="gramEnd"/>
            <w:r>
              <w:rPr>
                <w:rFonts w:cs="Arial"/>
                <w:sz w:val="20"/>
              </w:rPr>
              <w:t xml:space="preserve"> to be independent</w:t>
            </w:r>
          </w:p>
        </w:tc>
      </w:tr>
      <w:tr w:rsidR="00B0719C" w:rsidRPr="00810A2E" w14:paraId="62DC23B3" w14:textId="77777777" w:rsidTr="00B0719C">
        <w:tc>
          <w:tcPr>
            <w:tcW w:w="559" w:type="pct"/>
          </w:tcPr>
          <w:p w14:paraId="202C9C66" w14:textId="62A0F01D" w:rsidR="00B0719C" w:rsidRDefault="00B0719C" w:rsidP="007D48B0">
            <w:pPr>
              <w:widowControl w:val="0"/>
              <w:jc w:val="center"/>
              <w:rPr>
                <w:rFonts w:cs="Arial"/>
                <w:sz w:val="20"/>
              </w:rPr>
            </w:pPr>
            <w:r>
              <w:rPr>
                <w:rFonts w:cs="Arial"/>
                <w:sz w:val="20"/>
              </w:rPr>
              <w:t>1</w:t>
            </w:r>
            <w:r w:rsidR="00246206">
              <w:rPr>
                <w:rFonts w:cs="Arial"/>
                <w:sz w:val="20"/>
              </w:rPr>
              <w:t>3</w:t>
            </w:r>
          </w:p>
        </w:tc>
        <w:tc>
          <w:tcPr>
            <w:tcW w:w="352" w:type="pct"/>
          </w:tcPr>
          <w:p w14:paraId="5E9DB540" w14:textId="571CD32A" w:rsidR="00B0719C" w:rsidRPr="00810A2E" w:rsidRDefault="00246206" w:rsidP="007D48B0">
            <w:pPr>
              <w:widowControl w:val="0"/>
              <w:rPr>
                <w:rFonts w:cs="Arial"/>
                <w:sz w:val="20"/>
              </w:rPr>
            </w:pPr>
            <w:r>
              <w:rPr>
                <w:rFonts w:cs="Arial"/>
                <w:sz w:val="20"/>
              </w:rPr>
              <w:t>109</w:t>
            </w:r>
          </w:p>
        </w:tc>
        <w:tc>
          <w:tcPr>
            <w:tcW w:w="510" w:type="pct"/>
          </w:tcPr>
          <w:p w14:paraId="18C04EB8" w14:textId="69B859F4" w:rsidR="00B0719C" w:rsidRPr="00810A2E" w:rsidRDefault="00246206" w:rsidP="007D48B0">
            <w:pPr>
              <w:widowControl w:val="0"/>
              <w:rPr>
                <w:rFonts w:cs="Arial"/>
                <w:sz w:val="20"/>
              </w:rPr>
            </w:pPr>
            <w:r>
              <w:rPr>
                <w:rFonts w:cs="Arial"/>
                <w:sz w:val="20"/>
              </w:rPr>
              <w:t>8.2.2</w:t>
            </w:r>
          </w:p>
        </w:tc>
        <w:tc>
          <w:tcPr>
            <w:tcW w:w="3579" w:type="pct"/>
          </w:tcPr>
          <w:p w14:paraId="407C2410" w14:textId="020B7E9F" w:rsidR="00B0719C" w:rsidRPr="00810A2E" w:rsidRDefault="00246206" w:rsidP="007D48B0">
            <w:pPr>
              <w:widowControl w:val="0"/>
              <w:rPr>
                <w:rFonts w:cs="Arial"/>
                <w:sz w:val="20"/>
              </w:rPr>
            </w:pPr>
            <w:r>
              <w:rPr>
                <w:rFonts w:cs="Arial"/>
                <w:sz w:val="20"/>
              </w:rPr>
              <w:t>Ototoxicity is common if audiograms are used – not all symptomatic</w:t>
            </w:r>
          </w:p>
        </w:tc>
      </w:tr>
      <w:tr w:rsidR="00246206" w:rsidRPr="00810A2E" w14:paraId="2A3F1B38" w14:textId="77777777" w:rsidTr="00B0719C">
        <w:tc>
          <w:tcPr>
            <w:tcW w:w="559" w:type="pct"/>
          </w:tcPr>
          <w:p w14:paraId="7DB2BCAE" w14:textId="67343385" w:rsidR="00246206" w:rsidRDefault="00246206" w:rsidP="007D48B0">
            <w:pPr>
              <w:widowControl w:val="0"/>
              <w:jc w:val="center"/>
              <w:rPr>
                <w:rFonts w:cs="Arial"/>
                <w:sz w:val="20"/>
              </w:rPr>
            </w:pPr>
            <w:r>
              <w:rPr>
                <w:rFonts w:cs="Arial"/>
                <w:sz w:val="20"/>
              </w:rPr>
              <w:lastRenderedPageBreak/>
              <w:t>14</w:t>
            </w:r>
          </w:p>
        </w:tc>
        <w:tc>
          <w:tcPr>
            <w:tcW w:w="352" w:type="pct"/>
          </w:tcPr>
          <w:p w14:paraId="4CFD590B" w14:textId="179660C5" w:rsidR="00246206" w:rsidRPr="00810A2E" w:rsidRDefault="00246206" w:rsidP="007D48B0">
            <w:pPr>
              <w:widowControl w:val="0"/>
              <w:rPr>
                <w:rFonts w:cs="Arial"/>
                <w:sz w:val="20"/>
              </w:rPr>
            </w:pPr>
            <w:r>
              <w:rPr>
                <w:rFonts w:cs="Arial"/>
                <w:sz w:val="20"/>
              </w:rPr>
              <w:t>121</w:t>
            </w:r>
          </w:p>
        </w:tc>
        <w:tc>
          <w:tcPr>
            <w:tcW w:w="510" w:type="pct"/>
          </w:tcPr>
          <w:p w14:paraId="2E4DE253" w14:textId="211D271A" w:rsidR="00246206" w:rsidRDefault="00246206" w:rsidP="007D48B0">
            <w:pPr>
              <w:widowControl w:val="0"/>
              <w:rPr>
                <w:rFonts w:cs="Arial"/>
                <w:sz w:val="20"/>
              </w:rPr>
            </w:pPr>
            <w:r>
              <w:rPr>
                <w:rFonts w:cs="Arial"/>
                <w:sz w:val="20"/>
              </w:rPr>
              <w:t>8.2.3.2</w:t>
            </w:r>
          </w:p>
        </w:tc>
        <w:tc>
          <w:tcPr>
            <w:tcW w:w="3579" w:type="pct"/>
          </w:tcPr>
          <w:p w14:paraId="7CF05022" w14:textId="715F00C1" w:rsidR="00246206" w:rsidRDefault="00246206" w:rsidP="007D48B0">
            <w:pPr>
              <w:widowControl w:val="0"/>
              <w:rPr>
                <w:rFonts w:cs="Arial"/>
                <w:sz w:val="20"/>
              </w:rPr>
            </w:pPr>
            <w:r>
              <w:rPr>
                <w:rFonts w:cs="Arial"/>
                <w:sz w:val="20"/>
              </w:rPr>
              <w:t>Association of outcome and susceptibility are not necessarily accurate as pharmacokinetics and post antibiotic effects re important. This review relies on sensitivity alone.</w:t>
            </w:r>
          </w:p>
        </w:tc>
      </w:tr>
      <w:tr w:rsidR="00246206" w:rsidRPr="00810A2E" w14:paraId="3F11C08E" w14:textId="77777777" w:rsidTr="00B0719C">
        <w:tc>
          <w:tcPr>
            <w:tcW w:w="559" w:type="pct"/>
          </w:tcPr>
          <w:p w14:paraId="0EDD1FDF" w14:textId="1E23B5EB" w:rsidR="00246206" w:rsidRDefault="00246206" w:rsidP="007D48B0">
            <w:pPr>
              <w:widowControl w:val="0"/>
              <w:jc w:val="center"/>
              <w:rPr>
                <w:rFonts w:cs="Arial"/>
                <w:sz w:val="20"/>
              </w:rPr>
            </w:pPr>
            <w:r>
              <w:rPr>
                <w:rFonts w:cs="Arial"/>
                <w:sz w:val="20"/>
              </w:rPr>
              <w:t>15</w:t>
            </w:r>
          </w:p>
        </w:tc>
        <w:tc>
          <w:tcPr>
            <w:tcW w:w="352" w:type="pct"/>
          </w:tcPr>
          <w:p w14:paraId="541C6F59" w14:textId="6091331F" w:rsidR="00246206" w:rsidRPr="00810A2E" w:rsidRDefault="00246206" w:rsidP="007D48B0">
            <w:pPr>
              <w:widowControl w:val="0"/>
              <w:rPr>
                <w:rFonts w:cs="Arial"/>
                <w:sz w:val="20"/>
              </w:rPr>
            </w:pPr>
            <w:r>
              <w:rPr>
                <w:rFonts w:cs="Arial"/>
                <w:sz w:val="20"/>
              </w:rPr>
              <w:t>145</w:t>
            </w:r>
          </w:p>
        </w:tc>
        <w:tc>
          <w:tcPr>
            <w:tcW w:w="510" w:type="pct"/>
          </w:tcPr>
          <w:p w14:paraId="61E89228" w14:textId="5E24403E" w:rsidR="00246206" w:rsidRDefault="00246206" w:rsidP="007D48B0">
            <w:pPr>
              <w:widowControl w:val="0"/>
              <w:rPr>
                <w:rFonts w:cs="Arial"/>
                <w:sz w:val="20"/>
              </w:rPr>
            </w:pPr>
            <w:r>
              <w:rPr>
                <w:rFonts w:cs="Arial"/>
                <w:sz w:val="20"/>
              </w:rPr>
              <w:t>8.2.5.1</w:t>
            </w:r>
          </w:p>
        </w:tc>
        <w:tc>
          <w:tcPr>
            <w:tcW w:w="3579" w:type="pct"/>
          </w:tcPr>
          <w:p w14:paraId="323BE6CB" w14:textId="4B3493BD" w:rsidR="00246206" w:rsidRDefault="00246206" w:rsidP="007D48B0">
            <w:pPr>
              <w:widowControl w:val="0"/>
              <w:rPr>
                <w:rFonts w:cs="Arial"/>
                <w:sz w:val="20"/>
              </w:rPr>
            </w:pPr>
            <w:r>
              <w:rPr>
                <w:rFonts w:cs="Arial"/>
                <w:sz w:val="20"/>
              </w:rPr>
              <w:t>Is there evidence that BSI correlate with other infections – depends on definitions and colonization rates. May not be a valid assumption</w:t>
            </w:r>
          </w:p>
        </w:tc>
      </w:tr>
      <w:tr w:rsidR="00B0719C" w:rsidRPr="00810A2E" w14:paraId="6DFE3AD5" w14:textId="77777777" w:rsidTr="00B0719C">
        <w:tc>
          <w:tcPr>
            <w:tcW w:w="559" w:type="pct"/>
          </w:tcPr>
          <w:p w14:paraId="3589912D" w14:textId="1E8204AA" w:rsidR="00B0719C" w:rsidRDefault="00246206" w:rsidP="007D48B0">
            <w:pPr>
              <w:widowControl w:val="0"/>
              <w:jc w:val="center"/>
              <w:rPr>
                <w:rFonts w:cs="Arial"/>
                <w:sz w:val="20"/>
              </w:rPr>
            </w:pPr>
            <w:r>
              <w:rPr>
                <w:rFonts w:cs="Arial"/>
                <w:sz w:val="20"/>
              </w:rPr>
              <w:t>16</w:t>
            </w:r>
          </w:p>
        </w:tc>
        <w:tc>
          <w:tcPr>
            <w:tcW w:w="352" w:type="pct"/>
          </w:tcPr>
          <w:p w14:paraId="0F53D5C6" w14:textId="0D28C93E" w:rsidR="00B0719C" w:rsidRPr="00810A2E" w:rsidRDefault="00246206" w:rsidP="007D48B0">
            <w:pPr>
              <w:widowControl w:val="0"/>
              <w:rPr>
                <w:rFonts w:cs="Arial"/>
                <w:sz w:val="20"/>
              </w:rPr>
            </w:pPr>
            <w:r>
              <w:rPr>
                <w:rFonts w:cs="Arial"/>
                <w:sz w:val="20"/>
              </w:rPr>
              <w:t>149</w:t>
            </w:r>
          </w:p>
        </w:tc>
        <w:tc>
          <w:tcPr>
            <w:tcW w:w="510" w:type="pct"/>
          </w:tcPr>
          <w:p w14:paraId="0F97919C" w14:textId="64FA5934" w:rsidR="00B0719C" w:rsidRPr="00810A2E" w:rsidRDefault="00246206" w:rsidP="007D48B0">
            <w:pPr>
              <w:widowControl w:val="0"/>
              <w:rPr>
                <w:rFonts w:cs="Arial"/>
                <w:sz w:val="20"/>
              </w:rPr>
            </w:pPr>
            <w:r>
              <w:rPr>
                <w:rFonts w:cs="Arial"/>
                <w:sz w:val="20"/>
              </w:rPr>
              <w:t>8.2.5.2</w:t>
            </w:r>
          </w:p>
        </w:tc>
        <w:tc>
          <w:tcPr>
            <w:tcW w:w="3579" w:type="pct"/>
          </w:tcPr>
          <w:p w14:paraId="58F609BE" w14:textId="49154261" w:rsidR="00B0719C" w:rsidRPr="00810A2E" w:rsidRDefault="00B0719C" w:rsidP="007D48B0">
            <w:pPr>
              <w:widowControl w:val="0"/>
              <w:rPr>
                <w:rFonts w:cs="Arial"/>
                <w:sz w:val="20"/>
              </w:rPr>
            </w:pPr>
            <w:r>
              <w:rPr>
                <w:rFonts w:cs="Arial"/>
                <w:sz w:val="20"/>
              </w:rPr>
              <w:t xml:space="preserve">In practice national trends in resistance have not necessarily followed reduction in usage – for example cephalosporins. </w:t>
            </w:r>
          </w:p>
        </w:tc>
      </w:tr>
      <w:tr w:rsidR="00B0719C" w:rsidRPr="00810A2E" w14:paraId="3A5086F1" w14:textId="77777777" w:rsidTr="00B0719C">
        <w:tc>
          <w:tcPr>
            <w:tcW w:w="559" w:type="pct"/>
          </w:tcPr>
          <w:p w14:paraId="50F4A932" w14:textId="6B7E6CDA" w:rsidR="00B0719C" w:rsidRDefault="00CA0AF2" w:rsidP="007D48B0">
            <w:pPr>
              <w:widowControl w:val="0"/>
              <w:jc w:val="center"/>
              <w:rPr>
                <w:rFonts w:cs="Arial"/>
                <w:sz w:val="20"/>
              </w:rPr>
            </w:pPr>
            <w:r>
              <w:rPr>
                <w:rFonts w:cs="Arial"/>
                <w:sz w:val="20"/>
              </w:rPr>
              <w:t>17</w:t>
            </w:r>
          </w:p>
        </w:tc>
        <w:tc>
          <w:tcPr>
            <w:tcW w:w="352" w:type="pct"/>
          </w:tcPr>
          <w:p w14:paraId="1D2C7641" w14:textId="410EEF50" w:rsidR="00B0719C" w:rsidRPr="00810A2E" w:rsidRDefault="00CA0AF2" w:rsidP="007D48B0">
            <w:pPr>
              <w:widowControl w:val="0"/>
              <w:rPr>
                <w:rFonts w:cs="Arial"/>
                <w:sz w:val="20"/>
              </w:rPr>
            </w:pPr>
            <w:r>
              <w:rPr>
                <w:rFonts w:cs="Arial"/>
                <w:sz w:val="20"/>
              </w:rPr>
              <w:t>161</w:t>
            </w:r>
          </w:p>
        </w:tc>
        <w:tc>
          <w:tcPr>
            <w:tcW w:w="510" w:type="pct"/>
          </w:tcPr>
          <w:p w14:paraId="243F4B79" w14:textId="25DC0F3A" w:rsidR="00B0719C" w:rsidRPr="00810A2E" w:rsidRDefault="00CA0AF2" w:rsidP="007D48B0">
            <w:pPr>
              <w:widowControl w:val="0"/>
              <w:rPr>
                <w:rFonts w:cs="Arial"/>
                <w:sz w:val="20"/>
              </w:rPr>
            </w:pPr>
            <w:r>
              <w:rPr>
                <w:rFonts w:cs="Arial"/>
                <w:sz w:val="20"/>
              </w:rPr>
              <w:t>8.2.6.3</w:t>
            </w:r>
          </w:p>
        </w:tc>
        <w:tc>
          <w:tcPr>
            <w:tcW w:w="3579" w:type="pct"/>
          </w:tcPr>
          <w:p w14:paraId="50798798" w14:textId="6C611C57" w:rsidR="00B0719C" w:rsidRPr="00810A2E" w:rsidRDefault="00CA0AF2" w:rsidP="007D48B0">
            <w:pPr>
              <w:widowControl w:val="0"/>
              <w:rPr>
                <w:rFonts w:cs="Arial"/>
                <w:sz w:val="20"/>
              </w:rPr>
            </w:pPr>
            <w:r>
              <w:rPr>
                <w:rFonts w:cs="Arial"/>
                <w:sz w:val="20"/>
              </w:rPr>
              <w:t xml:space="preserve">How are 9 </w:t>
            </w:r>
            <w:proofErr w:type="gramStart"/>
            <w:r>
              <w:rPr>
                <w:rFonts w:cs="Arial"/>
                <w:sz w:val="20"/>
              </w:rPr>
              <w:t>respondents</w:t>
            </w:r>
            <w:proofErr w:type="gramEnd"/>
            <w:r>
              <w:rPr>
                <w:rFonts w:cs="Arial"/>
                <w:sz w:val="20"/>
              </w:rPr>
              <w:t xml:space="preserve"> representative</w:t>
            </w:r>
            <w:r w:rsidR="001F708C">
              <w:rPr>
                <w:rFonts w:cs="Arial"/>
                <w:sz w:val="20"/>
              </w:rPr>
              <w:t xml:space="preserve"> even of 25 asked</w:t>
            </w:r>
            <w:r>
              <w:rPr>
                <w:rFonts w:cs="Arial"/>
                <w:sz w:val="20"/>
              </w:rPr>
              <w:t>? Assumptions seem unjustified.</w:t>
            </w: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2BD0" w14:textId="77777777" w:rsidR="0022052A" w:rsidRDefault="0022052A">
      <w:r>
        <w:separator/>
      </w:r>
    </w:p>
  </w:endnote>
  <w:endnote w:type="continuationSeparator" w:id="0">
    <w:p w14:paraId="79E33368" w14:textId="77777777" w:rsidR="0022052A" w:rsidRDefault="0022052A">
      <w:r>
        <w:continuationSeparator/>
      </w:r>
    </w:p>
  </w:endnote>
  <w:endnote w:type="continuationNotice" w:id="1">
    <w:p w14:paraId="2D63FC66" w14:textId="77777777" w:rsidR="0022052A" w:rsidRDefault="0022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C541" w14:textId="77777777" w:rsidR="0022052A" w:rsidRDefault="0022052A">
      <w:r>
        <w:separator/>
      </w:r>
    </w:p>
  </w:footnote>
  <w:footnote w:type="continuationSeparator" w:id="0">
    <w:p w14:paraId="2175A711" w14:textId="77777777" w:rsidR="0022052A" w:rsidRDefault="0022052A">
      <w:r>
        <w:continuationSeparator/>
      </w:r>
    </w:p>
  </w:footnote>
  <w:footnote w:type="continuationNotice" w:id="1">
    <w:p w14:paraId="6FA34418" w14:textId="77777777" w:rsidR="0022052A" w:rsidRDefault="00220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633F9D8B" w14:textId="77777777" w:rsidR="00187C7A" w:rsidRPr="00187C7A" w:rsidRDefault="00187C7A" w:rsidP="00187C7A">
    <w:pPr>
      <w:spacing w:after="240"/>
      <w:jc w:val="center"/>
      <w:rPr>
        <w:rFonts w:cs="Arial"/>
        <w:b/>
        <w:bCs/>
        <w:color w:val="2F5496" w:themeColor="accent1" w:themeShade="BF"/>
        <w:szCs w:val="22"/>
      </w:rPr>
    </w:pPr>
    <w:bookmarkStart w:id="0" w:name="_Hlk8726590"/>
    <w:proofErr w:type="spellStart"/>
    <w:r w:rsidRPr="00187C7A">
      <w:rPr>
        <w:rFonts w:cs="Arial"/>
        <w:b/>
        <w:bCs/>
        <w:color w:val="2F5496" w:themeColor="accent1" w:themeShade="BF"/>
        <w:szCs w:val="22"/>
      </w:rPr>
      <w:t>Cefiderocol</w:t>
    </w:r>
    <w:proofErr w:type="spellEnd"/>
    <w:r w:rsidRPr="00187C7A">
      <w:rPr>
        <w:rFonts w:cs="Arial"/>
        <w:b/>
        <w:bCs/>
        <w:color w:val="2F5496" w:themeColor="accent1" w:themeShade="BF"/>
        <w:szCs w:val="22"/>
      </w:rPr>
      <w:t xml:space="preserve"> for treating </w:t>
    </w:r>
    <w:bookmarkStart w:id="1"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1"/>
  </w:p>
  <w:bookmarkEnd w:id="0"/>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133C03D0"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BB1ECB" w:rsidRPr="00BF5447">
        <w:rPr>
          <w:rStyle w:val="Hyperlink"/>
          <w:sz w:val="22"/>
          <w:szCs w:val="22"/>
        </w:rPr>
        <w:t>amrnew@nice.org.uk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1F708C"/>
    <w:rsid w:val="0022052A"/>
    <w:rsid w:val="00224BF9"/>
    <w:rsid w:val="00246154"/>
    <w:rsid w:val="00246206"/>
    <w:rsid w:val="002475F1"/>
    <w:rsid w:val="00257BDB"/>
    <w:rsid w:val="00261963"/>
    <w:rsid w:val="00282094"/>
    <w:rsid w:val="00292396"/>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0D1B"/>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07F3B"/>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B6ADD"/>
    <w:rsid w:val="006F2675"/>
    <w:rsid w:val="006F679F"/>
    <w:rsid w:val="0070312D"/>
    <w:rsid w:val="00715C1F"/>
    <w:rsid w:val="00717E28"/>
    <w:rsid w:val="0072063E"/>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48B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94A46"/>
    <w:rsid w:val="008A2552"/>
    <w:rsid w:val="008A4C19"/>
    <w:rsid w:val="008C3036"/>
    <w:rsid w:val="008C584A"/>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19C"/>
    <w:rsid w:val="00B07B3D"/>
    <w:rsid w:val="00B16F72"/>
    <w:rsid w:val="00B370E9"/>
    <w:rsid w:val="00B40BC2"/>
    <w:rsid w:val="00B57C37"/>
    <w:rsid w:val="00B60144"/>
    <w:rsid w:val="00B671EA"/>
    <w:rsid w:val="00B67C7F"/>
    <w:rsid w:val="00B75E21"/>
    <w:rsid w:val="00B81DC8"/>
    <w:rsid w:val="00B83648"/>
    <w:rsid w:val="00B90A06"/>
    <w:rsid w:val="00B9334D"/>
    <w:rsid w:val="00BA1971"/>
    <w:rsid w:val="00BA208C"/>
    <w:rsid w:val="00BB1ECB"/>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A0AF2"/>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84F8A"/>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2022-01-27T17:03:00Z</dcterms:created>
  <dcterms:modified xsi:type="dcterms:W3CDTF">2022-01-27T17:03:00Z</dcterms:modified>
</cp:coreProperties>
</file>