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8057" w14:textId="581D25AE" w:rsidR="00052675" w:rsidRDefault="0045524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 w:rsidRPr="0045524A">
        <w:rPr>
          <w:b/>
          <w:bCs/>
          <w:color w:val="005EA5"/>
          <w:sz w:val="28"/>
          <w:szCs w:val="28"/>
          <w:u w:val="single"/>
        </w:rPr>
        <w:t xml:space="preserve">Hip fracture: management </w:t>
      </w:r>
      <w:r w:rsidRPr="0045524A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11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CG124</w:t>
      </w:r>
    </w:p>
    <w:p w14:paraId="22AC4B1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6C9A81E" w14:textId="1D82C992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45524A">
        <w:rPr>
          <w:b/>
          <w:bCs/>
          <w:sz w:val="24"/>
          <w:szCs w:val="24"/>
        </w:rPr>
        <w:t>for a partial update</w:t>
      </w:r>
      <w:r w:rsidR="00D85FF6">
        <w:rPr>
          <w:b/>
          <w:bCs/>
          <w:sz w:val="24"/>
          <w:szCs w:val="24"/>
        </w:rPr>
        <w:t>’</w:t>
      </w:r>
    </w:p>
    <w:p w14:paraId="41435CEB" w14:textId="77777777" w:rsidR="009968C8" w:rsidRDefault="009968C8" w:rsidP="00730953"/>
    <w:p w14:paraId="50506AED" w14:textId="77777777" w:rsidR="009968C8" w:rsidRDefault="009968C8" w:rsidP="00730953"/>
    <w:p w14:paraId="3822F1D8" w14:textId="28499DCE" w:rsidR="00730953" w:rsidRDefault="00730953" w:rsidP="00730953">
      <w:r>
        <w:t>Consultation on the p</w:t>
      </w:r>
      <w:r w:rsidR="00DF6EF2">
        <w:t>roposal ‘</w:t>
      </w:r>
      <w:r w:rsidR="0045524A">
        <w:rPr>
          <w:bCs/>
          <w:szCs w:val="22"/>
        </w:rPr>
        <w:t>for a partial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45524A">
        <w:t xml:space="preserve">9am, </w:t>
      </w:r>
      <w:r w:rsidR="004E68D7">
        <w:t xml:space="preserve">on </w:t>
      </w:r>
      <w:r w:rsidR="0045524A">
        <w:t>Friday</w:t>
      </w:r>
      <w:r w:rsidR="004E68D7">
        <w:t>,</w:t>
      </w:r>
      <w:r w:rsidR="0045524A">
        <w:t xml:space="preserve"> 30 August 2019</w:t>
      </w:r>
    </w:p>
    <w:p w14:paraId="2FA4CCF4" w14:textId="77777777" w:rsidR="00730953" w:rsidRDefault="00742302" w:rsidP="00742302">
      <w:pPr>
        <w:tabs>
          <w:tab w:val="left" w:pos="10695"/>
        </w:tabs>
      </w:pPr>
      <w:r>
        <w:tab/>
      </w:r>
    </w:p>
    <w:p w14:paraId="60576C2E" w14:textId="3F2A4D70" w:rsidR="00730953" w:rsidRDefault="00730953" w:rsidP="00BC3435">
      <w:r>
        <w:t>Comments on proposal to be submitted: no later than</w:t>
      </w:r>
      <w:r w:rsidR="00331D5B">
        <w:t xml:space="preserve"> </w:t>
      </w:r>
      <w:r w:rsidR="0045524A">
        <w:t xml:space="preserve">5pm, </w:t>
      </w:r>
      <w:r w:rsidR="004E68D7">
        <w:t xml:space="preserve">on </w:t>
      </w:r>
      <w:r w:rsidR="0045524A">
        <w:t>Friday</w:t>
      </w:r>
      <w:r w:rsidR="004E68D7">
        <w:t>,</w:t>
      </w:r>
      <w:r w:rsidR="0045524A">
        <w:t xml:space="preserve"> 12 September </w:t>
      </w:r>
      <w:r w:rsidR="004E68D7">
        <w:t>2019</w:t>
      </w:r>
    </w:p>
    <w:p w14:paraId="14DDFBC0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A7785F6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30FC2D4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EB1FCD5" w14:textId="77777777" w:rsidR="00CA6BC7" w:rsidRPr="00742302" w:rsidRDefault="00CA6BC7" w:rsidP="00742302">
            <w:pPr>
              <w:rPr>
                <w:szCs w:val="22"/>
              </w:rPr>
            </w:pPr>
          </w:p>
          <w:p w14:paraId="7D3D4B98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38A0CB7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216A41E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9A2F25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B3876A3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7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02BFC12" w14:textId="5B94BEAF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</w:t>
            </w:r>
            <w:hyperlink r:id="rId8" w:history="1">
              <w:r w:rsidRPr="004552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the </w:t>
              </w:r>
              <w:r w:rsidRPr="0045524A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02720281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AD6B8AC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5153251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65B194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FE60D70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79E6E8F" w14:textId="77777777" w:rsidR="00590FD2" w:rsidRPr="00742302" w:rsidRDefault="00590FD2" w:rsidP="00742302">
            <w:pPr>
              <w:rPr>
                <w:szCs w:val="22"/>
              </w:rPr>
            </w:pPr>
          </w:p>
          <w:p w14:paraId="24043AD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14642F8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DC310B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F6608A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866374C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13F88CC1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28054D6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0438D2D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A8BE5B7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13C7179" w14:textId="77777777" w:rsidR="00590FD2" w:rsidRDefault="00590FD2" w:rsidP="00590FD2"/>
    <w:p w14:paraId="46DA12FC" w14:textId="77777777" w:rsidR="009968C8" w:rsidRDefault="00E56149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7173A3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8DC813A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1120522E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FFD632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6D1FB6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0A77524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345B92C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4DDB7A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9DFA59B" w14:textId="77777777" w:rsidTr="00C42103">
        <w:tc>
          <w:tcPr>
            <w:tcW w:w="188" w:type="pct"/>
          </w:tcPr>
          <w:p w14:paraId="2E5660F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2D1D358" w14:textId="5A09A3C9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45524A">
              <w:t>for a partial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6A5AFFD" w14:textId="77777777" w:rsidR="007D33D0" w:rsidRPr="00086946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D5D284C" w14:textId="77777777" w:rsidR="007D33D0" w:rsidRPr="00086946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BEB213B" w14:textId="77777777" w:rsidTr="00C42103">
        <w:tc>
          <w:tcPr>
            <w:tcW w:w="188" w:type="pct"/>
          </w:tcPr>
          <w:p w14:paraId="33E0F56A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833AFA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1E5C8AB" w14:textId="77777777" w:rsidR="007D33D0" w:rsidRPr="00086946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7503AC2" w14:textId="77777777" w:rsidR="007D33D0" w:rsidRPr="00086946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58183C3" w14:textId="77777777" w:rsidTr="00C42103">
        <w:tc>
          <w:tcPr>
            <w:tcW w:w="188" w:type="pct"/>
          </w:tcPr>
          <w:p w14:paraId="6666BEE8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EB6A86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066E391" w14:textId="77777777" w:rsidR="007D33D0" w:rsidRPr="00086946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634DFFB" w14:textId="77777777" w:rsidR="007D33D0" w:rsidRPr="00086946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24A" w:rsidRPr="00590FD2" w14:paraId="1EDDA63D" w14:textId="77777777" w:rsidTr="00C42103">
        <w:tc>
          <w:tcPr>
            <w:tcW w:w="188" w:type="pct"/>
          </w:tcPr>
          <w:p w14:paraId="115ABE0E" w14:textId="383F47A7" w:rsidR="0045524A" w:rsidRDefault="0045524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4899ADA1" w14:textId="77777777" w:rsidR="00A65434" w:rsidRPr="00A65434" w:rsidRDefault="00A65434" w:rsidP="00A65434">
            <w:p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t>Recommendation 1.6.4 suggests using a proven femoral stem design rather than Austin Moore or Thompson stems. New evidence indicates that the older Thompson hemiarthroplasty may be clinically equivalent to the Exeter/unitrax stem and head. This new evidence contradicts the current guideline recommendation 1.6.4 and as such an update is proposed.</w:t>
            </w:r>
          </w:p>
          <w:p w14:paraId="4AA6C29E" w14:textId="77777777" w:rsidR="00A65434" w:rsidRPr="00A65434" w:rsidRDefault="00A65434" w:rsidP="00A6543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t>Is there any other new evidence we need to be aware of in relation to this recommendation?</w:t>
            </w:r>
          </w:p>
          <w:p w14:paraId="7A850C06" w14:textId="77777777" w:rsidR="00A65434" w:rsidRPr="00A65434" w:rsidRDefault="00A65434" w:rsidP="00A6543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t xml:space="preserve">Are there any issues for clinical practice with this current recommendation that need to be considered alongside the evidence?  </w:t>
            </w:r>
          </w:p>
          <w:p w14:paraId="6139E37E" w14:textId="77777777" w:rsidR="0045524A" w:rsidRPr="00A21BBC" w:rsidRDefault="0045524A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7CDB8AC9" w14:textId="05F8765F" w:rsidR="0045524A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  <w:r w:rsidRPr="00086946">
              <w:rPr>
                <w:rStyle w:val="CommentReference"/>
                <w:rFonts w:cs="Arial"/>
                <w:sz w:val="22"/>
                <w:szCs w:val="22"/>
              </w:rPr>
              <w:t>a.</w:t>
            </w:r>
          </w:p>
          <w:p w14:paraId="27E1D82E" w14:textId="1E2F22FF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115E52A7" w14:textId="6A95851E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0520AF70" w14:textId="51F6FF81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0BB4CAF6" w14:textId="31DB03B4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3A29DD0B" w14:textId="7311C1DD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0B473772" w14:textId="4626C324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581914CB" w14:textId="553F8BFB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01EA0D08" w14:textId="7C142204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  <w:r w:rsidRPr="00086946">
              <w:rPr>
                <w:rStyle w:val="CommentReference"/>
                <w:rFonts w:cs="Arial"/>
                <w:sz w:val="22"/>
                <w:szCs w:val="22"/>
              </w:rPr>
              <w:t>b.</w:t>
            </w:r>
          </w:p>
          <w:p w14:paraId="04D952C3" w14:textId="22B7B65B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</w:tc>
        <w:tc>
          <w:tcPr>
            <w:tcW w:w="2262" w:type="pct"/>
          </w:tcPr>
          <w:p w14:paraId="7DDE6E8B" w14:textId="77777777" w:rsidR="0045524A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086946">
              <w:rPr>
                <w:rFonts w:ascii="Arial" w:hAnsi="Arial" w:cs="Arial"/>
                <w:sz w:val="22"/>
                <w:szCs w:val="22"/>
              </w:rPr>
              <w:t>a.</w:t>
            </w:r>
          </w:p>
          <w:p w14:paraId="179BF406" w14:textId="77777777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CB0C436" w14:textId="77777777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17F255B" w14:textId="77777777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93E7802" w14:textId="77777777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E14511D" w14:textId="77777777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0880741" w14:textId="77777777" w:rsid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227DAAC" w14:textId="77777777" w:rsidR="00086946" w:rsidRDefault="00086946" w:rsidP="00D011FE">
            <w:pPr>
              <w:pStyle w:val="PlainText"/>
            </w:pPr>
          </w:p>
          <w:p w14:paraId="16F7C08C" w14:textId="2D8B4020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086946">
              <w:rPr>
                <w:rFonts w:ascii="Arial" w:hAnsi="Arial" w:cs="Arial"/>
                <w:sz w:val="22"/>
                <w:szCs w:val="22"/>
              </w:rPr>
              <w:t>b.</w:t>
            </w:r>
          </w:p>
          <w:p w14:paraId="2048AB3A" w14:textId="5C78879F" w:rsidR="00086946" w:rsidRPr="00086946" w:rsidRDefault="0008694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24A" w:rsidRPr="00590FD2" w14:paraId="2A360A01" w14:textId="77777777" w:rsidTr="00C42103">
        <w:tc>
          <w:tcPr>
            <w:tcW w:w="188" w:type="pct"/>
          </w:tcPr>
          <w:p w14:paraId="2AF3C1C4" w14:textId="6EACB52C" w:rsidR="0045524A" w:rsidRDefault="0045524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6794CD41" w14:textId="066102D7" w:rsidR="00A65434" w:rsidRPr="00A65434" w:rsidRDefault="00A65434" w:rsidP="00A65434">
            <w:p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t xml:space="preserve">Recommendation 1.6.2 and 1.6.3 provide advice on total hip replacements. New evidence from 2 small RCTs indicates that total hip replacement and hemiarthroplasty may be equivalent. This new evidence does </w:t>
            </w:r>
            <w:r w:rsidR="00E56149">
              <w:rPr>
                <w:rFonts w:cs="Arial"/>
                <w:szCs w:val="22"/>
              </w:rPr>
              <w:t>not appear sufficient to change</w:t>
            </w:r>
            <w:bookmarkStart w:id="0" w:name="_GoBack"/>
            <w:bookmarkEnd w:id="0"/>
            <w:r w:rsidRPr="00A65434">
              <w:rPr>
                <w:rFonts w:cs="Arial"/>
                <w:szCs w:val="22"/>
              </w:rPr>
              <w:t xml:space="preserve"> recommendations 1.6.2 and 1.6.3 and as such no update is proposed.</w:t>
            </w:r>
          </w:p>
          <w:p w14:paraId="52932608" w14:textId="77777777" w:rsidR="00A65434" w:rsidRPr="00A65434" w:rsidRDefault="00A65434" w:rsidP="00086946">
            <w:pPr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lastRenderedPageBreak/>
              <w:t>Is there any other new evidence we need to be aware of in relation to these recommendations?</w:t>
            </w:r>
          </w:p>
          <w:p w14:paraId="7226DE90" w14:textId="77777777" w:rsidR="00A65434" w:rsidRPr="00A65434" w:rsidRDefault="00A65434" w:rsidP="00086946">
            <w:pPr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A65434">
              <w:rPr>
                <w:rFonts w:cs="Arial"/>
                <w:szCs w:val="22"/>
              </w:rPr>
              <w:t xml:space="preserve">Are there any issues for clinical practice with these current recommendations that need to be considered alongside the evidence?  </w:t>
            </w:r>
          </w:p>
          <w:p w14:paraId="645D590A" w14:textId="77777777" w:rsidR="0045524A" w:rsidRPr="00A21BBC" w:rsidRDefault="0045524A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098DFBDB" w14:textId="1786F0FB" w:rsidR="0045524A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  <w:r w:rsidRPr="00086946">
              <w:rPr>
                <w:rStyle w:val="CommentReference"/>
                <w:rFonts w:cs="Arial"/>
                <w:sz w:val="22"/>
                <w:szCs w:val="22"/>
              </w:rPr>
              <w:lastRenderedPageBreak/>
              <w:t>a.</w:t>
            </w:r>
          </w:p>
          <w:p w14:paraId="2ED78562" w14:textId="1D24BCEC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257065AE" w14:textId="63F983AC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763D57EA" w14:textId="2A62A492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2550328F" w14:textId="10B0504C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57053DDD" w14:textId="7F232158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3C7EC002" w14:textId="77777777" w:rsid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3411AE86" w14:textId="77777777" w:rsid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1637F75A" w14:textId="77777777" w:rsid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  <w:p w14:paraId="01C339EA" w14:textId="7C190445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  <w:r w:rsidRPr="00086946">
              <w:rPr>
                <w:rStyle w:val="CommentReference"/>
                <w:rFonts w:cs="Arial"/>
                <w:sz w:val="22"/>
                <w:szCs w:val="22"/>
              </w:rPr>
              <w:lastRenderedPageBreak/>
              <w:t>b.</w:t>
            </w:r>
          </w:p>
          <w:p w14:paraId="6C2DB07E" w14:textId="7D3230FB" w:rsidR="00086946" w:rsidRPr="00086946" w:rsidRDefault="00086946" w:rsidP="00086946">
            <w:pPr>
              <w:rPr>
                <w:rStyle w:val="CommentReference"/>
                <w:rFonts w:cs="Arial"/>
                <w:sz w:val="22"/>
                <w:szCs w:val="22"/>
              </w:rPr>
            </w:pPr>
          </w:p>
        </w:tc>
        <w:tc>
          <w:tcPr>
            <w:tcW w:w="2262" w:type="pct"/>
          </w:tcPr>
          <w:p w14:paraId="2BFFB094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086946">
              <w:rPr>
                <w:rFonts w:ascii="Arial" w:hAnsi="Arial" w:cs="Arial"/>
                <w:sz w:val="22"/>
                <w:szCs w:val="22"/>
              </w:rPr>
              <w:lastRenderedPageBreak/>
              <w:t>a.</w:t>
            </w:r>
          </w:p>
          <w:p w14:paraId="0B25EBFF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8DB3B07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D744786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0E89A34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6706B0C" w14:textId="77777777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94D24CE" w14:textId="77777777" w:rsid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E791FD7" w14:textId="77777777" w:rsidR="00086946" w:rsidRDefault="00086946" w:rsidP="00086946">
            <w:pPr>
              <w:pStyle w:val="PlainText"/>
              <w:rPr>
                <w:rFonts w:cs="Arial"/>
                <w:sz w:val="22"/>
                <w:szCs w:val="22"/>
              </w:rPr>
            </w:pPr>
          </w:p>
          <w:p w14:paraId="2294764C" w14:textId="77777777" w:rsidR="00086946" w:rsidRDefault="00086946" w:rsidP="00086946">
            <w:pPr>
              <w:pStyle w:val="PlainText"/>
              <w:rPr>
                <w:rFonts w:cs="Arial"/>
                <w:sz w:val="22"/>
                <w:szCs w:val="22"/>
              </w:rPr>
            </w:pPr>
          </w:p>
          <w:p w14:paraId="61C78100" w14:textId="27C74450" w:rsidR="00086946" w:rsidRPr="00086946" w:rsidRDefault="00086946" w:rsidP="0008694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086946">
              <w:rPr>
                <w:rFonts w:ascii="Arial" w:hAnsi="Arial" w:cs="Arial"/>
                <w:sz w:val="22"/>
                <w:szCs w:val="22"/>
              </w:rPr>
              <w:lastRenderedPageBreak/>
              <w:t>b.</w:t>
            </w:r>
          </w:p>
          <w:p w14:paraId="2FD8C623" w14:textId="77777777" w:rsidR="0045524A" w:rsidRPr="00086946" w:rsidRDefault="0045524A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8B90B" w14:textId="77777777" w:rsidR="00590FD2" w:rsidRDefault="00590FD2" w:rsidP="00590FD2">
      <w:pPr>
        <w:rPr>
          <w:sz w:val="18"/>
        </w:rPr>
      </w:pPr>
    </w:p>
    <w:p w14:paraId="27CF8F5F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0BC0813" w14:textId="77777777" w:rsidR="00590FD2" w:rsidRDefault="00590FD2" w:rsidP="00590FD2"/>
    <w:p w14:paraId="288EB591" w14:textId="4C25C61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45524A">
        <w:rPr>
          <w:b/>
          <w:sz w:val="24"/>
          <w:szCs w:val="24"/>
        </w:rPr>
        <w:t xml:space="preserve">5pm, </w:t>
      </w:r>
      <w:r w:rsidR="00BF43CD">
        <w:rPr>
          <w:b/>
          <w:sz w:val="24"/>
          <w:szCs w:val="24"/>
        </w:rPr>
        <w:t xml:space="preserve">on </w:t>
      </w:r>
      <w:r w:rsidR="0045524A">
        <w:rPr>
          <w:b/>
          <w:sz w:val="24"/>
          <w:szCs w:val="24"/>
        </w:rPr>
        <w:t>Friday</w:t>
      </w:r>
      <w:r w:rsidR="00BF43CD">
        <w:rPr>
          <w:b/>
          <w:sz w:val="24"/>
          <w:szCs w:val="24"/>
        </w:rPr>
        <w:t>,</w:t>
      </w:r>
      <w:r w:rsidR="0045524A">
        <w:rPr>
          <w:b/>
          <w:sz w:val="24"/>
          <w:szCs w:val="24"/>
        </w:rPr>
        <w:t xml:space="preserve"> 12 September 2019 </w:t>
      </w:r>
    </w:p>
    <w:p w14:paraId="05D84E67" w14:textId="77777777" w:rsidR="001E1F8F" w:rsidRDefault="001E1F8F" w:rsidP="00A21BBC">
      <w:pPr>
        <w:rPr>
          <w:b/>
          <w:sz w:val="20"/>
        </w:rPr>
      </w:pPr>
    </w:p>
    <w:p w14:paraId="564466E9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92CD9E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8B043EA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1C7D" w14:textId="77777777" w:rsidR="0045524A" w:rsidRDefault="0045524A" w:rsidP="0065467A">
      <w:r>
        <w:separator/>
      </w:r>
    </w:p>
  </w:endnote>
  <w:endnote w:type="continuationSeparator" w:id="0">
    <w:p w14:paraId="1FD34FF4" w14:textId="77777777" w:rsidR="0045524A" w:rsidRDefault="0045524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6576" w14:textId="77777777" w:rsidR="0045524A" w:rsidRDefault="0045524A" w:rsidP="0065467A">
      <w:r>
        <w:separator/>
      </w:r>
    </w:p>
  </w:footnote>
  <w:footnote w:type="continuationSeparator" w:id="0">
    <w:p w14:paraId="26BBACB1" w14:textId="77777777" w:rsidR="0045524A" w:rsidRDefault="0045524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2FF4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A59162" wp14:editId="16C71A6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46906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38CDECA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DE8"/>
    <w:multiLevelType w:val="hybridMultilevel"/>
    <w:tmpl w:val="2AA445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64D98"/>
    <w:multiLevelType w:val="hybridMultilevel"/>
    <w:tmpl w:val="C686AA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3898"/>
    <w:multiLevelType w:val="hybridMultilevel"/>
    <w:tmpl w:val="DC22BD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E07D5"/>
    <w:multiLevelType w:val="hybridMultilevel"/>
    <w:tmpl w:val="5AD4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E23B9"/>
    <w:multiLevelType w:val="hybridMultilevel"/>
    <w:tmpl w:val="D92E5B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A"/>
    <w:rsid w:val="00051391"/>
    <w:rsid w:val="00052675"/>
    <w:rsid w:val="000667DA"/>
    <w:rsid w:val="00086946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5524A"/>
    <w:rsid w:val="00466FB3"/>
    <w:rsid w:val="00495C38"/>
    <w:rsid w:val="004D5990"/>
    <w:rsid w:val="004E68D7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65434"/>
    <w:rsid w:val="00A73500"/>
    <w:rsid w:val="00A73BD4"/>
    <w:rsid w:val="00AA66C2"/>
    <w:rsid w:val="00AC4809"/>
    <w:rsid w:val="00AE3E62"/>
    <w:rsid w:val="00B356ED"/>
    <w:rsid w:val="00B65621"/>
    <w:rsid w:val="00BC3435"/>
    <w:rsid w:val="00BF43CD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56149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3E0057E"/>
  <w15:docId w15:val="{CB8D070C-62AD-44B3-BD38-C6126D2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52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24/update/cg124-update-1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et-involved/stakeholder-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24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Claire Mcleod</cp:lastModifiedBy>
  <cp:revision>8</cp:revision>
  <cp:lastPrinted>2016-08-02T11:05:00Z</cp:lastPrinted>
  <dcterms:created xsi:type="dcterms:W3CDTF">2019-08-27T14:17:00Z</dcterms:created>
  <dcterms:modified xsi:type="dcterms:W3CDTF">2019-08-28T07:46:00Z</dcterms:modified>
</cp:coreProperties>
</file>