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B1DAAE" w14:textId="77777777" w:rsidR="00091DC3" w:rsidRPr="0029324A" w:rsidRDefault="00091DC3" w:rsidP="00091DC3">
      <w:pPr>
        <w:pStyle w:val="Title2"/>
      </w:pPr>
      <w:r w:rsidRPr="0029324A">
        <w:t>NATIONAL INSTITUTE FOR HEALTH AND CARE EXCELLENCE</w:t>
      </w:r>
    </w:p>
    <w:p w14:paraId="36E2BCCA" w14:textId="77777777" w:rsidR="00091DC3" w:rsidRPr="0029324A" w:rsidRDefault="00091DC3" w:rsidP="00091DC3">
      <w:pPr>
        <w:pStyle w:val="Title2"/>
      </w:pPr>
      <w:r w:rsidRPr="0029324A">
        <w:t>Diagnostics consultation document</w:t>
      </w:r>
    </w:p>
    <w:p w14:paraId="3371721E" w14:textId="273A7323" w:rsidR="00091DC3" w:rsidRPr="0029324A" w:rsidRDefault="00E71A4E" w:rsidP="00091DC3">
      <w:pPr>
        <w:pStyle w:val="Title1"/>
      </w:pPr>
      <w:r w:rsidRPr="0029324A">
        <w:t>PredictSURE IBD and IBDX to guide treatment of Crohn’s disease</w:t>
      </w:r>
    </w:p>
    <w:tbl>
      <w:tblPr>
        <w:tblW w:w="0" w:type="auto"/>
        <w:tblInd w:w="138" w:type="dxa"/>
        <w:tblBorders>
          <w:top w:val="single" w:sz="24" w:space="0" w:color="A2BDC1"/>
          <w:left w:val="single" w:sz="24" w:space="0" w:color="A2BDC1"/>
          <w:bottom w:val="single" w:sz="24" w:space="0" w:color="A2BDC1"/>
          <w:right w:val="single" w:sz="24" w:space="0" w:color="A2BDC1"/>
        </w:tblBorders>
        <w:tblLook w:val="0000" w:firstRow="0" w:lastRow="0" w:firstColumn="0" w:lastColumn="0" w:noHBand="0" w:noVBand="0"/>
      </w:tblPr>
      <w:tblGrid>
        <w:gridCol w:w="8829"/>
      </w:tblGrid>
      <w:tr w:rsidR="00F12D43" w:rsidRPr="0029324A" w14:paraId="54D262FB" w14:textId="77777777" w:rsidTr="00EB3F7F">
        <w:tc>
          <w:tcPr>
            <w:tcW w:w="9042" w:type="dxa"/>
            <w:shd w:val="clear" w:color="auto" w:fill="auto"/>
          </w:tcPr>
          <w:p w14:paraId="55FE702A" w14:textId="5CF88A4C" w:rsidR="00F12D43" w:rsidRPr="0029324A" w:rsidRDefault="00F12D43" w:rsidP="00EB3F7F">
            <w:pPr>
              <w:pStyle w:val="NICEnormalsinglespacing"/>
            </w:pPr>
            <w:r w:rsidRPr="0029324A">
              <w:t>The National Institute for Health and Care Excellence (NICE) is producing guidance on using PredictSURE IBD and IBDX in the NHS in England. The diagnostics advisory committee has considered the evidence and the views of clinical and patient experts.</w:t>
            </w:r>
          </w:p>
          <w:p w14:paraId="1D21EFA0" w14:textId="7DD5E6F4" w:rsidR="00F12D43" w:rsidRPr="0029324A" w:rsidRDefault="00F12D43" w:rsidP="00EB3F7F">
            <w:pPr>
              <w:pStyle w:val="NICEnormalsinglespacing"/>
            </w:pPr>
            <w:r w:rsidRPr="0029324A">
              <w:rPr>
                <w:b/>
                <w:bCs/>
              </w:rPr>
              <w:t>This document has been prepared for public consultation.</w:t>
            </w:r>
            <w:r w:rsidRPr="0029324A">
              <w:t xml:space="preserve"> It summarises the evidence and views that have been considered, and sets out the recommendations made by the committee. NICE invites comments from registered stakeholders, healthcare professionals and the public. This document should be read along with the </w:t>
            </w:r>
            <w:hyperlink r:id="rId8" w:history="1">
              <w:r w:rsidRPr="0029324A">
                <w:rPr>
                  <w:rStyle w:val="Hyperlink"/>
                </w:rPr>
                <w:t>evidence</w:t>
              </w:r>
            </w:hyperlink>
            <w:r w:rsidRPr="0029324A">
              <w:t xml:space="preserve"> (the diagnostics assessment report and the diagnostics assessment report addendum).</w:t>
            </w:r>
          </w:p>
          <w:p w14:paraId="39F283F9" w14:textId="77777777" w:rsidR="00F12D43" w:rsidRPr="0029324A" w:rsidRDefault="00F12D43" w:rsidP="00EB3F7F">
            <w:pPr>
              <w:pStyle w:val="NICEnormalsinglespacing"/>
            </w:pPr>
            <w:r w:rsidRPr="0029324A">
              <w:t>The advisory committee is interested in receiving comments on the following:</w:t>
            </w:r>
          </w:p>
          <w:p w14:paraId="27BDBFCD" w14:textId="77777777" w:rsidR="00F12D43" w:rsidRPr="0029324A" w:rsidRDefault="00F12D43" w:rsidP="00EB3F7F">
            <w:pPr>
              <w:pStyle w:val="Bulletleft1"/>
            </w:pPr>
            <w:r w:rsidRPr="0029324A">
              <w:t xml:space="preserve">Has </w:t>
            </w:r>
            <w:proofErr w:type="gramStart"/>
            <w:r w:rsidRPr="0029324A">
              <w:t>all of</w:t>
            </w:r>
            <w:proofErr w:type="gramEnd"/>
            <w:r w:rsidRPr="0029324A">
              <w:t xml:space="preserve"> the relevant evidence been taken into account?</w:t>
            </w:r>
          </w:p>
          <w:p w14:paraId="3573D4DE" w14:textId="77777777" w:rsidR="00F12D43" w:rsidRPr="0029324A" w:rsidRDefault="00F12D43" w:rsidP="00EB3F7F">
            <w:pPr>
              <w:pStyle w:val="Bulletleft1"/>
            </w:pPr>
            <w:r w:rsidRPr="0029324A">
              <w:t>Are the summaries of clinical and cost effectiveness reasonable interpretations of the evidence?</w:t>
            </w:r>
          </w:p>
          <w:p w14:paraId="37BA27BC" w14:textId="77777777" w:rsidR="00F12D43" w:rsidRPr="0029324A" w:rsidRDefault="00F12D43" w:rsidP="00EB3F7F">
            <w:pPr>
              <w:pStyle w:val="Bulletleft1last"/>
            </w:pPr>
            <w:r w:rsidRPr="0029324A">
              <w:t>Are the recommendations sound, and a suitable basis for guidance to the NHS?</w:t>
            </w:r>
          </w:p>
          <w:p w14:paraId="7B931E07" w14:textId="77777777" w:rsidR="00F12D43" w:rsidRPr="0029324A" w:rsidRDefault="00F12D43" w:rsidP="00EB3F7F">
            <w:pPr>
              <w:pStyle w:val="NICEnormalsinglespacing"/>
              <w:rPr>
                <w:b/>
              </w:rPr>
            </w:pPr>
            <w:r w:rsidRPr="0029324A">
              <w:rPr>
                <w:b/>
              </w:rPr>
              <w:t>Equality issues</w:t>
            </w:r>
          </w:p>
          <w:p w14:paraId="55F3DE5D" w14:textId="77777777" w:rsidR="00F12D43" w:rsidRPr="0029324A" w:rsidRDefault="00F12D43" w:rsidP="00EB3F7F">
            <w:pPr>
              <w:pStyle w:val="NICEnormalsinglespacing"/>
            </w:pPr>
            <w:r w:rsidRPr="0029324A">
              <w:t xml:space="preserve">NICE is committed to promoting equality of opportunity, eliminating unlawful </w:t>
            </w:r>
            <w:proofErr w:type="gramStart"/>
            <w:r w:rsidRPr="0029324A">
              <w:t>discrimination</w:t>
            </w:r>
            <w:proofErr w:type="gramEnd"/>
            <w:r w:rsidRPr="0029324A">
              <w:t xml:space="preserve"> and fostering good relations between people with particular protected characteristics and others. Please let us know if you think that the recommendations may need changing to meet these aims. </w:t>
            </w:r>
            <w:proofErr w:type="gramStart"/>
            <w:r w:rsidRPr="0029324A">
              <w:t>In particular, please</w:t>
            </w:r>
            <w:proofErr w:type="gramEnd"/>
            <w:r w:rsidRPr="0029324A">
              <w:t xml:space="preserve"> tell us if the recommendations:</w:t>
            </w:r>
          </w:p>
          <w:p w14:paraId="07A67E50" w14:textId="77777777" w:rsidR="00F12D43" w:rsidRPr="0029324A" w:rsidRDefault="00F12D43" w:rsidP="00EB3F7F">
            <w:pPr>
              <w:pStyle w:val="Bulletleft1"/>
            </w:pPr>
            <w:r w:rsidRPr="0029324A">
              <w:t>could have a different effect on people protected by the equality legislation than on the wider population, for example by making it more difficult in practice for a specific group to access the technology</w:t>
            </w:r>
          </w:p>
          <w:p w14:paraId="19488574" w14:textId="77777777" w:rsidR="00F12D43" w:rsidRPr="0029324A" w:rsidRDefault="00F12D43" w:rsidP="00EB3F7F">
            <w:pPr>
              <w:pStyle w:val="Bulletleft1last"/>
            </w:pPr>
            <w:r w:rsidRPr="0029324A">
              <w:lastRenderedPageBreak/>
              <w:t xml:space="preserve">could have any adverse effect on people with a </w:t>
            </w:r>
            <w:proofErr w:type="gramStart"/>
            <w:r w:rsidRPr="0029324A">
              <w:t>particular disability</w:t>
            </w:r>
            <w:proofErr w:type="gramEnd"/>
            <w:r w:rsidRPr="0029324A">
              <w:t xml:space="preserve"> or disabilities.</w:t>
            </w:r>
          </w:p>
          <w:p w14:paraId="0E346412" w14:textId="77777777" w:rsidR="00F12D43" w:rsidRPr="0029324A" w:rsidRDefault="00F12D43" w:rsidP="00EB3F7F">
            <w:pPr>
              <w:pStyle w:val="NICEnormalsinglespacing"/>
            </w:pPr>
            <w:r w:rsidRPr="0029324A">
              <w:t>Please provide any relevant information or data you have about such effects and how they could be avoided or reduced.</w:t>
            </w:r>
          </w:p>
          <w:p w14:paraId="0AEFD179" w14:textId="085FD298" w:rsidR="00F12D43" w:rsidRPr="0029324A" w:rsidRDefault="00F12D43" w:rsidP="00EB3F7F">
            <w:pPr>
              <w:pStyle w:val="NICEnormalsinglespacing"/>
              <w:rPr>
                <w:b/>
                <w:bCs/>
              </w:rPr>
            </w:pPr>
            <w:r w:rsidRPr="0029324A">
              <w:rPr>
                <w:b/>
                <w:bCs/>
              </w:rPr>
              <w:t>Note that this document is not NICE's final guidance on PredictSURE IBD and IBDX. The recommendations in section 1 may change after consultation.</w:t>
            </w:r>
          </w:p>
          <w:p w14:paraId="2D43B4A6" w14:textId="77777777" w:rsidR="00F12D43" w:rsidRPr="0029324A" w:rsidRDefault="00F12D43" w:rsidP="00EB3F7F">
            <w:pPr>
              <w:pStyle w:val="NICEnormalsinglespacing"/>
            </w:pPr>
            <w:r w:rsidRPr="0029324A">
              <w:t xml:space="preserve">After consultation, the committee will meet again to consider the evidence, this </w:t>
            </w:r>
            <w:proofErr w:type="gramStart"/>
            <w:r w:rsidRPr="0029324A">
              <w:t>document</w:t>
            </w:r>
            <w:proofErr w:type="gramEnd"/>
            <w:r w:rsidRPr="0029324A">
              <w:t xml:space="preserve"> and comments from the consultation. After considering the comments, the committee will prepare its final recommendations, which will be the basis for NICE’s guidance on the use of the technology in the NHS in England.</w:t>
            </w:r>
          </w:p>
          <w:p w14:paraId="197605CB" w14:textId="77777777" w:rsidR="00F12D43" w:rsidRPr="0029324A" w:rsidRDefault="00F12D43" w:rsidP="00EB3F7F">
            <w:pPr>
              <w:pStyle w:val="NICEnormalsinglespacing"/>
            </w:pPr>
            <w:r w:rsidRPr="0029324A">
              <w:t xml:space="preserve">For further details, see the </w:t>
            </w:r>
            <w:hyperlink r:id="rId9" w:history="1">
              <w:r w:rsidRPr="0029324A">
                <w:rPr>
                  <w:rStyle w:val="Hyperlink"/>
                </w:rPr>
                <w:t>diagnostics assessment programme manual</w:t>
              </w:r>
            </w:hyperlink>
            <w:r w:rsidRPr="0029324A">
              <w:t>.</w:t>
            </w:r>
          </w:p>
          <w:p w14:paraId="5FC90D24" w14:textId="77777777" w:rsidR="00F12D43" w:rsidRPr="0029324A" w:rsidRDefault="00F12D43" w:rsidP="00EB3F7F">
            <w:pPr>
              <w:pStyle w:val="NICEnormalsinglespacing"/>
              <w:rPr>
                <w:b/>
                <w:bCs/>
              </w:rPr>
            </w:pPr>
            <w:r w:rsidRPr="0029324A">
              <w:rPr>
                <w:b/>
                <w:bCs/>
              </w:rPr>
              <w:t>Key dates:</w:t>
            </w:r>
          </w:p>
          <w:p w14:paraId="3F0A1A76" w14:textId="3B20A766" w:rsidR="00F12D43" w:rsidRPr="0029324A" w:rsidRDefault="00F12D43" w:rsidP="00EB3F7F">
            <w:pPr>
              <w:pStyle w:val="NICEnormalsinglespacing"/>
            </w:pPr>
            <w:r w:rsidRPr="0029324A">
              <w:t>Closing date for comments: 28 September 2020</w:t>
            </w:r>
          </w:p>
          <w:p w14:paraId="01A5E86E" w14:textId="0D56609D" w:rsidR="00F12D43" w:rsidRPr="0029324A" w:rsidRDefault="00F12D43" w:rsidP="00EB3F7F">
            <w:pPr>
              <w:pStyle w:val="NICEnormalsinglespacing"/>
            </w:pPr>
            <w:r w:rsidRPr="0029324A">
              <w:t>Second diagnostics advisory committee meeting: 7 October 2020</w:t>
            </w:r>
          </w:p>
        </w:tc>
      </w:tr>
    </w:tbl>
    <w:p w14:paraId="20593626" w14:textId="77777777" w:rsidR="00091DC3" w:rsidRPr="0029324A" w:rsidRDefault="00091DC3" w:rsidP="00091DC3"/>
    <w:p w14:paraId="2BBF7D85" w14:textId="77777777" w:rsidR="00F0467D" w:rsidRPr="0029324A" w:rsidRDefault="00F0467D" w:rsidP="00F0467D">
      <w:pPr>
        <w:pStyle w:val="Numberedheading1"/>
      </w:pPr>
      <w:r w:rsidRPr="0029324A">
        <w:t>Recommendations</w:t>
      </w:r>
    </w:p>
    <w:p w14:paraId="0EDFA3D7" w14:textId="5CEFF937" w:rsidR="00091DC3" w:rsidRPr="0029324A" w:rsidRDefault="00E44130" w:rsidP="00F0467D">
      <w:pPr>
        <w:pStyle w:val="Numberedlevel2text"/>
      </w:pPr>
      <w:r w:rsidRPr="0029324A">
        <w:t xml:space="preserve">There is not enough evidence to recommend the routine use of the PredictSURE IBD and IBDX </w:t>
      </w:r>
      <w:r w:rsidR="000D1CCB" w:rsidRPr="0029324A">
        <w:t xml:space="preserve">tests </w:t>
      </w:r>
      <w:r w:rsidRPr="0029324A">
        <w:t>to help identify people at high risk of severe Crohn’s disease</w:t>
      </w:r>
      <w:r w:rsidR="0082330C" w:rsidRPr="0029324A">
        <w:t xml:space="preserve"> </w:t>
      </w:r>
      <w:r w:rsidR="00043FDA" w:rsidRPr="0029324A">
        <w:t xml:space="preserve">and </w:t>
      </w:r>
      <w:r w:rsidRPr="0029324A">
        <w:t xml:space="preserve">guide </w:t>
      </w:r>
      <w:r w:rsidR="00496E61" w:rsidRPr="0029324A">
        <w:t>treatment</w:t>
      </w:r>
      <w:r w:rsidRPr="0029324A">
        <w:t>.</w:t>
      </w:r>
    </w:p>
    <w:p w14:paraId="349D2CFF" w14:textId="66859C8F" w:rsidR="00091DC3" w:rsidRPr="0029324A" w:rsidRDefault="00863A98" w:rsidP="00F0467D">
      <w:pPr>
        <w:pStyle w:val="Numberedlevel2text"/>
      </w:pPr>
      <w:r w:rsidRPr="0029324A">
        <w:t>Further research is recommended</w:t>
      </w:r>
      <w:r w:rsidR="00F64C49" w:rsidRPr="0029324A">
        <w:t xml:space="preserve"> (see section 5)</w:t>
      </w:r>
      <w:r w:rsidRPr="0029324A">
        <w:t xml:space="preserve"> to:</w:t>
      </w:r>
    </w:p>
    <w:p w14:paraId="321FA83E" w14:textId="2F22C024" w:rsidR="00863A98" w:rsidRPr="0029324A" w:rsidRDefault="000037FF" w:rsidP="00863A98">
      <w:pPr>
        <w:pStyle w:val="Bulletindent1"/>
        <w:rPr>
          <w:lang w:val="en-GB"/>
        </w:rPr>
      </w:pPr>
      <w:r w:rsidRPr="0029324A">
        <w:rPr>
          <w:lang w:val="en-GB"/>
        </w:rPr>
        <w:t xml:space="preserve">assess </w:t>
      </w:r>
      <w:r w:rsidR="008131BA" w:rsidRPr="0029324A">
        <w:rPr>
          <w:lang w:val="en-GB"/>
        </w:rPr>
        <w:t xml:space="preserve">how accurate </w:t>
      </w:r>
      <w:r w:rsidR="00863A98" w:rsidRPr="0029324A">
        <w:rPr>
          <w:lang w:val="en-GB"/>
        </w:rPr>
        <w:t>the tests</w:t>
      </w:r>
      <w:r w:rsidR="008131BA" w:rsidRPr="0029324A">
        <w:rPr>
          <w:lang w:val="en-GB"/>
        </w:rPr>
        <w:t xml:space="preserve"> are for identifying a</w:t>
      </w:r>
      <w:r w:rsidRPr="0029324A">
        <w:rPr>
          <w:lang w:val="en-GB"/>
        </w:rPr>
        <w:t xml:space="preserve"> low or </w:t>
      </w:r>
      <w:r w:rsidR="0005575E" w:rsidRPr="0029324A">
        <w:rPr>
          <w:lang w:val="en-GB"/>
        </w:rPr>
        <w:t xml:space="preserve">high </w:t>
      </w:r>
      <w:r w:rsidRPr="0029324A">
        <w:rPr>
          <w:lang w:val="en-GB"/>
        </w:rPr>
        <w:t>risk of severe Crohn’s disease</w:t>
      </w:r>
    </w:p>
    <w:p w14:paraId="5C598FC1" w14:textId="6B5F6284" w:rsidR="00863A98" w:rsidRPr="0029324A" w:rsidRDefault="000037FF" w:rsidP="00863A98">
      <w:pPr>
        <w:pStyle w:val="Bulletindent1"/>
        <w:rPr>
          <w:lang w:val="en-GB"/>
        </w:rPr>
      </w:pPr>
      <w:r w:rsidRPr="0029324A">
        <w:rPr>
          <w:lang w:val="en-GB"/>
        </w:rPr>
        <w:t xml:space="preserve">understand </w:t>
      </w:r>
      <w:r w:rsidR="00D14264" w:rsidRPr="0029324A">
        <w:rPr>
          <w:lang w:val="en-GB"/>
        </w:rPr>
        <w:t xml:space="preserve">how the </w:t>
      </w:r>
      <w:r w:rsidR="00863A98" w:rsidRPr="0029324A">
        <w:rPr>
          <w:lang w:val="en-GB"/>
        </w:rPr>
        <w:t>test</w:t>
      </w:r>
      <w:r w:rsidR="00936ABE" w:rsidRPr="0029324A">
        <w:rPr>
          <w:lang w:val="en-GB"/>
        </w:rPr>
        <w:t>s</w:t>
      </w:r>
      <w:r w:rsidR="00863A98" w:rsidRPr="0029324A">
        <w:rPr>
          <w:lang w:val="en-GB"/>
        </w:rPr>
        <w:t xml:space="preserve"> </w:t>
      </w:r>
      <w:r w:rsidR="00D14264" w:rsidRPr="0029324A">
        <w:rPr>
          <w:lang w:val="en-GB"/>
        </w:rPr>
        <w:t>affect</w:t>
      </w:r>
      <w:r w:rsidR="00780AD8" w:rsidRPr="0029324A">
        <w:rPr>
          <w:lang w:val="en-GB"/>
        </w:rPr>
        <w:t xml:space="preserve"> decisions </w:t>
      </w:r>
      <w:r w:rsidR="00D14264" w:rsidRPr="0029324A">
        <w:rPr>
          <w:lang w:val="en-GB"/>
        </w:rPr>
        <w:t>about</w:t>
      </w:r>
      <w:r w:rsidR="00863A98" w:rsidRPr="0029324A">
        <w:rPr>
          <w:lang w:val="en-GB"/>
        </w:rPr>
        <w:t xml:space="preserve"> treatment</w:t>
      </w:r>
    </w:p>
    <w:p w14:paraId="0B2D1C76" w14:textId="37FB77D8" w:rsidR="0005575E" w:rsidRPr="0029324A" w:rsidRDefault="000037FF" w:rsidP="00143C03">
      <w:pPr>
        <w:pStyle w:val="Bulletindent1last"/>
      </w:pPr>
      <w:bookmarkStart w:id="0" w:name="_Hlk48152720"/>
      <w:r w:rsidRPr="0029324A">
        <w:t xml:space="preserve">assess </w:t>
      </w:r>
      <w:r w:rsidR="00D14264" w:rsidRPr="0029324A">
        <w:t>how</w:t>
      </w:r>
      <w:r w:rsidR="00863A98" w:rsidRPr="0029324A">
        <w:t xml:space="preserve"> the test</w:t>
      </w:r>
      <w:r w:rsidR="001B72AE" w:rsidRPr="0029324A">
        <w:t>s</w:t>
      </w:r>
      <w:r w:rsidR="00863A98" w:rsidRPr="0029324A">
        <w:t xml:space="preserve"> </w:t>
      </w:r>
      <w:r w:rsidR="00D14264" w:rsidRPr="0029324A">
        <w:t xml:space="preserve">affect </w:t>
      </w:r>
      <w:r w:rsidR="00863A98" w:rsidRPr="0029324A">
        <w:t>clinical outcomes</w:t>
      </w:r>
      <w:bookmarkEnd w:id="0"/>
      <w:r w:rsidR="00D14264" w:rsidRPr="0029324A">
        <w:t>.</w:t>
      </w:r>
    </w:p>
    <w:p w14:paraId="0CD40DD4" w14:textId="77777777" w:rsidR="00091DC3" w:rsidRPr="0029324A" w:rsidRDefault="00091DC3" w:rsidP="00327F0C">
      <w:pPr>
        <w:pStyle w:val="NICEnormal"/>
        <w:keepNext/>
        <w:rPr>
          <w:b/>
          <w:bCs/>
        </w:rPr>
      </w:pPr>
      <w:r w:rsidRPr="0029324A">
        <w:rPr>
          <w:b/>
          <w:bCs/>
        </w:rPr>
        <w:t>Why the committee made these recommendations</w:t>
      </w:r>
    </w:p>
    <w:p w14:paraId="4059D617" w14:textId="7D388B3E" w:rsidR="006039CC" w:rsidRPr="0029324A" w:rsidRDefault="009B6B60" w:rsidP="00D21641">
      <w:pPr>
        <w:pStyle w:val="NICEnormal"/>
      </w:pPr>
      <w:r w:rsidRPr="0029324A">
        <w:t xml:space="preserve">PredictSURE IBD and IBDX are tests that may be able to identify people at </w:t>
      </w:r>
      <w:r w:rsidR="004F4066" w:rsidRPr="0029324A">
        <w:t xml:space="preserve">high </w:t>
      </w:r>
      <w:r w:rsidRPr="0029324A">
        <w:t>risk</w:t>
      </w:r>
      <w:r w:rsidR="00C00C79" w:rsidRPr="0029324A">
        <w:t xml:space="preserve"> of</w:t>
      </w:r>
      <w:r w:rsidRPr="0029324A">
        <w:t xml:space="preserve"> severe Crohn’s disease. If</w:t>
      </w:r>
      <w:r w:rsidR="006039CC" w:rsidRPr="0029324A">
        <w:t xml:space="preserve"> people </w:t>
      </w:r>
      <w:r w:rsidRPr="0029324A">
        <w:t>can be identified in this way, clinicians could</w:t>
      </w:r>
      <w:r w:rsidR="0082330C" w:rsidRPr="0029324A">
        <w:t xml:space="preserve"> </w:t>
      </w:r>
      <w:r w:rsidR="0082330C" w:rsidRPr="0029324A">
        <w:lastRenderedPageBreak/>
        <w:t>offer the most appropriate treatment to control symptoms while minimising side effects</w:t>
      </w:r>
      <w:r w:rsidR="000556D2" w:rsidRPr="0029324A">
        <w:t xml:space="preserve">. </w:t>
      </w:r>
      <w:r w:rsidR="00043FDA" w:rsidRPr="0029324A">
        <w:t>‘T</w:t>
      </w:r>
      <w:r w:rsidR="000556D2" w:rsidRPr="0029324A">
        <w:t xml:space="preserve">op-down’ </w:t>
      </w:r>
      <w:r w:rsidR="005A41A5" w:rsidRPr="0029324A">
        <w:t>treatment has been suggested to be more effective for people with severe Crohn’s disease.</w:t>
      </w:r>
      <w:r w:rsidR="000556D2" w:rsidRPr="0029324A">
        <w:t xml:space="preserve"> </w:t>
      </w:r>
      <w:r w:rsidR="005A41A5" w:rsidRPr="0029324A">
        <w:t>This</w:t>
      </w:r>
      <w:r w:rsidR="000556D2" w:rsidRPr="0029324A">
        <w:t xml:space="preserve"> reverses the standard order of treatment, starting with biologic</w:t>
      </w:r>
      <w:r w:rsidR="005D03E1" w:rsidRPr="0029324A">
        <w:t>al</w:t>
      </w:r>
      <w:r w:rsidR="000556D2" w:rsidRPr="0029324A">
        <w:t xml:space="preserve"> therapies such as tumour necrosis factor (TNF)-alpha inhibitors</w:t>
      </w:r>
      <w:r w:rsidR="00C56A5B" w:rsidRPr="0029324A">
        <w:t>.</w:t>
      </w:r>
      <w:r w:rsidR="00EA3909" w:rsidRPr="0029324A">
        <w:t xml:space="preserve"> </w:t>
      </w:r>
    </w:p>
    <w:p w14:paraId="7F66CEB9" w14:textId="58FC21F9" w:rsidR="00502608" w:rsidRPr="0029324A" w:rsidRDefault="0082330C" w:rsidP="00D21641">
      <w:pPr>
        <w:pStyle w:val="NICEnormal"/>
      </w:pPr>
      <w:r w:rsidRPr="0029324A">
        <w:t xml:space="preserve">The clinical </w:t>
      </w:r>
      <w:r w:rsidR="00502608" w:rsidRPr="0029324A">
        <w:t>evidence</w:t>
      </w:r>
      <w:r w:rsidRPr="0029324A">
        <w:t xml:space="preserve"> for the tests</w:t>
      </w:r>
      <w:r w:rsidR="00502608" w:rsidRPr="0029324A">
        <w:t xml:space="preserve"> </w:t>
      </w:r>
      <w:r w:rsidRPr="0029324A">
        <w:t xml:space="preserve">comes from only a small </w:t>
      </w:r>
      <w:r w:rsidR="00502608" w:rsidRPr="0029324A">
        <w:t>number of people</w:t>
      </w:r>
      <w:r w:rsidRPr="0029324A">
        <w:t>, which</w:t>
      </w:r>
      <w:r w:rsidR="00502608" w:rsidRPr="0029324A">
        <w:t xml:space="preserve"> does not give confidence in the results reported. </w:t>
      </w:r>
      <w:proofErr w:type="gramStart"/>
      <w:r w:rsidR="00595813" w:rsidRPr="0029324A">
        <w:t>Ther</w:t>
      </w:r>
      <w:r w:rsidR="009B6B60" w:rsidRPr="0029324A">
        <w:t>e</w:t>
      </w:r>
      <w:r w:rsidRPr="0029324A">
        <w:t>’s</w:t>
      </w:r>
      <w:proofErr w:type="gramEnd"/>
      <w:r w:rsidRPr="0029324A">
        <w:t xml:space="preserve"> </w:t>
      </w:r>
      <w:r w:rsidR="00595813" w:rsidRPr="0029324A">
        <w:t xml:space="preserve">also </w:t>
      </w:r>
      <w:r w:rsidRPr="0029324A">
        <w:t xml:space="preserve">not much </w:t>
      </w:r>
      <w:r w:rsidR="00595813" w:rsidRPr="0029324A">
        <w:t xml:space="preserve">evidence on </w:t>
      </w:r>
      <w:r w:rsidR="00496E61" w:rsidRPr="0029324A">
        <w:t>how</w:t>
      </w:r>
      <w:r w:rsidRPr="0029324A">
        <w:t xml:space="preserve"> effective </w:t>
      </w:r>
      <w:r w:rsidR="008F1ED8" w:rsidRPr="0029324A">
        <w:t xml:space="preserve">top-down </w:t>
      </w:r>
      <w:r w:rsidR="00595813" w:rsidRPr="0029324A">
        <w:t xml:space="preserve">treatment </w:t>
      </w:r>
      <w:r w:rsidR="009B6B60" w:rsidRPr="0029324A">
        <w:t xml:space="preserve">is </w:t>
      </w:r>
      <w:r w:rsidR="00595813" w:rsidRPr="0029324A">
        <w:t xml:space="preserve">in people who would be classified as high risk using the test, particularly in the </w:t>
      </w:r>
      <w:r w:rsidR="00C41C71" w:rsidRPr="0029324A">
        <w:t xml:space="preserve">NHS </w:t>
      </w:r>
      <w:r w:rsidR="008F1ED8" w:rsidRPr="0029324A">
        <w:t>where it is not standard practice</w:t>
      </w:r>
      <w:r w:rsidR="00E21AE7" w:rsidRPr="0029324A">
        <w:t>.</w:t>
      </w:r>
    </w:p>
    <w:p w14:paraId="74974D44" w14:textId="2A9F5301" w:rsidR="00E21AE7" w:rsidRPr="0029324A" w:rsidRDefault="00E0048F" w:rsidP="00D21641">
      <w:pPr>
        <w:pStyle w:val="NICEnormal"/>
      </w:pPr>
      <w:r w:rsidRPr="0029324A">
        <w:t xml:space="preserve">Because of this, </w:t>
      </w:r>
      <w:r w:rsidR="00E21AE7" w:rsidRPr="0029324A">
        <w:t>the cost</w:t>
      </w:r>
      <w:r w:rsidR="006C30E8" w:rsidRPr="0029324A">
        <w:t>-</w:t>
      </w:r>
      <w:r w:rsidR="00E21AE7" w:rsidRPr="0029324A">
        <w:t>effectiveness estimates</w:t>
      </w:r>
      <w:r w:rsidRPr="0029324A">
        <w:t xml:space="preserve"> are very </w:t>
      </w:r>
      <w:proofErr w:type="gramStart"/>
      <w:r w:rsidRPr="0029324A">
        <w:t>uncertain</w:t>
      </w:r>
      <w:proofErr w:type="gramEnd"/>
      <w:r w:rsidR="00F14639" w:rsidRPr="0029324A">
        <w:t xml:space="preserve"> and more research is needed</w:t>
      </w:r>
      <w:r w:rsidRPr="0029324A">
        <w:t xml:space="preserve">. </w:t>
      </w:r>
      <w:r w:rsidR="002E1E65" w:rsidRPr="0029324A">
        <w:t xml:space="preserve">Therefore, these tests are not recommended for routine use </w:t>
      </w:r>
      <w:r w:rsidR="00C41C71" w:rsidRPr="0029324A">
        <w:t xml:space="preserve">in </w:t>
      </w:r>
      <w:r w:rsidR="002E1E65" w:rsidRPr="0029324A">
        <w:t>the NHS.</w:t>
      </w:r>
    </w:p>
    <w:p w14:paraId="6781DCB1" w14:textId="77777777" w:rsidR="00091DC3" w:rsidRPr="0029324A" w:rsidRDefault="00091DC3" w:rsidP="00F0467D">
      <w:pPr>
        <w:pStyle w:val="Numberedheading1"/>
      </w:pPr>
      <w:r w:rsidRPr="0029324A">
        <w:t>The diagnostic tests</w:t>
      </w:r>
    </w:p>
    <w:p w14:paraId="7BFC6DA1" w14:textId="77777777" w:rsidR="00091DC3" w:rsidRPr="0029324A" w:rsidRDefault="00091DC3" w:rsidP="00623644">
      <w:pPr>
        <w:pStyle w:val="Heading2"/>
      </w:pPr>
      <w:r w:rsidRPr="0029324A">
        <w:t>Clinical need and practice</w:t>
      </w:r>
    </w:p>
    <w:p w14:paraId="2E379DA7" w14:textId="3356D6B3" w:rsidR="00375DD7" w:rsidRPr="0029324A" w:rsidRDefault="0023741C" w:rsidP="00F0467D">
      <w:pPr>
        <w:pStyle w:val="Numberedlevel2text"/>
      </w:pPr>
      <w:r w:rsidRPr="0029324A">
        <w:t>Crohn’s disease is a chronic condition that causes inflammation of the gastrointestinal tract, particularly the large intestine and the last section of the small intestine</w:t>
      </w:r>
      <w:r w:rsidR="00375DD7" w:rsidRPr="0029324A">
        <w:t xml:space="preserve">. </w:t>
      </w:r>
      <w:r w:rsidR="00AC1AFB" w:rsidRPr="0029324A">
        <w:t>This condition is characterised by recurring periods of active symptoms (flares)</w:t>
      </w:r>
      <w:r w:rsidR="001C4396" w:rsidRPr="0029324A">
        <w:t>. A</w:t>
      </w:r>
      <w:r w:rsidR="00AC1AFB" w:rsidRPr="0029324A">
        <w:t xml:space="preserve">t other times health is generally good (remission). </w:t>
      </w:r>
      <w:r w:rsidR="001C4396" w:rsidRPr="0029324A">
        <w:t xml:space="preserve">According to </w:t>
      </w:r>
      <w:hyperlink r:id="rId10" w:history="1">
        <w:r w:rsidR="001C4396" w:rsidRPr="0029324A">
          <w:rPr>
            <w:rStyle w:val="Hyperlink"/>
          </w:rPr>
          <w:t>Crohn’s &amp; Colitis UK</w:t>
        </w:r>
      </w:hyperlink>
      <w:r w:rsidR="001C4396" w:rsidRPr="0029324A">
        <w:t xml:space="preserve">, </w:t>
      </w:r>
      <w:r w:rsidR="00187209" w:rsidRPr="0029324A">
        <w:t>1</w:t>
      </w:r>
      <w:r w:rsidR="00187209" w:rsidRPr="0029324A">
        <w:rPr>
          <w:bCs w:val="0"/>
          <w:iCs w:val="0"/>
        </w:rPr>
        <w:t xml:space="preserve"> in every 650</w:t>
      </w:r>
      <w:r w:rsidR="00AC1AFB" w:rsidRPr="0029324A">
        <w:t xml:space="preserve"> people in the UK is affected by Crohn’s disease. </w:t>
      </w:r>
      <w:r w:rsidR="00375DD7" w:rsidRPr="0029324A">
        <w:t>Complications of Crohn’s disease include intestinal strictures (narrowing of the affected area of the intestine), fistulas (ulceration of the lining of the gastrointestinal tract)</w:t>
      </w:r>
      <w:r w:rsidR="00243A8D" w:rsidRPr="0029324A">
        <w:t xml:space="preserve"> and </w:t>
      </w:r>
      <w:r w:rsidR="00375DD7" w:rsidRPr="0029324A">
        <w:t>perforation</w:t>
      </w:r>
      <w:r w:rsidR="00243A8D" w:rsidRPr="0029324A">
        <w:t>. Children may also have</w:t>
      </w:r>
      <w:r w:rsidR="00375DD7" w:rsidRPr="0029324A">
        <w:t xml:space="preserve"> growth problems</w:t>
      </w:r>
      <w:r w:rsidR="00243A8D" w:rsidRPr="0029324A">
        <w:t xml:space="preserve"> </w:t>
      </w:r>
      <w:r w:rsidR="00375DD7" w:rsidRPr="0029324A">
        <w:t>due to poor absorption of nutrients.</w:t>
      </w:r>
    </w:p>
    <w:p w14:paraId="10E55677" w14:textId="7E88766B" w:rsidR="0023741C" w:rsidRPr="0029324A" w:rsidRDefault="00A61F0F" w:rsidP="00F0467D">
      <w:pPr>
        <w:pStyle w:val="Numberedlevel2text"/>
      </w:pPr>
      <w:r w:rsidRPr="0029324A">
        <w:t xml:space="preserve">The disease course </w:t>
      </w:r>
      <w:r w:rsidR="00187209" w:rsidRPr="0029324A">
        <w:t>varies a lot from person to person</w:t>
      </w:r>
      <w:r w:rsidRPr="0029324A">
        <w:t xml:space="preserve">. Some people are at a higher risk of more frequent flares and relapses </w:t>
      </w:r>
      <w:r w:rsidR="00187209" w:rsidRPr="0029324A">
        <w:t>that</w:t>
      </w:r>
      <w:r w:rsidRPr="0029324A">
        <w:t xml:space="preserve"> do not respond to standard drug </w:t>
      </w:r>
      <w:r w:rsidR="009C1E0E" w:rsidRPr="0029324A">
        <w:t>treatment</w:t>
      </w:r>
      <w:r w:rsidR="0056145B" w:rsidRPr="0029324A">
        <w:t>. I</w:t>
      </w:r>
      <w:r w:rsidRPr="0029324A">
        <w:t>n the long term</w:t>
      </w:r>
      <w:r w:rsidR="0056145B" w:rsidRPr="0029324A">
        <w:t xml:space="preserve">, </w:t>
      </w:r>
      <w:r w:rsidR="00187209" w:rsidRPr="0029324A">
        <w:t xml:space="preserve">they </w:t>
      </w:r>
      <w:r w:rsidRPr="0029324A">
        <w:t>may be at a</w:t>
      </w:r>
      <w:r w:rsidR="00187209" w:rsidRPr="0029324A">
        <w:t xml:space="preserve"> higher</w:t>
      </w:r>
      <w:r w:rsidRPr="0029324A">
        <w:t xml:space="preserve"> risk of developing complications and may need surgery.</w:t>
      </w:r>
    </w:p>
    <w:p w14:paraId="01A89290" w14:textId="1B346AC9" w:rsidR="00944645" w:rsidRPr="0029324A" w:rsidRDefault="005E1C04" w:rsidP="00F0467D">
      <w:pPr>
        <w:pStyle w:val="Numberedlevel2text"/>
      </w:pPr>
      <w:r w:rsidRPr="0029324A">
        <w:lastRenderedPageBreak/>
        <w:t>Crohn’s disease has no cure. The</w:t>
      </w:r>
      <w:r w:rsidR="00A61F0F" w:rsidRPr="0029324A">
        <w:t xml:space="preserve"> goal of </w:t>
      </w:r>
      <w:r w:rsidR="009C1E0E" w:rsidRPr="0029324A">
        <w:t>treatment</w:t>
      </w:r>
      <w:r w:rsidR="00A61F0F" w:rsidRPr="0029324A">
        <w:t xml:space="preserve"> is to induce remission by controlling symptoms</w:t>
      </w:r>
      <w:r w:rsidR="00944645" w:rsidRPr="0029324A">
        <w:t xml:space="preserve"> and maintain remission to prevent relapse</w:t>
      </w:r>
      <w:r w:rsidR="00A61F0F" w:rsidRPr="0029324A">
        <w:t xml:space="preserve">. Current standard care </w:t>
      </w:r>
      <w:r w:rsidR="00804266" w:rsidRPr="0029324A">
        <w:t xml:space="preserve">is </w:t>
      </w:r>
      <w:r w:rsidR="00A61F0F" w:rsidRPr="0029324A">
        <w:t>a ‘step</w:t>
      </w:r>
      <w:r w:rsidR="00327EE4" w:rsidRPr="0029324A">
        <w:t>-</w:t>
      </w:r>
      <w:r w:rsidR="00A61F0F" w:rsidRPr="0029324A">
        <w:t>up’ strategy</w:t>
      </w:r>
      <w:r w:rsidR="00187209" w:rsidRPr="0029324A">
        <w:t>,</w:t>
      </w:r>
      <w:r w:rsidR="00A61F0F" w:rsidRPr="0029324A">
        <w:t xml:space="preserve"> </w:t>
      </w:r>
      <w:r w:rsidR="00187209" w:rsidRPr="0029324A">
        <w:t>which</w:t>
      </w:r>
      <w:r w:rsidR="00A61F0F" w:rsidRPr="0029324A">
        <w:t xml:space="preserve"> starts with corticosteroids, then immunosuppressants, then biological therapies if the disease does not respond, or loses response, to treatment.</w:t>
      </w:r>
      <w:r w:rsidR="00944645" w:rsidRPr="0029324A">
        <w:t xml:space="preserve"> </w:t>
      </w:r>
      <w:hyperlink r:id="rId11" w:history="1">
        <w:r w:rsidR="005B18F7" w:rsidRPr="0029324A">
          <w:rPr>
            <w:rStyle w:val="Hyperlink"/>
          </w:rPr>
          <w:t>NICE’s guideline on Crohn’s disease</w:t>
        </w:r>
      </w:hyperlink>
      <w:r w:rsidR="00944645" w:rsidRPr="0029324A">
        <w:t xml:space="preserve"> covers the management of Crohn’s disease in children, young people and adults</w:t>
      </w:r>
      <w:r w:rsidR="00187209" w:rsidRPr="0029324A">
        <w:t xml:space="preserve"> and recommends</w:t>
      </w:r>
      <w:r w:rsidR="00944645" w:rsidRPr="0029324A">
        <w:t xml:space="preserve"> the </w:t>
      </w:r>
      <w:r w:rsidR="00327EE4" w:rsidRPr="0029324A">
        <w:t>‘</w:t>
      </w:r>
      <w:r w:rsidR="00944645" w:rsidRPr="0029324A">
        <w:t>step</w:t>
      </w:r>
      <w:r w:rsidR="00327EE4" w:rsidRPr="0029324A">
        <w:t>-</w:t>
      </w:r>
      <w:r w:rsidR="00944645" w:rsidRPr="0029324A">
        <w:t>up</w:t>
      </w:r>
      <w:r w:rsidR="00327EE4" w:rsidRPr="0029324A">
        <w:t>’</w:t>
      </w:r>
      <w:r w:rsidR="00944645" w:rsidRPr="0029324A">
        <w:t xml:space="preserve"> </w:t>
      </w:r>
      <w:r w:rsidR="00603D99" w:rsidRPr="0029324A">
        <w:t>strategy</w:t>
      </w:r>
      <w:r w:rsidR="00944645" w:rsidRPr="0029324A">
        <w:t>.</w:t>
      </w:r>
      <w:r w:rsidR="00603D99" w:rsidRPr="0029324A">
        <w:t xml:space="preserve"> </w:t>
      </w:r>
      <w:r w:rsidR="00187209" w:rsidRPr="0029324A">
        <w:t>S</w:t>
      </w:r>
      <w:r w:rsidR="00603D99" w:rsidRPr="0029324A">
        <w:t xml:space="preserve">tep-up </w:t>
      </w:r>
      <w:r w:rsidR="009C1E0E" w:rsidRPr="0029324A">
        <w:t>treatment</w:t>
      </w:r>
      <w:r w:rsidR="00603D99" w:rsidRPr="0029324A">
        <w:t xml:space="preserve"> involves multiple courses of steroids before</w:t>
      </w:r>
      <w:r w:rsidR="00187209" w:rsidRPr="0029324A">
        <w:t xml:space="preserve"> changing to a stronger</w:t>
      </w:r>
      <w:r w:rsidR="00603D99" w:rsidRPr="0029324A">
        <w:t xml:space="preserve"> treatment</w:t>
      </w:r>
      <w:r w:rsidR="00187209" w:rsidRPr="0029324A">
        <w:t>.</w:t>
      </w:r>
      <w:r w:rsidR="00603D99" w:rsidRPr="0029324A">
        <w:t xml:space="preserve"> ‘</w:t>
      </w:r>
      <w:r w:rsidR="00187209" w:rsidRPr="0029324A">
        <w:t>A</w:t>
      </w:r>
      <w:r w:rsidR="00603D99" w:rsidRPr="0029324A">
        <w:t>ccelerated step</w:t>
      </w:r>
      <w:r w:rsidR="00187209" w:rsidRPr="0029324A">
        <w:t>-</w:t>
      </w:r>
      <w:r w:rsidR="00603D99" w:rsidRPr="0029324A">
        <w:t xml:space="preserve">up’ </w:t>
      </w:r>
      <w:r w:rsidR="009C1E0E" w:rsidRPr="0029324A">
        <w:t>treatment</w:t>
      </w:r>
      <w:r w:rsidR="00603D99" w:rsidRPr="0029324A">
        <w:t xml:space="preserve"> involves rapid</w:t>
      </w:r>
      <w:r w:rsidR="00187209" w:rsidRPr="0029324A">
        <w:t xml:space="preserve">ly changing to stronger treatments if the expected </w:t>
      </w:r>
      <w:r w:rsidR="00603D99" w:rsidRPr="0029324A">
        <w:t xml:space="preserve">response is </w:t>
      </w:r>
      <w:r w:rsidR="00187209" w:rsidRPr="0029324A">
        <w:t xml:space="preserve">not </w:t>
      </w:r>
      <w:r w:rsidR="00603D99" w:rsidRPr="0029324A">
        <w:t xml:space="preserve">seen </w:t>
      </w:r>
      <w:r w:rsidR="00187209" w:rsidRPr="0029324A">
        <w:t>in the</w:t>
      </w:r>
      <w:r w:rsidR="00603D99" w:rsidRPr="0029324A">
        <w:t xml:space="preserve"> time frame. Adequate response can be defined as </w:t>
      </w:r>
      <w:r w:rsidR="00804266" w:rsidRPr="0029324A">
        <w:t>no</w:t>
      </w:r>
      <w:r w:rsidR="00603D99" w:rsidRPr="0029324A">
        <w:t xml:space="preserve"> clinical symptoms</w:t>
      </w:r>
      <w:r w:rsidR="00804266" w:rsidRPr="0029324A">
        <w:t>,</w:t>
      </w:r>
      <w:r w:rsidR="00603D99" w:rsidRPr="0029324A">
        <w:t xml:space="preserve"> no signs of ongoing inflammation</w:t>
      </w:r>
      <w:r w:rsidR="00804266" w:rsidRPr="0029324A">
        <w:t>, or both</w:t>
      </w:r>
      <w:r w:rsidR="00603D99" w:rsidRPr="0029324A">
        <w:t>.</w:t>
      </w:r>
    </w:p>
    <w:p w14:paraId="320D9DAF" w14:textId="7D42C8AC" w:rsidR="00C162BF" w:rsidRPr="0029324A" w:rsidRDefault="00A61F0F" w:rsidP="00F0467D">
      <w:pPr>
        <w:pStyle w:val="Numberedlevel2text"/>
      </w:pPr>
      <w:r w:rsidRPr="0029324A">
        <w:t>An alternative approach not currently recommended as standard care is the ‘top</w:t>
      </w:r>
      <w:r w:rsidR="00210576" w:rsidRPr="0029324A">
        <w:t>-</w:t>
      </w:r>
      <w:r w:rsidRPr="0029324A">
        <w:t>down’ strategy</w:t>
      </w:r>
      <w:r w:rsidR="00804266" w:rsidRPr="0029324A">
        <w:t>,</w:t>
      </w:r>
      <w:r w:rsidRPr="0029324A">
        <w:t xml:space="preserve"> which reverses the order of treatment in the step-up strategy</w:t>
      </w:r>
      <w:r w:rsidR="00E13A03" w:rsidRPr="0029324A">
        <w:t>, starting with biologic</w:t>
      </w:r>
      <w:r w:rsidR="005D03E1" w:rsidRPr="0029324A">
        <w:t>s</w:t>
      </w:r>
      <w:r w:rsidR="00804266" w:rsidRPr="0029324A">
        <w:t xml:space="preserve"> </w:t>
      </w:r>
      <w:r w:rsidR="00E13A03" w:rsidRPr="0029324A">
        <w:t>such as tumour necrosis factor (TNF)-alpha inhibitors</w:t>
      </w:r>
      <w:r w:rsidRPr="0029324A">
        <w:t xml:space="preserve">. </w:t>
      </w:r>
      <w:r w:rsidR="002D0371" w:rsidRPr="0029324A">
        <w:t>It has been suggested that f</w:t>
      </w:r>
      <w:r w:rsidR="00595813" w:rsidRPr="0029324A">
        <w:t xml:space="preserve">or some </w:t>
      </w:r>
      <w:r w:rsidR="00804266" w:rsidRPr="0029324A">
        <w:t xml:space="preserve">people </w:t>
      </w:r>
      <w:r w:rsidR="00595813" w:rsidRPr="0029324A">
        <w:t>with Crohn’s disease, t</w:t>
      </w:r>
      <w:r w:rsidR="002070AA" w:rsidRPr="0029324A">
        <w:t>he top</w:t>
      </w:r>
      <w:r w:rsidR="00210576" w:rsidRPr="0029324A">
        <w:t>-</w:t>
      </w:r>
      <w:r w:rsidR="002070AA" w:rsidRPr="0029324A">
        <w:t>down strategy c</w:t>
      </w:r>
      <w:r w:rsidR="00E34818" w:rsidRPr="0029324A">
        <w:t>ould achieve a faster and higher rate of mucosal healing</w:t>
      </w:r>
      <w:r w:rsidR="00804266" w:rsidRPr="0029324A">
        <w:t xml:space="preserve">. This could </w:t>
      </w:r>
      <w:r w:rsidR="00E34818" w:rsidRPr="0029324A">
        <w:t>potential</w:t>
      </w:r>
      <w:r w:rsidR="00804266" w:rsidRPr="0029324A">
        <w:t>ly</w:t>
      </w:r>
      <w:r w:rsidR="00E34818" w:rsidRPr="0029324A">
        <w:t xml:space="preserve"> modify the natural </w:t>
      </w:r>
      <w:r w:rsidR="00804266" w:rsidRPr="0029324A">
        <w:t xml:space="preserve">disease </w:t>
      </w:r>
      <w:r w:rsidR="00E34818" w:rsidRPr="0029324A">
        <w:t>course</w:t>
      </w:r>
      <w:r w:rsidR="00804266" w:rsidRPr="0029324A">
        <w:t xml:space="preserve"> and </w:t>
      </w:r>
      <w:r w:rsidR="002070AA" w:rsidRPr="0029324A">
        <w:t>allow people</w:t>
      </w:r>
      <w:r w:rsidR="0077311D" w:rsidRPr="0029324A">
        <w:t xml:space="preserve"> with </w:t>
      </w:r>
      <w:r w:rsidR="00DA77BB" w:rsidRPr="0029324A">
        <w:t>severe</w:t>
      </w:r>
      <w:r w:rsidR="0077311D" w:rsidRPr="0029324A">
        <w:t xml:space="preserve"> disease </w:t>
      </w:r>
      <w:r w:rsidR="00804266" w:rsidRPr="0029324A">
        <w:t xml:space="preserve">to </w:t>
      </w:r>
      <w:r w:rsidR="0077311D" w:rsidRPr="0029324A">
        <w:t>control</w:t>
      </w:r>
      <w:r w:rsidR="00804266" w:rsidRPr="0029324A">
        <w:t xml:space="preserve"> </w:t>
      </w:r>
      <w:r w:rsidR="00DA77BB" w:rsidRPr="0029324A">
        <w:t>it better</w:t>
      </w:r>
      <w:r w:rsidR="00566432" w:rsidRPr="0029324A">
        <w:t>.</w:t>
      </w:r>
      <w:r w:rsidR="002070AA" w:rsidRPr="0029324A">
        <w:t xml:space="preserve"> </w:t>
      </w:r>
      <w:r w:rsidRPr="0029324A">
        <w:t>Biologics are more clinically effective but</w:t>
      </w:r>
      <w:r w:rsidR="00804266" w:rsidRPr="0029324A">
        <w:t xml:space="preserve"> also</w:t>
      </w:r>
      <w:r w:rsidR="00243A8D" w:rsidRPr="0029324A">
        <w:t xml:space="preserve"> associated with</w:t>
      </w:r>
      <w:r w:rsidRPr="0029324A">
        <w:t xml:space="preserve"> more side effects.</w:t>
      </w:r>
    </w:p>
    <w:p w14:paraId="3B602385" w14:textId="06404389" w:rsidR="00A61F0F" w:rsidRPr="0029324A" w:rsidRDefault="00A61F0F" w:rsidP="00F0467D">
      <w:pPr>
        <w:pStyle w:val="Numberedlevel2text"/>
      </w:pPr>
      <w:r w:rsidRPr="0029324A">
        <w:t xml:space="preserve">Neither </w:t>
      </w:r>
      <w:r w:rsidR="00FC32E4" w:rsidRPr="0029324A">
        <w:t xml:space="preserve">the </w:t>
      </w:r>
      <w:r w:rsidR="00C162BF" w:rsidRPr="0029324A">
        <w:t>step</w:t>
      </w:r>
      <w:r w:rsidR="008D4315" w:rsidRPr="0029324A">
        <w:t>-</w:t>
      </w:r>
      <w:r w:rsidR="00C162BF" w:rsidRPr="0029324A">
        <w:t xml:space="preserve">up </w:t>
      </w:r>
      <w:r w:rsidR="00384E85" w:rsidRPr="0029324A">
        <w:t>n</w:t>
      </w:r>
      <w:r w:rsidR="00C162BF" w:rsidRPr="0029324A">
        <w:t xml:space="preserve">or </w:t>
      </w:r>
      <w:r w:rsidR="00FC32E4" w:rsidRPr="0029324A">
        <w:t xml:space="preserve">the </w:t>
      </w:r>
      <w:r w:rsidR="00C162BF" w:rsidRPr="0029324A">
        <w:t>top</w:t>
      </w:r>
      <w:r w:rsidR="00210576" w:rsidRPr="0029324A">
        <w:t>-</w:t>
      </w:r>
      <w:r w:rsidR="00C162BF" w:rsidRPr="0029324A">
        <w:t xml:space="preserve">down </w:t>
      </w:r>
      <w:r w:rsidRPr="0029324A">
        <w:t xml:space="preserve">approach </w:t>
      </w:r>
      <w:proofErr w:type="gramStart"/>
      <w:r w:rsidRPr="0029324A">
        <w:t>are</w:t>
      </w:r>
      <w:proofErr w:type="gramEnd"/>
      <w:r w:rsidRPr="0029324A">
        <w:t xml:space="preserve"> suitable for all </w:t>
      </w:r>
      <w:r w:rsidR="00D67E41" w:rsidRPr="0029324A">
        <w:t xml:space="preserve">people with </w:t>
      </w:r>
      <w:r w:rsidRPr="0029324A">
        <w:t>Crohn’s disease. Clinicians in specialist centres may offer the top</w:t>
      </w:r>
      <w:r w:rsidR="00D67E41" w:rsidRPr="0029324A">
        <w:t>-</w:t>
      </w:r>
      <w:r w:rsidRPr="0029324A">
        <w:t xml:space="preserve">down strategy to people </w:t>
      </w:r>
      <w:r w:rsidR="00D67E41" w:rsidRPr="0029324A">
        <w:t xml:space="preserve">if at diagnosis they consider them </w:t>
      </w:r>
      <w:r w:rsidRPr="0029324A">
        <w:t xml:space="preserve">to have </w:t>
      </w:r>
      <w:r w:rsidR="00D67E41" w:rsidRPr="0029324A">
        <w:t xml:space="preserve">a </w:t>
      </w:r>
      <w:r w:rsidRPr="0029324A">
        <w:t>poor prognosis</w:t>
      </w:r>
      <w:r w:rsidR="00D67E41" w:rsidRPr="0029324A">
        <w:t xml:space="preserve"> </w:t>
      </w:r>
      <w:r w:rsidR="00243A8D" w:rsidRPr="0029324A">
        <w:t>(</w:t>
      </w:r>
      <w:r w:rsidR="00944645" w:rsidRPr="0029324A">
        <w:t xml:space="preserve">for example, </w:t>
      </w:r>
      <w:r w:rsidR="00D67E41" w:rsidRPr="0029324A">
        <w:t>if they have</w:t>
      </w:r>
      <w:r w:rsidR="00944645" w:rsidRPr="0029324A">
        <w:t xml:space="preserve"> significant fistulising disease</w:t>
      </w:r>
      <w:r w:rsidR="00D67E41" w:rsidRPr="0029324A">
        <w:t>,</w:t>
      </w:r>
      <w:r w:rsidR="00944645" w:rsidRPr="0029324A">
        <w:t xml:space="preserve"> complex perianal </w:t>
      </w:r>
      <w:proofErr w:type="gramStart"/>
      <w:r w:rsidR="00944645" w:rsidRPr="0029324A">
        <w:t>disease</w:t>
      </w:r>
      <w:proofErr w:type="gramEnd"/>
      <w:r w:rsidR="00944645" w:rsidRPr="0029324A">
        <w:t xml:space="preserve"> or multiple risk factors</w:t>
      </w:r>
      <w:r w:rsidR="00243A8D" w:rsidRPr="0029324A">
        <w:t>)</w:t>
      </w:r>
      <w:r w:rsidRPr="0029324A">
        <w:t>.</w:t>
      </w:r>
      <w:r w:rsidR="00944645" w:rsidRPr="0029324A">
        <w:t xml:space="preserve"> </w:t>
      </w:r>
      <w:r w:rsidRPr="0029324A">
        <w:t xml:space="preserve">Being able to predict the course of the disease </w:t>
      </w:r>
      <w:r w:rsidR="00595813" w:rsidRPr="0029324A">
        <w:t xml:space="preserve">could </w:t>
      </w:r>
      <w:r w:rsidRPr="0029324A">
        <w:t>enable the clinician</w:t>
      </w:r>
      <w:r w:rsidR="00FC32E4" w:rsidRPr="0029324A">
        <w:t xml:space="preserve"> to</w:t>
      </w:r>
      <w:r w:rsidRPr="0029324A">
        <w:t xml:space="preserve"> identify people who </w:t>
      </w:r>
      <w:r w:rsidR="00595813" w:rsidRPr="0029324A">
        <w:t xml:space="preserve">may </w:t>
      </w:r>
      <w:r w:rsidRPr="0029324A">
        <w:t>benefit from</w:t>
      </w:r>
      <w:r w:rsidR="00ED2DEE" w:rsidRPr="0029324A">
        <w:t xml:space="preserve"> the top-down strategy, that is,</w:t>
      </w:r>
      <w:r w:rsidRPr="0029324A">
        <w:t xml:space="preserve"> early treatment</w:t>
      </w:r>
      <w:r w:rsidR="00566432" w:rsidRPr="0029324A">
        <w:t xml:space="preserve"> with biologics</w:t>
      </w:r>
      <w:r w:rsidRPr="0029324A">
        <w:t>. There is</w:t>
      </w:r>
      <w:r w:rsidR="003362B4" w:rsidRPr="0029324A">
        <w:t xml:space="preserve"> currently</w:t>
      </w:r>
      <w:r w:rsidRPr="0029324A">
        <w:t xml:space="preserve"> no standard means of </w:t>
      </w:r>
      <w:r w:rsidR="00CC374C" w:rsidRPr="0029324A">
        <w:t xml:space="preserve">categorising </w:t>
      </w:r>
      <w:r w:rsidRPr="0029324A">
        <w:t>people based on their risk of having severe disease.</w:t>
      </w:r>
    </w:p>
    <w:p w14:paraId="6B6504CC" w14:textId="7A4259E1" w:rsidR="00A61F0F" w:rsidRPr="0029324A" w:rsidRDefault="00A61F0F" w:rsidP="00912C0F">
      <w:pPr>
        <w:pStyle w:val="Numberedlevel2text"/>
      </w:pPr>
      <w:r w:rsidRPr="0029324A">
        <w:lastRenderedPageBreak/>
        <w:t xml:space="preserve">PredictSURE IBD and IBDX tests </w:t>
      </w:r>
      <w:r w:rsidR="00DA77BB" w:rsidRPr="0029324A">
        <w:t>could</w:t>
      </w:r>
      <w:r w:rsidR="003362B4" w:rsidRPr="0029324A">
        <w:t xml:space="preserve"> </w:t>
      </w:r>
      <w:bookmarkStart w:id="1" w:name="_Hlk47620188"/>
      <w:r w:rsidRPr="0029324A">
        <w:t xml:space="preserve">identify people at a higher risk of severe Crohn’s disease, </w:t>
      </w:r>
      <w:r w:rsidR="00595813" w:rsidRPr="0029324A">
        <w:t>potentially</w:t>
      </w:r>
      <w:r w:rsidRPr="0029324A">
        <w:t xml:space="preserve"> guiding </w:t>
      </w:r>
      <w:r w:rsidR="00FC32E4" w:rsidRPr="0029324A">
        <w:t xml:space="preserve">more </w:t>
      </w:r>
      <w:r w:rsidRPr="0029324A">
        <w:t>personalised disease management.</w:t>
      </w:r>
    </w:p>
    <w:bookmarkEnd w:id="1"/>
    <w:p w14:paraId="402C1CB8" w14:textId="1C0F7056" w:rsidR="00091DC3" w:rsidRPr="0029324A" w:rsidRDefault="00091DC3" w:rsidP="00623644">
      <w:pPr>
        <w:pStyle w:val="Heading2"/>
      </w:pPr>
      <w:r w:rsidRPr="0029324A">
        <w:t>The intervention</w:t>
      </w:r>
      <w:r w:rsidR="009A2F3F" w:rsidRPr="0029324A">
        <w:t>s</w:t>
      </w:r>
    </w:p>
    <w:p w14:paraId="175546DF" w14:textId="6C748486" w:rsidR="009A2F3F" w:rsidRPr="0029324A" w:rsidRDefault="009A2F3F" w:rsidP="009A2F3F">
      <w:pPr>
        <w:pStyle w:val="Heading3"/>
      </w:pPr>
      <w:r w:rsidRPr="0029324A">
        <w:t>PredictSURE IBD</w:t>
      </w:r>
    </w:p>
    <w:p w14:paraId="76415F4C" w14:textId="7F8637B4" w:rsidR="009A2F3F" w:rsidRPr="0029324A" w:rsidRDefault="009A2F3F" w:rsidP="00F0467D">
      <w:pPr>
        <w:pStyle w:val="Numberedlevel2text"/>
      </w:pPr>
      <w:r w:rsidRPr="0029324A">
        <w:t>PredictS</w:t>
      </w:r>
      <w:r w:rsidR="002E4229" w:rsidRPr="0029324A">
        <w:t>URE</w:t>
      </w:r>
      <w:r w:rsidRPr="0029324A">
        <w:t xml:space="preserve"> IBD (PredictImmune) is a whole blood-based biomarker prognostic laboratory-based test combined with a proprietary algorithm to </w:t>
      </w:r>
      <w:r w:rsidR="00DA77BB" w:rsidRPr="0029324A">
        <w:t xml:space="preserve">categorise </w:t>
      </w:r>
      <w:r w:rsidRPr="0029324A">
        <w:t>people into</w:t>
      </w:r>
      <w:r w:rsidR="00DA77BB" w:rsidRPr="0029324A">
        <w:t xml:space="preserve"> a</w:t>
      </w:r>
      <w:r w:rsidRPr="0029324A">
        <w:t xml:space="preserve"> high or low risk of </w:t>
      </w:r>
      <w:r w:rsidR="00DA77BB" w:rsidRPr="0029324A">
        <w:t>severe</w:t>
      </w:r>
      <w:r w:rsidRPr="0029324A">
        <w:t xml:space="preserve"> Crohn’s disease. The test is based on detecti</w:t>
      </w:r>
      <w:r w:rsidR="00555C84" w:rsidRPr="0029324A">
        <w:t>ng</w:t>
      </w:r>
      <w:r w:rsidRPr="0029324A">
        <w:t xml:space="preserve"> CD8+ T-cell exhaustion</w:t>
      </w:r>
      <w:r w:rsidR="000C7888" w:rsidRPr="0029324A">
        <w:t>.</w:t>
      </w:r>
      <w:r w:rsidRPr="0029324A">
        <w:t xml:space="preserve"> </w:t>
      </w:r>
      <w:r w:rsidR="000C7888" w:rsidRPr="0029324A">
        <w:t>People with a non-exhausted CD8+ T-cell signature were linked to a higher risk of frequently relapsing disease</w:t>
      </w:r>
      <w:r w:rsidRPr="0029324A">
        <w:t>. The test involves isolati</w:t>
      </w:r>
      <w:r w:rsidR="00555C84" w:rsidRPr="0029324A">
        <w:t>ng</w:t>
      </w:r>
      <w:r w:rsidRPr="0029324A">
        <w:t xml:space="preserve"> mRNA from the whole blood sample using the PAXgene Blood RNA kit (QIAGEN), followed by quantitative polymerase chain reaction with reverse transcription (RT-qPCR) to assess expression of 15 target genes and 2 controls. The RT-qPCR is a 2-step process: cDNA synthesis in the reverse transcription reaction, and then a qPCR on a 384-well plate. A maximum of 4 samples may be analysed per plate </w:t>
      </w:r>
      <w:r w:rsidR="004C28AD" w:rsidRPr="0029324A">
        <w:t xml:space="preserve">because </w:t>
      </w:r>
      <w:r w:rsidRPr="0029324A">
        <w:t>cDNA derived from each RNA sample is run in triplicate.</w:t>
      </w:r>
    </w:p>
    <w:p w14:paraId="44A18F7B" w14:textId="07E3FA3C" w:rsidR="009A2F3F" w:rsidRPr="0029324A" w:rsidRDefault="009A2F3F" w:rsidP="009A2F3F">
      <w:pPr>
        <w:pStyle w:val="Heading3"/>
      </w:pPr>
      <w:r w:rsidRPr="0029324A">
        <w:t>IBDX</w:t>
      </w:r>
    </w:p>
    <w:p w14:paraId="761AB491" w14:textId="5C631738" w:rsidR="009A2F3F" w:rsidRPr="0029324A" w:rsidRDefault="009A2F3F" w:rsidP="00F0467D">
      <w:pPr>
        <w:pStyle w:val="Numberedlevel2text"/>
      </w:pPr>
      <w:r w:rsidRPr="0029324A">
        <w:t xml:space="preserve">IBDX </w:t>
      </w:r>
      <w:r w:rsidR="00A7722F" w:rsidRPr="0029324A">
        <w:t xml:space="preserve">(Glycominds) </w:t>
      </w:r>
      <w:r w:rsidRPr="0029324A">
        <w:t>is a panel of 6 indirect solid-phase enzyme-linked immunosorbent assay (ELISA) kits, each of which detects serum levels of specific antiglycan antibod</w:t>
      </w:r>
      <w:r w:rsidR="00AC28CB" w:rsidRPr="0029324A">
        <w:t>ies</w:t>
      </w:r>
      <w:r w:rsidRPr="0029324A">
        <w:t>. Antiglycan antibodies are serological biomarkers thought to be highly specific for Crohn’s disease</w:t>
      </w:r>
      <w:r w:rsidR="00AC28CB" w:rsidRPr="0029324A">
        <w:t xml:space="preserve"> and </w:t>
      </w:r>
      <w:r w:rsidR="00DF56D2" w:rsidRPr="0029324A">
        <w:t xml:space="preserve">associated with </w:t>
      </w:r>
      <w:r w:rsidR="00932D04" w:rsidRPr="0029324A">
        <w:t>severe</w:t>
      </w:r>
      <w:r w:rsidRPr="0029324A">
        <w:t xml:space="preserve"> disease. The IBDX ELISA kits available to detect specific antibodies include IBDX anti-chitobioside (ACCA) IgA, IBDX anti-laminaribioside (ALCA) IgG, IBDX anti-mannobioside (AMCA)</w:t>
      </w:r>
      <w:r w:rsidR="004E2556" w:rsidRPr="0029324A">
        <w:t xml:space="preserve"> </w:t>
      </w:r>
      <w:r w:rsidRPr="0029324A">
        <w:t>IgG, IBDX anti-Saccharomyces cerevisiae (gASCA) IgG, IBDX anti-laminarin (anti-L)</w:t>
      </w:r>
      <w:r w:rsidR="00912C0F" w:rsidRPr="0029324A">
        <w:t xml:space="preserve"> </w:t>
      </w:r>
      <w:r w:rsidRPr="0029324A">
        <w:t>IgA and IBDX anti-chitin antibody (anti-C) IgA.</w:t>
      </w:r>
    </w:p>
    <w:p w14:paraId="25BBF9C6" w14:textId="72886A92" w:rsidR="00091DC3" w:rsidRPr="0029324A" w:rsidRDefault="00091DC3" w:rsidP="00391F90">
      <w:pPr>
        <w:pStyle w:val="Heading2"/>
      </w:pPr>
      <w:r w:rsidRPr="0029324A">
        <w:lastRenderedPageBreak/>
        <w:t>The comparator</w:t>
      </w:r>
    </w:p>
    <w:p w14:paraId="7300E8D0" w14:textId="775C687D" w:rsidR="009A2F3F" w:rsidRPr="0029324A" w:rsidRDefault="009A2F3F" w:rsidP="00F0467D">
      <w:pPr>
        <w:pStyle w:val="Numberedlevel2text"/>
      </w:pPr>
      <w:r w:rsidRPr="0029324A">
        <w:t>The comparator is standard clinical care in which no test or algorithm is used to predict the disease course.</w:t>
      </w:r>
      <w:r w:rsidR="00F30DB0" w:rsidRPr="0029324A">
        <w:t xml:space="preserve"> Instead, prognosis is based on clinical judgement of presenting signs and symptoms and known clinical risk factors for </w:t>
      </w:r>
      <w:r w:rsidR="00CC374C" w:rsidRPr="0029324A">
        <w:t xml:space="preserve">severe </w:t>
      </w:r>
      <w:r w:rsidR="00F30DB0" w:rsidRPr="0029324A">
        <w:t>disease.</w:t>
      </w:r>
    </w:p>
    <w:p w14:paraId="735A445D" w14:textId="77777777" w:rsidR="00091DC3" w:rsidRPr="0029324A" w:rsidRDefault="00091DC3" w:rsidP="00F0467D">
      <w:pPr>
        <w:pStyle w:val="Numberedheading1"/>
      </w:pPr>
      <w:r w:rsidRPr="0029324A">
        <w:t>Evidence</w:t>
      </w:r>
    </w:p>
    <w:p w14:paraId="68FD8F28" w14:textId="398281B9" w:rsidR="00091DC3" w:rsidRPr="0029324A" w:rsidRDefault="00091DC3" w:rsidP="00925355">
      <w:pPr>
        <w:pStyle w:val="NICEnormal"/>
      </w:pPr>
      <w:r w:rsidRPr="0029324A">
        <w:t xml:space="preserve">The </w:t>
      </w:r>
      <w:hyperlink w:anchor="_Committee_members" w:history="1">
        <w:r w:rsidRPr="0029324A">
          <w:rPr>
            <w:rStyle w:val="Hyperlink"/>
          </w:rPr>
          <w:t>diagnostics advisory committee</w:t>
        </w:r>
      </w:hyperlink>
      <w:r w:rsidRPr="0029324A">
        <w:t xml:space="preserve"> considered evidence on </w:t>
      </w:r>
      <w:r w:rsidR="009A2F3F" w:rsidRPr="0029324A">
        <w:t>PredictSURE IBD and IBDX</w:t>
      </w:r>
      <w:r w:rsidRPr="0029324A">
        <w:t xml:space="preserve"> </w:t>
      </w:r>
      <w:r w:rsidR="009A2F3F" w:rsidRPr="0029324A">
        <w:t>to guide treatment of Crohn’s disease</w:t>
      </w:r>
      <w:r w:rsidRPr="0029324A">
        <w:t xml:space="preserve"> from several sources. Full details of all the evidence are in the </w:t>
      </w:r>
      <w:hyperlink r:id="rId12" w:history="1">
        <w:r w:rsidRPr="0029324A">
          <w:rPr>
            <w:rStyle w:val="Hyperlink"/>
          </w:rPr>
          <w:t>committee papers</w:t>
        </w:r>
      </w:hyperlink>
      <w:r w:rsidRPr="0029324A">
        <w:t>.</w:t>
      </w:r>
    </w:p>
    <w:p w14:paraId="4917E3B7" w14:textId="5A08FE25" w:rsidR="009A2F3F" w:rsidRPr="0029324A" w:rsidRDefault="009A2F3F" w:rsidP="009A2F3F">
      <w:pPr>
        <w:pStyle w:val="Heading2"/>
      </w:pPr>
      <w:r w:rsidRPr="0029324A">
        <w:t>Clinical effectiveness</w:t>
      </w:r>
    </w:p>
    <w:p w14:paraId="1B710597" w14:textId="3D021C7E" w:rsidR="009A2F3F" w:rsidRPr="0029324A" w:rsidRDefault="009A2F3F" w:rsidP="00F0467D">
      <w:pPr>
        <w:pStyle w:val="Numberedlevel2text"/>
      </w:pPr>
      <w:r w:rsidRPr="0029324A">
        <w:t xml:space="preserve">The </w:t>
      </w:r>
      <w:r w:rsidR="009728A8" w:rsidRPr="0029324A">
        <w:t>external</w:t>
      </w:r>
      <w:r w:rsidRPr="0029324A">
        <w:t xml:space="preserve"> assessment group (EAG) systematically reviewed evidence to evaluate the prognostic ability and clinical </w:t>
      </w:r>
      <w:r w:rsidR="00BA6D87" w:rsidRPr="0029324A">
        <w:t xml:space="preserve">effectiveness </w:t>
      </w:r>
      <w:r w:rsidRPr="0029324A">
        <w:t>of the PredictSURE IBD and IBDX tests to predict severe disease and guide treatment in people with Crohn’s disease who:</w:t>
      </w:r>
    </w:p>
    <w:p w14:paraId="6493C052" w14:textId="19FE7746" w:rsidR="009A2F3F" w:rsidRPr="0029324A" w:rsidRDefault="009A2F3F" w:rsidP="000E7845">
      <w:pPr>
        <w:pStyle w:val="Bulletindent1"/>
        <w:rPr>
          <w:lang w:val="en-GB"/>
        </w:rPr>
      </w:pPr>
      <w:r w:rsidRPr="0029324A">
        <w:rPr>
          <w:lang w:val="en-GB"/>
        </w:rPr>
        <w:t>have newly or recently diagnosed disease</w:t>
      </w:r>
    </w:p>
    <w:p w14:paraId="1346063F" w14:textId="752000E8" w:rsidR="009A2F3F" w:rsidRPr="0029324A" w:rsidRDefault="009A2F3F" w:rsidP="000E7845">
      <w:pPr>
        <w:pStyle w:val="Bulletindent1"/>
        <w:rPr>
          <w:lang w:val="en-GB"/>
        </w:rPr>
      </w:pPr>
      <w:r w:rsidRPr="0029324A">
        <w:rPr>
          <w:lang w:val="en-GB"/>
        </w:rPr>
        <w:t>have moderate to severe active disease</w:t>
      </w:r>
    </w:p>
    <w:p w14:paraId="006A6D6A" w14:textId="150BD46F" w:rsidR="009A2F3F" w:rsidRPr="0029324A" w:rsidRDefault="009A2F3F" w:rsidP="000E7845">
      <w:pPr>
        <w:pStyle w:val="Bulletindent1"/>
        <w:rPr>
          <w:lang w:val="en-GB"/>
        </w:rPr>
      </w:pPr>
      <w:r w:rsidRPr="0029324A">
        <w:rPr>
          <w:lang w:val="en-GB"/>
        </w:rPr>
        <w:t>are currently not receiving any concomitant steroids, immunomodulators or biologic</w:t>
      </w:r>
      <w:r w:rsidR="005D03E1" w:rsidRPr="0029324A">
        <w:rPr>
          <w:lang w:val="en-GB"/>
        </w:rPr>
        <w:t>al treatments</w:t>
      </w:r>
    </w:p>
    <w:p w14:paraId="0027D759" w14:textId="3EE56C22" w:rsidR="009A2F3F" w:rsidRPr="0029324A" w:rsidRDefault="00DB17D1" w:rsidP="000E7845">
      <w:pPr>
        <w:pStyle w:val="Bulletindent1last"/>
      </w:pPr>
      <w:r w:rsidRPr="0029324A">
        <w:t>w</w:t>
      </w:r>
      <w:r w:rsidR="009A2F3F" w:rsidRPr="0029324A">
        <w:t xml:space="preserve">ould not </w:t>
      </w:r>
      <w:r w:rsidR="00D676A2" w:rsidRPr="0029324A">
        <w:t>have</w:t>
      </w:r>
      <w:r w:rsidR="009A2F3F" w:rsidRPr="0029324A">
        <w:t xml:space="preserve"> top-down </w:t>
      </w:r>
      <w:r w:rsidR="009C1E0E" w:rsidRPr="0029324A">
        <w:t>treatment</w:t>
      </w:r>
      <w:r w:rsidR="009A2F3F" w:rsidRPr="0029324A">
        <w:t xml:space="preserve"> with current standard care in the NHS</w:t>
      </w:r>
      <w:r w:rsidR="004E2556" w:rsidRPr="0029324A">
        <w:t>.</w:t>
      </w:r>
    </w:p>
    <w:p w14:paraId="6AC0EF11" w14:textId="2750E0B5" w:rsidR="000E7845" w:rsidRPr="0029324A" w:rsidRDefault="00DC1260" w:rsidP="00C5264A">
      <w:pPr>
        <w:pStyle w:val="Numberedlevel2text"/>
      </w:pPr>
      <w:r w:rsidRPr="0029324A">
        <w:t xml:space="preserve">The EAG identified </w:t>
      </w:r>
      <w:r w:rsidR="00BA6D87" w:rsidRPr="0029324A">
        <w:t>8 primary</w:t>
      </w:r>
      <w:r w:rsidRPr="0029324A">
        <w:t xml:space="preserve"> studies (reported in 1</w:t>
      </w:r>
      <w:r w:rsidR="00BA6D87" w:rsidRPr="0029324A">
        <w:t>2</w:t>
      </w:r>
      <w:r w:rsidRPr="0029324A">
        <w:t xml:space="preserve"> publications) </w:t>
      </w:r>
      <w:r w:rsidR="00BA6D87" w:rsidRPr="0029324A">
        <w:t xml:space="preserve">that met the </w:t>
      </w:r>
      <w:r w:rsidR="008010E3" w:rsidRPr="0029324A">
        <w:t>selection</w:t>
      </w:r>
      <w:r w:rsidR="00BA6D87" w:rsidRPr="0029324A">
        <w:t xml:space="preserve"> criteria for the literature review (see page </w:t>
      </w:r>
      <w:r w:rsidR="001053EE" w:rsidRPr="0029324A">
        <w:t>18</w:t>
      </w:r>
      <w:r w:rsidR="00BA6D87" w:rsidRPr="0029324A">
        <w:t xml:space="preserve"> of the diagnostics assessment report</w:t>
      </w:r>
      <w:r w:rsidR="008010E3" w:rsidRPr="0029324A">
        <w:t xml:space="preserve"> for details of the selection criteria)</w:t>
      </w:r>
      <w:r w:rsidR="00BA6D87" w:rsidRPr="0029324A">
        <w:t xml:space="preserve">. </w:t>
      </w:r>
      <w:r w:rsidR="009728A8" w:rsidRPr="0029324A">
        <w:t>The studies were all observational.</w:t>
      </w:r>
      <w:r w:rsidR="00912C0F" w:rsidRPr="0029324A">
        <w:t xml:space="preserve"> O</w:t>
      </w:r>
      <w:r w:rsidR="008010E3" w:rsidRPr="0029324A">
        <w:t>f the included studies</w:t>
      </w:r>
      <w:r w:rsidR="00912C0F" w:rsidRPr="0029324A">
        <w:t xml:space="preserve">, 7 </w:t>
      </w:r>
      <w:r w:rsidR="008010E3" w:rsidRPr="0029324A">
        <w:t xml:space="preserve">reported </w:t>
      </w:r>
      <w:r w:rsidRPr="0029324A">
        <w:t>on the diagnostic performance of IBDX</w:t>
      </w:r>
      <w:r w:rsidR="00CD239F" w:rsidRPr="0029324A">
        <w:t xml:space="preserve">. </w:t>
      </w:r>
      <w:r w:rsidR="00C06073" w:rsidRPr="0029324A">
        <w:t>In these studies, a higher number of positive biomarkers was associated with poorer prognosis</w:t>
      </w:r>
      <w:r w:rsidRPr="0029324A">
        <w:t xml:space="preserve">. </w:t>
      </w:r>
      <w:r w:rsidR="00912C0F" w:rsidRPr="0029324A">
        <w:t>Two</w:t>
      </w:r>
      <w:r w:rsidRPr="0029324A">
        <w:t xml:space="preserve"> of </w:t>
      </w:r>
      <w:r w:rsidR="00C06073" w:rsidRPr="0029324A">
        <w:t>the IBDX studies</w:t>
      </w:r>
      <w:r w:rsidR="002A5A55" w:rsidRPr="0029324A">
        <w:t xml:space="preserve"> (Wolfel et al. 2017 and Reider et al. 2010c) </w:t>
      </w:r>
      <w:r w:rsidRPr="0029324A">
        <w:t xml:space="preserve">prospectively assessed the </w:t>
      </w:r>
      <w:r w:rsidR="001053EE" w:rsidRPr="0029324A">
        <w:t>prognostic</w:t>
      </w:r>
      <w:r w:rsidRPr="0029324A">
        <w:t xml:space="preserve"> ability of IBDX</w:t>
      </w:r>
      <w:r w:rsidR="00C5264A" w:rsidRPr="0029324A">
        <w:t xml:space="preserve"> </w:t>
      </w:r>
      <w:r w:rsidR="00F8150B" w:rsidRPr="0029324A">
        <w:t>for predicting complications (fistulas and stenoses) and Crohn’s disease</w:t>
      </w:r>
      <w:r w:rsidR="005F4817" w:rsidRPr="0029324A">
        <w:t>-</w:t>
      </w:r>
      <w:r w:rsidR="00F8150B" w:rsidRPr="0029324A">
        <w:t>related surgery</w:t>
      </w:r>
      <w:r w:rsidRPr="0029324A">
        <w:t xml:space="preserve">. </w:t>
      </w:r>
      <w:r w:rsidR="00912C0F" w:rsidRPr="0029324A">
        <w:t xml:space="preserve">A third </w:t>
      </w:r>
      <w:r w:rsidR="00912C0F" w:rsidRPr="0029324A">
        <w:lastRenderedPageBreak/>
        <w:t>prospective study</w:t>
      </w:r>
      <w:r w:rsidR="00B43764" w:rsidRPr="0029324A">
        <w:t xml:space="preserve"> </w:t>
      </w:r>
      <w:r w:rsidR="00C5264A" w:rsidRPr="0029324A">
        <w:t>reported a correlation of IBDX with either a history of complication or surgery at baseline, or their occurrence during follow up (Rieder et al. 2010b).</w:t>
      </w:r>
      <w:r w:rsidR="00912C0F" w:rsidRPr="0029324A">
        <w:t xml:space="preserve"> </w:t>
      </w:r>
      <w:r w:rsidRPr="0029324A">
        <w:t xml:space="preserve">The other </w:t>
      </w:r>
      <w:r w:rsidR="00C5264A" w:rsidRPr="0029324A">
        <w:t>4</w:t>
      </w:r>
      <w:r w:rsidR="008010E3" w:rsidRPr="0029324A">
        <w:t xml:space="preserve"> </w:t>
      </w:r>
      <w:r w:rsidRPr="0029324A">
        <w:t xml:space="preserve">studies </w:t>
      </w:r>
      <w:r w:rsidR="00C06073" w:rsidRPr="0029324A">
        <w:t xml:space="preserve">were cross sectional, </w:t>
      </w:r>
      <w:r w:rsidRPr="0029324A">
        <w:t>report</w:t>
      </w:r>
      <w:r w:rsidR="00C06073" w:rsidRPr="0029324A">
        <w:t>ing</w:t>
      </w:r>
      <w:r w:rsidRPr="0029324A">
        <w:t xml:space="preserve"> a correlation between the number of positive IBDX </w:t>
      </w:r>
      <w:r w:rsidR="00A02F5C" w:rsidRPr="0029324A">
        <w:t>bio</w:t>
      </w:r>
      <w:r w:rsidRPr="0029324A">
        <w:t xml:space="preserve">markers and outcomes associated with severe disease </w:t>
      </w:r>
      <w:r w:rsidR="00A02F5C" w:rsidRPr="0029324A">
        <w:t>(a presence or history of complications or surgery)</w:t>
      </w:r>
      <w:r w:rsidR="00C06073" w:rsidRPr="0029324A">
        <w:t xml:space="preserve"> at the time of testing</w:t>
      </w:r>
      <w:r w:rsidRPr="0029324A">
        <w:t>. Only 1 study</w:t>
      </w:r>
      <w:r w:rsidR="00B16D7A" w:rsidRPr="0029324A">
        <w:t xml:space="preserve"> (Biasci</w:t>
      </w:r>
      <w:r w:rsidR="00AF60E3" w:rsidRPr="0029324A">
        <w:t xml:space="preserve"> et al</w:t>
      </w:r>
      <w:r w:rsidR="005F4817" w:rsidRPr="0029324A">
        <w:t>.</w:t>
      </w:r>
      <w:r w:rsidR="00AF60E3" w:rsidRPr="0029324A">
        <w:t xml:space="preserve"> 2019)</w:t>
      </w:r>
      <w:r w:rsidRPr="0029324A">
        <w:t xml:space="preserve"> report</w:t>
      </w:r>
      <w:r w:rsidR="008010E3" w:rsidRPr="0029324A">
        <w:t>ed</w:t>
      </w:r>
      <w:r w:rsidRPr="0029324A">
        <w:t xml:space="preserve"> on the predictive ability of PredictSURE IBD</w:t>
      </w:r>
      <w:r w:rsidR="00DE721D" w:rsidRPr="0029324A">
        <w:t xml:space="preserve"> to classify people into either a high or low risk of severe Crohn’s disease</w:t>
      </w:r>
      <w:r w:rsidR="002D0371" w:rsidRPr="0029324A">
        <w:t>, as defined by the study investigators</w:t>
      </w:r>
      <w:r w:rsidR="00DE721D" w:rsidRPr="0029324A">
        <w:t>.</w:t>
      </w:r>
    </w:p>
    <w:p w14:paraId="647A53D6" w14:textId="02C18E6F" w:rsidR="00A805FF" w:rsidRPr="0029324A" w:rsidRDefault="00A805FF" w:rsidP="00E16B4B">
      <w:pPr>
        <w:pStyle w:val="Numberedlevel2text"/>
      </w:pPr>
      <w:r w:rsidRPr="0029324A">
        <w:t xml:space="preserve">Of the studies identified for IBDX, 3 were carried out in Germany and 1 study each in Canada, </w:t>
      </w:r>
      <w:r w:rsidR="009728A8" w:rsidRPr="0029324A">
        <w:t>France,</w:t>
      </w:r>
      <w:r w:rsidRPr="0029324A">
        <w:t xml:space="preserve"> and </w:t>
      </w:r>
      <w:r w:rsidR="005F4817" w:rsidRPr="0029324A">
        <w:t xml:space="preserve">the </w:t>
      </w:r>
      <w:r w:rsidRPr="0029324A">
        <w:t>US. One study</w:t>
      </w:r>
      <w:r w:rsidR="001F0A83" w:rsidRPr="0029324A">
        <w:t>, published as an abstract,</w:t>
      </w:r>
      <w:r w:rsidRPr="0029324A">
        <w:t xml:space="preserve"> had an unclear location. The study on </w:t>
      </w:r>
      <w:r w:rsidR="00B16D7A" w:rsidRPr="0029324A">
        <w:t>PredictSURE IBD was</w:t>
      </w:r>
      <w:r w:rsidR="00AF60E3" w:rsidRPr="0029324A">
        <w:t xml:space="preserve"> carried out across 4 centres in the UK</w:t>
      </w:r>
      <w:r w:rsidR="00A3411A" w:rsidRPr="0029324A">
        <w:t>.</w:t>
      </w:r>
    </w:p>
    <w:p w14:paraId="78E47FE0" w14:textId="1B8105E2" w:rsidR="00A91FCA" w:rsidRPr="0029324A" w:rsidRDefault="009D2C15" w:rsidP="00912C0F">
      <w:pPr>
        <w:pStyle w:val="Heading3"/>
      </w:pPr>
      <w:r w:rsidRPr="0029324A">
        <w:t>Study quality</w:t>
      </w:r>
    </w:p>
    <w:p w14:paraId="1BB2BC28" w14:textId="12F93C82" w:rsidR="008010E3" w:rsidRPr="0029324A" w:rsidRDefault="009D2C15" w:rsidP="00F0467D">
      <w:pPr>
        <w:pStyle w:val="Numberedlevel2text"/>
      </w:pPr>
      <w:r w:rsidRPr="0029324A">
        <w:t xml:space="preserve">The EAG assessed the risk of bias in the included studies using the </w:t>
      </w:r>
      <w:r w:rsidR="005F4817" w:rsidRPr="0029324A">
        <w:t>q</w:t>
      </w:r>
      <w:r w:rsidR="0098674A" w:rsidRPr="0029324A">
        <w:t>uality in prognosis studies (</w:t>
      </w:r>
      <w:r w:rsidRPr="0029324A">
        <w:t>QUIP</w:t>
      </w:r>
      <w:r w:rsidR="00F64C49" w:rsidRPr="0029324A">
        <w:t>S</w:t>
      </w:r>
      <w:r w:rsidR="0098674A" w:rsidRPr="0029324A">
        <w:t>)</w:t>
      </w:r>
      <w:r w:rsidRPr="0029324A">
        <w:t xml:space="preserve"> tool. All the studies for IBDX </w:t>
      </w:r>
      <w:proofErr w:type="gramStart"/>
      <w:r w:rsidRPr="0029324A">
        <w:t>were considered to be</w:t>
      </w:r>
      <w:proofErr w:type="gramEnd"/>
      <w:r w:rsidRPr="0029324A">
        <w:t xml:space="preserve"> at a moderate or unclear risk of bias in the measurement of confounding factors domain. Three studies </w:t>
      </w:r>
      <w:proofErr w:type="gramStart"/>
      <w:r w:rsidRPr="0029324A">
        <w:t>were considered to be</w:t>
      </w:r>
      <w:proofErr w:type="gramEnd"/>
      <w:r w:rsidRPr="0029324A">
        <w:t xml:space="preserve"> at a moderate risk of bias in the participation domain</w:t>
      </w:r>
      <w:r w:rsidR="00AA6465" w:rsidRPr="0029324A">
        <w:t>. The study identified for PredictSURE IBD was assessed to be at a low or unclear risk of bias.</w:t>
      </w:r>
    </w:p>
    <w:p w14:paraId="19C98F75" w14:textId="216981A5" w:rsidR="00BA6D87" w:rsidRPr="0029324A" w:rsidRDefault="002D49F9" w:rsidP="00DC1260">
      <w:pPr>
        <w:pStyle w:val="Heading3"/>
      </w:pPr>
      <w:r w:rsidRPr="0029324A">
        <w:t>Prognostic accuracy</w:t>
      </w:r>
    </w:p>
    <w:p w14:paraId="247287B0" w14:textId="57CCA035" w:rsidR="00C87450" w:rsidRPr="0029324A" w:rsidRDefault="00DC1260" w:rsidP="00F0467D">
      <w:pPr>
        <w:pStyle w:val="Numberedlevel2text"/>
      </w:pPr>
      <w:bookmarkStart w:id="2" w:name="_Ref48193530"/>
      <w:r w:rsidRPr="0029324A">
        <w:t xml:space="preserve">None of the studies for IBDX </w:t>
      </w:r>
      <w:r w:rsidR="00880508" w:rsidRPr="0029324A">
        <w:t>was</w:t>
      </w:r>
      <w:r w:rsidRPr="0029324A">
        <w:t xml:space="preserve"> done in </w:t>
      </w:r>
      <w:r w:rsidR="00C87450" w:rsidRPr="0029324A">
        <w:t xml:space="preserve">only </w:t>
      </w:r>
      <w:r w:rsidRPr="0029324A">
        <w:t>people with newly diagnosed Crohn’s disease</w:t>
      </w:r>
      <w:r w:rsidR="00C87450" w:rsidRPr="0029324A">
        <w:t xml:space="preserve">. The studies had people with </w:t>
      </w:r>
      <w:r w:rsidR="00880508" w:rsidRPr="0029324A">
        <w:t xml:space="preserve">an </w:t>
      </w:r>
      <w:r w:rsidR="00C87450" w:rsidRPr="0029324A">
        <w:t>established diagnosis and</w:t>
      </w:r>
      <w:r w:rsidR="00880508" w:rsidRPr="0029324A">
        <w:t xml:space="preserve"> with</w:t>
      </w:r>
      <w:r w:rsidR="00C87450" w:rsidRPr="0029324A">
        <w:t xml:space="preserve"> </w:t>
      </w:r>
      <w:r w:rsidR="009728A8" w:rsidRPr="0029324A">
        <w:t xml:space="preserve">a </w:t>
      </w:r>
      <w:r w:rsidR="00C87450" w:rsidRPr="0029324A">
        <w:t>recent diagnosis of Crohn’s disease. M</w:t>
      </w:r>
      <w:r w:rsidRPr="0029324A">
        <w:t xml:space="preserve">edian duration of disease at the time of testing ranged from 10.6 </w:t>
      </w:r>
      <w:r w:rsidR="00880508" w:rsidRPr="0029324A">
        <w:t xml:space="preserve">months </w:t>
      </w:r>
      <w:r w:rsidRPr="0029324A">
        <w:t>(</w:t>
      </w:r>
      <w:r w:rsidR="00912C0F" w:rsidRPr="0029324A">
        <w:t xml:space="preserve">interquartile range [IQR] </w:t>
      </w:r>
      <w:r w:rsidRPr="0029324A">
        <w:t xml:space="preserve">1.7 to 52.3) to 9.4 </w:t>
      </w:r>
      <w:r w:rsidR="00880508" w:rsidRPr="0029324A">
        <w:t xml:space="preserve">years </w:t>
      </w:r>
      <w:r w:rsidRPr="0029324A">
        <w:t xml:space="preserve">(IQR 1 to 44). </w:t>
      </w:r>
      <w:r w:rsidR="002D49F9" w:rsidRPr="0029324A">
        <w:t xml:space="preserve">One </w:t>
      </w:r>
      <w:r w:rsidRPr="0029324A">
        <w:t xml:space="preserve">prognostic study by Rieder et al. (2010c) assessed the ability of IBDX to predict developing a complication or needing surgery in people with no prior complication or surgery at baseline (n=76). People who tested positive for 2 or more out of 6 IBDX markers had a significantly higher risk </w:t>
      </w:r>
      <w:r w:rsidRPr="0029324A">
        <w:lastRenderedPageBreak/>
        <w:t>of complications (</w:t>
      </w:r>
      <w:r w:rsidR="00A3411A" w:rsidRPr="0029324A">
        <w:t xml:space="preserve">hazard ratio </w:t>
      </w:r>
      <w:r w:rsidR="00912C0F" w:rsidRPr="0029324A">
        <w:t>[</w:t>
      </w:r>
      <w:r w:rsidRPr="0029324A">
        <w:t>HR</w:t>
      </w:r>
      <w:r w:rsidR="00912C0F" w:rsidRPr="0029324A">
        <w:t>]</w:t>
      </w:r>
      <w:r w:rsidRPr="0029324A">
        <w:t xml:space="preserve"> 2.5; 95% </w:t>
      </w:r>
      <w:r w:rsidR="00A3411A" w:rsidRPr="0029324A">
        <w:t>confidence interval (</w:t>
      </w:r>
      <w:r w:rsidRPr="0029324A">
        <w:t>CI</w:t>
      </w:r>
      <w:r w:rsidR="00A3411A" w:rsidRPr="0029324A">
        <w:t>)</w:t>
      </w:r>
      <w:r w:rsidRPr="0029324A">
        <w:t xml:space="preserve"> 1.03 to 6.1; p=0.043), or surgery (HR 3.6; 95% CI 1.2 to 11.0; p=0.023) during the median follow up of 53.7 months</w:t>
      </w:r>
      <w:r w:rsidR="00C87450" w:rsidRPr="0029324A">
        <w:t>,</w:t>
      </w:r>
      <w:r w:rsidRPr="0029324A">
        <w:t xml:space="preserve"> than people who tested positive for 0 or 1 markers. A prognostic study by Wolfel et al. (2017),</w:t>
      </w:r>
      <w:r w:rsidR="002D49F9" w:rsidRPr="0029324A">
        <w:t xml:space="preserve"> </w:t>
      </w:r>
      <w:r w:rsidRPr="0029324A">
        <w:t>reported as a conference abstract, showed that the number of positive IBDX markers did not predict a shorter time to repeat intestinal surgery (n=118; median follow up of 100 months).</w:t>
      </w:r>
      <w:bookmarkEnd w:id="2"/>
    </w:p>
    <w:p w14:paraId="61527B4B" w14:textId="3AEE3517" w:rsidR="00DC1260" w:rsidRPr="0029324A" w:rsidRDefault="00DC1260" w:rsidP="00F0467D">
      <w:pPr>
        <w:pStyle w:val="Numberedlevel2text"/>
      </w:pPr>
      <w:bookmarkStart w:id="3" w:name="_Ref48193538"/>
      <w:r w:rsidRPr="0029324A">
        <w:t xml:space="preserve">Reider et al (2010b) reported </w:t>
      </w:r>
      <w:r w:rsidR="008B08A6" w:rsidRPr="0029324A">
        <w:t>that people who had surgery (before or during follow up) had a higher number of positive IBDX markers (median 2.0 [</w:t>
      </w:r>
      <w:r w:rsidR="00C20A18" w:rsidRPr="0029324A">
        <w:t xml:space="preserve">range </w:t>
      </w:r>
      <w:r w:rsidR="008B08A6" w:rsidRPr="0029324A">
        <w:t>1.0 to 3.0]) than those who did not (median 1.0 [</w:t>
      </w:r>
      <w:r w:rsidR="00C20A18" w:rsidRPr="0029324A">
        <w:t xml:space="preserve">range </w:t>
      </w:r>
      <w:r w:rsidR="008B08A6" w:rsidRPr="0029324A">
        <w:t>0.0 to 2.0]; odds ratio [OR] 1.5 [95% CI 1.3 to 1.8]; p&lt;0.001). Similarly, people with a complication had a higher number of positive IBDX markers (median 2.0 [</w:t>
      </w:r>
      <w:r w:rsidR="00C20A18" w:rsidRPr="0029324A">
        <w:t xml:space="preserve">range </w:t>
      </w:r>
      <w:r w:rsidR="008B08A6" w:rsidRPr="0029324A">
        <w:t>1.0 to 3.0]) than those who did not (median 0.0 [</w:t>
      </w:r>
      <w:r w:rsidR="00C20A18" w:rsidRPr="0029324A">
        <w:t xml:space="preserve">range </w:t>
      </w:r>
      <w:r w:rsidR="008B08A6" w:rsidRPr="0029324A">
        <w:t xml:space="preserve">0.0 to 2.0]; OR 1.5 [95% CI 1.3 to 1.9]; p&lt;0.001). </w:t>
      </w:r>
      <w:r w:rsidRPr="0029324A">
        <w:t>The remaining 4 IBDX studies report</w:t>
      </w:r>
      <w:r w:rsidR="00B43764" w:rsidRPr="0029324A">
        <w:t xml:space="preserve">ed </w:t>
      </w:r>
      <w:r w:rsidRPr="0029324A">
        <w:t>the correlation between IBDX markers and disease phenotype at the time of testing</w:t>
      </w:r>
      <w:r w:rsidR="002D49F9" w:rsidRPr="0029324A">
        <w:t>.</w:t>
      </w:r>
      <w:r w:rsidR="008B08A6" w:rsidRPr="0029324A">
        <w:t xml:space="preserve"> </w:t>
      </w:r>
      <w:r w:rsidR="0057770D" w:rsidRPr="0029324A">
        <w:t>N</w:t>
      </w:r>
      <w:r w:rsidR="00C3403A" w:rsidRPr="0029324A">
        <w:t>one of the studies for IBDX estimate</w:t>
      </w:r>
      <w:r w:rsidR="002365CA" w:rsidRPr="0029324A">
        <w:t>d</w:t>
      </w:r>
      <w:r w:rsidR="00C3403A" w:rsidRPr="0029324A">
        <w:t xml:space="preserve"> sensitivity </w:t>
      </w:r>
      <w:r w:rsidR="002365CA" w:rsidRPr="0029324A">
        <w:t xml:space="preserve">or </w:t>
      </w:r>
      <w:r w:rsidR="00C3403A" w:rsidRPr="0029324A">
        <w:t>specificity.</w:t>
      </w:r>
      <w:bookmarkEnd w:id="3"/>
    </w:p>
    <w:p w14:paraId="20F9E2E8" w14:textId="21110C31" w:rsidR="00DC1260" w:rsidRPr="0029324A" w:rsidRDefault="00DC1260" w:rsidP="00F0467D">
      <w:pPr>
        <w:pStyle w:val="Numberedlevel2text"/>
      </w:pPr>
      <w:bookmarkStart w:id="4" w:name="_Ref48193652"/>
      <w:r w:rsidRPr="0029324A">
        <w:t xml:space="preserve">Biasci et al. (2019) </w:t>
      </w:r>
      <w:r w:rsidR="00912C0F" w:rsidRPr="0029324A">
        <w:t xml:space="preserve">reported </w:t>
      </w:r>
      <w:r w:rsidRPr="0029324A">
        <w:t xml:space="preserve">on the prognostic ability of PredictSURE IBD in adults with newly diagnosed Crohn’s disease who were not </w:t>
      </w:r>
      <w:r w:rsidR="002365CA" w:rsidRPr="0029324A">
        <w:t xml:space="preserve">having </w:t>
      </w:r>
      <w:r w:rsidRPr="0029324A">
        <w:t xml:space="preserve">concomitant </w:t>
      </w:r>
      <w:r w:rsidR="009C1E0E" w:rsidRPr="0029324A">
        <w:t>treatment</w:t>
      </w:r>
      <w:r w:rsidRPr="0029324A">
        <w:t xml:space="preserve">. The study included 2 training cohorts (66 people in the biomarker discovery cohort and 39 people in the whole blood classifier cohort) and 1 validation cohort (n=66). The validation cohort and the whole blood classifier cohort were considered relevant to this assessment. In the validation cohort, people categorised as high risk (n=27; 40.9%) had a statistically significantly higher risk of at least 1 treatment escalation </w:t>
      </w:r>
      <w:r w:rsidR="002365CA" w:rsidRPr="0029324A">
        <w:t>than</w:t>
      </w:r>
      <w:r w:rsidRPr="0029324A">
        <w:t xml:space="preserve"> those </w:t>
      </w:r>
      <w:r w:rsidR="002365CA" w:rsidRPr="0029324A">
        <w:t>categorised</w:t>
      </w:r>
      <w:r w:rsidRPr="0029324A">
        <w:t xml:space="preserve"> as low risk (n=39; 59.1%), with a HR of 2.65 (95% CI 1.32 to 5.34; p=0.006). Median duration of follow up was 1.6 </w:t>
      </w:r>
      <w:r w:rsidR="007E48DE" w:rsidRPr="0029324A">
        <w:t xml:space="preserve">years </w:t>
      </w:r>
      <w:r w:rsidRPr="0029324A">
        <w:t xml:space="preserve">(IQR 1.0 to 3.7) in the high-risk group and 2.4 </w:t>
      </w:r>
      <w:r w:rsidR="007E48DE" w:rsidRPr="0029324A">
        <w:t xml:space="preserve">years </w:t>
      </w:r>
      <w:r w:rsidRPr="0029324A">
        <w:t xml:space="preserve">(IQR 1.8 to 3.8) in the low-risk group. Sensitivity and specificity for predicting the need for 2 or more escalations </w:t>
      </w:r>
      <w:r w:rsidR="00D676A2" w:rsidRPr="0029324A">
        <w:t xml:space="preserve">in </w:t>
      </w:r>
      <w:r w:rsidRPr="0029324A">
        <w:t xml:space="preserve">the first 12 months were 77.8% and 70.6% respectively, and within 18 months 72.7% and 73.2%. </w:t>
      </w:r>
      <w:r w:rsidR="00E73ECF" w:rsidRPr="0029324A">
        <w:t xml:space="preserve">Negative predictive </w:t>
      </w:r>
      <w:r w:rsidR="00E73ECF" w:rsidRPr="0029324A">
        <w:lastRenderedPageBreak/>
        <w:t xml:space="preserve">value for predicting multiple escalations </w:t>
      </w:r>
      <w:r w:rsidR="00D676A2" w:rsidRPr="0029324A">
        <w:t xml:space="preserve">in </w:t>
      </w:r>
      <w:r w:rsidR="00E73ECF" w:rsidRPr="0029324A">
        <w:t xml:space="preserve">the first 18 months was 90.9%. Positive predictive value </w:t>
      </w:r>
      <w:r w:rsidR="004C5E70" w:rsidRPr="0029324A">
        <w:t xml:space="preserve">calculated by the EAG </w:t>
      </w:r>
      <w:r w:rsidR="00E73ECF" w:rsidRPr="0029324A">
        <w:t>was 42.1%</w:t>
      </w:r>
      <w:r w:rsidR="00C3403A" w:rsidRPr="0029324A">
        <w:t>.</w:t>
      </w:r>
      <w:bookmarkEnd w:id="4"/>
    </w:p>
    <w:p w14:paraId="1C8E0925" w14:textId="6170187C" w:rsidR="00DC1260" w:rsidRPr="0029324A" w:rsidRDefault="00DC1260" w:rsidP="00DC1260">
      <w:pPr>
        <w:pStyle w:val="Heading3"/>
      </w:pPr>
      <w:r w:rsidRPr="0029324A">
        <w:t>Comparative evidence</w:t>
      </w:r>
    </w:p>
    <w:p w14:paraId="24682D8E" w14:textId="6125275B" w:rsidR="00DC1260" w:rsidRPr="0029324A" w:rsidRDefault="00DC1260" w:rsidP="00F0467D">
      <w:pPr>
        <w:pStyle w:val="Numberedlevel2text"/>
      </w:pPr>
      <w:bookmarkStart w:id="5" w:name="_Ref48156206"/>
      <w:r w:rsidRPr="0029324A">
        <w:t xml:space="preserve">A </w:t>
      </w:r>
      <w:r w:rsidR="00D37E4C" w:rsidRPr="0029324A">
        <w:t>sub-</w:t>
      </w:r>
      <w:r w:rsidRPr="0029324A">
        <w:t>study</w:t>
      </w:r>
      <w:r w:rsidR="00D37E4C" w:rsidRPr="0029324A">
        <w:t xml:space="preserve"> </w:t>
      </w:r>
      <w:r w:rsidR="007E48DE" w:rsidRPr="0029324A">
        <w:t xml:space="preserve">by Lyons (2020) </w:t>
      </w:r>
      <w:r w:rsidR="00D37E4C" w:rsidRPr="0029324A">
        <w:t>based on the same cohort as Biasci et al</w:t>
      </w:r>
      <w:r w:rsidR="00D44100" w:rsidRPr="0029324A">
        <w:t>.</w:t>
      </w:r>
      <w:r w:rsidR="00D37E4C" w:rsidRPr="0029324A">
        <w:t xml:space="preserve"> 2019</w:t>
      </w:r>
      <w:r w:rsidR="007E48DE" w:rsidRPr="0029324A">
        <w:t xml:space="preserve"> and</w:t>
      </w:r>
      <w:r w:rsidRPr="0029324A">
        <w:t xml:space="preserve"> published as an abstract, compared </w:t>
      </w:r>
      <w:r w:rsidR="00D44100" w:rsidRPr="0029324A">
        <w:t xml:space="preserve">the ability of </w:t>
      </w:r>
      <w:r w:rsidRPr="0029324A">
        <w:t>Predic</w:t>
      </w:r>
      <w:r w:rsidR="00D51515" w:rsidRPr="0029324A">
        <w:t>t</w:t>
      </w:r>
      <w:r w:rsidRPr="0029324A">
        <w:t xml:space="preserve">SURE IBD and IBDX to predict the need for multiple treatment escalations in 74 people with Crohn’s disease at Addenbrooke’s Hospital, Cambridge. </w:t>
      </w:r>
      <w:r w:rsidR="007E48DE" w:rsidRPr="0029324A">
        <w:t>Everyone</w:t>
      </w:r>
      <w:r w:rsidRPr="0029324A">
        <w:t xml:space="preserve"> had active disease at enrolment, and all </w:t>
      </w:r>
      <w:r w:rsidR="00D676A2" w:rsidRPr="0029324A">
        <w:t>had</w:t>
      </w:r>
      <w:r w:rsidRPr="0029324A">
        <w:t xml:space="preserve"> accelerated step-up treatment. The author concluded that there was no significant difference between the group who tested positive for at least 1 IBDX marker and those who tested positive for 2 or more IBDX markers, in terms of time to, or frequency of, treatment escalation. In comparison, when the cohort was stratified by PredictSURE IBD, people classed as high risk had a significantly shorter time to treatment escalation than people classed as low risk (p=0.001)</w:t>
      </w:r>
      <w:r w:rsidR="002618E6" w:rsidRPr="0029324A">
        <w:t>.</w:t>
      </w:r>
      <w:bookmarkEnd w:id="5"/>
    </w:p>
    <w:p w14:paraId="193D3533" w14:textId="4607CFDB" w:rsidR="00DC1260" w:rsidRPr="0029324A" w:rsidRDefault="002618E6" w:rsidP="00DC1260">
      <w:pPr>
        <w:pStyle w:val="Heading3"/>
      </w:pPr>
      <w:r w:rsidRPr="0029324A">
        <w:t>C</w:t>
      </w:r>
      <w:r w:rsidR="00DC1260" w:rsidRPr="0029324A">
        <w:t>linical utility</w:t>
      </w:r>
    </w:p>
    <w:p w14:paraId="07F95145" w14:textId="154FA46F" w:rsidR="00DC1260" w:rsidRPr="0029324A" w:rsidRDefault="00DC1260" w:rsidP="00F0467D">
      <w:pPr>
        <w:pStyle w:val="Numberedlevel2text"/>
      </w:pPr>
      <w:r w:rsidRPr="0029324A">
        <w:t>No evidence was identified on how the test</w:t>
      </w:r>
      <w:r w:rsidR="00E23B2D" w:rsidRPr="0029324A">
        <w:t>s</w:t>
      </w:r>
      <w:r w:rsidRPr="0029324A">
        <w:t xml:space="preserve"> </w:t>
      </w:r>
      <w:r w:rsidR="00225940" w:rsidRPr="0029324A">
        <w:t xml:space="preserve">affect the </w:t>
      </w:r>
      <w:r w:rsidRPr="0029324A">
        <w:t xml:space="preserve">decision </w:t>
      </w:r>
      <w:r w:rsidR="00E23B2D" w:rsidRPr="0029324A">
        <w:t>in clinical practice</w:t>
      </w:r>
      <w:r w:rsidRPr="0029324A">
        <w:t xml:space="preserve"> </w:t>
      </w:r>
      <w:r w:rsidR="00225940" w:rsidRPr="0029324A">
        <w:t>to</w:t>
      </w:r>
      <w:r w:rsidRPr="0029324A">
        <w:t xml:space="preserve"> offer top-down strategy to people at high risk of severe disease. There was also no evidence on </w:t>
      </w:r>
      <w:r w:rsidR="00225940" w:rsidRPr="0029324A">
        <w:t xml:space="preserve">how </w:t>
      </w:r>
      <w:r w:rsidRPr="0029324A">
        <w:t>the test</w:t>
      </w:r>
      <w:r w:rsidR="00E23B2D" w:rsidRPr="0029324A">
        <w:t>s</w:t>
      </w:r>
      <w:r w:rsidR="00225940" w:rsidRPr="0029324A">
        <w:t xml:space="preserve"> affect</w:t>
      </w:r>
      <w:r w:rsidRPr="0029324A">
        <w:t xml:space="preserve"> </w:t>
      </w:r>
      <w:r w:rsidR="00225940" w:rsidRPr="0029324A">
        <w:t xml:space="preserve">the </w:t>
      </w:r>
      <w:r w:rsidRPr="0029324A">
        <w:t>clinical outcomes of people with severe Crohn’s disease</w:t>
      </w:r>
      <w:r w:rsidR="002D5CEF" w:rsidRPr="0029324A">
        <w:t>.</w:t>
      </w:r>
    </w:p>
    <w:p w14:paraId="6C246C2D" w14:textId="2B63EAB3" w:rsidR="00091DC3" w:rsidRPr="0029324A" w:rsidRDefault="00091DC3" w:rsidP="00B80736">
      <w:pPr>
        <w:pStyle w:val="Heading2"/>
      </w:pPr>
      <w:r w:rsidRPr="0029324A">
        <w:t>Cost effectiveness</w:t>
      </w:r>
    </w:p>
    <w:p w14:paraId="437F28F5" w14:textId="5A72CD78" w:rsidR="002D5CEF" w:rsidRPr="0029324A" w:rsidRDefault="002D5CEF" w:rsidP="002D5CEF">
      <w:pPr>
        <w:pStyle w:val="Heading3"/>
      </w:pPr>
      <w:r w:rsidRPr="0029324A">
        <w:t>Systematic review of cost-effectiveness evidence</w:t>
      </w:r>
    </w:p>
    <w:p w14:paraId="615A6AC9" w14:textId="43AF16AB" w:rsidR="002D5CEF" w:rsidRPr="0029324A" w:rsidRDefault="002D5CEF" w:rsidP="00F0467D">
      <w:pPr>
        <w:pStyle w:val="Numberedlevel2text"/>
      </w:pPr>
      <w:r w:rsidRPr="0029324A">
        <w:t>The EAG searched for studies on the cost</w:t>
      </w:r>
      <w:r w:rsidR="00A7722F" w:rsidRPr="0029324A">
        <w:t xml:space="preserve"> </w:t>
      </w:r>
      <w:r w:rsidRPr="0029324A">
        <w:t>effectiveness of PredictSURE IBD and IBDX in Crohn’s disease and economic evaluations of treatments for people with newly diagnosed</w:t>
      </w:r>
      <w:r w:rsidR="00E92456" w:rsidRPr="0029324A">
        <w:t xml:space="preserve"> and</w:t>
      </w:r>
      <w:r w:rsidRPr="0029324A">
        <w:t xml:space="preserve"> moderate to severe Crohn’s disease. </w:t>
      </w:r>
      <w:r w:rsidR="00E92456" w:rsidRPr="0029324A">
        <w:t xml:space="preserve">It did not identify any </w:t>
      </w:r>
      <w:r w:rsidRPr="0029324A">
        <w:t>economic studies for PredictSURE IBD and IBDX</w:t>
      </w:r>
      <w:r w:rsidR="00E23B2D" w:rsidRPr="0029324A">
        <w:t>, but</w:t>
      </w:r>
      <w:r w:rsidR="00E92456" w:rsidRPr="0029324A">
        <w:t xml:space="preserve"> it did find</w:t>
      </w:r>
      <w:r w:rsidRPr="0029324A">
        <w:t xml:space="preserve"> 11 evaluations relevant to treatment options in Crohn’s disease.</w:t>
      </w:r>
    </w:p>
    <w:p w14:paraId="0F6B6274" w14:textId="12F4F645" w:rsidR="002D5CEF" w:rsidRPr="0029324A" w:rsidRDefault="002D5CEF" w:rsidP="00F0467D">
      <w:pPr>
        <w:pStyle w:val="Numberedlevel2text"/>
      </w:pPr>
      <w:bookmarkStart w:id="6" w:name="_Ref48148371"/>
      <w:r w:rsidRPr="0029324A">
        <w:lastRenderedPageBreak/>
        <w:t>One study by Marchetti et al. (2013) specifically compared the cost effectiveness of top-down</w:t>
      </w:r>
      <w:r w:rsidR="00196604" w:rsidRPr="0029324A">
        <w:t xml:space="preserve"> (</w:t>
      </w:r>
      <w:r w:rsidR="00E92456" w:rsidRPr="0029324A">
        <w:t xml:space="preserve">step 1: </w:t>
      </w:r>
      <w:r w:rsidR="00196604" w:rsidRPr="0029324A">
        <w:t xml:space="preserve">infliximab plus azathioprine, </w:t>
      </w:r>
      <w:r w:rsidR="00E92456" w:rsidRPr="0029324A">
        <w:t xml:space="preserve">step 2: </w:t>
      </w:r>
      <w:r w:rsidR="00196604" w:rsidRPr="0029324A">
        <w:t>additional infliximab plus azathioprine, step</w:t>
      </w:r>
      <w:r w:rsidR="00E92456" w:rsidRPr="0029324A">
        <w:t xml:space="preserve"> 3:</w:t>
      </w:r>
      <w:r w:rsidR="00196604" w:rsidRPr="0029324A">
        <w:t xml:space="preserve"> methylprednisolone plus azathioprine) </w:t>
      </w:r>
      <w:r w:rsidRPr="0029324A">
        <w:t xml:space="preserve">and step-up </w:t>
      </w:r>
      <w:r w:rsidR="00196604" w:rsidRPr="0029324A">
        <w:t>(step</w:t>
      </w:r>
      <w:r w:rsidR="00E92456" w:rsidRPr="0029324A">
        <w:t xml:space="preserve"> 1:</w:t>
      </w:r>
      <w:r w:rsidR="00196604" w:rsidRPr="0029324A">
        <w:t xml:space="preserve"> methylprednisolone, step</w:t>
      </w:r>
      <w:r w:rsidR="00E92456" w:rsidRPr="0029324A">
        <w:t xml:space="preserve"> 2:</w:t>
      </w:r>
      <w:r w:rsidR="00196604" w:rsidRPr="0029324A">
        <w:t xml:space="preserve"> methylprednisolone plus azathioprine, step</w:t>
      </w:r>
      <w:r w:rsidR="00E92456" w:rsidRPr="0029324A">
        <w:t xml:space="preserve"> 3:</w:t>
      </w:r>
      <w:r w:rsidR="00196604" w:rsidRPr="0029324A">
        <w:t xml:space="preserve"> infliximab plus azathioprine) </w:t>
      </w:r>
      <w:r w:rsidRPr="0029324A">
        <w:t xml:space="preserve">approaches in Italy. The authors concluded that the top-down strategy was </w:t>
      </w:r>
      <w:r w:rsidR="00E92456" w:rsidRPr="0029324A">
        <w:t>better</w:t>
      </w:r>
      <w:r w:rsidRPr="0029324A">
        <w:t xml:space="preserve"> and less costly than the step-up strategy. The treatment strategies modelled in the study by Marchetti are not representative of UK NHS practice. The health economics report for </w:t>
      </w:r>
      <w:hyperlink r:id="rId13" w:history="1">
        <w:r w:rsidRPr="0029324A">
          <w:rPr>
            <w:rStyle w:val="Hyperlink"/>
          </w:rPr>
          <w:t>NICE’s guideline on Crohn’s disease</w:t>
        </w:r>
      </w:hyperlink>
      <w:r w:rsidRPr="0029324A">
        <w:t xml:space="preserve"> explored the cost</w:t>
      </w:r>
      <w:r w:rsidR="00727C6D" w:rsidRPr="0029324A">
        <w:t xml:space="preserve"> </w:t>
      </w:r>
      <w:r w:rsidRPr="0029324A">
        <w:t>effectiveness of 9 induction treatment sequences (composed of 4 treatment lines) for Crohn’s disease from the NHS perspective. The remaining 9 studies compared individual treatment steps.</w:t>
      </w:r>
      <w:bookmarkEnd w:id="6"/>
    </w:p>
    <w:p w14:paraId="1DD34735" w14:textId="5B38AC9E" w:rsidR="00B63EC2" w:rsidRPr="0029324A" w:rsidRDefault="00EC52B3" w:rsidP="00F0467D">
      <w:pPr>
        <w:pStyle w:val="Numberedlevel2text"/>
      </w:pPr>
      <w:r w:rsidRPr="0029324A">
        <w:t xml:space="preserve">The </w:t>
      </w:r>
      <w:r w:rsidR="00727C6D" w:rsidRPr="0029324A">
        <w:t xml:space="preserve">company submitted an </w:t>
      </w:r>
      <w:r w:rsidRPr="0029324A">
        <w:t xml:space="preserve">abstract </w:t>
      </w:r>
      <w:r w:rsidR="00542521" w:rsidRPr="0029324A">
        <w:t>of a study evaluating the cost</w:t>
      </w:r>
      <w:r w:rsidR="00727C6D" w:rsidRPr="0029324A">
        <w:t xml:space="preserve"> </w:t>
      </w:r>
      <w:r w:rsidR="00542521" w:rsidRPr="0029324A">
        <w:t>effectiveness of</w:t>
      </w:r>
      <w:r w:rsidRPr="0029324A">
        <w:t xml:space="preserve"> PredictSURE IBD</w:t>
      </w:r>
      <w:r w:rsidR="00542521" w:rsidRPr="0029324A">
        <w:t xml:space="preserve"> to guide early use of biologics</w:t>
      </w:r>
      <w:r w:rsidRPr="0029324A">
        <w:t xml:space="preserve"> in Crohn’s disease and ulcerative colitis</w:t>
      </w:r>
      <w:r w:rsidR="00E258FC" w:rsidRPr="0029324A">
        <w:t xml:space="preserve"> in the UK</w:t>
      </w:r>
      <w:r w:rsidRPr="0029324A">
        <w:t xml:space="preserve">. </w:t>
      </w:r>
      <w:r w:rsidR="00542521" w:rsidRPr="0029324A">
        <w:t xml:space="preserve">The model structure comprised a decision tree </w:t>
      </w:r>
      <w:r w:rsidR="00727C6D" w:rsidRPr="0029324A">
        <w:t>then</w:t>
      </w:r>
      <w:r w:rsidR="00542521" w:rsidRPr="0029324A">
        <w:t xml:space="preserve"> a Markov transition model. S</w:t>
      </w:r>
      <w:r w:rsidRPr="0029324A">
        <w:t xml:space="preserve">tudy results were presented </w:t>
      </w:r>
      <w:r w:rsidR="00727C6D" w:rsidRPr="0029324A">
        <w:t>at the</w:t>
      </w:r>
      <w:r w:rsidRPr="0029324A">
        <w:t xml:space="preserve"> </w:t>
      </w:r>
      <w:r w:rsidR="00C9638C" w:rsidRPr="0029324A">
        <w:t xml:space="preserve">European Crohn’s and Colitis Organisation Conference </w:t>
      </w:r>
      <w:r w:rsidRPr="0029324A">
        <w:t xml:space="preserve">in February 2020. The results </w:t>
      </w:r>
      <w:r w:rsidR="00E258FC" w:rsidRPr="0029324A">
        <w:t>show</w:t>
      </w:r>
      <w:r w:rsidRPr="0029324A">
        <w:t xml:space="preserve"> that, over a 15-year time horizon, top-down treatment guided by PredictSURE IBD produced an incremental cost-effectiveness ratio (ICER) of £7,179 per </w:t>
      </w:r>
      <w:r w:rsidR="00F64C49" w:rsidRPr="0029324A">
        <w:t>quality-adjusted life year (</w:t>
      </w:r>
      <w:r w:rsidRPr="0029324A">
        <w:t>QALY</w:t>
      </w:r>
      <w:r w:rsidR="00F64C49" w:rsidRPr="0029324A">
        <w:t>)</w:t>
      </w:r>
      <w:r w:rsidRPr="0029324A">
        <w:t xml:space="preserve"> gained when compared with standard care</w:t>
      </w:r>
      <w:r w:rsidR="00E258FC" w:rsidRPr="0029324A">
        <w:t>.</w:t>
      </w:r>
    </w:p>
    <w:p w14:paraId="31820C3E" w14:textId="54A13D2E" w:rsidR="002D5CEF" w:rsidRPr="0029324A" w:rsidRDefault="007162D3" w:rsidP="002D5CEF">
      <w:pPr>
        <w:pStyle w:val="Heading3"/>
      </w:pPr>
      <w:r w:rsidRPr="0029324A">
        <w:t>Economic analysis</w:t>
      </w:r>
    </w:p>
    <w:p w14:paraId="55A17BC3" w14:textId="4EFFCB9D" w:rsidR="007162D3" w:rsidRPr="0029324A" w:rsidRDefault="00727C6D" w:rsidP="00E16B4B">
      <w:pPr>
        <w:pStyle w:val="Numberedlevel2text"/>
      </w:pPr>
      <w:bookmarkStart w:id="7" w:name="_Ref48662575"/>
      <w:r w:rsidRPr="0029324A">
        <w:t xml:space="preserve">The EAG developed a </w:t>
      </w:r>
      <w:r w:rsidR="002D5CEF" w:rsidRPr="0029324A">
        <w:t>de novo model</w:t>
      </w:r>
      <w:r w:rsidR="006C07BC" w:rsidRPr="0029324A">
        <w:t xml:space="preserve"> to assess the cost effectiveness of PredictSURE IBD and IBDX to guide </w:t>
      </w:r>
      <w:r w:rsidR="009C1E0E" w:rsidRPr="0029324A">
        <w:t>treatment</w:t>
      </w:r>
      <w:r w:rsidR="006C07BC" w:rsidRPr="0029324A">
        <w:t xml:space="preserve"> in Crohn’s disease</w:t>
      </w:r>
      <w:r w:rsidR="002D5CEF" w:rsidRPr="0029324A">
        <w:t xml:space="preserve">. </w:t>
      </w:r>
      <w:r w:rsidRPr="0029324A">
        <w:t xml:space="preserve">There </w:t>
      </w:r>
      <w:r w:rsidR="00D676A2" w:rsidRPr="0029324A">
        <w:t>were</w:t>
      </w:r>
      <w:r w:rsidRPr="0029324A">
        <w:t xml:space="preserve"> no</w:t>
      </w:r>
      <w:r w:rsidR="007162D3" w:rsidRPr="0029324A">
        <w:t xml:space="preserve"> detailed data for IBDX</w:t>
      </w:r>
      <w:r w:rsidRPr="0029324A">
        <w:t xml:space="preserve"> so the EAG assessed </w:t>
      </w:r>
      <w:r w:rsidR="007162D3" w:rsidRPr="0029324A">
        <w:t xml:space="preserve">its cost effectiveness </w:t>
      </w:r>
      <w:r w:rsidRPr="0029324A">
        <w:t>in</w:t>
      </w:r>
      <w:r w:rsidR="007162D3" w:rsidRPr="0029324A">
        <w:t xml:space="preserve"> an exploratory scenario analysis only.</w:t>
      </w:r>
      <w:bookmarkEnd w:id="7"/>
    </w:p>
    <w:p w14:paraId="5BBA5C91" w14:textId="2BDEEC7A" w:rsidR="001C2234" w:rsidRPr="0029324A" w:rsidRDefault="001C2234" w:rsidP="00F0467D">
      <w:pPr>
        <w:pStyle w:val="Numberedlevel2text"/>
      </w:pPr>
      <w:r w:rsidRPr="0029324A">
        <w:t xml:space="preserve">The economic analysis was done from the UK NHS and personal social services perspective. The model had a lifetime time horizon (65 years) </w:t>
      </w:r>
      <w:r w:rsidRPr="0029324A">
        <w:lastRenderedPageBreak/>
        <w:t>with a cycle length of 2 weeks. Costs and benefits were discounted at 3.5% per year</w:t>
      </w:r>
      <w:r w:rsidR="00054C3D" w:rsidRPr="0029324A">
        <w:t>.</w:t>
      </w:r>
    </w:p>
    <w:p w14:paraId="479E9987" w14:textId="3F5DC85F" w:rsidR="007162D3" w:rsidRPr="0029324A" w:rsidRDefault="007162D3" w:rsidP="000E7845">
      <w:pPr>
        <w:pStyle w:val="Heading3"/>
      </w:pPr>
      <w:r w:rsidRPr="0029324A">
        <w:t>Model structure</w:t>
      </w:r>
    </w:p>
    <w:p w14:paraId="71DAC797" w14:textId="06197822" w:rsidR="002D5CEF" w:rsidRPr="0029324A" w:rsidRDefault="0028430E" w:rsidP="00F0467D">
      <w:pPr>
        <w:pStyle w:val="Numberedlevel2text"/>
      </w:pPr>
      <w:r w:rsidRPr="0029324A">
        <w:t>The model was a hybrid model, with a decision tree for the induction treatment and a Markov transition model for the maintenance treatment.</w:t>
      </w:r>
      <w:r w:rsidR="001C2234" w:rsidRPr="0029324A">
        <w:t xml:space="preserve"> </w:t>
      </w:r>
      <w:r w:rsidR="002D5CEF" w:rsidRPr="0029324A">
        <w:t xml:space="preserve">In the induction model, </w:t>
      </w:r>
      <w:r w:rsidR="00F4284B" w:rsidRPr="0029324A">
        <w:t>people</w:t>
      </w:r>
      <w:r w:rsidR="002D5CEF" w:rsidRPr="0029324A">
        <w:t xml:space="preserve"> whose disease does not respond (deterioration; no change; or an improvement </w:t>
      </w:r>
      <w:r w:rsidR="00043FDA" w:rsidRPr="0029324A">
        <w:t xml:space="preserve">of </w:t>
      </w:r>
      <w:r w:rsidR="002D5CEF" w:rsidRPr="0029324A">
        <w:t>70</w:t>
      </w:r>
      <w:r w:rsidR="00043FDA" w:rsidRPr="0029324A">
        <w:t xml:space="preserve"> or less</w:t>
      </w:r>
      <w:r w:rsidR="002D5CEF" w:rsidRPr="0029324A">
        <w:t xml:space="preserve"> in </w:t>
      </w:r>
      <w:bookmarkStart w:id="8" w:name="_Hlk46249578"/>
      <w:r w:rsidR="002D5CEF" w:rsidRPr="0029324A">
        <w:t xml:space="preserve">Crohn's Disease Activity Index [CDAI] </w:t>
      </w:r>
      <w:bookmarkEnd w:id="8"/>
      <w:r w:rsidR="002D5CEF" w:rsidRPr="0029324A">
        <w:t xml:space="preserve">score) </w:t>
      </w:r>
      <w:r w:rsidR="00054C3D" w:rsidRPr="0029324A">
        <w:t xml:space="preserve">have </w:t>
      </w:r>
      <w:r w:rsidR="002D5CEF" w:rsidRPr="0029324A">
        <w:t xml:space="preserve">second-line treatment, according to their treatment allocation (top down or step up). </w:t>
      </w:r>
      <w:r w:rsidR="00F4284B" w:rsidRPr="0029324A">
        <w:t>People</w:t>
      </w:r>
      <w:r w:rsidR="002D5CEF" w:rsidRPr="0029324A">
        <w:t xml:space="preserve"> whose disease responds to the induction treatment (an improvement in CDAI score above 70) move to the maintenance model.</w:t>
      </w:r>
      <w:r w:rsidR="00A80CA4" w:rsidRPr="0029324A">
        <w:t xml:space="preserve"> They can enter the maintenance model either in remission, mild, or moderate to severe health states. </w:t>
      </w:r>
      <w:r w:rsidR="00F4284B" w:rsidRPr="0029324A">
        <w:t>People</w:t>
      </w:r>
      <w:r w:rsidR="00A80CA4" w:rsidRPr="0029324A">
        <w:t xml:space="preserve"> can then move between these states during maintenance </w:t>
      </w:r>
      <w:r w:rsidR="009C1E0E" w:rsidRPr="0029324A">
        <w:t>treatment</w:t>
      </w:r>
      <w:r w:rsidR="00A80CA4" w:rsidRPr="0029324A">
        <w:t xml:space="preserve">, reflecting the different levels of response to maintenance </w:t>
      </w:r>
      <w:r w:rsidR="009C1E0E" w:rsidRPr="0029324A">
        <w:t>treatment</w:t>
      </w:r>
      <w:r w:rsidR="00A80CA4" w:rsidRPr="0029324A">
        <w:t xml:space="preserve">. </w:t>
      </w:r>
      <w:r w:rsidR="00F4284B" w:rsidRPr="0029324A">
        <w:t>People</w:t>
      </w:r>
      <w:r w:rsidR="00A80CA4" w:rsidRPr="0029324A">
        <w:t xml:space="preserve"> in the mild and moderate to severe states are at risk of relapse and escalating to the next treatment step.</w:t>
      </w:r>
    </w:p>
    <w:p w14:paraId="72D84F56" w14:textId="5D19B589" w:rsidR="002D799A" w:rsidRPr="0029324A" w:rsidRDefault="002D799A" w:rsidP="00F0467D">
      <w:pPr>
        <w:pStyle w:val="Numberedlevel2text"/>
      </w:pPr>
      <w:r w:rsidRPr="0029324A">
        <w:t>Escalations from corticosteroids to immunomodulators</w:t>
      </w:r>
      <w:r w:rsidR="005106F0" w:rsidRPr="0029324A">
        <w:t xml:space="preserve"> (step up)</w:t>
      </w:r>
      <w:r w:rsidRPr="0029324A">
        <w:t xml:space="preserve"> and from corticosteroids to </w:t>
      </w:r>
      <w:r w:rsidR="00327F0C" w:rsidRPr="0029324A">
        <w:t>tumour necrosis factor (TNF)-alpha inhibitors</w:t>
      </w:r>
      <w:r w:rsidR="005106F0" w:rsidRPr="0029324A">
        <w:t xml:space="preserve"> (top down)</w:t>
      </w:r>
      <w:r w:rsidRPr="0029324A">
        <w:t xml:space="preserve"> were not modelled because in both strategies all </w:t>
      </w:r>
      <w:r w:rsidR="00F4284B" w:rsidRPr="0029324A">
        <w:t>people</w:t>
      </w:r>
      <w:r w:rsidRPr="0029324A">
        <w:t xml:space="preserve"> </w:t>
      </w:r>
      <w:r w:rsidR="00D676A2" w:rsidRPr="0029324A">
        <w:t>have</w:t>
      </w:r>
      <w:r w:rsidRPr="0029324A">
        <w:t xml:space="preserve"> initial induction treatment with corticosteroids</w:t>
      </w:r>
      <w:r w:rsidR="00054C3D" w:rsidRPr="0029324A">
        <w:t>, so</w:t>
      </w:r>
      <w:r w:rsidR="001C2234" w:rsidRPr="0029324A">
        <w:t xml:space="preserve"> they cancel</w:t>
      </w:r>
      <w:r w:rsidR="00054C3D" w:rsidRPr="0029324A">
        <w:t xml:space="preserve"> each other</w:t>
      </w:r>
      <w:r w:rsidR="001C2234" w:rsidRPr="0029324A">
        <w:t xml:space="preserve"> out</w:t>
      </w:r>
      <w:r w:rsidR="00F47559" w:rsidRPr="0029324A">
        <w:t>.</w:t>
      </w:r>
    </w:p>
    <w:p w14:paraId="08BACC43" w14:textId="739C203B" w:rsidR="002D799A" w:rsidRPr="0029324A" w:rsidRDefault="000023BE" w:rsidP="00F0467D">
      <w:pPr>
        <w:pStyle w:val="Numberedlevel2text"/>
      </w:pPr>
      <w:r w:rsidRPr="0029324A">
        <w:t>Surg</w:t>
      </w:r>
      <w:r w:rsidR="001C2234" w:rsidRPr="0029324A">
        <w:t>ical events are modelled</w:t>
      </w:r>
      <w:r w:rsidRPr="0029324A">
        <w:t xml:space="preserve"> </w:t>
      </w:r>
      <w:r w:rsidR="00054C3D" w:rsidRPr="0029324A">
        <w:t xml:space="preserve">as </w:t>
      </w:r>
      <w:r w:rsidRPr="0029324A">
        <w:t xml:space="preserve">a standalone outcome in the model, that is, </w:t>
      </w:r>
      <w:r w:rsidR="00F4284B" w:rsidRPr="0029324A">
        <w:t>people</w:t>
      </w:r>
      <w:r w:rsidRPr="0029324A">
        <w:t xml:space="preserve"> did not leave their respective health states to enter a surgery health state. Complications and long</w:t>
      </w:r>
      <w:r w:rsidR="00054C3D" w:rsidRPr="0029324A">
        <w:t>-</w:t>
      </w:r>
      <w:r w:rsidRPr="0029324A">
        <w:t>term consequences of surgery were not modelled. Time to surgery in the high</w:t>
      </w:r>
      <w:r w:rsidR="00054C3D" w:rsidRPr="0029324A">
        <w:t>-</w:t>
      </w:r>
      <w:r w:rsidRPr="0029324A">
        <w:t>risk</w:t>
      </w:r>
      <w:r w:rsidR="00054C3D" w:rsidRPr="0029324A">
        <w:t>,</w:t>
      </w:r>
      <w:r w:rsidRPr="0029324A">
        <w:t xml:space="preserve"> top</w:t>
      </w:r>
      <w:r w:rsidR="00054C3D" w:rsidRPr="0029324A">
        <w:t>-</w:t>
      </w:r>
      <w:r w:rsidRPr="0029324A">
        <w:t>down cohort was estimated by applying a hazard function generated from the study by Hoekman et al</w:t>
      </w:r>
      <w:r w:rsidR="000E7845" w:rsidRPr="0029324A">
        <w:t>.</w:t>
      </w:r>
      <w:r w:rsidR="00F47559" w:rsidRPr="0029324A">
        <w:t xml:space="preserve"> (2018)</w:t>
      </w:r>
      <w:r w:rsidR="00292E58" w:rsidRPr="0029324A">
        <w:t>.</w:t>
      </w:r>
    </w:p>
    <w:p w14:paraId="5890E024" w14:textId="57975E0C" w:rsidR="002D5CEF" w:rsidRPr="0029324A" w:rsidRDefault="002D5CEF" w:rsidP="002D5CEF">
      <w:pPr>
        <w:pStyle w:val="Heading3"/>
      </w:pPr>
      <w:r w:rsidRPr="0029324A">
        <w:t>Model inputs</w:t>
      </w:r>
    </w:p>
    <w:p w14:paraId="4A5388ED" w14:textId="407920B1" w:rsidR="002D5CEF" w:rsidRPr="0029324A" w:rsidRDefault="002D5CEF" w:rsidP="00F0467D">
      <w:pPr>
        <w:pStyle w:val="Numberedlevel2text"/>
      </w:pPr>
      <w:r w:rsidRPr="0029324A">
        <w:t xml:space="preserve">The population modelled was based on the UK study by Biasci et al. (2019), which </w:t>
      </w:r>
      <w:r w:rsidR="00133E7B" w:rsidRPr="0029324A">
        <w:t>the company</w:t>
      </w:r>
      <w:r w:rsidR="00054C3D" w:rsidRPr="0029324A">
        <w:t xml:space="preserve"> provided </w:t>
      </w:r>
      <w:r w:rsidRPr="0029324A">
        <w:t>anonymised individual patient data</w:t>
      </w:r>
      <w:r w:rsidR="00054C3D" w:rsidRPr="0029324A">
        <w:t xml:space="preserve"> for</w:t>
      </w:r>
      <w:r w:rsidRPr="0029324A">
        <w:t>. The</w:t>
      </w:r>
      <w:r w:rsidR="00054C3D" w:rsidRPr="0029324A">
        <w:t>re were</w:t>
      </w:r>
      <w:r w:rsidRPr="0029324A">
        <w:t xml:space="preserve"> 105 people</w:t>
      </w:r>
      <w:r w:rsidR="00054C3D" w:rsidRPr="0029324A">
        <w:t xml:space="preserve"> in the cohort</w:t>
      </w:r>
      <w:r w:rsidRPr="0029324A">
        <w:t xml:space="preserve"> with Crohn’s disease</w:t>
      </w:r>
      <w:r w:rsidR="00054C3D" w:rsidRPr="0029324A">
        <w:t>;</w:t>
      </w:r>
      <w:r w:rsidR="001C2234" w:rsidRPr="0029324A">
        <w:t xml:space="preserve"> 88 were </w:t>
      </w:r>
      <w:r w:rsidR="001C2234" w:rsidRPr="0029324A">
        <w:lastRenderedPageBreak/>
        <w:t>newly diagnosed</w:t>
      </w:r>
      <w:r w:rsidRPr="0029324A">
        <w:t>. However, the EAG</w:t>
      </w:r>
      <w:r w:rsidR="00054C3D" w:rsidRPr="0029324A">
        <w:t xml:space="preserve"> based its</w:t>
      </w:r>
      <w:r w:rsidRPr="0029324A">
        <w:t xml:space="preserve"> analysis</w:t>
      </w:r>
      <w:r w:rsidR="00054C3D" w:rsidRPr="0029324A">
        <w:t xml:space="preserve"> </w:t>
      </w:r>
      <w:r w:rsidRPr="0029324A">
        <w:t xml:space="preserve">on 40 people </w:t>
      </w:r>
      <w:r w:rsidR="0047397A" w:rsidRPr="0029324A">
        <w:t xml:space="preserve">in the study </w:t>
      </w:r>
      <w:r w:rsidRPr="0029324A">
        <w:t xml:space="preserve">whose treatment matched the standard definition of step-up </w:t>
      </w:r>
      <w:r w:rsidR="009C1E0E" w:rsidRPr="0029324A">
        <w:t>treatment</w:t>
      </w:r>
      <w:r w:rsidRPr="0029324A">
        <w:t xml:space="preserve"> in the UK</w:t>
      </w:r>
      <w:r w:rsidR="001C2234" w:rsidRPr="0029324A">
        <w:t xml:space="preserve">, that is, </w:t>
      </w:r>
      <w:r w:rsidR="006B64E0" w:rsidRPr="0029324A">
        <w:t xml:space="preserve">people who </w:t>
      </w:r>
      <w:r w:rsidR="00054C3D" w:rsidRPr="0029324A">
        <w:t>had</w:t>
      </w:r>
      <w:r w:rsidR="006B64E0" w:rsidRPr="0029324A">
        <w:t xml:space="preserve"> first-line </w:t>
      </w:r>
      <w:r w:rsidR="009C1E0E" w:rsidRPr="0029324A">
        <w:t>treatment</w:t>
      </w:r>
      <w:r w:rsidR="006B64E0" w:rsidRPr="0029324A">
        <w:t xml:space="preserve"> with corticosteroids and second-line treatment with immunomodulators (after failure of corticosteroids)</w:t>
      </w:r>
      <w:r w:rsidRPr="0029324A">
        <w:t>. This informed the estimates of time to treatment escalation and time to surgery in the base case. To extrapolate time to treatment escalation data to the time horizon of the model, the EAG used individual patient data to generate time to event data for time to first escalation.</w:t>
      </w:r>
    </w:p>
    <w:p w14:paraId="64FFCCA5" w14:textId="5EBE63E7" w:rsidR="002D5CEF" w:rsidRPr="0029324A" w:rsidRDefault="002D5CEF" w:rsidP="00F0467D">
      <w:pPr>
        <w:pStyle w:val="Numberedlevel2text"/>
      </w:pPr>
      <w:bookmarkStart w:id="9" w:name="_Ref48194379"/>
      <w:r w:rsidRPr="0029324A">
        <w:t>D’Haens et al. (2008) and its 10-year follow</w:t>
      </w:r>
      <w:r w:rsidR="008D4315" w:rsidRPr="0029324A">
        <w:t>-up</w:t>
      </w:r>
      <w:r w:rsidRPr="0029324A">
        <w:t xml:space="preserve"> study by Hoekman et al. (2018) informed estimates for effectiveness of top-down compared with step-up </w:t>
      </w:r>
      <w:r w:rsidR="009C1E0E" w:rsidRPr="0029324A">
        <w:t>treatment</w:t>
      </w:r>
      <w:r w:rsidRPr="0029324A">
        <w:t xml:space="preserve">. The study by D’Haens was a 2-year multicentre randomised trial that assessed the clinical efficacy of early combined immunosuppression (top-down </w:t>
      </w:r>
      <w:r w:rsidR="009C1E0E" w:rsidRPr="0029324A">
        <w:t>treatment</w:t>
      </w:r>
      <w:r w:rsidRPr="0029324A">
        <w:t xml:space="preserve">) compared with conventional treatment (step-up </w:t>
      </w:r>
      <w:r w:rsidR="009C1E0E" w:rsidRPr="0029324A">
        <w:t>treatment</w:t>
      </w:r>
      <w:r w:rsidRPr="0029324A">
        <w:t xml:space="preserve">) in people with newly diagnosed Crohn’s disease. </w:t>
      </w:r>
      <w:r w:rsidR="00C77866" w:rsidRPr="0029324A">
        <w:t xml:space="preserve">People randomised to top-down </w:t>
      </w:r>
      <w:r w:rsidR="009C1E0E" w:rsidRPr="0029324A">
        <w:t>treatment</w:t>
      </w:r>
      <w:r w:rsidR="00C77866" w:rsidRPr="0029324A">
        <w:t xml:space="preserve"> </w:t>
      </w:r>
      <w:r w:rsidR="007B0B24" w:rsidRPr="0029324A">
        <w:t xml:space="preserve">had </w:t>
      </w:r>
      <w:r w:rsidR="00C77866" w:rsidRPr="0029324A">
        <w:t xml:space="preserve">induction treatment with infliximab and azathioprine. </w:t>
      </w:r>
      <w:r w:rsidR="00F4284B" w:rsidRPr="0029324A">
        <w:t>People</w:t>
      </w:r>
      <w:r w:rsidR="00C77866" w:rsidRPr="0029324A">
        <w:t xml:space="preserve"> </w:t>
      </w:r>
      <w:r w:rsidR="007B0B24" w:rsidRPr="0029324A">
        <w:t xml:space="preserve">had </w:t>
      </w:r>
      <w:r w:rsidR="00C77866" w:rsidRPr="0029324A">
        <w:t xml:space="preserve">no infliximab maintenance but were allowed infliximab as needed and, if necessary, corticosteroids, to control disease activity. People randomised to step-up </w:t>
      </w:r>
      <w:r w:rsidR="009C1E0E" w:rsidRPr="0029324A">
        <w:t>treatment</w:t>
      </w:r>
      <w:r w:rsidR="00C77866" w:rsidRPr="0029324A">
        <w:t xml:space="preserve"> </w:t>
      </w:r>
      <w:r w:rsidR="007B0B24" w:rsidRPr="0029324A">
        <w:t xml:space="preserve">had </w:t>
      </w:r>
      <w:r w:rsidR="00C77866" w:rsidRPr="0029324A">
        <w:t xml:space="preserve">corticosteroids, followed, in sequence, by azathioprine and infliximab. </w:t>
      </w:r>
      <w:r w:rsidRPr="0029324A">
        <w:t xml:space="preserve">The study by Hoekman et al. (2018) retrospectively reviewed the medical records of </w:t>
      </w:r>
      <w:r w:rsidR="00F4284B" w:rsidRPr="0029324A">
        <w:t>people</w:t>
      </w:r>
      <w:r w:rsidRPr="0029324A">
        <w:t xml:space="preserve"> included in the D’Haens trial, which collected data on hospitalisation, flares, surgery, clinical activity and other outcomes, for a median follow up of 10 years.</w:t>
      </w:r>
      <w:bookmarkEnd w:id="9"/>
    </w:p>
    <w:p w14:paraId="1E3CB04B" w14:textId="6440E148" w:rsidR="002D5CEF" w:rsidRPr="0029324A" w:rsidRDefault="002D5CEF" w:rsidP="002D5CEF">
      <w:pPr>
        <w:pStyle w:val="Heading3"/>
      </w:pPr>
      <w:r w:rsidRPr="0029324A">
        <w:t>Effectiveness of induction and maintenance therapies</w:t>
      </w:r>
    </w:p>
    <w:p w14:paraId="280F7A06" w14:textId="2012139E" w:rsidR="002D5CEF" w:rsidRPr="0029324A" w:rsidRDefault="00CE2B60" w:rsidP="00F0467D">
      <w:pPr>
        <w:pStyle w:val="Numberedlevel2text"/>
      </w:pPr>
      <w:r w:rsidRPr="0029324A">
        <w:t xml:space="preserve">Probabilities of response and remission with induction and maintenance therapies were based on data from a pragmatic search and from </w:t>
      </w:r>
      <w:hyperlink r:id="rId14" w:history="1">
        <w:r w:rsidRPr="0029324A">
          <w:rPr>
            <w:rStyle w:val="Hyperlink"/>
          </w:rPr>
          <w:t>NICE’s guidance on vedolizumab for treating moderately to severely active Crohn's disease after prior therapy</w:t>
        </w:r>
      </w:hyperlink>
      <w:r w:rsidRPr="0029324A">
        <w:t>.</w:t>
      </w:r>
      <w:r w:rsidR="00C83173" w:rsidRPr="0029324A">
        <w:t xml:space="preserve"> Based on </w:t>
      </w:r>
      <w:r w:rsidR="00612A9B" w:rsidRPr="0029324A">
        <w:t>this</w:t>
      </w:r>
      <w:r w:rsidR="00C83173" w:rsidRPr="0029324A">
        <w:t xml:space="preserve"> guidance, the EAG estimated that 21.2% of responders remained in the moderate to severe </w:t>
      </w:r>
      <w:r w:rsidR="00C83173" w:rsidRPr="0029324A">
        <w:lastRenderedPageBreak/>
        <w:t>disease state.</w:t>
      </w:r>
      <w:r w:rsidRPr="0029324A">
        <w:t xml:space="preserve"> The probabili</w:t>
      </w:r>
      <w:r w:rsidR="00B9473B" w:rsidRPr="0029324A">
        <w:t xml:space="preserve">ty of response </w:t>
      </w:r>
      <w:r w:rsidR="004A5C7B" w:rsidRPr="0029324A">
        <w:t xml:space="preserve">is </w:t>
      </w:r>
      <w:r w:rsidR="00B9473B" w:rsidRPr="0029324A">
        <w:t>the same f</w:t>
      </w:r>
      <w:r w:rsidR="000B7973" w:rsidRPr="0029324A">
        <w:t>or top down and step up, except for immunomodulators in the step</w:t>
      </w:r>
      <w:r w:rsidR="004A5C7B" w:rsidRPr="0029324A">
        <w:t>-</w:t>
      </w:r>
      <w:r w:rsidR="000B7973" w:rsidRPr="0029324A">
        <w:t>up strategy</w:t>
      </w:r>
      <w:r w:rsidRPr="0029324A">
        <w:t xml:space="preserve"> </w:t>
      </w:r>
      <w:r w:rsidR="000B7973" w:rsidRPr="0029324A">
        <w:t>(</w:t>
      </w:r>
      <w:r w:rsidR="004A5C7B" w:rsidRPr="0029324A">
        <w:t>t</w:t>
      </w:r>
      <w:r w:rsidRPr="0029324A">
        <w:t>able 1</w:t>
      </w:r>
      <w:r w:rsidR="000B7973" w:rsidRPr="0029324A">
        <w:t>)</w:t>
      </w:r>
      <w:r w:rsidR="002D49F9" w:rsidRPr="0029324A">
        <w:t>.</w:t>
      </w:r>
    </w:p>
    <w:p w14:paraId="4B05C62B" w14:textId="438810CA" w:rsidR="00CE2B60" w:rsidRPr="0029324A" w:rsidRDefault="00CE2B60" w:rsidP="001A7292">
      <w:pPr>
        <w:pStyle w:val="Caption"/>
      </w:pPr>
      <w:r w:rsidRPr="0029324A">
        <w:t>Table 1 Probabilit</w:t>
      </w:r>
      <w:r w:rsidR="004A5C7B" w:rsidRPr="0029324A">
        <w:t>y</w:t>
      </w:r>
      <w:r w:rsidRPr="0029324A">
        <w:t xml:space="preserve"> of response and remission with induction and maintenance therapies</w:t>
      </w:r>
    </w:p>
    <w:tbl>
      <w:tblPr>
        <w:tblW w:w="7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7"/>
        <w:gridCol w:w="1280"/>
        <w:gridCol w:w="1280"/>
        <w:gridCol w:w="1622"/>
        <w:gridCol w:w="1622"/>
      </w:tblGrid>
      <w:tr w:rsidR="00CE2B60" w:rsidRPr="0029324A" w14:paraId="595217EB" w14:textId="77777777" w:rsidTr="00CE2B60">
        <w:tc>
          <w:tcPr>
            <w:tcW w:w="1280" w:type="dxa"/>
          </w:tcPr>
          <w:p w14:paraId="789908B9" w14:textId="4514785E" w:rsidR="00CE2B60" w:rsidRPr="0029324A" w:rsidRDefault="00CE2B60" w:rsidP="00B6609B">
            <w:pPr>
              <w:pStyle w:val="Tableheading"/>
            </w:pPr>
            <w:bookmarkStart w:id="10" w:name="_Hlk42436181"/>
            <w:r w:rsidRPr="0029324A">
              <w:t>Treatment strategy</w:t>
            </w:r>
          </w:p>
        </w:tc>
        <w:tc>
          <w:tcPr>
            <w:tcW w:w="1286" w:type="dxa"/>
          </w:tcPr>
          <w:p w14:paraId="5EDFF72C" w14:textId="06187073" w:rsidR="00CE2B60" w:rsidRPr="0029324A" w:rsidRDefault="00CE2B60" w:rsidP="00B6609B">
            <w:pPr>
              <w:pStyle w:val="Tableheading"/>
            </w:pPr>
            <w:r w:rsidRPr="0029324A">
              <w:t>Induction: response</w:t>
            </w:r>
          </w:p>
        </w:tc>
        <w:tc>
          <w:tcPr>
            <w:tcW w:w="1287" w:type="dxa"/>
          </w:tcPr>
          <w:p w14:paraId="3D13AC21" w14:textId="4B599186" w:rsidR="00CE2B60" w:rsidRPr="0029324A" w:rsidRDefault="00CE2B60" w:rsidP="00B6609B">
            <w:pPr>
              <w:pStyle w:val="Tableheading"/>
            </w:pPr>
            <w:r w:rsidRPr="0029324A">
              <w:t>Induction: remission</w:t>
            </w:r>
          </w:p>
        </w:tc>
        <w:tc>
          <w:tcPr>
            <w:tcW w:w="1743" w:type="dxa"/>
            <w:shd w:val="clear" w:color="auto" w:fill="auto"/>
          </w:tcPr>
          <w:p w14:paraId="37904A18" w14:textId="0175DE24" w:rsidR="00CE2B60" w:rsidRPr="0029324A" w:rsidRDefault="00CE2B60" w:rsidP="00B6609B">
            <w:pPr>
              <w:pStyle w:val="Tableheading"/>
            </w:pPr>
            <w:r w:rsidRPr="0029324A">
              <w:t>Maintenance: response</w:t>
            </w:r>
          </w:p>
        </w:tc>
        <w:tc>
          <w:tcPr>
            <w:tcW w:w="1678" w:type="dxa"/>
            <w:shd w:val="clear" w:color="auto" w:fill="auto"/>
          </w:tcPr>
          <w:p w14:paraId="3E979C40" w14:textId="0C6C71FE" w:rsidR="00CE2B60" w:rsidRPr="0029324A" w:rsidRDefault="00CE2B60" w:rsidP="00B6609B">
            <w:pPr>
              <w:pStyle w:val="Tableheading"/>
            </w:pPr>
            <w:r w:rsidRPr="0029324A">
              <w:t>Maintenance: remission</w:t>
            </w:r>
          </w:p>
        </w:tc>
      </w:tr>
      <w:tr w:rsidR="00CE2B60" w:rsidRPr="0029324A" w14:paraId="03ED0D9A" w14:textId="77777777" w:rsidTr="004A5C7B">
        <w:tc>
          <w:tcPr>
            <w:tcW w:w="1280" w:type="dxa"/>
          </w:tcPr>
          <w:p w14:paraId="2786E9A7" w14:textId="263ACDC4" w:rsidR="00CE2B60" w:rsidRPr="0029324A" w:rsidRDefault="00CE2B60" w:rsidP="00CE2B60">
            <w:pPr>
              <w:pStyle w:val="Tabletext"/>
            </w:pPr>
            <w:r w:rsidRPr="0029324A">
              <w:t>Top down: biologics</w:t>
            </w:r>
          </w:p>
        </w:tc>
        <w:tc>
          <w:tcPr>
            <w:tcW w:w="1286" w:type="dxa"/>
          </w:tcPr>
          <w:p w14:paraId="73A992A9" w14:textId="7D99C478" w:rsidR="00CE2B60" w:rsidRPr="0029324A" w:rsidRDefault="00CE2B60" w:rsidP="004A5C7B">
            <w:pPr>
              <w:pStyle w:val="Tabletext"/>
              <w:jc w:val="center"/>
            </w:pPr>
            <w:r w:rsidRPr="0029324A">
              <w:t>32%</w:t>
            </w:r>
          </w:p>
        </w:tc>
        <w:tc>
          <w:tcPr>
            <w:tcW w:w="1287" w:type="dxa"/>
          </w:tcPr>
          <w:p w14:paraId="60D4DCF9" w14:textId="0F13248F" w:rsidR="00CE2B60" w:rsidRPr="0029324A" w:rsidRDefault="00CE2B60" w:rsidP="004A5C7B">
            <w:pPr>
              <w:pStyle w:val="Tabletext"/>
              <w:jc w:val="center"/>
            </w:pPr>
            <w:r w:rsidRPr="0029324A">
              <w:t>13%</w:t>
            </w:r>
          </w:p>
        </w:tc>
        <w:tc>
          <w:tcPr>
            <w:tcW w:w="1743" w:type="dxa"/>
            <w:shd w:val="clear" w:color="auto" w:fill="auto"/>
          </w:tcPr>
          <w:p w14:paraId="04F5D47B" w14:textId="5E238451" w:rsidR="00CE2B60" w:rsidRPr="0029324A" w:rsidRDefault="00CE2B60" w:rsidP="004A5C7B">
            <w:pPr>
              <w:pStyle w:val="Tabletext"/>
              <w:jc w:val="center"/>
            </w:pPr>
            <w:r w:rsidRPr="0029324A">
              <w:t>2%</w:t>
            </w:r>
          </w:p>
        </w:tc>
        <w:tc>
          <w:tcPr>
            <w:tcW w:w="1678" w:type="dxa"/>
            <w:shd w:val="clear" w:color="auto" w:fill="auto"/>
          </w:tcPr>
          <w:p w14:paraId="60D5C4D5" w14:textId="47C78719" w:rsidR="00CE2B60" w:rsidRPr="0029324A" w:rsidRDefault="00CE2B60" w:rsidP="004A5C7B">
            <w:pPr>
              <w:pStyle w:val="Tabletext"/>
              <w:jc w:val="center"/>
            </w:pPr>
            <w:r w:rsidRPr="0029324A">
              <w:t>28%</w:t>
            </w:r>
          </w:p>
        </w:tc>
      </w:tr>
      <w:tr w:rsidR="00CE2B60" w:rsidRPr="0029324A" w14:paraId="6D3D8462" w14:textId="77777777" w:rsidTr="004A5C7B">
        <w:tc>
          <w:tcPr>
            <w:tcW w:w="1280" w:type="dxa"/>
          </w:tcPr>
          <w:p w14:paraId="6D0973F6" w14:textId="19C1DCDF" w:rsidR="00CE2B60" w:rsidRPr="0029324A" w:rsidRDefault="00CE2B60" w:rsidP="00CE2B60">
            <w:pPr>
              <w:pStyle w:val="Tabletext"/>
            </w:pPr>
            <w:r w:rsidRPr="0029324A">
              <w:t>Top down: anti-TNF</w:t>
            </w:r>
          </w:p>
        </w:tc>
        <w:tc>
          <w:tcPr>
            <w:tcW w:w="1286" w:type="dxa"/>
          </w:tcPr>
          <w:p w14:paraId="1EB2A40C" w14:textId="3D431C19" w:rsidR="00CE2B60" w:rsidRPr="0029324A" w:rsidRDefault="00CE2B60" w:rsidP="004A5C7B">
            <w:pPr>
              <w:pStyle w:val="Tabletext"/>
              <w:jc w:val="center"/>
            </w:pPr>
            <w:r w:rsidRPr="0029324A">
              <w:t>26%</w:t>
            </w:r>
          </w:p>
        </w:tc>
        <w:tc>
          <w:tcPr>
            <w:tcW w:w="1287" w:type="dxa"/>
          </w:tcPr>
          <w:p w14:paraId="464C279E" w14:textId="5299B0B1" w:rsidR="00CE2B60" w:rsidRPr="0029324A" w:rsidRDefault="00CE2B60" w:rsidP="004A5C7B">
            <w:pPr>
              <w:pStyle w:val="Tabletext"/>
              <w:jc w:val="center"/>
            </w:pPr>
            <w:r w:rsidRPr="0029324A">
              <w:t>37%</w:t>
            </w:r>
          </w:p>
        </w:tc>
        <w:tc>
          <w:tcPr>
            <w:tcW w:w="1743" w:type="dxa"/>
            <w:shd w:val="clear" w:color="auto" w:fill="auto"/>
          </w:tcPr>
          <w:p w14:paraId="7298A845" w14:textId="6D1C4652" w:rsidR="00CE2B60" w:rsidRPr="0029324A" w:rsidRDefault="00CE2B60" w:rsidP="004A5C7B">
            <w:pPr>
              <w:pStyle w:val="Tabletext"/>
              <w:jc w:val="center"/>
            </w:pPr>
            <w:r w:rsidRPr="0029324A">
              <w:t>10%</w:t>
            </w:r>
          </w:p>
        </w:tc>
        <w:tc>
          <w:tcPr>
            <w:tcW w:w="1678" w:type="dxa"/>
            <w:shd w:val="clear" w:color="auto" w:fill="auto"/>
          </w:tcPr>
          <w:p w14:paraId="657C5108" w14:textId="70C2B7B0" w:rsidR="00CE2B60" w:rsidRPr="0029324A" w:rsidRDefault="00CE2B60" w:rsidP="004A5C7B">
            <w:pPr>
              <w:pStyle w:val="Tabletext"/>
              <w:jc w:val="center"/>
            </w:pPr>
            <w:r w:rsidRPr="0029324A">
              <w:t>33%</w:t>
            </w:r>
          </w:p>
        </w:tc>
      </w:tr>
      <w:tr w:rsidR="00CE2B60" w:rsidRPr="0029324A" w14:paraId="5DDC29CE" w14:textId="77777777" w:rsidTr="004A5C7B">
        <w:tc>
          <w:tcPr>
            <w:tcW w:w="1280" w:type="dxa"/>
          </w:tcPr>
          <w:p w14:paraId="06C9020A" w14:textId="71EEE863" w:rsidR="00CE2B60" w:rsidRPr="0029324A" w:rsidRDefault="00CE2B60" w:rsidP="00CE2B60">
            <w:pPr>
              <w:pStyle w:val="Tabletext"/>
            </w:pPr>
            <w:r w:rsidRPr="0029324A">
              <w:t>Step up: biologics</w:t>
            </w:r>
          </w:p>
        </w:tc>
        <w:tc>
          <w:tcPr>
            <w:tcW w:w="1286" w:type="dxa"/>
          </w:tcPr>
          <w:p w14:paraId="685FDD85" w14:textId="75561BB1" w:rsidR="00CE2B60" w:rsidRPr="0029324A" w:rsidRDefault="00CE2B60" w:rsidP="004A5C7B">
            <w:pPr>
              <w:pStyle w:val="Tabletext"/>
              <w:jc w:val="center"/>
            </w:pPr>
            <w:r w:rsidRPr="0029324A">
              <w:t>32%</w:t>
            </w:r>
          </w:p>
        </w:tc>
        <w:tc>
          <w:tcPr>
            <w:tcW w:w="1287" w:type="dxa"/>
          </w:tcPr>
          <w:p w14:paraId="40C237BE" w14:textId="03714DB7" w:rsidR="00CE2B60" w:rsidRPr="0029324A" w:rsidRDefault="00CE2B60" w:rsidP="004A5C7B">
            <w:pPr>
              <w:pStyle w:val="Tabletext"/>
              <w:jc w:val="center"/>
            </w:pPr>
            <w:r w:rsidRPr="0029324A">
              <w:t>13%</w:t>
            </w:r>
          </w:p>
        </w:tc>
        <w:tc>
          <w:tcPr>
            <w:tcW w:w="1743" w:type="dxa"/>
            <w:shd w:val="clear" w:color="auto" w:fill="auto"/>
          </w:tcPr>
          <w:p w14:paraId="75E15A99" w14:textId="2CBF1510" w:rsidR="00CE2B60" w:rsidRPr="0029324A" w:rsidRDefault="00CE2B60" w:rsidP="004A5C7B">
            <w:pPr>
              <w:pStyle w:val="Tabletext"/>
              <w:jc w:val="center"/>
            </w:pPr>
            <w:r w:rsidRPr="0029324A">
              <w:t>2%</w:t>
            </w:r>
          </w:p>
        </w:tc>
        <w:tc>
          <w:tcPr>
            <w:tcW w:w="1678" w:type="dxa"/>
            <w:shd w:val="clear" w:color="auto" w:fill="auto"/>
          </w:tcPr>
          <w:p w14:paraId="615D92F8" w14:textId="3997C767" w:rsidR="00CE2B60" w:rsidRPr="0029324A" w:rsidRDefault="00CE2B60" w:rsidP="004A5C7B">
            <w:pPr>
              <w:pStyle w:val="Tabletext"/>
              <w:jc w:val="center"/>
            </w:pPr>
            <w:r w:rsidRPr="0029324A">
              <w:t>28%</w:t>
            </w:r>
          </w:p>
        </w:tc>
      </w:tr>
      <w:tr w:rsidR="00CE2B60" w:rsidRPr="0029324A" w14:paraId="0097CDEC" w14:textId="77777777" w:rsidTr="004A5C7B">
        <w:tc>
          <w:tcPr>
            <w:tcW w:w="1280" w:type="dxa"/>
          </w:tcPr>
          <w:p w14:paraId="2CF4CE0C" w14:textId="0EC983ED" w:rsidR="00CE2B60" w:rsidRPr="0029324A" w:rsidRDefault="00CE2B60" w:rsidP="00CE2B60">
            <w:pPr>
              <w:pStyle w:val="Tabletext"/>
            </w:pPr>
            <w:r w:rsidRPr="0029324A">
              <w:t>Step up: anti-TNF</w:t>
            </w:r>
          </w:p>
        </w:tc>
        <w:tc>
          <w:tcPr>
            <w:tcW w:w="1286" w:type="dxa"/>
          </w:tcPr>
          <w:p w14:paraId="46915A68" w14:textId="63D6D5D7" w:rsidR="00CE2B60" w:rsidRPr="0029324A" w:rsidRDefault="00CE2B60" w:rsidP="004A5C7B">
            <w:pPr>
              <w:pStyle w:val="Tabletext"/>
              <w:jc w:val="center"/>
            </w:pPr>
            <w:r w:rsidRPr="0029324A">
              <w:t>26%</w:t>
            </w:r>
          </w:p>
        </w:tc>
        <w:tc>
          <w:tcPr>
            <w:tcW w:w="1287" w:type="dxa"/>
          </w:tcPr>
          <w:p w14:paraId="51461C86" w14:textId="43D68288" w:rsidR="00CE2B60" w:rsidRPr="0029324A" w:rsidRDefault="00CE2B60" w:rsidP="004A5C7B">
            <w:pPr>
              <w:pStyle w:val="Tabletext"/>
              <w:jc w:val="center"/>
            </w:pPr>
            <w:r w:rsidRPr="0029324A">
              <w:t>37%</w:t>
            </w:r>
          </w:p>
        </w:tc>
        <w:tc>
          <w:tcPr>
            <w:tcW w:w="1743" w:type="dxa"/>
            <w:shd w:val="clear" w:color="auto" w:fill="auto"/>
          </w:tcPr>
          <w:p w14:paraId="09C12B3B" w14:textId="175A64B0" w:rsidR="00CE2B60" w:rsidRPr="0029324A" w:rsidRDefault="00CE2B60" w:rsidP="004A5C7B">
            <w:pPr>
              <w:pStyle w:val="Tabletext"/>
              <w:jc w:val="center"/>
            </w:pPr>
            <w:r w:rsidRPr="0029324A">
              <w:t>10%</w:t>
            </w:r>
          </w:p>
        </w:tc>
        <w:tc>
          <w:tcPr>
            <w:tcW w:w="1678" w:type="dxa"/>
            <w:shd w:val="clear" w:color="auto" w:fill="auto"/>
          </w:tcPr>
          <w:p w14:paraId="52A43526" w14:textId="01D58025" w:rsidR="00CE2B60" w:rsidRPr="0029324A" w:rsidRDefault="00CE2B60" w:rsidP="004A5C7B">
            <w:pPr>
              <w:pStyle w:val="Tabletext"/>
              <w:jc w:val="center"/>
            </w:pPr>
            <w:r w:rsidRPr="0029324A">
              <w:t>33%</w:t>
            </w:r>
          </w:p>
        </w:tc>
      </w:tr>
      <w:tr w:rsidR="00CE2B60" w:rsidRPr="0029324A" w14:paraId="02E5FEDB" w14:textId="77777777" w:rsidTr="004A5C7B">
        <w:tc>
          <w:tcPr>
            <w:tcW w:w="1280" w:type="dxa"/>
          </w:tcPr>
          <w:p w14:paraId="494BC9E9" w14:textId="76A1B480" w:rsidR="00CE2B60" w:rsidRPr="0029324A" w:rsidRDefault="00CE2B60" w:rsidP="00CE2B60">
            <w:pPr>
              <w:pStyle w:val="Tabletext"/>
            </w:pPr>
            <w:r w:rsidRPr="0029324A">
              <w:t>Step up: immunomodulator</w:t>
            </w:r>
          </w:p>
        </w:tc>
        <w:tc>
          <w:tcPr>
            <w:tcW w:w="1286" w:type="dxa"/>
          </w:tcPr>
          <w:p w14:paraId="7B8DCDFA" w14:textId="34968106" w:rsidR="00CE2B60" w:rsidRPr="0029324A" w:rsidRDefault="00CE2B60" w:rsidP="004A5C7B">
            <w:pPr>
              <w:pStyle w:val="Tabletext"/>
              <w:jc w:val="center"/>
            </w:pPr>
            <w:r w:rsidRPr="0029324A">
              <w:t>23%</w:t>
            </w:r>
          </w:p>
        </w:tc>
        <w:tc>
          <w:tcPr>
            <w:tcW w:w="1287" w:type="dxa"/>
          </w:tcPr>
          <w:p w14:paraId="0A23E3F6" w14:textId="0CE08A97" w:rsidR="00CE2B60" w:rsidRPr="0029324A" w:rsidRDefault="00CE2B60" w:rsidP="004A5C7B">
            <w:pPr>
              <w:pStyle w:val="Tabletext"/>
              <w:jc w:val="center"/>
            </w:pPr>
            <w:r w:rsidRPr="0029324A">
              <w:t>16%</w:t>
            </w:r>
          </w:p>
        </w:tc>
        <w:tc>
          <w:tcPr>
            <w:tcW w:w="1743" w:type="dxa"/>
            <w:shd w:val="clear" w:color="auto" w:fill="auto"/>
          </w:tcPr>
          <w:p w14:paraId="1DED1CD3" w14:textId="1D317A4E" w:rsidR="00CE2B60" w:rsidRPr="0029324A" w:rsidRDefault="00CE2B60" w:rsidP="004A5C7B">
            <w:pPr>
              <w:pStyle w:val="Tabletext"/>
              <w:jc w:val="center"/>
            </w:pPr>
            <w:r w:rsidRPr="0029324A">
              <w:t>15%</w:t>
            </w:r>
          </w:p>
        </w:tc>
        <w:tc>
          <w:tcPr>
            <w:tcW w:w="1678" w:type="dxa"/>
            <w:shd w:val="clear" w:color="auto" w:fill="auto"/>
          </w:tcPr>
          <w:p w14:paraId="2C7796EE" w14:textId="0E2DC5B3" w:rsidR="00CE2B60" w:rsidRPr="0029324A" w:rsidRDefault="00CE2B60" w:rsidP="004A5C7B">
            <w:pPr>
              <w:pStyle w:val="Tabletext"/>
              <w:jc w:val="center"/>
            </w:pPr>
            <w:r w:rsidRPr="0029324A">
              <w:t>25%</w:t>
            </w:r>
          </w:p>
        </w:tc>
      </w:tr>
      <w:bookmarkEnd w:id="10"/>
    </w:tbl>
    <w:p w14:paraId="765FDCFA" w14:textId="051FD847" w:rsidR="00CE2B60" w:rsidRPr="0029324A" w:rsidRDefault="00CE2B60" w:rsidP="00B066BA"/>
    <w:p w14:paraId="408D1343" w14:textId="1DA5A2AD" w:rsidR="00C941BA" w:rsidRPr="0029324A" w:rsidRDefault="00FF752D" w:rsidP="00F0467D">
      <w:pPr>
        <w:pStyle w:val="Numberedlevel2text"/>
      </w:pPr>
      <w:r w:rsidRPr="0029324A">
        <w:t xml:space="preserve">The costs considered in the model are the costs of the diagnostic tests, </w:t>
      </w:r>
      <w:proofErr w:type="gramStart"/>
      <w:r w:rsidRPr="0029324A">
        <w:t>treatment</w:t>
      </w:r>
      <w:proofErr w:type="gramEnd"/>
      <w:r w:rsidRPr="0029324A">
        <w:t xml:space="preserve"> and care of Crohn’s disease. The total cost of testing charged by the laboratory was £1,250 for PredictSURE IBD and £347 (estimated) for IBDX. Table </w:t>
      </w:r>
      <w:r w:rsidR="009C2EB2" w:rsidRPr="0029324A">
        <w:t>2</w:t>
      </w:r>
      <w:r w:rsidRPr="0029324A">
        <w:t xml:space="preserve"> shows the dose prices and induction dosages for induction </w:t>
      </w:r>
      <w:r w:rsidR="009C1E0E" w:rsidRPr="0029324A">
        <w:t>treatment</w:t>
      </w:r>
      <w:r w:rsidRPr="0029324A">
        <w:t xml:space="preserve"> in top-down and step-up strategies</w:t>
      </w:r>
      <w:r w:rsidR="00286691" w:rsidRPr="0029324A">
        <w:t>,</w:t>
      </w:r>
      <w:r w:rsidRPr="0029324A">
        <w:t xml:space="preserve"> taken</w:t>
      </w:r>
      <w:r w:rsidR="00C941BA" w:rsidRPr="0029324A">
        <w:t xml:space="preserve"> from BNF and NHS reference costs, and maintenance </w:t>
      </w:r>
      <w:r w:rsidR="009C1E0E" w:rsidRPr="0029324A">
        <w:t>treatment</w:t>
      </w:r>
      <w:r w:rsidR="00C941BA" w:rsidRPr="0029324A">
        <w:t xml:space="preserve"> dosages based on clinical opinion</w:t>
      </w:r>
      <w:r w:rsidR="009C2EB2" w:rsidRPr="0029324A">
        <w:t>.</w:t>
      </w:r>
    </w:p>
    <w:p w14:paraId="41CE0F84" w14:textId="765E8F3A" w:rsidR="00CE2B60" w:rsidRPr="0029324A" w:rsidRDefault="00C941BA" w:rsidP="007803EB">
      <w:pPr>
        <w:pStyle w:val="Caption"/>
      </w:pPr>
      <w:r w:rsidRPr="0029324A">
        <w:lastRenderedPageBreak/>
        <w:t>Table 2 Treatment doses and costs for induction and maintenance therapies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4"/>
        <w:gridCol w:w="1248"/>
        <w:gridCol w:w="1365"/>
        <w:gridCol w:w="2642"/>
        <w:gridCol w:w="1958"/>
      </w:tblGrid>
      <w:tr w:rsidR="00F47559" w:rsidRPr="0029324A" w14:paraId="4E54B51E" w14:textId="77777777" w:rsidTr="007803EB">
        <w:tc>
          <w:tcPr>
            <w:tcW w:w="1000" w:type="pct"/>
          </w:tcPr>
          <w:p w14:paraId="1F7A567B" w14:textId="77777777" w:rsidR="00F47559" w:rsidRPr="0029324A" w:rsidRDefault="00F47559" w:rsidP="00B066BA">
            <w:pPr>
              <w:pStyle w:val="Tableheading"/>
              <w:rPr>
                <w:rStyle w:val="PageNumber"/>
                <w:sz w:val="22"/>
              </w:rPr>
            </w:pPr>
            <w:r w:rsidRPr="0029324A">
              <w:rPr>
                <w:rStyle w:val="PageNumber"/>
                <w:sz w:val="22"/>
              </w:rPr>
              <w:t>Treatment</w:t>
            </w:r>
          </w:p>
        </w:tc>
        <w:tc>
          <w:tcPr>
            <w:tcW w:w="692" w:type="pct"/>
          </w:tcPr>
          <w:p w14:paraId="3354670E" w14:textId="77777777" w:rsidR="00F47559" w:rsidRPr="0029324A" w:rsidRDefault="00F47559" w:rsidP="00B066BA">
            <w:pPr>
              <w:pStyle w:val="Tableheading"/>
              <w:rPr>
                <w:rStyle w:val="PageNumber"/>
                <w:sz w:val="22"/>
              </w:rPr>
            </w:pPr>
            <w:r w:rsidRPr="0029324A">
              <w:rPr>
                <w:rStyle w:val="PageNumber"/>
                <w:sz w:val="22"/>
              </w:rPr>
              <w:t xml:space="preserve">Dose per unit (mg) </w:t>
            </w:r>
          </w:p>
        </w:tc>
        <w:tc>
          <w:tcPr>
            <w:tcW w:w="757" w:type="pct"/>
          </w:tcPr>
          <w:p w14:paraId="48024AAB" w14:textId="77777777" w:rsidR="00F47559" w:rsidRPr="0029324A" w:rsidRDefault="00F47559" w:rsidP="00B066BA">
            <w:pPr>
              <w:pStyle w:val="Tableheading"/>
              <w:rPr>
                <w:rStyle w:val="PageNumber"/>
                <w:sz w:val="22"/>
              </w:rPr>
            </w:pPr>
            <w:r w:rsidRPr="0029324A">
              <w:rPr>
                <w:rStyle w:val="PageNumber"/>
                <w:sz w:val="22"/>
              </w:rPr>
              <w:t>List price per unit</w:t>
            </w:r>
          </w:p>
        </w:tc>
        <w:tc>
          <w:tcPr>
            <w:tcW w:w="1465" w:type="pct"/>
            <w:shd w:val="clear" w:color="auto" w:fill="auto"/>
          </w:tcPr>
          <w:p w14:paraId="1AF76002" w14:textId="77777777" w:rsidR="00F47559" w:rsidRPr="0029324A" w:rsidRDefault="00F47559" w:rsidP="00B066BA">
            <w:pPr>
              <w:pStyle w:val="Tableheading"/>
              <w:rPr>
                <w:rStyle w:val="PageNumber"/>
                <w:sz w:val="22"/>
              </w:rPr>
            </w:pPr>
            <w:r w:rsidRPr="0029324A">
              <w:rPr>
                <w:rStyle w:val="PageNumber"/>
                <w:sz w:val="22"/>
              </w:rPr>
              <w:t>Induction dosages</w:t>
            </w:r>
          </w:p>
        </w:tc>
        <w:tc>
          <w:tcPr>
            <w:tcW w:w="1087" w:type="pct"/>
            <w:shd w:val="clear" w:color="auto" w:fill="auto"/>
          </w:tcPr>
          <w:p w14:paraId="1F2AF70F" w14:textId="77777777" w:rsidR="00F47559" w:rsidRPr="0029324A" w:rsidRDefault="00F47559" w:rsidP="00B066BA">
            <w:pPr>
              <w:pStyle w:val="Tableheading"/>
              <w:rPr>
                <w:rStyle w:val="PageNumber"/>
                <w:sz w:val="22"/>
              </w:rPr>
            </w:pPr>
            <w:r w:rsidRPr="0029324A">
              <w:rPr>
                <w:rStyle w:val="PageNumber"/>
                <w:sz w:val="22"/>
              </w:rPr>
              <w:t>Maintenance dosages</w:t>
            </w:r>
          </w:p>
        </w:tc>
      </w:tr>
      <w:tr w:rsidR="00F47559" w:rsidRPr="0029324A" w14:paraId="5717A71D" w14:textId="77777777" w:rsidTr="00286691">
        <w:trPr>
          <w:trHeight w:val="2111"/>
        </w:trPr>
        <w:tc>
          <w:tcPr>
            <w:tcW w:w="1000" w:type="pct"/>
          </w:tcPr>
          <w:p w14:paraId="22B5225B" w14:textId="77777777" w:rsidR="00F47559" w:rsidRPr="0029324A" w:rsidRDefault="00F47559" w:rsidP="00B066BA">
            <w:pPr>
              <w:pStyle w:val="Tabletext"/>
            </w:pPr>
            <w:r w:rsidRPr="0029324A">
              <w:t>Ustekinumab</w:t>
            </w:r>
          </w:p>
        </w:tc>
        <w:tc>
          <w:tcPr>
            <w:tcW w:w="692" w:type="pct"/>
          </w:tcPr>
          <w:p w14:paraId="19F3CA76" w14:textId="77777777" w:rsidR="00F47559" w:rsidRPr="0029324A" w:rsidRDefault="00F47559" w:rsidP="00286691">
            <w:pPr>
              <w:pStyle w:val="Tabletext"/>
              <w:jc w:val="center"/>
            </w:pPr>
            <w:r w:rsidRPr="0029324A">
              <w:t>130</w:t>
            </w:r>
          </w:p>
        </w:tc>
        <w:tc>
          <w:tcPr>
            <w:tcW w:w="757" w:type="pct"/>
          </w:tcPr>
          <w:p w14:paraId="38AADCB2" w14:textId="77777777" w:rsidR="00F47559" w:rsidRPr="0029324A" w:rsidRDefault="00F47559" w:rsidP="00B066BA">
            <w:pPr>
              <w:pStyle w:val="Tabletext"/>
            </w:pPr>
            <w:r w:rsidRPr="0029324A">
              <w:t>£2,147.00</w:t>
            </w:r>
          </w:p>
        </w:tc>
        <w:tc>
          <w:tcPr>
            <w:tcW w:w="1465" w:type="pct"/>
            <w:shd w:val="clear" w:color="auto" w:fill="auto"/>
          </w:tcPr>
          <w:p w14:paraId="0DE16B9D" w14:textId="70874506" w:rsidR="00F47559" w:rsidRPr="0029324A" w:rsidRDefault="00F47559" w:rsidP="00B066BA">
            <w:pPr>
              <w:pStyle w:val="Tabletext"/>
            </w:pPr>
            <w:r w:rsidRPr="0029324A">
              <w:t>Induction dose at week</w:t>
            </w:r>
            <w:r w:rsidR="00280506" w:rsidRPr="0029324A">
              <w:t> </w:t>
            </w:r>
            <w:r w:rsidRPr="0029324A">
              <w:t>0 depends on body weight:</w:t>
            </w:r>
          </w:p>
          <w:p w14:paraId="1BEA1C70" w14:textId="5BE58018" w:rsidR="00F47559" w:rsidRPr="0029324A" w:rsidRDefault="00F47559" w:rsidP="00B066BA">
            <w:pPr>
              <w:pStyle w:val="Tabletext"/>
            </w:pPr>
            <w:r w:rsidRPr="0029324A">
              <w:t>260 mg for 56 kg</w:t>
            </w:r>
          </w:p>
          <w:p w14:paraId="7F51A337" w14:textId="7C73532C" w:rsidR="00F47559" w:rsidRPr="0029324A" w:rsidRDefault="00F47559" w:rsidP="00B066BA">
            <w:pPr>
              <w:pStyle w:val="Tabletext"/>
            </w:pPr>
            <w:r w:rsidRPr="0029324A">
              <w:t>390 mg for 56 kg to 85</w:t>
            </w:r>
            <w:r w:rsidR="0054572C" w:rsidRPr="0029324A">
              <w:t> </w:t>
            </w:r>
            <w:r w:rsidRPr="0029324A">
              <w:t>kg</w:t>
            </w:r>
          </w:p>
          <w:p w14:paraId="79EF6D76" w14:textId="77777777" w:rsidR="00F47559" w:rsidRPr="0029324A" w:rsidRDefault="00F47559" w:rsidP="00B066BA">
            <w:pPr>
              <w:pStyle w:val="Tabletext"/>
            </w:pPr>
            <w:r w:rsidRPr="0029324A">
              <w:t>520 mg for 86 kg or over</w:t>
            </w:r>
          </w:p>
        </w:tc>
        <w:tc>
          <w:tcPr>
            <w:tcW w:w="1087" w:type="pct"/>
            <w:shd w:val="clear" w:color="auto" w:fill="auto"/>
          </w:tcPr>
          <w:p w14:paraId="71474B10" w14:textId="6F4AB61E" w:rsidR="00F47559" w:rsidRPr="0029324A" w:rsidRDefault="00F47559" w:rsidP="00B066BA">
            <w:pPr>
              <w:pStyle w:val="Tabletext"/>
            </w:pPr>
            <w:r w:rsidRPr="0029324A">
              <w:t>90 mg every 8</w:t>
            </w:r>
            <w:r w:rsidR="0054572C" w:rsidRPr="0029324A">
              <w:t> </w:t>
            </w:r>
            <w:r w:rsidRPr="0029324A">
              <w:t>weeks</w:t>
            </w:r>
          </w:p>
        </w:tc>
      </w:tr>
      <w:tr w:rsidR="00F47559" w:rsidRPr="0029324A" w14:paraId="7B3DF6B3" w14:textId="77777777" w:rsidTr="00286691">
        <w:tc>
          <w:tcPr>
            <w:tcW w:w="1000" w:type="pct"/>
          </w:tcPr>
          <w:p w14:paraId="4172D894" w14:textId="77777777" w:rsidR="00F47559" w:rsidRPr="0029324A" w:rsidRDefault="00F47559" w:rsidP="00B066BA">
            <w:pPr>
              <w:pStyle w:val="Tabletext"/>
            </w:pPr>
            <w:r w:rsidRPr="0029324A">
              <w:t>Vedolizumab</w:t>
            </w:r>
          </w:p>
        </w:tc>
        <w:tc>
          <w:tcPr>
            <w:tcW w:w="692" w:type="pct"/>
          </w:tcPr>
          <w:p w14:paraId="6DEB85D2" w14:textId="77777777" w:rsidR="00F47559" w:rsidRPr="0029324A" w:rsidRDefault="00F47559" w:rsidP="00286691">
            <w:pPr>
              <w:pStyle w:val="Tabletext"/>
              <w:jc w:val="center"/>
            </w:pPr>
            <w:r w:rsidRPr="0029324A">
              <w:t>300</w:t>
            </w:r>
          </w:p>
        </w:tc>
        <w:tc>
          <w:tcPr>
            <w:tcW w:w="757" w:type="pct"/>
          </w:tcPr>
          <w:p w14:paraId="7F79C43E" w14:textId="77777777" w:rsidR="00F47559" w:rsidRPr="0029324A" w:rsidRDefault="00F47559" w:rsidP="00B066BA">
            <w:pPr>
              <w:pStyle w:val="Tabletext"/>
            </w:pPr>
            <w:r w:rsidRPr="0029324A">
              <w:t>£2,050.00</w:t>
            </w:r>
          </w:p>
        </w:tc>
        <w:tc>
          <w:tcPr>
            <w:tcW w:w="1465" w:type="pct"/>
            <w:shd w:val="clear" w:color="auto" w:fill="auto"/>
          </w:tcPr>
          <w:p w14:paraId="7D6A8192" w14:textId="77777777" w:rsidR="00F47559" w:rsidRPr="0029324A" w:rsidRDefault="00F47559" w:rsidP="00B066BA">
            <w:pPr>
              <w:pStyle w:val="Tabletext"/>
            </w:pPr>
            <w:r w:rsidRPr="0029324A">
              <w:t>300 mg at week 0, 2 and 6 </w:t>
            </w:r>
          </w:p>
        </w:tc>
        <w:tc>
          <w:tcPr>
            <w:tcW w:w="1087" w:type="pct"/>
            <w:shd w:val="clear" w:color="auto" w:fill="auto"/>
          </w:tcPr>
          <w:p w14:paraId="79F9B266" w14:textId="203995E9" w:rsidR="00F47559" w:rsidRPr="0029324A" w:rsidRDefault="00F47559" w:rsidP="00B066BA">
            <w:pPr>
              <w:pStyle w:val="Tabletext"/>
            </w:pPr>
            <w:r w:rsidRPr="0029324A">
              <w:t>300 mg every 8</w:t>
            </w:r>
            <w:r w:rsidR="0054572C" w:rsidRPr="0029324A">
              <w:t> </w:t>
            </w:r>
            <w:r w:rsidRPr="0029324A">
              <w:t>weeks</w:t>
            </w:r>
          </w:p>
        </w:tc>
      </w:tr>
      <w:tr w:rsidR="00F47559" w:rsidRPr="0029324A" w14:paraId="70910B12" w14:textId="77777777" w:rsidTr="00286691">
        <w:tc>
          <w:tcPr>
            <w:tcW w:w="1000" w:type="pct"/>
          </w:tcPr>
          <w:p w14:paraId="132E36C7" w14:textId="77777777" w:rsidR="00F47559" w:rsidRPr="0029324A" w:rsidRDefault="00F47559" w:rsidP="00B066BA">
            <w:pPr>
              <w:pStyle w:val="Tabletext"/>
            </w:pPr>
            <w:r w:rsidRPr="0029324A">
              <w:t>Infliximab</w:t>
            </w:r>
          </w:p>
        </w:tc>
        <w:tc>
          <w:tcPr>
            <w:tcW w:w="692" w:type="pct"/>
          </w:tcPr>
          <w:p w14:paraId="6EF82C9C" w14:textId="77777777" w:rsidR="00F47559" w:rsidRPr="0029324A" w:rsidRDefault="00F47559" w:rsidP="00286691">
            <w:pPr>
              <w:pStyle w:val="Tabletext"/>
              <w:jc w:val="center"/>
            </w:pPr>
            <w:r w:rsidRPr="0029324A">
              <w:t>100</w:t>
            </w:r>
          </w:p>
        </w:tc>
        <w:tc>
          <w:tcPr>
            <w:tcW w:w="757" w:type="pct"/>
          </w:tcPr>
          <w:p w14:paraId="41D43EFA" w14:textId="77777777" w:rsidR="00F47559" w:rsidRPr="0029324A" w:rsidRDefault="00F47559" w:rsidP="00B066BA">
            <w:pPr>
              <w:pStyle w:val="Tabletext"/>
            </w:pPr>
            <w:r w:rsidRPr="0029324A">
              <w:t>£377,66</w:t>
            </w:r>
          </w:p>
        </w:tc>
        <w:tc>
          <w:tcPr>
            <w:tcW w:w="1465" w:type="pct"/>
            <w:shd w:val="clear" w:color="auto" w:fill="auto"/>
          </w:tcPr>
          <w:p w14:paraId="0680E2A7" w14:textId="77777777" w:rsidR="00F47559" w:rsidRPr="0029324A" w:rsidRDefault="00F47559" w:rsidP="00B066BA">
            <w:pPr>
              <w:pStyle w:val="Tabletext"/>
            </w:pPr>
            <w:r w:rsidRPr="0029324A">
              <w:t xml:space="preserve">5 mg/kg at week 0, 2 and 6 </w:t>
            </w:r>
          </w:p>
        </w:tc>
        <w:tc>
          <w:tcPr>
            <w:tcW w:w="1087" w:type="pct"/>
            <w:shd w:val="clear" w:color="auto" w:fill="auto"/>
          </w:tcPr>
          <w:p w14:paraId="1983CE60" w14:textId="5C38CC9B" w:rsidR="00F47559" w:rsidRPr="0029324A" w:rsidRDefault="00F47559" w:rsidP="00B066BA">
            <w:pPr>
              <w:pStyle w:val="Tabletext"/>
            </w:pPr>
            <w:r w:rsidRPr="0029324A">
              <w:t>5 mg/kg every 8</w:t>
            </w:r>
            <w:r w:rsidR="0054572C" w:rsidRPr="0029324A">
              <w:t> </w:t>
            </w:r>
            <w:r w:rsidRPr="0029324A">
              <w:t>weeks</w:t>
            </w:r>
          </w:p>
        </w:tc>
      </w:tr>
      <w:tr w:rsidR="00F47559" w:rsidRPr="0029324A" w14:paraId="688DD024" w14:textId="77777777" w:rsidTr="00286691">
        <w:tc>
          <w:tcPr>
            <w:tcW w:w="1000" w:type="pct"/>
          </w:tcPr>
          <w:p w14:paraId="07629559" w14:textId="77777777" w:rsidR="00F47559" w:rsidRPr="0029324A" w:rsidRDefault="00F47559" w:rsidP="00B066BA">
            <w:pPr>
              <w:pStyle w:val="Tabletext"/>
            </w:pPr>
            <w:r w:rsidRPr="0029324A">
              <w:t>Adalimumab</w:t>
            </w:r>
          </w:p>
        </w:tc>
        <w:tc>
          <w:tcPr>
            <w:tcW w:w="692" w:type="pct"/>
          </w:tcPr>
          <w:p w14:paraId="6C0828B5" w14:textId="77777777" w:rsidR="00F47559" w:rsidRPr="0029324A" w:rsidRDefault="00F47559" w:rsidP="00286691">
            <w:pPr>
              <w:pStyle w:val="Tabletext"/>
              <w:jc w:val="center"/>
            </w:pPr>
            <w:r w:rsidRPr="0029324A">
              <w:t>40</w:t>
            </w:r>
          </w:p>
        </w:tc>
        <w:tc>
          <w:tcPr>
            <w:tcW w:w="757" w:type="pct"/>
          </w:tcPr>
          <w:p w14:paraId="100E9C7F" w14:textId="77777777" w:rsidR="00F47559" w:rsidRPr="0029324A" w:rsidRDefault="00F47559" w:rsidP="00B066BA">
            <w:pPr>
              <w:pStyle w:val="Tabletext"/>
            </w:pPr>
            <w:r w:rsidRPr="0029324A">
              <w:t>£308.13</w:t>
            </w:r>
          </w:p>
        </w:tc>
        <w:tc>
          <w:tcPr>
            <w:tcW w:w="1465" w:type="pct"/>
            <w:shd w:val="clear" w:color="auto" w:fill="auto"/>
          </w:tcPr>
          <w:p w14:paraId="1B96679D" w14:textId="0A0E42A9" w:rsidR="00F47559" w:rsidRPr="0029324A" w:rsidRDefault="00F47559" w:rsidP="00B066BA">
            <w:pPr>
              <w:pStyle w:val="Tabletext"/>
            </w:pPr>
            <w:r w:rsidRPr="0029324A">
              <w:t>160 mg at week 0; 80</w:t>
            </w:r>
            <w:r w:rsidR="0054572C" w:rsidRPr="0029324A">
              <w:t> </w:t>
            </w:r>
            <w:r w:rsidRPr="0029324A">
              <w:t>mg at week 2</w:t>
            </w:r>
          </w:p>
        </w:tc>
        <w:tc>
          <w:tcPr>
            <w:tcW w:w="1087" w:type="pct"/>
            <w:shd w:val="clear" w:color="auto" w:fill="auto"/>
          </w:tcPr>
          <w:p w14:paraId="7411C3B4" w14:textId="601FF388" w:rsidR="00F47559" w:rsidRPr="0029324A" w:rsidRDefault="00F47559" w:rsidP="00B066BA">
            <w:pPr>
              <w:pStyle w:val="Tabletext"/>
            </w:pPr>
            <w:r w:rsidRPr="0029324A">
              <w:t>40 mg every 2</w:t>
            </w:r>
            <w:r w:rsidR="0054572C" w:rsidRPr="0029324A">
              <w:t> </w:t>
            </w:r>
            <w:r w:rsidRPr="0029324A">
              <w:t>weeks</w:t>
            </w:r>
          </w:p>
        </w:tc>
      </w:tr>
      <w:tr w:rsidR="00F47559" w:rsidRPr="0029324A" w14:paraId="0009A913" w14:textId="77777777" w:rsidTr="00286691">
        <w:tc>
          <w:tcPr>
            <w:tcW w:w="1000" w:type="pct"/>
          </w:tcPr>
          <w:p w14:paraId="2376E9BE" w14:textId="77777777" w:rsidR="00F47559" w:rsidRPr="0029324A" w:rsidRDefault="00F47559" w:rsidP="00B066BA">
            <w:pPr>
              <w:pStyle w:val="Tabletext"/>
            </w:pPr>
            <w:r w:rsidRPr="0029324A">
              <w:t>Azathioprine</w:t>
            </w:r>
          </w:p>
        </w:tc>
        <w:tc>
          <w:tcPr>
            <w:tcW w:w="692" w:type="pct"/>
          </w:tcPr>
          <w:p w14:paraId="23F1F0BF" w14:textId="77777777" w:rsidR="00F47559" w:rsidRPr="0029324A" w:rsidRDefault="00F47559" w:rsidP="00286691">
            <w:pPr>
              <w:pStyle w:val="Tabletext"/>
              <w:jc w:val="center"/>
            </w:pPr>
            <w:r w:rsidRPr="0029324A">
              <w:t>50</w:t>
            </w:r>
          </w:p>
        </w:tc>
        <w:tc>
          <w:tcPr>
            <w:tcW w:w="757" w:type="pct"/>
          </w:tcPr>
          <w:p w14:paraId="13AD973F" w14:textId="77777777" w:rsidR="00F47559" w:rsidRPr="0029324A" w:rsidRDefault="00F47559" w:rsidP="00B066BA">
            <w:pPr>
              <w:pStyle w:val="Tabletext"/>
            </w:pPr>
            <w:r w:rsidRPr="0029324A">
              <w:t>£0.04</w:t>
            </w:r>
          </w:p>
        </w:tc>
        <w:tc>
          <w:tcPr>
            <w:tcW w:w="1465" w:type="pct"/>
            <w:shd w:val="clear" w:color="auto" w:fill="auto"/>
          </w:tcPr>
          <w:p w14:paraId="059006C9" w14:textId="44CE93B4" w:rsidR="00F47559" w:rsidRPr="0029324A" w:rsidRDefault="00F47559" w:rsidP="00B066BA">
            <w:pPr>
              <w:pStyle w:val="Tabletext"/>
            </w:pPr>
            <w:r w:rsidRPr="0029324A">
              <w:t>2.5 mg/kg/week for 8</w:t>
            </w:r>
            <w:r w:rsidR="0054572C" w:rsidRPr="0029324A">
              <w:t> </w:t>
            </w:r>
            <w:r w:rsidRPr="0029324A">
              <w:t>weeks</w:t>
            </w:r>
          </w:p>
        </w:tc>
        <w:tc>
          <w:tcPr>
            <w:tcW w:w="1087" w:type="pct"/>
            <w:shd w:val="clear" w:color="auto" w:fill="auto"/>
          </w:tcPr>
          <w:p w14:paraId="0160F7A8" w14:textId="77777777" w:rsidR="00F47559" w:rsidRPr="0029324A" w:rsidRDefault="00F47559" w:rsidP="00B066BA">
            <w:pPr>
              <w:pStyle w:val="Tabletext"/>
            </w:pPr>
            <w:r w:rsidRPr="0029324A">
              <w:t>2.5 mg/kg/week</w:t>
            </w:r>
          </w:p>
        </w:tc>
      </w:tr>
      <w:tr w:rsidR="00F47559" w:rsidRPr="0029324A" w14:paraId="79C959E7" w14:textId="77777777" w:rsidTr="00286691">
        <w:tc>
          <w:tcPr>
            <w:tcW w:w="1000" w:type="pct"/>
          </w:tcPr>
          <w:p w14:paraId="0DA7E47F" w14:textId="77777777" w:rsidR="00F47559" w:rsidRPr="0029324A" w:rsidRDefault="00F47559" w:rsidP="00B066BA">
            <w:pPr>
              <w:pStyle w:val="Tabletext"/>
            </w:pPr>
            <w:r w:rsidRPr="0029324A">
              <w:t>6-MP</w:t>
            </w:r>
          </w:p>
        </w:tc>
        <w:tc>
          <w:tcPr>
            <w:tcW w:w="692" w:type="pct"/>
          </w:tcPr>
          <w:p w14:paraId="7CF589A6" w14:textId="77777777" w:rsidR="00F47559" w:rsidRPr="0029324A" w:rsidRDefault="00F47559" w:rsidP="00286691">
            <w:pPr>
              <w:pStyle w:val="Tabletext"/>
              <w:jc w:val="center"/>
            </w:pPr>
            <w:r w:rsidRPr="0029324A">
              <w:t>50</w:t>
            </w:r>
          </w:p>
        </w:tc>
        <w:tc>
          <w:tcPr>
            <w:tcW w:w="757" w:type="pct"/>
          </w:tcPr>
          <w:p w14:paraId="72AEB123" w14:textId="77777777" w:rsidR="00F47559" w:rsidRPr="0029324A" w:rsidRDefault="00F47559" w:rsidP="00B066BA">
            <w:pPr>
              <w:pStyle w:val="Tabletext"/>
            </w:pPr>
            <w:r w:rsidRPr="0029324A">
              <w:t>£1.97</w:t>
            </w:r>
          </w:p>
        </w:tc>
        <w:tc>
          <w:tcPr>
            <w:tcW w:w="1465" w:type="pct"/>
            <w:shd w:val="clear" w:color="auto" w:fill="auto"/>
          </w:tcPr>
          <w:p w14:paraId="32CE81E1" w14:textId="77777777" w:rsidR="00F47559" w:rsidRPr="0029324A" w:rsidRDefault="00F47559" w:rsidP="00B066BA">
            <w:pPr>
              <w:pStyle w:val="Tabletext"/>
            </w:pPr>
            <w:r w:rsidRPr="0029324A">
              <w:t xml:space="preserve">1.25 mg/kg/week </w:t>
            </w:r>
          </w:p>
        </w:tc>
        <w:tc>
          <w:tcPr>
            <w:tcW w:w="1087" w:type="pct"/>
            <w:shd w:val="clear" w:color="auto" w:fill="auto"/>
          </w:tcPr>
          <w:p w14:paraId="37595973" w14:textId="77777777" w:rsidR="00F47559" w:rsidRPr="0029324A" w:rsidRDefault="00F47559" w:rsidP="00B066BA">
            <w:pPr>
              <w:pStyle w:val="Tabletext"/>
            </w:pPr>
            <w:r w:rsidRPr="0029324A">
              <w:t>1.25 mg/kg/week</w:t>
            </w:r>
          </w:p>
        </w:tc>
      </w:tr>
      <w:tr w:rsidR="00F47559" w:rsidRPr="0029324A" w14:paraId="52C52678" w14:textId="77777777" w:rsidTr="00286691">
        <w:tc>
          <w:tcPr>
            <w:tcW w:w="1000" w:type="pct"/>
          </w:tcPr>
          <w:p w14:paraId="3C8AFDE9" w14:textId="77777777" w:rsidR="00F47559" w:rsidRPr="0029324A" w:rsidRDefault="00F47559" w:rsidP="00B066BA">
            <w:pPr>
              <w:pStyle w:val="Tabletext"/>
            </w:pPr>
            <w:r w:rsidRPr="0029324A">
              <w:t>Methotrexate</w:t>
            </w:r>
          </w:p>
        </w:tc>
        <w:tc>
          <w:tcPr>
            <w:tcW w:w="692" w:type="pct"/>
          </w:tcPr>
          <w:p w14:paraId="3B3BAB63" w14:textId="77777777" w:rsidR="00F47559" w:rsidRPr="0029324A" w:rsidRDefault="00F47559" w:rsidP="00286691">
            <w:pPr>
              <w:pStyle w:val="Tabletext"/>
              <w:jc w:val="center"/>
            </w:pPr>
            <w:r w:rsidRPr="0029324A">
              <w:t>25/15</w:t>
            </w:r>
          </w:p>
        </w:tc>
        <w:tc>
          <w:tcPr>
            <w:tcW w:w="757" w:type="pct"/>
          </w:tcPr>
          <w:p w14:paraId="7B2AC356" w14:textId="17FC469D" w:rsidR="00F47559" w:rsidRPr="0029324A" w:rsidRDefault="00F47559" w:rsidP="00B066BA">
            <w:pPr>
              <w:pStyle w:val="Tabletext"/>
            </w:pPr>
            <w:r w:rsidRPr="0029324A">
              <w:t>£16.64</w:t>
            </w:r>
            <w:r w:rsidR="00286691" w:rsidRPr="0029324A">
              <w:t xml:space="preserve"> or </w:t>
            </w:r>
            <w:r w:rsidRPr="0029324A">
              <w:t>£14.92</w:t>
            </w:r>
          </w:p>
        </w:tc>
        <w:tc>
          <w:tcPr>
            <w:tcW w:w="1465" w:type="pct"/>
            <w:shd w:val="clear" w:color="auto" w:fill="auto"/>
          </w:tcPr>
          <w:p w14:paraId="3294BA4C" w14:textId="77777777" w:rsidR="00F47559" w:rsidRPr="0029324A" w:rsidRDefault="00F47559" w:rsidP="00B066BA">
            <w:pPr>
              <w:pStyle w:val="Tabletext"/>
            </w:pPr>
            <w:r w:rsidRPr="0029324A">
              <w:t>25 mg/week for 8 weeks</w:t>
            </w:r>
          </w:p>
        </w:tc>
        <w:tc>
          <w:tcPr>
            <w:tcW w:w="1087" w:type="pct"/>
            <w:shd w:val="clear" w:color="auto" w:fill="auto"/>
          </w:tcPr>
          <w:p w14:paraId="0EBBB96C" w14:textId="77777777" w:rsidR="00F47559" w:rsidRPr="0029324A" w:rsidRDefault="00F47559" w:rsidP="00B066BA">
            <w:pPr>
              <w:pStyle w:val="Tabletext"/>
            </w:pPr>
            <w:r w:rsidRPr="0029324A">
              <w:t>15 mg/week</w:t>
            </w:r>
          </w:p>
        </w:tc>
      </w:tr>
      <w:tr w:rsidR="00F47559" w:rsidRPr="0029324A" w14:paraId="69BB21E4" w14:textId="77777777" w:rsidTr="00286691">
        <w:tc>
          <w:tcPr>
            <w:tcW w:w="1000" w:type="pct"/>
          </w:tcPr>
          <w:p w14:paraId="7061B94F" w14:textId="77777777" w:rsidR="00F47559" w:rsidRPr="0029324A" w:rsidRDefault="00F47559" w:rsidP="00B066BA">
            <w:pPr>
              <w:pStyle w:val="Tabletext"/>
            </w:pPr>
            <w:r w:rsidRPr="0029324A">
              <w:t>Prednisolone</w:t>
            </w:r>
          </w:p>
        </w:tc>
        <w:tc>
          <w:tcPr>
            <w:tcW w:w="692" w:type="pct"/>
          </w:tcPr>
          <w:p w14:paraId="700F053B" w14:textId="77777777" w:rsidR="00F47559" w:rsidRPr="0029324A" w:rsidRDefault="00F47559" w:rsidP="00286691">
            <w:pPr>
              <w:pStyle w:val="Tabletext"/>
              <w:jc w:val="center"/>
            </w:pPr>
            <w:r w:rsidRPr="0029324A">
              <w:t>2.5</w:t>
            </w:r>
          </w:p>
        </w:tc>
        <w:tc>
          <w:tcPr>
            <w:tcW w:w="757" w:type="pct"/>
          </w:tcPr>
          <w:p w14:paraId="0B489A41" w14:textId="77777777" w:rsidR="00F47559" w:rsidRPr="0029324A" w:rsidRDefault="00F47559" w:rsidP="00B066BA">
            <w:pPr>
              <w:pStyle w:val="Tabletext"/>
            </w:pPr>
            <w:r w:rsidRPr="0029324A">
              <w:t>£0.04</w:t>
            </w:r>
          </w:p>
        </w:tc>
        <w:tc>
          <w:tcPr>
            <w:tcW w:w="1465" w:type="pct"/>
            <w:shd w:val="clear" w:color="auto" w:fill="auto"/>
          </w:tcPr>
          <w:p w14:paraId="7B525FCA" w14:textId="77777777" w:rsidR="00F47559" w:rsidRPr="0029324A" w:rsidRDefault="00F47559" w:rsidP="00B066BA">
            <w:pPr>
              <w:pStyle w:val="Tabletext"/>
            </w:pPr>
            <w:r w:rsidRPr="0029324A">
              <w:t>40 mg; tapered by 5 mg per week – 8 weeks total</w:t>
            </w:r>
          </w:p>
        </w:tc>
        <w:tc>
          <w:tcPr>
            <w:tcW w:w="1087" w:type="pct"/>
            <w:shd w:val="clear" w:color="auto" w:fill="auto"/>
          </w:tcPr>
          <w:p w14:paraId="2231C0B8" w14:textId="77777777" w:rsidR="00F47559" w:rsidRPr="0029324A" w:rsidRDefault="00F47559" w:rsidP="00B066BA">
            <w:pPr>
              <w:pStyle w:val="Tabletext"/>
            </w:pPr>
            <w:r w:rsidRPr="0029324A">
              <w:t>No maintenance with prednisolone</w:t>
            </w:r>
          </w:p>
        </w:tc>
      </w:tr>
      <w:tr w:rsidR="00F47559" w:rsidRPr="0029324A" w14:paraId="02A77F19" w14:textId="77777777" w:rsidTr="00286691">
        <w:tc>
          <w:tcPr>
            <w:tcW w:w="1000" w:type="pct"/>
          </w:tcPr>
          <w:p w14:paraId="4B1019DE" w14:textId="77777777" w:rsidR="00F47559" w:rsidRPr="0029324A" w:rsidRDefault="00F47559" w:rsidP="00B066BA">
            <w:pPr>
              <w:pStyle w:val="Tabletext"/>
            </w:pPr>
            <w:r w:rsidRPr="0029324A">
              <w:t>Intravenous administration (outpatient)</w:t>
            </w:r>
          </w:p>
        </w:tc>
        <w:tc>
          <w:tcPr>
            <w:tcW w:w="692" w:type="pct"/>
          </w:tcPr>
          <w:p w14:paraId="43BD4505" w14:textId="77777777" w:rsidR="00F47559" w:rsidRPr="0029324A" w:rsidRDefault="00F47559" w:rsidP="00286691">
            <w:pPr>
              <w:pStyle w:val="Tabletext"/>
              <w:jc w:val="center"/>
            </w:pPr>
            <w:r w:rsidRPr="0029324A">
              <w:t>1</w:t>
            </w:r>
          </w:p>
        </w:tc>
        <w:tc>
          <w:tcPr>
            <w:tcW w:w="757" w:type="pct"/>
          </w:tcPr>
          <w:p w14:paraId="4F0DB5D2" w14:textId="77777777" w:rsidR="00F47559" w:rsidRPr="0029324A" w:rsidRDefault="00F47559" w:rsidP="00B066BA">
            <w:pPr>
              <w:pStyle w:val="Tabletext"/>
            </w:pPr>
            <w:r w:rsidRPr="0029324A">
              <w:t xml:space="preserve">First: £199 Follow up: £212 </w:t>
            </w:r>
          </w:p>
        </w:tc>
        <w:tc>
          <w:tcPr>
            <w:tcW w:w="1465" w:type="pct"/>
            <w:shd w:val="clear" w:color="auto" w:fill="auto"/>
          </w:tcPr>
          <w:p w14:paraId="5C050D6F" w14:textId="77777777" w:rsidR="00F47559" w:rsidRPr="0029324A" w:rsidRDefault="00F47559" w:rsidP="00B066BA">
            <w:pPr>
              <w:pStyle w:val="Tabletext"/>
            </w:pPr>
            <w:r w:rsidRPr="0029324A">
              <w:t>Not applicable</w:t>
            </w:r>
          </w:p>
        </w:tc>
        <w:tc>
          <w:tcPr>
            <w:tcW w:w="1087" w:type="pct"/>
            <w:shd w:val="clear" w:color="auto" w:fill="auto"/>
          </w:tcPr>
          <w:p w14:paraId="48E1347D" w14:textId="77777777" w:rsidR="00F47559" w:rsidRPr="0029324A" w:rsidRDefault="00F47559" w:rsidP="00B066BA">
            <w:pPr>
              <w:pStyle w:val="Tabletext"/>
            </w:pPr>
            <w:r w:rsidRPr="0029324A">
              <w:t>Not applicable</w:t>
            </w:r>
          </w:p>
        </w:tc>
      </w:tr>
    </w:tbl>
    <w:p w14:paraId="45B253B0" w14:textId="77777777" w:rsidR="00286691" w:rsidRPr="0029324A" w:rsidRDefault="00286691" w:rsidP="007803EB">
      <w:pPr>
        <w:pStyle w:val="Numberedlevel2text"/>
        <w:numPr>
          <w:ilvl w:val="0"/>
          <w:numId w:val="0"/>
        </w:numPr>
      </w:pPr>
    </w:p>
    <w:p w14:paraId="6AAD0F45" w14:textId="59CDACD0" w:rsidR="00D22E4D" w:rsidRPr="0029324A" w:rsidRDefault="00D22E4D" w:rsidP="007803EB">
      <w:pPr>
        <w:pStyle w:val="Numberedlevel2text"/>
        <w:numPr>
          <w:ilvl w:val="0"/>
          <w:numId w:val="0"/>
        </w:numPr>
      </w:pPr>
      <w:r w:rsidRPr="0029324A">
        <w:t xml:space="preserve">The total cost of managing maintenance health states </w:t>
      </w:r>
      <w:r w:rsidR="00143C03" w:rsidRPr="0029324A">
        <w:t xml:space="preserve">for 2 weeks </w:t>
      </w:r>
      <w:r w:rsidRPr="0029324A">
        <w:t xml:space="preserve">was £17 for remission, £27 for a mild state and £122 for a moderate to severe state. </w:t>
      </w:r>
      <w:r w:rsidR="00143C03" w:rsidRPr="0029324A">
        <w:t>This</w:t>
      </w:r>
      <w:r w:rsidRPr="0029324A">
        <w:t xml:space="preserve"> included outpatient, radiology, </w:t>
      </w:r>
      <w:proofErr w:type="gramStart"/>
      <w:r w:rsidRPr="0029324A">
        <w:t>endoscopy</w:t>
      </w:r>
      <w:proofErr w:type="gramEnd"/>
      <w:r w:rsidRPr="0029324A">
        <w:t xml:space="preserve"> and hospitalisation costs</w:t>
      </w:r>
      <w:r w:rsidR="005710AC" w:rsidRPr="0029324A">
        <w:t>.</w:t>
      </w:r>
    </w:p>
    <w:p w14:paraId="12E21730" w14:textId="5CD1248D" w:rsidR="005710AC" w:rsidRPr="0029324A" w:rsidRDefault="005710AC" w:rsidP="00F0467D">
      <w:pPr>
        <w:pStyle w:val="Numberedlevel2text"/>
      </w:pPr>
      <w:r w:rsidRPr="0029324A">
        <w:t xml:space="preserve">The EAG used the utility values from </w:t>
      </w:r>
      <w:hyperlink r:id="rId15" w:history="1">
        <w:r w:rsidRPr="0029324A">
          <w:rPr>
            <w:rStyle w:val="Hyperlink"/>
          </w:rPr>
          <w:t>NICE’s guidance on vedolizumab</w:t>
        </w:r>
      </w:hyperlink>
      <w:r w:rsidRPr="0029324A">
        <w:t xml:space="preserve"> (based on EQ-5D data from GEMINI studies) in the base</w:t>
      </w:r>
      <w:r w:rsidR="00AD771F" w:rsidRPr="0029324A">
        <w:t xml:space="preserve"> </w:t>
      </w:r>
      <w:r w:rsidRPr="0029324A">
        <w:t>case analysis and a mapping algorithm based</w:t>
      </w:r>
      <w:r w:rsidR="00280506" w:rsidRPr="0029324A">
        <w:t xml:space="preserve"> on</w:t>
      </w:r>
      <w:r w:rsidRPr="0029324A">
        <w:t xml:space="preserve"> </w:t>
      </w:r>
      <w:hyperlink r:id="rId16" w:history="1">
        <w:r w:rsidR="00280506" w:rsidRPr="0029324A">
          <w:rPr>
            <w:rStyle w:val="Hyperlink"/>
          </w:rPr>
          <w:t xml:space="preserve">NICE’s guidance on </w:t>
        </w:r>
        <w:proofErr w:type="spellStart"/>
        <w:r w:rsidR="00280506" w:rsidRPr="0029324A">
          <w:rPr>
            <w:rStyle w:val="Hyperlink"/>
          </w:rPr>
          <w:t>ustekinumab</w:t>
        </w:r>
        <w:proofErr w:type="spellEnd"/>
        <w:r w:rsidR="00280506" w:rsidRPr="0029324A">
          <w:rPr>
            <w:rStyle w:val="Hyperlink"/>
          </w:rPr>
          <w:t xml:space="preserve"> for moderately to severely active Crohn’s disease after prior therapy</w:t>
        </w:r>
      </w:hyperlink>
      <w:r w:rsidRPr="0029324A">
        <w:t xml:space="preserve"> in a scenario analysis. All utilities were adjusted to account for the age and sex of the modelled population, according to Ara and Brazier 2010. Surgery</w:t>
      </w:r>
      <w:r w:rsidR="00143C03" w:rsidRPr="0029324A">
        <w:t>-</w:t>
      </w:r>
      <w:r w:rsidRPr="0029324A">
        <w:t xml:space="preserve">related disutility was estimated from the Marchetti study. Table </w:t>
      </w:r>
      <w:r w:rsidR="005237D7" w:rsidRPr="0029324A">
        <w:t>3</w:t>
      </w:r>
      <w:r w:rsidRPr="0029324A">
        <w:t xml:space="preserve"> shows the utility values used in the modelling</w:t>
      </w:r>
      <w:r w:rsidR="00371D27" w:rsidRPr="0029324A">
        <w:t>.</w:t>
      </w:r>
    </w:p>
    <w:p w14:paraId="35091244" w14:textId="363D7DB6" w:rsidR="00FB4A56" w:rsidRPr="0029324A" w:rsidRDefault="00FB4A56" w:rsidP="001A7292">
      <w:pPr>
        <w:pStyle w:val="Caption"/>
      </w:pPr>
      <w:r w:rsidRPr="0029324A">
        <w:lastRenderedPageBreak/>
        <w:t>Table</w:t>
      </w:r>
      <w:r w:rsidR="00223839" w:rsidRPr="0029324A">
        <w:t xml:space="preserve"> 3</w:t>
      </w:r>
      <w:r w:rsidRPr="0029324A">
        <w:t xml:space="preserve"> Utility values used for remission, mild, moderate to severe health states</w:t>
      </w:r>
    </w:p>
    <w:tbl>
      <w:tblPr>
        <w:tblW w:w="83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7"/>
        <w:gridCol w:w="2768"/>
        <w:gridCol w:w="2768"/>
      </w:tblGrid>
      <w:tr w:rsidR="00FB4A56" w:rsidRPr="0029324A" w14:paraId="581B04BF" w14:textId="77777777" w:rsidTr="00B6609B">
        <w:tc>
          <w:tcPr>
            <w:tcW w:w="2767" w:type="dxa"/>
            <w:shd w:val="clear" w:color="auto" w:fill="auto"/>
          </w:tcPr>
          <w:p w14:paraId="0BF3B38E" w14:textId="20C06F09" w:rsidR="00FB4A56" w:rsidRPr="0029324A" w:rsidRDefault="00FB4A56" w:rsidP="00FB4A56">
            <w:pPr>
              <w:pStyle w:val="Tableheading"/>
            </w:pPr>
            <w:r w:rsidRPr="0029324A">
              <w:t>Health state</w:t>
            </w:r>
          </w:p>
        </w:tc>
        <w:tc>
          <w:tcPr>
            <w:tcW w:w="2768" w:type="dxa"/>
            <w:shd w:val="clear" w:color="auto" w:fill="auto"/>
          </w:tcPr>
          <w:p w14:paraId="1F3C012A" w14:textId="24431871" w:rsidR="00FB4A56" w:rsidRPr="0029324A" w:rsidRDefault="00FB4A56" w:rsidP="00FB4A56">
            <w:pPr>
              <w:pStyle w:val="Tableheading"/>
            </w:pPr>
            <w:r w:rsidRPr="0029324A">
              <w:t>NICE guidance on vedolizumab</w:t>
            </w:r>
          </w:p>
        </w:tc>
        <w:tc>
          <w:tcPr>
            <w:tcW w:w="2768" w:type="dxa"/>
            <w:shd w:val="clear" w:color="auto" w:fill="auto"/>
          </w:tcPr>
          <w:p w14:paraId="5C057309" w14:textId="4705BFCE" w:rsidR="00FB4A56" w:rsidRPr="0029324A" w:rsidRDefault="00FB4A56" w:rsidP="00FB4A56">
            <w:pPr>
              <w:pStyle w:val="Tableheading"/>
            </w:pPr>
            <w:r w:rsidRPr="0029324A">
              <w:t>NICE guidance on ustekinumab</w:t>
            </w:r>
          </w:p>
        </w:tc>
      </w:tr>
      <w:tr w:rsidR="00FB4A56" w:rsidRPr="0029324A" w14:paraId="024DAAAE" w14:textId="77777777" w:rsidTr="00B6609B">
        <w:tc>
          <w:tcPr>
            <w:tcW w:w="2767" w:type="dxa"/>
            <w:shd w:val="clear" w:color="auto" w:fill="auto"/>
          </w:tcPr>
          <w:p w14:paraId="3F9C5555" w14:textId="2C3F5A0D" w:rsidR="00FB4A56" w:rsidRPr="0029324A" w:rsidRDefault="00FB4A56" w:rsidP="00FB4A56">
            <w:pPr>
              <w:pStyle w:val="Tabletext"/>
            </w:pPr>
            <w:r w:rsidRPr="0029324A">
              <w:t>Remission</w:t>
            </w:r>
          </w:p>
        </w:tc>
        <w:tc>
          <w:tcPr>
            <w:tcW w:w="2768" w:type="dxa"/>
            <w:shd w:val="clear" w:color="auto" w:fill="auto"/>
          </w:tcPr>
          <w:p w14:paraId="07B339F5" w14:textId="4950BF20" w:rsidR="00FB4A56" w:rsidRPr="0029324A" w:rsidRDefault="00FB4A56" w:rsidP="00FB4A56">
            <w:pPr>
              <w:pStyle w:val="Tabletext"/>
            </w:pPr>
            <w:r w:rsidRPr="0029324A">
              <w:t>0.820</w:t>
            </w:r>
          </w:p>
        </w:tc>
        <w:tc>
          <w:tcPr>
            <w:tcW w:w="2768" w:type="dxa"/>
            <w:shd w:val="clear" w:color="auto" w:fill="auto"/>
          </w:tcPr>
          <w:p w14:paraId="37BDAAC9" w14:textId="3CC7D667" w:rsidR="00FB4A56" w:rsidRPr="0029324A" w:rsidRDefault="00FB4A56" w:rsidP="00FB4A56">
            <w:pPr>
              <w:pStyle w:val="Tabletext"/>
            </w:pPr>
            <w:r w:rsidRPr="0029324A">
              <w:t>0.820</w:t>
            </w:r>
          </w:p>
        </w:tc>
      </w:tr>
      <w:tr w:rsidR="00FB4A56" w:rsidRPr="0029324A" w14:paraId="2F14C56B" w14:textId="77777777" w:rsidTr="00B6609B">
        <w:tc>
          <w:tcPr>
            <w:tcW w:w="2767" w:type="dxa"/>
            <w:shd w:val="clear" w:color="auto" w:fill="auto"/>
          </w:tcPr>
          <w:p w14:paraId="176E5EC7" w14:textId="59790FA6" w:rsidR="00FB4A56" w:rsidRPr="0029324A" w:rsidRDefault="00FB4A56" w:rsidP="00FB4A56">
            <w:pPr>
              <w:pStyle w:val="Tabletext"/>
            </w:pPr>
            <w:r w:rsidRPr="0029324A">
              <w:t>Mild disease</w:t>
            </w:r>
          </w:p>
        </w:tc>
        <w:tc>
          <w:tcPr>
            <w:tcW w:w="2768" w:type="dxa"/>
            <w:shd w:val="clear" w:color="auto" w:fill="auto"/>
          </w:tcPr>
          <w:p w14:paraId="0036B417" w14:textId="145A322B" w:rsidR="00FB4A56" w:rsidRPr="0029324A" w:rsidRDefault="00FB4A56" w:rsidP="00FB4A56">
            <w:pPr>
              <w:pStyle w:val="Tabletext"/>
            </w:pPr>
            <w:r w:rsidRPr="0029324A">
              <w:t>0.730</w:t>
            </w:r>
          </w:p>
        </w:tc>
        <w:tc>
          <w:tcPr>
            <w:tcW w:w="2768" w:type="dxa"/>
            <w:shd w:val="clear" w:color="auto" w:fill="auto"/>
          </w:tcPr>
          <w:p w14:paraId="4DA787E2" w14:textId="63434D72" w:rsidR="00FB4A56" w:rsidRPr="0029324A" w:rsidRDefault="00FB4A56" w:rsidP="00FB4A56">
            <w:pPr>
              <w:pStyle w:val="Tabletext"/>
            </w:pPr>
            <w:r w:rsidRPr="0029324A">
              <w:t>0.700</w:t>
            </w:r>
          </w:p>
        </w:tc>
      </w:tr>
      <w:tr w:rsidR="00FB4A56" w:rsidRPr="0029324A" w14:paraId="4C1A7083" w14:textId="77777777" w:rsidTr="00B6609B">
        <w:tc>
          <w:tcPr>
            <w:tcW w:w="2767" w:type="dxa"/>
            <w:shd w:val="clear" w:color="auto" w:fill="auto"/>
          </w:tcPr>
          <w:p w14:paraId="2D4E5690" w14:textId="27FF069A" w:rsidR="00FB4A56" w:rsidRPr="0029324A" w:rsidRDefault="00FB4A56" w:rsidP="00FB4A56">
            <w:pPr>
              <w:pStyle w:val="Tabletext"/>
            </w:pPr>
            <w:r w:rsidRPr="0029324A">
              <w:t>Moderate to severe</w:t>
            </w:r>
          </w:p>
        </w:tc>
        <w:tc>
          <w:tcPr>
            <w:tcW w:w="2768" w:type="dxa"/>
            <w:shd w:val="clear" w:color="auto" w:fill="auto"/>
          </w:tcPr>
          <w:p w14:paraId="315B9C61" w14:textId="7DAD02E8" w:rsidR="00FB4A56" w:rsidRPr="0029324A" w:rsidRDefault="00FB4A56" w:rsidP="00FB4A56">
            <w:pPr>
              <w:pStyle w:val="Tabletext"/>
            </w:pPr>
            <w:r w:rsidRPr="0029324A">
              <w:t>0.570</w:t>
            </w:r>
          </w:p>
        </w:tc>
        <w:tc>
          <w:tcPr>
            <w:tcW w:w="2768" w:type="dxa"/>
            <w:shd w:val="clear" w:color="auto" w:fill="auto"/>
          </w:tcPr>
          <w:p w14:paraId="228B1111" w14:textId="71556AA0" w:rsidR="00FB4A56" w:rsidRPr="0029324A" w:rsidRDefault="00FB4A56" w:rsidP="00FB4A56">
            <w:pPr>
              <w:pStyle w:val="Tabletext"/>
            </w:pPr>
            <w:r w:rsidRPr="0029324A">
              <w:t>0.550</w:t>
            </w:r>
          </w:p>
        </w:tc>
      </w:tr>
    </w:tbl>
    <w:p w14:paraId="549DDC55" w14:textId="13A6446E" w:rsidR="00FB4A56" w:rsidRPr="0029324A" w:rsidRDefault="00FB4A56" w:rsidP="00FB4A56">
      <w:pPr>
        <w:pStyle w:val="NICEnormal"/>
      </w:pPr>
    </w:p>
    <w:p w14:paraId="6C9BE6CE" w14:textId="3B262195" w:rsidR="006D52E6" w:rsidRPr="0029324A" w:rsidRDefault="006D52E6" w:rsidP="006D52E6">
      <w:pPr>
        <w:pStyle w:val="Heading3"/>
      </w:pPr>
      <w:r w:rsidRPr="0029324A">
        <w:t xml:space="preserve">Key </w:t>
      </w:r>
      <w:r w:rsidR="003C3A08" w:rsidRPr="0029324A">
        <w:t>assumptions</w:t>
      </w:r>
    </w:p>
    <w:p w14:paraId="4684C14C" w14:textId="14B72A8D" w:rsidR="003C3A08" w:rsidRPr="0029324A" w:rsidRDefault="006D52E6" w:rsidP="00F0467D">
      <w:pPr>
        <w:pStyle w:val="Numberedlevel2text"/>
      </w:pPr>
      <w:r w:rsidRPr="0029324A">
        <w:t>The EAG assumed that</w:t>
      </w:r>
      <w:r w:rsidR="003C3A08" w:rsidRPr="0029324A">
        <w:t>:</w:t>
      </w:r>
    </w:p>
    <w:p w14:paraId="27ED339A" w14:textId="3FE14F77" w:rsidR="003C3A08" w:rsidRPr="0029324A" w:rsidRDefault="006D52E6" w:rsidP="003C3A08">
      <w:pPr>
        <w:pStyle w:val="Bulletindent1"/>
        <w:rPr>
          <w:lang w:val="en-GB"/>
        </w:rPr>
      </w:pPr>
      <w:r w:rsidRPr="0029324A">
        <w:rPr>
          <w:lang w:val="en-GB"/>
        </w:rPr>
        <w:t xml:space="preserve">PredictSURE IBD (and IBDX in the scenario analysis) are 100% accurate in categorising </w:t>
      </w:r>
      <w:r w:rsidR="00F4284B" w:rsidRPr="0029324A">
        <w:rPr>
          <w:lang w:val="en-GB"/>
        </w:rPr>
        <w:t>people</w:t>
      </w:r>
      <w:r w:rsidRPr="0029324A">
        <w:rPr>
          <w:lang w:val="en-GB"/>
        </w:rPr>
        <w:t xml:space="preserve"> into high and low risk </w:t>
      </w:r>
      <w:r w:rsidR="00360563" w:rsidRPr="0029324A">
        <w:rPr>
          <w:lang w:val="en-GB"/>
        </w:rPr>
        <w:t xml:space="preserve">of </w:t>
      </w:r>
      <w:r w:rsidRPr="0029324A">
        <w:rPr>
          <w:lang w:val="en-GB"/>
        </w:rPr>
        <w:t>severe disease.</w:t>
      </w:r>
    </w:p>
    <w:p w14:paraId="7B904718" w14:textId="7EB93B9D" w:rsidR="006D52E6" w:rsidRPr="0029324A" w:rsidRDefault="006D52E6" w:rsidP="000E7845">
      <w:pPr>
        <w:pStyle w:val="Bulletindent1"/>
        <w:rPr>
          <w:lang w:val="en-GB"/>
        </w:rPr>
      </w:pPr>
      <w:r w:rsidRPr="0029324A">
        <w:rPr>
          <w:lang w:val="en-GB"/>
        </w:rPr>
        <w:t xml:space="preserve">People categorised as high risk by the test </w:t>
      </w:r>
      <w:r w:rsidR="00D676A2" w:rsidRPr="0029324A">
        <w:rPr>
          <w:lang w:val="en-GB"/>
        </w:rPr>
        <w:t>have</w:t>
      </w:r>
      <w:r w:rsidRPr="0029324A">
        <w:rPr>
          <w:lang w:val="en-GB"/>
        </w:rPr>
        <w:t xml:space="preserve"> top</w:t>
      </w:r>
      <w:r w:rsidR="00143C03" w:rsidRPr="0029324A">
        <w:rPr>
          <w:lang w:val="en-GB"/>
        </w:rPr>
        <w:t>-</w:t>
      </w:r>
      <w:r w:rsidRPr="0029324A">
        <w:rPr>
          <w:lang w:val="en-GB"/>
        </w:rPr>
        <w:t xml:space="preserve">down </w:t>
      </w:r>
      <w:r w:rsidR="009C1E0E" w:rsidRPr="0029324A">
        <w:rPr>
          <w:lang w:val="en-GB"/>
        </w:rPr>
        <w:t>treatment</w:t>
      </w:r>
      <w:r w:rsidRPr="0029324A">
        <w:rPr>
          <w:lang w:val="en-GB"/>
        </w:rPr>
        <w:t>.</w:t>
      </w:r>
    </w:p>
    <w:p w14:paraId="20F393AD" w14:textId="567C0CD3" w:rsidR="00C941BA" w:rsidRPr="0029324A" w:rsidRDefault="001900B6" w:rsidP="00143C03">
      <w:pPr>
        <w:pStyle w:val="Bulletindent1"/>
        <w:rPr>
          <w:lang w:val="en-GB"/>
        </w:rPr>
      </w:pPr>
      <w:r w:rsidRPr="0029324A">
        <w:rPr>
          <w:lang w:val="en-GB"/>
        </w:rPr>
        <w:t xml:space="preserve">People </w:t>
      </w:r>
      <w:r w:rsidR="006D52E6" w:rsidRPr="0029324A">
        <w:rPr>
          <w:lang w:val="en-GB"/>
        </w:rPr>
        <w:t>have the same baseline probability of escalating to the next step in the step</w:t>
      </w:r>
      <w:r w:rsidR="008D4315" w:rsidRPr="0029324A">
        <w:rPr>
          <w:lang w:val="en-GB"/>
        </w:rPr>
        <w:t>-</w:t>
      </w:r>
      <w:r w:rsidR="006D52E6" w:rsidRPr="0029324A">
        <w:rPr>
          <w:lang w:val="en-GB"/>
        </w:rPr>
        <w:t xml:space="preserve">up strategy (estimated from time to first escalation in Biasci et al.) regardless of </w:t>
      </w:r>
      <w:r w:rsidR="00143C03" w:rsidRPr="0029324A">
        <w:rPr>
          <w:lang w:val="en-GB"/>
        </w:rPr>
        <w:t xml:space="preserve">the </w:t>
      </w:r>
      <w:r w:rsidR="006D52E6" w:rsidRPr="0029324A">
        <w:rPr>
          <w:lang w:val="en-GB"/>
        </w:rPr>
        <w:t>number of previous escalations.</w:t>
      </w:r>
    </w:p>
    <w:p w14:paraId="4ACE0DC6" w14:textId="030586B6" w:rsidR="00C941BA" w:rsidRPr="0029324A" w:rsidRDefault="000023BE" w:rsidP="00143C03">
      <w:pPr>
        <w:pStyle w:val="Bulletindent1"/>
        <w:rPr>
          <w:lang w:val="en-GB"/>
        </w:rPr>
      </w:pPr>
      <w:r w:rsidRPr="0029324A">
        <w:rPr>
          <w:lang w:val="en-GB"/>
        </w:rPr>
        <w:t xml:space="preserve">30% of people receiving anti-TNF and 20% of people receiving non-anti-TNF biologics </w:t>
      </w:r>
      <w:r w:rsidR="001900B6" w:rsidRPr="0029324A">
        <w:rPr>
          <w:lang w:val="en-GB"/>
        </w:rPr>
        <w:t xml:space="preserve">have </w:t>
      </w:r>
      <w:r w:rsidRPr="0029324A">
        <w:rPr>
          <w:lang w:val="en-GB"/>
        </w:rPr>
        <w:t>combination treatment with immunomodulators.</w:t>
      </w:r>
    </w:p>
    <w:p w14:paraId="1419B74C" w14:textId="060D9AB6" w:rsidR="00C941BA" w:rsidRPr="0029324A" w:rsidRDefault="000023BE" w:rsidP="00143C03">
      <w:pPr>
        <w:pStyle w:val="Bulletindent1"/>
        <w:rPr>
          <w:lang w:val="en-GB"/>
        </w:rPr>
      </w:pPr>
      <w:r w:rsidRPr="0029324A">
        <w:rPr>
          <w:lang w:val="en-GB"/>
        </w:rPr>
        <w:t xml:space="preserve">Response to anti-TNF does not depend on the prior lines of </w:t>
      </w:r>
      <w:r w:rsidR="009C1E0E" w:rsidRPr="0029324A">
        <w:rPr>
          <w:lang w:val="en-GB"/>
        </w:rPr>
        <w:t>treatment</w:t>
      </w:r>
      <w:r w:rsidR="00C941BA" w:rsidRPr="0029324A">
        <w:rPr>
          <w:lang w:val="en-GB"/>
        </w:rPr>
        <w:t>.</w:t>
      </w:r>
    </w:p>
    <w:p w14:paraId="706961DC" w14:textId="06FE2DDF" w:rsidR="000023BE" w:rsidRPr="0029324A" w:rsidRDefault="000023BE" w:rsidP="000E7845">
      <w:pPr>
        <w:pStyle w:val="Bulletindent1last"/>
      </w:pPr>
      <w:r w:rsidRPr="0029324A">
        <w:t>People in the top-down strategy have a longer time to treatment escalation and a longer time to surgery than people in the step-up strategy, based on extrapolation of results from D’Haens et al. (2008) and Hoekman et al. (2018)</w:t>
      </w:r>
      <w:r w:rsidR="001900B6" w:rsidRPr="0029324A">
        <w:t>.</w:t>
      </w:r>
    </w:p>
    <w:p w14:paraId="7276047E" w14:textId="77CDB8F8" w:rsidR="006D52E6" w:rsidRPr="0029324A" w:rsidRDefault="006D52E6" w:rsidP="00F0467D">
      <w:pPr>
        <w:pStyle w:val="Numberedlevel2text"/>
      </w:pPr>
      <w:r w:rsidRPr="0029324A">
        <w:t xml:space="preserve">To use the D’Haens study the EAG assumed </w:t>
      </w:r>
      <w:r w:rsidR="001900B6" w:rsidRPr="0029324A">
        <w:t>that:</w:t>
      </w:r>
    </w:p>
    <w:p w14:paraId="349751A2" w14:textId="52F4DA23" w:rsidR="006D52E6" w:rsidRPr="0029324A" w:rsidRDefault="00590486" w:rsidP="000E7845">
      <w:pPr>
        <w:pStyle w:val="Bulletindent1"/>
        <w:rPr>
          <w:lang w:val="en-GB"/>
        </w:rPr>
      </w:pPr>
      <w:r w:rsidRPr="0029324A">
        <w:rPr>
          <w:lang w:val="en-GB"/>
        </w:rPr>
        <w:t>T</w:t>
      </w:r>
      <w:r w:rsidR="001900B6" w:rsidRPr="0029324A">
        <w:rPr>
          <w:lang w:val="en-GB"/>
        </w:rPr>
        <w:t xml:space="preserve">he </w:t>
      </w:r>
      <w:r w:rsidR="006D52E6" w:rsidRPr="0029324A">
        <w:rPr>
          <w:lang w:val="en-GB"/>
        </w:rPr>
        <w:t>relative treatment effect of top-down and step-up strategies in a mixed-risk population is the same as the relative treatment effect in a high-risk population.</w:t>
      </w:r>
    </w:p>
    <w:p w14:paraId="2C237112" w14:textId="16614D05" w:rsidR="006D52E6" w:rsidRPr="0029324A" w:rsidRDefault="00590486" w:rsidP="000E7845">
      <w:pPr>
        <w:pStyle w:val="Bulletindent1"/>
        <w:rPr>
          <w:lang w:val="en-GB"/>
        </w:rPr>
      </w:pPr>
      <w:r w:rsidRPr="0029324A">
        <w:rPr>
          <w:lang w:val="en-GB"/>
        </w:rPr>
        <w:lastRenderedPageBreak/>
        <w:t>T</w:t>
      </w:r>
      <w:r w:rsidR="006D52E6" w:rsidRPr="0029324A">
        <w:rPr>
          <w:lang w:val="en-GB"/>
        </w:rPr>
        <w:t>ime to relapse is a proxy measure for time to the next treatment escalation.</w:t>
      </w:r>
    </w:p>
    <w:p w14:paraId="66B58260" w14:textId="1C833D9D" w:rsidR="006D52E6" w:rsidRPr="0029324A" w:rsidRDefault="006D52E6" w:rsidP="000E7845">
      <w:pPr>
        <w:pStyle w:val="Bulletindent1last"/>
      </w:pPr>
      <w:r w:rsidRPr="0029324A">
        <w:t xml:space="preserve">The effectiveness of treatment strategies in this study is a proxy for </w:t>
      </w:r>
      <w:r w:rsidR="001900B6" w:rsidRPr="0029324A">
        <w:t xml:space="preserve">the </w:t>
      </w:r>
      <w:r w:rsidRPr="0029324A">
        <w:t>treatment effectiveness of the first step in the top-down (anti-TNF) and step-up (immunomodulators) strategies modelled.</w:t>
      </w:r>
    </w:p>
    <w:p w14:paraId="6E4E5565" w14:textId="4C57C940" w:rsidR="006D52E6" w:rsidRPr="0029324A" w:rsidRDefault="006D52E6" w:rsidP="00F0467D">
      <w:pPr>
        <w:pStyle w:val="Numberedlevel2text"/>
      </w:pPr>
      <w:r w:rsidRPr="0029324A">
        <w:t xml:space="preserve">To estimate the relative treatment effect of top-down and step-up </w:t>
      </w:r>
      <w:r w:rsidR="009C1E0E" w:rsidRPr="0029324A">
        <w:t>treatment</w:t>
      </w:r>
      <w:r w:rsidRPr="0029324A">
        <w:t xml:space="preserve"> </w:t>
      </w:r>
      <w:r w:rsidR="00133E7B" w:rsidRPr="0029324A">
        <w:t xml:space="preserve">on </w:t>
      </w:r>
      <w:r w:rsidRPr="0029324A">
        <w:t>time to treatment escalation, the EAG digitised the time to relapse Kaplan–Meier data from D’Haens et al. to estimate a hazard function</w:t>
      </w:r>
      <w:r w:rsidR="00590486" w:rsidRPr="0029324A">
        <w:t>. This</w:t>
      </w:r>
      <w:r w:rsidRPr="0029324A">
        <w:t xml:space="preserve"> was applied to the first treatment step in the high</w:t>
      </w:r>
      <w:r w:rsidR="00590486" w:rsidRPr="0029324A">
        <w:t>-</w:t>
      </w:r>
      <w:r w:rsidRPr="0029324A">
        <w:t>risk</w:t>
      </w:r>
      <w:r w:rsidR="00590486" w:rsidRPr="0029324A">
        <w:t>,</w:t>
      </w:r>
      <w:r w:rsidRPr="0029324A">
        <w:t xml:space="preserve"> top</w:t>
      </w:r>
      <w:r w:rsidR="00590486" w:rsidRPr="0029324A">
        <w:t>-</w:t>
      </w:r>
      <w:r w:rsidRPr="0029324A">
        <w:t>down arm of the model</w:t>
      </w:r>
      <w:r w:rsidR="005F15D6" w:rsidRPr="0029324A">
        <w:t>.</w:t>
      </w:r>
    </w:p>
    <w:p w14:paraId="18C3AC4A" w14:textId="388F0361" w:rsidR="005F15D6" w:rsidRPr="0029324A" w:rsidRDefault="005F15D6" w:rsidP="004D0754">
      <w:pPr>
        <w:pStyle w:val="Numberedlevel2text"/>
      </w:pPr>
      <w:r w:rsidRPr="0029324A">
        <w:t xml:space="preserve">The base case was revised to reflect the assumption that time to treatment escalation restarts on each new treatment rather than </w:t>
      </w:r>
      <w:r w:rsidR="00590486" w:rsidRPr="0029324A">
        <w:t xml:space="preserve">reducing </w:t>
      </w:r>
      <w:r w:rsidRPr="0029324A">
        <w:t>over time and as treatment sequences progress. Cost</w:t>
      </w:r>
      <w:r w:rsidR="005A20E3" w:rsidRPr="0029324A">
        <w:t>-effectiveness</w:t>
      </w:r>
      <w:r w:rsidRPr="0029324A">
        <w:t xml:space="preserve"> results presented are from the revised base case.</w:t>
      </w:r>
    </w:p>
    <w:p w14:paraId="7B18B07C" w14:textId="09352710" w:rsidR="005F15D6" w:rsidRPr="0029324A" w:rsidRDefault="005F15D6" w:rsidP="00C941BA">
      <w:pPr>
        <w:pStyle w:val="Heading3"/>
      </w:pPr>
      <w:r w:rsidRPr="0029324A">
        <w:t>Base case results</w:t>
      </w:r>
    </w:p>
    <w:p w14:paraId="24889BC7" w14:textId="6181682B" w:rsidR="005F15D6" w:rsidRPr="0029324A" w:rsidRDefault="005F15D6" w:rsidP="00F0467D">
      <w:pPr>
        <w:pStyle w:val="Numberedlevel2text"/>
      </w:pPr>
      <w:r w:rsidRPr="0029324A">
        <w:t>Results of the revised base case</w:t>
      </w:r>
      <w:r w:rsidR="004B4AF9" w:rsidRPr="0029324A">
        <w:t xml:space="preserve"> (detailed in the </w:t>
      </w:r>
      <w:hyperlink r:id="rId17" w:history="1">
        <w:r w:rsidR="004B4AF9" w:rsidRPr="0029324A">
          <w:rPr>
            <w:rStyle w:val="Hyperlink"/>
          </w:rPr>
          <w:t>addendum</w:t>
        </w:r>
        <w:r w:rsidR="00223D4C" w:rsidRPr="0029324A">
          <w:rPr>
            <w:rStyle w:val="Hyperlink"/>
          </w:rPr>
          <w:t xml:space="preserve"> to the diagnostics assessment report</w:t>
        </w:r>
      </w:hyperlink>
      <w:r w:rsidR="004B4AF9" w:rsidRPr="0029324A">
        <w:t>)</w:t>
      </w:r>
      <w:r w:rsidRPr="0029324A">
        <w:t xml:space="preserve"> superseded results of the primary analysis. In the revised analysis the time to treatment escalation restarts on each new treatment.</w:t>
      </w:r>
    </w:p>
    <w:p w14:paraId="5611279E" w14:textId="24210158" w:rsidR="005F15D6" w:rsidRPr="0029324A" w:rsidRDefault="005F15D6" w:rsidP="00F0467D">
      <w:pPr>
        <w:pStyle w:val="Numberedlevel2text"/>
      </w:pPr>
      <w:bookmarkStart w:id="11" w:name="_Ref48142040"/>
      <w:r w:rsidRPr="0029324A">
        <w:t xml:space="preserve">The base case compared </w:t>
      </w:r>
      <w:r w:rsidR="009C1E0E" w:rsidRPr="0029324A">
        <w:t xml:space="preserve">the </w:t>
      </w:r>
      <w:r w:rsidRPr="0029324A">
        <w:t>top</w:t>
      </w:r>
      <w:r w:rsidR="0090148E" w:rsidRPr="0029324A">
        <w:t>-</w:t>
      </w:r>
      <w:r w:rsidRPr="0029324A">
        <w:t xml:space="preserve">down strategy (using PredictSURE IBD </w:t>
      </w:r>
      <w:r w:rsidR="0090148E" w:rsidRPr="0029324A">
        <w:t xml:space="preserve">to </w:t>
      </w:r>
      <w:r w:rsidRPr="0029324A">
        <w:t xml:space="preserve">predict </w:t>
      </w:r>
      <w:r w:rsidR="0090148E" w:rsidRPr="0029324A">
        <w:t xml:space="preserve">who was </w:t>
      </w:r>
      <w:r w:rsidRPr="0029324A">
        <w:t>high risk) with standard care</w:t>
      </w:r>
      <w:r w:rsidR="0090148E" w:rsidRPr="0029324A">
        <w:t>,</w:t>
      </w:r>
      <w:r w:rsidRPr="0029324A">
        <w:t xml:space="preserve"> in which a high</w:t>
      </w:r>
      <w:r w:rsidR="0090148E" w:rsidRPr="0029324A">
        <w:t>-</w:t>
      </w:r>
      <w:r w:rsidRPr="0029324A">
        <w:t xml:space="preserve">risk person </w:t>
      </w:r>
      <w:r w:rsidR="00D676A2" w:rsidRPr="0029324A">
        <w:t>has</w:t>
      </w:r>
      <w:r w:rsidRPr="0029324A">
        <w:t xml:space="preserve"> step</w:t>
      </w:r>
      <w:r w:rsidR="0090148E" w:rsidRPr="0029324A">
        <w:t>-</w:t>
      </w:r>
      <w:r w:rsidRPr="0029324A">
        <w:t xml:space="preserve">up </w:t>
      </w:r>
      <w:r w:rsidR="009C1E0E" w:rsidRPr="0029324A">
        <w:t>treatment</w:t>
      </w:r>
      <w:r w:rsidRPr="0029324A">
        <w:t>. In both the deterministic and probabilistic analyses PredictSURE IBD was dominated by standard care, meaning it costs more and has less QALYs.</w:t>
      </w:r>
      <w:bookmarkEnd w:id="11"/>
    </w:p>
    <w:p w14:paraId="70C8841B" w14:textId="659B17DB" w:rsidR="005F15D6" w:rsidRPr="0029324A" w:rsidRDefault="005F15D6" w:rsidP="000E7845">
      <w:pPr>
        <w:pStyle w:val="Bulletindent1"/>
        <w:rPr>
          <w:lang w:val="en-GB"/>
        </w:rPr>
      </w:pPr>
      <w:r w:rsidRPr="0029324A">
        <w:rPr>
          <w:lang w:val="en-GB"/>
        </w:rPr>
        <w:t xml:space="preserve">Deterministic result: </w:t>
      </w:r>
      <w:r w:rsidR="0090148E" w:rsidRPr="0029324A">
        <w:rPr>
          <w:lang w:val="en-GB"/>
        </w:rPr>
        <w:t>i</w:t>
      </w:r>
      <w:r w:rsidRPr="0029324A">
        <w:rPr>
          <w:lang w:val="en-GB"/>
        </w:rPr>
        <w:t>ncremental cost</w:t>
      </w:r>
      <w:r w:rsidR="0090148E" w:rsidRPr="0029324A">
        <w:rPr>
          <w:lang w:val="en-GB"/>
        </w:rPr>
        <w:t xml:space="preserve"> was</w:t>
      </w:r>
      <w:r w:rsidRPr="0029324A">
        <w:rPr>
          <w:lang w:val="en-GB"/>
        </w:rPr>
        <w:t xml:space="preserve"> £9,084 and incremental QALY </w:t>
      </w:r>
      <w:r w:rsidR="0090148E" w:rsidRPr="0029324A">
        <w:rPr>
          <w:lang w:val="en-GB"/>
        </w:rPr>
        <w:t>was</w:t>
      </w:r>
      <w:r w:rsidRPr="0029324A">
        <w:rPr>
          <w:lang w:val="en-GB"/>
        </w:rPr>
        <w:t xml:space="preserve"> -0.08</w:t>
      </w:r>
      <w:r w:rsidR="0090148E" w:rsidRPr="0029324A">
        <w:rPr>
          <w:lang w:val="en-GB"/>
        </w:rPr>
        <w:t>.</w:t>
      </w:r>
    </w:p>
    <w:p w14:paraId="0FD3A4EF" w14:textId="5E741102" w:rsidR="005F15D6" w:rsidRPr="0029324A" w:rsidRDefault="005F15D6" w:rsidP="000E7845">
      <w:pPr>
        <w:pStyle w:val="Bulletindent1last"/>
      </w:pPr>
      <w:r w:rsidRPr="0029324A">
        <w:t xml:space="preserve">Probabilistic result: </w:t>
      </w:r>
      <w:r w:rsidR="0090148E" w:rsidRPr="0029324A">
        <w:t>i</w:t>
      </w:r>
      <w:r w:rsidRPr="0029324A">
        <w:t>ncremental cost</w:t>
      </w:r>
      <w:r w:rsidR="0090148E" w:rsidRPr="0029324A">
        <w:t xml:space="preserve"> was </w:t>
      </w:r>
      <w:r w:rsidRPr="0029324A">
        <w:t>£12,132 and incremental QALY</w:t>
      </w:r>
      <w:r w:rsidR="0090148E" w:rsidRPr="0029324A">
        <w:t xml:space="preserve"> </w:t>
      </w:r>
      <w:r w:rsidRPr="0029324A">
        <w:t>was -0.03</w:t>
      </w:r>
      <w:r w:rsidR="00D341DA" w:rsidRPr="0029324A">
        <w:t>.</w:t>
      </w:r>
      <w:r w:rsidRPr="0029324A">
        <w:t xml:space="preserve"> </w:t>
      </w:r>
      <w:r w:rsidR="0090148E" w:rsidRPr="0029324A">
        <w:br/>
      </w:r>
      <w:r w:rsidR="0090148E" w:rsidRPr="0029324A">
        <w:br/>
      </w:r>
      <w:r w:rsidRPr="0029324A">
        <w:lastRenderedPageBreak/>
        <w:t>The testing strategy had a less than 10% probability of being cost effective against standard care at the maximum acceptable ICERs of £20,000 and £30,000</w:t>
      </w:r>
      <w:r w:rsidR="00360563" w:rsidRPr="0029324A">
        <w:t xml:space="preserve"> per QALY</w:t>
      </w:r>
      <w:r w:rsidR="0090148E" w:rsidRPr="0029324A">
        <w:t xml:space="preserve"> gained</w:t>
      </w:r>
      <w:r w:rsidRPr="0029324A">
        <w:t>.</w:t>
      </w:r>
    </w:p>
    <w:p w14:paraId="7B876E8C" w14:textId="25BD6720" w:rsidR="005F15D6" w:rsidRPr="0029324A" w:rsidRDefault="005F15D6" w:rsidP="00F0467D">
      <w:pPr>
        <w:pStyle w:val="Numberedlevel2text"/>
      </w:pPr>
      <w:r w:rsidRPr="0029324A">
        <w:t>The deterministic fully incremental cost-effectiveness analysis explored as a scenario analysis show</w:t>
      </w:r>
      <w:r w:rsidR="00360563" w:rsidRPr="0029324A">
        <w:t>ed</w:t>
      </w:r>
      <w:r w:rsidRPr="0029324A">
        <w:t xml:space="preserve"> that PredictSURE IBD (incremental cost £903, incremental QALY 0) and IBDX (incremental cost £8,181, incremental QALY -0.08) were dominated when compared with standard care of no testing. In the absence of robust evidence on the prognostic accuracy of both tools, the cost-effectiveness analysis only differs in the cost of the tests.</w:t>
      </w:r>
    </w:p>
    <w:p w14:paraId="15A8E7EC" w14:textId="4F02F9C5" w:rsidR="005F15D6" w:rsidRPr="0029324A" w:rsidRDefault="005F15D6" w:rsidP="005F15D6">
      <w:pPr>
        <w:pStyle w:val="Heading3"/>
      </w:pPr>
      <w:r w:rsidRPr="0029324A">
        <w:t>Cost</w:t>
      </w:r>
      <w:r w:rsidR="005A20E3" w:rsidRPr="0029324A">
        <w:t>-</w:t>
      </w:r>
      <w:r w:rsidRPr="0029324A">
        <w:t>effectiveness results: scenario analyses</w:t>
      </w:r>
    </w:p>
    <w:p w14:paraId="0BD61457" w14:textId="4E64E90A" w:rsidR="005F15D6" w:rsidRPr="0029324A" w:rsidRDefault="005F15D6" w:rsidP="00F0467D">
      <w:pPr>
        <w:pStyle w:val="Numberedlevel2text"/>
      </w:pPr>
      <w:bookmarkStart w:id="12" w:name="_Ref47953933"/>
      <w:r w:rsidRPr="0029324A">
        <w:t>The dominance of the step</w:t>
      </w:r>
      <w:r w:rsidR="008D4315" w:rsidRPr="0029324A">
        <w:t>-</w:t>
      </w:r>
      <w:r w:rsidRPr="0029324A">
        <w:t xml:space="preserve">up strategy may be </w:t>
      </w:r>
      <w:r w:rsidR="003B2F4E" w:rsidRPr="0029324A">
        <w:t>because of</w:t>
      </w:r>
      <w:r w:rsidRPr="0029324A">
        <w:t xml:space="preserve"> the benefit some people</w:t>
      </w:r>
      <w:r w:rsidR="003B2F4E" w:rsidRPr="0029324A">
        <w:t xml:space="preserve"> get from having</w:t>
      </w:r>
      <w:r w:rsidRPr="0029324A">
        <w:t xml:space="preserve"> immunomodulators </w:t>
      </w:r>
      <w:proofErr w:type="gramStart"/>
      <w:r w:rsidRPr="0029324A">
        <w:t>first</w:t>
      </w:r>
      <w:r w:rsidR="003B2F4E" w:rsidRPr="0029324A">
        <w:t>,</w:t>
      </w:r>
      <w:r w:rsidRPr="0029324A">
        <w:t xml:space="preserve"> before</w:t>
      </w:r>
      <w:proofErr w:type="gramEnd"/>
      <w:r w:rsidRPr="0029324A">
        <w:t xml:space="preserve"> biologics. </w:t>
      </w:r>
      <w:bookmarkStart w:id="13" w:name="_Hlk48314483"/>
      <w:r w:rsidR="003B2F4E" w:rsidRPr="0029324A">
        <w:t>The c</w:t>
      </w:r>
      <w:r w:rsidRPr="0029324A">
        <w:t xml:space="preserve">linical experts </w:t>
      </w:r>
      <w:r w:rsidR="003B2F4E" w:rsidRPr="0029324A">
        <w:t xml:space="preserve">told </w:t>
      </w:r>
      <w:r w:rsidRPr="0029324A">
        <w:t>the EAG that</w:t>
      </w:r>
      <w:r w:rsidR="003B2F4E" w:rsidRPr="0029324A">
        <w:t xml:space="preserve"> people on the</w:t>
      </w:r>
      <w:r w:rsidRPr="0029324A">
        <w:t xml:space="preserve"> </w:t>
      </w:r>
      <w:r w:rsidR="003B2F4E" w:rsidRPr="0029324A">
        <w:t xml:space="preserve">top-down strategy </w:t>
      </w:r>
      <w:r w:rsidR="00F4284B" w:rsidRPr="0029324A">
        <w:t>do</w:t>
      </w:r>
      <w:r w:rsidR="003B2F4E" w:rsidRPr="0029324A">
        <w:t xml:space="preserve"> not have </w:t>
      </w:r>
      <w:r w:rsidRPr="0029324A">
        <w:t>immunomodulators after</w:t>
      </w:r>
      <w:r w:rsidR="00A62F32" w:rsidRPr="0029324A">
        <w:t xml:space="preserve"> 3 lines of</w:t>
      </w:r>
      <w:r w:rsidRPr="0029324A">
        <w:t xml:space="preserve"> biologics</w:t>
      </w:r>
      <w:bookmarkEnd w:id="13"/>
      <w:r w:rsidRPr="0029324A">
        <w:t xml:space="preserve">. However, </w:t>
      </w:r>
      <w:r w:rsidR="004B4AF9" w:rsidRPr="0029324A">
        <w:t xml:space="preserve">the EAG explored a </w:t>
      </w:r>
      <w:r w:rsidRPr="0029324A">
        <w:t>scenari</w:t>
      </w:r>
      <w:r w:rsidR="004B4AF9" w:rsidRPr="0029324A">
        <w:t>o which</w:t>
      </w:r>
      <w:r w:rsidRPr="0029324A">
        <w:t xml:space="preserve"> </w:t>
      </w:r>
      <w:r w:rsidR="004B4AF9" w:rsidRPr="0029324A">
        <w:t xml:space="preserve">had </w:t>
      </w:r>
      <w:r w:rsidRPr="0029324A">
        <w:t>immunomodulators as the last treatment option in the top-down arm. Deterministic base case results for this scenario showed that PredictSURE IBD (top</w:t>
      </w:r>
      <w:r w:rsidR="003B2F4E" w:rsidRPr="0029324A">
        <w:t>-</w:t>
      </w:r>
      <w:r w:rsidRPr="0029324A">
        <w:t xml:space="preserve">down strategy) generated 0.07 </w:t>
      </w:r>
      <w:r w:rsidR="003A5762" w:rsidRPr="0029324A">
        <w:t xml:space="preserve">more </w:t>
      </w:r>
      <w:r w:rsidRPr="0029324A">
        <w:t xml:space="preserve">QALYs </w:t>
      </w:r>
      <w:r w:rsidR="003A5762" w:rsidRPr="0029324A">
        <w:t>than</w:t>
      </w:r>
      <w:r w:rsidRPr="0029324A">
        <w:t xml:space="preserve"> the step-up strategy, at an additional cost of £7,502, producing an ICER of £105,148 per QALY gained</w:t>
      </w:r>
      <w:r w:rsidR="003B2F4E" w:rsidRPr="0029324A">
        <w:t xml:space="preserve">. This </w:t>
      </w:r>
      <w:r w:rsidR="00327F2C" w:rsidRPr="0029324A">
        <w:t xml:space="preserve">is higher than £20,000 to £30,000 per QALY </w:t>
      </w:r>
      <w:r w:rsidR="003B2F4E" w:rsidRPr="0029324A">
        <w:t>gained, the range NICE normally considers an acceptable use of NHS resources</w:t>
      </w:r>
      <w:r w:rsidRPr="0029324A">
        <w:t>.</w:t>
      </w:r>
      <w:bookmarkEnd w:id="12"/>
    </w:p>
    <w:p w14:paraId="0F218974" w14:textId="460AA7F4" w:rsidR="00C941BA" w:rsidRPr="0029324A" w:rsidRDefault="00BC4E92" w:rsidP="00F0467D">
      <w:pPr>
        <w:pStyle w:val="Numberedlevel2text"/>
      </w:pPr>
      <w:r w:rsidRPr="0029324A">
        <w:t>The EAG ran a series of individual scenario analys</w:t>
      </w:r>
      <w:r w:rsidR="003B2F4E" w:rsidRPr="0029324A">
        <w:t>e</w:t>
      </w:r>
      <w:r w:rsidRPr="0029324A">
        <w:t xml:space="preserve">s, </w:t>
      </w:r>
      <w:r w:rsidR="00EE1D8B" w:rsidRPr="0029324A">
        <w:t xml:space="preserve">most of </w:t>
      </w:r>
      <w:r w:rsidRPr="0029324A">
        <w:t>which</w:t>
      </w:r>
      <w:r w:rsidR="005F15D6" w:rsidRPr="0029324A">
        <w:t xml:space="preserve"> show</w:t>
      </w:r>
      <w:r w:rsidR="00C213B9" w:rsidRPr="0029324A">
        <w:t>ed</w:t>
      </w:r>
      <w:r w:rsidR="005F15D6" w:rsidRPr="0029324A">
        <w:t xml:space="preserve"> that PredictSURE IBD was dominated by standard care. </w:t>
      </w:r>
      <w:r w:rsidR="0045771A" w:rsidRPr="0029324A">
        <w:t>The EAG also ran a combination of i</w:t>
      </w:r>
      <w:r w:rsidRPr="0029324A">
        <w:t xml:space="preserve">ndividual </w:t>
      </w:r>
      <w:proofErr w:type="gramStart"/>
      <w:r w:rsidRPr="0029324A">
        <w:t>scenarios</w:t>
      </w:r>
      <w:r w:rsidR="0045771A" w:rsidRPr="0029324A">
        <w:t xml:space="preserve">, </w:t>
      </w:r>
      <w:r w:rsidR="00BB7524" w:rsidRPr="0029324A">
        <w:t>because</w:t>
      </w:r>
      <w:proofErr w:type="gramEnd"/>
      <w:r w:rsidR="0045771A" w:rsidRPr="0029324A">
        <w:t xml:space="preserve"> these</w:t>
      </w:r>
      <w:r w:rsidRPr="0029324A">
        <w:t xml:space="preserve"> were thought to have more impact</w:t>
      </w:r>
      <w:r w:rsidR="00FF3074" w:rsidRPr="0029324A">
        <w:t xml:space="preserve"> than individual scenarios</w:t>
      </w:r>
      <w:r w:rsidRPr="0029324A">
        <w:t>.</w:t>
      </w:r>
    </w:p>
    <w:p w14:paraId="45E042B8" w14:textId="5EB94EE5" w:rsidR="008842DD" w:rsidRPr="0029324A" w:rsidRDefault="00306468" w:rsidP="00912C0F">
      <w:pPr>
        <w:pStyle w:val="Numberedlevel2text"/>
      </w:pPr>
      <w:r w:rsidRPr="0029324A">
        <w:t xml:space="preserve">If the analysis assumed </w:t>
      </w:r>
      <w:r w:rsidR="005F15D6" w:rsidRPr="0029324A">
        <w:t>that</w:t>
      </w:r>
      <w:r w:rsidRPr="0029324A">
        <w:t xml:space="preserve"> the condition</w:t>
      </w:r>
      <w:r w:rsidR="005F15D6" w:rsidRPr="0029324A">
        <w:t xml:space="preserve"> </w:t>
      </w:r>
      <w:r w:rsidR="008F2417" w:rsidRPr="0029324A">
        <w:t xml:space="preserve">did not </w:t>
      </w:r>
      <w:r w:rsidR="0045771A" w:rsidRPr="0029324A">
        <w:t xml:space="preserve">respond to </w:t>
      </w:r>
      <w:r w:rsidR="008F2417" w:rsidRPr="0029324A">
        <w:t>treatment with immunomodulators</w:t>
      </w:r>
      <w:r w:rsidRPr="0029324A">
        <w:t xml:space="preserve"> for any high-risk </w:t>
      </w:r>
      <w:r w:rsidR="00F4284B" w:rsidRPr="0029324A">
        <w:t>person</w:t>
      </w:r>
      <w:r w:rsidRPr="0029324A">
        <w:t xml:space="preserve"> in the step-up arm</w:t>
      </w:r>
      <w:r w:rsidR="008F2417" w:rsidRPr="0029324A">
        <w:t xml:space="preserve">, </w:t>
      </w:r>
      <w:r w:rsidRPr="0029324A">
        <w:t>so they had</w:t>
      </w:r>
      <w:r w:rsidR="008F2417" w:rsidRPr="0029324A">
        <w:t xml:space="preserve"> no benefit</w:t>
      </w:r>
      <w:r w:rsidR="004A63DC" w:rsidRPr="0029324A">
        <w:t xml:space="preserve"> from</w:t>
      </w:r>
      <w:r w:rsidR="008F2417" w:rsidRPr="0029324A">
        <w:t xml:space="preserve"> </w:t>
      </w:r>
      <w:r w:rsidRPr="0029324A">
        <w:t>them</w:t>
      </w:r>
      <w:r w:rsidR="008F2417" w:rsidRPr="0029324A">
        <w:t>,</w:t>
      </w:r>
      <w:r w:rsidR="005F15D6" w:rsidRPr="0029324A">
        <w:t xml:space="preserve"> PredictSURE IBD had an ICER of £170,180 per QALY gained.</w:t>
      </w:r>
      <w:r w:rsidR="008F2417" w:rsidRPr="0029324A">
        <w:t xml:space="preserve"> The proportion of </w:t>
      </w:r>
      <w:r w:rsidR="00F4284B" w:rsidRPr="0029324A">
        <w:t>people</w:t>
      </w:r>
      <w:r w:rsidR="008F2417" w:rsidRPr="0029324A">
        <w:t xml:space="preserve"> who responded to </w:t>
      </w:r>
      <w:r w:rsidR="008F2417" w:rsidRPr="0029324A">
        <w:lastRenderedPageBreak/>
        <w:t>immunomodulators was then varied.</w:t>
      </w:r>
      <w:r w:rsidR="00EB0F23" w:rsidRPr="0029324A">
        <w:t xml:space="preserve"> This showed that </w:t>
      </w:r>
      <w:r w:rsidR="005F15D6" w:rsidRPr="0029324A">
        <w:t xml:space="preserve">the </w:t>
      </w:r>
      <w:r w:rsidR="002F6A25" w:rsidRPr="0029324A">
        <w:t xml:space="preserve">2 </w:t>
      </w:r>
      <w:r w:rsidR="005F15D6" w:rsidRPr="0029324A">
        <w:t>strategies</w:t>
      </w:r>
      <w:r w:rsidR="009A2CBC" w:rsidRPr="0029324A">
        <w:t xml:space="preserve"> became clinically equivalent </w:t>
      </w:r>
      <w:r w:rsidR="005F15D6" w:rsidRPr="0029324A">
        <w:t xml:space="preserve">when it was assumed that 97% of high-risk </w:t>
      </w:r>
      <w:r w:rsidR="00F4284B" w:rsidRPr="0029324A">
        <w:t>people</w:t>
      </w:r>
      <w:r w:rsidR="005F15D6" w:rsidRPr="0029324A">
        <w:t xml:space="preserve"> in the step-up arm do not benefit from immunomodulators.</w:t>
      </w:r>
    </w:p>
    <w:p w14:paraId="78A10D44" w14:textId="6DDC27CA" w:rsidR="008842DD" w:rsidRPr="0029324A" w:rsidRDefault="00165345" w:rsidP="00F0467D">
      <w:pPr>
        <w:pStyle w:val="Numberedlevel2text"/>
      </w:pPr>
      <w:bookmarkStart w:id="14" w:name="_Ref48155504"/>
      <w:r w:rsidRPr="0029324A">
        <w:t xml:space="preserve">The </w:t>
      </w:r>
      <w:r w:rsidR="00C9638C" w:rsidRPr="0029324A">
        <w:t>EAG</w:t>
      </w:r>
      <w:r w:rsidRPr="0029324A">
        <w:t xml:space="preserve"> explored a</w:t>
      </w:r>
      <w:r w:rsidR="00EB0F23" w:rsidRPr="0029324A">
        <w:t xml:space="preserve"> </w:t>
      </w:r>
      <w:r w:rsidR="008842DD" w:rsidRPr="0029324A">
        <w:t>scenario</w:t>
      </w:r>
      <w:r w:rsidRPr="0029324A">
        <w:t xml:space="preserve"> that assumed PredictSURE IBD had a</w:t>
      </w:r>
      <w:r w:rsidR="00EB0F23" w:rsidRPr="0029324A">
        <w:t xml:space="preserve"> lower test accuracy</w:t>
      </w:r>
      <w:r w:rsidRPr="0029324A">
        <w:t>, and the effect</w:t>
      </w:r>
      <w:r w:rsidR="008976F5" w:rsidRPr="0029324A">
        <w:t xml:space="preserve"> of</w:t>
      </w:r>
      <w:r w:rsidR="00EB0F23" w:rsidRPr="0029324A">
        <w:t xml:space="preserve"> misdiagnosis</w:t>
      </w:r>
      <w:r w:rsidR="008842DD" w:rsidRPr="0029324A">
        <w:t xml:space="preserve">. </w:t>
      </w:r>
      <w:r w:rsidR="0081670C" w:rsidRPr="0029324A">
        <w:t xml:space="preserve">In this scenario PredictSURE </w:t>
      </w:r>
      <w:r w:rsidR="008976F5" w:rsidRPr="0029324A">
        <w:t>was more costly and generated a QALY gain of 0.15</w:t>
      </w:r>
      <w:r w:rsidR="001C0D2F" w:rsidRPr="0029324A">
        <w:t>,</w:t>
      </w:r>
      <w:r w:rsidR="008976F5" w:rsidRPr="0029324A">
        <w:t xml:space="preserve"> producing an</w:t>
      </w:r>
      <w:r w:rsidR="0081670C" w:rsidRPr="0029324A">
        <w:t xml:space="preserve"> ICER of £64,876</w:t>
      </w:r>
      <w:r w:rsidR="008976F5" w:rsidRPr="0029324A">
        <w:t xml:space="preserve"> per QALY gained. This gain in QA</w:t>
      </w:r>
      <w:r w:rsidR="0031307F" w:rsidRPr="0029324A">
        <w:t>LY</w:t>
      </w:r>
      <w:r w:rsidR="005023F8" w:rsidRPr="0029324A">
        <w:t>,</w:t>
      </w:r>
      <w:r w:rsidR="0031307F" w:rsidRPr="0029324A">
        <w:t xml:space="preserve"> despite the lower accuracy of the test</w:t>
      </w:r>
      <w:r w:rsidR="005023F8" w:rsidRPr="0029324A">
        <w:t>,</w:t>
      </w:r>
      <w:r w:rsidR="0031307F" w:rsidRPr="0029324A">
        <w:t xml:space="preserve"> can be attributed to the assumption that some lower</w:t>
      </w:r>
      <w:r w:rsidR="005023F8" w:rsidRPr="0029324A">
        <w:t>-</w:t>
      </w:r>
      <w:r w:rsidR="0031307F" w:rsidRPr="0029324A">
        <w:t xml:space="preserve">risk </w:t>
      </w:r>
      <w:r w:rsidR="00F4284B" w:rsidRPr="0029324A">
        <w:t>people</w:t>
      </w:r>
      <w:r w:rsidR="0031307F" w:rsidRPr="0029324A">
        <w:t xml:space="preserve"> misdiagnosed as high</w:t>
      </w:r>
      <w:r w:rsidR="008D4315" w:rsidRPr="0029324A">
        <w:t xml:space="preserve"> </w:t>
      </w:r>
      <w:r w:rsidR="0031307F" w:rsidRPr="0029324A">
        <w:t xml:space="preserve">risk go on to </w:t>
      </w:r>
      <w:r w:rsidR="005023F8" w:rsidRPr="0029324A">
        <w:t xml:space="preserve">have </w:t>
      </w:r>
      <w:r w:rsidR="0031307F" w:rsidRPr="0029324A">
        <w:t>top</w:t>
      </w:r>
      <w:r w:rsidR="005023F8" w:rsidRPr="0029324A">
        <w:t>-</w:t>
      </w:r>
      <w:r w:rsidR="0031307F" w:rsidRPr="0029324A">
        <w:t>down treatment, without the need for further escalation.</w:t>
      </w:r>
      <w:bookmarkEnd w:id="14"/>
    </w:p>
    <w:p w14:paraId="2365224C" w14:textId="422FA25E" w:rsidR="00E566AD" w:rsidRPr="0029324A" w:rsidRDefault="00471B89" w:rsidP="00F0467D">
      <w:pPr>
        <w:pStyle w:val="Numberedlevel2text"/>
      </w:pPr>
      <w:bookmarkStart w:id="15" w:name="_Ref48142243"/>
      <w:r w:rsidRPr="0029324A">
        <w:t xml:space="preserve">Assumptions </w:t>
      </w:r>
      <w:r w:rsidR="004C7FB5" w:rsidRPr="0029324A">
        <w:t xml:space="preserve">about </w:t>
      </w:r>
      <w:r w:rsidRPr="0029324A">
        <w:t>treatment discontinuation were based on Marchetti 2013, which reported that 76% of people had mucosal healing after 2</w:t>
      </w:r>
      <w:r w:rsidR="004C7FB5" w:rsidRPr="0029324A">
        <w:t> </w:t>
      </w:r>
      <w:r w:rsidRPr="0029324A">
        <w:t xml:space="preserve">years in remission with biologic treatments </w:t>
      </w:r>
      <w:r w:rsidR="004C7FB5" w:rsidRPr="0029324A">
        <w:t>using a</w:t>
      </w:r>
      <w:r w:rsidRPr="0029324A">
        <w:t xml:space="preserve"> top-down</w:t>
      </w:r>
      <w:r w:rsidR="004C7FB5" w:rsidRPr="0029324A">
        <w:t xml:space="preserve"> strategy and 40% using a</w:t>
      </w:r>
      <w:r w:rsidRPr="0029324A">
        <w:t xml:space="preserve"> step-up strateg</w:t>
      </w:r>
      <w:r w:rsidR="004C7FB5" w:rsidRPr="0029324A">
        <w:t>y</w:t>
      </w:r>
      <w:r w:rsidRPr="0029324A">
        <w:t xml:space="preserve">. </w:t>
      </w:r>
      <w:r w:rsidR="00EA5212" w:rsidRPr="0029324A">
        <w:t xml:space="preserve">In </w:t>
      </w:r>
      <w:r w:rsidR="002C68B4" w:rsidRPr="0029324A">
        <w:t>a</w:t>
      </w:r>
      <w:r w:rsidR="00EA5212" w:rsidRPr="0029324A">
        <w:t xml:space="preserve"> scenario</w:t>
      </w:r>
      <w:r w:rsidR="002C68B4" w:rsidRPr="0029324A">
        <w:t xml:space="preserve"> analysis</w:t>
      </w:r>
      <w:r w:rsidR="00EA5212" w:rsidRPr="0029324A">
        <w:t xml:space="preserve"> </w:t>
      </w:r>
      <w:r w:rsidR="004C7FB5" w:rsidRPr="0029324A">
        <w:t>that</w:t>
      </w:r>
      <w:r w:rsidR="00EA5212" w:rsidRPr="0029324A">
        <w:t xml:space="preserve"> assumed 76% </w:t>
      </w:r>
      <w:r w:rsidR="002D6F23" w:rsidRPr="0029324A">
        <w:t xml:space="preserve">of people in the </w:t>
      </w:r>
      <w:r w:rsidR="00EA5212" w:rsidRPr="0029324A">
        <w:t>top</w:t>
      </w:r>
      <w:r w:rsidR="004C7FB5" w:rsidRPr="0029324A">
        <w:t>-</w:t>
      </w:r>
      <w:r w:rsidR="00EA5212" w:rsidRPr="0029324A">
        <w:t>down</w:t>
      </w:r>
      <w:r w:rsidR="002D6F23" w:rsidRPr="0029324A">
        <w:t xml:space="preserve"> arm and</w:t>
      </w:r>
      <w:r w:rsidR="00EA5212" w:rsidRPr="0029324A">
        <w:t xml:space="preserve"> 40% </w:t>
      </w:r>
      <w:r w:rsidR="002D6F23" w:rsidRPr="0029324A">
        <w:t xml:space="preserve">of people in the </w:t>
      </w:r>
      <w:r w:rsidR="00EA5212" w:rsidRPr="0029324A">
        <w:t>step</w:t>
      </w:r>
      <w:r w:rsidR="008D4315" w:rsidRPr="0029324A">
        <w:t>-</w:t>
      </w:r>
      <w:r w:rsidR="00EA5212" w:rsidRPr="0029324A">
        <w:t xml:space="preserve">up </w:t>
      </w:r>
      <w:r w:rsidR="002D6F23" w:rsidRPr="0029324A">
        <w:t>arm discontinued biologic</w:t>
      </w:r>
      <w:r w:rsidR="001C0D2F" w:rsidRPr="0029324A">
        <w:t>s</w:t>
      </w:r>
      <w:r w:rsidR="002D6F23" w:rsidRPr="0029324A">
        <w:t xml:space="preserve">, </w:t>
      </w:r>
      <w:r w:rsidR="00EA5212" w:rsidRPr="0029324A">
        <w:t>PredictSURE IBD was</w:t>
      </w:r>
      <w:r w:rsidR="00AF39AB" w:rsidRPr="0029324A">
        <w:t xml:space="preserve"> </w:t>
      </w:r>
      <w:r w:rsidR="002D6F23" w:rsidRPr="0029324A">
        <w:t>less costly</w:t>
      </w:r>
      <w:r w:rsidR="00AF39AB" w:rsidRPr="0029324A">
        <w:t xml:space="preserve"> and less effective than standard care, producing an ICER of £46,263 per QALY</w:t>
      </w:r>
      <w:r w:rsidR="004C7FB5" w:rsidRPr="0029324A">
        <w:t xml:space="preserve"> gained</w:t>
      </w:r>
      <w:r w:rsidRPr="0029324A">
        <w:t xml:space="preserve">. </w:t>
      </w:r>
      <w:r w:rsidR="00000D60" w:rsidRPr="0029324A">
        <w:t xml:space="preserve">Scenarios combining the </w:t>
      </w:r>
      <w:r w:rsidR="00D676A2" w:rsidRPr="0029324A">
        <w:t xml:space="preserve">effect </w:t>
      </w:r>
      <w:r w:rsidR="00000D60" w:rsidRPr="0029324A">
        <w:t xml:space="preserve">of misdiagnosis with </w:t>
      </w:r>
      <w:r w:rsidR="00922084" w:rsidRPr="0029324A">
        <w:t>the same proportion of people discontinuing biologics in both arms, that is</w:t>
      </w:r>
      <w:r w:rsidR="004C7FB5" w:rsidRPr="0029324A">
        <w:t>,</w:t>
      </w:r>
      <w:r w:rsidR="00000D60" w:rsidRPr="0029324A">
        <w:t xml:space="preserve"> 40% </w:t>
      </w:r>
      <w:r w:rsidR="00922084" w:rsidRPr="0029324A">
        <w:t>in step up and top down</w:t>
      </w:r>
      <w:r w:rsidR="00000D60" w:rsidRPr="0029324A">
        <w:t xml:space="preserve"> </w:t>
      </w:r>
      <w:r w:rsidR="00922084" w:rsidRPr="0029324A">
        <w:t xml:space="preserve">or 76% in step up and top down, </w:t>
      </w:r>
      <w:r w:rsidR="00000D60" w:rsidRPr="0029324A">
        <w:t>produced ICER</w:t>
      </w:r>
      <w:r w:rsidR="00C9638C" w:rsidRPr="0029324A">
        <w:t>s</w:t>
      </w:r>
      <w:r w:rsidR="00000D60" w:rsidRPr="0029324A">
        <w:t xml:space="preserve"> of £48,034</w:t>
      </w:r>
      <w:r w:rsidR="00922084" w:rsidRPr="0029324A">
        <w:t xml:space="preserve"> and £32,875 per QALY</w:t>
      </w:r>
      <w:r w:rsidR="00FC27AB" w:rsidRPr="0029324A">
        <w:t xml:space="preserve"> gained</w:t>
      </w:r>
      <w:r w:rsidR="00922084" w:rsidRPr="0029324A">
        <w:t xml:space="preserve"> respectively.</w:t>
      </w:r>
      <w:bookmarkEnd w:id="15"/>
    </w:p>
    <w:p w14:paraId="32D7E6A0" w14:textId="57D7E1C5" w:rsidR="00FC27AB" w:rsidRPr="0029324A" w:rsidRDefault="002D6F23" w:rsidP="00F0467D">
      <w:pPr>
        <w:pStyle w:val="Numberedlevel2text"/>
      </w:pPr>
      <w:bookmarkStart w:id="16" w:name="_Ref49172541"/>
      <w:bookmarkStart w:id="17" w:name="_Ref48142417"/>
      <w:r w:rsidRPr="0029324A">
        <w:t>Individual scenarios we</w:t>
      </w:r>
      <w:r w:rsidR="009A365A" w:rsidRPr="0029324A">
        <w:t>re</w:t>
      </w:r>
      <w:r w:rsidRPr="0029324A">
        <w:t xml:space="preserve"> combined </w:t>
      </w:r>
      <w:r w:rsidR="00E566AD" w:rsidRPr="0029324A">
        <w:t xml:space="preserve">to explore the impact of increasing the effectiveness of the top-down strategy while </w:t>
      </w:r>
      <w:r w:rsidR="00FC27AB" w:rsidRPr="0029324A">
        <w:t xml:space="preserve">reducing </w:t>
      </w:r>
      <w:r w:rsidR="00E566AD" w:rsidRPr="0029324A">
        <w:t xml:space="preserve">the treatment cost of biologics. The results of these combined scenarios varied. One scenario </w:t>
      </w:r>
      <w:r w:rsidR="00BB7524" w:rsidRPr="0029324A">
        <w:t>combined</w:t>
      </w:r>
      <w:r w:rsidR="00E566AD" w:rsidRPr="0029324A">
        <w:t xml:space="preserve"> 3 assumptions</w:t>
      </w:r>
      <w:r w:rsidR="00FC27AB" w:rsidRPr="0029324A">
        <w:t>,</w:t>
      </w:r>
      <w:r w:rsidR="00E566AD" w:rsidRPr="0029324A">
        <w:t xml:space="preserve"> that</w:t>
      </w:r>
      <w:r w:rsidR="00FC27AB" w:rsidRPr="0029324A">
        <w:t>:</w:t>
      </w:r>
      <w:bookmarkEnd w:id="16"/>
    </w:p>
    <w:p w14:paraId="5C3B3CDF" w14:textId="173BB9AC" w:rsidR="00FC27AB" w:rsidRPr="0029324A" w:rsidRDefault="00E566AD" w:rsidP="00FC27AB">
      <w:pPr>
        <w:pStyle w:val="Bulletindent1"/>
        <w:rPr>
          <w:lang w:val="en-GB"/>
        </w:rPr>
      </w:pPr>
      <w:r w:rsidRPr="0029324A">
        <w:rPr>
          <w:lang w:val="en-GB"/>
        </w:rPr>
        <w:t>base</w:t>
      </w:r>
      <w:r w:rsidR="005A20E3" w:rsidRPr="0029324A">
        <w:rPr>
          <w:lang w:val="en-GB"/>
        </w:rPr>
        <w:t xml:space="preserve"> case</w:t>
      </w:r>
      <w:r w:rsidRPr="0029324A">
        <w:rPr>
          <w:lang w:val="en-GB"/>
        </w:rPr>
        <w:t xml:space="preserve"> risk of relapse for second and </w:t>
      </w:r>
      <w:r w:rsidR="00D676A2" w:rsidRPr="0029324A">
        <w:rPr>
          <w:lang w:val="en-GB"/>
        </w:rPr>
        <w:t xml:space="preserve">later </w:t>
      </w:r>
      <w:r w:rsidRPr="0029324A">
        <w:rPr>
          <w:lang w:val="en-GB"/>
        </w:rPr>
        <w:t>treatment steps is the same</w:t>
      </w:r>
    </w:p>
    <w:p w14:paraId="247A769F" w14:textId="0D0407B6" w:rsidR="00FC27AB" w:rsidRPr="0029324A" w:rsidRDefault="00E566AD" w:rsidP="00FC27AB">
      <w:pPr>
        <w:pStyle w:val="Bulletindent1"/>
        <w:rPr>
          <w:lang w:val="en-GB"/>
        </w:rPr>
      </w:pPr>
      <w:r w:rsidRPr="0029324A">
        <w:rPr>
          <w:lang w:val="en-GB"/>
        </w:rPr>
        <w:t>discontinuation of biologic treatment is 76% for top</w:t>
      </w:r>
      <w:r w:rsidR="00FC27AB" w:rsidRPr="0029324A">
        <w:rPr>
          <w:lang w:val="en-GB"/>
        </w:rPr>
        <w:t xml:space="preserve"> </w:t>
      </w:r>
      <w:r w:rsidRPr="0029324A">
        <w:rPr>
          <w:lang w:val="en-GB"/>
        </w:rPr>
        <w:t>down and step up</w:t>
      </w:r>
    </w:p>
    <w:p w14:paraId="7278849B" w14:textId="6E29F197" w:rsidR="00E566AD" w:rsidRPr="0029324A" w:rsidRDefault="00E566AD" w:rsidP="00FC27AB">
      <w:pPr>
        <w:pStyle w:val="Bulletindent1last"/>
      </w:pPr>
      <w:r w:rsidRPr="0029324A">
        <w:t>100% of people in the step</w:t>
      </w:r>
      <w:r w:rsidR="00FC27AB" w:rsidRPr="0029324A">
        <w:t>-</w:t>
      </w:r>
      <w:r w:rsidRPr="0029324A">
        <w:t>up arm do not respond to immunomodulators</w:t>
      </w:r>
      <w:r w:rsidR="00FC27AB" w:rsidRPr="0029324A">
        <w:t>.</w:t>
      </w:r>
      <w:r w:rsidR="00FC27AB" w:rsidRPr="0029324A">
        <w:br/>
      </w:r>
      <w:r w:rsidR="00FC27AB" w:rsidRPr="0029324A">
        <w:lastRenderedPageBreak/>
        <w:br/>
        <w:t>This</w:t>
      </w:r>
      <w:r w:rsidRPr="0029324A">
        <w:t xml:space="preserve"> produced an ICER of £29,225 per QALY gained in favour of top</w:t>
      </w:r>
      <w:r w:rsidR="00C9638C" w:rsidRPr="0029324A">
        <w:t xml:space="preserve"> </w:t>
      </w:r>
      <w:r w:rsidRPr="0029324A">
        <w:t>down.</w:t>
      </w:r>
      <w:bookmarkEnd w:id="17"/>
    </w:p>
    <w:p w14:paraId="034DC1D7" w14:textId="0CE3A193" w:rsidR="00091DC3" w:rsidRPr="0029324A" w:rsidRDefault="00E566AD" w:rsidP="00F0467D">
      <w:pPr>
        <w:pStyle w:val="Numberedlevel2text"/>
      </w:pPr>
      <w:r w:rsidRPr="0029324A">
        <w:t>A tornado plot of the one</w:t>
      </w:r>
      <w:r w:rsidR="009A0776" w:rsidRPr="0029324A">
        <w:t>-</w:t>
      </w:r>
      <w:r w:rsidRPr="0029324A">
        <w:t xml:space="preserve">way sensitivity </w:t>
      </w:r>
      <w:r w:rsidR="00BE3BFD" w:rsidRPr="0029324A">
        <w:t xml:space="preserve">analyses </w:t>
      </w:r>
      <w:r w:rsidRPr="0029324A">
        <w:t>show</w:t>
      </w:r>
      <w:r w:rsidR="009A0776" w:rsidRPr="0029324A">
        <w:t>ed</w:t>
      </w:r>
      <w:r w:rsidRPr="0029324A">
        <w:t xml:space="preserve"> that response to biologics in the top-down arm of the model </w:t>
      </w:r>
      <w:r w:rsidR="00E16838" w:rsidRPr="0029324A">
        <w:t>was</w:t>
      </w:r>
      <w:r w:rsidRPr="0029324A">
        <w:t xml:space="preserve"> a key driver of the deterministic ICER.</w:t>
      </w:r>
    </w:p>
    <w:p w14:paraId="59121192" w14:textId="79F96F89" w:rsidR="00091DC3" w:rsidRPr="0029324A" w:rsidRDefault="00091DC3" w:rsidP="00F0467D">
      <w:pPr>
        <w:pStyle w:val="Numberedheading1"/>
      </w:pPr>
      <w:r w:rsidRPr="0029324A">
        <w:t>Committee discussion</w:t>
      </w:r>
    </w:p>
    <w:p w14:paraId="7138D8A5" w14:textId="1A225764" w:rsidR="001A7292" w:rsidRPr="0029324A" w:rsidRDefault="00C555F4" w:rsidP="001A7292">
      <w:pPr>
        <w:pStyle w:val="Heading2"/>
      </w:pPr>
      <w:r w:rsidRPr="0029324A">
        <w:t>Clini</w:t>
      </w:r>
      <w:r w:rsidR="008500D2" w:rsidRPr="0029324A">
        <w:t>cal effectiveness</w:t>
      </w:r>
    </w:p>
    <w:p w14:paraId="653A709E" w14:textId="2C06A8FD" w:rsidR="00091DC3" w:rsidRPr="0029324A" w:rsidRDefault="007449C4" w:rsidP="001A7292">
      <w:pPr>
        <w:pStyle w:val="Heading3"/>
      </w:pPr>
      <w:r w:rsidRPr="0029324A">
        <w:t>Know</w:t>
      </w:r>
      <w:r w:rsidR="00E16838" w:rsidRPr="0029324A">
        <w:t>ing</w:t>
      </w:r>
      <w:r w:rsidRPr="0029324A">
        <w:t xml:space="preserve"> the </w:t>
      </w:r>
      <w:r w:rsidR="00E16838" w:rsidRPr="0029324A">
        <w:t xml:space="preserve">likely </w:t>
      </w:r>
      <w:r w:rsidRPr="0029324A">
        <w:t>course of</w:t>
      </w:r>
      <w:r w:rsidR="00E16838" w:rsidRPr="0029324A">
        <w:t xml:space="preserve"> </w:t>
      </w:r>
      <w:r w:rsidR="00F4284B" w:rsidRPr="0029324A">
        <w:t>the disease may help people with</w:t>
      </w:r>
      <w:r w:rsidRPr="0029324A">
        <w:t xml:space="preserve"> Crohn’s disease</w:t>
      </w:r>
      <w:r w:rsidR="005B2412" w:rsidRPr="0029324A">
        <w:t xml:space="preserve"> and the NHS</w:t>
      </w:r>
    </w:p>
    <w:p w14:paraId="0DFF48A0" w14:textId="74DB7191" w:rsidR="00091DC3" w:rsidRPr="0029324A" w:rsidRDefault="007449C4" w:rsidP="00F0467D">
      <w:pPr>
        <w:pStyle w:val="Numberedlevel2text"/>
      </w:pPr>
      <w:r w:rsidRPr="0029324A">
        <w:t xml:space="preserve">The </w:t>
      </w:r>
      <w:r w:rsidR="00303F67" w:rsidRPr="0029324A">
        <w:t xml:space="preserve">patient expert </w:t>
      </w:r>
      <w:r w:rsidR="003F19A2" w:rsidRPr="0029324A">
        <w:t xml:space="preserve">explained </w:t>
      </w:r>
      <w:r w:rsidR="00303F67" w:rsidRPr="0029324A">
        <w:t xml:space="preserve">that </w:t>
      </w:r>
      <w:r w:rsidR="003F19A2" w:rsidRPr="0029324A">
        <w:t>having</w:t>
      </w:r>
      <w:r w:rsidR="00303F67" w:rsidRPr="0029324A">
        <w:t xml:space="preserve"> </w:t>
      </w:r>
      <w:r w:rsidR="007750B2" w:rsidRPr="0029324A">
        <w:t>Crohn’s disease</w:t>
      </w:r>
      <w:r w:rsidR="00303F67" w:rsidRPr="0029324A">
        <w:t xml:space="preserve"> can substantial</w:t>
      </w:r>
      <w:r w:rsidR="00877EFE" w:rsidRPr="0029324A">
        <w:t>ly</w:t>
      </w:r>
      <w:r w:rsidR="00303F67" w:rsidRPr="0029324A">
        <w:t xml:space="preserve"> </w:t>
      </w:r>
      <w:r w:rsidR="00877EFE" w:rsidRPr="0029324A">
        <w:t>affect</w:t>
      </w:r>
      <w:r w:rsidR="00303F67" w:rsidRPr="0029324A">
        <w:t xml:space="preserve"> </w:t>
      </w:r>
      <w:r w:rsidR="003F19A2" w:rsidRPr="0029324A">
        <w:t xml:space="preserve">the </w:t>
      </w:r>
      <w:r w:rsidR="00303F67" w:rsidRPr="0029324A">
        <w:t xml:space="preserve">quality of life of the </w:t>
      </w:r>
      <w:r w:rsidR="00877EFE" w:rsidRPr="0029324A">
        <w:t xml:space="preserve">person </w:t>
      </w:r>
      <w:r w:rsidR="00303F67" w:rsidRPr="0029324A">
        <w:t>and their famil</w:t>
      </w:r>
      <w:r w:rsidR="00877EFE" w:rsidRPr="0029324A">
        <w:t>y</w:t>
      </w:r>
      <w:r w:rsidR="00303F67" w:rsidRPr="0029324A">
        <w:t xml:space="preserve">. </w:t>
      </w:r>
      <w:r w:rsidR="003F19A2" w:rsidRPr="0029324A">
        <w:t>C</w:t>
      </w:r>
      <w:r w:rsidR="00897FDC" w:rsidRPr="0029324A">
        <w:t>urrently</w:t>
      </w:r>
      <w:r w:rsidR="00A663BE" w:rsidRPr="0029324A">
        <w:t xml:space="preserve"> t</w:t>
      </w:r>
      <w:r w:rsidR="00A85381" w:rsidRPr="0029324A">
        <w:t>he extent of i</w:t>
      </w:r>
      <w:r w:rsidR="007750B2" w:rsidRPr="0029324A">
        <w:t xml:space="preserve">nflammation </w:t>
      </w:r>
      <w:r w:rsidR="00A663BE" w:rsidRPr="0029324A">
        <w:t>is monitored</w:t>
      </w:r>
      <w:r w:rsidR="007750B2" w:rsidRPr="0029324A">
        <w:t xml:space="preserve"> using </w:t>
      </w:r>
      <w:r w:rsidR="00D56D76" w:rsidRPr="0029324A">
        <w:t xml:space="preserve">endoscopic imaging </w:t>
      </w:r>
      <w:r w:rsidR="00303F67" w:rsidRPr="0029324A">
        <w:t xml:space="preserve">and </w:t>
      </w:r>
      <w:r w:rsidR="00D56D76" w:rsidRPr="0029324A">
        <w:t xml:space="preserve">faecal </w:t>
      </w:r>
      <w:r w:rsidR="00303F67" w:rsidRPr="0029324A">
        <w:t>calprotectin</w:t>
      </w:r>
      <w:r w:rsidR="00D56D76" w:rsidRPr="0029324A">
        <w:t xml:space="preserve"> blood</w:t>
      </w:r>
      <w:r w:rsidR="00303F67" w:rsidRPr="0029324A">
        <w:t xml:space="preserve"> tests, </w:t>
      </w:r>
      <w:r w:rsidR="00D56D76" w:rsidRPr="0029324A">
        <w:t xml:space="preserve">but they </w:t>
      </w:r>
      <w:r w:rsidR="00303F67" w:rsidRPr="0029324A">
        <w:t>do not predict disease progression</w:t>
      </w:r>
      <w:r w:rsidR="007750B2" w:rsidRPr="0029324A">
        <w:t xml:space="preserve"> or the likelihood of needing surgery</w:t>
      </w:r>
      <w:r w:rsidR="00D56D76" w:rsidRPr="0029324A">
        <w:t xml:space="preserve"> in the future</w:t>
      </w:r>
      <w:r w:rsidR="00303F67" w:rsidRPr="0029324A">
        <w:t xml:space="preserve">. </w:t>
      </w:r>
      <w:r w:rsidR="00877EFE" w:rsidRPr="0029324A">
        <w:t>People may not want i</w:t>
      </w:r>
      <w:r w:rsidR="00303F67" w:rsidRPr="0029324A">
        <w:t>nvasive monitoring</w:t>
      </w:r>
      <w:r w:rsidR="005B2412" w:rsidRPr="0029324A">
        <w:t xml:space="preserve"> </w:t>
      </w:r>
      <w:r w:rsidR="00F2699A" w:rsidRPr="0029324A">
        <w:t>using colonoscopy</w:t>
      </w:r>
      <w:r w:rsidR="007750B2" w:rsidRPr="0029324A">
        <w:t xml:space="preserve"> because it </w:t>
      </w:r>
      <w:r w:rsidR="00F2699A" w:rsidRPr="0029324A">
        <w:t>is stressful</w:t>
      </w:r>
      <w:r w:rsidR="00D56D76" w:rsidRPr="0029324A">
        <w:t xml:space="preserve"> </w:t>
      </w:r>
      <w:r w:rsidR="00F2699A" w:rsidRPr="0029324A">
        <w:t xml:space="preserve">to prepare for, has unpleasant side effects and may aggravate symptoms. The patient expert suggested that a test </w:t>
      </w:r>
      <w:r w:rsidR="00D56D76" w:rsidRPr="0029324A">
        <w:t>to</w:t>
      </w:r>
      <w:r w:rsidR="00F2699A" w:rsidRPr="0029324A">
        <w:t xml:space="preserve"> predict long-term disease course could help </w:t>
      </w:r>
      <w:r w:rsidR="005B2412" w:rsidRPr="0029324A">
        <w:t xml:space="preserve">give </w:t>
      </w:r>
      <w:r w:rsidR="00877EFE" w:rsidRPr="0029324A">
        <w:t xml:space="preserve">people </w:t>
      </w:r>
      <w:r w:rsidR="005B2412" w:rsidRPr="0029324A">
        <w:t xml:space="preserve">a better understanding </w:t>
      </w:r>
      <w:r w:rsidR="00D56D76" w:rsidRPr="0029324A">
        <w:t xml:space="preserve">and acceptance </w:t>
      </w:r>
      <w:r w:rsidR="005B2412" w:rsidRPr="0029324A">
        <w:t>of their condition</w:t>
      </w:r>
      <w:r w:rsidR="00877EFE" w:rsidRPr="0029324A">
        <w:t>,</w:t>
      </w:r>
      <w:r w:rsidR="001F47DB" w:rsidRPr="0029324A">
        <w:t xml:space="preserve"> and make planning review appointments more efficient.</w:t>
      </w:r>
    </w:p>
    <w:p w14:paraId="56F9FC43" w14:textId="30D30C78" w:rsidR="00F22923" w:rsidRPr="0029324A" w:rsidRDefault="00F22923" w:rsidP="00F10DA1">
      <w:pPr>
        <w:pStyle w:val="Heading3"/>
      </w:pPr>
      <w:r w:rsidRPr="0029324A">
        <w:t xml:space="preserve">Studies on the prognostic ability of the tests </w:t>
      </w:r>
      <w:r w:rsidR="00B066BA" w:rsidRPr="0029324A">
        <w:t xml:space="preserve">are </w:t>
      </w:r>
      <w:r w:rsidRPr="0029324A">
        <w:t>heterogenous and ha</w:t>
      </w:r>
      <w:r w:rsidR="00B066BA" w:rsidRPr="0029324A">
        <w:t>ve</w:t>
      </w:r>
      <w:r w:rsidRPr="0029324A">
        <w:t xml:space="preserve"> small sample sizes</w:t>
      </w:r>
    </w:p>
    <w:p w14:paraId="4F4F7D84" w14:textId="5C2FA340" w:rsidR="00F22923" w:rsidRPr="0029324A" w:rsidRDefault="00F22923" w:rsidP="00F22923">
      <w:pPr>
        <w:pStyle w:val="Numberedlevel2text"/>
      </w:pPr>
      <w:r w:rsidRPr="0029324A">
        <w:t>The reviewed studies on prognostic ability had mixed populations, including people with ulcerative colitis</w:t>
      </w:r>
      <w:r w:rsidR="002F3530" w:rsidRPr="0029324A">
        <w:t>.</w:t>
      </w:r>
      <w:r w:rsidRPr="0029324A">
        <w:t xml:space="preserve"> </w:t>
      </w:r>
      <w:r w:rsidR="002F3530" w:rsidRPr="0029324A">
        <w:t>T</w:t>
      </w:r>
      <w:r w:rsidRPr="0029324A">
        <w:t xml:space="preserve">he numbers of </w:t>
      </w:r>
      <w:r w:rsidR="002F3530" w:rsidRPr="0029324A">
        <w:t xml:space="preserve">people </w:t>
      </w:r>
      <w:r w:rsidR="007F794B" w:rsidRPr="0029324A">
        <w:t xml:space="preserve">with Crohn’s disease </w:t>
      </w:r>
      <w:r w:rsidRPr="0029324A">
        <w:t xml:space="preserve">in each study was small, given the prevalence of the condition in the wider population. The committee noted that the small sample sizes could mean that the reviewed studies were underpowered to </w:t>
      </w:r>
      <w:r w:rsidRPr="0029324A">
        <w:lastRenderedPageBreak/>
        <w:t xml:space="preserve">produce robust estimates of the prognostic ability of the tests. The committee also noted that there are other predictive studies for Crohn’s disease </w:t>
      </w:r>
      <w:r w:rsidR="002F3530" w:rsidRPr="0029324A">
        <w:t xml:space="preserve">with </w:t>
      </w:r>
      <w:r w:rsidRPr="0029324A">
        <w:t>larger populations</w:t>
      </w:r>
      <w:r w:rsidR="007F794B" w:rsidRPr="0029324A">
        <w:t xml:space="preserve">, </w:t>
      </w:r>
      <w:r w:rsidR="002F3530" w:rsidRPr="0029324A">
        <w:t xml:space="preserve">showing </w:t>
      </w:r>
      <w:r w:rsidR="007F794B" w:rsidRPr="0029324A">
        <w:t xml:space="preserve">that larger sample sizes </w:t>
      </w:r>
      <w:r w:rsidR="002F3530" w:rsidRPr="0029324A">
        <w:t>are possible</w:t>
      </w:r>
      <w:r w:rsidRPr="0029324A">
        <w:t>. The committee concluded that the heterogeneity in the population and the population size add</w:t>
      </w:r>
      <w:r w:rsidR="00945AE3" w:rsidRPr="0029324A">
        <w:t>ed</w:t>
      </w:r>
      <w:r w:rsidRPr="0029324A">
        <w:t xml:space="preserve"> substantial uncertainty to the interpretation of study results.</w:t>
      </w:r>
    </w:p>
    <w:p w14:paraId="06413B4E" w14:textId="2A96A551" w:rsidR="00B56FE3" w:rsidRPr="0029324A" w:rsidRDefault="00B56FE3" w:rsidP="00F10DA1">
      <w:pPr>
        <w:pStyle w:val="Heading3"/>
      </w:pPr>
      <w:r w:rsidRPr="0029324A">
        <w:t xml:space="preserve">There is no standard definition of </w:t>
      </w:r>
      <w:r w:rsidR="00B066BA" w:rsidRPr="0029324A">
        <w:t xml:space="preserve">a </w:t>
      </w:r>
      <w:r w:rsidRPr="0029324A">
        <w:t>high or low risk of severe disease</w:t>
      </w:r>
    </w:p>
    <w:p w14:paraId="0B765582" w14:textId="654CF432" w:rsidR="00B56FE3" w:rsidRPr="0029324A" w:rsidRDefault="00B56FE3" w:rsidP="00F22923">
      <w:pPr>
        <w:pStyle w:val="Numberedlevel2text"/>
      </w:pPr>
      <w:r w:rsidRPr="0029324A">
        <w:t>The reviewed studies</w:t>
      </w:r>
      <w:r w:rsidR="001F108E" w:rsidRPr="0029324A">
        <w:t xml:space="preserve"> used different </w:t>
      </w:r>
      <w:r w:rsidR="001F4F11" w:rsidRPr="0029324A">
        <w:t>measures</w:t>
      </w:r>
      <w:r w:rsidR="00446D8F" w:rsidRPr="0029324A">
        <w:t xml:space="preserve"> </w:t>
      </w:r>
      <w:r w:rsidR="001F108E" w:rsidRPr="0029324A">
        <w:t xml:space="preserve">to </w:t>
      </w:r>
      <w:r w:rsidR="00D15E44" w:rsidRPr="0029324A">
        <w:t>define a person as</w:t>
      </w:r>
      <w:r w:rsidR="001F108E" w:rsidRPr="0029324A">
        <w:t xml:space="preserve"> being at high or low risk of severe Crohn’s disease. IBDX </w:t>
      </w:r>
      <w:r w:rsidR="00A1406F" w:rsidRPr="0029324A">
        <w:t xml:space="preserve">studies </w:t>
      </w:r>
      <w:r w:rsidR="001F108E" w:rsidRPr="0029324A">
        <w:t>used</w:t>
      </w:r>
      <w:r w:rsidR="00A1406F" w:rsidRPr="0029324A">
        <w:t xml:space="preserve"> </w:t>
      </w:r>
      <w:r w:rsidR="008E7B4D" w:rsidRPr="0029324A">
        <w:t>poor outcomes</w:t>
      </w:r>
      <w:r w:rsidR="001F4F11" w:rsidRPr="0029324A">
        <w:t>, such as surgery and complications,</w:t>
      </w:r>
      <w:r w:rsidR="008E7B4D" w:rsidRPr="0029324A">
        <w:t xml:space="preserve"> </w:t>
      </w:r>
      <w:r w:rsidR="001F4F11" w:rsidRPr="0029324A">
        <w:t>as</w:t>
      </w:r>
      <w:r w:rsidR="00EE3E6D" w:rsidRPr="0029324A">
        <w:t xml:space="preserve"> a</w:t>
      </w:r>
      <w:r w:rsidR="001F4F11" w:rsidRPr="0029324A">
        <w:t xml:space="preserve"> proxy for</w:t>
      </w:r>
      <w:r w:rsidR="00A1406F" w:rsidRPr="0029324A">
        <w:t xml:space="preserve"> severe disease </w:t>
      </w:r>
      <w:r w:rsidR="009F66B8" w:rsidRPr="0029324A">
        <w:t xml:space="preserve">(see sections </w:t>
      </w:r>
      <w:r w:rsidR="009F66B8" w:rsidRPr="0029324A">
        <w:fldChar w:fldCharType="begin"/>
      </w:r>
      <w:r w:rsidR="009F66B8" w:rsidRPr="0029324A">
        <w:instrText xml:space="preserve"> REF _Ref48193530 \r \h </w:instrText>
      </w:r>
      <w:r w:rsidR="009F66B8" w:rsidRPr="0029324A">
        <w:fldChar w:fldCharType="separate"/>
      </w:r>
      <w:r w:rsidR="00631A28" w:rsidRPr="0029324A">
        <w:t>3.5</w:t>
      </w:r>
      <w:r w:rsidR="009F66B8" w:rsidRPr="0029324A">
        <w:fldChar w:fldCharType="end"/>
      </w:r>
      <w:r w:rsidR="009F66B8" w:rsidRPr="0029324A">
        <w:t xml:space="preserve"> and </w:t>
      </w:r>
      <w:r w:rsidR="009F66B8" w:rsidRPr="0029324A">
        <w:fldChar w:fldCharType="begin"/>
      </w:r>
      <w:r w:rsidR="009F66B8" w:rsidRPr="0029324A">
        <w:instrText xml:space="preserve"> REF _Ref48193538 \r \h </w:instrText>
      </w:r>
      <w:r w:rsidR="009F66B8" w:rsidRPr="0029324A">
        <w:fldChar w:fldCharType="separate"/>
      </w:r>
      <w:r w:rsidR="00631A28" w:rsidRPr="0029324A">
        <w:t>3.6</w:t>
      </w:r>
      <w:r w:rsidR="009F66B8" w:rsidRPr="0029324A">
        <w:fldChar w:fldCharType="end"/>
      </w:r>
      <w:r w:rsidR="009F66B8" w:rsidRPr="0029324A">
        <w:t>)</w:t>
      </w:r>
      <w:r w:rsidR="00EE3E6D" w:rsidRPr="0029324A">
        <w:t>, w</w:t>
      </w:r>
      <w:r w:rsidR="0068526D" w:rsidRPr="0029324A">
        <w:t>hereas</w:t>
      </w:r>
      <w:r w:rsidR="00A1406F" w:rsidRPr="0029324A">
        <w:t xml:space="preserve"> the PredictSURE </w:t>
      </w:r>
      <w:r w:rsidR="007F499F" w:rsidRPr="0029324A">
        <w:t xml:space="preserve">IBD </w:t>
      </w:r>
      <w:r w:rsidR="00A1406F" w:rsidRPr="0029324A">
        <w:t xml:space="preserve">study used </w:t>
      </w:r>
      <w:r w:rsidR="008E7B4D" w:rsidRPr="0029324A">
        <w:t>the need for multiple treatment escalations</w:t>
      </w:r>
      <w:r w:rsidR="008C14DC" w:rsidRPr="0029324A">
        <w:t xml:space="preserve"> (see section </w:t>
      </w:r>
      <w:r w:rsidR="008C14DC" w:rsidRPr="0029324A">
        <w:fldChar w:fldCharType="begin"/>
      </w:r>
      <w:r w:rsidR="008C14DC" w:rsidRPr="0029324A">
        <w:instrText xml:space="preserve"> REF _Ref48193652 \r \h </w:instrText>
      </w:r>
      <w:r w:rsidR="008C14DC" w:rsidRPr="0029324A">
        <w:fldChar w:fldCharType="separate"/>
      </w:r>
      <w:r w:rsidR="00631A28" w:rsidRPr="0029324A">
        <w:t>3.7</w:t>
      </w:r>
      <w:r w:rsidR="008C14DC" w:rsidRPr="0029324A">
        <w:fldChar w:fldCharType="end"/>
      </w:r>
      <w:r w:rsidR="008C14DC" w:rsidRPr="0029324A">
        <w:t>)</w:t>
      </w:r>
      <w:r w:rsidR="008E7B4D" w:rsidRPr="0029324A">
        <w:t>.</w:t>
      </w:r>
      <w:r w:rsidR="003C2E59" w:rsidRPr="0029324A">
        <w:t xml:space="preserve"> This inconsistency </w:t>
      </w:r>
      <w:r w:rsidR="008471D1" w:rsidRPr="0029324A">
        <w:t>is a source of additional uncertainty</w:t>
      </w:r>
      <w:r w:rsidR="003C2E59" w:rsidRPr="0029324A">
        <w:t>.</w:t>
      </w:r>
    </w:p>
    <w:p w14:paraId="3845A629" w14:textId="0A863AAC" w:rsidR="00F22923" w:rsidRPr="0029324A" w:rsidRDefault="00F22923" w:rsidP="00F10DA1">
      <w:pPr>
        <w:pStyle w:val="Heading3"/>
      </w:pPr>
      <w:r w:rsidRPr="0029324A">
        <w:t xml:space="preserve">The accuracy of PredictSURE IBD and IBDX </w:t>
      </w:r>
      <w:r w:rsidR="0035260F" w:rsidRPr="0029324A">
        <w:t>in</w:t>
      </w:r>
      <w:r w:rsidRPr="0029324A">
        <w:t xml:space="preserve"> predict</w:t>
      </w:r>
      <w:r w:rsidR="0035260F" w:rsidRPr="0029324A">
        <w:t>ing</w:t>
      </w:r>
      <w:r w:rsidRPr="0029324A">
        <w:t xml:space="preserve"> severe disease is uncertain</w:t>
      </w:r>
    </w:p>
    <w:p w14:paraId="1A92E5D7" w14:textId="2014C1C6" w:rsidR="00C66E6D" w:rsidRPr="0029324A" w:rsidRDefault="000C0B13" w:rsidP="00C66E6D">
      <w:pPr>
        <w:pStyle w:val="Numberedlevel2text"/>
      </w:pPr>
      <w:bookmarkStart w:id="18" w:name="_Ref48154980"/>
      <w:r w:rsidRPr="0029324A">
        <w:t xml:space="preserve">Little </w:t>
      </w:r>
      <w:r w:rsidR="00C66E6D" w:rsidRPr="0029324A">
        <w:t>data</w:t>
      </w:r>
      <w:r w:rsidRPr="0029324A">
        <w:t xml:space="preserve"> were</w:t>
      </w:r>
      <w:r w:rsidR="00C66E6D" w:rsidRPr="0029324A">
        <w:t xml:space="preserve"> </w:t>
      </w:r>
      <w:r w:rsidR="00227E77" w:rsidRPr="0029324A">
        <w:t xml:space="preserve">identified </w:t>
      </w:r>
      <w:r w:rsidR="00C66E6D" w:rsidRPr="0029324A">
        <w:t xml:space="preserve">on the prognostic accuracy of the tests. Sensitivity, </w:t>
      </w:r>
      <w:proofErr w:type="gramStart"/>
      <w:r w:rsidR="00C66E6D" w:rsidRPr="0029324A">
        <w:t>specificity</w:t>
      </w:r>
      <w:proofErr w:type="gramEnd"/>
      <w:r w:rsidR="00C66E6D" w:rsidRPr="0029324A">
        <w:t xml:space="preserve"> and negative predictive value were </w:t>
      </w:r>
      <w:r w:rsidR="00164C48" w:rsidRPr="0029324A">
        <w:t>only</w:t>
      </w:r>
      <w:r w:rsidR="00D56D76" w:rsidRPr="0029324A">
        <w:t xml:space="preserve"> reported</w:t>
      </w:r>
      <w:r w:rsidR="00164C48" w:rsidRPr="0029324A">
        <w:t xml:space="preserve"> for the PredictSURE IBD test,</w:t>
      </w:r>
      <w:r w:rsidRPr="0029324A">
        <w:t xml:space="preserve"> and</w:t>
      </w:r>
      <w:r w:rsidR="00C66E6D" w:rsidRPr="0029324A">
        <w:t xml:space="preserve"> in only </w:t>
      </w:r>
      <w:r w:rsidRPr="0029324A">
        <w:t xml:space="preserve">1 </w:t>
      </w:r>
      <w:r w:rsidR="00C66E6D" w:rsidRPr="0029324A">
        <w:t xml:space="preserve">study (Biasci 2019). </w:t>
      </w:r>
      <w:r w:rsidR="00227E77" w:rsidRPr="0029324A">
        <w:t>The clinical expert</w:t>
      </w:r>
      <w:r w:rsidR="005A06D9" w:rsidRPr="0029324A">
        <w:t xml:space="preserve"> said</w:t>
      </w:r>
      <w:r w:rsidR="00227E77" w:rsidRPr="0029324A">
        <w:t xml:space="preserve"> that</w:t>
      </w:r>
      <w:r w:rsidR="005A06D9" w:rsidRPr="0029324A">
        <w:t xml:space="preserve"> </w:t>
      </w:r>
      <w:proofErr w:type="gramStart"/>
      <w:r w:rsidR="005A06D9" w:rsidRPr="0029324A">
        <w:t>at the moment</w:t>
      </w:r>
      <w:proofErr w:type="gramEnd"/>
      <w:r w:rsidR="00227E77" w:rsidRPr="0029324A">
        <w:t xml:space="preserve"> severe disease may be predicted </w:t>
      </w:r>
      <w:r w:rsidR="005A06D9" w:rsidRPr="0029324A">
        <w:t xml:space="preserve">by </w:t>
      </w:r>
      <w:r w:rsidR="00227E77" w:rsidRPr="0029324A">
        <w:t>known risk factors such as age and smoking status</w:t>
      </w:r>
      <w:r w:rsidR="005A06D9" w:rsidRPr="0029324A">
        <w:t>.</w:t>
      </w:r>
      <w:r w:rsidR="00227E77" w:rsidRPr="0029324A">
        <w:t xml:space="preserve"> </w:t>
      </w:r>
      <w:r w:rsidR="005A06D9" w:rsidRPr="0029324A">
        <w:t xml:space="preserve">But </w:t>
      </w:r>
      <w:r w:rsidR="00227E77" w:rsidRPr="0029324A">
        <w:t>there is no consensus</w:t>
      </w:r>
      <w:r w:rsidR="005A06D9" w:rsidRPr="0029324A">
        <w:t xml:space="preserve"> on,</w:t>
      </w:r>
      <w:r w:rsidR="00227E77" w:rsidRPr="0029324A">
        <w:t xml:space="preserve"> </w:t>
      </w:r>
      <w:r w:rsidR="0062674C" w:rsidRPr="0029324A">
        <w:t>or algorithm</w:t>
      </w:r>
      <w:r w:rsidR="005A06D9" w:rsidRPr="0029324A">
        <w:t xml:space="preserve"> for,</w:t>
      </w:r>
      <w:r w:rsidR="0062674C" w:rsidRPr="0029324A">
        <w:t xml:space="preserve"> how these risk factors should be combined, and their predictive value is limited</w:t>
      </w:r>
      <w:r w:rsidR="00227E77" w:rsidRPr="0029324A">
        <w:t xml:space="preserve">. </w:t>
      </w:r>
      <w:r w:rsidR="00B041FF" w:rsidRPr="0029324A">
        <w:t>The</w:t>
      </w:r>
      <w:r w:rsidR="00DD6725" w:rsidRPr="0029324A">
        <w:t xml:space="preserve"> clinical expert </w:t>
      </w:r>
      <w:r w:rsidR="005A06D9" w:rsidRPr="0029324A">
        <w:t xml:space="preserve">also said </w:t>
      </w:r>
      <w:r w:rsidR="00DD6725" w:rsidRPr="0029324A">
        <w:t>that</w:t>
      </w:r>
      <w:r w:rsidR="005A06D9" w:rsidRPr="0029324A">
        <w:t>,</w:t>
      </w:r>
      <w:r w:rsidR="00DD6725" w:rsidRPr="0029324A">
        <w:t xml:space="preserve"> based on the findings of the Biasci study, the PredictSURE IBD test </w:t>
      </w:r>
      <w:r w:rsidR="00230CAB" w:rsidRPr="0029324A">
        <w:t>appears to</w:t>
      </w:r>
      <w:r w:rsidR="00DD6725" w:rsidRPr="0029324A">
        <w:t xml:space="preserve"> perform </w:t>
      </w:r>
      <w:r w:rsidR="00D16234" w:rsidRPr="0029324A">
        <w:t xml:space="preserve">better than </w:t>
      </w:r>
      <w:r w:rsidR="00DD6725" w:rsidRPr="0029324A">
        <w:t>risk prediction</w:t>
      </w:r>
      <w:r w:rsidR="0062674C" w:rsidRPr="0029324A">
        <w:t xml:space="preserve"> based on clinical features or endoscopic findings</w:t>
      </w:r>
      <w:r w:rsidR="0056464B" w:rsidRPr="0029324A">
        <w:t xml:space="preserve">, and therefore </w:t>
      </w:r>
      <w:r w:rsidR="006B050F" w:rsidRPr="0029324A">
        <w:t>has the potential</w:t>
      </w:r>
      <w:r w:rsidR="0056464B" w:rsidRPr="0029324A">
        <w:t xml:space="preserve"> to be a useful test</w:t>
      </w:r>
      <w:r w:rsidR="00DD6725" w:rsidRPr="0029324A">
        <w:t>. The committee noted that</w:t>
      </w:r>
      <w:r w:rsidR="00230CAB" w:rsidRPr="0029324A">
        <w:t xml:space="preserve"> it would </w:t>
      </w:r>
      <w:r w:rsidR="005A06D9" w:rsidRPr="0029324A">
        <w:t>help</w:t>
      </w:r>
      <w:r w:rsidR="00230CAB" w:rsidRPr="0029324A">
        <w:t xml:space="preserve"> to understand </w:t>
      </w:r>
      <w:r w:rsidR="005A06D9" w:rsidRPr="0029324A">
        <w:t xml:space="preserve">if </w:t>
      </w:r>
      <w:r w:rsidR="00230CAB" w:rsidRPr="0029324A">
        <w:t xml:space="preserve">the tests </w:t>
      </w:r>
      <w:r w:rsidR="005A06D9" w:rsidRPr="0029324A">
        <w:t xml:space="preserve">can give a </w:t>
      </w:r>
      <w:r w:rsidR="002C38BC" w:rsidRPr="0029324A">
        <w:t xml:space="preserve">more accurate </w:t>
      </w:r>
      <w:r w:rsidR="005A06D9" w:rsidRPr="0029324A">
        <w:t>prognosis</w:t>
      </w:r>
      <w:r w:rsidR="002C38BC" w:rsidRPr="0029324A">
        <w:t xml:space="preserve"> when</w:t>
      </w:r>
      <w:r w:rsidR="00230CAB" w:rsidRPr="0029324A">
        <w:t xml:space="preserve"> used alongside </w:t>
      </w:r>
      <w:r w:rsidR="0062674C" w:rsidRPr="0029324A">
        <w:t>clinical features</w:t>
      </w:r>
      <w:r w:rsidR="00230CAB" w:rsidRPr="0029324A">
        <w:t xml:space="preserve"> rather than as a substitute</w:t>
      </w:r>
      <w:r w:rsidR="001F4F11" w:rsidRPr="0029324A">
        <w:t>.</w:t>
      </w:r>
      <w:r w:rsidR="00230CAB" w:rsidRPr="0029324A">
        <w:t xml:space="preserve"> </w:t>
      </w:r>
      <w:r w:rsidR="008B422F" w:rsidRPr="0029324A">
        <w:t>Th</w:t>
      </w:r>
      <w:r w:rsidR="00230CAB" w:rsidRPr="0029324A">
        <w:t>e</w:t>
      </w:r>
      <w:r w:rsidR="008B422F" w:rsidRPr="0029324A">
        <w:t xml:space="preserve"> committee concluded that overall</w:t>
      </w:r>
      <w:r w:rsidR="00F554F8" w:rsidRPr="0029324A">
        <w:t>,</w:t>
      </w:r>
      <w:r w:rsidR="008B422F" w:rsidRPr="0029324A">
        <w:t xml:space="preserve"> the</w:t>
      </w:r>
      <w:r w:rsidR="00230CAB" w:rsidRPr="0029324A">
        <w:t xml:space="preserve"> evidence on</w:t>
      </w:r>
      <w:r w:rsidR="003528C4" w:rsidRPr="0029324A">
        <w:t xml:space="preserve"> the</w:t>
      </w:r>
      <w:r w:rsidR="00230CAB" w:rsidRPr="0029324A">
        <w:t xml:space="preserve"> prognostic accuracy</w:t>
      </w:r>
      <w:r w:rsidR="0062674C" w:rsidRPr="0029324A">
        <w:t xml:space="preserve"> of PredictSURE IBD and IBDX</w:t>
      </w:r>
      <w:r w:rsidR="00230CAB" w:rsidRPr="0029324A">
        <w:t xml:space="preserve"> is weak</w:t>
      </w:r>
      <w:r w:rsidR="003528C4" w:rsidRPr="0029324A">
        <w:t>,</w:t>
      </w:r>
      <w:r w:rsidR="00F554F8" w:rsidRPr="0029324A">
        <w:t xml:space="preserve"> and encouraged </w:t>
      </w:r>
      <w:r w:rsidR="0062674C" w:rsidRPr="0029324A">
        <w:t xml:space="preserve">further </w:t>
      </w:r>
      <w:r w:rsidR="00F554F8" w:rsidRPr="0029324A">
        <w:t xml:space="preserve">research </w:t>
      </w:r>
      <w:r w:rsidR="00777395" w:rsidRPr="0029324A">
        <w:t xml:space="preserve">on their accuracy used </w:t>
      </w:r>
      <w:r w:rsidR="006B050F" w:rsidRPr="0029324A">
        <w:t>alongside clinical features</w:t>
      </w:r>
      <w:r w:rsidR="00F554F8" w:rsidRPr="0029324A">
        <w:t xml:space="preserve"> (</w:t>
      </w:r>
      <w:r w:rsidR="006114B3" w:rsidRPr="0029324A">
        <w:t xml:space="preserve">see section </w:t>
      </w:r>
      <w:r w:rsidR="006114B3" w:rsidRPr="0029324A">
        <w:fldChar w:fldCharType="begin"/>
      </w:r>
      <w:r w:rsidR="006114B3" w:rsidRPr="0029324A">
        <w:instrText xml:space="preserve"> REF _Ref47693203 \r \h </w:instrText>
      </w:r>
      <w:r w:rsidR="00C93AEB" w:rsidRPr="0029324A">
        <w:instrText xml:space="preserve"> \* MERGEFORMAT </w:instrText>
      </w:r>
      <w:r w:rsidR="006114B3" w:rsidRPr="0029324A">
        <w:fldChar w:fldCharType="separate"/>
      </w:r>
      <w:r w:rsidR="00631A28" w:rsidRPr="0029324A">
        <w:t>5</w:t>
      </w:r>
      <w:r w:rsidR="006114B3" w:rsidRPr="0029324A">
        <w:fldChar w:fldCharType="end"/>
      </w:r>
      <w:r w:rsidR="006114B3" w:rsidRPr="0029324A">
        <w:t>)</w:t>
      </w:r>
      <w:r w:rsidR="00055CE5" w:rsidRPr="0029324A">
        <w:t>.</w:t>
      </w:r>
      <w:bookmarkEnd w:id="18"/>
    </w:p>
    <w:p w14:paraId="100608B5" w14:textId="7468F58A" w:rsidR="00D619B5" w:rsidRPr="0029324A" w:rsidRDefault="00FA63E3" w:rsidP="006114B3">
      <w:pPr>
        <w:pStyle w:val="Heading3"/>
      </w:pPr>
      <w:bookmarkStart w:id="19" w:name="_Hlk48151805"/>
      <w:r w:rsidRPr="0029324A">
        <w:lastRenderedPageBreak/>
        <w:t xml:space="preserve">There is </w:t>
      </w:r>
      <w:r w:rsidR="00B066BA" w:rsidRPr="0029324A">
        <w:t xml:space="preserve">little </w:t>
      </w:r>
      <w:r w:rsidR="00D619B5" w:rsidRPr="0029324A">
        <w:t xml:space="preserve">evidence on </w:t>
      </w:r>
      <w:r w:rsidR="00B066BA" w:rsidRPr="0029324A">
        <w:t xml:space="preserve">how </w:t>
      </w:r>
      <w:r w:rsidR="006114B3" w:rsidRPr="0029324A">
        <w:t>the tests</w:t>
      </w:r>
      <w:r w:rsidR="0066613D" w:rsidRPr="0029324A">
        <w:t xml:space="preserve"> </w:t>
      </w:r>
      <w:r w:rsidR="00B066BA" w:rsidRPr="0029324A">
        <w:t>affect</w:t>
      </w:r>
      <w:r w:rsidR="0066613D" w:rsidRPr="0029324A">
        <w:t xml:space="preserve"> treatment decisions</w:t>
      </w:r>
    </w:p>
    <w:bookmarkEnd w:id="19"/>
    <w:p w14:paraId="564A647A" w14:textId="5BC881EB" w:rsidR="00D619B5" w:rsidRPr="0029324A" w:rsidRDefault="00D619B5" w:rsidP="00F0467D">
      <w:pPr>
        <w:pStyle w:val="Numberedlevel2text"/>
      </w:pPr>
      <w:r w:rsidRPr="0029324A">
        <w:t>The proposed value of the tests is t</w:t>
      </w:r>
      <w:r w:rsidR="001E269A" w:rsidRPr="0029324A">
        <w:t>o</w:t>
      </w:r>
      <w:r w:rsidRPr="0029324A">
        <w:t xml:space="preserve"> </w:t>
      </w:r>
      <w:r w:rsidR="00CC374C" w:rsidRPr="0029324A">
        <w:t xml:space="preserve">categorise </w:t>
      </w:r>
      <w:r w:rsidRPr="0029324A">
        <w:t xml:space="preserve">people with Crohn’s disease according to their risk of </w:t>
      </w:r>
      <w:r w:rsidR="0066613D" w:rsidRPr="0029324A">
        <w:t xml:space="preserve">severe </w:t>
      </w:r>
      <w:r w:rsidRPr="0029324A">
        <w:t>disease</w:t>
      </w:r>
      <w:r w:rsidR="0066613D" w:rsidRPr="0029324A">
        <w:t>. People predicted to have</w:t>
      </w:r>
      <w:r w:rsidR="003528C4" w:rsidRPr="0029324A">
        <w:t xml:space="preserve"> </w:t>
      </w:r>
      <w:r w:rsidR="0066613D" w:rsidRPr="0029324A">
        <w:t>severe disease could have top</w:t>
      </w:r>
      <w:r w:rsidR="003528C4" w:rsidRPr="0029324A">
        <w:t>-</w:t>
      </w:r>
      <w:r w:rsidR="0066613D" w:rsidRPr="0029324A">
        <w:t>down treatment</w:t>
      </w:r>
      <w:r w:rsidR="003528C4" w:rsidRPr="0029324A">
        <w:t>, which</w:t>
      </w:r>
      <w:r w:rsidR="00055CE5" w:rsidRPr="0029324A">
        <w:t xml:space="preserve"> </w:t>
      </w:r>
      <w:r w:rsidR="00616B7E" w:rsidRPr="0029324A">
        <w:t xml:space="preserve">may help </w:t>
      </w:r>
      <w:r w:rsidR="00055CE5" w:rsidRPr="0029324A">
        <w:t>control</w:t>
      </w:r>
      <w:r w:rsidR="003528C4" w:rsidRPr="0029324A">
        <w:t xml:space="preserve"> the disease early, leading</w:t>
      </w:r>
      <w:r w:rsidR="00055CE5" w:rsidRPr="0029324A">
        <w:t xml:space="preserve"> to </w:t>
      </w:r>
      <w:r w:rsidR="00C7308D" w:rsidRPr="0029324A">
        <w:t xml:space="preserve">better </w:t>
      </w:r>
      <w:r w:rsidR="00055CE5" w:rsidRPr="0029324A">
        <w:t xml:space="preserve">outcomes </w:t>
      </w:r>
      <w:r w:rsidR="00C7308D" w:rsidRPr="0029324A">
        <w:t xml:space="preserve">like </w:t>
      </w:r>
      <w:r w:rsidR="003528C4" w:rsidRPr="0029324A">
        <w:t xml:space="preserve">fewer </w:t>
      </w:r>
      <w:r w:rsidR="00055CE5" w:rsidRPr="0029324A">
        <w:t>flare-ups,</w:t>
      </w:r>
      <w:r w:rsidR="00C7308D" w:rsidRPr="0029324A">
        <w:t xml:space="preserve"> and</w:t>
      </w:r>
      <w:r w:rsidR="00055CE5" w:rsidRPr="0029324A">
        <w:t xml:space="preserve"> prevent bowel damage and limit the need for surgery. </w:t>
      </w:r>
      <w:r w:rsidRPr="0029324A">
        <w:t xml:space="preserve">The committee noted that </w:t>
      </w:r>
      <w:r w:rsidR="00AA5225" w:rsidRPr="0029324A">
        <w:t xml:space="preserve">currently </w:t>
      </w:r>
      <w:r w:rsidRPr="0029324A">
        <w:t>there was no evidence on</w:t>
      </w:r>
      <w:r w:rsidR="00C7308D" w:rsidRPr="0029324A">
        <w:t xml:space="preserve"> how </w:t>
      </w:r>
      <w:r w:rsidR="00AE6EF3" w:rsidRPr="0029324A">
        <w:t>the test</w:t>
      </w:r>
      <w:r w:rsidR="001E269A" w:rsidRPr="0029324A">
        <w:t>s</w:t>
      </w:r>
      <w:r w:rsidR="00C7308D" w:rsidRPr="0029324A">
        <w:t xml:space="preserve"> can help with</w:t>
      </w:r>
      <w:r w:rsidR="001E269A" w:rsidRPr="0029324A">
        <w:t xml:space="preserve"> decisions </w:t>
      </w:r>
      <w:r w:rsidR="00C7308D" w:rsidRPr="0029324A">
        <w:t>about</w:t>
      </w:r>
      <w:r w:rsidR="00AE6EF3" w:rsidRPr="0029324A">
        <w:t xml:space="preserve"> personalised treatment</w:t>
      </w:r>
      <w:r w:rsidR="007F429E" w:rsidRPr="0029324A">
        <w:t xml:space="preserve"> </w:t>
      </w:r>
      <w:r w:rsidR="006B050F" w:rsidRPr="0029324A">
        <w:t>plans</w:t>
      </w:r>
      <w:r w:rsidR="00C7308D" w:rsidRPr="0029324A">
        <w:t>.</w:t>
      </w:r>
      <w:r w:rsidR="006B050F" w:rsidRPr="0029324A">
        <w:t xml:space="preserve"> </w:t>
      </w:r>
      <w:r w:rsidR="00C7308D" w:rsidRPr="0029324A">
        <w:t>I</w:t>
      </w:r>
      <w:r w:rsidR="001E269A" w:rsidRPr="0029324A">
        <w:t xml:space="preserve">t </w:t>
      </w:r>
      <w:r w:rsidR="007F429E" w:rsidRPr="0029324A">
        <w:t xml:space="preserve">concluded that </w:t>
      </w:r>
      <w:r w:rsidR="00C7308D" w:rsidRPr="0029324A">
        <w:t xml:space="preserve">it would help to have </w:t>
      </w:r>
      <w:r w:rsidR="007F429E" w:rsidRPr="0029324A">
        <w:t xml:space="preserve">research </w:t>
      </w:r>
      <w:r w:rsidR="001E269A" w:rsidRPr="0029324A">
        <w:t xml:space="preserve">on </w:t>
      </w:r>
      <w:r w:rsidR="00C7308D" w:rsidRPr="0029324A">
        <w:t xml:space="preserve">how </w:t>
      </w:r>
      <w:r w:rsidR="001E269A" w:rsidRPr="0029324A">
        <w:t>the test</w:t>
      </w:r>
      <w:r w:rsidR="00C7308D" w:rsidRPr="0029324A">
        <w:t>s affect</w:t>
      </w:r>
      <w:r w:rsidR="001E269A" w:rsidRPr="0029324A">
        <w:t xml:space="preserve"> treatment decisions </w:t>
      </w:r>
      <w:r w:rsidR="00AD0707" w:rsidRPr="0029324A">
        <w:t xml:space="preserve">(see section </w:t>
      </w:r>
      <w:r w:rsidR="00AE4A39" w:rsidRPr="0029324A">
        <w:t>5</w:t>
      </w:r>
      <w:r w:rsidR="00AD0707" w:rsidRPr="0029324A">
        <w:t>)</w:t>
      </w:r>
      <w:r w:rsidR="007F429E" w:rsidRPr="0029324A">
        <w:t>. PROFILE</w:t>
      </w:r>
      <w:r w:rsidR="003979BD" w:rsidRPr="0029324A">
        <w:t>,</w:t>
      </w:r>
      <w:r w:rsidR="00BB1E4F" w:rsidRPr="0029324A">
        <w:t xml:space="preserve"> a</w:t>
      </w:r>
      <w:r w:rsidR="00DC06E2" w:rsidRPr="0029324A">
        <w:t xml:space="preserve"> </w:t>
      </w:r>
      <w:r w:rsidR="00BB1E4F" w:rsidRPr="0029324A">
        <w:t xml:space="preserve">randomised, multicentre, </w:t>
      </w:r>
      <w:r w:rsidR="003979BD" w:rsidRPr="0029324A">
        <w:t>biomarker-stratified</w:t>
      </w:r>
      <w:r w:rsidR="00616B7E" w:rsidRPr="0029324A">
        <w:t>,</w:t>
      </w:r>
      <w:r w:rsidR="003979BD" w:rsidRPr="0029324A">
        <w:t xml:space="preserve"> </w:t>
      </w:r>
      <w:r w:rsidR="00BB1E4F" w:rsidRPr="0029324A">
        <w:t>open</w:t>
      </w:r>
      <w:r w:rsidR="00C7308D" w:rsidRPr="0029324A">
        <w:t>-</w:t>
      </w:r>
      <w:r w:rsidR="00BB1E4F" w:rsidRPr="0029324A">
        <w:t xml:space="preserve">label </w:t>
      </w:r>
      <w:r w:rsidR="00AA5225" w:rsidRPr="0029324A">
        <w:t>study</w:t>
      </w:r>
      <w:r w:rsidR="00BB1E4F" w:rsidRPr="0029324A">
        <w:t xml:space="preserve"> is ongoing in the UK with results expected in 2022. This trial uses Predic</w:t>
      </w:r>
      <w:r w:rsidR="00125F2A" w:rsidRPr="0029324A">
        <w:t>t</w:t>
      </w:r>
      <w:r w:rsidR="00BB1E4F" w:rsidRPr="0029324A">
        <w:t xml:space="preserve">SURE IBD to assign people to </w:t>
      </w:r>
      <w:r w:rsidR="003979BD" w:rsidRPr="0029324A">
        <w:t xml:space="preserve">top-down </w:t>
      </w:r>
      <w:r w:rsidR="00BB1E4F" w:rsidRPr="0029324A">
        <w:t xml:space="preserve">or </w:t>
      </w:r>
      <w:r w:rsidR="003979BD" w:rsidRPr="0029324A">
        <w:t xml:space="preserve">step-up </w:t>
      </w:r>
      <w:r w:rsidR="009C1E0E" w:rsidRPr="0029324A">
        <w:t>treatment</w:t>
      </w:r>
      <w:r w:rsidR="00122321" w:rsidRPr="0029324A">
        <w:t xml:space="preserve">, and may </w:t>
      </w:r>
      <w:r w:rsidR="00C7308D" w:rsidRPr="0029324A">
        <w:t>help</w:t>
      </w:r>
      <w:r w:rsidR="00122321" w:rsidRPr="0029324A">
        <w:t xml:space="preserve"> address this evidence gap</w:t>
      </w:r>
      <w:r w:rsidR="00AA5225" w:rsidRPr="0029324A">
        <w:t>.</w:t>
      </w:r>
    </w:p>
    <w:p w14:paraId="494560C8" w14:textId="5A3289F0" w:rsidR="0056306B" w:rsidRPr="0029324A" w:rsidRDefault="0056306B" w:rsidP="00F10DA1">
      <w:pPr>
        <w:pStyle w:val="Heading3"/>
      </w:pPr>
      <w:r w:rsidRPr="0029324A">
        <w:t xml:space="preserve">There is </w:t>
      </w:r>
      <w:r w:rsidR="00C7308D" w:rsidRPr="0029324A">
        <w:t>no</w:t>
      </w:r>
      <w:r w:rsidRPr="0029324A">
        <w:t xml:space="preserve"> evidence </w:t>
      </w:r>
      <w:r w:rsidR="00B066BA" w:rsidRPr="0029324A">
        <w:t xml:space="preserve">on how </w:t>
      </w:r>
      <w:r w:rsidRPr="0029324A">
        <w:t xml:space="preserve">the tests </w:t>
      </w:r>
      <w:r w:rsidR="00B066BA" w:rsidRPr="0029324A">
        <w:t xml:space="preserve">affect </w:t>
      </w:r>
      <w:r w:rsidR="0015589E" w:rsidRPr="0029324A">
        <w:t>clinical</w:t>
      </w:r>
      <w:r w:rsidRPr="0029324A">
        <w:t xml:space="preserve"> outcomes</w:t>
      </w:r>
    </w:p>
    <w:p w14:paraId="6A6F2B06" w14:textId="284B8A20" w:rsidR="0056306B" w:rsidRPr="0029324A" w:rsidRDefault="0015589E" w:rsidP="00F0467D">
      <w:pPr>
        <w:pStyle w:val="Numberedlevel2text"/>
      </w:pPr>
      <w:bookmarkStart w:id="20" w:name="_Ref48631363"/>
      <w:r w:rsidRPr="0029324A">
        <w:t xml:space="preserve">The committee considered that there </w:t>
      </w:r>
      <w:r w:rsidR="00C7308D" w:rsidRPr="0029324A">
        <w:t>was</w:t>
      </w:r>
      <w:r w:rsidRPr="0029324A">
        <w:t xml:space="preserve"> no evidence to show that using the prognostic tests to </w:t>
      </w:r>
      <w:r w:rsidR="00F4284B" w:rsidRPr="0029324A">
        <w:t>identify people at high risk of severe disease</w:t>
      </w:r>
      <w:r w:rsidRPr="0029324A">
        <w:t xml:space="preserve"> and help guide treatment </w:t>
      </w:r>
      <w:r w:rsidR="00C7308D" w:rsidRPr="0029324A">
        <w:t>improves</w:t>
      </w:r>
      <w:r w:rsidRPr="0029324A">
        <w:t xml:space="preserve"> clinical outcomes.</w:t>
      </w:r>
      <w:r w:rsidR="00A675F3" w:rsidRPr="0029324A">
        <w:t xml:space="preserve"> The committee encouraged studies assessing </w:t>
      </w:r>
      <w:r w:rsidR="00C7308D" w:rsidRPr="0029324A">
        <w:t>how</w:t>
      </w:r>
      <w:r w:rsidR="00A675F3" w:rsidRPr="0029324A">
        <w:t xml:space="preserve"> the tests </w:t>
      </w:r>
      <w:r w:rsidR="00C7308D" w:rsidRPr="0029324A">
        <w:t>affect</w:t>
      </w:r>
      <w:r w:rsidR="00A675F3" w:rsidRPr="0029324A">
        <w:t xml:space="preserve"> clinical outcomes (see</w:t>
      </w:r>
      <w:r w:rsidR="00817D82" w:rsidRPr="0029324A">
        <w:t xml:space="preserve"> section</w:t>
      </w:r>
      <w:r w:rsidR="00A675F3" w:rsidRPr="0029324A">
        <w:t xml:space="preserve"> </w:t>
      </w:r>
      <w:r w:rsidR="00AE4A39" w:rsidRPr="0029324A">
        <w:t>5</w:t>
      </w:r>
      <w:r w:rsidR="00A675F3" w:rsidRPr="0029324A">
        <w:t>)</w:t>
      </w:r>
      <w:bookmarkEnd w:id="20"/>
      <w:r w:rsidR="00DC7DE5" w:rsidRPr="0029324A">
        <w:t>.</w:t>
      </w:r>
    </w:p>
    <w:p w14:paraId="5FC0A6D5" w14:textId="77777777" w:rsidR="00091DC3" w:rsidRPr="0029324A" w:rsidRDefault="00091DC3" w:rsidP="005A33B8">
      <w:pPr>
        <w:pStyle w:val="Heading2"/>
      </w:pPr>
      <w:r w:rsidRPr="0029324A">
        <w:t>Cost effectiveness</w:t>
      </w:r>
    </w:p>
    <w:p w14:paraId="7CCD201A" w14:textId="6FDB8287" w:rsidR="00091DC3" w:rsidRPr="0029324A" w:rsidRDefault="00B066BA" w:rsidP="006114B3">
      <w:pPr>
        <w:pStyle w:val="Heading3"/>
      </w:pPr>
      <w:r w:rsidRPr="0029324A">
        <w:t>D</w:t>
      </w:r>
      <w:r w:rsidR="00823FE7" w:rsidRPr="0029324A">
        <w:t xml:space="preserve">rug </w:t>
      </w:r>
      <w:r w:rsidR="009C1E0E" w:rsidRPr="0029324A">
        <w:t>treatment</w:t>
      </w:r>
      <w:r w:rsidR="00E3087A" w:rsidRPr="0029324A">
        <w:t xml:space="preserve"> for </w:t>
      </w:r>
      <w:r w:rsidR="00F4284B" w:rsidRPr="0029324A">
        <w:t xml:space="preserve">people with </w:t>
      </w:r>
      <w:r w:rsidR="00E3087A" w:rsidRPr="0029324A">
        <w:t xml:space="preserve">Crohn’s disease </w:t>
      </w:r>
      <w:r w:rsidRPr="0029324A">
        <w:t>varies</w:t>
      </w:r>
      <w:r w:rsidR="00823FE7" w:rsidRPr="0029324A">
        <w:t xml:space="preserve"> across</w:t>
      </w:r>
      <w:r w:rsidR="00C76B96" w:rsidRPr="0029324A">
        <w:t xml:space="preserve"> the NHS</w:t>
      </w:r>
    </w:p>
    <w:p w14:paraId="657E8356" w14:textId="47A06DFC" w:rsidR="00F000E5" w:rsidRPr="0029324A" w:rsidRDefault="00F000E5" w:rsidP="00912C0F">
      <w:pPr>
        <w:pStyle w:val="Numberedlevel2text"/>
      </w:pPr>
      <w:bookmarkStart w:id="21" w:name="_Ref48563152"/>
      <w:r w:rsidRPr="0029324A">
        <w:t xml:space="preserve">The committee </w:t>
      </w:r>
      <w:r w:rsidR="008E1E96" w:rsidRPr="0029324A">
        <w:t>noted</w:t>
      </w:r>
      <w:r w:rsidRPr="0029324A">
        <w:t xml:space="preserve"> that the treatment sequence</w:t>
      </w:r>
      <w:r w:rsidR="00D46235" w:rsidRPr="0029324A">
        <w:t>s</w:t>
      </w:r>
      <w:r w:rsidRPr="0029324A">
        <w:t xml:space="preserve"> modelled by the </w:t>
      </w:r>
      <w:r w:rsidR="00327F0C" w:rsidRPr="0029324A">
        <w:t>external assessment group (</w:t>
      </w:r>
      <w:r w:rsidRPr="0029324A">
        <w:t>EAG</w:t>
      </w:r>
      <w:r w:rsidR="00327F0C" w:rsidRPr="0029324A">
        <w:t>)</w:t>
      </w:r>
      <w:r w:rsidRPr="0029324A">
        <w:t xml:space="preserve"> may </w:t>
      </w:r>
      <w:r w:rsidR="004A7654" w:rsidRPr="0029324A">
        <w:t>not</w:t>
      </w:r>
      <w:r w:rsidR="00BB7524" w:rsidRPr="0029324A">
        <w:t xml:space="preserve"> reflect </w:t>
      </w:r>
      <w:r w:rsidR="00715157" w:rsidRPr="0029324A">
        <w:t xml:space="preserve">treatment </w:t>
      </w:r>
      <w:r w:rsidR="00BB7524" w:rsidRPr="0029324A">
        <w:t>in the NHS</w:t>
      </w:r>
      <w:r w:rsidR="005E1D3F" w:rsidRPr="0029324A">
        <w:t>.</w:t>
      </w:r>
      <w:r w:rsidR="00B63942" w:rsidRPr="0029324A">
        <w:t xml:space="preserve"> The EAG </w:t>
      </w:r>
      <w:r w:rsidR="00BB7524" w:rsidRPr="0029324A">
        <w:t>said</w:t>
      </w:r>
      <w:r w:rsidR="00B63942" w:rsidRPr="0029324A">
        <w:t xml:space="preserve"> that in its model 30% of people</w:t>
      </w:r>
      <w:r w:rsidR="00BB7524" w:rsidRPr="0029324A">
        <w:t xml:space="preserve"> who had a</w:t>
      </w:r>
      <w:r w:rsidR="00B63942" w:rsidRPr="0029324A">
        <w:t xml:space="preserve"> </w:t>
      </w:r>
      <w:r w:rsidR="00327F0C" w:rsidRPr="0029324A">
        <w:t>tumour necrosis factor (TNF)-alpha inhibitor</w:t>
      </w:r>
      <w:r w:rsidR="00BB7524" w:rsidRPr="0029324A">
        <w:t>,</w:t>
      </w:r>
      <w:r w:rsidR="00B63942" w:rsidRPr="0029324A">
        <w:t xml:space="preserve"> and 20% of people</w:t>
      </w:r>
      <w:r w:rsidR="00BB7524" w:rsidRPr="0029324A">
        <w:t xml:space="preserve"> who had a biologic</w:t>
      </w:r>
      <w:r w:rsidR="005D03E1" w:rsidRPr="0029324A">
        <w:t>al treatment</w:t>
      </w:r>
      <w:r w:rsidR="00BB7524" w:rsidRPr="0029324A">
        <w:t xml:space="preserve"> that was not an</w:t>
      </w:r>
      <w:r w:rsidR="00B63942" w:rsidRPr="0029324A">
        <w:t xml:space="preserve"> anti-TNF</w:t>
      </w:r>
      <w:r w:rsidR="00BB7524" w:rsidRPr="0029324A">
        <w:t>,</w:t>
      </w:r>
      <w:r w:rsidR="00B63942" w:rsidRPr="0029324A">
        <w:t xml:space="preserve"> </w:t>
      </w:r>
      <w:r w:rsidR="00BB7524" w:rsidRPr="0029324A">
        <w:t>also had an</w:t>
      </w:r>
      <w:r w:rsidR="00B63942" w:rsidRPr="0029324A">
        <w:t xml:space="preserve"> immunomodulator. This is because</w:t>
      </w:r>
      <w:r w:rsidR="00FC421E" w:rsidRPr="0029324A">
        <w:t xml:space="preserve"> there is evidence to show that combination </w:t>
      </w:r>
      <w:r w:rsidR="009C1E0E" w:rsidRPr="0029324A">
        <w:t>treatment</w:t>
      </w:r>
      <w:r w:rsidR="00FC421E" w:rsidRPr="0029324A">
        <w:t xml:space="preserve"> reduces the chances of losing response to biologics (immunogenicity). However, clinical experts </w:t>
      </w:r>
      <w:r w:rsidR="00BB7524" w:rsidRPr="0029324A">
        <w:t>said</w:t>
      </w:r>
      <w:r w:rsidR="00FC421E" w:rsidRPr="0029324A">
        <w:t xml:space="preserve"> there is no consensus on </w:t>
      </w:r>
      <w:r w:rsidR="00BB7524" w:rsidRPr="0029324A">
        <w:t>using</w:t>
      </w:r>
      <w:r w:rsidR="00FC421E" w:rsidRPr="0029324A">
        <w:t xml:space="preserve"> monotherapy or combination therapy</w:t>
      </w:r>
      <w:r w:rsidR="00BB7524" w:rsidRPr="0029324A">
        <w:t>,</w:t>
      </w:r>
      <w:r w:rsidR="000F56F4" w:rsidRPr="0029324A">
        <w:t xml:space="preserve"> </w:t>
      </w:r>
      <w:r w:rsidR="00516CCD" w:rsidRPr="0029324A">
        <w:t>and</w:t>
      </w:r>
      <w:r w:rsidR="00BB7524" w:rsidRPr="0029324A">
        <w:t xml:space="preserve"> that</w:t>
      </w:r>
      <w:r w:rsidR="00516CCD" w:rsidRPr="0029324A">
        <w:t xml:space="preserve"> it varies </w:t>
      </w:r>
      <w:r w:rsidR="000F56F4" w:rsidRPr="0029324A">
        <w:t xml:space="preserve">in </w:t>
      </w:r>
      <w:r w:rsidR="00932E3F" w:rsidRPr="0029324A">
        <w:t xml:space="preserve">clinical </w:t>
      </w:r>
      <w:r w:rsidR="000F56F4" w:rsidRPr="0029324A">
        <w:t>practice.</w:t>
      </w:r>
      <w:r w:rsidR="001D0718" w:rsidRPr="0029324A">
        <w:t xml:space="preserve"> </w:t>
      </w:r>
      <w:r w:rsidR="00BB7524" w:rsidRPr="0029324A">
        <w:t>There is also</w:t>
      </w:r>
      <w:r w:rsidR="00C5632B" w:rsidRPr="0029324A">
        <w:t xml:space="preserve"> </w:t>
      </w:r>
      <w:r w:rsidR="00995B16" w:rsidRPr="0029324A">
        <w:lastRenderedPageBreak/>
        <w:t xml:space="preserve">the option of </w:t>
      </w:r>
      <w:r w:rsidR="00C5632B" w:rsidRPr="0029324A">
        <w:t xml:space="preserve">having immunomodulators after biologics </w:t>
      </w:r>
      <w:r w:rsidR="00D46235" w:rsidRPr="0029324A">
        <w:t xml:space="preserve">as part of </w:t>
      </w:r>
      <w:r w:rsidR="00BB7524" w:rsidRPr="0029324A">
        <w:t xml:space="preserve">treatment </w:t>
      </w:r>
      <w:r w:rsidR="00D46235" w:rsidRPr="0029324A">
        <w:t xml:space="preserve">de-escalation </w:t>
      </w:r>
      <w:r w:rsidR="00C5632B" w:rsidRPr="0029324A">
        <w:t>in the top</w:t>
      </w:r>
      <w:r w:rsidR="00BB7524" w:rsidRPr="0029324A">
        <w:t>-</w:t>
      </w:r>
      <w:r w:rsidR="00C5632B" w:rsidRPr="0029324A">
        <w:t xml:space="preserve">down </w:t>
      </w:r>
      <w:r w:rsidR="00D46235" w:rsidRPr="0029324A">
        <w:t xml:space="preserve">strategy </w:t>
      </w:r>
      <w:r w:rsidR="00C5632B" w:rsidRPr="0029324A">
        <w:t xml:space="preserve">(as modelled by the company – see section </w:t>
      </w:r>
      <w:r w:rsidR="00C5632B" w:rsidRPr="0029324A">
        <w:fldChar w:fldCharType="begin"/>
      </w:r>
      <w:r w:rsidR="00C5632B" w:rsidRPr="0029324A">
        <w:instrText xml:space="preserve"> REF _Ref47957778 \r \h </w:instrText>
      </w:r>
      <w:r w:rsidR="00C5632B" w:rsidRPr="0029324A">
        <w:fldChar w:fldCharType="separate"/>
      </w:r>
      <w:r w:rsidR="00631A28" w:rsidRPr="0029324A">
        <w:t>4.11</w:t>
      </w:r>
      <w:r w:rsidR="00C5632B" w:rsidRPr="0029324A">
        <w:fldChar w:fldCharType="end"/>
      </w:r>
      <w:r w:rsidR="00C5632B" w:rsidRPr="0029324A">
        <w:t xml:space="preserve">). </w:t>
      </w:r>
      <w:r w:rsidR="00823FE7" w:rsidRPr="0029324A">
        <w:t>Top</w:t>
      </w:r>
      <w:r w:rsidR="00BB7524" w:rsidRPr="0029324A">
        <w:t>-</w:t>
      </w:r>
      <w:r w:rsidR="00823FE7" w:rsidRPr="0029324A">
        <w:t xml:space="preserve">down </w:t>
      </w:r>
      <w:r w:rsidR="009C1E0E" w:rsidRPr="0029324A">
        <w:t>treatment</w:t>
      </w:r>
      <w:r w:rsidR="00823FE7" w:rsidRPr="0029324A">
        <w:t xml:space="preserve"> is not widely used in the NHS and so it is uncertain what the treatment pathway would look like. The company model included an immunomodulator step after biologics but the EAG base case did not</w:t>
      </w:r>
      <w:r w:rsidR="00AC4966" w:rsidRPr="0029324A">
        <w:t>. The EAG</w:t>
      </w:r>
      <w:r w:rsidR="009D3645" w:rsidRPr="0029324A">
        <w:t xml:space="preserve"> explored</w:t>
      </w:r>
      <w:r w:rsidR="00A85381" w:rsidRPr="0029324A">
        <w:t xml:space="preserve"> </w:t>
      </w:r>
      <w:r w:rsidR="00823FE7" w:rsidRPr="0029324A">
        <w:t xml:space="preserve">this </w:t>
      </w:r>
      <w:r w:rsidR="00A85381" w:rsidRPr="0029324A">
        <w:t>as a scenario analysis</w:t>
      </w:r>
      <w:r w:rsidR="00984585" w:rsidRPr="0029324A">
        <w:t xml:space="preserve"> (see section</w:t>
      </w:r>
      <w:r w:rsidR="00D67681" w:rsidRPr="0029324A">
        <w:t xml:space="preserve"> </w:t>
      </w:r>
      <w:r w:rsidR="00D67681" w:rsidRPr="0029324A">
        <w:fldChar w:fldCharType="begin"/>
      </w:r>
      <w:r w:rsidR="00D67681" w:rsidRPr="0029324A">
        <w:instrText xml:space="preserve"> REF _Ref47953933 \r \h </w:instrText>
      </w:r>
      <w:r w:rsidR="00D67681" w:rsidRPr="0029324A">
        <w:fldChar w:fldCharType="separate"/>
      </w:r>
      <w:r w:rsidR="00D67681" w:rsidRPr="0029324A">
        <w:t>3.30</w:t>
      </w:r>
      <w:r w:rsidR="00D67681" w:rsidRPr="0029324A">
        <w:fldChar w:fldCharType="end"/>
      </w:r>
      <w:r w:rsidR="00984585" w:rsidRPr="0029324A">
        <w:t>)</w:t>
      </w:r>
      <w:r w:rsidR="009D3645" w:rsidRPr="0029324A">
        <w:t xml:space="preserve">. </w:t>
      </w:r>
      <w:r w:rsidR="00516CCD" w:rsidRPr="0029324A">
        <w:t xml:space="preserve">In addition, the biologics modelled as </w:t>
      </w:r>
      <w:proofErr w:type="gramStart"/>
      <w:r w:rsidR="00516CCD" w:rsidRPr="0029324A">
        <w:t>second</w:t>
      </w:r>
      <w:proofErr w:type="gramEnd"/>
      <w:r w:rsidR="00516CCD" w:rsidRPr="0029324A">
        <w:t xml:space="preserve"> and third line can also be used as first line. </w:t>
      </w:r>
      <w:r w:rsidR="009D3645" w:rsidRPr="0029324A">
        <w:t>The committee concluded tha</w:t>
      </w:r>
      <w:r w:rsidR="000F56F4" w:rsidRPr="0029324A">
        <w:t>t variation in clinical practice created an added level of uncertainty</w:t>
      </w:r>
      <w:r w:rsidR="004B7C25" w:rsidRPr="0029324A">
        <w:t xml:space="preserve"> around the model structure</w:t>
      </w:r>
      <w:r w:rsidR="00FA63E3" w:rsidRPr="0029324A">
        <w:t>.</w:t>
      </w:r>
      <w:bookmarkEnd w:id="21"/>
    </w:p>
    <w:p w14:paraId="3D002B98" w14:textId="406927D4" w:rsidR="00FA63E3" w:rsidRPr="0029324A" w:rsidRDefault="00B066BA" w:rsidP="006114B3">
      <w:pPr>
        <w:pStyle w:val="Heading3"/>
      </w:pPr>
      <w:proofErr w:type="gramStart"/>
      <w:r w:rsidRPr="0029324A">
        <w:t>It’s</w:t>
      </w:r>
      <w:proofErr w:type="gramEnd"/>
      <w:r w:rsidRPr="0029324A">
        <w:t xml:space="preserve"> not </w:t>
      </w:r>
      <w:r w:rsidR="00FA63E3" w:rsidRPr="0029324A">
        <w:t>certain</w:t>
      </w:r>
      <w:r w:rsidR="00D46235" w:rsidRPr="0029324A">
        <w:t xml:space="preserve"> </w:t>
      </w:r>
      <w:r w:rsidRPr="0029324A">
        <w:t xml:space="preserve">if </w:t>
      </w:r>
      <w:r w:rsidR="00FA63E3" w:rsidRPr="0029324A">
        <w:t>top</w:t>
      </w:r>
      <w:r w:rsidRPr="0029324A">
        <w:t>-</w:t>
      </w:r>
      <w:r w:rsidR="00FA63E3" w:rsidRPr="0029324A">
        <w:t>down treatment</w:t>
      </w:r>
      <w:r w:rsidRPr="0029324A">
        <w:t xml:space="preserve"> has </w:t>
      </w:r>
      <w:r w:rsidR="00D46235" w:rsidRPr="0029324A">
        <w:t xml:space="preserve">clinical benefits </w:t>
      </w:r>
      <w:r w:rsidR="00F93D23" w:rsidRPr="0029324A">
        <w:t>over step</w:t>
      </w:r>
      <w:r w:rsidRPr="0029324A">
        <w:t>-</w:t>
      </w:r>
      <w:r w:rsidR="00F93D23" w:rsidRPr="0029324A">
        <w:t xml:space="preserve">up </w:t>
      </w:r>
      <w:r w:rsidR="00D46235" w:rsidRPr="0029324A">
        <w:t>treatment</w:t>
      </w:r>
    </w:p>
    <w:p w14:paraId="645586C5" w14:textId="11DE432F" w:rsidR="00091DC3" w:rsidRPr="0029324A" w:rsidRDefault="009D3645" w:rsidP="00F0467D">
      <w:pPr>
        <w:pStyle w:val="Numberedlevel2text"/>
      </w:pPr>
      <w:bookmarkStart w:id="22" w:name="_Ref48155068"/>
      <w:r w:rsidRPr="0029324A">
        <w:t xml:space="preserve">The committee </w:t>
      </w:r>
      <w:r w:rsidR="00A85381" w:rsidRPr="0029324A">
        <w:t xml:space="preserve">heard </w:t>
      </w:r>
      <w:r w:rsidR="00FA63E3" w:rsidRPr="0029324A">
        <w:t xml:space="preserve">from clinical experts </w:t>
      </w:r>
      <w:r w:rsidR="00A85381" w:rsidRPr="0029324A">
        <w:t>that early</w:t>
      </w:r>
      <w:r w:rsidR="00F554F8" w:rsidRPr="0029324A">
        <w:t xml:space="preserve"> </w:t>
      </w:r>
      <w:r w:rsidR="00A85381" w:rsidRPr="0029324A">
        <w:t xml:space="preserve">rather than late treatment with biologics </w:t>
      </w:r>
      <w:r w:rsidR="00C5632B" w:rsidRPr="0029324A">
        <w:t>could improve</w:t>
      </w:r>
      <w:r w:rsidR="00A85381" w:rsidRPr="0029324A">
        <w:t xml:space="preserve"> outcomes</w:t>
      </w:r>
      <w:r w:rsidR="004B7C25" w:rsidRPr="0029324A">
        <w:t xml:space="preserve"> for</w:t>
      </w:r>
      <w:r w:rsidR="00D70119" w:rsidRPr="0029324A">
        <w:t xml:space="preserve"> people</w:t>
      </w:r>
      <w:r w:rsidR="004B7C25" w:rsidRPr="0029324A">
        <w:t xml:space="preserve"> likely to</w:t>
      </w:r>
      <w:r w:rsidR="00D70119" w:rsidRPr="0029324A">
        <w:t xml:space="preserve"> have </w:t>
      </w:r>
      <w:r w:rsidR="004B7C25" w:rsidRPr="0029324A">
        <w:t>more severe disease</w:t>
      </w:r>
      <w:r w:rsidR="00A85381" w:rsidRPr="0029324A">
        <w:t xml:space="preserve">. </w:t>
      </w:r>
      <w:r w:rsidR="004D2209" w:rsidRPr="0029324A">
        <w:t>The EAG noted that t</w:t>
      </w:r>
      <w:r w:rsidR="00A85381" w:rsidRPr="0029324A">
        <w:t>he</w:t>
      </w:r>
      <w:r w:rsidRPr="0029324A">
        <w:t xml:space="preserve"> evidence on the effectiveness of top</w:t>
      </w:r>
      <w:r w:rsidR="00D70119" w:rsidRPr="0029324A">
        <w:t>-</w:t>
      </w:r>
      <w:r w:rsidRPr="0029324A">
        <w:t xml:space="preserve">down </w:t>
      </w:r>
      <w:r w:rsidR="00D70119" w:rsidRPr="0029324A">
        <w:t xml:space="preserve">compared with </w:t>
      </w:r>
      <w:r w:rsidRPr="0029324A">
        <w:t>step</w:t>
      </w:r>
      <w:r w:rsidR="008D4315" w:rsidRPr="0029324A">
        <w:t>-</w:t>
      </w:r>
      <w:r w:rsidRPr="0029324A">
        <w:t>up treatment</w:t>
      </w:r>
      <w:r w:rsidR="00A85381" w:rsidRPr="0029324A">
        <w:t xml:space="preserve"> in the</w:t>
      </w:r>
      <w:r w:rsidR="009A6E1A" w:rsidRPr="0029324A">
        <w:t xml:space="preserve"> model</w:t>
      </w:r>
      <w:r w:rsidR="00A85381" w:rsidRPr="0029324A">
        <w:t xml:space="preserve"> was </w:t>
      </w:r>
      <w:r w:rsidR="002552CD" w:rsidRPr="0029324A">
        <w:t>from</w:t>
      </w:r>
      <w:r w:rsidR="00A85381" w:rsidRPr="0029324A">
        <w:t xml:space="preserve"> the D’Haens </w:t>
      </w:r>
      <w:r w:rsidR="004D2209" w:rsidRPr="0029324A">
        <w:t>study</w:t>
      </w:r>
      <w:r w:rsidR="00D70119" w:rsidRPr="0029324A">
        <w:t>. This</w:t>
      </w:r>
      <w:r w:rsidR="00D46235" w:rsidRPr="0029324A">
        <w:t xml:space="preserve"> show</w:t>
      </w:r>
      <w:r w:rsidR="00E06C05" w:rsidRPr="0029324A">
        <w:t xml:space="preserve">ed that people who </w:t>
      </w:r>
      <w:r w:rsidR="00D70119" w:rsidRPr="0029324A">
        <w:t xml:space="preserve">had </w:t>
      </w:r>
      <w:r w:rsidR="00E06C05" w:rsidRPr="0029324A">
        <w:t>top</w:t>
      </w:r>
      <w:r w:rsidR="00D70119" w:rsidRPr="0029324A">
        <w:t>-</w:t>
      </w:r>
      <w:r w:rsidR="00E06C05" w:rsidRPr="0029324A">
        <w:t xml:space="preserve">down treatment </w:t>
      </w:r>
      <w:r w:rsidR="00003AD8" w:rsidRPr="0029324A">
        <w:t>had</w:t>
      </w:r>
      <w:r w:rsidR="00E06C05" w:rsidRPr="0029324A">
        <w:t xml:space="preserve"> a longer time to relapse </w:t>
      </w:r>
      <w:r w:rsidR="00D70119" w:rsidRPr="0029324A">
        <w:t>than</w:t>
      </w:r>
      <w:r w:rsidR="00E06C05" w:rsidRPr="0029324A">
        <w:t xml:space="preserve"> people who had step</w:t>
      </w:r>
      <w:r w:rsidR="00D70119" w:rsidRPr="0029324A">
        <w:t>-</w:t>
      </w:r>
      <w:r w:rsidR="00E06C05" w:rsidRPr="0029324A">
        <w:t xml:space="preserve">up </w:t>
      </w:r>
      <w:r w:rsidR="00D70119" w:rsidRPr="0029324A">
        <w:t>treatment</w:t>
      </w:r>
      <w:r w:rsidR="00E06C05" w:rsidRPr="0029324A">
        <w:t>.</w:t>
      </w:r>
      <w:r w:rsidR="006F3F1E" w:rsidRPr="0029324A">
        <w:t xml:space="preserve"> </w:t>
      </w:r>
      <w:r w:rsidR="00D46235" w:rsidRPr="0029324A">
        <w:t>T</w:t>
      </w:r>
      <w:r w:rsidR="00617827" w:rsidRPr="0029324A">
        <w:t>he</w:t>
      </w:r>
      <w:r w:rsidR="00D46235" w:rsidRPr="0029324A">
        <w:t xml:space="preserve"> </w:t>
      </w:r>
      <w:r w:rsidR="006F3F1E" w:rsidRPr="0029324A">
        <w:t>hazard function</w:t>
      </w:r>
      <w:r w:rsidR="00617827" w:rsidRPr="0029324A">
        <w:t xml:space="preserve"> (based on the assumption that time to relapse is a proxy for time to next treatment escalation)</w:t>
      </w:r>
      <w:r w:rsidR="006F3F1E" w:rsidRPr="0029324A">
        <w:t xml:space="preserve"> derived from D’Haens</w:t>
      </w:r>
      <w:r w:rsidR="009A6E1A" w:rsidRPr="0029324A">
        <w:t xml:space="preserve"> was applied only </w:t>
      </w:r>
      <w:r w:rsidR="00644E09" w:rsidRPr="0029324A">
        <w:t>to the first step of the model (</w:t>
      </w:r>
      <w:r w:rsidR="009A6E1A" w:rsidRPr="0029324A">
        <w:t xml:space="preserve">the anti-TNF </w:t>
      </w:r>
      <w:r w:rsidR="002552CD" w:rsidRPr="0029324A">
        <w:t xml:space="preserve">compared with </w:t>
      </w:r>
      <w:r w:rsidR="009A6E1A" w:rsidRPr="0029324A">
        <w:t>immunomodulator step</w:t>
      </w:r>
      <w:r w:rsidR="00644E09" w:rsidRPr="0029324A">
        <w:t>)</w:t>
      </w:r>
      <w:r w:rsidR="003566B0" w:rsidRPr="0029324A">
        <w:t>.</w:t>
      </w:r>
      <w:r w:rsidR="006F3F1E" w:rsidRPr="0029324A">
        <w:t xml:space="preserve"> </w:t>
      </w:r>
      <w:r w:rsidR="002552CD" w:rsidRPr="0029324A">
        <w:t>Later</w:t>
      </w:r>
      <w:r w:rsidR="00617827" w:rsidRPr="0029324A">
        <w:t xml:space="preserve"> treatment steps in both the top-down and step-up strategies were assumed to have the same time to treatment escalation as anti-TNF in the top-down arm.</w:t>
      </w:r>
      <w:r w:rsidR="00A25025" w:rsidRPr="0029324A">
        <w:t xml:space="preserve"> This assumption </w:t>
      </w:r>
      <w:r w:rsidR="002552CD" w:rsidRPr="0029324A">
        <w:t xml:space="preserve">was made because there was no evidence </w:t>
      </w:r>
      <w:r w:rsidR="00B628BE" w:rsidRPr="0029324A">
        <w:t>either way</w:t>
      </w:r>
      <w:r w:rsidR="00A25025" w:rsidRPr="0029324A">
        <w:t xml:space="preserve">. </w:t>
      </w:r>
      <w:r w:rsidR="003566B0" w:rsidRPr="0029324A">
        <w:t>T</w:t>
      </w:r>
      <w:r w:rsidR="004D2209" w:rsidRPr="0029324A">
        <w:t xml:space="preserve">he </w:t>
      </w:r>
      <w:r w:rsidR="00AB39D4" w:rsidRPr="0029324A">
        <w:t>top</w:t>
      </w:r>
      <w:r w:rsidR="005A20E3" w:rsidRPr="0029324A">
        <w:t>-</w:t>
      </w:r>
      <w:r w:rsidR="00AB39D4" w:rsidRPr="0029324A">
        <w:t xml:space="preserve">down </w:t>
      </w:r>
      <w:r w:rsidR="004D2209" w:rsidRPr="0029324A">
        <w:t>treatment sequence modelled in D’Haens differ</w:t>
      </w:r>
      <w:r w:rsidR="00003AD8" w:rsidRPr="0029324A">
        <w:t>ed</w:t>
      </w:r>
      <w:r w:rsidR="004D2209" w:rsidRPr="0029324A">
        <w:t xml:space="preserve"> from </w:t>
      </w:r>
      <w:r w:rsidR="00B628BE" w:rsidRPr="0029324A">
        <w:t xml:space="preserve">the one </w:t>
      </w:r>
      <w:r w:rsidR="00003AD8" w:rsidRPr="0029324A">
        <w:t>described by</w:t>
      </w:r>
      <w:r w:rsidR="00AB39D4" w:rsidRPr="0029324A">
        <w:t xml:space="preserve"> </w:t>
      </w:r>
      <w:r w:rsidR="00B628BE" w:rsidRPr="0029324A">
        <w:t xml:space="preserve">the </w:t>
      </w:r>
      <w:r w:rsidR="00AB39D4" w:rsidRPr="0029324A">
        <w:t>clinical experts</w:t>
      </w:r>
      <w:r w:rsidR="002F6386" w:rsidRPr="0029324A">
        <w:t xml:space="preserve"> </w:t>
      </w:r>
      <w:r w:rsidR="00B628BE" w:rsidRPr="0029324A">
        <w:t>because people</w:t>
      </w:r>
      <w:r w:rsidR="00C46080" w:rsidRPr="0029324A">
        <w:t xml:space="preserve"> did not</w:t>
      </w:r>
      <w:r w:rsidR="00B628BE" w:rsidRPr="0029324A">
        <w:t xml:space="preserve"> carry on having</w:t>
      </w:r>
      <w:r w:rsidR="00C46080" w:rsidRPr="0029324A">
        <w:t xml:space="preserve"> maintenance </w:t>
      </w:r>
      <w:r w:rsidR="009C1E0E" w:rsidRPr="0029324A">
        <w:t>treatment</w:t>
      </w:r>
      <w:r w:rsidR="00C46080" w:rsidRPr="0029324A">
        <w:t xml:space="preserve"> with infliximab</w:t>
      </w:r>
      <w:r w:rsidR="00AB39D4" w:rsidRPr="0029324A">
        <w:t xml:space="preserve"> but were allowed infliximab as needed</w:t>
      </w:r>
      <w:r w:rsidR="00F111B3" w:rsidRPr="0029324A">
        <w:t xml:space="preserve"> (see section </w:t>
      </w:r>
      <w:r w:rsidR="00F111B3" w:rsidRPr="0029324A">
        <w:fldChar w:fldCharType="begin"/>
      </w:r>
      <w:r w:rsidR="00F111B3" w:rsidRPr="0029324A">
        <w:instrText xml:space="preserve"> REF _Ref48194379 \r \h </w:instrText>
      </w:r>
      <w:r w:rsidR="00F111B3" w:rsidRPr="0029324A">
        <w:fldChar w:fldCharType="separate"/>
      </w:r>
      <w:r w:rsidR="00631A28" w:rsidRPr="0029324A">
        <w:t>3.19</w:t>
      </w:r>
      <w:r w:rsidR="00F111B3" w:rsidRPr="0029324A">
        <w:fldChar w:fldCharType="end"/>
      </w:r>
      <w:r w:rsidR="00DF1840" w:rsidRPr="0029324A">
        <w:t>)</w:t>
      </w:r>
      <w:r w:rsidRPr="0029324A">
        <w:t>.</w:t>
      </w:r>
      <w:r w:rsidR="00AB39D4" w:rsidRPr="0029324A">
        <w:t xml:space="preserve"> This might have underestimated the benefits of top</w:t>
      </w:r>
      <w:r w:rsidR="00B628BE" w:rsidRPr="0029324A">
        <w:t>-</w:t>
      </w:r>
      <w:r w:rsidR="00AB39D4" w:rsidRPr="0029324A">
        <w:t xml:space="preserve">down </w:t>
      </w:r>
      <w:r w:rsidR="009C1E0E" w:rsidRPr="0029324A">
        <w:t>treatment</w:t>
      </w:r>
      <w:r w:rsidR="00003AD8" w:rsidRPr="0029324A">
        <w:t>.</w:t>
      </w:r>
      <w:r w:rsidR="000F56F4" w:rsidRPr="0029324A">
        <w:t xml:space="preserve"> </w:t>
      </w:r>
      <w:r w:rsidR="003566B0" w:rsidRPr="0029324A">
        <w:t>T</w:t>
      </w:r>
      <w:r w:rsidR="000F56F4" w:rsidRPr="0029324A">
        <w:t xml:space="preserve">he </w:t>
      </w:r>
      <w:r w:rsidR="00932E3F" w:rsidRPr="0029324A">
        <w:t xml:space="preserve">EAG </w:t>
      </w:r>
      <w:r w:rsidR="00B628BE" w:rsidRPr="0029324A">
        <w:t xml:space="preserve">said </w:t>
      </w:r>
      <w:r w:rsidR="00932E3F" w:rsidRPr="0029324A">
        <w:t xml:space="preserve">that </w:t>
      </w:r>
      <w:r w:rsidR="003566B0" w:rsidRPr="0029324A">
        <w:t xml:space="preserve">in the </w:t>
      </w:r>
      <w:proofErr w:type="gramStart"/>
      <w:r w:rsidR="003566B0" w:rsidRPr="0029324A">
        <w:t>long term</w:t>
      </w:r>
      <w:proofErr w:type="gramEnd"/>
      <w:r w:rsidR="003566B0" w:rsidRPr="0029324A">
        <w:t xml:space="preserve"> top down may not have an advantage over step up because </w:t>
      </w:r>
      <w:r w:rsidR="00932E3F" w:rsidRPr="0029324A">
        <w:t xml:space="preserve">the </w:t>
      </w:r>
      <w:r w:rsidR="00FA63E3" w:rsidRPr="0029324A">
        <w:t>10</w:t>
      </w:r>
      <w:r w:rsidR="00B628BE" w:rsidRPr="0029324A">
        <w:t>-</w:t>
      </w:r>
      <w:r w:rsidR="00FA63E3" w:rsidRPr="0029324A">
        <w:t>year</w:t>
      </w:r>
      <w:r w:rsidR="00932E3F" w:rsidRPr="0029324A">
        <w:t xml:space="preserve"> follow</w:t>
      </w:r>
      <w:r w:rsidR="008D4315" w:rsidRPr="0029324A">
        <w:t>-</w:t>
      </w:r>
      <w:r w:rsidR="00932E3F" w:rsidRPr="0029324A">
        <w:t>up study</w:t>
      </w:r>
      <w:r w:rsidR="003566B0" w:rsidRPr="0029324A">
        <w:t xml:space="preserve"> </w:t>
      </w:r>
      <w:r w:rsidR="003566B0" w:rsidRPr="0029324A">
        <w:lastRenderedPageBreak/>
        <w:t>of D’Haens (</w:t>
      </w:r>
      <w:r w:rsidR="00932E3F" w:rsidRPr="0029324A">
        <w:t>Hoekman</w:t>
      </w:r>
      <w:r w:rsidR="00003AD8" w:rsidRPr="0029324A">
        <w:t xml:space="preserve"> 2018</w:t>
      </w:r>
      <w:r w:rsidR="003566B0" w:rsidRPr="0029324A">
        <w:t>)</w:t>
      </w:r>
      <w:r w:rsidR="00F554F8" w:rsidRPr="0029324A">
        <w:t xml:space="preserve"> showed no difference in </w:t>
      </w:r>
      <w:r w:rsidR="005D00A8" w:rsidRPr="0029324A">
        <w:t>hospitalisation, surgery and endoscopic remission</w:t>
      </w:r>
      <w:r w:rsidR="00F554F8" w:rsidRPr="0029324A">
        <w:t xml:space="preserve"> between </w:t>
      </w:r>
      <w:r w:rsidR="00003AD8" w:rsidRPr="0029324A">
        <w:t>both</w:t>
      </w:r>
      <w:r w:rsidR="00F554F8" w:rsidRPr="0029324A">
        <w:t xml:space="preserve"> strategies</w:t>
      </w:r>
      <w:r w:rsidR="00636BD3" w:rsidRPr="0029324A">
        <w:t>.</w:t>
      </w:r>
      <w:r w:rsidR="00AD0707" w:rsidRPr="0029324A">
        <w:t xml:space="preserve"> </w:t>
      </w:r>
      <w:r w:rsidR="00B628BE" w:rsidRPr="0029324A">
        <w:t>The c</w:t>
      </w:r>
      <w:r w:rsidR="00AB39D4" w:rsidRPr="0029324A">
        <w:t>linical experts considered that early treatment with biologics does make a difference, but good</w:t>
      </w:r>
      <w:r w:rsidR="00B628BE" w:rsidRPr="0029324A">
        <w:t>-</w:t>
      </w:r>
      <w:r w:rsidR="00AB39D4" w:rsidRPr="0029324A">
        <w:t>quality evidence generalisable to the NHS to support this is limited.</w:t>
      </w:r>
      <w:r w:rsidR="001F4F11" w:rsidRPr="0029324A">
        <w:t xml:space="preserve"> Registry data could have been useful.</w:t>
      </w:r>
      <w:r w:rsidR="00AB39D4" w:rsidRPr="0029324A">
        <w:t xml:space="preserve"> </w:t>
      </w:r>
      <w:r w:rsidR="00AD0707" w:rsidRPr="0029324A">
        <w:t xml:space="preserve">The committee </w:t>
      </w:r>
      <w:r w:rsidR="00AB39D4" w:rsidRPr="0029324A">
        <w:t xml:space="preserve">concluded that more evidence is needed on the effectiveness of top-down </w:t>
      </w:r>
      <w:r w:rsidR="00B628BE" w:rsidRPr="0029324A">
        <w:t>compare</w:t>
      </w:r>
      <w:r w:rsidR="009C1E0E" w:rsidRPr="0029324A">
        <w:t>d</w:t>
      </w:r>
      <w:r w:rsidR="00B628BE" w:rsidRPr="0029324A">
        <w:t xml:space="preserve"> with </w:t>
      </w:r>
      <w:r w:rsidR="00AB39D4" w:rsidRPr="0029324A">
        <w:t>step</w:t>
      </w:r>
      <w:r w:rsidR="00B628BE" w:rsidRPr="0029324A">
        <w:t>-</w:t>
      </w:r>
      <w:r w:rsidR="00AB39D4" w:rsidRPr="0029324A">
        <w:t>up</w:t>
      </w:r>
      <w:r w:rsidR="009700DF" w:rsidRPr="0029324A">
        <w:t xml:space="preserve"> strategies</w:t>
      </w:r>
      <w:r w:rsidR="00F4284B" w:rsidRPr="0029324A">
        <w:t>. This is</w:t>
      </w:r>
      <w:r w:rsidR="009700DF" w:rsidRPr="0029324A">
        <w:t xml:space="preserve"> b</w:t>
      </w:r>
      <w:r w:rsidR="00AB39D4" w:rsidRPr="0029324A">
        <w:t>ecause if there is</w:t>
      </w:r>
      <w:r w:rsidR="009700DF" w:rsidRPr="0029324A">
        <w:t xml:space="preserve"> no</w:t>
      </w:r>
      <w:r w:rsidR="00AB39D4" w:rsidRPr="0029324A">
        <w:t xml:space="preserve"> </w:t>
      </w:r>
      <w:r w:rsidR="00B628BE" w:rsidRPr="0029324A">
        <w:t xml:space="preserve">evidence of </w:t>
      </w:r>
      <w:r w:rsidR="00AB39D4" w:rsidRPr="0029324A">
        <w:t>benefit</w:t>
      </w:r>
      <w:r w:rsidR="00B628BE" w:rsidRPr="0029324A">
        <w:t>,</w:t>
      </w:r>
      <w:r w:rsidR="00AB39D4" w:rsidRPr="0029324A">
        <w:t xml:space="preserve"> there is no </w:t>
      </w:r>
      <w:r w:rsidR="00B47EB1" w:rsidRPr="0029324A">
        <w:t>clinical rationale for</w:t>
      </w:r>
      <w:r w:rsidR="00F4284B" w:rsidRPr="0029324A">
        <w:t xml:space="preserve"> identifying people at high risk of severe disease</w:t>
      </w:r>
      <w:r w:rsidR="00AB39D4" w:rsidRPr="0029324A">
        <w:t xml:space="preserve"> and </w:t>
      </w:r>
      <w:r w:rsidR="00363E28" w:rsidRPr="0029324A">
        <w:t xml:space="preserve">treating </w:t>
      </w:r>
      <w:r w:rsidR="00AB39D4" w:rsidRPr="0029324A">
        <w:t xml:space="preserve">them </w:t>
      </w:r>
      <w:r w:rsidR="00363E28" w:rsidRPr="0029324A">
        <w:t xml:space="preserve">using </w:t>
      </w:r>
      <w:r w:rsidR="00DC1FE7" w:rsidRPr="0029324A">
        <w:t xml:space="preserve">a </w:t>
      </w:r>
      <w:r w:rsidR="00AB39D4" w:rsidRPr="0029324A">
        <w:t>top</w:t>
      </w:r>
      <w:r w:rsidR="00B628BE" w:rsidRPr="0029324A">
        <w:t>-</w:t>
      </w:r>
      <w:r w:rsidR="00AB39D4" w:rsidRPr="0029324A">
        <w:t>down</w:t>
      </w:r>
      <w:r w:rsidR="00DC1FE7" w:rsidRPr="0029324A">
        <w:t xml:space="preserve"> strategy</w:t>
      </w:r>
      <w:r w:rsidR="009700DF" w:rsidRPr="0029324A">
        <w:t>.</w:t>
      </w:r>
      <w:bookmarkEnd w:id="22"/>
    </w:p>
    <w:p w14:paraId="0FD1B795" w14:textId="615A5F9D" w:rsidR="00FA63E3" w:rsidRPr="0029324A" w:rsidRDefault="00B066BA" w:rsidP="006114B3">
      <w:pPr>
        <w:pStyle w:val="Heading3"/>
      </w:pPr>
      <w:r w:rsidRPr="0029324A">
        <w:t>Because of the lack of data and the need for many assumptions, the model results are not certain</w:t>
      </w:r>
    </w:p>
    <w:p w14:paraId="483ABE85" w14:textId="2935CB0D" w:rsidR="00E61127" w:rsidRPr="0029324A" w:rsidRDefault="00721C4F" w:rsidP="00F0467D">
      <w:pPr>
        <w:pStyle w:val="Numberedlevel2text"/>
      </w:pPr>
      <w:bookmarkStart w:id="23" w:name="_Ref48563178"/>
      <w:r w:rsidRPr="0029324A">
        <w:t xml:space="preserve">The committee </w:t>
      </w:r>
      <w:r w:rsidR="00D11BEF" w:rsidRPr="0029324A">
        <w:t xml:space="preserve">noted </w:t>
      </w:r>
      <w:r w:rsidRPr="0029324A">
        <w:t xml:space="preserve">that </w:t>
      </w:r>
      <w:r w:rsidR="00934862" w:rsidRPr="0029324A">
        <w:t xml:space="preserve">interpreting </w:t>
      </w:r>
      <w:r w:rsidRPr="0029324A">
        <w:t>the model</w:t>
      </w:r>
      <w:r w:rsidR="00D11BEF" w:rsidRPr="0029324A">
        <w:t>ling</w:t>
      </w:r>
      <w:r w:rsidRPr="0029324A">
        <w:t xml:space="preserve"> was d</w:t>
      </w:r>
      <w:r w:rsidR="00D11BEF" w:rsidRPr="0029324A">
        <w:t xml:space="preserve">ifficult because of </w:t>
      </w:r>
      <w:r w:rsidR="003A5E43" w:rsidRPr="0029324A">
        <w:t xml:space="preserve">the </w:t>
      </w:r>
      <w:r w:rsidRPr="0029324A">
        <w:t>very weak data</w:t>
      </w:r>
      <w:r w:rsidR="00D11BEF" w:rsidRPr="0029324A">
        <w:t xml:space="preserve"> feeding into it. </w:t>
      </w:r>
      <w:r w:rsidR="00E33466" w:rsidRPr="0029324A">
        <w:t>There were limited</w:t>
      </w:r>
      <w:r w:rsidRPr="0029324A">
        <w:t xml:space="preserve"> data on the prognostic accuracy of the tests</w:t>
      </w:r>
      <w:r w:rsidR="00E33466" w:rsidRPr="0029324A">
        <w:t xml:space="preserve"> (see section </w:t>
      </w:r>
      <w:r w:rsidR="00003AD8" w:rsidRPr="0029324A">
        <w:fldChar w:fldCharType="begin"/>
      </w:r>
      <w:r w:rsidR="00003AD8" w:rsidRPr="0029324A">
        <w:instrText xml:space="preserve"> REF _Ref48154980 \r \h </w:instrText>
      </w:r>
      <w:r w:rsidR="00003AD8" w:rsidRPr="0029324A">
        <w:fldChar w:fldCharType="separate"/>
      </w:r>
      <w:r w:rsidR="00631A28" w:rsidRPr="0029324A">
        <w:t>4.4</w:t>
      </w:r>
      <w:r w:rsidR="00003AD8" w:rsidRPr="0029324A">
        <w:fldChar w:fldCharType="end"/>
      </w:r>
      <w:r w:rsidR="00E33466" w:rsidRPr="0029324A">
        <w:t xml:space="preserve">), on the effectiveness of a top-down strategy compared with a step-up strategy (see section </w:t>
      </w:r>
      <w:r w:rsidR="00956A5F" w:rsidRPr="0029324A">
        <w:fldChar w:fldCharType="begin"/>
      </w:r>
      <w:r w:rsidR="00956A5F" w:rsidRPr="0029324A">
        <w:instrText xml:space="preserve"> REF _Ref48155068 \r \h </w:instrText>
      </w:r>
      <w:r w:rsidR="00956A5F" w:rsidRPr="0029324A">
        <w:fldChar w:fldCharType="separate"/>
      </w:r>
      <w:r w:rsidR="00631A28" w:rsidRPr="0029324A">
        <w:t>4.8</w:t>
      </w:r>
      <w:r w:rsidR="00956A5F" w:rsidRPr="0029324A">
        <w:fldChar w:fldCharType="end"/>
      </w:r>
      <w:r w:rsidR="00E33466" w:rsidRPr="0029324A">
        <w:t>)</w:t>
      </w:r>
      <w:r w:rsidR="003A5E43" w:rsidRPr="0029324A">
        <w:t>,</w:t>
      </w:r>
      <w:r w:rsidR="00E33466" w:rsidRPr="0029324A">
        <w:t xml:space="preserve"> and no information from studies on how these 2 steps would combine to </w:t>
      </w:r>
      <w:r w:rsidR="003A5E43" w:rsidRPr="0029324A">
        <w:t>affect</w:t>
      </w:r>
      <w:r w:rsidR="00E33466" w:rsidRPr="0029324A">
        <w:t xml:space="preserve"> clinical outcomes</w:t>
      </w:r>
      <w:r w:rsidR="00E103DD" w:rsidRPr="0029324A">
        <w:t xml:space="preserve">. </w:t>
      </w:r>
      <w:r w:rsidR="00794EFB" w:rsidRPr="0029324A">
        <w:t>The committee heard</w:t>
      </w:r>
      <w:r w:rsidR="00E103DD" w:rsidRPr="0029324A">
        <w:t xml:space="preserve"> that the EAG had to make many assumptions to be able to link the evidence </w:t>
      </w:r>
      <w:r w:rsidR="003A5E43" w:rsidRPr="0029324A">
        <w:t xml:space="preserve">in </w:t>
      </w:r>
      <w:r w:rsidR="00E103DD" w:rsidRPr="0029324A">
        <w:t>the model.</w:t>
      </w:r>
      <w:r w:rsidR="000B6C8B" w:rsidRPr="0029324A">
        <w:t xml:space="preserve"> </w:t>
      </w:r>
      <w:r w:rsidR="00365E73" w:rsidRPr="0029324A">
        <w:t xml:space="preserve">There was </w:t>
      </w:r>
      <w:r w:rsidR="008C74B1" w:rsidRPr="0029324A">
        <w:t xml:space="preserve">great </w:t>
      </w:r>
      <w:r w:rsidR="00365E73" w:rsidRPr="0029324A">
        <w:t>variation in</w:t>
      </w:r>
      <w:r w:rsidR="0034029F" w:rsidRPr="0029324A">
        <w:t xml:space="preserve"> the</w:t>
      </w:r>
      <w:r w:rsidR="00365E73" w:rsidRPr="0029324A">
        <w:t xml:space="preserve"> results of the model. B</w:t>
      </w:r>
      <w:r w:rsidR="000B6C8B" w:rsidRPr="0029324A">
        <w:t xml:space="preserve">ase case results </w:t>
      </w:r>
      <w:r w:rsidR="002D5BA0" w:rsidRPr="0029324A">
        <w:t>(</w:t>
      </w:r>
      <w:r w:rsidR="00956A5F" w:rsidRPr="0029324A">
        <w:t xml:space="preserve">see </w:t>
      </w:r>
      <w:r w:rsidR="002D5BA0" w:rsidRPr="0029324A">
        <w:t>section</w:t>
      </w:r>
      <w:r w:rsidR="008A297E" w:rsidRPr="0029324A">
        <w:t xml:space="preserve"> </w:t>
      </w:r>
      <w:r w:rsidR="008A297E" w:rsidRPr="0029324A">
        <w:fldChar w:fldCharType="begin"/>
      </w:r>
      <w:r w:rsidR="008A297E" w:rsidRPr="0029324A">
        <w:instrText xml:space="preserve"> REF _Ref48142040 \r \h </w:instrText>
      </w:r>
      <w:r w:rsidR="008A297E" w:rsidRPr="0029324A">
        <w:fldChar w:fldCharType="separate"/>
      </w:r>
      <w:r w:rsidR="00631A28" w:rsidRPr="0029324A">
        <w:t>3.29</w:t>
      </w:r>
      <w:r w:rsidR="008A297E" w:rsidRPr="0029324A">
        <w:fldChar w:fldCharType="end"/>
      </w:r>
      <w:r w:rsidR="002D5BA0" w:rsidRPr="0029324A">
        <w:t xml:space="preserve">) showed that standard care dominated the </w:t>
      </w:r>
      <w:r w:rsidR="00681682" w:rsidRPr="0029324A">
        <w:t>top</w:t>
      </w:r>
      <w:r w:rsidR="003A5E43" w:rsidRPr="0029324A">
        <w:t>-</w:t>
      </w:r>
      <w:r w:rsidR="00681682" w:rsidRPr="0029324A">
        <w:t xml:space="preserve">down </w:t>
      </w:r>
      <w:r w:rsidR="002D5BA0" w:rsidRPr="0029324A">
        <w:t xml:space="preserve">strategy. This dominance was sustained in </w:t>
      </w:r>
      <w:proofErr w:type="gramStart"/>
      <w:r w:rsidR="00B011A4" w:rsidRPr="0029324A">
        <w:t xml:space="preserve">the </w:t>
      </w:r>
      <w:r w:rsidR="002D5BA0" w:rsidRPr="0029324A">
        <w:t>majority of</w:t>
      </w:r>
      <w:proofErr w:type="gramEnd"/>
      <w:r w:rsidR="002D5BA0" w:rsidRPr="0029324A">
        <w:t xml:space="preserve"> the scenario analyses</w:t>
      </w:r>
      <w:r w:rsidR="003A5E43" w:rsidRPr="0029324A">
        <w:t>,</w:t>
      </w:r>
      <w:r w:rsidR="008A297E" w:rsidRPr="0029324A">
        <w:t xml:space="preserve"> and t</w:t>
      </w:r>
      <w:r w:rsidR="002D5BA0" w:rsidRPr="0029324A">
        <w:t xml:space="preserve">he probabilistic sensitivity analysis </w:t>
      </w:r>
      <w:r w:rsidR="008A297E" w:rsidRPr="0029324A">
        <w:t xml:space="preserve">scatter </w:t>
      </w:r>
      <w:r w:rsidR="002D5BA0" w:rsidRPr="0029324A">
        <w:t>plot showed</w:t>
      </w:r>
      <w:r w:rsidR="008A297E" w:rsidRPr="0029324A">
        <w:t xml:space="preserve"> the top</w:t>
      </w:r>
      <w:r w:rsidR="003A5E43" w:rsidRPr="0029324A">
        <w:t>-</w:t>
      </w:r>
      <w:r w:rsidR="008A297E" w:rsidRPr="0029324A">
        <w:t xml:space="preserve">down strategy was </w:t>
      </w:r>
      <w:r w:rsidR="00F14D2E" w:rsidRPr="0029324A">
        <w:t xml:space="preserve">mostly </w:t>
      </w:r>
      <w:r w:rsidR="008A297E" w:rsidRPr="0029324A">
        <w:t>more costly and less effective</w:t>
      </w:r>
      <w:r w:rsidR="00B011A4" w:rsidRPr="0029324A">
        <w:t xml:space="preserve"> than standard care</w:t>
      </w:r>
      <w:r w:rsidR="008A297E" w:rsidRPr="0029324A">
        <w:t>.</w:t>
      </w:r>
      <w:r w:rsidR="003A5E43" w:rsidRPr="0029324A">
        <w:t xml:space="preserve"> S</w:t>
      </w:r>
      <w:r w:rsidR="008A297E" w:rsidRPr="0029324A">
        <w:t>ome</w:t>
      </w:r>
      <w:r w:rsidR="001936FB" w:rsidRPr="0029324A">
        <w:t xml:space="preserve"> of the</w:t>
      </w:r>
      <w:r w:rsidR="008A297E" w:rsidRPr="0029324A">
        <w:t xml:space="preserve"> scenario analys</w:t>
      </w:r>
      <w:r w:rsidR="00956A5F" w:rsidRPr="0029324A">
        <w:t>e</w:t>
      </w:r>
      <w:r w:rsidR="008A297E" w:rsidRPr="0029324A">
        <w:t xml:space="preserve">s produced </w:t>
      </w:r>
      <w:r w:rsidR="00F64C49" w:rsidRPr="0029324A">
        <w:t>incremental cost-effectiveness ratios (</w:t>
      </w:r>
      <w:r w:rsidR="002D5BA0" w:rsidRPr="0029324A">
        <w:t>ICERs</w:t>
      </w:r>
      <w:r w:rsidR="00F64C49" w:rsidRPr="0029324A">
        <w:t>)</w:t>
      </w:r>
      <w:r w:rsidR="002D5BA0" w:rsidRPr="0029324A">
        <w:t xml:space="preserve"> in favour</w:t>
      </w:r>
      <w:r w:rsidR="008A297E" w:rsidRPr="0029324A">
        <w:t xml:space="preserve"> </w:t>
      </w:r>
      <w:r w:rsidR="00B011A4" w:rsidRPr="0029324A">
        <w:t xml:space="preserve">of the </w:t>
      </w:r>
      <w:r w:rsidR="008A297E" w:rsidRPr="0029324A">
        <w:t>top</w:t>
      </w:r>
      <w:r w:rsidR="003A5E43" w:rsidRPr="0029324A">
        <w:t>-</w:t>
      </w:r>
      <w:r w:rsidR="008A297E" w:rsidRPr="0029324A">
        <w:t>down strategy</w:t>
      </w:r>
      <w:r w:rsidR="003A5E43" w:rsidRPr="0029324A">
        <w:t>,</w:t>
      </w:r>
      <w:r w:rsidR="00B011A4" w:rsidRPr="0029324A">
        <w:t xml:space="preserve"> although these were far higher than the range that NICE usually considers to be cost effective</w:t>
      </w:r>
      <w:r w:rsidR="00365E73" w:rsidRPr="0029324A">
        <w:t xml:space="preserve"> (see sections </w:t>
      </w:r>
      <w:r w:rsidR="00D67681" w:rsidRPr="0029324A">
        <w:fldChar w:fldCharType="begin"/>
      </w:r>
      <w:r w:rsidR="00D67681" w:rsidRPr="0029324A">
        <w:instrText xml:space="preserve"> REF _Ref47953933 \r \h </w:instrText>
      </w:r>
      <w:r w:rsidR="00D67681" w:rsidRPr="0029324A">
        <w:fldChar w:fldCharType="separate"/>
      </w:r>
      <w:r w:rsidR="00D67681" w:rsidRPr="0029324A">
        <w:t>3.30</w:t>
      </w:r>
      <w:r w:rsidR="00D67681" w:rsidRPr="0029324A">
        <w:fldChar w:fldCharType="end"/>
      </w:r>
      <w:r w:rsidR="00D67681" w:rsidRPr="0029324A">
        <w:t xml:space="preserve"> to </w:t>
      </w:r>
      <w:r w:rsidR="00D67681" w:rsidRPr="0029324A">
        <w:fldChar w:fldCharType="begin"/>
      </w:r>
      <w:r w:rsidR="00D67681" w:rsidRPr="0029324A">
        <w:instrText xml:space="preserve"> REF _Ref48142243 \r \h </w:instrText>
      </w:r>
      <w:r w:rsidR="00D67681" w:rsidRPr="0029324A">
        <w:fldChar w:fldCharType="separate"/>
      </w:r>
      <w:r w:rsidR="00D67681" w:rsidRPr="0029324A">
        <w:t>3.34</w:t>
      </w:r>
      <w:r w:rsidR="00D67681" w:rsidRPr="0029324A">
        <w:fldChar w:fldCharType="end"/>
      </w:r>
      <w:r w:rsidR="00365E73" w:rsidRPr="0029324A">
        <w:t>)</w:t>
      </w:r>
      <w:r w:rsidR="008A297E" w:rsidRPr="0029324A">
        <w:t xml:space="preserve">. One scenario </w:t>
      </w:r>
      <w:r w:rsidR="00365E73" w:rsidRPr="0029324A">
        <w:t>(</w:t>
      </w:r>
      <w:r w:rsidR="00956A5F" w:rsidRPr="0029324A">
        <w:t xml:space="preserve">see section </w:t>
      </w:r>
      <w:r w:rsidR="00365E73" w:rsidRPr="0029324A">
        <w:fldChar w:fldCharType="begin"/>
      </w:r>
      <w:r w:rsidR="00365E73" w:rsidRPr="0029324A">
        <w:instrText xml:space="preserve"> REF _Ref48142417 \r \h </w:instrText>
      </w:r>
      <w:r w:rsidR="00365E73" w:rsidRPr="0029324A">
        <w:fldChar w:fldCharType="separate"/>
      </w:r>
      <w:r w:rsidR="00D67681" w:rsidRPr="0029324A">
        <w:fldChar w:fldCharType="begin"/>
      </w:r>
      <w:r w:rsidR="00D67681" w:rsidRPr="0029324A">
        <w:instrText xml:space="preserve"> REF _Ref49172541 \r \h </w:instrText>
      </w:r>
      <w:r w:rsidR="00D67681" w:rsidRPr="0029324A">
        <w:fldChar w:fldCharType="separate"/>
      </w:r>
      <w:r w:rsidR="00D67681" w:rsidRPr="0029324A">
        <w:t>3.35</w:t>
      </w:r>
      <w:r w:rsidR="00D67681" w:rsidRPr="0029324A">
        <w:fldChar w:fldCharType="end"/>
      </w:r>
      <w:r w:rsidR="00365E73" w:rsidRPr="0029324A">
        <w:fldChar w:fldCharType="end"/>
      </w:r>
      <w:r w:rsidR="00365E73" w:rsidRPr="0029324A">
        <w:t xml:space="preserve">) </w:t>
      </w:r>
      <w:r w:rsidR="008A297E" w:rsidRPr="0029324A">
        <w:t>combining multiple assumptions</w:t>
      </w:r>
      <w:r w:rsidR="00365E73" w:rsidRPr="0029324A">
        <w:t xml:space="preserve"> produced an ICER </w:t>
      </w:r>
      <w:r w:rsidR="00D676A2" w:rsidRPr="0029324A">
        <w:t xml:space="preserve">in </w:t>
      </w:r>
      <w:r w:rsidR="00365E73" w:rsidRPr="0029324A">
        <w:t xml:space="preserve">the acceptable </w:t>
      </w:r>
      <w:r w:rsidR="00B011A4" w:rsidRPr="0029324A">
        <w:t xml:space="preserve">range </w:t>
      </w:r>
      <w:r w:rsidR="00365E73" w:rsidRPr="0029324A">
        <w:t xml:space="preserve">in favour of </w:t>
      </w:r>
      <w:r w:rsidR="003A5E43" w:rsidRPr="0029324A">
        <w:t xml:space="preserve">the </w:t>
      </w:r>
      <w:r w:rsidR="00365E73" w:rsidRPr="0029324A">
        <w:t>top</w:t>
      </w:r>
      <w:r w:rsidR="003A5E43" w:rsidRPr="0029324A">
        <w:t>-</w:t>
      </w:r>
      <w:r w:rsidR="00365E73" w:rsidRPr="0029324A">
        <w:t>down strategy.</w:t>
      </w:r>
      <w:r w:rsidR="002D5BA0" w:rsidRPr="0029324A">
        <w:t xml:space="preserve"> </w:t>
      </w:r>
      <w:r w:rsidR="00327F0C" w:rsidRPr="0029324A">
        <w:t>Because of</w:t>
      </w:r>
      <w:r w:rsidR="00365E73" w:rsidRPr="0029324A">
        <w:t xml:space="preserve"> the limited data and assumptions that needed to be made, the cost effectiveness of the tests is highly uncertain</w:t>
      </w:r>
      <w:r w:rsidR="00E61127" w:rsidRPr="0029324A">
        <w:t>.</w:t>
      </w:r>
      <w:bookmarkEnd w:id="23"/>
    </w:p>
    <w:p w14:paraId="29221057" w14:textId="7C8E9A83" w:rsidR="00934862" w:rsidRPr="0029324A" w:rsidRDefault="00676DDF" w:rsidP="00934862">
      <w:pPr>
        <w:pStyle w:val="Heading3"/>
      </w:pPr>
      <w:proofErr w:type="gramStart"/>
      <w:r w:rsidRPr="0029324A">
        <w:lastRenderedPageBreak/>
        <w:t xml:space="preserve">Assuming </w:t>
      </w:r>
      <w:r w:rsidR="00B066BA" w:rsidRPr="0029324A">
        <w:t>that</w:t>
      </w:r>
      <w:proofErr w:type="gramEnd"/>
      <w:r w:rsidR="00934862" w:rsidRPr="0029324A">
        <w:t xml:space="preserve"> IBDX and PredictSURE IBD</w:t>
      </w:r>
      <w:r w:rsidR="00B066BA" w:rsidRPr="0029324A">
        <w:t xml:space="preserve"> have the same prognostic ability</w:t>
      </w:r>
      <w:r w:rsidR="00934862" w:rsidRPr="0029324A">
        <w:t xml:space="preserve"> is not appropriate</w:t>
      </w:r>
    </w:p>
    <w:p w14:paraId="43FC3996" w14:textId="48165A0B" w:rsidR="00934862" w:rsidRPr="0029324A" w:rsidRDefault="003C5B13">
      <w:pPr>
        <w:pStyle w:val="Numberedlevel2text"/>
      </w:pPr>
      <w:r w:rsidRPr="0029324A">
        <w:t xml:space="preserve">Only data on the prognostic ability of PredictSURE IBD </w:t>
      </w:r>
      <w:r w:rsidR="00D676A2" w:rsidRPr="0029324A">
        <w:t xml:space="preserve">were </w:t>
      </w:r>
      <w:r w:rsidRPr="0029324A">
        <w:t xml:space="preserve">included in the base case. </w:t>
      </w:r>
      <w:r w:rsidR="003A5E43" w:rsidRPr="0029324A">
        <w:t xml:space="preserve">The EAG included </w:t>
      </w:r>
      <w:r w:rsidRPr="0029324A">
        <w:t>IBDX in an</w:t>
      </w:r>
      <w:r w:rsidR="00934862" w:rsidRPr="0029324A">
        <w:t xml:space="preserve"> </w:t>
      </w:r>
      <w:r w:rsidR="00ED0342" w:rsidRPr="0029324A">
        <w:t>exploratory analysis</w:t>
      </w:r>
      <w:r w:rsidR="00934862" w:rsidRPr="0029324A">
        <w:t xml:space="preserve"> </w:t>
      </w:r>
      <w:r w:rsidR="003A5E43" w:rsidRPr="0029324A">
        <w:t>that</w:t>
      </w:r>
      <w:r w:rsidR="00934862" w:rsidRPr="0029324A">
        <w:t xml:space="preserve"> assumed that the ability of IBDX </w:t>
      </w:r>
      <w:r w:rsidRPr="0029324A">
        <w:t>to</w:t>
      </w:r>
      <w:r w:rsidR="003A5E43" w:rsidRPr="0029324A">
        <w:t xml:space="preserve"> identify</w:t>
      </w:r>
      <w:r w:rsidR="006B6517" w:rsidRPr="0029324A">
        <w:t xml:space="preserve"> </w:t>
      </w:r>
      <w:r w:rsidR="00934862" w:rsidRPr="0029324A">
        <w:t xml:space="preserve">people </w:t>
      </w:r>
      <w:r w:rsidR="003A5E43" w:rsidRPr="0029324A">
        <w:t>at</w:t>
      </w:r>
      <w:r w:rsidR="00934862" w:rsidRPr="0029324A">
        <w:t xml:space="preserve"> high or low risk was the same</w:t>
      </w:r>
      <w:r w:rsidR="006B6517" w:rsidRPr="0029324A">
        <w:t xml:space="preserve"> a</w:t>
      </w:r>
      <w:r w:rsidR="00A30780" w:rsidRPr="0029324A">
        <w:t>s</w:t>
      </w:r>
      <w:r w:rsidR="006B6517" w:rsidRPr="0029324A">
        <w:t xml:space="preserve"> PredictSURE IBD</w:t>
      </w:r>
      <w:r w:rsidR="00934862" w:rsidRPr="0029324A">
        <w:t xml:space="preserve">. The committee heard that </w:t>
      </w:r>
      <w:r w:rsidR="003A5E43" w:rsidRPr="0029324A">
        <w:t xml:space="preserve">the </w:t>
      </w:r>
      <w:r w:rsidR="00934862" w:rsidRPr="0029324A">
        <w:t xml:space="preserve">tools identify different markers and require different test samples. The committee also noted that there was </w:t>
      </w:r>
      <w:r w:rsidR="003A5E43" w:rsidRPr="0029324A">
        <w:t xml:space="preserve">1 </w:t>
      </w:r>
      <w:r w:rsidR="00934862" w:rsidRPr="0029324A">
        <w:t>abstract (Lyons 2020), which compared both tools and showed that PredictSURE IBD predicted a shorter time to treatment escalation in people classed as high risk</w:t>
      </w:r>
      <w:r w:rsidR="003A5E43" w:rsidRPr="0029324A">
        <w:t>.</w:t>
      </w:r>
      <w:r w:rsidR="00934862" w:rsidRPr="0029324A">
        <w:t xml:space="preserve"> IBDX did not predict a difference in time to treatment escalation between people positive for 2 or more markers and those positive for only 1 marker (see section </w:t>
      </w:r>
      <w:r w:rsidR="00934862" w:rsidRPr="0029324A">
        <w:fldChar w:fldCharType="begin"/>
      </w:r>
      <w:r w:rsidR="00934862" w:rsidRPr="0029324A">
        <w:instrText xml:space="preserve"> REF _Ref48156206 \r \h </w:instrText>
      </w:r>
      <w:r w:rsidR="00934862" w:rsidRPr="0029324A">
        <w:fldChar w:fldCharType="separate"/>
      </w:r>
      <w:r w:rsidR="00934862" w:rsidRPr="0029324A">
        <w:t>3.8</w:t>
      </w:r>
      <w:r w:rsidR="00934862" w:rsidRPr="0029324A">
        <w:fldChar w:fldCharType="end"/>
      </w:r>
      <w:r w:rsidR="00934862" w:rsidRPr="0029324A">
        <w:t xml:space="preserve">). The committee concluded it was not appropriate to assume </w:t>
      </w:r>
      <w:r w:rsidR="003A5E43" w:rsidRPr="0029324A">
        <w:t xml:space="preserve">the tests had </w:t>
      </w:r>
      <w:r w:rsidR="00934862" w:rsidRPr="0029324A">
        <w:t>the same prognostic accuracy</w:t>
      </w:r>
      <w:r w:rsidR="003A5E43" w:rsidRPr="0029324A">
        <w:t>,</w:t>
      </w:r>
      <w:r w:rsidR="00934862" w:rsidRPr="0029324A">
        <w:t xml:space="preserve"> and</w:t>
      </w:r>
      <w:r w:rsidR="003A5E43" w:rsidRPr="0029324A">
        <w:t xml:space="preserve"> that more evidence</w:t>
      </w:r>
      <w:r w:rsidR="00934862" w:rsidRPr="0029324A">
        <w:t xml:space="preserve"> is needed (see</w:t>
      </w:r>
      <w:r w:rsidR="00212E15" w:rsidRPr="0029324A">
        <w:t xml:space="preserve"> section</w:t>
      </w:r>
      <w:r w:rsidR="00934862" w:rsidRPr="0029324A">
        <w:t xml:space="preserve"> </w:t>
      </w:r>
      <w:r w:rsidR="00212E15" w:rsidRPr="0029324A">
        <w:t>5</w:t>
      </w:r>
      <w:r w:rsidR="00934862" w:rsidRPr="0029324A">
        <w:t>).</w:t>
      </w:r>
      <w:bookmarkStart w:id="24" w:name="_Ref48632339"/>
    </w:p>
    <w:bookmarkEnd w:id="24"/>
    <w:p w14:paraId="22BB614E" w14:textId="54B74285" w:rsidR="00226D57" w:rsidRPr="0029324A" w:rsidRDefault="00226D57" w:rsidP="00F10DA1">
      <w:pPr>
        <w:pStyle w:val="Heading3"/>
      </w:pPr>
      <w:r w:rsidRPr="0029324A">
        <w:t xml:space="preserve">Some of the key assumptions in the model </w:t>
      </w:r>
      <w:r w:rsidR="00676DDF" w:rsidRPr="0029324A">
        <w:t xml:space="preserve">are </w:t>
      </w:r>
      <w:r w:rsidRPr="0029324A">
        <w:t>drivers of the model results</w:t>
      </w:r>
    </w:p>
    <w:p w14:paraId="3C0E4BB2" w14:textId="3B213F0B" w:rsidR="00226D57" w:rsidRPr="0029324A" w:rsidRDefault="003A5E43" w:rsidP="00F0467D">
      <w:pPr>
        <w:pStyle w:val="Numberedlevel2text"/>
      </w:pPr>
      <w:r w:rsidRPr="0029324A">
        <w:t>The m</w:t>
      </w:r>
      <w:r w:rsidR="00EC4670" w:rsidRPr="0029324A">
        <w:t xml:space="preserve">odel results were mainly driven by </w:t>
      </w:r>
      <w:r w:rsidR="00956A5F" w:rsidRPr="0029324A">
        <w:t xml:space="preserve">the </w:t>
      </w:r>
      <w:r w:rsidR="00EC4670" w:rsidRPr="0029324A">
        <w:t xml:space="preserve">assumption </w:t>
      </w:r>
      <w:r w:rsidRPr="0029324A">
        <w:t>that step-up treatment has benefits over</w:t>
      </w:r>
      <w:r w:rsidR="00EC4670" w:rsidRPr="0029324A">
        <w:t xml:space="preserve"> top</w:t>
      </w:r>
      <w:r w:rsidRPr="0029324A">
        <w:t>-</w:t>
      </w:r>
      <w:r w:rsidR="00EC4670" w:rsidRPr="0029324A">
        <w:t>down</w:t>
      </w:r>
      <w:r w:rsidRPr="0029324A">
        <w:t xml:space="preserve"> treatment because of </w:t>
      </w:r>
      <w:r w:rsidR="00EC4670" w:rsidRPr="0029324A">
        <w:t xml:space="preserve">the proportion of </w:t>
      </w:r>
      <w:r w:rsidRPr="0029324A">
        <w:t xml:space="preserve">people </w:t>
      </w:r>
      <w:r w:rsidR="00EC4670" w:rsidRPr="0029324A">
        <w:t xml:space="preserve">who </w:t>
      </w:r>
      <w:r w:rsidR="00DB5108" w:rsidRPr="0029324A">
        <w:t xml:space="preserve">respond to immunomodulators in the </w:t>
      </w:r>
      <w:r w:rsidR="00B011A4" w:rsidRPr="0029324A">
        <w:t>step-</w:t>
      </w:r>
      <w:r w:rsidR="00DB5108" w:rsidRPr="0029324A">
        <w:t>up arm.</w:t>
      </w:r>
      <w:r w:rsidR="00C95769" w:rsidRPr="0029324A">
        <w:t xml:space="preserve"> </w:t>
      </w:r>
      <w:r w:rsidR="009347BE" w:rsidRPr="0029324A">
        <w:t>The EAG noted that having the immunomodulator step at the start of the step</w:t>
      </w:r>
      <w:r w:rsidR="00B011A4" w:rsidRPr="0029324A">
        <w:t>-</w:t>
      </w:r>
      <w:r w:rsidR="009347BE" w:rsidRPr="0029324A">
        <w:t xml:space="preserve">up strategy meant </w:t>
      </w:r>
      <w:r w:rsidR="00956A5F" w:rsidRPr="0029324A">
        <w:t>that</w:t>
      </w:r>
      <w:r w:rsidR="00192683" w:rsidRPr="0029324A">
        <w:t xml:space="preserve">, for </w:t>
      </w:r>
      <w:r w:rsidR="009347BE" w:rsidRPr="0029324A">
        <w:t>some high</w:t>
      </w:r>
      <w:r w:rsidR="008D4315" w:rsidRPr="0029324A">
        <w:t>-</w:t>
      </w:r>
      <w:r w:rsidR="009347BE" w:rsidRPr="0029324A">
        <w:t xml:space="preserve">risk </w:t>
      </w:r>
      <w:r w:rsidR="00F4284B" w:rsidRPr="0029324A">
        <w:t>people</w:t>
      </w:r>
      <w:r w:rsidR="00192683" w:rsidRPr="0029324A">
        <w:t>, their condition</w:t>
      </w:r>
      <w:r w:rsidR="009347BE" w:rsidRPr="0029324A">
        <w:t xml:space="preserve"> </w:t>
      </w:r>
      <w:r w:rsidR="00192683" w:rsidRPr="0029324A">
        <w:t>could</w:t>
      </w:r>
      <w:r w:rsidR="009347BE" w:rsidRPr="0029324A">
        <w:t xml:space="preserve"> respond to less costly immunomodulators. </w:t>
      </w:r>
      <w:r w:rsidR="00C95769" w:rsidRPr="0029324A">
        <w:t xml:space="preserve">Another assumption </w:t>
      </w:r>
      <w:r w:rsidR="00192683" w:rsidRPr="0029324A">
        <w:t xml:space="preserve">that </w:t>
      </w:r>
      <w:r w:rsidR="00C95769" w:rsidRPr="0029324A">
        <w:t>drove the model results was that after 2 years in remission with biologics</w:t>
      </w:r>
      <w:r w:rsidR="00956A5F" w:rsidRPr="0029324A">
        <w:t>,</w:t>
      </w:r>
      <w:r w:rsidR="00C95769" w:rsidRPr="0029324A">
        <w:t xml:space="preserve"> a proportion of</w:t>
      </w:r>
      <w:r w:rsidR="00192683" w:rsidRPr="0029324A">
        <w:t xml:space="preserve"> people have</w:t>
      </w:r>
      <w:r w:rsidR="00C95769" w:rsidRPr="0029324A">
        <w:t xml:space="preserve"> mucosal healing</w:t>
      </w:r>
      <w:r w:rsidR="0035682F" w:rsidRPr="0029324A">
        <w:t xml:space="preserve"> and do not need </w:t>
      </w:r>
      <w:r w:rsidR="00192683" w:rsidRPr="0029324A">
        <w:t>more</w:t>
      </w:r>
      <w:r w:rsidR="0035682F" w:rsidRPr="0029324A">
        <w:t xml:space="preserve"> treatment escalations</w:t>
      </w:r>
      <w:r w:rsidR="00C95769" w:rsidRPr="0029324A">
        <w:t xml:space="preserve">. </w:t>
      </w:r>
      <w:r w:rsidR="0035682F" w:rsidRPr="0029324A">
        <w:t xml:space="preserve">A scenario in which some </w:t>
      </w:r>
      <w:r w:rsidR="00266965" w:rsidRPr="0029324A">
        <w:t>low</w:t>
      </w:r>
      <w:r w:rsidR="00192683" w:rsidRPr="0029324A">
        <w:t>-</w:t>
      </w:r>
      <w:r w:rsidR="00266965" w:rsidRPr="0029324A">
        <w:t xml:space="preserve">risk </w:t>
      </w:r>
      <w:r w:rsidR="00F4284B" w:rsidRPr="0029324A">
        <w:t xml:space="preserve">people </w:t>
      </w:r>
      <w:r w:rsidR="0035682F" w:rsidRPr="0029324A">
        <w:t>were assumed to be misdiagnosed</w:t>
      </w:r>
      <w:r w:rsidR="008446E0" w:rsidRPr="0029324A">
        <w:t xml:space="preserve"> as high risk</w:t>
      </w:r>
      <w:r w:rsidR="0035682F" w:rsidRPr="0029324A">
        <w:t xml:space="preserve"> (</w:t>
      </w:r>
      <w:r w:rsidR="00956A5F" w:rsidRPr="0029324A">
        <w:t xml:space="preserve">see section </w:t>
      </w:r>
      <w:r w:rsidR="00956A5F" w:rsidRPr="0029324A">
        <w:fldChar w:fldCharType="begin"/>
      </w:r>
      <w:r w:rsidR="00956A5F" w:rsidRPr="0029324A">
        <w:instrText xml:space="preserve"> REF _Ref48155504 \r \h </w:instrText>
      </w:r>
      <w:r w:rsidR="00956A5F" w:rsidRPr="0029324A">
        <w:fldChar w:fldCharType="separate"/>
      </w:r>
      <w:r w:rsidR="00631A28" w:rsidRPr="0029324A">
        <w:t>3.34</w:t>
      </w:r>
      <w:r w:rsidR="00956A5F" w:rsidRPr="0029324A">
        <w:fldChar w:fldCharType="end"/>
      </w:r>
      <w:r w:rsidR="00266965" w:rsidRPr="0029324A">
        <w:t>)</w:t>
      </w:r>
      <w:r w:rsidR="00C95769" w:rsidRPr="0029324A">
        <w:t xml:space="preserve"> </w:t>
      </w:r>
      <w:r w:rsidR="008446E0" w:rsidRPr="0029324A">
        <w:t xml:space="preserve">showed QALYs being gained in favour of </w:t>
      </w:r>
      <w:r w:rsidR="00934862" w:rsidRPr="0029324A">
        <w:t>PredictSURE</w:t>
      </w:r>
      <w:r w:rsidR="00192683" w:rsidRPr="0029324A">
        <w:t xml:space="preserve"> IBD</w:t>
      </w:r>
      <w:r w:rsidR="008446E0" w:rsidRPr="0029324A">
        <w:t xml:space="preserve"> </w:t>
      </w:r>
      <w:r w:rsidR="00DB25B1" w:rsidRPr="0029324A">
        <w:t>because</w:t>
      </w:r>
      <w:r w:rsidR="008446E0" w:rsidRPr="0029324A">
        <w:t xml:space="preserve"> </w:t>
      </w:r>
      <w:r w:rsidR="00192683" w:rsidRPr="0029324A">
        <w:t>they did not need any more</w:t>
      </w:r>
      <w:r w:rsidR="008446E0" w:rsidRPr="0029324A">
        <w:t xml:space="preserve"> treatment escalation</w:t>
      </w:r>
      <w:r w:rsidR="009347BE" w:rsidRPr="0029324A">
        <w:t>.</w:t>
      </w:r>
    </w:p>
    <w:p w14:paraId="277E63D2" w14:textId="65C774C8" w:rsidR="00E61127" w:rsidRPr="0029324A" w:rsidRDefault="00E61127" w:rsidP="001A7292">
      <w:pPr>
        <w:pStyle w:val="Heading3"/>
      </w:pPr>
      <w:r w:rsidRPr="0029324A">
        <w:lastRenderedPageBreak/>
        <w:t>The EAG</w:t>
      </w:r>
      <w:r w:rsidR="005F6BA8" w:rsidRPr="0029324A">
        <w:t>’s</w:t>
      </w:r>
      <w:r w:rsidRPr="0029324A">
        <w:t xml:space="preserve"> model results</w:t>
      </w:r>
      <w:r w:rsidR="008262AF" w:rsidRPr="0029324A">
        <w:t xml:space="preserve"> a</w:t>
      </w:r>
      <w:r w:rsidR="005F6BA8" w:rsidRPr="0029324A">
        <w:t>re different</w:t>
      </w:r>
      <w:r w:rsidRPr="0029324A">
        <w:t xml:space="preserve"> from</w:t>
      </w:r>
      <w:r w:rsidR="005F6BA8" w:rsidRPr="0029324A">
        <w:t xml:space="preserve"> </w:t>
      </w:r>
      <w:r w:rsidRPr="0029324A">
        <w:t>the company</w:t>
      </w:r>
      <w:r w:rsidR="005F6BA8" w:rsidRPr="0029324A">
        <w:t>’s</w:t>
      </w:r>
      <w:r w:rsidRPr="0029324A">
        <w:t xml:space="preserve"> </w:t>
      </w:r>
      <w:r w:rsidR="008262AF" w:rsidRPr="0029324A">
        <w:t>model and the most relevant published economic model</w:t>
      </w:r>
    </w:p>
    <w:p w14:paraId="6D2D659B" w14:textId="69018F41" w:rsidR="00F554F8" w:rsidRPr="0029324A" w:rsidRDefault="00926E7E" w:rsidP="00F0467D">
      <w:pPr>
        <w:pStyle w:val="Numberedlevel2text"/>
      </w:pPr>
      <w:bookmarkStart w:id="25" w:name="_Ref47957778"/>
      <w:r w:rsidRPr="0029324A">
        <w:t xml:space="preserve">The base case probabilistic and deterministic results of the EAG’s model </w:t>
      </w:r>
      <w:r w:rsidR="00E103DD" w:rsidRPr="0029324A">
        <w:t>produced QALYs in favour of standard care</w:t>
      </w:r>
      <w:r w:rsidR="008D262A" w:rsidRPr="0029324A">
        <w:t>. This suggests</w:t>
      </w:r>
      <w:r w:rsidR="00942C5C" w:rsidRPr="0029324A">
        <w:t xml:space="preserve"> that </w:t>
      </w:r>
      <w:r w:rsidR="00681682" w:rsidRPr="0029324A">
        <w:t>a no testing strategy</w:t>
      </w:r>
      <w:r w:rsidR="00942C5C" w:rsidRPr="0029324A">
        <w:t xml:space="preserve"> </w:t>
      </w:r>
      <w:r w:rsidR="00D45A37" w:rsidRPr="0029324A">
        <w:t xml:space="preserve">with step-up </w:t>
      </w:r>
      <w:r w:rsidR="009C1E0E" w:rsidRPr="0029324A">
        <w:t>treatment</w:t>
      </w:r>
      <w:r w:rsidR="00D45A37" w:rsidRPr="0029324A">
        <w:t xml:space="preserve"> </w:t>
      </w:r>
      <w:r w:rsidR="00942C5C" w:rsidRPr="0029324A">
        <w:t>is</w:t>
      </w:r>
      <w:r w:rsidR="008D262A" w:rsidRPr="0029324A">
        <w:t xml:space="preserve"> better</w:t>
      </w:r>
      <w:r w:rsidR="00942C5C" w:rsidRPr="0029324A">
        <w:t xml:space="preserve"> for </w:t>
      </w:r>
      <w:r w:rsidR="008D262A" w:rsidRPr="0029324A">
        <w:t>people</w:t>
      </w:r>
      <w:r w:rsidR="008262AF" w:rsidRPr="0029324A">
        <w:t xml:space="preserve"> at </w:t>
      </w:r>
      <w:r w:rsidR="00942C5C" w:rsidRPr="0029324A">
        <w:t xml:space="preserve">high risk </w:t>
      </w:r>
      <w:r w:rsidR="008262AF" w:rsidRPr="0029324A">
        <w:t xml:space="preserve">of severe </w:t>
      </w:r>
      <w:r w:rsidRPr="0029324A">
        <w:t xml:space="preserve">Crohn’s </w:t>
      </w:r>
      <w:r w:rsidR="008262AF" w:rsidRPr="0029324A">
        <w:t>disease than top</w:t>
      </w:r>
      <w:r w:rsidR="00D45A37" w:rsidRPr="0029324A">
        <w:t>-</w:t>
      </w:r>
      <w:r w:rsidR="008262AF" w:rsidRPr="0029324A">
        <w:t xml:space="preserve">down </w:t>
      </w:r>
      <w:r w:rsidR="009C1E0E" w:rsidRPr="0029324A">
        <w:t>treatment</w:t>
      </w:r>
      <w:r w:rsidR="00681682" w:rsidRPr="0029324A">
        <w:t xml:space="preserve"> </w:t>
      </w:r>
      <w:r w:rsidR="008D262A" w:rsidRPr="0029324A">
        <w:t xml:space="preserve">using </w:t>
      </w:r>
      <w:r w:rsidR="00681682" w:rsidRPr="0029324A">
        <w:t>the prognostic tool</w:t>
      </w:r>
      <w:r w:rsidR="00E103DD" w:rsidRPr="0029324A">
        <w:t xml:space="preserve">. </w:t>
      </w:r>
      <w:r w:rsidR="00942C5C" w:rsidRPr="0029324A">
        <w:t>Th</w:t>
      </w:r>
      <w:r w:rsidRPr="0029324A">
        <w:t>is</w:t>
      </w:r>
      <w:r w:rsidR="00942C5C" w:rsidRPr="0029324A">
        <w:t xml:space="preserve"> result </w:t>
      </w:r>
      <w:r w:rsidRPr="0029324A">
        <w:t>was</w:t>
      </w:r>
      <w:r w:rsidR="00942C5C" w:rsidRPr="0029324A">
        <w:t xml:space="preserve"> </w:t>
      </w:r>
      <w:r w:rsidR="008D262A" w:rsidRPr="0029324A">
        <w:t>not consistent</w:t>
      </w:r>
      <w:r w:rsidR="00942C5C" w:rsidRPr="0029324A">
        <w:t xml:space="preserve"> with </w:t>
      </w:r>
      <w:r w:rsidR="00FF49CC" w:rsidRPr="0029324A">
        <w:t>the company</w:t>
      </w:r>
      <w:r w:rsidR="00BA414A" w:rsidRPr="0029324A">
        <w:t>’s</w:t>
      </w:r>
      <w:r w:rsidR="00FF49CC" w:rsidRPr="0029324A">
        <w:t xml:space="preserve"> model </w:t>
      </w:r>
      <w:r w:rsidR="008262AF" w:rsidRPr="0029324A">
        <w:t xml:space="preserve">and the model reported by Marchetti (2013), both of </w:t>
      </w:r>
      <w:r w:rsidR="00FF49CC" w:rsidRPr="0029324A">
        <w:t xml:space="preserve">which </w:t>
      </w:r>
      <w:r w:rsidR="008262AF" w:rsidRPr="0029324A">
        <w:t>reported</w:t>
      </w:r>
      <w:r w:rsidR="00FF49CC" w:rsidRPr="0029324A">
        <w:t xml:space="preserve"> that </w:t>
      </w:r>
      <w:r w:rsidR="00D45A37" w:rsidRPr="0029324A">
        <w:t xml:space="preserve">a </w:t>
      </w:r>
      <w:r w:rsidR="00FF49CC" w:rsidRPr="0029324A">
        <w:t>top</w:t>
      </w:r>
      <w:r w:rsidR="00D45A37" w:rsidRPr="0029324A">
        <w:t>-</w:t>
      </w:r>
      <w:r w:rsidR="00FF49CC" w:rsidRPr="0029324A">
        <w:t xml:space="preserve">down strategy </w:t>
      </w:r>
      <w:r w:rsidR="00327F2C" w:rsidRPr="0029324A">
        <w:t>is associated with</w:t>
      </w:r>
      <w:r w:rsidR="00FF49CC" w:rsidRPr="0029324A">
        <w:t xml:space="preserve"> more QALYs. The EAG noted that th</w:t>
      </w:r>
      <w:r w:rsidRPr="0029324A">
        <w:t xml:space="preserve">e difference </w:t>
      </w:r>
      <w:r w:rsidR="00327F2C" w:rsidRPr="0029324A">
        <w:t>between its model and the</w:t>
      </w:r>
      <w:r w:rsidRPr="0029324A">
        <w:t xml:space="preserve"> </w:t>
      </w:r>
      <w:proofErr w:type="gramStart"/>
      <w:r w:rsidRPr="0029324A">
        <w:t>company</w:t>
      </w:r>
      <w:r w:rsidR="008D262A" w:rsidRPr="0029324A">
        <w:t>’s</w:t>
      </w:r>
      <w:proofErr w:type="gramEnd"/>
      <w:r w:rsidR="008D262A" w:rsidRPr="0029324A">
        <w:t xml:space="preserve"> was</w:t>
      </w:r>
      <w:r w:rsidR="00327F2C" w:rsidRPr="0029324A">
        <w:t xml:space="preserve"> that</w:t>
      </w:r>
      <w:r w:rsidR="00FF49CC" w:rsidRPr="0029324A">
        <w:t xml:space="preserve"> </w:t>
      </w:r>
      <w:r w:rsidR="009347BE" w:rsidRPr="0029324A">
        <w:t>the treatment sequence modelled by the company had an immunomodulator as a last treatment step in the top</w:t>
      </w:r>
      <w:r w:rsidR="008D262A" w:rsidRPr="0029324A">
        <w:t>-</w:t>
      </w:r>
      <w:r w:rsidR="009347BE" w:rsidRPr="0029324A">
        <w:t>down arm. Th</w:t>
      </w:r>
      <w:r w:rsidR="008C74B1" w:rsidRPr="0029324A">
        <w:t>is</w:t>
      </w:r>
      <w:r w:rsidR="009347BE" w:rsidRPr="0029324A">
        <w:t xml:space="preserve"> </w:t>
      </w:r>
      <w:r w:rsidR="00E02807" w:rsidRPr="0029324A">
        <w:t>was</w:t>
      </w:r>
      <w:r w:rsidR="009347BE" w:rsidRPr="0029324A">
        <w:t xml:space="preserve"> not modelled </w:t>
      </w:r>
      <w:r w:rsidR="008B4B18" w:rsidRPr="0029324A">
        <w:t xml:space="preserve">in </w:t>
      </w:r>
      <w:r w:rsidR="009347BE" w:rsidRPr="0029324A">
        <w:t>the EAG</w:t>
      </w:r>
      <w:r w:rsidR="00DB25B1" w:rsidRPr="0029324A">
        <w:t>’s</w:t>
      </w:r>
      <w:r w:rsidR="008B4B18" w:rsidRPr="0029324A">
        <w:t xml:space="preserve"> base case</w:t>
      </w:r>
      <w:r w:rsidR="00DB25B1" w:rsidRPr="0029324A">
        <w:t xml:space="preserve"> but as a scenario analysis</w:t>
      </w:r>
      <w:r w:rsidR="009347BE" w:rsidRPr="0029324A">
        <w:t>. This scenario produced an ICER in favour of top</w:t>
      </w:r>
      <w:r w:rsidR="008D262A" w:rsidRPr="0029324A">
        <w:t>-</w:t>
      </w:r>
      <w:r w:rsidR="009347BE" w:rsidRPr="0029324A">
        <w:t xml:space="preserve">down </w:t>
      </w:r>
      <w:r w:rsidR="009C1E0E" w:rsidRPr="0029324A">
        <w:t>treatment</w:t>
      </w:r>
      <w:r w:rsidR="009347BE" w:rsidRPr="0029324A">
        <w:t xml:space="preserve"> </w:t>
      </w:r>
      <w:r w:rsidR="008D262A" w:rsidRPr="0029324A">
        <w:t>that</w:t>
      </w:r>
      <w:r w:rsidR="009347BE" w:rsidRPr="0029324A">
        <w:t xml:space="preserve"> was much higher than what NICE normally considers a cost</w:t>
      </w:r>
      <w:r w:rsidR="005A20E3" w:rsidRPr="0029324A">
        <w:t>-effective</w:t>
      </w:r>
      <w:r w:rsidR="009347BE" w:rsidRPr="0029324A">
        <w:t xml:space="preserve"> use of NHS resources (see section</w:t>
      </w:r>
      <w:r w:rsidR="00D67681" w:rsidRPr="0029324A">
        <w:t xml:space="preserve"> </w:t>
      </w:r>
      <w:r w:rsidR="00D67681" w:rsidRPr="0029324A">
        <w:fldChar w:fldCharType="begin"/>
      </w:r>
      <w:r w:rsidR="00D67681" w:rsidRPr="0029324A">
        <w:instrText xml:space="preserve"> REF _Ref47953933 \r \h </w:instrText>
      </w:r>
      <w:r w:rsidR="00D67681" w:rsidRPr="0029324A">
        <w:fldChar w:fldCharType="separate"/>
      </w:r>
      <w:r w:rsidR="00D67681" w:rsidRPr="0029324A">
        <w:t>3.30</w:t>
      </w:r>
      <w:r w:rsidR="00D67681" w:rsidRPr="0029324A">
        <w:fldChar w:fldCharType="end"/>
      </w:r>
      <w:r w:rsidR="009347BE" w:rsidRPr="0029324A">
        <w:t xml:space="preserve">). </w:t>
      </w:r>
      <w:r w:rsidR="008D262A" w:rsidRPr="0029324A">
        <w:t>T</w:t>
      </w:r>
      <w:r w:rsidR="00FF49CC" w:rsidRPr="0029324A">
        <w:t>he company</w:t>
      </w:r>
      <w:r w:rsidR="009347BE" w:rsidRPr="0029324A">
        <w:t>’s</w:t>
      </w:r>
      <w:r w:rsidR="00FF49CC" w:rsidRPr="0029324A">
        <w:t xml:space="preserve"> model</w:t>
      </w:r>
      <w:r w:rsidR="008D262A" w:rsidRPr="0029324A">
        <w:t xml:space="preserve"> also</w:t>
      </w:r>
      <w:r w:rsidR="00FF49CC" w:rsidRPr="0029324A">
        <w:t xml:space="preserve"> assumed a constant relative treatment effect</w:t>
      </w:r>
      <w:r w:rsidR="008D262A" w:rsidRPr="0029324A">
        <w:t>,</w:t>
      </w:r>
      <w:r w:rsidR="00FF49CC" w:rsidRPr="0029324A">
        <w:t xml:space="preserve"> whereas the EAG</w:t>
      </w:r>
      <w:r w:rsidR="00636BD3" w:rsidRPr="0029324A">
        <w:t>’s model assume</w:t>
      </w:r>
      <w:r w:rsidR="008D262A" w:rsidRPr="0029324A">
        <w:t>d</w:t>
      </w:r>
      <w:r w:rsidR="00636BD3" w:rsidRPr="0029324A">
        <w:t xml:space="preserve"> a diminishing relative treatment effect</w:t>
      </w:r>
      <w:r w:rsidR="00984585" w:rsidRPr="0029324A">
        <w:t xml:space="preserve"> (see further details in the </w:t>
      </w:r>
      <w:hyperlink r:id="rId18" w:history="1">
        <w:r w:rsidR="00984585" w:rsidRPr="0029324A">
          <w:rPr>
            <w:rStyle w:val="Hyperlink"/>
          </w:rPr>
          <w:t xml:space="preserve">addendum to the diagnostic </w:t>
        </w:r>
        <w:r w:rsidR="00750666" w:rsidRPr="0029324A">
          <w:rPr>
            <w:rStyle w:val="Hyperlink"/>
          </w:rPr>
          <w:t xml:space="preserve">assessment </w:t>
        </w:r>
        <w:r w:rsidR="00984585" w:rsidRPr="0029324A">
          <w:rPr>
            <w:rStyle w:val="Hyperlink"/>
          </w:rPr>
          <w:t>report</w:t>
        </w:r>
      </w:hyperlink>
      <w:r w:rsidR="00984585" w:rsidRPr="0029324A">
        <w:t>)</w:t>
      </w:r>
      <w:r w:rsidR="00FF49CC" w:rsidRPr="0029324A">
        <w:t>.</w:t>
      </w:r>
      <w:r w:rsidR="008262AF" w:rsidRPr="0029324A">
        <w:t xml:space="preserve"> </w:t>
      </w:r>
      <w:r w:rsidR="00515583" w:rsidRPr="0029324A">
        <w:t>Marchetti modelled a different treatment sequence</w:t>
      </w:r>
      <w:r w:rsidR="004D3071" w:rsidRPr="0029324A">
        <w:t xml:space="preserve"> (see </w:t>
      </w:r>
      <w:r w:rsidR="00F21A75" w:rsidRPr="0029324A">
        <w:t xml:space="preserve">section </w:t>
      </w:r>
      <w:r w:rsidR="004D3071" w:rsidRPr="0029324A">
        <w:fldChar w:fldCharType="begin"/>
      </w:r>
      <w:r w:rsidR="004D3071" w:rsidRPr="0029324A">
        <w:instrText xml:space="preserve"> REF _Ref48148371 \r \h </w:instrText>
      </w:r>
      <w:r w:rsidR="004D3071" w:rsidRPr="0029324A">
        <w:fldChar w:fldCharType="separate"/>
      </w:r>
      <w:r w:rsidR="00631A28" w:rsidRPr="0029324A">
        <w:t>3.11</w:t>
      </w:r>
      <w:r w:rsidR="004D3071" w:rsidRPr="0029324A">
        <w:fldChar w:fldCharType="end"/>
      </w:r>
      <w:r w:rsidR="004D3071" w:rsidRPr="0029324A">
        <w:t>) to</w:t>
      </w:r>
      <w:r w:rsidR="0008077F" w:rsidRPr="0029324A">
        <w:t xml:space="preserve"> the EAG</w:t>
      </w:r>
      <w:r w:rsidR="00F21A75" w:rsidRPr="0029324A">
        <w:t>’s</w:t>
      </w:r>
      <w:r w:rsidR="006B3A30" w:rsidRPr="0029324A">
        <w:t xml:space="preserve">, and a different time horizon – 5 years compared with </w:t>
      </w:r>
      <w:r w:rsidR="001F30EC" w:rsidRPr="0029324A">
        <w:t>t</w:t>
      </w:r>
      <w:r w:rsidR="002D70F1" w:rsidRPr="0029324A">
        <w:t>he EAG’s 65 years.</w:t>
      </w:r>
      <w:r w:rsidR="009347BE" w:rsidRPr="0029324A">
        <w:t xml:space="preserve"> The EAG did not explore changing the time horizon so it was </w:t>
      </w:r>
      <w:r w:rsidR="002F5AF4" w:rsidRPr="0029324A">
        <w:t>not clear if</w:t>
      </w:r>
      <w:r w:rsidR="009347BE" w:rsidRPr="0029324A">
        <w:t xml:space="preserve"> the time horizon </w:t>
      </w:r>
      <w:r w:rsidR="002F5AF4" w:rsidRPr="0029324A">
        <w:t>influenced</w:t>
      </w:r>
      <w:r w:rsidR="009347BE" w:rsidRPr="0029324A">
        <w:t xml:space="preserve"> the different results.</w:t>
      </w:r>
      <w:r w:rsidR="002D70F1" w:rsidRPr="0029324A">
        <w:t xml:space="preserve"> </w:t>
      </w:r>
      <w:bookmarkEnd w:id="25"/>
      <w:r w:rsidR="009633E7" w:rsidRPr="0029324A">
        <w:t>The difference in the results</w:t>
      </w:r>
      <w:r w:rsidR="002F5AF4" w:rsidRPr="0029324A">
        <w:t xml:space="preserve"> </w:t>
      </w:r>
      <w:r w:rsidR="0034029F" w:rsidRPr="0029324A">
        <w:t xml:space="preserve">was </w:t>
      </w:r>
      <w:r w:rsidR="009633E7" w:rsidRPr="0029324A">
        <w:t>likely due to the uncertainties in the top</w:t>
      </w:r>
      <w:r w:rsidR="002F5AF4" w:rsidRPr="0029324A">
        <w:t>-</w:t>
      </w:r>
      <w:r w:rsidR="009633E7" w:rsidRPr="0029324A">
        <w:t>down treatment pathway and the effectiveness of top</w:t>
      </w:r>
      <w:r w:rsidR="002F5AF4" w:rsidRPr="0029324A">
        <w:t>-</w:t>
      </w:r>
      <w:r w:rsidR="009633E7" w:rsidRPr="0029324A">
        <w:t xml:space="preserve">down </w:t>
      </w:r>
      <w:r w:rsidR="002F5AF4" w:rsidRPr="0029324A">
        <w:t xml:space="preserve">compared with </w:t>
      </w:r>
      <w:r w:rsidR="009633E7" w:rsidRPr="0029324A">
        <w:t>step</w:t>
      </w:r>
      <w:r w:rsidR="002F5AF4" w:rsidRPr="0029324A">
        <w:t>-</w:t>
      </w:r>
      <w:r w:rsidR="009633E7" w:rsidRPr="0029324A">
        <w:t>up</w:t>
      </w:r>
      <w:r w:rsidR="00CD2930" w:rsidRPr="0029324A">
        <w:t xml:space="preserve"> strategies</w:t>
      </w:r>
      <w:r w:rsidR="009633E7" w:rsidRPr="0029324A">
        <w:t>.</w:t>
      </w:r>
    </w:p>
    <w:p w14:paraId="7855544F" w14:textId="2EA9C223" w:rsidR="00E77A28" w:rsidRPr="0029324A" w:rsidRDefault="00676DDF" w:rsidP="008C5DC0">
      <w:pPr>
        <w:pStyle w:val="Heading3"/>
      </w:pPr>
      <w:r w:rsidRPr="0029324A">
        <w:t>Evidence from</w:t>
      </w:r>
      <w:r w:rsidR="00D415A0" w:rsidRPr="0029324A">
        <w:t xml:space="preserve"> a different starting cohort</w:t>
      </w:r>
      <w:r w:rsidR="00A2641D" w:rsidRPr="0029324A">
        <w:t xml:space="preserve"> </w:t>
      </w:r>
      <w:r w:rsidRPr="0029324A">
        <w:t>that</w:t>
      </w:r>
      <w:r w:rsidR="00A2641D" w:rsidRPr="0029324A">
        <w:t xml:space="preserve"> includes children and teenagers</w:t>
      </w:r>
      <w:r w:rsidRPr="0029324A">
        <w:t xml:space="preserve"> would be useful</w:t>
      </w:r>
    </w:p>
    <w:p w14:paraId="094D2921" w14:textId="14458DC1" w:rsidR="00E77A28" w:rsidRPr="0029324A" w:rsidRDefault="00646BE0" w:rsidP="00F0467D">
      <w:pPr>
        <w:pStyle w:val="Numberedlevel2text"/>
      </w:pPr>
      <w:r w:rsidRPr="0029324A">
        <w:t>The committee</w:t>
      </w:r>
      <w:r w:rsidR="00861C56" w:rsidRPr="0029324A">
        <w:t xml:space="preserve"> heard that the average age in the EAG’s model was 35</w:t>
      </w:r>
      <w:r w:rsidR="00EC5C3B" w:rsidRPr="0029324A">
        <w:t>. It</w:t>
      </w:r>
      <w:r w:rsidR="001F30EC" w:rsidRPr="0029324A">
        <w:t xml:space="preserve"> </w:t>
      </w:r>
      <w:r w:rsidRPr="0029324A">
        <w:t xml:space="preserve">considered that </w:t>
      </w:r>
      <w:r w:rsidR="00B35797" w:rsidRPr="0029324A">
        <w:t>the model m</w:t>
      </w:r>
      <w:r w:rsidR="00861C56" w:rsidRPr="0029324A">
        <w:t>ight</w:t>
      </w:r>
      <w:r w:rsidR="00B35797" w:rsidRPr="0029324A">
        <w:t xml:space="preserve"> not reflect other </w:t>
      </w:r>
      <w:r w:rsidR="00EC5C3B" w:rsidRPr="0029324A">
        <w:t xml:space="preserve">age groups that are first </w:t>
      </w:r>
      <w:r w:rsidR="00B35797" w:rsidRPr="0029324A">
        <w:t>diagnosed with Crohn’s, for example,</w:t>
      </w:r>
      <w:r w:rsidR="00861C56" w:rsidRPr="0029324A">
        <w:t xml:space="preserve"> </w:t>
      </w:r>
      <w:r w:rsidR="00F149CA" w:rsidRPr="0029324A">
        <w:t xml:space="preserve">one peak </w:t>
      </w:r>
      <w:r w:rsidR="00EC5C3B" w:rsidRPr="0029324A">
        <w:t>is</w:t>
      </w:r>
      <w:r w:rsidR="00F149CA" w:rsidRPr="0029324A">
        <w:t xml:space="preserve"> in </w:t>
      </w:r>
      <w:r w:rsidR="005D5D78" w:rsidRPr="0029324A">
        <w:t>tee</w:t>
      </w:r>
      <w:r w:rsidR="00F149CA" w:rsidRPr="0029324A">
        <w:t>n</w:t>
      </w:r>
      <w:r w:rsidR="00EC5C3B" w:rsidRPr="0029324A">
        <w:t>agers</w:t>
      </w:r>
      <w:r w:rsidR="005D5D78" w:rsidRPr="0029324A">
        <w:t xml:space="preserve"> and another is </w:t>
      </w:r>
      <w:r w:rsidR="00B35797" w:rsidRPr="0029324A">
        <w:t>at around 60</w:t>
      </w:r>
      <w:r w:rsidR="005D5D78" w:rsidRPr="0029324A">
        <w:t xml:space="preserve">. A clinical expert noted that the treatment pathway </w:t>
      </w:r>
      <w:r w:rsidR="005D5D78" w:rsidRPr="0029324A">
        <w:lastRenderedPageBreak/>
        <w:t xml:space="preserve">for </w:t>
      </w:r>
      <w:r w:rsidR="00A2641D" w:rsidRPr="0029324A">
        <w:t xml:space="preserve">children or </w:t>
      </w:r>
      <w:r w:rsidR="005D5D78" w:rsidRPr="0029324A">
        <w:t>teenage</w:t>
      </w:r>
      <w:r w:rsidR="00EC5C3B" w:rsidRPr="0029324A">
        <w:t>rs</w:t>
      </w:r>
      <w:r w:rsidR="005D5D78" w:rsidRPr="0029324A">
        <w:t xml:space="preserve"> would be different from adult</w:t>
      </w:r>
      <w:r w:rsidR="00EC5C3B" w:rsidRPr="0029324A">
        <w:t>s</w:t>
      </w:r>
      <w:r w:rsidR="005D5D78" w:rsidRPr="0029324A">
        <w:t xml:space="preserve"> </w:t>
      </w:r>
      <w:r w:rsidR="00B35797" w:rsidRPr="0029324A">
        <w:t>because children often follow a more severe disease course and</w:t>
      </w:r>
      <w:r w:rsidR="005D5D78" w:rsidRPr="0029324A">
        <w:t xml:space="preserve"> may need enteral nutrition.</w:t>
      </w:r>
      <w:r w:rsidR="00A2641D" w:rsidRPr="0029324A">
        <w:t xml:space="preserve"> The committee </w:t>
      </w:r>
      <w:r w:rsidR="00861C56" w:rsidRPr="0029324A">
        <w:t>heard</w:t>
      </w:r>
      <w:r w:rsidR="00A2641D" w:rsidRPr="0029324A">
        <w:t xml:space="preserve"> that modelling this population may require an entirely new model rather than an adaptation of the model </w:t>
      </w:r>
      <w:r w:rsidR="00467A3B" w:rsidRPr="0029324A">
        <w:t>built by the EAG</w:t>
      </w:r>
      <w:r w:rsidR="00A2641D" w:rsidRPr="0029324A">
        <w:t xml:space="preserve"> for the adult population.</w:t>
      </w:r>
    </w:p>
    <w:p w14:paraId="0122299C" w14:textId="1C8E362B" w:rsidR="00AF2398" w:rsidRPr="0029324A" w:rsidRDefault="00CD77D1" w:rsidP="008C5DC0">
      <w:pPr>
        <w:pStyle w:val="Heading3"/>
      </w:pPr>
      <w:r w:rsidRPr="0029324A">
        <w:t>Modelling adverse events or v</w:t>
      </w:r>
      <w:r w:rsidR="00AF2398" w:rsidRPr="0029324A">
        <w:t>arying the cost of surger</w:t>
      </w:r>
      <w:r w:rsidR="00676DDF" w:rsidRPr="0029324A">
        <w:t>y</w:t>
      </w:r>
      <w:r w:rsidR="00AF2398" w:rsidRPr="0029324A">
        <w:t xml:space="preserve"> may not have a huge impact on the results</w:t>
      </w:r>
    </w:p>
    <w:p w14:paraId="3B5280AC" w14:textId="0C615824" w:rsidR="003D5193" w:rsidRPr="0029324A" w:rsidRDefault="00CD77D1" w:rsidP="002C222F">
      <w:pPr>
        <w:pStyle w:val="Numberedlevel2text"/>
      </w:pPr>
      <w:r w:rsidRPr="0029324A">
        <w:t>The EAG did not model adverse events</w:t>
      </w:r>
      <w:r w:rsidR="00670295" w:rsidRPr="0029324A">
        <w:t>, to keep the model simple</w:t>
      </w:r>
      <w:r w:rsidRPr="0029324A">
        <w:t>.</w:t>
      </w:r>
      <w:r w:rsidR="00670295" w:rsidRPr="0029324A">
        <w:t xml:space="preserve"> It predicted </w:t>
      </w:r>
      <w:r w:rsidRPr="0029324A">
        <w:t xml:space="preserve">that </w:t>
      </w:r>
      <w:r w:rsidR="00670295" w:rsidRPr="0029324A">
        <w:t>if it had modelled</w:t>
      </w:r>
      <w:r w:rsidRPr="0029324A">
        <w:t xml:space="preserve"> adverse events </w:t>
      </w:r>
      <w:r w:rsidR="00670295" w:rsidRPr="0029324A">
        <w:t>top-down treatment would have been</w:t>
      </w:r>
      <w:r w:rsidRPr="0029324A">
        <w:t xml:space="preserve"> more dominated. </w:t>
      </w:r>
      <w:r w:rsidR="00AF2398" w:rsidRPr="0029324A">
        <w:t xml:space="preserve">The committee </w:t>
      </w:r>
      <w:r w:rsidR="00DB41BE" w:rsidRPr="0029324A">
        <w:t>thought the</w:t>
      </w:r>
      <w:r w:rsidR="006F0EF7" w:rsidRPr="0029324A">
        <w:t xml:space="preserve"> cost of surgery might have been underestimated and </w:t>
      </w:r>
      <w:r w:rsidR="00670295" w:rsidRPr="0029324A">
        <w:t xml:space="preserve">that </w:t>
      </w:r>
      <w:r w:rsidR="006F0EF7" w:rsidRPr="0029324A">
        <w:t xml:space="preserve">its impact on </w:t>
      </w:r>
      <w:r w:rsidR="00670295" w:rsidRPr="0029324A">
        <w:t xml:space="preserve">the </w:t>
      </w:r>
      <w:r w:rsidR="006F0EF7" w:rsidRPr="0029324A">
        <w:t xml:space="preserve">model results was </w:t>
      </w:r>
      <w:r w:rsidR="00670295" w:rsidRPr="0029324A">
        <w:t>not clear</w:t>
      </w:r>
      <w:r w:rsidR="00AF2398" w:rsidRPr="0029324A">
        <w:t>. The EAG noted</w:t>
      </w:r>
      <w:r w:rsidR="003D5193" w:rsidRPr="0029324A">
        <w:t xml:space="preserve"> that</w:t>
      </w:r>
      <w:r w:rsidR="00670295" w:rsidRPr="0029324A">
        <w:t>,</w:t>
      </w:r>
      <w:r w:rsidR="003D5193" w:rsidRPr="0029324A">
        <w:t xml:space="preserve"> although it did not vary the costs of surgery,</w:t>
      </w:r>
      <w:r w:rsidR="00AF2398" w:rsidRPr="0029324A">
        <w:t xml:space="preserve"> the number of surgical events modelled was very small, so it </w:t>
      </w:r>
      <w:r w:rsidR="00670295" w:rsidRPr="0029324A">
        <w:t xml:space="preserve">did </w:t>
      </w:r>
      <w:r w:rsidR="00AF2398" w:rsidRPr="0029324A">
        <w:t xml:space="preserve">not anticipate </w:t>
      </w:r>
      <w:r w:rsidR="00670295" w:rsidRPr="0029324A">
        <w:t>a significant</w:t>
      </w:r>
      <w:r w:rsidR="00AF2398" w:rsidRPr="0029324A">
        <w:t xml:space="preserve"> difference </w:t>
      </w:r>
      <w:r w:rsidR="00C93AEB" w:rsidRPr="0029324A">
        <w:t>in results</w:t>
      </w:r>
      <w:r w:rsidR="00AF2398" w:rsidRPr="0029324A">
        <w:t>.</w:t>
      </w:r>
    </w:p>
    <w:p w14:paraId="00070E33" w14:textId="5D1A316A" w:rsidR="00657314" w:rsidRPr="0029324A" w:rsidRDefault="00657314" w:rsidP="00AA3EC1">
      <w:pPr>
        <w:pStyle w:val="Heading3"/>
      </w:pPr>
      <w:r w:rsidRPr="0029324A">
        <w:t xml:space="preserve">Multiple uncertainties </w:t>
      </w:r>
      <w:r w:rsidR="0066587B" w:rsidRPr="0029324A">
        <w:t xml:space="preserve">make it difficult to determine cost effectiveness </w:t>
      </w:r>
      <w:r w:rsidR="00676DDF" w:rsidRPr="0029324A">
        <w:t>so</w:t>
      </w:r>
      <w:r w:rsidR="0066587B" w:rsidRPr="0029324A">
        <w:t xml:space="preserve"> the</w:t>
      </w:r>
      <w:r w:rsidR="00676DDF" w:rsidRPr="0029324A">
        <w:t xml:space="preserve"> tests</w:t>
      </w:r>
      <w:r w:rsidR="0066587B" w:rsidRPr="0029324A">
        <w:t xml:space="preserve"> cannot be recommended for routine use in the NHS</w:t>
      </w:r>
    </w:p>
    <w:p w14:paraId="3EEADCB0" w14:textId="16637CE7" w:rsidR="00E20595" w:rsidRPr="0029324A" w:rsidRDefault="0066643A" w:rsidP="002C222F">
      <w:pPr>
        <w:pStyle w:val="Numberedlevel2text"/>
      </w:pPr>
      <w:r w:rsidRPr="0029324A">
        <w:t>Lack of e</w:t>
      </w:r>
      <w:r w:rsidR="006F0EF7" w:rsidRPr="0029324A">
        <w:t xml:space="preserve">vidence </w:t>
      </w:r>
      <w:r w:rsidRPr="0029324A">
        <w:t xml:space="preserve">on the prognostic ability, </w:t>
      </w:r>
      <w:r w:rsidR="00990E54" w:rsidRPr="0029324A">
        <w:t xml:space="preserve">the </w:t>
      </w:r>
      <w:r w:rsidR="00D676A2" w:rsidRPr="0029324A">
        <w:t xml:space="preserve">effect </w:t>
      </w:r>
      <w:r w:rsidRPr="0029324A">
        <w:t>on treatment decisions and clinical</w:t>
      </w:r>
      <w:r w:rsidR="004D136F" w:rsidRPr="0029324A">
        <w:t xml:space="preserve"> outcomes</w:t>
      </w:r>
      <w:r w:rsidRPr="0029324A">
        <w:t xml:space="preserve"> </w:t>
      </w:r>
      <w:r w:rsidR="004D136F" w:rsidRPr="0029324A">
        <w:t xml:space="preserve">(see sections </w:t>
      </w:r>
      <w:r w:rsidR="004D136F" w:rsidRPr="0029324A">
        <w:fldChar w:fldCharType="begin"/>
      </w:r>
      <w:r w:rsidR="004D136F" w:rsidRPr="0029324A">
        <w:instrText xml:space="preserve"> REF _Ref48154980 \r \h </w:instrText>
      </w:r>
      <w:r w:rsidR="004D136F" w:rsidRPr="0029324A">
        <w:fldChar w:fldCharType="separate"/>
      </w:r>
      <w:r w:rsidR="004D136F" w:rsidRPr="0029324A">
        <w:t>4.4</w:t>
      </w:r>
      <w:r w:rsidR="004D136F" w:rsidRPr="0029324A">
        <w:fldChar w:fldCharType="end"/>
      </w:r>
      <w:r w:rsidR="004D136F" w:rsidRPr="0029324A">
        <w:t xml:space="preserve"> to </w:t>
      </w:r>
      <w:r w:rsidR="004D136F" w:rsidRPr="0029324A">
        <w:fldChar w:fldCharType="begin"/>
      </w:r>
      <w:r w:rsidR="004D136F" w:rsidRPr="0029324A">
        <w:instrText xml:space="preserve"> REF _Ref48631363 \r \h </w:instrText>
      </w:r>
      <w:r w:rsidR="004D136F" w:rsidRPr="0029324A">
        <w:fldChar w:fldCharType="separate"/>
      </w:r>
      <w:r w:rsidR="004D136F" w:rsidRPr="0029324A">
        <w:t>4.6</w:t>
      </w:r>
      <w:r w:rsidR="004D136F" w:rsidRPr="0029324A">
        <w:fldChar w:fldCharType="end"/>
      </w:r>
      <w:r w:rsidR="004D136F" w:rsidRPr="0029324A">
        <w:t xml:space="preserve">) </w:t>
      </w:r>
      <w:r w:rsidRPr="0029324A">
        <w:t>of the</w:t>
      </w:r>
      <w:r w:rsidR="006F0EF7" w:rsidRPr="0029324A">
        <w:t xml:space="preserve"> PredictSURE IBD and IBDX</w:t>
      </w:r>
      <w:r w:rsidRPr="0029324A">
        <w:t xml:space="preserve"> tests makes it difficult to assess the cost effectiveness of the tests </w:t>
      </w:r>
      <w:r w:rsidR="00990E54" w:rsidRPr="0029324A">
        <w:t>for assigning people to top</w:t>
      </w:r>
      <w:r w:rsidR="00E20595" w:rsidRPr="0029324A">
        <w:t>-</w:t>
      </w:r>
      <w:r w:rsidR="00990E54" w:rsidRPr="0029324A">
        <w:t>down or step</w:t>
      </w:r>
      <w:r w:rsidR="00E20595" w:rsidRPr="0029324A">
        <w:t>-</w:t>
      </w:r>
      <w:r w:rsidR="00990E54" w:rsidRPr="0029324A">
        <w:t>up treatment</w:t>
      </w:r>
      <w:r w:rsidRPr="0029324A">
        <w:t xml:space="preserve">. </w:t>
      </w:r>
      <w:r w:rsidR="006075ED" w:rsidRPr="0029324A">
        <w:t xml:space="preserve">The base case model was based on data for PredictSURE IBD. IBDX was only included in an exploratory scenario analysis (see section </w:t>
      </w:r>
      <w:r w:rsidR="006075ED" w:rsidRPr="0029324A">
        <w:fldChar w:fldCharType="begin"/>
      </w:r>
      <w:r w:rsidR="006075ED" w:rsidRPr="0029324A">
        <w:instrText xml:space="preserve"> REF _Ref48662575 \r \h </w:instrText>
      </w:r>
      <w:r w:rsidR="006075ED" w:rsidRPr="0029324A">
        <w:fldChar w:fldCharType="separate"/>
      </w:r>
      <w:r w:rsidR="006075ED" w:rsidRPr="0029324A">
        <w:t>3.13</w:t>
      </w:r>
      <w:r w:rsidR="006075ED" w:rsidRPr="0029324A">
        <w:fldChar w:fldCharType="end"/>
      </w:r>
      <w:r w:rsidR="006075ED" w:rsidRPr="0029324A">
        <w:t>). I</w:t>
      </w:r>
      <w:r w:rsidR="0063393A" w:rsidRPr="0029324A">
        <w:t>ssues</w:t>
      </w:r>
      <w:r w:rsidR="00990E54" w:rsidRPr="0029324A">
        <w:t xml:space="preserve"> in the modelling </w:t>
      </w:r>
      <w:r w:rsidR="001776E9" w:rsidRPr="0029324A">
        <w:t xml:space="preserve">(see sections </w:t>
      </w:r>
      <w:r w:rsidR="001776E9" w:rsidRPr="0029324A">
        <w:fldChar w:fldCharType="begin"/>
      </w:r>
      <w:r w:rsidR="001776E9" w:rsidRPr="0029324A">
        <w:instrText xml:space="preserve"> REF _Ref48563152 \r \h </w:instrText>
      </w:r>
      <w:r w:rsidR="001776E9" w:rsidRPr="0029324A">
        <w:fldChar w:fldCharType="separate"/>
      </w:r>
      <w:r w:rsidR="001776E9" w:rsidRPr="0029324A">
        <w:t>4.7</w:t>
      </w:r>
      <w:r w:rsidR="001776E9" w:rsidRPr="0029324A">
        <w:fldChar w:fldCharType="end"/>
      </w:r>
      <w:r w:rsidR="001776E9" w:rsidRPr="0029324A">
        <w:t xml:space="preserve"> to </w:t>
      </w:r>
      <w:r w:rsidR="001776E9" w:rsidRPr="0029324A">
        <w:fldChar w:fldCharType="begin"/>
      </w:r>
      <w:r w:rsidR="001776E9" w:rsidRPr="0029324A">
        <w:instrText xml:space="preserve"> REF _Ref48632339 \r \h </w:instrText>
      </w:r>
      <w:r w:rsidR="001776E9" w:rsidRPr="0029324A">
        <w:fldChar w:fldCharType="separate"/>
      </w:r>
      <w:r w:rsidR="001776E9" w:rsidRPr="0029324A">
        <w:t>4.10</w:t>
      </w:r>
      <w:r w:rsidR="001776E9" w:rsidRPr="0029324A">
        <w:fldChar w:fldCharType="end"/>
      </w:r>
      <w:r w:rsidR="001776E9" w:rsidRPr="0029324A">
        <w:t xml:space="preserve">) </w:t>
      </w:r>
      <w:r w:rsidR="006075ED" w:rsidRPr="0029324A">
        <w:t>relate to</w:t>
      </w:r>
      <w:r w:rsidR="00E20595" w:rsidRPr="0029324A">
        <w:t>:</w:t>
      </w:r>
    </w:p>
    <w:p w14:paraId="25C81A80" w14:textId="24CA162D" w:rsidR="00E20595" w:rsidRPr="0029324A" w:rsidRDefault="006075ED" w:rsidP="00E20595">
      <w:pPr>
        <w:pStyle w:val="Bulletindent1"/>
        <w:rPr>
          <w:lang w:val="en-GB"/>
        </w:rPr>
      </w:pPr>
      <w:r w:rsidRPr="0029324A">
        <w:rPr>
          <w:lang w:val="en-GB"/>
        </w:rPr>
        <w:t>the</w:t>
      </w:r>
      <w:r w:rsidR="0063393A" w:rsidRPr="0029324A">
        <w:rPr>
          <w:lang w:val="en-GB"/>
        </w:rPr>
        <w:t xml:space="preserve"> effectiveness of </w:t>
      </w:r>
      <w:r w:rsidR="00E20595" w:rsidRPr="0029324A">
        <w:rPr>
          <w:lang w:val="en-GB"/>
        </w:rPr>
        <w:t xml:space="preserve">the </w:t>
      </w:r>
      <w:r w:rsidR="0063393A" w:rsidRPr="0029324A">
        <w:rPr>
          <w:lang w:val="en-GB"/>
        </w:rPr>
        <w:t>top</w:t>
      </w:r>
      <w:r w:rsidR="00E20595" w:rsidRPr="0029324A">
        <w:rPr>
          <w:lang w:val="en-GB"/>
        </w:rPr>
        <w:t>-</w:t>
      </w:r>
      <w:r w:rsidR="0063393A" w:rsidRPr="0029324A">
        <w:rPr>
          <w:lang w:val="en-GB"/>
        </w:rPr>
        <w:t>down strategy</w:t>
      </w:r>
    </w:p>
    <w:p w14:paraId="14A029E7" w14:textId="77C17CA2" w:rsidR="00E20595" w:rsidRPr="0029324A" w:rsidRDefault="00E20595" w:rsidP="00E20595">
      <w:pPr>
        <w:pStyle w:val="Bulletindent1"/>
        <w:rPr>
          <w:lang w:val="en-GB"/>
        </w:rPr>
      </w:pPr>
      <w:r w:rsidRPr="0029324A">
        <w:rPr>
          <w:lang w:val="en-GB"/>
        </w:rPr>
        <w:t xml:space="preserve">the </w:t>
      </w:r>
      <w:r w:rsidR="006075ED" w:rsidRPr="0029324A">
        <w:rPr>
          <w:lang w:val="en-GB"/>
        </w:rPr>
        <w:t xml:space="preserve">assumed </w:t>
      </w:r>
      <w:r w:rsidR="007F1AA8" w:rsidRPr="0029324A">
        <w:rPr>
          <w:lang w:val="en-GB"/>
        </w:rPr>
        <w:t>equivalence in prognostic accuracy of both tools</w:t>
      </w:r>
    </w:p>
    <w:p w14:paraId="3723ACBE" w14:textId="7EAF3B78" w:rsidR="00736DD8" w:rsidRPr="0029324A" w:rsidRDefault="007F1AA8" w:rsidP="00E20595">
      <w:pPr>
        <w:pStyle w:val="Bulletindent1last"/>
      </w:pPr>
      <w:r w:rsidRPr="0029324A">
        <w:t xml:space="preserve">how appropriate the </w:t>
      </w:r>
      <w:r w:rsidR="0063393A" w:rsidRPr="0029324A">
        <w:t>sequence modelled</w:t>
      </w:r>
      <w:r w:rsidR="00FB7E28" w:rsidRPr="0029324A">
        <w:t xml:space="preserve"> </w:t>
      </w:r>
      <w:r w:rsidRPr="0029324A">
        <w:t xml:space="preserve">is </w:t>
      </w:r>
      <w:r w:rsidR="00437940" w:rsidRPr="0029324A">
        <w:t xml:space="preserve">to all </w:t>
      </w:r>
      <w:r w:rsidR="00E20595" w:rsidRPr="0029324A">
        <w:t xml:space="preserve">people with </w:t>
      </w:r>
      <w:r w:rsidR="00437940" w:rsidRPr="0029324A">
        <w:t>Crohn’s disease</w:t>
      </w:r>
      <w:r w:rsidR="00133FE0" w:rsidRPr="0029324A">
        <w:t xml:space="preserve">. </w:t>
      </w:r>
      <w:r w:rsidR="00E20595" w:rsidRPr="0029324A">
        <w:br/>
      </w:r>
      <w:r w:rsidR="00E20595" w:rsidRPr="0029324A">
        <w:br/>
      </w:r>
      <w:r w:rsidR="00133FE0" w:rsidRPr="0029324A">
        <w:t>These</w:t>
      </w:r>
      <w:r w:rsidR="00E20595" w:rsidRPr="0029324A">
        <w:t>,</w:t>
      </w:r>
      <w:r w:rsidRPr="0029324A">
        <w:t xml:space="preserve"> and the </w:t>
      </w:r>
      <w:r w:rsidR="001776E9" w:rsidRPr="0029324A">
        <w:t xml:space="preserve">many </w:t>
      </w:r>
      <w:r w:rsidRPr="0029324A">
        <w:t xml:space="preserve">assumptions needed to link </w:t>
      </w:r>
      <w:r w:rsidR="00E20595" w:rsidRPr="0029324A">
        <w:t xml:space="preserve">the </w:t>
      </w:r>
      <w:r w:rsidRPr="0029324A">
        <w:t>data because of limited evidence</w:t>
      </w:r>
      <w:r w:rsidR="001776E9" w:rsidRPr="0029324A">
        <w:t>,</w:t>
      </w:r>
      <w:r w:rsidRPr="0029324A">
        <w:t xml:space="preserve"> </w:t>
      </w:r>
      <w:r w:rsidR="00E20595" w:rsidRPr="0029324A">
        <w:t xml:space="preserve">make </w:t>
      </w:r>
      <w:r w:rsidR="001776E9" w:rsidRPr="0029324A">
        <w:t>the cost effectiveness of</w:t>
      </w:r>
      <w:r w:rsidR="00225785" w:rsidRPr="0029324A">
        <w:t xml:space="preserve"> the tests </w:t>
      </w:r>
      <w:r w:rsidR="00AB3786" w:rsidRPr="0029324A">
        <w:t>to</w:t>
      </w:r>
      <w:r w:rsidR="00225785" w:rsidRPr="0029324A">
        <w:t xml:space="preserve"> the NHS</w:t>
      </w:r>
      <w:r w:rsidR="00E20595" w:rsidRPr="0029324A">
        <w:t xml:space="preserve"> </w:t>
      </w:r>
      <w:r w:rsidR="00E20595" w:rsidRPr="0029324A">
        <w:lastRenderedPageBreak/>
        <w:t>uncertain</w:t>
      </w:r>
      <w:r w:rsidR="00225785" w:rsidRPr="0029324A">
        <w:t>.</w:t>
      </w:r>
      <w:r w:rsidR="001776E9" w:rsidRPr="0029324A">
        <w:t xml:space="preserve"> In the absence of </w:t>
      </w:r>
      <w:r w:rsidR="00852AB3" w:rsidRPr="0029324A">
        <w:t xml:space="preserve">the </w:t>
      </w:r>
      <w:r w:rsidR="001776E9" w:rsidRPr="0029324A">
        <w:t xml:space="preserve">evidence the committee </w:t>
      </w:r>
      <w:r w:rsidR="00852AB3" w:rsidRPr="0029324A">
        <w:t xml:space="preserve">would have liked to see </w:t>
      </w:r>
      <w:r w:rsidR="001776E9" w:rsidRPr="0029324A">
        <w:t xml:space="preserve">(see section </w:t>
      </w:r>
      <w:r w:rsidR="001776E9" w:rsidRPr="0029324A">
        <w:fldChar w:fldCharType="begin"/>
      </w:r>
      <w:r w:rsidR="001776E9" w:rsidRPr="0029324A">
        <w:instrText xml:space="preserve"> REF _Ref48632794 \r \h </w:instrText>
      </w:r>
      <w:r w:rsidR="001776E9" w:rsidRPr="0029324A">
        <w:fldChar w:fldCharType="separate"/>
      </w:r>
      <w:r w:rsidR="001776E9" w:rsidRPr="0029324A">
        <w:t>5</w:t>
      </w:r>
      <w:r w:rsidR="001776E9" w:rsidRPr="0029324A">
        <w:fldChar w:fldCharType="end"/>
      </w:r>
      <w:r w:rsidR="001776E9" w:rsidRPr="0029324A">
        <w:t>), changes to the model at this time would not change the overall conclusion.</w:t>
      </w:r>
    </w:p>
    <w:p w14:paraId="1A1A0EAB" w14:textId="1F43EF45" w:rsidR="00091DC3" w:rsidRPr="0029324A" w:rsidRDefault="00091DC3" w:rsidP="00F0467D">
      <w:pPr>
        <w:pStyle w:val="Numberedheading1"/>
      </w:pPr>
      <w:bookmarkStart w:id="26" w:name="_Ref48632794"/>
      <w:r w:rsidRPr="0029324A">
        <w:t>Recommendations for further research</w:t>
      </w:r>
      <w:bookmarkEnd w:id="26"/>
    </w:p>
    <w:p w14:paraId="4A74043E" w14:textId="68298FEC" w:rsidR="000D2A90" w:rsidRPr="0029324A" w:rsidRDefault="00A342C5" w:rsidP="00F0467D">
      <w:pPr>
        <w:pStyle w:val="Numberedlevel2text"/>
      </w:pPr>
      <w:bookmarkStart w:id="27" w:name="_Ref47693203"/>
      <w:r w:rsidRPr="0029324A">
        <w:t xml:space="preserve">The committee recommended </w:t>
      </w:r>
      <w:r w:rsidR="000D2A90" w:rsidRPr="0029324A">
        <w:t xml:space="preserve">more </w:t>
      </w:r>
      <w:r w:rsidRPr="0029324A">
        <w:t>research on</w:t>
      </w:r>
      <w:r w:rsidR="000D2A90" w:rsidRPr="0029324A">
        <w:t>:</w:t>
      </w:r>
    </w:p>
    <w:p w14:paraId="5E9D78C7" w14:textId="7BE1ABCB" w:rsidR="000D2A90" w:rsidRPr="0029324A" w:rsidRDefault="00A342C5" w:rsidP="00EB3F7F">
      <w:pPr>
        <w:pStyle w:val="Bulletindent1"/>
        <w:rPr>
          <w:lang w:val="en-GB"/>
        </w:rPr>
      </w:pPr>
      <w:r w:rsidRPr="0029324A">
        <w:rPr>
          <w:lang w:val="en-GB"/>
        </w:rPr>
        <w:t xml:space="preserve">the accuracy of PredictSURE IBD and IBDX </w:t>
      </w:r>
      <w:r w:rsidR="00E20595" w:rsidRPr="0029324A">
        <w:rPr>
          <w:lang w:val="en-GB"/>
        </w:rPr>
        <w:t xml:space="preserve">in identifying </w:t>
      </w:r>
      <w:r w:rsidRPr="0029324A">
        <w:rPr>
          <w:lang w:val="en-GB"/>
        </w:rPr>
        <w:t xml:space="preserve">people </w:t>
      </w:r>
      <w:r w:rsidR="00E20595" w:rsidRPr="0029324A">
        <w:rPr>
          <w:lang w:val="en-GB"/>
        </w:rPr>
        <w:t xml:space="preserve">at </w:t>
      </w:r>
      <w:r w:rsidRPr="0029324A">
        <w:rPr>
          <w:lang w:val="en-GB"/>
        </w:rPr>
        <w:t xml:space="preserve">high or low risk of severe </w:t>
      </w:r>
      <w:r w:rsidR="002C38BC" w:rsidRPr="0029324A">
        <w:rPr>
          <w:lang w:val="en-GB"/>
        </w:rPr>
        <w:t xml:space="preserve">Crohn’s </w:t>
      </w:r>
      <w:r w:rsidRPr="0029324A">
        <w:rPr>
          <w:lang w:val="en-GB"/>
        </w:rPr>
        <w:t>disease</w:t>
      </w:r>
      <w:bookmarkStart w:id="28" w:name="_Ref47693496"/>
      <w:bookmarkEnd w:id="27"/>
    </w:p>
    <w:p w14:paraId="6F558B24" w14:textId="1B887C44" w:rsidR="000D2A90" w:rsidRPr="0029324A" w:rsidRDefault="000D2A90" w:rsidP="00EB3F7F">
      <w:pPr>
        <w:pStyle w:val="Bulletindent1"/>
        <w:rPr>
          <w:lang w:val="en-GB"/>
        </w:rPr>
      </w:pPr>
      <w:r w:rsidRPr="0029324A">
        <w:rPr>
          <w:lang w:val="en-GB"/>
        </w:rPr>
        <w:t xml:space="preserve">how </w:t>
      </w:r>
      <w:r w:rsidR="00D246CA" w:rsidRPr="0029324A">
        <w:rPr>
          <w:lang w:val="en-GB"/>
        </w:rPr>
        <w:t>PredictSURE IBD and IBDX</w:t>
      </w:r>
      <w:r w:rsidR="002C38BC" w:rsidRPr="0029324A">
        <w:rPr>
          <w:lang w:val="en-GB"/>
        </w:rPr>
        <w:t>, when used alongside clinical features,</w:t>
      </w:r>
      <w:r w:rsidR="00D246CA" w:rsidRPr="0029324A">
        <w:rPr>
          <w:lang w:val="en-GB"/>
        </w:rPr>
        <w:t xml:space="preserve"> </w:t>
      </w:r>
      <w:r w:rsidRPr="0029324A">
        <w:rPr>
          <w:lang w:val="en-GB"/>
        </w:rPr>
        <w:t xml:space="preserve">affect </w:t>
      </w:r>
      <w:r w:rsidR="00D75745" w:rsidRPr="0029324A">
        <w:rPr>
          <w:lang w:val="en-GB"/>
        </w:rPr>
        <w:t xml:space="preserve">clinical </w:t>
      </w:r>
      <w:r w:rsidR="00D246CA" w:rsidRPr="0029324A">
        <w:rPr>
          <w:lang w:val="en-GB"/>
        </w:rPr>
        <w:t xml:space="preserve">decisions </w:t>
      </w:r>
      <w:r w:rsidRPr="0029324A">
        <w:rPr>
          <w:lang w:val="en-GB"/>
        </w:rPr>
        <w:t>about</w:t>
      </w:r>
      <w:r w:rsidR="00D246CA" w:rsidRPr="0029324A">
        <w:rPr>
          <w:lang w:val="en-GB"/>
        </w:rPr>
        <w:t xml:space="preserve"> </w:t>
      </w:r>
      <w:r w:rsidRPr="0029324A">
        <w:rPr>
          <w:lang w:val="en-GB"/>
        </w:rPr>
        <w:t xml:space="preserve">whether step-up or top-down </w:t>
      </w:r>
      <w:r w:rsidR="00D246CA" w:rsidRPr="0029324A">
        <w:rPr>
          <w:lang w:val="en-GB"/>
        </w:rPr>
        <w:t>treatment</w:t>
      </w:r>
      <w:r w:rsidR="001B749F" w:rsidRPr="0029324A">
        <w:rPr>
          <w:lang w:val="en-GB"/>
        </w:rPr>
        <w:t xml:space="preserve"> is </w:t>
      </w:r>
      <w:r w:rsidRPr="0029324A">
        <w:rPr>
          <w:lang w:val="en-GB"/>
        </w:rPr>
        <w:t>offered</w:t>
      </w:r>
      <w:bookmarkStart w:id="29" w:name="_Ref47693598"/>
      <w:bookmarkEnd w:id="28"/>
    </w:p>
    <w:p w14:paraId="6A9BE3E4" w14:textId="7F968512" w:rsidR="00A342C5" w:rsidRPr="0029324A" w:rsidRDefault="000D2A90" w:rsidP="000D2A90">
      <w:pPr>
        <w:pStyle w:val="Bulletindent1last"/>
      </w:pPr>
      <w:r w:rsidRPr="0029324A">
        <w:t>how</w:t>
      </w:r>
      <w:r w:rsidR="00A342C5" w:rsidRPr="0029324A">
        <w:t xml:space="preserve"> </w:t>
      </w:r>
      <w:r w:rsidR="00DA506E" w:rsidRPr="0029324A">
        <w:t xml:space="preserve">PredictSURE IBD and IBDX </w:t>
      </w:r>
      <w:r w:rsidRPr="0029324A">
        <w:t xml:space="preserve">affect </w:t>
      </w:r>
      <w:r w:rsidR="00A342C5" w:rsidRPr="0029324A">
        <w:t>clinical outcomes</w:t>
      </w:r>
      <w:r w:rsidRPr="0029324A">
        <w:t xml:space="preserve"> once someone has been</w:t>
      </w:r>
      <w:r w:rsidR="001B749F" w:rsidRPr="0029324A">
        <w:t xml:space="preserve"> assigned to top</w:t>
      </w:r>
      <w:r w:rsidRPr="0029324A">
        <w:t>-</w:t>
      </w:r>
      <w:r w:rsidR="001B749F" w:rsidRPr="0029324A">
        <w:t>down or step</w:t>
      </w:r>
      <w:r w:rsidRPr="0029324A">
        <w:t>-</w:t>
      </w:r>
      <w:r w:rsidR="001B749F" w:rsidRPr="0029324A">
        <w:t xml:space="preserve">up </w:t>
      </w:r>
      <w:r w:rsidRPr="0029324A">
        <w:t xml:space="preserve">treatment, </w:t>
      </w:r>
      <w:proofErr w:type="gramStart"/>
      <w:r w:rsidRPr="0029324A">
        <w:t>taking into account</w:t>
      </w:r>
      <w:proofErr w:type="gramEnd"/>
      <w:r w:rsidRPr="0029324A">
        <w:t xml:space="preserve"> </w:t>
      </w:r>
      <w:bookmarkEnd w:id="29"/>
      <w:r w:rsidR="000C54E9" w:rsidRPr="0029324A">
        <w:t xml:space="preserve">the </w:t>
      </w:r>
      <w:r w:rsidR="001B749F" w:rsidRPr="0029324A">
        <w:t xml:space="preserve">different </w:t>
      </w:r>
      <w:r w:rsidR="000C54E9" w:rsidRPr="0029324A">
        <w:t>pathways that children and adults may follow.</w:t>
      </w:r>
    </w:p>
    <w:p w14:paraId="7305BDA9" w14:textId="77777777" w:rsidR="00091DC3" w:rsidRPr="0029324A" w:rsidRDefault="00091DC3" w:rsidP="00F0467D">
      <w:pPr>
        <w:pStyle w:val="Numberedheading1"/>
        <w:numPr>
          <w:ilvl w:val="0"/>
          <w:numId w:val="32"/>
        </w:numPr>
      </w:pPr>
      <w:r w:rsidRPr="0029324A">
        <w:t>Implementation</w:t>
      </w:r>
    </w:p>
    <w:p w14:paraId="3E49E00D" w14:textId="77777777" w:rsidR="00091DC3" w:rsidRPr="0029324A" w:rsidRDefault="00091DC3" w:rsidP="005A33B8">
      <w:pPr>
        <w:pStyle w:val="NICEnormal"/>
      </w:pPr>
      <w:r w:rsidRPr="0029324A">
        <w:t>NICE intends to develop tools, in association with relevant stakeholders, to help organisations put this guidance into practice.</w:t>
      </w:r>
    </w:p>
    <w:p w14:paraId="31C9FD67" w14:textId="77777777" w:rsidR="00091DC3" w:rsidRPr="0029324A" w:rsidRDefault="00091DC3" w:rsidP="005A33B8">
      <w:pPr>
        <w:pStyle w:val="NICEnormal"/>
      </w:pPr>
      <w:r w:rsidRPr="0029324A">
        <w:t xml:space="preserve">In </w:t>
      </w:r>
      <w:proofErr w:type="gramStart"/>
      <w:r w:rsidRPr="0029324A">
        <w:t>addition</w:t>
      </w:r>
      <w:proofErr w:type="gramEnd"/>
      <w:r w:rsidRPr="0029324A">
        <w:t xml:space="preserve"> NICE will support this guidance through a range of activities to promote the recommendations for further research. The research proposed will be considered by the NICE Medical Technologies Evaluation Programme research facilitation team for develop</w:t>
      </w:r>
      <w:r w:rsidR="008668DF" w:rsidRPr="0029324A">
        <w:t>ing</w:t>
      </w:r>
      <w:r w:rsidRPr="0029324A">
        <w:t xml:space="preserve"> specific research study protocols as appropriate. NICE will also incorporate the rese</w:t>
      </w:r>
      <w:r w:rsidR="00793FA0" w:rsidRPr="0029324A">
        <w:t>arch recommendations in section 5</w:t>
      </w:r>
      <w:r w:rsidRPr="0029324A">
        <w:t xml:space="preserve"> into its </w:t>
      </w:r>
      <w:hyperlink r:id="rId19" w:history="1">
        <w:r w:rsidRPr="0029324A">
          <w:rPr>
            <w:rStyle w:val="Hyperlink"/>
          </w:rPr>
          <w:t>guidance research recommendations database</w:t>
        </w:r>
      </w:hyperlink>
      <w:r w:rsidRPr="0029324A">
        <w:t xml:space="preserve"> and highlight these recommendations to public research bodies.</w:t>
      </w:r>
    </w:p>
    <w:p w14:paraId="2D0B291E" w14:textId="7A5CAD7F" w:rsidR="00091DC3" w:rsidRPr="0029324A" w:rsidRDefault="00091DC3" w:rsidP="00F0467D">
      <w:pPr>
        <w:pStyle w:val="Numberedheading1"/>
      </w:pPr>
      <w:r w:rsidRPr="0029324A">
        <w:t>Review</w:t>
      </w:r>
    </w:p>
    <w:p w14:paraId="20352F6E" w14:textId="77777777" w:rsidR="00091DC3" w:rsidRPr="0029324A" w:rsidRDefault="00091DC3" w:rsidP="005A33B8">
      <w:pPr>
        <w:pStyle w:val="NICEnormal"/>
      </w:pPr>
      <w:r w:rsidRPr="0029324A">
        <w:t>NICE reviews the evidence 3 years after publication to ensure that any relevant new evidence is identified. However, NICE may review and update the guidance at any time if significant new evidence becomes available.</w:t>
      </w:r>
    </w:p>
    <w:p w14:paraId="33694609" w14:textId="77777777" w:rsidR="00091DC3" w:rsidRPr="0029324A" w:rsidRDefault="00091DC3" w:rsidP="005A33B8">
      <w:pPr>
        <w:pStyle w:val="NICEnormalsinglespacing"/>
      </w:pPr>
      <w:r w:rsidRPr="0029324A">
        <w:lastRenderedPageBreak/>
        <w:t>Mark Kroese</w:t>
      </w:r>
    </w:p>
    <w:p w14:paraId="68B08E26" w14:textId="77777777" w:rsidR="00091DC3" w:rsidRPr="0029324A" w:rsidRDefault="00091DC3" w:rsidP="005A33B8">
      <w:pPr>
        <w:pStyle w:val="NICEnormalsinglespacing"/>
      </w:pPr>
      <w:r w:rsidRPr="0029324A">
        <w:t>Chair, diagnostics advisory committee</w:t>
      </w:r>
    </w:p>
    <w:p w14:paraId="584A4190" w14:textId="08A76571" w:rsidR="00091DC3" w:rsidRPr="0029324A" w:rsidRDefault="00F82BD4" w:rsidP="005A33B8">
      <w:pPr>
        <w:pStyle w:val="NICEnormalsinglespacing"/>
      </w:pPr>
      <w:r w:rsidRPr="0029324A">
        <w:t>August 2020</w:t>
      </w:r>
    </w:p>
    <w:p w14:paraId="33C21186" w14:textId="70257D3B" w:rsidR="00091DC3" w:rsidRPr="0029324A" w:rsidRDefault="00091DC3" w:rsidP="00F0467D">
      <w:pPr>
        <w:pStyle w:val="Numberedheading1"/>
      </w:pPr>
      <w:r w:rsidRPr="0029324A">
        <w:t>Diagnostics advisory committee members and NICE project team</w:t>
      </w:r>
    </w:p>
    <w:p w14:paraId="3726FDD9" w14:textId="77777777" w:rsidR="00091DC3" w:rsidRPr="0029324A" w:rsidRDefault="00091DC3" w:rsidP="005A33B8">
      <w:pPr>
        <w:pStyle w:val="Heading2"/>
      </w:pPr>
      <w:bookmarkStart w:id="30" w:name="_Committee_members"/>
      <w:bookmarkEnd w:id="30"/>
      <w:r w:rsidRPr="0029324A">
        <w:t>Committee members</w:t>
      </w:r>
    </w:p>
    <w:p w14:paraId="6DE54233" w14:textId="77777777" w:rsidR="00091DC3" w:rsidRPr="0029324A" w:rsidRDefault="00091DC3" w:rsidP="005A33B8">
      <w:pPr>
        <w:pStyle w:val="NICEnormal"/>
      </w:pPr>
      <w:r w:rsidRPr="0029324A">
        <w:t xml:space="preserve">This topic was considered by the </w:t>
      </w:r>
      <w:hyperlink r:id="rId20" w:history="1">
        <w:r w:rsidRPr="0029324A">
          <w:rPr>
            <w:rStyle w:val="Hyperlink"/>
          </w:rPr>
          <w:t>diagnostics advisory committee</w:t>
        </w:r>
      </w:hyperlink>
      <w:r w:rsidRPr="0029324A">
        <w:t>, which is a standing advisory committee of NICE.</w:t>
      </w:r>
    </w:p>
    <w:p w14:paraId="0F298C9A" w14:textId="77777777" w:rsidR="00091DC3" w:rsidRPr="0029324A" w:rsidRDefault="00091DC3" w:rsidP="005A33B8">
      <w:pPr>
        <w:pStyle w:val="NICEnormal"/>
      </w:pPr>
      <w:r w:rsidRPr="0029324A">
        <w:t>Committee members are asked to declare any interests in the test to be a</w:t>
      </w:r>
      <w:r w:rsidR="0008146D" w:rsidRPr="0029324A">
        <w:t>ssessed</w:t>
      </w:r>
      <w:r w:rsidRPr="0029324A">
        <w:t>. If it is considered there is a conflict of interest, the member is excluded from participating further in that a</w:t>
      </w:r>
      <w:r w:rsidR="0008146D" w:rsidRPr="0029324A">
        <w:t>ssessment</w:t>
      </w:r>
      <w:r w:rsidRPr="0029324A">
        <w:t>.</w:t>
      </w:r>
    </w:p>
    <w:p w14:paraId="0F106467" w14:textId="77777777" w:rsidR="0082330C" w:rsidRPr="0029324A" w:rsidRDefault="0082330C" w:rsidP="0082330C">
      <w:pPr>
        <w:pStyle w:val="NICEnormal"/>
      </w:pPr>
      <w:r w:rsidRPr="0029324A">
        <w:t xml:space="preserve">The </w:t>
      </w:r>
      <w:hyperlink r:id="rId21" w:history="1">
        <w:r w:rsidRPr="0029324A">
          <w:rPr>
            <w:rStyle w:val="Hyperlink"/>
          </w:rPr>
          <w:t>minutes of each committee meeting</w:t>
        </w:r>
      </w:hyperlink>
      <w:r w:rsidRPr="0029324A">
        <w:t>, which include the names of the members who attended and their declarations of interests, are posted on the NICE website.</w:t>
      </w:r>
    </w:p>
    <w:p w14:paraId="4DAA0307" w14:textId="3DCA3AF1" w:rsidR="00091DC3" w:rsidRPr="0029324A" w:rsidRDefault="00091DC3" w:rsidP="005A33B8">
      <w:pPr>
        <w:pStyle w:val="NICEnormal"/>
      </w:pPr>
      <w:r w:rsidRPr="0029324A">
        <w:t>Additional specialist committee members took part in the discussions for this topic:</w:t>
      </w:r>
    </w:p>
    <w:p w14:paraId="0E430614" w14:textId="77777777" w:rsidR="00091DC3" w:rsidRPr="0029324A" w:rsidRDefault="00091DC3" w:rsidP="005A33B8">
      <w:pPr>
        <w:pStyle w:val="Heading3"/>
      </w:pPr>
      <w:r w:rsidRPr="0029324A">
        <w:t>Specialist committee members</w:t>
      </w:r>
    </w:p>
    <w:p w14:paraId="3C4CDB46" w14:textId="1E2776F1" w:rsidR="00091DC3" w:rsidRPr="0029324A" w:rsidRDefault="00614CBC" w:rsidP="005A33B8">
      <w:pPr>
        <w:pStyle w:val="NICEnormal"/>
      </w:pPr>
      <w:r w:rsidRPr="0029324A">
        <w:rPr>
          <w:b/>
          <w:bCs/>
        </w:rPr>
        <w:t>Professor Shaji Sebas</w:t>
      </w:r>
      <w:r w:rsidR="002B0BE2" w:rsidRPr="0029324A">
        <w:rPr>
          <w:b/>
          <w:bCs/>
        </w:rPr>
        <w:t>tian</w:t>
      </w:r>
      <w:r w:rsidR="005A33B8" w:rsidRPr="0029324A">
        <w:rPr>
          <w:b/>
          <w:bCs/>
        </w:rPr>
        <w:br/>
      </w:r>
      <w:r w:rsidR="002B0BE2" w:rsidRPr="0029324A">
        <w:t>Consultant Gastroenterologist, Hull Teaching Hospitals NHS Trust</w:t>
      </w:r>
    </w:p>
    <w:p w14:paraId="1D24704C" w14:textId="36E945E9" w:rsidR="005B4152" w:rsidRPr="0029324A" w:rsidRDefault="005B4152" w:rsidP="005B4152">
      <w:pPr>
        <w:pStyle w:val="NICEnormal"/>
      </w:pPr>
      <w:r w:rsidRPr="0029324A">
        <w:rPr>
          <w:b/>
          <w:bCs/>
        </w:rPr>
        <w:t>Professor Jack Satsangi</w:t>
      </w:r>
      <w:r w:rsidRPr="0029324A">
        <w:rPr>
          <w:b/>
          <w:bCs/>
        </w:rPr>
        <w:br/>
      </w:r>
      <w:r w:rsidRPr="0029324A">
        <w:t>Professor of Gastroenterology, University of Oxford</w:t>
      </w:r>
    </w:p>
    <w:p w14:paraId="458B7BD4" w14:textId="6B3C52CC" w:rsidR="005B4152" w:rsidRPr="0029324A" w:rsidRDefault="005B4152" w:rsidP="005A33B8">
      <w:pPr>
        <w:pStyle w:val="NICEnormal"/>
      </w:pPr>
      <w:r w:rsidRPr="0029324A">
        <w:rPr>
          <w:b/>
          <w:bCs/>
        </w:rPr>
        <w:t>Dr Jenny Epstein</w:t>
      </w:r>
      <w:r w:rsidRPr="0029324A">
        <w:rPr>
          <w:b/>
          <w:bCs/>
        </w:rPr>
        <w:br/>
      </w:r>
      <w:r w:rsidRPr="0029324A">
        <w:t xml:space="preserve">Consultant Paediatric Gastroenterologist, </w:t>
      </w:r>
      <w:proofErr w:type="gramStart"/>
      <w:r w:rsidRPr="0029324A">
        <w:t>Chelsea</w:t>
      </w:r>
      <w:proofErr w:type="gramEnd"/>
      <w:r w:rsidRPr="0029324A">
        <w:t xml:space="preserve"> and Westminster Hospital</w:t>
      </w:r>
    </w:p>
    <w:p w14:paraId="4CC7892F" w14:textId="26FE9EF9" w:rsidR="005B4152" w:rsidRPr="0029324A" w:rsidRDefault="005B4152" w:rsidP="005A33B8">
      <w:pPr>
        <w:pStyle w:val="NICEnormal"/>
      </w:pPr>
      <w:r w:rsidRPr="0029324A">
        <w:rPr>
          <w:b/>
          <w:bCs/>
        </w:rPr>
        <w:t>Tracey Tyrrell</w:t>
      </w:r>
      <w:r w:rsidRPr="0029324A">
        <w:rPr>
          <w:b/>
          <w:bCs/>
        </w:rPr>
        <w:br/>
      </w:r>
      <w:r w:rsidRPr="0029324A">
        <w:t>IBS Advanced Nurse Practitioner, London North West University Healthcare Trust</w:t>
      </w:r>
    </w:p>
    <w:p w14:paraId="6B84D422" w14:textId="46066F71" w:rsidR="00091DC3" w:rsidRPr="0029324A" w:rsidRDefault="005B4152" w:rsidP="005A33B8">
      <w:pPr>
        <w:pStyle w:val="NICEnormal"/>
      </w:pPr>
      <w:bookmarkStart w:id="31" w:name="_Hlk46472983"/>
      <w:r w:rsidRPr="0029324A">
        <w:rPr>
          <w:b/>
          <w:bCs/>
        </w:rPr>
        <w:t>Rebecca Harmston</w:t>
      </w:r>
      <w:r w:rsidR="005A33B8" w:rsidRPr="0029324A">
        <w:rPr>
          <w:b/>
          <w:bCs/>
        </w:rPr>
        <w:br/>
      </w:r>
      <w:r w:rsidRPr="0029324A">
        <w:t>Lay member</w:t>
      </w:r>
    </w:p>
    <w:bookmarkEnd w:id="31"/>
    <w:p w14:paraId="61CB1609" w14:textId="12AA21FF" w:rsidR="00091DC3" w:rsidRPr="0029324A" w:rsidRDefault="005B4152" w:rsidP="005A33B8">
      <w:pPr>
        <w:pStyle w:val="NICEnormal"/>
      </w:pPr>
      <w:r w:rsidRPr="0029324A">
        <w:rPr>
          <w:b/>
          <w:bCs/>
        </w:rPr>
        <w:lastRenderedPageBreak/>
        <w:t>Zehra Arkir</w:t>
      </w:r>
      <w:r w:rsidR="005A33B8" w:rsidRPr="0029324A">
        <w:rPr>
          <w:b/>
          <w:bCs/>
        </w:rPr>
        <w:br/>
      </w:r>
      <w:r w:rsidRPr="0029324A">
        <w:t>Consultant clinical scientist (biochemist) biochemical sciences, Viapath</w:t>
      </w:r>
    </w:p>
    <w:p w14:paraId="47193082" w14:textId="77777777" w:rsidR="00091DC3" w:rsidRPr="0029324A" w:rsidRDefault="00091DC3" w:rsidP="005A33B8">
      <w:pPr>
        <w:pStyle w:val="Heading2"/>
      </w:pPr>
      <w:r w:rsidRPr="0029324A">
        <w:t>NICE project team</w:t>
      </w:r>
    </w:p>
    <w:p w14:paraId="2C66D1E1" w14:textId="77777777" w:rsidR="00091DC3" w:rsidRPr="0029324A" w:rsidRDefault="00091DC3" w:rsidP="005A33B8">
      <w:pPr>
        <w:pStyle w:val="NICEnormal"/>
      </w:pPr>
      <w:r w:rsidRPr="0029324A">
        <w:t>Each diagnostics assessment is assigned to a team consisting of a technical analyst (who acts as the topic lead), a technical adviser and a project manager.</w:t>
      </w:r>
    </w:p>
    <w:p w14:paraId="7F8E78BB" w14:textId="1576D23D" w:rsidR="00091DC3" w:rsidRPr="0029324A" w:rsidRDefault="002B0BE2" w:rsidP="005A33B8">
      <w:pPr>
        <w:pStyle w:val="NICEnormal"/>
      </w:pPr>
      <w:r w:rsidRPr="0029324A">
        <w:rPr>
          <w:b/>
          <w:bCs/>
        </w:rPr>
        <w:t>Ewa Rupniewska</w:t>
      </w:r>
      <w:r w:rsidR="005A33B8" w:rsidRPr="0029324A">
        <w:rPr>
          <w:b/>
          <w:bCs/>
        </w:rPr>
        <w:br/>
      </w:r>
      <w:r w:rsidR="00091DC3" w:rsidRPr="0029324A">
        <w:t>Topic lead</w:t>
      </w:r>
      <w:r w:rsidRPr="0029324A">
        <w:t xml:space="preserve"> (until December 2019)</w:t>
      </w:r>
    </w:p>
    <w:p w14:paraId="0A6C307A" w14:textId="6268F71E" w:rsidR="002B0BE2" w:rsidRPr="0029324A" w:rsidRDefault="002B0BE2" w:rsidP="002B0BE2">
      <w:pPr>
        <w:spacing w:after="240" w:line="360" w:lineRule="auto"/>
      </w:pPr>
      <w:r w:rsidRPr="0029324A">
        <w:rPr>
          <w:rFonts w:ascii="Arial" w:hAnsi="Arial"/>
          <w:b/>
          <w:bCs/>
        </w:rPr>
        <w:t>Tosin Oladapo</w:t>
      </w:r>
      <w:r w:rsidRPr="0029324A">
        <w:rPr>
          <w:rFonts w:ascii="Arial" w:hAnsi="Arial"/>
          <w:b/>
          <w:bCs/>
        </w:rPr>
        <w:br/>
      </w:r>
      <w:r w:rsidRPr="0029324A">
        <w:rPr>
          <w:rFonts w:ascii="Arial" w:hAnsi="Arial"/>
        </w:rPr>
        <w:t>Topic lead (from February 2020)</w:t>
      </w:r>
    </w:p>
    <w:p w14:paraId="17BA8F87" w14:textId="6EB12014" w:rsidR="00091DC3" w:rsidRPr="0029324A" w:rsidRDefault="002B0BE2" w:rsidP="005A33B8">
      <w:pPr>
        <w:pStyle w:val="NICEnormal"/>
      </w:pPr>
      <w:r w:rsidRPr="0029324A">
        <w:rPr>
          <w:b/>
          <w:bCs/>
        </w:rPr>
        <w:t>Frances Nixon</w:t>
      </w:r>
      <w:r w:rsidR="005A33B8" w:rsidRPr="0029324A">
        <w:rPr>
          <w:b/>
          <w:bCs/>
        </w:rPr>
        <w:br/>
      </w:r>
      <w:r w:rsidR="00091DC3" w:rsidRPr="0029324A">
        <w:t>Technical adviser</w:t>
      </w:r>
    </w:p>
    <w:p w14:paraId="6B20EF9A" w14:textId="29C01C65" w:rsidR="00091DC3" w:rsidRPr="0029324A" w:rsidRDefault="002B0BE2" w:rsidP="005A33B8">
      <w:pPr>
        <w:pStyle w:val="NICEnormal"/>
      </w:pPr>
      <w:r w:rsidRPr="0029324A">
        <w:rPr>
          <w:b/>
          <w:bCs/>
        </w:rPr>
        <w:t>Donna Barnes</w:t>
      </w:r>
      <w:r w:rsidR="005A33B8" w:rsidRPr="0029324A">
        <w:rPr>
          <w:b/>
          <w:bCs/>
        </w:rPr>
        <w:br/>
      </w:r>
      <w:r w:rsidR="00091DC3" w:rsidRPr="0029324A">
        <w:t>Project manager</w:t>
      </w:r>
    </w:p>
    <w:p w14:paraId="6994E4AC" w14:textId="77777777" w:rsidR="00333F95" w:rsidRPr="0029324A" w:rsidRDefault="00091DC3" w:rsidP="005A33B8">
      <w:pPr>
        <w:pStyle w:val="NICEnormal"/>
      </w:pPr>
      <w:r w:rsidRPr="0029324A">
        <w:t>ISBN:</w:t>
      </w:r>
    </w:p>
    <w:sectPr w:rsidR="00333F95" w:rsidRPr="0029324A" w:rsidSect="00C40657">
      <w:headerReference w:type="default" r:id="rId22"/>
      <w:footerReference w:type="default" r:id="rId23"/>
      <w:pgSz w:w="11907" w:h="16840" w:code="9"/>
      <w:pgMar w:top="1440" w:right="1440" w:bottom="1440" w:left="1440" w:header="709" w:footer="709" w:gutter="0"/>
      <w:pgNumType w:start="1" w:chapStyle="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DCEA02" w14:textId="77777777" w:rsidR="002A6C7A" w:rsidRDefault="002A6C7A">
      <w:r>
        <w:separator/>
      </w:r>
    </w:p>
  </w:endnote>
  <w:endnote w:type="continuationSeparator" w:id="0">
    <w:p w14:paraId="68A2F350" w14:textId="77777777" w:rsidR="002A6C7A" w:rsidRDefault="002A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FFBEAA" w14:textId="1243F490" w:rsidR="002A6C7A" w:rsidRPr="003D33FB" w:rsidRDefault="002A6C7A" w:rsidP="00541499">
    <w:pPr>
      <w:pStyle w:val="NICEnormalsinglespacing"/>
      <w:spacing w:after="120"/>
      <w:rPr>
        <w:sz w:val="18"/>
        <w:szCs w:val="18"/>
      </w:rPr>
    </w:pPr>
    <w:r>
      <w:rPr>
        <w:sz w:val="18"/>
        <w:szCs w:val="18"/>
      </w:rPr>
      <w:t>Diagnostics consultation document</w:t>
    </w:r>
    <w:r w:rsidRPr="003D33FB">
      <w:rPr>
        <w:sz w:val="18"/>
        <w:szCs w:val="18"/>
      </w:rPr>
      <w:t xml:space="preserve"> – </w:t>
    </w:r>
    <w:r w:rsidRPr="00691C6E">
      <w:rPr>
        <w:sz w:val="18"/>
        <w:szCs w:val="18"/>
      </w:rPr>
      <w:t>PredictSURE IBD and IBDX to guide treatment of Crohn’s disease</w:t>
    </w:r>
    <w:r>
      <w:rPr>
        <w:sz w:val="18"/>
        <w:szCs w:val="18"/>
      </w:rPr>
      <w:tab/>
    </w:r>
    <w:r>
      <w:rPr>
        <w:sz w:val="18"/>
        <w:szCs w:val="18"/>
      </w:rPr>
      <w:tab/>
    </w:r>
    <w:r>
      <w:rPr>
        <w:sz w:val="18"/>
        <w:szCs w:val="18"/>
      </w:rPr>
      <w:tab/>
    </w:r>
    <w:r>
      <w:rPr>
        <w:sz w:val="18"/>
        <w:szCs w:val="18"/>
      </w:rPr>
      <w:tab/>
    </w:r>
    <w:r>
      <w:rPr>
        <w:sz w:val="18"/>
        <w:szCs w:val="18"/>
      </w:rPr>
      <w:tab/>
    </w: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Pr>
        <w:rStyle w:val="PageNumber"/>
        <w:noProof/>
      </w:rPr>
      <w:t>10</w:t>
    </w:r>
    <w:r>
      <w:rPr>
        <w:rStyle w:val="PageNumber"/>
      </w:rPr>
      <w:fldChar w:fldCharType="end"/>
    </w:r>
  </w:p>
  <w:p w14:paraId="4B4238DA" w14:textId="303BAFD8" w:rsidR="002A6C7A" w:rsidRDefault="002A6C7A" w:rsidP="00541499">
    <w:pPr>
      <w:pStyle w:val="NICEnormalsinglespacing"/>
      <w:spacing w:after="120"/>
      <w:rPr>
        <w:sz w:val="18"/>
        <w:szCs w:val="18"/>
      </w:rPr>
    </w:pPr>
    <w:r>
      <w:rPr>
        <w:sz w:val="18"/>
        <w:szCs w:val="18"/>
      </w:rPr>
      <w:t>Issue date: August 2020</w:t>
    </w:r>
  </w:p>
  <w:p w14:paraId="468BECC6" w14:textId="7529FBD6" w:rsidR="002A6C7A" w:rsidRPr="003D33FB" w:rsidRDefault="002A6C7A" w:rsidP="00541499">
    <w:pPr>
      <w:pStyle w:val="NICEnormalsinglespacing"/>
      <w:spacing w:after="120"/>
      <w:rPr>
        <w:sz w:val="18"/>
        <w:szCs w:val="18"/>
      </w:rPr>
    </w:pPr>
    <w:r>
      <w:rPr>
        <w:sz w:val="18"/>
        <w:szCs w:val="18"/>
      </w:rPr>
      <w:t xml:space="preserve">© NICE 2020. All rights reserved. Subject to </w:t>
    </w:r>
    <w:hyperlink r:id="rId1" w:history="1">
      <w:r>
        <w:rPr>
          <w:rStyle w:val="Hyperlink"/>
          <w:sz w:val="18"/>
          <w:szCs w:val="18"/>
        </w:rPr>
        <w:t>Notice of rights</w:t>
      </w:r>
    </w:hyperlink>
    <w:r w:rsidRPr="00D40674">
      <w:rPr>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1592E6" w14:textId="77777777" w:rsidR="002A6C7A" w:rsidRDefault="002A6C7A">
      <w:r>
        <w:separator/>
      </w:r>
    </w:p>
  </w:footnote>
  <w:footnote w:type="continuationSeparator" w:id="0">
    <w:p w14:paraId="76B3EC6E" w14:textId="77777777" w:rsidR="002A6C7A" w:rsidRDefault="002A6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AEC3B" w14:textId="77777777" w:rsidR="002A6C7A" w:rsidRPr="0066179F" w:rsidRDefault="002A6C7A" w:rsidP="0066179F">
    <w:pPr>
      <w:pStyle w:val="Header"/>
      <w:jc w:val="right"/>
      <w:rPr>
        <w:b/>
      </w:rPr>
    </w:pPr>
    <w:r w:rsidRPr="0066179F">
      <w:rPr>
        <w:b/>
      </w:rPr>
      <w:t>CONFIDENTIAL</w:t>
    </w:r>
    <w:r>
      <w:rPr>
        <w:b/>
      </w:rPr>
      <w:t xml:space="preserve"> UNTIL PUBLISHED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D0FAC"/>
    <w:multiLevelType w:val="multilevel"/>
    <w:tmpl w:val="72188DC4"/>
    <w:lvl w:ilvl="0">
      <w:start w:val="1"/>
      <w:numFmt w:val="bullet"/>
      <w:pStyle w:val="Bulletindent1"/>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 w15:restartNumberingAfterBreak="0">
    <w:nsid w:val="0B377270"/>
    <w:multiLevelType w:val="multilevel"/>
    <w:tmpl w:val="2B6892E8"/>
    <w:lvl w:ilvl="0">
      <w:start w:val="1"/>
      <w:numFmt w:val="bullet"/>
      <w:lvlText w:val=""/>
      <w:lvlJc w:val="left"/>
      <w:pPr>
        <w:tabs>
          <w:tab w:val="num" w:pos="284"/>
        </w:tabs>
        <w:ind w:left="284" w:hanging="284"/>
      </w:pPr>
      <w:rPr>
        <w:rFonts w:ascii="Symbol" w:hAnsi="Symbol" w:hint="default"/>
        <w:color w:val="auto"/>
      </w:rPr>
    </w:lvl>
    <w:lvl w:ilvl="1">
      <w:start w:val="1"/>
      <w:numFmt w:val="bullet"/>
      <w:pStyle w:val="Bulletleft2"/>
      <w:lvlText w:val=""/>
      <w:lvlJc w:val="left"/>
      <w:pPr>
        <w:tabs>
          <w:tab w:val="num" w:pos="567"/>
        </w:tabs>
        <w:ind w:left="567" w:hanging="283"/>
      </w:pPr>
      <w:rPr>
        <w:rFonts w:ascii="Symbol" w:hAnsi="Symbol" w:hint="default"/>
      </w:rPr>
    </w:lvl>
    <w:lvl w:ilvl="2">
      <w:start w:val="1"/>
      <w:numFmt w:val="bullet"/>
      <w:lvlText w:val=""/>
      <w:lvlJc w:val="left"/>
      <w:pPr>
        <w:tabs>
          <w:tab w:val="num" w:pos="1364"/>
        </w:tabs>
        <w:ind w:left="1364" w:hanging="360"/>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2" w15:restartNumberingAfterBreak="0">
    <w:nsid w:val="0F2A5F86"/>
    <w:multiLevelType w:val="multilevel"/>
    <w:tmpl w:val="299E02FE"/>
    <w:lvl w:ilvl="0">
      <w:start w:val="1"/>
      <w:numFmt w:val="decimal"/>
      <w:lvlText w:val="%1"/>
      <w:lvlJc w:val="left"/>
      <w:pPr>
        <w:tabs>
          <w:tab w:val="num" w:pos="432"/>
        </w:tabs>
        <w:ind w:left="432" w:hanging="432"/>
      </w:pPr>
      <w:rPr>
        <w:rFonts w:hint="default"/>
      </w:rPr>
    </w:lvl>
    <w:lvl w:ilvl="1">
      <w:start w:val="1"/>
      <w:numFmt w:val="decimal"/>
      <w:lvlText w:val="3.%2"/>
      <w:lvlJc w:val="left"/>
      <w:pPr>
        <w:tabs>
          <w:tab w:val="num" w:pos="576"/>
        </w:tabs>
        <w:ind w:left="576"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4" w15:restartNumberingAfterBreak="0">
    <w:nsid w:val="18DD126E"/>
    <w:multiLevelType w:val="hybridMultilevel"/>
    <w:tmpl w:val="55BA164C"/>
    <w:lvl w:ilvl="0" w:tplc="C2D2877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847AFE"/>
    <w:multiLevelType w:val="hybridMultilevel"/>
    <w:tmpl w:val="600ACA82"/>
    <w:lvl w:ilvl="0" w:tplc="08090001">
      <w:start w:val="1"/>
      <w:numFmt w:val="bullet"/>
      <w:lvlText w:val=""/>
      <w:lvlJc w:val="left"/>
      <w:pPr>
        <w:tabs>
          <w:tab w:val="num" w:pos="1854"/>
        </w:tabs>
        <w:ind w:left="1854" w:hanging="360"/>
      </w:pPr>
      <w:rPr>
        <w:rFonts w:ascii="Symbol" w:hAnsi="Symbol" w:hint="default"/>
      </w:rPr>
    </w:lvl>
    <w:lvl w:ilvl="1" w:tplc="08090003" w:tentative="1">
      <w:start w:val="1"/>
      <w:numFmt w:val="bullet"/>
      <w:lvlText w:val="o"/>
      <w:lvlJc w:val="left"/>
      <w:pPr>
        <w:tabs>
          <w:tab w:val="num" w:pos="2574"/>
        </w:tabs>
        <w:ind w:left="2574" w:hanging="360"/>
      </w:pPr>
      <w:rPr>
        <w:rFonts w:ascii="Courier New" w:hAnsi="Courier New" w:cs="Courier New" w:hint="default"/>
      </w:rPr>
    </w:lvl>
    <w:lvl w:ilvl="2" w:tplc="08090005" w:tentative="1">
      <w:start w:val="1"/>
      <w:numFmt w:val="bullet"/>
      <w:lvlText w:val=""/>
      <w:lvlJc w:val="left"/>
      <w:pPr>
        <w:tabs>
          <w:tab w:val="num" w:pos="3294"/>
        </w:tabs>
        <w:ind w:left="3294" w:hanging="360"/>
      </w:pPr>
      <w:rPr>
        <w:rFonts w:ascii="Wingdings" w:hAnsi="Wingdings" w:hint="default"/>
      </w:rPr>
    </w:lvl>
    <w:lvl w:ilvl="3" w:tplc="08090001" w:tentative="1">
      <w:start w:val="1"/>
      <w:numFmt w:val="bullet"/>
      <w:lvlText w:val=""/>
      <w:lvlJc w:val="left"/>
      <w:pPr>
        <w:tabs>
          <w:tab w:val="num" w:pos="4014"/>
        </w:tabs>
        <w:ind w:left="4014" w:hanging="360"/>
      </w:pPr>
      <w:rPr>
        <w:rFonts w:ascii="Symbol" w:hAnsi="Symbol" w:hint="default"/>
      </w:rPr>
    </w:lvl>
    <w:lvl w:ilvl="4" w:tplc="08090003" w:tentative="1">
      <w:start w:val="1"/>
      <w:numFmt w:val="bullet"/>
      <w:lvlText w:val="o"/>
      <w:lvlJc w:val="left"/>
      <w:pPr>
        <w:tabs>
          <w:tab w:val="num" w:pos="4734"/>
        </w:tabs>
        <w:ind w:left="4734" w:hanging="360"/>
      </w:pPr>
      <w:rPr>
        <w:rFonts w:ascii="Courier New" w:hAnsi="Courier New" w:cs="Courier New" w:hint="default"/>
      </w:rPr>
    </w:lvl>
    <w:lvl w:ilvl="5" w:tplc="08090005" w:tentative="1">
      <w:start w:val="1"/>
      <w:numFmt w:val="bullet"/>
      <w:lvlText w:val=""/>
      <w:lvlJc w:val="left"/>
      <w:pPr>
        <w:tabs>
          <w:tab w:val="num" w:pos="5454"/>
        </w:tabs>
        <w:ind w:left="5454" w:hanging="360"/>
      </w:pPr>
      <w:rPr>
        <w:rFonts w:ascii="Wingdings" w:hAnsi="Wingdings" w:hint="default"/>
      </w:rPr>
    </w:lvl>
    <w:lvl w:ilvl="6" w:tplc="08090001" w:tentative="1">
      <w:start w:val="1"/>
      <w:numFmt w:val="bullet"/>
      <w:lvlText w:val=""/>
      <w:lvlJc w:val="left"/>
      <w:pPr>
        <w:tabs>
          <w:tab w:val="num" w:pos="6174"/>
        </w:tabs>
        <w:ind w:left="6174" w:hanging="360"/>
      </w:pPr>
      <w:rPr>
        <w:rFonts w:ascii="Symbol" w:hAnsi="Symbol" w:hint="default"/>
      </w:rPr>
    </w:lvl>
    <w:lvl w:ilvl="7" w:tplc="08090003" w:tentative="1">
      <w:start w:val="1"/>
      <w:numFmt w:val="bullet"/>
      <w:lvlText w:val="o"/>
      <w:lvlJc w:val="left"/>
      <w:pPr>
        <w:tabs>
          <w:tab w:val="num" w:pos="6894"/>
        </w:tabs>
        <w:ind w:left="6894" w:hanging="360"/>
      </w:pPr>
      <w:rPr>
        <w:rFonts w:ascii="Courier New" w:hAnsi="Courier New" w:cs="Courier New" w:hint="default"/>
      </w:rPr>
    </w:lvl>
    <w:lvl w:ilvl="8" w:tplc="08090005" w:tentative="1">
      <w:start w:val="1"/>
      <w:numFmt w:val="bullet"/>
      <w:lvlText w:val=""/>
      <w:lvlJc w:val="left"/>
      <w:pPr>
        <w:tabs>
          <w:tab w:val="num" w:pos="7614"/>
        </w:tabs>
        <w:ind w:left="7614" w:hanging="360"/>
      </w:pPr>
      <w:rPr>
        <w:rFonts w:ascii="Wingdings" w:hAnsi="Wingdings" w:hint="default"/>
      </w:rPr>
    </w:lvl>
  </w:abstractNum>
  <w:abstractNum w:abstractNumId="7" w15:restartNumberingAfterBreak="0">
    <w:nsid w:val="1E82154F"/>
    <w:multiLevelType w:val="hybridMultilevel"/>
    <w:tmpl w:val="7C58E3B2"/>
    <w:lvl w:ilvl="0" w:tplc="6B96DAE0">
      <w:start w:val="1"/>
      <w:numFmt w:val="decimal"/>
      <w:lvlText w:val="%1."/>
      <w:lvlJc w:val="left"/>
      <w:pPr>
        <w:tabs>
          <w:tab w:val="num" w:pos="567"/>
        </w:tabs>
        <w:ind w:left="567"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22C22BA8"/>
    <w:multiLevelType w:val="hybridMultilevel"/>
    <w:tmpl w:val="191A4934"/>
    <w:lvl w:ilvl="0" w:tplc="E7C28008">
      <w:start w:val="4"/>
      <w:numFmt w:val="bullet"/>
      <w:pStyle w:val="Bulletindent1last"/>
      <w:lvlText w:val=""/>
      <w:lvlJc w:val="left"/>
      <w:pPr>
        <w:tabs>
          <w:tab w:val="num" w:pos="1418"/>
        </w:tabs>
        <w:ind w:left="1418" w:hanging="284"/>
      </w:pPr>
      <w:rPr>
        <w:rFonts w:ascii="Symbol" w:hAnsi="Symbol" w:hint="default"/>
        <w:color w:val="auto"/>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7F707D"/>
    <w:multiLevelType w:val="hybridMultilevel"/>
    <w:tmpl w:val="87D6AE54"/>
    <w:lvl w:ilvl="0" w:tplc="79D41878">
      <w:start w:val="1"/>
      <w:numFmt w:val="upperLetter"/>
      <w:lvlText w:val="%1"/>
      <w:lvlJc w:val="left"/>
      <w:pPr>
        <w:tabs>
          <w:tab w:val="num" w:pos="567"/>
        </w:tabs>
        <w:ind w:left="567" w:hanging="567"/>
      </w:pPr>
      <w:rPr>
        <w:rFonts w:ascii="Arial" w:hAnsi="Arial" w:hint="default"/>
        <w:b w:val="0"/>
        <w:i w:val="0"/>
        <w:sz w:val="22"/>
        <w:szCs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29CC3584"/>
    <w:multiLevelType w:val="multilevel"/>
    <w:tmpl w:val="62EA2920"/>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1" w15:restartNumberingAfterBreak="0">
    <w:nsid w:val="2C9057BE"/>
    <w:multiLevelType w:val="hybridMultilevel"/>
    <w:tmpl w:val="D00ACD5C"/>
    <w:lvl w:ilvl="0" w:tplc="20582D18">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34526E2E"/>
    <w:multiLevelType w:val="hybridMultilevel"/>
    <w:tmpl w:val="5EB82B2A"/>
    <w:lvl w:ilvl="0" w:tplc="C824C56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34C810A0"/>
    <w:multiLevelType w:val="hybridMultilevel"/>
    <w:tmpl w:val="A34C46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37BD105E"/>
    <w:multiLevelType w:val="hybridMultilevel"/>
    <w:tmpl w:val="47001F08"/>
    <w:lvl w:ilvl="0" w:tplc="50AA0F7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441B7135"/>
    <w:multiLevelType w:val="multilevel"/>
    <w:tmpl w:val="A710AC7A"/>
    <w:lvl w:ilvl="0">
      <w:start w:val="1"/>
      <w:numFmt w:val="bullet"/>
      <w:lvlText w:val=""/>
      <w:lvlJc w:val="left"/>
      <w:pPr>
        <w:tabs>
          <w:tab w:val="num" w:pos="1418"/>
        </w:tabs>
        <w:ind w:left="1418" w:hanging="284"/>
      </w:pPr>
      <w:rPr>
        <w:rFonts w:ascii="Symbol" w:hAnsi="Symbol" w:hint="default"/>
        <w:color w:val="auto"/>
      </w:rPr>
    </w:lvl>
    <w:lvl w:ilvl="1">
      <w:start w:val="1"/>
      <w:numFmt w:val="bullet"/>
      <w:pStyle w:val="Bulletindent2"/>
      <w:lvlText w:val=""/>
      <w:lvlJc w:val="left"/>
      <w:pPr>
        <w:tabs>
          <w:tab w:val="num" w:pos="1701"/>
        </w:tabs>
        <w:ind w:left="1701" w:hanging="283"/>
      </w:pPr>
      <w:rPr>
        <w:rFonts w:ascii="Symbol" w:hAnsi="Symbol" w:hint="default"/>
      </w:rPr>
    </w:lvl>
    <w:lvl w:ilvl="2">
      <w:start w:val="1"/>
      <w:numFmt w:val="decimal"/>
      <w:lvlText w:val="%3.%1.%2"/>
      <w:lvlJc w:val="left"/>
      <w:pPr>
        <w:tabs>
          <w:tab w:val="num" w:pos="1968"/>
        </w:tabs>
        <w:ind w:left="1968" w:hanging="964"/>
      </w:pPr>
      <w:rPr>
        <w:rFonts w:hint="default"/>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6" w15:restartNumberingAfterBreak="0">
    <w:nsid w:val="470E2489"/>
    <w:multiLevelType w:val="multilevel"/>
    <w:tmpl w:val="CF7423B4"/>
    <w:lvl w:ilvl="0">
      <w:start w:val="1"/>
      <w:numFmt w:val="bullet"/>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pStyle w:val="Bulletindent3"/>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7" w15:restartNumberingAfterBreak="0">
    <w:nsid w:val="4ABD783C"/>
    <w:multiLevelType w:val="hybridMultilevel"/>
    <w:tmpl w:val="23A0264C"/>
    <w:lvl w:ilvl="0" w:tplc="DE0CF6EA">
      <w:start w:val="1"/>
      <w:numFmt w:val="upperRoman"/>
      <w:lvlText w:val="%1"/>
      <w:lvlJc w:val="left"/>
      <w:pPr>
        <w:tabs>
          <w:tab w:val="num" w:pos="1134"/>
        </w:tabs>
        <w:ind w:left="1134"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515A3F96"/>
    <w:multiLevelType w:val="hybridMultilevel"/>
    <w:tmpl w:val="44A27922"/>
    <w:lvl w:ilvl="0" w:tplc="D87233D4">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88F36E6"/>
    <w:multiLevelType w:val="hybridMultilevel"/>
    <w:tmpl w:val="14320908"/>
    <w:lvl w:ilvl="0" w:tplc="4EEC47A6">
      <w:start w:val="1"/>
      <w:numFmt w:val="bullet"/>
      <w:lvlText w:val=""/>
      <w:lvlJc w:val="left"/>
      <w:pPr>
        <w:tabs>
          <w:tab w:val="num" w:pos="1701"/>
        </w:tabs>
        <w:ind w:left="1701" w:hanging="567"/>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9C93D14"/>
    <w:multiLevelType w:val="hybridMultilevel"/>
    <w:tmpl w:val="4A20F9FA"/>
    <w:lvl w:ilvl="0" w:tplc="AA9A8AE4">
      <w:start w:val="1"/>
      <w:numFmt w:val="decimal"/>
      <w:lvlText w:val="%1."/>
      <w:lvlJc w:val="left"/>
      <w:pPr>
        <w:ind w:left="851" w:hanging="851"/>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5C533504"/>
    <w:multiLevelType w:val="hybridMultilevel"/>
    <w:tmpl w:val="6786031A"/>
    <w:lvl w:ilvl="0" w:tplc="44D88410">
      <w:start w:val="1"/>
      <w:numFmt w:val="bullet"/>
      <w:pStyle w:val="Panelbullet1"/>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EB16514"/>
    <w:multiLevelType w:val="hybridMultilevel"/>
    <w:tmpl w:val="0D1C6444"/>
    <w:lvl w:ilvl="0" w:tplc="25CE9C96">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4" w15:restartNumberingAfterBreak="0">
    <w:nsid w:val="65D90110"/>
    <w:multiLevelType w:val="hybridMultilevel"/>
    <w:tmpl w:val="E3141BBA"/>
    <w:lvl w:ilvl="0" w:tplc="0DA2811C">
      <w:start w:val="1"/>
      <w:numFmt w:val="bullet"/>
      <w:pStyle w:val="Tablebullet"/>
      <w:lvlText w:val=""/>
      <w:lvlJc w:val="left"/>
      <w:pPr>
        <w:ind w:left="360" w:hanging="360"/>
      </w:pPr>
      <w:rPr>
        <w:rFonts w:ascii="Symbol" w:hAnsi="Symbol" w:cs="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cs="Wingdings" w:hint="default"/>
      </w:rPr>
    </w:lvl>
    <w:lvl w:ilvl="3" w:tplc="08090001" w:tentative="1">
      <w:start w:val="1"/>
      <w:numFmt w:val="bullet"/>
      <w:lvlText w:val=""/>
      <w:lvlJc w:val="left"/>
      <w:pPr>
        <w:ind w:left="2520" w:hanging="360"/>
      </w:pPr>
      <w:rPr>
        <w:rFonts w:ascii="Symbol" w:hAnsi="Symbol" w:cs="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cs="Wingdings" w:hint="default"/>
      </w:rPr>
    </w:lvl>
    <w:lvl w:ilvl="6" w:tplc="08090001" w:tentative="1">
      <w:start w:val="1"/>
      <w:numFmt w:val="bullet"/>
      <w:lvlText w:val=""/>
      <w:lvlJc w:val="left"/>
      <w:pPr>
        <w:ind w:left="4680" w:hanging="360"/>
      </w:pPr>
      <w:rPr>
        <w:rFonts w:ascii="Symbol" w:hAnsi="Symbol" w:cs="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cs="Wingdings" w:hint="default"/>
      </w:rPr>
    </w:lvl>
  </w:abstractNum>
  <w:abstractNum w:abstractNumId="25" w15:restartNumberingAfterBreak="0">
    <w:nsid w:val="66C20063"/>
    <w:multiLevelType w:val="multilevel"/>
    <w:tmpl w:val="043E412C"/>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pStyle w:val="Bulletleft3"/>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26" w15:restartNumberingAfterBreak="0">
    <w:nsid w:val="685676D3"/>
    <w:multiLevelType w:val="hybridMultilevel"/>
    <w:tmpl w:val="AA982508"/>
    <w:lvl w:ilvl="0" w:tplc="05BECA9E">
      <w:start w:val="1"/>
      <w:numFmt w:val="bullet"/>
      <w:lvlText w:val=""/>
      <w:lvlJc w:val="left"/>
      <w:pPr>
        <w:tabs>
          <w:tab w:val="num" w:pos="567"/>
        </w:tabs>
        <w:ind w:left="567" w:hanging="56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266223F"/>
    <w:multiLevelType w:val="hybridMultilevel"/>
    <w:tmpl w:val="0D19CA4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765F6245"/>
    <w:multiLevelType w:val="hybridMultilevel"/>
    <w:tmpl w:val="8226756E"/>
    <w:lvl w:ilvl="0" w:tplc="EE7C94EE">
      <w:start w:val="1"/>
      <w:numFmt w:val="bullet"/>
      <w:lvlText w:val=""/>
      <w:lvlJc w:val="left"/>
      <w:pPr>
        <w:tabs>
          <w:tab w:val="num" w:pos="567"/>
        </w:tabs>
        <w:ind w:left="567" w:hanging="567"/>
      </w:pPr>
      <w:rPr>
        <w:rFonts w:ascii="Symbol" w:hAnsi="Symbol" w:hint="default"/>
        <w:b w:val="0"/>
        <w:i w:val="0"/>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E770260"/>
    <w:multiLevelType w:val="multilevel"/>
    <w:tmpl w:val="0809001D"/>
    <w:name w:val="numberedheadings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25"/>
  </w:num>
  <w:num w:numId="3">
    <w:abstractNumId w:val="15"/>
  </w:num>
  <w:num w:numId="4">
    <w:abstractNumId w:val="16"/>
  </w:num>
  <w:num w:numId="5">
    <w:abstractNumId w:val="0"/>
  </w:num>
  <w:num w:numId="6">
    <w:abstractNumId w:val="3"/>
  </w:num>
  <w:num w:numId="7">
    <w:abstractNumId w:val="5"/>
  </w:num>
  <w:num w:numId="8">
    <w:abstractNumId w:val="8"/>
  </w:num>
  <w:num w:numId="9">
    <w:abstractNumId w:val="12"/>
  </w:num>
  <w:num w:numId="10">
    <w:abstractNumId w:val="11"/>
  </w:num>
  <w:num w:numId="11">
    <w:abstractNumId w:val="14"/>
  </w:num>
  <w:num w:numId="12">
    <w:abstractNumId w:val="18"/>
  </w:num>
  <w:num w:numId="13">
    <w:abstractNumId w:val="4"/>
  </w:num>
  <w:num w:numId="14">
    <w:abstractNumId w:val="23"/>
  </w:num>
  <w:num w:numId="15">
    <w:abstractNumId w:val="9"/>
  </w:num>
  <w:num w:numId="16">
    <w:abstractNumId w:val="17"/>
  </w:num>
  <w:num w:numId="17">
    <w:abstractNumId w:val="20"/>
  </w:num>
  <w:num w:numId="18">
    <w:abstractNumId w:val="7"/>
  </w:num>
  <w:num w:numId="19">
    <w:abstractNumId w:val="28"/>
  </w:num>
  <w:num w:numId="20">
    <w:abstractNumId w:val="10"/>
  </w:num>
  <w:num w:numId="21">
    <w:abstractNumId w:val="2"/>
  </w:num>
  <w:num w:numId="22">
    <w:abstractNumId w:val="26"/>
  </w:num>
  <w:num w:numId="23">
    <w:abstractNumId w:val="6"/>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num>
  <w:num w:numId="27">
    <w:abstractNumId w:val="10"/>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 w:numId="30">
    <w:abstractNumId w:val="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
  </w:num>
  <w:num w:numId="32">
    <w:abstractNumId w:val="1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num>
  <w:num w:numId="34">
    <w:abstractNumId w:val="10"/>
  </w:num>
  <w:num w:numId="35">
    <w:abstractNumId w:val="10"/>
  </w:num>
  <w:num w:numId="36">
    <w:abstractNumId w:val="22"/>
  </w:num>
  <w:num w:numId="37">
    <w:abstractNumId w:val="24"/>
  </w:num>
  <w:num w:numId="38">
    <w:abstractNumId w:val="10"/>
  </w:num>
  <w:num w:numId="39">
    <w:abstractNumId w:val="10"/>
  </w:num>
  <w:num w:numId="4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characterSpacingControl w:val="doNotCompress"/>
  <w:hdrShapeDefaults>
    <o:shapedefaults v:ext="edit" spidmax="86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5D7B"/>
    <w:rsid w:val="00000973"/>
    <w:rsid w:val="00000D60"/>
    <w:rsid w:val="000023BE"/>
    <w:rsid w:val="000037FF"/>
    <w:rsid w:val="00003AD8"/>
    <w:rsid w:val="00005B83"/>
    <w:rsid w:val="000119FB"/>
    <w:rsid w:val="000140B6"/>
    <w:rsid w:val="00020157"/>
    <w:rsid w:val="00025E90"/>
    <w:rsid w:val="00026416"/>
    <w:rsid w:val="00027909"/>
    <w:rsid w:val="000323CF"/>
    <w:rsid w:val="00040868"/>
    <w:rsid w:val="00040A51"/>
    <w:rsid w:val="00042B82"/>
    <w:rsid w:val="00043F89"/>
    <w:rsid w:val="00043FDA"/>
    <w:rsid w:val="00044B96"/>
    <w:rsid w:val="00045BA3"/>
    <w:rsid w:val="000509D2"/>
    <w:rsid w:val="00051EA1"/>
    <w:rsid w:val="00052BB0"/>
    <w:rsid w:val="00054C3D"/>
    <w:rsid w:val="000556D2"/>
    <w:rsid w:val="0005575E"/>
    <w:rsid w:val="00055CE5"/>
    <w:rsid w:val="00062B0E"/>
    <w:rsid w:val="000662F6"/>
    <w:rsid w:val="000674C3"/>
    <w:rsid w:val="00067680"/>
    <w:rsid w:val="00071D90"/>
    <w:rsid w:val="000724F2"/>
    <w:rsid w:val="00072DC4"/>
    <w:rsid w:val="00073512"/>
    <w:rsid w:val="00075CFF"/>
    <w:rsid w:val="00077811"/>
    <w:rsid w:val="00077AB0"/>
    <w:rsid w:val="0008077F"/>
    <w:rsid w:val="0008146D"/>
    <w:rsid w:val="00081D27"/>
    <w:rsid w:val="000842CF"/>
    <w:rsid w:val="000854BE"/>
    <w:rsid w:val="00091944"/>
    <w:rsid w:val="00091DC3"/>
    <w:rsid w:val="00092046"/>
    <w:rsid w:val="000956F2"/>
    <w:rsid w:val="000967BC"/>
    <w:rsid w:val="000A3A0C"/>
    <w:rsid w:val="000A7687"/>
    <w:rsid w:val="000A7BC4"/>
    <w:rsid w:val="000B34F8"/>
    <w:rsid w:val="000B3893"/>
    <w:rsid w:val="000B5EDE"/>
    <w:rsid w:val="000B6C8B"/>
    <w:rsid w:val="000B7973"/>
    <w:rsid w:val="000C0B13"/>
    <w:rsid w:val="000C2681"/>
    <w:rsid w:val="000C3567"/>
    <w:rsid w:val="000C4E7C"/>
    <w:rsid w:val="000C54E9"/>
    <w:rsid w:val="000C6589"/>
    <w:rsid w:val="000C7888"/>
    <w:rsid w:val="000C7BE4"/>
    <w:rsid w:val="000D1CCB"/>
    <w:rsid w:val="000D2A90"/>
    <w:rsid w:val="000D34D0"/>
    <w:rsid w:val="000D4E2F"/>
    <w:rsid w:val="000D5D7B"/>
    <w:rsid w:val="000D605D"/>
    <w:rsid w:val="000E1108"/>
    <w:rsid w:val="000E13BE"/>
    <w:rsid w:val="000E33C3"/>
    <w:rsid w:val="000E426B"/>
    <w:rsid w:val="000E4733"/>
    <w:rsid w:val="000E73D8"/>
    <w:rsid w:val="000E7525"/>
    <w:rsid w:val="000E7845"/>
    <w:rsid w:val="000F2D8A"/>
    <w:rsid w:val="000F3504"/>
    <w:rsid w:val="000F3A32"/>
    <w:rsid w:val="000F4CC3"/>
    <w:rsid w:val="000F55A4"/>
    <w:rsid w:val="000F56F4"/>
    <w:rsid w:val="000F5CC3"/>
    <w:rsid w:val="00100B5E"/>
    <w:rsid w:val="00101F34"/>
    <w:rsid w:val="001053EE"/>
    <w:rsid w:val="00114C2C"/>
    <w:rsid w:val="00115A26"/>
    <w:rsid w:val="001216F8"/>
    <w:rsid w:val="00121C68"/>
    <w:rsid w:val="00122321"/>
    <w:rsid w:val="001237D6"/>
    <w:rsid w:val="001240DF"/>
    <w:rsid w:val="00125F2A"/>
    <w:rsid w:val="001266B1"/>
    <w:rsid w:val="0012729C"/>
    <w:rsid w:val="00127C11"/>
    <w:rsid w:val="00131D12"/>
    <w:rsid w:val="00132522"/>
    <w:rsid w:val="001335D1"/>
    <w:rsid w:val="00133741"/>
    <w:rsid w:val="00133E7B"/>
    <w:rsid w:val="00133F5A"/>
    <w:rsid w:val="00133FE0"/>
    <w:rsid w:val="00135A35"/>
    <w:rsid w:val="00141829"/>
    <w:rsid w:val="00143C03"/>
    <w:rsid w:val="001448A4"/>
    <w:rsid w:val="0015353C"/>
    <w:rsid w:val="00154F35"/>
    <w:rsid w:val="0015589E"/>
    <w:rsid w:val="001569C3"/>
    <w:rsid w:val="00156D4E"/>
    <w:rsid w:val="001576BE"/>
    <w:rsid w:val="001608B7"/>
    <w:rsid w:val="00161AA0"/>
    <w:rsid w:val="00162C59"/>
    <w:rsid w:val="001635B0"/>
    <w:rsid w:val="00163DDE"/>
    <w:rsid w:val="00164B7C"/>
    <w:rsid w:val="00164C48"/>
    <w:rsid w:val="00165345"/>
    <w:rsid w:val="0017090E"/>
    <w:rsid w:val="00170C7A"/>
    <w:rsid w:val="00172869"/>
    <w:rsid w:val="00174C82"/>
    <w:rsid w:val="0017513E"/>
    <w:rsid w:val="001776E9"/>
    <w:rsid w:val="0018126C"/>
    <w:rsid w:val="00182049"/>
    <w:rsid w:val="00187209"/>
    <w:rsid w:val="00187A15"/>
    <w:rsid w:val="00187F38"/>
    <w:rsid w:val="001900B6"/>
    <w:rsid w:val="001906C2"/>
    <w:rsid w:val="00192683"/>
    <w:rsid w:val="001936FB"/>
    <w:rsid w:val="0019476D"/>
    <w:rsid w:val="001956FC"/>
    <w:rsid w:val="00196604"/>
    <w:rsid w:val="001A07A4"/>
    <w:rsid w:val="001A0B33"/>
    <w:rsid w:val="001A0F29"/>
    <w:rsid w:val="001A2A4A"/>
    <w:rsid w:val="001A3854"/>
    <w:rsid w:val="001A3A68"/>
    <w:rsid w:val="001A3F6D"/>
    <w:rsid w:val="001A5627"/>
    <w:rsid w:val="001A5A92"/>
    <w:rsid w:val="001A5E81"/>
    <w:rsid w:val="001A7292"/>
    <w:rsid w:val="001B0726"/>
    <w:rsid w:val="001B13B3"/>
    <w:rsid w:val="001B2E51"/>
    <w:rsid w:val="001B327F"/>
    <w:rsid w:val="001B5564"/>
    <w:rsid w:val="001B72AE"/>
    <w:rsid w:val="001B749F"/>
    <w:rsid w:val="001B7C33"/>
    <w:rsid w:val="001C0925"/>
    <w:rsid w:val="001C0D2F"/>
    <w:rsid w:val="001C2013"/>
    <w:rsid w:val="001C2234"/>
    <w:rsid w:val="001C4396"/>
    <w:rsid w:val="001C5B4D"/>
    <w:rsid w:val="001C73A6"/>
    <w:rsid w:val="001D0718"/>
    <w:rsid w:val="001D149C"/>
    <w:rsid w:val="001D34B7"/>
    <w:rsid w:val="001D71DD"/>
    <w:rsid w:val="001D7ED9"/>
    <w:rsid w:val="001E2038"/>
    <w:rsid w:val="001E269A"/>
    <w:rsid w:val="001E287A"/>
    <w:rsid w:val="001E388C"/>
    <w:rsid w:val="001E434F"/>
    <w:rsid w:val="001E580C"/>
    <w:rsid w:val="001F0A83"/>
    <w:rsid w:val="001F108E"/>
    <w:rsid w:val="001F30EC"/>
    <w:rsid w:val="001F47DB"/>
    <w:rsid w:val="001F4F11"/>
    <w:rsid w:val="002025AD"/>
    <w:rsid w:val="002041B4"/>
    <w:rsid w:val="002043CB"/>
    <w:rsid w:val="002052BB"/>
    <w:rsid w:val="00205B95"/>
    <w:rsid w:val="00206BC2"/>
    <w:rsid w:val="002070AA"/>
    <w:rsid w:val="00207CF1"/>
    <w:rsid w:val="00210576"/>
    <w:rsid w:val="00210F1F"/>
    <w:rsid w:val="00211B5A"/>
    <w:rsid w:val="00211D91"/>
    <w:rsid w:val="00212E15"/>
    <w:rsid w:val="00216084"/>
    <w:rsid w:val="002172A2"/>
    <w:rsid w:val="0022351F"/>
    <w:rsid w:val="00223839"/>
    <w:rsid w:val="00223D4C"/>
    <w:rsid w:val="00224D77"/>
    <w:rsid w:val="0022539C"/>
    <w:rsid w:val="00225785"/>
    <w:rsid w:val="00225940"/>
    <w:rsid w:val="00226D57"/>
    <w:rsid w:val="00227E77"/>
    <w:rsid w:val="00230CAB"/>
    <w:rsid w:val="0023348E"/>
    <w:rsid w:val="00233EF3"/>
    <w:rsid w:val="00235CAB"/>
    <w:rsid w:val="00236409"/>
    <w:rsid w:val="0023641F"/>
    <w:rsid w:val="002365CA"/>
    <w:rsid w:val="0023741C"/>
    <w:rsid w:val="00241C51"/>
    <w:rsid w:val="00243A8D"/>
    <w:rsid w:val="00243E21"/>
    <w:rsid w:val="00244E0C"/>
    <w:rsid w:val="002552CD"/>
    <w:rsid w:val="00255BB2"/>
    <w:rsid w:val="00260C76"/>
    <w:rsid w:val="002618E6"/>
    <w:rsid w:val="00263745"/>
    <w:rsid w:val="002643A0"/>
    <w:rsid w:val="00266965"/>
    <w:rsid w:val="0027380C"/>
    <w:rsid w:val="002752CF"/>
    <w:rsid w:val="00280506"/>
    <w:rsid w:val="00280BDF"/>
    <w:rsid w:val="00282D7E"/>
    <w:rsid w:val="0028356D"/>
    <w:rsid w:val="00283CB6"/>
    <w:rsid w:val="00283FE5"/>
    <w:rsid w:val="0028430E"/>
    <w:rsid w:val="00286691"/>
    <w:rsid w:val="002873DA"/>
    <w:rsid w:val="00290767"/>
    <w:rsid w:val="00291318"/>
    <w:rsid w:val="00291512"/>
    <w:rsid w:val="00292E58"/>
    <w:rsid w:val="0029324A"/>
    <w:rsid w:val="002964A4"/>
    <w:rsid w:val="002A49A7"/>
    <w:rsid w:val="002A4C83"/>
    <w:rsid w:val="002A5A55"/>
    <w:rsid w:val="002A66C4"/>
    <w:rsid w:val="002A6BF8"/>
    <w:rsid w:val="002A6C7A"/>
    <w:rsid w:val="002B0BE2"/>
    <w:rsid w:val="002B393C"/>
    <w:rsid w:val="002B7667"/>
    <w:rsid w:val="002C222F"/>
    <w:rsid w:val="002C38BC"/>
    <w:rsid w:val="002C68B4"/>
    <w:rsid w:val="002C6F15"/>
    <w:rsid w:val="002D0371"/>
    <w:rsid w:val="002D49F9"/>
    <w:rsid w:val="002D56AD"/>
    <w:rsid w:val="002D5BA0"/>
    <w:rsid w:val="002D5CEF"/>
    <w:rsid w:val="002D6F23"/>
    <w:rsid w:val="002D70F1"/>
    <w:rsid w:val="002D7665"/>
    <w:rsid w:val="002D799A"/>
    <w:rsid w:val="002E0289"/>
    <w:rsid w:val="002E1E65"/>
    <w:rsid w:val="002E2333"/>
    <w:rsid w:val="002E4229"/>
    <w:rsid w:val="002E4516"/>
    <w:rsid w:val="002E4A41"/>
    <w:rsid w:val="002E5ECB"/>
    <w:rsid w:val="002E66FD"/>
    <w:rsid w:val="002E7D59"/>
    <w:rsid w:val="002F3530"/>
    <w:rsid w:val="002F3D85"/>
    <w:rsid w:val="002F4C51"/>
    <w:rsid w:val="002F5AF4"/>
    <w:rsid w:val="002F6386"/>
    <w:rsid w:val="002F6861"/>
    <w:rsid w:val="002F6A25"/>
    <w:rsid w:val="003012BF"/>
    <w:rsid w:val="00301919"/>
    <w:rsid w:val="00302FC9"/>
    <w:rsid w:val="00303F67"/>
    <w:rsid w:val="00304085"/>
    <w:rsid w:val="003042CA"/>
    <w:rsid w:val="00306468"/>
    <w:rsid w:val="00306D78"/>
    <w:rsid w:val="00307F71"/>
    <w:rsid w:val="0031307F"/>
    <w:rsid w:val="003152B1"/>
    <w:rsid w:val="0031664C"/>
    <w:rsid w:val="00316D39"/>
    <w:rsid w:val="00320D42"/>
    <w:rsid w:val="00322D6F"/>
    <w:rsid w:val="003234E9"/>
    <w:rsid w:val="003253AC"/>
    <w:rsid w:val="0032656E"/>
    <w:rsid w:val="00327EE4"/>
    <w:rsid w:val="00327F0C"/>
    <w:rsid w:val="00327F2C"/>
    <w:rsid w:val="00331D9B"/>
    <w:rsid w:val="00332E2D"/>
    <w:rsid w:val="003330E6"/>
    <w:rsid w:val="00333F95"/>
    <w:rsid w:val="00335807"/>
    <w:rsid w:val="003362B4"/>
    <w:rsid w:val="00337EFC"/>
    <w:rsid w:val="0034029F"/>
    <w:rsid w:val="00341216"/>
    <w:rsid w:val="00342B92"/>
    <w:rsid w:val="00342CE1"/>
    <w:rsid w:val="00342D92"/>
    <w:rsid w:val="00343C29"/>
    <w:rsid w:val="003503AD"/>
    <w:rsid w:val="0035260F"/>
    <w:rsid w:val="003528C4"/>
    <w:rsid w:val="0035380B"/>
    <w:rsid w:val="00354574"/>
    <w:rsid w:val="003566B0"/>
    <w:rsid w:val="0035682F"/>
    <w:rsid w:val="00357758"/>
    <w:rsid w:val="00360563"/>
    <w:rsid w:val="00360B5F"/>
    <w:rsid w:val="00362BEA"/>
    <w:rsid w:val="00363E28"/>
    <w:rsid w:val="00363FC6"/>
    <w:rsid w:val="00365E73"/>
    <w:rsid w:val="00367BF2"/>
    <w:rsid w:val="00370119"/>
    <w:rsid w:val="00371D27"/>
    <w:rsid w:val="00373257"/>
    <w:rsid w:val="0037408A"/>
    <w:rsid w:val="003740C4"/>
    <w:rsid w:val="00375DD7"/>
    <w:rsid w:val="00377C11"/>
    <w:rsid w:val="00377EE4"/>
    <w:rsid w:val="00381C99"/>
    <w:rsid w:val="00384E85"/>
    <w:rsid w:val="00385812"/>
    <w:rsid w:val="0038664F"/>
    <w:rsid w:val="00387878"/>
    <w:rsid w:val="0039040A"/>
    <w:rsid w:val="00391F90"/>
    <w:rsid w:val="0039306F"/>
    <w:rsid w:val="00397248"/>
    <w:rsid w:val="003979BD"/>
    <w:rsid w:val="003A3974"/>
    <w:rsid w:val="003A3BD8"/>
    <w:rsid w:val="003A4D65"/>
    <w:rsid w:val="003A53AA"/>
    <w:rsid w:val="003A5762"/>
    <w:rsid w:val="003A5E43"/>
    <w:rsid w:val="003A6681"/>
    <w:rsid w:val="003A70F9"/>
    <w:rsid w:val="003A7701"/>
    <w:rsid w:val="003B011A"/>
    <w:rsid w:val="003B2F4E"/>
    <w:rsid w:val="003B3AF0"/>
    <w:rsid w:val="003B4445"/>
    <w:rsid w:val="003C0F49"/>
    <w:rsid w:val="003C2E59"/>
    <w:rsid w:val="003C36AC"/>
    <w:rsid w:val="003C3A08"/>
    <w:rsid w:val="003C4A01"/>
    <w:rsid w:val="003C5046"/>
    <w:rsid w:val="003C5B13"/>
    <w:rsid w:val="003D135F"/>
    <w:rsid w:val="003D16A7"/>
    <w:rsid w:val="003D2B17"/>
    <w:rsid w:val="003D2F0B"/>
    <w:rsid w:val="003D33FB"/>
    <w:rsid w:val="003D5193"/>
    <w:rsid w:val="003D51A9"/>
    <w:rsid w:val="003D70BA"/>
    <w:rsid w:val="003E027F"/>
    <w:rsid w:val="003E3313"/>
    <w:rsid w:val="003E5E69"/>
    <w:rsid w:val="003E6185"/>
    <w:rsid w:val="003E6795"/>
    <w:rsid w:val="003E7D0C"/>
    <w:rsid w:val="003F19A2"/>
    <w:rsid w:val="003F3FDC"/>
    <w:rsid w:val="003F4F06"/>
    <w:rsid w:val="003F6A2E"/>
    <w:rsid w:val="003F7847"/>
    <w:rsid w:val="003F7C16"/>
    <w:rsid w:val="00401FCC"/>
    <w:rsid w:val="00402891"/>
    <w:rsid w:val="004045D8"/>
    <w:rsid w:val="00406CAE"/>
    <w:rsid w:val="00412C6E"/>
    <w:rsid w:val="00413630"/>
    <w:rsid w:val="00414A7D"/>
    <w:rsid w:val="0041505D"/>
    <w:rsid w:val="00416188"/>
    <w:rsid w:val="00417C70"/>
    <w:rsid w:val="0042012D"/>
    <w:rsid w:val="004218D3"/>
    <w:rsid w:val="00421994"/>
    <w:rsid w:val="004234B2"/>
    <w:rsid w:val="00425DB5"/>
    <w:rsid w:val="00430D75"/>
    <w:rsid w:val="00437940"/>
    <w:rsid w:val="004402A1"/>
    <w:rsid w:val="00442951"/>
    <w:rsid w:val="0044582A"/>
    <w:rsid w:val="00446D8F"/>
    <w:rsid w:val="00447C6C"/>
    <w:rsid w:val="004502D2"/>
    <w:rsid w:val="00450AC2"/>
    <w:rsid w:val="004510A7"/>
    <w:rsid w:val="00453522"/>
    <w:rsid w:val="00455210"/>
    <w:rsid w:val="0045771A"/>
    <w:rsid w:val="004607A7"/>
    <w:rsid w:val="004608C7"/>
    <w:rsid w:val="00461779"/>
    <w:rsid w:val="004617E5"/>
    <w:rsid w:val="00462652"/>
    <w:rsid w:val="00462CFF"/>
    <w:rsid w:val="00467A3B"/>
    <w:rsid w:val="0047010B"/>
    <w:rsid w:val="004718A7"/>
    <w:rsid w:val="00471B89"/>
    <w:rsid w:val="0047397A"/>
    <w:rsid w:val="004741F9"/>
    <w:rsid w:val="00474FED"/>
    <w:rsid w:val="0048003A"/>
    <w:rsid w:val="004820E9"/>
    <w:rsid w:val="00483453"/>
    <w:rsid w:val="0048361F"/>
    <w:rsid w:val="00484AE9"/>
    <w:rsid w:val="0049309E"/>
    <w:rsid w:val="004937F3"/>
    <w:rsid w:val="004941B0"/>
    <w:rsid w:val="0049573F"/>
    <w:rsid w:val="00496E61"/>
    <w:rsid w:val="00497708"/>
    <w:rsid w:val="004A0844"/>
    <w:rsid w:val="004A2E49"/>
    <w:rsid w:val="004A5C7B"/>
    <w:rsid w:val="004A63DC"/>
    <w:rsid w:val="004A6B96"/>
    <w:rsid w:val="004A7654"/>
    <w:rsid w:val="004A7B63"/>
    <w:rsid w:val="004B095A"/>
    <w:rsid w:val="004B12DD"/>
    <w:rsid w:val="004B16C2"/>
    <w:rsid w:val="004B4AF9"/>
    <w:rsid w:val="004B514C"/>
    <w:rsid w:val="004B51B5"/>
    <w:rsid w:val="004B7C25"/>
    <w:rsid w:val="004B7EE6"/>
    <w:rsid w:val="004C064F"/>
    <w:rsid w:val="004C06A2"/>
    <w:rsid w:val="004C189F"/>
    <w:rsid w:val="004C28AD"/>
    <w:rsid w:val="004C450A"/>
    <w:rsid w:val="004C5E70"/>
    <w:rsid w:val="004C7FB5"/>
    <w:rsid w:val="004D0754"/>
    <w:rsid w:val="004D136F"/>
    <w:rsid w:val="004D2209"/>
    <w:rsid w:val="004D3071"/>
    <w:rsid w:val="004D4503"/>
    <w:rsid w:val="004D5678"/>
    <w:rsid w:val="004E0B59"/>
    <w:rsid w:val="004E2556"/>
    <w:rsid w:val="004E2A88"/>
    <w:rsid w:val="004E3FDE"/>
    <w:rsid w:val="004E479D"/>
    <w:rsid w:val="004E5C60"/>
    <w:rsid w:val="004E7702"/>
    <w:rsid w:val="004E7FFB"/>
    <w:rsid w:val="004F0DAC"/>
    <w:rsid w:val="004F0E41"/>
    <w:rsid w:val="004F1DD2"/>
    <w:rsid w:val="004F4066"/>
    <w:rsid w:val="004F4355"/>
    <w:rsid w:val="004F5979"/>
    <w:rsid w:val="00500660"/>
    <w:rsid w:val="00500C65"/>
    <w:rsid w:val="00500E99"/>
    <w:rsid w:val="005023F8"/>
    <w:rsid w:val="00502608"/>
    <w:rsid w:val="00503999"/>
    <w:rsid w:val="00504EE3"/>
    <w:rsid w:val="00507549"/>
    <w:rsid w:val="005106F0"/>
    <w:rsid w:val="005108CA"/>
    <w:rsid w:val="00514425"/>
    <w:rsid w:val="005148F0"/>
    <w:rsid w:val="00514965"/>
    <w:rsid w:val="00515583"/>
    <w:rsid w:val="00516CCD"/>
    <w:rsid w:val="0052027F"/>
    <w:rsid w:val="005237D7"/>
    <w:rsid w:val="00523C12"/>
    <w:rsid w:val="00523E03"/>
    <w:rsid w:val="0052507B"/>
    <w:rsid w:val="00525595"/>
    <w:rsid w:val="00526BDE"/>
    <w:rsid w:val="00526C07"/>
    <w:rsid w:val="00531624"/>
    <w:rsid w:val="0053241B"/>
    <w:rsid w:val="0053387C"/>
    <w:rsid w:val="005373A5"/>
    <w:rsid w:val="00537774"/>
    <w:rsid w:val="005410D3"/>
    <w:rsid w:val="00541499"/>
    <w:rsid w:val="00542521"/>
    <w:rsid w:val="005426A7"/>
    <w:rsid w:val="0054572C"/>
    <w:rsid w:val="0054719F"/>
    <w:rsid w:val="005548F6"/>
    <w:rsid w:val="00554FD2"/>
    <w:rsid w:val="00555C84"/>
    <w:rsid w:val="005565FE"/>
    <w:rsid w:val="005567AF"/>
    <w:rsid w:val="00556D13"/>
    <w:rsid w:val="005574C9"/>
    <w:rsid w:val="00560393"/>
    <w:rsid w:val="00561164"/>
    <w:rsid w:val="0056145B"/>
    <w:rsid w:val="005620B3"/>
    <w:rsid w:val="0056306B"/>
    <w:rsid w:val="0056464B"/>
    <w:rsid w:val="00565A81"/>
    <w:rsid w:val="00566432"/>
    <w:rsid w:val="005710AC"/>
    <w:rsid w:val="00571736"/>
    <w:rsid w:val="00574ACA"/>
    <w:rsid w:val="0057770D"/>
    <w:rsid w:val="00577877"/>
    <w:rsid w:val="00580146"/>
    <w:rsid w:val="00581E4D"/>
    <w:rsid w:val="005826BE"/>
    <w:rsid w:val="005836D0"/>
    <w:rsid w:val="0058413D"/>
    <w:rsid w:val="00584163"/>
    <w:rsid w:val="00584EDB"/>
    <w:rsid w:val="00585A32"/>
    <w:rsid w:val="005879DE"/>
    <w:rsid w:val="00587E26"/>
    <w:rsid w:val="00590486"/>
    <w:rsid w:val="00590505"/>
    <w:rsid w:val="00591708"/>
    <w:rsid w:val="00591B56"/>
    <w:rsid w:val="00595813"/>
    <w:rsid w:val="0059644B"/>
    <w:rsid w:val="005A06D9"/>
    <w:rsid w:val="005A09AA"/>
    <w:rsid w:val="005A20E3"/>
    <w:rsid w:val="005A33B8"/>
    <w:rsid w:val="005A41A5"/>
    <w:rsid w:val="005A69E0"/>
    <w:rsid w:val="005A6BC7"/>
    <w:rsid w:val="005B0834"/>
    <w:rsid w:val="005B12F2"/>
    <w:rsid w:val="005B18F7"/>
    <w:rsid w:val="005B2412"/>
    <w:rsid w:val="005B26C1"/>
    <w:rsid w:val="005B4152"/>
    <w:rsid w:val="005B4CE5"/>
    <w:rsid w:val="005B5DBC"/>
    <w:rsid w:val="005B6B96"/>
    <w:rsid w:val="005B77BE"/>
    <w:rsid w:val="005C051F"/>
    <w:rsid w:val="005C272C"/>
    <w:rsid w:val="005C6084"/>
    <w:rsid w:val="005C642C"/>
    <w:rsid w:val="005C734C"/>
    <w:rsid w:val="005C762E"/>
    <w:rsid w:val="005D00A8"/>
    <w:rsid w:val="005D03E1"/>
    <w:rsid w:val="005D098C"/>
    <w:rsid w:val="005D0DA8"/>
    <w:rsid w:val="005D13D2"/>
    <w:rsid w:val="005D31D4"/>
    <w:rsid w:val="005D3C87"/>
    <w:rsid w:val="005D4E31"/>
    <w:rsid w:val="005D5D78"/>
    <w:rsid w:val="005D7A80"/>
    <w:rsid w:val="005E0B13"/>
    <w:rsid w:val="005E1C04"/>
    <w:rsid w:val="005E1D3F"/>
    <w:rsid w:val="005E4070"/>
    <w:rsid w:val="005E5E19"/>
    <w:rsid w:val="005E6DB5"/>
    <w:rsid w:val="005E777E"/>
    <w:rsid w:val="005E7C96"/>
    <w:rsid w:val="005F15D6"/>
    <w:rsid w:val="005F21AD"/>
    <w:rsid w:val="005F4817"/>
    <w:rsid w:val="005F4F7A"/>
    <w:rsid w:val="005F6BA8"/>
    <w:rsid w:val="005F7B77"/>
    <w:rsid w:val="006007BA"/>
    <w:rsid w:val="006039CC"/>
    <w:rsid w:val="00603C94"/>
    <w:rsid w:val="00603D99"/>
    <w:rsid w:val="0060662A"/>
    <w:rsid w:val="00606A01"/>
    <w:rsid w:val="006075ED"/>
    <w:rsid w:val="00607C26"/>
    <w:rsid w:val="006114B3"/>
    <w:rsid w:val="00612789"/>
    <w:rsid w:val="006128B7"/>
    <w:rsid w:val="00612A9B"/>
    <w:rsid w:val="00613625"/>
    <w:rsid w:val="00614BDA"/>
    <w:rsid w:val="00614CBC"/>
    <w:rsid w:val="00616B7E"/>
    <w:rsid w:val="00616D7D"/>
    <w:rsid w:val="00617827"/>
    <w:rsid w:val="00617C09"/>
    <w:rsid w:val="00623644"/>
    <w:rsid w:val="00623F6F"/>
    <w:rsid w:val="00624C70"/>
    <w:rsid w:val="00625F50"/>
    <w:rsid w:val="0062674C"/>
    <w:rsid w:val="00626C00"/>
    <w:rsid w:val="00631A28"/>
    <w:rsid w:val="006331B4"/>
    <w:rsid w:val="0063393A"/>
    <w:rsid w:val="00634139"/>
    <w:rsid w:val="006343F3"/>
    <w:rsid w:val="00636BD3"/>
    <w:rsid w:val="00637351"/>
    <w:rsid w:val="00642902"/>
    <w:rsid w:val="00642906"/>
    <w:rsid w:val="00642BBF"/>
    <w:rsid w:val="00643DB2"/>
    <w:rsid w:val="00644E09"/>
    <w:rsid w:val="006457EF"/>
    <w:rsid w:val="00646BE0"/>
    <w:rsid w:val="00646F42"/>
    <w:rsid w:val="0064772D"/>
    <w:rsid w:val="006504F8"/>
    <w:rsid w:val="006525B5"/>
    <w:rsid w:val="00652D74"/>
    <w:rsid w:val="00656EA7"/>
    <w:rsid w:val="006570A7"/>
    <w:rsid w:val="00657314"/>
    <w:rsid w:val="0066179F"/>
    <w:rsid w:val="00661FEF"/>
    <w:rsid w:val="0066238A"/>
    <w:rsid w:val="006642D3"/>
    <w:rsid w:val="00664D65"/>
    <w:rsid w:val="006656E7"/>
    <w:rsid w:val="0066587B"/>
    <w:rsid w:val="0066613D"/>
    <w:rsid w:val="0066643A"/>
    <w:rsid w:val="00670295"/>
    <w:rsid w:val="0067039F"/>
    <w:rsid w:val="00671766"/>
    <w:rsid w:val="00672B96"/>
    <w:rsid w:val="00672EFB"/>
    <w:rsid w:val="00676DDF"/>
    <w:rsid w:val="00681682"/>
    <w:rsid w:val="00681772"/>
    <w:rsid w:val="00683E95"/>
    <w:rsid w:val="0068526D"/>
    <w:rsid w:val="00686E17"/>
    <w:rsid w:val="00691C6E"/>
    <w:rsid w:val="00692ED8"/>
    <w:rsid w:val="00693903"/>
    <w:rsid w:val="00695B9D"/>
    <w:rsid w:val="0069670D"/>
    <w:rsid w:val="00696971"/>
    <w:rsid w:val="00696F2A"/>
    <w:rsid w:val="00697201"/>
    <w:rsid w:val="006A6751"/>
    <w:rsid w:val="006A721F"/>
    <w:rsid w:val="006A7D5D"/>
    <w:rsid w:val="006B050F"/>
    <w:rsid w:val="006B1D84"/>
    <w:rsid w:val="006B2CFD"/>
    <w:rsid w:val="006B30A0"/>
    <w:rsid w:val="006B3A30"/>
    <w:rsid w:val="006B64E0"/>
    <w:rsid w:val="006B6517"/>
    <w:rsid w:val="006B678A"/>
    <w:rsid w:val="006B6B5F"/>
    <w:rsid w:val="006C07BC"/>
    <w:rsid w:val="006C30E8"/>
    <w:rsid w:val="006C4915"/>
    <w:rsid w:val="006C5FE7"/>
    <w:rsid w:val="006C626E"/>
    <w:rsid w:val="006C791B"/>
    <w:rsid w:val="006D1C26"/>
    <w:rsid w:val="006D52E6"/>
    <w:rsid w:val="006D629C"/>
    <w:rsid w:val="006D73F1"/>
    <w:rsid w:val="006E09FE"/>
    <w:rsid w:val="006E12E8"/>
    <w:rsid w:val="006E146E"/>
    <w:rsid w:val="006E2ED7"/>
    <w:rsid w:val="006E3A45"/>
    <w:rsid w:val="006E4BB0"/>
    <w:rsid w:val="006F0EF7"/>
    <w:rsid w:val="006F3F1E"/>
    <w:rsid w:val="006F4071"/>
    <w:rsid w:val="006F6348"/>
    <w:rsid w:val="00703D5F"/>
    <w:rsid w:val="00704B16"/>
    <w:rsid w:val="00704E1E"/>
    <w:rsid w:val="00707FD6"/>
    <w:rsid w:val="00710F6B"/>
    <w:rsid w:val="0071173A"/>
    <w:rsid w:val="00714136"/>
    <w:rsid w:val="00715157"/>
    <w:rsid w:val="00715BC7"/>
    <w:rsid w:val="007162D3"/>
    <w:rsid w:val="00720B38"/>
    <w:rsid w:val="0072181D"/>
    <w:rsid w:val="00721C4F"/>
    <w:rsid w:val="00722B57"/>
    <w:rsid w:val="00722BDB"/>
    <w:rsid w:val="00722CC5"/>
    <w:rsid w:val="007266D8"/>
    <w:rsid w:val="00727C6D"/>
    <w:rsid w:val="0073085F"/>
    <w:rsid w:val="00732519"/>
    <w:rsid w:val="00736DD8"/>
    <w:rsid w:val="00737FD4"/>
    <w:rsid w:val="00740CEE"/>
    <w:rsid w:val="00741B9D"/>
    <w:rsid w:val="007449C4"/>
    <w:rsid w:val="00750666"/>
    <w:rsid w:val="00750FDB"/>
    <w:rsid w:val="0075402C"/>
    <w:rsid w:val="007549AE"/>
    <w:rsid w:val="00757B24"/>
    <w:rsid w:val="00761449"/>
    <w:rsid w:val="00764256"/>
    <w:rsid w:val="0077311D"/>
    <w:rsid w:val="00773AD0"/>
    <w:rsid w:val="00773AD1"/>
    <w:rsid w:val="007750B2"/>
    <w:rsid w:val="00777395"/>
    <w:rsid w:val="007803EB"/>
    <w:rsid w:val="00780AD8"/>
    <w:rsid w:val="00781423"/>
    <w:rsid w:val="00784091"/>
    <w:rsid w:val="00785FEE"/>
    <w:rsid w:val="00786D02"/>
    <w:rsid w:val="007939FC"/>
    <w:rsid w:val="00793FA0"/>
    <w:rsid w:val="00794EFB"/>
    <w:rsid w:val="00797158"/>
    <w:rsid w:val="007A00A3"/>
    <w:rsid w:val="007A2C06"/>
    <w:rsid w:val="007A4EEE"/>
    <w:rsid w:val="007A63DC"/>
    <w:rsid w:val="007B0B24"/>
    <w:rsid w:val="007B5DAD"/>
    <w:rsid w:val="007C02A8"/>
    <w:rsid w:val="007C0DEC"/>
    <w:rsid w:val="007C125F"/>
    <w:rsid w:val="007C1E26"/>
    <w:rsid w:val="007C2620"/>
    <w:rsid w:val="007C4351"/>
    <w:rsid w:val="007C5391"/>
    <w:rsid w:val="007C68B0"/>
    <w:rsid w:val="007D034D"/>
    <w:rsid w:val="007D0929"/>
    <w:rsid w:val="007D097C"/>
    <w:rsid w:val="007E0E8D"/>
    <w:rsid w:val="007E1862"/>
    <w:rsid w:val="007E3C5F"/>
    <w:rsid w:val="007E48DE"/>
    <w:rsid w:val="007F0FE2"/>
    <w:rsid w:val="007F13CC"/>
    <w:rsid w:val="007F1AA8"/>
    <w:rsid w:val="007F3558"/>
    <w:rsid w:val="007F429E"/>
    <w:rsid w:val="007F42A3"/>
    <w:rsid w:val="007F44F6"/>
    <w:rsid w:val="007F499F"/>
    <w:rsid w:val="007F6B30"/>
    <w:rsid w:val="007F794B"/>
    <w:rsid w:val="007F7C86"/>
    <w:rsid w:val="00800667"/>
    <w:rsid w:val="008010E3"/>
    <w:rsid w:val="008021CB"/>
    <w:rsid w:val="008028ED"/>
    <w:rsid w:val="00802FAA"/>
    <w:rsid w:val="00804266"/>
    <w:rsid w:val="0080499A"/>
    <w:rsid w:val="008052B3"/>
    <w:rsid w:val="008056E7"/>
    <w:rsid w:val="008067DD"/>
    <w:rsid w:val="00807BC3"/>
    <w:rsid w:val="00811B6B"/>
    <w:rsid w:val="0081263C"/>
    <w:rsid w:val="008131BA"/>
    <w:rsid w:val="0081365C"/>
    <w:rsid w:val="00814937"/>
    <w:rsid w:val="00814A2C"/>
    <w:rsid w:val="00814DEF"/>
    <w:rsid w:val="0081670C"/>
    <w:rsid w:val="00816B49"/>
    <w:rsid w:val="008174F6"/>
    <w:rsid w:val="00817D82"/>
    <w:rsid w:val="00820373"/>
    <w:rsid w:val="008223B0"/>
    <w:rsid w:val="008232BB"/>
    <w:rsid w:val="0082330C"/>
    <w:rsid w:val="00823FE7"/>
    <w:rsid w:val="00824C92"/>
    <w:rsid w:val="008262AF"/>
    <w:rsid w:val="008272D3"/>
    <w:rsid w:val="00827B71"/>
    <w:rsid w:val="00832511"/>
    <w:rsid w:val="00836EAC"/>
    <w:rsid w:val="00841A9A"/>
    <w:rsid w:val="00841DC0"/>
    <w:rsid w:val="00843088"/>
    <w:rsid w:val="00843712"/>
    <w:rsid w:val="00844641"/>
    <w:rsid w:val="008446E0"/>
    <w:rsid w:val="00846A13"/>
    <w:rsid w:val="00846BCB"/>
    <w:rsid w:val="00847184"/>
    <w:rsid w:val="008471D1"/>
    <w:rsid w:val="00847B70"/>
    <w:rsid w:val="008500D2"/>
    <w:rsid w:val="00850475"/>
    <w:rsid w:val="008505C3"/>
    <w:rsid w:val="00852913"/>
    <w:rsid w:val="00852AB3"/>
    <w:rsid w:val="008539E1"/>
    <w:rsid w:val="0085575F"/>
    <w:rsid w:val="00857B99"/>
    <w:rsid w:val="0086123C"/>
    <w:rsid w:val="00861C56"/>
    <w:rsid w:val="00863A98"/>
    <w:rsid w:val="0086472B"/>
    <w:rsid w:val="008649F8"/>
    <w:rsid w:val="00865C15"/>
    <w:rsid w:val="008668DF"/>
    <w:rsid w:val="00872543"/>
    <w:rsid w:val="0087328A"/>
    <w:rsid w:val="00877EFE"/>
    <w:rsid w:val="0088008C"/>
    <w:rsid w:val="00880508"/>
    <w:rsid w:val="0088099B"/>
    <w:rsid w:val="008821C0"/>
    <w:rsid w:val="00882F9A"/>
    <w:rsid w:val="008842DD"/>
    <w:rsid w:val="00884663"/>
    <w:rsid w:val="0088540A"/>
    <w:rsid w:val="00885566"/>
    <w:rsid w:val="00885B53"/>
    <w:rsid w:val="00887068"/>
    <w:rsid w:val="008913BA"/>
    <w:rsid w:val="0089166E"/>
    <w:rsid w:val="00893D3D"/>
    <w:rsid w:val="00894D70"/>
    <w:rsid w:val="00895E5F"/>
    <w:rsid w:val="008976F5"/>
    <w:rsid w:val="00897FDC"/>
    <w:rsid w:val="008A0930"/>
    <w:rsid w:val="008A297E"/>
    <w:rsid w:val="008A34B5"/>
    <w:rsid w:val="008A4CEF"/>
    <w:rsid w:val="008A7A3A"/>
    <w:rsid w:val="008B08A6"/>
    <w:rsid w:val="008B0F12"/>
    <w:rsid w:val="008B2B24"/>
    <w:rsid w:val="008B2FFB"/>
    <w:rsid w:val="008B321F"/>
    <w:rsid w:val="008B422F"/>
    <w:rsid w:val="008B43A6"/>
    <w:rsid w:val="008B4B18"/>
    <w:rsid w:val="008B5A22"/>
    <w:rsid w:val="008B6491"/>
    <w:rsid w:val="008C14DC"/>
    <w:rsid w:val="008C14E2"/>
    <w:rsid w:val="008C1B72"/>
    <w:rsid w:val="008C2EF2"/>
    <w:rsid w:val="008C58EB"/>
    <w:rsid w:val="008C5DC0"/>
    <w:rsid w:val="008C6478"/>
    <w:rsid w:val="008C74B1"/>
    <w:rsid w:val="008C7E44"/>
    <w:rsid w:val="008D0542"/>
    <w:rsid w:val="008D1C5E"/>
    <w:rsid w:val="008D22AE"/>
    <w:rsid w:val="008D262A"/>
    <w:rsid w:val="008D4015"/>
    <w:rsid w:val="008D4315"/>
    <w:rsid w:val="008D48BB"/>
    <w:rsid w:val="008D48D7"/>
    <w:rsid w:val="008D4CE0"/>
    <w:rsid w:val="008D50D7"/>
    <w:rsid w:val="008D62D8"/>
    <w:rsid w:val="008D755E"/>
    <w:rsid w:val="008E05D6"/>
    <w:rsid w:val="008E1E96"/>
    <w:rsid w:val="008E34FE"/>
    <w:rsid w:val="008E47A3"/>
    <w:rsid w:val="008E4C37"/>
    <w:rsid w:val="008E5D91"/>
    <w:rsid w:val="008E65C3"/>
    <w:rsid w:val="008E6EC2"/>
    <w:rsid w:val="008E7585"/>
    <w:rsid w:val="008E7B4D"/>
    <w:rsid w:val="008F1ED8"/>
    <w:rsid w:val="008F2417"/>
    <w:rsid w:val="008F31C7"/>
    <w:rsid w:val="008F5F7A"/>
    <w:rsid w:val="008F60A8"/>
    <w:rsid w:val="0090148E"/>
    <w:rsid w:val="00901786"/>
    <w:rsid w:val="009029B4"/>
    <w:rsid w:val="00902E6C"/>
    <w:rsid w:val="00903F5D"/>
    <w:rsid w:val="00904823"/>
    <w:rsid w:val="009056F8"/>
    <w:rsid w:val="00905C42"/>
    <w:rsid w:val="00905FCC"/>
    <w:rsid w:val="00910A24"/>
    <w:rsid w:val="00910D22"/>
    <w:rsid w:val="00911F5B"/>
    <w:rsid w:val="00912C0F"/>
    <w:rsid w:val="00916C4E"/>
    <w:rsid w:val="00917344"/>
    <w:rsid w:val="00921B24"/>
    <w:rsid w:val="00921D99"/>
    <w:rsid w:val="00922084"/>
    <w:rsid w:val="009229E6"/>
    <w:rsid w:val="00923174"/>
    <w:rsid w:val="00924568"/>
    <w:rsid w:val="00924CAB"/>
    <w:rsid w:val="00925355"/>
    <w:rsid w:val="0092657D"/>
    <w:rsid w:val="00926E7E"/>
    <w:rsid w:val="00932D04"/>
    <w:rsid w:val="00932E3F"/>
    <w:rsid w:val="009347BE"/>
    <w:rsid w:val="00934862"/>
    <w:rsid w:val="009358B8"/>
    <w:rsid w:val="00936012"/>
    <w:rsid w:val="0093655E"/>
    <w:rsid w:val="00936ABE"/>
    <w:rsid w:val="00936DBF"/>
    <w:rsid w:val="009375E4"/>
    <w:rsid w:val="00940ECD"/>
    <w:rsid w:val="00940EFE"/>
    <w:rsid w:val="00942C5C"/>
    <w:rsid w:val="0094366C"/>
    <w:rsid w:val="00944645"/>
    <w:rsid w:val="00944755"/>
    <w:rsid w:val="00945900"/>
    <w:rsid w:val="00945AE3"/>
    <w:rsid w:val="00946825"/>
    <w:rsid w:val="009478FB"/>
    <w:rsid w:val="00953ADF"/>
    <w:rsid w:val="00956A5F"/>
    <w:rsid w:val="0096157B"/>
    <w:rsid w:val="009633E7"/>
    <w:rsid w:val="009635EC"/>
    <w:rsid w:val="00963978"/>
    <w:rsid w:val="00964C67"/>
    <w:rsid w:val="00965476"/>
    <w:rsid w:val="00965CB5"/>
    <w:rsid w:val="009663E2"/>
    <w:rsid w:val="009700DF"/>
    <w:rsid w:val="0097190E"/>
    <w:rsid w:val="009728A8"/>
    <w:rsid w:val="00976705"/>
    <w:rsid w:val="00977CF0"/>
    <w:rsid w:val="00984585"/>
    <w:rsid w:val="0098674A"/>
    <w:rsid w:val="009867D2"/>
    <w:rsid w:val="00986AD4"/>
    <w:rsid w:val="00986CBB"/>
    <w:rsid w:val="00990E54"/>
    <w:rsid w:val="00993555"/>
    <w:rsid w:val="00995B16"/>
    <w:rsid w:val="00996ECF"/>
    <w:rsid w:val="009A0776"/>
    <w:rsid w:val="009A1881"/>
    <w:rsid w:val="009A2CBC"/>
    <w:rsid w:val="009A2F3F"/>
    <w:rsid w:val="009A365A"/>
    <w:rsid w:val="009A626A"/>
    <w:rsid w:val="009A6E1A"/>
    <w:rsid w:val="009B0D61"/>
    <w:rsid w:val="009B36B9"/>
    <w:rsid w:val="009B4FFB"/>
    <w:rsid w:val="009B5F75"/>
    <w:rsid w:val="009B621A"/>
    <w:rsid w:val="009B6B60"/>
    <w:rsid w:val="009C1E0E"/>
    <w:rsid w:val="009C2EB2"/>
    <w:rsid w:val="009C3CB3"/>
    <w:rsid w:val="009C3D5F"/>
    <w:rsid w:val="009C45D9"/>
    <w:rsid w:val="009C6F32"/>
    <w:rsid w:val="009C7D1F"/>
    <w:rsid w:val="009D2B9B"/>
    <w:rsid w:val="009D2C15"/>
    <w:rsid w:val="009D3645"/>
    <w:rsid w:val="009D3BFA"/>
    <w:rsid w:val="009D485D"/>
    <w:rsid w:val="009D76C9"/>
    <w:rsid w:val="009E0B69"/>
    <w:rsid w:val="009E1D68"/>
    <w:rsid w:val="009E30B4"/>
    <w:rsid w:val="009E3187"/>
    <w:rsid w:val="009E393B"/>
    <w:rsid w:val="009E55EC"/>
    <w:rsid w:val="009E7097"/>
    <w:rsid w:val="009E70D4"/>
    <w:rsid w:val="009E7FF6"/>
    <w:rsid w:val="009F0CB6"/>
    <w:rsid w:val="009F49AE"/>
    <w:rsid w:val="009F6396"/>
    <w:rsid w:val="009F66B8"/>
    <w:rsid w:val="009F6802"/>
    <w:rsid w:val="009F68C5"/>
    <w:rsid w:val="009F6909"/>
    <w:rsid w:val="00A005EB"/>
    <w:rsid w:val="00A00ED6"/>
    <w:rsid w:val="00A020B2"/>
    <w:rsid w:val="00A02F5C"/>
    <w:rsid w:val="00A04252"/>
    <w:rsid w:val="00A04A22"/>
    <w:rsid w:val="00A057F2"/>
    <w:rsid w:val="00A06657"/>
    <w:rsid w:val="00A069FB"/>
    <w:rsid w:val="00A070E6"/>
    <w:rsid w:val="00A12B67"/>
    <w:rsid w:val="00A1406F"/>
    <w:rsid w:val="00A173D6"/>
    <w:rsid w:val="00A22F1F"/>
    <w:rsid w:val="00A239BD"/>
    <w:rsid w:val="00A24025"/>
    <w:rsid w:val="00A25025"/>
    <w:rsid w:val="00A2641D"/>
    <w:rsid w:val="00A26E79"/>
    <w:rsid w:val="00A30780"/>
    <w:rsid w:val="00A30D5F"/>
    <w:rsid w:val="00A31713"/>
    <w:rsid w:val="00A31CD7"/>
    <w:rsid w:val="00A330DD"/>
    <w:rsid w:val="00A3411A"/>
    <w:rsid w:val="00A342C5"/>
    <w:rsid w:val="00A41A29"/>
    <w:rsid w:val="00A41CB8"/>
    <w:rsid w:val="00A42059"/>
    <w:rsid w:val="00A44681"/>
    <w:rsid w:val="00A4673E"/>
    <w:rsid w:val="00A537E4"/>
    <w:rsid w:val="00A53999"/>
    <w:rsid w:val="00A53D91"/>
    <w:rsid w:val="00A54C61"/>
    <w:rsid w:val="00A57C04"/>
    <w:rsid w:val="00A6159B"/>
    <w:rsid w:val="00A61A06"/>
    <w:rsid w:val="00A61F0F"/>
    <w:rsid w:val="00A62F32"/>
    <w:rsid w:val="00A64AE3"/>
    <w:rsid w:val="00A65E36"/>
    <w:rsid w:val="00A65EF3"/>
    <w:rsid w:val="00A66142"/>
    <w:rsid w:val="00A663BE"/>
    <w:rsid w:val="00A675F3"/>
    <w:rsid w:val="00A67C2E"/>
    <w:rsid w:val="00A67D76"/>
    <w:rsid w:val="00A722CC"/>
    <w:rsid w:val="00A76017"/>
    <w:rsid w:val="00A7722F"/>
    <w:rsid w:val="00A77792"/>
    <w:rsid w:val="00A805FF"/>
    <w:rsid w:val="00A80CA4"/>
    <w:rsid w:val="00A821B7"/>
    <w:rsid w:val="00A832D2"/>
    <w:rsid w:val="00A85381"/>
    <w:rsid w:val="00A8573D"/>
    <w:rsid w:val="00A8648E"/>
    <w:rsid w:val="00A86D3D"/>
    <w:rsid w:val="00A87AC7"/>
    <w:rsid w:val="00A90789"/>
    <w:rsid w:val="00A91FCA"/>
    <w:rsid w:val="00A93D38"/>
    <w:rsid w:val="00A968F6"/>
    <w:rsid w:val="00AA3EC1"/>
    <w:rsid w:val="00AA4F0F"/>
    <w:rsid w:val="00AA5225"/>
    <w:rsid w:val="00AA5723"/>
    <w:rsid w:val="00AA574F"/>
    <w:rsid w:val="00AA5E9B"/>
    <w:rsid w:val="00AA6465"/>
    <w:rsid w:val="00AA7004"/>
    <w:rsid w:val="00AA76DA"/>
    <w:rsid w:val="00AB00EB"/>
    <w:rsid w:val="00AB217C"/>
    <w:rsid w:val="00AB2948"/>
    <w:rsid w:val="00AB3786"/>
    <w:rsid w:val="00AB39D4"/>
    <w:rsid w:val="00AB39FA"/>
    <w:rsid w:val="00AB46EA"/>
    <w:rsid w:val="00AB72B1"/>
    <w:rsid w:val="00AC1AFB"/>
    <w:rsid w:val="00AC28CB"/>
    <w:rsid w:val="00AC4966"/>
    <w:rsid w:val="00AC7A93"/>
    <w:rsid w:val="00AD0707"/>
    <w:rsid w:val="00AD2043"/>
    <w:rsid w:val="00AD32EE"/>
    <w:rsid w:val="00AD3919"/>
    <w:rsid w:val="00AD443D"/>
    <w:rsid w:val="00AD5FC4"/>
    <w:rsid w:val="00AD6933"/>
    <w:rsid w:val="00AD6B7B"/>
    <w:rsid w:val="00AD7110"/>
    <w:rsid w:val="00AD771F"/>
    <w:rsid w:val="00AE2E09"/>
    <w:rsid w:val="00AE3234"/>
    <w:rsid w:val="00AE3A36"/>
    <w:rsid w:val="00AE4A39"/>
    <w:rsid w:val="00AE6EF3"/>
    <w:rsid w:val="00AE7003"/>
    <w:rsid w:val="00AF1330"/>
    <w:rsid w:val="00AF2398"/>
    <w:rsid w:val="00AF35EA"/>
    <w:rsid w:val="00AF39AB"/>
    <w:rsid w:val="00AF3FBB"/>
    <w:rsid w:val="00AF59A2"/>
    <w:rsid w:val="00AF5B4C"/>
    <w:rsid w:val="00AF60E3"/>
    <w:rsid w:val="00B011A4"/>
    <w:rsid w:val="00B01F01"/>
    <w:rsid w:val="00B021C6"/>
    <w:rsid w:val="00B0239E"/>
    <w:rsid w:val="00B0418C"/>
    <w:rsid w:val="00B041FF"/>
    <w:rsid w:val="00B066BA"/>
    <w:rsid w:val="00B0700C"/>
    <w:rsid w:val="00B13378"/>
    <w:rsid w:val="00B13C30"/>
    <w:rsid w:val="00B16972"/>
    <w:rsid w:val="00B16D7A"/>
    <w:rsid w:val="00B16EA8"/>
    <w:rsid w:val="00B175DD"/>
    <w:rsid w:val="00B2352D"/>
    <w:rsid w:val="00B24744"/>
    <w:rsid w:val="00B3074C"/>
    <w:rsid w:val="00B35797"/>
    <w:rsid w:val="00B3734A"/>
    <w:rsid w:val="00B42101"/>
    <w:rsid w:val="00B43764"/>
    <w:rsid w:val="00B44BC9"/>
    <w:rsid w:val="00B44FBD"/>
    <w:rsid w:val="00B4546B"/>
    <w:rsid w:val="00B45EDA"/>
    <w:rsid w:val="00B4667E"/>
    <w:rsid w:val="00B47EB1"/>
    <w:rsid w:val="00B47EFB"/>
    <w:rsid w:val="00B503F7"/>
    <w:rsid w:val="00B5304F"/>
    <w:rsid w:val="00B54295"/>
    <w:rsid w:val="00B56EFF"/>
    <w:rsid w:val="00B56FE3"/>
    <w:rsid w:val="00B628BE"/>
    <w:rsid w:val="00B62928"/>
    <w:rsid w:val="00B63942"/>
    <w:rsid w:val="00B63EC2"/>
    <w:rsid w:val="00B64A6C"/>
    <w:rsid w:val="00B6609B"/>
    <w:rsid w:val="00B6782B"/>
    <w:rsid w:val="00B70962"/>
    <w:rsid w:val="00B73CCF"/>
    <w:rsid w:val="00B771C2"/>
    <w:rsid w:val="00B774DB"/>
    <w:rsid w:val="00B80736"/>
    <w:rsid w:val="00B81C78"/>
    <w:rsid w:val="00B86229"/>
    <w:rsid w:val="00B8653D"/>
    <w:rsid w:val="00B86859"/>
    <w:rsid w:val="00B86C3F"/>
    <w:rsid w:val="00B913B2"/>
    <w:rsid w:val="00B9473B"/>
    <w:rsid w:val="00BA005C"/>
    <w:rsid w:val="00BA0E6C"/>
    <w:rsid w:val="00BA3461"/>
    <w:rsid w:val="00BA414A"/>
    <w:rsid w:val="00BA447F"/>
    <w:rsid w:val="00BA517D"/>
    <w:rsid w:val="00BA564B"/>
    <w:rsid w:val="00BA62B8"/>
    <w:rsid w:val="00BA6D87"/>
    <w:rsid w:val="00BA7BD3"/>
    <w:rsid w:val="00BB004C"/>
    <w:rsid w:val="00BB047B"/>
    <w:rsid w:val="00BB0F00"/>
    <w:rsid w:val="00BB1E4F"/>
    <w:rsid w:val="00BB1E5C"/>
    <w:rsid w:val="00BB339F"/>
    <w:rsid w:val="00BB41EB"/>
    <w:rsid w:val="00BB6398"/>
    <w:rsid w:val="00BB6AE1"/>
    <w:rsid w:val="00BB7524"/>
    <w:rsid w:val="00BB7C09"/>
    <w:rsid w:val="00BC006D"/>
    <w:rsid w:val="00BC0267"/>
    <w:rsid w:val="00BC0CFC"/>
    <w:rsid w:val="00BC2816"/>
    <w:rsid w:val="00BC2CA4"/>
    <w:rsid w:val="00BC3EF9"/>
    <w:rsid w:val="00BC4E92"/>
    <w:rsid w:val="00BC517F"/>
    <w:rsid w:val="00BC58A1"/>
    <w:rsid w:val="00BC5E9A"/>
    <w:rsid w:val="00BC6D48"/>
    <w:rsid w:val="00BD0359"/>
    <w:rsid w:val="00BD0372"/>
    <w:rsid w:val="00BD3811"/>
    <w:rsid w:val="00BD44D2"/>
    <w:rsid w:val="00BD4C1E"/>
    <w:rsid w:val="00BD4C6D"/>
    <w:rsid w:val="00BE0FF7"/>
    <w:rsid w:val="00BE1970"/>
    <w:rsid w:val="00BE2CFF"/>
    <w:rsid w:val="00BE37BA"/>
    <w:rsid w:val="00BE3BFD"/>
    <w:rsid w:val="00BE4A56"/>
    <w:rsid w:val="00BE4DC3"/>
    <w:rsid w:val="00BE74EF"/>
    <w:rsid w:val="00BF0C14"/>
    <w:rsid w:val="00BF36C3"/>
    <w:rsid w:val="00BF77A3"/>
    <w:rsid w:val="00C00C79"/>
    <w:rsid w:val="00C06073"/>
    <w:rsid w:val="00C06827"/>
    <w:rsid w:val="00C11E5A"/>
    <w:rsid w:val="00C12263"/>
    <w:rsid w:val="00C139CA"/>
    <w:rsid w:val="00C13ACD"/>
    <w:rsid w:val="00C162BF"/>
    <w:rsid w:val="00C1762A"/>
    <w:rsid w:val="00C17FD0"/>
    <w:rsid w:val="00C206E2"/>
    <w:rsid w:val="00C20A18"/>
    <w:rsid w:val="00C213B9"/>
    <w:rsid w:val="00C23323"/>
    <w:rsid w:val="00C3168D"/>
    <w:rsid w:val="00C316E3"/>
    <w:rsid w:val="00C33791"/>
    <w:rsid w:val="00C3403A"/>
    <w:rsid w:val="00C357E3"/>
    <w:rsid w:val="00C36339"/>
    <w:rsid w:val="00C36A1E"/>
    <w:rsid w:val="00C37296"/>
    <w:rsid w:val="00C3797A"/>
    <w:rsid w:val="00C40657"/>
    <w:rsid w:val="00C40D08"/>
    <w:rsid w:val="00C41C71"/>
    <w:rsid w:val="00C44AC8"/>
    <w:rsid w:val="00C45003"/>
    <w:rsid w:val="00C45342"/>
    <w:rsid w:val="00C45644"/>
    <w:rsid w:val="00C46080"/>
    <w:rsid w:val="00C4645A"/>
    <w:rsid w:val="00C468FA"/>
    <w:rsid w:val="00C47BFF"/>
    <w:rsid w:val="00C51429"/>
    <w:rsid w:val="00C5264A"/>
    <w:rsid w:val="00C52F4F"/>
    <w:rsid w:val="00C54224"/>
    <w:rsid w:val="00C54D0B"/>
    <w:rsid w:val="00C555F4"/>
    <w:rsid w:val="00C5632B"/>
    <w:rsid w:val="00C56A5B"/>
    <w:rsid w:val="00C65204"/>
    <w:rsid w:val="00C66E6D"/>
    <w:rsid w:val="00C715E3"/>
    <w:rsid w:val="00C7308D"/>
    <w:rsid w:val="00C75CD7"/>
    <w:rsid w:val="00C76B96"/>
    <w:rsid w:val="00C77866"/>
    <w:rsid w:val="00C81CFB"/>
    <w:rsid w:val="00C83173"/>
    <w:rsid w:val="00C83FD7"/>
    <w:rsid w:val="00C844B5"/>
    <w:rsid w:val="00C85C5B"/>
    <w:rsid w:val="00C87450"/>
    <w:rsid w:val="00C909B5"/>
    <w:rsid w:val="00C909CB"/>
    <w:rsid w:val="00C90E41"/>
    <w:rsid w:val="00C93AEB"/>
    <w:rsid w:val="00C941BA"/>
    <w:rsid w:val="00C95769"/>
    <w:rsid w:val="00C9638C"/>
    <w:rsid w:val="00CA1186"/>
    <w:rsid w:val="00CA2C26"/>
    <w:rsid w:val="00CA5438"/>
    <w:rsid w:val="00CA5FE5"/>
    <w:rsid w:val="00CA6802"/>
    <w:rsid w:val="00CA78F6"/>
    <w:rsid w:val="00CC176B"/>
    <w:rsid w:val="00CC374C"/>
    <w:rsid w:val="00CC4AF5"/>
    <w:rsid w:val="00CD1DD7"/>
    <w:rsid w:val="00CD2231"/>
    <w:rsid w:val="00CD239F"/>
    <w:rsid w:val="00CD2930"/>
    <w:rsid w:val="00CD4D8B"/>
    <w:rsid w:val="00CD51C4"/>
    <w:rsid w:val="00CD51E5"/>
    <w:rsid w:val="00CD603D"/>
    <w:rsid w:val="00CD657E"/>
    <w:rsid w:val="00CD77D1"/>
    <w:rsid w:val="00CE0399"/>
    <w:rsid w:val="00CE09E0"/>
    <w:rsid w:val="00CE2B60"/>
    <w:rsid w:val="00CE7AE7"/>
    <w:rsid w:val="00CF01ED"/>
    <w:rsid w:val="00CF10C0"/>
    <w:rsid w:val="00CF2EE2"/>
    <w:rsid w:val="00CF35A0"/>
    <w:rsid w:val="00CF3D7E"/>
    <w:rsid w:val="00CF5369"/>
    <w:rsid w:val="00CF5AEF"/>
    <w:rsid w:val="00CF7A03"/>
    <w:rsid w:val="00D0162D"/>
    <w:rsid w:val="00D01D6E"/>
    <w:rsid w:val="00D02BE3"/>
    <w:rsid w:val="00D04800"/>
    <w:rsid w:val="00D04D9C"/>
    <w:rsid w:val="00D07B96"/>
    <w:rsid w:val="00D10087"/>
    <w:rsid w:val="00D104EA"/>
    <w:rsid w:val="00D11BEF"/>
    <w:rsid w:val="00D1406E"/>
    <w:rsid w:val="00D14264"/>
    <w:rsid w:val="00D1494B"/>
    <w:rsid w:val="00D15E44"/>
    <w:rsid w:val="00D16234"/>
    <w:rsid w:val="00D169F2"/>
    <w:rsid w:val="00D20406"/>
    <w:rsid w:val="00D21641"/>
    <w:rsid w:val="00D227F4"/>
    <w:rsid w:val="00D22E4D"/>
    <w:rsid w:val="00D23D8A"/>
    <w:rsid w:val="00D246CA"/>
    <w:rsid w:val="00D2550C"/>
    <w:rsid w:val="00D25F21"/>
    <w:rsid w:val="00D26910"/>
    <w:rsid w:val="00D27183"/>
    <w:rsid w:val="00D31347"/>
    <w:rsid w:val="00D32009"/>
    <w:rsid w:val="00D32EBA"/>
    <w:rsid w:val="00D341DA"/>
    <w:rsid w:val="00D3612A"/>
    <w:rsid w:val="00D37703"/>
    <w:rsid w:val="00D37E4C"/>
    <w:rsid w:val="00D37F25"/>
    <w:rsid w:val="00D40674"/>
    <w:rsid w:val="00D40AEE"/>
    <w:rsid w:val="00D415A0"/>
    <w:rsid w:val="00D4161C"/>
    <w:rsid w:val="00D44100"/>
    <w:rsid w:val="00D44A49"/>
    <w:rsid w:val="00D45A37"/>
    <w:rsid w:val="00D46110"/>
    <w:rsid w:val="00D46235"/>
    <w:rsid w:val="00D502B1"/>
    <w:rsid w:val="00D51515"/>
    <w:rsid w:val="00D52099"/>
    <w:rsid w:val="00D54531"/>
    <w:rsid w:val="00D546E7"/>
    <w:rsid w:val="00D56C3A"/>
    <w:rsid w:val="00D56D76"/>
    <w:rsid w:val="00D60549"/>
    <w:rsid w:val="00D60D00"/>
    <w:rsid w:val="00D619B5"/>
    <w:rsid w:val="00D6338D"/>
    <w:rsid w:val="00D66B5D"/>
    <w:rsid w:val="00D67681"/>
    <w:rsid w:val="00D676A2"/>
    <w:rsid w:val="00D67B4B"/>
    <w:rsid w:val="00D67E41"/>
    <w:rsid w:val="00D70119"/>
    <w:rsid w:val="00D72713"/>
    <w:rsid w:val="00D737BC"/>
    <w:rsid w:val="00D75745"/>
    <w:rsid w:val="00D8041D"/>
    <w:rsid w:val="00D80527"/>
    <w:rsid w:val="00D83810"/>
    <w:rsid w:val="00D83E54"/>
    <w:rsid w:val="00D856CE"/>
    <w:rsid w:val="00D86528"/>
    <w:rsid w:val="00D903C9"/>
    <w:rsid w:val="00D91ECC"/>
    <w:rsid w:val="00D9207E"/>
    <w:rsid w:val="00D949FC"/>
    <w:rsid w:val="00D95491"/>
    <w:rsid w:val="00D979FC"/>
    <w:rsid w:val="00D97C30"/>
    <w:rsid w:val="00DA2235"/>
    <w:rsid w:val="00DA2EF2"/>
    <w:rsid w:val="00DA407F"/>
    <w:rsid w:val="00DA4CCB"/>
    <w:rsid w:val="00DA506E"/>
    <w:rsid w:val="00DA5943"/>
    <w:rsid w:val="00DA635F"/>
    <w:rsid w:val="00DA77BB"/>
    <w:rsid w:val="00DA7A6A"/>
    <w:rsid w:val="00DB158B"/>
    <w:rsid w:val="00DB17D1"/>
    <w:rsid w:val="00DB25B1"/>
    <w:rsid w:val="00DB3BD5"/>
    <w:rsid w:val="00DB40F0"/>
    <w:rsid w:val="00DB41BE"/>
    <w:rsid w:val="00DB5108"/>
    <w:rsid w:val="00DB5574"/>
    <w:rsid w:val="00DB73C9"/>
    <w:rsid w:val="00DC06E2"/>
    <w:rsid w:val="00DC1260"/>
    <w:rsid w:val="00DC1DE3"/>
    <w:rsid w:val="00DC1FE7"/>
    <w:rsid w:val="00DC280A"/>
    <w:rsid w:val="00DC3C0E"/>
    <w:rsid w:val="00DC4A55"/>
    <w:rsid w:val="00DC6282"/>
    <w:rsid w:val="00DC6E56"/>
    <w:rsid w:val="00DC7AEB"/>
    <w:rsid w:val="00DC7DE5"/>
    <w:rsid w:val="00DD1579"/>
    <w:rsid w:val="00DD1A21"/>
    <w:rsid w:val="00DD3153"/>
    <w:rsid w:val="00DD4F44"/>
    <w:rsid w:val="00DD5C70"/>
    <w:rsid w:val="00DD5FE7"/>
    <w:rsid w:val="00DD6725"/>
    <w:rsid w:val="00DE1BCC"/>
    <w:rsid w:val="00DE2910"/>
    <w:rsid w:val="00DE3443"/>
    <w:rsid w:val="00DE4667"/>
    <w:rsid w:val="00DE51E3"/>
    <w:rsid w:val="00DE643F"/>
    <w:rsid w:val="00DE721D"/>
    <w:rsid w:val="00DF05E0"/>
    <w:rsid w:val="00DF05EF"/>
    <w:rsid w:val="00DF1840"/>
    <w:rsid w:val="00DF52ED"/>
    <w:rsid w:val="00DF56D2"/>
    <w:rsid w:val="00DF5E98"/>
    <w:rsid w:val="00DF66DC"/>
    <w:rsid w:val="00E0048F"/>
    <w:rsid w:val="00E00566"/>
    <w:rsid w:val="00E01793"/>
    <w:rsid w:val="00E025B0"/>
    <w:rsid w:val="00E02807"/>
    <w:rsid w:val="00E03C31"/>
    <w:rsid w:val="00E063CB"/>
    <w:rsid w:val="00E06C05"/>
    <w:rsid w:val="00E06D10"/>
    <w:rsid w:val="00E06F1E"/>
    <w:rsid w:val="00E0748A"/>
    <w:rsid w:val="00E103DD"/>
    <w:rsid w:val="00E1126E"/>
    <w:rsid w:val="00E125F1"/>
    <w:rsid w:val="00E12883"/>
    <w:rsid w:val="00E13A03"/>
    <w:rsid w:val="00E16838"/>
    <w:rsid w:val="00E16B4B"/>
    <w:rsid w:val="00E20595"/>
    <w:rsid w:val="00E2084B"/>
    <w:rsid w:val="00E21AE7"/>
    <w:rsid w:val="00E23B2D"/>
    <w:rsid w:val="00E23EA1"/>
    <w:rsid w:val="00E258FC"/>
    <w:rsid w:val="00E278AB"/>
    <w:rsid w:val="00E3087A"/>
    <w:rsid w:val="00E33466"/>
    <w:rsid w:val="00E33BA5"/>
    <w:rsid w:val="00E33EFD"/>
    <w:rsid w:val="00E34818"/>
    <w:rsid w:val="00E37127"/>
    <w:rsid w:val="00E41D7B"/>
    <w:rsid w:val="00E44130"/>
    <w:rsid w:val="00E456E4"/>
    <w:rsid w:val="00E4622C"/>
    <w:rsid w:val="00E4658C"/>
    <w:rsid w:val="00E50206"/>
    <w:rsid w:val="00E507B7"/>
    <w:rsid w:val="00E51FFB"/>
    <w:rsid w:val="00E54A95"/>
    <w:rsid w:val="00E566AD"/>
    <w:rsid w:val="00E56D5B"/>
    <w:rsid w:val="00E61127"/>
    <w:rsid w:val="00E61246"/>
    <w:rsid w:val="00E625EB"/>
    <w:rsid w:val="00E66596"/>
    <w:rsid w:val="00E71A4E"/>
    <w:rsid w:val="00E726AD"/>
    <w:rsid w:val="00E73ECF"/>
    <w:rsid w:val="00E7580A"/>
    <w:rsid w:val="00E77A28"/>
    <w:rsid w:val="00E84DDE"/>
    <w:rsid w:val="00E8732E"/>
    <w:rsid w:val="00E877D5"/>
    <w:rsid w:val="00E907B4"/>
    <w:rsid w:val="00E92456"/>
    <w:rsid w:val="00EA0487"/>
    <w:rsid w:val="00EA3909"/>
    <w:rsid w:val="00EA5212"/>
    <w:rsid w:val="00EA616F"/>
    <w:rsid w:val="00EA7BAF"/>
    <w:rsid w:val="00EB0F23"/>
    <w:rsid w:val="00EB2762"/>
    <w:rsid w:val="00EB3C59"/>
    <w:rsid w:val="00EB3F75"/>
    <w:rsid w:val="00EB3F7F"/>
    <w:rsid w:val="00EB5161"/>
    <w:rsid w:val="00EB63CD"/>
    <w:rsid w:val="00EC0807"/>
    <w:rsid w:val="00EC2250"/>
    <w:rsid w:val="00EC2E92"/>
    <w:rsid w:val="00EC3182"/>
    <w:rsid w:val="00EC4670"/>
    <w:rsid w:val="00EC52B3"/>
    <w:rsid w:val="00EC5C3B"/>
    <w:rsid w:val="00EC6F44"/>
    <w:rsid w:val="00EC7F63"/>
    <w:rsid w:val="00ED0342"/>
    <w:rsid w:val="00ED1F2E"/>
    <w:rsid w:val="00ED2DEE"/>
    <w:rsid w:val="00ED5C02"/>
    <w:rsid w:val="00ED797F"/>
    <w:rsid w:val="00EE0607"/>
    <w:rsid w:val="00EE10F3"/>
    <w:rsid w:val="00EE1453"/>
    <w:rsid w:val="00EE1D8B"/>
    <w:rsid w:val="00EE2914"/>
    <w:rsid w:val="00EE2E9F"/>
    <w:rsid w:val="00EE3911"/>
    <w:rsid w:val="00EE3E6D"/>
    <w:rsid w:val="00EE45B3"/>
    <w:rsid w:val="00EE4E0F"/>
    <w:rsid w:val="00EE58D9"/>
    <w:rsid w:val="00EE7EAE"/>
    <w:rsid w:val="00EF0ED7"/>
    <w:rsid w:val="00EF2206"/>
    <w:rsid w:val="00F000E5"/>
    <w:rsid w:val="00F0467D"/>
    <w:rsid w:val="00F05A87"/>
    <w:rsid w:val="00F07CB2"/>
    <w:rsid w:val="00F10DA1"/>
    <w:rsid w:val="00F111B3"/>
    <w:rsid w:val="00F112DF"/>
    <w:rsid w:val="00F12A8F"/>
    <w:rsid w:val="00F12D43"/>
    <w:rsid w:val="00F13B95"/>
    <w:rsid w:val="00F14639"/>
    <w:rsid w:val="00F149CA"/>
    <w:rsid w:val="00F14D2E"/>
    <w:rsid w:val="00F15C97"/>
    <w:rsid w:val="00F16166"/>
    <w:rsid w:val="00F179E3"/>
    <w:rsid w:val="00F20EFF"/>
    <w:rsid w:val="00F215BF"/>
    <w:rsid w:val="00F21A75"/>
    <w:rsid w:val="00F21BBA"/>
    <w:rsid w:val="00F22923"/>
    <w:rsid w:val="00F23B55"/>
    <w:rsid w:val="00F263AC"/>
    <w:rsid w:val="00F2699A"/>
    <w:rsid w:val="00F26A9F"/>
    <w:rsid w:val="00F2796B"/>
    <w:rsid w:val="00F30DB0"/>
    <w:rsid w:val="00F316BC"/>
    <w:rsid w:val="00F34771"/>
    <w:rsid w:val="00F36DC6"/>
    <w:rsid w:val="00F36F10"/>
    <w:rsid w:val="00F409A9"/>
    <w:rsid w:val="00F40C27"/>
    <w:rsid w:val="00F41DD9"/>
    <w:rsid w:val="00F4284B"/>
    <w:rsid w:val="00F42872"/>
    <w:rsid w:val="00F4489C"/>
    <w:rsid w:val="00F467F9"/>
    <w:rsid w:val="00F47559"/>
    <w:rsid w:val="00F51FEB"/>
    <w:rsid w:val="00F554F8"/>
    <w:rsid w:val="00F55B31"/>
    <w:rsid w:val="00F564DB"/>
    <w:rsid w:val="00F61EB7"/>
    <w:rsid w:val="00F62396"/>
    <w:rsid w:val="00F629C4"/>
    <w:rsid w:val="00F64738"/>
    <w:rsid w:val="00F648C7"/>
    <w:rsid w:val="00F64C49"/>
    <w:rsid w:val="00F667E5"/>
    <w:rsid w:val="00F676DD"/>
    <w:rsid w:val="00F7026F"/>
    <w:rsid w:val="00F70F60"/>
    <w:rsid w:val="00F7175D"/>
    <w:rsid w:val="00F73777"/>
    <w:rsid w:val="00F73D99"/>
    <w:rsid w:val="00F73FE8"/>
    <w:rsid w:val="00F76278"/>
    <w:rsid w:val="00F765C7"/>
    <w:rsid w:val="00F77BA6"/>
    <w:rsid w:val="00F80564"/>
    <w:rsid w:val="00F8101D"/>
    <w:rsid w:val="00F8150B"/>
    <w:rsid w:val="00F82BD4"/>
    <w:rsid w:val="00F835C5"/>
    <w:rsid w:val="00F845F1"/>
    <w:rsid w:val="00F86128"/>
    <w:rsid w:val="00F866C4"/>
    <w:rsid w:val="00F86FAC"/>
    <w:rsid w:val="00F871F6"/>
    <w:rsid w:val="00F873C6"/>
    <w:rsid w:val="00F93D23"/>
    <w:rsid w:val="00F940DE"/>
    <w:rsid w:val="00F9718C"/>
    <w:rsid w:val="00FA5F08"/>
    <w:rsid w:val="00FA63E3"/>
    <w:rsid w:val="00FA714E"/>
    <w:rsid w:val="00FB3C1B"/>
    <w:rsid w:val="00FB4A56"/>
    <w:rsid w:val="00FB4EFE"/>
    <w:rsid w:val="00FB7E28"/>
    <w:rsid w:val="00FC09CF"/>
    <w:rsid w:val="00FC27AB"/>
    <w:rsid w:val="00FC32E4"/>
    <w:rsid w:val="00FC3F99"/>
    <w:rsid w:val="00FC421E"/>
    <w:rsid w:val="00FD6216"/>
    <w:rsid w:val="00FD7489"/>
    <w:rsid w:val="00FD7B3D"/>
    <w:rsid w:val="00FE0119"/>
    <w:rsid w:val="00FF01B0"/>
    <w:rsid w:val="00FF3074"/>
    <w:rsid w:val="00FF48E2"/>
    <w:rsid w:val="00FF49CC"/>
    <w:rsid w:val="00FF6C18"/>
    <w:rsid w:val="00FF752D"/>
    <w:rsid w:val="00FF79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6017"/>
    <o:shapelayout v:ext="edit">
      <o:idmap v:ext="edit" data="1"/>
    </o:shapelayout>
  </w:shapeDefaults>
  <w:decimalSymbol w:val="."/>
  <w:listSeparator w:val=","/>
  <w14:docId w14:val="60874749"/>
  <w15:chartTrackingRefBased/>
  <w15:docId w15:val="{ACBC0498-65EA-4B6A-BDC4-105ABD577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566AD"/>
    <w:rPr>
      <w:sz w:val="24"/>
      <w:szCs w:val="24"/>
      <w:lang w:eastAsia="en-US"/>
    </w:rPr>
  </w:style>
  <w:style w:type="paragraph" w:styleId="Heading1">
    <w:name w:val="heading 1"/>
    <w:basedOn w:val="Normal"/>
    <w:next w:val="NICEnormal"/>
    <w:link w:val="Heading1Char"/>
    <w:qFormat/>
    <w:rsid w:val="00401FCC"/>
    <w:pPr>
      <w:keepNext/>
      <w:spacing w:before="240" w:after="120" w:line="360" w:lineRule="auto"/>
      <w:outlineLvl w:val="0"/>
    </w:pPr>
    <w:rPr>
      <w:rFonts w:ascii="Arial" w:hAnsi="Arial" w:cs="Arial"/>
      <w:b/>
      <w:bCs/>
      <w:kern w:val="32"/>
      <w:sz w:val="32"/>
      <w:szCs w:val="32"/>
    </w:rPr>
  </w:style>
  <w:style w:type="paragraph" w:styleId="Heading2">
    <w:name w:val="heading 2"/>
    <w:basedOn w:val="Normal"/>
    <w:next w:val="NICEnormal"/>
    <w:link w:val="Heading2Char"/>
    <w:qFormat/>
    <w:rsid w:val="00401FCC"/>
    <w:pPr>
      <w:keepNext/>
      <w:spacing w:before="240" w:after="60" w:line="360" w:lineRule="auto"/>
      <w:outlineLvl w:val="1"/>
    </w:pPr>
    <w:rPr>
      <w:rFonts w:ascii="Arial" w:hAnsi="Arial" w:cs="Arial"/>
      <w:b/>
      <w:bCs/>
      <w:sz w:val="28"/>
      <w:szCs w:val="28"/>
    </w:rPr>
  </w:style>
  <w:style w:type="paragraph" w:styleId="Heading3">
    <w:name w:val="heading 3"/>
    <w:basedOn w:val="Normal"/>
    <w:next w:val="NICEnormal"/>
    <w:qFormat/>
    <w:rsid w:val="00054C3D"/>
    <w:pPr>
      <w:keepNext/>
      <w:spacing w:before="240" w:after="60" w:line="360" w:lineRule="auto"/>
      <w:outlineLvl w:val="2"/>
    </w:pPr>
    <w:rPr>
      <w:rFonts w:ascii="Arial" w:hAnsi="Arial" w:cs="Arial"/>
      <w:b/>
      <w:bCs/>
      <w:sz w:val="26"/>
    </w:rPr>
  </w:style>
  <w:style w:type="paragraph" w:styleId="Heading4">
    <w:name w:val="heading 4"/>
    <w:basedOn w:val="Normal"/>
    <w:next w:val="NICEnormal"/>
    <w:qFormat/>
    <w:rsid w:val="00401FCC"/>
    <w:pPr>
      <w:keepNext/>
      <w:spacing w:before="240" w:after="60" w:line="360" w:lineRule="auto"/>
      <w:outlineLvl w:val="3"/>
    </w:pPr>
    <w:rPr>
      <w:rFonts w:ascii="Arial" w:hAnsi="Arial"/>
      <w:b/>
      <w:bCs/>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ICEnormal">
    <w:name w:val="NICE normal"/>
    <w:link w:val="NICEnormalChar"/>
    <w:qFormat/>
    <w:rsid w:val="00174C82"/>
    <w:pPr>
      <w:spacing w:after="240" w:line="360" w:lineRule="auto"/>
    </w:pPr>
    <w:rPr>
      <w:rFonts w:ascii="Arial" w:hAnsi="Arial"/>
      <w:sz w:val="24"/>
      <w:szCs w:val="24"/>
      <w:lang w:eastAsia="en-US"/>
    </w:rPr>
  </w:style>
  <w:style w:type="character" w:customStyle="1" w:styleId="NICEnormalChar">
    <w:name w:val="NICE normal Char"/>
    <w:link w:val="NICEnormal"/>
    <w:rsid w:val="00174C82"/>
    <w:rPr>
      <w:rFonts w:ascii="Arial" w:hAnsi="Arial"/>
      <w:sz w:val="24"/>
      <w:szCs w:val="24"/>
      <w:lang w:val="en-GB" w:eastAsia="en-US" w:bidi="ar-SA"/>
    </w:rPr>
  </w:style>
  <w:style w:type="character" w:customStyle="1" w:styleId="Heading1Char">
    <w:name w:val="Heading 1 Char"/>
    <w:link w:val="Heading1"/>
    <w:rsid w:val="00401FCC"/>
    <w:rPr>
      <w:rFonts w:ascii="Arial" w:hAnsi="Arial" w:cs="Arial"/>
      <w:b/>
      <w:bCs/>
      <w:kern w:val="32"/>
      <w:sz w:val="32"/>
      <w:szCs w:val="32"/>
      <w:lang w:eastAsia="en-US"/>
    </w:rPr>
  </w:style>
  <w:style w:type="character" w:customStyle="1" w:styleId="Heading2Char">
    <w:name w:val="Heading 2 Char"/>
    <w:link w:val="Heading2"/>
    <w:rsid w:val="00401FCC"/>
    <w:rPr>
      <w:rFonts w:ascii="Arial" w:hAnsi="Arial" w:cs="Arial"/>
      <w:b/>
      <w:bCs/>
      <w:sz w:val="28"/>
      <w:szCs w:val="28"/>
      <w:lang w:eastAsia="en-US"/>
    </w:rPr>
  </w:style>
  <w:style w:type="paragraph" w:customStyle="1" w:styleId="NICEnormalsinglespacing">
    <w:name w:val="NICE normal single spacing"/>
    <w:basedOn w:val="NICEnormal"/>
    <w:rsid w:val="005C762E"/>
    <w:pPr>
      <w:spacing w:line="240" w:lineRule="auto"/>
    </w:pPr>
  </w:style>
  <w:style w:type="paragraph" w:customStyle="1" w:styleId="Title2">
    <w:name w:val="Title 2"/>
    <w:basedOn w:val="Normal"/>
    <w:rsid w:val="00F765C7"/>
    <w:pPr>
      <w:keepNext/>
      <w:spacing w:before="240" w:after="240"/>
      <w:jc w:val="center"/>
      <w:outlineLvl w:val="0"/>
    </w:pPr>
    <w:rPr>
      <w:rFonts w:ascii="Arial" w:hAnsi="Arial" w:cs="Arial"/>
      <w:b/>
      <w:bCs/>
      <w:kern w:val="28"/>
      <w:sz w:val="32"/>
      <w:szCs w:val="32"/>
    </w:rPr>
  </w:style>
  <w:style w:type="paragraph" w:customStyle="1" w:styleId="Numberedheading1">
    <w:name w:val="Numbered heading 1"/>
    <w:basedOn w:val="Heading1"/>
    <w:next w:val="NICEnormal"/>
    <w:link w:val="Numberedheading1CharChar"/>
    <w:rsid w:val="00F0467D"/>
    <w:pPr>
      <w:numPr>
        <w:numId w:val="20"/>
      </w:numPr>
    </w:pPr>
    <w:rPr>
      <w:szCs w:val="24"/>
    </w:rPr>
  </w:style>
  <w:style w:type="character" w:customStyle="1" w:styleId="Numberedheading1CharChar">
    <w:name w:val="Numbered heading 1 Char Char"/>
    <w:link w:val="Numberedheading1"/>
    <w:rsid w:val="00F0467D"/>
    <w:rPr>
      <w:rFonts w:ascii="Arial" w:hAnsi="Arial" w:cs="Arial"/>
      <w:b/>
      <w:bCs/>
      <w:kern w:val="32"/>
      <w:sz w:val="32"/>
      <w:szCs w:val="24"/>
      <w:lang w:eastAsia="en-US"/>
    </w:rPr>
  </w:style>
  <w:style w:type="paragraph" w:customStyle="1" w:styleId="Bulletindent2">
    <w:name w:val="Bullet indent 2"/>
    <w:basedOn w:val="NICEnormal"/>
    <w:rsid w:val="00D3612A"/>
    <w:pPr>
      <w:numPr>
        <w:ilvl w:val="1"/>
        <w:numId w:val="3"/>
      </w:numPr>
      <w:spacing w:after="0"/>
      <w:ind w:left="1702" w:hanging="284"/>
    </w:pPr>
  </w:style>
  <w:style w:type="paragraph" w:customStyle="1" w:styleId="Bulletleft1">
    <w:name w:val="Bullet left 1"/>
    <w:basedOn w:val="NICEnormal"/>
    <w:rsid w:val="00D37F25"/>
    <w:pPr>
      <w:numPr>
        <w:numId w:val="6"/>
      </w:numPr>
      <w:spacing w:after="0"/>
    </w:pPr>
  </w:style>
  <w:style w:type="paragraph" w:customStyle="1" w:styleId="Bulletleft2">
    <w:name w:val="Bullet left 2"/>
    <w:basedOn w:val="NICEnormal"/>
    <w:rsid w:val="008505C3"/>
    <w:pPr>
      <w:numPr>
        <w:ilvl w:val="1"/>
        <w:numId w:val="1"/>
      </w:numPr>
      <w:spacing w:after="0"/>
      <w:ind w:left="568" w:hanging="284"/>
    </w:pPr>
  </w:style>
  <w:style w:type="paragraph" w:customStyle="1" w:styleId="Bulletleft3">
    <w:name w:val="Bullet left 3"/>
    <w:basedOn w:val="NICEnormal"/>
    <w:rsid w:val="008505C3"/>
    <w:pPr>
      <w:numPr>
        <w:ilvl w:val="2"/>
        <w:numId w:val="2"/>
      </w:numPr>
      <w:spacing w:after="0"/>
    </w:pPr>
  </w:style>
  <w:style w:type="paragraph" w:customStyle="1" w:styleId="Bulletindent1">
    <w:name w:val="Bullet indent 1"/>
    <w:basedOn w:val="NICEnormal"/>
    <w:link w:val="Bulletindent1Char"/>
    <w:rsid w:val="00D3612A"/>
    <w:pPr>
      <w:numPr>
        <w:numId w:val="5"/>
      </w:numPr>
      <w:spacing w:after="0"/>
    </w:pPr>
    <w:rPr>
      <w:lang w:val="en-US"/>
    </w:rPr>
  </w:style>
  <w:style w:type="character" w:customStyle="1" w:styleId="Bulletindent1Char">
    <w:name w:val="Bullet indent 1 Char"/>
    <w:link w:val="Bulletindent1"/>
    <w:rsid w:val="00F86FAC"/>
    <w:rPr>
      <w:rFonts w:ascii="Arial" w:hAnsi="Arial"/>
      <w:sz w:val="24"/>
      <w:szCs w:val="24"/>
      <w:lang w:val="en-US" w:eastAsia="en-US" w:bidi="ar-SA"/>
    </w:rPr>
  </w:style>
  <w:style w:type="paragraph" w:customStyle="1" w:styleId="Bulletindent3">
    <w:name w:val="Bullet indent 3"/>
    <w:basedOn w:val="NICEnormal"/>
    <w:rsid w:val="00D3612A"/>
    <w:pPr>
      <w:numPr>
        <w:ilvl w:val="2"/>
        <w:numId w:val="4"/>
      </w:numPr>
      <w:spacing w:after="0"/>
    </w:pPr>
  </w:style>
  <w:style w:type="paragraph" w:customStyle="1" w:styleId="Numberedlevel2text">
    <w:name w:val="Numbered level 2 text"/>
    <w:basedOn w:val="Normal"/>
    <w:link w:val="Numberedlevel2textChar"/>
    <w:qFormat/>
    <w:rsid w:val="00F0467D"/>
    <w:pPr>
      <w:numPr>
        <w:ilvl w:val="1"/>
        <w:numId w:val="20"/>
      </w:numPr>
      <w:spacing w:after="240" w:line="360" w:lineRule="auto"/>
    </w:pPr>
    <w:rPr>
      <w:rFonts w:ascii="Arial" w:hAnsi="Arial"/>
      <w:bCs/>
      <w:iCs/>
      <w:szCs w:val="28"/>
    </w:rPr>
  </w:style>
  <w:style w:type="character" w:customStyle="1" w:styleId="Numberedlevel2textChar">
    <w:name w:val="Numbered level 2 text Char"/>
    <w:link w:val="Numberedlevel2text"/>
    <w:rsid w:val="00F0467D"/>
    <w:rPr>
      <w:rFonts w:ascii="Arial" w:hAnsi="Arial"/>
      <w:bCs/>
      <w:iCs/>
      <w:sz w:val="24"/>
      <w:szCs w:val="28"/>
      <w:lang w:eastAsia="en-US"/>
    </w:rPr>
  </w:style>
  <w:style w:type="paragraph" w:customStyle="1" w:styleId="Bulletleft1last">
    <w:name w:val="Bullet left 1 last"/>
    <w:basedOn w:val="NICEnormal"/>
    <w:link w:val="Bulletleft1lastChar"/>
    <w:rsid w:val="00953ADF"/>
    <w:pPr>
      <w:numPr>
        <w:numId w:val="7"/>
      </w:numPr>
    </w:pPr>
    <w:rPr>
      <w:rFonts w:cs="Arial"/>
    </w:rPr>
  </w:style>
  <w:style w:type="paragraph" w:styleId="Header">
    <w:name w:val="header"/>
    <w:basedOn w:val="NICEnormalsinglespacing"/>
    <w:rsid w:val="0053387C"/>
    <w:pPr>
      <w:tabs>
        <w:tab w:val="center" w:pos="4153"/>
        <w:tab w:val="right" w:pos="8306"/>
      </w:tabs>
    </w:pPr>
  </w:style>
  <w:style w:type="paragraph" w:styleId="Footer">
    <w:name w:val="footer"/>
    <w:basedOn w:val="NICEnormalsinglespacing"/>
    <w:rsid w:val="0053387C"/>
    <w:pPr>
      <w:tabs>
        <w:tab w:val="center" w:pos="4153"/>
        <w:tab w:val="right" w:pos="8306"/>
      </w:tabs>
    </w:pPr>
  </w:style>
  <w:style w:type="character" w:styleId="PageNumber">
    <w:name w:val="page number"/>
    <w:rsid w:val="00A86D3D"/>
    <w:rPr>
      <w:rFonts w:ascii="Arial" w:hAnsi="Arial"/>
      <w:sz w:val="24"/>
    </w:rPr>
  </w:style>
  <w:style w:type="paragraph" w:customStyle="1" w:styleId="Bulletindent1last">
    <w:name w:val="Bullet indent 1 last"/>
    <w:basedOn w:val="NICEnormal"/>
    <w:next w:val="NICEnormal"/>
    <w:rsid w:val="00953ADF"/>
    <w:pPr>
      <w:numPr>
        <w:numId w:val="8"/>
      </w:numPr>
    </w:pPr>
  </w:style>
  <w:style w:type="paragraph" w:customStyle="1" w:styleId="NICEnormalindented">
    <w:name w:val="NICE normal indented"/>
    <w:basedOn w:val="NICEnormal"/>
    <w:rsid w:val="00BD0372"/>
    <w:pPr>
      <w:tabs>
        <w:tab w:val="left" w:pos="1134"/>
      </w:tabs>
      <w:ind w:left="1134"/>
    </w:pPr>
  </w:style>
  <w:style w:type="paragraph" w:customStyle="1" w:styleId="Tabletext">
    <w:name w:val="Table text"/>
    <w:basedOn w:val="NICEnormalsinglespacing"/>
    <w:rsid w:val="0081263C"/>
    <w:pPr>
      <w:keepNext/>
      <w:spacing w:after="60"/>
    </w:pPr>
    <w:rPr>
      <w:sz w:val="22"/>
    </w:rPr>
  </w:style>
  <w:style w:type="table" w:styleId="TableGrid">
    <w:name w:val="Table Grid"/>
    <w:basedOn w:val="TableNormal"/>
    <w:rsid w:val="00BB0F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D1DD7"/>
    <w:rPr>
      <w:color w:val="0000FF"/>
      <w:u w:val="single"/>
    </w:rPr>
  </w:style>
  <w:style w:type="paragraph" w:styleId="BalloonText">
    <w:name w:val="Balloon Text"/>
    <w:basedOn w:val="Normal"/>
    <w:semiHidden/>
    <w:rsid w:val="003253AC"/>
    <w:rPr>
      <w:rFonts w:ascii="Tahoma" w:hAnsi="Tahoma" w:cs="Tahoma"/>
      <w:sz w:val="16"/>
      <w:szCs w:val="16"/>
    </w:rPr>
  </w:style>
  <w:style w:type="character" w:styleId="CommentReference">
    <w:name w:val="annotation reference"/>
    <w:rsid w:val="00283FE5"/>
    <w:rPr>
      <w:sz w:val="16"/>
      <w:szCs w:val="16"/>
    </w:rPr>
  </w:style>
  <w:style w:type="paragraph" w:styleId="CommentText">
    <w:name w:val="annotation text"/>
    <w:basedOn w:val="Normal"/>
    <w:link w:val="CommentTextChar"/>
    <w:rsid w:val="00283FE5"/>
    <w:rPr>
      <w:sz w:val="20"/>
      <w:szCs w:val="20"/>
    </w:rPr>
  </w:style>
  <w:style w:type="paragraph" w:styleId="CommentSubject">
    <w:name w:val="annotation subject"/>
    <w:basedOn w:val="CommentText"/>
    <w:next w:val="CommentText"/>
    <w:semiHidden/>
    <w:rsid w:val="00283FE5"/>
    <w:rPr>
      <w:b/>
      <w:bCs/>
    </w:rPr>
  </w:style>
  <w:style w:type="paragraph" w:customStyle="1" w:styleId="Title1">
    <w:name w:val="Title 1"/>
    <w:basedOn w:val="Normal"/>
    <w:qFormat/>
    <w:rsid w:val="00F765C7"/>
    <w:pPr>
      <w:keepNext/>
      <w:spacing w:before="240" w:after="240"/>
      <w:jc w:val="center"/>
      <w:outlineLvl w:val="0"/>
    </w:pPr>
    <w:rPr>
      <w:rFonts w:ascii="Arial" w:hAnsi="Arial" w:cs="Arial"/>
      <w:b/>
      <w:bCs/>
      <w:kern w:val="28"/>
      <w:sz w:val="40"/>
      <w:szCs w:val="32"/>
    </w:rPr>
  </w:style>
  <w:style w:type="paragraph" w:customStyle="1" w:styleId="Guidanceissuedate">
    <w:name w:val="Guidance issue date"/>
    <w:basedOn w:val="NICEnormal"/>
    <w:qFormat/>
    <w:rsid w:val="00132522"/>
    <w:rPr>
      <w:lang w:val="en-US"/>
    </w:rPr>
  </w:style>
  <w:style w:type="paragraph" w:customStyle="1" w:styleId="Documentissuedate">
    <w:name w:val="Document issue date"/>
    <w:basedOn w:val="NICEnormal"/>
    <w:qFormat/>
    <w:rsid w:val="00132522"/>
    <w:rPr>
      <w:lang w:val="en-US"/>
    </w:rPr>
  </w:style>
  <w:style w:type="character" w:styleId="FollowedHyperlink">
    <w:name w:val="FollowedHyperlink"/>
    <w:rsid w:val="00CD51E5"/>
    <w:rPr>
      <w:color w:val="800080"/>
      <w:u w:val="single"/>
    </w:rPr>
  </w:style>
  <w:style w:type="character" w:customStyle="1" w:styleId="Bulletleft1lastChar">
    <w:name w:val="Bullet left 1 last Char"/>
    <w:link w:val="Bulletleft1last"/>
    <w:rsid w:val="00514965"/>
    <w:rPr>
      <w:rFonts w:ascii="Arial" w:hAnsi="Arial" w:cs="Arial"/>
      <w:sz w:val="24"/>
      <w:szCs w:val="24"/>
      <w:lang w:eastAsia="en-US"/>
    </w:rPr>
  </w:style>
  <w:style w:type="paragraph" w:styleId="FootnoteText">
    <w:name w:val="footnote text"/>
    <w:basedOn w:val="Normal"/>
    <w:link w:val="FootnoteTextChar"/>
    <w:rsid w:val="007F0FE2"/>
    <w:rPr>
      <w:sz w:val="20"/>
      <w:szCs w:val="20"/>
    </w:rPr>
  </w:style>
  <w:style w:type="character" w:customStyle="1" w:styleId="FootnoteTextChar">
    <w:name w:val="Footnote Text Char"/>
    <w:link w:val="FootnoteText"/>
    <w:rsid w:val="007F0FE2"/>
    <w:rPr>
      <w:lang w:eastAsia="en-US"/>
    </w:rPr>
  </w:style>
  <w:style w:type="character" w:styleId="FootnoteReference">
    <w:name w:val="footnote reference"/>
    <w:rsid w:val="007F0FE2"/>
    <w:rPr>
      <w:vertAlign w:val="superscript"/>
    </w:rPr>
  </w:style>
  <w:style w:type="paragraph" w:styleId="Revision">
    <w:name w:val="Revision"/>
    <w:hidden/>
    <w:uiPriority w:val="99"/>
    <w:semiHidden/>
    <w:rsid w:val="00DD1A21"/>
    <w:rPr>
      <w:sz w:val="24"/>
      <w:szCs w:val="24"/>
      <w:lang w:eastAsia="en-US"/>
    </w:rPr>
  </w:style>
  <w:style w:type="character" w:customStyle="1" w:styleId="CommentTextChar">
    <w:name w:val="Comment Text Char"/>
    <w:link w:val="CommentText"/>
    <w:rsid w:val="00B2352D"/>
    <w:rPr>
      <w:lang w:eastAsia="en-US"/>
    </w:rPr>
  </w:style>
  <w:style w:type="paragraph" w:customStyle="1" w:styleId="boxedtext">
    <w:name w:val="boxed text"/>
    <w:basedOn w:val="NICEnormal"/>
    <w:rsid w:val="0081263C"/>
    <w:pPr>
      <w:pBdr>
        <w:top w:val="single" w:sz="4" w:space="1" w:color="auto"/>
        <w:left w:val="single" w:sz="4" w:space="4" w:color="auto"/>
        <w:bottom w:val="single" w:sz="4" w:space="1" w:color="auto"/>
        <w:right w:val="single" w:sz="4" w:space="4" w:color="auto"/>
      </w:pBdr>
      <w:shd w:val="clear" w:color="auto" w:fill="E6E6E6"/>
    </w:pPr>
  </w:style>
  <w:style w:type="paragraph" w:styleId="Caption">
    <w:name w:val="caption"/>
    <w:basedOn w:val="NICEnormal"/>
    <w:next w:val="NICEnormal"/>
    <w:unhideWhenUsed/>
    <w:qFormat/>
    <w:rsid w:val="0081263C"/>
    <w:pPr>
      <w:keepNext/>
      <w:spacing w:after="200"/>
    </w:pPr>
    <w:rPr>
      <w:b/>
      <w:bCs/>
      <w:iCs/>
      <w:szCs w:val="18"/>
    </w:rPr>
  </w:style>
  <w:style w:type="paragraph" w:customStyle="1" w:styleId="Numberedheading2">
    <w:name w:val="Numbered heading 2"/>
    <w:basedOn w:val="Heading2"/>
    <w:next w:val="NICEnormal"/>
    <w:link w:val="Numberedheading2Char"/>
    <w:rsid w:val="00401FCC"/>
  </w:style>
  <w:style w:type="character" w:customStyle="1" w:styleId="Numberedheading2Char">
    <w:name w:val="Numbered heading 2 Char"/>
    <w:link w:val="Numberedheading2"/>
    <w:rsid w:val="00401FCC"/>
    <w:rPr>
      <w:rFonts w:ascii="Arial" w:hAnsi="Arial" w:cs="Arial"/>
      <w:b/>
      <w:bCs/>
      <w:sz w:val="28"/>
      <w:szCs w:val="28"/>
      <w:lang w:eastAsia="en-US"/>
    </w:rPr>
  </w:style>
  <w:style w:type="paragraph" w:customStyle="1" w:styleId="Numberedheading3">
    <w:name w:val="Numbered heading 3"/>
    <w:basedOn w:val="Heading3"/>
    <w:next w:val="NICEnormal"/>
    <w:rsid w:val="00401FCC"/>
  </w:style>
  <w:style w:type="table" w:customStyle="1" w:styleId="PanelDefault">
    <w:name w:val="Panel (Default)"/>
    <w:basedOn w:val="TableNormal"/>
    <w:uiPriority w:val="99"/>
    <w:rsid w:val="00401FCC"/>
    <w:pPr>
      <w:spacing w:after="360"/>
    </w:pPr>
    <w:tblPr>
      <w:tblBorders>
        <w:top w:val="single" w:sz="4" w:space="0" w:color="auto"/>
        <w:left w:val="single" w:sz="4" w:space="0" w:color="auto"/>
        <w:bottom w:val="single" w:sz="4" w:space="0" w:color="auto"/>
        <w:right w:val="single" w:sz="4" w:space="0" w:color="auto"/>
      </w:tblBorders>
    </w:tblPr>
    <w:tcPr>
      <w:shd w:val="clear" w:color="auto" w:fill="BFBFBF"/>
    </w:tcPr>
  </w:style>
  <w:style w:type="table" w:customStyle="1" w:styleId="PanelImpact">
    <w:name w:val="Panel (Impact)"/>
    <w:basedOn w:val="TableNormal"/>
    <w:uiPriority w:val="99"/>
    <w:rsid w:val="00401FCC"/>
    <w:rPr>
      <w:color w:val="FFFFFF"/>
    </w:rPr>
    <w:tblPr>
      <w:tblBorders>
        <w:top w:val="single" w:sz="8" w:space="0" w:color="314C60"/>
        <w:left w:val="single" w:sz="8" w:space="0" w:color="314C60"/>
        <w:bottom w:val="single" w:sz="8" w:space="0" w:color="314C60"/>
        <w:right w:val="single" w:sz="8" w:space="0" w:color="314C60"/>
      </w:tblBorders>
    </w:tblPr>
    <w:tcPr>
      <w:shd w:val="clear" w:color="auto" w:fill="517489"/>
    </w:tcPr>
  </w:style>
  <w:style w:type="table" w:customStyle="1" w:styleId="PanelPrimary">
    <w:name w:val="Panel (Primary)"/>
    <w:basedOn w:val="TableNormal"/>
    <w:uiPriority w:val="99"/>
    <w:rsid w:val="00401FCC"/>
    <w:pPr>
      <w:spacing w:after="240"/>
    </w:pPr>
    <w:tblPr>
      <w:tblBorders>
        <w:top w:val="single" w:sz="24" w:space="0" w:color="A2BDC1"/>
        <w:left w:val="single" w:sz="24" w:space="0" w:color="A2BDC1"/>
        <w:bottom w:val="single" w:sz="24" w:space="0" w:color="A2BDC1"/>
        <w:right w:val="single" w:sz="24" w:space="0" w:color="A2BDC1"/>
      </w:tblBorders>
    </w:tblPr>
  </w:style>
  <w:style w:type="paragraph" w:customStyle="1" w:styleId="Panelbullet1">
    <w:name w:val="Panel bullet 1"/>
    <w:basedOn w:val="ListParagraph"/>
    <w:qFormat/>
    <w:rsid w:val="0081263C"/>
    <w:pPr>
      <w:numPr>
        <w:numId w:val="36"/>
      </w:numPr>
      <w:tabs>
        <w:tab w:val="num" w:pos="360"/>
        <w:tab w:val="num" w:pos="1134"/>
      </w:tabs>
      <w:contextualSpacing/>
    </w:pPr>
    <w:rPr>
      <w:rFonts w:ascii="Arial" w:hAnsi="Arial"/>
    </w:rPr>
  </w:style>
  <w:style w:type="paragraph" w:styleId="ListParagraph">
    <w:name w:val="List Paragraph"/>
    <w:basedOn w:val="Normal"/>
    <w:uiPriority w:val="34"/>
    <w:qFormat/>
    <w:rsid w:val="0081263C"/>
    <w:pPr>
      <w:ind w:left="720"/>
    </w:pPr>
  </w:style>
  <w:style w:type="paragraph" w:customStyle="1" w:styleId="Panelhyperlink">
    <w:name w:val="Panel hyperlink"/>
    <w:basedOn w:val="NICEnormal"/>
    <w:next w:val="NICEnormal"/>
    <w:qFormat/>
    <w:rsid w:val="0081263C"/>
    <w:rPr>
      <w:color w:val="FFFFFF"/>
      <w:u w:val="single"/>
    </w:rPr>
  </w:style>
  <w:style w:type="paragraph" w:styleId="Quote">
    <w:name w:val="Quote"/>
    <w:basedOn w:val="NICEnormal"/>
    <w:next w:val="NICEnormal"/>
    <w:link w:val="QuoteChar"/>
    <w:uiPriority w:val="29"/>
    <w:qFormat/>
    <w:rsid w:val="0081263C"/>
    <w:pPr>
      <w:spacing w:before="200" w:after="160"/>
      <w:ind w:left="864" w:right="864"/>
      <w:jc w:val="center"/>
    </w:pPr>
    <w:rPr>
      <w:iCs/>
    </w:rPr>
  </w:style>
  <w:style w:type="character" w:customStyle="1" w:styleId="QuoteChar">
    <w:name w:val="Quote Char"/>
    <w:link w:val="Quote"/>
    <w:uiPriority w:val="29"/>
    <w:rsid w:val="0081263C"/>
    <w:rPr>
      <w:rFonts w:ascii="Arial" w:hAnsi="Arial"/>
      <w:iCs/>
      <w:sz w:val="24"/>
      <w:szCs w:val="24"/>
      <w:lang w:eastAsia="en-US"/>
    </w:rPr>
  </w:style>
  <w:style w:type="paragraph" w:customStyle="1" w:styleId="Tablebullet">
    <w:name w:val="Table bullet"/>
    <w:basedOn w:val="Tabletext"/>
    <w:qFormat/>
    <w:rsid w:val="0081263C"/>
    <w:pPr>
      <w:numPr>
        <w:numId w:val="37"/>
      </w:numPr>
    </w:pPr>
  </w:style>
  <w:style w:type="paragraph" w:customStyle="1" w:styleId="Tableheading">
    <w:name w:val="Table heading"/>
    <w:basedOn w:val="Tabletext"/>
    <w:qFormat/>
    <w:rsid w:val="0081263C"/>
    <w:rPr>
      <w:b/>
    </w:rPr>
  </w:style>
  <w:style w:type="character" w:styleId="UnresolvedMention">
    <w:name w:val="Unresolved Mention"/>
    <w:basedOn w:val="DefaultParagraphFont"/>
    <w:uiPriority w:val="99"/>
    <w:semiHidden/>
    <w:unhideWhenUsed/>
    <w:rsid w:val="00406CAE"/>
    <w:rPr>
      <w:color w:val="605E5C"/>
      <w:shd w:val="clear" w:color="auto" w:fill="E1DFDD"/>
    </w:rPr>
  </w:style>
  <w:style w:type="paragraph" w:customStyle="1" w:styleId="Default">
    <w:name w:val="Default"/>
    <w:rsid w:val="00595813"/>
    <w:pPr>
      <w:autoSpaceDE w:val="0"/>
      <w:autoSpaceDN w:val="0"/>
      <w:adjustRightInd w:val="0"/>
    </w:pPr>
    <w:rPr>
      <w:rFonts w:ascii="Arial" w:hAnsi="Arial" w:cs="Arial"/>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897258">
      <w:bodyDiv w:val="1"/>
      <w:marLeft w:val="0"/>
      <w:marRight w:val="0"/>
      <w:marTop w:val="0"/>
      <w:marBottom w:val="0"/>
      <w:divBdr>
        <w:top w:val="none" w:sz="0" w:space="0" w:color="auto"/>
        <w:left w:val="none" w:sz="0" w:space="0" w:color="auto"/>
        <w:bottom w:val="none" w:sz="0" w:space="0" w:color="auto"/>
        <w:right w:val="none" w:sz="0" w:space="0" w:color="auto"/>
      </w:divBdr>
    </w:div>
    <w:div w:id="725570839">
      <w:bodyDiv w:val="1"/>
      <w:marLeft w:val="0"/>
      <w:marRight w:val="0"/>
      <w:marTop w:val="0"/>
      <w:marBottom w:val="0"/>
      <w:divBdr>
        <w:top w:val="none" w:sz="0" w:space="0" w:color="auto"/>
        <w:left w:val="none" w:sz="0" w:space="0" w:color="auto"/>
        <w:bottom w:val="none" w:sz="0" w:space="0" w:color="auto"/>
        <w:right w:val="none" w:sz="0" w:space="0" w:color="auto"/>
      </w:divBdr>
    </w:div>
    <w:div w:id="1266424895">
      <w:bodyDiv w:val="1"/>
      <w:marLeft w:val="0"/>
      <w:marRight w:val="0"/>
      <w:marTop w:val="0"/>
      <w:marBottom w:val="0"/>
      <w:divBdr>
        <w:top w:val="none" w:sz="0" w:space="0" w:color="auto"/>
        <w:left w:val="none" w:sz="0" w:space="0" w:color="auto"/>
        <w:bottom w:val="none" w:sz="0" w:space="0" w:color="auto"/>
        <w:right w:val="none" w:sz="0" w:space="0" w:color="auto"/>
      </w:divBdr>
    </w:div>
    <w:div w:id="1421559886">
      <w:bodyDiv w:val="1"/>
      <w:marLeft w:val="0"/>
      <w:marRight w:val="0"/>
      <w:marTop w:val="0"/>
      <w:marBottom w:val="0"/>
      <w:divBdr>
        <w:top w:val="none" w:sz="0" w:space="0" w:color="auto"/>
        <w:left w:val="none" w:sz="0" w:space="0" w:color="auto"/>
        <w:bottom w:val="none" w:sz="0" w:space="0" w:color="auto"/>
        <w:right w:val="none" w:sz="0" w:space="0" w:color="auto"/>
      </w:divBdr>
    </w:div>
    <w:div w:id="1464233636">
      <w:bodyDiv w:val="1"/>
      <w:marLeft w:val="0"/>
      <w:marRight w:val="0"/>
      <w:marTop w:val="0"/>
      <w:marBottom w:val="0"/>
      <w:divBdr>
        <w:top w:val="none" w:sz="0" w:space="0" w:color="auto"/>
        <w:left w:val="none" w:sz="0" w:space="0" w:color="auto"/>
        <w:bottom w:val="none" w:sz="0" w:space="0" w:color="auto"/>
        <w:right w:val="none" w:sz="0" w:space="0" w:color="auto"/>
      </w:divBdr>
    </w:div>
    <w:div w:id="1479030941">
      <w:bodyDiv w:val="1"/>
      <w:marLeft w:val="0"/>
      <w:marRight w:val="0"/>
      <w:marTop w:val="0"/>
      <w:marBottom w:val="0"/>
      <w:divBdr>
        <w:top w:val="none" w:sz="0" w:space="0" w:color="auto"/>
        <w:left w:val="none" w:sz="0" w:space="0" w:color="auto"/>
        <w:bottom w:val="none" w:sz="0" w:space="0" w:color="auto"/>
        <w:right w:val="none" w:sz="0" w:space="0" w:color="auto"/>
      </w:divBdr>
    </w:div>
    <w:div w:id="2068719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indevelopment/gid-dg10029" TargetMode="External"/><Relationship Id="rId13" Type="http://schemas.openxmlformats.org/officeDocument/2006/relationships/hyperlink" Target="https://www.nice.org.uk/guidance/ng129" TargetMode="External"/><Relationship Id="rId18" Type="http://schemas.openxmlformats.org/officeDocument/2006/relationships/hyperlink" Target="https://www.nice.org.uk/guidance/indevelopment/gid-dg10029/documents" TargetMode="External"/><Relationship Id="rId3" Type="http://schemas.openxmlformats.org/officeDocument/2006/relationships/styles" Target="styles.xml"/><Relationship Id="rId21" Type="http://schemas.openxmlformats.org/officeDocument/2006/relationships/hyperlink" Target="https://www.nice.org.uk/get-involved/meetings-in-public/diagnostics-advisory-committee" TargetMode="External"/><Relationship Id="rId7" Type="http://schemas.openxmlformats.org/officeDocument/2006/relationships/endnotes" Target="endnotes.xml"/><Relationship Id="rId12" Type="http://schemas.openxmlformats.org/officeDocument/2006/relationships/hyperlink" Target="https://www.nice.org.uk/guidance/indevelopment/gid-dg10029/documents" TargetMode="External"/><Relationship Id="rId17" Type="http://schemas.openxmlformats.org/officeDocument/2006/relationships/hyperlink" Target="https://www.nice.org.uk/guidance/indevelopment/gid-dg10029/document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nice.org.uk/guidance/ta456" TargetMode="External"/><Relationship Id="rId20" Type="http://schemas.openxmlformats.org/officeDocument/2006/relationships/hyperlink" Target="https://www.nice.org.uk/Get-Involved/Meetings-in-public/Diagnostics-Advisory-Committee/Member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ice.org.uk/guidance/ng129"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nice.org.uk/guidance/ta352" TargetMode="External"/><Relationship Id="rId23" Type="http://schemas.openxmlformats.org/officeDocument/2006/relationships/footer" Target="footer1.xml"/><Relationship Id="rId10" Type="http://schemas.openxmlformats.org/officeDocument/2006/relationships/hyperlink" Target="https://www.crohnsandcolitis.org.uk/about-crohns-and-colitis/publications/crohns-disease" TargetMode="External"/><Relationship Id="rId19" Type="http://schemas.openxmlformats.org/officeDocument/2006/relationships/hyperlink" Target="https://www.nice.org.uk/about/what-we-do/science-policy-research/research-recommendations" TargetMode="External"/><Relationship Id="rId4" Type="http://schemas.openxmlformats.org/officeDocument/2006/relationships/settings" Target="settings.xml"/><Relationship Id="rId9" Type="http://schemas.openxmlformats.org/officeDocument/2006/relationships/hyperlink" Target="https://www.nice.org.uk/about/what-we-do/our-programmes/nice-guidance/nice-diagnostics-guidance" TargetMode="External"/><Relationship Id="rId14" Type="http://schemas.openxmlformats.org/officeDocument/2006/relationships/hyperlink" Target="https://www.nice.org.uk/guidance/ta352" TargetMode="External"/><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8A61F2-8DC7-4092-A429-A90B1A416B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7869</Words>
  <Characters>43801</Characters>
  <Application>Microsoft Office Word</Application>
  <DocSecurity>0</DocSecurity>
  <Lines>365</Lines>
  <Paragraphs>103</Paragraphs>
  <ScaleCrop>false</ScaleCrop>
  <HeadingPairs>
    <vt:vector size="2" baseType="variant">
      <vt:variant>
        <vt:lpstr>Title</vt:lpstr>
      </vt:variant>
      <vt:variant>
        <vt:i4>1</vt:i4>
      </vt:variant>
    </vt:vector>
  </HeadingPairs>
  <TitlesOfParts>
    <vt:vector size="1" baseType="lpstr">
      <vt:lpstr>1</vt:lpstr>
    </vt:vector>
  </TitlesOfParts>
  <Company>Happy</Company>
  <LinksUpToDate>false</LinksUpToDate>
  <CharactersWithSpaces>51567</CharactersWithSpaces>
  <SharedDoc>false</SharedDoc>
  <HLinks>
    <vt:vector size="42" baseType="variant">
      <vt:variant>
        <vt:i4>6946918</vt:i4>
      </vt:variant>
      <vt:variant>
        <vt:i4>159</vt:i4>
      </vt:variant>
      <vt:variant>
        <vt:i4>0</vt:i4>
      </vt:variant>
      <vt:variant>
        <vt:i4>5</vt:i4>
      </vt:variant>
      <vt:variant>
        <vt:lpwstr>https://www.nice.org.uk/get-involved/meetings-in-public/diagnostics-advisory-committee</vt:lpwstr>
      </vt:variant>
      <vt:variant>
        <vt:lpwstr/>
      </vt:variant>
      <vt:variant>
        <vt:i4>8126524</vt:i4>
      </vt:variant>
      <vt:variant>
        <vt:i4>156</vt:i4>
      </vt:variant>
      <vt:variant>
        <vt:i4>0</vt:i4>
      </vt:variant>
      <vt:variant>
        <vt:i4>5</vt:i4>
      </vt:variant>
      <vt:variant>
        <vt:lpwstr>https://www.nice.org.uk/Get-Involved/Meetings-in-public/Diagnostics-Advisory-Committee/Members</vt:lpwstr>
      </vt:variant>
      <vt:variant>
        <vt:lpwstr/>
      </vt:variant>
      <vt:variant>
        <vt:i4>2031708</vt:i4>
      </vt:variant>
      <vt:variant>
        <vt:i4>150</vt:i4>
      </vt:variant>
      <vt:variant>
        <vt:i4>0</vt:i4>
      </vt:variant>
      <vt:variant>
        <vt:i4>5</vt:i4>
      </vt:variant>
      <vt:variant>
        <vt:lpwstr>https://www.nice.org.uk/about/what-we-do/science-policy-research/research-recommendations</vt:lpwstr>
      </vt:variant>
      <vt:variant>
        <vt:lpwstr/>
      </vt:variant>
      <vt:variant>
        <vt:i4>7929958</vt:i4>
      </vt:variant>
      <vt:variant>
        <vt:i4>81</vt:i4>
      </vt:variant>
      <vt:variant>
        <vt:i4>0</vt:i4>
      </vt:variant>
      <vt:variant>
        <vt:i4>5</vt:i4>
      </vt:variant>
      <vt:variant>
        <vt:lpwstr>https://www.nice.org.uk/guidance/indevelopment/gid-xxxx</vt:lpwstr>
      </vt:variant>
      <vt:variant>
        <vt:lpwstr/>
      </vt:variant>
      <vt:variant>
        <vt:i4>8192055</vt:i4>
      </vt:variant>
      <vt:variant>
        <vt:i4>12</vt:i4>
      </vt:variant>
      <vt:variant>
        <vt:i4>0</vt:i4>
      </vt:variant>
      <vt:variant>
        <vt:i4>5</vt:i4>
      </vt:variant>
      <vt:variant>
        <vt:lpwstr>https://www.nice.org.uk/about/what-we-do/our-programmes/nice-guidance/nice-diagnostics-guidance</vt:lpwstr>
      </vt:variant>
      <vt:variant>
        <vt:lpwstr/>
      </vt:variant>
      <vt:variant>
        <vt:i4>7929958</vt:i4>
      </vt:variant>
      <vt:variant>
        <vt:i4>6</vt:i4>
      </vt:variant>
      <vt:variant>
        <vt:i4>0</vt:i4>
      </vt:variant>
      <vt:variant>
        <vt:i4>5</vt:i4>
      </vt:variant>
      <vt:variant>
        <vt:lpwstr>https://www.nice.org.uk/guidance/indevelopment/gid-xxxx</vt:lpwstr>
      </vt:variant>
      <vt:variant>
        <vt:lpwstr/>
      </vt:variant>
      <vt:variant>
        <vt:i4>1245255</vt:i4>
      </vt:variant>
      <vt:variant>
        <vt:i4>6</vt:i4>
      </vt:variant>
      <vt:variant>
        <vt:i4>0</vt:i4>
      </vt:variant>
      <vt:variant>
        <vt:i4>5</vt:i4>
      </vt:variant>
      <vt:variant>
        <vt:lpwstr>https://www.nice.org.uk/terms-and-conditions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Tosin Oladapo</dc:creator>
  <cp:keywords/>
  <cp:lastModifiedBy>Alexandra Sexton</cp:lastModifiedBy>
  <cp:revision>2</cp:revision>
  <cp:lastPrinted>2020-08-13T07:52:00Z</cp:lastPrinted>
  <dcterms:created xsi:type="dcterms:W3CDTF">2020-08-30T13:38:00Z</dcterms:created>
  <dcterms:modified xsi:type="dcterms:W3CDTF">2020-08-30T13:38:00Z</dcterms:modified>
</cp:coreProperties>
</file>