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1C3EE" w14:textId="2C4A876F"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16778305"/>
      <w:bookmarkStart w:id="5" w:name="_Toc17377012"/>
      <w:bookmarkStart w:id="6" w:name="_Toc23515577"/>
      <w:bookmarkStart w:id="7" w:name="_GoBack"/>
      <w:bookmarkEnd w:id="7"/>
      <w:r w:rsidRPr="0067455E">
        <w:t>NATIONAL INSTITUTE FOR HEALTH AND C</w:t>
      </w:r>
      <w:r w:rsidR="00B96A88" w:rsidRPr="0067455E">
        <w:t>ARE</w:t>
      </w:r>
      <w:r w:rsidRPr="0067455E">
        <w:t xml:space="preserve"> EXCELLENCE</w:t>
      </w:r>
      <w:bookmarkEnd w:id="0"/>
      <w:bookmarkEnd w:id="1"/>
      <w:bookmarkEnd w:id="2"/>
      <w:bookmarkEnd w:id="3"/>
      <w:bookmarkEnd w:id="4"/>
      <w:bookmarkEnd w:id="5"/>
      <w:bookmarkEnd w:id="6"/>
    </w:p>
    <w:p w14:paraId="7F168D80" w14:textId="77777777" w:rsidR="002C296A" w:rsidRPr="0067455E" w:rsidRDefault="002C296A" w:rsidP="00CE4759">
      <w:pPr>
        <w:pStyle w:val="Title"/>
      </w:pPr>
      <w:bookmarkStart w:id="8" w:name="_Toc357694771"/>
      <w:bookmarkStart w:id="9" w:name="_Toc365024197"/>
      <w:bookmarkStart w:id="10" w:name="_Toc432164922"/>
      <w:bookmarkStart w:id="11" w:name="_Toc467141963"/>
      <w:bookmarkStart w:id="12" w:name="_Toc16778306"/>
      <w:bookmarkStart w:id="13" w:name="_Toc17377013"/>
      <w:bookmarkStart w:id="14" w:name="_Toc23515578"/>
      <w:r w:rsidRPr="0067455E">
        <w:t>Health and social care directorate</w:t>
      </w:r>
      <w:bookmarkEnd w:id="8"/>
      <w:bookmarkEnd w:id="9"/>
      <w:bookmarkEnd w:id="10"/>
      <w:bookmarkEnd w:id="11"/>
      <w:bookmarkEnd w:id="12"/>
      <w:bookmarkEnd w:id="13"/>
      <w:bookmarkEnd w:id="14"/>
    </w:p>
    <w:p w14:paraId="1F3F5413" w14:textId="77777777" w:rsidR="002C296A" w:rsidRPr="0067455E" w:rsidRDefault="002C296A" w:rsidP="00CE4759">
      <w:pPr>
        <w:pStyle w:val="Title"/>
        <w:rPr>
          <w:rFonts w:cs="Arial"/>
        </w:rPr>
      </w:pPr>
      <w:bookmarkStart w:id="15" w:name="_Toc16778307"/>
      <w:bookmarkStart w:id="16" w:name="_Toc17377014"/>
      <w:bookmarkStart w:id="17" w:name="_Toc23515579"/>
      <w:bookmarkStart w:id="18" w:name="_Toc357694772"/>
      <w:bookmarkStart w:id="19" w:name="_Toc365024198"/>
      <w:bookmarkStart w:id="20" w:name="_Toc432164923"/>
      <w:bookmarkStart w:id="21" w:name="_Toc467141964"/>
      <w:r w:rsidRPr="0067455E">
        <w:rPr>
          <w:rFonts w:cs="Arial"/>
        </w:rPr>
        <w:t>Quality standards</w:t>
      </w:r>
      <w:bookmarkEnd w:id="15"/>
      <w:bookmarkEnd w:id="16"/>
      <w:bookmarkEnd w:id="17"/>
      <w:r w:rsidRPr="0067455E">
        <w:rPr>
          <w:rFonts w:cs="Arial"/>
        </w:rPr>
        <w:t xml:space="preserve"> </w:t>
      </w:r>
      <w:bookmarkEnd w:id="18"/>
      <w:bookmarkEnd w:id="19"/>
      <w:bookmarkEnd w:id="20"/>
      <w:bookmarkEnd w:id="21"/>
    </w:p>
    <w:p w14:paraId="5B891805" w14:textId="77777777" w:rsidR="002C296A" w:rsidRPr="0067455E" w:rsidRDefault="002C296A" w:rsidP="00CE4759">
      <w:pPr>
        <w:pStyle w:val="Title"/>
        <w:rPr>
          <w:rFonts w:cs="Arial"/>
        </w:rPr>
      </w:pPr>
      <w:bookmarkStart w:id="22" w:name="_Toc357694773"/>
      <w:bookmarkStart w:id="23" w:name="_Toc365024199"/>
      <w:bookmarkStart w:id="24" w:name="_Toc432164924"/>
      <w:bookmarkStart w:id="25" w:name="_Toc467141965"/>
      <w:bookmarkStart w:id="26" w:name="_Toc16778308"/>
      <w:bookmarkStart w:id="27" w:name="_Toc17377015"/>
      <w:bookmarkStart w:id="28" w:name="_Toc23515580"/>
      <w:r w:rsidRPr="0067455E">
        <w:rPr>
          <w:rFonts w:cs="Arial"/>
        </w:rPr>
        <w:t>Briefing paper</w:t>
      </w:r>
      <w:bookmarkEnd w:id="22"/>
      <w:bookmarkEnd w:id="23"/>
      <w:bookmarkEnd w:id="24"/>
      <w:bookmarkEnd w:id="25"/>
      <w:bookmarkEnd w:id="26"/>
      <w:bookmarkEnd w:id="27"/>
      <w:bookmarkEnd w:id="28"/>
    </w:p>
    <w:tbl>
      <w:tblPr>
        <w:tblStyle w:val="TableGrid"/>
        <w:tblW w:w="0" w:type="auto"/>
        <w:tblLook w:val="04A0" w:firstRow="1" w:lastRow="0" w:firstColumn="1" w:lastColumn="0" w:noHBand="0" w:noVBand="1"/>
      </w:tblPr>
      <w:tblGrid>
        <w:gridCol w:w="9016"/>
      </w:tblGrid>
      <w:tr w:rsidR="00427135" w14:paraId="798784AC" w14:textId="77777777" w:rsidTr="00427135">
        <w:tc>
          <w:tcPr>
            <w:tcW w:w="9016" w:type="dxa"/>
          </w:tcPr>
          <w:p w14:paraId="356B5DB8" w14:textId="03C1803D" w:rsidR="00427135" w:rsidRPr="005A61AD" w:rsidRDefault="00427135" w:rsidP="00A813F7">
            <w:pPr>
              <w:pStyle w:val="Paragraph"/>
            </w:pPr>
            <w:r w:rsidRPr="000D48CF">
              <w:rPr>
                <w:rStyle w:val="Addbold"/>
              </w:rPr>
              <w:t>Quality standard topic:</w:t>
            </w:r>
            <w:r w:rsidRPr="005A61AD">
              <w:t xml:space="preserve"> </w:t>
            </w:r>
            <w:bookmarkStart w:id="29" w:name="Text2"/>
            <w:r w:rsidR="00F35D1D">
              <w:t>Renal stones</w:t>
            </w:r>
            <w:bookmarkEnd w:id="29"/>
          </w:p>
          <w:p w14:paraId="72F736E1"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11014A2E" w14:textId="21479D6F" w:rsidR="00427135" w:rsidRDefault="00427135" w:rsidP="00A813F7">
            <w:pPr>
              <w:pStyle w:val="Paragraph"/>
            </w:pPr>
            <w:r w:rsidRPr="000D48CF">
              <w:rPr>
                <w:rStyle w:val="Addbold"/>
              </w:rPr>
              <w:t>Date of Quality Standards Advisory Committee meeting:</w:t>
            </w:r>
            <w:r w:rsidRPr="005A61AD">
              <w:t xml:space="preserve"> </w:t>
            </w:r>
            <w:r w:rsidR="00F35D1D">
              <w:t>5 September 2019</w:t>
            </w:r>
          </w:p>
        </w:tc>
      </w:tr>
    </w:tbl>
    <w:p w14:paraId="5EF9C301" w14:textId="77777777" w:rsidR="002C296A" w:rsidRDefault="002C296A" w:rsidP="003D6F5F">
      <w:pPr>
        <w:pStyle w:val="Paragraph"/>
      </w:pPr>
    </w:p>
    <w:p w14:paraId="0ECFAD93" w14:textId="77777777" w:rsidR="00AA0ED3" w:rsidRDefault="002C296A" w:rsidP="00F42F2E">
      <w:pPr>
        <w:pStyle w:val="Heading1"/>
        <w:rPr>
          <w:noProof/>
        </w:rPr>
      </w:pPr>
      <w:bookmarkStart w:id="30" w:name="_Toc365024200"/>
      <w:bookmarkStart w:id="31" w:name="_Toc432164925"/>
      <w:bookmarkStart w:id="32" w:name="_Toc467141966"/>
      <w:bookmarkStart w:id="33" w:name="_Toc16778309"/>
      <w:bookmarkStart w:id="34" w:name="_Toc17377016"/>
      <w:bookmarkStart w:id="35" w:name="_Toc23515581"/>
      <w:r w:rsidRPr="0067455E">
        <w:t>Contents</w:t>
      </w:r>
      <w:bookmarkEnd w:id="30"/>
      <w:bookmarkEnd w:id="31"/>
      <w:bookmarkEnd w:id="32"/>
      <w:bookmarkEnd w:id="33"/>
      <w:bookmarkEnd w:id="34"/>
      <w:bookmarkEnd w:id="35"/>
      <w:r w:rsidR="00893AF1">
        <w:fldChar w:fldCharType="begin"/>
      </w:r>
      <w:r>
        <w:instrText xml:space="preserve"> TOC \o "1-1" \h \z \u </w:instrText>
      </w:r>
      <w:r w:rsidR="00893AF1">
        <w:fldChar w:fldCharType="separate"/>
      </w:r>
    </w:p>
    <w:p w14:paraId="38BA43F6" w14:textId="66CB8DA8" w:rsidR="00AA0ED3" w:rsidRDefault="0090310F">
      <w:pPr>
        <w:pStyle w:val="TOC1"/>
        <w:rPr>
          <w:rFonts w:asciiTheme="minorHAnsi" w:eastAsiaTheme="minorEastAsia" w:hAnsiTheme="minorHAnsi" w:cstheme="minorBidi"/>
          <w:sz w:val="22"/>
          <w:szCs w:val="22"/>
          <w:lang w:eastAsia="en-GB"/>
        </w:rPr>
      </w:pPr>
      <w:hyperlink w:anchor="_Toc23515582" w:history="1">
        <w:r w:rsidR="00AA0ED3" w:rsidRPr="00F47C1D">
          <w:rPr>
            <w:rStyle w:val="Hyperlink"/>
          </w:rPr>
          <w:t>1</w:t>
        </w:r>
        <w:r w:rsidR="00AA0ED3">
          <w:rPr>
            <w:rFonts w:asciiTheme="minorHAnsi" w:eastAsiaTheme="minorEastAsia" w:hAnsiTheme="minorHAnsi" w:cstheme="minorBidi"/>
            <w:sz w:val="22"/>
            <w:szCs w:val="22"/>
            <w:lang w:eastAsia="en-GB"/>
          </w:rPr>
          <w:tab/>
        </w:r>
        <w:r w:rsidR="00AA0ED3" w:rsidRPr="00F47C1D">
          <w:rPr>
            <w:rStyle w:val="Hyperlink"/>
          </w:rPr>
          <w:t>Introduction</w:t>
        </w:r>
        <w:r w:rsidR="00AA0ED3">
          <w:rPr>
            <w:webHidden/>
          </w:rPr>
          <w:tab/>
        </w:r>
        <w:r w:rsidR="00AA0ED3">
          <w:rPr>
            <w:webHidden/>
          </w:rPr>
          <w:fldChar w:fldCharType="begin"/>
        </w:r>
        <w:r w:rsidR="00AA0ED3">
          <w:rPr>
            <w:webHidden/>
          </w:rPr>
          <w:instrText xml:space="preserve"> PAGEREF _Toc23515582 \h </w:instrText>
        </w:r>
        <w:r w:rsidR="00AA0ED3">
          <w:rPr>
            <w:webHidden/>
          </w:rPr>
        </w:r>
        <w:r w:rsidR="00AA0ED3">
          <w:rPr>
            <w:webHidden/>
          </w:rPr>
          <w:fldChar w:fldCharType="separate"/>
        </w:r>
        <w:r w:rsidR="00AA0ED3">
          <w:rPr>
            <w:webHidden/>
          </w:rPr>
          <w:t>2</w:t>
        </w:r>
        <w:r w:rsidR="00AA0ED3">
          <w:rPr>
            <w:webHidden/>
          </w:rPr>
          <w:fldChar w:fldCharType="end"/>
        </w:r>
      </w:hyperlink>
    </w:p>
    <w:p w14:paraId="5CCE0823" w14:textId="36010CD8" w:rsidR="00AA0ED3" w:rsidRDefault="0090310F">
      <w:pPr>
        <w:pStyle w:val="TOC1"/>
        <w:rPr>
          <w:rFonts w:asciiTheme="minorHAnsi" w:eastAsiaTheme="minorEastAsia" w:hAnsiTheme="minorHAnsi" w:cstheme="minorBidi"/>
          <w:sz w:val="22"/>
          <w:szCs w:val="22"/>
          <w:lang w:eastAsia="en-GB"/>
        </w:rPr>
      </w:pPr>
      <w:hyperlink w:anchor="_Toc23515583" w:history="1">
        <w:r w:rsidR="00AA0ED3" w:rsidRPr="00F47C1D">
          <w:rPr>
            <w:rStyle w:val="Hyperlink"/>
          </w:rPr>
          <w:t>2</w:t>
        </w:r>
        <w:r w:rsidR="00AA0ED3">
          <w:rPr>
            <w:rFonts w:asciiTheme="minorHAnsi" w:eastAsiaTheme="minorEastAsia" w:hAnsiTheme="minorHAnsi" w:cstheme="minorBidi"/>
            <w:sz w:val="22"/>
            <w:szCs w:val="22"/>
            <w:lang w:eastAsia="en-GB"/>
          </w:rPr>
          <w:tab/>
        </w:r>
        <w:r w:rsidR="00AA0ED3" w:rsidRPr="00F47C1D">
          <w:rPr>
            <w:rStyle w:val="Hyperlink"/>
          </w:rPr>
          <w:t>Overview</w:t>
        </w:r>
        <w:r w:rsidR="00AA0ED3">
          <w:rPr>
            <w:webHidden/>
          </w:rPr>
          <w:tab/>
        </w:r>
        <w:r w:rsidR="00AA0ED3">
          <w:rPr>
            <w:webHidden/>
          </w:rPr>
          <w:fldChar w:fldCharType="begin"/>
        </w:r>
        <w:r w:rsidR="00AA0ED3">
          <w:rPr>
            <w:webHidden/>
          </w:rPr>
          <w:instrText xml:space="preserve"> PAGEREF _Toc23515583 \h </w:instrText>
        </w:r>
        <w:r w:rsidR="00AA0ED3">
          <w:rPr>
            <w:webHidden/>
          </w:rPr>
        </w:r>
        <w:r w:rsidR="00AA0ED3">
          <w:rPr>
            <w:webHidden/>
          </w:rPr>
          <w:fldChar w:fldCharType="separate"/>
        </w:r>
        <w:r w:rsidR="00AA0ED3">
          <w:rPr>
            <w:webHidden/>
          </w:rPr>
          <w:t>2</w:t>
        </w:r>
        <w:r w:rsidR="00AA0ED3">
          <w:rPr>
            <w:webHidden/>
          </w:rPr>
          <w:fldChar w:fldCharType="end"/>
        </w:r>
      </w:hyperlink>
    </w:p>
    <w:p w14:paraId="671B0366" w14:textId="006E54E7" w:rsidR="00AA0ED3" w:rsidRDefault="0090310F">
      <w:pPr>
        <w:pStyle w:val="TOC1"/>
        <w:rPr>
          <w:rFonts w:asciiTheme="minorHAnsi" w:eastAsiaTheme="minorEastAsia" w:hAnsiTheme="minorHAnsi" w:cstheme="minorBidi"/>
          <w:sz w:val="22"/>
          <w:szCs w:val="22"/>
          <w:lang w:eastAsia="en-GB"/>
        </w:rPr>
      </w:pPr>
      <w:hyperlink w:anchor="_Toc23515584" w:history="1">
        <w:r w:rsidR="00AA0ED3" w:rsidRPr="00F47C1D">
          <w:rPr>
            <w:rStyle w:val="Hyperlink"/>
          </w:rPr>
          <w:t>3</w:t>
        </w:r>
        <w:r w:rsidR="00AA0ED3">
          <w:rPr>
            <w:rFonts w:asciiTheme="minorHAnsi" w:eastAsiaTheme="minorEastAsia" w:hAnsiTheme="minorHAnsi" w:cstheme="minorBidi"/>
            <w:sz w:val="22"/>
            <w:szCs w:val="22"/>
            <w:lang w:eastAsia="en-GB"/>
          </w:rPr>
          <w:tab/>
        </w:r>
        <w:r w:rsidR="00AA0ED3" w:rsidRPr="00F47C1D">
          <w:rPr>
            <w:rStyle w:val="Hyperlink"/>
          </w:rPr>
          <w:t>Summary of suggestions</w:t>
        </w:r>
        <w:r w:rsidR="00AA0ED3">
          <w:rPr>
            <w:webHidden/>
          </w:rPr>
          <w:tab/>
        </w:r>
        <w:r w:rsidR="00AA0ED3">
          <w:rPr>
            <w:webHidden/>
          </w:rPr>
          <w:fldChar w:fldCharType="begin"/>
        </w:r>
        <w:r w:rsidR="00AA0ED3">
          <w:rPr>
            <w:webHidden/>
          </w:rPr>
          <w:instrText xml:space="preserve"> PAGEREF _Toc23515584 \h </w:instrText>
        </w:r>
        <w:r w:rsidR="00AA0ED3">
          <w:rPr>
            <w:webHidden/>
          </w:rPr>
        </w:r>
        <w:r w:rsidR="00AA0ED3">
          <w:rPr>
            <w:webHidden/>
          </w:rPr>
          <w:fldChar w:fldCharType="separate"/>
        </w:r>
        <w:r w:rsidR="00AA0ED3">
          <w:rPr>
            <w:webHidden/>
          </w:rPr>
          <w:t>4</w:t>
        </w:r>
        <w:r w:rsidR="00AA0ED3">
          <w:rPr>
            <w:webHidden/>
          </w:rPr>
          <w:fldChar w:fldCharType="end"/>
        </w:r>
      </w:hyperlink>
    </w:p>
    <w:p w14:paraId="125E5459" w14:textId="12DD0BD6" w:rsidR="00AA0ED3" w:rsidRDefault="0090310F">
      <w:pPr>
        <w:pStyle w:val="TOC1"/>
        <w:rPr>
          <w:rFonts w:asciiTheme="minorHAnsi" w:eastAsiaTheme="minorEastAsia" w:hAnsiTheme="minorHAnsi" w:cstheme="minorBidi"/>
          <w:sz w:val="22"/>
          <w:szCs w:val="22"/>
          <w:lang w:eastAsia="en-GB"/>
        </w:rPr>
      </w:pPr>
      <w:hyperlink w:anchor="_Toc23515585" w:history="1">
        <w:r w:rsidR="00AA0ED3" w:rsidRPr="00F47C1D">
          <w:rPr>
            <w:rStyle w:val="Hyperlink"/>
          </w:rPr>
          <w:t>4</w:t>
        </w:r>
        <w:r w:rsidR="00AA0ED3">
          <w:rPr>
            <w:rFonts w:asciiTheme="minorHAnsi" w:eastAsiaTheme="minorEastAsia" w:hAnsiTheme="minorHAnsi" w:cstheme="minorBidi"/>
            <w:sz w:val="22"/>
            <w:szCs w:val="22"/>
            <w:lang w:eastAsia="en-GB"/>
          </w:rPr>
          <w:tab/>
        </w:r>
        <w:r w:rsidR="00AA0ED3" w:rsidRPr="00F47C1D">
          <w:rPr>
            <w:rStyle w:val="Hyperlink"/>
          </w:rPr>
          <w:t>Suggested improvement areas</w:t>
        </w:r>
        <w:r w:rsidR="00AA0ED3">
          <w:rPr>
            <w:webHidden/>
          </w:rPr>
          <w:tab/>
        </w:r>
        <w:r w:rsidR="00AA0ED3">
          <w:rPr>
            <w:webHidden/>
          </w:rPr>
          <w:fldChar w:fldCharType="begin"/>
        </w:r>
        <w:r w:rsidR="00AA0ED3">
          <w:rPr>
            <w:webHidden/>
          </w:rPr>
          <w:instrText xml:space="preserve"> PAGEREF _Toc23515585 \h </w:instrText>
        </w:r>
        <w:r w:rsidR="00AA0ED3">
          <w:rPr>
            <w:webHidden/>
          </w:rPr>
        </w:r>
        <w:r w:rsidR="00AA0ED3">
          <w:rPr>
            <w:webHidden/>
          </w:rPr>
          <w:fldChar w:fldCharType="separate"/>
        </w:r>
        <w:r w:rsidR="00AA0ED3">
          <w:rPr>
            <w:webHidden/>
          </w:rPr>
          <w:t>6</w:t>
        </w:r>
        <w:r w:rsidR="00AA0ED3">
          <w:rPr>
            <w:webHidden/>
          </w:rPr>
          <w:fldChar w:fldCharType="end"/>
        </w:r>
      </w:hyperlink>
    </w:p>
    <w:p w14:paraId="47D68A36" w14:textId="7D3039C3" w:rsidR="00AA0ED3" w:rsidRDefault="0090310F">
      <w:pPr>
        <w:pStyle w:val="TOC1"/>
        <w:rPr>
          <w:rFonts w:asciiTheme="minorHAnsi" w:eastAsiaTheme="minorEastAsia" w:hAnsiTheme="minorHAnsi" w:cstheme="minorBidi"/>
          <w:sz w:val="22"/>
          <w:szCs w:val="22"/>
          <w:lang w:eastAsia="en-GB"/>
        </w:rPr>
      </w:pPr>
      <w:hyperlink w:anchor="_Toc23515586" w:history="1">
        <w:r w:rsidR="00AA0ED3" w:rsidRPr="00F47C1D">
          <w:rPr>
            <w:rStyle w:val="Hyperlink"/>
          </w:rPr>
          <w:t>Appendix 1: Review flowchart</w:t>
        </w:r>
        <w:r w:rsidR="00AA0ED3">
          <w:rPr>
            <w:webHidden/>
          </w:rPr>
          <w:tab/>
        </w:r>
        <w:r w:rsidR="00AA0ED3">
          <w:rPr>
            <w:webHidden/>
          </w:rPr>
          <w:fldChar w:fldCharType="begin"/>
        </w:r>
        <w:r w:rsidR="00AA0ED3">
          <w:rPr>
            <w:webHidden/>
          </w:rPr>
          <w:instrText xml:space="preserve"> PAGEREF _Toc23515586 \h </w:instrText>
        </w:r>
        <w:r w:rsidR="00AA0ED3">
          <w:rPr>
            <w:webHidden/>
          </w:rPr>
        </w:r>
        <w:r w:rsidR="00AA0ED3">
          <w:rPr>
            <w:webHidden/>
          </w:rPr>
          <w:fldChar w:fldCharType="separate"/>
        </w:r>
        <w:r w:rsidR="00AA0ED3">
          <w:rPr>
            <w:webHidden/>
          </w:rPr>
          <w:t>18</w:t>
        </w:r>
        <w:r w:rsidR="00AA0ED3">
          <w:rPr>
            <w:webHidden/>
          </w:rPr>
          <w:fldChar w:fldCharType="end"/>
        </w:r>
      </w:hyperlink>
    </w:p>
    <w:p w14:paraId="0C811615" w14:textId="7C603354" w:rsidR="00AA0ED3" w:rsidRDefault="0090310F">
      <w:pPr>
        <w:pStyle w:val="TOC1"/>
        <w:rPr>
          <w:rFonts w:asciiTheme="minorHAnsi" w:eastAsiaTheme="minorEastAsia" w:hAnsiTheme="minorHAnsi" w:cstheme="minorBidi"/>
          <w:sz w:val="22"/>
          <w:szCs w:val="22"/>
          <w:lang w:eastAsia="en-GB"/>
        </w:rPr>
      </w:pPr>
      <w:hyperlink w:anchor="_Toc23515587" w:history="1">
        <w:r w:rsidR="00AA0ED3" w:rsidRPr="00F47C1D">
          <w:rPr>
            <w:rStyle w:val="Hyperlink"/>
          </w:rPr>
          <w:t>Appendix 2: Suggestions from stakeholder engagement exercise – registered stakeholders</w:t>
        </w:r>
        <w:r w:rsidR="00AA0ED3">
          <w:rPr>
            <w:webHidden/>
          </w:rPr>
          <w:tab/>
        </w:r>
        <w:r w:rsidR="00AA0ED3">
          <w:rPr>
            <w:webHidden/>
          </w:rPr>
          <w:fldChar w:fldCharType="begin"/>
        </w:r>
        <w:r w:rsidR="00AA0ED3">
          <w:rPr>
            <w:webHidden/>
          </w:rPr>
          <w:instrText xml:space="preserve"> PAGEREF _Toc23515587 \h </w:instrText>
        </w:r>
        <w:r w:rsidR="00AA0ED3">
          <w:rPr>
            <w:webHidden/>
          </w:rPr>
        </w:r>
        <w:r w:rsidR="00AA0ED3">
          <w:rPr>
            <w:webHidden/>
          </w:rPr>
          <w:fldChar w:fldCharType="separate"/>
        </w:r>
        <w:r w:rsidR="00AA0ED3">
          <w:rPr>
            <w:webHidden/>
          </w:rPr>
          <w:t>19</w:t>
        </w:r>
        <w:r w:rsidR="00AA0ED3">
          <w:rPr>
            <w:webHidden/>
          </w:rPr>
          <w:fldChar w:fldCharType="end"/>
        </w:r>
      </w:hyperlink>
    </w:p>
    <w:p w14:paraId="279B9305" w14:textId="77777777" w:rsidR="006F7D33" w:rsidRDefault="00893AF1" w:rsidP="00BB728C">
      <w:r>
        <w:fldChar w:fldCharType="end"/>
      </w:r>
    </w:p>
    <w:p w14:paraId="1663EA41" w14:textId="77777777" w:rsidR="002C296A" w:rsidRDefault="002C296A" w:rsidP="00BB0BC1">
      <w:pPr>
        <w:pStyle w:val="Numberedheading1"/>
      </w:pPr>
      <w:r>
        <w:br w:type="page"/>
      </w:r>
      <w:bookmarkStart w:id="36" w:name="_Toc23515582"/>
      <w:r w:rsidRPr="009E470D">
        <w:lastRenderedPageBreak/>
        <w:t>Introduction</w:t>
      </w:r>
      <w:bookmarkEnd w:id="36"/>
    </w:p>
    <w:p w14:paraId="121E8560" w14:textId="2F77F96C"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F35D1D">
        <w:t>renal stones</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37EF6B79" w14:textId="77777777" w:rsidR="002C296A" w:rsidRDefault="002C296A" w:rsidP="009E23E2">
      <w:pPr>
        <w:pStyle w:val="Numberedheading2"/>
      </w:pPr>
      <w:r w:rsidRPr="005A61AD">
        <w:t>Structure</w:t>
      </w:r>
    </w:p>
    <w:p w14:paraId="76FAD240"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0F60E487"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32BCB83" w14:textId="77777777" w:rsidR="00C22DED" w:rsidRPr="00D862D3" w:rsidRDefault="000750FD" w:rsidP="00D862D3">
      <w:pPr>
        <w:pStyle w:val="Numberedheading2"/>
      </w:pPr>
      <w:r w:rsidRPr="00D862D3">
        <w:t>D</w:t>
      </w:r>
      <w:r w:rsidR="00C22DED" w:rsidRPr="00D862D3">
        <w:t>evelopment source</w:t>
      </w:r>
    </w:p>
    <w:p w14:paraId="122B2A79" w14:textId="687704EA"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36F9C38F" w14:textId="77777777" w:rsidR="00F35D1D" w:rsidRDefault="0090310F" w:rsidP="00F35D1D">
      <w:pPr>
        <w:pStyle w:val="Paragraph"/>
        <w:rPr>
          <w:highlight w:val="cyan"/>
        </w:rPr>
      </w:pPr>
      <w:hyperlink r:id="rId8" w:history="1">
        <w:r w:rsidR="00F35D1D" w:rsidRPr="00C11438">
          <w:rPr>
            <w:rStyle w:val="Hyperlink"/>
          </w:rPr>
          <w:t>Renal and ureteric stones: assessment and management</w:t>
        </w:r>
      </w:hyperlink>
      <w:r w:rsidR="00F35D1D" w:rsidRPr="00C11438">
        <w:t xml:space="preserve"> (2019) NICE guideline 118</w:t>
      </w:r>
      <w:r w:rsidR="00F35D1D" w:rsidRPr="00C11438">
        <w:rPr>
          <w:highlight w:val="cyan"/>
        </w:rPr>
        <w:t xml:space="preserve"> </w:t>
      </w:r>
    </w:p>
    <w:p w14:paraId="55F83545" w14:textId="495491CA" w:rsidR="002C296A" w:rsidRDefault="002C296A" w:rsidP="002C296A">
      <w:pPr>
        <w:pStyle w:val="Numberedheading1"/>
      </w:pPr>
      <w:bookmarkStart w:id="37" w:name="_Toc23515583"/>
      <w:r>
        <w:t>Overview</w:t>
      </w:r>
      <w:r w:rsidR="00335607">
        <w:rPr>
          <w:rStyle w:val="FootnoteReference"/>
        </w:rPr>
        <w:footnoteReference w:id="1"/>
      </w:r>
      <w:bookmarkEnd w:id="37"/>
    </w:p>
    <w:p w14:paraId="2E20783D" w14:textId="77777777" w:rsidR="002C296A" w:rsidRDefault="002C296A" w:rsidP="002C296A">
      <w:pPr>
        <w:pStyle w:val="Numberedheading2"/>
      </w:pPr>
      <w:r>
        <w:t>Focus of quality standard</w:t>
      </w:r>
    </w:p>
    <w:p w14:paraId="04B4153D" w14:textId="39046597" w:rsidR="00F35D1D" w:rsidRDefault="00F35D1D" w:rsidP="00933944">
      <w:pPr>
        <w:pStyle w:val="Paragraph"/>
      </w:pPr>
      <w:r w:rsidRPr="00B9224E">
        <w:t>This quality standard will cover assessing and managing renal and ureteric stones in children, young people and adults</w:t>
      </w:r>
      <w:r w:rsidR="00884740">
        <w:t>.</w:t>
      </w:r>
    </w:p>
    <w:p w14:paraId="4FC4FB1D" w14:textId="77777777" w:rsidR="002C296A" w:rsidRDefault="002C296A" w:rsidP="00BF70EA">
      <w:pPr>
        <w:pStyle w:val="Numberedheading2"/>
      </w:pPr>
      <w:r>
        <w:t>Definition</w:t>
      </w:r>
    </w:p>
    <w:p w14:paraId="60E6088F" w14:textId="0E6EBDBA" w:rsidR="00F35D1D" w:rsidRDefault="00791A28" w:rsidP="00F35D1D">
      <w:pPr>
        <w:pStyle w:val="Paragraph"/>
      </w:pPr>
      <w:r w:rsidRPr="005B4A78">
        <w:t>Renal and ureteric stones (</w:t>
      </w:r>
      <w:r w:rsidR="00963AAC">
        <w:t xml:space="preserve">stones in the kidney or ureter, </w:t>
      </w:r>
      <w:r w:rsidRPr="005B4A78">
        <w:t xml:space="preserve">also known as kidney stones and urolithiasis) </w:t>
      </w:r>
      <w:r w:rsidRPr="00791A28">
        <w:t>are abnormal solid particles found within the urine in kidneys.</w:t>
      </w:r>
      <w:r>
        <w:t xml:space="preserve"> </w:t>
      </w:r>
      <w:r w:rsidRPr="00791A28">
        <w:t>Some are as small as a grain of sand; the rest range in diameter between a few millimetres and a few centimetres</w:t>
      </w:r>
      <w:r>
        <w:rPr>
          <w:rStyle w:val="FootnoteReference"/>
        </w:rPr>
        <w:footnoteReference w:id="2"/>
      </w:r>
      <w:r w:rsidRPr="00791A28">
        <w:t>.</w:t>
      </w:r>
      <w:r>
        <w:t xml:space="preserve"> </w:t>
      </w:r>
      <w:r w:rsidR="00F35D1D" w:rsidRPr="00D7335D">
        <w:t xml:space="preserve">Renal and ureteric stones usually present as an acute episode with severe pain. Stones can cause intense pain as they move from the kidney towards the bladder and obstruct urine drainage. A ureteric stone can cause permanent kidney damage when it causes an obstruction. If there is an accompanying infection, life-threatening sepsis can develop. </w:t>
      </w:r>
    </w:p>
    <w:p w14:paraId="573B9363" w14:textId="77777777" w:rsidR="002C296A" w:rsidRPr="00FF20A8" w:rsidRDefault="002C296A" w:rsidP="002C296A">
      <w:pPr>
        <w:pStyle w:val="Numberedheading2"/>
      </w:pPr>
      <w:r>
        <w:lastRenderedPageBreak/>
        <w:t>Incidence and prevalence</w:t>
      </w:r>
    </w:p>
    <w:p w14:paraId="3B49637A" w14:textId="75953C2A" w:rsidR="00A101E6" w:rsidRDefault="005B4A78" w:rsidP="00933944">
      <w:pPr>
        <w:pStyle w:val="Paragraph"/>
      </w:pPr>
      <w:r w:rsidRPr="005B4A78">
        <w:t>Epidemiological data suggest that the incidence and prevalence of renal and ureteric stones is increasing. The number of hospital episodes increased by 7</w:t>
      </w:r>
      <w:r w:rsidR="00791A28">
        <w:t>1</w:t>
      </w:r>
      <w:r w:rsidRPr="005B4A78">
        <w:t>% over a</w:t>
      </w:r>
      <w:r w:rsidR="001330E8">
        <w:t>n</w:t>
      </w:r>
      <w:r w:rsidRPr="005B4A78">
        <w:t xml:space="preserve"> 1</w:t>
      </w:r>
      <w:r w:rsidR="00791A28">
        <w:t>8</w:t>
      </w:r>
      <w:r w:rsidRPr="005B4A78">
        <w:t>-year period between 2000 and 201</w:t>
      </w:r>
      <w:r w:rsidR="00791A28">
        <w:t>8</w:t>
      </w:r>
      <w:r w:rsidRPr="005B4A78">
        <w:t xml:space="preserve">, from 51,035 episodes to </w:t>
      </w:r>
      <w:r w:rsidR="00791A28">
        <w:t xml:space="preserve">87,347 </w:t>
      </w:r>
      <w:r w:rsidRPr="005B4A78">
        <w:t>episodes</w:t>
      </w:r>
      <w:r>
        <w:rPr>
          <w:rStyle w:val="FootnoteReference"/>
        </w:rPr>
        <w:footnoteReference w:id="3"/>
      </w:r>
      <w:r>
        <w:t xml:space="preserve">. </w:t>
      </w:r>
      <w:r w:rsidRPr="005B4A78">
        <w:t xml:space="preserve">The lifetime prevalence of renal stone disease is 13%. </w:t>
      </w:r>
      <w:r w:rsidR="00963AAC">
        <w:t>Renal and ureteric</w:t>
      </w:r>
      <w:r w:rsidR="008758C9" w:rsidRPr="008758C9">
        <w:t xml:space="preserve"> stones affect about 3 in 20 men and 2 in 20 women at some stage in their lives</w:t>
      </w:r>
      <w:r w:rsidR="008758C9">
        <w:rPr>
          <w:rStyle w:val="FootnoteReference"/>
        </w:rPr>
        <w:footnoteReference w:id="4"/>
      </w:r>
      <w:r w:rsidR="008758C9">
        <w:t xml:space="preserve">. </w:t>
      </w:r>
      <w:r w:rsidRPr="005B4A78">
        <w:t>Consequently, the direct costs of treatment are increasing as well as the indirect socioeconomic burdens of reduced quality of life, sickness leave</w:t>
      </w:r>
      <w:r w:rsidR="003D3CB7">
        <w:t>, employment problems</w:t>
      </w:r>
      <w:r w:rsidRPr="005B4A78">
        <w:t xml:space="preserve"> and medical follow-up.</w:t>
      </w:r>
    </w:p>
    <w:p w14:paraId="0D7AAC19" w14:textId="22053B3D" w:rsidR="002C296A" w:rsidRDefault="00D44D8A" w:rsidP="002C296A">
      <w:pPr>
        <w:pStyle w:val="Numberedheading2"/>
      </w:pPr>
      <w:r>
        <w:t>Current</w:t>
      </w:r>
      <w:r w:rsidR="00DE2DCB">
        <w:t xml:space="preserve"> </w:t>
      </w:r>
      <w:r>
        <w:t>service delivery and management</w:t>
      </w:r>
    </w:p>
    <w:p w14:paraId="5C4B2FF7" w14:textId="45A5798A" w:rsidR="005B4A78" w:rsidRDefault="00884740" w:rsidP="005B4A78">
      <w:pPr>
        <w:pStyle w:val="Paragraph"/>
      </w:pPr>
      <w:r>
        <w:t>I</w:t>
      </w:r>
      <w:r w:rsidR="005B4A78" w:rsidRPr="005B4A78">
        <w:t>nitial diagnosis is made by taking a</w:t>
      </w:r>
      <w:r w:rsidR="005B4A78">
        <w:t xml:space="preserve"> clinical history, conducting a clinical examination and carrying out imaging; initial management is with painkillers and treatment of any infection.</w:t>
      </w:r>
    </w:p>
    <w:p w14:paraId="2AADEBE2" w14:textId="79790D17" w:rsidR="00963AAC" w:rsidRDefault="005B4A78" w:rsidP="005B4A78">
      <w:pPr>
        <w:pStyle w:val="Paragraph"/>
      </w:pPr>
      <w:r>
        <w:t xml:space="preserve">Ongoing treatment of renal and ureteric stones depends on the site and size of the stone (less than 10 mm, 10 to 20 mm, greater than 20 mm; staghorn stones). Options for treatment </w:t>
      </w:r>
      <w:r w:rsidR="00963AAC">
        <w:t>include:</w:t>
      </w:r>
    </w:p>
    <w:p w14:paraId="39769C01" w14:textId="33F82291" w:rsidR="00963AAC" w:rsidRDefault="005B4A78" w:rsidP="00963AAC">
      <w:pPr>
        <w:pStyle w:val="Bulletparagraph"/>
      </w:pPr>
      <w:r>
        <w:t>observation with pain relief</w:t>
      </w:r>
    </w:p>
    <w:p w14:paraId="2CA67560" w14:textId="0E8B39DC" w:rsidR="000E17E6" w:rsidRDefault="005B4A78" w:rsidP="00963AAC">
      <w:pPr>
        <w:pStyle w:val="Bulletparagraph"/>
      </w:pPr>
      <w:r>
        <w:t>surgical intervention</w:t>
      </w:r>
      <w:r w:rsidR="00963AAC">
        <w:t xml:space="preserve">, including </w:t>
      </w:r>
      <w:r>
        <w:t xml:space="preserve">shockwave lithotripsy (SWL), ureteroscopy </w:t>
      </w:r>
      <w:r w:rsidR="00427B4B">
        <w:t xml:space="preserve">(URS) </w:t>
      </w:r>
      <w:r>
        <w:t>and percutaneous stone removal (surgery).</w:t>
      </w:r>
    </w:p>
    <w:p w14:paraId="0DA8C8E3" w14:textId="0E3775AE" w:rsidR="000E17E6" w:rsidRDefault="000E17E6" w:rsidP="000E17E6">
      <w:pPr>
        <w:pStyle w:val="Bulletparagraph"/>
        <w:numPr>
          <w:ilvl w:val="0"/>
          <w:numId w:val="0"/>
        </w:numPr>
      </w:pPr>
    </w:p>
    <w:p w14:paraId="593FCA6D" w14:textId="38116051" w:rsidR="002859DE" w:rsidRDefault="005B4A78" w:rsidP="00427B4B">
      <w:pPr>
        <w:pStyle w:val="Bulletparagraph"/>
        <w:numPr>
          <w:ilvl w:val="0"/>
          <w:numId w:val="0"/>
        </w:numPr>
      </w:pPr>
      <w:r>
        <w:t xml:space="preserve">As well as the site and size of the stone, treatment also depends on local facilities and expertise. Most centres have access to SWL, but some use a mobile machine on a sessional basis rather than a fixed site machine with easier access during the working week. The use of a mobile machine may affect options for emergency treatment, but may also add to waiting times for non-emergency treatment. </w:t>
      </w:r>
    </w:p>
    <w:p w14:paraId="609C2819" w14:textId="23C11AE3" w:rsidR="005B4A78" w:rsidRDefault="005B4A78" w:rsidP="005B4A78">
      <w:pPr>
        <w:pStyle w:val="Paragraph"/>
      </w:pPr>
      <w:r>
        <w:t>Because the incidence of stones and the rate of intervention are increasing, there is a need to reduce recurrences through patient education and lifestyle changes. Assessing dietary factors and changing lifestyle have been shown to reduce the number of episodes in people with renal stone disease.</w:t>
      </w:r>
    </w:p>
    <w:p w14:paraId="03B9C1E9" w14:textId="77777777" w:rsidR="002C296A" w:rsidRDefault="00381592" w:rsidP="002C296A">
      <w:pPr>
        <w:pStyle w:val="Numberedheading1"/>
      </w:pPr>
      <w:bookmarkStart w:id="38" w:name="_Toc340835232"/>
      <w:bookmarkEnd w:id="38"/>
      <w:r>
        <w:br w:type="page"/>
      </w:r>
      <w:bookmarkStart w:id="39" w:name="_Toc23515584"/>
      <w:r w:rsidR="002C296A">
        <w:lastRenderedPageBreak/>
        <w:t>Summary of suggestions</w:t>
      </w:r>
      <w:bookmarkEnd w:id="39"/>
    </w:p>
    <w:p w14:paraId="0850A7F1" w14:textId="77777777" w:rsidR="002C296A" w:rsidRPr="007D4B1A" w:rsidRDefault="002C296A" w:rsidP="002C296A">
      <w:pPr>
        <w:pStyle w:val="Numberedheading2"/>
      </w:pPr>
      <w:r>
        <w:t>Responses</w:t>
      </w:r>
    </w:p>
    <w:p w14:paraId="1947870B" w14:textId="7FFAAC94" w:rsidR="0012414A" w:rsidRDefault="002C296A" w:rsidP="0012414A">
      <w:pPr>
        <w:pStyle w:val="Paragraph"/>
      </w:pPr>
      <w:r>
        <w:t xml:space="preserve">In total </w:t>
      </w:r>
      <w:r w:rsidR="009665B0">
        <w:t>8</w:t>
      </w:r>
      <w:r w:rsidR="00E12A17">
        <w:t xml:space="preserve"> </w:t>
      </w:r>
      <w:r w:rsidR="006D50F4">
        <w:t xml:space="preserve">registered </w:t>
      </w:r>
      <w:r>
        <w:t xml:space="preserve">stakeholders </w:t>
      </w:r>
      <w:r w:rsidR="000604CD">
        <w:t>responded to the 2-week engagement exer</w:t>
      </w:r>
      <w:r w:rsidR="00E56515">
        <w:t xml:space="preserve">cise </w:t>
      </w:r>
      <w:r w:rsidR="00F35D1D">
        <w:t>05/07/19</w:t>
      </w:r>
      <w:r w:rsidR="00F35D1D">
        <w:rPr>
          <w:rFonts w:cs="Arial"/>
        </w:rPr>
        <w:t>–</w:t>
      </w:r>
      <w:r w:rsidR="00F35D1D">
        <w:t>19/07/19</w:t>
      </w:r>
      <w:r w:rsidR="000604CD">
        <w:t>.</w:t>
      </w:r>
      <w:r>
        <w:t xml:space="preserve"> </w:t>
      </w:r>
      <w:r w:rsidR="00140638">
        <w:t>5</w:t>
      </w:r>
      <w:r w:rsidR="00CC4B4E">
        <w:t xml:space="preserve"> of these registered stakehold</w:t>
      </w:r>
      <w:r w:rsidR="00CC4B4E" w:rsidRPr="00F35D1D">
        <w:t xml:space="preserve">ers provided areas for quality improvement and </w:t>
      </w:r>
      <w:r w:rsidR="00140638">
        <w:t>3</w:t>
      </w:r>
      <w:r w:rsidR="00CC4B4E" w:rsidRPr="00F35D1D">
        <w:t xml:space="preserve"> advised they had no comment to make. </w:t>
      </w:r>
      <w:r w:rsidR="00AB14D0" w:rsidRPr="00F35D1D">
        <w:t xml:space="preserve">We also received comments from </w:t>
      </w:r>
      <w:r w:rsidR="00F35D1D" w:rsidRPr="00F35D1D">
        <w:t>5</w:t>
      </w:r>
      <w:r w:rsidR="00AB14D0" w:rsidRPr="00F35D1D">
        <w:t xml:space="preserve"> specialist committee members.</w:t>
      </w:r>
      <w:r w:rsidR="00D44D8A">
        <w:t xml:space="preserve"> The responses have been merged and summarised </w:t>
      </w:r>
      <w:r w:rsidR="00D44D8A" w:rsidRPr="00140C3A">
        <w:t>in table</w:t>
      </w:r>
      <w:r w:rsidR="00D44D8A">
        <w:t> </w:t>
      </w:r>
      <w:r w:rsidR="00507AF8">
        <w:t>1</w:t>
      </w:r>
      <w:r w:rsidR="00D44D8A">
        <w:t xml:space="preserve"> for further consideration by the Committee</w:t>
      </w:r>
      <w:r w:rsidR="00D44D8A" w:rsidRPr="00E12A17">
        <w:t>.</w:t>
      </w:r>
    </w:p>
    <w:p w14:paraId="68147734" w14:textId="449AB1B1" w:rsidR="003B6DDC" w:rsidRDefault="0012414A" w:rsidP="0012414A">
      <w:pPr>
        <w:pStyle w:val="Paragraph"/>
      </w:pPr>
      <w:r>
        <w:t xml:space="preserve">NHS </w:t>
      </w:r>
      <w:r w:rsidR="00C92D69">
        <w:t xml:space="preserve">Improvement’s </w:t>
      </w:r>
      <w:r>
        <w:t xml:space="preserve">patient safety division </w:t>
      </w:r>
      <w:r w:rsidR="009665B0">
        <w:t>did not have any</w:t>
      </w:r>
      <w:r w:rsidRPr="00454048">
        <w:t xml:space="preserve"> comments</w:t>
      </w:r>
      <w:r w:rsidR="009665B0">
        <w:t xml:space="preserve"> to submit</w:t>
      </w:r>
      <w:r w:rsidRPr="00454048">
        <w:t xml:space="preserve"> during stakeholder engagement</w:t>
      </w:r>
      <w:r w:rsidR="009665B0">
        <w:t>.</w:t>
      </w:r>
    </w:p>
    <w:p w14:paraId="742DE74B" w14:textId="783BE502"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E673D4">
        <w:t>2</w:t>
      </w:r>
      <w:r w:rsidR="00E12A17" w:rsidRPr="00E12A17">
        <w:t xml:space="preserve"> for information.</w:t>
      </w:r>
    </w:p>
    <w:p w14:paraId="200F2D8C" w14:textId="1EE94548" w:rsidR="005A61AD" w:rsidRPr="006E608E" w:rsidRDefault="005A61AD" w:rsidP="00DD0BD8">
      <w:pPr>
        <w:pStyle w:val="Heading3"/>
      </w:pPr>
      <w:r w:rsidRPr="006E608E">
        <w:t xml:space="preserve">Table </w:t>
      </w:r>
      <w:r w:rsidR="00507AF8">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23"/>
        <w:gridCol w:w="3493"/>
      </w:tblGrid>
      <w:tr w:rsidR="00F04826" w:rsidRPr="00DD0BD8" w14:paraId="57679586" w14:textId="77777777" w:rsidTr="009B3595">
        <w:trPr>
          <w:tblHeader/>
        </w:trPr>
        <w:tc>
          <w:tcPr>
            <w:tcW w:w="3063" w:type="pct"/>
            <w:shd w:val="clear" w:color="auto" w:fill="auto"/>
          </w:tcPr>
          <w:p w14:paraId="01530CBC" w14:textId="77777777" w:rsidR="00F04826" w:rsidRPr="00DD0BD8" w:rsidRDefault="00F04826" w:rsidP="00DD0BD8">
            <w:pPr>
              <w:pStyle w:val="Tabletitle"/>
            </w:pPr>
            <w:r w:rsidRPr="00DD0BD8">
              <w:t>Suggested area for improvement</w:t>
            </w:r>
          </w:p>
        </w:tc>
        <w:tc>
          <w:tcPr>
            <w:tcW w:w="1937" w:type="pct"/>
            <w:shd w:val="clear" w:color="auto" w:fill="auto"/>
          </w:tcPr>
          <w:p w14:paraId="6A1C369A"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3C6E5388" w14:textId="77777777" w:rsidTr="009B3595">
        <w:trPr>
          <w:trHeight w:val="382"/>
        </w:trPr>
        <w:tc>
          <w:tcPr>
            <w:tcW w:w="3063" w:type="pct"/>
            <w:tcBorders>
              <w:top w:val="single" w:sz="4" w:space="0" w:color="auto"/>
              <w:left w:val="single" w:sz="4" w:space="0" w:color="auto"/>
              <w:right w:val="single" w:sz="4" w:space="0" w:color="auto"/>
            </w:tcBorders>
            <w:shd w:val="clear" w:color="auto" w:fill="auto"/>
          </w:tcPr>
          <w:p w14:paraId="188CAB62" w14:textId="51A95F8F" w:rsidR="00C0457B" w:rsidRPr="00464E28" w:rsidRDefault="00A01E1E" w:rsidP="00464E28">
            <w:pPr>
              <w:pStyle w:val="Tabletitle"/>
            </w:pPr>
            <w:r w:rsidRPr="00A01E1E">
              <w:t>Diagnostic imaging</w:t>
            </w:r>
          </w:p>
        </w:tc>
        <w:tc>
          <w:tcPr>
            <w:tcW w:w="1937" w:type="pct"/>
            <w:tcBorders>
              <w:top w:val="single" w:sz="4" w:space="0" w:color="auto"/>
              <w:left w:val="single" w:sz="4" w:space="0" w:color="auto"/>
              <w:right w:val="single" w:sz="4" w:space="0" w:color="auto"/>
            </w:tcBorders>
          </w:tcPr>
          <w:p w14:paraId="67978FA3" w14:textId="11041A61" w:rsidR="00C0457B" w:rsidRPr="00381592" w:rsidRDefault="00464E28" w:rsidP="00FB3BAF">
            <w:pPr>
              <w:pStyle w:val="Tabletext"/>
              <w:rPr>
                <w:highlight w:val="cyan"/>
              </w:rPr>
            </w:pPr>
            <w:r w:rsidRPr="00464E28">
              <w:rPr>
                <w:szCs w:val="22"/>
              </w:rPr>
              <w:t>BAUS</w:t>
            </w:r>
            <w:r w:rsidR="00A17B22">
              <w:rPr>
                <w:rFonts w:cs="Arial"/>
                <w:szCs w:val="20"/>
              </w:rPr>
              <w:t>, RA,</w:t>
            </w:r>
            <w:r w:rsidRPr="00464E28">
              <w:t xml:space="preserve"> </w:t>
            </w:r>
            <w:r w:rsidR="00805797" w:rsidRPr="00464E28">
              <w:t>SCOR</w:t>
            </w:r>
            <w:r w:rsidR="00805797">
              <w:t>,</w:t>
            </w:r>
            <w:r w:rsidR="00805797" w:rsidRPr="00464E28">
              <w:t xml:space="preserve"> </w:t>
            </w:r>
            <w:r w:rsidRPr="00464E28">
              <w:t>SCM</w:t>
            </w:r>
            <w:r>
              <w:t xml:space="preserve"> </w:t>
            </w:r>
            <w:r w:rsidRPr="00464E28">
              <w:t>1</w:t>
            </w:r>
          </w:p>
        </w:tc>
      </w:tr>
      <w:tr w:rsidR="00C0457B" w:rsidRPr="00F04826" w14:paraId="4F57C3C7" w14:textId="77777777" w:rsidTr="009B3595">
        <w:trPr>
          <w:trHeight w:val="382"/>
        </w:trPr>
        <w:tc>
          <w:tcPr>
            <w:tcW w:w="3063" w:type="pct"/>
            <w:tcBorders>
              <w:top w:val="single" w:sz="4" w:space="0" w:color="auto"/>
              <w:left w:val="single" w:sz="4" w:space="0" w:color="auto"/>
              <w:right w:val="single" w:sz="4" w:space="0" w:color="auto"/>
            </w:tcBorders>
            <w:shd w:val="clear" w:color="auto" w:fill="auto"/>
          </w:tcPr>
          <w:p w14:paraId="5BA5420B" w14:textId="69C3E47D" w:rsidR="00C0457B" w:rsidRPr="00464E28" w:rsidRDefault="00A01E1E" w:rsidP="00464E28">
            <w:pPr>
              <w:pStyle w:val="Tabletitle"/>
            </w:pPr>
            <w:r w:rsidRPr="00464E28">
              <w:t>Pain management</w:t>
            </w:r>
          </w:p>
        </w:tc>
        <w:tc>
          <w:tcPr>
            <w:tcW w:w="1937" w:type="pct"/>
            <w:tcBorders>
              <w:top w:val="single" w:sz="4" w:space="0" w:color="auto"/>
              <w:left w:val="single" w:sz="4" w:space="0" w:color="auto"/>
              <w:right w:val="single" w:sz="4" w:space="0" w:color="auto"/>
            </w:tcBorders>
          </w:tcPr>
          <w:p w14:paraId="6DE39854" w14:textId="718C6B8D" w:rsidR="00C0457B" w:rsidRPr="00381592" w:rsidRDefault="00464E28" w:rsidP="00DD56F6">
            <w:pPr>
              <w:pStyle w:val="Tabletext"/>
              <w:rPr>
                <w:highlight w:val="cyan"/>
              </w:rPr>
            </w:pPr>
            <w:r w:rsidRPr="00464E28">
              <w:t>SCM 1, SCM 2, SCM 3</w:t>
            </w:r>
          </w:p>
        </w:tc>
      </w:tr>
      <w:tr w:rsidR="00C0457B" w:rsidRPr="00F04826" w14:paraId="75130BE1" w14:textId="77777777" w:rsidTr="009B3595">
        <w:trPr>
          <w:trHeight w:val="382"/>
        </w:trPr>
        <w:tc>
          <w:tcPr>
            <w:tcW w:w="3063" w:type="pct"/>
            <w:tcBorders>
              <w:top w:val="single" w:sz="4" w:space="0" w:color="auto"/>
              <w:left w:val="single" w:sz="4" w:space="0" w:color="auto"/>
              <w:right w:val="single" w:sz="4" w:space="0" w:color="auto"/>
            </w:tcBorders>
            <w:shd w:val="clear" w:color="auto" w:fill="auto"/>
          </w:tcPr>
          <w:p w14:paraId="582C3EB3" w14:textId="77777777" w:rsidR="00A01E1E" w:rsidRDefault="00A01E1E" w:rsidP="00A01E1E">
            <w:pPr>
              <w:pStyle w:val="Tabletitle"/>
            </w:pPr>
            <w:r>
              <w:t>Treatment</w:t>
            </w:r>
          </w:p>
          <w:p w14:paraId="27346B74" w14:textId="77777777" w:rsidR="00A01E1E" w:rsidRDefault="00A01E1E" w:rsidP="00A01E1E">
            <w:pPr>
              <w:pStyle w:val="Bulletstable"/>
              <w:ind w:left="284" w:hanging="284"/>
            </w:pPr>
            <w:r w:rsidRPr="00A01E1E">
              <w:t>Stenting</w:t>
            </w:r>
          </w:p>
          <w:p w14:paraId="6B654B9E" w14:textId="77777777" w:rsidR="00C0457B" w:rsidRDefault="00A01E1E" w:rsidP="00A01E1E">
            <w:pPr>
              <w:pStyle w:val="Bulletstable"/>
              <w:ind w:left="284" w:hanging="284"/>
            </w:pPr>
            <w:r w:rsidRPr="00A01E1E">
              <w:t>Surgical treatments</w:t>
            </w:r>
          </w:p>
          <w:p w14:paraId="42D42461" w14:textId="2812D633" w:rsidR="002A27FB" w:rsidRPr="00A01E1E" w:rsidRDefault="002A27FB" w:rsidP="00A01E1E">
            <w:pPr>
              <w:pStyle w:val="Bulletstable"/>
              <w:ind w:left="284" w:hanging="284"/>
            </w:pPr>
            <w:r w:rsidRPr="002A27FB">
              <w:t>Drainage of the infected obstructed kidney</w:t>
            </w:r>
          </w:p>
        </w:tc>
        <w:tc>
          <w:tcPr>
            <w:tcW w:w="1937" w:type="pct"/>
            <w:tcBorders>
              <w:top w:val="single" w:sz="4" w:space="0" w:color="auto"/>
              <w:left w:val="single" w:sz="4" w:space="0" w:color="auto"/>
              <w:right w:val="single" w:sz="4" w:space="0" w:color="auto"/>
            </w:tcBorders>
          </w:tcPr>
          <w:p w14:paraId="2A249B56" w14:textId="77777777" w:rsidR="00C0457B" w:rsidRDefault="00C0457B" w:rsidP="00DD0BD8">
            <w:pPr>
              <w:pStyle w:val="Tabletext"/>
              <w:rPr>
                <w:szCs w:val="22"/>
                <w:highlight w:val="cyan"/>
              </w:rPr>
            </w:pPr>
          </w:p>
          <w:p w14:paraId="6A0D6E06" w14:textId="6574A6FF" w:rsidR="00464E28" w:rsidRPr="00A17B22" w:rsidRDefault="00464E28" w:rsidP="00464E28">
            <w:pPr>
              <w:pStyle w:val="Bulletstable"/>
              <w:ind w:left="284" w:hanging="284"/>
            </w:pPr>
            <w:r w:rsidRPr="00A17B22">
              <w:t>BAUS, SCM 1, SCM 2, SCM 3</w:t>
            </w:r>
          </w:p>
          <w:p w14:paraId="42CAF2F7" w14:textId="32A33AD2" w:rsidR="00A17B22" w:rsidRDefault="00A17B22" w:rsidP="00A17B22">
            <w:pPr>
              <w:pStyle w:val="Bulletstable"/>
              <w:ind w:left="284" w:hanging="284"/>
            </w:pPr>
            <w:r w:rsidRPr="00A17B22">
              <w:t>BAUS</w:t>
            </w:r>
            <w:r>
              <w:rPr>
                <w:rFonts w:cs="Arial"/>
                <w:szCs w:val="20"/>
              </w:rPr>
              <w:t>, RA,</w:t>
            </w:r>
            <w:r w:rsidRPr="00A17B22">
              <w:t xml:space="preserve"> SCM 2, SCM 3, SCM 4, SCM 5</w:t>
            </w:r>
          </w:p>
          <w:p w14:paraId="5F846492" w14:textId="168BEC19" w:rsidR="00A17B22" w:rsidRPr="00A17B22" w:rsidRDefault="00A17B22" w:rsidP="00A17B22">
            <w:pPr>
              <w:pStyle w:val="Bulletstable"/>
              <w:ind w:left="284" w:hanging="284"/>
            </w:pPr>
            <w:r w:rsidRPr="00A17B22">
              <w:t xml:space="preserve">BAUS </w:t>
            </w:r>
          </w:p>
        </w:tc>
      </w:tr>
      <w:tr w:rsidR="00A01E1E" w:rsidRPr="00F04826" w14:paraId="32AE1E32" w14:textId="77777777" w:rsidTr="009B3595">
        <w:trPr>
          <w:trHeight w:val="382"/>
        </w:trPr>
        <w:tc>
          <w:tcPr>
            <w:tcW w:w="3063" w:type="pct"/>
            <w:tcBorders>
              <w:top w:val="single" w:sz="4" w:space="0" w:color="auto"/>
              <w:left w:val="single" w:sz="4" w:space="0" w:color="auto"/>
              <w:bottom w:val="single" w:sz="4" w:space="0" w:color="auto"/>
              <w:right w:val="single" w:sz="4" w:space="0" w:color="auto"/>
            </w:tcBorders>
            <w:shd w:val="clear" w:color="auto" w:fill="auto"/>
          </w:tcPr>
          <w:p w14:paraId="55AFDD69" w14:textId="5EAB4A91" w:rsidR="00A01E1E" w:rsidRPr="00FA6FCE" w:rsidRDefault="00A01E1E" w:rsidP="00A813F7">
            <w:pPr>
              <w:pStyle w:val="Tabletitle"/>
              <w:rPr>
                <w:highlight w:val="cyan"/>
              </w:rPr>
            </w:pPr>
            <w:r>
              <w:rPr>
                <w:szCs w:val="22"/>
              </w:rPr>
              <w:t>Metabolic testing and investigations</w:t>
            </w:r>
          </w:p>
        </w:tc>
        <w:tc>
          <w:tcPr>
            <w:tcW w:w="1937" w:type="pct"/>
            <w:tcBorders>
              <w:top w:val="single" w:sz="4" w:space="0" w:color="auto"/>
              <w:left w:val="single" w:sz="4" w:space="0" w:color="auto"/>
              <w:bottom w:val="single" w:sz="4" w:space="0" w:color="auto"/>
              <w:right w:val="single" w:sz="4" w:space="0" w:color="auto"/>
            </w:tcBorders>
          </w:tcPr>
          <w:p w14:paraId="56CDDD42" w14:textId="75E67834" w:rsidR="00A01E1E" w:rsidRPr="00381592" w:rsidRDefault="00A17B22" w:rsidP="0029335E">
            <w:pPr>
              <w:pStyle w:val="Tabletext"/>
              <w:rPr>
                <w:highlight w:val="cyan"/>
              </w:rPr>
            </w:pPr>
            <w:r w:rsidRPr="00A17B22">
              <w:rPr>
                <w:szCs w:val="22"/>
              </w:rPr>
              <w:t>BAUS</w:t>
            </w:r>
            <w:r>
              <w:rPr>
                <w:rFonts w:cs="Arial"/>
                <w:szCs w:val="20"/>
              </w:rPr>
              <w:t>, RA, SCM 1, SCM 3, SCM 5</w:t>
            </w:r>
          </w:p>
        </w:tc>
      </w:tr>
      <w:tr w:rsidR="00A01E1E" w:rsidRPr="00F04826" w14:paraId="05294B4E" w14:textId="77777777" w:rsidTr="009B3595">
        <w:trPr>
          <w:trHeight w:val="382"/>
        </w:trPr>
        <w:tc>
          <w:tcPr>
            <w:tcW w:w="3063" w:type="pct"/>
            <w:tcBorders>
              <w:top w:val="single" w:sz="4" w:space="0" w:color="auto"/>
              <w:left w:val="single" w:sz="4" w:space="0" w:color="auto"/>
              <w:bottom w:val="single" w:sz="4" w:space="0" w:color="auto"/>
              <w:right w:val="single" w:sz="4" w:space="0" w:color="auto"/>
            </w:tcBorders>
            <w:shd w:val="clear" w:color="auto" w:fill="auto"/>
          </w:tcPr>
          <w:p w14:paraId="382B64F2" w14:textId="3E7E09C0" w:rsidR="00A01E1E" w:rsidRPr="00FA6FCE" w:rsidRDefault="00A01E1E" w:rsidP="00A813F7">
            <w:pPr>
              <w:pStyle w:val="Tabletitle"/>
              <w:rPr>
                <w:highlight w:val="cyan"/>
              </w:rPr>
            </w:pPr>
            <w:r>
              <w:rPr>
                <w:szCs w:val="22"/>
              </w:rPr>
              <w:t xml:space="preserve">Preventing recurrence - </w:t>
            </w:r>
            <w:r w:rsidRPr="00B15D82">
              <w:rPr>
                <w:szCs w:val="22"/>
              </w:rPr>
              <w:t>Dietary and lifestyle advice</w:t>
            </w:r>
          </w:p>
        </w:tc>
        <w:tc>
          <w:tcPr>
            <w:tcW w:w="1937" w:type="pct"/>
            <w:tcBorders>
              <w:top w:val="single" w:sz="4" w:space="0" w:color="auto"/>
              <w:left w:val="single" w:sz="4" w:space="0" w:color="auto"/>
              <w:bottom w:val="single" w:sz="4" w:space="0" w:color="auto"/>
              <w:right w:val="single" w:sz="4" w:space="0" w:color="auto"/>
            </w:tcBorders>
          </w:tcPr>
          <w:p w14:paraId="73CC7173" w14:textId="50CF9CEA" w:rsidR="00A01E1E" w:rsidRPr="00381592" w:rsidRDefault="00A17B22" w:rsidP="0029335E">
            <w:pPr>
              <w:pStyle w:val="Tabletext"/>
              <w:rPr>
                <w:highlight w:val="cyan"/>
              </w:rPr>
            </w:pPr>
            <w:r w:rsidRPr="00A17B22">
              <w:t>BDA, RA, SCM 2, SCM 3</w:t>
            </w:r>
          </w:p>
        </w:tc>
      </w:tr>
      <w:tr w:rsidR="00BA005C" w:rsidRPr="00541079" w14:paraId="1D9B3163"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0AB72E3E" w14:textId="77777777" w:rsidR="00DD0BD8" w:rsidRPr="00A17B22" w:rsidRDefault="00DD0BD8" w:rsidP="00DD0BD8">
            <w:pPr>
              <w:pStyle w:val="Tabletext"/>
            </w:pPr>
            <w:r w:rsidRPr="00A17B22">
              <w:t>Abbreviations:</w:t>
            </w:r>
          </w:p>
          <w:p w14:paraId="1789FFE8" w14:textId="46AA7531" w:rsidR="00A17B22" w:rsidRDefault="00A17B22" w:rsidP="00DD0BD8">
            <w:pPr>
              <w:pStyle w:val="Tabletext"/>
            </w:pPr>
            <w:r w:rsidRPr="00464E28">
              <w:rPr>
                <w:szCs w:val="22"/>
              </w:rPr>
              <w:t>BAUS</w:t>
            </w:r>
            <w:r w:rsidR="00805797">
              <w:rPr>
                <w:rFonts w:cs="Arial"/>
              </w:rPr>
              <w:t>, British Association of Urological Surgeons section o</w:t>
            </w:r>
            <w:r w:rsidR="00895E47">
              <w:rPr>
                <w:rFonts w:cs="Arial"/>
              </w:rPr>
              <w:t>f</w:t>
            </w:r>
            <w:r w:rsidR="00805797">
              <w:rPr>
                <w:rFonts w:cs="Arial"/>
              </w:rPr>
              <w:t xml:space="preserve"> </w:t>
            </w:r>
            <w:proofErr w:type="spellStart"/>
            <w:r w:rsidR="00805797">
              <w:rPr>
                <w:rFonts w:cs="Arial"/>
              </w:rPr>
              <w:t>EndoUrology</w:t>
            </w:r>
            <w:proofErr w:type="spellEnd"/>
          </w:p>
          <w:p w14:paraId="3075C336" w14:textId="04E6FEFB" w:rsidR="00BB728C" w:rsidRDefault="00270E94" w:rsidP="00DD0BD8">
            <w:pPr>
              <w:pStyle w:val="Tabletext"/>
            </w:pPr>
            <w:r w:rsidRPr="00A17B22">
              <w:t>B</w:t>
            </w:r>
            <w:r w:rsidR="00A17B22" w:rsidRPr="00A17B22">
              <w:t>DA</w:t>
            </w:r>
            <w:r w:rsidRPr="00A17B22">
              <w:t xml:space="preserve">, British </w:t>
            </w:r>
            <w:r w:rsidR="00A17B22" w:rsidRPr="00A17B22">
              <w:t xml:space="preserve">Dietetic </w:t>
            </w:r>
            <w:r w:rsidRPr="00A17B22">
              <w:t>Association</w:t>
            </w:r>
          </w:p>
          <w:p w14:paraId="2CD08919" w14:textId="2185AEB8" w:rsidR="00805797" w:rsidRDefault="00805797" w:rsidP="00DD0BD8">
            <w:pPr>
              <w:pStyle w:val="Tabletext"/>
            </w:pPr>
            <w:r>
              <w:t>RA, Renal Association</w:t>
            </w:r>
          </w:p>
          <w:p w14:paraId="208C91AD" w14:textId="112299D4" w:rsidR="00805797" w:rsidRPr="00A17B22" w:rsidRDefault="00805797" w:rsidP="00DD0BD8">
            <w:pPr>
              <w:pStyle w:val="Tabletext"/>
            </w:pPr>
            <w:r>
              <w:t>SCOR, Society and College of Radiographers</w:t>
            </w:r>
          </w:p>
          <w:p w14:paraId="4B19E13B" w14:textId="77777777" w:rsidR="00BA005C" w:rsidRDefault="00BA005C" w:rsidP="00DD0BD8">
            <w:pPr>
              <w:pStyle w:val="Tabletext"/>
            </w:pPr>
            <w:r w:rsidRPr="00805797">
              <w:t>SCM, Specialist Committee Member</w:t>
            </w:r>
          </w:p>
          <w:p w14:paraId="1A17F757" w14:textId="77777777" w:rsidR="00140638" w:rsidRDefault="00140638" w:rsidP="00DD0BD8">
            <w:pPr>
              <w:pStyle w:val="Tabletext"/>
              <w:rPr>
                <w:highlight w:val="cyan"/>
              </w:rPr>
            </w:pPr>
          </w:p>
          <w:p w14:paraId="2B9210CC" w14:textId="35625907" w:rsidR="00140638" w:rsidRPr="00381592" w:rsidRDefault="00140638" w:rsidP="00DD0BD8">
            <w:pPr>
              <w:pStyle w:val="Tabletext"/>
              <w:rPr>
                <w:highlight w:val="cyan"/>
              </w:rPr>
            </w:pPr>
            <w:r w:rsidRPr="00427B4B">
              <w:t>Comments from the Renal Association were endorsed by the Royal College of Physicians.</w:t>
            </w:r>
          </w:p>
        </w:tc>
      </w:tr>
    </w:tbl>
    <w:p w14:paraId="65C25D2F" w14:textId="77777777" w:rsidR="00FA61CA" w:rsidRDefault="00FA61CA" w:rsidP="00FA61CA">
      <w:pPr>
        <w:pStyle w:val="Numberedheading2"/>
      </w:pPr>
      <w:bookmarkStart w:id="40" w:name="_Toc340835234"/>
      <w:bookmarkEnd w:id="40"/>
      <w:r>
        <w:t>Identification of current practice evidence</w:t>
      </w:r>
    </w:p>
    <w:p w14:paraId="6C7DB315" w14:textId="55B75E7B" w:rsidR="00277952" w:rsidRPr="00277952" w:rsidRDefault="00277952" w:rsidP="00AB14D0">
      <w:pPr>
        <w:pStyle w:val="Paragraph"/>
      </w:pPr>
      <w:r w:rsidRPr="00277952">
        <w:t xml:space="preserve">Bibliographic databases were searched to identify examples of current practice in UK health and social care settings; </w:t>
      </w:r>
      <w:r w:rsidR="00884740">
        <w:t>207</w:t>
      </w:r>
      <w:r w:rsidR="00DD0BD8">
        <w:t xml:space="preserve"> </w:t>
      </w:r>
      <w:r w:rsidRPr="00277952">
        <w:t xml:space="preserve">papers were identified for </w:t>
      </w:r>
      <w:r w:rsidR="00884740">
        <w:t>renal stones</w:t>
      </w:r>
      <w:r w:rsidRPr="00277952">
        <w:t xml:space="preserve">. In addition, </w:t>
      </w:r>
      <w:r w:rsidR="00A94394">
        <w:t>10</w:t>
      </w:r>
      <w:r>
        <w:t xml:space="preserve"> </w:t>
      </w:r>
      <w:r w:rsidRPr="00277952">
        <w:t xml:space="preserve">papers were suggested by stakeholders at topic </w:t>
      </w:r>
      <w:r w:rsidR="00C92D69">
        <w:t xml:space="preserve">engagement </w:t>
      </w:r>
      <w:r w:rsidRPr="00277952">
        <w:t xml:space="preserve">and </w:t>
      </w:r>
      <w:r w:rsidR="00884740">
        <w:t>1</w:t>
      </w:r>
      <w:r w:rsidRPr="00277952">
        <w:t xml:space="preserve"> paper internally at project scoping. </w:t>
      </w:r>
    </w:p>
    <w:p w14:paraId="2D4C12C2" w14:textId="6C195EFE" w:rsidR="00277952" w:rsidRDefault="00277952" w:rsidP="00AB14D0">
      <w:pPr>
        <w:pStyle w:val="Paragraph"/>
      </w:pPr>
      <w:r w:rsidRPr="00027BC9">
        <w:lastRenderedPageBreak/>
        <w:t xml:space="preserve">Of these papers, </w:t>
      </w:r>
      <w:r w:rsidR="00A94394">
        <w:t>6</w:t>
      </w:r>
      <w:r w:rsidRPr="00027BC9">
        <w:t xml:space="preserve"> have been included in this report and are included in the current practice sections where relevant. Appendix </w:t>
      </w:r>
      <w:r w:rsidR="00027BC9" w:rsidRPr="00027BC9">
        <w:t>1</w:t>
      </w:r>
      <w:r w:rsidRPr="00027BC9">
        <w:t xml:space="preserve"> outlines the search </w:t>
      </w:r>
      <w:r w:rsidRPr="00B75B3A">
        <w:t>process.</w:t>
      </w:r>
    </w:p>
    <w:p w14:paraId="5A786621" w14:textId="77777777" w:rsidR="003B6DDC" w:rsidRDefault="003B6DDC" w:rsidP="009142F4">
      <w:pPr>
        <w:pStyle w:val="Numberedheading1"/>
      </w:pPr>
      <w:r>
        <w:br w:type="page"/>
      </w:r>
      <w:bookmarkStart w:id="41" w:name="_Toc23515585"/>
      <w:r w:rsidR="002C296A">
        <w:lastRenderedPageBreak/>
        <w:t>Suggested improvement area</w:t>
      </w:r>
      <w:r>
        <w:t>s</w:t>
      </w:r>
      <w:bookmarkEnd w:id="41"/>
    </w:p>
    <w:p w14:paraId="57F2EF08" w14:textId="77E8963F" w:rsidR="002C296A" w:rsidRPr="00433117" w:rsidRDefault="0027730A" w:rsidP="003B6DDC">
      <w:pPr>
        <w:pStyle w:val="Numberedheading2"/>
      </w:pPr>
      <w:r>
        <w:t>Diagnostic imaging</w:t>
      </w:r>
    </w:p>
    <w:p w14:paraId="1DC8E717" w14:textId="77777777" w:rsidR="002C296A" w:rsidRDefault="002C296A" w:rsidP="00491FE4">
      <w:pPr>
        <w:pStyle w:val="Numberedheading3"/>
      </w:pPr>
      <w:r>
        <w:t>Summary of suggestions</w:t>
      </w:r>
    </w:p>
    <w:p w14:paraId="75A409B5" w14:textId="302F6FB5" w:rsidR="00C128F0" w:rsidRPr="004B37BC" w:rsidRDefault="004B37BC" w:rsidP="00DD0BD8">
      <w:pPr>
        <w:pStyle w:val="Heading40"/>
        <w:rPr>
          <w:u w:val="none"/>
        </w:rPr>
      </w:pPr>
      <w:r w:rsidRPr="004B37BC">
        <w:rPr>
          <w:u w:val="none"/>
        </w:rPr>
        <w:t>Stakeholders highlighted the importance of people presenting with renal colic having a CT scan as soon as possible</w:t>
      </w:r>
      <w:r w:rsidR="00FC12D0">
        <w:rPr>
          <w:u w:val="none"/>
        </w:rPr>
        <w:t>,</w:t>
      </w:r>
      <w:r w:rsidRPr="004B37BC">
        <w:rPr>
          <w:u w:val="none"/>
        </w:rPr>
        <w:t xml:space="preserve"> and within 24 hours</w:t>
      </w:r>
      <w:r w:rsidR="00FC12D0">
        <w:rPr>
          <w:u w:val="none"/>
        </w:rPr>
        <w:t>,</w:t>
      </w:r>
      <w:r w:rsidRPr="004B37BC">
        <w:rPr>
          <w:u w:val="none"/>
        </w:rPr>
        <w:t xml:space="preserve"> to prevent decline of renal function, delay in treatment and increase in pain. Availability of trained staff and not all hospitals offering urgent CT scan were raised as issues preventing this happening.</w:t>
      </w:r>
    </w:p>
    <w:p w14:paraId="676BEBEF" w14:textId="77777777" w:rsidR="00491FE4" w:rsidRPr="007B1C0E" w:rsidRDefault="00491FE4" w:rsidP="004510E0">
      <w:pPr>
        <w:pStyle w:val="Numberedheading3"/>
      </w:pPr>
      <w:r>
        <w:t>S</w:t>
      </w:r>
      <w:r w:rsidRPr="00CD3D03">
        <w:t>elected recommendations from development source</w:t>
      </w:r>
    </w:p>
    <w:p w14:paraId="32471AE6" w14:textId="26A17942" w:rsidR="00491FE4" w:rsidRPr="00DD56F6" w:rsidRDefault="00491FE4" w:rsidP="00491FE4">
      <w:pPr>
        <w:pStyle w:val="Paragraph"/>
      </w:pPr>
      <w:r w:rsidRPr="00DD56F6">
        <w:t xml:space="preserve">Table </w:t>
      </w:r>
      <w:r w:rsidR="00507AF8">
        <w:t>2</w:t>
      </w:r>
      <w:r w:rsidRPr="00DD56F6">
        <w:t xml:space="preserve"> below highlights recommendations that have been provisionally selected from the development source</w:t>
      </w:r>
      <w:r w:rsidR="00427135">
        <w:t>/sources</w:t>
      </w:r>
      <w:r w:rsidRPr="00DD56F6">
        <w:t xml:space="preserv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507AF8">
        <w:t>2</w:t>
      </w:r>
      <w:r w:rsidR="00F2333B">
        <w:t xml:space="preserve"> to help inform the </w:t>
      </w:r>
      <w:r w:rsidR="00C92D69">
        <w:t>c</w:t>
      </w:r>
      <w:r w:rsidR="00F2333B">
        <w:t>ommittee’s discussion.</w:t>
      </w:r>
    </w:p>
    <w:p w14:paraId="6CDFB2AF" w14:textId="24774F27" w:rsidR="00F45FBA" w:rsidRPr="00F45FBA" w:rsidRDefault="00F45FBA" w:rsidP="00DD0BD8">
      <w:pPr>
        <w:pStyle w:val="Heading3"/>
      </w:pPr>
      <w:r w:rsidRPr="00F45FBA">
        <w:t xml:space="preserve">Table </w:t>
      </w:r>
      <w:r w:rsidR="00507AF8">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2FFAF73A" w14:textId="77777777" w:rsidTr="00933944">
        <w:trPr>
          <w:trHeight w:val="321"/>
        </w:trPr>
        <w:tc>
          <w:tcPr>
            <w:tcW w:w="4113" w:type="dxa"/>
            <w:shd w:val="clear" w:color="auto" w:fill="auto"/>
            <w:hideMark/>
          </w:tcPr>
          <w:p w14:paraId="5CD6C834"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36CB4AA2"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1AD600BF" w14:textId="77777777" w:rsidTr="008743DD">
        <w:trPr>
          <w:trHeight w:val="624"/>
        </w:trPr>
        <w:tc>
          <w:tcPr>
            <w:tcW w:w="4113" w:type="dxa"/>
            <w:shd w:val="clear" w:color="auto" w:fill="auto"/>
            <w:hideMark/>
          </w:tcPr>
          <w:p w14:paraId="61E00D93" w14:textId="58550215" w:rsidR="007B1C0E" w:rsidRPr="001E7267" w:rsidRDefault="00463379" w:rsidP="001A542E">
            <w:pPr>
              <w:pStyle w:val="Tabletext"/>
              <w:rPr>
                <w:bCs/>
                <w:highlight w:val="cyan"/>
                <w:u w:val="single"/>
              </w:rPr>
            </w:pPr>
            <w:r w:rsidRPr="00463379">
              <w:rPr>
                <w:bCs/>
              </w:rPr>
              <w:t>Diagnostic imaging</w:t>
            </w:r>
          </w:p>
        </w:tc>
        <w:tc>
          <w:tcPr>
            <w:tcW w:w="4395" w:type="dxa"/>
            <w:shd w:val="clear" w:color="auto" w:fill="auto"/>
            <w:hideMark/>
          </w:tcPr>
          <w:p w14:paraId="6B75A208" w14:textId="7C4DAA48" w:rsidR="007B1C0E" w:rsidRPr="001E7267" w:rsidRDefault="001E7267" w:rsidP="00933944">
            <w:pPr>
              <w:pStyle w:val="Tabletext"/>
              <w:rPr>
                <w:highlight w:val="cyan"/>
              </w:rPr>
            </w:pPr>
            <w:r w:rsidRPr="00463379">
              <w:t>NICE NG</w:t>
            </w:r>
            <w:r w:rsidR="00463379" w:rsidRPr="00463379">
              <w:t>118</w:t>
            </w:r>
            <w:r w:rsidRPr="00463379">
              <w:t xml:space="preserve"> Recommendations </w:t>
            </w:r>
            <w:r w:rsidR="00463379" w:rsidRPr="00463379">
              <w:t>1.1.1 to 1.1.3</w:t>
            </w:r>
          </w:p>
        </w:tc>
      </w:tr>
    </w:tbl>
    <w:p w14:paraId="36F03952" w14:textId="0B962F85" w:rsidR="000A1D82" w:rsidRPr="008743DD" w:rsidRDefault="001A542E" w:rsidP="001A542E">
      <w:pPr>
        <w:pStyle w:val="Heading40"/>
      </w:pPr>
      <w:r w:rsidRPr="008743DD">
        <w:t>NICE NG</w:t>
      </w:r>
      <w:r w:rsidR="00463379" w:rsidRPr="008743DD">
        <w:t>118</w:t>
      </w:r>
      <w:r w:rsidRPr="008743DD">
        <w:t xml:space="preserve"> </w:t>
      </w:r>
    </w:p>
    <w:p w14:paraId="38D3C0E0" w14:textId="68E6B13E" w:rsidR="001E7267" w:rsidRPr="008743DD" w:rsidRDefault="001E7267" w:rsidP="001E7267">
      <w:pPr>
        <w:pStyle w:val="Heading40"/>
      </w:pPr>
      <w:r w:rsidRPr="008743DD">
        <w:t>Recommendation 1.</w:t>
      </w:r>
      <w:r w:rsidR="00463379" w:rsidRPr="008743DD">
        <w:t>1.1</w:t>
      </w:r>
    </w:p>
    <w:p w14:paraId="6F056D83" w14:textId="77777777" w:rsidR="00463379" w:rsidRPr="008743DD" w:rsidRDefault="00463379" w:rsidP="008743DD">
      <w:pPr>
        <w:pStyle w:val="Paragraph"/>
      </w:pPr>
      <w:r w:rsidRPr="008743DD">
        <w:t>Offer urgent (within 24 hours of presentation) low-dose non-contrast CT to adults with suspected renal colic. If a woman is pregnant, offer ultrasound instead of CT.</w:t>
      </w:r>
    </w:p>
    <w:p w14:paraId="130660F2" w14:textId="74F65054" w:rsidR="001E7267" w:rsidRPr="008743DD" w:rsidRDefault="001E7267" w:rsidP="001E7267">
      <w:pPr>
        <w:pStyle w:val="Heading40"/>
      </w:pPr>
      <w:r w:rsidRPr="008743DD">
        <w:t>Recommendation 1.</w:t>
      </w:r>
      <w:r w:rsidR="00463379" w:rsidRPr="008743DD">
        <w:t>1.2</w:t>
      </w:r>
    </w:p>
    <w:p w14:paraId="1B96DCC2" w14:textId="4B97E494" w:rsidR="00463379" w:rsidRDefault="00463379" w:rsidP="008743DD">
      <w:pPr>
        <w:pStyle w:val="Paragraph"/>
        <w:rPr>
          <w:b/>
          <w:bCs/>
        </w:rPr>
      </w:pPr>
      <w:r w:rsidRPr="00463379">
        <w:t>Offer urgent (within 24 hours of presentation) ultrasound as first-line imaging for children and young people with suspected renal colic.</w:t>
      </w:r>
    </w:p>
    <w:p w14:paraId="6E36FB8F" w14:textId="0D2A304F" w:rsidR="008743DD" w:rsidRDefault="008743DD" w:rsidP="008743DD">
      <w:pPr>
        <w:pStyle w:val="Heading40"/>
      </w:pPr>
      <w:r w:rsidRPr="008743DD">
        <w:t>Recommendation 1.1.</w:t>
      </w:r>
      <w:r>
        <w:t>3</w:t>
      </w:r>
    </w:p>
    <w:p w14:paraId="268BF515" w14:textId="1DBEE814" w:rsidR="008743DD" w:rsidRPr="008743DD" w:rsidRDefault="008743DD" w:rsidP="008743DD">
      <w:pPr>
        <w:pStyle w:val="Paragraph"/>
      </w:pPr>
      <w:r w:rsidRPr="008743DD">
        <w:t>If there is still uncertainty about the diagnosis of renal colic after ultrasound for children and young people, consider low-dose non-contrast CT.</w:t>
      </w:r>
    </w:p>
    <w:p w14:paraId="1D28CF05" w14:textId="77777777" w:rsidR="008743DD" w:rsidRPr="008743DD" w:rsidRDefault="008743DD" w:rsidP="008743DD">
      <w:pPr>
        <w:pStyle w:val="Paragraph"/>
      </w:pPr>
    </w:p>
    <w:p w14:paraId="66CE54C5" w14:textId="77777777" w:rsidR="007B1C0E" w:rsidRPr="00D50FCD" w:rsidRDefault="002C296A" w:rsidP="00FF265C">
      <w:pPr>
        <w:pStyle w:val="Numberedheading3"/>
      </w:pPr>
      <w:r>
        <w:lastRenderedPageBreak/>
        <w:t>Current UK practice</w:t>
      </w:r>
    </w:p>
    <w:p w14:paraId="23682717" w14:textId="3E0C7E7D" w:rsidR="00784DD5" w:rsidRDefault="00884740" w:rsidP="00B70375">
      <w:pPr>
        <w:pStyle w:val="Paragraph"/>
      </w:pPr>
      <w:r w:rsidRPr="00905DCF">
        <w:t>An a</w:t>
      </w:r>
      <w:r w:rsidR="00784DD5" w:rsidRPr="00905DCF">
        <w:t>udit at Torbay Hospital</w:t>
      </w:r>
      <w:r w:rsidR="005733C7" w:rsidRPr="00905DCF">
        <w:rPr>
          <w:rStyle w:val="FootnoteReference"/>
        </w:rPr>
        <w:footnoteReference w:id="5"/>
      </w:r>
      <w:r w:rsidR="00A43011" w:rsidRPr="00905DCF">
        <w:t xml:space="preserve"> for </w:t>
      </w:r>
      <w:r w:rsidR="00A43011" w:rsidRPr="0099043B">
        <w:t>patients referred to Urology with suspected ureteric calculi</w:t>
      </w:r>
      <w:r w:rsidR="00905DCF" w:rsidRPr="0099043B">
        <w:t xml:space="preserve"> (stones)</w:t>
      </w:r>
      <w:r w:rsidR="00A43011" w:rsidRPr="0099043B">
        <w:t xml:space="preserve"> from June to September 2015</w:t>
      </w:r>
      <w:r w:rsidR="005733C7" w:rsidRPr="0099043B">
        <w:t>,</w:t>
      </w:r>
      <w:r w:rsidR="00A43011" w:rsidRPr="0099043B">
        <w:t xml:space="preserve"> </w:t>
      </w:r>
      <w:r w:rsidR="00905DCF" w:rsidRPr="0099043B">
        <w:t xml:space="preserve">showed that </w:t>
      </w:r>
      <w:r w:rsidR="005733C7" w:rsidRPr="0099043B">
        <w:t>o</w:t>
      </w:r>
      <w:r w:rsidR="00A43011" w:rsidRPr="0099043B">
        <w:t>f the 44 patients referred</w:t>
      </w:r>
      <w:r w:rsidR="005733C7" w:rsidRPr="0099043B">
        <w:t>,</w:t>
      </w:r>
      <w:r w:rsidR="00A43011" w:rsidRPr="0099043B">
        <w:t xml:space="preserve"> 9 (20%) did not </w:t>
      </w:r>
      <w:r w:rsidR="00B70375" w:rsidRPr="0099043B">
        <w:t xml:space="preserve">have a non-contrast CT </w:t>
      </w:r>
      <w:r w:rsidR="00905DCF" w:rsidRPr="0099043B">
        <w:t xml:space="preserve">scan for kidneys, ureters and bladder (CT </w:t>
      </w:r>
      <w:r w:rsidR="00B70375" w:rsidRPr="0099043B">
        <w:t>KUB</w:t>
      </w:r>
      <w:r w:rsidR="00905DCF" w:rsidRPr="0099043B">
        <w:t>)</w:t>
      </w:r>
      <w:r w:rsidR="00B70375" w:rsidRPr="0099043B">
        <w:t xml:space="preserve"> within 24 hours</w:t>
      </w:r>
      <w:r w:rsidR="00A43011" w:rsidRPr="0099043B">
        <w:t>.</w:t>
      </w:r>
    </w:p>
    <w:p w14:paraId="771A07BE" w14:textId="77777777" w:rsidR="003B49F8" w:rsidRPr="004612EA" w:rsidRDefault="003B49F8" w:rsidP="003B49F8">
      <w:pPr>
        <w:pStyle w:val="Numberedheading3"/>
      </w:pPr>
      <w:r w:rsidRPr="004612EA">
        <w:t>Resource impact</w:t>
      </w:r>
    </w:p>
    <w:p w14:paraId="13FEFF19" w14:textId="6483B7F2" w:rsidR="00910C02" w:rsidRDefault="001C0913" w:rsidP="00910C02">
      <w:pPr>
        <w:pStyle w:val="Paragraph"/>
      </w:pPr>
      <w:r w:rsidRPr="001C0913">
        <w:t>No resource impact was anticipated in NG118 for these recommendations.</w:t>
      </w:r>
      <w:r w:rsidR="004510E0">
        <w:br w:type="page"/>
      </w:r>
    </w:p>
    <w:p w14:paraId="388D1748" w14:textId="17036E3F" w:rsidR="004510E0" w:rsidRPr="00433117" w:rsidRDefault="00A01E1E" w:rsidP="00910C02">
      <w:pPr>
        <w:pStyle w:val="Numberedheading2"/>
      </w:pPr>
      <w:r>
        <w:lastRenderedPageBreak/>
        <w:t>Pain management</w:t>
      </w:r>
    </w:p>
    <w:p w14:paraId="17C2FDA6" w14:textId="77777777" w:rsidR="004510E0" w:rsidRDefault="004510E0" w:rsidP="004510E0">
      <w:pPr>
        <w:pStyle w:val="Numberedheading3"/>
      </w:pPr>
      <w:r>
        <w:t>Summary of suggestions</w:t>
      </w:r>
    </w:p>
    <w:p w14:paraId="76FC2287" w14:textId="5F25B83B" w:rsidR="0063210C" w:rsidRDefault="0063210C" w:rsidP="00CE4759">
      <w:pPr>
        <w:pStyle w:val="Paragraph"/>
        <w:rPr>
          <w:highlight w:val="cyan"/>
        </w:rPr>
      </w:pPr>
      <w:r w:rsidRPr="0063210C">
        <w:t>Stakeholders commented that non-steroidal anti-inflammatory drugs should be the first-line treatment for pain management</w:t>
      </w:r>
      <w:r>
        <w:t xml:space="preserve"> for people with suspected renal colic, but there is varying practice nationwide, and other treatments are being used.</w:t>
      </w:r>
    </w:p>
    <w:p w14:paraId="4B2FF164" w14:textId="77777777" w:rsidR="004510E0" w:rsidRPr="007B1C0E" w:rsidRDefault="004510E0" w:rsidP="004510E0">
      <w:pPr>
        <w:pStyle w:val="Numberedheading3"/>
      </w:pPr>
      <w:r>
        <w:t>S</w:t>
      </w:r>
      <w:r w:rsidRPr="00CD3D03">
        <w:t>elected recommendations from development source</w:t>
      </w:r>
    </w:p>
    <w:p w14:paraId="094C5682" w14:textId="2A26D99E" w:rsidR="004510E0" w:rsidRPr="00913701" w:rsidRDefault="00D97876" w:rsidP="00884CF8">
      <w:pPr>
        <w:pStyle w:val="Paragraph"/>
      </w:pPr>
      <w:r>
        <w:t xml:space="preserve">Table </w:t>
      </w:r>
      <w:r w:rsidR="00507AF8">
        <w:t>3</w:t>
      </w:r>
      <w:r w:rsidR="004510E0">
        <w:t xml:space="preserve"> below highlights </w:t>
      </w:r>
      <w:r w:rsidR="004510E0" w:rsidRPr="00913701">
        <w:t xml:space="preserve">recommendations that have been provisionally selected from the development </w:t>
      </w:r>
      <w:r w:rsidR="004510E0" w:rsidRPr="00F2333B">
        <w:t>source</w:t>
      </w:r>
      <w:r w:rsidR="00427135">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507AF8">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509F7026" w14:textId="0ECA3C7A" w:rsidR="004510E0" w:rsidRPr="00F45FBA" w:rsidRDefault="00D97876" w:rsidP="00DD0BD8">
      <w:pPr>
        <w:pStyle w:val="Heading3"/>
      </w:pPr>
      <w:r>
        <w:t xml:space="preserve">Table </w:t>
      </w:r>
      <w:r w:rsidR="00507AF8">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16496472" w14:textId="77777777" w:rsidTr="00FD2318">
        <w:trPr>
          <w:trHeight w:val="321"/>
        </w:trPr>
        <w:tc>
          <w:tcPr>
            <w:tcW w:w="4113" w:type="dxa"/>
            <w:shd w:val="clear" w:color="auto" w:fill="auto"/>
            <w:hideMark/>
          </w:tcPr>
          <w:p w14:paraId="0F9E411E"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4534D12C"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1AF56CEE" w14:textId="77777777" w:rsidTr="00233AEB">
        <w:trPr>
          <w:trHeight w:val="537"/>
        </w:trPr>
        <w:tc>
          <w:tcPr>
            <w:tcW w:w="4113" w:type="dxa"/>
            <w:shd w:val="clear" w:color="auto" w:fill="auto"/>
          </w:tcPr>
          <w:p w14:paraId="189F2CA1" w14:textId="1B63E523" w:rsidR="000C5484" w:rsidRPr="008743DD" w:rsidRDefault="008743DD" w:rsidP="00DD0BD8">
            <w:pPr>
              <w:pStyle w:val="Tabletext"/>
            </w:pPr>
            <w:r w:rsidRPr="008743DD">
              <w:t>Pain management</w:t>
            </w:r>
          </w:p>
        </w:tc>
        <w:tc>
          <w:tcPr>
            <w:tcW w:w="4395" w:type="dxa"/>
            <w:shd w:val="clear" w:color="auto" w:fill="auto"/>
          </w:tcPr>
          <w:p w14:paraId="2D7FCD58" w14:textId="116D0EBB" w:rsidR="000C5484" w:rsidRPr="008743DD" w:rsidRDefault="000C5484" w:rsidP="00DD0BD8">
            <w:pPr>
              <w:pStyle w:val="Tabletext"/>
            </w:pPr>
            <w:r w:rsidRPr="008743DD">
              <w:t>NICE NG</w:t>
            </w:r>
            <w:r w:rsidR="008743DD" w:rsidRPr="008743DD">
              <w:t>118</w:t>
            </w:r>
            <w:r w:rsidRPr="008743DD">
              <w:t xml:space="preserve"> Recommendations 1.</w:t>
            </w:r>
            <w:r w:rsidR="008743DD" w:rsidRPr="008743DD">
              <w:t>2</w:t>
            </w:r>
            <w:r w:rsidRPr="008743DD">
              <w:t>.1</w:t>
            </w:r>
            <w:r w:rsidR="008743DD" w:rsidRPr="008743DD">
              <w:t xml:space="preserve">, </w:t>
            </w:r>
            <w:r w:rsidR="00CD25AF">
              <w:t xml:space="preserve">and </w:t>
            </w:r>
            <w:r w:rsidR="008743DD" w:rsidRPr="008743DD">
              <w:t>1.2.2</w:t>
            </w:r>
          </w:p>
        </w:tc>
      </w:tr>
    </w:tbl>
    <w:p w14:paraId="01C3C20A" w14:textId="7F07504A" w:rsidR="00237E01" w:rsidRPr="008743DD" w:rsidRDefault="00237E01" w:rsidP="00F2333B">
      <w:pPr>
        <w:pStyle w:val="Heading40"/>
      </w:pPr>
      <w:r w:rsidRPr="008743DD">
        <w:t xml:space="preserve">NICE </w:t>
      </w:r>
      <w:r w:rsidR="008743DD" w:rsidRPr="008743DD">
        <w:t>NG118</w:t>
      </w:r>
    </w:p>
    <w:p w14:paraId="4DF7B13B" w14:textId="58D41880" w:rsidR="0079479A" w:rsidRPr="008743DD" w:rsidRDefault="00237E01" w:rsidP="00F2333B">
      <w:pPr>
        <w:pStyle w:val="Heading40"/>
      </w:pPr>
      <w:r w:rsidRPr="008743DD">
        <w:t xml:space="preserve">Recommendation </w:t>
      </w:r>
      <w:r w:rsidR="008743DD" w:rsidRPr="008743DD">
        <w:t>1.2.1</w:t>
      </w:r>
      <w:r w:rsidR="0079479A" w:rsidRPr="008743DD">
        <w:t xml:space="preserve"> </w:t>
      </w:r>
    </w:p>
    <w:p w14:paraId="4BC04B85" w14:textId="2B1E0103" w:rsidR="008743DD" w:rsidRDefault="008743DD" w:rsidP="0079479A">
      <w:pPr>
        <w:pStyle w:val="Paragraph"/>
        <w:rPr>
          <w:highlight w:val="cyan"/>
        </w:rPr>
      </w:pPr>
      <w:r w:rsidRPr="008743DD">
        <w:t>Offer a non-steroidal anti-inflammatory drug (NSAID) by any route as first-line treatment for adults, children and young people with suspected renal colic.</w:t>
      </w:r>
      <w:r w:rsidRPr="008743DD">
        <w:rPr>
          <w:highlight w:val="cyan"/>
        </w:rPr>
        <w:t xml:space="preserve"> </w:t>
      </w:r>
    </w:p>
    <w:p w14:paraId="0234421A" w14:textId="35ED5E9A" w:rsidR="008743DD" w:rsidRDefault="008743DD" w:rsidP="008743DD">
      <w:pPr>
        <w:pStyle w:val="Heading40"/>
      </w:pPr>
      <w:r w:rsidRPr="008743DD">
        <w:t>Recommendation 1.2.</w:t>
      </w:r>
      <w:r>
        <w:t>2</w:t>
      </w:r>
    </w:p>
    <w:p w14:paraId="6E5307F1" w14:textId="6D509CF9" w:rsidR="008743DD" w:rsidRPr="008743DD" w:rsidRDefault="008743DD" w:rsidP="008743DD">
      <w:pPr>
        <w:pStyle w:val="Paragraph"/>
      </w:pPr>
      <w:r w:rsidRPr="008743DD">
        <w:t>Offer intravenous paracetamol to adults, children and young people with suspected renal colic if NSAIDs are contraindicated or are not giving sufficient pain relief.</w:t>
      </w:r>
    </w:p>
    <w:p w14:paraId="4D1DFAD9" w14:textId="77777777" w:rsidR="004510E0" w:rsidRDefault="004510E0" w:rsidP="004510E0">
      <w:pPr>
        <w:pStyle w:val="Numberedheading3"/>
      </w:pPr>
      <w:r>
        <w:t>Current UK practice</w:t>
      </w:r>
    </w:p>
    <w:p w14:paraId="122D3099" w14:textId="340A1CE1" w:rsidR="00423E33" w:rsidRDefault="00507AF8" w:rsidP="00423E33">
      <w:pPr>
        <w:pStyle w:val="Paragraph"/>
      </w:pPr>
      <w:r w:rsidRPr="00423E33">
        <w:t>No current practice information identified.</w:t>
      </w:r>
    </w:p>
    <w:p w14:paraId="298D3EC2" w14:textId="77777777" w:rsidR="00491211" w:rsidRPr="004612EA" w:rsidRDefault="00491211" w:rsidP="00491211">
      <w:pPr>
        <w:pStyle w:val="Numberedheading3"/>
      </w:pPr>
      <w:r w:rsidRPr="004612EA">
        <w:t>Resource impact</w:t>
      </w:r>
    </w:p>
    <w:p w14:paraId="2AAD67C1" w14:textId="17F80256" w:rsidR="00491211" w:rsidRDefault="001C0913" w:rsidP="00491211">
      <w:pPr>
        <w:pStyle w:val="Paragraph"/>
      </w:pPr>
      <w:r w:rsidRPr="001C0913">
        <w:t>No resource impact was anticipated in NG118 for these recommendations.</w:t>
      </w:r>
    </w:p>
    <w:p w14:paraId="3493A0E1" w14:textId="77777777" w:rsidR="00905401" w:rsidRDefault="00905401">
      <w:pPr>
        <w:rPr>
          <w:rFonts w:ascii="Arial" w:hAnsi="Arial" w:cs="Arial"/>
          <w:b/>
          <w:bCs/>
          <w:i/>
          <w:iCs/>
          <w:sz w:val="28"/>
          <w:szCs w:val="28"/>
        </w:rPr>
      </w:pPr>
      <w:r>
        <w:br w:type="page"/>
      </w:r>
    </w:p>
    <w:p w14:paraId="5496A146" w14:textId="02132C35" w:rsidR="00A01E1E" w:rsidRPr="00433117" w:rsidRDefault="00A01E1E" w:rsidP="00A01E1E">
      <w:pPr>
        <w:pStyle w:val="Numberedheading2"/>
      </w:pPr>
      <w:r>
        <w:lastRenderedPageBreak/>
        <w:t>Treatment</w:t>
      </w:r>
    </w:p>
    <w:p w14:paraId="31B5EF3C" w14:textId="77777777" w:rsidR="00A01E1E" w:rsidRDefault="00A01E1E" w:rsidP="00A01E1E">
      <w:pPr>
        <w:pStyle w:val="Numberedheading3"/>
      </w:pPr>
      <w:r>
        <w:t>Summary of suggestions</w:t>
      </w:r>
    </w:p>
    <w:p w14:paraId="59052F80" w14:textId="5156196A" w:rsidR="00A01E1E" w:rsidRPr="009920D7" w:rsidRDefault="0063210C" w:rsidP="00A01E1E">
      <w:pPr>
        <w:pStyle w:val="Heading3"/>
        <w:rPr>
          <w:highlight w:val="green"/>
        </w:rPr>
      </w:pPr>
      <w:r w:rsidRPr="0063210C">
        <w:t>Stenting</w:t>
      </w:r>
      <w:r w:rsidR="00A01E1E" w:rsidRPr="009920D7">
        <w:rPr>
          <w:highlight w:val="green"/>
        </w:rPr>
        <w:t xml:space="preserve"> </w:t>
      </w:r>
    </w:p>
    <w:p w14:paraId="4D653470" w14:textId="0AE7E059" w:rsidR="0063210C" w:rsidRDefault="00766DDE" w:rsidP="00A01E1E">
      <w:pPr>
        <w:pStyle w:val="Paragraph"/>
        <w:rPr>
          <w:highlight w:val="green"/>
        </w:rPr>
      </w:pPr>
      <w:r w:rsidRPr="00766DDE">
        <w:t>Stakeholders highlighted that ureteric stents should not be inserted before having shockwave lithotripsy (SWL) for ureteric or renal stones, or after having ureteroscopy</w:t>
      </w:r>
      <w:r w:rsidR="00952B1F">
        <w:t>, as they are uncomfortable and increase patient morbidity</w:t>
      </w:r>
      <w:r w:rsidRPr="00766DDE">
        <w:t>.</w:t>
      </w:r>
      <w:r>
        <w:t xml:space="preserve"> W</w:t>
      </w:r>
      <w:r w:rsidRPr="00766DDE">
        <w:t>hen insertion</w:t>
      </w:r>
      <w:r>
        <w:t xml:space="preserve"> of ureteric stents</w:t>
      </w:r>
      <w:r w:rsidRPr="00766DDE">
        <w:t xml:space="preserve"> has been necessary</w:t>
      </w:r>
      <w:r>
        <w:t>, stakeholders commented that</w:t>
      </w:r>
      <w:r w:rsidRPr="00766DDE">
        <w:t xml:space="preserve"> </w:t>
      </w:r>
      <w:r>
        <w:t>p</w:t>
      </w:r>
      <w:r w:rsidRPr="00766DDE">
        <w:t>rompt removal (within 2 weeks</w:t>
      </w:r>
      <w:r>
        <w:t xml:space="preserve"> of the decision to remove</w:t>
      </w:r>
      <w:r w:rsidRPr="00766DDE">
        <w:t xml:space="preserve">) </w:t>
      </w:r>
      <w:r w:rsidR="0045142F">
        <w:t>is</w:t>
      </w:r>
      <w:r w:rsidRPr="00766DDE">
        <w:t xml:space="preserve"> a quality improvement area to prevent increases in morbidity, reduced quality of life and infections.</w:t>
      </w:r>
    </w:p>
    <w:p w14:paraId="4F699382" w14:textId="40510DFC" w:rsidR="0063210C" w:rsidRDefault="0063210C" w:rsidP="0063210C">
      <w:pPr>
        <w:pStyle w:val="Heading3"/>
      </w:pPr>
      <w:r w:rsidRPr="0063210C">
        <w:t>Surgical treatment</w:t>
      </w:r>
    </w:p>
    <w:p w14:paraId="0092490E" w14:textId="0A79B97C" w:rsidR="0045142F" w:rsidRDefault="00D614EC" w:rsidP="0045142F">
      <w:pPr>
        <w:pStyle w:val="Paragraph"/>
      </w:pPr>
      <w:r>
        <w:t xml:space="preserve">Stakeholders stated that </w:t>
      </w:r>
      <w:r w:rsidR="007C5B38">
        <w:t xml:space="preserve">surgical </w:t>
      </w:r>
      <w:r>
        <w:t>treatment should be offered within 48 hours</w:t>
      </w:r>
      <w:r w:rsidR="00905401">
        <w:t>,</w:t>
      </w:r>
      <w:r>
        <w:t xml:space="preserve"> as early intervention improves outcomes</w:t>
      </w:r>
      <w:r w:rsidR="007C5B38">
        <w:t>, and that treatment should be completed within 6 weeks of initial presentation</w:t>
      </w:r>
      <w:r>
        <w:t>. Offering SWL to adults with renal or ureteric stones less than 10mm was also thought to be a quality improvement area</w:t>
      </w:r>
      <w:r w:rsidR="00905401">
        <w:t>,</w:t>
      </w:r>
      <w:r>
        <w:t xml:space="preserve"> as the availability varies.</w:t>
      </w:r>
      <w:r w:rsidR="007C5B38">
        <w:t xml:space="preserve"> Access to a paediatric urologist with experience in stone management when stone removal is needed for children was also raised.</w:t>
      </w:r>
    </w:p>
    <w:p w14:paraId="63222A5B" w14:textId="41F7CAE6" w:rsidR="002A27FB" w:rsidRDefault="002A27FB" w:rsidP="002A27FB">
      <w:pPr>
        <w:pStyle w:val="Heading3"/>
      </w:pPr>
      <w:r w:rsidRPr="002A27FB">
        <w:t>Drainage of the infected obstructed kidney</w:t>
      </w:r>
    </w:p>
    <w:p w14:paraId="5A2FBACF" w14:textId="3B186F8A" w:rsidR="002A27FB" w:rsidRPr="0045142F" w:rsidRDefault="00E629FF" w:rsidP="0045142F">
      <w:pPr>
        <w:pStyle w:val="Paragraph"/>
      </w:pPr>
      <w:r>
        <w:t xml:space="preserve">A stakeholder suggested that an infected obstructed kidney should be drained within 12 hours of diagnosis as it can be a </w:t>
      </w:r>
      <w:r w:rsidR="00905401">
        <w:t>life-threatening</w:t>
      </w:r>
      <w:r>
        <w:t xml:space="preserve"> emergency. Drainage was felt to be variable across the UK, and access to interventional radiology services limited in some areas.</w:t>
      </w:r>
    </w:p>
    <w:p w14:paraId="016C81E0" w14:textId="77777777" w:rsidR="00A01E1E" w:rsidRPr="007B1C0E" w:rsidRDefault="00A01E1E" w:rsidP="00A01E1E">
      <w:pPr>
        <w:pStyle w:val="Numberedheading3"/>
      </w:pPr>
      <w:r>
        <w:t>S</w:t>
      </w:r>
      <w:r w:rsidRPr="00CD3D03">
        <w:t>elected recommendations from development source</w:t>
      </w:r>
    </w:p>
    <w:p w14:paraId="3ABF2214" w14:textId="1DC43E4C" w:rsidR="00A01E1E" w:rsidRPr="00913701" w:rsidRDefault="00A01E1E" w:rsidP="00A01E1E">
      <w:pPr>
        <w:pStyle w:val="Paragraph"/>
      </w:pPr>
      <w:r>
        <w:t xml:space="preserve">Table </w:t>
      </w:r>
      <w:r w:rsidR="00423E33">
        <w:t>4</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423E33">
        <w:t>4</w:t>
      </w:r>
      <w:r>
        <w:t xml:space="preserve"> to help inform the committee’s discussion.</w:t>
      </w:r>
    </w:p>
    <w:p w14:paraId="518B197B" w14:textId="0A8AD5DB" w:rsidR="00A01E1E" w:rsidRPr="00F45FBA" w:rsidRDefault="00A01E1E" w:rsidP="00A01E1E">
      <w:pPr>
        <w:pStyle w:val="Heading3"/>
      </w:pPr>
      <w:r>
        <w:t xml:space="preserve">Table </w:t>
      </w:r>
      <w:r w:rsidR="00423E33">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01E1E" w:rsidRPr="00FD3FF6" w14:paraId="1135770E" w14:textId="77777777" w:rsidTr="00E724FB">
        <w:trPr>
          <w:trHeight w:val="321"/>
        </w:trPr>
        <w:tc>
          <w:tcPr>
            <w:tcW w:w="4113" w:type="dxa"/>
            <w:shd w:val="clear" w:color="auto" w:fill="auto"/>
            <w:hideMark/>
          </w:tcPr>
          <w:p w14:paraId="605D5C2C" w14:textId="77777777" w:rsidR="00A01E1E" w:rsidRPr="009C32E3" w:rsidRDefault="00A01E1E" w:rsidP="00E724FB">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78A5F1AD" w14:textId="77777777" w:rsidR="00A01E1E" w:rsidRPr="009C32E3" w:rsidRDefault="00A01E1E" w:rsidP="00E724FB">
            <w:pPr>
              <w:pStyle w:val="Tabletitle"/>
              <w:rPr>
                <w:highlight w:val="lightGray"/>
              </w:rPr>
            </w:pPr>
            <w:r w:rsidRPr="00F2333B">
              <w:t>Selected source guidance recommendations</w:t>
            </w:r>
          </w:p>
        </w:tc>
      </w:tr>
      <w:tr w:rsidR="00A01E1E" w:rsidRPr="005E5E3B" w14:paraId="12A3A7A3" w14:textId="77777777" w:rsidTr="00C305C8">
        <w:trPr>
          <w:trHeight w:val="514"/>
        </w:trPr>
        <w:tc>
          <w:tcPr>
            <w:tcW w:w="4113" w:type="dxa"/>
            <w:shd w:val="clear" w:color="auto" w:fill="auto"/>
          </w:tcPr>
          <w:p w14:paraId="4B251BA4" w14:textId="5F469AA2" w:rsidR="00A01E1E" w:rsidRPr="008743DD" w:rsidRDefault="008743DD" w:rsidP="00E724FB">
            <w:pPr>
              <w:pStyle w:val="Tabletext"/>
            </w:pPr>
            <w:r w:rsidRPr="008743DD">
              <w:t>Stenting</w:t>
            </w:r>
          </w:p>
        </w:tc>
        <w:tc>
          <w:tcPr>
            <w:tcW w:w="4395" w:type="dxa"/>
            <w:shd w:val="clear" w:color="auto" w:fill="auto"/>
          </w:tcPr>
          <w:p w14:paraId="69A24E53" w14:textId="21977330" w:rsidR="00A01E1E" w:rsidRPr="008743DD" w:rsidRDefault="00A01E1E" w:rsidP="00E724FB">
            <w:pPr>
              <w:pStyle w:val="Tabletext"/>
            </w:pPr>
            <w:r w:rsidRPr="008743DD">
              <w:t>NICE NG</w:t>
            </w:r>
            <w:r w:rsidR="008743DD" w:rsidRPr="008743DD">
              <w:t>118</w:t>
            </w:r>
            <w:r w:rsidRPr="008743DD">
              <w:t xml:space="preserve"> Recommendations 1.</w:t>
            </w:r>
            <w:r w:rsidR="008743DD" w:rsidRPr="008743DD">
              <w:t>4</w:t>
            </w:r>
            <w:r w:rsidRPr="008743DD">
              <w:t>.1 and 1.</w:t>
            </w:r>
            <w:r w:rsidR="008743DD" w:rsidRPr="008743DD">
              <w:t>6.1</w:t>
            </w:r>
          </w:p>
        </w:tc>
      </w:tr>
      <w:tr w:rsidR="00A01E1E" w:rsidRPr="005E5E3B" w14:paraId="1F1FC03F" w14:textId="77777777" w:rsidTr="00C305C8">
        <w:trPr>
          <w:trHeight w:val="624"/>
        </w:trPr>
        <w:tc>
          <w:tcPr>
            <w:tcW w:w="4113" w:type="dxa"/>
            <w:shd w:val="clear" w:color="auto" w:fill="auto"/>
          </w:tcPr>
          <w:p w14:paraId="2B62D7C1" w14:textId="6A818B56" w:rsidR="00A01E1E" w:rsidRPr="008743DD" w:rsidRDefault="008743DD" w:rsidP="00E724FB">
            <w:pPr>
              <w:pStyle w:val="Tabletext"/>
            </w:pPr>
            <w:r w:rsidRPr="008743DD">
              <w:t>Surgical treatment</w:t>
            </w:r>
          </w:p>
        </w:tc>
        <w:tc>
          <w:tcPr>
            <w:tcW w:w="4395" w:type="dxa"/>
            <w:shd w:val="clear" w:color="auto" w:fill="auto"/>
          </w:tcPr>
          <w:p w14:paraId="09FBE228" w14:textId="47A7A91C" w:rsidR="00A01E1E" w:rsidRPr="00DD0BD8" w:rsidRDefault="008743DD" w:rsidP="00E724FB">
            <w:pPr>
              <w:pStyle w:val="Tabletext"/>
              <w:rPr>
                <w:highlight w:val="lightGray"/>
              </w:rPr>
            </w:pPr>
            <w:r w:rsidRPr="008743DD">
              <w:t>NICE NG118 Recommendations</w:t>
            </w:r>
            <w:r>
              <w:t xml:space="preserve"> 1.5.2</w:t>
            </w:r>
            <w:r w:rsidR="00C305C8">
              <w:t xml:space="preserve"> to 1.5.4</w:t>
            </w:r>
          </w:p>
        </w:tc>
      </w:tr>
      <w:tr w:rsidR="008743DD" w:rsidRPr="005E5E3B" w14:paraId="3A4B8FC2" w14:textId="77777777" w:rsidTr="00C305C8">
        <w:trPr>
          <w:trHeight w:val="680"/>
        </w:trPr>
        <w:tc>
          <w:tcPr>
            <w:tcW w:w="4113" w:type="dxa"/>
            <w:shd w:val="clear" w:color="auto" w:fill="auto"/>
          </w:tcPr>
          <w:p w14:paraId="51072675" w14:textId="67869CF5" w:rsidR="008743DD" w:rsidRDefault="008743DD" w:rsidP="00E724FB">
            <w:pPr>
              <w:pStyle w:val="Tabletext"/>
              <w:rPr>
                <w:highlight w:val="cyan"/>
              </w:rPr>
            </w:pPr>
            <w:r w:rsidRPr="008743DD">
              <w:t>Drainage of the infected obstructed kidney</w:t>
            </w:r>
          </w:p>
        </w:tc>
        <w:tc>
          <w:tcPr>
            <w:tcW w:w="4395" w:type="dxa"/>
            <w:shd w:val="clear" w:color="auto" w:fill="auto"/>
          </w:tcPr>
          <w:p w14:paraId="1A5B43FA" w14:textId="2F5E5638" w:rsidR="008743DD" w:rsidRPr="00DD0BD8" w:rsidRDefault="008743DD" w:rsidP="00E724FB">
            <w:pPr>
              <w:pStyle w:val="Tabletext"/>
              <w:rPr>
                <w:highlight w:val="cyan"/>
              </w:rPr>
            </w:pPr>
            <w:r w:rsidRPr="008743DD">
              <w:t>Not directly covered in NICE NG118 and no recommendations are presented</w:t>
            </w:r>
          </w:p>
        </w:tc>
      </w:tr>
    </w:tbl>
    <w:p w14:paraId="201EEEB4" w14:textId="53C62A8A" w:rsidR="00A01E1E" w:rsidRPr="00691DC0" w:rsidRDefault="00691DC0" w:rsidP="00A01E1E">
      <w:pPr>
        <w:pStyle w:val="Heading3"/>
      </w:pPr>
      <w:r w:rsidRPr="00691DC0">
        <w:lastRenderedPageBreak/>
        <w:t>Stenting</w:t>
      </w:r>
    </w:p>
    <w:p w14:paraId="748475D9" w14:textId="77777777" w:rsidR="00691DC0" w:rsidRPr="00691DC0" w:rsidRDefault="00691DC0" w:rsidP="00691DC0">
      <w:pPr>
        <w:pStyle w:val="Heading40"/>
      </w:pPr>
      <w:r w:rsidRPr="00691DC0">
        <w:t>NICE NG118</w:t>
      </w:r>
    </w:p>
    <w:p w14:paraId="135D8C25" w14:textId="18A9EFEF" w:rsidR="00691DC0" w:rsidRPr="00691DC0" w:rsidRDefault="00691DC0" w:rsidP="00691DC0">
      <w:pPr>
        <w:pStyle w:val="Heading40"/>
      </w:pPr>
      <w:r w:rsidRPr="00691DC0">
        <w:t>Recommendation 1.4.1</w:t>
      </w:r>
    </w:p>
    <w:p w14:paraId="02D93A1B" w14:textId="5E6690CD" w:rsidR="00691DC0" w:rsidRDefault="00691DC0" w:rsidP="00691DC0">
      <w:pPr>
        <w:pStyle w:val="Paragraph"/>
        <w:rPr>
          <w:highlight w:val="cyan"/>
        </w:rPr>
      </w:pPr>
      <w:r w:rsidRPr="00691DC0">
        <w:t>Do not offer pre-treatment stenting to adults having shockwave lithotripsy (SWL) for ureteric or renal stones.</w:t>
      </w:r>
    </w:p>
    <w:p w14:paraId="5D9A5DF8" w14:textId="411E1BE3" w:rsidR="00691DC0" w:rsidRPr="00691DC0" w:rsidRDefault="00691DC0" w:rsidP="00691DC0">
      <w:pPr>
        <w:pStyle w:val="Heading40"/>
      </w:pPr>
      <w:r w:rsidRPr="00691DC0">
        <w:t>Recommendation 1.</w:t>
      </w:r>
      <w:r>
        <w:t>6</w:t>
      </w:r>
      <w:r w:rsidRPr="00691DC0">
        <w:t>.1</w:t>
      </w:r>
    </w:p>
    <w:p w14:paraId="010697CF" w14:textId="0D4E1107" w:rsidR="00A01E1E" w:rsidRDefault="00691DC0" w:rsidP="00691DC0">
      <w:pPr>
        <w:pStyle w:val="Paragraph"/>
        <w:rPr>
          <w:shd w:val="clear" w:color="auto" w:fill="FAFAFB"/>
        </w:rPr>
      </w:pPr>
      <w:r>
        <w:rPr>
          <w:shd w:val="clear" w:color="auto" w:fill="FAFAFB"/>
        </w:rPr>
        <w:t>Do not routinely offer post-treatment stenting to adults who have had ureteroscopy for ureteric stones less than 20 mm.</w:t>
      </w:r>
    </w:p>
    <w:p w14:paraId="06EFEA2D" w14:textId="71D1DAE8" w:rsidR="00691DC0" w:rsidRDefault="00691DC0" w:rsidP="00691DC0">
      <w:pPr>
        <w:pStyle w:val="Heading3"/>
      </w:pPr>
      <w:r w:rsidRPr="008743DD">
        <w:t>Surgical treatment</w:t>
      </w:r>
    </w:p>
    <w:p w14:paraId="032459BB" w14:textId="77777777" w:rsidR="00691DC0" w:rsidRPr="00691DC0" w:rsidRDefault="00691DC0" w:rsidP="00691DC0">
      <w:pPr>
        <w:pStyle w:val="Heading40"/>
      </w:pPr>
      <w:r w:rsidRPr="00691DC0">
        <w:t>NICE NG118</w:t>
      </w:r>
    </w:p>
    <w:p w14:paraId="1AC7DFEF" w14:textId="09F3F275" w:rsidR="00691DC0" w:rsidRDefault="00691DC0" w:rsidP="00691DC0">
      <w:pPr>
        <w:pStyle w:val="Paragraph"/>
        <w:rPr>
          <w:u w:val="single"/>
        </w:rPr>
      </w:pPr>
      <w:r w:rsidRPr="00691DC0">
        <w:rPr>
          <w:u w:val="single"/>
        </w:rPr>
        <w:t>Recommendation 1.5.2</w:t>
      </w:r>
    </w:p>
    <w:p w14:paraId="220D1D4E" w14:textId="735098BB" w:rsidR="00691DC0" w:rsidRPr="00691DC0" w:rsidRDefault="00691DC0" w:rsidP="00691DC0">
      <w:pPr>
        <w:pStyle w:val="Paragraph"/>
      </w:pPr>
      <w:r w:rsidRPr="00691DC0">
        <w:t xml:space="preserve">Follow the recommendations in table </w:t>
      </w:r>
      <w:r w:rsidR="00CD25AF">
        <w:t xml:space="preserve">5 </w:t>
      </w:r>
      <w:r w:rsidRPr="00691DC0">
        <w:t>for surgical treatment (including SWL) of renal stones in adults, children and young people.</w:t>
      </w:r>
    </w:p>
    <w:p w14:paraId="6EA9218E" w14:textId="4D4D1B59" w:rsidR="00691DC0" w:rsidRDefault="00691DC0" w:rsidP="00D569B3">
      <w:pPr>
        <w:pStyle w:val="Tabletitle"/>
      </w:pPr>
      <w:r w:rsidRPr="00691DC0">
        <w:t xml:space="preserve">Table </w:t>
      </w:r>
      <w:r w:rsidR="00DD351F">
        <w:t xml:space="preserve">5 </w:t>
      </w:r>
      <w:r w:rsidRPr="00691DC0">
        <w:t>Surgical treatment (including SWL) of renal stones in adults, children and young people</w:t>
      </w:r>
    </w:p>
    <w:tbl>
      <w:tblPr>
        <w:tblStyle w:val="TableGrid"/>
        <w:tblW w:w="0" w:type="auto"/>
        <w:tblLook w:val="04A0" w:firstRow="1" w:lastRow="0" w:firstColumn="1" w:lastColumn="0" w:noHBand="0" w:noVBand="1"/>
      </w:tblPr>
      <w:tblGrid>
        <w:gridCol w:w="3005"/>
        <w:gridCol w:w="3005"/>
        <w:gridCol w:w="3006"/>
      </w:tblGrid>
      <w:tr w:rsidR="00D569B3" w14:paraId="5DC17EC7" w14:textId="77777777" w:rsidTr="00D569B3">
        <w:tc>
          <w:tcPr>
            <w:tcW w:w="3005" w:type="dxa"/>
          </w:tcPr>
          <w:p w14:paraId="73A65293" w14:textId="4E2E6CB0" w:rsidR="00D569B3" w:rsidRDefault="00D569B3" w:rsidP="00D569B3">
            <w:pPr>
              <w:pStyle w:val="Tabletitle"/>
            </w:pPr>
            <w:r w:rsidRPr="00D569B3">
              <w:t>Stone type and size</w:t>
            </w:r>
          </w:p>
        </w:tc>
        <w:tc>
          <w:tcPr>
            <w:tcW w:w="3005" w:type="dxa"/>
          </w:tcPr>
          <w:p w14:paraId="4EBAC3AB" w14:textId="36E7D298" w:rsidR="00D569B3" w:rsidRDefault="00D569B3" w:rsidP="00D569B3">
            <w:pPr>
              <w:pStyle w:val="Tabletitle"/>
            </w:pPr>
            <w:r w:rsidRPr="00D569B3">
              <w:t>Treatment for adults (16 years and over)</w:t>
            </w:r>
          </w:p>
        </w:tc>
        <w:tc>
          <w:tcPr>
            <w:tcW w:w="3006" w:type="dxa"/>
          </w:tcPr>
          <w:p w14:paraId="6DF1511C" w14:textId="7DBBB426" w:rsidR="00D569B3" w:rsidRPr="00D569B3" w:rsidRDefault="00D569B3" w:rsidP="00D569B3">
            <w:pPr>
              <w:pStyle w:val="Tabletitle"/>
            </w:pPr>
            <w:r w:rsidRPr="00D569B3">
              <w:t>Treatment for children and young people (under 16 years)</w:t>
            </w:r>
          </w:p>
        </w:tc>
      </w:tr>
      <w:tr w:rsidR="00D569B3" w14:paraId="6B39168F" w14:textId="77777777" w:rsidTr="00D569B3">
        <w:tc>
          <w:tcPr>
            <w:tcW w:w="3005" w:type="dxa"/>
          </w:tcPr>
          <w:p w14:paraId="63298FCD" w14:textId="6A4F3964" w:rsidR="00D569B3" w:rsidRDefault="00D569B3" w:rsidP="00D569B3">
            <w:pPr>
              <w:pStyle w:val="Tabletext"/>
              <w:rPr>
                <w:u w:val="single"/>
              </w:rPr>
            </w:pPr>
            <w:r>
              <w:t>Renal stone less than 10 mm</w:t>
            </w:r>
          </w:p>
        </w:tc>
        <w:tc>
          <w:tcPr>
            <w:tcW w:w="3005" w:type="dxa"/>
          </w:tcPr>
          <w:p w14:paraId="4C7EA0CF" w14:textId="083DE6A9" w:rsidR="00D569B3" w:rsidRDefault="00D569B3" w:rsidP="00D569B3">
            <w:pPr>
              <w:pStyle w:val="Tabletext"/>
              <w:rPr>
                <w:u w:val="single"/>
              </w:rPr>
            </w:pPr>
            <w:r>
              <w:rPr>
                <w:shd w:val="clear" w:color="auto" w:fill="FAFAFB"/>
              </w:rPr>
              <w:t>Offer SWL</w:t>
            </w:r>
          </w:p>
        </w:tc>
        <w:tc>
          <w:tcPr>
            <w:tcW w:w="3006" w:type="dxa"/>
          </w:tcPr>
          <w:p w14:paraId="1D46FB1D" w14:textId="77777777" w:rsidR="00D569B3" w:rsidRDefault="00D569B3" w:rsidP="00D569B3">
            <w:pPr>
              <w:pStyle w:val="Tabletext"/>
              <w:rPr>
                <w:sz w:val="24"/>
                <w:lang w:eastAsia="en-GB"/>
              </w:rPr>
            </w:pPr>
            <w:r>
              <w:t>Consider URS or SWL</w:t>
            </w:r>
          </w:p>
          <w:p w14:paraId="471C4C05" w14:textId="77777777" w:rsidR="00D569B3" w:rsidRDefault="00D569B3" w:rsidP="00D569B3">
            <w:pPr>
              <w:pStyle w:val="Tabletext"/>
            </w:pPr>
            <w:r>
              <w:t>Consider PCNL if:</w:t>
            </w:r>
          </w:p>
          <w:p w14:paraId="239D3668" w14:textId="77777777" w:rsidR="00D569B3" w:rsidRDefault="00D569B3" w:rsidP="00D569B3">
            <w:pPr>
              <w:pStyle w:val="Tabletext"/>
            </w:pPr>
            <w:r>
              <w:t>URS or SWL have failed </w:t>
            </w:r>
            <w:r>
              <w:rPr>
                <w:rStyle w:val="Strong"/>
                <w:rFonts w:ascii="Lato" w:hAnsi="Lato"/>
                <w:color w:val="0E0E0E"/>
              </w:rPr>
              <w:t>or</w:t>
            </w:r>
          </w:p>
          <w:p w14:paraId="30EC1046" w14:textId="7A9F8D90" w:rsidR="00D569B3" w:rsidRPr="00D569B3" w:rsidRDefault="00D569B3" w:rsidP="00D569B3">
            <w:pPr>
              <w:pStyle w:val="Tabletext"/>
            </w:pPr>
            <w:r>
              <w:t>for anatomical reasons, PCNL is the more favourable option</w:t>
            </w:r>
          </w:p>
        </w:tc>
      </w:tr>
      <w:tr w:rsidR="00D569B3" w14:paraId="5414EFA2" w14:textId="77777777" w:rsidTr="00D569B3">
        <w:tc>
          <w:tcPr>
            <w:tcW w:w="3005" w:type="dxa"/>
          </w:tcPr>
          <w:p w14:paraId="08235095" w14:textId="7C599115" w:rsidR="00D569B3" w:rsidRDefault="00D569B3" w:rsidP="00D569B3">
            <w:pPr>
              <w:pStyle w:val="Tabletext"/>
              <w:rPr>
                <w:u w:val="single"/>
              </w:rPr>
            </w:pPr>
            <w:r>
              <w:t>Renal stone 10 to 20 mm</w:t>
            </w:r>
          </w:p>
        </w:tc>
        <w:tc>
          <w:tcPr>
            <w:tcW w:w="3005" w:type="dxa"/>
          </w:tcPr>
          <w:p w14:paraId="79ACC363" w14:textId="77777777" w:rsidR="00D569B3" w:rsidRDefault="00D569B3" w:rsidP="00D569B3">
            <w:pPr>
              <w:pStyle w:val="Tabletext"/>
              <w:rPr>
                <w:sz w:val="24"/>
                <w:lang w:eastAsia="en-GB"/>
              </w:rPr>
            </w:pPr>
            <w:r>
              <w:t>Consider URS or SWL</w:t>
            </w:r>
          </w:p>
          <w:p w14:paraId="4DD71582" w14:textId="73D0B7CE" w:rsidR="00D569B3" w:rsidRDefault="00D569B3" w:rsidP="00D569B3">
            <w:pPr>
              <w:pStyle w:val="Tabletext"/>
              <w:rPr>
                <w:u w:val="single"/>
              </w:rPr>
            </w:pPr>
            <w:r>
              <w:t>Consider PCNL if URS or SWL have failed</w:t>
            </w:r>
          </w:p>
        </w:tc>
        <w:tc>
          <w:tcPr>
            <w:tcW w:w="3006" w:type="dxa"/>
          </w:tcPr>
          <w:p w14:paraId="4F60EA9A" w14:textId="1E2B9514" w:rsidR="00D569B3" w:rsidRDefault="00D569B3" w:rsidP="00D569B3">
            <w:pPr>
              <w:pStyle w:val="Tabletext"/>
              <w:rPr>
                <w:u w:val="single"/>
              </w:rPr>
            </w:pPr>
            <w:r>
              <w:rPr>
                <w:shd w:val="clear" w:color="auto" w:fill="FAFAFB"/>
              </w:rPr>
              <w:t>Consider URS, SWL or PCNL</w:t>
            </w:r>
            <w:r>
              <w:rPr>
                <w:sz w:val="18"/>
                <w:szCs w:val="18"/>
                <w:shd w:val="clear" w:color="auto" w:fill="FAFAFB"/>
                <w:vertAlign w:val="superscript"/>
              </w:rPr>
              <w:t>1</w:t>
            </w:r>
          </w:p>
        </w:tc>
      </w:tr>
      <w:tr w:rsidR="00D569B3" w14:paraId="3507860D" w14:textId="77777777" w:rsidTr="00D569B3">
        <w:tc>
          <w:tcPr>
            <w:tcW w:w="3005" w:type="dxa"/>
          </w:tcPr>
          <w:p w14:paraId="5A44420E" w14:textId="131FD814" w:rsidR="00D569B3" w:rsidRDefault="00D569B3" w:rsidP="00D569B3">
            <w:pPr>
              <w:pStyle w:val="Tabletext"/>
              <w:rPr>
                <w:u w:val="single"/>
              </w:rPr>
            </w:pPr>
            <w:r>
              <w:t>Renal stone larger than 20 mm, including staghorn stones</w:t>
            </w:r>
          </w:p>
        </w:tc>
        <w:tc>
          <w:tcPr>
            <w:tcW w:w="3005" w:type="dxa"/>
          </w:tcPr>
          <w:p w14:paraId="07A70847" w14:textId="29284A01" w:rsidR="00D569B3" w:rsidRDefault="00D569B3" w:rsidP="00D569B3">
            <w:pPr>
              <w:pStyle w:val="Tabletext"/>
              <w:rPr>
                <w:u w:val="single"/>
              </w:rPr>
            </w:pPr>
            <w:r>
              <w:t>Renal stone larger than 20 mm, including staghorn stones</w:t>
            </w:r>
          </w:p>
        </w:tc>
        <w:tc>
          <w:tcPr>
            <w:tcW w:w="3006" w:type="dxa"/>
          </w:tcPr>
          <w:p w14:paraId="2DF54291" w14:textId="1335492C" w:rsidR="00D569B3" w:rsidRDefault="00D569B3" w:rsidP="00D569B3">
            <w:pPr>
              <w:pStyle w:val="Tabletext"/>
              <w:rPr>
                <w:u w:val="single"/>
              </w:rPr>
            </w:pPr>
            <w:r>
              <w:rPr>
                <w:shd w:val="clear" w:color="auto" w:fill="FAFAFB"/>
              </w:rPr>
              <w:t>Consider URS, SWL or PCNL</w:t>
            </w:r>
            <w:r>
              <w:rPr>
                <w:sz w:val="18"/>
                <w:szCs w:val="18"/>
                <w:shd w:val="clear" w:color="auto" w:fill="FAFAFB"/>
                <w:vertAlign w:val="superscript"/>
              </w:rPr>
              <w:t>1</w:t>
            </w:r>
          </w:p>
        </w:tc>
      </w:tr>
      <w:tr w:rsidR="00D569B3" w14:paraId="588874AA" w14:textId="77777777" w:rsidTr="00185E2D">
        <w:tc>
          <w:tcPr>
            <w:tcW w:w="9016" w:type="dxa"/>
            <w:gridSpan w:val="3"/>
          </w:tcPr>
          <w:p w14:paraId="56AD7C5A" w14:textId="3B7EE86E" w:rsidR="00D569B3" w:rsidRDefault="00D569B3" w:rsidP="00D569B3">
            <w:pPr>
              <w:pStyle w:val="Tabletext"/>
              <w:rPr>
                <w:shd w:val="clear" w:color="auto" w:fill="FAFAFB"/>
              </w:rPr>
            </w:pPr>
            <w:r>
              <w:t>Abbreviations: PCNL, percutaneous nephrolithotomy; SWL, shockwave lithotripsy; URS, ureteroscopy.</w:t>
            </w:r>
          </w:p>
        </w:tc>
      </w:tr>
      <w:tr w:rsidR="00D569B3" w14:paraId="3597D25A" w14:textId="77777777" w:rsidTr="00185E2D">
        <w:tc>
          <w:tcPr>
            <w:tcW w:w="9016" w:type="dxa"/>
            <w:gridSpan w:val="3"/>
          </w:tcPr>
          <w:p w14:paraId="0EA78AB2" w14:textId="77777777" w:rsidR="00D569B3" w:rsidRDefault="00D569B3" w:rsidP="00D569B3">
            <w:pPr>
              <w:pStyle w:val="Tabletext"/>
            </w:pPr>
            <w:r>
              <w:rPr>
                <w:sz w:val="18"/>
                <w:szCs w:val="18"/>
                <w:vertAlign w:val="superscript"/>
              </w:rPr>
              <w:t>1</w:t>
            </w:r>
            <w:r>
              <w:t> Use clinical judgement when considering mini or standard PCNL.</w:t>
            </w:r>
          </w:p>
          <w:p w14:paraId="671BEE74" w14:textId="4C80941F" w:rsidR="00D569B3" w:rsidRDefault="00D569B3" w:rsidP="00D569B3">
            <w:pPr>
              <w:pStyle w:val="Tabletext"/>
              <w:rPr>
                <w:shd w:val="clear" w:color="auto" w:fill="FAFAFB"/>
              </w:rPr>
            </w:pPr>
            <w:r>
              <w:rPr>
                <w:sz w:val="18"/>
                <w:szCs w:val="18"/>
                <w:vertAlign w:val="superscript"/>
              </w:rPr>
              <w:t>2</w:t>
            </w:r>
            <w:r>
              <w:t> Use clinical judgement when considering tubeless, mini or standard PCNL, and supine or prone positions.</w:t>
            </w:r>
          </w:p>
        </w:tc>
      </w:tr>
    </w:tbl>
    <w:p w14:paraId="169BF55E" w14:textId="77777777" w:rsidR="00356D08" w:rsidRDefault="00356D08" w:rsidP="00691DC0">
      <w:pPr>
        <w:pStyle w:val="Paragraph"/>
        <w:rPr>
          <w:u w:val="single"/>
        </w:rPr>
      </w:pPr>
    </w:p>
    <w:p w14:paraId="1E5D5E8A" w14:textId="77777777" w:rsidR="00356D08" w:rsidRDefault="00356D08">
      <w:pPr>
        <w:rPr>
          <w:rFonts w:ascii="Arial" w:hAnsi="Arial"/>
          <w:u w:val="single"/>
        </w:rPr>
      </w:pPr>
      <w:r>
        <w:rPr>
          <w:u w:val="single"/>
        </w:rPr>
        <w:br w:type="page"/>
      </w:r>
    </w:p>
    <w:p w14:paraId="6CB84679" w14:textId="7820D376" w:rsidR="00691DC0" w:rsidRDefault="00D569B3" w:rsidP="00691DC0">
      <w:pPr>
        <w:pStyle w:val="Paragraph"/>
        <w:rPr>
          <w:u w:val="single"/>
        </w:rPr>
      </w:pPr>
      <w:r w:rsidRPr="00691DC0">
        <w:rPr>
          <w:u w:val="single"/>
        </w:rPr>
        <w:lastRenderedPageBreak/>
        <w:t>Recommendation 1.5.</w:t>
      </w:r>
      <w:r>
        <w:rPr>
          <w:u w:val="single"/>
        </w:rPr>
        <w:t>3</w:t>
      </w:r>
    </w:p>
    <w:p w14:paraId="72ED6D9E" w14:textId="221F0D8F" w:rsidR="00D569B3" w:rsidRDefault="00D569B3" w:rsidP="00D569B3">
      <w:pPr>
        <w:pStyle w:val="Paragraph"/>
        <w:rPr>
          <w:lang w:eastAsia="en-GB"/>
        </w:rPr>
      </w:pPr>
      <w:r>
        <w:t>Follow the recommendations in table </w:t>
      </w:r>
      <w:r w:rsidR="00CD25AF">
        <w:t>6</w:t>
      </w:r>
      <w:r>
        <w:t xml:space="preserve"> for surgical treatment (including SWL) of ureteric stones in adults, children and young people.</w:t>
      </w:r>
    </w:p>
    <w:p w14:paraId="19933525" w14:textId="1C57F3D4" w:rsidR="00D569B3" w:rsidRDefault="00D569B3" w:rsidP="00D569B3">
      <w:pPr>
        <w:pStyle w:val="Tabletitle"/>
      </w:pPr>
      <w:r>
        <w:t>Table </w:t>
      </w:r>
      <w:r w:rsidR="00DD351F">
        <w:t>6</w:t>
      </w:r>
      <w:r>
        <w:t xml:space="preserve"> Surgical treatment (including SWL) of ureteric stones in adults, children and young people</w:t>
      </w:r>
    </w:p>
    <w:tbl>
      <w:tblPr>
        <w:tblStyle w:val="TableGrid"/>
        <w:tblW w:w="0" w:type="auto"/>
        <w:tblLook w:val="04A0" w:firstRow="1" w:lastRow="0" w:firstColumn="1" w:lastColumn="0" w:noHBand="0" w:noVBand="1"/>
      </w:tblPr>
      <w:tblGrid>
        <w:gridCol w:w="3005"/>
        <w:gridCol w:w="3005"/>
        <w:gridCol w:w="3006"/>
      </w:tblGrid>
      <w:tr w:rsidR="001B1B8D" w14:paraId="10489CB3" w14:textId="77777777" w:rsidTr="00963AAC">
        <w:tc>
          <w:tcPr>
            <w:tcW w:w="3005" w:type="dxa"/>
          </w:tcPr>
          <w:p w14:paraId="25C0A340" w14:textId="77777777" w:rsidR="001B1B8D" w:rsidRDefault="001B1B8D" w:rsidP="00963AAC">
            <w:pPr>
              <w:pStyle w:val="Tabletitle"/>
            </w:pPr>
            <w:r w:rsidRPr="00D569B3">
              <w:t>Stone type and size</w:t>
            </w:r>
          </w:p>
        </w:tc>
        <w:tc>
          <w:tcPr>
            <w:tcW w:w="3005" w:type="dxa"/>
          </w:tcPr>
          <w:p w14:paraId="6A43A790" w14:textId="77777777" w:rsidR="001B1B8D" w:rsidRDefault="001B1B8D" w:rsidP="00963AAC">
            <w:pPr>
              <w:pStyle w:val="Tabletitle"/>
            </w:pPr>
            <w:r w:rsidRPr="00D569B3">
              <w:t>Treatment for adults (16 years and over)</w:t>
            </w:r>
          </w:p>
        </w:tc>
        <w:tc>
          <w:tcPr>
            <w:tcW w:w="3006" w:type="dxa"/>
          </w:tcPr>
          <w:p w14:paraId="40802CEF" w14:textId="77777777" w:rsidR="001B1B8D" w:rsidRPr="00D569B3" w:rsidRDefault="001B1B8D" w:rsidP="00963AAC">
            <w:pPr>
              <w:pStyle w:val="Tabletitle"/>
            </w:pPr>
            <w:r w:rsidRPr="00D569B3">
              <w:t>Treatment for children and young people (under 16 years)</w:t>
            </w:r>
          </w:p>
        </w:tc>
      </w:tr>
      <w:tr w:rsidR="001B1B8D" w14:paraId="2B2F7894" w14:textId="77777777" w:rsidTr="00963AAC">
        <w:tc>
          <w:tcPr>
            <w:tcW w:w="3005" w:type="dxa"/>
          </w:tcPr>
          <w:p w14:paraId="4CB04AA1" w14:textId="3EB54BEE" w:rsidR="001B1B8D" w:rsidRDefault="001B1B8D" w:rsidP="001B1B8D">
            <w:pPr>
              <w:pStyle w:val="Tabletext"/>
              <w:rPr>
                <w:u w:val="single"/>
              </w:rPr>
            </w:pPr>
            <w:r>
              <w:t>Ureteric stone less than 10 mm</w:t>
            </w:r>
          </w:p>
        </w:tc>
        <w:tc>
          <w:tcPr>
            <w:tcW w:w="3005" w:type="dxa"/>
          </w:tcPr>
          <w:p w14:paraId="385D9A47" w14:textId="77777777" w:rsidR="001B1B8D" w:rsidRDefault="001B1B8D" w:rsidP="001B1B8D">
            <w:pPr>
              <w:pStyle w:val="Tabletext"/>
              <w:spacing w:after="0"/>
            </w:pPr>
            <w:r>
              <w:t>Offer SWL</w:t>
            </w:r>
          </w:p>
          <w:p w14:paraId="222BE6E5" w14:textId="4C2EBEE1" w:rsidR="001B1B8D" w:rsidRDefault="001B1B8D" w:rsidP="001B1B8D">
            <w:pPr>
              <w:pStyle w:val="Tabletext"/>
              <w:rPr>
                <w:u w:val="single"/>
              </w:rPr>
            </w:pPr>
          </w:p>
        </w:tc>
        <w:tc>
          <w:tcPr>
            <w:tcW w:w="3006" w:type="dxa"/>
          </w:tcPr>
          <w:p w14:paraId="66DF9A4D" w14:textId="2D8BB824" w:rsidR="001B1B8D" w:rsidRPr="00D569B3" w:rsidRDefault="001B1B8D" w:rsidP="001B1B8D">
            <w:pPr>
              <w:pStyle w:val="Tabletext"/>
            </w:pPr>
            <w:r>
              <w:t>Consider URS or SWL</w:t>
            </w:r>
          </w:p>
        </w:tc>
      </w:tr>
      <w:tr w:rsidR="001B1B8D" w14:paraId="77EC6B27" w14:textId="77777777" w:rsidTr="00963AAC">
        <w:tc>
          <w:tcPr>
            <w:tcW w:w="3005" w:type="dxa"/>
          </w:tcPr>
          <w:p w14:paraId="5731A23A" w14:textId="57DAC3AE" w:rsidR="001B1B8D" w:rsidRDefault="001B1B8D" w:rsidP="001B1B8D">
            <w:pPr>
              <w:pStyle w:val="Tabletext"/>
              <w:rPr>
                <w:u w:val="single"/>
              </w:rPr>
            </w:pPr>
            <w:r>
              <w:t>Ureteric stone 10 to 20 mm</w:t>
            </w:r>
          </w:p>
        </w:tc>
        <w:tc>
          <w:tcPr>
            <w:tcW w:w="3005" w:type="dxa"/>
          </w:tcPr>
          <w:p w14:paraId="1DE5C6C0" w14:textId="3A3A6B76" w:rsidR="001B1B8D" w:rsidRDefault="001B1B8D" w:rsidP="001B1B8D">
            <w:pPr>
              <w:pStyle w:val="Tabletext"/>
              <w:rPr>
                <w:u w:val="single"/>
              </w:rPr>
            </w:pPr>
            <w:r>
              <w:t>Offer URS</w:t>
            </w:r>
          </w:p>
        </w:tc>
        <w:tc>
          <w:tcPr>
            <w:tcW w:w="3006" w:type="dxa"/>
          </w:tcPr>
          <w:p w14:paraId="130668BA" w14:textId="2CBC4BE0" w:rsidR="001B1B8D" w:rsidRDefault="001B1B8D" w:rsidP="001B1B8D">
            <w:pPr>
              <w:pStyle w:val="Tabletext"/>
              <w:rPr>
                <w:u w:val="single"/>
              </w:rPr>
            </w:pPr>
            <w:r>
              <w:t>Consider URS or SWL</w:t>
            </w:r>
          </w:p>
        </w:tc>
      </w:tr>
      <w:tr w:rsidR="001B1B8D" w14:paraId="2E2BE4FF" w14:textId="77777777" w:rsidTr="00963AAC">
        <w:tc>
          <w:tcPr>
            <w:tcW w:w="9016" w:type="dxa"/>
            <w:gridSpan w:val="3"/>
          </w:tcPr>
          <w:p w14:paraId="355F9034" w14:textId="77777777" w:rsidR="001B1B8D" w:rsidRDefault="001B1B8D" w:rsidP="00963AAC">
            <w:pPr>
              <w:pStyle w:val="Tabletext"/>
              <w:rPr>
                <w:shd w:val="clear" w:color="auto" w:fill="FAFAFB"/>
              </w:rPr>
            </w:pPr>
            <w:r>
              <w:t>Abbreviations: PCNL, percutaneous nephrolithotomy; SWL, shockwave lithotripsy; URS, ureteroscopy.</w:t>
            </w:r>
          </w:p>
        </w:tc>
      </w:tr>
    </w:tbl>
    <w:p w14:paraId="4F765F39" w14:textId="3FC69410" w:rsidR="004A63FD" w:rsidRDefault="004A63FD" w:rsidP="004A63FD">
      <w:pPr>
        <w:pStyle w:val="Paragraph"/>
        <w:rPr>
          <w:u w:val="single"/>
        </w:rPr>
      </w:pPr>
      <w:r w:rsidRPr="00691DC0">
        <w:rPr>
          <w:u w:val="single"/>
        </w:rPr>
        <w:t>Recommendation 1.5.</w:t>
      </w:r>
      <w:r>
        <w:rPr>
          <w:u w:val="single"/>
        </w:rPr>
        <w:t>4</w:t>
      </w:r>
    </w:p>
    <w:p w14:paraId="2D3D4AAD" w14:textId="77777777" w:rsidR="004A63FD" w:rsidRDefault="004A63FD" w:rsidP="004A63FD">
      <w:pPr>
        <w:pStyle w:val="Paragraph"/>
        <w:rPr>
          <w:lang w:eastAsia="en-GB"/>
        </w:rPr>
      </w:pPr>
      <w:r>
        <w:t>Offer surgical treatment (including SWL) to adults with ureteric stones and renal colic within 48 hours of diagnosis or readmission, if:</w:t>
      </w:r>
    </w:p>
    <w:p w14:paraId="23669548" w14:textId="77777777" w:rsidR="004A63FD" w:rsidRDefault="004A63FD" w:rsidP="004A63FD">
      <w:pPr>
        <w:pStyle w:val="Bulletparagraph"/>
      </w:pPr>
      <w:r>
        <w:t>pain is ongoing and not tolerated </w:t>
      </w:r>
      <w:r w:rsidRPr="001E16A1">
        <w:rPr>
          <w:rStyle w:val="Strong"/>
          <w:rFonts w:cs="Arial"/>
          <w:color w:val="0E0E0E"/>
        </w:rPr>
        <w:t>or</w:t>
      </w:r>
    </w:p>
    <w:p w14:paraId="22C4268D" w14:textId="6CD4FC6A" w:rsidR="00D569B3" w:rsidRPr="00B77627" w:rsidRDefault="004A63FD" w:rsidP="00356D08">
      <w:pPr>
        <w:pStyle w:val="Bulletparagraph"/>
        <w:rPr>
          <w:u w:val="single"/>
        </w:rPr>
      </w:pPr>
      <w:r>
        <w:t>the stone is unlikely to pass.</w:t>
      </w:r>
    </w:p>
    <w:p w14:paraId="4C42428C" w14:textId="77777777" w:rsidR="00A01E1E" w:rsidRDefault="00A01E1E" w:rsidP="00A01E1E">
      <w:pPr>
        <w:pStyle w:val="Numberedheading3"/>
      </w:pPr>
      <w:r>
        <w:t>Current UK practice</w:t>
      </w:r>
    </w:p>
    <w:p w14:paraId="20517CE6" w14:textId="43FBD5C5" w:rsidR="00185E2D" w:rsidRDefault="00185E2D" w:rsidP="00185E2D">
      <w:pPr>
        <w:pStyle w:val="Heading3"/>
      </w:pPr>
      <w:r w:rsidRPr="00185E2D">
        <w:t>Stenting</w:t>
      </w:r>
    </w:p>
    <w:p w14:paraId="6F647007" w14:textId="1E8F7C89" w:rsidR="00905401" w:rsidRDefault="00905401" w:rsidP="00905401">
      <w:pPr>
        <w:pStyle w:val="Paragraph"/>
      </w:pPr>
      <w:r>
        <w:t>The Getting It Right First Time (GIRFT) Urology report</w:t>
      </w:r>
      <w:r>
        <w:rPr>
          <w:rStyle w:val="FootnoteReference"/>
        </w:rPr>
        <w:footnoteReference w:id="6"/>
      </w:r>
      <w:r>
        <w:t xml:space="preserve"> includes findings from 134 visits covering over 140 trusts in England providing urological care in 2016. It is the first comprehensive review of the state of provision of urological services in the NHS. The review found that</w:t>
      </w:r>
      <w:r w:rsidR="005E35F8">
        <w:t xml:space="preserve"> (see chart 1)</w:t>
      </w:r>
      <w:r>
        <w:t>:</w:t>
      </w:r>
    </w:p>
    <w:p w14:paraId="6414C224" w14:textId="47E0BFE6" w:rsidR="00680437" w:rsidRDefault="00680437" w:rsidP="00905401">
      <w:pPr>
        <w:pStyle w:val="Bulletparagraph"/>
      </w:pPr>
      <w:r>
        <w:t>for trusts overall, the median proportion of patients treated with a ureteric stent insertion was 20%</w:t>
      </w:r>
    </w:p>
    <w:p w14:paraId="7FDF1F9C" w14:textId="1838EFA6" w:rsidR="00905401" w:rsidRDefault="00905401" w:rsidP="0099043B">
      <w:pPr>
        <w:pStyle w:val="Bulletparagraph"/>
      </w:pPr>
      <w:r w:rsidRPr="0099043B">
        <w:t xml:space="preserve">in </w:t>
      </w:r>
      <w:r w:rsidR="00680437" w:rsidRPr="0099043B">
        <w:t>a small number of trusts</w:t>
      </w:r>
      <w:r w:rsidRPr="0099043B">
        <w:t>, ureteric stenting was the treatment given to more than half of patients receiving a procedure during an emergency admission for urinary stones – while in others, stenting was not offered at all</w:t>
      </w:r>
      <w:r w:rsidR="0056511C" w:rsidRPr="0099043B">
        <w:t>.</w:t>
      </w:r>
    </w:p>
    <w:p w14:paraId="5B4E7FCE" w14:textId="77777777" w:rsidR="0099043B" w:rsidRPr="0099043B" w:rsidRDefault="0099043B" w:rsidP="0099043B">
      <w:pPr>
        <w:pStyle w:val="Bulletparagraph"/>
        <w:numPr>
          <w:ilvl w:val="0"/>
          <w:numId w:val="0"/>
        </w:numPr>
        <w:ind w:left="360"/>
      </w:pPr>
    </w:p>
    <w:p w14:paraId="14E96D3C" w14:textId="49928D07" w:rsidR="006C664E" w:rsidRDefault="006C664E" w:rsidP="0099043B">
      <w:pPr>
        <w:pStyle w:val="Bulletparagraphlast"/>
        <w:ind w:left="0" w:firstLine="0"/>
      </w:pPr>
      <w:r>
        <w:t xml:space="preserve">The British Association of Urological Surgeons (BAUS) national ureteroscopy </w:t>
      </w:r>
      <w:r w:rsidR="00DA5814">
        <w:t xml:space="preserve">non-compulsory </w:t>
      </w:r>
      <w:r>
        <w:t>audit</w:t>
      </w:r>
      <w:r w:rsidR="00E21D4E">
        <w:rPr>
          <w:rStyle w:val="FootnoteReference"/>
        </w:rPr>
        <w:footnoteReference w:id="7"/>
      </w:r>
      <w:r>
        <w:t xml:space="preserve"> </w:t>
      </w:r>
      <w:r w:rsidR="00DA5814">
        <w:t>r</w:t>
      </w:r>
      <w:r>
        <w:t xml:space="preserve">eceived data </w:t>
      </w:r>
      <w:r w:rsidR="00E21D4E">
        <w:t xml:space="preserve">from 85 centres and 114 consultants on 3267 cases of renal </w:t>
      </w:r>
      <w:r w:rsidR="00743428">
        <w:t xml:space="preserve">and ureteric </w:t>
      </w:r>
      <w:r w:rsidR="00E21D4E">
        <w:t xml:space="preserve">stones from April 2012 to July 2016. The data </w:t>
      </w:r>
      <w:r>
        <w:t>shows:</w:t>
      </w:r>
    </w:p>
    <w:p w14:paraId="6BC95506" w14:textId="11FD524C" w:rsidR="00E21D4E" w:rsidRDefault="006C664E" w:rsidP="00E21D4E">
      <w:pPr>
        <w:pStyle w:val="Bulletparagraph"/>
      </w:pPr>
      <w:r>
        <w:lastRenderedPageBreak/>
        <w:t>pre</w:t>
      </w:r>
      <w:r w:rsidR="00DA5814">
        <w:t>-</w:t>
      </w:r>
      <w:r>
        <w:t>operative stents were used in 39% o</w:t>
      </w:r>
      <w:r w:rsidR="00E21D4E">
        <w:t>f</w:t>
      </w:r>
      <w:r>
        <w:t xml:space="preserve"> elective cases</w:t>
      </w:r>
      <w:r w:rsidR="00E21D4E">
        <w:t xml:space="preserve"> and 6% of non-elective cases</w:t>
      </w:r>
    </w:p>
    <w:p w14:paraId="415C7D65" w14:textId="01007323" w:rsidR="00E21D4E" w:rsidRDefault="00E21D4E" w:rsidP="0099043B">
      <w:pPr>
        <w:pStyle w:val="Bulletparagraph"/>
      </w:pPr>
      <w:r w:rsidRPr="00DA5814">
        <w:t>post</w:t>
      </w:r>
      <w:r w:rsidR="00DA5814" w:rsidRPr="00DA5814">
        <w:t>-</w:t>
      </w:r>
      <w:r w:rsidRPr="00DA5814">
        <w:t>operative stents were used in 70% of elective cases and 69% of non-elective cases</w:t>
      </w:r>
      <w:r w:rsidRPr="00AD16DA">
        <w:t>.</w:t>
      </w:r>
    </w:p>
    <w:p w14:paraId="094DAE1B" w14:textId="77777777" w:rsidR="0099043B" w:rsidRPr="00AD16DA" w:rsidRDefault="0099043B" w:rsidP="0099043B">
      <w:pPr>
        <w:pStyle w:val="Bulletparagraph"/>
        <w:numPr>
          <w:ilvl w:val="0"/>
          <w:numId w:val="0"/>
        </w:numPr>
        <w:ind w:left="360"/>
      </w:pPr>
    </w:p>
    <w:p w14:paraId="02C2DF0E" w14:textId="47F2E1DC" w:rsidR="00DA5814" w:rsidRDefault="00743428" w:rsidP="00673A7B">
      <w:pPr>
        <w:pStyle w:val="Bulletparagraphlast"/>
        <w:ind w:left="0" w:firstLine="0"/>
      </w:pPr>
      <w:r>
        <w:t xml:space="preserve">Updated data </w:t>
      </w:r>
      <w:r w:rsidR="00673A7B">
        <w:t xml:space="preserve">from the BAUS audit </w:t>
      </w:r>
      <w:r>
        <w:t xml:space="preserve">in 2018 on 4796 cases of renal and ureteric stones </w:t>
      </w:r>
      <w:r w:rsidR="00A36E0F">
        <w:t xml:space="preserve">from 2012 to 2018 </w:t>
      </w:r>
      <w:r w:rsidR="00DA5814">
        <w:t>shows that:</w:t>
      </w:r>
    </w:p>
    <w:p w14:paraId="6C894D26" w14:textId="77777777" w:rsidR="00DA5814" w:rsidRDefault="00DA5814" w:rsidP="00DA5814">
      <w:pPr>
        <w:pStyle w:val="Bulletparagraph"/>
      </w:pPr>
      <w:r>
        <w:t>pre-operative stents were used in 37.5% of cases of stones</w:t>
      </w:r>
    </w:p>
    <w:p w14:paraId="657CABA8" w14:textId="6A618C22" w:rsidR="00E21D4E" w:rsidRPr="00DA1B6A" w:rsidRDefault="00DA5814" w:rsidP="0099043B">
      <w:pPr>
        <w:pStyle w:val="Bulletparagraph"/>
      </w:pPr>
      <w:r w:rsidRPr="00DA5814">
        <w:t>pre-operative stents</w:t>
      </w:r>
      <w:r w:rsidR="00743428" w:rsidRPr="00DA5814">
        <w:t xml:space="preserve"> </w:t>
      </w:r>
      <w:r w:rsidRPr="00DA5814">
        <w:t>were used in 44% of renal stone cases, 35.2% of ureteric stone cases</w:t>
      </w:r>
      <w:r w:rsidRPr="00AD16DA">
        <w:t xml:space="preserve"> and 32.5% of cases with unrecorded stone site</w:t>
      </w:r>
      <w:r w:rsidRPr="00DA1B6A">
        <w:t>.</w:t>
      </w:r>
    </w:p>
    <w:p w14:paraId="0C0A278C" w14:textId="0D79537A" w:rsidR="00185E2D" w:rsidRDefault="00185E2D" w:rsidP="00185E2D">
      <w:pPr>
        <w:pStyle w:val="Heading3"/>
      </w:pPr>
      <w:r>
        <w:t>Surgical treatment</w:t>
      </w:r>
    </w:p>
    <w:p w14:paraId="7782CF93" w14:textId="33643071" w:rsidR="007D4DD6" w:rsidRDefault="007D4DD6" w:rsidP="00185E2D">
      <w:pPr>
        <w:pStyle w:val="Paragraph"/>
      </w:pPr>
      <w:r>
        <w:t>The GIRFT Urology report</w:t>
      </w:r>
      <w:r w:rsidR="004105A0">
        <w:rPr>
          <w:rStyle w:val="FootnoteReference"/>
        </w:rPr>
        <w:footnoteReference w:id="8"/>
      </w:r>
      <w:r>
        <w:t xml:space="preserve"> found that:</w:t>
      </w:r>
    </w:p>
    <w:p w14:paraId="48DCE61F" w14:textId="501F3388" w:rsidR="007D4DD6" w:rsidRDefault="00185E2D" w:rsidP="002C3915">
      <w:pPr>
        <w:pStyle w:val="Bulletparagraph"/>
      </w:pPr>
      <w:r>
        <w:t>about 40% of stone patients who are admitted have a procedure carried out during their emergency admission, meaning that approximately 60% are treated conservatively</w:t>
      </w:r>
      <w:r w:rsidR="001A7B53">
        <w:t xml:space="preserve"> (seeking to encourage the stones to pass naturally)</w:t>
      </w:r>
    </w:p>
    <w:p w14:paraId="5695AA18" w14:textId="64AF77D6" w:rsidR="00185E2D" w:rsidRDefault="00185E2D" w:rsidP="007D4DD6">
      <w:pPr>
        <w:pStyle w:val="Bulletparagraph"/>
      </w:pPr>
      <w:r>
        <w:t>intervention rates vary dramatically from hospital to hospital, with some urology departments offering no procedures, while others intervene in more than half of admissions</w:t>
      </w:r>
    </w:p>
    <w:p w14:paraId="3A9546BA" w14:textId="6EEBB145" w:rsidR="00281A2D" w:rsidRDefault="00281A2D" w:rsidP="00281A2D">
      <w:pPr>
        <w:pStyle w:val="Bulletparagraph"/>
      </w:pPr>
      <w:r>
        <w:t>only 4</w:t>
      </w:r>
      <w:r w:rsidRPr="00185E2D">
        <w:t xml:space="preserve"> providers treated more than 10% of emergency admissions with </w:t>
      </w:r>
      <w:r>
        <w:t>extracorporeal shock wave lithotripsy (</w:t>
      </w:r>
      <w:r w:rsidRPr="00185E2D">
        <w:t>ESWL</w:t>
      </w:r>
      <w:r w:rsidR="00802DA3">
        <w:t>, see chart</w:t>
      </w:r>
      <w:r w:rsidR="004105A0">
        <w:t xml:space="preserve"> 1</w:t>
      </w:r>
      <w:r w:rsidR="00802DA3">
        <w:t xml:space="preserve"> below</w:t>
      </w:r>
      <w:r>
        <w:t>)</w:t>
      </w:r>
    </w:p>
    <w:p w14:paraId="58DDB293" w14:textId="4B6D98DE" w:rsidR="00156AB9" w:rsidRDefault="00156AB9" w:rsidP="00A94394">
      <w:pPr>
        <w:pStyle w:val="Paragraph"/>
      </w:pPr>
      <w:r>
        <w:t xml:space="preserve">The </w:t>
      </w:r>
      <w:r w:rsidR="00802DA3">
        <w:t xml:space="preserve">boxplot </w:t>
      </w:r>
      <w:r>
        <w:t xml:space="preserve">below </w:t>
      </w:r>
      <w:r w:rsidR="00207047">
        <w:t xml:space="preserve">(chart 1) </w:t>
      </w:r>
      <w:r>
        <w:t xml:space="preserve">shows </w:t>
      </w:r>
      <w:r w:rsidR="001A7B53">
        <w:t>the variation between hospitals in the use of ureteric stents and nephrostomies, and in rates of definitive stone treatment with ureteroscopy or ESWL.</w:t>
      </w:r>
      <w:r w:rsidR="004F2078">
        <w:t xml:space="preserve"> </w:t>
      </w:r>
      <w:r w:rsidR="00D22B53">
        <w:t xml:space="preserve">Each coloured dot represents a trust. </w:t>
      </w:r>
      <w:r w:rsidR="004F2078">
        <w:t>The box shows the interquartile range</w:t>
      </w:r>
      <w:r w:rsidR="00802DA3">
        <w:t>: a horizontal line at</w:t>
      </w:r>
      <w:r w:rsidR="004F2078">
        <w:t xml:space="preserve"> the</w:t>
      </w:r>
      <w:r w:rsidR="00B21A3C">
        <w:t xml:space="preserve"> </w:t>
      </w:r>
      <w:r w:rsidR="00D22B53">
        <w:t xml:space="preserve">first quartile, </w:t>
      </w:r>
      <w:r w:rsidR="004F2078">
        <w:t xml:space="preserve">where 25% of values are lower than </w:t>
      </w:r>
      <w:r w:rsidR="00C52023">
        <w:t>this value</w:t>
      </w:r>
      <w:r w:rsidR="00D22B53">
        <w:t xml:space="preserve">, </w:t>
      </w:r>
      <w:r w:rsidR="00802DA3">
        <w:t>and a line at</w:t>
      </w:r>
      <w:r w:rsidR="00D22B53">
        <w:t xml:space="preserve"> the third quartile,</w:t>
      </w:r>
      <w:r w:rsidR="004F2078">
        <w:t xml:space="preserve"> where 25% of values are higher than </w:t>
      </w:r>
      <w:r w:rsidR="00C52023">
        <w:t>this value</w:t>
      </w:r>
      <w:r w:rsidR="00D22B53">
        <w:t xml:space="preserve">. </w:t>
      </w:r>
      <w:r w:rsidR="002C264D">
        <w:t xml:space="preserve">The range for ureteroscopy is greater than the range for ESWL. </w:t>
      </w:r>
      <w:r w:rsidR="00D22B53">
        <w:t>The median</w:t>
      </w:r>
      <w:r w:rsidR="004F2078">
        <w:t xml:space="preserve"> is shown by the horizontal line within the box</w:t>
      </w:r>
      <w:r w:rsidR="00802DA3">
        <w:t>.</w:t>
      </w:r>
      <w:r w:rsidR="004F2078">
        <w:t xml:space="preserve"> </w:t>
      </w:r>
      <w:r w:rsidR="00D22B53">
        <w:t>The vertical lines go from quartile 1 to the smallest non-outlier in the data set, and from quartile 3 to the largest non-outlier.</w:t>
      </w:r>
      <w:r w:rsidR="002C264D">
        <w:t xml:space="preserve"> </w:t>
      </w:r>
      <w:r w:rsidR="00207047">
        <w:t>U</w:t>
      </w:r>
      <w:r w:rsidR="002C264D">
        <w:t>reteroscopy has a greater range of outliers than ESWL.</w:t>
      </w:r>
    </w:p>
    <w:p w14:paraId="7FF11BA6" w14:textId="77777777" w:rsidR="007D4DD6" w:rsidRDefault="007D4DD6" w:rsidP="007D4DD6">
      <w:pPr>
        <w:pStyle w:val="Bulletparagraph"/>
        <w:numPr>
          <w:ilvl w:val="0"/>
          <w:numId w:val="0"/>
        </w:numPr>
        <w:ind w:left="360"/>
      </w:pPr>
    </w:p>
    <w:p w14:paraId="1D4DE377" w14:textId="4BCF90B5" w:rsidR="00185E2D" w:rsidRDefault="005E35F8" w:rsidP="00185E2D">
      <w:pPr>
        <w:pStyle w:val="Tabletitle"/>
      </w:pPr>
      <w:r>
        <w:lastRenderedPageBreak/>
        <w:t xml:space="preserve">Chart 1 </w:t>
      </w:r>
      <w:r w:rsidR="00802DA3">
        <w:t>Boxplot of s</w:t>
      </w:r>
      <w:r w:rsidR="00185E2D">
        <w:t>elected procedures, proportion undertaken during non-elective admissions under the care of a urologist for patients with urinary tract stones, by trust, 2016</w:t>
      </w:r>
      <w:r w:rsidR="004B4DEE">
        <w:t xml:space="preserve"> (source: HES)</w:t>
      </w:r>
    </w:p>
    <w:p w14:paraId="701D2258" w14:textId="59033AD8" w:rsidR="00185E2D" w:rsidRDefault="00185E2D" w:rsidP="00185E2D">
      <w:pPr>
        <w:pStyle w:val="Paragraph"/>
      </w:pPr>
      <w:r w:rsidRPr="00185E2D">
        <w:rPr>
          <w:noProof/>
        </w:rPr>
        <w:drawing>
          <wp:inline distT="0" distB="0" distL="0" distR="0" wp14:anchorId="5DF35B79" wp14:editId="01864EC5">
            <wp:extent cx="5238095" cy="3161905"/>
            <wp:effectExtent l="0" t="0" r="1270" b="635"/>
            <wp:docPr id="2" name="Picture 2" descr="Boxplot showing the variation between hospitals in the use of ureteric stents and nephrostomies, and in rates of definitive stone treatment with ureteroscopy or ES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8095" cy="3161905"/>
                    </a:xfrm>
                    <a:prstGeom prst="rect">
                      <a:avLst/>
                    </a:prstGeom>
                  </pic:spPr>
                </pic:pic>
              </a:graphicData>
            </a:graphic>
          </wp:inline>
        </w:drawing>
      </w:r>
    </w:p>
    <w:p w14:paraId="2C36C4EC" w14:textId="77777777" w:rsidR="00946E7C" w:rsidRDefault="00185E2D" w:rsidP="00185E2D">
      <w:pPr>
        <w:pStyle w:val="Paragraph"/>
      </w:pPr>
      <w:r>
        <w:t>During GIRFT visits, providers were asked why they did not provide definitive stone treatment with ureteroscopy or ESWL for more of their emergency stone patients. A range of reasons were given</w:t>
      </w:r>
      <w:r w:rsidR="00946E7C">
        <w:t>:</w:t>
      </w:r>
    </w:p>
    <w:p w14:paraId="7A47700F" w14:textId="77777777" w:rsidR="00946E7C" w:rsidRDefault="00185E2D" w:rsidP="00946E7C">
      <w:pPr>
        <w:pStyle w:val="Bulletparagraph"/>
      </w:pPr>
      <w:r>
        <w:t>not having access to a suitable operating theatre</w:t>
      </w:r>
    </w:p>
    <w:p w14:paraId="601C5A7B" w14:textId="77777777" w:rsidR="00946E7C" w:rsidRDefault="00185E2D" w:rsidP="00946E7C">
      <w:pPr>
        <w:pStyle w:val="Bulletparagraph"/>
      </w:pPr>
      <w:r>
        <w:t>a lack of staff trained to use the stone laser or assist with emergency stone procedures</w:t>
      </w:r>
    </w:p>
    <w:p w14:paraId="3A6FA9AC" w14:textId="457F58F9" w:rsidR="00185E2D" w:rsidRDefault="00946E7C" w:rsidP="00946E7C">
      <w:pPr>
        <w:pStyle w:val="Bulletparagraph"/>
      </w:pPr>
      <w:r>
        <w:t>i</w:t>
      </w:r>
      <w:r w:rsidR="00185E2D">
        <w:t>t was also clear that not</w:t>
      </w:r>
      <w:r w:rsidR="000B52C1">
        <w:t xml:space="preserve"> </w:t>
      </w:r>
      <w:r w:rsidR="00185E2D">
        <w:t>all units offer emergency ESWL, even when a lithotripter is available in a neighbouring hospital</w:t>
      </w:r>
      <w:r w:rsidR="00E3674A">
        <w:t>.</w:t>
      </w:r>
    </w:p>
    <w:p w14:paraId="418514CF" w14:textId="297C2690" w:rsidR="0084267D" w:rsidRDefault="0084267D" w:rsidP="0084267D">
      <w:pPr>
        <w:pStyle w:val="Bulletparagraph"/>
        <w:numPr>
          <w:ilvl w:val="0"/>
          <w:numId w:val="0"/>
        </w:numPr>
        <w:ind w:left="360"/>
      </w:pPr>
    </w:p>
    <w:p w14:paraId="1AE0223B" w14:textId="16B9E3EC" w:rsidR="0084267D" w:rsidRDefault="0084267D">
      <w:pPr>
        <w:pStyle w:val="Bulletparagraph"/>
        <w:numPr>
          <w:ilvl w:val="0"/>
          <w:numId w:val="0"/>
        </w:numPr>
      </w:pPr>
      <w:r>
        <w:t xml:space="preserve">BAUS </w:t>
      </w:r>
      <w:r w:rsidR="002D19CD">
        <w:t>collected data</w:t>
      </w:r>
      <w:r w:rsidR="002D19CD">
        <w:rPr>
          <w:rStyle w:val="FootnoteReference"/>
        </w:rPr>
        <w:footnoteReference w:id="9"/>
      </w:r>
      <w:r w:rsidR="002D19CD">
        <w:t xml:space="preserve"> </w:t>
      </w:r>
      <w:r>
        <w:t xml:space="preserve">from January 2016 to December 2018 </w:t>
      </w:r>
      <w:r w:rsidR="002D19CD">
        <w:t xml:space="preserve">on </w:t>
      </w:r>
      <w:r w:rsidR="002D19CD" w:rsidRPr="002D19CD">
        <w:t xml:space="preserve">6877 </w:t>
      </w:r>
      <w:r w:rsidR="002D19CD">
        <w:t xml:space="preserve">PCNL </w:t>
      </w:r>
      <w:r w:rsidR="002D19CD" w:rsidRPr="002D19CD">
        <w:t>procedures recorded from 208 consultants at 129 centres in the United Kingdom</w:t>
      </w:r>
      <w:r w:rsidR="002D19CD">
        <w:t>. The data shows:</w:t>
      </w:r>
    </w:p>
    <w:p w14:paraId="7F6936B5" w14:textId="77777777" w:rsidR="0089726A" w:rsidRDefault="0089726A" w:rsidP="0084267D">
      <w:pPr>
        <w:pStyle w:val="Bulletparagraph"/>
        <w:numPr>
          <w:ilvl w:val="0"/>
          <w:numId w:val="0"/>
        </w:numPr>
        <w:ind w:left="360"/>
      </w:pPr>
    </w:p>
    <w:p w14:paraId="49549FB4" w14:textId="5DC28176" w:rsidR="002D19CD" w:rsidRDefault="002D19CD" w:rsidP="002D19CD">
      <w:pPr>
        <w:pStyle w:val="Bulletparagraph"/>
      </w:pPr>
      <w:r>
        <w:t>Median number of cases per consultant: 23.5</w:t>
      </w:r>
      <w:r w:rsidR="002C264D">
        <w:t xml:space="preserve"> cases, </w:t>
      </w:r>
      <w:r>
        <w:t>rang</w:t>
      </w:r>
      <w:r w:rsidR="002C264D">
        <w:t>ing from</w:t>
      </w:r>
      <w:r>
        <w:t xml:space="preserve"> 1</w:t>
      </w:r>
      <w:r w:rsidR="002C264D">
        <w:t xml:space="preserve"> to</w:t>
      </w:r>
      <w:r>
        <w:t xml:space="preserve"> 178</w:t>
      </w:r>
      <w:r w:rsidR="002C264D">
        <w:t xml:space="preserve"> cases</w:t>
      </w:r>
    </w:p>
    <w:p w14:paraId="321B88C2" w14:textId="06BEB225" w:rsidR="002D19CD" w:rsidRDefault="002D19CD" w:rsidP="0089726A">
      <w:pPr>
        <w:pStyle w:val="Bulletparagraph"/>
      </w:pPr>
      <w:r>
        <w:t>Median number of cases per centre: 47</w:t>
      </w:r>
      <w:r w:rsidR="002C264D">
        <w:t xml:space="preserve"> cases, </w:t>
      </w:r>
      <w:r>
        <w:t>rang</w:t>
      </w:r>
      <w:r w:rsidR="002C264D">
        <w:t>ing from</w:t>
      </w:r>
      <w:r>
        <w:t xml:space="preserve"> 1 </w:t>
      </w:r>
      <w:r w:rsidR="002C264D">
        <w:t>to</w:t>
      </w:r>
      <w:r>
        <w:t xml:space="preserve"> 307</w:t>
      </w:r>
      <w:r w:rsidR="002C264D">
        <w:t xml:space="preserve"> cases</w:t>
      </w:r>
      <w:r w:rsidR="0089726A">
        <w:t>.</w:t>
      </w:r>
    </w:p>
    <w:p w14:paraId="0D142C86" w14:textId="5CC4E625" w:rsidR="00E6117D" w:rsidRPr="00DA1B6A" w:rsidRDefault="00E6117D" w:rsidP="001F6CD6">
      <w:pPr>
        <w:pStyle w:val="Paragraph"/>
      </w:pPr>
      <w:r w:rsidRPr="00DA1B6A">
        <w:t xml:space="preserve">A review of </w:t>
      </w:r>
      <w:r w:rsidR="001F6CD6" w:rsidRPr="00DA1B6A">
        <w:t>HES data from 2006</w:t>
      </w:r>
      <w:r w:rsidR="008A2069">
        <w:t>/07</w:t>
      </w:r>
      <w:r w:rsidR="001F6CD6" w:rsidRPr="00DA1B6A">
        <w:t xml:space="preserve"> to 20</w:t>
      </w:r>
      <w:r w:rsidR="008A2069">
        <w:t>13/</w:t>
      </w:r>
      <w:r w:rsidR="001F6CD6" w:rsidRPr="00DA1B6A">
        <w:t>1</w:t>
      </w:r>
      <w:r w:rsidR="008A2069">
        <w:t>4</w:t>
      </w:r>
      <w:r w:rsidRPr="00DA1B6A">
        <w:rPr>
          <w:rStyle w:val="FootnoteReference"/>
        </w:rPr>
        <w:footnoteReference w:id="10"/>
      </w:r>
      <w:r w:rsidRPr="00DA1B6A">
        <w:t xml:space="preserve"> reported </w:t>
      </w:r>
      <w:r w:rsidR="004B60A2">
        <w:t>on changes in the type</w:t>
      </w:r>
      <w:r w:rsidR="00DD351F">
        <w:t xml:space="preserve"> and volume</w:t>
      </w:r>
      <w:r w:rsidR="004B60A2">
        <w:t xml:space="preserve"> of procedures for stones being performed over this </w:t>
      </w:r>
      <w:r w:rsidR="00F80085">
        <w:t xml:space="preserve">7 year </w:t>
      </w:r>
      <w:r w:rsidR="004B60A2">
        <w:t>period</w:t>
      </w:r>
      <w:r w:rsidRPr="00DA1B6A">
        <w:t>:</w:t>
      </w:r>
    </w:p>
    <w:p w14:paraId="54A05D3B" w14:textId="5EA95EF8" w:rsidR="00E6117D" w:rsidRPr="00DA1B6A" w:rsidRDefault="001F6CD6" w:rsidP="00E6117D">
      <w:pPr>
        <w:pStyle w:val="Bulletparagraph"/>
      </w:pPr>
      <w:r w:rsidRPr="00DA1B6A">
        <w:lastRenderedPageBreak/>
        <w:t>the total number of SWL procedures increased by 2</w:t>
      </w:r>
      <w:r w:rsidR="008A2069">
        <w:t>6</w:t>
      </w:r>
      <w:r w:rsidRPr="00DA1B6A">
        <w:t>%</w:t>
      </w:r>
    </w:p>
    <w:p w14:paraId="4AA774C7" w14:textId="05B36BD4" w:rsidR="00E6117D" w:rsidRPr="00DA1B6A" w:rsidRDefault="001F6CD6" w:rsidP="00E6117D">
      <w:pPr>
        <w:pStyle w:val="Bulletparagraph"/>
      </w:pPr>
      <w:r w:rsidRPr="00DA1B6A">
        <w:t xml:space="preserve">URS increased by </w:t>
      </w:r>
      <w:r w:rsidR="008A2069">
        <w:t>86</w:t>
      </w:r>
      <w:r w:rsidR="00DD351F">
        <w:t>%</w:t>
      </w:r>
    </w:p>
    <w:p w14:paraId="4FA655E3" w14:textId="2C8AEE28" w:rsidR="00E6117D" w:rsidRDefault="001F6CD6" w:rsidP="00E6117D">
      <w:pPr>
        <w:pStyle w:val="Bulletparagraph"/>
      </w:pPr>
      <w:r w:rsidRPr="00DA1B6A">
        <w:t>there was a 1</w:t>
      </w:r>
      <w:r w:rsidR="008A2069">
        <w:t>49</w:t>
      </w:r>
      <w:r w:rsidRPr="00DA1B6A">
        <w:t>% rise in PCNL procedures</w:t>
      </w:r>
      <w:r w:rsidR="00DE6686">
        <w:t>.</w:t>
      </w:r>
    </w:p>
    <w:p w14:paraId="55E61130" w14:textId="7744F016" w:rsidR="00356D08" w:rsidRDefault="00356D08" w:rsidP="00356D08">
      <w:pPr>
        <w:pStyle w:val="Paragraph"/>
      </w:pPr>
      <w:r w:rsidRPr="00AD16DA">
        <w:t xml:space="preserve">The UK based </w:t>
      </w:r>
      <w:hyperlink r:id="rId10" w:history="1">
        <w:r w:rsidRPr="00DA1B6A">
          <w:rPr>
            <w:rStyle w:val="Hyperlink"/>
          </w:rPr>
          <w:t>Therapeutic Interventions for Stones of the Ureter (TISU) study</w:t>
        </w:r>
      </w:hyperlink>
      <w:r w:rsidR="00207047" w:rsidRPr="004105A0">
        <w:rPr>
          <w:rStyle w:val="FootnoteReference"/>
          <w:color w:val="0000FF"/>
        </w:rPr>
        <w:footnoteReference w:id="11"/>
      </w:r>
      <w:r w:rsidRPr="00AD16DA">
        <w:t xml:space="preserve"> </w:t>
      </w:r>
      <w:r>
        <w:t xml:space="preserve">is a </w:t>
      </w:r>
      <w:r w:rsidRPr="00AD16DA">
        <w:t xml:space="preserve">multicentre randomised controlled trial of extracorporeal shockwave lithotripsy, as first treatment option, compared with direct progression to </w:t>
      </w:r>
      <w:proofErr w:type="spellStart"/>
      <w:r w:rsidRPr="00AD16DA">
        <w:t>uteroscopic</w:t>
      </w:r>
      <w:proofErr w:type="spellEnd"/>
      <w:r w:rsidRPr="00AD16DA">
        <w:t xml:space="preserve"> treatment, for ureteric stones</w:t>
      </w:r>
      <w:r>
        <w:t>. Data provided from the study</w:t>
      </w:r>
      <w:r w:rsidR="0084267D">
        <w:t xml:space="preserve"> on 247 patients allocated to a SWL pathway and 261 patients allocated to a URS pathway</w:t>
      </w:r>
      <w:r w:rsidRPr="00AD16DA">
        <w:t xml:space="preserve"> has show</w:t>
      </w:r>
      <w:r>
        <w:t>n:</w:t>
      </w:r>
    </w:p>
    <w:p w14:paraId="762E4683" w14:textId="22AD3B3E" w:rsidR="00356D08" w:rsidRPr="0099043B" w:rsidRDefault="00356D08" w:rsidP="00356D08">
      <w:pPr>
        <w:pStyle w:val="Bulletparagraph"/>
      </w:pPr>
      <w:r w:rsidRPr="00AD16DA">
        <w:t xml:space="preserve">a median time to treatment for </w:t>
      </w:r>
      <w:r w:rsidR="0084267D">
        <w:t>SWL</w:t>
      </w:r>
      <w:r w:rsidRPr="00AD16DA">
        <w:t xml:space="preserve"> of 8 days (range 2-18 days</w:t>
      </w:r>
      <w:r>
        <w:t>), with</w:t>
      </w:r>
      <w:r w:rsidRPr="00AD16DA">
        <w:t xml:space="preserve"> 93% </w:t>
      </w:r>
      <w:r>
        <w:t xml:space="preserve">of cases </w:t>
      </w:r>
      <w:r w:rsidRPr="00AD16DA">
        <w:t xml:space="preserve">treated within 8 </w:t>
      </w:r>
      <w:r w:rsidRPr="0099043B">
        <w:t>weeks</w:t>
      </w:r>
    </w:p>
    <w:p w14:paraId="68DF344B" w14:textId="6AC6899F" w:rsidR="00356D08" w:rsidRDefault="00356D08" w:rsidP="00356D08">
      <w:pPr>
        <w:pStyle w:val="Bulletparagraph"/>
      </w:pPr>
      <w:r w:rsidRPr="0099043B">
        <w:t xml:space="preserve">median time to treatment for </w:t>
      </w:r>
      <w:r w:rsidR="0084267D">
        <w:t>URS</w:t>
      </w:r>
      <w:r w:rsidR="0084267D" w:rsidRPr="0099043B">
        <w:t xml:space="preserve"> </w:t>
      </w:r>
      <w:r w:rsidRPr="0099043B">
        <w:t>of 25 days (range 9-44 days), with 86% of cases treated within 8 weeks.</w:t>
      </w:r>
    </w:p>
    <w:p w14:paraId="5CCFEB35" w14:textId="185C3819" w:rsidR="004B4DEE" w:rsidRDefault="004B4DEE" w:rsidP="004B4DEE">
      <w:pPr>
        <w:pStyle w:val="Heading3"/>
      </w:pPr>
      <w:r w:rsidRPr="004B4DEE">
        <w:t>Drainage of the infected obstructed kidney</w:t>
      </w:r>
    </w:p>
    <w:p w14:paraId="24E0CA2F" w14:textId="44305761" w:rsidR="004B4DEE" w:rsidRPr="004B4DEE" w:rsidRDefault="004B4DEE" w:rsidP="0099043B">
      <w:pPr>
        <w:pStyle w:val="Paragraph"/>
      </w:pPr>
      <w:r>
        <w:t>No current practice information identified.</w:t>
      </w:r>
    </w:p>
    <w:p w14:paraId="7AC44A70" w14:textId="77777777" w:rsidR="00A01E1E" w:rsidRPr="004612EA" w:rsidRDefault="00A01E1E" w:rsidP="00A01E1E">
      <w:pPr>
        <w:pStyle w:val="Numberedheading3"/>
      </w:pPr>
      <w:r w:rsidRPr="004612EA">
        <w:t>Resource impact</w:t>
      </w:r>
    </w:p>
    <w:p w14:paraId="5768ADE3" w14:textId="153B9D50" w:rsidR="00A01E1E" w:rsidRDefault="001C0913" w:rsidP="00A01E1E">
      <w:pPr>
        <w:pStyle w:val="Paragraph"/>
      </w:pPr>
      <w:r>
        <w:t>It was anticipated in NG118 that there would be savings as a result of more people having SWL treatment instead of URS and an increase in medical expulsive therapy instead of surgery, for people with ureteric stones of less than 10mm.</w:t>
      </w:r>
    </w:p>
    <w:p w14:paraId="65E3B966" w14:textId="77777777" w:rsidR="00A01E1E" w:rsidRPr="00427135" w:rsidRDefault="00A01E1E" w:rsidP="00A01E1E">
      <w:pPr>
        <w:pStyle w:val="Paragraph"/>
      </w:pPr>
      <w:r w:rsidRPr="00427135">
        <w:br w:type="page"/>
      </w:r>
    </w:p>
    <w:p w14:paraId="547785E0" w14:textId="22C4E2EC" w:rsidR="00A01E1E" w:rsidRPr="00433117" w:rsidRDefault="00A01E1E" w:rsidP="00A01E1E">
      <w:pPr>
        <w:pStyle w:val="Numberedheading2"/>
      </w:pPr>
      <w:r w:rsidRPr="00A01E1E">
        <w:lastRenderedPageBreak/>
        <w:t>Metabolic testing and investigations</w:t>
      </w:r>
    </w:p>
    <w:p w14:paraId="0857C595" w14:textId="1A7E9895" w:rsidR="00A01E1E" w:rsidRDefault="00A01E1E" w:rsidP="00A01E1E">
      <w:pPr>
        <w:pStyle w:val="Numberedheading3"/>
      </w:pPr>
      <w:r>
        <w:t>Summary of suggestions</w:t>
      </w:r>
    </w:p>
    <w:p w14:paraId="05B04B72" w14:textId="73A7304C" w:rsidR="004827A8" w:rsidRPr="004827A8" w:rsidRDefault="004827A8" w:rsidP="004827A8">
      <w:pPr>
        <w:pStyle w:val="Paragraph"/>
      </w:pPr>
      <w:r>
        <w:t xml:space="preserve">Stakeholders highlighted the importance of metabolic testing of </w:t>
      </w:r>
      <w:r w:rsidR="00C772AA">
        <w:t xml:space="preserve">stones, in particular </w:t>
      </w:r>
      <w:r>
        <w:t>recurrent stones</w:t>
      </w:r>
      <w:r w:rsidR="00C772AA">
        <w:t>, to aid diagnosis and treatment and prevent recurrence. Interpretation and follow up of metabolic testing was considered important as stones can be a marker of cardiovascular disease. Metabolic investigations for children was also raised as a key area as underlying metabolic abnormality is more common in children</w:t>
      </w:r>
      <w:r w:rsidR="00144A29">
        <w:t>. Stakeholders stated that the results of these investigations should be available to specialists with experience in stone management when children are seen for further opinion.</w:t>
      </w:r>
    </w:p>
    <w:p w14:paraId="439841BA" w14:textId="77777777" w:rsidR="00A01E1E" w:rsidRPr="007B1C0E" w:rsidRDefault="00A01E1E" w:rsidP="00A01E1E">
      <w:pPr>
        <w:pStyle w:val="Numberedheading3"/>
      </w:pPr>
      <w:r>
        <w:t>S</w:t>
      </w:r>
      <w:r w:rsidRPr="00CD3D03">
        <w:t>elected recommendations from development source</w:t>
      </w:r>
    </w:p>
    <w:p w14:paraId="431E4EB1" w14:textId="5D9A7945" w:rsidR="00A01E1E" w:rsidRPr="00913701" w:rsidRDefault="00A01E1E" w:rsidP="00A01E1E">
      <w:pPr>
        <w:pStyle w:val="Paragraph"/>
      </w:pPr>
      <w:r>
        <w:t xml:space="preserve">Table </w:t>
      </w:r>
      <w:r w:rsidR="00DD351F">
        <w:t>7</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423E33">
        <w:t>5</w:t>
      </w:r>
      <w:r>
        <w:t xml:space="preserve"> to help inform the committee’s discussion.</w:t>
      </w:r>
    </w:p>
    <w:p w14:paraId="7CBDB922" w14:textId="0A2B241C" w:rsidR="00A01E1E" w:rsidRPr="00F45FBA" w:rsidRDefault="00A01E1E" w:rsidP="00A01E1E">
      <w:pPr>
        <w:pStyle w:val="Heading3"/>
      </w:pPr>
      <w:r>
        <w:t xml:space="preserve">Table </w:t>
      </w:r>
      <w:r w:rsidR="00DD351F">
        <w:t>7</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01E1E" w:rsidRPr="00FD3FF6" w14:paraId="4FCC3228" w14:textId="77777777" w:rsidTr="00E724FB">
        <w:trPr>
          <w:trHeight w:val="321"/>
        </w:trPr>
        <w:tc>
          <w:tcPr>
            <w:tcW w:w="4113" w:type="dxa"/>
            <w:shd w:val="clear" w:color="auto" w:fill="auto"/>
            <w:hideMark/>
          </w:tcPr>
          <w:p w14:paraId="15744F94" w14:textId="77777777" w:rsidR="00A01E1E" w:rsidRPr="009C32E3" w:rsidRDefault="00A01E1E" w:rsidP="00E724FB">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2A1DAEEB" w14:textId="77777777" w:rsidR="00A01E1E" w:rsidRPr="009C32E3" w:rsidRDefault="00A01E1E" w:rsidP="00E724FB">
            <w:pPr>
              <w:pStyle w:val="Tabletitle"/>
              <w:rPr>
                <w:highlight w:val="lightGray"/>
              </w:rPr>
            </w:pPr>
            <w:r w:rsidRPr="00F2333B">
              <w:t>Selected source guidance recommendations</w:t>
            </w:r>
          </w:p>
        </w:tc>
      </w:tr>
      <w:tr w:rsidR="00A01E1E" w:rsidRPr="005E5E3B" w14:paraId="178AC6AE" w14:textId="77777777" w:rsidTr="00233AEB">
        <w:trPr>
          <w:trHeight w:val="503"/>
        </w:trPr>
        <w:tc>
          <w:tcPr>
            <w:tcW w:w="4113" w:type="dxa"/>
            <w:shd w:val="clear" w:color="auto" w:fill="auto"/>
          </w:tcPr>
          <w:p w14:paraId="67ACF8A1" w14:textId="15C5C0A0" w:rsidR="00A01E1E" w:rsidRPr="00DD0BD8" w:rsidRDefault="004A63FD" w:rsidP="00E724FB">
            <w:pPr>
              <w:pStyle w:val="Tabletext"/>
              <w:rPr>
                <w:highlight w:val="lightGray"/>
              </w:rPr>
            </w:pPr>
            <w:r w:rsidRPr="004A63FD">
              <w:t>Metabolic testing and investigations</w:t>
            </w:r>
          </w:p>
        </w:tc>
        <w:tc>
          <w:tcPr>
            <w:tcW w:w="4395" w:type="dxa"/>
            <w:shd w:val="clear" w:color="auto" w:fill="auto"/>
          </w:tcPr>
          <w:p w14:paraId="71CB18FE" w14:textId="22E7E446" w:rsidR="00A01E1E" w:rsidRPr="00DD0BD8" w:rsidRDefault="00A01E1E" w:rsidP="00E724FB">
            <w:pPr>
              <w:pStyle w:val="Tabletext"/>
              <w:rPr>
                <w:highlight w:val="lightGray"/>
              </w:rPr>
            </w:pPr>
            <w:r w:rsidRPr="004A63FD">
              <w:t>NICE NG</w:t>
            </w:r>
            <w:r w:rsidR="004A63FD" w:rsidRPr="004A63FD">
              <w:t>118</w:t>
            </w:r>
            <w:r w:rsidRPr="004A63FD">
              <w:t xml:space="preserve"> Recommendation</w:t>
            </w:r>
            <w:r w:rsidR="004A63FD" w:rsidRPr="004A63FD">
              <w:t>s</w:t>
            </w:r>
            <w:r w:rsidRPr="004A63FD">
              <w:t xml:space="preserve"> 1.</w:t>
            </w:r>
            <w:r w:rsidR="004A63FD" w:rsidRPr="004A63FD">
              <w:t>7.2 and 1.7.3</w:t>
            </w:r>
          </w:p>
        </w:tc>
      </w:tr>
    </w:tbl>
    <w:p w14:paraId="0E07B791" w14:textId="606B69DB" w:rsidR="00A01E1E" w:rsidRPr="004A63FD" w:rsidRDefault="00A01E1E" w:rsidP="00A01E1E">
      <w:pPr>
        <w:pStyle w:val="Heading40"/>
      </w:pPr>
      <w:r w:rsidRPr="004A63FD">
        <w:t xml:space="preserve">NICE </w:t>
      </w:r>
      <w:r w:rsidR="004A63FD" w:rsidRPr="004A63FD">
        <w:t>NG118</w:t>
      </w:r>
    </w:p>
    <w:p w14:paraId="5919FB5C" w14:textId="51444DC8" w:rsidR="00A01E1E" w:rsidRPr="004A63FD" w:rsidRDefault="00A01E1E" w:rsidP="00A01E1E">
      <w:pPr>
        <w:pStyle w:val="Heading40"/>
      </w:pPr>
      <w:r w:rsidRPr="004A63FD">
        <w:t xml:space="preserve">Recommendation </w:t>
      </w:r>
      <w:r w:rsidR="004A63FD" w:rsidRPr="004A63FD">
        <w:t>1.7.2</w:t>
      </w:r>
      <w:r w:rsidRPr="004A63FD">
        <w:t xml:space="preserve"> </w:t>
      </w:r>
    </w:p>
    <w:p w14:paraId="54CCCF6A" w14:textId="36C1B4F4" w:rsidR="00A01E1E" w:rsidRPr="004A63FD" w:rsidRDefault="004A63FD" w:rsidP="00A01E1E">
      <w:pPr>
        <w:pStyle w:val="Paragraph"/>
      </w:pPr>
      <w:r w:rsidRPr="004A63FD">
        <w:t>Measure serum calcium for adults with ureteric or renal stones.</w:t>
      </w:r>
      <w:r w:rsidR="00A01E1E" w:rsidRPr="004A63FD">
        <w:t xml:space="preserve"> </w:t>
      </w:r>
    </w:p>
    <w:p w14:paraId="7B72F301" w14:textId="7BAAD49B" w:rsidR="004A63FD" w:rsidRPr="004A63FD" w:rsidRDefault="004A63FD" w:rsidP="004A63FD">
      <w:pPr>
        <w:pStyle w:val="Heading40"/>
      </w:pPr>
      <w:r w:rsidRPr="004A63FD">
        <w:t xml:space="preserve">Recommendation 1.7.3 </w:t>
      </w:r>
    </w:p>
    <w:p w14:paraId="18745784" w14:textId="56CB5954" w:rsidR="004A63FD" w:rsidRPr="004A63FD" w:rsidRDefault="004A63FD" w:rsidP="004A63FD">
      <w:pPr>
        <w:pStyle w:val="Paragraph"/>
        <w:rPr>
          <w:highlight w:val="lightGray"/>
        </w:rPr>
      </w:pPr>
      <w:r w:rsidRPr="004A63FD">
        <w:t>Consider referring children and young people with ureteric or renal stones to a paediatric nephrologist or paediatric urologist with expertise in this area for assessment and metabolic investigations.</w:t>
      </w:r>
    </w:p>
    <w:p w14:paraId="503DEAED" w14:textId="77777777" w:rsidR="00A01E1E" w:rsidRDefault="00A01E1E" w:rsidP="00A01E1E">
      <w:pPr>
        <w:pStyle w:val="Numberedheading3"/>
      </w:pPr>
      <w:r>
        <w:t>Current UK practice</w:t>
      </w:r>
    </w:p>
    <w:p w14:paraId="7A24F486" w14:textId="1F53011D" w:rsidR="00A01E1E" w:rsidRDefault="002A6987" w:rsidP="00A01E1E">
      <w:pPr>
        <w:pStyle w:val="Paragraph"/>
      </w:pPr>
      <w:r>
        <w:t>No current practice information identified.</w:t>
      </w:r>
    </w:p>
    <w:p w14:paraId="76C5A267" w14:textId="77777777" w:rsidR="00A01E1E" w:rsidRPr="004612EA" w:rsidRDefault="00A01E1E" w:rsidP="00A01E1E">
      <w:pPr>
        <w:pStyle w:val="Numberedheading3"/>
      </w:pPr>
      <w:r w:rsidRPr="004612EA">
        <w:t>Resource impact</w:t>
      </w:r>
    </w:p>
    <w:p w14:paraId="16F42EA6" w14:textId="7B0BAB56" w:rsidR="00A01E1E" w:rsidRDefault="001C0913" w:rsidP="00A01E1E">
      <w:pPr>
        <w:pStyle w:val="Paragraph"/>
      </w:pPr>
      <w:r w:rsidRPr="00D35189">
        <w:rPr>
          <w:rFonts w:cs="Arial"/>
        </w:rPr>
        <w:t>No resource impact was anticipated in NG118 for these recommendations.</w:t>
      </w:r>
    </w:p>
    <w:p w14:paraId="43E0D5DF" w14:textId="28BD8737" w:rsidR="00A01E1E" w:rsidRPr="00433117" w:rsidRDefault="00A01E1E" w:rsidP="00A01E1E">
      <w:pPr>
        <w:pStyle w:val="Numberedheading2"/>
      </w:pPr>
      <w:r w:rsidRPr="00A01E1E">
        <w:lastRenderedPageBreak/>
        <w:t>Preventing recurrence - Dietary and lifestyle advice</w:t>
      </w:r>
    </w:p>
    <w:p w14:paraId="2379A242" w14:textId="2818753F" w:rsidR="00A01E1E" w:rsidRDefault="00A01E1E" w:rsidP="00A01E1E">
      <w:pPr>
        <w:pStyle w:val="Numberedheading3"/>
      </w:pPr>
      <w:r>
        <w:t>Summary of suggestions</w:t>
      </w:r>
    </w:p>
    <w:p w14:paraId="4D56BC5D" w14:textId="1230DAD0" w:rsidR="002A27FB" w:rsidRPr="002A27FB" w:rsidRDefault="002A27FB" w:rsidP="002A27FB">
      <w:pPr>
        <w:pStyle w:val="Paragraph"/>
      </w:pPr>
      <w:r>
        <w:t>Stakeholders raised the variability in information about diet and lifestyle given and how telling people about high fluid intake and maintaining a healthy weight could prevent stones.</w:t>
      </w:r>
    </w:p>
    <w:p w14:paraId="627709F6" w14:textId="77777777" w:rsidR="00A01E1E" w:rsidRPr="007B1C0E" w:rsidRDefault="00A01E1E" w:rsidP="00A01E1E">
      <w:pPr>
        <w:pStyle w:val="Numberedheading3"/>
      </w:pPr>
      <w:r>
        <w:t>S</w:t>
      </w:r>
      <w:r w:rsidRPr="00CD3D03">
        <w:t>elected recommendations from development source</w:t>
      </w:r>
    </w:p>
    <w:p w14:paraId="0BC60C52" w14:textId="34150A0F" w:rsidR="00A01E1E" w:rsidRPr="00913701" w:rsidRDefault="00A01E1E" w:rsidP="00A01E1E">
      <w:pPr>
        <w:pStyle w:val="Paragraph"/>
      </w:pPr>
      <w:r>
        <w:t xml:space="preserve">Table </w:t>
      </w:r>
      <w:r w:rsidR="00DD351F">
        <w:t>8</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These are presented in full after table </w:t>
      </w:r>
      <w:r w:rsidR="00423E33">
        <w:t>6</w:t>
      </w:r>
      <w:r>
        <w:t xml:space="preserve"> to help inform the committee’s discussion.</w:t>
      </w:r>
    </w:p>
    <w:p w14:paraId="47D3531F" w14:textId="262FAAA8" w:rsidR="00A01E1E" w:rsidRPr="00F45FBA" w:rsidRDefault="00A01E1E" w:rsidP="00A01E1E">
      <w:pPr>
        <w:pStyle w:val="Heading3"/>
      </w:pPr>
      <w:r>
        <w:t xml:space="preserve">Table </w:t>
      </w:r>
      <w:r w:rsidR="00DD351F">
        <w:t>8</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A01E1E" w:rsidRPr="00FD3FF6" w14:paraId="0FA5694E" w14:textId="77777777" w:rsidTr="00E724FB">
        <w:trPr>
          <w:trHeight w:val="321"/>
        </w:trPr>
        <w:tc>
          <w:tcPr>
            <w:tcW w:w="4113" w:type="dxa"/>
            <w:shd w:val="clear" w:color="auto" w:fill="auto"/>
            <w:hideMark/>
          </w:tcPr>
          <w:p w14:paraId="1128A1FC" w14:textId="77777777" w:rsidR="00A01E1E" w:rsidRPr="009C32E3" w:rsidRDefault="00A01E1E" w:rsidP="00E724FB">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5EDAEC3B" w14:textId="77777777" w:rsidR="00A01E1E" w:rsidRPr="009C32E3" w:rsidRDefault="00A01E1E" w:rsidP="00E724FB">
            <w:pPr>
              <w:pStyle w:val="Tabletitle"/>
              <w:rPr>
                <w:highlight w:val="lightGray"/>
              </w:rPr>
            </w:pPr>
            <w:r w:rsidRPr="00F2333B">
              <w:t>Selected source guidance recommendations</w:t>
            </w:r>
          </w:p>
        </w:tc>
      </w:tr>
      <w:tr w:rsidR="00A01E1E" w:rsidRPr="005E5E3B" w14:paraId="0BAC7339" w14:textId="77777777" w:rsidTr="00233AEB">
        <w:trPr>
          <w:trHeight w:val="537"/>
        </w:trPr>
        <w:tc>
          <w:tcPr>
            <w:tcW w:w="4113" w:type="dxa"/>
            <w:shd w:val="clear" w:color="auto" w:fill="auto"/>
          </w:tcPr>
          <w:p w14:paraId="57C58EF4" w14:textId="08B4DE7F" w:rsidR="00A01E1E" w:rsidRPr="00DD0BD8" w:rsidRDefault="00D93775" w:rsidP="00E724FB">
            <w:pPr>
              <w:pStyle w:val="Tabletext"/>
              <w:rPr>
                <w:highlight w:val="lightGray"/>
              </w:rPr>
            </w:pPr>
            <w:r w:rsidRPr="00A01E1E">
              <w:t>Preventing recurrence - Dietary and lifestyle advice</w:t>
            </w:r>
          </w:p>
        </w:tc>
        <w:tc>
          <w:tcPr>
            <w:tcW w:w="4395" w:type="dxa"/>
            <w:shd w:val="clear" w:color="auto" w:fill="auto"/>
          </w:tcPr>
          <w:p w14:paraId="510A1AA1" w14:textId="7866A0E5" w:rsidR="00A01E1E" w:rsidRPr="00DD0BD8" w:rsidRDefault="00A01E1E" w:rsidP="00E724FB">
            <w:pPr>
              <w:pStyle w:val="Tabletext"/>
              <w:rPr>
                <w:highlight w:val="lightGray"/>
              </w:rPr>
            </w:pPr>
            <w:r w:rsidRPr="00D93775">
              <w:t>NICE NG</w:t>
            </w:r>
            <w:r w:rsidR="00D93775" w:rsidRPr="00D93775">
              <w:t>118</w:t>
            </w:r>
            <w:r w:rsidRPr="00D93775">
              <w:t xml:space="preserve"> Recommendations 1.</w:t>
            </w:r>
            <w:r w:rsidR="00D93775" w:rsidRPr="00D93775">
              <w:t>8.1 and 1.8.2</w:t>
            </w:r>
          </w:p>
        </w:tc>
      </w:tr>
    </w:tbl>
    <w:p w14:paraId="33A8640E" w14:textId="25EE0CDF" w:rsidR="00A01E1E" w:rsidRPr="00D93775" w:rsidRDefault="00A01E1E" w:rsidP="00A01E1E">
      <w:pPr>
        <w:pStyle w:val="Heading40"/>
      </w:pPr>
      <w:r w:rsidRPr="00D93775">
        <w:t xml:space="preserve">NICE </w:t>
      </w:r>
      <w:r w:rsidR="00D93775" w:rsidRPr="00D93775">
        <w:t>NG118</w:t>
      </w:r>
    </w:p>
    <w:p w14:paraId="5E133AEF" w14:textId="6E500959" w:rsidR="00A01E1E" w:rsidRPr="00D93775" w:rsidRDefault="00A01E1E" w:rsidP="00A01E1E">
      <w:pPr>
        <w:pStyle w:val="Heading40"/>
      </w:pPr>
      <w:r w:rsidRPr="00D93775">
        <w:t xml:space="preserve">Recommendation </w:t>
      </w:r>
      <w:r w:rsidR="00D93775" w:rsidRPr="00D93775">
        <w:t>1.8.1</w:t>
      </w:r>
    </w:p>
    <w:p w14:paraId="7413EEAF" w14:textId="77777777" w:rsidR="00D93775" w:rsidRDefault="00D93775" w:rsidP="00D93775">
      <w:pPr>
        <w:pStyle w:val="Paragraph"/>
        <w:rPr>
          <w:lang w:eastAsia="en-GB"/>
        </w:rPr>
      </w:pPr>
      <w:r>
        <w:t>Discuss diet and fluid intake with the person (and their family or carers, as appropriate), and advise:</w:t>
      </w:r>
    </w:p>
    <w:p w14:paraId="3BB8B579" w14:textId="77777777" w:rsidR="00D93775" w:rsidRDefault="00D93775" w:rsidP="00D93775">
      <w:pPr>
        <w:pStyle w:val="Bulletparagraph"/>
      </w:pPr>
      <w:r>
        <w:t>adults to drink 2.5 to 3 litres of water per day, and children and young people (depending on their age) 1 to 2 litres</w:t>
      </w:r>
    </w:p>
    <w:p w14:paraId="3816AD36" w14:textId="77777777" w:rsidR="00D93775" w:rsidRDefault="00D93775" w:rsidP="00D93775">
      <w:pPr>
        <w:pStyle w:val="Bulletparagraph"/>
      </w:pPr>
      <w:r>
        <w:t>adding fresh lemon juice to drinking water</w:t>
      </w:r>
    </w:p>
    <w:p w14:paraId="58FFCAAE" w14:textId="77777777" w:rsidR="00D93775" w:rsidRDefault="00D93775" w:rsidP="00D93775">
      <w:pPr>
        <w:pStyle w:val="Bulletparagraph"/>
      </w:pPr>
      <w:r>
        <w:t>avoiding carbonated drinks</w:t>
      </w:r>
    </w:p>
    <w:p w14:paraId="680F5BC9" w14:textId="77777777" w:rsidR="00D93775" w:rsidRDefault="00D93775" w:rsidP="00D93775">
      <w:pPr>
        <w:pStyle w:val="Bulletparagraph"/>
      </w:pPr>
      <w:r>
        <w:t>adults to have a daily salt intake of no more than 6 g, and children and young people (depending on their age) 2 to 6 g</w:t>
      </w:r>
    </w:p>
    <w:p w14:paraId="30412169" w14:textId="6F14EAC5" w:rsidR="00D93775" w:rsidRDefault="00D93775" w:rsidP="00D93775">
      <w:pPr>
        <w:pStyle w:val="Bulletparagraphlast"/>
      </w:pPr>
      <w:r>
        <w:t>not restricting daily calcium intake, but maintaining a normal calcium intake of 700 to 1,200 mg for adults, and 350 to 1,000 mg per day for children and young people (depending on their age).</w:t>
      </w:r>
    </w:p>
    <w:p w14:paraId="06940D62" w14:textId="095FE0CB" w:rsidR="00D93775" w:rsidRDefault="00D93775" w:rsidP="00D93775">
      <w:pPr>
        <w:pStyle w:val="Bulletparagraph"/>
        <w:numPr>
          <w:ilvl w:val="0"/>
          <w:numId w:val="0"/>
        </w:numPr>
        <w:ind w:left="360" w:hanging="360"/>
        <w:rPr>
          <w:u w:val="single"/>
          <w:lang w:eastAsia="en-US"/>
        </w:rPr>
      </w:pPr>
      <w:r w:rsidRPr="00D93775">
        <w:rPr>
          <w:u w:val="single"/>
          <w:lang w:eastAsia="en-US"/>
        </w:rPr>
        <w:t>Recommendation 1.8.2</w:t>
      </w:r>
    </w:p>
    <w:p w14:paraId="3E3F915B" w14:textId="421BDC5C" w:rsidR="00D93775" w:rsidRPr="00D93775" w:rsidRDefault="00D93775" w:rsidP="00D93775">
      <w:pPr>
        <w:pStyle w:val="Paragraph"/>
      </w:pPr>
      <w:r w:rsidRPr="00D93775">
        <w:t xml:space="preserve">Follow the recommendations on maintaining a healthy lifestyle in the NICE guideline on </w:t>
      </w:r>
      <w:hyperlink r:id="rId11" w:history="1">
        <w:r w:rsidRPr="00D93775">
          <w:rPr>
            <w:rStyle w:val="Hyperlink"/>
          </w:rPr>
          <w:t>preventing excess weight gain</w:t>
        </w:r>
      </w:hyperlink>
      <w:r w:rsidRPr="00D93775">
        <w:t>.</w:t>
      </w:r>
    </w:p>
    <w:p w14:paraId="107F8167" w14:textId="77777777" w:rsidR="00D93775" w:rsidRDefault="00D93775" w:rsidP="00D93775">
      <w:pPr>
        <w:pStyle w:val="Bulletparagraphlast"/>
      </w:pPr>
    </w:p>
    <w:p w14:paraId="0E250774" w14:textId="77777777" w:rsidR="00A01E1E" w:rsidRDefault="00A01E1E" w:rsidP="00A01E1E">
      <w:pPr>
        <w:pStyle w:val="Numberedheading3"/>
      </w:pPr>
      <w:r>
        <w:lastRenderedPageBreak/>
        <w:t>Current UK practice</w:t>
      </w:r>
    </w:p>
    <w:p w14:paraId="0D6C3079" w14:textId="5F43C8B2" w:rsidR="002A6987" w:rsidRDefault="002A6987" w:rsidP="002A6987">
      <w:pPr>
        <w:pStyle w:val="Paragraph"/>
      </w:pPr>
      <w:r>
        <w:t>No current practice information identified.</w:t>
      </w:r>
    </w:p>
    <w:p w14:paraId="4D7E6CAD" w14:textId="77777777" w:rsidR="00A01E1E" w:rsidRPr="004612EA" w:rsidRDefault="00A01E1E" w:rsidP="00A01E1E">
      <w:pPr>
        <w:pStyle w:val="Numberedheading3"/>
      </w:pPr>
      <w:r w:rsidRPr="004612EA">
        <w:t>Resource impact</w:t>
      </w:r>
    </w:p>
    <w:p w14:paraId="07CF4BCA" w14:textId="26313E17" w:rsidR="00B77627" w:rsidRDefault="001C0913" w:rsidP="00A813F7">
      <w:pPr>
        <w:pStyle w:val="Paragraph"/>
      </w:pPr>
      <w:r w:rsidRPr="00D35189">
        <w:rPr>
          <w:rFonts w:cs="Arial"/>
        </w:rPr>
        <w:t>No resource impact was anticipated in NG118 for these recommendations.</w:t>
      </w:r>
    </w:p>
    <w:p w14:paraId="7942610B" w14:textId="77777777" w:rsidR="00B77627" w:rsidRDefault="00B77627" w:rsidP="00A813F7">
      <w:pPr>
        <w:pStyle w:val="Paragraph"/>
      </w:pPr>
    </w:p>
    <w:p w14:paraId="2F98465D" w14:textId="77777777" w:rsidR="00B77627" w:rsidRDefault="00B77627" w:rsidP="00A813F7">
      <w:pPr>
        <w:pStyle w:val="Paragraph"/>
      </w:pPr>
    </w:p>
    <w:p w14:paraId="72013D27" w14:textId="77777777" w:rsidR="00B77627" w:rsidRDefault="00B77627" w:rsidP="00A813F7">
      <w:pPr>
        <w:pStyle w:val="Paragraph"/>
      </w:pPr>
    </w:p>
    <w:p w14:paraId="28879EFE" w14:textId="77777777" w:rsidR="00B77627" w:rsidRDefault="00B77627" w:rsidP="00A813F7">
      <w:pPr>
        <w:pStyle w:val="Paragraph"/>
      </w:pPr>
    </w:p>
    <w:p w14:paraId="5A79933D" w14:textId="77777777" w:rsidR="00B77627" w:rsidRDefault="00B77627" w:rsidP="00A813F7">
      <w:pPr>
        <w:pStyle w:val="Paragraph"/>
      </w:pPr>
    </w:p>
    <w:p w14:paraId="2FD02A9E" w14:textId="77777777" w:rsidR="00B77627" w:rsidRDefault="00B77627" w:rsidP="00A813F7">
      <w:pPr>
        <w:pStyle w:val="Paragraph"/>
      </w:pPr>
    </w:p>
    <w:p w14:paraId="72E37A50" w14:textId="77777777" w:rsidR="00B77627" w:rsidRDefault="00B77627" w:rsidP="00A813F7">
      <w:pPr>
        <w:pStyle w:val="Paragraph"/>
      </w:pPr>
    </w:p>
    <w:p w14:paraId="51DC12AD" w14:textId="77777777" w:rsidR="00B77627" w:rsidRDefault="00B77627" w:rsidP="00A813F7">
      <w:pPr>
        <w:pStyle w:val="Paragraph"/>
      </w:pPr>
    </w:p>
    <w:p w14:paraId="694783FE" w14:textId="77777777" w:rsidR="00B77627" w:rsidRDefault="00B77627" w:rsidP="00A813F7">
      <w:pPr>
        <w:pStyle w:val="Paragraph"/>
      </w:pPr>
    </w:p>
    <w:p w14:paraId="3F652479" w14:textId="77777777" w:rsidR="00B77627" w:rsidRDefault="00B77627" w:rsidP="00A813F7">
      <w:pPr>
        <w:pStyle w:val="Paragraph"/>
      </w:pPr>
    </w:p>
    <w:p w14:paraId="5ED3BDF3" w14:textId="77777777" w:rsidR="00B77627" w:rsidRDefault="00B77627" w:rsidP="00A813F7">
      <w:pPr>
        <w:pStyle w:val="Paragraph"/>
      </w:pPr>
    </w:p>
    <w:p w14:paraId="17EE1185" w14:textId="77777777" w:rsidR="00B77627" w:rsidRDefault="00B77627" w:rsidP="00A813F7">
      <w:pPr>
        <w:pStyle w:val="Paragraph"/>
      </w:pPr>
    </w:p>
    <w:p w14:paraId="096F92E7" w14:textId="77777777" w:rsidR="00B77627" w:rsidRDefault="00B77627" w:rsidP="00A813F7">
      <w:pPr>
        <w:pStyle w:val="Paragraph"/>
      </w:pPr>
    </w:p>
    <w:p w14:paraId="39EC1E60" w14:textId="77777777" w:rsidR="00B77627" w:rsidRDefault="00B77627" w:rsidP="00A813F7">
      <w:pPr>
        <w:pStyle w:val="Paragraph"/>
      </w:pPr>
    </w:p>
    <w:p w14:paraId="2F058691" w14:textId="77777777" w:rsidR="00B77627" w:rsidRDefault="00B77627" w:rsidP="00A813F7">
      <w:pPr>
        <w:pStyle w:val="Paragraph"/>
      </w:pPr>
    </w:p>
    <w:p w14:paraId="0E5A7CC1" w14:textId="77777777" w:rsidR="00B77627" w:rsidRDefault="00B77627" w:rsidP="00A813F7">
      <w:pPr>
        <w:pStyle w:val="Paragraph"/>
      </w:pPr>
    </w:p>
    <w:p w14:paraId="3E4E1EB4" w14:textId="77777777" w:rsidR="00B77627" w:rsidRDefault="00B77627" w:rsidP="00A813F7">
      <w:pPr>
        <w:pStyle w:val="Paragraph"/>
      </w:pPr>
    </w:p>
    <w:p w14:paraId="58FC5964" w14:textId="77777777" w:rsidR="00B77627" w:rsidRDefault="00B77627" w:rsidP="00A813F7">
      <w:pPr>
        <w:pStyle w:val="Paragraph"/>
      </w:pPr>
    </w:p>
    <w:p w14:paraId="2C8DD6F8" w14:textId="77777777" w:rsidR="00B77627" w:rsidRDefault="00B77627" w:rsidP="00A813F7">
      <w:pPr>
        <w:pStyle w:val="Paragraph"/>
      </w:pPr>
    </w:p>
    <w:p w14:paraId="101873BB" w14:textId="452B9F5E" w:rsidR="00F20713" w:rsidRPr="00B77627" w:rsidRDefault="008D5584" w:rsidP="00B77627">
      <w:pPr>
        <w:pStyle w:val="Paragraph"/>
      </w:pPr>
      <w:r w:rsidRPr="00A813F7">
        <w:t xml:space="preserve">© NICE </w:t>
      </w:r>
      <w:r w:rsidR="00392370">
        <w:t>2019</w:t>
      </w:r>
      <w:r w:rsidRPr="00A813F7">
        <w:t xml:space="preserve">. All rights reserved. </w:t>
      </w:r>
      <w:r w:rsidR="008A5E6E" w:rsidRPr="00A813F7">
        <w:t xml:space="preserve">Subject to </w:t>
      </w:r>
      <w:hyperlink r:id="rId12" w:anchor="notice-of-rights" w:history="1">
        <w:r w:rsidR="008A5E6E">
          <w:rPr>
            <w:rStyle w:val="Hyperlink"/>
            <w:rFonts w:cs="Arial"/>
          </w:rPr>
          <w:t>Notice of rights</w:t>
        </w:r>
      </w:hyperlink>
      <w:r w:rsidRPr="00A813F7">
        <w:t>.</w:t>
      </w:r>
    </w:p>
    <w:p w14:paraId="151C8CDA" w14:textId="4D280B89" w:rsidR="00FA61CA" w:rsidRDefault="0001392D" w:rsidP="0001392D">
      <w:pPr>
        <w:pStyle w:val="Heading1"/>
      </w:pPr>
      <w:bookmarkStart w:id="42" w:name="_Toc23515586"/>
      <w:r w:rsidRPr="00FC11EC">
        <w:lastRenderedPageBreak/>
        <w:t>Appendix</w:t>
      </w:r>
      <w:r>
        <w:t xml:space="preserve"> </w:t>
      </w:r>
      <w:r w:rsidR="00423E33">
        <w:t>1</w:t>
      </w:r>
      <w:r>
        <w:t xml:space="preserve">: </w:t>
      </w:r>
      <w:r w:rsidR="00FA61CA">
        <w:t>Review flowchart</w:t>
      </w:r>
      <w:bookmarkEnd w:id="42"/>
    </w:p>
    <w:p w14:paraId="3D2BCCFA" w14:textId="33E23AFC" w:rsidR="00277952" w:rsidRPr="00065914" w:rsidRDefault="00027BC9" w:rsidP="00DD0BD8">
      <w:pPr>
        <w:pStyle w:val="Paragraph"/>
      </w:pPr>
      <w:r>
        <w:rPr>
          <w:noProof/>
          <w:lang w:eastAsia="en-GB"/>
        </w:rPr>
        <mc:AlternateContent>
          <mc:Choice Requires="wps">
            <w:drawing>
              <wp:anchor distT="0" distB="0" distL="114300" distR="114300" simplePos="0" relativeHeight="251662336" behindDoc="0" locked="0" layoutInCell="1" allowOverlap="1" wp14:anchorId="4E1E6DAD" wp14:editId="53681423">
                <wp:simplePos x="0" y="0"/>
                <wp:positionH relativeFrom="column">
                  <wp:posOffset>4165600</wp:posOffset>
                </wp:positionH>
                <wp:positionV relativeFrom="paragraph">
                  <wp:posOffset>413384</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6F82E5AE" w14:textId="593E2708" w:rsidR="002C3915" w:rsidRDefault="002C3915"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w:t>
                            </w:r>
                            <w:r w:rsidR="00A94394">
                              <w:rPr>
                                <w:rFonts w:ascii="Calibri" w:hAnsi="Calibri"/>
                                <w:sz w:val="22"/>
                                <w:szCs w:val="22"/>
                              </w:rPr>
                              <w:t>10</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6DAD" id="Rectangle 20" o:spid="_x0000_s1026" style="position:absolute;margin-left:328pt;margin-top:32.5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NFJq6LfAAAACgEAAA8AAABkcnMvZG93bnJldi54bWxM&#10;j01PwzAMhu9I/IfISNxYWqa1XWk68SFOiMMKgmuWmqaicaom27p/j3caN1t+9Pp5q83sBnHAKfSe&#10;FKSLBASS8W1PnYLPj9e7AkSImlo9eEIFJwywqa+vKl22/khbPDSxExxCodQKbIxjKWUwFp0OCz8i&#10;8e3HT05HXqdOtpM+crgb5H2SZNLpnviD1SM+WzS/zd4pyLv40pinlfl6t6fibT0vw7b5Vur2Zn58&#10;ABFxjhcYzvqsDjU77fye2iAGBdkq4y7xPKQgGFgXSQ5ix2S+TEHWlfxfof4DAAD//wMAUEsBAi0A&#10;FAAGAAgAAAAhALaDOJL+AAAA4QEAABMAAAAAAAAAAAAAAAAAAAAAAFtDb250ZW50X1R5cGVzXS54&#10;bWxQSwECLQAUAAYACAAAACEAOP0h/9YAAACUAQAACwAAAAAAAAAAAAAAAAAvAQAAX3JlbHMvLnJl&#10;bHNQSwECLQAUAAYACAAAACEAFsVOayUCAABJBAAADgAAAAAAAAAAAAAAAAAuAgAAZHJzL2Uyb0Rv&#10;Yy54bWxQSwECLQAUAAYACAAAACEA0Umrot8AAAAKAQAADwAAAAAAAAAAAAAAAAB/BAAAZHJzL2Rv&#10;d25yZXYueG1sUEsFBgAAAAAEAAQA8wAAAIsFAAAAAA==&#10;">
                <v:textbox inset=",7.2pt,,7.2pt">
                  <w:txbxContent>
                    <w:p w14:paraId="6F82E5AE" w14:textId="593E2708" w:rsidR="002C3915" w:rsidRDefault="002C3915"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w:t>
                      </w:r>
                      <w:r w:rsidR="00A94394">
                        <w:rPr>
                          <w:rFonts w:ascii="Calibri" w:hAnsi="Calibri"/>
                          <w:sz w:val="22"/>
                          <w:szCs w:val="22"/>
                        </w:rPr>
                        <w:t>10</w:t>
                      </w:r>
                      <w:r>
                        <w:rPr>
                          <w:rFonts w:ascii="Calibri" w:hAnsi="Calibri"/>
                          <w:sz w:val="22"/>
                          <w:szCs w:val="22"/>
                        </w:rPr>
                        <w:t>]</w:t>
                      </w:r>
                    </w:p>
                  </w:txbxContent>
                </v:textbox>
              </v:rect>
            </w:pict>
          </mc:Fallback>
        </mc:AlternateContent>
      </w:r>
    </w:p>
    <w:p w14:paraId="54637892" w14:textId="50039119" w:rsidR="00277952" w:rsidRPr="00065914" w:rsidRDefault="00516718" w:rsidP="00A813F7">
      <w:pPr>
        <w:pStyle w:val="Paragraph"/>
      </w:pPr>
      <w:r>
        <w:rPr>
          <w:noProof/>
          <w:lang w:eastAsia="en-GB"/>
        </w:rPr>
        <mc:AlternateContent>
          <mc:Choice Requires="wps">
            <w:drawing>
              <wp:anchor distT="0" distB="0" distL="114300" distR="114300" simplePos="0" relativeHeight="251661312" behindDoc="0" locked="0" layoutInCell="1" allowOverlap="1" wp14:anchorId="5C592DF1" wp14:editId="64444B5F">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192A145" w14:textId="23FD2038" w:rsidR="002C3915" w:rsidRDefault="002C3915"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2DF1"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5192A145" w14:textId="23FD2038" w:rsidR="002C3915" w:rsidRDefault="002C3915"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1]</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2B0C550D" wp14:editId="1327AFE3">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1D8B682" w14:textId="2A51ECFB" w:rsidR="002C3915" w:rsidRDefault="002C3915"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207]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C550D"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1D8B682" w14:textId="2A51ECFB" w:rsidR="002C3915" w:rsidRDefault="002C3915"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207]</w:t>
                      </w:r>
                    </w:p>
                  </w:txbxContent>
                </v:textbox>
              </v:rect>
            </w:pict>
          </mc:Fallback>
        </mc:AlternateContent>
      </w:r>
    </w:p>
    <w:p w14:paraId="07156C82" w14:textId="55C7D080"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74935AF9" wp14:editId="5415F58C">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6BDB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EbLl3gAAAACgEAAA8AAABkcnMvZG93bnJldi54bWxMj01PwzAMhu9I&#10;/IfISFzQltCuUylNJ4TECXFgH4fd0tY0FY1TNdlW/j3mxI62H71+3nIzu0GccQq9Jw2PSwUCqfFt&#10;T52G/e5tkYMI0VBrBk+o4QcDbKrbm9IUrb/QJ563sRMcQqEwGmyMYyFlaCw6E5Z+ROLbl5+ciTxO&#10;nWwnc+FwN8hEqbV0pif+YM2Irxab7+3JaUiffJbsZG7rhw9Zv+/xcFzNB63v7+aXZxAR5/gPw58+&#10;q0PFTrU/URvEoGGVJtwlashUCoKBXK15UTOpkgxkVcrrCtUvAAAA//8DAFBLAQItABQABgAIAAAA&#10;IQC2gziS/gAAAOEBAAATAAAAAAAAAAAAAAAAAAAAAABbQ29udGVudF9UeXBlc10ueG1sUEsBAi0A&#10;FAAGAAgAAAAhADj9If/WAAAAlAEAAAsAAAAAAAAAAAAAAAAALwEAAF9yZWxzLy5yZWxzUEsBAi0A&#10;FAAGAAgAAAAhAJY5GORVAgAAlQQAAA4AAAAAAAAAAAAAAAAALgIAAGRycy9lMm9Eb2MueG1sUEsB&#10;Ai0AFAAGAAgAAAAhAPEbLl3gAAAACgEAAA8AAAAAAAAAAAAAAAAArwQAAGRycy9kb3ducmV2Lnht&#10;bFBLBQYAAAAABAAEAPMAAAC8BQ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6979D5B2" wp14:editId="020805B4">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6DD9F"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K0w&#10;iS/fAAAACQEAAA8AAABkcnMvZG93bnJldi54bWxMj8FOwzAQRO9I/QdrkbggahNSWqVxKoQEggui&#10;AYmrEy9J1HgdxU4b+HqWExx3ZjT7Jt/NrhdHHEPnScP1UoFAqr3tqNHw/vZwtQERoiFrek+o4QsD&#10;7IrFWW4y60+0x2MZG8ElFDKjoY1xyKQMdYvOhKUfkNj79KMzkc+xkXY0Jy53vUyUupXOdMQfWjPg&#10;fYv1oZychqfLl1c5lJX92FffwXbTc/24Xml9cT7fbUFEnONfGH7xGR0KZqr8RDaIXsM65SlRw0ol&#10;INhPbxIWKg6qJAVZ5PL/guIHAAD//wMAUEsBAi0AFAAGAAgAAAAhALaDOJL+AAAA4QEAABMAAAAA&#10;AAAAAAAAAAAAAAAAAFtDb250ZW50X1R5cGVzXS54bWxQSwECLQAUAAYACAAAACEAOP0h/9YAAACU&#10;AQAACwAAAAAAAAAAAAAAAAAvAQAAX3JlbHMvLnJlbHNQSwECLQAUAAYACAAAACEAbIE6/0MCAAB9&#10;BAAADgAAAAAAAAAAAAAAAAAuAgAAZHJzL2Uyb0RvYy54bWxQSwECLQAUAAYACAAAACEArTCJL98A&#10;AAAJAQAADwAAAAAAAAAAAAAAAACdBAAAZHJzL2Rvd25yZXYueG1sUEsFBgAAAAAEAAQA8wAAAKkF&#10;A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08CF7D6C" wp14:editId="1B0B401A">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756DB"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C4KijN4AAAAAoB&#10;AAAPAAAAZHJzL2Rvd25yZXYueG1sTI9BT8MwDIXvSPyHyEjcWDrGOlaaTsCE6AWkbQhxzFrTRDRO&#10;1WRbx6+fEQe42X6fnt/LF4NrxR77YD0pGI8SEEiVry01Ct42T1e3IELUVOvWEyo4YoBFcX6W66z2&#10;B1rhfh0bwSYUMq3AxNhlUobKoNNh5Dsk1j5973TktW9k3esDm7tWXidJKp22xB+M7vDRYPW13jkF&#10;cflxNOl79TC3r5vnl9R+l2W5VOryYri/AxFxiH8w/MTn6FBwpq3fUR1Eq+BmMp4zysOMOzHwe9gy&#10;OZlOQRa5/F+hOAEAAP//AwBQSwECLQAUAAYACAAAACEAtoM4kv4AAADhAQAAEwAAAAAAAAAAAAAA&#10;AAAAAAAAW0NvbnRlbnRfVHlwZXNdLnhtbFBLAQItABQABgAIAAAAIQA4/SH/1gAAAJQBAAALAAAA&#10;AAAAAAAAAAAAAC8BAABfcmVscy8ucmVsc1BLAQItABQABgAIAAAAIQA2LckLOwIAAG0EAAAOAAAA&#10;AAAAAAAAAAAAAC4CAABkcnMvZTJvRG9jLnhtbFBLAQItABQABgAIAAAAIQC4KijN4AAAAAoBAAAP&#10;AAAAAAAAAAAAAAAAAJUEAABkcnMvZG93bnJldi54bWxQSwUGAAAAAAQABADzAAAAogUAAAAA&#10;">
                <v:stroke endarrow="block"/>
              </v:shape>
            </w:pict>
          </mc:Fallback>
        </mc:AlternateContent>
      </w:r>
    </w:p>
    <w:p w14:paraId="5BF0672E" w14:textId="77777777" w:rsidR="00277952" w:rsidRPr="00065914" w:rsidRDefault="00277952" w:rsidP="00A813F7">
      <w:pPr>
        <w:pStyle w:val="Paragraph"/>
      </w:pPr>
    </w:p>
    <w:p w14:paraId="30B33324"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19A6E1D5" wp14:editId="32325C0B">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51E222EB" w14:textId="2DDEE541" w:rsidR="002C3915" w:rsidRDefault="002C3915"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194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E1D5"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51E222EB" w14:textId="2DDEE541" w:rsidR="002C3915" w:rsidRDefault="002C3915"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194</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5101E1E8" wp14:editId="5044638D">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A251A61" w14:textId="12B4AB49" w:rsidR="002C3915" w:rsidRDefault="002C3915"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21</w:t>
                            </w:r>
                            <w:r w:rsidR="00A94394">
                              <w:rPr>
                                <w:rFonts w:ascii="Calibri" w:hAnsi="Calibri"/>
                                <w:sz w:val="22"/>
                                <w:szCs w:val="22"/>
                              </w:rPr>
                              <w:t>8</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E1E8"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3A251A61" w14:textId="12B4AB49" w:rsidR="002C3915" w:rsidRDefault="002C3915"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21</w:t>
                      </w:r>
                      <w:r w:rsidR="00A94394">
                        <w:rPr>
                          <w:rFonts w:ascii="Calibri" w:hAnsi="Calibri"/>
                          <w:sz w:val="22"/>
                          <w:szCs w:val="22"/>
                        </w:rPr>
                        <w:t>8</w:t>
                      </w:r>
                      <w:r>
                        <w:rPr>
                          <w:rFonts w:ascii="Calibri" w:hAnsi="Calibri"/>
                          <w:sz w:val="22"/>
                          <w:szCs w:val="22"/>
                        </w:rPr>
                        <w:t>]</w:t>
                      </w:r>
                    </w:p>
                  </w:txbxContent>
                </v:textbox>
              </v:rect>
            </w:pict>
          </mc:Fallback>
        </mc:AlternateContent>
      </w:r>
    </w:p>
    <w:p w14:paraId="65BDC757"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6AABE758" wp14:editId="5FD713FA">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6710D6"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Cbl9TU3QAA&#10;AAkBAAAPAAAAZHJzL2Rvd25yZXYueG1sTI/NTsMwEITvSLyDtUjcqBNKDIQ4FaoEQr0RfsTRjZck&#10;Il5HttsGnp5FHOC4M59mZ6rV7EaxxxAHTxryRQYCqfV2oE7D89Pd2RWImAxZM3pCDZ8YYVUfH1Wm&#10;tP5Aj7hvUic4hGJpNPQpTaWUse3RmbjwExJ77z44k/gMnbTBHDjcjfI8y5R0ZiD+0JsJ1z22H83O&#10;aZi/NgV2r8NFesjvL8OmWL8tXxqtT0/m2xsQCef0B8NPfa4ONXfa+h3ZKEYNhVoWjLJxnYNgQCnF&#10;47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Cbl9TU3QAAAAkBAAAP&#10;AAAAAAAAAAAAAAAAAAoFAABkcnMvZG93bnJldi54bWxQSwUGAAAAAAQABADzAAAAFAYAAAAA&#10;">
                <v:stroke endarrow="block"/>
                <v:shadow color="#ccc"/>
              </v:shape>
            </w:pict>
          </mc:Fallback>
        </mc:AlternateContent>
      </w:r>
    </w:p>
    <w:p w14:paraId="3C953796"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59264512" wp14:editId="2C34A8EB">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742547A9" w14:textId="77777777" w:rsidR="002C3915" w:rsidRPr="001519AA" w:rsidRDefault="002C3915" w:rsidP="00277952">
                            <w:pPr>
                              <w:jc w:val="center"/>
                              <w:rPr>
                                <w:rFonts w:ascii="Calibri" w:hAnsi="Calibri"/>
                                <w:sz w:val="22"/>
                                <w:szCs w:val="22"/>
                              </w:rPr>
                            </w:pPr>
                            <w:r w:rsidRPr="001519AA">
                              <w:rPr>
                                <w:rFonts w:ascii="Calibri" w:hAnsi="Calibri"/>
                                <w:sz w:val="22"/>
                                <w:szCs w:val="22"/>
                              </w:rPr>
                              <w:t>Citation searching or snowballing</w:t>
                            </w:r>
                          </w:p>
                          <w:p w14:paraId="553B1FF2" w14:textId="075D16C7" w:rsidR="002C3915" w:rsidRPr="001519AA" w:rsidRDefault="002C3915"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w:t>
                            </w:r>
                            <w:r w:rsidRPr="00850647">
                              <w:rPr>
                                <w:rFonts w:ascii="Calibri" w:hAnsi="Calibri"/>
                                <w:sz w:val="22"/>
                                <w:szCs w:val="22"/>
                              </w:rPr>
                              <w:t>=</w:t>
                            </w:r>
                            <w:r>
                              <w:rPr>
                                <w:rFonts w:ascii="Calibri" w:hAnsi="Calibri"/>
                                <w:sz w:val="22"/>
                                <w:szCs w:val="22"/>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64512"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742547A9" w14:textId="77777777" w:rsidR="002C3915" w:rsidRPr="001519AA" w:rsidRDefault="002C3915" w:rsidP="00277952">
                      <w:pPr>
                        <w:jc w:val="center"/>
                        <w:rPr>
                          <w:rFonts w:ascii="Calibri" w:hAnsi="Calibri"/>
                          <w:sz w:val="22"/>
                          <w:szCs w:val="22"/>
                        </w:rPr>
                      </w:pPr>
                      <w:r w:rsidRPr="001519AA">
                        <w:rPr>
                          <w:rFonts w:ascii="Calibri" w:hAnsi="Calibri"/>
                          <w:sz w:val="22"/>
                          <w:szCs w:val="22"/>
                        </w:rPr>
                        <w:t>Citation searching or snowballing</w:t>
                      </w:r>
                    </w:p>
                    <w:p w14:paraId="553B1FF2" w14:textId="075D16C7" w:rsidR="002C3915" w:rsidRPr="001519AA" w:rsidRDefault="002C3915"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w:t>
                      </w:r>
                      <w:r w:rsidRPr="00850647">
                        <w:rPr>
                          <w:rFonts w:ascii="Calibri" w:hAnsi="Calibri"/>
                          <w:sz w:val="22"/>
                          <w:szCs w:val="22"/>
                        </w:rPr>
                        <w:t>=</w:t>
                      </w:r>
                      <w:r>
                        <w:rPr>
                          <w:rFonts w:ascii="Calibri" w:hAnsi="Calibri"/>
                          <w:sz w:val="22"/>
                          <w:szCs w:val="22"/>
                        </w:rPr>
                        <w:t xml:space="preserve"> 0]</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7B410FFE" wp14:editId="0A0F6E33">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58611"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t4i1Rd0AAAAI&#10;AQAADwAAAGRycy9kb3ducmV2LnhtbEyPy07DMBBF90j8gzWV2FEnfQSaxqlQJRDqjvAQSzeeJhHx&#10;OLLdNvD1DGIBy6N7dedMsRltL07oQ+dIQTpNQCDVznTUKHh5vr++BRGiJqN7R6jgEwNsysuLQufG&#10;nekJT1VsBI9QyLWCNsYhlzLULVodpm5A4uzgvNWR0TfSeH3mcdvLWZJk0uqO+EKrB9y2WH9UR6tg&#10;/NotsXnrFvExfbjxu+X2ff5aKXU1Ge/WICKO8a8MP/qsDiU77d2RTBC9gsU8XXFVQZaB4PyX98yz&#10;DGRZyP8PlN8AAAD//wMAUEsBAi0AFAAGAAgAAAAhALaDOJL+AAAA4QEAABMAAAAAAAAAAAAAAAAA&#10;AAAAAFtDb250ZW50X1R5cGVzXS54bWxQSwECLQAUAAYACAAAACEAOP0h/9YAAACUAQAACwAAAAAA&#10;AAAAAAAAAAAvAQAAX3JlbHMvLnJlbHNQSwECLQAUAAYACAAAACEAlU/moq4CAACmBQAADgAAAAAA&#10;AAAAAAAAAAAuAgAAZHJzL2Uyb0RvYy54bWxQSwECLQAUAAYACAAAACEAt4i1Rd0AAAAIAQAADwAA&#10;AAAAAAAAAAAAAAAIBQAAZHJzL2Rvd25yZXYueG1sUEsFBgAAAAAEAAQA8wAAABIGAAAAAA==&#10;">
                <v:stroke endarrow="block"/>
                <v:shadow color="#ccc"/>
              </v:shape>
            </w:pict>
          </mc:Fallback>
        </mc:AlternateContent>
      </w:r>
    </w:p>
    <w:p w14:paraId="43824D4F"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0D0355CD" wp14:editId="53FF4096">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8F3D9E7" w14:textId="41B09F3C" w:rsidR="002C3915" w:rsidRDefault="002C3915"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18</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355CD"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78F3D9E7" w14:textId="41B09F3C" w:rsidR="002C3915" w:rsidRDefault="002C3915"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18</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025D8D4B" wp14:editId="5A021EB5">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1234D86" w14:textId="1E0E6B8D" w:rsidR="002C3915" w:rsidRDefault="002C3915"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w:t>
                            </w:r>
                            <w:r w:rsidR="00A94394">
                              <w:rPr>
                                <w:rFonts w:ascii="Calibri" w:hAnsi="Calibri"/>
                                <w:sz w:val="22"/>
                                <w:szCs w:val="22"/>
                              </w:rPr>
                              <w:t>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8D4B"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71234D86" w14:textId="1E0E6B8D" w:rsidR="002C3915" w:rsidRDefault="002C3915"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w:t>
                      </w:r>
                      <w:r w:rsidR="00A94394">
                        <w:rPr>
                          <w:rFonts w:ascii="Calibri" w:hAnsi="Calibri"/>
                          <w:sz w:val="22"/>
                          <w:szCs w:val="22"/>
                        </w:rPr>
                        <w:t>4</w:t>
                      </w:r>
                      <w:r w:rsidRPr="00B64536">
                        <w:rPr>
                          <w:rFonts w:ascii="Calibri" w:hAnsi="Calibri"/>
                          <w:sz w:val="22"/>
                          <w:szCs w:val="22"/>
                        </w:rPr>
                        <w:t>]</w:t>
                      </w:r>
                    </w:p>
                  </w:txbxContent>
                </v:textbox>
              </v:rect>
            </w:pict>
          </mc:Fallback>
        </mc:AlternateContent>
      </w:r>
    </w:p>
    <w:p w14:paraId="78DCA50A"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1E60E2E5" wp14:editId="05ED2D35">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F23B4"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iOg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sxjt0brKwxqzKOL9fK9ebL3wL95YqDpmdnKxPr5YBGqiBHZm5C4&#10;8RZzbsbPIPAMewmQWrfv3BAhsSlknyZ0uExI7gPh+HFeFLN8Rgk/uzJWneOs8+GThIFEo6b+VMaF&#10;f5GysN29D5EVq84BMamBtdI6qUEbMtb0ejadpQAPWonojMe8224a7ciORT2lJ5WIntfHHLwYkcB6&#10;ycTqZAemNNokpN4Ep7BbWtKYbZCCEi3xCkXrSE+bmBErR8In6yip79f59WqxWpSTcjpfTcq8bSd3&#10;66aczNfFx1n7oW2atvgRyRdl1SshpIn8z/Iuyr+Tz+miHYV5EfilUdlb9NRRJHt+J9Jp9HHaR91s&#10;QBweXawuqgAVnQ6fbl+8Mq/36dSvf8TyJwAAAP//AwBQSwMEFAAGAAgAAAAhAJf77WPbAAAABwEA&#10;AA8AAABkcnMvZG93bnJldi54bWxMjsFOwzAQRO9I/IO1SNyo0xwiEuJUQIXIBSRahDi68RJbxOso&#10;dtuUr2fhAsenGc28ejX7QRxwii6QguUiA4HUBeOoV/C6fbi6BhGTJqOHQKjghBFWzflZrSsTjvSC&#10;h03qBY9QrLQCm9JYSRk7i17HRRiROPsIk9eJceqlmfSRx/0g8ywrpNeO+MHqEe8tdp+bvVeQ1u8n&#10;W7x1d6V73j4+Fe6rbdu1UpcX8+0NiIRz+ivDjz6rQ8NOu7AnE8XAXJasnhSUOQjO87JYgtj9smxq&#10;+d+/+QYAAP//AwBQSwECLQAUAAYACAAAACEAtoM4kv4AAADhAQAAEwAAAAAAAAAAAAAAAAAAAAAA&#10;W0NvbnRlbnRfVHlwZXNdLnhtbFBLAQItABQABgAIAAAAIQA4/SH/1gAAAJQBAAALAAAAAAAAAAAA&#10;AAAAAC8BAABfcmVscy8ucmVsc1BLAQItABQABgAIAAAAIQBbSUEiOgIAAGsEAAAOAAAAAAAAAAAA&#10;AAAAAC4CAABkcnMvZTJvRG9jLnhtbFBLAQItABQABgAIAAAAIQCX++1j2wAAAAcBAAAPAAAAAAAA&#10;AAAAAAAAAJQEAABkcnMvZG93bnJldi54bWxQSwUGAAAAAAQABADzAAAAnA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76EBFEB3" wp14:editId="56971EEC">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3A4227"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FjTYftwAAAAH&#10;AQAADwAAAGRycy9kb3ducmV2LnhtbEyPy07DMBBF90j8gzVI7KhTIA6EOBWqBELdER5i6cZDEhGP&#10;I9ttA1/PwAaWR3d075lqNbtR7DHEwZOG5SIDgdR6O1Cn4fnp7uwKREyGrBk9oYZPjLCqj48qU1p/&#10;oEfcN6kTXEKxNBr6lKZSytj26Exc+AmJs3cfnEmMoZM2mAOXu1GeZ5mSzgzEC72ZcN1j+9HsnIb5&#10;a5Nj9zpcpoflfRE2+frt4qXR+vRkvr0BkXBOf8fwo8/qULPT1u/IRjFqyFXBvyQNxTUIzpVSzNtf&#10;lnUl//vX3wAAAP//AwBQSwECLQAUAAYACAAAACEAtoM4kv4AAADhAQAAEwAAAAAAAAAAAAAAAAAA&#10;AAAAW0NvbnRlbnRfVHlwZXNdLnhtbFBLAQItABQABgAIAAAAIQA4/SH/1gAAAJQBAAALAAAAAAAA&#10;AAAAAAAAAC8BAABfcmVscy8ucmVsc1BLAQItABQABgAIAAAAIQDCGjDGrgIAAKUFAAAOAAAAAAAA&#10;AAAAAAAAAC4CAABkcnMvZTJvRG9jLnhtbFBLAQItABQABgAIAAAAIQAWNNh+3AAAAAcBAAAPAAAA&#10;AAAAAAAAAAAAAAgFAABkcnMvZG93bnJldi54bWxQSwUGAAAAAAQABADzAAAAEQYAAAAA&#10;">
                <v:stroke endarrow="block"/>
                <v:shadow color="#ccc"/>
              </v:shape>
            </w:pict>
          </mc:Fallback>
        </mc:AlternateContent>
      </w:r>
    </w:p>
    <w:p w14:paraId="43B46C90"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7E8A3459" wp14:editId="17073AC3">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79D0BD"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ZaxXo90AAAAI&#10;AQAADwAAAGRycy9kb3ducmV2LnhtbEyPzU7DMBCE70i8g7VI3KiTpn+EbCpUCYR6a6CIoxsvSUS8&#10;jmy3DTw9RhzgOJrRzDfFejS9OJHznWWEdJKAIK6t7rhBeHl+uFmB8EGxVr1lQvgkD+vy8qJQubZn&#10;3tGpCo2IJexzhdCGMORS+rolo/zEDsTRe7fOqBCla6R26hzLTS+nSbKQRnUcF1o10Kal+qM6GoTx&#10;azun5rWbhaf0cem2881btq8Qr6/G+zsQgcbwF4Yf/IgOZWQ62CNrL3qEWZbexijCKgMR/V99QFgk&#10;U5BlIf8fKL8BAAD//wMAUEsBAi0AFAAGAAgAAAAhALaDOJL+AAAA4QEAABMAAAAAAAAAAAAAAAAA&#10;AAAAAFtDb250ZW50X1R5cGVzXS54bWxQSwECLQAUAAYACAAAACEAOP0h/9YAAACUAQAACwAAAAAA&#10;AAAAAAAAAAAvAQAAX3JlbHMvLnJlbHNQSwECLQAUAAYACAAAACEAO2E1v64CAACkBQAADgAAAAAA&#10;AAAAAAAAAAAuAgAAZHJzL2Uyb0RvYy54bWxQSwECLQAUAAYACAAAACEAZaxXo90AAAAIAQAADwAA&#10;AAAAAAAAAAAAAAAIBQAAZHJzL2Rvd25yZXYueG1sUEsFBgAAAAAEAAQA8wAAABIGAAAAAA==&#10;">
                <v:stroke endarrow="block"/>
                <v:shadow color="#ccc"/>
              </v:shape>
            </w:pict>
          </mc:Fallback>
        </mc:AlternateContent>
      </w:r>
    </w:p>
    <w:p w14:paraId="7BB5BAEF"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0B660B35" wp14:editId="64C8A4DA">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371484EA" w14:textId="0FB36645" w:rsidR="002C3915" w:rsidRPr="004C6931" w:rsidRDefault="002C3915"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sidR="00A94394">
                              <w:rPr>
                                <w:rFonts w:ascii="Calibri" w:hAnsi="Calibri"/>
                                <w:sz w:val="22"/>
                                <w:szCs w:val="22"/>
                              </w:rPr>
                              <w:t>6</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60B35"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371484EA" w14:textId="0FB36645" w:rsidR="002C3915" w:rsidRPr="004C6931" w:rsidRDefault="002C3915"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sidR="00A94394">
                        <w:rPr>
                          <w:rFonts w:ascii="Calibri" w:hAnsi="Calibri"/>
                          <w:sz w:val="22"/>
                          <w:szCs w:val="22"/>
                        </w:rPr>
                        <w:t>6</w:t>
                      </w:r>
                      <w:r w:rsidRPr="00B64536">
                        <w:rPr>
                          <w:rFonts w:ascii="Calibri" w:hAnsi="Calibri"/>
                          <w:sz w:val="22"/>
                          <w:szCs w:val="22"/>
                        </w:rPr>
                        <w:t>]</w:t>
                      </w:r>
                    </w:p>
                  </w:txbxContent>
                </v:textbox>
              </v:rect>
            </w:pict>
          </mc:Fallback>
        </mc:AlternateContent>
      </w:r>
    </w:p>
    <w:p w14:paraId="05D14EE0" w14:textId="77777777" w:rsidR="00307736" w:rsidRDefault="00307736" w:rsidP="00A813F7">
      <w:pPr>
        <w:pStyle w:val="Paragraph"/>
      </w:pPr>
    </w:p>
    <w:p w14:paraId="49CB9827" w14:textId="77777777" w:rsidR="00AA3A48" w:rsidRDefault="00AA3A48" w:rsidP="00A813F7">
      <w:pPr>
        <w:pStyle w:val="Paragraph"/>
      </w:pPr>
    </w:p>
    <w:p w14:paraId="205D0032" w14:textId="77777777" w:rsidR="0001392D" w:rsidRDefault="0001392D" w:rsidP="0088696C">
      <w:pPr>
        <w:pStyle w:val="Paragraph"/>
      </w:pPr>
    </w:p>
    <w:p w14:paraId="2ADD41FA" w14:textId="77777777" w:rsidR="0001392D" w:rsidRPr="0001392D" w:rsidRDefault="0001392D" w:rsidP="0001392D">
      <w:pPr>
        <w:pStyle w:val="Paragraph"/>
        <w:sectPr w:rsidR="0001392D" w:rsidRPr="0001392D" w:rsidSect="00491FE4">
          <w:footerReference w:type="default" r:id="rId13"/>
          <w:footerReference w:type="first" r:id="rId14"/>
          <w:pgSz w:w="11906" w:h="16838"/>
          <w:pgMar w:top="1440" w:right="1440" w:bottom="1440" w:left="1440" w:header="708" w:footer="708" w:gutter="0"/>
          <w:cols w:space="708"/>
          <w:titlePg/>
          <w:docGrid w:linePitch="360"/>
        </w:sectPr>
      </w:pPr>
    </w:p>
    <w:p w14:paraId="0538D610" w14:textId="46BDF560" w:rsidR="002C296A" w:rsidRDefault="005C6F10" w:rsidP="00FC11EC">
      <w:pPr>
        <w:pStyle w:val="Heading1"/>
      </w:pPr>
      <w:bookmarkStart w:id="43" w:name="_Toc23515587"/>
      <w:r w:rsidRPr="00FC11EC">
        <w:lastRenderedPageBreak/>
        <w:t xml:space="preserve">Appendix </w:t>
      </w:r>
      <w:r w:rsidR="00423E33">
        <w:t>2</w:t>
      </w:r>
      <w:r w:rsidR="00603263">
        <w:t xml:space="preserve">: </w:t>
      </w:r>
      <w:r w:rsidR="002C296A" w:rsidRPr="00FC11EC">
        <w:t>Suggestions from stakeholder engagement exercise</w:t>
      </w:r>
      <w:r w:rsidR="00626943">
        <w:t xml:space="preserve"> – registered stakeholders</w:t>
      </w:r>
      <w:bookmarkEnd w:id="43"/>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3"/>
        <w:gridCol w:w="2265"/>
        <w:gridCol w:w="3403"/>
        <w:gridCol w:w="2696"/>
        <w:gridCol w:w="2975"/>
        <w:gridCol w:w="2766"/>
      </w:tblGrid>
      <w:tr w:rsidR="00B833B7" w:rsidRPr="00DE2FAF" w14:paraId="74BE9EE6" w14:textId="77777777" w:rsidTr="00B77627">
        <w:trPr>
          <w:tblHeader/>
        </w:trPr>
        <w:tc>
          <w:tcPr>
            <w:tcW w:w="192" w:type="pct"/>
            <w:shd w:val="clear" w:color="auto" w:fill="E6E6E6"/>
          </w:tcPr>
          <w:p w14:paraId="295A382E" w14:textId="77777777" w:rsidR="00F27622" w:rsidRPr="00B833B7" w:rsidRDefault="00F27622" w:rsidP="00DD0BD8">
            <w:pPr>
              <w:pStyle w:val="Tabletitle"/>
              <w:rPr>
                <w:rFonts w:cs="Arial"/>
                <w:szCs w:val="22"/>
              </w:rPr>
            </w:pPr>
            <w:r w:rsidRPr="00B833B7">
              <w:rPr>
                <w:rFonts w:cs="Arial"/>
                <w:szCs w:val="22"/>
              </w:rPr>
              <w:t>ID</w:t>
            </w:r>
          </w:p>
        </w:tc>
        <w:tc>
          <w:tcPr>
            <w:tcW w:w="772" w:type="pct"/>
            <w:shd w:val="clear" w:color="auto" w:fill="E6E6E6"/>
          </w:tcPr>
          <w:p w14:paraId="052A132F" w14:textId="77777777" w:rsidR="00F27622" w:rsidRPr="00DE2FAF" w:rsidRDefault="00F27622" w:rsidP="00DD0BD8">
            <w:pPr>
              <w:pStyle w:val="Tabletitle"/>
              <w:rPr>
                <w:rFonts w:cs="Arial"/>
                <w:szCs w:val="22"/>
              </w:rPr>
            </w:pPr>
            <w:r w:rsidRPr="00DE2FAF">
              <w:rPr>
                <w:rFonts w:cs="Arial"/>
                <w:szCs w:val="22"/>
              </w:rPr>
              <w:t>Stakeholder</w:t>
            </w:r>
          </w:p>
        </w:tc>
        <w:tc>
          <w:tcPr>
            <w:tcW w:w="1160" w:type="pct"/>
            <w:shd w:val="clear" w:color="auto" w:fill="E6E6E6"/>
          </w:tcPr>
          <w:p w14:paraId="3A2E96B7" w14:textId="77777777" w:rsidR="00F27622" w:rsidRPr="00DE2FAF" w:rsidRDefault="00F27622" w:rsidP="00DD0BD8">
            <w:pPr>
              <w:pStyle w:val="Tabletitle"/>
              <w:rPr>
                <w:rFonts w:cs="Arial"/>
                <w:szCs w:val="22"/>
              </w:rPr>
            </w:pPr>
            <w:r w:rsidRPr="00DE2FAF">
              <w:rPr>
                <w:rFonts w:cs="Arial"/>
                <w:szCs w:val="22"/>
              </w:rPr>
              <w:t>Suggested key area for quality improvement</w:t>
            </w:r>
          </w:p>
        </w:tc>
        <w:tc>
          <w:tcPr>
            <w:tcW w:w="919" w:type="pct"/>
            <w:shd w:val="clear" w:color="auto" w:fill="E6E6E6"/>
          </w:tcPr>
          <w:p w14:paraId="2858BD81" w14:textId="77777777" w:rsidR="00F27622" w:rsidRPr="00DE2FAF" w:rsidRDefault="00F27622" w:rsidP="00DD0BD8">
            <w:pPr>
              <w:pStyle w:val="Tabletitle"/>
              <w:rPr>
                <w:rFonts w:cs="Arial"/>
                <w:szCs w:val="22"/>
              </w:rPr>
            </w:pPr>
            <w:r w:rsidRPr="00DE2FAF">
              <w:rPr>
                <w:rFonts w:cs="Arial"/>
                <w:szCs w:val="22"/>
              </w:rPr>
              <w:t>Why is this important?</w:t>
            </w:r>
          </w:p>
        </w:tc>
        <w:tc>
          <w:tcPr>
            <w:tcW w:w="1014" w:type="pct"/>
            <w:shd w:val="clear" w:color="auto" w:fill="E6E6E6"/>
          </w:tcPr>
          <w:p w14:paraId="6F6ABB3A" w14:textId="77777777" w:rsidR="00F27622" w:rsidRPr="00DE2FAF" w:rsidRDefault="00F27622" w:rsidP="00DD0BD8">
            <w:pPr>
              <w:pStyle w:val="Tabletitle"/>
              <w:rPr>
                <w:rFonts w:cs="Arial"/>
                <w:szCs w:val="22"/>
              </w:rPr>
            </w:pPr>
            <w:r w:rsidRPr="00DE2FAF">
              <w:rPr>
                <w:rFonts w:cs="Arial"/>
                <w:szCs w:val="22"/>
              </w:rPr>
              <w:t>Why is this a key area for quality improvement?</w:t>
            </w:r>
          </w:p>
        </w:tc>
        <w:tc>
          <w:tcPr>
            <w:tcW w:w="943" w:type="pct"/>
            <w:shd w:val="clear" w:color="auto" w:fill="E6E6E6"/>
          </w:tcPr>
          <w:p w14:paraId="6C9D9734" w14:textId="77777777" w:rsidR="00F27622" w:rsidRPr="00DE2FAF" w:rsidRDefault="00F27622" w:rsidP="00DD0BD8">
            <w:pPr>
              <w:pStyle w:val="Tabletitle"/>
              <w:rPr>
                <w:rFonts w:cs="Arial"/>
                <w:szCs w:val="22"/>
              </w:rPr>
            </w:pPr>
            <w:r w:rsidRPr="00DE2FAF">
              <w:rPr>
                <w:rFonts w:cs="Arial"/>
                <w:szCs w:val="22"/>
              </w:rPr>
              <w:t>Supporting information</w:t>
            </w:r>
          </w:p>
        </w:tc>
      </w:tr>
      <w:tr w:rsidR="00DE2FAF" w:rsidRPr="00DE2FAF" w14:paraId="446F5FD1" w14:textId="77777777" w:rsidTr="00DE2FAF">
        <w:trPr>
          <w:trHeight w:val="282"/>
        </w:trPr>
        <w:tc>
          <w:tcPr>
            <w:tcW w:w="5000" w:type="pct"/>
            <w:gridSpan w:val="6"/>
          </w:tcPr>
          <w:p w14:paraId="0B1BCC0A" w14:textId="1EEC05D1" w:rsidR="00DE2FAF" w:rsidRPr="00B833B7" w:rsidRDefault="00DE2FAF" w:rsidP="005C559F">
            <w:pPr>
              <w:pStyle w:val="Tabletext"/>
              <w:rPr>
                <w:rFonts w:cs="Arial"/>
                <w:szCs w:val="22"/>
              </w:rPr>
            </w:pPr>
            <w:r w:rsidRPr="00B833B7">
              <w:rPr>
                <w:rFonts w:cs="Arial"/>
                <w:b/>
                <w:bCs/>
                <w:szCs w:val="22"/>
              </w:rPr>
              <w:t>General</w:t>
            </w:r>
          </w:p>
        </w:tc>
      </w:tr>
      <w:tr w:rsidR="00B833B7" w:rsidRPr="00DE2FAF" w14:paraId="3D22F08E" w14:textId="77777777" w:rsidTr="00B77627">
        <w:trPr>
          <w:trHeight w:val="282"/>
        </w:trPr>
        <w:tc>
          <w:tcPr>
            <w:tcW w:w="192" w:type="pct"/>
          </w:tcPr>
          <w:p w14:paraId="7FBBBA00" w14:textId="77115B55" w:rsidR="00B833B7" w:rsidRPr="00B833B7" w:rsidRDefault="00B833B7" w:rsidP="005C559F">
            <w:pPr>
              <w:pStyle w:val="Tabletext"/>
              <w:rPr>
                <w:rFonts w:cs="Arial"/>
                <w:color w:val="000000"/>
                <w:szCs w:val="22"/>
                <w:lang w:eastAsia="en-GB"/>
              </w:rPr>
            </w:pPr>
            <w:r w:rsidRPr="00B833B7">
              <w:rPr>
                <w:rFonts w:cs="Arial"/>
                <w:color w:val="000000"/>
                <w:szCs w:val="22"/>
                <w:lang w:eastAsia="en-GB"/>
              </w:rPr>
              <w:t>1</w:t>
            </w:r>
          </w:p>
        </w:tc>
        <w:tc>
          <w:tcPr>
            <w:tcW w:w="772" w:type="pct"/>
          </w:tcPr>
          <w:p w14:paraId="5FDB9379" w14:textId="6C92ABF3" w:rsidR="00B833B7" w:rsidRPr="00DE2FAF" w:rsidRDefault="00B833B7" w:rsidP="005C559F">
            <w:pPr>
              <w:pStyle w:val="Tabletext"/>
              <w:rPr>
                <w:rFonts w:cs="Arial"/>
                <w:szCs w:val="22"/>
                <w:highlight w:val="cyan"/>
              </w:rPr>
            </w:pPr>
            <w:r w:rsidRPr="00DE2FAF">
              <w:rPr>
                <w:rFonts w:cs="Arial"/>
                <w:szCs w:val="22"/>
              </w:rPr>
              <w:t>NHS Improvement Patient Safety</w:t>
            </w:r>
          </w:p>
        </w:tc>
        <w:tc>
          <w:tcPr>
            <w:tcW w:w="4036" w:type="pct"/>
            <w:gridSpan w:val="4"/>
          </w:tcPr>
          <w:p w14:paraId="6B97E46C" w14:textId="59ADAEA2" w:rsidR="00B833B7" w:rsidRPr="00DE2FAF" w:rsidRDefault="00B833B7" w:rsidP="005C559F">
            <w:pPr>
              <w:pStyle w:val="Tabletext"/>
              <w:rPr>
                <w:rFonts w:cs="Arial"/>
                <w:szCs w:val="22"/>
                <w:highlight w:val="cyan"/>
              </w:rPr>
            </w:pPr>
            <w:r w:rsidRPr="00DE2FAF">
              <w:rPr>
                <w:rFonts w:cs="Arial"/>
                <w:szCs w:val="22"/>
              </w:rPr>
              <w:t>No suggested areas for quality improvement.</w:t>
            </w:r>
          </w:p>
        </w:tc>
      </w:tr>
      <w:tr w:rsidR="00B833B7" w:rsidRPr="00DE2FAF" w14:paraId="58E6D6F7" w14:textId="77777777" w:rsidTr="00B77627">
        <w:trPr>
          <w:trHeight w:val="282"/>
        </w:trPr>
        <w:tc>
          <w:tcPr>
            <w:tcW w:w="192" w:type="pct"/>
          </w:tcPr>
          <w:p w14:paraId="6C55C0B5" w14:textId="6FE9CDF4" w:rsidR="00B833B7" w:rsidRPr="00B833B7" w:rsidRDefault="00B833B7" w:rsidP="005C559F">
            <w:pPr>
              <w:pStyle w:val="Tabletext"/>
              <w:rPr>
                <w:rFonts w:cs="Arial"/>
                <w:szCs w:val="22"/>
              </w:rPr>
            </w:pPr>
            <w:r w:rsidRPr="00B833B7">
              <w:rPr>
                <w:rFonts w:cs="Arial"/>
                <w:szCs w:val="22"/>
              </w:rPr>
              <w:t>2</w:t>
            </w:r>
          </w:p>
        </w:tc>
        <w:tc>
          <w:tcPr>
            <w:tcW w:w="772" w:type="pct"/>
          </w:tcPr>
          <w:p w14:paraId="30CEDBD6" w14:textId="6C309CB5" w:rsidR="00B833B7" w:rsidRPr="00DE2FAF" w:rsidRDefault="00B833B7" w:rsidP="005C559F">
            <w:pPr>
              <w:pStyle w:val="Tabletext"/>
              <w:rPr>
                <w:rFonts w:cs="Arial"/>
                <w:szCs w:val="22"/>
              </w:rPr>
            </w:pPr>
            <w:r w:rsidRPr="00DE2FAF">
              <w:rPr>
                <w:rFonts w:cs="Arial"/>
                <w:szCs w:val="22"/>
              </w:rPr>
              <w:t>Royal College of Nursing</w:t>
            </w:r>
          </w:p>
        </w:tc>
        <w:tc>
          <w:tcPr>
            <w:tcW w:w="4036" w:type="pct"/>
            <w:gridSpan w:val="4"/>
          </w:tcPr>
          <w:p w14:paraId="39E6736C" w14:textId="41B39036" w:rsidR="00B833B7" w:rsidRPr="00DE2FAF" w:rsidRDefault="00B833B7" w:rsidP="005C559F">
            <w:pPr>
              <w:rPr>
                <w:rFonts w:ascii="Arial" w:hAnsi="Arial" w:cs="Arial"/>
                <w:sz w:val="22"/>
                <w:szCs w:val="22"/>
              </w:rPr>
            </w:pPr>
            <w:r w:rsidRPr="00DE2FAF">
              <w:rPr>
                <w:rFonts w:ascii="Arial" w:hAnsi="Arial" w:cs="Arial"/>
                <w:sz w:val="22"/>
                <w:szCs w:val="22"/>
              </w:rPr>
              <w:t>This is just to let you know that there are no comments to submit on behalf of the Royal College of Nursing in relation to the stakeholder engagement exercise for the Renal Stones quality standard.</w:t>
            </w:r>
          </w:p>
        </w:tc>
      </w:tr>
      <w:tr w:rsidR="00B833B7" w:rsidRPr="00DE2FAF" w14:paraId="708B8B94" w14:textId="77777777" w:rsidTr="00B77627">
        <w:trPr>
          <w:trHeight w:val="282"/>
        </w:trPr>
        <w:tc>
          <w:tcPr>
            <w:tcW w:w="192" w:type="pct"/>
          </w:tcPr>
          <w:p w14:paraId="2AD1AEAE" w14:textId="778EF011" w:rsidR="00B833B7" w:rsidRPr="00B833B7" w:rsidRDefault="00B833B7" w:rsidP="005C559F">
            <w:pPr>
              <w:pStyle w:val="Tabletext"/>
              <w:rPr>
                <w:rFonts w:cs="Arial"/>
                <w:szCs w:val="22"/>
                <w:lang w:eastAsia="en-GB"/>
              </w:rPr>
            </w:pPr>
            <w:r w:rsidRPr="00B833B7">
              <w:rPr>
                <w:rFonts w:cs="Arial"/>
                <w:szCs w:val="22"/>
                <w:lang w:eastAsia="en-GB"/>
              </w:rPr>
              <w:t>3</w:t>
            </w:r>
          </w:p>
        </w:tc>
        <w:tc>
          <w:tcPr>
            <w:tcW w:w="772" w:type="pct"/>
          </w:tcPr>
          <w:p w14:paraId="492700BC" w14:textId="23DE088C" w:rsidR="00B833B7" w:rsidRPr="00DE2FAF" w:rsidRDefault="00B833B7" w:rsidP="005C559F">
            <w:pPr>
              <w:pStyle w:val="Tabletext"/>
              <w:rPr>
                <w:rFonts w:cs="Arial"/>
                <w:szCs w:val="22"/>
                <w:highlight w:val="cyan"/>
              </w:rPr>
            </w:pPr>
            <w:r w:rsidRPr="00DE2FAF">
              <w:rPr>
                <w:rFonts w:cs="Arial"/>
                <w:szCs w:val="22"/>
              </w:rPr>
              <w:t>Royal College of Physicians</w:t>
            </w:r>
          </w:p>
        </w:tc>
        <w:tc>
          <w:tcPr>
            <w:tcW w:w="4036" w:type="pct"/>
            <w:gridSpan w:val="4"/>
          </w:tcPr>
          <w:p w14:paraId="5CA5D9B3" w14:textId="77777777" w:rsidR="00B833B7" w:rsidRPr="00DE2FAF" w:rsidRDefault="00B833B7" w:rsidP="005C559F">
            <w:pPr>
              <w:pStyle w:val="TableText1"/>
              <w:rPr>
                <w:rFonts w:cs="Arial"/>
                <w:szCs w:val="22"/>
              </w:rPr>
            </w:pPr>
            <w:r w:rsidRPr="00DE2FAF">
              <w:rPr>
                <w:rFonts w:cs="Arial"/>
                <w:szCs w:val="22"/>
              </w:rPr>
              <w:t>The RCP is grateful for the opportunity to respond to the above consultation.</w:t>
            </w:r>
          </w:p>
          <w:p w14:paraId="619D9DBD" w14:textId="77777777" w:rsidR="00B833B7" w:rsidRPr="00DE2FAF" w:rsidRDefault="00B833B7" w:rsidP="005C559F">
            <w:pPr>
              <w:pStyle w:val="TableText1"/>
              <w:rPr>
                <w:rFonts w:cs="Arial"/>
                <w:szCs w:val="22"/>
              </w:rPr>
            </w:pPr>
            <w:r w:rsidRPr="00DE2FAF">
              <w:rPr>
                <w:rFonts w:cs="Arial"/>
                <w:szCs w:val="22"/>
              </w:rPr>
              <w:t xml:space="preserve"> </w:t>
            </w:r>
          </w:p>
          <w:p w14:paraId="22995CD8" w14:textId="76B94335" w:rsidR="00B833B7" w:rsidRPr="00DE2FAF" w:rsidRDefault="00B833B7" w:rsidP="005C559F">
            <w:pPr>
              <w:pStyle w:val="Tabletext"/>
              <w:rPr>
                <w:rFonts w:cs="Arial"/>
                <w:szCs w:val="22"/>
                <w:highlight w:val="cyan"/>
              </w:rPr>
            </w:pPr>
            <w:r w:rsidRPr="00DE2FAF">
              <w:rPr>
                <w:rFonts w:cs="Arial"/>
                <w:szCs w:val="22"/>
              </w:rPr>
              <w:t>We would like to endorse the below response from the Renal Association</w:t>
            </w:r>
          </w:p>
        </w:tc>
      </w:tr>
      <w:tr w:rsidR="00B833B7" w:rsidRPr="00DE2FAF" w14:paraId="349CDF71" w14:textId="77777777" w:rsidTr="00B77627">
        <w:trPr>
          <w:trHeight w:val="282"/>
        </w:trPr>
        <w:tc>
          <w:tcPr>
            <w:tcW w:w="192" w:type="pct"/>
          </w:tcPr>
          <w:p w14:paraId="1D5990DA" w14:textId="419CA1B4" w:rsidR="00B833B7" w:rsidRPr="00B833B7" w:rsidRDefault="00B833B7" w:rsidP="005C559F">
            <w:pPr>
              <w:pStyle w:val="Tabletext"/>
              <w:rPr>
                <w:rFonts w:cs="Arial"/>
                <w:szCs w:val="22"/>
                <w:lang w:eastAsia="en-GB"/>
              </w:rPr>
            </w:pPr>
            <w:r w:rsidRPr="00B833B7">
              <w:rPr>
                <w:rFonts w:cs="Arial"/>
                <w:szCs w:val="22"/>
                <w:lang w:eastAsia="en-GB"/>
              </w:rPr>
              <w:t>4</w:t>
            </w:r>
          </w:p>
        </w:tc>
        <w:tc>
          <w:tcPr>
            <w:tcW w:w="772" w:type="pct"/>
          </w:tcPr>
          <w:p w14:paraId="1016C022" w14:textId="0230423C" w:rsidR="00B833B7" w:rsidRPr="00DE2FAF" w:rsidRDefault="00B833B7" w:rsidP="005C559F">
            <w:pPr>
              <w:pStyle w:val="Tabletext"/>
              <w:rPr>
                <w:rFonts w:cs="Arial"/>
                <w:szCs w:val="22"/>
                <w:highlight w:val="cyan"/>
              </w:rPr>
            </w:pPr>
            <w:r w:rsidRPr="00DE2FAF">
              <w:rPr>
                <w:rFonts w:cs="Arial"/>
                <w:szCs w:val="22"/>
              </w:rPr>
              <w:t>Royal College of Paediatrics and Child Health</w:t>
            </w:r>
          </w:p>
        </w:tc>
        <w:tc>
          <w:tcPr>
            <w:tcW w:w="4036" w:type="pct"/>
            <w:gridSpan w:val="4"/>
          </w:tcPr>
          <w:p w14:paraId="37042219" w14:textId="6B82A095" w:rsidR="00B833B7" w:rsidRPr="00DE2FAF" w:rsidRDefault="00B833B7" w:rsidP="005C559F">
            <w:pPr>
              <w:pStyle w:val="Tabletext"/>
              <w:rPr>
                <w:rFonts w:cs="Arial"/>
                <w:szCs w:val="22"/>
                <w:highlight w:val="cyan"/>
              </w:rPr>
            </w:pPr>
            <w:r w:rsidRPr="00DE2FAF">
              <w:rPr>
                <w:rFonts w:cs="Arial"/>
                <w:szCs w:val="22"/>
              </w:rPr>
              <w:t>Thank you for inviting the Royal College of Paediatrics and Child Health to comment on the Renal stone’s topic engagement exercise. We have not received any responses for this consultation but are aware that BAPN responded directly.</w:t>
            </w:r>
          </w:p>
        </w:tc>
      </w:tr>
      <w:tr w:rsidR="00B833B7" w:rsidRPr="00DE2FAF" w14:paraId="3CD6988F" w14:textId="77777777" w:rsidTr="00B77627">
        <w:trPr>
          <w:trHeight w:val="282"/>
        </w:trPr>
        <w:tc>
          <w:tcPr>
            <w:tcW w:w="192" w:type="pct"/>
          </w:tcPr>
          <w:p w14:paraId="3476A70D" w14:textId="30F45507" w:rsidR="00B833B7" w:rsidRPr="00B833B7" w:rsidRDefault="00B833B7" w:rsidP="005C559F">
            <w:pPr>
              <w:pStyle w:val="Tabletext"/>
              <w:rPr>
                <w:rFonts w:cs="Arial"/>
                <w:szCs w:val="22"/>
                <w:lang w:eastAsia="en-GB"/>
              </w:rPr>
            </w:pPr>
            <w:r w:rsidRPr="00B833B7">
              <w:rPr>
                <w:rFonts w:cs="Arial"/>
                <w:szCs w:val="22"/>
                <w:lang w:eastAsia="en-GB"/>
              </w:rPr>
              <w:t>5</w:t>
            </w:r>
          </w:p>
        </w:tc>
        <w:tc>
          <w:tcPr>
            <w:tcW w:w="772" w:type="pct"/>
          </w:tcPr>
          <w:p w14:paraId="46F361FB" w14:textId="3F751E45" w:rsidR="00B833B7" w:rsidRPr="00DE2FAF" w:rsidRDefault="00B833B7" w:rsidP="005C559F">
            <w:pPr>
              <w:pStyle w:val="Tabletext"/>
              <w:rPr>
                <w:rFonts w:cs="Arial"/>
                <w:szCs w:val="22"/>
              </w:rPr>
            </w:pPr>
            <w:r w:rsidRPr="00DE2FAF">
              <w:rPr>
                <w:rFonts w:cs="Arial"/>
                <w:szCs w:val="22"/>
              </w:rPr>
              <w:t>Royal College of Radiology</w:t>
            </w:r>
          </w:p>
        </w:tc>
        <w:tc>
          <w:tcPr>
            <w:tcW w:w="4036" w:type="pct"/>
            <w:gridSpan w:val="4"/>
          </w:tcPr>
          <w:p w14:paraId="4741A7FE" w14:textId="41C09276" w:rsidR="00B833B7" w:rsidRPr="00DE2FAF" w:rsidRDefault="00B833B7" w:rsidP="005C559F">
            <w:pPr>
              <w:pStyle w:val="Tabletext"/>
              <w:rPr>
                <w:rFonts w:cs="Arial"/>
                <w:szCs w:val="22"/>
              </w:rPr>
            </w:pPr>
            <w:r w:rsidRPr="00DE2FAF">
              <w:rPr>
                <w:rFonts w:cs="Arial"/>
                <w:szCs w:val="22"/>
              </w:rPr>
              <w:t>No comments.</w:t>
            </w:r>
          </w:p>
        </w:tc>
      </w:tr>
      <w:tr w:rsidR="00DE2FAF" w:rsidRPr="00DE2FAF" w14:paraId="3FDF6E53" w14:textId="77777777" w:rsidTr="00DE2FAF">
        <w:trPr>
          <w:trHeight w:val="282"/>
        </w:trPr>
        <w:tc>
          <w:tcPr>
            <w:tcW w:w="5000" w:type="pct"/>
            <w:gridSpan w:val="6"/>
          </w:tcPr>
          <w:p w14:paraId="27BAAF2F" w14:textId="0D026EDC" w:rsidR="00DE2FAF" w:rsidRPr="00B833B7" w:rsidRDefault="00DE2FAF" w:rsidP="005C559F">
            <w:pPr>
              <w:pStyle w:val="Tabletext"/>
              <w:rPr>
                <w:rFonts w:cs="Arial"/>
                <w:szCs w:val="22"/>
              </w:rPr>
            </w:pPr>
            <w:r w:rsidRPr="00B833B7">
              <w:rPr>
                <w:rFonts w:cs="Arial"/>
                <w:b/>
                <w:bCs/>
                <w:szCs w:val="22"/>
              </w:rPr>
              <w:t>Diagnostic imaging</w:t>
            </w:r>
          </w:p>
        </w:tc>
      </w:tr>
      <w:tr w:rsidR="00B833B7" w:rsidRPr="00DE2FAF" w14:paraId="667D9670" w14:textId="77777777" w:rsidTr="00B77627">
        <w:trPr>
          <w:trHeight w:val="282"/>
        </w:trPr>
        <w:tc>
          <w:tcPr>
            <w:tcW w:w="192" w:type="pct"/>
          </w:tcPr>
          <w:p w14:paraId="7C7D44FD" w14:textId="286EB0D5" w:rsidR="005C559F" w:rsidRPr="00B833B7" w:rsidRDefault="00B833B7" w:rsidP="005C559F">
            <w:pPr>
              <w:pStyle w:val="Tabletext"/>
              <w:rPr>
                <w:rFonts w:cs="Arial"/>
                <w:szCs w:val="22"/>
              </w:rPr>
            </w:pPr>
            <w:r w:rsidRPr="00B833B7">
              <w:rPr>
                <w:rFonts w:cs="Arial"/>
                <w:szCs w:val="22"/>
              </w:rPr>
              <w:t>6</w:t>
            </w:r>
          </w:p>
        </w:tc>
        <w:tc>
          <w:tcPr>
            <w:tcW w:w="772" w:type="pct"/>
          </w:tcPr>
          <w:p w14:paraId="6CCC9199" w14:textId="282A2028" w:rsidR="005C559F" w:rsidRPr="00DE2FAF" w:rsidRDefault="005C559F" w:rsidP="005C559F">
            <w:pPr>
              <w:pStyle w:val="Tabletext"/>
              <w:rPr>
                <w:rFonts w:cs="Arial"/>
                <w:szCs w:val="22"/>
              </w:rPr>
            </w:pPr>
            <w:r w:rsidRPr="00DE2FAF">
              <w:rPr>
                <w:rFonts w:cs="Arial"/>
                <w:szCs w:val="22"/>
              </w:rPr>
              <w:t xml:space="preserve">BAUS Section of </w:t>
            </w:r>
            <w:proofErr w:type="spellStart"/>
            <w:r w:rsidRPr="00DE2FAF">
              <w:rPr>
                <w:rFonts w:cs="Arial"/>
                <w:szCs w:val="22"/>
              </w:rPr>
              <w:t>EndoUrology</w:t>
            </w:r>
            <w:proofErr w:type="spellEnd"/>
          </w:p>
        </w:tc>
        <w:tc>
          <w:tcPr>
            <w:tcW w:w="1160" w:type="pct"/>
          </w:tcPr>
          <w:p w14:paraId="73206FC0" w14:textId="77777777" w:rsidR="005C559F" w:rsidRPr="00DE2FAF" w:rsidRDefault="005C559F" w:rsidP="005C559F">
            <w:pPr>
              <w:rPr>
                <w:rFonts w:ascii="Arial" w:hAnsi="Arial" w:cs="Arial"/>
                <w:b/>
                <w:bCs/>
                <w:i/>
                <w:iCs/>
                <w:sz w:val="22"/>
                <w:szCs w:val="22"/>
                <w:lang w:eastAsia="en-GB"/>
              </w:rPr>
            </w:pPr>
            <w:r w:rsidRPr="00DE2FAF">
              <w:rPr>
                <w:rFonts w:ascii="Arial" w:hAnsi="Arial" w:cs="Arial"/>
                <w:sz w:val="22"/>
                <w:szCs w:val="22"/>
              </w:rPr>
              <w:t>Key area for quality improvement 1</w:t>
            </w:r>
          </w:p>
          <w:p w14:paraId="3E6C150E" w14:textId="77777777" w:rsidR="005C559F" w:rsidRPr="00DE2FAF" w:rsidRDefault="005C559F" w:rsidP="005C559F">
            <w:pPr>
              <w:rPr>
                <w:rFonts w:ascii="Arial" w:hAnsi="Arial" w:cs="Arial"/>
                <w:b/>
                <w:bCs/>
                <w:i/>
                <w:iCs/>
                <w:sz w:val="22"/>
                <w:szCs w:val="22"/>
              </w:rPr>
            </w:pPr>
          </w:p>
          <w:p w14:paraId="5370A11D" w14:textId="77777777" w:rsidR="005C559F" w:rsidRPr="00DE2FAF" w:rsidRDefault="005C559F" w:rsidP="005C559F">
            <w:pPr>
              <w:rPr>
                <w:rFonts w:ascii="Arial" w:hAnsi="Arial" w:cs="Arial"/>
                <w:b/>
                <w:bCs/>
                <w:i/>
                <w:iCs/>
                <w:sz w:val="22"/>
                <w:szCs w:val="22"/>
              </w:rPr>
            </w:pPr>
            <w:r w:rsidRPr="00DE2FAF">
              <w:rPr>
                <w:rFonts w:ascii="Arial" w:hAnsi="Arial" w:cs="Arial"/>
                <w:b/>
                <w:bCs/>
                <w:i/>
                <w:iCs/>
                <w:sz w:val="22"/>
                <w:szCs w:val="22"/>
              </w:rPr>
              <w:t>Non contrast CT scan within 24hours of acute renal colic presentation in adults</w:t>
            </w:r>
          </w:p>
          <w:p w14:paraId="7EFA85CD" w14:textId="77777777" w:rsidR="005C559F" w:rsidRPr="00DE2FAF" w:rsidRDefault="005C559F" w:rsidP="005C559F">
            <w:pPr>
              <w:pStyle w:val="Tabletext"/>
              <w:rPr>
                <w:rFonts w:cs="Arial"/>
                <w:szCs w:val="22"/>
              </w:rPr>
            </w:pPr>
          </w:p>
        </w:tc>
        <w:tc>
          <w:tcPr>
            <w:tcW w:w="919" w:type="pct"/>
          </w:tcPr>
          <w:p w14:paraId="6BEC06FA" w14:textId="56635D2E" w:rsidR="005C559F" w:rsidRPr="00233AEB" w:rsidRDefault="005C559F" w:rsidP="00233AEB">
            <w:pPr>
              <w:rPr>
                <w:rFonts w:ascii="Arial" w:eastAsia="Calibri" w:hAnsi="Arial" w:cs="Arial"/>
                <w:sz w:val="22"/>
                <w:szCs w:val="22"/>
              </w:rPr>
            </w:pPr>
            <w:r w:rsidRPr="00DE2FAF">
              <w:rPr>
                <w:rFonts w:ascii="Arial" w:eastAsia="Calibri" w:hAnsi="Arial" w:cs="Arial"/>
                <w:sz w:val="22"/>
                <w:szCs w:val="22"/>
              </w:rPr>
              <w:t xml:space="preserve">There is evidence that CT is superior to ultrasound, plain film X-ray and MRI for detecting renal and ureteric stones in adults who are not pregnant.  CT should be performed as soon as possible because renal function can decline quickly as a consequence of renal and ureteric stones, although could be delayed for up to 24 </w:t>
            </w:r>
            <w:r w:rsidRPr="00DE2FAF">
              <w:rPr>
                <w:rFonts w:ascii="Arial" w:eastAsia="Calibri" w:hAnsi="Arial" w:cs="Arial"/>
                <w:sz w:val="22"/>
                <w:szCs w:val="22"/>
              </w:rPr>
              <w:lastRenderedPageBreak/>
              <w:t>hours if needed to accommodate out of hours presentations. CT is recommended within NICE guidance on renal and ureteric stones NG118. Prompt CT scanning allows diagnostic accuracy and appropriate management based on size and site of the stone and the anatomical features of the patient.</w:t>
            </w:r>
          </w:p>
        </w:tc>
        <w:tc>
          <w:tcPr>
            <w:tcW w:w="1014" w:type="pct"/>
          </w:tcPr>
          <w:p w14:paraId="45AA77B6"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lastRenderedPageBreak/>
              <w:t xml:space="preserve">Not all hospitals in the UK are offering CT scan within 24hours for patients with suspected renal colic. The consequence of missing a patient with a renal or ureteric stone includes being sent for further imaging or investigations, a delay in treatment, potentially resulting in irreversible damage to the kidney. Further additional benefits of a CT scan within 24hours is to exclude </w:t>
            </w:r>
            <w:r w:rsidRPr="00DE2FAF">
              <w:rPr>
                <w:rFonts w:ascii="Arial" w:eastAsia="Calibri" w:hAnsi="Arial" w:cs="Arial"/>
                <w:sz w:val="22"/>
                <w:szCs w:val="22"/>
              </w:rPr>
              <w:lastRenderedPageBreak/>
              <w:t>stones as a diagnosis and potentially expedite  very significant alternative diagnoses.</w:t>
            </w:r>
          </w:p>
          <w:p w14:paraId="58D48840" w14:textId="77777777" w:rsidR="005C559F" w:rsidRPr="00DE2FAF" w:rsidRDefault="005C559F" w:rsidP="005C559F">
            <w:pPr>
              <w:pStyle w:val="Tabletext"/>
              <w:rPr>
                <w:rFonts w:cs="Arial"/>
                <w:szCs w:val="22"/>
              </w:rPr>
            </w:pPr>
          </w:p>
        </w:tc>
        <w:tc>
          <w:tcPr>
            <w:tcW w:w="943" w:type="pct"/>
          </w:tcPr>
          <w:p w14:paraId="37BF6AEB"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lastRenderedPageBreak/>
              <w:t>See NICE Renal and ureteric stone guideline NG118 (2019) for guidance related to imaging for acute colic for which imaging within 24 hour timeframe was recommended.</w:t>
            </w:r>
          </w:p>
          <w:p w14:paraId="6C7BDA96" w14:textId="77777777" w:rsidR="005C559F" w:rsidRPr="00DE2FAF" w:rsidRDefault="005C559F" w:rsidP="005C559F">
            <w:pPr>
              <w:pStyle w:val="Tabletext"/>
              <w:rPr>
                <w:rFonts w:cs="Arial"/>
                <w:szCs w:val="22"/>
              </w:rPr>
            </w:pPr>
          </w:p>
        </w:tc>
      </w:tr>
      <w:tr w:rsidR="00B833B7" w:rsidRPr="00DE2FAF" w14:paraId="4B2B553C" w14:textId="77777777" w:rsidTr="00B77627">
        <w:trPr>
          <w:trHeight w:val="282"/>
        </w:trPr>
        <w:tc>
          <w:tcPr>
            <w:tcW w:w="192" w:type="pct"/>
          </w:tcPr>
          <w:p w14:paraId="52EF494A" w14:textId="39829334" w:rsidR="005C559F" w:rsidRPr="00B833B7" w:rsidRDefault="00B833B7" w:rsidP="005C559F">
            <w:pPr>
              <w:pStyle w:val="Tabletext"/>
              <w:rPr>
                <w:rFonts w:cs="Arial"/>
                <w:szCs w:val="22"/>
                <w:lang w:eastAsia="en-GB"/>
              </w:rPr>
            </w:pPr>
            <w:r w:rsidRPr="00B833B7">
              <w:rPr>
                <w:rFonts w:cs="Arial"/>
                <w:szCs w:val="22"/>
                <w:lang w:eastAsia="en-GB"/>
              </w:rPr>
              <w:t>7</w:t>
            </w:r>
          </w:p>
        </w:tc>
        <w:tc>
          <w:tcPr>
            <w:tcW w:w="772" w:type="pct"/>
          </w:tcPr>
          <w:p w14:paraId="40DB8B60" w14:textId="45757F21" w:rsidR="005C559F" w:rsidRPr="00DE2FAF" w:rsidRDefault="005C559F" w:rsidP="005C559F">
            <w:pPr>
              <w:pStyle w:val="Tabletext"/>
              <w:rPr>
                <w:rFonts w:cs="Arial"/>
                <w:szCs w:val="22"/>
                <w:highlight w:val="cyan"/>
              </w:rPr>
            </w:pPr>
            <w:r w:rsidRPr="00DE2FAF">
              <w:rPr>
                <w:rFonts w:cs="Arial"/>
                <w:szCs w:val="22"/>
              </w:rPr>
              <w:t xml:space="preserve">Renal Association </w:t>
            </w:r>
          </w:p>
        </w:tc>
        <w:tc>
          <w:tcPr>
            <w:tcW w:w="1160" w:type="pct"/>
          </w:tcPr>
          <w:p w14:paraId="417EC681" w14:textId="67127BAD" w:rsidR="005C559F" w:rsidRPr="00DE2FAF" w:rsidRDefault="005C559F" w:rsidP="005C559F">
            <w:pPr>
              <w:pStyle w:val="Tabletext"/>
              <w:rPr>
                <w:rFonts w:cs="Arial"/>
                <w:szCs w:val="22"/>
                <w:highlight w:val="cyan"/>
              </w:rPr>
            </w:pPr>
          </w:p>
        </w:tc>
        <w:tc>
          <w:tcPr>
            <w:tcW w:w="919" w:type="pct"/>
          </w:tcPr>
          <w:p w14:paraId="479AF2F3"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t>Suggested key areas for QI in this area would be:</w:t>
            </w:r>
          </w:p>
          <w:p w14:paraId="1E672594" w14:textId="77777777" w:rsidR="005C559F" w:rsidRPr="00DE2FAF" w:rsidRDefault="005C559F" w:rsidP="005C559F">
            <w:pPr>
              <w:rPr>
                <w:rFonts w:ascii="Arial" w:eastAsia="Calibri" w:hAnsi="Arial" w:cs="Arial"/>
                <w:sz w:val="22"/>
                <w:szCs w:val="22"/>
              </w:rPr>
            </w:pPr>
          </w:p>
          <w:p w14:paraId="7619554F"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t xml:space="preserve">Access to urgent CT imaging for patients with acute colic: </w:t>
            </w:r>
          </w:p>
          <w:p w14:paraId="44EAC0E5" w14:textId="77777777" w:rsidR="005C559F" w:rsidRPr="00DE2FAF" w:rsidRDefault="005C559F" w:rsidP="005C559F">
            <w:pPr>
              <w:rPr>
                <w:rFonts w:ascii="Arial" w:eastAsia="Calibri" w:hAnsi="Arial" w:cs="Arial"/>
                <w:sz w:val="22"/>
                <w:szCs w:val="22"/>
              </w:rPr>
            </w:pPr>
          </w:p>
          <w:p w14:paraId="37921A88" w14:textId="7CF6DB24" w:rsidR="005C559F" w:rsidRPr="00DE2FAF" w:rsidRDefault="005C559F" w:rsidP="005C559F">
            <w:pPr>
              <w:pStyle w:val="Tabletext"/>
              <w:rPr>
                <w:rFonts w:cs="Arial"/>
                <w:szCs w:val="22"/>
                <w:highlight w:val="cyan"/>
              </w:rPr>
            </w:pPr>
            <w:r w:rsidRPr="00DE2FAF">
              <w:rPr>
                <w:rFonts w:eastAsia="Calibri" w:cs="Arial"/>
                <w:szCs w:val="22"/>
              </w:rPr>
              <w:t>to improve the time efficient patient centred care, by improving the CT KUB availability, ensuring a Urology follow-up plan and reducing hospital admissions</w:t>
            </w:r>
          </w:p>
        </w:tc>
        <w:tc>
          <w:tcPr>
            <w:tcW w:w="1014" w:type="pct"/>
          </w:tcPr>
          <w:p w14:paraId="7B109ACF" w14:textId="3EF48C06" w:rsidR="005C559F" w:rsidRPr="00DE2FAF" w:rsidRDefault="005C559F" w:rsidP="005C559F">
            <w:pPr>
              <w:pStyle w:val="Tabletext"/>
              <w:rPr>
                <w:rFonts w:cs="Arial"/>
                <w:szCs w:val="22"/>
                <w:highlight w:val="cyan"/>
              </w:rPr>
            </w:pPr>
          </w:p>
        </w:tc>
        <w:tc>
          <w:tcPr>
            <w:tcW w:w="943" w:type="pct"/>
          </w:tcPr>
          <w:p w14:paraId="470FFB5F" w14:textId="77777777" w:rsidR="005C559F" w:rsidRPr="00DE2FAF" w:rsidRDefault="005C559F" w:rsidP="005C559F">
            <w:pPr>
              <w:rPr>
                <w:rFonts w:ascii="Arial" w:hAnsi="Arial" w:cs="Arial"/>
                <w:sz w:val="22"/>
                <w:szCs w:val="22"/>
                <w:highlight w:val="cyan"/>
              </w:rPr>
            </w:pPr>
          </w:p>
        </w:tc>
      </w:tr>
      <w:tr w:rsidR="00B833B7" w:rsidRPr="00DE2FAF" w14:paraId="1EDED77D" w14:textId="77777777" w:rsidTr="00B77627">
        <w:trPr>
          <w:trHeight w:val="282"/>
        </w:trPr>
        <w:tc>
          <w:tcPr>
            <w:tcW w:w="192" w:type="pct"/>
          </w:tcPr>
          <w:p w14:paraId="5871C3F3" w14:textId="7C1F7496" w:rsidR="005C559F" w:rsidRPr="00B833B7" w:rsidRDefault="00B833B7" w:rsidP="005C559F">
            <w:pPr>
              <w:pStyle w:val="Tabletext"/>
              <w:rPr>
                <w:rFonts w:cs="Arial"/>
                <w:szCs w:val="22"/>
                <w:lang w:eastAsia="en-GB"/>
              </w:rPr>
            </w:pPr>
            <w:r w:rsidRPr="00B833B7">
              <w:rPr>
                <w:rFonts w:cs="Arial"/>
                <w:szCs w:val="22"/>
                <w:lang w:eastAsia="en-GB"/>
              </w:rPr>
              <w:t>8</w:t>
            </w:r>
          </w:p>
        </w:tc>
        <w:tc>
          <w:tcPr>
            <w:tcW w:w="772" w:type="pct"/>
          </w:tcPr>
          <w:p w14:paraId="1F77235C" w14:textId="2541FEFF" w:rsidR="005C559F" w:rsidRPr="00DE2FAF" w:rsidRDefault="005C559F" w:rsidP="005C559F">
            <w:pPr>
              <w:pStyle w:val="Tabletext"/>
              <w:rPr>
                <w:rFonts w:cs="Arial"/>
                <w:szCs w:val="22"/>
                <w:highlight w:val="cyan"/>
              </w:rPr>
            </w:pPr>
            <w:r w:rsidRPr="00DE2FAF">
              <w:rPr>
                <w:rFonts w:cs="Arial"/>
                <w:szCs w:val="22"/>
              </w:rPr>
              <w:t>The Society and College of Radiographers</w:t>
            </w:r>
          </w:p>
        </w:tc>
        <w:tc>
          <w:tcPr>
            <w:tcW w:w="1160" w:type="pct"/>
          </w:tcPr>
          <w:p w14:paraId="38945158" w14:textId="6FE04D7B" w:rsidR="005C559F" w:rsidRPr="00DE2FAF" w:rsidRDefault="005C559F" w:rsidP="005C559F">
            <w:pPr>
              <w:rPr>
                <w:rFonts w:ascii="Arial" w:hAnsi="Arial" w:cs="Arial"/>
                <w:sz w:val="22"/>
                <w:szCs w:val="22"/>
                <w:highlight w:val="cyan"/>
              </w:rPr>
            </w:pPr>
            <w:r w:rsidRPr="00DE2FAF">
              <w:rPr>
                <w:rFonts w:ascii="Arial" w:hAnsi="Arial" w:cs="Arial"/>
                <w:sz w:val="22"/>
                <w:szCs w:val="22"/>
              </w:rPr>
              <w:t>Key area for quality improvement 1</w:t>
            </w:r>
          </w:p>
        </w:tc>
        <w:tc>
          <w:tcPr>
            <w:tcW w:w="919" w:type="pct"/>
          </w:tcPr>
          <w:p w14:paraId="0B096784"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t xml:space="preserve">As the new 2019 guidance suggests that low dose CT is the imaging investigation of </w:t>
            </w:r>
            <w:r w:rsidRPr="00DE2FAF">
              <w:rPr>
                <w:rFonts w:ascii="Arial" w:eastAsia="Calibri" w:hAnsi="Arial" w:cs="Arial"/>
                <w:sz w:val="22"/>
                <w:szCs w:val="22"/>
              </w:rPr>
              <w:lastRenderedPageBreak/>
              <w:t>choice for acute renal calculi there is nothing really to add from an ultrasound perspective.</w:t>
            </w:r>
          </w:p>
          <w:p w14:paraId="2D017D67" w14:textId="3CFA9ABB" w:rsidR="005C559F" w:rsidRPr="00233AEB" w:rsidRDefault="005C559F" w:rsidP="00233AEB">
            <w:pPr>
              <w:rPr>
                <w:rFonts w:ascii="Arial" w:eastAsia="Calibri" w:hAnsi="Arial" w:cs="Arial"/>
                <w:sz w:val="22"/>
                <w:szCs w:val="22"/>
              </w:rPr>
            </w:pPr>
            <w:r w:rsidRPr="00DE2FAF">
              <w:rPr>
                <w:rFonts w:ascii="Arial" w:eastAsia="Calibri" w:hAnsi="Arial" w:cs="Arial"/>
                <w:sz w:val="22"/>
                <w:szCs w:val="22"/>
              </w:rPr>
              <w:t>It does seem as though the guidance is unsure what to do for children and young people (recommend ultrasound within 24 hrs 1st then possible low dose CT).</w:t>
            </w:r>
          </w:p>
        </w:tc>
        <w:tc>
          <w:tcPr>
            <w:tcW w:w="1014" w:type="pct"/>
          </w:tcPr>
          <w:p w14:paraId="2D34A97E" w14:textId="77777777" w:rsidR="005C559F" w:rsidRPr="00DE2FAF" w:rsidRDefault="005C559F" w:rsidP="005C559F">
            <w:pPr>
              <w:autoSpaceDE w:val="0"/>
              <w:autoSpaceDN w:val="0"/>
              <w:adjustRightInd w:val="0"/>
              <w:rPr>
                <w:rFonts w:ascii="Arial" w:hAnsi="Arial" w:cs="Arial"/>
                <w:sz w:val="22"/>
                <w:szCs w:val="22"/>
                <w:highlight w:val="cyan"/>
                <w:lang w:eastAsia="en-GB"/>
              </w:rPr>
            </w:pPr>
          </w:p>
        </w:tc>
        <w:tc>
          <w:tcPr>
            <w:tcW w:w="943" w:type="pct"/>
          </w:tcPr>
          <w:p w14:paraId="58570EC7" w14:textId="77777777" w:rsidR="005C559F" w:rsidRPr="00DE2FAF" w:rsidRDefault="005C559F" w:rsidP="005C559F">
            <w:pPr>
              <w:autoSpaceDE w:val="0"/>
              <w:autoSpaceDN w:val="0"/>
              <w:adjustRightInd w:val="0"/>
              <w:rPr>
                <w:rFonts w:ascii="Arial" w:eastAsia="Calibri" w:hAnsi="Arial" w:cs="Arial"/>
                <w:sz w:val="22"/>
                <w:szCs w:val="22"/>
                <w:highlight w:val="cyan"/>
              </w:rPr>
            </w:pPr>
          </w:p>
        </w:tc>
      </w:tr>
      <w:tr w:rsidR="00B833B7" w:rsidRPr="00DE2FAF" w14:paraId="33921B48" w14:textId="77777777" w:rsidTr="00B77627">
        <w:trPr>
          <w:trHeight w:val="282"/>
        </w:trPr>
        <w:tc>
          <w:tcPr>
            <w:tcW w:w="192" w:type="pct"/>
          </w:tcPr>
          <w:p w14:paraId="65FD9F2A" w14:textId="5DC8A7E9" w:rsidR="005C559F" w:rsidRPr="00B833B7" w:rsidRDefault="00B833B7" w:rsidP="005C559F">
            <w:pPr>
              <w:pStyle w:val="Tabletext"/>
              <w:rPr>
                <w:rFonts w:cs="Arial"/>
                <w:szCs w:val="22"/>
                <w:lang w:eastAsia="en-GB"/>
              </w:rPr>
            </w:pPr>
            <w:r w:rsidRPr="00B833B7">
              <w:rPr>
                <w:rFonts w:cs="Arial"/>
                <w:szCs w:val="22"/>
                <w:lang w:eastAsia="en-GB"/>
              </w:rPr>
              <w:t>9</w:t>
            </w:r>
          </w:p>
        </w:tc>
        <w:tc>
          <w:tcPr>
            <w:tcW w:w="772" w:type="pct"/>
          </w:tcPr>
          <w:p w14:paraId="4DCFF668" w14:textId="3BEC6365" w:rsidR="005C559F" w:rsidRPr="00DE2FAF" w:rsidRDefault="005C559F" w:rsidP="005C559F">
            <w:pPr>
              <w:pStyle w:val="Tabletext"/>
              <w:rPr>
                <w:rFonts w:cs="Arial"/>
                <w:szCs w:val="22"/>
                <w:highlight w:val="cyan"/>
              </w:rPr>
            </w:pPr>
            <w:r w:rsidRPr="00DE2FAF">
              <w:rPr>
                <w:rFonts w:cs="Arial"/>
                <w:szCs w:val="22"/>
              </w:rPr>
              <w:t>The Society and College of Radiographers</w:t>
            </w:r>
          </w:p>
        </w:tc>
        <w:tc>
          <w:tcPr>
            <w:tcW w:w="1160" w:type="pct"/>
          </w:tcPr>
          <w:p w14:paraId="3E2CE00E" w14:textId="76ADDDCD" w:rsidR="005C559F" w:rsidRPr="00DE2FAF" w:rsidRDefault="005C559F" w:rsidP="005C559F">
            <w:pPr>
              <w:pStyle w:val="Tabletext"/>
              <w:rPr>
                <w:rFonts w:cs="Arial"/>
                <w:szCs w:val="22"/>
                <w:highlight w:val="cyan"/>
              </w:rPr>
            </w:pPr>
            <w:r w:rsidRPr="00DE2FAF">
              <w:rPr>
                <w:rFonts w:cs="Arial"/>
                <w:szCs w:val="22"/>
              </w:rPr>
              <w:t>Key area for quality improvement 2</w:t>
            </w:r>
          </w:p>
        </w:tc>
        <w:tc>
          <w:tcPr>
            <w:tcW w:w="919" w:type="pct"/>
          </w:tcPr>
          <w:p w14:paraId="5A9C3E9E" w14:textId="750EDCC9" w:rsidR="005C559F" w:rsidRPr="00233AEB" w:rsidRDefault="005C559F" w:rsidP="00233AEB">
            <w:pPr>
              <w:rPr>
                <w:rFonts w:ascii="Arial" w:eastAsia="Calibri" w:hAnsi="Arial" w:cs="Arial"/>
                <w:sz w:val="22"/>
                <w:szCs w:val="22"/>
              </w:rPr>
            </w:pPr>
            <w:r w:rsidRPr="00DE2FAF">
              <w:rPr>
                <w:rFonts w:ascii="Arial" w:eastAsia="Calibri" w:hAnsi="Arial" w:cs="Arial"/>
                <w:sz w:val="22"/>
                <w:szCs w:val="22"/>
              </w:rPr>
              <w:t>Is there is any mileage in having a quality measure linked to staffing /training / access to ultrasound within 24 hours for children and young people? Might be worth adding as a suggestion, given the shortage of radiologists and sonographers.</w:t>
            </w:r>
          </w:p>
        </w:tc>
        <w:tc>
          <w:tcPr>
            <w:tcW w:w="1014" w:type="pct"/>
          </w:tcPr>
          <w:p w14:paraId="371B22D1" w14:textId="77777777" w:rsidR="005C559F" w:rsidRPr="00DE2FAF" w:rsidRDefault="005C559F" w:rsidP="005C559F">
            <w:pPr>
              <w:rPr>
                <w:rFonts w:ascii="Arial" w:hAnsi="Arial" w:cs="Arial"/>
                <w:sz w:val="22"/>
                <w:szCs w:val="22"/>
                <w:highlight w:val="cyan"/>
              </w:rPr>
            </w:pPr>
          </w:p>
        </w:tc>
        <w:tc>
          <w:tcPr>
            <w:tcW w:w="943" w:type="pct"/>
          </w:tcPr>
          <w:p w14:paraId="27138997" w14:textId="77777777" w:rsidR="005C559F" w:rsidRPr="00DE2FAF" w:rsidRDefault="005C559F" w:rsidP="005C559F">
            <w:pPr>
              <w:rPr>
                <w:rFonts w:ascii="Arial" w:hAnsi="Arial" w:cs="Arial"/>
                <w:sz w:val="22"/>
                <w:szCs w:val="22"/>
                <w:highlight w:val="cyan"/>
              </w:rPr>
            </w:pPr>
          </w:p>
        </w:tc>
      </w:tr>
      <w:tr w:rsidR="00B833B7" w:rsidRPr="00DE2FAF" w14:paraId="18736C87" w14:textId="77777777" w:rsidTr="00B77627">
        <w:trPr>
          <w:trHeight w:val="282"/>
        </w:trPr>
        <w:tc>
          <w:tcPr>
            <w:tcW w:w="192" w:type="pct"/>
          </w:tcPr>
          <w:p w14:paraId="072D6031" w14:textId="722B30EC" w:rsidR="005C559F" w:rsidRPr="00B833B7" w:rsidRDefault="00B833B7" w:rsidP="005C559F">
            <w:pPr>
              <w:pStyle w:val="Tabletext"/>
              <w:rPr>
                <w:rFonts w:cs="Arial"/>
                <w:szCs w:val="22"/>
                <w:lang w:eastAsia="en-GB"/>
              </w:rPr>
            </w:pPr>
            <w:r w:rsidRPr="00B833B7">
              <w:rPr>
                <w:rFonts w:cs="Arial"/>
                <w:szCs w:val="22"/>
                <w:lang w:eastAsia="en-GB"/>
              </w:rPr>
              <w:t>10</w:t>
            </w:r>
          </w:p>
        </w:tc>
        <w:tc>
          <w:tcPr>
            <w:tcW w:w="772" w:type="pct"/>
          </w:tcPr>
          <w:p w14:paraId="72CFF2C4" w14:textId="771FEACD" w:rsidR="005C559F" w:rsidRPr="00DE2FAF" w:rsidRDefault="00DE2FAF" w:rsidP="005C559F">
            <w:pPr>
              <w:pStyle w:val="Tabletext"/>
              <w:rPr>
                <w:rFonts w:cs="Arial"/>
                <w:szCs w:val="22"/>
              </w:rPr>
            </w:pPr>
            <w:r>
              <w:rPr>
                <w:rFonts w:cs="Arial"/>
                <w:szCs w:val="22"/>
              </w:rPr>
              <w:t>SCM 1</w:t>
            </w:r>
          </w:p>
        </w:tc>
        <w:tc>
          <w:tcPr>
            <w:tcW w:w="1160" w:type="pct"/>
          </w:tcPr>
          <w:p w14:paraId="28EE3EC3" w14:textId="77777777" w:rsidR="005C559F" w:rsidRPr="00DE2FAF" w:rsidRDefault="005C559F" w:rsidP="005C559F">
            <w:pPr>
              <w:pStyle w:val="Paragraphnonumbers"/>
              <w:spacing w:after="120"/>
              <w:rPr>
                <w:rFonts w:cs="Arial"/>
                <w:sz w:val="22"/>
                <w:szCs w:val="22"/>
              </w:rPr>
            </w:pPr>
            <w:r w:rsidRPr="00DE2FAF">
              <w:rPr>
                <w:rFonts w:cs="Arial"/>
                <w:sz w:val="22"/>
                <w:szCs w:val="22"/>
              </w:rPr>
              <w:t>Key area for quality improvement 2</w:t>
            </w:r>
          </w:p>
          <w:p w14:paraId="2EA14789" w14:textId="56EA77DC" w:rsidR="005C559F" w:rsidRPr="00DE2FAF" w:rsidRDefault="005C559F" w:rsidP="005C559F">
            <w:pPr>
              <w:pStyle w:val="Tabletext"/>
              <w:rPr>
                <w:rFonts w:cs="Arial"/>
                <w:szCs w:val="22"/>
              </w:rPr>
            </w:pPr>
            <w:r w:rsidRPr="00DE2FAF">
              <w:rPr>
                <w:rFonts w:cs="Arial"/>
                <w:szCs w:val="22"/>
              </w:rPr>
              <w:t>Timing of CT investigation for renal colic</w:t>
            </w:r>
          </w:p>
        </w:tc>
        <w:tc>
          <w:tcPr>
            <w:tcW w:w="919" w:type="pct"/>
          </w:tcPr>
          <w:p w14:paraId="7C420FD5" w14:textId="7C051586" w:rsidR="005C559F" w:rsidRPr="00DE2FAF" w:rsidRDefault="005C559F" w:rsidP="005C559F">
            <w:pPr>
              <w:pStyle w:val="Tabletext"/>
              <w:rPr>
                <w:rFonts w:cs="Arial"/>
                <w:szCs w:val="22"/>
              </w:rPr>
            </w:pPr>
            <w:r w:rsidRPr="00DE2FAF">
              <w:rPr>
                <w:rFonts w:cs="Arial"/>
                <w:szCs w:val="22"/>
              </w:rPr>
              <w:t>Renal colic causes severe pain and distress and many hospitals are not well set up so that the definitive diagnostic imaging is delayed. This increases anxiety, pain, morbidity, definitive management, length of stay and is a poor use of resources</w:t>
            </w:r>
          </w:p>
        </w:tc>
        <w:tc>
          <w:tcPr>
            <w:tcW w:w="1014" w:type="pct"/>
          </w:tcPr>
          <w:p w14:paraId="6A17B761" w14:textId="77777777" w:rsidR="005C559F" w:rsidRPr="00DE2FAF" w:rsidRDefault="005C559F" w:rsidP="005C559F">
            <w:pPr>
              <w:pStyle w:val="Paragraphnonumbers"/>
              <w:rPr>
                <w:rFonts w:cs="Arial"/>
                <w:sz w:val="22"/>
                <w:szCs w:val="22"/>
              </w:rPr>
            </w:pPr>
            <w:r w:rsidRPr="00DE2FAF">
              <w:rPr>
                <w:rFonts w:cs="Arial"/>
                <w:sz w:val="22"/>
                <w:szCs w:val="22"/>
              </w:rPr>
              <w:t>NICE guidelines recommend that CT is offered urgently, which they define as within 24 hours.</w:t>
            </w:r>
          </w:p>
          <w:p w14:paraId="0D666002" w14:textId="2AE2EE43" w:rsidR="005C559F" w:rsidRPr="00DE2FAF" w:rsidRDefault="005C559F" w:rsidP="005C559F">
            <w:pPr>
              <w:rPr>
                <w:rFonts w:ascii="Arial" w:hAnsi="Arial" w:cs="Arial"/>
                <w:sz w:val="22"/>
                <w:szCs w:val="22"/>
              </w:rPr>
            </w:pPr>
            <w:r w:rsidRPr="00DE2FAF">
              <w:rPr>
                <w:rFonts w:ascii="Arial" w:hAnsi="Arial" w:cs="Arial"/>
                <w:sz w:val="22"/>
                <w:szCs w:val="22"/>
              </w:rPr>
              <w:t>Ideally the CT scan should be done in the emergency department (&lt;4 hours)</w:t>
            </w:r>
          </w:p>
        </w:tc>
        <w:tc>
          <w:tcPr>
            <w:tcW w:w="943" w:type="pct"/>
          </w:tcPr>
          <w:p w14:paraId="5EDB5B00" w14:textId="77777777" w:rsidR="005C559F" w:rsidRPr="00DE2FAF" w:rsidRDefault="005C559F" w:rsidP="005C559F">
            <w:pPr>
              <w:pStyle w:val="Default"/>
              <w:rPr>
                <w:sz w:val="22"/>
                <w:szCs w:val="22"/>
              </w:rPr>
            </w:pPr>
            <w:r w:rsidRPr="00DE2FAF">
              <w:rPr>
                <w:sz w:val="22"/>
                <w:szCs w:val="22"/>
              </w:rPr>
              <w:t xml:space="preserve">Renal and ureteric stones: assessment and management (2019) NICE guideline 118 </w:t>
            </w:r>
          </w:p>
          <w:p w14:paraId="203F06F6" w14:textId="77777777" w:rsidR="005C559F" w:rsidRPr="00DE2FAF" w:rsidRDefault="005C559F" w:rsidP="005C559F">
            <w:pPr>
              <w:pStyle w:val="Default"/>
              <w:rPr>
                <w:sz w:val="22"/>
                <w:szCs w:val="22"/>
              </w:rPr>
            </w:pPr>
          </w:p>
          <w:p w14:paraId="2B7DE97F" w14:textId="627F3D56" w:rsidR="005C559F" w:rsidRPr="00DE2FAF" w:rsidRDefault="005C559F" w:rsidP="00233AEB">
            <w:pPr>
              <w:rPr>
                <w:rFonts w:ascii="Arial" w:hAnsi="Arial" w:cs="Arial"/>
                <w:sz w:val="22"/>
                <w:szCs w:val="22"/>
              </w:rPr>
            </w:pPr>
            <w:r w:rsidRPr="00DE2FAF">
              <w:rPr>
                <w:rFonts w:ascii="Arial" w:eastAsia="Calibri" w:hAnsi="Arial" w:cs="Arial"/>
                <w:sz w:val="22"/>
                <w:szCs w:val="22"/>
              </w:rPr>
              <w:t>British Association of Urological Surgeons standards for management of acute ureteric colic. JCU 2018;111:58-61</w:t>
            </w:r>
          </w:p>
        </w:tc>
      </w:tr>
      <w:tr w:rsidR="00B833B7" w:rsidRPr="00DE2FAF" w14:paraId="6500C7D6" w14:textId="77777777" w:rsidTr="00B833B7">
        <w:trPr>
          <w:trHeight w:val="282"/>
        </w:trPr>
        <w:tc>
          <w:tcPr>
            <w:tcW w:w="5000" w:type="pct"/>
            <w:gridSpan w:val="6"/>
          </w:tcPr>
          <w:p w14:paraId="0D111FE2" w14:textId="44457673" w:rsidR="00B833B7" w:rsidRPr="00B833B7" w:rsidRDefault="00B833B7" w:rsidP="005C559F">
            <w:pPr>
              <w:rPr>
                <w:rFonts w:ascii="Arial" w:hAnsi="Arial" w:cs="Arial"/>
                <w:sz w:val="22"/>
                <w:szCs w:val="22"/>
              </w:rPr>
            </w:pPr>
            <w:r w:rsidRPr="00B833B7">
              <w:rPr>
                <w:rFonts w:ascii="Arial" w:hAnsi="Arial" w:cs="Arial"/>
                <w:b/>
                <w:bCs/>
                <w:sz w:val="22"/>
                <w:szCs w:val="22"/>
              </w:rPr>
              <w:lastRenderedPageBreak/>
              <w:t>Pain management</w:t>
            </w:r>
          </w:p>
        </w:tc>
      </w:tr>
      <w:tr w:rsidR="00B833B7" w:rsidRPr="00DE2FAF" w14:paraId="4000D5E3" w14:textId="77777777" w:rsidTr="00B77627">
        <w:trPr>
          <w:trHeight w:val="282"/>
        </w:trPr>
        <w:tc>
          <w:tcPr>
            <w:tcW w:w="192" w:type="pct"/>
          </w:tcPr>
          <w:p w14:paraId="532BBE02" w14:textId="7E1D569F" w:rsidR="005C559F" w:rsidRPr="00B833B7" w:rsidRDefault="00B833B7" w:rsidP="005C559F">
            <w:pPr>
              <w:pStyle w:val="Tabletext"/>
              <w:rPr>
                <w:rFonts w:cs="Arial"/>
                <w:szCs w:val="22"/>
              </w:rPr>
            </w:pPr>
            <w:r w:rsidRPr="00B833B7">
              <w:rPr>
                <w:rFonts w:cs="Arial"/>
                <w:szCs w:val="22"/>
              </w:rPr>
              <w:t>11</w:t>
            </w:r>
          </w:p>
        </w:tc>
        <w:tc>
          <w:tcPr>
            <w:tcW w:w="772" w:type="pct"/>
          </w:tcPr>
          <w:p w14:paraId="5025340F" w14:textId="48206393" w:rsidR="005C559F" w:rsidRPr="00DE2FAF" w:rsidRDefault="00DE2FAF" w:rsidP="005C559F">
            <w:pPr>
              <w:pStyle w:val="Tabletext"/>
              <w:rPr>
                <w:rFonts w:cs="Arial"/>
                <w:szCs w:val="22"/>
              </w:rPr>
            </w:pPr>
            <w:r>
              <w:rPr>
                <w:rFonts w:cs="Arial"/>
                <w:szCs w:val="22"/>
              </w:rPr>
              <w:t>SCM 1</w:t>
            </w:r>
          </w:p>
        </w:tc>
        <w:tc>
          <w:tcPr>
            <w:tcW w:w="1160" w:type="pct"/>
          </w:tcPr>
          <w:p w14:paraId="744E786F" w14:textId="77777777" w:rsidR="005C559F" w:rsidRPr="00DE2FAF" w:rsidRDefault="005C559F" w:rsidP="005C559F">
            <w:pPr>
              <w:pStyle w:val="Paragraphnonumbers"/>
              <w:spacing w:after="120"/>
              <w:rPr>
                <w:rFonts w:cs="Arial"/>
                <w:sz w:val="22"/>
                <w:szCs w:val="22"/>
              </w:rPr>
            </w:pPr>
            <w:r w:rsidRPr="00DE2FAF">
              <w:rPr>
                <w:rFonts w:cs="Arial"/>
                <w:sz w:val="22"/>
                <w:szCs w:val="22"/>
              </w:rPr>
              <w:t>Key area for quality improvement 1</w:t>
            </w:r>
          </w:p>
          <w:p w14:paraId="3E4AFB6A" w14:textId="016F3356" w:rsidR="005C559F" w:rsidRPr="00DE2FAF" w:rsidRDefault="005C559F" w:rsidP="005C559F">
            <w:pPr>
              <w:pStyle w:val="Tabletext"/>
              <w:rPr>
                <w:rFonts w:cs="Arial"/>
                <w:szCs w:val="22"/>
              </w:rPr>
            </w:pPr>
            <w:r w:rsidRPr="00DE2FAF">
              <w:rPr>
                <w:rFonts w:cs="Arial"/>
                <w:szCs w:val="22"/>
              </w:rPr>
              <w:t>Analgesia choice in renal colic</w:t>
            </w:r>
          </w:p>
        </w:tc>
        <w:tc>
          <w:tcPr>
            <w:tcW w:w="919" w:type="pct"/>
          </w:tcPr>
          <w:p w14:paraId="5D9BF4C9" w14:textId="22112B35" w:rsidR="005C559F" w:rsidRPr="00DE2FAF" w:rsidRDefault="005C559F" w:rsidP="005C559F">
            <w:pPr>
              <w:pStyle w:val="Tabletext"/>
              <w:rPr>
                <w:rFonts w:cs="Arial"/>
                <w:szCs w:val="22"/>
              </w:rPr>
            </w:pPr>
            <w:r w:rsidRPr="00DE2FAF">
              <w:rPr>
                <w:rFonts w:cs="Arial"/>
                <w:szCs w:val="22"/>
              </w:rPr>
              <w:t>Renal colic is common and often is a very severe pain resulting in severe distress to patients</w:t>
            </w:r>
          </w:p>
        </w:tc>
        <w:tc>
          <w:tcPr>
            <w:tcW w:w="1014" w:type="pct"/>
          </w:tcPr>
          <w:p w14:paraId="07B3563E" w14:textId="77777777" w:rsidR="005C559F" w:rsidRPr="00DE2FAF" w:rsidRDefault="005C559F" w:rsidP="005C559F">
            <w:pPr>
              <w:pStyle w:val="Paragraphnonumbers"/>
              <w:rPr>
                <w:rFonts w:cs="Arial"/>
                <w:sz w:val="22"/>
                <w:szCs w:val="22"/>
              </w:rPr>
            </w:pPr>
            <w:r w:rsidRPr="00DE2FAF">
              <w:rPr>
                <w:rFonts w:cs="Arial"/>
                <w:sz w:val="22"/>
                <w:szCs w:val="22"/>
              </w:rPr>
              <w:t>NICE guidelines evidence have provided clear guidelines as to the analgesia choices to most-effectively reduce renal colic pain and minimise analgesia-related side effects.</w:t>
            </w:r>
          </w:p>
          <w:p w14:paraId="06003A2B" w14:textId="77777777" w:rsidR="005C559F" w:rsidRPr="00DE2FAF" w:rsidRDefault="005C559F" w:rsidP="005C559F">
            <w:pPr>
              <w:pStyle w:val="Paragraphnonumbers"/>
              <w:numPr>
                <w:ilvl w:val="0"/>
                <w:numId w:val="28"/>
              </w:numPr>
              <w:rPr>
                <w:rFonts w:cs="Arial"/>
                <w:sz w:val="22"/>
                <w:szCs w:val="22"/>
              </w:rPr>
            </w:pPr>
            <w:r w:rsidRPr="00DE2FAF">
              <w:rPr>
                <w:rFonts w:cs="Arial"/>
                <w:sz w:val="22"/>
                <w:szCs w:val="22"/>
              </w:rPr>
              <w:t>NSAIDs</w:t>
            </w:r>
          </w:p>
          <w:p w14:paraId="51C430D7" w14:textId="77777777" w:rsidR="005C559F" w:rsidRPr="00DE2FAF" w:rsidRDefault="005C559F" w:rsidP="005C559F">
            <w:pPr>
              <w:pStyle w:val="Paragraphnonumbers"/>
              <w:numPr>
                <w:ilvl w:val="0"/>
                <w:numId w:val="28"/>
              </w:numPr>
              <w:rPr>
                <w:rFonts w:cs="Arial"/>
                <w:sz w:val="22"/>
                <w:szCs w:val="22"/>
              </w:rPr>
            </w:pPr>
            <w:r w:rsidRPr="00DE2FAF">
              <w:rPr>
                <w:rFonts w:cs="Arial"/>
                <w:sz w:val="22"/>
                <w:szCs w:val="22"/>
              </w:rPr>
              <w:t>IV paracetamol</w:t>
            </w:r>
          </w:p>
          <w:p w14:paraId="6E92868D" w14:textId="77777777" w:rsidR="005C559F" w:rsidRPr="00DE2FAF" w:rsidRDefault="005C559F" w:rsidP="005C559F">
            <w:pPr>
              <w:pStyle w:val="Paragraphnonumbers"/>
              <w:numPr>
                <w:ilvl w:val="0"/>
                <w:numId w:val="28"/>
              </w:numPr>
              <w:rPr>
                <w:rFonts w:cs="Arial"/>
                <w:sz w:val="22"/>
                <w:szCs w:val="22"/>
              </w:rPr>
            </w:pPr>
            <w:r w:rsidRPr="00DE2FAF">
              <w:rPr>
                <w:rFonts w:cs="Arial"/>
                <w:sz w:val="22"/>
                <w:szCs w:val="22"/>
              </w:rPr>
              <w:t>Opiates</w:t>
            </w:r>
          </w:p>
          <w:p w14:paraId="430AB6B5" w14:textId="0640BAAC" w:rsidR="005C559F" w:rsidRPr="00DE2FAF" w:rsidRDefault="005C559F" w:rsidP="005C559F">
            <w:pPr>
              <w:rPr>
                <w:rFonts w:ascii="Arial" w:hAnsi="Arial" w:cs="Arial"/>
                <w:sz w:val="22"/>
                <w:szCs w:val="22"/>
              </w:rPr>
            </w:pPr>
            <w:r w:rsidRPr="00DE2FAF">
              <w:rPr>
                <w:rFonts w:ascii="Arial" w:hAnsi="Arial" w:cs="Arial"/>
                <w:sz w:val="22"/>
                <w:szCs w:val="22"/>
              </w:rPr>
              <w:t xml:space="preserve"> I believe that knowledge of this has not reached many emergency departments and ambulance services who often are the professionals administering initial analgesia to patient with renal colic.</w:t>
            </w:r>
          </w:p>
        </w:tc>
        <w:tc>
          <w:tcPr>
            <w:tcW w:w="943" w:type="pct"/>
          </w:tcPr>
          <w:p w14:paraId="7C461E3D" w14:textId="77777777" w:rsidR="005C559F" w:rsidRPr="00DE2FAF" w:rsidRDefault="005C559F" w:rsidP="005C559F">
            <w:pPr>
              <w:pStyle w:val="Default"/>
              <w:rPr>
                <w:sz w:val="22"/>
                <w:szCs w:val="22"/>
              </w:rPr>
            </w:pPr>
            <w:r w:rsidRPr="00DE2FAF">
              <w:rPr>
                <w:sz w:val="22"/>
                <w:szCs w:val="22"/>
              </w:rPr>
              <w:t xml:space="preserve">Renal and ureteric stones: assessment and management (2019) NICE guideline 118 </w:t>
            </w:r>
          </w:p>
          <w:p w14:paraId="0D1028FB" w14:textId="77777777" w:rsidR="005C559F" w:rsidRPr="00DE2FAF" w:rsidRDefault="005C559F" w:rsidP="005C559F">
            <w:pPr>
              <w:rPr>
                <w:rFonts w:ascii="Arial" w:hAnsi="Arial" w:cs="Arial"/>
                <w:sz w:val="22"/>
                <w:szCs w:val="22"/>
              </w:rPr>
            </w:pPr>
          </w:p>
        </w:tc>
      </w:tr>
      <w:tr w:rsidR="00B833B7" w:rsidRPr="00DE2FAF" w14:paraId="691A1C1D" w14:textId="77777777" w:rsidTr="00B77627">
        <w:trPr>
          <w:trHeight w:val="282"/>
        </w:trPr>
        <w:tc>
          <w:tcPr>
            <w:tcW w:w="192" w:type="pct"/>
          </w:tcPr>
          <w:p w14:paraId="7B1A41D9" w14:textId="5739D8B1" w:rsidR="005C559F" w:rsidRPr="00B833B7" w:rsidRDefault="00B833B7" w:rsidP="005C559F">
            <w:pPr>
              <w:pStyle w:val="Tabletext"/>
              <w:rPr>
                <w:rFonts w:cs="Arial"/>
                <w:szCs w:val="22"/>
              </w:rPr>
            </w:pPr>
            <w:r w:rsidRPr="00B833B7">
              <w:rPr>
                <w:rFonts w:cs="Arial"/>
                <w:szCs w:val="22"/>
              </w:rPr>
              <w:t>12</w:t>
            </w:r>
          </w:p>
        </w:tc>
        <w:tc>
          <w:tcPr>
            <w:tcW w:w="772" w:type="pct"/>
          </w:tcPr>
          <w:p w14:paraId="395D209D" w14:textId="2D79C7B0" w:rsidR="005C559F" w:rsidRPr="00DE2FAF" w:rsidRDefault="00DE2FAF" w:rsidP="005C559F">
            <w:pPr>
              <w:pStyle w:val="Tabletext"/>
              <w:rPr>
                <w:rFonts w:cs="Arial"/>
                <w:szCs w:val="22"/>
              </w:rPr>
            </w:pPr>
            <w:r>
              <w:rPr>
                <w:rFonts w:cs="Arial"/>
                <w:szCs w:val="22"/>
              </w:rPr>
              <w:t>SCM 2</w:t>
            </w:r>
          </w:p>
        </w:tc>
        <w:tc>
          <w:tcPr>
            <w:tcW w:w="1160" w:type="pct"/>
          </w:tcPr>
          <w:p w14:paraId="44B8E766" w14:textId="754F7C7E" w:rsidR="005C559F" w:rsidRPr="00DE2FAF" w:rsidRDefault="005C559F" w:rsidP="005C559F">
            <w:pPr>
              <w:pStyle w:val="Tabletext"/>
              <w:rPr>
                <w:rFonts w:cs="Arial"/>
                <w:szCs w:val="22"/>
              </w:rPr>
            </w:pPr>
            <w:r w:rsidRPr="00DE2FAF">
              <w:rPr>
                <w:rFonts w:cs="Arial"/>
                <w:szCs w:val="22"/>
              </w:rPr>
              <w:t xml:space="preserve">(1)Offer  a </w:t>
            </w:r>
            <w:bookmarkStart w:id="44" w:name="_Hlk16062966"/>
            <w:r w:rsidRPr="00DE2FAF">
              <w:rPr>
                <w:rFonts w:cs="Arial"/>
                <w:szCs w:val="22"/>
              </w:rPr>
              <w:t xml:space="preserve">non-steroidal anti-inflammatory drug </w:t>
            </w:r>
            <w:bookmarkEnd w:id="44"/>
            <w:r w:rsidRPr="00DE2FAF">
              <w:rPr>
                <w:rFonts w:cs="Arial"/>
                <w:szCs w:val="22"/>
              </w:rPr>
              <w:t>by any route as first line treatment for adults, children and young people suspected of renal colic</w:t>
            </w:r>
          </w:p>
        </w:tc>
        <w:tc>
          <w:tcPr>
            <w:tcW w:w="919" w:type="pct"/>
          </w:tcPr>
          <w:p w14:paraId="04920F06" w14:textId="0567D8A0" w:rsidR="005C559F" w:rsidRPr="00DE2FAF" w:rsidRDefault="005C559F" w:rsidP="005C559F">
            <w:pPr>
              <w:pStyle w:val="Tabletext"/>
              <w:rPr>
                <w:rFonts w:cs="Arial"/>
                <w:szCs w:val="22"/>
              </w:rPr>
            </w:pPr>
            <w:r w:rsidRPr="00DE2FAF">
              <w:rPr>
                <w:rFonts w:cs="Arial"/>
                <w:szCs w:val="22"/>
              </w:rPr>
              <w:t>NICE Guideline, enabling cost and clinically effective initial treatment to be standardised</w:t>
            </w:r>
          </w:p>
        </w:tc>
        <w:tc>
          <w:tcPr>
            <w:tcW w:w="1014" w:type="pct"/>
          </w:tcPr>
          <w:p w14:paraId="7256F9EC" w14:textId="7BEE267F" w:rsidR="005C559F" w:rsidRPr="00DE2FAF" w:rsidRDefault="005C559F" w:rsidP="005C559F">
            <w:pPr>
              <w:rPr>
                <w:rFonts w:ascii="Arial" w:hAnsi="Arial" w:cs="Arial"/>
                <w:sz w:val="22"/>
                <w:szCs w:val="22"/>
              </w:rPr>
            </w:pPr>
            <w:r w:rsidRPr="00DE2FAF">
              <w:rPr>
                <w:rFonts w:ascii="Arial" w:hAnsi="Arial" w:cs="Arial"/>
                <w:sz w:val="22"/>
                <w:szCs w:val="22"/>
              </w:rPr>
              <w:t>There is evidence of varying practice nationwide</w:t>
            </w:r>
          </w:p>
        </w:tc>
        <w:tc>
          <w:tcPr>
            <w:tcW w:w="943" w:type="pct"/>
          </w:tcPr>
          <w:p w14:paraId="0DBEBB0A" w14:textId="7A47D510" w:rsidR="005C559F" w:rsidRPr="00DE2FAF" w:rsidRDefault="005C559F" w:rsidP="005C559F">
            <w:pPr>
              <w:rPr>
                <w:rFonts w:ascii="Arial" w:hAnsi="Arial" w:cs="Arial"/>
                <w:sz w:val="22"/>
                <w:szCs w:val="22"/>
              </w:rPr>
            </w:pPr>
            <w:r w:rsidRPr="00DE2FAF">
              <w:rPr>
                <w:rFonts w:ascii="Arial" w:hAnsi="Arial" w:cs="Arial"/>
                <w:sz w:val="22"/>
                <w:szCs w:val="22"/>
              </w:rPr>
              <w:t>NICE Guideline and background documentation</w:t>
            </w:r>
          </w:p>
        </w:tc>
      </w:tr>
      <w:tr w:rsidR="00B833B7" w:rsidRPr="00DE2FAF" w14:paraId="1EB593DB" w14:textId="77777777" w:rsidTr="00B77627">
        <w:trPr>
          <w:trHeight w:val="282"/>
        </w:trPr>
        <w:tc>
          <w:tcPr>
            <w:tcW w:w="192" w:type="pct"/>
          </w:tcPr>
          <w:p w14:paraId="29B56831" w14:textId="2C23507D" w:rsidR="005C559F" w:rsidRPr="00B833B7" w:rsidRDefault="00B833B7" w:rsidP="005C559F">
            <w:pPr>
              <w:pStyle w:val="Tabletext"/>
              <w:rPr>
                <w:rFonts w:cs="Arial"/>
                <w:szCs w:val="22"/>
              </w:rPr>
            </w:pPr>
            <w:r w:rsidRPr="00B833B7">
              <w:rPr>
                <w:rFonts w:cs="Arial"/>
                <w:szCs w:val="22"/>
              </w:rPr>
              <w:lastRenderedPageBreak/>
              <w:t>13</w:t>
            </w:r>
          </w:p>
        </w:tc>
        <w:tc>
          <w:tcPr>
            <w:tcW w:w="772" w:type="pct"/>
          </w:tcPr>
          <w:p w14:paraId="2F6AE99B" w14:textId="6DBD3B43" w:rsidR="005C559F" w:rsidRPr="00DE2FAF" w:rsidRDefault="00DE2FAF" w:rsidP="005C559F">
            <w:pPr>
              <w:pStyle w:val="Tabletext"/>
              <w:rPr>
                <w:rFonts w:cs="Arial"/>
                <w:szCs w:val="22"/>
              </w:rPr>
            </w:pPr>
            <w:r>
              <w:rPr>
                <w:rFonts w:cs="Arial"/>
                <w:szCs w:val="22"/>
              </w:rPr>
              <w:t>SCM 3</w:t>
            </w:r>
          </w:p>
        </w:tc>
        <w:tc>
          <w:tcPr>
            <w:tcW w:w="1160" w:type="pct"/>
          </w:tcPr>
          <w:p w14:paraId="2CBBC9DC" w14:textId="77777777" w:rsidR="005C559F" w:rsidRPr="00DE2FAF" w:rsidRDefault="005C559F" w:rsidP="005C559F">
            <w:pPr>
              <w:pStyle w:val="TableText1"/>
              <w:rPr>
                <w:rFonts w:cs="Arial"/>
                <w:szCs w:val="22"/>
              </w:rPr>
            </w:pPr>
            <w:r w:rsidRPr="00DE2FAF">
              <w:rPr>
                <w:rFonts w:cs="Arial"/>
                <w:szCs w:val="22"/>
              </w:rPr>
              <w:t>Key area for quality improvement 4</w:t>
            </w:r>
          </w:p>
          <w:p w14:paraId="3390B5ED" w14:textId="3B3BC381" w:rsidR="005C559F" w:rsidRPr="00DE2FAF" w:rsidRDefault="005C559F" w:rsidP="005C559F">
            <w:pPr>
              <w:pStyle w:val="Tabletext"/>
              <w:rPr>
                <w:rFonts w:cs="Arial"/>
                <w:szCs w:val="22"/>
              </w:rPr>
            </w:pPr>
            <w:r w:rsidRPr="00DE2FAF">
              <w:rPr>
                <w:rFonts w:cs="Arial"/>
                <w:szCs w:val="22"/>
              </w:rPr>
              <w:t>Analgesia</w:t>
            </w:r>
          </w:p>
        </w:tc>
        <w:tc>
          <w:tcPr>
            <w:tcW w:w="919" w:type="pct"/>
          </w:tcPr>
          <w:p w14:paraId="51A01E09" w14:textId="7EC809BF" w:rsidR="005C559F" w:rsidRPr="00DE2FAF" w:rsidRDefault="005C559F" w:rsidP="005C559F">
            <w:pPr>
              <w:pStyle w:val="Tabletext"/>
              <w:rPr>
                <w:rFonts w:cs="Arial"/>
                <w:szCs w:val="22"/>
              </w:rPr>
            </w:pPr>
            <w:r w:rsidRPr="00DE2FAF">
              <w:rPr>
                <w:rFonts w:cs="Arial"/>
                <w:szCs w:val="22"/>
              </w:rPr>
              <w:t>Wide variation in types of analgesia used. Opiates are probably used routinely as first of second line analgesia in significant number of units</w:t>
            </w:r>
          </w:p>
        </w:tc>
        <w:tc>
          <w:tcPr>
            <w:tcW w:w="1014" w:type="pct"/>
          </w:tcPr>
          <w:p w14:paraId="06AD306A" w14:textId="5B2AD514" w:rsidR="005C559F" w:rsidRPr="00DE2FAF" w:rsidRDefault="005C559F" w:rsidP="005C559F">
            <w:pPr>
              <w:rPr>
                <w:rFonts w:ascii="Arial" w:hAnsi="Arial" w:cs="Arial"/>
                <w:sz w:val="22"/>
                <w:szCs w:val="22"/>
              </w:rPr>
            </w:pPr>
            <w:r w:rsidRPr="00DE2FAF">
              <w:rPr>
                <w:rFonts w:ascii="Arial" w:hAnsi="Arial" w:cs="Arial"/>
                <w:sz w:val="22"/>
                <w:szCs w:val="22"/>
              </w:rPr>
              <w:t>Would provide a better evidenced based pain management of renal colic</w:t>
            </w:r>
          </w:p>
        </w:tc>
        <w:tc>
          <w:tcPr>
            <w:tcW w:w="943" w:type="pct"/>
          </w:tcPr>
          <w:p w14:paraId="3D2710A0" w14:textId="77777777" w:rsidR="005C559F" w:rsidRPr="00DE2FAF" w:rsidRDefault="005C559F" w:rsidP="005C559F">
            <w:pPr>
              <w:rPr>
                <w:rFonts w:ascii="Arial" w:hAnsi="Arial" w:cs="Arial"/>
                <w:sz w:val="22"/>
                <w:szCs w:val="22"/>
              </w:rPr>
            </w:pPr>
          </w:p>
        </w:tc>
      </w:tr>
      <w:tr w:rsidR="00DE2FAF" w:rsidRPr="00DE2FAF" w14:paraId="6CC59F33" w14:textId="77777777" w:rsidTr="00DE2FAF">
        <w:trPr>
          <w:trHeight w:val="282"/>
        </w:trPr>
        <w:tc>
          <w:tcPr>
            <w:tcW w:w="5000" w:type="pct"/>
            <w:gridSpan w:val="6"/>
          </w:tcPr>
          <w:p w14:paraId="65AE5A28" w14:textId="7F87ADF3" w:rsidR="00DE2FAF" w:rsidRPr="00B833B7" w:rsidRDefault="00DE2FAF" w:rsidP="005C559F">
            <w:pPr>
              <w:rPr>
                <w:rFonts w:ascii="Arial" w:hAnsi="Arial" w:cs="Arial"/>
                <w:sz w:val="22"/>
                <w:szCs w:val="22"/>
              </w:rPr>
            </w:pPr>
            <w:r w:rsidRPr="00B833B7">
              <w:rPr>
                <w:rFonts w:ascii="Arial" w:hAnsi="Arial" w:cs="Arial"/>
                <w:b/>
                <w:bCs/>
                <w:sz w:val="22"/>
                <w:szCs w:val="22"/>
              </w:rPr>
              <w:t>Treatment</w:t>
            </w:r>
          </w:p>
        </w:tc>
      </w:tr>
      <w:tr w:rsidR="00DE2FAF" w:rsidRPr="00DE2FAF" w14:paraId="1AF2E25A" w14:textId="77777777" w:rsidTr="00DE2FAF">
        <w:trPr>
          <w:trHeight w:val="282"/>
        </w:trPr>
        <w:tc>
          <w:tcPr>
            <w:tcW w:w="5000" w:type="pct"/>
            <w:gridSpan w:val="6"/>
          </w:tcPr>
          <w:p w14:paraId="46E0037E" w14:textId="7CD3D5D7" w:rsidR="00DE2FAF" w:rsidRPr="00B833B7" w:rsidRDefault="00DE2FAF" w:rsidP="005C559F">
            <w:pPr>
              <w:rPr>
                <w:rFonts w:ascii="Arial" w:hAnsi="Arial" w:cs="Arial"/>
                <w:sz w:val="22"/>
                <w:szCs w:val="22"/>
              </w:rPr>
            </w:pPr>
            <w:r w:rsidRPr="00B833B7">
              <w:rPr>
                <w:rFonts w:ascii="Arial" w:hAnsi="Arial" w:cs="Arial"/>
                <w:b/>
                <w:bCs/>
                <w:sz w:val="22"/>
                <w:szCs w:val="22"/>
              </w:rPr>
              <w:t>Stenting</w:t>
            </w:r>
          </w:p>
        </w:tc>
      </w:tr>
      <w:tr w:rsidR="00B833B7" w:rsidRPr="00DE2FAF" w14:paraId="0F22E8C9" w14:textId="77777777" w:rsidTr="00B77627">
        <w:trPr>
          <w:trHeight w:val="282"/>
        </w:trPr>
        <w:tc>
          <w:tcPr>
            <w:tcW w:w="192" w:type="pct"/>
          </w:tcPr>
          <w:p w14:paraId="72E2478C" w14:textId="0E9CE3C1" w:rsidR="005C559F" w:rsidRPr="00B833B7" w:rsidRDefault="00B833B7" w:rsidP="005C559F">
            <w:pPr>
              <w:pStyle w:val="Tabletext"/>
              <w:rPr>
                <w:rFonts w:cs="Arial"/>
                <w:szCs w:val="22"/>
              </w:rPr>
            </w:pPr>
            <w:r w:rsidRPr="00B833B7">
              <w:rPr>
                <w:rFonts w:cs="Arial"/>
                <w:szCs w:val="22"/>
              </w:rPr>
              <w:t>14</w:t>
            </w:r>
          </w:p>
        </w:tc>
        <w:tc>
          <w:tcPr>
            <w:tcW w:w="772" w:type="pct"/>
          </w:tcPr>
          <w:p w14:paraId="6DDFB02E" w14:textId="7259D093" w:rsidR="005C559F" w:rsidRPr="00DE2FAF" w:rsidRDefault="005C559F" w:rsidP="005C559F">
            <w:pPr>
              <w:pStyle w:val="Tabletext"/>
              <w:rPr>
                <w:rFonts w:cs="Arial"/>
                <w:szCs w:val="22"/>
              </w:rPr>
            </w:pPr>
            <w:r w:rsidRPr="00DE2FAF">
              <w:rPr>
                <w:rFonts w:cs="Arial"/>
                <w:szCs w:val="22"/>
              </w:rPr>
              <w:t xml:space="preserve">BAUS Section of </w:t>
            </w:r>
            <w:proofErr w:type="spellStart"/>
            <w:r w:rsidRPr="00DE2FAF">
              <w:rPr>
                <w:rFonts w:cs="Arial"/>
                <w:szCs w:val="22"/>
              </w:rPr>
              <w:t>EndoUrology</w:t>
            </w:r>
            <w:proofErr w:type="spellEnd"/>
          </w:p>
        </w:tc>
        <w:tc>
          <w:tcPr>
            <w:tcW w:w="1160" w:type="pct"/>
          </w:tcPr>
          <w:p w14:paraId="7AA38997" w14:textId="77777777" w:rsidR="005C559F" w:rsidRPr="00DE2FAF" w:rsidRDefault="005C559F" w:rsidP="005C559F">
            <w:pPr>
              <w:pStyle w:val="TableText1"/>
              <w:rPr>
                <w:rFonts w:cs="Arial"/>
                <w:szCs w:val="22"/>
              </w:rPr>
            </w:pPr>
            <w:r w:rsidRPr="00DE2FAF">
              <w:rPr>
                <w:rFonts w:cs="Arial"/>
                <w:szCs w:val="22"/>
              </w:rPr>
              <w:t>Key area for quality improvement 4</w:t>
            </w:r>
          </w:p>
          <w:p w14:paraId="6EE25F29" w14:textId="77777777" w:rsidR="005C559F" w:rsidRPr="00DE2FAF" w:rsidRDefault="005C559F" w:rsidP="005C559F">
            <w:pPr>
              <w:pStyle w:val="TableText1"/>
              <w:rPr>
                <w:rFonts w:cs="Arial"/>
                <w:szCs w:val="22"/>
              </w:rPr>
            </w:pPr>
          </w:p>
          <w:p w14:paraId="3976CB53" w14:textId="7D69AB17" w:rsidR="005C559F" w:rsidRPr="00DE2FAF" w:rsidRDefault="005C559F" w:rsidP="005C559F">
            <w:pPr>
              <w:pStyle w:val="Tabletext"/>
              <w:rPr>
                <w:rFonts w:cs="Arial"/>
                <w:szCs w:val="22"/>
              </w:rPr>
            </w:pPr>
            <w:r w:rsidRPr="00DE2FAF">
              <w:rPr>
                <w:rFonts w:cs="Arial"/>
                <w:szCs w:val="22"/>
              </w:rPr>
              <w:t>Removal of ureteric stent within 2 weeks of decision to remove</w:t>
            </w:r>
          </w:p>
        </w:tc>
        <w:tc>
          <w:tcPr>
            <w:tcW w:w="919" w:type="pct"/>
          </w:tcPr>
          <w:p w14:paraId="59D593A8" w14:textId="77777777" w:rsidR="005C559F" w:rsidRPr="00DE2FAF" w:rsidRDefault="005C559F" w:rsidP="005C559F">
            <w:pPr>
              <w:pStyle w:val="TableText1"/>
              <w:rPr>
                <w:rFonts w:cs="Arial"/>
                <w:szCs w:val="22"/>
              </w:rPr>
            </w:pPr>
            <w:r w:rsidRPr="00DE2FAF">
              <w:rPr>
                <w:rFonts w:cs="Arial"/>
                <w:szCs w:val="22"/>
              </w:rPr>
              <w:t xml:space="preserve">Ureteric stents have a negative effect on patient quality of life. Stent dwell time is related to risk of encrustation and urinary tract infection. </w:t>
            </w:r>
          </w:p>
          <w:p w14:paraId="1D62F750" w14:textId="77777777" w:rsidR="005C559F" w:rsidRPr="00DE2FAF" w:rsidRDefault="005C559F" w:rsidP="005C559F">
            <w:pPr>
              <w:pStyle w:val="Tabletext"/>
              <w:rPr>
                <w:rFonts w:cs="Arial"/>
                <w:szCs w:val="22"/>
              </w:rPr>
            </w:pPr>
          </w:p>
        </w:tc>
        <w:tc>
          <w:tcPr>
            <w:tcW w:w="1014" w:type="pct"/>
          </w:tcPr>
          <w:p w14:paraId="718E6912" w14:textId="77777777" w:rsidR="005C559F" w:rsidRPr="00DE2FAF" w:rsidRDefault="005C559F" w:rsidP="005C559F">
            <w:pPr>
              <w:pStyle w:val="TableText1"/>
              <w:rPr>
                <w:rFonts w:cs="Arial"/>
                <w:szCs w:val="22"/>
              </w:rPr>
            </w:pPr>
            <w:r w:rsidRPr="00DE2FAF">
              <w:rPr>
                <w:rFonts w:cs="Arial"/>
                <w:szCs w:val="22"/>
              </w:rPr>
              <w:t>Stent removal should be undertaken as soon as possible following the decision for removal. Logistical factors can often prevent this and result in a reduced quality of life for the patient, but also put the patient at higher risk of urinary tract infection, stent encrustation and complex stone surgery to remove the stent from a patient. This result in added health care costs and morbidity for the patient. Prompt removal of a stent once the decision has been made to remove it will minimise these complications for the patient and improve quality of life and patient reported outcome measures.</w:t>
            </w:r>
          </w:p>
          <w:p w14:paraId="78B66877" w14:textId="77777777" w:rsidR="005C559F" w:rsidRPr="00DE2FAF" w:rsidRDefault="005C559F" w:rsidP="005C559F">
            <w:pPr>
              <w:rPr>
                <w:rFonts w:ascii="Arial" w:hAnsi="Arial" w:cs="Arial"/>
                <w:sz w:val="22"/>
                <w:szCs w:val="22"/>
              </w:rPr>
            </w:pPr>
          </w:p>
        </w:tc>
        <w:tc>
          <w:tcPr>
            <w:tcW w:w="943" w:type="pct"/>
          </w:tcPr>
          <w:p w14:paraId="688CFB1C" w14:textId="77777777" w:rsidR="005C559F" w:rsidRPr="00DE2FAF" w:rsidRDefault="005C559F" w:rsidP="005C559F">
            <w:pPr>
              <w:pStyle w:val="TableText1"/>
              <w:rPr>
                <w:rFonts w:cs="Arial"/>
                <w:szCs w:val="22"/>
              </w:rPr>
            </w:pPr>
            <w:r w:rsidRPr="00DE2FAF">
              <w:rPr>
                <w:rFonts w:cs="Arial"/>
                <w:szCs w:val="22"/>
              </w:rPr>
              <w:lastRenderedPageBreak/>
              <w:t>British Association of Urological Surgeons standards for management of acute ureteric colic. JCU 2018;111:58-61</w:t>
            </w:r>
          </w:p>
          <w:p w14:paraId="038A4BCD" w14:textId="77777777" w:rsidR="005C559F" w:rsidRPr="00DE2FAF" w:rsidRDefault="005C559F" w:rsidP="005C559F">
            <w:pPr>
              <w:pStyle w:val="TableText1"/>
              <w:rPr>
                <w:rFonts w:cs="Arial"/>
                <w:szCs w:val="22"/>
              </w:rPr>
            </w:pPr>
          </w:p>
          <w:p w14:paraId="6B8A96CA" w14:textId="77777777" w:rsidR="005C559F" w:rsidRPr="00DE2FAF" w:rsidRDefault="0090310F" w:rsidP="005C559F">
            <w:pPr>
              <w:pStyle w:val="TableText1"/>
              <w:rPr>
                <w:rFonts w:cs="Arial"/>
                <w:szCs w:val="22"/>
              </w:rPr>
            </w:pPr>
            <w:hyperlink r:id="rId15" w:history="1">
              <w:r w:rsidR="005C559F" w:rsidRPr="00DE2FAF">
                <w:rPr>
                  <w:rStyle w:val="Hyperlink"/>
                  <w:rFonts w:cs="Arial"/>
                  <w:szCs w:val="22"/>
                </w:rPr>
                <w:t>Ureteric stents on extraction strings: a systematic review of literature.</w:t>
              </w:r>
            </w:hyperlink>
          </w:p>
          <w:p w14:paraId="3EC7C0BD" w14:textId="77777777" w:rsidR="005C559F" w:rsidRPr="00DE2FAF" w:rsidRDefault="005C559F" w:rsidP="005C559F">
            <w:pPr>
              <w:pStyle w:val="TableText1"/>
              <w:rPr>
                <w:rFonts w:cs="Arial"/>
                <w:szCs w:val="22"/>
              </w:rPr>
            </w:pPr>
            <w:r w:rsidRPr="00DE2FAF">
              <w:rPr>
                <w:rFonts w:cs="Arial"/>
                <w:szCs w:val="22"/>
              </w:rPr>
              <w:t xml:space="preserve">Oliver R, Wells H, </w:t>
            </w:r>
            <w:proofErr w:type="spellStart"/>
            <w:r w:rsidRPr="00DE2FAF">
              <w:rPr>
                <w:rFonts w:cs="Arial"/>
                <w:szCs w:val="22"/>
              </w:rPr>
              <w:t>Traxer</w:t>
            </w:r>
            <w:proofErr w:type="spellEnd"/>
            <w:r w:rsidRPr="00DE2FAF">
              <w:rPr>
                <w:rFonts w:cs="Arial"/>
                <w:szCs w:val="22"/>
              </w:rPr>
              <w:t xml:space="preserve"> O, Knoll T, </w:t>
            </w:r>
            <w:proofErr w:type="spellStart"/>
            <w:r w:rsidRPr="00DE2FAF">
              <w:rPr>
                <w:rFonts w:cs="Arial"/>
                <w:szCs w:val="22"/>
              </w:rPr>
              <w:t>Aboumarzouk</w:t>
            </w:r>
            <w:proofErr w:type="spellEnd"/>
            <w:r w:rsidRPr="00DE2FAF">
              <w:rPr>
                <w:rFonts w:cs="Arial"/>
                <w:szCs w:val="22"/>
              </w:rPr>
              <w:t xml:space="preserve"> O, </w:t>
            </w:r>
            <w:proofErr w:type="spellStart"/>
            <w:r w:rsidRPr="00DE2FAF">
              <w:rPr>
                <w:rFonts w:cs="Arial"/>
                <w:szCs w:val="22"/>
              </w:rPr>
              <w:t>Biyani</w:t>
            </w:r>
            <w:proofErr w:type="spellEnd"/>
            <w:r w:rsidRPr="00DE2FAF">
              <w:rPr>
                <w:rFonts w:cs="Arial"/>
                <w:szCs w:val="22"/>
              </w:rPr>
              <w:t xml:space="preserve"> CS, </w:t>
            </w:r>
            <w:proofErr w:type="spellStart"/>
            <w:r w:rsidRPr="00DE2FAF">
              <w:rPr>
                <w:rFonts w:cs="Arial"/>
                <w:szCs w:val="22"/>
              </w:rPr>
              <w:t>Somani</w:t>
            </w:r>
            <w:proofErr w:type="spellEnd"/>
            <w:r w:rsidRPr="00DE2FAF">
              <w:rPr>
                <w:rFonts w:cs="Arial"/>
                <w:szCs w:val="22"/>
              </w:rPr>
              <w:t xml:space="preserve"> BK; YAU Group. </w:t>
            </w:r>
          </w:p>
          <w:p w14:paraId="1039E828" w14:textId="77777777" w:rsidR="005C559F" w:rsidRPr="00DE2FAF" w:rsidRDefault="005C559F" w:rsidP="005C559F">
            <w:pPr>
              <w:pStyle w:val="TableText1"/>
              <w:rPr>
                <w:rFonts w:cs="Arial"/>
                <w:szCs w:val="22"/>
              </w:rPr>
            </w:pPr>
            <w:r w:rsidRPr="00DE2FAF">
              <w:rPr>
                <w:rFonts w:cs="Arial"/>
                <w:szCs w:val="22"/>
              </w:rPr>
              <w:t>Urolithiasis. 2018 Apr;46(2):129-136.</w:t>
            </w:r>
          </w:p>
          <w:p w14:paraId="08D2841C" w14:textId="77777777" w:rsidR="005C559F" w:rsidRPr="00DE2FAF" w:rsidRDefault="005C559F" w:rsidP="005C559F">
            <w:pPr>
              <w:rPr>
                <w:rFonts w:ascii="Arial" w:hAnsi="Arial" w:cs="Arial"/>
                <w:sz w:val="22"/>
                <w:szCs w:val="22"/>
              </w:rPr>
            </w:pPr>
          </w:p>
        </w:tc>
      </w:tr>
      <w:tr w:rsidR="00B833B7" w:rsidRPr="00DE2FAF" w14:paraId="7C54B47D" w14:textId="77777777" w:rsidTr="00B77627">
        <w:trPr>
          <w:trHeight w:val="282"/>
        </w:trPr>
        <w:tc>
          <w:tcPr>
            <w:tcW w:w="192" w:type="pct"/>
          </w:tcPr>
          <w:p w14:paraId="49492CDA" w14:textId="5181A670" w:rsidR="005C559F" w:rsidRPr="00B833B7" w:rsidRDefault="00B833B7" w:rsidP="005C559F">
            <w:pPr>
              <w:pStyle w:val="Tabletext"/>
              <w:rPr>
                <w:rFonts w:cs="Arial"/>
                <w:szCs w:val="22"/>
              </w:rPr>
            </w:pPr>
            <w:r w:rsidRPr="00B833B7">
              <w:rPr>
                <w:rFonts w:cs="Arial"/>
                <w:szCs w:val="22"/>
              </w:rPr>
              <w:t>15</w:t>
            </w:r>
          </w:p>
        </w:tc>
        <w:tc>
          <w:tcPr>
            <w:tcW w:w="772" w:type="pct"/>
          </w:tcPr>
          <w:p w14:paraId="174A8C20" w14:textId="7E937C66" w:rsidR="005C559F" w:rsidRPr="00DE2FAF" w:rsidRDefault="00DE2FAF" w:rsidP="005C559F">
            <w:pPr>
              <w:pStyle w:val="Tabletext"/>
              <w:rPr>
                <w:rFonts w:cs="Arial"/>
                <w:szCs w:val="22"/>
              </w:rPr>
            </w:pPr>
            <w:r>
              <w:rPr>
                <w:rFonts w:cs="Arial"/>
                <w:szCs w:val="22"/>
              </w:rPr>
              <w:t>SCM 1</w:t>
            </w:r>
          </w:p>
        </w:tc>
        <w:tc>
          <w:tcPr>
            <w:tcW w:w="1160" w:type="pct"/>
          </w:tcPr>
          <w:p w14:paraId="1648AE58" w14:textId="77777777" w:rsidR="005C559F" w:rsidRPr="00DE2FAF" w:rsidRDefault="005C559F" w:rsidP="005C559F">
            <w:pPr>
              <w:pStyle w:val="TableText1"/>
              <w:rPr>
                <w:rFonts w:cs="Arial"/>
                <w:szCs w:val="22"/>
              </w:rPr>
            </w:pPr>
            <w:r w:rsidRPr="00DE2FAF">
              <w:rPr>
                <w:rFonts w:cs="Arial"/>
                <w:szCs w:val="22"/>
              </w:rPr>
              <w:t>Key area for quality improvement 3</w:t>
            </w:r>
          </w:p>
          <w:p w14:paraId="21EE74CE" w14:textId="7D5517CB" w:rsidR="005C559F" w:rsidRPr="00DE2FAF" w:rsidRDefault="005C559F" w:rsidP="005C559F">
            <w:pPr>
              <w:pStyle w:val="Tabletext"/>
              <w:rPr>
                <w:rFonts w:cs="Arial"/>
                <w:szCs w:val="22"/>
              </w:rPr>
            </w:pPr>
            <w:r w:rsidRPr="00DE2FAF">
              <w:rPr>
                <w:rFonts w:cs="Arial"/>
                <w:szCs w:val="22"/>
              </w:rPr>
              <w:t>Minimising primary stent insertion for ureteric stone where intervention is required</w:t>
            </w:r>
          </w:p>
        </w:tc>
        <w:tc>
          <w:tcPr>
            <w:tcW w:w="919" w:type="pct"/>
          </w:tcPr>
          <w:p w14:paraId="5403B9C2" w14:textId="447EBEEE" w:rsidR="005C559F" w:rsidRPr="00DE2FAF" w:rsidRDefault="005C559F" w:rsidP="005C559F">
            <w:pPr>
              <w:pStyle w:val="Tabletext"/>
              <w:rPr>
                <w:rFonts w:cs="Arial"/>
                <w:szCs w:val="22"/>
              </w:rPr>
            </w:pPr>
            <w:r w:rsidRPr="00DE2FAF">
              <w:rPr>
                <w:rFonts w:cs="Arial"/>
                <w:szCs w:val="22"/>
              </w:rPr>
              <w:t xml:space="preserve">When an acutely presenting ureteric stone is too large to pass or when the pain is not well-controlled, emergency intervention is required. GIRFT have identified that many units insert ureteric stents in this situation, bringing the patient back for a definitive </w:t>
            </w:r>
            <w:proofErr w:type="spellStart"/>
            <w:r w:rsidRPr="00DE2FAF">
              <w:rPr>
                <w:rFonts w:cs="Arial"/>
                <w:szCs w:val="22"/>
              </w:rPr>
              <w:t>ureteroscopic</w:t>
            </w:r>
            <w:proofErr w:type="spellEnd"/>
            <w:r w:rsidRPr="00DE2FAF">
              <w:rPr>
                <w:rFonts w:cs="Arial"/>
                <w:szCs w:val="22"/>
              </w:rPr>
              <w:t xml:space="preserve"> stone treatment at a later date. Ureteric stents are uncomfortable and this increases patient morbidity and is a poor use of resources. Primary stent insertion is necessary in a minority of patients because of infection or failed </w:t>
            </w:r>
            <w:proofErr w:type="spellStart"/>
            <w:r w:rsidRPr="00DE2FAF">
              <w:rPr>
                <w:rFonts w:cs="Arial"/>
                <w:szCs w:val="22"/>
              </w:rPr>
              <w:t>ureteroscopic</w:t>
            </w:r>
            <w:proofErr w:type="spellEnd"/>
            <w:r w:rsidRPr="00DE2FAF">
              <w:rPr>
                <w:rFonts w:cs="Arial"/>
                <w:szCs w:val="22"/>
              </w:rPr>
              <w:t xml:space="preserve"> access where the ureter is too tight for primary access, but units should aim to organise acute services to allow prompt primary treatment of the stone where possible.</w:t>
            </w:r>
          </w:p>
        </w:tc>
        <w:tc>
          <w:tcPr>
            <w:tcW w:w="1014" w:type="pct"/>
          </w:tcPr>
          <w:p w14:paraId="4D6F97C9" w14:textId="77777777" w:rsidR="005C559F" w:rsidRPr="00DE2FAF" w:rsidRDefault="005C559F" w:rsidP="005C559F">
            <w:pPr>
              <w:pStyle w:val="TableText1"/>
              <w:rPr>
                <w:rFonts w:cs="Arial"/>
                <w:szCs w:val="22"/>
              </w:rPr>
            </w:pPr>
            <w:r w:rsidRPr="00DE2FAF">
              <w:rPr>
                <w:rFonts w:cs="Arial"/>
                <w:szCs w:val="22"/>
              </w:rPr>
              <w:t>NICE guidelines have recommended that, when emergency intervention is required for a ureteric stone that primary definitive treatment (shockwave lithotripsy or ureteroscopy) is offered within 48 hours of diagnosis</w:t>
            </w:r>
          </w:p>
          <w:p w14:paraId="2DFA26C9" w14:textId="4D1EE65E" w:rsidR="005C559F" w:rsidRPr="00DE2FAF" w:rsidRDefault="005C559F" w:rsidP="005C559F">
            <w:pPr>
              <w:rPr>
                <w:rFonts w:ascii="Arial" w:hAnsi="Arial" w:cs="Arial"/>
                <w:sz w:val="22"/>
                <w:szCs w:val="22"/>
              </w:rPr>
            </w:pPr>
            <w:r w:rsidRPr="00DE2FAF">
              <w:rPr>
                <w:rFonts w:ascii="Arial" w:hAnsi="Arial" w:cs="Arial"/>
                <w:sz w:val="22"/>
                <w:szCs w:val="22"/>
              </w:rPr>
              <w:t xml:space="preserve">The proportion of patients presenting with renal colic who need emergency intervention and have a stent inserted without stone removal is a key metric </w:t>
            </w:r>
          </w:p>
        </w:tc>
        <w:tc>
          <w:tcPr>
            <w:tcW w:w="943" w:type="pct"/>
          </w:tcPr>
          <w:p w14:paraId="357870A7" w14:textId="77777777" w:rsidR="005C559F" w:rsidRPr="00DE2FAF" w:rsidRDefault="005C559F" w:rsidP="005C559F">
            <w:pPr>
              <w:pStyle w:val="TableText1"/>
              <w:rPr>
                <w:rFonts w:cs="Arial"/>
                <w:szCs w:val="22"/>
              </w:rPr>
            </w:pPr>
            <w:r w:rsidRPr="00DE2FAF">
              <w:rPr>
                <w:rFonts w:cs="Arial"/>
                <w:szCs w:val="22"/>
              </w:rPr>
              <w:t xml:space="preserve">Getting it Right First Time (2018) National Speciality Report: Urology </w:t>
            </w:r>
          </w:p>
          <w:p w14:paraId="68867B9A" w14:textId="77777777" w:rsidR="005C559F" w:rsidRPr="00DE2FAF" w:rsidRDefault="005C559F" w:rsidP="005C559F">
            <w:pPr>
              <w:pStyle w:val="TableText1"/>
              <w:rPr>
                <w:rFonts w:cs="Arial"/>
                <w:szCs w:val="22"/>
              </w:rPr>
            </w:pPr>
          </w:p>
          <w:p w14:paraId="0A40A0FC" w14:textId="77777777" w:rsidR="005C559F" w:rsidRPr="00DE2FAF" w:rsidRDefault="005C559F" w:rsidP="005C559F">
            <w:pPr>
              <w:pStyle w:val="TableText1"/>
              <w:rPr>
                <w:rFonts w:cs="Arial"/>
                <w:szCs w:val="22"/>
              </w:rPr>
            </w:pPr>
            <w:r w:rsidRPr="00DE2FAF">
              <w:rPr>
                <w:rFonts w:cs="Arial"/>
                <w:szCs w:val="22"/>
              </w:rPr>
              <w:t xml:space="preserve">Renal and ureteric stones: assessment and management (2019) NICE guideline 118 </w:t>
            </w:r>
          </w:p>
          <w:p w14:paraId="70AEC8A7" w14:textId="77777777" w:rsidR="005C559F" w:rsidRPr="00DE2FAF" w:rsidRDefault="005C559F" w:rsidP="005C559F">
            <w:pPr>
              <w:rPr>
                <w:rFonts w:ascii="Arial" w:hAnsi="Arial" w:cs="Arial"/>
                <w:sz w:val="22"/>
                <w:szCs w:val="22"/>
              </w:rPr>
            </w:pPr>
          </w:p>
        </w:tc>
      </w:tr>
      <w:tr w:rsidR="00B833B7" w:rsidRPr="00DE2FAF" w14:paraId="1180C326" w14:textId="77777777" w:rsidTr="00B77627">
        <w:trPr>
          <w:trHeight w:val="282"/>
        </w:trPr>
        <w:tc>
          <w:tcPr>
            <w:tcW w:w="192" w:type="pct"/>
          </w:tcPr>
          <w:p w14:paraId="589D0922" w14:textId="6ECB145D" w:rsidR="005C559F" w:rsidRPr="00B833B7" w:rsidRDefault="00B833B7" w:rsidP="005C559F">
            <w:pPr>
              <w:pStyle w:val="Tabletext"/>
              <w:rPr>
                <w:rFonts w:cs="Arial"/>
                <w:szCs w:val="22"/>
              </w:rPr>
            </w:pPr>
            <w:r w:rsidRPr="00B833B7">
              <w:rPr>
                <w:rFonts w:cs="Arial"/>
                <w:szCs w:val="22"/>
              </w:rPr>
              <w:lastRenderedPageBreak/>
              <w:t>16</w:t>
            </w:r>
          </w:p>
        </w:tc>
        <w:tc>
          <w:tcPr>
            <w:tcW w:w="772" w:type="pct"/>
          </w:tcPr>
          <w:p w14:paraId="1B744295" w14:textId="0A75BA03" w:rsidR="005C559F" w:rsidRPr="00DE2FAF" w:rsidRDefault="00DE2FAF" w:rsidP="005C559F">
            <w:pPr>
              <w:pStyle w:val="Tabletext"/>
              <w:rPr>
                <w:rFonts w:cs="Arial"/>
                <w:szCs w:val="22"/>
              </w:rPr>
            </w:pPr>
            <w:r>
              <w:rPr>
                <w:rFonts w:cs="Arial"/>
                <w:szCs w:val="22"/>
              </w:rPr>
              <w:t>SCM 1</w:t>
            </w:r>
          </w:p>
        </w:tc>
        <w:tc>
          <w:tcPr>
            <w:tcW w:w="1160" w:type="pct"/>
          </w:tcPr>
          <w:p w14:paraId="1CAE3592" w14:textId="77777777" w:rsidR="005C559F" w:rsidRPr="00DE2FAF" w:rsidRDefault="005C559F" w:rsidP="005C559F">
            <w:pPr>
              <w:pStyle w:val="TableText1"/>
              <w:rPr>
                <w:rFonts w:cs="Arial"/>
                <w:szCs w:val="22"/>
              </w:rPr>
            </w:pPr>
            <w:r w:rsidRPr="00DE2FAF">
              <w:rPr>
                <w:rFonts w:cs="Arial"/>
                <w:szCs w:val="22"/>
              </w:rPr>
              <w:t>Key area for quality improvement 4</w:t>
            </w:r>
          </w:p>
          <w:p w14:paraId="562B10D0" w14:textId="6249DEF4" w:rsidR="005C559F" w:rsidRPr="00DE2FAF" w:rsidRDefault="005C559F" w:rsidP="005C559F">
            <w:pPr>
              <w:pStyle w:val="Tabletext"/>
              <w:rPr>
                <w:rFonts w:cs="Arial"/>
                <w:szCs w:val="22"/>
              </w:rPr>
            </w:pPr>
            <w:r w:rsidRPr="00DE2FAF">
              <w:rPr>
                <w:rFonts w:cs="Arial"/>
                <w:szCs w:val="22"/>
              </w:rPr>
              <w:t>Removing post-procedure ureteric stents promptly</w:t>
            </w:r>
          </w:p>
        </w:tc>
        <w:tc>
          <w:tcPr>
            <w:tcW w:w="919" w:type="pct"/>
          </w:tcPr>
          <w:p w14:paraId="4D30EEBA" w14:textId="46FB2A54" w:rsidR="005C559F" w:rsidRPr="00DE2FAF" w:rsidRDefault="005C559F" w:rsidP="005C559F">
            <w:pPr>
              <w:pStyle w:val="Tabletext"/>
              <w:rPr>
                <w:rFonts w:cs="Arial"/>
                <w:szCs w:val="22"/>
              </w:rPr>
            </w:pPr>
            <w:r w:rsidRPr="00DE2FAF">
              <w:rPr>
                <w:rFonts w:cs="Arial"/>
                <w:szCs w:val="22"/>
              </w:rPr>
              <w:t xml:space="preserve">Ureteric stents are often necessary after a </w:t>
            </w:r>
            <w:proofErr w:type="spellStart"/>
            <w:r w:rsidRPr="00DE2FAF">
              <w:rPr>
                <w:rFonts w:cs="Arial"/>
                <w:szCs w:val="22"/>
              </w:rPr>
              <w:t>ureteroscopic</w:t>
            </w:r>
            <w:proofErr w:type="spellEnd"/>
            <w:r w:rsidRPr="00DE2FAF">
              <w:rPr>
                <w:rFonts w:cs="Arial"/>
                <w:szCs w:val="22"/>
              </w:rPr>
              <w:t xml:space="preserve"> procedure to improve kidney drainage and reduce complications related to post-procedure ureteric oedema. Ureteric stents cause significant morbidity in a reasonably high proportion of patients, so their dwell time should be minimised. Unfortunately, capacity pressures in many units means that removal is often delayed, increasing patient morbidity </w:t>
            </w:r>
          </w:p>
        </w:tc>
        <w:tc>
          <w:tcPr>
            <w:tcW w:w="1014" w:type="pct"/>
          </w:tcPr>
          <w:p w14:paraId="69433660" w14:textId="2C93C3BD" w:rsidR="005C559F" w:rsidRPr="00DE2FAF" w:rsidRDefault="005C559F" w:rsidP="005C559F">
            <w:pPr>
              <w:rPr>
                <w:rFonts w:ascii="Arial" w:hAnsi="Arial" w:cs="Arial"/>
                <w:sz w:val="22"/>
                <w:szCs w:val="22"/>
              </w:rPr>
            </w:pPr>
            <w:r w:rsidRPr="00DE2FAF">
              <w:rPr>
                <w:rFonts w:ascii="Arial" w:hAnsi="Arial" w:cs="Arial"/>
                <w:sz w:val="22"/>
                <w:szCs w:val="22"/>
              </w:rPr>
              <w:t>In certain circumstances ureteric stents need to be left in for longer, but where a decision to remove a ureteric stent has been made, it should be removed within 2 weeks.</w:t>
            </w:r>
          </w:p>
        </w:tc>
        <w:tc>
          <w:tcPr>
            <w:tcW w:w="943" w:type="pct"/>
          </w:tcPr>
          <w:p w14:paraId="3BC900BA" w14:textId="77777777" w:rsidR="005C559F" w:rsidRPr="00DE2FAF" w:rsidRDefault="005C559F" w:rsidP="005C559F">
            <w:pPr>
              <w:pStyle w:val="TableText1"/>
              <w:rPr>
                <w:rFonts w:cs="Arial"/>
                <w:szCs w:val="22"/>
              </w:rPr>
            </w:pPr>
            <w:r w:rsidRPr="00DE2FAF">
              <w:rPr>
                <w:rFonts w:cs="Arial"/>
                <w:szCs w:val="22"/>
              </w:rPr>
              <w:t>British Association of Urological Surgeons standards for management of acute ureteric colic. JCU 2018;111:58-61</w:t>
            </w:r>
          </w:p>
          <w:p w14:paraId="5289F4CA" w14:textId="77777777" w:rsidR="005C559F" w:rsidRPr="00DE2FAF" w:rsidRDefault="005C559F" w:rsidP="005C559F">
            <w:pPr>
              <w:rPr>
                <w:rFonts w:ascii="Arial" w:hAnsi="Arial" w:cs="Arial"/>
                <w:sz w:val="22"/>
                <w:szCs w:val="22"/>
              </w:rPr>
            </w:pPr>
          </w:p>
        </w:tc>
      </w:tr>
      <w:tr w:rsidR="00B833B7" w:rsidRPr="00DE2FAF" w14:paraId="7B7B6B5C" w14:textId="77777777" w:rsidTr="00B77627">
        <w:trPr>
          <w:trHeight w:val="282"/>
        </w:trPr>
        <w:tc>
          <w:tcPr>
            <w:tcW w:w="192" w:type="pct"/>
          </w:tcPr>
          <w:p w14:paraId="13CB5383" w14:textId="47A9E551" w:rsidR="005C559F" w:rsidRPr="00B833B7" w:rsidRDefault="00B833B7" w:rsidP="005C559F">
            <w:pPr>
              <w:pStyle w:val="Tabletext"/>
              <w:rPr>
                <w:rFonts w:cs="Arial"/>
                <w:szCs w:val="22"/>
              </w:rPr>
            </w:pPr>
            <w:r w:rsidRPr="00B833B7">
              <w:rPr>
                <w:rFonts w:cs="Arial"/>
                <w:szCs w:val="22"/>
              </w:rPr>
              <w:t>17</w:t>
            </w:r>
          </w:p>
        </w:tc>
        <w:tc>
          <w:tcPr>
            <w:tcW w:w="772" w:type="pct"/>
          </w:tcPr>
          <w:p w14:paraId="7A4F7FBC" w14:textId="05C28FE9" w:rsidR="005C559F" w:rsidRPr="00DE2FAF" w:rsidRDefault="00DE2FAF" w:rsidP="005C559F">
            <w:pPr>
              <w:pStyle w:val="Tabletext"/>
              <w:rPr>
                <w:rFonts w:cs="Arial"/>
                <w:szCs w:val="22"/>
              </w:rPr>
            </w:pPr>
            <w:r>
              <w:rPr>
                <w:rFonts w:cs="Arial"/>
                <w:szCs w:val="22"/>
              </w:rPr>
              <w:t>SCM 2</w:t>
            </w:r>
          </w:p>
        </w:tc>
        <w:tc>
          <w:tcPr>
            <w:tcW w:w="1160" w:type="pct"/>
          </w:tcPr>
          <w:p w14:paraId="56E44382" w14:textId="5A907E6B" w:rsidR="005C559F" w:rsidRPr="00DE2FAF" w:rsidRDefault="005C559F" w:rsidP="005C559F">
            <w:pPr>
              <w:pStyle w:val="Tabletext"/>
              <w:rPr>
                <w:rFonts w:cs="Arial"/>
                <w:szCs w:val="22"/>
              </w:rPr>
            </w:pPr>
            <w:r w:rsidRPr="00DE2FAF">
              <w:rPr>
                <w:rFonts w:cs="Arial"/>
                <w:szCs w:val="22"/>
              </w:rPr>
              <w:t>(2)Do not offer pre-treatment stenting to adults having shockwave lithotripsy (SWL) for ureteric or renal stones</w:t>
            </w:r>
          </w:p>
        </w:tc>
        <w:tc>
          <w:tcPr>
            <w:tcW w:w="919" w:type="pct"/>
          </w:tcPr>
          <w:p w14:paraId="0DFEC7F1" w14:textId="744EB598" w:rsidR="005C559F" w:rsidRPr="00DE2FAF" w:rsidRDefault="005C559F" w:rsidP="005C559F">
            <w:pPr>
              <w:pStyle w:val="Tabletext"/>
              <w:rPr>
                <w:rFonts w:cs="Arial"/>
                <w:szCs w:val="22"/>
              </w:rPr>
            </w:pPr>
            <w:r w:rsidRPr="00DE2FAF">
              <w:rPr>
                <w:rFonts w:cs="Arial"/>
                <w:szCs w:val="22"/>
              </w:rPr>
              <w:t>NICE Guideline</w:t>
            </w:r>
          </w:p>
        </w:tc>
        <w:tc>
          <w:tcPr>
            <w:tcW w:w="1014" w:type="pct"/>
          </w:tcPr>
          <w:p w14:paraId="024929BE" w14:textId="0A99898C" w:rsidR="005C559F" w:rsidRPr="00DE2FAF" w:rsidRDefault="005C559F" w:rsidP="005C559F">
            <w:pPr>
              <w:rPr>
                <w:rFonts w:ascii="Arial" w:hAnsi="Arial" w:cs="Arial"/>
                <w:sz w:val="22"/>
                <w:szCs w:val="22"/>
              </w:rPr>
            </w:pPr>
            <w:r w:rsidRPr="00DE2FAF">
              <w:rPr>
                <w:rFonts w:ascii="Arial" w:hAnsi="Arial" w:cs="Arial"/>
                <w:sz w:val="22"/>
                <w:szCs w:val="22"/>
              </w:rPr>
              <w:t>Stenting causes significant discomfort to many patients and the Guideline Committee found no evidence that it was clinically effective</w:t>
            </w:r>
          </w:p>
        </w:tc>
        <w:tc>
          <w:tcPr>
            <w:tcW w:w="943" w:type="pct"/>
          </w:tcPr>
          <w:p w14:paraId="4BD3128C" w14:textId="3F3E871E" w:rsidR="005C559F" w:rsidRPr="00DE2FAF" w:rsidRDefault="005C559F" w:rsidP="005C559F">
            <w:pPr>
              <w:rPr>
                <w:rFonts w:ascii="Arial" w:hAnsi="Arial" w:cs="Arial"/>
                <w:sz w:val="22"/>
                <w:szCs w:val="22"/>
              </w:rPr>
            </w:pPr>
            <w:r w:rsidRPr="00DE2FAF">
              <w:rPr>
                <w:rFonts w:ascii="Arial" w:hAnsi="Arial" w:cs="Arial"/>
                <w:sz w:val="22"/>
                <w:szCs w:val="22"/>
              </w:rPr>
              <w:t>NICE Guideline and background documentation</w:t>
            </w:r>
          </w:p>
        </w:tc>
      </w:tr>
      <w:tr w:rsidR="00B833B7" w:rsidRPr="00DE2FAF" w14:paraId="3816B637" w14:textId="77777777" w:rsidTr="00B77627">
        <w:trPr>
          <w:trHeight w:val="282"/>
        </w:trPr>
        <w:tc>
          <w:tcPr>
            <w:tcW w:w="192" w:type="pct"/>
          </w:tcPr>
          <w:p w14:paraId="48D2ABD9" w14:textId="35F53AF6" w:rsidR="005C559F" w:rsidRPr="00B833B7" w:rsidRDefault="00B833B7" w:rsidP="005C559F">
            <w:pPr>
              <w:pStyle w:val="Tabletext"/>
              <w:rPr>
                <w:rFonts w:cs="Arial"/>
                <w:szCs w:val="22"/>
              </w:rPr>
            </w:pPr>
            <w:r w:rsidRPr="00B833B7">
              <w:rPr>
                <w:rFonts w:cs="Arial"/>
                <w:szCs w:val="22"/>
              </w:rPr>
              <w:t>18</w:t>
            </w:r>
          </w:p>
        </w:tc>
        <w:tc>
          <w:tcPr>
            <w:tcW w:w="772" w:type="pct"/>
          </w:tcPr>
          <w:p w14:paraId="55176E62" w14:textId="4055E18A" w:rsidR="005C559F" w:rsidRPr="00DE2FAF" w:rsidRDefault="00DE2FAF" w:rsidP="005C559F">
            <w:pPr>
              <w:pStyle w:val="Tabletext"/>
              <w:rPr>
                <w:rFonts w:cs="Arial"/>
                <w:szCs w:val="22"/>
              </w:rPr>
            </w:pPr>
            <w:r>
              <w:rPr>
                <w:rFonts w:cs="Arial"/>
                <w:szCs w:val="22"/>
              </w:rPr>
              <w:t>SCM 3</w:t>
            </w:r>
          </w:p>
        </w:tc>
        <w:tc>
          <w:tcPr>
            <w:tcW w:w="1160" w:type="pct"/>
          </w:tcPr>
          <w:p w14:paraId="0CCACC89" w14:textId="77777777" w:rsidR="005C559F" w:rsidRPr="00DE2FAF" w:rsidRDefault="005C559F" w:rsidP="005C559F">
            <w:pPr>
              <w:pStyle w:val="TableText1"/>
              <w:rPr>
                <w:rFonts w:cs="Arial"/>
                <w:szCs w:val="22"/>
              </w:rPr>
            </w:pPr>
            <w:r w:rsidRPr="00DE2FAF">
              <w:rPr>
                <w:rFonts w:cs="Arial"/>
                <w:szCs w:val="22"/>
              </w:rPr>
              <w:t>Key area for quality improvement 5</w:t>
            </w:r>
          </w:p>
          <w:p w14:paraId="7EF29B89" w14:textId="5B1561CF" w:rsidR="005C559F" w:rsidRPr="00DE2FAF" w:rsidRDefault="005C559F" w:rsidP="005C559F">
            <w:pPr>
              <w:pStyle w:val="Tabletext"/>
              <w:rPr>
                <w:rFonts w:cs="Arial"/>
                <w:szCs w:val="22"/>
              </w:rPr>
            </w:pPr>
            <w:r w:rsidRPr="00DE2FAF">
              <w:rPr>
                <w:rFonts w:cs="Arial"/>
                <w:szCs w:val="22"/>
              </w:rPr>
              <w:t>Stenting after ureteroscopy</w:t>
            </w:r>
          </w:p>
        </w:tc>
        <w:tc>
          <w:tcPr>
            <w:tcW w:w="919" w:type="pct"/>
          </w:tcPr>
          <w:p w14:paraId="5E562B52" w14:textId="77777777" w:rsidR="005C559F" w:rsidRPr="00DE2FAF" w:rsidRDefault="005C559F" w:rsidP="005C559F">
            <w:pPr>
              <w:pStyle w:val="TableText1"/>
              <w:rPr>
                <w:rFonts w:cs="Arial"/>
                <w:szCs w:val="22"/>
              </w:rPr>
            </w:pPr>
            <w:r w:rsidRPr="00DE2FAF">
              <w:rPr>
                <w:rFonts w:cs="Arial"/>
                <w:szCs w:val="22"/>
              </w:rPr>
              <w:t xml:space="preserve">High percentage of patients receive routine stents following ureteroscopy. </w:t>
            </w:r>
          </w:p>
          <w:p w14:paraId="3C45D33A" w14:textId="2AC8E2EC" w:rsidR="005C559F" w:rsidRPr="00DE2FAF" w:rsidRDefault="005C559F" w:rsidP="005C559F">
            <w:pPr>
              <w:pStyle w:val="Tabletext"/>
              <w:rPr>
                <w:rFonts w:cs="Arial"/>
                <w:szCs w:val="22"/>
              </w:rPr>
            </w:pPr>
            <w:r w:rsidRPr="00DE2FAF">
              <w:rPr>
                <w:rFonts w:cs="Arial"/>
                <w:szCs w:val="22"/>
              </w:rPr>
              <w:t xml:space="preserve">Health and economic benefits if stenting </w:t>
            </w:r>
            <w:r w:rsidRPr="00DE2FAF">
              <w:rPr>
                <w:rFonts w:cs="Arial"/>
                <w:szCs w:val="22"/>
              </w:rPr>
              <w:lastRenderedPageBreak/>
              <w:t>reduced as per guidelines</w:t>
            </w:r>
          </w:p>
        </w:tc>
        <w:tc>
          <w:tcPr>
            <w:tcW w:w="1014" w:type="pct"/>
          </w:tcPr>
          <w:p w14:paraId="5DC526AB" w14:textId="77777777" w:rsidR="005C559F" w:rsidRPr="00DE2FAF" w:rsidRDefault="005C559F" w:rsidP="005C559F">
            <w:pPr>
              <w:rPr>
                <w:rFonts w:ascii="Arial" w:hAnsi="Arial" w:cs="Arial"/>
                <w:sz w:val="22"/>
                <w:szCs w:val="22"/>
              </w:rPr>
            </w:pPr>
          </w:p>
        </w:tc>
        <w:tc>
          <w:tcPr>
            <w:tcW w:w="943" w:type="pct"/>
          </w:tcPr>
          <w:p w14:paraId="6F695CB6" w14:textId="77B6546B" w:rsidR="005C559F" w:rsidRPr="00DE2FAF" w:rsidRDefault="005C559F" w:rsidP="005C559F">
            <w:pPr>
              <w:rPr>
                <w:rFonts w:ascii="Arial" w:hAnsi="Arial" w:cs="Arial"/>
                <w:sz w:val="22"/>
                <w:szCs w:val="22"/>
              </w:rPr>
            </w:pPr>
            <w:r w:rsidRPr="00DE2FAF">
              <w:rPr>
                <w:rFonts w:ascii="Arial" w:hAnsi="Arial" w:cs="Arial"/>
                <w:sz w:val="22"/>
                <w:szCs w:val="22"/>
              </w:rPr>
              <w:t>Unpublished data from BAUS ureteroscopy registry shows 70 % stenting rate</w:t>
            </w:r>
          </w:p>
        </w:tc>
      </w:tr>
      <w:tr w:rsidR="00DE2FAF" w:rsidRPr="00DE2FAF" w14:paraId="7A17FC49" w14:textId="77777777" w:rsidTr="00DE2FAF">
        <w:trPr>
          <w:trHeight w:val="282"/>
        </w:trPr>
        <w:tc>
          <w:tcPr>
            <w:tcW w:w="5000" w:type="pct"/>
            <w:gridSpan w:val="6"/>
          </w:tcPr>
          <w:p w14:paraId="5C245D31" w14:textId="13A1E8AA" w:rsidR="00DE2FAF" w:rsidRPr="00B833B7" w:rsidRDefault="00DE2FAF" w:rsidP="005C559F">
            <w:pPr>
              <w:rPr>
                <w:rFonts w:ascii="Arial" w:hAnsi="Arial" w:cs="Arial"/>
                <w:sz w:val="22"/>
                <w:szCs w:val="22"/>
              </w:rPr>
            </w:pPr>
            <w:r w:rsidRPr="00B833B7">
              <w:rPr>
                <w:rFonts w:ascii="Arial" w:hAnsi="Arial" w:cs="Arial"/>
                <w:b/>
                <w:bCs/>
                <w:sz w:val="22"/>
                <w:szCs w:val="22"/>
              </w:rPr>
              <w:t>Surgical treatment</w:t>
            </w:r>
          </w:p>
        </w:tc>
      </w:tr>
      <w:tr w:rsidR="00B833B7" w:rsidRPr="00DE2FAF" w14:paraId="510B5174" w14:textId="77777777" w:rsidTr="00B77627">
        <w:trPr>
          <w:trHeight w:val="282"/>
        </w:trPr>
        <w:tc>
          <w:tcPr>
            <w:tcW w:w="192" w:type="pct"/>
          </w:tcPr>
          <w:p w14:paraId="05367469" w14:textId="0D73FEE0" w:rsidR="005C559F" w:rsidRPr="00B833B7" w:rsidRDefault="00B833B7" w:rsidP="005C559F">
            <w:pPr>
              <w:pStyle w:val="Tabletext"/>
              <w:rPr>
                <w:rFonts w:cs="Arial"/>
                <w:szCs w:val="22"/>
              </w:rPr>
            </w:pPr>
            <w:r w:rsidRPr="00B833B7">
              <w:rPr>
                <w:rFonts w:cs="Arial"/>
                <w:szCs w:val="22"/>
              </w:rPr>
              <w:t>19</w:t>
            </w:r>
          </w:p>
        </w:tc>
        <w:tc>
          <w:tcPr>
            <w:tcW w:w="772" w:type="pct"/>
          </w:tcPr>
          <w:p w14:paraId="151C853D" w14:textId="39F4932D" w:rsidR="005C559F" w:rsidRPr="00DE2FAF" w:rsidRDefault="005C559F" w:rsidP="005C559F">
            <w:pPr>
              <w:pStyle w:val="Tabletext"/>
              <w:rPr>
                <w:rFonts w:cs="Arial"/>
                <w:szCs w:val="22"/>
              </w:rPr>
            </w:pPr>
            <w:r w:rsidRPr="00DE2FAF">
              <w:rPr>
                <w:rFonts w:cs="Arial"/>
                <w:szCs w:val="22"/>
              </w:rPr>
              <w:t xml:space="preserve">BAUS Section of </w:t>
            </w:r>
            <w:proofErr w:type="spellStart"/>
            <w:r w:rsidRPr="00DE2FAF">
              <w:rPr>
                <w:rFonts w:cs="Arial"/>
                <w:szCs w:val="22"/>
              </w:rPr>
              <w:t>EndoUrology</w:t>
            </w:r>
            <w:proofErr w:type="spellEnd"/>
          </w:p>
        </w:tc>
        <w:tc>
          <w:tcPr>
            <w:tcW w:w="1160" w:type="pct"/>
          </w:tcPr>
          <w:p w14:paraId="76BF04BA" w14:textId="77777777" w:rsidR="005C559F" w:rsidRPr="00DE2FAF" w:rsidRDefault="005C559F" w:rsidP="005C559F">
            <w:pPr>
              <w:pStyle w:val="TableText1"/>
              <w:rPr>
                <w:rFonts w:cs="Arial"/>
                <w:szCs w:val="22"/>
              </w:rPr>
            </w:pPr>
            <w:r w:rsidRPr="00DE2FAF">
              <w:rPr>
                <w:rFonts w:cs="Arial"/>
                <w:szCs w:val="22"/>
              </w:rPr>
              <w:t>Key area for quality improvement 2</w:t>
            </w:r>
          </w:p>
          <w:p w14:paraId="19255C8B" w14:textId="77777777" w:rsidR="005C559F" w:rsidRPr="00DE2FAF" w:rsidRDefault="005C559F" w:rsidP="005C559F">
            <w:pPr>
              <w:pStyle w:val="TableText1"/>
              <w:rPr>
                <w:rFonts w:cs="Arial"/>
                <w:szCs w:val="22"/>
              </w:rPr>
            </w:pPr>
          </w:p>
          <w:p w14:paraId="495BF578" w14:textId="77777777" w:rsidR="005C559F" w:rsidRPr="00DE2FAF" w:rsidRDefault="005C559F" w:rsidP="005C559F">
            <w:pPr>
              <w:pStyle w:val="TableText1"/>
              <w:rPr>
                <w:rFonts w:cs="Arial"/>
                <w:szCs w:val="22"/>
              </w:rPr>
            </w:pPr>
            <w:r w:rsidRPr="00DE2FAF">
              <w:rPr>
                <w:rFonts w:cs="Arial"/>
                <w:szCs w:val="22"/>
              </w:rPr>
              <w:t>Management and definitive treatment of acute renal colic is completed with 6 weeks of initial presentation</w:t>
            </w:r>
          </w:p>
          <w:p w14:paraId="02302545" w14:textId="77777777" w:rsidR="005C559F" w:rsidRPr="00DE2FAF" w:rsidRDefault="005C559F" w:rsidP="005C559F">
            <w:pPr>
              <w:pStyle w:val="Tabletext"/>
              <w:rPr>
                <w:rFonts w:cs="Arial"/>
                <w:szCs w:val="22"/>
              </w:rPr>
            </w:pPr>
          </w:p>
        </w:tc>
        <w:tc>
          <w:tcPr>
            <w:tcW w:w="919" w:type="pct"/>
          </w:tcPr>
          <w:p w14:paraId="67E4E68A" w14:textId="77777777" w:rsidR="005C559F" w:rsidRPr="00DE2FAF" w:rsidRDefault="005C559F" w:rsidP="005C559F">
            <w:pPr>
              <w:pStyle w:val="TableText1"/>
              <w:rPr>
                <w:rFonts w:cs="Arial"/>
                <w:szCs w:val="22"/>
              </w:rPr>
            </w:pPr>
            <w:r w:rsidRPr="00DE2FAF">
              <w:rPr>
                <w:rFonts w:cs="Arial"/>
                <w:szCs w:val="22"/>
              </w:rPr>
              <w:t xml:space="preserve">Stones that remain in situ in the ureter carry a risk of recurrent pain episodes and unpredictable need to access emergency services. There is also the concern for loss of ipsilateral renal function or the development of an infection in an obstructed system, which is serious and can be life threatening (see quality standard 3). Whilst a temporizing JJ stent allows drainage and relief of obstruction and may provide a more predictable treatment course, these are associated with symptoms and adversely affect quality of life. Furthermore, stents that remain in situ for longer are associated with increased risk of septic complications following </w:t>
            </w:r>
            <w:r w:rsidRPr="00DE2FAF">
              <w:rPr>
                <w:rFonts w:cs="Arial"/>
                <w:szCs w:val="22"/>
              </w:rPr>
              <w:lastRenderedPageBreak/>
              <w:t>definitive intervention (URS or FURS).</w:t>
            </w:r>
          </w:p>
          <w:p w14:paraId="0C126CB6" w14:textId="77777777" w:rsidR="005C559F" w:rsidRPr="00DE2FAF" w:rsidRDefault="005C559F" w:rsidP="005C559F">
            <w:pPr>
              <w:pStyle w:val="Tabletext"/>
              <w:rPr>
                <w:rFonts w:cs="Arial"/>
                <w:szCs w:val="22"/>
              </w:rPr>
            </w:pPr>
          </w:p>
        </w:tc>
        <w:tc>
          <w:tcPr>
            <w:tcW w:w="1014" w:type="pct"/>
          </w:tcPr>
          <w:p w14:paraId="536D3631" w14:textId="77777777" w:rsidR="005C559F" w:rsidRPr="00DE2FAF" w:rsidRDefault="005C559F" w:rsidP="005C559F">
            <w:pPr>
              <w:pStyle w:val="TableText1"/>
              <w:rPr>
                <w:rFonts w:cs="Arial"/>
                <w:szCs w:val="22"/>
              </w:rPr>
            </w:pPr>
            <w:r w:rsidRPr="00DE2FAF">
              <w:rPr>
                <w:rFonts w:cs="Arial"/>
                <w:szCs w:val="22"/>
              </w:rPr>
              <w:lastRenderedPageBreak/>
              <w:t xml:space="preserve">The time to spontaneous stone passage is variable, and although most stones (70-80% in various series) will pass without intervention (URS or ESWL), an important number of stones will need definitive urological treatment. The timing of this is variable across the NHS and providing a standard by which time stones should have either passed or been treated will benefit patients symptom control, avoid consequences such as loss of kidney function and infection, and offer greater predictability  of the treatment journey for patients with ureteric stones. It would therefore be expected that this would have a beneficial effect on the quality of life of patients who present as an emergency with ureteric colic. </w:t>
            </w:r>
          </w:p>
          <w:p w14:paraId="39E12EC7" w14:textId="77777777" w:rsidR="005C559F" w:rsidRPr="00DE2FAF" w:rsidRDefault="005C559F" w:rsidP="005C559F">
            <w:pPr>
              <w:rPr>
                <w:rFonts w:ascii="Arial" w:hAnsi="Arial" w:cs="Arial"/>
                <w:sz w:val="22"/>
                <w:szCs w:val="22"/>
              </w:rPr>
            </w:pPr>
          </w:p>
        </w:tc>
        <w:tc>
          <w:tcPr>
            <w:tcW w:w="943" w:type="pct"/>
          </w:tcPr>
          <w:p w14:paraId="1FC4CB85" w14:textId="77777777" w:rsidR="005C559F" w:rsidRPr="00DE2FAF" w:rsidRDefault="005C559F" w:rsidP="005C559F">
            <w:pPr>
              <w:pStyle w:val="TableText1"/>
              <w:rPr>
                <w:rFonts w:cs="Arial"/>
                <w:szCs w:val="22"/>
              </w:rPr>
            </w:pPr>
            <w:r w:rsidRPr="00DE2FAF">
              <w:rPr>
                <w:rFonts w:cs="Arial"/>
                <w:szCs w:val="22"/>
              </w:rPr>
              <w:lastRenderedPageBreak/>
              <w:t xml:space="preserve">Patients who underwent ureteroscopy (URS)/flexible </w:t>
            </w:r>
            <w:proofErr w:type="spellStart"/>
            <w:r w:rsidRPr="00DE2FAF">
              <w:rPr>
                <w:rFonts w:cs="Arial"/>
                <w:szCs w:val="22"/>
              </w:rPr>
              <w:t>ureterorenoscopy</w:t>
            </w:r>
            <w:proofErr w:type="spellEnd"/>
            <w:r w:rsidRPr="00DE2FAF">
              <w:rPr>
                <w:rFonts w:cs="Arial"/>
                <w:szCs w:val="22"/>
              </w:rPr>
              <w:t xml:space="preserve"> (FURS) for stones have and overall sepsis rate of 2.8% within 48 h of surgery, but was 1.2% in unstented patients compared with 4.7% in those with a stent. Most importantly, the risk of sepsis increased sequentially with longer stent</w:t>
            </w:r>
            <w:r w:rsidRPr="00DE2FAF">
              <w:rPr>
                <w:rFonts w:ascii="Cambria Math" w:hAnsi="Cambria Math" w:cs="Cambria Math"/>
                <w:szCs w:val="22"/>
              </w:rPr>
              <w:t>‐</w:t>
            </w:r>
            <w:r w:rsidRPr="00DE2FAF">
              <w:rPr>
                <w:rFonts w:cs="Arial"/>
                <w:szCs w:val="22"/>
              </w:rPr>
              <w:t xml:space="preserve">dwell time (2.2% at 30 days to 4.9% at 60 days, 5.5% at 90 days and 9.2% for &gt;90 days stent duration). </w:t>
            </w:r>
          </w:p>
          <w:p w14:paraId="5BC07F5D" w14:textId="77777777" w:rsidR="005C559F" w:rsidRPr="00DE2FAF" w:rsidRDefault="0090310F" w:rsidP="005C559F">
            <w:pPr>
              <w:pStyle w:val="TableText1"/>
              <w:rPr>
                <w:rFonts w:cs="Arial"/>
                <w:szCs w:val="22"/>
              </w:rPr>
            </w:pPr>
            <w:hyperlink r:id="rId16" w:history="1">
              <w:r w:rsidR="005C559F" w:rsidRPr="00DE2FAF">
                <w:rPr>
                  <w:rStyle w:val="Hyperlink"/>
                  <w:rFonts w:cs="Arial"/>
                  <w:szCs w:val="22"/>
                </w:rPr>
                <w:t>Ureteric stent dwelling time: a risk factor for post-ureteroscopy sepsis.</w:t>
              </w:r>
            </w:hyperlink>
          </w:p>
          <w:p w14:paraId="02E2E8A8" w14:textId="77777777" w:rsidR="005C559F" w:rsidRPr="00DE2FAF" w:rsidRDefault="005C559F" w:rsidP="005C559F">
            <w:pPr>
              <w:pStyle w:val="TableText1"/>
              <w:rPr>
                <w:rFonts w:cs="Arial"/>
                <w:szCs w:val="22"/>
              </w:rPr>
            </w:pPr>
            <w:proofErr w:type="spellStart"/>
            <w:r w:rsidRPr="00DE2FAF">
              <w:rPr>
                <w:rFonts w:cs="Arial"/>
                <w:szCs w:val="22"/>
              </w:rPr>
              <w:t>Nevo</w:t>
            </w:r>
            <w:proofErr w:type="spellEnd"/>
            <w:r w:rsidRPr="00DE2FAF">
              <w:rPr>
                <w:rFonts w:cs="Arial"/>
                <w:szCs w:val="22"/>
              </w:rPr>
              <w:t xml:space="preserve"> A, Mano R, </w:t>
            </w:r>
            <w:proofErr w:type="spellStart"/>
            <w:r w:rsidRPr="00DE2FAF">
              <w:rPr>
                <w:rFonts w:cs="Arial"/>
                <w:szCs w:val="22"/>
              </w:rPr>
              <w:t>Baniel</w:t>
            </w:r>
            <w:proofErr w:type="spellEnd"/>
            <w:r w:rsidRPr="00DE2FAF">
              <w:rPr>
                <w:rFonts w:cs="Arial"/>
                <w:szCs w:val="22"/>
              </w:rPr>
              <w:t xml:space="preserve"> J, </w:t>
            </w:r>
            <w:proofErr w:type="spellStart"/>
            <w:r w:rsidRPr="00DE2FAF">
              <w:rPr>
                <w:rFonts w:cs="Arial"/>
                <w:szCs w:val="22"/>
              </w:rPr>
              <w:t>Lifshitz</w:t>
            </w:r>
            <w:proofErr w:type="spellEnd"/>
            <w:r w:rsidRPr="00DE2FAF">
              <w:rPr>
                <w:rFonts w:cs="Arial"/>
                <w:szCs w:val="22"/>
              </w:rPr>
              <w:t xml:space="preserve"> DA.</w:t>
            </w:r>
          </w:p>
          <w:p w14:paraId="56042EA6" w14:textId="77777777" w:rsidR="005C559F" w:rsidRPr="00DE2FAF" w:rsidRDefault="005C559F" w:rsidP="005C559F">
            <w:pPr>
              <w:pStyle w:val="TableText1"/>
              <w:rPr>
                <w:rFonts w:cs="Arial"/>
                <w:szCs w:val="22"/>
              </w:rPr>
            </w:pPr>
            <w:r w:rsidRPr="00DE2FAF">
              <w:rPr>
                <w:rFonts w:cs="Arial"/>
                <w:szCs w:val="22"/>
              </w:rPr>
              <w:t>BJU Int. 2017 Jul;120(1):117-122.</w:t>
            </w:r>
          </w:p>
          <w:p w14:paraId="797E8A4B" w14:textId="77777777" w:rsidR="005C559F" w:rsidRPr="00DE2FAF" w:rsidRDefault="005C559F" w:rsidP="005C559F">
            <w:pPr>
              <w:pStyle w:val="TableText1"/>
              <w:rPr>
                <w:rFonts w:cs="Arial"/>
                <w:szCs w:val="22"/>
              </w:rPr>
            </w:pPr>
          </w:p>
          <w:p w14:paraId="068C56FC" w14:textId="77777777" w:rsidR="005C559F" w:rsidRPr="00DE2FAF" w:rsidRDefault="005C559F" w:rsidP="005C559F">
            <w:pPr>
              <w:pStyle w:val="TableText1"/>
              <w:rPr>
                <w:rFonts w:cs="Arial"/>
                <w:szCs w:val="22"/>
              </w:rPr>
            </w:pPr>
            <w:r w:rsidRPr="00DE2FAF">
              <w:rPr>
                <w:rFonts w:cs="Arial"/>
                <w:szCs w:val="22"/>
              </w:rPr>
              <w:t xml:space="preserve">The UK based TISU study will report treatment </w:t>
            </w:r>
            <w:r w:rsidRPr="00DE2FAF">
              <w:rPr>
                <w:rFonts w:cs="Arial"/>
                <w:szCs w:val="22"/>
              </w:rPr>
              <w:lastRenderedPageBreak/>
              <w:t xml:space="preserve">and quality of life outcomes and has showed a median time to treatment for lithotripsy of 8 days (range 2-18) days (93% treated within 8 weeks) and for ureteroscopy of 25 (range 9-44) days (86% treated within 8 weeks) </w:t>
            </w:r>
          </w:p>
          <w:p w14:paraId="0ECC5CA8" w14:textId="4660F225" w:rsidR="005C559F" w:rsidRPr="00DE2FAF" w:rsidRDefault="005C559F" w:rsidP="00233AEB">
            <w:pPr>
              <w:pStyle w:val="TableText1"/>
              <w:rPr>
                <w:rFonts w:cs="Arial"/>
                <w:szCs w:val="22"/>
              </w:rPr>
            </w:pPr>
            <w:r w:rsidRPr="00DE2FAF">
              <w:rPr>
                <w:rFonts w:cs="Arial"/>
                <w:szCs w:val="22"/>
              </w:rPr>
              <w:t xml:space="preserve">TISU: </w:t>
            </w:r>
            <w:proofErr w:type="spellStart"/>
            <w:r w:rsidRPr="00DE2FAF">
              <w:rPr>
                <w:rFonts w:cs="Arial"/>
                <w:szCs w:val="22"/>
              </w:rPr>
              <w:t>Extracoporeal</w:t>
            </w:r>
            <w:proofErr w:type="spellEnd"/>
            <w:r w:rsidRPr="00DE2FAF">
              <w:rPr>
                <w:rFonts w:cs="Arial"/>
                <w:szCs w:val="22"/>
              </w:rPr>
              <w:t xml:space="preserve"> shockwave lithotripsy as first treatment options compared with direct progression to </w:t>
            </w:r>
            <w:proofErr w:type="spellStart"/>
            <w:r w:rsidRPr="00DE2FAF">
              <w:rPr>
                <w:rFonts w:cs="Arial"/>
                <w:szCs w:val="22"/>
              </w:rPr>
              <w:t>ureterscopic</w:t>
            </w:r>
            <w:proofErr w:type="spellEnd"/>
            <w:r w:rsidRPr="00DE2FAF">
              <w:rPr>
                <w:rFonts w:cs="Arial"/>
                <w:szCs w:val="22"/>
              </w:rPr>
              <w:t xml:space="preserve"> treatment for ureteric stones RCT. In Press. Personal Communication from Prof. Sam McClinton 18/7/19.</w:t>
            </w:r>
          </w:p>
        </w:tc>
      </w:tr>
      <w:tr w:rsidR="00B833B7" w:rsidRPr="00DE2FAF" w14:paraId="698426FE" w14:textId="77777777" w:rsidTr="00B77627">
        <w:trPr>
          <w:trHeight w:val="282"/>
        </w:trPr>
        <w:tc>
          <w:tcPr>
            <w:tcW w:w="192" w:type="pct"/>
          </w:tcPr>
          <w:p w14:paraId="3A40A05D" w14:textId="105E7FD5" w:rsidR="005C559F" w:rsidRPr="00B833B7" w:rsidRDefault="00B833B7" w:rsidP="005C559F">
            <w:pPr>
              <w:pStyle w:val="Tabletext"/>
              <w:rPr>
                <w:rFonts w:cs="Arial"/>
                <w:szCs w:val="22"/>
              </w:rPr>
            </w:pPr>
            <w:r w:rsidRPr="00B833B7">
              <w:rPr>
                <w:rFonts w:cs="Arial"/>
                <w:szCs w:val="22"/>
              </w:rPr>
              <w:lastRenderedPageBreak/>
              <w:t>20</w:t>
            </w:r>
          </w:p>
        </w:tc>
        <w:tc>
          <w:tcPr>
            <w:tcW w:w="772" w:type="pct"/>
          </w:tcPr>
          <w:p w14:paraId="5C54E5BA" w14:textId="19235DB8" w:rsidR="005C559F" w:rsidRPr="00DE2FAF" w:rsidRDefault="005C559F" w:rsidP="005C559F">
            <w:pPr>
              <w:pStyle w:val="Tabletext"/>
              <w:rPr>
                <w:rFonts w:cs="Arial"/>
                <w:szCs w:val="22"/>
              </w:rPr>
            </w:pPr>
            <w:r w:rsidRPr="00DE2FAF">
              <w:rPr>
                <w:rFonts w:cs="Arial"/>
                <w:szCs w:val="22"/>
              </w:rPr>
              <w:t xml:space="preserve">Renal Association </w:t>
            </w:r>
          </w:p>
        </w:tc>
        <w:tc>
          <w:tcPr>
            <w:tcW w:w="1160" w:type="pct"/>
          </w:tcPr>
          <w:p w14:paraId="3FFDF786" w14:textId="77777777" w:rsidR="005C559F" w:rsidRPr="00DE2FAF" w:rsidRDefault="005C559F" w:rsidP="005C559F">
            <w:pPr>
              <w:pStyle w:val="Tabletext"/>
              <w:rPr>
                <w:rFonts w:cs="Arial"/>
                <w:szCs w:val="22"/>
              </w:rPr>
            </w:pPr>
          </w:p>
        </w:tc>
        <w:tc>
          <w:tcPr>
            <w:tcW w:w="919" w:type="pct"/>
          </w:tcPr>
          <w:p w14:paraId="0D0D9930" w14:textId="7CCF104A" w:rsidR="005C559F" w:rsidRPr="00DE2FAF" w:rsidRDefault="005C559F" w:rsidP="005C559F">
            <w:pPr>
              <w:pStyle w:val="Tabletext"/>
              <w:rPr>
                <w:rFonts w:cs="Arial"/>
                <w:szCs w:val="22"/>
              </w:rPr>
            </w:pPr>
            <w:r w:rsidRPr="00DE2FAF">
              <w:rPr>
                <w:rFonts w:cs="Arial"/>
                <w:szCs w:val="22"/>
              </w:rPr>
              <w:t>Access to Shock wave lithotripsy (SWL) for patients with stones &lt;10 mm and 10-20 mm in size  - there may be large geographical differences in access to SWL</w:t>
            </w:r>
          </w:p>
        </w:tc>
        <w:tc>
          <w:tcPr>
            <w:tcW w:w="1014" w:type="pct"/>
          </w:tcPr>
          <w:p w14:paraId="5DBA812E" w14:textId="77777777" w:rsidR="005C559F" w:rsidRPr="00DE2FAF" w:rsidRDefault="005C559F" w:rsidP="005C559F">
            <w:pPr>
              <w:rPr>
                <w:rFonts w:ascii="Arial" w:hAnsi="Arial" w:cs="Arial"/>
                <w:sz w:val="22"/>
                <w:szCs w:val="22"/>
              </w:rPr>
            </w:pPr>
          </w:p>
        </w:tc>
        <w:tc>
          <w:tcPr>
            <w:tcW w:w="943" w:type="pct"/>
          </w:tcPr>
          <w:p w14:paraId="56FAAB22" w14:textId="77777777" w:rsidR="005C559F" w:rsidRPr="00DE2FAF" w:rsidRDefault="005C559F" w:rsidP="005C559F">
            <w:pPr>
              <w:rPr>
                <w:rFonts w:ascii="Arial" w:hAnsi="Arial" w:cs="Arial"/>
                <w:sz w:val="22"/>
                <w:szCs w:val="22"/>
              </w:rPr>
            </w:pPr>
          </w:p>
        </w:tc>
      </w:tr>
      <w:tr w:rsidR="00B833B7" w:rsidRPr="00DE2FAF" w14:paraId="0765460D" w14:textId="77777777" w:rsidTr="00B77627">
        <w:trPr>
          <w:trHeight w:val="282"/>
        </w:trPr>
        <w:tc>
          <w:tcPr>
            <w:tcW w:w="192" w:type="pct"/>
          </w:tcPr>
          <w:p w14:paraId="0DD8D0D8" w14:textId="79FC7285" w:rsidR="005C559F" w:rsidRPr="00B833B7" w:rsidRDefault="00B833B7" w:rsidP="005C559F">
            <w:pPr>
              <w:pStyle w:val="Tabletext"/>
              <w:rPr>
                <w:rFonts w:cs="Arial"/>
                <w:szCs w:val="22"/>
              </w:rPr>
            </w:pPr>
            <w:r w:rsidRPr="00B833B7">
              <w:rPr>
                <w:rFonts w:cs="Arial"/>
                <w:szCs w:val="22"/>
              </w:rPr>
              <w:t>21</w:t>
            </w:r>
          </w:p>
        </w:tc>
        <w:tc>
          <w:tcPr>
            <w:tcW w:w="772" w:type="pct"/>
          </w:tcPr>
          <w:p w14:paraId="51D09787" w14:textId="641F9CD9" w:rsidR="005C559F" w:rsidRPr="00DE2FAF" w:rsidRDefault="00DE2FAF" w:rsidP="005C559F">
            <w:pPr>
              <w:pStyle w:val="Tabletext"/>
              <w:rPr>
                <w:rFonts w:cs="Arial"/>
                <w:szCs w:val="22"/>
              </w:rPr>
            </w:pPr>
            <w:r>
              <w:rPr>
                <w:rFonts w:cs="Arial"/>
                <w:szCs w:val="22"/>
              </w:rPr>
              <w:t>SCM 2</w:t>
            </w:r>
          </w:p>
        </w:tc>
        <w:tc>
          <w:tcPr>
            <w:tcW w:w="1160" w:type="pct"/>
          </w:tcPr>
          <w:p w14:paraId="4A520490" w14:textId="54787EE9" w:rsidR="005C559F" w:rsidRPr="00DE2FAF" w:rsidRDefault="005C559F" w:rsidP="005C559F">
            <w:pPr>
              <w:pStyle w:val="Tabletext"/>
              <w:rPr>
                <w:rFonts w:cs="Arial"/>
                <w:szCs w:val="22"/>
              </w:rPr>
            </w:pPr>
            <w:r w:rsidRPr="00DE2FAF">
              <w:rPr>
                <w:rFonts w:cs="Arial"/>
                <w:szCs w:val="22"/>
              </w:rPr>
              <w:t>(3)For adults presenting with renal stone less than 10mm, offer SWL</w:t>
            </w:r>
          </w:p>
        </w:tc>
        <w:tc>
          <w:tcPr>
            <w:tcW w:w="919" w:type="pct"/>
          </w:tcPr>
          <w:p w14:paraId="4785DF14" w14:textId="2DA98AB6" w:rsidR="005C559F" w:rsidRPr="00DE2FAF" w:rsidRDefault="005C559F" w:rsidP="005C559F">
            <w:pPr>
              <w:pStyle w:val="Tabletext"/>
              <w:rPr>
                <w:rFonts w:cs="Arial"/>
                <w:szCs w:val="22"/>
              </w:rPr>
            </w:pPr>
            <w:r w:rsidRPr="00DE2FAF">
              <w:rPr>
                <w:rFonts w:cs="Arial"/>
                <w:szCs w:val="22"/>
              </w:rPr>
              <w:t>NICE Guideline</w:t>
            </w:r>
          </w:p>
        </w:tc>
        <w:tc>
          <w:tcPr>
            <w:tcW w:w="1014" w:type="pct"/>
          </w:tcPr>
          <w:p w14:paraId="75CBE924" w14:textId="5C3B2854" w:rsidR="005C559F" w:rsidRPr="00DE2FAF" w:rsidRDefault="005C559F" w:rsidP="005C559F">
            <w:pPr>
              <w:rPr>
                <w:rFonts w:ascii="Arial" w:hAnsi="Arial" w:cs="Arial"/>
                <w:sz w:val="22"/>
                <w:szCs w:val="22"/>
              </w:rPr>
            </w:pPr>
            <w:r w:rsidRPr="00DE2FAF">
              <w:rPr>
                <w:rFonts w:ascii="Arial" w:hAnsi="Arial" w:cs="Arial"/>
                <w:sz w:val="22"/>
                <w:szCs w:val="22"/>
              </w:rPr>
              <w:t xml:space="preserve">The Guideline Committee found widely varying practice in this area. This treatment is the most </w:t>
            </w:r>
            <w:r w:rsidRPr="00DE2FAF">
              <w:rPr>
                <w:rFonts w:ascii="Arial" w:hAnsi="Arial" w:cs="Arial"/>
                <w:sz w:val="22"/>
                <w:szCs w:val="22"/>
              </w:rPr>
              <w:lastRenderedPageBreak/>
              <w:t>clinically and cost effective treatment</w:t>
            </w:r>
          </w:p>
        </w:tc>
        <w:tc>
          <w:tcPr>
            <w:tcW w:w="943" w:type="pct"/>
          </w:tcPr>
          <w:p w14:paraId="2ABBF2FB" w14:textId="648711E7" w:rsidR="005C559F" w:rsidRPr="00DE2FAF" w:rsidRDefault="005C559F" w:rsidP="005C559F">
            <w:pPr>
              <w:rPr>
                <w:rFonts w:ascii="Arial" w:hAnsi="Arial" w:cs="Arial"/>
                <w:sz w:val="22"/>
                <w:szCs w:val="22"/>
              </w:rPr>
            </w:pPr>
            <w:r w:rsidRPr="00DE2FAF">
              <w:rPr>
                <w:rFonts w:ascii="Arial" w:hAnsi="Arial" w:cs="Arial"/>
                <w:sz w:val="22"/>
                <w:szCs w:val="22"/>
              </w:rPr>
              <w:lastRenderedPageBreak/>
              <w:t>NICE Guideline and background documentation</w:t>
            </w:r>
          </w:p>
        </w:tc>
      </w:tr>
      <w:tr w:rsidR="00B833B7" w:rsidRPr="00DE2FAF" w14:paraId="2926D095" w14:textId="77777777" w:rsidTr="00B77627">
        <w:trPr>
          <w:trHeight w:val="282"/>
        </w:trPr>
        <w:tc>
          <w:tcPr>
            <w:tcW w:w="192" w:type="pct"/>
          </w:tcPr>
          <w:p w14:paraId="533D2368" w14:textId="0C805273" w:rsidR="005C559F" w:rsidRPr="00B833B7" w:rsidRDefault="00B833B7" w:rsidP="005C559F">
            <w:pPr>
              <w:pStyle w:val="Tabletext"/>
              <w:rPr>
                <w:rFonts w:cs="Arial"/>
                <w:szCs w:val="22"/>
              </w:rPr>
            </w:pPr>
            <w:r w:rsidRPr="00B833B7">
              <w:rPr>
                <w:rFonts w:cs="Arial"/>
                <w:szCs w:val="22"/>
              </w:rPr>
              <w:t>22</w:t>
            </w:r>
          </w:p>
        </w:tc>
        <w:tc>
          <w:tcPr>
            <w:tcW w:w="772" w:type="pct"/>
          </w:tcPr>
          <w:p w14:paraId="6B843FF2" w14:textId="4BE896B6" w:rsidR="005C559F" w:rsidRPr="00DE2FAF" w:rsidRDefault="00DE2FAF" w:rsidP="005C559F">
            <w:pPr>
              <w:pStyle w:val="Tabletext"/>
              <w:rPr>
                <w:rFonts w:cs="Arial"/>
                <w:szCs w:val="22"/>
              </w:rPr>
            </w:pPr>
            <w:r>
              <w:rPr>
                <w:rFonts w:cs="Arial"/>
                <w:szCs w:val="22"/>
              </w:rPr>
              <w:t>SCM 2</w:t>
            </w:r>
          </w:p>
        </w:tc>
        <w:tc>
          <w:tcPr>
            <w:tcW w:w="1160" w:type="pct"/>
          </w:tcPr>
          <w:p w14:paraId="4B9607B9" w14:textId="5FD8C80A" w:rsidR="005C559F" w:rsidRPr="00DE2FAF" w:rsidRDefault="005C559F" w:rsidP="005C559F">
            <w:pPr>
              <w:pStyle w:val="Tabletext"/>
              <w:rPr>
                <w:rFonts w:cs="Arial"/>
                <w:szCs w:val="22"/>
              </w:rPr>
            </w:pPr>
            <w:r w:rsidRPr="00DE2FAF">
              <w:rPr>
                <w:rFonts w:cs="Arial"/>
                <w:szCs w:val="22"/>
              </w:rPr>
              <w:t>(4)For adults presenting ureteric stone less than 10mm, offer SWL</w:t>
            </w:r>
          </w:p>
        </w:tc>
        <w:tc>
          <w:tcPr>
            <w:tcW w:w="919" w:type="pct"/>
          </w:tcPr>
          <w:p w14:paraId="55B311C2" w14:textId="1A7F0286" w:rsidR="005C559F" w:rsidRPr="00DE2FAF" w:rsidRDefault="005C559F" w:rsidP="005C559F">
            <w:pPr>
              <w:pStyle w:val="Tabletext"/>
              <w:rPr>
                <w:rFonts w:cs="Arial"/>
                <w:szCs w:val="22"/>
              </w:rPr>
            </w:pPr>
            <w:r w:rsidRPr="00DE2FAF">
              <w:rPr>
                <w:rFonts w:cs="Arial"/>
                <w:szCs w:val="22"/>
              </w:rPr>
              <w:t>NICE Guideline</w:t>
            </w:r>
          </w:p>
        </w:tc>
        <w:tc>
          <w:tcPr>
            <w:tcW w:w="1014" w:type="pct"/>
          </w:tcPr>
          <w:p w14:paraId="51BD193D" w14:textId="15908ED2" w:rsidR="005C559F" w:rsidRPr="00DE2FAF" w:rsidRDefault="005C559F" w:rsidP="005C559F">
            <w:pPr>
              <w:rPr>
                <w:rFonts w:ascii="Arial" w:hAnsi="Arial" w:cs="Arial"/>
                <w:sz w:val="22"/>
                <w:szCs w:val="22"/>
              </w:rPr>
            </w:pPr>
            <w:r w:rsidRPr="00DE2FAF">
              <w:rPr>
                <w:rFonts w:ascii="Arial" w:hAnsi="Arial" w:cs="Arial"/>
                <w:sz w:val="22"/>
                <w:szCs w:val="22"/>
              </w:rPr>
              <w:t>The Guideline Committee found widely varying practice in this area. This treatment is the most clinically and cost effective treatment</w:t>
            </w:r>
          </w:p>
        </w:tc>
        <w:tc>
          <w:tcPr>
            <w:tcW w:w="943" w:type="pct"/>
          </w:tcPr>
          <w:p w14:paraId="5E7E2A3A" w14:textId="65C3D458" w:rsidR="005C559F" w:rsidRPr="00DE2FAF" w:rsidRDefault="005C559F" w:rsidP="005C559F">
            <w:pPr>
              <w:rPr>
                <w:rFonts w:ascii="Arial" w:hAnsi="Arial" w:cs="Arial"/>
                <w:sz w:val="22"/>
                <w:szCs w:val="22"/>
              </w:rPr>
            </w:pPr>
            <w:r w:rsidRPr="00DE2FAF">
              <w:rPr>
                <w:rFonts w:ascii="Arial" w:hAnsi="Arial" w:cs="Arial"/>
                <w:sz w:val="22"/>
                <w:szCs w:val="22"/>
              </w:rPr>
              <w:t>NICE Guideline and background documentation</w:t>
            </w:r>
          </w:p>
        </w:tc>
      </w:tr>
      <w:tr w:rsidR="00B833B7" w:rsidRPr="00DE2FAF" w14:paraId="56DAFCC0" w14:textId="77777777" w:rsidTr="00B77627">
        <w:trPr>
          <w:trHeight w:val="282"/>
        </w:trPr>
        <w:tc>
          <w:tcPr>
            <w:tcW w:w="192" w:type="pct"/>
          </w:tcPr>
          <w:p w14:paraId="511CB1FB" w14:textId="22365EBA" w:rsidR="005C559F" w:rsidRPr="00B833B7" w:rsidRDefault="00B833B7" w:rsidP="005C559F">
            <w:pPr>
              <w:pStyle w:val="Tabletext"/>
              <w:rPr>
                <w:rFonts w:cs="Arial"/>
                <w:szCs w:val="22"/>
              </w:rPr>
            </w:pPr>
            <w:r w:rsidRPr="00B833B7">
              <w:rPr>
                <w:rFonts w:cs="Arial"/>
                <w:szCs w:val="22"/>
              </w:rPr>
              <w:t>23</w:t>
            </w:r>
          </w:p>
        </w:tc>
        <w:tc>
          <w:tcPr>
            <w:tcW w:w="772" w:type="pct"/>
          </w:tcPr>
          <w:p w14:paraId="54E4B975" w14:textId="33717F10" w:rsidR="005C559F" w:rsidRPr="00DE2FAF" w:rsidRDefault="00DE2FAF" w:rsidP="005C559F">
            <w:pPr>
              <w:pStyle w:val="Tabletext"/>
              <w:rPr>
                <w:rFonts w:cs="Arial"/>
                <w:szCs w:val="22"/>
              </w:rPr>
            </w:pPr>
            <w:r>
              <w:rPr>
                <w:rFonts w:cs="Arial"/>
                <w:szCs w:val="22"/>
              </w:rPr>
              <w:t>SCM 3</w:t>
            </w:r>
          </w:p>
        </w:tc>
        <w:tc>
          <w:tcPr>
            <w:tcW w:w="1160" w:type="pct"/>
          </w:tcPr>
          <w:p w14:paraId="7C07F8A5" w14:textId="77777777" w:rsidR="005C559F" w:rsidRPr="00DE2FAF" w:rsidRDefault="005C559F" w:rsidP="005C559F">
            <w:pPr>
              <w:pStyle w:val="TableText1"/>
              <w:rPr>
                <w:rFonts w:cs="Arial"/>
                <w:szCs w:val="22"/>
              </w:rPr>
            </w:pPr>
            <w:r w:rsidRPr="00DE2FAF">
              <w:rPr>
                <w:rFonts w:cs="Arial"/>
                <w:szCs w:val="22"/>
              </w:rPr>
              <w:t>Key area for quality improvement 1</w:t>
            </w:r>
          </w:p>
          <w:p w14:paraId="65AB9E16" w14:textId="58DAD6B7" w:rsidR="005C559F" w:rsidRPr="00DE2FAF" w:rsidRDefault="005C559F" w:rsidP="005C559F">
            <w:pPr>
              <w:pStyle w:val="Tabletext"/>
              <w:rPr>
                <w:rFonts w:cs="Arial"/>
                <w:szCs w:val="22"/>
              </w:rPr>
            </w:pPr>
            <w:r w:rsidRPr="00DE2FAF">
              <w:rPr>
                <w:rFonts w:cs="Arial"/>
                <w:szCs w:val="22"/>
              </w:rPr>
              <w:t>Availability of SWL</w:t>
            </w:r>
          </w:p>
        </w:tc>
        <w:tc>
          <w:tcPr>
            <w:tcW w:w="919" w:type="pct"/>
          </w:tcPr>
          <w:p w14:paraId="03DC9101" w14:textId="5E6BFF39" w:rsidR="005C559F" w:rsidRPr="00DE2FAF" w:rsidRDefault="005C559F" w:rsidP="005C559F">
            <w:pPr>
              <w:pStyle w:val="Tabletext"/>
              <w:rPr>
                <w:rFonts w:cs="Arial"/>
                <w:szCs w:val="22"/>
              </w:rPr>
            </w:pPr>
            <w:r w:rsidRPr="00DE2FAF">
              <w:rPr>
                <w:rFonts w:cs="Arial"/>
                <w:szCs w:val="22"/>
              </w:rPr>
              <w:t xml:space="preserve">Access to timely SWL is variable in England </w:t>
            </w:r>
          </w:p>
        </w:tc>
        <w:tc>
          <w:tcPr>
            <w:tcW w:w="1014" w:type="pct"/>
          </w:tcPr>
          <w:p w14:paraId="3FB39321" w14:textId="702B1841" w:rsidR="005C559F" w:rsidRPr="00DE2FAF" w:rsidRDefault="005C559F" w:rsidP="005C559F">
            <w:pPr>
              <w:rPr>
                <w:rFonts w:ascii="Arial" w:hAnsi="Arial" w:cs="Arial"/>
                <w:sz w:val="22"/>
                <w:szCs w:val="22"/>
              </w:rPr>
            </w:pPr>
            <w:r w:rsidRPr="00DE2FAF">
              <w:rPr>
                <w:rFonts w:ascii="Arial" w:hAnsi="Arial" w:cs="Arial"/>
                <w:sz w:val="22"/>
                <w:szCs w:val="22"/>
              </w:rPr>
              <w:t>Quality standards to encourage networking as suggested in GIRFT report</w:t>
            </w:r>
          </w:p>
        </w:tc>
        <w:tc>
          <w:tcPr>
            <w:tcW w:w="943" w:type="pct"/>
          </w:tcPr>
          <w:p w14:paraId="404E5AB1" w14:textId="77777777" w:rsidR="005C559F" w:rsidRPr="00DE2FAF" w:rsidRDefault="005C559F" w:rsidP="005C559F">
            <w:pPr>
              <w:pStyle w:val="TableText1"/>
              <w:rPr>
                <w:rFonts w:cs="Arial"/>
                <w:szCs w:val="22"/>
              </w:rPr>
            </w:pPr>
            <w:r w:rsidRPr="00DE2FAF">
              <w:rPr>
                <w:rFonts w:cs="Arial"/>
                <w:szCs w:val="22"/>
              </w:rPr>
              <w:t>Urology GIRFT report</w:t>
            </w:r>
          </w:p>
          <w:p w14:paraId="67202291" w14:textId="18FA137E" w:rsidR="005C559F" w:rsidRPr="00DE2FAF" w:rsidRDefault="0090310F" w:rsidP="005C559F">
            <w:pPr>
              <w:rPr>
                <w:rFonts w:ascii="Arial" w:hAnsi="Arial" w:cs="Arial"/>
                <w:sz w:val="22"/>
                <w:szCs w:val="22"/>
              </w:rPr>
            </w:pPr>
            <w:hyperlink r:id="rId17" w:history="1">
              <w:r w:rsidR="005C559F" w:rsidRPr="00DE2FAF">
                <w:rPr>
                  <w:rStyle w:val="Hyperlink"/>
                  <w:rFonts w:ascii="Arial" w:hAnsi="Arial" w:cs="Arial"/>
                  <w:sz w:val="22"/>
                  <w:szCs w:val="22"/>
                </w:rPr>
                <w:t>https://gettingitrightfirsttime.co.uk/wp-content/uploads/2018/07/Urology-June18-M.pdf</w:t>
              </w:r>
            </w:hyperlink>
          </w:p>
        </w:tc>
      </w:tr>
      <w:tr w:rsidR="00B833B7" w:rsidRPr="00DE2FAF" w14:paraId="2522D1B3" w14:textId="77777777" w:rsidTr="00B77627">
        <w:trPr>
          <w:trHeight w:val="282"/>
        </w:trPr>
        <w:tc>
          <w:tcPr>
            <w:tcW w:w="192" w:type="pct"/>
          </w:tcPr>
          <w:p w14:paraId="2A1F370E" w14:textId="22D31A97" w:rsidR="005C559F" w:rsidRPr="00B833B7" w:rsidRDefault="00B833B7" w:rsidP="005C559F">
            <w:pPr>
              <w:pStyle w:val="Tabletext"/>
              <w:rPr>
                <w:rFonts w:cs="Arial"/>
                <w:szCs w:val="22"/>
              </w:rPr>
            </w:pPr>
            <w:r w:rsidRPr="00B833B7">
              <w:rPr>
                <w:rFonts w:cs="Arial"/>
                <w:szCs w:val="22"/>
              </w:rPr>
              <w:t>24</w:t>
            </w:r>
          </w:p>
        </w:tc>
        <w:tc>
          <w:tcPr>
            <w:tcW w:w="772" w:type="pct"/>
          </w:tcPr>
          <w:p w14:paraId="0A8FDDBE" w14:textId="0524A75B" w:rsidR="005C559F" w:rsidRPr="00DE2FAF" w:rsidRDefault="00DE2FAF" w:rsidP="005C559F">
            <w:pPr>
              <w:pStyle w:val="Tabletext"/>
              <w:rPr>
                <w:rFonts w:cs="Arial"/>
                <w:szCs w:val="22"/>
              </w:rPr>
            </w:pPr>
            <w:r>
              <w:rPr>
                <w:rFonts w:cs="Arial"/>
                <w:szCs w:val="22"/>
              </w:rPr>
              <w:t>SCM 3</w:t>
            </w:r>
          </w:p>
        </w:tc>
        <w:tc>
          <w:tcPr>
            <w:tcW w:w="1160" w:type="pct"/>
          </w:tcPr>
          <w:p w14:paraId="104559F5" w14:textId="77777777" w:rsidR="005C559F" w:rsidRPr="00DE2FAF" w:rsidRDefault="005C559F" w:rsidP="005C559F">
            <w:pPr>
              <w:pStyle w:val="TableText1"/>
              <w:rPr>
                <w:rFonts w:cs="Arial"/>
                <w:szCs w:val="22"/>
              </w:rPr>
            </w:pPr>
            <w:r w:rsidRPr="00DE2FAF">
              <w:rPr>
                <w:rFonts w:cs="Arial"/>
                <w:szCs w:val="22"/>
              </w:rPr>
              <w:t>Key area for quality improvement 2</w:t>
            </w:r>
          </w:p>
          <w:p w14:paraId="4C3A8AB4" w14:textId="4F98BEBB" w:rsidR="005C559F" w:rsidRPr="00DE2FAF" w:rsidRDefault="005C559F" w:rsidP="005C559F">
            <w:pPr>
              <w:pStyle w:val="Tabletext"/>
              <w:rPr>
                <w:rFonts w:cs="Arial"/>
                <w:szCs w:val="22"/>
              </w:rPr>
            </w:pPr>
            <w:r w:rsidRPr="00DE2FAF">
              <w:rPr>
                <w:rFonts w:cs="Arial"/>
                <w:szCs w:val="22"/>
              </w:rPr>
              <w:t>Ability to offer treatment within 48 hours</w:t>
            </w:r>
          </w:p>
        </w:tc>
        <w:tc>
          <w:tcPr>
            <w:tcW w:w="919" w:type="pct"/>
          </w:tcPr>
          <w:p w14:paraId="7CE7FC92" w14:textId="31D9E4A6" w:rsidR="005C559F" w:rsidRPr="00DE2FAF" w:rsidRDefault="005C559F" w:rsidP="005C559F">
            <w:pPr>
              <w:pStyle w:val="Tabletext"/>
              <w:rPr>
                <w:rFonts w:cs="Arial"/>
                <w:szCs w:val="22"/>
              </w:rPr>
            </w:pPr>
            <w:r w:rsidRPr="00DE2FAF">
              <w:rPr>
                <w:rFonts w:cs="Arial"/>
                <w:szCs w:val="22"/>
              </w:rPr>
              <w:t>NHS resources and availability to emergency theatre capacity for urologists is variable in England</w:t>
            </w:r>
          </w:p>
        </w:tc>
        <w:tc>
          <w:tcPr>
            <w:tcW w:w="1014" w:type="pct"/>
          </w:tcPr>
          <w:p w14:paraId="6AD15D6E" w14:textId="77777777" w:rsidR="005C559F" w:rsidRPr="00DE2FAF" w:rsidRDefault="005C559F" w:rsidP="005C559F">
            <w:pPr>
              <w:rPr>
                <w:rFonts w:ascii="Arial" w:hAnsi="Arial" w:cs="Arial"/>
                <w:sz w:val="22"/>
                <w:szCs w:val="22"/>
              </w:rPr>
            </w:pPr>
          </w:p>
        </w:tc>
        <w:tc>
          <w:tcPr>
            <w:tcW w:w="943" w:type="pct"/>
          </w:tcPr>
          <w:p w14:paraId="7CFA307B" w14:textId="0F25908B" w:rsidR="005C559F" w:rsidRPr="00DE2FAF" w:rsidRDefault="0090310F" w:rsidP="005C559F">
            <w:pPr>
              <w:rPr>
                <w:rFonts w:ascii="Arial" w:hAnsi="Arial" w:cs="Arial"/>
                <w:sz w:val="22"/>
                <w:szCs w:val="22"/>
              </w:rPr>
            </w:pPr>
            <w:hyperlink r:id="rId18" w:history="1">
              <w:r w:rsidR="005C559F" w:rsidRPr="00DE2FAF">
                <w:rPr>
                  <w:rStyle w:val="Hyperlink"/>
                  <w:rFonts w:ascii="Arial" w:hAnsi="Arial" w:cs="Arial"/>
                  <w:sz w:val="22"/>
                  <w:szCs w:val="22"/>
                </w:rPr>
                <w:t>https://gettingitrightfirsttime.co.uk/wp-content/uploads/2018/07/Urology-June18-M.pdf</w:t>
              </w:r>
            </w:hyperlink>
          </w:p>
        </w:tc>
      </w:tr>
      <w:tr w:rsidR="00B833B7" w:rsidRPr="00DE2FAF" w14:paraId="556260B7" w14:textId="77777777" w:rsidTr="00B77627">
        <w:trPr>
          <w:trHeight w:val="282"/>
        </w:trPr>
        <w:tc>
          <w:tcPr>
            <w:tcW w:w="192" w:type="pct"/>
          </w:tcPr>
          <w:p w14:paraId="43D392F9" w14:textId="51496F28" w:rsidR="005C559F" w:rsidRPr="00B833B7" w:rsidRDefault="00B833B7" w:rsidP="005C559F">
            <w:pPr>
              <w:pStyle w:val="Tabletext"/>
              <w:rPr>
                <w:rFonts w:cs="Arial"/>
                <w:szCs w:val="22"/>
              </w:rPr>
            </w:pPr>
            <w:r w:rsidRPr="00B833B7">
              <w:rPr>
                <w:rFonts w:cs="Arial"/>
                <w:szCs w:val="22"/>
              </w:rPr>
              <w:t>25</w:t>
            </w:r>
          </w:p>
        </w:tc>
        <w:tc>
          <w:tcPr>
            <w:tcW w:w="772" w:type="pct"/>
          </w:tcPr>
          <w:p w14:paraId="26BA3738" w14:textId="7FD36BA4" w:rsidR="005C559F" w:rsidRPr="00DE2FAF" w:rsidRDefault="00DE2FAF" w:rsidP="005C559F">
            <w:pPr>
              <w:pStyle w:val="Tabletext"/>
              <w:rPr>
                <w:rFonts w:cs="Arial"/>
                <w:szCs w:val="22"/>
              </w:rPr>
            </w:pPr>
            <w:r>
              <w:rPr>
                <w:rFonts w:cs="Arial"/>
                <w:szCs w:val="22"/>
              </w:rPr>
              <w:t>SCM 4</w:t>
            </w:r>
          </w:p>
        </w:tc>
        <w:tc>
          <w:tcPr>
            <w:tcW w:w="1160" w:type="pct"/>
          </w:tcPr>
          <w:p w14:paraId="03AAB56E" w14:textId="77777777" w:rsidR="005C559F" w:rsidRPr="00DE2FAF" w:rsidRDefault="005C559F" w:rsidP="005C559F">
            <w:pPr>
              <w:pStyle w:val="TableText1"/>
              <w:rPr>
                <w:rFonts w:cs="Arial"/>
                <w:szCs w:val="22"/>
              </w:rPr>
            </w:pPr>
            <w:r w:rsidRPr="00DE2FAF">
              <w:rPr>
                <w:rFonts w:cs="Arial"/>
                <w:szCs w:val="22"/>
              </w:rPr>
              <w:t>Emergency/Hot Ureteric stones.</w:t>
            </w:r>
          </w:p>
          <w:p w14:paraId="46FEF0D0" w14:textId="77777777" w:rsidR="005C559F" w:rsidRPr="00DE2FAF" w:rsidRDefault="005C559F" w:rsidP="005C559F">
            <w:pPr>
              <w:pStyle w:val="TableText1"/>
              <w:rPr>
                <w:rFonts w:cs="Arial"/>
                <w:szCs w:val="22"/>
              </w:rPr>
            </w:pPr>
          </w:p>
          <w:p w14:paraId="3D6929B7" w14:textId="77777777" w:rsidR="005C559F" w:rsidRPr="00DE2FAF" w:rsidRDefault="005C559F" w:rsidP="005C559F">
            <w:pPr>
              <w:pStyle w:val="TableText1"/>
              <w:rPr>
                <w:rFonts w:cs="Arial"/>
                <w:szCs w:val="22"/>
              </w:rPr>
            </w:pPr>
            <w:r w:rsidRPr="00DE2FAF">
              <w:rPr>
                <w:rFonts w:cs="Arial"/>
                <w:szCs w:val="22"/>
              </w:rPr>
              <w:t xml:space="preserve">Emergency Ureteroscopy availability </w:t>
            </w:r>
          </w:p>
          <w:p w14:paraId="06721645" w14:textId="77777777" w:rsidR="005C559F" w:rsidRPr="00DE2FAF" w:rsidRDefault="005C559F" w:rsidP="005C559F">
            <w:pPr>
              <w:pStyle w:val="TableText1"/>
              <w:rPr>
                <w:rFonts w:cs="Arial"/>
                <w:szCs w:val="22"/>
              </w:rPr>
            </w:pPr>
          </w:p>
          <w:p w14:paraId="50E5343D" w14:textId="61CCFECD" w:rsidR="005C559F" w:rsidRPr="00DE2FAF" w:rsidRDefault="005C559F" w:rsidP="005C559F">
            <w:pPr>
              <w:pStyle w:val="Tabletext"/>
              <w:rPr>
                <w:rFonts w:cs="Arial"/>
                <w:szCs w:val="22"/>
              </w:rPr>
            </w:pPr>
            <w:r w:rsidRPr="00DE2FAF">
              <w:rPr>
                <w:rFonts w:cs="Arial"/>
                <w:szCs w:val="22"/>
              </w:rPr>
              <w:t xml:space="preserve">Are hospitals offering this? </w:t>
            </w:r>
          </w:p>
        </w:tc>
        <w:tc>
          <w:tcPr>
            <w:tcW w:w="919" w:type="pct"/>
          </w:tcPr>
          <w:p w14:paraId="1057DEFC" w14:textId="77777777" w:rsidR="005C559F" w:rsidRPr="00DE2FAF" w:rsidRDefault="005C559F" w:rsidP="005C559F">
            <w:pPr>
              <w:rPr>
                <w:rFonts w:ascii="Arial" w:hAnsi="Arial" w:cs="Arial"/>
                <w:sz w:val="22"/>
                <w:szCs w:val="22"/>
              </w:rPr>
            </w:pPr>
            <w:r w:rsidRPr="00DE2FAF">
              <w:rPr>
                <w:rFonts w:ascii="Arial" w:hAnsi="Arial" w:cs="Arial"/>
                <w:sz w:val="22"/>
                <w:szCs w:val="22"/>
              </w:rPr>
              <w:t>Early intervention better chance of successfully treating the stone.</w:t>
            </w:r>
          </w:p>
          <w:p w14:paraId="0411DA49" w14:textId="77777777" w:rsidR="005C559F" w:rsidRPr="00DE2FAF" w:rsidRDefault="005C559F" w:rsidP="005C559F">
            <w:pPr>
              <w:pStyle w:val="Tabletext"/>
              <w:rPr>
                <w:rFonts w:cs="Arial"/>
                <w:szCs w:val="22"/>
              </w:rPr>
            </w:pPr>
          </w:p>
        </w:tc>
        <w:tc>
          <w:tcPr>
            <w:tcW w:w="1014" w:type="pct"/>
          </w:tcPr>
          <w:p w14:paraId="3BEFD8FE" w14:textId="16121B3A" w:rsidR="005C559F" w:rsidRPr="00DE2FAF" w:rsidRDefault="005C559F" w:rsidP="005C559F">
            <w:pPr>
              <w:rPr>
                <w:rFonts w:ascii="Arial" w:hAnsi="Arial" w:cs="Arial"/>
                <w:sz w:val="22"/>
                <w:szCs w:val="22"/>
              </w:rPr>
            </w:pPr>
            <w:r w:rsidRPr="00DE2FAF">
              <w:rPr>
                <w:rFonts w:ascii="Arial" w:hAnsi="Arial" w:cs="Arial"/>
                <w:sz w:val="22"/>
                <w:szCs w:val="22"/>
              </w:rPr>
              <w:t xml:space="preserve">Speaking to patients they would like the stone ASAP so they can carry on with their lives and where necessary get back into their working life </w:t>
            </w:r>
          </w:p>
        </w:tc>
        <w:tc>
          <w:tcPr>
            <w:tcW w:w="943" w:type="pct"/>
          </w:tcPr>
          <w:p w14:paraId="7B646422" w14:textId="77777777" w:rsidR="005C559F" w:rsidRPr="00DE2FAF" w:rsidRDefault="005C559F" w:rsidP="005C559F">
            <w:pPr>
              <w:rPr>
                <w:rFonts w:ascii="Arial" w:hAnsi="Arial" w:cs="Arial"/>
                <w:sz w:val="22"/>
                <w:szCs w:val="22"/>
              </w:rPr>
            </w:pPr>
          </w:p>
        </w:tc>
      </w:tr>
      <w:tr w:rsidR="00B833B7" w:rsidRPr="00DE2FAF" w14:paraId="4377C124" w14:textId="77777777" w:rsidTr="00B77627">
        <w:trPr>
          <w:trHeight w:val="282"/>
        </w:trPr>
        <w:tc>
          <w:tcPr>
            <w:tcW w:w="192" w:type="pct"/>
          </w:tcPr>
          <w:p w14:paraId="3A2529C4" w14:textId="193F7A6F" w:rsidR="005C559F" w:rsidRPr="00B833B7" w:rsidRDefault="00B833B7" w:rsidP="005C559F">
            <w:pPr>
              <w:pStyle w:val="Tabletext"/>
              <w:rPr>
                <w:rFonts w:cs="Arial"/>
                <w:szCs w:val="22"/>
              </w:rPr>
            </w:pPr>
            <w:r w:rsidRPr="00B833B7">
              <w:rPr>
                <w:rFonts w:cs="Arial"/>
                <w:szCs w:val="22"/>
              </w:rPr>
              <w:t>26</w:t>
            </w:r>
          </w:p>
        </w:tc>
        <w:tc>
          <w:tcPr>
            <w:tcW w:w="772" w:type="pct"/>
          </w:tcPr>
          <w:p w14:paraId="3EC02383" w14:textId="51FE7E67" w:rsidR="005C559F" w:rsidRPr="00DE2FAF" w:rsidRDefault="00DE2FAF" w:rsidP="005C559F">
            <w:pPr>
              <w:pStyle w:val="Tabletext"/>
              <w:rPr>
                <w:rFonts w:cs="Arial"/>
                <w:szCs w:val="22"/>
              </w:rPr>
            </w:pPr>
            <w:r>
              <w:rPr>
                <w:rFonts w:cs="Arial"/>
                <w:szCs w:val="22"/>
              </w:rPr>
              <w:t>SCM 5</w:t>
            </w:r>
          </w:p>
        </w:tc>
        <w:tc>
          <w:tcPr>
            <w:tcW w:w="1160" w:type="pct"/>
          </w:tcPr>
          <w:p w14:paraId="6C1F343A" w14:textId="785AD735" w:rsidR="005C559F" w:rsidRPr="00DE2FAF" w:rsidRDefault="005C559F" w:rsidP="005C559F">
            <w:pPr>
              <w:pStyle w:val="Tabletext"/>
              <w:rPr>
                <w:rFonts w:cs="Arial"/>
                <w:szCs w:val="22"/>
              </w:rPr>
            </w:pPr>
            <w:r w:rsidRPr="00DE2FAF">
              <w:rPr>
                <w:rFonts w:cs="Arial"/>
                <w:szCs w:val="22"/>
              </w:rPr>
              <w:t>Key area for quality improvement 3</w:t>
            </w:r>
          </w:p>
        </w:tc>
        <w:tc>
          <w:tcPr>
            <w:tcW w:w="919" w:type="pct"/>
          </w:tcPr>
          <w:p w14:paraId="04237488" w14:textId="4FFEF7DA" w:rsidR="005C559F" w:rsidRPr="00DE2FAF" w:rsidRDefault="005C559F" w:rsidP="005C559F">
            <w:pPr>
              <w:pStyle w:val="Tabletext"/>
              <w:rPr>
                <w:rFonts w:cs="Arial"/>
                <w:szCs w:val="22"/>
              </w:rPr>
            </w:pPr>
            <w:r w:rsidRPr="00DE2FAF">
              <w:rPr>
                <w:rFonts w:cs="Arial"/>
                <w:szCs w:val="22"/>
              </w:rPr>
              <w:t xml:space="preserve">Surgical renal stone services for children  </w:t>
            </w:r>
          </w:p>
        </w:tc>
        <w:tc>
          <w:tcPr>
            <w:tcW w:w="1014" w:type="pct"/>
          </w:tcPr>
          <w:p w14:paraId="5F3A48C4" w14:textId="037739BF" w:rsidR="005C559F" w:rsidRPr="00DE2FAF" w:rsidRDefault="005C559F" w:rsidP="005C559F">
            <w:pPr>
              <w:rPr>
                <w:rFonts w:ascii="Arial" w:hAnsi="Arial" w:cs="Arial"/>
                <w:sz w:val="22"/>
                <w:szCs w:val="22"/>
              </w:rPr>
            </w:pPr>
            <w:r w:rsidRPr="00DE2FAF">
              <w:rPr>
                <w:rFonts w:ascii="Arial" w:hAnsi="Arial" w:cs="Arial"/>
                <w:sz w:val="22"/>
                <w:szCs w:val="22"/>
              </w:rPr>
              <w:t xml:space="preserve">If there is an indication for surgical procedure (stone removal), a designated hub centre (due to scarcity of the condition) with paediatric urologist with experience in stones management should be </w:t>
            </w:r>
            <w:r w:rsidRPr="00DE2FAF">
              <w:rPr>
                <w:rFonts w:ascii="Arial" w:hAnsi="Arial" w:cs="Arial"/>
                <w:sz w:val="22"/>
                <w:szCs w:val="22"/>
              </w:rPr>
              <w:lastRenderedPageBreak/>
              <w:t xml:space="preserve">available within a reasonable distance.   </w:t>
            </w:r>
          </w:p>
        </w:tc>
        <w:tc>
          <w:tcPr>
            <w:tcW w:w="943" w:type="pct"/>
          </w:tcPr>
          <w:p w14:paraId="5A066C5B" w14:textId="0FEEF5CF" w:rsidR="005C559F" w:rsidRPr="00DE2FAF" w:rsidRDefault="005C559F" w:rsidP="005C559F">
            <w:pPr>
              <w:rPr>
                <w:rFonts w:ascii="Arial" w:hAnsi="Arial" w:cs="Arial"/>
                <w:sz w:val="22"/>
                <w:szCs w:val="22"/>
              </w:rPr>
            </w:pPr>
            <w:r w:rsidRPr="00DE2FAF">
              <w:rPr>
                <w:rFonts w:ascii="Arial" w:hAnsi="Arial" w:cs="Arial"/>
                <w:sz w:val="22"/>
                <w:szCs w:val="22"/>
              </w:rPr>
              <w:lastRenderedPageBreak/>
              <w:t xml:space="preserve">NG118 </w:t>
            </w:r>
          </w:p>
        </w:tc>
      </w:tr>
      <w:tr w:rsidR="00DE2FAF" w:rsidRPr="00DE2FAF" w14:paraId="5E8D9FE3" w14:textId="77777777" w:rsidTr="00DE2FAF">
        <w:trPr>
          <w:trHeight w:val="282"/>
        </w:trPr>
        <w:tc>
          <w:tcPr>
            <w:tcW w:w="5000" w:type="pct"/>
            <w:gridSpan w:val="6"/>
          </w:tcPr>
          <w:p w14:paraId="432787B2" w14:textId="161A7603" w:rsidR="00DE2FAF" w:rsidRPr="00B833B7" w:rsidRDefault="00DE2FAF" w:rsidP="005C559F">
            <w:pPr>
              <w:rPr>
                <w:rFonts w:ascii="Arial" w:hAnsi="Arial" w:cs="Arial"/>
                <w:sz w:val="22"/>
                <w:szCs w:val="22"/>
              </w:rPr>
            </w:pPr>
            <w:r w:rsidRPr="00B833B7">
              <w:rPr>
                <w:rFonts w:ascii="Arial" w:hAnsi="Arial" w:cs="Arial"/>
                <w:b/>
                <w:bCs/>
                <w:sz w:val="22"/>
                <w:szCs w:val="22"/>
              </w:rPr>
              <w:t>Drainage of the infected obstructed kidney</w:t>
            </w:r>
          </w:p>
        </w:tc>
      </w:tr>
      <w:tr w:rsidR="00B833B7" w:rsidRPr="00DE2FAF" w14:paraId="07567499" w14:textId="77777777" w:rsidTr="00B77627">
        <w:trPr>
          <w:trHeight w:val="282"/>
        </w:trPr>
        <w:tc>
          <w:tcPr>
            <w:tcW w:w="192" w:type="pct"/>
          </w:tcPr>
          <w:p w14:paraId="7A3BBAB4" w14:textId="07B8B9DC" w:rsidR="005C559F" w:rsidRPr="00B833B7" w:rsidRDefault="00B833B7" w:rsidP="005C559F">
            <w:pPr>
              <w:pStyle w:val="Tabletext"/>
              <w:rPr>
                <w:rFonts w:cs="Arial"/>
                <w:szCs w:val="22"/>
              </w:rPr>
            </w:pPr>
            <w:r w:rsidRPr="00B833B7">
              <w:rPr>
                <w:rFonts w:cs="Arial"/>
                <w:szCs w:val="22"/>
              </w:rPr>
              <w:t>27</w:t>
            </w:r>
          </w:p>
        </w:tc>
        <w:tc>
          <w:tcPr>
            <w:tcW w:w="772" w:type="pct"/>
          </w:tcPr>
          <w:p w14:paraId="6076732A" w14:textId="2FE932BF" w:rsidR="005C559F" w:rsidRPr="00DE2FAF" w:rsidRDefault="005C559F" w:rsidP="005C559F">
            <w:pPr>
              <w:pStyle w:val="Tabletext"/>
              <w:rPr>
                <w:rFonts w:cs="Arial"/>
                <w:szCs w:val="22"/>
              </w:rPr>
            </w:pPr>
            <w:r w:rsidRPr="00DE2FAF">
              <w:rPr>
                <w:rFonts w:cs="Arial"/>
                <w:szCs w:val="22"/>
              </w:rPr>
              <w:t xml:space="preserve">BAUS Section of </w:t>
            </w:r>
            <w:proofErr w:type="spellStart"/>
            <w:r w:rsidRPr="00DE2FAF">
              <w:rPr>
                <w:rFonts w:cs="Arial"/>
                <w:szCs w:val="22"/>
              </w:rPr>
              <w:t>EndoUrology</w:t>
            </w:r>
            <w:proofErr w:type="spellEnd"/>
          </w:p>
        </w:tc>
        <w:tc>
          <w:tcPr>
            <w:tcW w:w="1160" w:type="pct"/>
          </w:tcPr>
          <w:p w14:paraId="204C8A0D" w14:textId="77777777" w:rsidR="005C559F" w:rsidRPr="00DE2FAF" w:rsidRDefault="005C559F" w:rsidP="005C559F">
            <w:pPr>
              <w:pStyle w:val="TableText1"/>
              <w:rPr>
                <w:rFonts w:cs="Arial"/>
                <w:szCs w:val="22"/>
              </w:rPr>
            </w:pPr>
            <w:r w:rsidRPr="00DE2FAF">
              <w:rPr>
                <w:rFonts w:cs="Arial"/>
                <w:szCs w:val="22"/>
              </w:rPr>
              <w:t>Key area for quality improvement 3</w:t>
            </w:r>
          </w:p>
          <w:p w14:paraId="3358E532" w14:textId="77777777" w:rsidR="005C559F" w:rsidRPr="00DE2FAF" w:rsidRDefault="005C559F" w:rsidP="005C559F">
            <w:pPr>
              <w:pStyle w:val="TableText1"/>
              <w:rPr>
                <w:rFonts w:cs="Arial"/>
                <w:szCs w:val="22"/>
              </w:rPr>
            </w:pPr>
          </w:p>
          <w:p w14:paraId="745D8C26" w14:textId="77777777" w:rsidR="005C559F" w:rsidRPr="00DE2FAF" w:rsidRDefault="005C559F" w:rsidP="005C559F">
            <w:pPr>
              <w:pStyle w:val="TableText1"/>
              <w:rPr>
                <w:rFonts w:cs="Arial"/>
                <w:szCs w:val="22"/>
              </w:rPr>
            </w:pPr>
            <w:r w:rsidRPr="00DE2FAF">
              <w:rPr>
                <w:rFonts w:cs="Arial"/>
                <w:szCs w:val="22"/>
              </w:rPr>
              <w:t>Drainage of the infected obstructed kidney within 12 hours of diagnosis</w:t>
            </w:r>
          </w:p>
          <w:p w14:paraId="3B2D0220" w14:textId="77777777" w:rsidR="005C559F" w:rsidRPr="00DE2FAF" w:rsidRDefault="005C559F" w:rsidP="005C559F">
            <w:pPr>
              <w:pStyle w:val="Tabletext"/>
              <w:rPr>
                <w:rFonts w:cs="Arial"/>
                <w:szCs w:val="22"/>
              </w:rPr>
            </w:pPr>
          </w:p>
        </w:tc>
        <w:tc>
          <w:tcPr>
            <w:tcW w:w="919" w:type="pct"/>
          </w:tcPr>
          <w:p w14:paraId="43D6779B" w14:textId="77777777" w:rsidR="005C559F" w:rsidRPr="00DE2FAF" w:rsidRDefault="005C559F" w:rsidP="005C559F">
            <w:pPr>
              <w:rPr>
                <w:rFonts w:ascii="Arial" w:hAnsi="Arial" w:cs="Arial"/>
                <w:sz w:val="22"/>
                <w:szCs w:val="22"/>
              </w:rPr>
            </w:pPr>
            <w:r w:rsidRPr="00DE2FAF">
              <w:rPr>
                <w:rFonts w:ascii="Arial" w:hAnsi="Arial" w:cs="Arial"/>
                <w:sz w:val="22"/>
                <w:szCs w:val="22"/>
              </w:rPr>
              <w:t>A stone causing obstruction associated with infection is a life-threatening emergency. Urgent decompression of the renal collecting system is indicated as those patients not drained have a higher rate of mortality</w:t>
            </w:r>
          </w:p>
          <w:p w14:paraId="48B766BB" w14:textId="77777777" w:rsidR="005C559F" w:rsidRPr="00DE2FAF" w:rsidRDefault="005C559F" w:rsidP="005C559F">
            <w:pPr>
              <w:pStyle w:val="Tabletext"/>
              <w:rPr>
                <w:rFonts w:cs="Arial"/>
                <w:szCs w:val="22"/>
              </w:rPr>
            </w:pPr>
          </w:p>
        </w:tc>
        <w:tc>
          <w:tcPr>
            <w:tcW w:w="1014" w:type="pct"/>
          </w:tcPr>
          <w:p w14:paraId="3EECFD5C" w14:textId="1036507C" w:rsidR="005C559F" w:rsidRPr="00DE2FAF" w:rsidRDefault="005C559F" w:rsidP="00233AEB">
            <w:pPr>
              <w:pStyle w:val="TableText1"/>
              <w:rPr>
                <w:rFonts w:cs="Arial"/>
                <w:szCs w:val="22"/>
              </w:rPr>
            </w:pPr>
            <w:r w:rsidRPr="00DE2FAF">
              <w:rPr>
                <w:rFonts w:cs="Arial"/>
                <w:szCs w:val="22"/>
              </w:rPr>
              <w:t>Mode of drainage of the infected obstructed kidney is variable across the UK. The decision of which drainage mode is based on logistical factors, surgeons preference, patient and stone characteristics . Access to interventional radiology services is limited and challenging for some centres, and significant variations in accessibility are seen across the NHS. Streamlining accessibility to prompt drainage for this high risk patient population will have a reduction in the morbidity and mortality of the disease.</w:t>
            </w:r>
          </w:p>
        </w:tc>
        <w:tc>
          <w:tcPr>
            <w:tcW w:w="943" w:type="pct"/>
          </w:tcPr>
          <w:p w14:paraId="3161D923" w14:textId="77777777" w:rsidR="005C559F" w:rsidRPr="00DE2FAF" w:rsidRDefault="005C559F" w:rsidP="005C559F">
            <w:pPr>
              <w:pStyle w:val="TableText1"/>
              <w:rPr>
                <w:rFonts w:cs="Arial"/>
                <w:szCs w:val="22"/>
              </w:rPr>
            </w:pPr>
            <w:r w:rsidRPr="00DE2FAF">
              <w:rPr>
                <w:rFonts w:cs="Arial"/>
                <w:szCs w:val="22"/>
              </w:rPr>
              <w:t>British Association of Urological Surgeons standards for management of acute ureteric colic. JCU 2018;111:58-61</w:t>
            </w:r>
          </w:p>
          <w:p w14:paraId="11D3E504" w14:textId="77777777" w:rsidR="005C559F" w:rsidRPr="00DE2FAF" w:rsidRDefault="005C559F" w:rsidP="005C559F">
            <w:pPr>
              <w:pStyle w:val="TableText1"/>
              <w:rPr>
                <w:rFonts w:cs="Arial"/>
                <w:szCs w:val="22"/>
              </w:rPr>
            </w:pPr>
          </w:p>
          <w:p w14:paraId="09058101" w14:textId="77777777" w:rsidR="005C559F" w:rsidRPr="00DE2FAF" w:rsidRDefault="005C559F" w:rsidP="005C559F">
            <w:pPr>
              <w:pStyle w:val="TableText1"/>
              <w:rPr>
                <w:rFonts w:cs="Arial"/>
                <w:szCs w:val="22"/>
              </w:rPr>
            </w:pPr>
          </w:p>
          <w:p w14:paraId="3332BFD5" w14:textId="77777777" w:rsidR="005C559F" w:rsidRPr="00DE2FAF" w:rsidRDefault="0090310F" w:rsidP="005C559F">
            <w:pPr>
              <w:pStyle w:val="TableText1"/>
              <w:rPr>
                <w:rFonts w:cs="Arial"/>
                <w:szCs w:val="22"/>
              </w:rPr>
            </w:pPr>
            <w:hyperlink r:id="rId19" w:history="1">
              <w:r w:rsidR="005C559F" w:rsidRPr="00DE2FAF">
                <w:rPr>
                  <w:rStyle w:val="Hyperlink"/>
                  <w:rFonts w:cs="Arial"/>
                  <w:szCs w:val="22"/>
                </w:rPr>
                <w:t>Surgical decompression is associated with decreased mortality in patients with sepsis and ureteral calculi.</w:t>
              </w:r>
            </w:hyperlink>
          </w:p>
          <w:p w14:paraId="3CF61842" w14:textId="77777777" w:rsidR="005C559F" w:rsidRPr="00DE2FAF" w:rsidRDefault="005C559F" w:rsidP="005C559F">
            <w:pPr>
              <w:pStyle w:val="TableText1"/>
              <w:rPr>
                <w:rFonts w:cs="Arial"/>
                <w:szCs w:val="22"/>
              </w:rPr>
            </w:pPr>
            <w:proofErr w:type="spellStart"/>
            <w:r w:rsidRPr="00DE2FAF">
              <w:rPr>
                <w:rFonts w:cs="Arial"/>
                <w:szCs w:val="22"/>
              </w:rPr>
              <w:t>Borofsky</w:t>
            </w:r>
            <w:proofErr w:type="spellEnd"/>
            <w:r w:rsidRPr="00DE2FAF">
              <w:rPr>
                <w:rFonts w:cs="Arial"/>
                <w:szCs w:val="22"/>
              </w:rPr>
              <w:t xml:space="preserve"> MS, Walter D, Shah O, Goldfarb DS, </w:t>
            </w:r>
            <w:proofErr w:type="spellStart"/>
            <w:r w:rsidRPr="00DE2FAF">
              <w:rPr>
                <w:rFonts w:cs="Arial"/>
                <w:szCs w:val="22"/>
              </w:rPr>
              <w:t>Mues</w:t>
            </w:r>
            <w:proofErr w:type="spellEnd"/>
            <w:r w:rsidRPr="00DE2FAF">
              <w:rPr>
                <w:rFonts w:cs="Arial"/>
                <w:szCs w:val="22"/>
              </w:rPr>
              <w:t xml:space="preserve"> AC, Makarov DV.</w:t>
            </w:r>
          </w:p>
          <w:p w14:paraId="480D7990" w14:textId="77777777" w:rsidR="005C559F" w:rsidRPr="00DE2FAF" w:rsidRDefault="005C559F" w:rsidP="005C559F">
            <w:pPr>
              <w:pStyle w:val="TableText1"/>
              <w:rPr>
                <w:rFonts w:cs="Arial"/>
                <w:szCs w:val="22"/>
              </w:rPr>
            </w:pPr>
            <w:r w:rsidRPr="00DE2FAF">
              <w:rPr>
                <w:rFonts w:cs="Arial"/>
                <w:szCs w:val="22"/>
              </w:rPr>
              <w:t xml:space="preserve">J Urol. 2013 Mar;189(3):946-51. </w:t>
            </w:r>
          </w:p>
          <w:p w14:paraId="24C07BB4" w14:textId="77777777" w:rsidR="005C559F" w:rsidRPr="00DE2FAF" w:rsidRDefault="005C559F" w:rsidP="005C559F">
            <w:pPr>
              <w:rPr>
                <w:rFonts w:ascii="Arial" w:hAnsi="Arial" w:cs="Arial"/>
                <w:sz w:val="22"/>
                <w:szCs w:val="22"/>
              </w:rPr>
            </w:pPr>
          </w:p>
        </w:tc>
      </w:tr>
      <w:tr w:rsidR="00DE2FAF" w:rsidRPr="00DE2FAF" w14:paraId="12DD0121" w14:textId="77777777" w:rsidTr="00DE2FAF">
        <w:trPr>
          <w:trHeight w:val="282"/>
        </w:trPr>
        <w:tc>
          <w:tcPr>
            <w:tcW w:w="5000" w:type="pct"/>
            <w:gridSpan w:val="6"/>
          </w:tcPr>
          <w:p w14:paraId="452761BA" w14:textId="2EE767CF" w:rsidR="00DE2FAF" w:rsidRPr="00B833B7" w:rsidRDefault="00DE2FAF" w:rsidP="005C559F">
            <w:pPr>
              <w:rPr>
                <w:rFonts w:ascii="Arial" w:hAnsi="Arial" w:cs="Arial"/>
                <w:sz w:val="22"/>
                <w:szCs w:val="22"/>
              </w:rPr>
            </w:pPr>
            <w:r w:rsidRPr="00B833B7">
              <w:rPr>
                <w:rFonts w:ascii="Arial" w:hAnsi="Arial" w:cs="Arial"/>
                <w:b/>
                <w:bCs/>
                <w:sz w:val="22"/>
                <w:szCs w:val="22"/>
              </w:rPr>
              <w:t>Metabolic testing</w:t>
            </w:r>
          </w:p>
        </w:tc>
      </w:tr>
      <w:tr w:rsidR="00B833B7" w:rsidRPr="00DE2FAF" w14:paraId="665CA8DC" w14:textId="77777777" w:rsidTr="00B77627">
        <w:trPr>
          <w:trHeight w:val="282"/>
        </w:trPr>
        <w:tc>
          <w:tcPr>
            <w:tcW w:w="192" w:type="pct"/>
          </w:tcPr>
          <w:p w14:paraId="0C53A0C2" w14:textId="3B8DC563" w:rsidR="005C559F" w:rsidRPr="00B833B7" w:rsidRDefault="00B833B7" w:rsidP="005C559F">
            <w:pPr>
              <w:pStyle w:val="Tabletext"/>
              <w:rPr>
                <w:rFonts w:cs="Arial"/>
                <w:szCs w:val="22"/>
              </w:rPr>
            </w:pPr>
            <w:r w:rsidRPr="00B833B7">
              <w:rPr>
                <w:rFonts w:cs="Arial"/>
                <w:szCs w:val="22"/>
              </w:rPr>
              <w:t>28</w:t>
            </w:r>
          </w:p>
        </w:tc>
        <w:tc>
          <w:tcPr>
            <w:tcW w:w="772" w:type="pct"/>
          </w:tcPr>
          <w:p w14:paraId="7F4AF708" w14:textId="5E110981" w:rsidR="005C559F" w:rsidRPr="00DE2FAF" w:rsidRDefault="005C559F" w:rsidP="005C559F">
            <w:pPr>
              <w:pStyle w:val="Tabletext"/>
              <w:rPr>
                <w:rFonts w:cs="Arial"/>
                <w:szCs w:val="22"/>
              </w:rPr>
            </w:pPr>
            <w:r w:rsidRPr="00DE2FAF">
              <w:rPr>
                <w:rFonts w:cs="Arial"/>
                <w:szCs w:val="22"/>
              </w:rPr>
              <w:t xml:space="preserve">BAUS Section of </w:t>
            </w:r>
            <w:proofErr w:type="spellStart"/>
            <w:r w:rsidRPr="00DE2FAF">
              <w:rPr>
                <w:rFonts w:cs="Arial"/>
                <w:szCs w:val="22"/>
              </w:rPr>
              <w:t>EndoUrology</w:t>
            </w:r>
            <w:proofErr w:type="spellEnd"/>
          </w:p>
        </w:tc>
        <w:tc>
          <w:tcPr>
            <w:tcW w:w="1160" w:type="pct"/>
          </w:tcPr>
          <w:p w14:paraId="4EA67AD2" w14:textId="77777777" w:rsidR="005C559F" w:rsidRPr="00DE2FAF" w:rsidRDefault="005C559F" w:rsidP="005C559F">
            <w:pPr>
              <w:pStyle w:val="TableText1"/>
              <w:rPr>
                <w:rFonts w:cs="Arial"/>
                <w:szCs w:val="22"/>
              </w:rPr>
            </w:pPr>
            <w:r w:rsidRPr="00DE2FAF">
              <w:rPr>
                <w:rFonts w:cs="Arial"/>
                <w:szCs w:val="22"/>
              </w:rPr>
              <w:t>Additional developmental areas of emergent practice</w:t>
            </w:r>
          </w:p>
          <w:p w14:paraId="63C2A5C6" w14:textId="77777777" w:rsidR="005C559F" w:rsidRPr="00DE2FAF" w:rsidRDefault="005C559F" w:rsidP="005C559F">
            <w:pPr>
              <w:pStyle w:val="TableText1"/>
              <w:rPr>
                <w:rFonts w:cs="Arial"/>
                <w:szCs w:val="22"/>
              </w:rPr>
            </w:pPr>
            <w:r w:rsidRPr="00DE2FAF">
              <w:rPr>
                <w:rFonts w:cs="Arial"/>
                <w:szCs w:val="22"/>
              </w:rPr>
              <w:t>Full metabolic assessment of recurrent calcium kidney stone formers</w:t>
            </w:r>
          </w:p>
          <w:p w14:paraId="79F3F5D3" w14:textId="77777777" w:rsidR="005C559F" w:rsidRPr="00DE2FAF" w:rsidRDefault="005C559F" w:rsidP="005C559F">
            <w:pPr>
              <w:pStyle w:val="Tabletext"/>
              <w:rPr>
                <w:rFonts w:cs="Arial"/>
                <w:szCs w:val="22"/>
              </w:rPr>
            </w:pPr>
          </w:p>
        </w:tc>
        <w:tc>
          <w:tcPr>
            <w:tcW w:w="919" w:type="pct"/>
          </w:tcPr>
          <w:p w14:paraId="3D5E94D1" w14:textId="77777777" w:rsidR="005C559F" w:rsidRPr="00DE2FAF" w:rsidRDefault="005C559F" w:rsidP="005C559F">
            <w:pPr>
              <w:rPr>
                <w:rFonts w:ascii="Arial" w:hAnsi="Arial" w:cs="Arial"/>
                <w:sz w:val="22"/>
                <w:szCs w:val="22"/>
              </w:rPr>
            </w:pPr>
            <w:r w:rsidRPr="00DE2FAF">
              <w:rPr>
                <w:rFonts w:ascii="Arial" w:hAnsi="Arial" w:cs="Arial"/>
                <w:sz w:val="22"/>
                <w:szCs w:val="22"/>
              </w:rPr>
              <w:t xml:space="preserve">It is estimated that about one third of people affected by renal and ureteric stones will experience a recurrence at 5 years without treatment of the underlying cause. This </w:t>
            </w:r>
            <w:r w:rsidRPr="00DE2FAF">
              <w:rPr>
                <w:rFonts w:ascii="Arial" w:hAnsi="Arial" w:cs="Arial"/>
                <w:sz w:val="22"/>
                <w:szCs w:val="22"/>
              </w:rPr>
              <w:lastRenderedPageBreak/>
              <w:t xml:space="preserve">rate of recurrence rises to 75% after 20 years with no treatment. Laboratory testing can define a metabolic diagnosis in stone patients and subsequent treatment can reduce the risk of recurrence of stones by modifying an </w:t>
            </w:r>
            <w:proofErr w:type="spellStart"/>
            <w:r w:rsidRPr="00DE2FAF">
              <w:rPr>
                <w:rFonts w:ascii="Arial" w:hAnsi="Arial" w:cs="Arial"/>
                <w:sz w:val="22"/>
                <w:szCs w:val="22"/>
              </w:rPr>
              <w:t>individuals</w:t>
            </w:r>
            <w:proofErr w:type="spellEnd"/>
            <w:r w:rsidRPr="00DE2FAF">
              <w:rPr>
                <w:rFonts w:ascii="Arial" w:hAnsi="Arial" w:cs="Arial"/>
                <w:sz w:val="22"/>
                <w:szCs w:val="22"/>
              </w:rPr>
              <w:t xml:space="preserve"> metabolic status accordingly. Certain stone subgroups such as uric acid and cysteine stones have established metabolic treatment pathways. The therapeutic pathway for the largest subgroup of stones, calcium stones is unclear.</w:t>
            </w:r>
          </w:p>
          <w:p w14:paraId="1F2A8CAD" w14:textId="77777777" w:rsidR="005C559F" w:rsidRPr="00DE2FAF" w:rsidRDefault="005C559F" w:rsidP="005C559F">
            <w:pPr>
              <w:pStyle w:val="Tabletext"/>
              <w:rPr>
                <w:rFonts w:cs="Arial"/>
                <w:szCs w:val="22"/>
              </w:rPr>
            </w:pPr>
          </w:p>
        </w:tc>
        <w:tc>
          <w:tcPr>
            <w:tcW w:w="1014" w:type="pct"/>
          </w:tcPr>
          <w:p w14:paraId="3E63876A" w14:textId="0EBA4CC3" w:rsidR="005C559F" w:rsidRPr="00DE2FAF" w:rsidRDefault="005C559F" w:rsidP="00233AEB">
            <w:pPr>
              <w:pStyle w:val="TableText1"/>
              <w:rPr>
                <w:rFonts w:cs="Arial"/>
                <w:szCs w:val="22"/>
              </w:rPr>
            </w:pPr>
            <w:r w:rsidRPr="00DE2FAF">
              <w:rPr>
                <w:rFonts w:cs="Arial"/>
                <w:szCs w:val="22"/>
              </w:rPr>
              <w:lastRenderedPageBreak/>
              <w:t xml:space="preserve">Current practice is varied and it is currently unclear which metabolic tests should be done as part of a full metabolic assessment and whether testing should be done for all people with a stone or just those at high </w:t>
            </w:r>
            <w:r w:rsidRPr="00DE2FAF">
              <w:rPr>
                <w:rFonts w:cs="Arial"/>
                <w:szCs w:val="22"/>
              </w:rPr>
              <w:lastRenderedPageBreak/>
              <w:t xml:space="preserve">risk of developing a recurrent stone ( previous renal / ureteric stones, early onset stone disease &lt;25yo, Metabolic and genetically determined stone disease). Calcium stones are the largest stone group and have the biggest resources implication for healthcare and we propose a “quality standard pending research”. The scientific evidence base for metabolic testing of stone disease is limited, and as part of “quality standard pending research” we would welcome engagement with clinical trials to help answer this important clinical question. Clinical research into this area could standardise the approach to the metabolic evaluation, giving equal access for this large patient group to the correct evaluation and treatment. By assessing and treating appropriately patients, we would hope to see a reduction in the incidence of recurrent stone episodes </w:t>
            </w:r>
            <w:r w:rsidRPr="00DE2FAF">
              <w:rPr>
                <w:rFonts w:cs="Arial"/>
                <w:szCs w:val="22"/>
              </w:rPr>
              <w:lastRenderedPageBreak/>
              <w:t xml:space="preserve">and thus a reduction in the need to access health resources, in particular, imaging, emergency service and surgery. </w:t>
            </w:r>
          </w:p>
        </w:tc>
        <w:tc>
          <w:tcPr>
            <w:tcW w:w="943" w:type="pct"/>
          </w:tcPr>
          <w:p w14:paraId="74F61CB4" w14:textId="77777777" w:rsidR="005C559F" w:rsidRPr="00DE2FAF" w:rsidRDefault="005C559F" w:rsidP="005C559F">
            <w:pPr>
              <w:pStyle w:val="TableText1"/>
              <w:rPr>
                <w:rFonts w:cs="Arial"/>
                <w:szCs w:val="22"/>
              </w:rPr>
            </w:pPr>
            <w:r w:rsidRPr="00DE2FAF">
              <w:rPr>
                <w:rFonts w:cs="Arial"/>
                <w:szCs w:val="22"/>
              </w:rPr>
              <w:lastRenderedPageBreak/>
              <w:t>A specific recommendation for research into this area was made in the NICE Renal and ureteric stone guideline NG118 (2019)</w:t>
            </w:r>
          </w:p>
          <w:p w14:paraId="20B816E9" w14:textId="77777777" w:rsidR="005C559F" w:rsidRPr="00DE2FAF" w:rsidRDefault="005C559F" w:rsidP="005C559F">
            <w:pPr>
              <w:pStyle w:val="TableText1"/>
              <w:rPr>
                <w:rFonts w:cs="Arial"/>
                <w:szCs w:val="22"/>
              </w:rPr>
            </w:pPr>
          </w:p>
          <w:p w14:paraId="5153A350" w14:textId="77777777" w:rsidR="005C559F" w:rsidRPr="00DE2FAF" w:rsidRDefault="005C559F" w:rsidP="005C559F">
            <w:pPr>
              <w:pStyle w:val="TableText1"/>
              <w:rPr>
                <w:rFonts w:cs="Arial"/>
                <w:szCs w:val="22"/>
              </w:rPr>
            </w:pPr>
            <w:r w:rsidRPr="00DE2FAF">
              <w:rPr>
                <w:rFonts w:cs="Arial"/>
                <w:szCs w:val="22"/>
              </w:rPr>
              <w:lastRenderedPageBreak/>
              <w:t>Additional data can be found in Appendix J: Research recommendations – Full metabolic assessment</w:t>
            </w:r>
          </w:p>
          <w:p w14:paraId="10AD1686" w14:textId="77777777" w:rsidR="005C559F" w:rsidRPr="00DE2FAF" w:rsidRDefault="005C559F" w:rsidP="005C559F">
            <w:pPr>
              <w:pStyle w:val="TableText1"/>
              <w:rPr>
                <w:rFonts w:cs="Arial"/>
                <w:szCs w:val="22"/>
              </w:rPr>
            </w:pPr>
          </w:p>
          <w:p w14:paraId="5B45B9B7" w14:textId="77777777" w:rsidR="005C559F" w:rsidRPr="00DE2FAF" w:rsidRDefault="005C559F" w:rsidP="005C559F">
            <w:pPr>
              <w:pStyle w:val="TableText1"/>
              <w:rPr>
                <w:rFonts w:cs="Arial"/>
                <w:szCs w:val="22"/>
              </w:rPr>
            </w:pPr>
            <w:r w:rsidRPr="00DE2FAF">
              <w:rPr>
                <w:rFonts w:cs="Arial"/>
                <w:szCs w:val="22"/>
              </w:rPr>
              <w:t>Information regarding risk stratification and the recommendation for metabolic screening can be found in the EAU Urolithiasis guideline 2019 – accessed via Uroweb.org 19/7/19.</w:t>
            </w:r>
          </w:p>
          <w:p w14:paraId="0B4EBAB0" w14:textId="77777777" w:rsidR="005C559F" w:rsidRPr="00DE2FAF" w:rsidRDefault="005C559F" w:rsidP="005C559F">
            <w:pPr>
              <w:rPr>
                <w:rFonts w:ascii="Arial" w:hAnsi="Arial" w:cs="Arial"/>
                <w:sz w:val="22"/>
                <w:szCs w:val="22"/>
              </w:rPr>
            </w:pPr>
          </w:p>
        </w:tc>
      </w:tr>
      <w:tr w:rsidR="00B833B7" w:rsidRPr="00DE2FAF" w14:paraId="02668791" w14:textId="77777777" w:rsidTr="00B77627">
        <w:trPr>
          <w:trHeight w:val="282"/>
        </w:trPr>
        <w:tc>
          <w:tcPr>
            <w:tcW w:w="192" w:type="pct"/>
          </w:tcPr>
          <w:p w14:paraId="0BC6DF3C" w14:textId="7978FF0C" w:rsidR="005C559F" w:rsidRPr="00B833B7" w:rsidRDefault="00B833B7" w:rsidP="005C559F">
            <w:pPr>
              <w:pStyle w:val="Tabletext"/>
              <w:rPr>
                <w:rFonts w:cs="Arial"/>
                <w:szCs w:val="22"/>
              </w:rPr>
            </w:pPr>
            <w:r w:rsidRPr="00B833B7">
              <w:rPr>
                <w:rFonts w:cs="Arial"/>
                <w:szCs w:val="22"/>
              </w:rPr>
              <w:lastRenderedPageBreak/>
              <w:t>29</w:t>
            </w:r>
          </w:p>
        </w:tc>
        <w:tc>
          <w:tcPr>
            <w:tcW w:w="772" w:type="pct"/>
          </w:tcPr>
          <w:p w14:paraId="676EB612" w14:textId="2118006F" w:rsidR="005C559F" w:rsidRPr="00DE2FAF" w:rsidRDefault="005C559F" w:rsidP="005C559F">
            <w:pPr>
              <w:pStyle w:val="Tabletext"/>
              <w:rPr>
                <w:rFonts w:cs="Arial"/>
                <w:szCs w:val="22"/>
              </w:rPr>
            </w:pPr>
            <w:r w:rsidRPr="00DE2FAF">
              <w:rPr>
                <w:rFonts w:cs="Arial"/>
                <w:szCs w:val="22"/>
              </w:rPr>
              <w:t xml:space="preserve">Renal Association </w:t>
            </w:r>
          </w:p>
        </w:tc>
        <w:tc>
          <w:tcPr>
            <w:tcW w:w="1160" w:type="pct"/>
          </w:tcPr>
          <w:p w14:paraId="1D4BB000" w14:textId="77777777" w:rsidR="005C559F" w:rsidRPr="00DE2FAF" w:rsidRDefault="005C559F" w:rsidP="005C559F">
            <w:pPr>
              <w:pStyle w:val="Tabletext"/>
              <w:rPr>
                <w:rFonts w:cs="Arial"/>
                <w:szCs w:val="22"/>
              </w:rPr>
            </w:pPr>
          </w:p>
        </w:tc>
        <w:tc>
          <w:tcPr>
            <w:tcW w:w="919" w:type="pct"/>
          </w:tcPr>
          <w:p w14:paraId="30D558B9" w14:textId="77777777" w:rsidR="005C559F" w:rsidRPr="00DE2FAF" w:rsidRDefault="005C559F" w:rsidP="005C559F">
            <w:pPr>
              <w:rPr>
                <w:rFonts w:ascii="Arial" w:hAnsi="Arial" w:cs="Arial"/>
                <w:sz w:val="22"/>
                <w:szCs w:val="22"/>
              </w:rPr>
            </w:pPr>
            <w:r w:rsidRPr="00DE2FAF">
              <w:rPr>
                <w:rFonts w:ascii="Arial" w:hAnsi="Arial" w:cs="Arial"/>
                <w:sz w:val="22"/>
                <w:szCs w:val="22"/>
              </w:rPr>
              <w:t>Availability and reporting of renal stone analysis for patients with ureteric or renal stones</w:t>
            </w:r>
          </w:p>
          <w:p w14:paraId="03B9861B" w14:textId="77777777" w:rsidR="005C559F" w:rsidRPr="00DE2FAF" w:rsidRDefault="005C559F" w:rsidP="005C559F">
            <w:pPr>
              <w:rPr>
                <w:rFonts w:ascii="Arial" w:hAnsi="Arial" w:cs="Arial"/>
                <w:sz w:val="22"/>
                <w:szCs w:val="22"/>
              </w:rPr>
            </w:pPr>
          </w:p>
          <w:p w14:paraId="7BABB335" w14:textId="1C1F92A9" w:rsidR="005C559F" w:rsidRPr="00233AEB" w:rsidRDefault="005C559F" w:rsidP="00233AEB">
            <w:pPr>
              <w:rPr>
                <w:rFonts w:ascii="Arial" w:hAnsi="Arial" w:cs="Arial"/>
                <w:sz w:val="22"/>
                <w:szCs w:val="22"/>
              </w:rPr>
            </w:pPr>
            <w:r w:rsidRPr="00DE2FAF">
              <w:rPr>
                <w:rFonts w:ascii="Arial" w:hAnsi="Arial" w:cs="Arial"/>
                <w:sz w:val="22"/>
                <w:szCs w:val="22"/>
              </w:rPr>
              <w:t>Interpretation and follow up of metabolic testing in renal stone patients – a renal stone event can be seen as marker of a “metabolic syndrome” and may indicate cardiovascular disease and should warrant follow up and further investigations.</w:t>
            </w:r>
          </w:p>
        </w:tc>
        <w:tc>
          <w:tcPr>
            <w:tcW w:w="1014" w:type="pct"/>
          </w:tcPr>
          <w:p w14:paraId="0506F5D6" w14:textId="77777777" w:rsidR="005C559F" w:rsidRPr="00DE2FAF" w:rsidRDefault="005C559F" w:rsidP="005C559F">
            <w:pPr>
              <w:rPr>
                <w:rFonts w:ascii="Arial" w:hAnsi="Arial" w:cs="Arial"/>
                <w:sz w:val="22"/>
                <w:szCs w:val="22"/>
              </w:rPr>
            </w:pPr>
          </w:p>
        </w:tc>
        <w:tc>
          <w:tcPr>
            <w:tcW w:w="943" w:type="pct"/>
          </w:tcPr>
          <w:p w14:paraId="7711D6B3" w14:textId="77777777" w:rsidR="005C559F" w:rsidRPr="00DE2FAF" w:rsidRDefault="005C559F" w:rsidP="005C559F">
            <w:pPr>
              <w:rPr>
                <w:rFonts w:ascii="Arial" w:hAnsi="Arial" w:cs="Arial"/>
                <w:sz w:val="22"/>
                <w:szCs w:val="22"/>
              </w:rPr>
            </w:pPr>
          </w:p>
        </w:tc>
      </w:tr>
      <w:tr w:rsidR="00B833B7" w:rsidRPr="00DE2FAF" w14:paraId="59D0EFC1" w14:textId="77777777" w:rsidTr="00B77627">
        <w:trPr>
          <w:trHeight w:val="282"/>
        </w:trPr>
        <w:tc>
          <w:tcPr>
            <w:tcW w:w="192" w:type="pct"/>
          </w:tcPr>
          <w:p w14:paraId="326B86F1" w14:textId="1419BB00" w:rsidR="005C559F" w:rsidRPr="00B833B7" w:rsidRDefault="00B833B7" w:rsidP="005C559F">
            <w:pPr>
              <w:pStyle w:val="Tabletext"/>
              <w:rPr>
                <w:rFonts w:cs="Arial"/>
                <w:szCs w:val="22"/>
              </w:rPr>
            </w:pPr>
            <w:r w:rsidRPr="00B833B7">
              <w:rPr>
                <w:rFonts w:cs="Arial"/>
                <w:szCs w:val="22"/>
              </w:rPr>
              <w:t>30</w:t>
            </w:r>
          </w:p>
        </w:tc>
        <w:tc>
          <w:tcPr>
            <w:tcW w:w="772" w:type="pct"/>
          </w:tcPr>
          <w:p w14:paraId="6224870B" w14:textId="77985209" w:rsidR="005C559F" w:rsidRPr="00DE2FAF" w:rsidRDefault="00DE2FAF" w:rsidP="005C559F">
            <w:pPr>
              <w:pStyle w:val="Tabletext"/>
              <w:rPr>
                <w:rFonts w:cs="Arial"/>
                <w:szCs w:val="22"/>
              </w:rPr>
            </w:pPr>
            <w:r>
              <w:rPr>
                <w:rFonts w:cs="Arial"/>
                <w:szCs w:val="22"/>
              </w:rPr>
              <w:t>SCM 1</w:t>
            </w:r>
          </w:p>
        </w:tc>
        <w:tc>
          <w:tcPr>
            <w:tcW w:w="1160" w:type="pct"/>
          </w:tcPr>
          <w:p w14:paraId="644FA92D" w14:textId="77777777" w:rsidR="005C559F" w:rsidRPr="00DE2FAF" w:rsidRDefault="005C559F" w:rsidP="005C559F">
            <w:pPr>
              <w:pStyle w:val="Paragraphnonumbers"/>
              <w:spacing w:after="120"/>
              <w:rPr>
                <w:rFonts w:cs="Arial"/>
                <w:sz w:val="22"/>
                <w:szCs w:val="22"/>
              </w:rPr>
            </w:pPr>
            <w:r w:rsidRPr="00DE2FAF">
              <w:rPr>
                <w:rFonts w:cs="Arial"/>
                <w:sz w:val="22"/>
                <w:szCs w:val="22"/>
              </w:rPr>
              <w:t>Key area for quality improvement 5</w:t>
            </w:r>
          </w:p>
          <w:p w14:paraId="2E5DAA62" w14:textId="5F1A226D" w:rsidR="005C559F" w:rsidRPr="00DE2FAF" w:rsidRDefault="005C559F" w:rsidP="005C559F">
            <w:pPr>
              <w:pStyle w:val="Tabletext"/>
              <w:rPr>
                <w:rFonts w:cs="Arial"/>
                <w:szCs w:val="22"/>
              </w:rPr>
            </w:pPr>
            <w:r w:rsidRPr="00DE2FAF">
              <w:rPr>
                <w:rFonts w:cs="Arial"/>
                <w:szCs w:val="22"/>
              </w:rPr>
              <w:t>Metabolic investigations for high risk stone formers</w:t>
            </w:r>
          </w:p>
        </w:tc>
        <w:tc>
          <w:tcPr>
            <w:tcW w:w="919" w:type="pct"/>
          </w:tcPr>
          <w:p w14:paraId="5A5E2EF7" w14:textId="08A78BD7" w:rsidR="005C559F" w:rsidRPr="00DE2FAF" w:rsidRDefault="005C559F" w:rsidP="005C559F">
            <w:pPr>
              <w:pStyle w:val="Tabletext"/>
              <w:rPr>
                <w:rFonts w:cs="Arial"/>
                <w:szCs w:val="22"/>
              </w:rPr>
            </w:pPr>
            <w:r w:rsidRPr="00DE2FAF">
              <w:rPr>
                <w:rFonts w:cs="Arial"/>
                <w:szCs w:val="22"/>
              </w:rPr>
              <w:t xml:space="preserve">Kidney stones are extremely common, but a proportion of patients form stones on a very frequent basis. They endure frequent and recurrent symptomatic episodes which can significantly impair their quality of life and have kidney-threatening or even life-threatening </w:t>
            </w:r>
            <w:r w:rsidRPr="00DE2FAF">
              <w:rPr>
                <w:rFonts w:cs="Arial"/>
                <w:szCs w:val="22"/>
              </w:rPr>
              <w:lastRenderedPageBreak/>
              <w:t>consequences. Several preventative strategies have been shown to be effective in reducing stone recurrence although the evidence base as to exactly which screening tests should be done in which patients is poor.</w:t>
            </w:r>
          </w:p>
        </w:tc>
        <w:tc>
          <w:tcPr>
            <w:tcW w:w="1014" w:type="pct"/>
          </w:tcPr>
          <w:p w14:paraId="6A3CB0DD" w14:textId="1EAC5B39" w:rsidR="005C559F" w:rsidRPr="00DE2FAF" w:rsidRDefault="005C559F" w:rsidP="005C559F">
            <w:pPr>
              <w:rPr>
                <w:rFonts w:ascii="Arial" w:hAnsi="Arial" w:cs="Arial"/>
                <w:sz w:val="22"/>
                <w:szCs w:val="22"/>
              </w:rPr>
            </w:pPr>
            <w:r w:rsidRPr="00DE2FAF">
              <w:rPr>
                <w:rFonts w:ascii="Arial" w:hAnsi="Arial" w:cs="Arial"/>
                <w:sz w:val="22"/>
                <w:szCs w:val="22"/>
              </w:rPr>
              <w:lastRenderedPageBreak/>
              <w:t xml:space="preserve">Preventing kidney stones should be a national priority. The European Guidelines recommend risk stratification and 24 hour urine testing on high risk stone formers. The NICE guidelines committee made no specific recommendation on this as there was no test and treat RCT available. Nevertheless, the NICE </w:t>
            </w:r>
            <w:r w:rsidRPr="00DE2FAF">
              <w:rPr>
                <w:rFonts w:ascii="Arial" w:hAnsi="Arial" w:cs="Arial"/>
                <w:sz w:val="22"/>
                <w:szCs w:val="22"/>
              </w:rPr>
              <w:lastRenderedPageBreak/>
              <w:t>committee felt strongly that this should be a research priority and made research recommendations for such a trial. This topic should be a placeholder quality standard</w:t>
            </w:r>
          </w:p>
        </w:tc>
        <w:tc>
          <w:tcPr>
            <w:tcW w:w="943" w:type="pct"/>
          </w:tcPr>
          <w:p w14:paraId="55346250" w14:textId="77777777" w:rsidR="005C559F" w:rsidRPr="00DE2FAF" w:rsidRDefault="005C559F" w:rsidP="005C559F">
            <w:pPr>
              <w:pStyle w:val="Paragraphnonumbers"/>
              <w:rPr>
                <w:rFonts w:cs="Arial"/>
                <w:sz w:val="22"/>
                <w:szCs w:val="22"/>
              </w:rPr>
            </w:pPr>
            <w:r w:rsidRPr="00DE2FAF">
              <w:rPr>
                <w:rFonts w:cs="Arial"/>
                <w:sz w:val="22"/>
                <w:szCs w:val="22"/>
              </w:rPr>
              <w:lastRenderedPageBreak/>
              <w:t xml:space="preserve">European Association of Urology Guideline on </w:t>
            </w:r>
            <w:proofErr w:type="spellStart"/>
            <w:r w:rsidRPr="00DE2FAF">
              <w:rPr>
                <w:rFonts w:cs="Arial"/>
                <w:sz w:val="22"/>
                <w:szCs w:val="22"/>
              </w:rPr>
              <w:t>Urolthiasis</w:t>
            </w:r>
            <w:proofErr w:type="spellEnd"/>
            <w:r w:rsidRPr="00DE2FAF">
              <w:rPr>
                <w:rFonts w:cs="Arial"/>
                <w:sz w:val="22"/>
                <w:szCs w:val="22"/>
              </w:rPr>
              <w:t xml:space="preserve"> </w:t>
            </w:r>
            <w:hyperlink r:id="rId20" w:history="1">
              <w:r w:rsidRPr="00DE2FAF">
                <w:rPr>
                  <w:rStyle w:val="Hyperlink"/>
                  <w:rFonts w:cs="Arial"/>
                  <w:sz w:val="22"/>
                  <w:szCs w:val="22"/>
                </w:rPr>
                <w:t>www.uroweb.org</w:t>
              </w:r>
            </w:hyperlink>
          </w:p>
          <w:p w14:paraId="55AC7146" w14:textId="77777777" w:rsidR="005C559F" w:rsidRPr="00DE2FAF" w:rsidRDefault="005C559F" w:rsidP="005C559F">
            <w:pPr>
              <w:pStyle w:val="Default"/>
              <w:rPr>
                <w:sz w:val="22"/>
                <w:szCs w:val="22"/>
              </w:rPr>
            </w:pPr>
            <w:r w:rsidRPr="00DE2FAF">
              <w:rPr>
                <w:sz w:val="22"/>
                <w:szCs w:val="22"/>
              </w:rPr>
              <w:t xml:space="preserve">Renal and ureteric stones: assessment and management (2019) NICE guideline 118 </w:t>
            </w:r>
          </w:p>
          <w:p w14:paraId="53827EF1" w14:textId="77777777" w:rsidR="005C559F" w:rsidRPr="00DE2FAF" w:rsidRDefault="005C559F" w:rsidP="005C559F">
            <w:pPr>
              <w:pStyle w:val="Paragraphnonumbers"/>
              <w:rPr>
                <w:rFonts w:cs="Arial"/>
                <w:sz w:val="22"/>
                <w:szCs w:val="22"/>
              </w:rPr>
            </w:pPr>
          </w:p>
          <w:p w14:paraId="355A0725" w14:textId="77777777" w:rsidR="005C559F" w:rsidRPr="00DE2FAF" w:rsidRDefault="005C559F" w:rsidP="005C559F">
            <w:pPr>
              <w:rPr>
                <w:rFonts w:ascii="Arial" w:hAnsi="Arial" w:cs="Arial"/>
                <w:sz w:val="22"/>
                <w:szCs w:val="22"/>
              </w:rPr>
            </w:pPr>
          </w:p>
        </w:tc>
      </w:tr>
      <w:tr w:rsidR="00B833B7" w:rsidRPr="00DE2FAF" w14:paraId="50CC60DA" w14:textId="77777777" w:rsidTr="00B77627">
        <w:trPr>
          <w:trHeight w:val="282"/>
        </w:trPr>
        <w:tc>
          <w:tcPr>
            <w:tcW w:w="192" w:type="pct"/>
          </w:tcPr>
          <w:p w14:paraId="3F8AACBC" w14:textId="1EF28416" w:rsidR="005C559F" w:rsidRPr="00B833B7" w:rsidRDefault="00B833B7" w:rsidP="005C559F">
            <w:pPr>
              <w:pStyle w:val="Tabletext"/>
              <w:rPr>
                <w:rFonts w:cs="Arial"/>
                <w:szCs w:val="22"/>
              </w:rPr>
            </w:pPr>
            <w:r w:rsidRPr="00B833B7">
              <w:rPr>
                <w:rFonts w:cs="Arial"/>
                <w:szCs w:val="22"/>
              </w:rPr>
              <w:lastRenderedPageBreak/>
              <w:t>31</w:t>
            </w:r>
          </w:p>
        </w:tc>
        <w:tc>
          <w:tcPr>
            <w:tcW w:w="772" w:type="pct"/>
          </w:tcPr>
          <w:p w14:paraId="4611782C" w14:textId="30C2B982" w:rsidR="005C559F" w:rsidRPr="00DE2FAF" w:rsidRDefault="00DE2FAF" w:rsidP="005C559F">
            <w:pPr>
              <w:pStyle w:val="Tabletext"/>
              <w:rPr>
                <w:rFonts w:cs="Arial"/>
                <w:szCs w:val="22"/>
              </w:rPr>
            </w:pPr>
            <w:r>
              <w:rPr>
                <w:rFonts w:cs="Arial"/>
                <w:szCs w:val="22"/>
              </w:rPr>
              <w:t>SCM 3</w:t>
            </w:r>
          </w:p>
        </w:tc>
        <w:tc>
          <w:tcPr>
            <w:tcW w:w="1160" w:type="pct"/>
          </w:tcPr>
          <w:p w14:paraId="2DA27921" w14:textId="77777777" w:rsidR="005C559F" w:rsidRPr="00DE2FAF" w:rsidRDefault="005C559F" w:rsidP="005C559F">
            <w:pPr>
              <w:pStyle w:val="Paragraphnonumbers"/>
              <w:spacing w:after="120"/>
              <w:rPr>
                <w:rFonts w:cs="Arial"/>
                <w:sz w:val="22"/>
                <w:szCs w:val="22"/>
              </w:rPr>
            </w:pPr>
            <w:r w:rsidRPr="00DE2FAF">
              <w:rPr>
                <w:rFonts w:cs="Arial"/>
                <w:sz w:val="22"/>
                <w:szCs w:val="22"/>
              </w:rPr>
              <w:t>Additional developmental areas of emergent practice</w:t>
            </w:r>
          </w:p>
          <w:p w14:paraId="273BFB97" w14:textId="4D0DA122" w:rsidR="005C559F" w:rsidRPr="00DE2FAF" w:rsidRDefault="005C559F" w:rsidP="005C559F">
            <w:pPr>
              <w:pStyle w:val="Tabletext"/>
              <w:rPr>
                <w:rFonts w:cs="Arial"/>
                <w:szCs w:val="22"/>
              </w:rPr>
            </w:pPr>
            <w:r w:rsidRPr="00DE2FAF">
              <w:rPr>
                <w:rFonts w:cs="Arial"/>
                <w:szCs w:val="22"/>
              </w:rPr>
              <w:t>Use of metabolic investigations in stone patients</w:t>
            </w:r>
          </w:p>
        </w:tc>
        <w:tc>
          <w:tcPr>
            <w:tcW w:w="919" w:type="pct"/>
          </w:tcPr>
          <w:p w14:paraId="432F8DE5" w14:textId="1EEB6D65" w:rsidR="005C559F" w:rsidRPr="00DE2FAF" w:rsidRDefault="005C559F" w:rsidP="005C559F">
            <w:pPr>
              <w:pStyle w:val="Tabletext"/>
              <w:rPr>
                <w:rFonts w:cs="Arial"/>
                <w:szCs w:val="22"/>
              </w:rPr>
            </w:pPr>
            <w:r w:rsidRPr="00DE2FAF">
              <w:rPr>
                <w:rFonts w:cs="Arial"/>
                <w:szCs w:val="22"/>
              </w:rPr>
              <w:t xml:space="preserve">No evidence found to make a recommendation but research recommendation made. </w:t>
            </w:r>
          </w:p>
        </w:tc>
        <w:tc>
          <w:tcPr>
            <w:tcW w:w="1014" w:type="pct"/>
          </w:tcPr>
          <w:p w14:paraId="12637352" w14:textId="48D07F94" w:rsidR="005C559F" w:rsidRPr="00DE2FAF" w:rsidRDefault="005C559F" w:rsidP="005C559F">
            <w:pPr>
              <w:rPr>
                <w:rFonts w:ascii="Arial" w:hAnsi="Arial" w:cs="Arial"/>
                <w:sz w:val="22"/>
                <w:szCs w:val="22"/>
              </w:rPr>
            </w:pPr>
            <w:r w:rsidRPr="00DE2FAF">
              <w:rPr>
                <w:rFonts w:ascii="Arial" w:hAnsi="Arial" w:cs="Arial"/>
                <w:sz w:val="22"/>
                <w:szCs w:val="22"/>
              </w:rPr>
              <w:t>Wide variation in whether tests done at all Wide variation of which patient s have tests and wide variation of which tests are done</w:t>
            </w:r>
          </w:p>
        </w:tc>
        <w:tc>
          <w:tcPr>
            <w:tcW w:w="943" w:type="pct"/>
          </w:tcPr>
          <w:p w14:paraId="0C4BBE33" w14:textId="77777777" w:rsidR="005C559F" w:rsidRPr="00DE2FAF" w:rsidRDefault="005C559F" w:rsidP="005C559F">
            <w:pPr>
              <w:rPr>
                <w:rFonts w:ascii="Arial" w:hAnsi="Arial" w:cs="Arial"/>
                <w:sz w:val="22"/>
                <w:szCs w:val="22"/>
              </w:rPr>
            </w:pPr>
          </w:p>
        </w:tc>
      </w:tr>
      <w:tr w:rsidR="00B833B7" w:rsidRPr="00DE2FAF" w14:paraId="5989DD91" w14:textId="77777777" w:rsidTr="00B77627">
        <w:trPr>
          <w:trHeight w:val="282"/>
        </w:trPr>
        <w:tc>
          <w:tcPr>
            <w:tcW w:w="192" w:type="pct"/>
          </w:tcPr>
          <w:p w14:paraId="4BAC591F" w14:textId="281B40ED" w:rsidR="005C559F" w:rsidRPr="00B833B7" w:rsidRDefault="00B833B7" w:rsidP="005C559F">
            <w:pPr>
              <w:pStyle w:val="Tabletext"/>
              <w:rPr>
                <w:rFonts w:cs="Arial"/>
                <w:szCs w:val="22"/>
              </w:rPr>
            </w:pPr>
            <w:r w:rsidRPr="00B833B7">
              <w:rPr>
                <w:rFonts w:cs="Arial"/>
                <w:szCs w:val="22"/>
              </w:rPr>
              <w:t>32</w:t>
            </w:r>
          </w:p>
        </w:tc>
        <w:tc>
          <w:tcPr>
            <w:tcW w:w="772" w:type="pct"/>
          </w:tcPr>
          <w:p w14:paraId="2DE3D081" w14:textId="0F5929CA" w:rsidR="005C559F" w:rsidRPr="00DE2FAF" w:rsidRDefault="00DE2FAF" w:rsidP="005C559F">
            <w:pPr>
              <w:pStyle w:val="Tabletext"/>
              <w:rPr>
                <w:rFonts w:cs="Arial"/>
                <w:szCs w:val="22"/>
              </w:rPr>
            </w:pPr>
            <w:r>
              <w:rPr>
                <w:rFonts w:cs="Arial"/>
                <w:szCs w:val="22"/>
              </w:rPr>
              <w:t>SCM 5</w:t>
            </w:r>
          </w:p>
        </w:tc>
        <w:tc>
          <w:tcPr>
            <w:tcW w:w="1160" w:type="pct"/>
          </w:tcPr>
          <w:p w14:paraId="17C2C154" w14:textId="01E02AB2" w:rsidR="005C559F" w:rsidRPr="00DE2FAF" w:rsidRDefault="005C559F" w:rsidP="005C559F">
            <w:pPr>
              <w:pStyle w:val="Tabletext"/>
              <w:rPr>
                <w:rFonts w:cs="Arial"/>
                <w:szCs w:val="22"/>
              </w:rPr>
            </w:pPr>
            <w:r w:rsidRPr="00DE2FAF">
              <w:rPr>
                <w:rFonts w:cs="Arial"/>
                <w:szCs w:val="22"/>
              </w:rPr>
              <w:t>Key area for quality improvement 1</w:t>
            </w:r>
          </w:p>
        </w:tc>
        <w:tc>
          <w:tcPr>
            <w:tcW w:w="919" w:type="pct"/>
          </w:tcPr>
          <w:p w14:paraId="257F6C8A" w14:textId="0FD29BDA" w:rsidR="005C559F" w:rsidRPr="00DE2FAF" w:rsidRDefault="005C559F" w:rsidP="005C559F">
            <w:pPr>
              <w:pStyle w:val="Tabletext"/>
              <w:rPr>
                <w:rFonts w:cs="Arial"/>
                <w:szCs w:val="22"/>
              </w:rPr>
            </w:pPr>
            <w:r w:rsidRPr="00DE2FAF">
              <w:rPr>
                <w:rFonts w:cs="Arial"/>
                <w:szCs w:val="22"/>
                <w:lang w:eastAsia="en-GB"/>
              </w:rPr>
              <w:t xml:space="preserve">Metabolic investigations for children presenting with renal stones </w:t>
            </w:r>
          </w:p>
        </w:tc>
        <w:tc>
          <w:tcPr>
            <w:tcW w:w="1014" w:type="pct"/>
          </w:tcPr>
          <w:p w14:paraId="2473A661" w14:textId="1DB1B29D" w:rsidR="005C559F" w:rsidRPr="00DE2FAF" w:rsidRDefault="005C559F" w:rsidP="005C559F">
            <w:pPr>
              <w:rPr>
                <w:rFonts w:ascii="Arial" w:hAnsi="Arial" w:cs="Arial"/>
                <w:sz w:val="22"/>
                <w:szCs w:val="22"/>
              </w:rPr>
            </w:pPr>
            <w:r w:rsidRPr="00DE2FAF">
              <w:rPr>
                <w:rFonts w:ascii="Arial" w:hAnsi="Arial" w:cs="Arial"/>
                <w:sz w:val="22"/>
                <w:szCs w:val="22"/>
              </w:rPr>
              <w:t xml:space="preserve">Unlike adults, 40% of children have metabolic underlying abnormality causing stones. Metabolic investigation is therefore warranted. Regional guidelines for metabolic investigation in children should be available (online) across the country to decrease the variation in practice.  </w:t>
            </w:r>
          </w:p>
        </w:tc>
        <w:tc>
          <w:tcPr>
            <w:tcW w:w="943" w:type="pct"/>
          </w:tcPr>
          <w:p w14:paraId="03C28C37" w14:textId="451DFAA2" w:rsidR="005C559F" w:rsidRPr="00DE2FAF" w:rsidRDefault="005C559F" w:rsidP="005C559F">
            <w:pPr>
              <w:rPr>
                <w:rFonts w:ascii="Arial" w:hAnsi="Arial" w:cs="Arial"/>
                <w:sz w:val="22"/>
                <w:szCs w:val="22"/>
              </w:rPr>
            </w:pPr>
            <w:r w:rsidRPr="00DE2FAF">
              <w:rPr>
                <w:rFonts w:ascii="Arial" w:hAnsi="Arial" w:cs="Arial"/>
                <w:sz w:val="22"/>
                <w:szCs w:val="22"/>
              </w:rPr>
              <w:t xml:space="preserve">NG118 </w:t>
            </w:r>
          </w:p>
        </w:tc>
      </w:tr>
      <w:tr w:rsidR="00B833B7" w:rsidRPr="00DE2FAF" w14:paraId="3A4F5D79" w14:textId="77777777" w:rsidTr="00B77627">
        <w:trPr>
          <w:trHeight w:val="282"/>
        </w:trPr>
        <w:tc>
          <w:tcPr>
            <w:tcW w:w="192" w:type="pct"/>
          </w:tcPr>
          <w:p w14:paraId="1905D760" w14:textId="016D1D72" w:rsidR="005C559F" w:rsidRPr="00B833B7" w:rsidRDefault="00B833B7" w:rsidP="005C559F">
            <w:pPr>
              <w:pStyle w:val="Tabletext"/>
              <w:rPr>
                <w:rFonts w:cs="Arial"/>
                <w:szCs w:val="22"/>
              </w:rPr>
            </w:pPr>
            <w:r w:rsidRPr="00B833B7">
              <w:rPr>
                <w:rFonts w:cs="Arial"/>
                <w:szCs w:val="22"/>
              </w:rPr>
              <w:t>33</w:t>
            </w:r>
          </w:p>
        </w:tc>
        <w:tc>
          <w:tcPr>
            <w:tcW w:w="772" w:type="pct"/>
          </w:tcPr>
          <w:p w14:paraId="10242D3C" w14:textId="290F9557" w:rsidR="005C559F" w:rsidRPr="00DE2FAF" w:rsidRDefault="00DE2FAF" w:rsidP="005C559F">
            <w:pPr>
              <w:pStyle w:val="Tabletext"/>
              <w:rPr>
                <w:rFonts w:cs="Arial"/>
                <w:szCs w:val="22"/>
              </w:rPr>
            </w:pPr>
            <w:r>
              <w:rPr>
                <w:rFonts w:cs="Arial"/>
                <w:szCs w:val="22"/>
              </w:rPr>
              <w:t>SCM 5</w:t>
            </w:r>
          </w:p>
        </w:tc>
        <w:tc>
          <w:tcPr>
            <w:tcW w:w="1160" w:type="pct"/>
          </w:tcPr>
          <w:p w14:paraId="56E8027B" w14:textId="677396FA" w:rsidR="005C559F" w:rsidRPr="00DE2FAF" w:rsidRDefault="005C559F" w:rsidP="005C559F">
            <w:pPr>
              <w:pStyle w:val="Tabletext"/>
              <w:rPr>
                <w:rFonts w:cs="Arial"/>
                <w:szCs w:val="22"/>
              </w:rPr>
            </w:pPr>
            <w:r w:rsidRPr="00DE2FAF">
              <w:rPr>
                <w:rFonts w:cs="Arial"/>
                <w:szCs w:val="22"/>
              </w:rPr>
              <w:t>Key area for quality improvement 2</w:t>
            </w:r>
          </w:p>
        </w:tc>
        <w:tc>
          <w:tcPr>
            <w:tcW w:w="919" w:type="pct"/>
          </w:tcPr>
          <w:p w14:paraId="1DB3FE8E" w14:textId="5873EF8D" w:rsidR="005C559F" w:rsidRPr="00DE2FAF" w:rsidRDefault="005C559F" w:rsidP="005C559F">
            <w:pPr>
              <w:pStyle w:val="Tabletext"/>
              <w:rPr>
                <w:rFonts w:cs="Arial"/>
                <w:szCs w:val="22"/>
              </w:rPr>
            </w:pPr>
            <w:r w:rsidRPr="00DE2FAF">
              <w:rPr>
                <w:rFonts w:cs="Arial"/>
                <w:szCs w:val="22"/>
                <w:lang w:eastAsia="en-GB"/>
              </w:rPr>
              <w:t xml:space="preserve">Tertiary nephrology/urology referrals   </w:t>
            </w:r>
          </w:p>
        </w:tc>
        <w:tc>
          <w:tcPr>
            <w:tcW w:w="1014" w:type="pct"/>
          </w:tcPr>
          <w:p w14:paraId="1D394735" w14:textId="72B9E24A" w:rsidR="005C559F" w:rsidRPr="00DE2FAF" w:rsidRDefault="005C559F" w:rsidP="005C559F">
            <w:pPr>
              <w:rPr>
                <w:rFonts w:ascii="Arial" w:hAnsi="Arial" w:cs="Arial"/>
                <w:sz w:val="22"/>
                <w:szCs w:val="22"/>
              </w:rPr>
            </w:pPr>
            <w:r w:rsidRPr="00DE2FAF">
              <w:rPr>
                <w:rFonts w:ascii="Arial" w:hAnsi="Arial" w:cs="Arial"/>
                <w:sz w:val="22"/>
                <w:szCs w:val="22"/>
              </w:rPr>
              <w:t xml:space="preserve">Children presenting with stones (which are, unlike in adults, rare in paediatrics) should be seen by specialist </w:t>
            </w:r>
            <w:r w:rsidRPr="00DE2FAF">
              <w:rPr>
                <w:rFonts w:ascii="Arial" w:hAnsi="Arial" w:cs="Arial"/>
                <w:sz w:val="22"/>
                <w:szCs w:val="22"/>
              </w:rPr>
              <w:lastRenderedPageBreak/>
              <w:t xml:space="preserve">(nephrologist, urologist) with adequate experience in stones management for further opinion. Ideally, if child is being referred, all results of metabolic investigations should be available for specialist.  </w:t>
            </w:r>
          </w:p>
        </w:tc>
        <w:tc>
          <w:tcPr>
            <w:tcW w:w="943" w:type="pct"/>
          </w:tcPr>
          <w:p w14:paraId="396D89E1" w14:textId="602B2A91" w:rsidR="005C559F" w:rsidRPr="00DE2FAF" w:rsidRDefault="005C559F" w:rsidP="005C559F">
            <w:pPr>
              <w:rPr>
                <w:rFonts w:ascii="Arial" w:hAnsi="Arial" w:cs="Arial"/>
                <w:sz w:val="22"/>
                <w:szCs w:val="22"/>
              </w:rPr>
            </w:pPr>
            <w:r w:rsidRPr="00DE2FAF">
              <w:rPr>
                <w:rFonts w:ascii="Arial" w:hAnsi="Arial" w:cs="Arial"/>
                <w:sz w:val="22"/>
                <w:szCs w:val="22"/>
              </w:rPr>
              <w:lastRenderedPageBreak/>
              <w:t xml:space="preserve">NG118 </w:t>
            </w:r>
          </w:p>
        </w:tc>
      </w:tr>
      <w:tr w:rsidR="00DE2FAF" w:rsidRPr="00DE2FAF" w14:paraId="0412825E" w14:textId="77777777" w:rsidTr="00DE2FAF">
        <w:trPr>
          <w:trHeight w:val="282"/>
        </w:trPr>
        <w:tc>
          <w:tcPr>
            <w:tcW w:w="5000" w:type="pct"/>
            <w:gridSpan w:val="6"/>
          </w:tcPr>
          <w:p w14:paraId="7A46AAC7" w14:textId="73B8C14E" w:rsidR="00DE2FAF" w:rsidRPr="00B833B7" w:rsidRDefault="00DE2FAF" w:rsidP="005C559F">
            <w:pPr>
              <w:rPr>
                <w:rFonts w:ascii="Arial" w:hAnsi="Arial" w:cs="Arial"/>
                <w:sz w:val="22"/>
                <w:szCs w:val="22"/>
              </w:rPr>
            </w:pPr>
            <w:r w:rsidRPr="00B833B7">
              <w:rPr>
                <w:rFonts w:ascii="Arial" w:hAnsi="Arial" w:cs="Arial"/>
                <w:b/>
                <w:bCs/>
                <w:sz w:val="22"/>
                <w:szCs w:val="22"/>
              </w:rPr>
              <w:t>Preventing recurrence – dietary and lifestyle advice</w:t>
            </w:r>
          </w:p>
        </w:tc>
      </w:tr>
      <w:tr w:rsidR="00B833B7" w:rsidRPr="00DE2FAF" w14:paraId="080CD597" w14:textId="77777777" w:rsidTr="00B77627">
        <w:trPr>
          <w:trHeight w:val="282"/>
        </w:trPr>
        <w:tc>
          <w:tcPr>
            <w:tcW w:w="192" w:type="pct"/>
          </w:tcPr>
          <w:p w14:paraId="551FFD2E" w14:textId="31DC3CF5" w:rsidR="005C559F" w:rsidRPr="00B833B7" w:rsidRDefault="00B833B7" w:rsidP="005C559F">
            <w:pPr>
              <w:pStyle w:val="Tabletext"/>
              <w:rPr>
                <w:rFonts w:cs="Arial"/>
                <w:szCs w:val="22"/>
              </w:rPr>
            </w:pPr>
            <w:r w:rsidRPr="00B833B7">
              <w:rPr>
                <w:rFonts w:cs="Arial"/>
                <w:szCs w:val="22"/>
              </w:rPr>
              <w:t>34</w:t>
            </w:r>
          </w:p>
        </w:tc>
        <w:tc>
          <w:tcPr>
            <w:tcW w:w="772" w:type="pct"/>
          </w:tcPr>
          <w:p w14:paraId="4740ADEB" w14:textId="4E7758A9" w:rsidR="005C559F" w:rsidRPr="00DE2FAF" w:rsidRDefault="005C559F" w:rsidP="005C559F">
            <w:pPr>
              <w:pStyle w:val="Tabletext"/>
              <w:rPr>
                <w:rFonts w:cs="Arial"/>
                <w:szCs w:val="22"/>
              </w:rPr>
            </w:pPr>
            <w:r w:rsidRPr="00DE2FAF">
              <w:rPr>
                <w:rFonts w:cs="Arial"/>
                <w:szCs w:val="22"/>
              </w:rPr>
              <w:t xml:space="preserve">British Dietetic Association </w:t>
            </w:r>
          </w:p>
        </w:tc>
        <w:tc>
          <w:tcPr>
            <w:tcW w:w="1160" w:type="pct"/>
          </w:tcPr>
          <w:p w14:paraId="53911F8A" w14:textId="77777777" w:rsidR="005C559F" w:rsidRPr="00DE2FAF" w:rsidRDefault="005C559F" w:rsidP="005C559F">
            <w:pPr>
              <w:rPr>
                <w:rFonts w:ascii="Arial" w:hAnsi="Arial" w:cs="Arial"/>
                <w:sz w:val="22"/>
                <w:szCs w:val="22"/>
              </w:rPr>
            </w:pPr>
            <w:r w:rsidRPr="00DE2FAF">
              <w:rPr>
                <w:rFonts w:ascii="Arial" w:hAnsi="Arial" w:cs="Arial"/>
                <w:sz w:val="22"/>
                <w:szCs w:val="22"/>
              </w:rPr>
              <w:t>Key area for quality improvement 1</w:t>
            </w:r>
          </w:p>
          <w:p w14:paraId="175CF2E8" w14:textId="0173CA4D" w:rsidR="005C559F" w:rsidRPr="00DE2FAF" w:rsidRDefault="005C559F" w:rsidP="005C559F">
            <w:pPr>
              <w:pStyle w:val="Tabletext"/>
              <w:rPr>
                <w:rFonts w:cs="Arial"/>
                <w:szCs w:val="22"/>
              </w:rPr>
            </w:pPr>
            <w:r w:rsidRPr="00DE2FAF">
              <w:rPr>
                <w:rFonts w:cs="Arial"/>
                <w:szCs w:val="22"/>
              </w:rPr>
              <w:t>Advice on maintaining adequate hydration to prevent recurrence - aim to drink 2.5-3L of fluid per day or enough fluid to achieve colourless urine</w:t>
            </w:r>
          </w:p>
        </w:tc>
        <w:tc>
          <w:tcPr>
            <w:tcW w:w="919" w:type="pct"/>
          </w:tcPr>
          <w:p w14:paraId="63DF5C49" w14:textId="5224A54B" w:rsidR="005C559F" w:rsidRPr="00DE2FAF" w:rsidRDefault="005C559F" w:rsidP="005C559F">
            <w:pPr>
              <w:pStyle w:val="Tabletext"/>
              <w:rPr>
                <w:rFonts w:cs="Arial"/>
                <w:szCs w:val="22"/>
              </w:rPr>
            </w:pPr>
            <w:r w:rsidRPr="00DE2FAF">
              <w:rPr>
                <w:rFonts w:cs="Arial"/>
                <w:szCs w:val="22"/>
              </w:rPr>
              <w:t>An inverse relationship between high fluid intake and stone formation has been demonstrated (European Association of Urology 2014). A higher fluid intake increases diuresis and dilutes the urine, reducing the risk of crystallization</w:t>
            </w:r>
          </w:p>
        </w:tc>
        <w:tc>
          <w:tcPr>
            <w:tcW w:w="1014" w:type="pct"/>
          </w:tcPr>
          <w:p w14:paraId="0AE44A98" w14:textId="62E6065C" w:rsidR="005C559F" w:rsidRPr="00DE2FAF" w:rsidRDefault="005C559F" w:rsidP="005C559F">
            <w:pPr>
              <w:rPr>
                <w:rFonts w:ascii="Arial" w:hAnsi="Arial" w:cs="Arial"/>
                <w:sz w:val="22"/>
                <w:szCs w:val="22"/>
              </w:rPr>
            </w:pPr>
            <w:r w:rsidRPr="00DE2FAF">
              <w:rPr>
                <w:rFonts w:ascii="Arial" w:eastAsia="Calibri" w:hAnsi="Arial" w:cs="Arial"/>
                <w:sz w:val="22"/>
                <w:szCs w:val="22"/>
              </w:rPr>
              <w:t>We are unclear if accurate advice on fluid intake is consistently given</w:t>
            </w:r>
          </w:p>
        </w:tc>
        <w:tc>
          <w:tcPr>
            <w:tcW w:w="943" w:type="pct"/>
          </w:tcPr>
          <w:p w14:paraId="730E562C" w14:textId="77777777" w:rsidR="005C559F" w:rsidRPr="00DE2FAF" w:rsidRDefault="005C559F" w:rsidP="005C559F">
            <w:pPr>
              <w:rPr>
                <w:rFonts w:ascii="Arial" w:hAnsi="Arial" w:cs="Arial"/>
                <w:sz w:val="22"/>
                <w:szCs w:val="22"/>
              </w:rPr>
            </w:pPr>
          </w:p>
        </w:tc>
      </w:tr>
      <w:tr w:rsidR="00B833B7" w:rsidRPr="00DE2FAF" w14:paraId="743BE70D" w14:textId="77777777" w:rsidTr="00B77627">
        <w:trPr>
          <w:trHeight w:val="282"/>
        </w:trPr>
        <w:tc>
          <w:tcPr>
            <w:tcW w:w="192" w:type="pct"/>
          </w:tcPr>
          <w:p w14:paraId="6F6AC237" w14:textId="590224EF" w:rsidR="005C559F" w:rsidRPr="00B833B7" w:rsidRDefault="00B833B7" w:rsidP="005C559F">
            <w:pPr>
              <w:pStyle w:val="Tabletext"/>
              <w:rPr>
                <w:rFonts w:cs="Arial"/>
                <w:szCs w:val="22"/>
              </w:rPr>
            </w:pPr>
            <w:r w:rsidRPr="00B833B7">
              <w:rPr>
                <w:rFonts w:cs="Arial"/>
                <w:szCs w:val="22"/>
              </w:rPr>
              <w:t>35</w:t>
            </w:r>
          </w:p>
        </w:tc>
        <w:tc>
          <w:tcPr>
            <w:tcW w:w="772" w:type="pct"/>
          </w:tcPr>
          <w:p w14:paraId="6DA9B94E" w14:textId="2D8EF41B" w:rsidR="005C559F" w:rsidRPr="00DE2FAF" w:rsidRDefault="005C559F" w:rsidP="005C559F">
            <w:pPr>
              <w:pStyle w:val="Tabletext"/>
              <w:rPr>
                <w:rFonts w:cs="Arial"/>
                <w:szCs w:val="22"/>
              </w:rPr>
            </w:pPr>
            <w:r w:rsidRPr="00DE2FAF">
              <w:rPr>
                <w:rFonts w:cs="Arial"/>
                <w:szCs w:val="22"/>
              </w:rPr>
              <w:t xml:space="preserve">British Dietetic Association </w:t>
            </w:r>
          </w:p>
        </w:tc>
        <w:tc>
          <w:tcPr>
            <w:tcW w:w="1160" w:type="pct"/>
          </w:tcPr>
          <w:p w14:paraId="60376CE0" w14:textId="77777777" w:rsidR="005C559F" w:rsidRPr="00DE2FAF" w:rsidRDefault="005C559F" w:rsidP="005C559F">
            <w:pPr>
              <w:rPr>
                <w:rFonts w:ascii="Arial" w:hAnsi="Arial" w:cs="Arial"/>
                <w:sz w:val="22"/>
                <w:szCs w:val="22"/>
              </w:rPr>
            </w:pPr>
            <w:r w:rsidRPr="00DE2FAF">
              <w:rPr>
                <w:rFonts w:ascii="Arial" w:hAnsi="Arial" w:cs="Arial"/>
                <w:sz w:val="22"/>
                <w:szCs w:val="22"/>
              </w:rPr>
              <w:t>Key area for quality improvement 2</w:t>
            </w:r>
          </w:p>
          <w:p w14:paraId="2336D2F5" w14:textId="4958A8A3" w:rsidR="005C559F" w:rsidRPr="00DE2FAF" w:rsidRDefault="005C559F" w:rsidP="005C559F">
            <w:pPr>
              <w:pStyle w:val="Tabletext"/>
              <w:rPr>
                <w:rFonts w:cs="Arial"/>
                <w:szCs w:val="22"/>
              </w:rPr>
            </w:pPr>
            <w:r w:rsidRPr="00DE2FAF">
              <w:rPr>
                <w:rFonts w:cs="Arial"/>
                <w:szCs w:val="22"/>
              </w:rPr>
              <w:t>Advice on maintain a healthy weight and prevent weight gain</w:t>
            </w:r>
          </w:p>
        </w:tc>
        <w:tc>
          <w:tcPr>
            <w:tcW w:w="919" w:type="pct"/>
          </w:tcPr>
          <w:p w14:paraId="0947D0F5" w14:textId="694A5831" w:rsidR="005C559F" w:rsidRPr="00DE2FAF" w:rsidRDefault="005C559F" w:rsidP="005C559F">
            <w:pPr>
              <w:pStyle w:val="Tabletext"/>
              <w:rPr>
                <w:rFonts w:cs="Arial"/>
                <w:szCs w:val="22"/>
              </w:rPr>
            </w:pPr>
            <w:r w:rsidRPr="00DE2FAF">
              <w:rPr>
                <w:rFonts w:cs="Arial"/>
                <w:szCs w:val="22"/>
              </w:rPr>
              <w:t>Obesity and weight gain (more than 15.9 kg) are associated with an increased risk of symptomatic nephrolithiasis independent of other risk factors (Taylor 2005). Maintaining and health weight and lifestyle is recommended, NICE NG118</w:t>
            </w:r>
          </w:p>
        </w:tc>
        <w:tc>
          <w:tcPr>
            <w:tcW w:w="1014" w:type="pct"/>
          </w:tcPr>
          <w:p w14:paraId="2327F337" w14:textId="64264DFA" w:rsidR="005C559F" w:rsidRPr="00DE2FAF" w:rsidRDefault="005C559F" w:rsidP="005C559F">
            <w:pPr>
              <w:rPr>
                <w:rFonts w:ascii="Arial" w:hAnsi="Arial" w:cs="Arial"/>
                <w:sz w:val="22"/>
                <w:szCs w:val="22"/>
              </w:rPr>
            </w:pPr>
            <w:r w:rsidRPr="00DE2FAF">
              <w:rPr>
                <w:rFonts w:ascii="Arial" w:eastAsia="Calibri" w:hAnsi="Arial" w:cs="Arial"/>
                <w:sz w:val="22"/>
                <w:szCs w:val="22"/>
              </w:rPr>
              <w:t>We believe that referral of patients to weight management services or signposting to reputable weight loss resources is variable</w:t>
            </w:r>
          </w:p>
        </w:tc>
        <w:tc>
          <w:tcPr>
            <w:tcW w:w="943" w:type="pct"/>
          </w:tcPr>
          <w:p w14:paraId="4EAA3EE6" w14:textId="77777777" w:rsidR="005C559F" w:rsidRPr="00DE2FAF" w:rsidRDefault="005C559F" w:rsidP="005C559F">
            <w:pPr>
              <w:rPr>
                <w:rFonts w:ascii="Arial" w:hAnsi="Arial" w:cs="Arial"/>
                <w:sz w:val="22"/>
                <w:szCs w:val="22"/>
              </w:rPr>
            </w:pPr>
          </w:p>
        </w:tc>
      </w:tr>
      <w:tr w:rsidR="00B833B7" w:rsidRPr="00DE2FAF" w14:paraId="509C13EE" w14:textId="77777777" w:rsidTr="00B77627">
        <w:trPr>
          <w:trHeight w:val="282"/>
        </w:trPr>
        <w:tc>
          <w:tcPr>
            <w:tcW w:w="192" w:type="pct"/>
          </w:tcPr>
          <w:p w14:paraId="391BD456" w14:textId="0A017E09" w:rsidR="005C559F" w:rsidRPr="00B833B7" w:rsidRDefault="00B833B7" w:rsidP="005C559F">
            <w:pPr>
              <w:pStyle w:val="Tabletext"/>
              <w:rPr>
                <w:rFonts w:cs="Arial"/>
                <w:szCs w:val="22"/>
              </w:rPr>
            </w:pPr>
            <w:r w:rsidRPr="00B833B7">
              <w:rPr>
                <w:rFonts w:cs="Arial"/>
                <w:szCs w:val="22"/>
              </w:rPr>
              <w:lastRenderedPageBreak/>
              <w:t>36</w:t>
            </w:r>
          </w:p>
        </w:tc>
        <w:tc>
          <w:tcPr>
            <w:tcW w:w="772" w:type="pct"/>
          </w:tcPr>
          <w:p w14:paraId="7BADAF65" w14:textId="2C8A6B87" w:rsidR="005C559F" w:rsidRPr="00DE2FAF" w:rsidRDefault="005C559F" w:rsidP="005C559F">
            <w:pPr>
              <w:pStyle w:val="Tabletext"/>
              <w:rPr>
                <w:rFonts w:cs="Arial"/>
                <w:szCs w:val="22"/>
              </w:rPr>
            </w:pPr>
            <w:r w:rsidRPr="00DE2FAF">
              <w:rPr>
                <w:rFonts w:cs="Arial"/>
                <w:szCs w:val="22"/>
              </w:rPr>
              <w:t xml:space="preserve">Renal Association </w:t>
            </w:r>
          </w:p>
        </w:tc>
        <w:tc>
          <w:tcPr>
            <w:tcW w:w="1160" w:type="pct"/>
          </w:tcPr>
          <w:p w14:paraId="512EB2D2" w14:textId="77777777" w:rsidR="005C559F" w:rsidRPr="00DE2FAF" w:rsidRDefault="005C559F" w:rsidP="005C559F">
            <w:pPr>
              <w:pStyle w:val="Tabletext"/>
              <w:rPr>
                <w:rFonts w:cs="Arial"/>
                <w:szCs w:val="22"/>
              </w:rPr>
            </w:pPr>
          </w:p>
        </w:tc>
        <w:tc>
          <w:tcPr>
            <w:tcW w:w="919" w:type="pct"/>
          </w:tcPr>
          <w:p w14:paraId="078F0952" w14:textId="554BEF9C" w:rsidR="005C559F" w:rsidRPr="00DE2FAF" w:rsidRDefault="005C559F" w:rsidP="005C559F">
            <w:pPr>
              <w:pStyle w:val="Tabletext"/>
              <w:rPr>
                <w:rFonts w:cs="Arial"/>
                <w:szCs w:val="22"/>
              </w:rPr>
            </w:pPr>
            <w:r w:rsidRPr="00DE2FAF">
              <w:rPr>
                <w:rFonts w:cs="Arial"/>
                <w:szCs w:val="22"/>
              </w:rPr>
              <w:t>The provision of Dietary / lifestyle advice in patients with renal stones – who, how, when and where to give this advice, role of dieticians / primary health care physicians</w:t>
            </w:r>
          </w:p>
        </w:tc>
        <w:tc>
          <w:tcPr>
            <w:tcW w:w="1014" w:type="pct"/>
          </w:tcPr>
          <w:p w14:paraId="156538E7" w14:textId="77777777" w:rsidR="005C559F" w:rsidRPr="00DE2FAF" w:rsidRDefault="005C559F" w:rsidP="005C559F">
            <w:pPr>
              <w:rPr>
                <w:rFonts w:ascii="Arial" w:hAnsi="Arial" w:cs="Arial"/>
                <w:sz w:val="22"/>
                <w:szCs w:val="22"/>
              </w:rPr>
            </w:pPr>
          </w:p>
        </w:tc>
        <w:tc>
          <w:tcPr>
            <w:tcW w:w="943" w:type="pct"/>
          </w:tcPr>
          <w:p w14:paraId="6744AC8A" w14:textId="77777777" w:rsidR="005C559F" w:rsidRPr="00DE2FAF" w:rsidRDefault="005C559F" w:rsidP="005C559F">
            <w:pPr>
              <w:rPr>
                <w:rFonts w:ascii="Arial" w:hAnsi="Arial" w:cs="Arial"/>
                <w:sz w:val="22"/>
                <w:szCs w:val="22"/>
              </w:rPr>
            </w:pPr>
          </w:p>
        </w:tc>
      </w:tr>
      <w:tr w:rsidR="00B833B7" w:rsidRPr="00DE2FAF" w14:paraId="6D813873" w14:textId="77777777" w:rsidTr="00B77627">
        <w:trPr>
          <w:trHeight w:val="282"/>
        </w:trPr>
        <w:tc>
          <w:tcPr>
            <w:tcW w:w="192" w:type="pct"/>
          </w:tcPr>
          <w:p w14:paraId="0EB57D96" w14:textId="7B85C355" w:rsidR="005C559F" w:rsidRPr="00B833B7" w:rsidRDefault="00B833B7" w:rsidP="005C559F">
            <w:pPr>
              <w:pStyle w:val="Tabletext"/>
              <w:rPr>
                <w:rFonts w:cs="Arial"/>
                <w:szCs w:val="22"/>
              </w:rPr>
            </w:pPr>
            <w:r w:rsidRPr="00B833B7">
              <w:rPr>
                <w:rFonts w:cs="Arial"/>
                <w:szCs w:val="22"/>
              </w:rPr>
              <w:t>37</w:t>
            </w:r>
          </w:p>
        </w:tc>
        <w:tc>
          <w:tcPr>
            <w:tcW w:w="772" w:type="pct"/>
          </w:tcPr>
          <w:p w14:paraId="639F9B16" w14:textId="09C5DA5F" w:rsidR="005C559F" w:rsidRPr="00DE2FAF" w:rsidRDefault="00DE2FAF" w:rsidP="005C559F">
            <w:pPr>
              <w:pStyle w:val="Tabletext"/>
              <w:rPr>
                <w:rFonts w:cs="Arial"/>
                <w:szCs w:val="22"/>
              </w:rPr>
            </w:pPr>
            <w:r>
              <w:rPr>
                <w:rFonts w:cs="Arial"/>
                <w:szCs w:val="22"/>
              </w:rPr>
              <w:t>SCM 2</w:t>
            </w:r>
          </w:p>
        </w:tc>
        <w:tc>
          <w:tcPr>
            <w:tcW w:w="1160" w:type="pct"/>
          </w:tcPr>
          <w:p w14:paraId="7D0D92A6" w14:textId="33754F8D" w:rsidR="005C559F" w:rsidRPr="00DE2FAF" w:rsidRDefault="005C559F" w:rsidP="005C559F">
            <w:pPr>
              <w:pStyle w:val="Tabletext"/>
              <w:rPr>
                <w:rFonts w:cs="Arial"/>
                <w:szCs w:val="22"/>
              </w:rPr>
            </w:pPr>
            <w:r w:rsidRPr="00DE2FAF">
              <w:rPr>
                <w:rFonts w:cs="Arial"/>
                <w:szCs w:val="22"/>
              </w:rPr>
              <w:t>(5) Offer dietary and lifestyle advice, as per the NICE Guideline, to all patients and or parents/carers</w:t>
            </w:r>
          </w:p>
        </w:tc>
        <w:tc>
          <w:tcPr>
            <w:tcW w:w="919" w:type="pct"/>
          </w:tcPr>
          <w:p w14:paraId="0CBFED95" w14:textId="3679B375" w:rsidR="005C559F" w:rsidRPr="00DE2FAF" w:rsidRDefault="005C559F" w:rsidP="005C559F">
            <w:pPr>
              <w:pStyle w:val="Tabletext"/>
              <w:rPr>
                <w:rFonts w:cs="Arial"/>
                <w:szCs w:val="22"/>
              </w:rPr>
            </w:pPr>
            <w:r w:rsidRPr="00DE2FAF">
              <w:rPr>
                <w:rFonts w:cs="Arial"/>
                <w:szCs w:val="22"/>
              </w:rPr>
              <w:t>NICE Guideline</w:t>
            </w:r>
          </w:p>
        </w:tc>
        <w:tc>
          <w:tcPr>
            <w:tcW w:w="1014" w:type="pct"/>
          </w:tcPr>
          <w:p w14:paraId="3A0A2999" w14:textId="75E6642B" w:rsidR="005C559F" w:rsidRPr="00DE2FAF" w:rsidRDefault="005C559F" w:rsidP="005C559F">
            <w:pPr>
              <w:rPr>
                <w:rFonts w:ascii="Arial" w:hAnsi="Arial" w:cs="Arial"/>
                <w:sz w:val="22"/>
                <w:szCs w:val="22"/>
              </w:rPr>
            </w:pPr>
            <w:r w:rsidRPr="00DE2FAF">
              <w:rPr>
                <w:rFonts w:ascii="Arial" w:eastAsia="Calibri" w:hAnsi="Arial" w:cs="Arial"/>
                <w:sz w:val="22"/>
                <w:szCs w:val="22"/>
              </w:rPr>
              <w:t>Prevention is considerably cheaper, and more comfortable for patients, than cure</w:t>
            </w:r>
          </w:p>
        </w:tc>
        <w:tc>
          <w:tcPr>
            <w:tcW w:w="943" w:type="pct"/>
          </w:tcPr>
          <w:p w14:paraId="32EA9C76" w14:textId="229DCF91" w:rsidR="005C559F" w:rsidRPr="00DE2FAF" w:rsidRDefault="005C559F" w:rsidP="005C559F">
            <w:pPr>
              <w:rPr>
                <w:rFonts w:ascii="Arial" w:hAnsi="Arial" w:cs="Arial"/>
                <w:sz w:val="22"/>
                <w:szCs w:val="22"/>
              </w:rPr>
            </w:pPr>
            <w:r w:rsidRPr="00DE2FAF">
              <w:rPr>
                <w:rFonts w:ascii="Arial" w:eastAsia="Calibri" w:hAnsi="Arial" w:cs="Arial"/>
                <w:sz w:val="22"/>
                <w:szCs w:val="22"/>
              </w:rPr>
              <w:t>NICE Guideline and background documentation</w:t>
            </w:r>
          </w:p>
        </w:tc>
      </w:tr>
      <w:tr w:rsidR="00B833B7" w:rsidRPr="00DE2FAF" w14:paraId="23A38B4D" w14:textId="77777777" w:rsidTr="00B77627">
        <w:trPr>
          <w:trHeight w:val="282"/>
        </w:trPr>
        <w:tc>
          <w:tcPr>
            <w:tcW w:w="192" w:type="pct"/>
          </w:tcPr>
          <w:p w14:paraId="115F8EF6" w14:textId="7EB1442B" w:rsidR="005C559F" w:rsidRPr="00B833B7" w:rsidRDefault="00B833B7" w:rsidP="005C559F">
            <w:pPr>
              <w:pStyle w:val="Tabletext"/>
              <w:rPr>
                <w:rFonts w:cs="Arial"/>
                <w:szCs w:val="22"/>
              </w:rPr>
            </w:pPr>
            <w:r w:rsidRPr="00B833B7">
              <w:rPr>
                <w:rFonts w:cs="Arial"/>
                <w:szCs w:val="22"/>
              </w:rPr>
              <w:t>38</w:t>
            </w:r>
          </w:p>
        </w:tc>
        <w:tc>
          <w:tcPr>
            <w:tcW w:w="772" w:type="pct"/>
          </w:tcPr>
          <w:p w14:paraId="19FC3E86" w14:textId="408D03C6" w:rsidR="005C559F" w:rsidRPr="00DE2FAF" w:rsidRDefault="00DE2FAF" w:rsidP="005C559F">
            <w:pPr>
              <w:pStyle w:val="Tabletext"/>
              <w:rPr>
                <w:rFonts w:cs="Arial"/>
                <w:szCs w:val="22"/>
              </w:rPr>
            </w:pPr>
            <w:r>
              <w:rPr>
                <w:rFonts w:cs="Arial"/>
                <w:szCs w:val="22"/>
              </w:rPr>
              <w:t>SCM 3</w:t>
            </w:r>
          </w:p>
        </w:tc>
        <w:tc>
          <w:tcPr>
            <w:tcW w:w="1160" w:type="pct"/>
          </w:tcPr>
          <w:p w14:paraId="35F34C33" w14:textId="77777777" w:rsidR="005C559F" w:rsidRPr="00DE2FAF" w:rsidRDefault="005C559F" w:rsidP="005C559F">
            <w:pPr>
              <w:rPr>
                <w:rFonts w:ascii="Arial" w:hAnsi="Arial" w:cs="Arial"/>
                <w:sz w:val="22"/>
                <w:szCs w:val="22"/>
              </w:rPr>
            </w:pPr>
            <w:r w:rsidRPr="00DE2FAF">
              <w:rPr>
                <w:rFonts w:ascii="Arial" w:hAnsi="Arial" w:cs="Arial"/>
                <w:sz w:val="22"/>
                <w:szCs w:val="22"/>
              </w:rPr>
              <w:t>Key area for quality improvement 3</w:t>
            </w:r>
          </w:p>
          <w:p w14:paraId="7CF75545" w14:textId="51BF14F9" w:rsidR="005C559F" w:rsidRPr="00DE2FAF" w:rsidRDefault="005C559F" w:rsidP="005C559F">
            <w:pPr>
              <w:pStyle w:val="Tabletext"/>
              <w:rPr>
                <w:rFonts w:cs="Arial"/>
                <w:szCs w:val="22"/>
              </w:rPr>
            </w:pPr>
            <w:r w:rsidRPr="00DE2FAF">
              <w:rPr>
                <w:rFonts w:cs="Arial"/>
                <w:szCs w:val="22"/>
              </w:rPr>
              <w:t>Standardised dietary advice</w:t>
            </w:r>
          </w:p>
        </w:tc>
        <w:tc>
          <w:tcPr>
            <w:tcW w:w="919" w:type="pct"/>
          </w:tcPr>
          <w:p w14:paraId="2A946322" w14:textId="77777777" w:rsidR="005C559F" w:rsidRPr="00DE2FAF" w:rsidRDefault="005C559F" w:rsidP="005C559F">
            <w:pPr>
              <w:rPr>
                <w:rFonts w:ascii="Arial" w:hAnsi="Arial" w:cs="Arial"/>
                <w:sz w:val="22"/>
                <w:szCs w:val="22"/>
              </w:rPr>
            </w:pPr>
            <w:r w:rsidRPr="00DE2FAF">
              <w:rPr>
                <w:rFonts w:ascii="Arial" w:hAnsi="Arial" w:cs="Arial"/>
                <w:sz w:val="22"/>
                <w:szCs w:val="22"/>
              </w:rPr>
              <w:t>Variability of patient information about diet and lifestyle changes</w:t>
            </w:r>
          </w:p>
          <w:p w14:paraId="378F39EB" w14:textId="19ABDE8E" w:rsidR="005C559F" w:rsidRPr="00DE2FAF" w:rsidRDefault="005C559F" w:rsidP="005C559F">
            <w:pPr>
              <w:pStyle w:val="Tabletext"/>
              <w:rPr>
                <w:rFonts w:cs="Arial"/>
                <w:szCs w:val="22"/>
              </w:rPr>
            </w:pPr>
            <w:r w:rsidRPr="00DE2FAF">
              <w:rPr>
                <w:rFonts w:cs="Arial"/>
                <w:szCs w:val="22"/>
              </w:rPr>
              <w:t>Several patient myths on dietary changes</w:t>
            </w:r>
          </w:p>
        </w:tc>
        <w:tc>
          <w:tcPr>
            <w:tcW w:w="1014" w:type="pct"/>
          </w:tcPr>
          <w:p w14:paraId="0CADBDF9" w14:textId="7185A0D6" w:rsidR="005C559F" w:rsidRPr="00DE2FAF" w:rsidRDefault="005C559F" w:rsidP="005C559F">
            <w:pPr>
              <w:rPr>
                <w:rFonts w:ascii="Arial" w:hAnsi="Arial" w:cs="Arial"/>
                <w:sz w:val="22"/>
                <w:szCs w:val="22"/>
              </w:rPr>
            </w:pPr>
            <w:r w:rsidRPr="00DE2FAF">
              <w:rPr>
                <w:rFonts w:ascii="Arial" w:eastAsia="Calibri" w:hAnsi="Arial" w:cs="Arial"/>
                <w:sz w:val="22"/>
                <w:szCs w:val="22"/>
              </w:rPr>
              <w:t>Uniform advice given by health professionals could reduce stone recurrence rates</w:t>
            </w:r>
          </w:p>
        </w:tc>
        <w:tc>
          <w:tcPr>
            <w:tcW w:w="943" w:type="pct"/>
          </w:tcPr>
          <w:p w14:paraId="2E7814E0" w14:textId="77777777" w:rsidR="005C559F" w:rsidRPr="00DE2FAF" w:rsidRDefault="005C559F" w:rsidP="005C559F">
            <w:pPr>
              <w:rPr>
                <w:rFonts w:ascii="Arial" w:eastAsia="Calibri" w:hAnsi="Arial" w:cs="Arial"/>
                <w:sz w:val="22"/>
                <w:szCs w:val="22"/>
              </w:rPr>
            </w:pPr>
            <w:r w:rsidRPr="00DE2FAF">
              <w:rPr>
                <w:rFonts w:ascii="Arial" w:eastAsia="Calibri" w:hAnsi="Arial" w:cs="Arial"/>
                <w:sz w:val="22"/>
                <w:szCs w:val="22"/>
              </w:rPr>
              <w:t>BAUS patient information sheets</w:t>
            </w:r>
          </w:p>
          <w:p w14:paraId="005DA585" w14:textId="024A0B41" w:rsidR="005C559F" w:rsidRPr="00233AEB" w:rsidRDefault="0090310F" w:rsidP="005C559F">
            <w:pPr>
              <w:rPr>
                <w:rFonts w:ascii="Arial" w:eastAsia="Calibri" w:hAnsi="Arial" w:cs="Arial"/>
                <w:sz w:val="22"/>
                <w:szCs w:val="22"/>
              </w:rPr>
            </w:pPr>
            <w:hyperlink r:id="rId21" w:history="1">
              <w:r w:rsidR="005C559F" w:rsidRPr="00DE2FAF">
                <w:rPr>
                  <w:rStyle w:val="Hyperlink"/>
                  <w:rFonts w:ascii="Arial" w:eastAsia="Calibri" w:hAnsi="Arial" w:cs="Arial"/>
                  <w:sz w:val="22"/>
                  <w:szCs w:val="22"/>
                </w:rPr>
                <w:t>https://www.baus.org.uk/_userfiles/pages/files/Patients/Leaflets/Stone%20diet.pdf</w:t>
              </w:r>
            </w:hyperlink>
          </w:p>
        </w:tc>
      </w:tr>
    </w:tbl>
    <w:p w14:paraId="740B621E" w14:textId="66F5901C" w:rsidR="00626943" w:rsidRDefault="00626943" w:rsidP="00423E33">
      <w:pPr>
        <w:pStyle w:val="Paragraph"/>
      </w:pPr>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4735" w14:textId="77777777" w:rsidR="002C3915" w:rsidRDefault="002C3915" w:rsidP="00446BEE">
      <w:r>
        <w:separator/>
      </w:r>
    </w:p>
    <w:p w14:paraId="1A10A4A2" w14:textId="77777777" w:rsidR="002C3915" w:rsidRDefault="002C3915"/>
  </w:endnote>
  <w:endnote w:type="continuationSeparator" w:id="0">
    <w:p w14:paraId="10EE5C82" w14:textId="77777777" w:rsidR="002C3915" w:rsidRDefault="002C3915" w:rsidP="00446BEE">
      <w:r>
        <w:continuationSeparator/>
      </w:r>
    </w:p>
    <w:p w14:paraId="235FB168" w14:textId="77777777" w:rsidR="002C3915" w:rsidRDefault="002C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3D13" w14:textId="77777777" w:rsidR="002C3915" w:rsidRDefault="002C391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074" w14:textId="77777777" w:rsidR="002C3915" w:rsidRDefault="002C3915">
    <w:pPr>
      <w:pStyle w:val="Footer"/>
      <w:jc w:val="right"/>
    </w:pPr>
    <w:r>
      <w:fldChar w:fldCharType="begin"/>
    </w:r>
    <w:r>
      <w:instrText xml:space="preserve"> PAGE   \* MERGEFORMAT </w:instrText>
    </w:r>
    <w:r>
      <w:fldChar w:fldCharType="separate"/>
    </w:r>
    <w:r>
      <w:rPr>
        <w:noProof/>
      </w:rPr>
      <w:t>1</w:t>
    </w:r>
    <w:r>
      <w:rPr>
        <w:noProof/>
      </w:rPr>
      <w:fldChar w:fldCharType="end"/>
    </w:r>
  </w:p>
  <w:p w14:paraId="5DDB8E4C" w14:textId="77777777" w:rsidR="002C3915" w:rsidRDefault="002C3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27F2" w14:textId="77777777" w:rsidR="002C3915" w:rsidRDefault="002C3915" w:rsidP="00446BEE">
      <w:r>
        <w:separator/>
      </w:r>
    </w:p>
    <w:p w14:paraId="305222B1" w14:textId="77777777" w:rsidR="002C3915" w:rsidRDefault="002C3915"/>
  </w:footnote>
  <w:footnote w:type="continuationSeparator" w:id="0">
    <w:p w14:paraId="3F6B08F4" w14:textId="77777777" w:rsidR="002C3915" w:rsidRDefault="002C3915" w:rsidP="00446BEE">
      <w:r>
        <w:continuationSeparator/>
      </w:r>
    </w:p>
    <w:p w14:paraId="0843485E" w14:textId="77777777" w:rsidR="002C3915" w:rsidRDefault="002C3915"/>
  </w:footnote>
  <w:footnote w:id="1">
    <w:p w14:paraId="4C69D2BD" w14:textId="76479AA6" w:rsidR="002C3915" w:rsidRDefault="002C3915">
      <w:pPr>
        <w:pStyle w:val="FootnoteText"/>
      </w:pPr>
      <w:r>
        <w:rPr>
          <w:rStyle w:val="FootnoteReference"/>
        </w:rPr>
        <w:footnoteRef/>
      </w:r>
      <w:r>
        <w:t xml:space="preserve"> Unless referenced as from another source, the information in this section is from </w:t>
      </w:r>
      <w:hyperlink r:id="rId1" w:history="1">
        <w:r w:rsidRPr="00335607">
          <w:rPr>
            <w:rStyle w:val="Hyperlink"/>
          </w:rPr>
          <w:t>Renal and ureteric stones</w:t>
        </w:r>
        <w:r>
          <w:rPr>
            <w:rStyle w:val="Hyperlink"/>
          </w:rPr>
          <w:t xml:space="preserve"> Final Scope</w:t>
        </w:r>
      </w:hyperlink>
      <w:r>
        <w:rPr>
          <w:color w:val="4F81BD"/>
        </w:rPr>
        <w:t xml:space="preserve"> </w:t>
      </w:r>
      <w:r w:rsidRPr="005E3EBB">
        <w:t xml:space="preserve">NICE guideline </w:t>
      </w:r>
      <w:r>
        <w:t>NG118 (2019)</w:t>
      </w:r>
    </w:p>
  </w:footnote>
  <w:footnote w:id="2">
    <w:p w14:paraId="7BD42EB1" w14:textId="634215A4" w:rsidR="002C3915" w:rsidRDefault="002C3915">
      <w:pPr>
        <w:pStyle w:val="FootnoteText"/>
      </w:pPr>
      <w:r>
        <w:rPr>
          <w:rStyle w:val="FootnoteReference"/>
        </w:rPr>
        <w:footnoteRef/>
      </w:r>
      <w:r>
        <w:t xml:space="preserve"> Kidney Care UK, </w:t>
      </w:r>
      <w:hyperlink r:id="rId2" w:history="1">
        <w:r w:rsidRPr="00392370">
          <w:rPr>
            <w:rStyle w:val="Hyperlink"/>
          </w:rPr>
          <w:t>Kidney stones</w:t>
        </w:r>
      </w:hyperlink>
      <w:r>
        <w:t xml:space="preserve"> (Accessed August 2019)</w:t>
      </w:r>
    </w:p>
  </w:footnote>
  <w:footnote w:id="3">
    <w:p w14:paraId="3D783B42" w14:textId="01D0149E" w:rsidR="002C3915" w:rsidRDefault="002C3915" w:rsidP="005B4A78">
      <w:pPr>
        <w:pStyle w:val="FootnoteText"/>
      </w:pPr>
      <w:r>
        <w:rPr>
          <w:rStyle w:val="FootnoteReference"/>
        </w:rPr>
        <w:footnoteRef/>
      </w:r>
      <w:r>
        <w:t xml:space="preserve"> NHS Digital, </w:t>
      </w:r>
      <w:hyperlink r:id="rId3" w:history="1">
        <w:r w:rsidRPr="005B4A78">
          <w:rPr>
            <w:rStyle w:val="Hyperlink"/>
          </w:rPr>
          <w:t>Hospital Admitted Patient Care Activity</w:t>
        </w:r>
      </w:hyperlink>
      <w:r>
        <w:t xml:space="preserve"> (Accessed August 2019)</w:t>
      </w:r>
    </w:p>
  </w:footnote>
  <w:footnote w:id="4">
    <w:p w14:paraId="16F63075" w14:textId="0D2BD2B3" w:rsidR="002C3915" w:rsidRDefault="002C3915">
      <w:pPr>
        <w:pStyle w:val="FootnoteText"/>
      </w:pPr>
      <w:r>
        <w:rPr>
          <w:rStyle w:val="FootnoteReference"/>
        </w:rPr>
        <w:footnoteRef/>
      </w:r>
      <w:r>
        <w:t xml:space="preserve"> NICE (2019) </w:t>
      </w:r>
      <w:hyperlink r:id="rId4" w:history="1">
        <w:r w:rsidRPr="00392370">
          <w:rPr>
            <w:rStyle w:val="Hyperlink"/>
          </w:rPr>
          <w:t>Renal and ureteric stones: assessment and management - information for the public</w:t>
        </w:r>
      </w:hyperlink>
    </w:p>
  </w:footnote>
  <w:footnote w:id="5">
    <w:p w14:paraId="062F2214" w14:textId="5A7BB7B4" w:rsidR="002C3915" w:rsidRPr="00B70375" w:rsidRDefault="002C3915" w:rsidP="00B70375">
      <w:pPr>
        <w:pStyle w:val="FootnoteText"/>
        <w:rPr>
          <w:rStyle w:val="Hyperlink"/>
        </w:rPr>
      </w:pPr>
      <w:r>
        <w:rPr>
          <w:rStyle w:val="FootnoteReference"/>
        </w:rPr>
        <w:footnoteRef/>
      </w:r>
      <w:r>
        <w:t xml:space="preserve"> Atkinson J, Davies R, Bateman K et al (2018) </w:t>
      </w:r>
      <w:r>
        <w:fldChar w:fldCharType="begin"/>
      </w:r>
      <w:r>
        <w:instrText xml:space="preserve"> HYPERLINK "https://onlinelibrary.wiley.com/doi/pdf/10.1111/iju.13752" </w:instrText>
      </w:r>
      <w:r>
        <w:fldChar w:fldCharType="separate"/>
      </w:r>
      <w:r w:rsidRPr="00B70375">
        <w:rPr>
          <w:rStyle w:val="Hyperlink"/>
        </w:rPr>
        <w:t>Access to CT-KUB within 24 hours to diagnose</w:t>
      </w:r>
    </w:p>
    <w:p w14:paraId="7C45C792" w14:textId="555FA926" w:rsidR="002C3915" w:rsidRDefault="002C3915" w:rsidP="00B70375">
      <w:pPr>
        <w:pStyle w:val="FootnoteText"/>
      </w:pPr>
      <w:r w:rsidRPr="00B70375">
        <w:rPr>
          <w:rStyle w:val="Hyperlink"/>
        </w:rPr>
        <w:t>Ureteric Calculi on index admission to emergency department of DGH</w:t>
      </w:r>
      <w:r>
        <w:fldChar w:fldCharType="end"/>
      </w:r>
      <w:r>
        <w:t xml:space="preserve"> </w:t>
      </w:r>
      <w:r w:rsidRPr="00B70375">
        <w:t>International Journal of Urology; 2018; vol. 25 (no. Supplement 1); 416</w:t>
      </w:r>
      <w:r>
        <w:t xml:space="preserve"> </w:t>
      </w:r>
    </w:p>
  </w:footnote>
  <w:footnote w:id="6">
    <w:p w14:paraId="103B1086" w14:textId="1D15D008" w:rsidR="002C3915" w:rsidRDefault="002C3915" w:rsidP="007D4DD6">
      <w:pPr>
        <w:pStyle w:val="FootnoteText"/>
      </w:pPr>
      <w:r>
        <w:rPr>
          <w:rStyle w:val="FootnoteReference"/>
        </w:rPr>
        <w:footnoteRef/>
      </w:r>
      <w:r>
        <w:t xml:space="preserve"> Getting It Right First Time Programme (2018) </w:t>
      </w:r>
      <w:hyperlink r:id="rId5" w:history="1">
        <w:r w:rsidRPr="007D4DD6">
          <w:rPr>
            <w:rStyle w:val="Hyperlink"/>
          </w:rPr>
          <w:t>National Specialty Report: Urology</w:t>
        </w:r>
      </w:hyperlink>
    </w:p>
  </w:footnote>
  <w:footnote w:id="7">
    <w:p w14:paraId="670C7598" w14:textId="4EE4B360" w:rsidR="002C3915" w:rsidRDefault="002C3915">
      <w:pPr>
        <w:pStyle w:val="FootnoteText"/>
      </w:pPr>
      <w:r>
        <w:rPr>
          <w:rStyle w:val="FootnoteReference"/>
        </w:rPr>
        <w:footnoteRef/>
      </w:r>
      <w:r>
        <w:t xml:space="preserve"> Unpublished data received from BAUS Endourology Section.</w:t>
      </w:r>
    </w:p>
  </w:footnote>
  <w:footnote w:id="8">
    <w:p w14:paraId="25A33DFD" w14:textId="60D34E04" w:rsidR="004105A0" w:rsidRDefault="004105A0">
      <w:pPr>
        <w:pStyle w:val="FootnoteText"/>
      </w:pPr>
      <w:r>
        <w:rPr>
          <w:rStyle w:val="FootnoteReference"/>
        </w:rPr>
        <w:footnoteRef/>
      </w:r>
      <w:r>
        <w:t xml:space="preserve"> Getting It Right First Time Programme (2018) </w:t>
      </w:r>
      <w:hyperlink r:id="rId6" w:history="1">
        <w:r w:rsidRPr="007D4DD6">
          <w:rPr>
            <w:rStyle w:val="Hyperlink"/>
          </w:rPr>
          <w:t>National Specialty Report: Urology</w:t>
        </w:r>
      </w:hyperlink>
    </w:p>
  </w:footnote>
  <w:footnote w:id="9">
    <w:p w14:paraId="28561E2F" w14:textId="77777777" w:rsidR="002C3915" w:rsidRDefault="002C3915" w:rsidP="002D19CD">
      <w:pPr>
        <w:pStyle w:val="FootnoteText"/>
      </w:pPr>
      <w:r>
        <w:rPr>
          <w:rStyle w:val="FootnoteReference"/>
        </w:rPr>
        <w:footnoteRef/>
      </w:r>
      <w:r>
        <w:t xml:space="preserve"> British Association of Urological Surgeons, </w:t>
      </w:r>
      <w:hyperlink r:id="rId7" w:history="1">
        <w:r w:rsidRPr="002D19CD">
          <w:rPr>
            <w:rStyle w:val="Hyperlink"/>
          </w:rPr>
          <w:t>PCNL Outcomes data</w:t>
        </w:r>
      </w:hyperlink>
      <w:r>
        <w:t xml:space="preserve"> [Accessed August 2019]</w:t>
      </w:r>
    </w:p>
  </w:footnote>
  <w:footnote w:id="10">
    <w:p w14:paraId="4686BC17" w14:textId="44C79D6F" w:rsidR="002C3915" w:rsidRDefault="002C3915">
      <w:pPr>
        <w:pStyle w:val="FootnoteText"/>
      </w:pPr>
      <w:r>
        <w:rPr>
          <w:rStyle w:val="FootnoteReference"/>
        </w:rPr>
        <w:footnoteRef/>
      </w:r>
      <w:r>
        <w:t xml:space="preserve"> </w:t>
      </w:r>
      <w:r>
        <w:t xml:space="preserve">Rukin N, Siddiqui Z, Chedgy E et al (2017) </w:t>
      </w:r>
      <w:hyperlink r:id="rId8" w:history="1">
        <w:r w:rsidRPr="00E6117D">
          <w:rPr>
            <w:rStyle w:val="Hyperlink"/>
          </w:rPr>
          <w:t>Trends in upper tract stone disease in England: evidence from the hospital episodes statistics (HES) database</w:t>
        </w:r>
      </w:hyperlink>
      <w:r>
        <w:t xml:space="preserve"> </w:t>
      </w:r>
      <w:r w:rsidRPr="008A2069">
        <w:t>Urol</w:t>
      </w:r>
      <w:r>
        <w:t>ogia</w:t>
      </w:r>
      <w:r w:rsidRPr="008A2069">
        <w:t xml:space="preserve"> Int</w:t>
      </w:r>
      <w:r>
        <w:t>ernational</w:t>
      </w:r>
      <w:r w:rsidRPr="008A2069">
        <w:t xml:space="preserve"> 2017;98:391-396</w:t>
      </w:r>
    </w:p>
  </w:footnote>
  <w:footnote w:id="11">
    <w:p w14:paraId="2ABB863D" w14:textId="2B264B90" w:rsidR="00207047" w:rsidRDefault="00207047">
      <w:pPr>
        <w:pStyle w:val="FootnoteText"/>
      </w:pPr>
      <w:r>
        <w:rPr>
          <w:rStyle w:val="FootnoteReference"/>
        </w:rPr>
        <w:footnoteRef/>
      </w:r>
      <w:r>
        <w:t xml:space="preserve"> Unpublished data received from Professor Sam McClinton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06CBA"/>
    <w:multiLevelType w:val="hybridMultilevel"/>
    <w:tmpl w:val="ABC64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621ED"/>
    <w:multiLevelType w:val="multilevel"/>
    <w:tmpl w:val="777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80E89"/>
    <w:multiLevelType w:val="hybridMultilevel"/>
    <w:tmpl w:val="0DD869D4"/>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941B1E"/>
    <w:multiLevelType w:val="multilevel"/>
    <w:tmpl w:val="0BC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1"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F7E0B5B"/>
    <w:multiLevelType w:val="multilevel"/>
    <w:tmpl w:val="A6B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D71F3"/>
    <w:multiLevelType w:val="multilevel"/>
    <w:tmpl w:val="85D8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93801"/>
    <w:multiLevelType w:val="multilevel"/>
    <w:tmpl w:val="7018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9"/>
  </w:num>
  <w:num w:numId="4">
    <w:abstractNumId w:val="12"/>
  </w:num>
  <w:num w:numId="5">
    <w:abstractNumId w:val="18"/>
  </w:num>
  <w:num w:numId="6">
    <w:abstractNumId w:val="2"/>
  </w:num>
  <w:num w:numId="7">
    <w:abstractNumId w:val="21"/>
  </w:num>
  <w:num w:numId="8">
    <w:abstractNumId w:val="15"/>
  </w:num>
  <w:num w:numId="9">
    <w:abstractNumId w:val="6"/>
  </w:num>
  <w:num w:numId="10">
    <w:abstractNumId w:val="13"/>
  </w:num>
  <w:num w:numId="11">
    <w:abstractNumId w:val="1"/>
  </w:num>
  <w:num w:numId="12">
    <w:abstractNumId w:val="7"/>
  </w:num>
  <w:num w:numId="13">
    <w:abstractNumId w:val="19"/>
  </w:num>
  <w:num w:numId="14">
    <w:abstractNumId w:val="10"/>
  </w:num>
  <w:num w:numId="15">
    <w:abstractNumId w:val="5"/>
  </w:num>
  <w:num w:numId="16">
    <w:abstractNumId w:val="0"/>
  </w:num>
  <w:num w:numId="17">
    <w:abstractNumId w:val="14"/>
  </w:num>
  <w:num w:numId="18">
    <w:abstractNumId w:val="20"/>
  </w:num>
  <w:num w:numId="19">
    <w:abstractNumId w:val="20"/>
  </w:num>
  <w:num w:numId="20">
    <w:abstractNumId w:val="22"/>
  </w:num>
  <w:num w:numId="21">
    <w:abstractNumId w:val="17"/>
  </w:num>
  <w:num w:numId="22">
    <w:abstractNumId w:val="23"/>
  </w:num>
  <w:num w:numId="23">
    <w:abstractNumId w:val="24"/>
  </w:num>
  <w:num w:numId="24">
    <w:abstractNumId w:val="11"/>
  </w:num>
  <w:num w:numId="25">
    <w:abstractNumId w:val="20"/>
  </w:num>
  <w:num w:numId="26">
    <w:abstractNumId w:val="16"/>
  </w:num>
  <w:num w:numId="27">
    <w:abstractNumId w:val="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7F230A"/>
    <w:rsid w:val="0000482A"/>
    <w:rsid w:val="00006509"/>
    <w:rsid w:val="00006C88"/>
    <w:rsid w:val="0001067F"/>
    <w:rsid w:val="000109F1"/>
    <w:rsid w:val="00011EBF"/>
    <w:rsid w:val="00012958"/>
    <w:rsid w:val="0001392D"/>
    <w:rsid w:val="00014ECB"/>
    <w:rsid w:val="000158CB"/>
    <w:rsid w:val="00021BF3"/>
    <w:rsid w:val="000227E2"/>
    <w:rsid w:val="000241C3"/>
    <w:rsid w:val="0002445C"/>
    <w:rsid w:val="00024D0A"/>
    <w:rsid w:val="00026B56"/>
    <w:rsid w:val="00027BC9"/>
    <w:rsid w:val="000304D4"/>
    <w:rsid w:val="00031277"/>
    <w:rsid w:val="0003252C"/>
    <w:rsid w:val="0004009D"/>
    <w:rsid w:val="00040A87"/>
    <w:rsid w:val="00040B71"/>
    <w:rsid w:val="00040E52"/>
    <w:rsid w:val="00043F74"/>
    <w:rsid w:val="000447EC"/>
    <w:rsid w:val="00046804"/>
    <w:rsid w:val="000478F6"/>
    <w:rsid w:val="0005195E"/>
    <w:rsid w:val="00053CB8"/>
    <w:rsid w:val="000549EA"/>
    <w:rsid w:val="00055399"/>
    <w:rsid w:val="00056D75"/>
    <w:rsid w:val="000604CD"/>
    <w:rsid w:val="00060C31"/>
    <w:rsid w:val="0006134B"/>
    <w:rsid w:val="000638D2"/>
    <w:rsid w:val="00064819"/>
    <w:rsid w:val="00065914"/>
    <w:rsid w:val="00070065"/>
    <w:rsid w:val="00070F91"/>
    <w:rsid w:val="000750FD"/>
    <w:rsid w:val="00075A7E"/>
    <w:rsid w:val="0007740A"/>
    <w:rsid w:val="000806D1"/>
    <w:rsid w:val="00080ED4"/>
    <w:rsid w:val="00081716"/>
    <w:rsid w:val="00081B14"/>
    <w:rsid w:val="00086C0D"/>
    <w:rsid w:val="00091BE3"/>
    <w:rsid w:val="00095B40"/>
    <w:rsid w:val="0009709D"/>
    <w:rsid w:val="000A007F"/>
    <w:rsid w:val="000A03CC"/>
    <w:rsid w:val="000A085C"/>
    <w:rsid w:val="000A1D82"/>
    <w:rsid w:val="000A1F76"/>
    <w:rsid w:val="000A2859"/>
    <w:rsid w:val="000A2F07"/>
    <w:rsid w:val="000A520C"/>
    <w:rsid w:val="000B52C1"/>
    <w:rsid w:val="000B588C"/>
    <w:rsid w:val="000B5939"/>
    <w:rsid w:val="000B76F8"/>
    <w:rsid w:val="000C01C6"/>
    <w:rsid w:val="000C135B"/>
    <w:rsid w:val="000C389A"/>
    <w:rsid w:val="000C3BD7"/>
    <w:rsid w:val="000C5484"/>
    <w:rsid w:val="000C6195"/>
    <w:rsid w:val="000D09A9"/>
    <w:rsid w:val="000D3561"/>
    <w:rsid w:val="000D48CF"/>
    <w:rsid w:val="000D6F9B"/>
    <w:rsid w:val="000D7F66"/>
    <w:rsid w:val="000E0B99"/>
    <w:rsid w:val="000E11B2"/>
    <w:rsid w:val="000E1203"/>
    <w:rsid w:val="000E17E6"/>
    <w:rsid w:val="000E34F7"/>
    <w:rsid w:val="000E401D"/>
    <w:rsid w:val="000E44DF"/>
    <w:rsid w:val="000E52DC"/>
    <w:rsid w:val="000E6AF0"/>
    <w:rsid w:val="000E7129"/>
    <w:rsid w:val="000F03DD"/>
    <w:rsid w:val="000F2919"/>
    <w:rsid w:val="000F2E75"/>
    <w:rsid w:val="000F32F7"/>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636D"/>
    <w:rsid w:val="00127583"/>
    <w:rsid w:val="001304F2"/>
    <w:rsid w:val="00130DF7"/>
    <w:rsid w:val="0013205D"/>
    <w:rsid w:val="00132C51"/>
    <w:rsid w:val="001330E8"/>
    <w:rsid w:val="0013437C"/>
    <w:rsid w:val="00134FDA"/>
    <w:rsid w:val="0013658C"/>
    <w:rsid w:val="00137DE8"/>
    <w:rsid w:val="00137F31"/>
    <w:rsid w:val="00140638"/>
    <w:rsid w:val="001406AD"/>
    <w:rsid w:val="00140C3A"/>
    <w:rsid w:val="00141CA0"/>
    <w:rsid w:val="00141D9C"/>
    <w:rsid w:val="001431DF"/>
    <w:rsid w:val="00144A29"/>
    <w:rsid w:val="00145BDB"/>
    <w:rsid w:val="001524B1"/>
    <w:rsid w:val="00153DAC"/>
    <w:rsid w:val="00154BEC"/>
    <w:rsid w:val="00155CA1"/>
    <w:rsid w:val="00156AB9"/>
    <w:rsid w:val="0016506B"/>
    <w:rsid w:val="00165C83"/>
    <w:rsid w:val="00171399"/>
    <w:rsid w:val="0017169E"/>
    <w:rsid w:val="00171A41"/>
    <w:rsid w:val="00173C82"/>
    <w:rsid w:val="001753FE"/>
    <w:rsid w:val="00180E49"/>
    <w:rsid w:val="001826C9"/>
    <w:rsid w:val="00184409"/>
    <w:rsid w:val="00185C85"/>
    <w:rsid w:val="00185E2D"/>
    <w:rsid w:val="001901BB"/>
    <w:rsid w:val="001902D3"/>
    <w:rsid w:val="00190C0B"/>
    <w:rsid w:val="00194435"/>
    <w:rsid w:val="001A0354"/>
    <w:rsid w:val="001A2072"/>
    <w:rsid w:val="001A230A"/>
    <w:rsid w:val="001A23E4"/>
    <w:rsid w:val="001A481C"/>
    <w:rsid w:val="001A528A"/>
    <w:rsid w:val="001A542E"/>
    <w:rsid w:val="001A5435"/>
    <w:rsid w:val="001A5F04"/>
    <w:rsid w:val="001A6F0E"/>
    <w:rsid w:val="001A7B53"/>
    <w:rsid w:val="001A7E1A"/>
    <w:rsid w:val="001B0B96"/>
    <w:rsid w:val="001B10FA"/>
    <w:rsid w:val="001B1B8D"/>
    <w:rsid w:val="001B4362"/>
    <w:rsid w:val="001B65B3"/>
    <w:rsid w:val="001B6602"/>
    <w:rsid w:val="001B69FF"/>
    <w:rsid w:val="001C0913"/>
    <w:rsid w:val="001C217D"/>
    <w:rsid w:val="001C4B2C"/>
    <w:rsid w:val="001C7AC5"/>
    <w:rsid w:val="001D2208"/>
    <w:rsid w:val="001D256F"/>
    <w:rsid w:val="001D3BAE"/>
    <w:rsid w:val="001D510F"/>
    <w:rsid w:val="001E16A1"/>
    <w:rsid w:val="001E3574"/>
    <w:rsid w:val="001E7267"/>
    <w:rsid w:val="001F060B"/>
    <w:rsid w:val="001F2FA2"/>
    <w:rsid w:val="001F3DAC"/>
    <w:rsid w:val="001F4FA4"/>
    <w:rsid w:val="001F50A4"/>
    <w:rsid w:val="001F5655"/>
    <w:rsid w:val="001F677F"/>
    <w:rsid w:val="001F6CD6"/>
    <w:rsid w:val="00202B9D"/>
    <w:rsid w:val="00203B2D"/>
    <w:rsid w:val="00203D17"/>
    <w:rsid w:val="0020691A"/>
    <w:rsid w:val="00207047"/>
    <w:rsid w:val="0021088A"/>
    <w:rsid w:val="00211174"/>
    <w:rsid w:val="00215A7F"/>
    <w:rsid w:val="00216965"/>
    <w:rsid w:val="00222D0F"/>
    <w:rsid w:val="002235F1"/>
    <w:rsid w:val="00223E15"/>
    <w:rsid w:val="00225730"/>
    <w:rsid w:val="00230249"/>
    <w:rsid w:val="002321B3"/>
    <w:rsid w:val="0023376A"/>
    <w:rsid w:val="00233AEB"/>
    <w:rsid w:val="00237E01"/>
    <w:rsid w:val="002408EA"/>
    <w:rsid w:val="0025206D"/>
    <w:rsid w:val="00254C0B"/>
    <w:rsid w:val="00255F77"/>
    <w:rsid w:val="002578E4"/>
    <w:rsid w:val="0026302E"/>
    <w:rsid w:val="00263614"/>
    <w:rsid w:val="00263A98"/>
    <w:rsid w:val="002641FE"/>
    <w:rsid w:val="00265A34"/>
    <w:rsid w:val="00266AD4"/>
    <w:rsid w:val="00267D60"/>
    <w:rsid w:val="00270605"/>
    <w:rsid w:val="00270E94"/>
    <w:rsid w:val="0027103E"/>
    <w:rsid w:val="00276267"/>
    <w:rsid w:val="00276A95"/>
    <w:rsid w:val="0027730A"/>
    <w:rsid w:val="00277952"/>
    <w:rsid w:val="00277A2D"/>
    <w:rsid w:val="00281A2D"/>
    <w:rsid w:val="00282250"/>
    <w:rsid w:val="00282C5B"/>
    <w:rsid w:val="00285183"/>
    <w:rsid w:val="002859DE"/>
    <w:rsid w:val="00290B5B"/>
    <w:rsid w:val="0029335E"/>
    <w:rsid w:val="00293B5A"/>
    <w:rsid w:val="00296096"/>
    <w:rsid w:val="00296372"/>
    <w:rsid w:val="002A0E3E"/>
    <w:rsid w:val="002A27FB"/>
    <w:rsid w:val="002A2D00"/>
    <w:rsid w:val="002A511E"/>
    <w:rsid w:val="002A52EE"/>
    <w:rsid w:val="002A5BF4"/>
    <w:rsid w:val="002A665B"/>
    <w:rsid w:val="002A6987"/>
    <w:rsid w:val="002A6CFB"/>
    <w:rsid w:val="002A77D6"/>
    <w:rsid w:val="002B019F"/>
    <w:rsid w:val="002B0CA5"/>
    <w:rsid w:val="002B28FB"/>
    <w:rsid w:val="002B5A6E"/>
    <w:rsid w:val="002B6109"/>
    <w:rsid w:val="002B61C4"/>
    <w:rsid w:val="002B6862"/>
    <w:rsid w:val="002B6A12"/>
    <w:rsid w:val="002C0CCC"/>
    <w:rsid w:val="002C13B0"/>
    <w:rsid w:val="002C1A7E"/>
    <w:rsid w:val="002C2447"/>
    <w:rsid w:val="002C264D"/>
    <w:rsid w:val="002C296A"/>
    <w:rsid w:val="002C3915"/>
    <w:rsid w:val="002C3AFC"/>
    <w:rsid w:val="002C783B"/>
    <w:rsid w:val="002C7BF6"/>
    <w:rsid w:val="002D0382"/>
    <w:rsid w:val="002D06B9"/>
    <w:rsid w:val="002D0A3B"/>
    <w:rsid w:val="002D19CD"/>
    <w:rsid w:val="002D1A12"/>
    <w:rsid w:val="002D22B1"/>
    <w:rsid w:val="002E0F65"/>
    <w:rsid w:val="002E1493"/>
    <w:rsid w:val="002E4721"/>
    <w:rsid w:val="002E7460"/>
    <w:rsid w:val="002E74A3"/>
    <w:rsid w:val="002F0519"/>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736"/>
    <w:rsid w:val="00307AD6"/>
    <w:rsid w:val="00311ED0"/>
    <w:rsid w:val="0031416A"/>
    <w:rsid w:val="003153EB"/>
    <w:rsid w:val="00315638"/>
    <w:rsid w:val="003167EB"/>
    <w:rsid w:val="00320158"/>
    <w:rsid w:val="00322631"/>
    <w:rsid w:val="0032263A"/>
    <w:rsid w:val="00322954"/>
    <w:rsid w:val="003240F0"/>
    <w:rsid w:val="00324607"/>
    <w:rsid w:val="00324CC5"/>
    <w:rsid w:val="00330692"/>
    <w:rsid w:val="00330A91"/>
    <w:rsid w:val="00333357"/>
    <w:rsid w:val="00334132"/>
    <w:rsid w:val="003341C8"/>
    <w:rsid w:val="003347DA"/>
    <w:rsid w:val="00334FF0"/>
    <w:rsid w:val="00335607"/>
    <w:rsid w:val="0034067D"/>
    <w:rsid w:val="003408D2"/>
    <w:rsid w:val="00341C22"/>
    <w:rsid w:val="003441F7"/>
    <w:rsid w:val="00346DBA"/>
    <w:rsid w:val="00354C5D"/>
    <w:rsid w:val="00356D08"/>
    <w:rsid w:val="0036152E"/>
    <w:rsid w:val="00362D0C"/>
    <w:rsid w:val="00363872"/>
    <w:rsid w:val="00363F9C"/>
    <w:rsid w:val="003648BE"/>
    <w:rsid w:val="00364E15"/>
    <w:rsid w:val="003708C8"/>
    <w:rsid w:val="00370B6D"/>
    <w:rsid w:val="003713FB"/>
    <w:rsid w:val="0037224D"/>
    <w:rsid w:val="003722FA"/>
    <w:rsid w:val="0037339D"/>
    <w:rsid w:val="00375903"/>
    <w:rsid w:val="00377277"/>
    <w:rsid w:val="00381592"/>
    <w:rsid w:val="003816D1"/>
    <w:rsid w:val="00382AFE"/>
    <w:rsid w:val="00384CFD"/>
    <w:rsid w:val="0038506C"/>
    <w:rsid w:val="003869B0"/>
    <w:rsid w:val="003906D7"/>
    <w:rsid w:val="0039079F"/>
    <w:rsid w:val="00391E95"/>
    <w:rsid w:val="00391E9F"/>
    <w:rsid w:val="00392370"/>
    <w:rsid w:val="003926B7"/>
    <w:rsid w:val="00395ACE"/>
    <w:rsid w:val="003967B5"/>
    <w:rsid w:val="003A093D"/>
    <w:rsid w:val="003A09D5"/>
    <w:rsid w:val="003A1825"/>
    <w:rsid w:val="003A27D7"/>
    <w:rsid w:val="003A6AA8"/>
    <w:rsid w:val="003A6FF6"/>
    <w:rsid w:val="003A746A"/>
    <w:rsid w:val="003B109E"/>
    <w:rsid w:val="003B1747"/>
    <w:rsid w:val="003B1C33"/>
    <w:rsid w:val="003B3D96"/>
    <w:rsid w:val="003B49F8"/>
    <w:rsid w:val="003B5177"/>
    <w:rsid w:val="003B6DDC"/>
    <w:rsid w:val="003B7567"/>
    <w:rsid w:val="003C50D4"/>
    <w:rsid w:val="003C527B"/>
    <w:rsid w:val="003C6E82"/>
    <w:rsid w:val="003C6FAD"/>
    <w:rsid w:val="003C7AAF"/>
    <w:rsid w:val="003D3532"/>
    <w:rsid w:val="003D3CB7"/>
    <w:rsid w:val="003D6F5F"/>
    <w:rsid w:val="003E073D"/>
    <w:rsid w:val="003E12B1"/>
    <w:rsid w:val="003E1C13"/>
    <w:rsid w:val="003E1FE5"/>
    <w:rsid w:val="003E4281"/>
    <w:rsid w:val="003E436E"/>
    <w:rsid w:val="003E4BA1"/>
    <w:rsid w:val="003E4C4B"/>
    <w:rsid w:val="003E575D"/>
    <w:rsid w:val="003E58F8"/>
    <w:rsid w:val="003F0182"/>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75B6"/>
    <w:rsid w:val="004105A0"/>
    <w:rsid w:val="00411201"/>
    <w:rsid w:val="0041660E"/>
    <w:rsid w:val="0041736E"/>
    <w:rsid w:val="00420333"/>
    <w:rsid w:val="00420952"/>
    <w:rsid w:val="0042183E"/>
    <w:rsid w:val="00423E33"/>
    <w:rsid w:val="004240BC"/>
    <w:rsid w:val="0042628F"/>
    <w:rsid w:val="00427135"/>
    <w:rsid w:val="00427B4B"/>
    <w:rsid w:val="00431DE3"/>
    <w:rsid w:val="0043294A"/>
    <w:rsid w:val="00432BBB"/>
    <w:rsid w:val="004330FF"/>
    <w:rsid w:val="004338C5"/>
    <w:rsid w:val="00435DD2"/>
    <w:rsid w:val="00435EA3"/>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142F"/>
    <w:rsid w:val="00454048"/>
    <w:rsid w:val="00456881"/>
    <w:rsid w:val="00460410"/>
    <w:rsid w:val="00462FAD"/>
    <w:rsid w:val="00463379"/>
    <w:rsid w:val="00463BD8"/>
    <w:rsid w:val="00464586"/>
    <w:rsid w:val="00464E28"/>
    <w:rsid w:val="00465C36"/>
    <w:rsid w:val="00466B16"/>
    <w:rsid w:val="00471920"/>
    <w:rsid w:val="004730BA"/>
    <w:rsid w:val="00473BB1"/>
    <w:rsid w:val="00474F01"/>
    <w:rsid w:val="00476394"/>
    <w:rsid w:val="004773EE"/>
    <w:rsid w:val="00481E56"/>
    <w:rsid w:val="004827A8"/>
    <w:rsid w:val="00483981"/>
    <w:rsid w:val="00485987"/>
    <w:rsid w:val="00491211"/>
    <w:rsid w:val="00491FE4"/>
    <w:rsid w:val="0049289D"/>
    <w:rsid w:val="00494C8B"/>
    <w:rsid w:val="00496BE3"/>
    <w:rsid w:val="00497DA0"/>
    <w:rsid w:val="004A2A32"/>
    <w:rsid w:val="004A325A"/>
    <w:rsid w:val="004A44A3"/>
    <w:rsid w:val="004A5F0D"/>
    <w:rsid w:val="004A63FD"/>
    <w:rsid w:val="004A6456"/>
    <w:rsid w:val="004A6C8B"/>
    <w:rsid w:val="004A6FCF"/>
    <w:rsid w:val="004A75DC"/>
    <w:rsid w:val="004A7BD3"/>
    <w:rsid w:val="004B00AC"/>
    <w:rsid w:val="004B37BC"/>
    <w:rsid w:val="004B4112"/>
    <w:rsid w:val="004B4DEE"/>
    <w:rsid w:val="004B5922"/>
    <w:rsid w:val="004B60A2"/>
    <w:rsid w:val="004B62C1"/>
    <w:rsid w:val="004C14F4"/>
    <w:rsid w:val="004C1561"/>
    <w:rsid w:val="004C1AB9"/>
    <w:rsid w:val="004C3051"/>
    <w:rsid w:val="004C38A3"/>
    <w:rsid w:val="004C3F55"/>
    <w:rsid w:val="004C4168"/>
    <w:rsid w:val="004C7591"/>
    <w:rsid w:val="004D410E"/>
    <w:rsid w:val="004D472D"/>
    <w:rsid w:val="004D4FC4"/>
    <w:rsid w:val="004D7EF1"/>
    <w:rsid w:val="004E072F"/>
    <w:rsid w:val="004E1FD4"/>
    <w:rsid w:val="004E3A88"/>
    <w:rsid w:val="004E6D91"/>
    <w:rsid w:val="004E731F"/>
    <w:rsid w:val="004F2078"/>
    <w:rsid w:val="004F457A"/>
    <w:rsid w:val="00500434"/>
    <w:rsid w:val="005025A1"/>
    <w:rsid w:val="00502C4B"/>
    <w:rsid w:val="005048FB"/>
    <w:rsid w:val="00504F90"/>
    <w:rsid w:val="005061F9"/>
    <w:rsid w:val="00507AF8"/>
    <w:rsid w:val="0051111E"/>
    <w:rsid w:val="0051622C"/>
    <w:rsid w:val="00516718"/>
    <w:rsid w:val="00517CA6"/>
    <w:rsid w:val="0052055D"/>
    <w:rsid w:val="0052161D"/>
    <w:rsid w:val="0052582E"/>
    <w:rsid w:val="00526CC1"/>
    <w:rsid w:val="00527EE4"/>
    <w:rsid w:val="00534339"/>
    <w:rsid w:val="00534AD1"/>
    <w:rsid w:val="0054323C"/>
    <w:rsid w:val="00543FBB"/>
    <w:rsid w:val="005456D5"/>
    <w:rsid w:val="00545FF6"/>
    <w:rsid w:val="00546183"/>
    <w:rsid w:val="005478A0"/>
    <w:rsid w:val="00547BC2"/>
    <w:rsid w:val="00547D49"/>
    <w:rsid w:val="005507C8"/>
    <w:rsid w:val="00553560"/>
    <w:rsid w:val="00554721"/>
    <w:rsid w:val="00556203"/>
    <w:rsid w:val="00557616"/>
    <w:rsid w:val="00557EBB"/>
    <w:rsid w:val="00562D25"/>
    <w:rsid w:val="0056511C"/>
    <w:rsid w:val="00565C8C"/>
    <w:rsid w:val="00566CA5"/>
    <w:rsid w:val="005702EE"/>
    <w:rsid w:val="005733C7"/>
    <w:rsid w:val="00574385"/>
    <w:rsid w:val="00580D6D"/>
    <w:rsid w:val="00581557"/>
    <w:rsid w:val="00582D94"/>
    <w:rsid w:val="00583D78"/>
    <w:rsid w:val="00586982"/>
    <w:rsid w:val="00587E96"/>
    <w:rsid w:val="005921BE"/>
    <w:rsid w:val="005929B1"/>
    <w:rsid w:val="00594085"/>
    <w:rsid w:val="00596195"/>
    <w:rsid w:val="005966BC"/>
    <w:rsid w:val="005A19AE"/>
    <w:rsid w:val="005A46AA"/>
    <w:rsid w:val="005A49EA"/>
    <w:rsid w:val="005A4F22"/>
    <w:rsid w:val="005A5841"/>
    <w:rsid w:val="005A61AD"/>
    <w:rsid w:val="005B4A78"/>
    <w:rsid w:val="005B4E96"/>
    <w:rsid w:val="005B6059"/>
    <w:rsid w:val="005C0A82"/>
    <w:rsid w:val="005C0E53"/>
    <w:rsid w:val="005C179D"/>
    <w:rsid w:val="005C559F"/>
    <w:rsid w:val="005C6004"/>
    <w:rsid w:val="005C6281"/>
    <w:rsid w:val="005C6F10"/>
    <w:rsid w:val="005D09B7"/>
    <w:rsid w:val="005D35D7"/>
    <w:rsid w:val="005D36DD"/>
    <w:rsid w:val="005D3CF1"/>
    <w:rsid w:val="005D3F1C"/>
    <w:rsid w:val="005D5F66"/>
    <w:rsid w:val="005D769A"/>
    <w:rsid w:val="005D78A9"/>
    <w:rsid w:val="005E2A71"/>
    <w:rsid w:val="005E2BA0"/>
    <w:rsid w:val="005E35F8"/>
    <w:rsid w:val="005E4983"/>
    <w:rsid w:val="005E5E3B"/>
    <w:rsid w:val="005E6F8F"/>
    <w:rsid w:val="005F3784"/>
    <w:rsid w:val="005F76B7"/>
    <w:rsid w:val="00600D6F"/>
    <w:rsid w:val="0060307C"/>
    <w:rsid w:val="00603263"/>
    <w:rsid w:val="00604500"/>
    <w:rsid w:val="00604751"/>
    <w:rsid w:val="00607B3D"/>
    <w:rsid w:val="006110B7"/>
    <w:rsid w:val="006144F6"/>
    <w:rsid w:val="00620648"/>
    <w:rsid w:val="0062116C"/>
    <w:rsid w:val="00621435"/>
    <w:rsid w:val="0062214D"/>
    <w:rsid w:val="00623619"/>
    <w:rsid w:val="00626943"/>
    <w:rsid w:val="00627895"/>
    <w:rsid w:val="00627E87"/>
    <w:rsid w:val="00627EAB"/>
    <w:rsid w:val="006316DB"/>
    <w:rsid w:val="0063210C"/>
    <w:rsid w:val="00632C95"/>
    <w:rsid w:val="00633382"/>
    <w:rsid w:val="006340F4"/>
    <w:rsid w:val="00634347"/>
    <w:rsid w:val="0064039D"/>
    <w:rsid w:val="00641033"/>
    <w:rsid w:val="0064504B"/>
    <w:rsid w:val="00645BEA"/>
    <w:rsid w:val="006504BC"/>
    <w:rsid w:val="00650AE7"/>
    <w:rsid w:val="00652CCB"/>
    <w:rsid w:val="006541B3"/>
    <w:rsid w:val="006544D3"/>
    <w:rsid w:val="006557CF"/>
    <w:rsid w:val="00660953"/>
    <w:rsid w:val="006616C7"/>
    <w:rsid w:val="00661C18"/>
    <w:rsid w:val="00665120"/>
    <w:rsid w:val="006700FC"/>
    <w:rsid w:val="006711C4"/>
    <w:rsid w:val="00671949"/>
    <w:rsid w:val="00671A65"/>
    <w:rsid w:val="00672367"/>
    <w:rsid w:val="00673A7B"/>
    <w:rsid w:val="00673ED1"/>
    <w:rsid w:val="006744FF"/>
    <w:rsid w:val="0067455E"/>
    <w:rsid w:val="006748D3"/>
    <w:rsid w:val="0067493D"/>
    <w:rsid w:val="00677032"/>
    <w:rsid w:val="0068026C"/>
    <w:rsid w:val="00680437"/>
    <w:rsid w:val="006809E4"/>
    <w:rsid w:val="0068121A"/>
    <w:rsid w:val="00683301"/>
    <w:rsid w:val="006844BA"/>
    <w:rsid w:val="006844CB"/>
    <w:rsid w:val="006854A8"/>
    <w:rsid w:val="00685A26"/>
    <w:rsid w:val="00691454"/>
    <w:rsid w:val="00691DC0"/>
    <w:rsid w:val="006921E1"/>
    <w:rsid w:val="006929A2"/>
    <w:rsid w:val="00695209"/>
    <w:rsid w:val="006A055D"/>
    <w:rsid w:val="006A548B"/>
    <w:rsid w:val="006A72B6"/>
    <w:rsid w:val="006B2BBF"/>
    <w:rsid w:val="006B56CF"/>
    <w:rsid w:val="006B5E3E"/>
    <w:rsid w:val="006C0F6B"/>
    <w:rsid w:val="006C3BE4"/>
    <w:rsid w:val="006C45F8"/>
    <w:rsid w:val="006C6335"/>
    <w:rsid w:val="006C664E"/>
    <w:rsid w:val="006D2029"/>
    <w:rsid w:val="006D3B0D"/>
    <w:rsid w:val="006D3F19"/>
    <w:rsid w:val="006D4113"/>
    <w:rsid w:val="006D50F4"/>
    <w:rsid w:val="006D55A6"/>
    <w:rsid w:val="006E1B96"/>
    <w:rsid w:val="006E3831"/>
    <w:rsid w:val="006E608E"/>
    <w:rsid w:val="006E74CA"/>
    <w:rsid w:val="006E7A31"/>
    <w:rsid w:val="006F0D9A"/>
    <w:rsid w:val="006F1C1B"/>
    <w:rsid w:val="006F21DF"/>
    <w:rsid w:val="006F298C"/>
    <w:rsid w:val="006F398A"/>
    <w:rsid w:val="006F7937"/>
    <w:rsid w:val="006F7D33"/>
    <w:rsid w:val="00707F29"/>
    <w:rsid w:val="00710A3E"/>
    <w:rsid w:val="00711385"/>
    <w:rsid w:val="007134DF"/>
    <w:rsid w:val="007179D5"/>
    <w:rsid w:val="00717A3E"/>
    <w:rsid w:val="007203AD"/>
    <w:rsid w:val="00720DF9"/>
    <w:rsid w:val="007228AE"/>
    <w:rsid w:val="007232CC"/>
    <w:rsid w:val="007250E7"/>
    <w:rsid w:val="00726D27"/>
    <w:rsid w:val="00727A9D"/>
    <w:rsid w:val="00730CE3"/>
    <w:rsid w:val="007318B0"/>
    <w:rsid w:val="00734970"/>
    <w:rsid w:val="00734EB2"/>
    <w:rsid w:val="00736348"/>
    <w:rsid w:val="0073638F"/>
    <w:rsid w:val="00741501"/>
    <w:rsid w:val="007419FC"/>
    <w:rsid w:val="00743428"/>
    <w:rsid w:val="007438DF"/>
    <w:rsid w:val="00744CBD"/>
    <w:rsid w:val="00744E23"/>
    <w:rsid w:val="007453FD"/>
    <w:rsid w:val="00746901"/>
    <w:rsid w:val="00750BD6"/>
    <w:rsid w:val="0075162E"/>
    <w:rsid w:val="00752671"/>
    <w:rsid w:val="00756656"/>
    <w:rsid w:val="00757102"/>
    <w:rsid w:val="0075749E"/>
    <w:rsid w:val="00761031"/>
    <w:rsid w:val="00764BB0"/>
    <w:rsid w:val="00766AE9"/>
    <w:rsid w:val="00766DDE"/>
    <w:rsid w:val="00767ABA"/>
    <w:rsid w:val="00770B9A"/>
    <w:rsid w:val="00776773"/>
    <w:rsid w:val="00780D9B"/>
    <w:rsid w:val="007813F8"/>
    <w:rsid w:val="00781987"/>
    <w:rsid w:val="00781F53"/>
    <w:rsid w:val="00782AD8"/>
    <w:rsid w:val="00784333"/>
    <w:rsid w:val="00784DD5"/>
    <w:rsid w:val="00786120"/>
    <w:rsid w:val="0079042A"/>
    <w:rsid w:val="0079179D"/>
    <w:rsid w:val="00791A28"/>
    <w:rsid w:val="00791E62"/>
    <w:rsid w:val="0079479A"/>
    <w:rsid w:val="007972D5"/>
    <w:rsid w:val="007A00FC"/>
    <w:rsid w:val="007A1B0A"/>
    <w:rsid w:val="007A34BC"/>
    <w:rsid w:val="007A4E4B"/>
    <w:rsid w:val="007B0D6A"/>
    <w:rsid w:val="007B1BCD"/>
    <w:rsid w:val="007B1C0E"/>
    <w:rsid w:val="007B272A"/>
    <w:rsid w:val="007B4872"/>
    <w:rsid w:val="007B54CD"/>
    <w:rsid w:val="007B5F92"/>
    <w:rsid w:val="007B624F"/>
    <w:rsid w:val="007B6A17"/>
    <w:rsid w:val="007C2022"/>
    <w:rsid w:val="007C3BFB"/>
    <w:rsid w:val="007C5211"/>
    <w:rsid w:val="007C5853"/>
    <w:rsid w:val="007C5B38"/>
    <w:rsid w:val="007C6EB9"/>
    <w:rsid w:val="007D08FA"/>
    <w:rsid w:val="007D0A6D"/>
    <w:rsid w:val="007D3112"/>
    <w:rsid w:val="007D333F"/>
    <w:rsid w:val="007D3BBE"/>
    <w:rsid w:val="007D4B1A"/>
    <w:rsid w:val="007D4DD6"/>
    <w:rsid w:val="007D69CE"/>
    <w:rsid w:val="007D7479"/>
    <w:rsid w:val="007D7952"/>
    <w:rsid w:val="007E4546"/>
    <w:rsid w:val="007F0768"/>
    <w:rsid w:val="007F158B"/>
    <w:rsid w:val="007F182C"/>
    <w:rsid w:val="007F1B53"/>
    <w:rsid w:val="007F230A"/>
    <w:rsid w:val="007F2999"/>
    <w:rsid w:val="00800CD8"/>
    <w:rsid w:val="00801EA9"/>
    <w:rsid w:val="00802592"/>
    <w:rsid w:val="00802DA3"/>
    <w:rsid w:val="00804D70"/>
    <w:rsid w:val="00805042"/>
    <w:rsid w:val="00805797"/>
    <w:rsid w:val="00805EF0"/>
    <w:rsid w:val="008068ED"/>
    <w:rsid w:val="00810720"/>
    <w:rsid w:val="00810EAB"/>
    <w:rsid w:val="00811F99"/>
    <w:rsid w:val="00813E13"/>
    <w:rsid w:val="00820719"/>
    <w:rsid w:val="0082220F"/>
    <w:rsid w:val="00824B73"/>
    <w:rsid w:val="00825151"/>
    <w:rsid w:val="00825BBE"/>
    <w:rsid w:val="00825D3C"/>
    <w:rsid w:val="00825D5B"/>
    <w:rsid w:val="00826EB6"/>
    <w:rsid w:val="00833514"/>
    <w:rsid w:val="00834011"/>
    <w:rsid w:val="00835D8B"/>
    <w:rsid w:val="00837B47"/>
    <w:rsid w:val="008419F4"/>
    <w:rsid w:val="0084267D"/>
    <w:rsid w:val="008434B1"/>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2097"/>
    <w:rsid w:val="00873000"/>
    <w:rsid w:val="00873312"/>
    <w:rsid w:val="008743DD"/>
    <w:rsid w:val="00875376"/>
    <w:rsid w:val="008758C9"/>
    <w:rsid w:val="00875B8D"/>
    <w:rsid w:val="008804D8"/>
    <w:rsid w:val="00882F63"/>
    <w:rsid w:val="00884740"/>
    <w:rsid w:val="00884CF8"/>
    <w:rsid w:val="0088696C"/>
    <w:rsid w:val="00887284"/>
    <w:rsid w:val="008922EB"/>
    <w:rsid w:val="00893AF1"/>
    <w:rsid w:val="00894225"/>
    <w:rsid w:val="00895E47"/>
    <w:rsid w:val="0089726A"/>
    <w:rsid w:val="0089737A"/>
    <w:rsid w:val="00897382"/>
    <w:rsid w:val="008A009C"/>
    <w:rsid w:val="008A2069"/>
    <w:rsid w:val="008A4B1B"/>
    <w:rsid w:val="008A4E56"/>
    <w:rsid w:val="008A5E6E"/>
    <w:rsid w:val="008A60D2"/>
    <w:rsid w:val="008B1A94"/>
    <w:rsid w:val="008B1C4C"/>
    <w:rsid w:val="008B2D89"/>
    <w:rsid w:val="008C0762"/>
    <w:rsid w:val="008C17FA"/>
    <w:rsid w:val="008C4704"/>
    <w:rsid w:val="008C4998"/>
    <w:rsid w:val="008C5661"/>
    <w:rsid w:val="008C6A7E"/>
    <w:rsid w:val="008C743A"/>
    <w:rsid w:val="008C7C37"/>
    <w:rsid w:val="008D0068"/>
    <w:rsid w:val="008D318F"/>
    <w:rsid w:val="008D52FD"/>
    <w:rsid w:val="008D5584"/>
    <w:rsid w:val="008D578A"/>
    <w:rsid w:val="008D5869"/>
    <w:rsid w:val="008D5A64"/>
    <w:rsid w:val="008D5B3C"/>
    <w:rsid w:val="008E2D91"/>
    <w:rsid w:val="008E37F5"/>
    <w:rsid w:val="008E3962"/>
    <w:rsid w:val="008E658D"/>
    <w:rsid w:val="008F3881"/>
    <w:rsid w:val="008F3AF0"/>
    <w:rsid w:val="008F7740"/>
    <w:rsid w:val="009008F5"/>
    <w:rsid w:val="00900CA6"/>
    <w:rsid w:val="0090118F"/>
    <w:rsid w:val="00902E8A"/>
    <w:rsid w:val="0090310F"/>
    <w:rsid w:val="0090418A"/>
    <w:rsid w:val="00905401"/>
    <w:rsid w:val="00905DCF"/>
    <w:rsid w:val="00905E96"/>
    <w:rsid w:val="00906005"/>
    <w:rsid w:val="00910C02"/>
    <w:rsid w:val="0091193E"/>
    <w:rsid w:val="00911DF5"/>
    <w:rsid w:val="0091423E"/>
    <w:rsid w:val="009142F4"/>
    <w:rsid w:val="00920194"/>
    <w:rsid w:val="009220E2"/>
    <w:rsid w:val="00925F15"/>
    <w:rsid w:val="00930054"/>
    <w:rsid w:val="00933944"/>
    <w:rsid w:val="00936328"/>
    <w:rsid w:val="0094289B"/>
    <w:rsid w:val="00946E7C"/>
    <w:rsid w:val="00947FEE"/>
    <w:rsid w:val="00951AE1"/>
    <w:rsid w:val="00952B1F"/>
    <w:rsid w:val="0095467B"/>
    <w:rsid w:val="00963AAC"/>
    <w:rsid w:val="009656CF"/>
    <w:rsid w:val="00965823"/>
    <w:rsid w:val="009665B0"/>
    <w:rsid w:val="009716C3"/>
    <w:rsid w:val="0097347B"/>
    <w:rsid w:val="00974880"/>
    <w:rsid w:val="00974CAD"/>
    <w:rsid w:val="0097542C"/>
    <w:rsid w:val="00976FC3"/>
    <w:rsid w:val="0098213B"/>
    <w:rsid w:val="0098521B"/>
    <w:rsid w:val="0098542D"/>
    <w:rsid w:val="00986845"/>
    <w:rsid w:val="0098686E"/>
    <w:rsid w:val="00986940"/>
    <w:rsid w:val="00987796"/>
    <w:rsid w:val="0099043B"/>
    <w:rsid w:val="009916B0"/>
    <w:rsid w:val="009920D7"/>
    <w:rsid w:val="0099376B"/>
    <w:rsid w:val="00993F21"/>
    <w:rsid w:val="00996A73"/>
    <w:rsid w:val="00997BA0"/>
    <w:rsid w:val="009B3412"/>
    <w:rsid w:val="009B3595"/>
    <w:rsid w:val="009B362C"/>
    <w:rsid w:val="009B7C78"/>
    <w:rsid w:val="009C1687"/>
    <w:rsid w:val="009C2E4C"/>
    <w:rsid w:val="009C32E3"/>
    <w:rsid w:val="009C64CF"/>
    <w:rsid w:val="009C7E6B"/>
    <w:rsid w:val="009D090E"/>
    <w:rsid w:val="009D22AB"/>
    <w:rsid w:val="009D48E3"/>
    <w:rsid w:val="009D4BF0"/>
    <w:rsid w:val="009D599B"/>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5C68"/>
    <w:rsid w:val="009F672A"/>
    <w:rsid w:val="009F7239"/>
    <w:rsid w:val="00A01E1E"/>
    <w:rsid w:val="00A02CE9"/>
    <w:rsid w:val="00A04FA0"/>
    <w:rsid w:val="00A077E2"/>
    <w:rsid w:val="00A07A23"/>
    <w:rsid w:val="00A07F46"/>
    <w:rsid w:val="00A101E6"/>
    <w:rsid w:val="00A12F17"/>
    <w:rsid w:val="00A1559F"/>
    <w:rsid w:val="00A15A1F"/>
    <w:rsid w:val="00A160CE"/>
    <w:rsid w:val="00A16278"/>
    <w:rsid w:val="00A16DB5"/>
    <w:rsid w:val="00A16E20"/>
    <w:rsid w:val="00A17B22"/>
    <w:rsid w:val="00A203A3"/>
    <w:rsid w:val="00A22122"/>
    <w:rsid w:val="00A3262D"/>
    <w:rsid w:val="00A3325A"/>
    <w:rsid w:val="00A33FAA"/>
    <w:rsid w:val="00A35B7C"/>
    <w:rsid w:val="00A36E0F"/>
    <w:rsid w:val="00A37756"/>
    <w:rsid w:val="00A37E21"/>
    <w:rsid w:val="00A43011"/>
    <w:rsid w:val="00A452C1"/>
    <w:rsid w:val="00A45F29"/>
    <w:rsid w:val="00A51C09"/>
    <w:rsid w:val="00A52F43"/>
    <w:rsid w:val="00A53184"/>
    <w:rsid w:val="00A53A6F"/>
    <w:rsid w:val="00A54AAE"/>
    <w:rsid w:val="00A56E08"/>
    <w:rsid w:val="00A57108"/>
    <w:rsid w:val="00A61103"/>
    <w:rsid w:val="00A64E85"/>
    <w:rsid w:val="00A66C8F"/>
    <w:rsid w:val="00A707F7"/>
    <w:rsid w:val="00A7163E"/>
    <w:rsid w:val="00A7294F"/>
    <w:rsid w:val="00A739AE"/>
    <w:rsid w:val="00A73D39"/>
    <w:rsid w:val="00A74C02"/>
    <w:rsid w:val="00A756BB"/>
    <w:rsid w:val="00A7636E"/>
    <w:rsid w:val="00A76F0E"/>
    <w:rsid w:val="00A80CFB"/>
    <w:rsid w:val="00A813F7"/>
    <w:rsid w:val="00A82B58"/>
    <w:rsid w:val="00A84F04"/>
    <w:rsid w:val="00A85E44"/>
    <w:rsid w:val="00A86F8A"/>
    <w:rsid w:val="00A917F1"/>
    <w:rsid w:val="00A91A1E"/>
    <w:rsid w:val="00A93478"/>
    <w:rsid w:val="00A94394"/>
    <w:rsid w:val="00A973CD"/>
    <w:rsid w:val="00AA0ED3"/>
    <w:rsid w:val="00AA283E"/>
    <w:rsid w:val="00AA367B"/>
    <w:rsid w:val="00AA3A48"/>
    <w:rsid w:val="00AA4379"/>
    <w:rsid w:val="00AA60BA"/>
    <w:rsid w:val="00AA77B8"/>
    <w:rsid w:val="00AA7AF0"/>
    <w:rsid w:val="00AB14D0"/>
    <w:rsid w:val="00AB16C8"/>
    <w:rsid w:val="00AB39FB"/>
    <w:rsid w:val="00AB415F"/>
    <w:rsid w:val="00AC1F93"/>
    <w:rsid w:val="00AC24CF"/>
    <w:rsid w:val="00AC3F23"/>
    <w:rsid w:val="00AC3FAC"/>
    <w:rsid w:val="00AC4E68"/>
    <w:rsid w:val="00AC7689"/>
    <w:rsid w:val="00AD0F7C"/>
    <w:rsid w:val="00AD16DA"/>
    <w:rsid w:val="00AD1E86"/>
    <w:rsid w:val="00AD39C7"/>
    <w:rsid w:val="00AD3F91"/>
    <w:rsid w:val="00AD4256"/>
    <w:rsid w:val="00AD4815"/>
    <w:rsid w:val="00AD5959"/>
    <w:rsid w:val="00AD7675"/>
    <w:rsid w:val="00AD7CFC"/>
    <w:rsid w:val="00AE0BDD"/>
    <w:rsid w:val="00AE15B1"/>
    <w:rsid w:val="00AE19AA"/>
    <w:rsid w:val="00AE42E7"/>
    <w:rsid w:val="00AF05D2"/>
    <w:rsid w:val="00AF108A"/>
    <w:rsid w:val="00AF13BF"/>
    <w:rsid w:val="00AF1BE4"/>
    <w:rsid w:val="00AF2CF3"/>
    <w:rsid w:val="00AF3886"/>
    <w:rsid w:val="00AF6728"/>
    <w:rsid w:val="00AF76D1"/>
    <w:rsid w:val="00B02E55"/>
    <w:rsid w:val="00B03B57"/>
    <w:rsid w:val="00B048D2"/>
    <w:rsid w:val="00B04F34"/>
    <w:rsid w:val="00B05B51"/>
    <w:rsid w:val="00B11FB2"/>
    <w:rsid w:val="00B12A48"/>
    <w:rsid w:val="00B176A7"/>
    <w:rsid w:val="00B2002C"/>
    <w:rsid w:val="00B20FA1"/>
    <w:rsid w:val="00B21A3C"/>
    <w:rsid w:val="00B25C9D"/>
    <w:rsid w:val="00B27357"/>
    <w:rsid w:val="00B274E0"/>
    <w:rsid w:val="00B30BFA"/>
    <w:rsid w:val="00B342A0"/>
    <w:rsid w:val="00B345AC"/>
    <w:rsid w:val="00B34674"/>
    <w:rsid w:val="00B41247"/>
    <w:rsid w:val="00B419E2"/>
    <w:rsid w:val="00B42A05"/>
    <w:rsid w:val="00B42E8E"/>
    <w:rsid w:val="00B45FE5"/>
    <w:rsid w:val="00B46013"/>
    <w:rsid w:val="00B46C13"/>
    <w:rsid w:val="00B47D3C"/>
    <w:rsid w:val="00B54904"/>
    <w:rsid w:val="00B621C7"/>
    <w:rsid w:val="00B64536"/>
    <w:rsid w:val="00B64B86"/>
    <w:rsid w:val="00B672F4"/>
    <w:rsid w:val="00B676A4"/>
    <w:rsid w:val="00B70375"/>
    <w:rsid w:val="00B73352"/>
    <w:rsid w:val="00B74A5B"/>
    <w:rsid w:val="00B75B3A"/>
    <w:rsid w:val="00B77627"/>
    <w:rsid w:val="00B7780A"/>
    <w:rsid w:val="00B81DD9"/>
    <w:rsid w:val="00B8205D"/>
    <w:rsid w:val="00B833B7"/>
    <w:rsid w:val="00B835F0"/>
    <w:rsid w:val="00B86518"/>
    <w:rsid w:val="00B87A6F"/>
    <w:rsid w:val="00B9081B"/>
    <w:rsid w:val="00B917FF"/>
    <w:rsid w:val="00B91B64"/>
    <w:rsid w:val="00B92D4F"/>
    <w:rsid w:val="00B9324E"/>
    <w:rsid w:val="00B96992"/>
    <w:rsid w:val="00B96A88"/>
    <w:rsid w:val="00BA005C"/>
    <w:rsid w:val="00BA420C"/>
    <w:rsid w:val="00BA5C24"/>
    <w:rsid w:val="00BB0BC1"/>
    <w:rsid w:val="00BB204D"/>
    <w:rsid w:val="00BB217E"/>
    <w:rsid w:val="00BB3CE1"/>
    <w:rsid w:val="00BB518B"/>
    <w:rsid w:val="00BB6D7B"/>
    <w:rsid w:val="00BB728C"/>
    <w:rsid w:val="00BB791B"/>
    <w:rsid w:val="00BC197D"/>
    <w:rsid w:val="00BC4A49"/>
    <w:rsid w:val="00BC6C14"/>
    <w:rsid w:val="00BD1581"/>
    <w:rsid w:val="00BD2437"/>
    <w:rsid w:val="00BD66D9"/>
    <w:rsid w:val="00BD6C65"/>
    <w:rsid w:val="00BD74A7"/>
    <w:rsid w:val="00BE50DF"/>
    <w:rsid w:val="00BE564B"/>
    <w:rsid w:val="00BE5835"/>
    <w:rsid w:val="00BE68AE"/>
    <w:rsid w:val="00BE6E04"/>
    <w:rsid w:val="00BE75F0"/>
    <w:rsid w:val="00BE7ABA"/>
    <w:rsid w:val="00BF09F3"/>
    <w:rsid w:val="00BF0DA7"/>
    <w:rsid w:val="00BF3925"/>
    <w:rsid w:val="00BF5E39"/>
    <w:rsid w:val="00BF70EA"/>
    <w:rsid w:val="00BF7FE0"/>
    <w:rsid w:val="00C00132"/>
    <w:rsid w:val="00C00D7D"/>
    <w:rsid w:val="00C0331D"/>
    <w:rsid w:val="00C040A1"/>
    <w:rsid w:val="00C0457B"/>
    <w:rsid w:val="00C05404"/>
    <w:rsid w:val="00C06A7A"/>
    <w:rsid w:val="00C06E45"/>
    <w:rsid w:val="00C0714C"/>
    <w:rsid w:val="00C071D4"/>
    <w:rsid w:val="00C12669"/>
    <w:rsid w:val="00C128F0"/>
    <w:rsid w:val="00C12EF3"/>
    <w:rsid w:val="00C17EA4"/>
    <w:rsid w:val="00C20597"/>
    <w:rsid w:val="00C20A28"/>
    <w:rsid w:val="00C22DED"/>
    <w:rsid w:val="00C30037"/>
    <w:rsid w:val="00C305C8"/>
    <w:rsid w:val="00C32B9D"/>
    <w:rsid w:val="00C353C1"/>
    <w:rsid w:val="00C37F55"/>
    <w:rsid w:val="00C40E72"/>
    <w:rsid w:val="00C448E8"/>
    <w:rsid w:val="00C4562D"/>
    <w:rsid w:val="00C478DE"/>
    <w:rsid w:val="00C47DDE"/>
    <w:rsid w:val="00C50031"/>
    <w:rsid w:val="00C52023"/>
    <w:rsid w:val="00C53BC4"/>
    <w:rsid w:val="00C553BA"/>
    <w:rsid w:val="00C568D0"/>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772AA"/>
    <w:rsid w:val="00C80386"/>
    <w:rsid w:val="00C80FF0"/>
    <w:rsid w:val="00C84457"/>
    <w:rsid w:val="00C849D8"/>
    <w:rsid w:val="00C859C6"/>
    <w:rsid w:val="00C920C9"/>
    <w:rsid w:val="00C92D69"/>
    <w:rsid w:val="00C931DC"/>
    <w:rsid w:val="00C94C89"/>
    <w:rsid w:val="00C94F0D"/>
    <w:rsid w:val="00C952B4"/>
    <w:rsid w:val="00CA0360"/>
    <w:rsid w:val="00CA284C"/>
    <w:rsid w:val="00CA36CC"/>
    <w:rsid w:val="00CA6009"/>
    <w:rsid w:val="00CB1A41"/>
    <w:rsid w:val="00CB1B05"/>
    <w:rsid w:val="00CB4083"/>
    <w:rsid w:val="00CC0974"/>
    <w:rsid w:val="00CC1517"/>
    <w:rsid w:val="00CC4B4E"/>
    <w:rsid w:val="00CC7F77"/>
    <w:rsid w:val="00CD1691"/>
    <w:rsid w:val="00CD16AC"/>
    <w:rsid w:val="00CD25AF"/>
    <w:rsid w:val="00CD3D03"/>
    <w:rsid w:val="00CD52D6"/>
    <w:rsid w:val="00CD60CE"/>
    <w:rsid w:val="00CD6AFA"/>
    <w:rsid w:val="00CE2F48"/>
    <w:rsid w:val="00CE3CF7"/>
    <w:rsid w:val="00CE3E45"/>
    <w:rsid w:val="00CE4759"/>
    <w:rsid w:val="00CF1546"/>
    <w:rsid w:val="00CF3B07"/>
    <w:rsid w:val="00CF499F"/>
    <w:rsid w:val="00CF4DE0"/>
    <w:rsid w:val="00CF5207"/>
    <w:rsid w:val="00CF58B7"/>
    <w:rsid w:val="00CF6816"/>
    <w:rsid w:val="00CF7797"/>
    <w:rsid w:val="00D0095E"/>
    <w:rsid w:val="00D01D55"/>
    <w:rsid w:val="00D022A5"/>
    <w:rsid w:val="00D027C1"/>
    <w:rsid w:val="00D04185"/>
    <w:rsid w:val="00D04B91"/>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2B53"/>
    <w:rsid w:val="00D2407B"/>
    <w:rsid w:val="00D24E89"/>
    <w:rsid w:val="00D26751"/>
    <w:rsid w:val="00D3146E"/>
    <w:rsid w:val="00D33B5E"/>
    <w:rsid w:val="00D3467D"/>
    <w:rsid w:val="00D351C1"/>
    <w:rsid w:val="00D35F14"/>
    <w:rsid w:val="00D36714"/>
    <w:rsid w:val="00D376BD"/>
    <w:rsid w:val="00D41D49"/>
    <w:rsid w:val="00D4396E"/>
    <w:rsid w:val="00D439AA"/>
    <w:rsid w:val="00D43D36"/>
    <w:rsid w:val="00D44D8A"/>
    <w:rsid w:val="00D47575"/>
    <w:rsid w:val="00D50532"/>
    <w:rsid w:val="00D50FCD"/>
    <w:rsid w:val="00D568DD"/>
    <w:rsid w:val="00D569B3"/>
    <w:rsid w:val="00D57CEB"/>
    <w:rsid w:val="00D612F3"/>
    <w:rsid w:val="00D614EC"/>
    <w:rsid w:val="00D6638A"/>
    <w:rsid w:val="00D66CC8"/>
    <w:rsid w:val="00D670D3"/>
    <w:rsid w:val="00D672F1"/>
    <w:rsid w:val="00D71678"/>
    <w:rsid w:val="00D71B5E"/>
    <w:rsid w:val="00D731A9"/>
    <w:rsid w:val="00D73371"/>
    <w:rsid w:val="00D74CA1"/>
    <w:rsid w:val="00D75808"/>
    <w:rsid w:val="00D75EEC"/>
    <w:rsid w:val="00D80157"/>
    <w:rsid w:val="00D814B3"/>
    <w:rsid w:val="00D83CAF"/>
    <w:rsid w:val="00D84014"/>
    <w:rsid w:val="00D858B6"/>
    <w:rsid w:val="00D862D3"/>
    <w:rsid w:val="00D86BF0"/>
    <w:rsid w:val="00D923BF"/>
    <w:rsid w:val="00D93775"/>
    <w:rsid w:val="00D94311"/>
    <w:rsid w:val="00D94834"/>
    <w:rsid w:val="00D95CC2"/>
    <w:rsid w:val="00D95FA4"/>
    <w:rsid w:val="00D97876"/>
    <w:rsid w:val="00DA1B6A"/>
    <w:rsid w:val="00DA3BE2"/>
    <w:rsid w:val="00DA49ED"/>
    <w:rsid w:val="00DA5814"/>
    <w:rsid w:val="00DA5A53"/>
    <w:rsid w:val="00DB2828"/>
    <w:rsid w:val="00DB42C9"/>
    <w:rsid w:val="00DB4D4C"/>
    <w:rsid w:val="00DB523C"/>
    <w:rsid w:val="00DB5DB4"/>
    <w:rsid w:val="00DB792F"/>
    <w:rsid w:val="00DB7FA2"/>
    <w:rsid w:val="00DC23A9"/>
    <w:rsid w:val="00DC2522"/>
    <w:rsid w:val="00DD0BD8"/>
    <w:rsid w:val="00DD1198"/>
    <w:rsid w:val="00DD351F"/>
    <w:rsid w:val="00DD4DDA"/>
    <w:rsid w:val="00DD56F6"/>
    <w:rsid w:val="00DD610B"/>
    <w:rsid w:val="00DD6603"/>
    <w:rsid w:val="00DE05AF"/>
    <w:rsid w:val="00DE26B5"/>
    <w:rsid w:val="00DE2DCB"/>
    <w:rsid w:val="00DE2FAF"/>
    <w:rsid w:val="00DE6686"/>
    <w:rsid w:val="00DF11E0"/>
    <w:rsid w:val="00DF1BE4"/>
    <w:rsid w:val="00DF2D9D"/>
    <w:rsid w:val="00DF479B"/>
    <w:rsid w:val="00DF54C4"/>
    <w:rsid w:val="00E01FA7"/>
    <w:rsid w:val="00E02F6D"/>
    <w:rsid w:val="00E03454"/>
    <w:rsid w:val="00E10156"/>
    <w:rsid w:val="00E10769"/>
    <w:rsid w:val="00E10BDD"/>
    <w:rsid w:val="00E112A3"/>
    <w:rsid w:val="00E12A17"/>
    <w:rsid w:val="00E12D66"/>
    <w:rsid w:val="00E14EFB"/>
    <w:rsid w:val="00E1550C"/>
    <w:rsid w:val="00E15716"/>
    <w:rsid w:val="00E15955"/>
    <w:rsid w:val="00E160E0"/>
    <w:rsid w:val="00E21C70"/>
    <w:rsid w:val="00E21D4E"/>
    <w:rsid w:val="00E23626"/>
    <w:rsid w:val="00E257A6"/>
    <w:rsid w:val="00E257B1"/>
    <w:rsid w:val="00E30665"/>
    <w:rsid w:val="00E32B16"/>
    <w:rsid w:val="00E346B5"/>
    <w:rsid w:val="00E354A2"/>
    <w:rsid w:val="00E36527"/>
    <w:rsid w:val="00E3674A"/>
    <w:rsid w:val="00E4022E"/>
    <w:rsid w:val="00E40480"/>
    <w:rsid w:val="00E405E8"/>
    <w:rsid w:val="00E418DC"/>
    <w:rsid w:val="00E42A7A"/>
    <w:rsid w:val="00E43595"/>
    <w:rsid w:val="00E50B54"/>
    <w:rsid w:val="00E51920"/>
    <w:rsid w:val="00E53214"/>
    <w:rsid w:val="00E56515"/>
    <w:rsid w:val="00E578AE"/>
    <w:rsid w:val="00E6117D"/>
    <w:rsid w:val="00E61EF3"/>
    <w:rsid w:val="00E629FF"/>
    <w:rsid w:val="00E62F68"/>
    <w:rsid w:val="00E63C49"/>
    <w:rsid w:val="00E64120"/>
    <w:rsid w:val="00E657DB"/>
    <w:rsid w:val="00E663A4"/>
    <w:rsid w:val="00E673D4"/>
    <w:rsid w:val="00E678D5"/>
    <w:rsid w:val="00E724FB"/>
    <w:rsid w:val="00E738D9"/>
    <w:rsid w:val="00E81054"/>
    <w:rsid w:val="00E82A51"/>
    <w:rsid w:val="00E842B3"/>
    <w:rsid w:val="00E9062C"/>
    <w:rsid w:val="00E934D9"/>
    <w:rsid w:val="00E94EED"/>
    <w:rsid w:val="00E95619"/>
    <w:rsid w:val="00E96A3D"/>
    <w:rsid w:val="00E9717F"/>
    <w:rsid w:val="00E9784F"/>
    <w:rsid w:val="00EA1211"/>
    <w:rsid w:val="00EA29C8"/>
    <w:rsid w:val="00EA529C"/>
    <w:rsid w:val="00EA55DC"/>
    <w:rsid w:val="00EA5D1E"/>
    <w:rsid w:val="00EB22DD"/>
    <w:rsid w:val="00EB4D61"/>
    <w:rsid w:val="00EB5C1B"/>
    <w:rsid w:val="00EB7EC0"/>
    <w:rsid w:val="00EC079E"/>
    <w:rsid w:val="00EC3567"/>
    <w:rsid w:val="00EC383E"/>
    <w:rsid w:val="00EC5082"/>
    <w:rsid w:val="00EC667E"/>
    <w:rsid w:val="00EC6922"/>
    <w:rsid w:val="00EC6E13"/>
    <w:rsid w:val="00EC7558"/>
    <w:rsid w:val="00EC7C1F"/>
    <w:rsid w:val="00ED41D4"/>
    <w:rsid w:val="00ED42B7"/>
    <w:rsid w:val="00EE4C3D"/>
    <w:rsid w:val="00EF078D"/>
    <w:rsid w:val="00EF2532"/>
    <w:rsid w:val="00F02C53"/>
    <w:rsid w:val="00F04826"/>
    <w:rsid w:val="00F055F1"/>
    <w:rsid w:val="00F05CD5"/>
    <w:rsid w:val="00F076C4"/>
    <w:rsid w:val="00F1031F"/>
    <w:rsid w:val="00F11229"/>
    <w:rsid w:val="00F11B51"/>
    <w:rsid w:val="00F11EE1"/>
    <w:rsid w:val="00F17DB3"/>
    <w:rsid w:val="00F20713"/>
    <w:rsid w:val="00F208DB"/>
    <w:rsid w:val="00F20939"/>
    <w:rsid w:val="00F20CC9"/>
    <w:rsid w:val="00F211AC"/>
    <w:rsid w:val="00F2333B"/>
    <w:rsid w:val="00F27622"/>
    <w:rsid w:val="00F31FAB"/>
    <w:rsid w:val="00F32D0F"/>
    <w:rsid w:val="00F333EC"/>
    <w:rsid w:val="00F35D1D"/>
    <w:rsid w:val="00F35EE9"/>
    <w:rsid w:val="00F37AEA"/>
    <w:rsid w:val="00F40216"/>
    <w:rsid w:val="00F41978"/>
    <w:rsid w:val="00F42F2E"/>
    <w:rsid w:val="00F45BD5"/>
    <w:rsid w:val="00F45FBA"/>
    <w:rsid w:val="00F5150D"/>
    <w:rsid w:val="00F52150"/>
    <w:rsid w:val="00F5305E"/>
    <w:rsid w:val="00F53FF6"/>
    <w:rsid w:val="00F543BA"/>
    <w:rsid w:val="00F566ED"/>
    <w:rsid w:val="00F56DE9"/>
    <w:rsid w:val="00F570B9"/>
    <w:rsid w:val="00F5760D"/>
    <w:rsid w:val="00F603D8"/>
    <w:rsid w:val="00F606A4"/>
    <w:rsid w:val="00F609AA"/>
    <w:rsid w:val="00F739C3"/>
    <w:rsid w:val="00F76EDE"/>
    <w:rsid w:val="00F77391"/>
    <w:rsid w:val="00F77659"/>
    <w:rsid w:val="00F80085"/>
    <w:rsid w:val="00F8088B"/>
    <w:rsid w:val="00F83776"/>
    <w:rsid w:val="00F83BC9"/>
    <w:rsid w:val="00F85BF7"/>
    <w:rsid w:val="00F86B2B"/>
    <w:rsid w:val="00F90A03"/>
    <w:rsid w:val="00F9187A"/>
    <w:rsid w:val="00F91DF8"/>
    <w:rsid w:val="00F93FDF"/>
    <w:rsid w:val="00F94538"/>
    <w:rsid w:val="00F94805"/>
    <w:rsid w:val="00F95A57"/>
    <w:rsid w:val="00F973E3"/>
    <w:rsid w:val="00FA0345"/>
    <w:rsid w:val="00FA102A"/>
    <w:rsid w:val="00FA1131"/>
    <w:rsid w:val="00FA127D"/>
    <w:rsid w:val="00FA1373"/>
    <w:rsid w:val="00FA414C"/>
    <w:rsid w:val="00FA61CA"/>
    <w:rsid w:val="00FA6360"/>
    <w:rsid w:val="00FA68D0"/>
    <w:rsid w:val="00FA6FCE"/>
    <w:rsid w:val="00FB0056"/>
    <w:rsid w:val="00FB03B6"/>
    <w:rsid w:val="00FB0C6D"/>
    <w:rsid w:val="00FB3BAF"/>
    <w:rsid w:val="00FB5CCC"/>
    <w:rsid w:val="00FB6682"/>
    <w:rsid w:val="00FC10ED"/>
    <w:rsid w:val="00FC11EC"/>
    <w:rsid w:val="00FC12D0"/>
    <w:rsid w:val="00FC2D11"/>
    <w:rsid w:val="00FC5901"/>
    <w:rsid w:val="00FC6099"/>
    <w:rsid w:val="00FC6230"/>
    <w:rsid w:val="00FD1A1D"/>
    <w:rsid w:val="00FD2318"/>
    <w:rsid w:val="00FD3EDC"/>
    <w:rsid w:val="00FD3FF6"/>
    <w:rsid w:val="00FD4E96"/>
    <w:rsid w:val="00FD55A4"/>
    <w:rsid w:val="00FE01CA"/>
    <w:rsid w:val="00FE033C"/>
    <w:rsid w:val="00FE1A29"/>
    <w:rsid w:val="00FE3CA5"/>
    <w:rsid w:val="00FE4584"/>
    <w:rsid w:val="00FE6933"/>
    <w:rsid w:val="00FF0361"/>
    <w:rsid w:val="00FF265C"/>
    <w:rsid w:val="00FF30C4"/>
    <w:rsid w:val="00FF35AF"/>
    <w:rsid w:val="00FF4E7C"/>
    <w:rsid w:val="00FF61E7"/>
    <w:rsid w:val="00FF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00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uiPriority w:val="9"/>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 w:val="num" w:pos="720"/>
      </w:tabs>
      <w:ind w:left="720" w:hanging="360"/>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numPr>
        <w:numId w:val="0"/>
      </w:num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character" w:styleId="Strong">
    <w:name w:val="Strong"/>
    <w:basedOn w:val="DefaultParagraphFont"/>
    <w:uiPriority w:val="22"/>
    <w:qFormat/>
    <w:locked/>
    <w:rsid w:val="00D569B3"/>
    <w:rPr>
      <w:b/>
      <w:bCs/>
    </w:rPr>
  </w:style>
  <w:style w:type="paragraph" w:styleId="NormalWeb">
    <w:name w:val="Normal (Web)"/>
    <w:basedOn w:val="Normal"/>
    <w:uiPriority w:val="99"/>
    <w:unhideWhenUsed/>
    <w:locked/>
    <w:rsid w:val="00D569B3"/>
    <w:pPr>
      <w:spacing w:before="100" w:beforeAutospacing="1" w:after="100" w:afterAutospacing="1"/>
    </w:pPr>
    <w:rPr>
      <w:lang w:eastAsia="en-GB"/>
    </w:rPr>
  </w:style>
  <w:style w:type="paragraph" w:customStyle="1" w:styleId="numbered-paragraph">
    <w:name w:val="numbered-paragraph"/>
    <w:basedOn w:val="Normal"/>
    <w:rsid w:val="00D569B3"/>
    <w:pPr>
      <w:spacing w:before="100" w:beforeAutospacing="1" w:after="100" w:afterAutospacing="1"/>
    </w:pPr>
    <w:rPr>
      <w:lang w:eastAsia="en-GB"/>
    </w:rPr>
  </w:style>
  <w:style w:type="paragraph" w:customStyle="1" w:styleId="Paragraphnonumbers">
    <w:name w:val="Paragraph no numbers"/>
    <w:basedOn w:val="Normal"/>
    <w:uiPriority w:val="99"/>
    <w:qFormat/>
    <w:rsid w:val="00A17B22"/>
    <w:pPr>
      <w:spacing w:after="240" w:line="276" w:lineRule="auto"/>
    </w:pPr>
    <w:rPr>
      <w:rFonts w:ascii="Arial" w:hAnsi="Arial"/>
      <w:lang w:eastAsia="en-GB"/>
    </w:rPr>
  </w:style>
  <w:style w:type="paragraph" w:customStyle="1" w:styleId="TableText1">
    <w:name w:val="Table Text 1"/>
    <w:basedOn w:val="Normal"/>
    <w:qFormat/>
    <w:rsid w:val="00B46C13"/>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8616">
      <w:bodyDiv w:val="1"/>
      <w:marLeft w:val="0"/>
      <w:marRight w:val="0"/>
      <w:marTop w:val="0"/>
      <w:marBottom w:val="0"/>
      <w:divBdr>
        <w:top w:val="none" w:sz="0" w:space="0" w:color="auto"/>
        <w:left w:val="none" w:sz="0" w:space="0" w:color="auto"/>
        <w:bottom w:val="none" w:sz="0" w:space="0" w:color="auto"/>
        <w:right w:val="none" w:sz="0" w:space="0" w:color="auto"/>
      </w:divBdr>
    </w:div>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034469">
      <w:bodyDiv w:val="1"/>
      <w:marLeft w:val="0"/>
      <w:marRight w:val="0"/>
      <w:marTop w:val="0"/>
      <w:marBottom w:val="0"/>
      <w:divBdr>
        <w:top w:val="none" w:sz="0" w:space="0" w:color="auto"/>
        <w:left w:val="none" w:sz="0" w:space="0" w:color="auto"/>
        <w:bottom w:val="none" w:sz="0" w:space="0" w:color="auto"/>
        <w:right w:val="none" w:sz="0" w:space="0" w:color="auto"/>
      </w:divBdr>
      <w:divsChild>
        <w:div w:id="771899825">
          <w:marLeft w:val="0"/>
          <w:marRight w:val="0"/>
          <w:marTop w:val="360"/>
          <w:marBottom w:val="360"/>
          <w:divBdr>
            <w:top w:val="none" w:sz="0" w:space="0" w:color="auto"/>
            <w:left w:val="none" w:sz="0" w:space="0" w:color="auto"/>
            <w:bottom w:val="none" w:sz="0" w:space="0" w:color="auto"/>
            <w:right w:val="none" w:sz="0" w:space="0" w:color="auto"/>
          </w:divBdr>
        </w:div>
        <w:div w:id="1173570849">
          <w:marLeft w:val="0"/>
          <w:marRight w:val="0"/>
          <w:marTop w:val="360"/>
          <w:marBottom w:val="360"/>
          <w:divBdr>
            <w:top w:val="none" w:sz="0" w:space="0" w:color="auto"/>
            <w:left w:val="none" w:sz="0" w:space="0" w:color="auto"/>
            <w:bottom w:val="none" w:sz="0" w:space="0" w:color="auto"/>
            <w:right w:val="none" w:sz="0" w:space="0" w:color="auto"/>
          </w:divBdr>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724192">
      <w:bodyDiv w:val="1"/>
      <w:marLeft w:val="0"/>
      <w:marRight w:val="0"/>
      <w:marTop w:val="0"/>
      <w:marBottom w:val="0"/>
      <w:divBdr>
        <w:top w:val="none" w:sz="0" w:space="0" w:color="auto"/>
        <w:left w:val="none" w:sz="0" w:space="0" w:color="auto"/>
        <w:bottom w:val="none" w:sz="0" w:space="0" w:color="auto"/>
        <w:right w:val="none" w:sz="0" w:space="0" w:color="auto"/>
      </w:divBdr>
    </w:div>
    <w:div w:id="570193012">
      <w:bodyDiv w:val="1"/>
      <w:marLeft w:val="0"/>
      <w:marRight w:val="0"/>
      <w:marTop w:val="0"/>
      <w:marBottom w:val="0"/>
      <w:divBdr>
        <w:top w:val="none" w:sz="0" w:space="0" w:color="auto"/>
        <w:left w:val="none" w:sz="0" w:space="0" w:color="auto"/>
        <w:bottom w:val="none" w:sz="0" w:space="0" w:color="auto"/>
        <w:right w:val="none" w:sz="0" w:space="0" w:color="auto"/>
      </w:divBdr>
      <w:divsChild>
        <w:div w:id="2088380987">
          <w:marLeft w:val="15"/>
          <w:marRight w:val="15"/>
          <w:marTop w:val="15"/>
          <w:marBottom w:val="15"/>
          <w:divBdr>
            <w:top w:val="none" w:sz="0" w:space="0" w:color="auto"/>
            <w:left w:val="single" w:sz="18" w:space="0" w:color="333333"/>
            <w:bottom w:val="none" w:sz="0" w:space="0" w:color="auto"/>
            <w:right w:val="none" w:sz="0" w:space="0" w:color="auto"/>
          </w:divBdr>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239786">
      <w:bodyDiv w:val="1"/>
      <w:marLeft w:val="0"/>
      <w:marRight w:val="0"/>
      <w:marTop w:val="0"/>
      <w:marBottom w:val="0"/>
      <w:divBdr>
        <w:top w:val="none" w:sz="0" w:space="0" w:color="auto"/>
        <w:left w:val="none" w:sz="0" w:space="0" w:color="auto"/>
        <w:bottom w:val="none" w:sz="0" w:space="0" w:color="auto"/>
        <w:right w:val="none" w:sz="0" w:space="0" w:color="auto"/>
      </w:divBdr>
      <w:divsChild>
        <w:div w:id="1380665073">
          <w:marLeft w:val="15"/>
          <w:marRight w:val="15"/>
          <w:marTop w:val="15"/>
          <w:marBottom w:val="15"/>
          <w:divBdr>
            <w:top w:val="none" w:sz="0" w:space="0" w:color="auto"/>
            <w:left w:val="single" w:sz="18" w:space="0" w:color="333333"/>
            <w:bottom w:val="none" w:sz="0" w:space="0" w:color="auto"/>
            <w:right w:val="none" w:sz="0" w:space="0" w:color="auto"/>
          </w:divBdr>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236009">
      <w:bodyDiv w:val="1"/>
      <w:marLeft w:val="0"/>
      <w:marRight w:val="0"/>
      <w:marTop w:val="0"/>
      <w:marBottom w:val="0"/>
      <w:divBdr>
        <w:top w:val="none" w:sz="0" w:space="0" w:color="auto"/>
        <w:left w:val="none" w:sz="0" w:space="0" w:color="auto"/>
        <w:bottom w:val="none" w:sz="0" w:space="0" w:color="auto"/>
        <w:right w:val="none" w:sz="0" w:space="0" w:color="auto"/>
      </w:divBdr>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210384">
      <w:bodyDiv w:val="1"/>
      <w:marLeft w:val="0"/>
      <w:marRight w:val="0"/>
      <w:marTop w:val="0"/>
      <w:marBottom w:val="0"/>
      <w:divBdr>
        <w:top w:val="none" w:sz="0" w:space="0" w:color="auto"/>
        <w:left w:val="none" w:sz="0" w:space="0" w:color="auto"/>
        <w:bottom w:val="none" w:sz="0" w:space="0" w:color="auto"/>
        <w:right w:val="none" w:sz="0" w:space="0" w:color="auto"/>
      </w:divBdr>
      <w:divsChild>
        <w:div w:id="1982803199">
          <w:marLeft w:val="960"/>
          <w:marRight w:val="0"/>
          <w:marTop w:val="0"/>
          <w:marBottom w:val="0"/>
          <w:divBdr>
            <w:top w:val="none" w:sz="0" w:space="0" w:color="auto"/>
            <w:left w:val="none" w:sz="0" w:space="0" w:color="auto"/>
            <w:bottom w:val="none" w:sz="0" w:space="0" w:color="auto"/>
            <w:right w:val="none" w:sz="0" w:space="0" w:color="auto"/>
          </w:divBdr>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919636">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443096">
      <w:bodyDiv w:val="1"/>
      <w:marLeft w:val="0"/>
      <w:marRight w:val="0"/>
      <w:marTop w:val="0"/>
      <w:marBottom w:val="0"/>
      <w:divBdr>
        <w:top w:val="none" w:sz="0" w:space="0" w:color="auto"/>
        <w:left w:val="none" w:sz="0" w:space="0" w:color="auto"/>
        <w:bottom w:val="none" w:sz="0" w:space="0" w:color="auto"/>
        <w:right w:val="none" w:sz="0" w:space="0" w:color="auto"/>
      </w:divBdr>
      <w:divsChild>
        <w:div w:id="895355139">
          <w:marLeft w:val="15"/>
          <w:marRight w:val="15"/>
          <w:marTop w:val="15"/>
          <w:marBottom w:val="15"/>
          <w:divBdr>
            <w:top w:val="none" w:sz="0" w:space="0" w:color="auto"/>
            <w:left w:val="single" w:sz="18" w:space="0" w:color="333333"/>
            <w:bottom w:val="none" w:sz="0" w:space="0" w:color="auto"/>
            <w:right w:val="none" w:sz="0" w:space="0" w:color="auto"/>
          </w:divBdr>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32470362">
      <w:bodyDiv w:val="1"/>
      <w:marLeft w:val="0"/>
      <w:marRight w:val="0"/>
      <w:marTop w:val="0"/>
      <w:marBottom w:val="0"/>
      <w:divBdr>
        <w:top w:val="none" w:sz="0" w:space="0" w:color="auto"/>
        <w:left w:val="none" w:sz="0" w:space="0" w:color="auto"/>
        <w:bottom w:val="none" w:sz="0" w:space="0" w:color="auto"/>
        <w:right w:val="none" w:sz="0" w:space="0" w:color="auto"/>
      </w:divBdr>
    </w:div>
    <w:div w:id="1260599408">
      <w:bodyDiv w:val="1"/>
      <w:marLeft w:val="0"/>
      <w:marRight w:val="0"/>
      <w:marTop w:val="0"/>
      <w:marBottom w:val="0"/>
      <w:divBdr>
        <w:top w:val="none" w:sz="0" w:space="0" w:color="auto"/>
        <w:left w:val="none" w:sz="0" w:space="0" w:color="auto"/>
        <w:bottom w:val="none" w:sz="0" w:space="0" w:color="auto"/>
        <w:right w:val="none" w:sz="0" w:space="0" w:color="auto"/>
      </w:divBdr>
    </w:div>
    <w:div w:id="1272474127">
      <w:bodyDiv w:val="1"/>
      <w:marLeft w:val="0"/>
      <w:marRight w:val="0"/>
      <w:marTop w:val="0"/>
      <w:marBottom w:val="0"/>
      <w:divBdr>
        <w:top w:val="none" w:sz="0" w:space="0" w:color="auto"/>
        <w:left w:val="none" w:sz="0" w:space="0" w:color="auto"/>
        <w:bottom w:val="none" w:sz="0" w:space="0" w:color="auto"/>
        <w:right w:val="none" w:sz="0" w:space="0" w:color="auto"/>
      </w:divBdr>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669551804">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887257389">
      <w:bodyDiv w:val="1"/>
      <w:marLeft w:val="0"/>
      <w:marRight w:val="0"/>
      <w:marTop w:val="0"/>
      <w:marBottom w:val="0"/>
      <w:divBdr>
        <w:top w:val="none" w:sz="0" w:space="0" w:color="auto"/>
        <w:left w:val="none" w:sz="0" w:space="0" w:color="auto"/>
        <w:bottom w:val="none" w:sz="0" w:space="0" w:color="auto"/>
        <w:right w:val="none" w:sz="0" w:space="0" w:color="auto"/>
      </w:divBdr>
      <w:divsChild>
        <w:div w:id="804157448">
          <w:marLeft w:val="960"/>
          <w:marRight w:val="0"/>
          <w:marTop w:val="0"/>
          <w:marBottom w:val="0"/>
          <w:divBdr>
            <w:top w:val="none" w:sz="0" w:space="0" w:color="auto"/>
            <w:left w:val="none" w:sz="0" w:space="0" w:color="auto"/>
            <w:bottom w:val="none" w:sz="0" w:space="0" w:color="auto"/>
            <w:right w:val="none" w:sz="0" w:space="0" w:color="auto"/>
          </w:divBdr>
        </w:div>
      </w:divsChild>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30887874">
      <w:bodyDiv w:val="1"/>
      <w:marLeft w:val="0"/>
      <w:marRight w:val="0"/>
      <w:marTop w:val="0"/>
      <w:marBottom w:val="0"/>
      <w:divBdr>
        <w:top w:val="none" w:sz="0" w:space="0" w:color="auto"/>
        <w:left w:val="none" w:sz="0" w:space="0" w:color="auto"/>
        <w:bottom w:val="none" w:sz="0" w:space="0" w:color="auto"/>
        <w:right w:val="none" w:sz="0" w:space="0" w:color="auto"/>
      </w:divBdr>
      <w:divsChild>
        <w:div w:id="1897622855">
          <w:marLeft w:val="0"/>
          <w:marRight w:val="0"/>
          <w:marTop w:val="360"/>
          <w:marBottom w:val="360"/>
          <w:divBdr>
            <w:top w:val="none" w:sz="0" w:space="0" w:color="auto"/>
            <w:left w:val="none" w:sz="0" w:space="0" w:color="auto"/>
            <w:bottom w:val="none" w:sz="0" w:space="0" w:color="auto"/>
            <w:right w:val="none" w:sz="0" w:space="0" w:color="auto"/>
          </w:divBdr>
        </w:div>
        <w:div w:id="1021473633">
          <w:marLeft w:val="0"/>
          <w:marRight w:val="0"/>
          <w:marTop w:val="360"/>
          <w:marBottom w:val="360"/>
          <w:divBdr>
            <w:top w:val="none" w:sz="0" w:space="0" w:color="auto"/>
            <w:left w:val="none" w:sz="0" w:space="0" w:color="auto"/>
            <w:bottom w:val="none" w:sz="0" w:space="0" w:color="auto"/>
            <w:right w:val="none" w:sz="0" w:space="0" w:color="auto"/>
          </w:divBdr>
          <w:divsChild>
            <w:div w:id="2073042160">
              <w:marLeft w:val="0"/>
              <w:marRight w:val="0"/>
              <w:marTop w:val="0"/>
              <w:marBottom w:val="360"/>
              <w:divBdr>
                <w:top w:val="single" w:sz="6" w:space="0" w:color="999999"/>
                <w:left w:val="single" w:sz="6" w:space="0" w:color="999999"/>
                <w:bottom w:val="single" w:sz="6" w:space="0" w:color="999999"/>
                <w:right w:val="single" w:sz="6" w:space="0" w:color="999999"/>
              </w:divBdr>
              <w:divsChild>
                <w:div w:id="16879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455583">
      <w:bodyDiv w:val="1"/>
      <w:marLeft w:val="0"/>
      <w:marRight w:val="0"/>
      <w:marTop w:val="0"/>
      <w:marBottom w:val="0"/>
      <w:divBdr>
        <w:top w:val="none" w:sz="0" w:space="0" w:color="auto"/>
        <w:left w:val="none" w:sz="0" w:space="0" w:color="auto"/>
        <w:bottom w:val="none" w:sz="0" w:space="0" w:color="auto"/>
        <w:right w:val="none" w:sz="0" w:space="0" w:color="auto"/>
      </w:divBdr>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516680">
      <w:bodyDiv w:val="1"/>
      <w:marLeft w:val="0"/>
      <w:marRight w:val="0"/>
      <w:marTop w:val="0"/>
      <w:marBottom w:val="0"/>
      <w:divBdr>
        <w:top w:val="none" w:sz="0" w:space="0" w:color="auto"/>
        <w:left w:val="none" w:sz="0" w:space="0" w:color="auto"/>
        <w:bottom w:val="none" w:sz="0" w:space="0" w:color="auto"/>
        <w:right w:val="none" w:sz="0" w:space="0" w:color="auto"/>
      </w:divBdr>
      <w:divsChild>
        <w:div w:id="1664427964">
          <w:marLeft w:val="15"/>
          <w:marRight w:val="15"/>
          <w:marTop w:val="15"/>
          <w:marBottom w:val="15"/>
          <w:divBdr>
            <w:top w:val="none" w:sz="0" w:space="0" w:color="auto"/>
            <w:left w:val="single" w:sz="18" w:space="0" w:color="33333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18" TargetMode="External"/><Relationship Id="rId13" Type="http://schemas.openxmlformats.org/officeDocument/2006/relationships/footer" Target="footer1.xml"/><Relationship Id="rId18" Type="http://schemas.openxmlformats.org/officeDocument/2006/relationships/hyperlink" Target="https://gettingitrightfirsttime.co.uk/wp-content/uploads/2018/07/Urology-June18-M.pdf" TargetMode="External"/><Relationship Id="rId3" Type="http://schemas.openxmlformats.org/officeDocument/2006/relationships/styles" Target="styles.xml"/><Relationship Id="rId21" Type="http://schemas.openxmlformats.org/officeDocument/2006/relationships/hyperlink" Target="https://www.baus.org.uk/_userfiles/pages/files/Patients/Leaflets/Stone%20diet.pdf" TargetMode="External"/><Relationship Id="rId7" Type="http://schemas.openxmlformats.org/officeDocument/2006/relationships/endnotes" Target="endnotes.xml"/><Relationship Id="rId12" Type="http://schemas.openxmlformats.org/officeDocument/2006/relationships/hyperlink" Target="https://www.nice.org.uk/terms-and-conditions" TargetMode="External"/><Relationship Id="rId17" Type="http://schemas.openxmlformats.org/officeDocument/2006/relationships/hyperlink" Target="https://gettingitrightfirsttime.co.uk/wp-content/uploads/2018/07/Urology-June18-M.pdf" TargetMode="External"/><Relationship Id="rId2" Type="http://schemas.openxmlformats.org/officeDocument/2006/relationships/numbering" Target="numbering.xml"/><Relationship Id="rId16" Type="http://schemas.openxmlformats.org/officeDocument/2006/relationships/hyperlink" Target="https://www.ncbi.nlm.nih.gov/pubmed/28145037" TargetMode="External"/><Relationship Id="rId20" Type="http://schemas.openxmlformats.org/officeDocument/2006/relationships/hyperlink" Target="http://www.urowe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7" TargetMode="External"/><Relationship Id="rId5" Type="http://schemas.openxmlformats.org/officeDocument/2006/relationships/webSettings" Target="webSettings.xml"/><Relationship Id="rId15" Type="http://schemas.openxmlformats.org/officeDocument/2006/relationships/hyperlink" Target="https://www.ncbi.nlm.nih.gov/pubmed/27324264" TargetMode="External"/><Relationship Id="rId23" Type="http://schemas.openxmlformats.org/officeDocument/2006/relationships/theme" Target="theme/theme1.xml"/><Relationship Id="rId10" Type="http://schemas.openxmlformats.org/officeDocument/2006/relationships/hyperlink" Target="https://w3.abdn.ac.uk/hsru/tisu/" TargetMode="External"/><Relationship Id="rId19" Type="http://schemas.openxmlformats.org/officeDocument/2006/relationships/hyperlink" Target="https://www.ncbi.nlm.nih.gov/pubmed/230175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arger.com/Article/FullText/449510" TargetMode="External"/><Relationship Id="rId3" Type="http://schemas.openxmlformats.org/officeDocument/2006/relationships/hyperlink" Target="https://digital.nhs.uk/data-and-information/publications/statistical/hospital-admitted-patient-care-activity/2017-18" TargetMode="External"/><Relationship Id="rId7" Type="http://schemas.openxmlformats.org/officeDocument/2006/relationships/hyperlink" Target="https://www.baus.org.uk/patients/surgical_outcomes/pcnl/timescales.aspx" TargetMode="External"/><Relationship Id="rId2" Type="http://schemas.openxmlformats.org/officeDocument/2006/relationships/hyperlink" Target="https://www.kidneycareuk.org/about-kidney-health/conditions/kidney-stones/" TargetMode="External"/><Relationship Id="rId1" Type="http://schemas.openxmlformats.org/officeDocument/2006/relationships/hyperlink" Target="https://www.nice.org.uk/guidance/ng118/history" TargetMode="External"/><Relationship Id="rId6" Type="http://schemas.openxmlformats.org/officeDocument/2006/relationships/hyperlink" Target="https://gettingitrightfirsttime.co.uk/surgical-specialty/urology-surgery/" TargetMode="External"/><Relationship Id="rId5" Type="http://schemas.openxmlformats.org/officeDocument/2006/relationships/hyperlink" Target="https://gettingitrightfirsttime.co.uk/surgical-specialty/urology-surgery/" TargetMode="External"/><Relationship Id="rId4" Type="http://schemas.openxmlformats.org/officeDocument/2006/relationships/hyperlink" Target="https://www.nice.org.uk/guidance/ng118/informationfor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52D8-0946-4607-B697-8CA61027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C0C2CF28</Template>
  <TotalTime>0</TotalTime>
  <Pages>34</Pages>
  <Words>6620</Words>
  <Characters>38283</Characters>
  <Application>Microsoft Office Word</Application>
  <DocSecurity>4</DocSecurity>
  <Lines>319</Lines>
  <Paragraphs>89</Paragraphs>
  <ScaleCrop>false</ScaleCrop>
  <Company/>
  <LinksUpToDate>false</LinksUpToDate>
  <CharactersWithSpaces>44814</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2019-12-18T11:46:00Z</dcterms:created>
  <dcterms:modified xsi:type="dcterms:W3CDTF">2019-12-18T11:46:00Z</dcterms:modified>
</cp:coreProperties>
</file>