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16949114" w:rsidR="00593F3D" w:rsidRPr="00C8495E" w:rsidRDefault="00593F3D" w:rsidP="00593F3D">
      <w:pPr>
        <w:rPr>
          <w:rStyle w:val="Hyperlink"/>
          <w:rFonts w:ascii="Arial" w:hAnsi="Arial" w:cs="Arial"/>
          <w:color w:val="auto"/>
          <w:sz w:val="20"/>
          <w:szCs w:val="20"/>
          <w:u w:val="none"/>
        </w:rPr>
      </w:pPr>
      <w:r w:rsidRPr="00C8495E">
        <w:rPr>
          <w:rFonts w:ascii="Arial" w:hAnsi="Arial" w:cs="Arial"/>
          <w:sz w:val="20"/>
          <w:szCs w:val="20"/>
        </w:rPr>
        <w:t>Sent by e-mail only:</w:t>
      </w:r>
      <w:r w:rsidRPr="0031085E">
        <w:rPr>
          <w:rFonts w:ascii="Arial" w:hAnsi="Arial" w:cs="Arial"/>
          <w:sz w:val="20"/>
          <w:szCs w:val="20"/>
        </w:rPr>
        <w:t xml:space="preserve"> </w:t>
      </w:r>
      <w:r w:rsidR="0031085E" w:rsidRPr="0031085E">
        <w:rPr>
          <w:rFonts w:ascii="Arial" w:hAnsi="Arial" w:cs="Arial"/>
          <w:sz w:val="20"/>
          <w:szCs w:val="20"/>
          <w:highlight w:val="black"/>
        </w:rPr>
        <w:t>XXXXXXXXXXXXXXXXXXXXXX</w:t>
      </w:r>
    </w:p>
    <w:p w14:paraId="45C595EC" w14:textId="38670BEE" w:rsidR="001E17FB" w:rsidRPr="00C8495E" w:rsidRDefault="001E17FB" w:rsidP="001E17FB">
      <w:pPr>
        <w:spacing w:after="0" w:line="240" w:lineRule="auto"/>
        <w:jc w:val="both"/>
        <w:rPr>
          <w:rFonts w:ascii="Arial" w:hAnsi="Arial" w:cs="Arial"/>
          <w:sz w:val="20"/>
          <w:szCs w:val="20"/>
        </w:rPr>
      </w:pPr>
      <w:r w:rsidRPr="00C8495E">
        <w:rPr>
          <w:rFonts w:ascii="Arial" w:hAnsi="Arial" w:cs="Arial"/>
          <w:sz w:val="20"/>
          <w:szCs w:val="20"/>
        </w:rPr>
        <w:t xml:space="preserve">FAO </w:t>
      </w:r>
      <w:r w:rsidR="0031085E" w:rsidRPr="0031085E">
        <w:rPr>
          <w:rFonts w:ascii="Arial" w:hAnsi="Arial" w:cs="Arial"/>
          <w:sz w:val="20"/>
          <w:szCs w:val="20"/>
          <w:highlight w:val="black"/>
        </w:rPr>
        <w:t>XXXXXXXXXXXXXXXX</w:t>
      </w:r>
    </w:p>
    <w:p w14:paraId="48154611" w14:textId="567D6ED4" w:rsidR="001E17FB" w:rsidRPr="0031085E" w:rsidRDefault="0031085E" w:rsidP="001E17FB">
      <w:pPr>
        <w:spacing w:after="0" w:line="240" w:lineRule="auto"/>
        <w:jc w:val="both"/>
        <w:rPr>
          <w:rFonts w:ascii="Arial" w:hAnsi="Arial" w:cs="Arial"/>
          <w:sz w:val="20"/>
          <w:szCs w:val="20"/>
        </w:rPr>
      </w:pPr>
      <w:r w:rsidRPr="0031085E">
        <w:rPr>
          <w:rFonts w:ascii="Arial" w:hAnsi="Arial" w:cs="Arial"/>
          <w:sz w:val="20"/>
          <w:szCs w:val="20"/>
          <w:highlight w:val="black"/>
        </w:rPr>
        <w:t>XXXXXXXXXXXXXXXXXXX</w:t>
      </w:r>
    </w:p>
    <w:p w14:paraId="732DD104" w14:textId="77777777" w:rsidR="001E17FB" w:rsidRPr="00C8495E" w:rsidRDefault="001E17FB" w:rsidP="001E17FB">
      <w:pPr>
        <w:spacing w:after="0" w:line="240" w:lineRule="auto"/>
        <w:jc w:val="both"/>
        <w:rPr>
          <w:rFonts w:ascii="Arial" w:hAnsi="Arial" w:cs="Arial"/>
          <w:sz w:val="20"/>
          <w:szCs w:val="20"/>
        </w:rPr>
      </w:pPr>
      <w:r w:rsidRPr="00C8495E">
        <w:rPr>
          <w:rFonts w:ascii="Arial" w:hAnsi="Arial" w:cs="Arial"/>
          <w:sz w:val="20"/>
          <w:szCs w:val="20"/>
        </w:rPr>
        <w:t>Pfizer</w:t>
      </w:r>
    </w:p>
    <w:p w14:paraId="799D8680" w14:textId="77777777" w:rsidR="00F24B1D" w:rsidRPr="00C8495E" w:rsidRDefault="00F24B1D">
      <w:pPr>
        <w:rPr>
          <w:rFonts w:ascii="Arial" w:hAnsi="Arial" w:cs="Arial"/>
          <w:sz w:val="20"/>
          <w:szCs w:val="20"/>
        </w:rPr>
      </w:pPr>
    </w:p>
    <w:p w14:paraId="1F256B99" w14:textId="77777777" w:rsidR="00F24B1D" w:rsidRPr="00C8495E" w:rsidRDefault="00F24B1D">
      <w:pPr>
        <w:rPr>
          <w:rFonts w:ascii="Arial" w:hAnsi="Arial" w:cs="Arial"/>
          <w:sz w:val="20"/>
          <w:szCs w:val="20"/>
        </w:rPr>
      </w:pPr>
    </w:p>
    <w:p w14:paraId="04E6623B" w14:textId="235CDF02" w:rsidR="00B737D4" w:rsidRPr="00C8495E" w:rsidRDefault="00D165C7" w:rsidP="00B737D4">
      <w:pPr>
        <w:rPr>
          <w:rFonts w:ascii="Arial" w:hAnsi="Arial" w:cs="Arial"/>
          <w:sz w:val="20"/>
          <w:szCs w:val="20"/>
        </w:rPr>
      </w:pPr>
      <w:r>
        <w:rPr>
          <w:rFonts w:ascii="Arial" w:hAnsi="Arial" w:cs="Arial"/>
          <w:sz w:val="20"/>
          <w:szCs w:val="20"/>
        </w:rPr>
        <w:t>11 September 2023</w:t>
      </w:r>
    </w:p>
    <w:p w14:paraId="15532A62" w14:textId="77777777" w:rsidR="00B737D4" w:rsidRPr="00C8495E" w:rsidRDefault="00B737D4" w:rsidP="00B737D4">
      <w:pPr>
        <w:rPr>
          <w:rStyle w:val="Hyperlink"/>
          <w:rFonts w:ascii="Arial" w:hAnsi="Arial" w:cs="Arial"/>
          <w:color w:val="auto"/>
          <w:sz w:val="20"/>
          <w:szCs w:val="20"/>
        </w:rPr>
      </w:pPr>
    </w:p>
    <w:p w14:paraId="47BE397A" w14:textId="5799015F" w:rsidR="00F24B1D" w:rsidRPr="00C8495E" w:rsidRDefault="00F24B1D" w:rsidP="00F24B1D">
      <w:pPr>
        <w:ind w:left="426" w:right="468" w:hanging="426"/>
        <w:jc w:val="both"/>
        <w:rPr>
          <w:rFonts w:ascii="Arial" w:hAnsi="Arial" w:cs="Arial"/>
          <w:noProof/>
          <w:spacing w:val="-3"/>
          <w:sz w:val="20"/>
          <w:szCs w:val="20"/>
          <w:lang w:eastAsia="en-GB"/>
        </w:rPr>
      </w:pPr>
      <w:bookmarkStart w:id="0" w:name="deartext"/>
      <w:r w:rsidRPr="00C8495E">
        <w:rPr>
          <w:rFonts w:ascii="Arial" w:hAnsi="Arial" w:cs="Arial"/>
          <w:sz w:val="20"/>
          <w:szCs w:val="20"/>
        </w:rPr>
        <w:t>Dear</w:t>
      </w:r>
      <w:bookmarkEnd w:id="0"/>
      <w:r w:rsidRPr="00C8495E">
        <w:rPr>
          <w:rFonts w:ascii="Arial" w:hAnsi="Arial" w:cs="Arial"/>
          <w:sz w:val="20"/>
          <w:szCs w:val="20"/>
        </w:rPr>
        <w:t xml:space="preserve"> </w:t>
      </w:r>
      <w:bookmarkStart w:id="1" w:name="Sal"/>
      <w:bookmarkEnd w:id="1"/>
      <w:r w:rsidR="0031085E" w:rsidRPr="0031085E">
        <w:rPr>
          <w:rFonts w:ascii="Arial" w:hAnsi="Arial" w:cs="Arial"/>
          <w:sz w:val="20"/>
          <w:szCs w:val="20"/>
          <w:highlight w:val="black"/>
        </w:rPr>
        <w:t>XXXXXXXXXXXXXXXXX</w:t>
      </w:r>
    </w:p>
    <w:p w14:paraId="67AFD44F" w14:textId="0E7F21FB" w:rsidR="00F24B1D" w:rsidRPr="00C8495E" w:rsidRDefault="00F24B1D" w:rsidP="00F24B1D">
      <w:pPr>
        <w:ind w:left="426" w:right="468" w:hanging="426"/>
        <w:jc w:val="both"/>
        <w:rPr>
          <w:rFonts w:ascii="Arial" w:hAnsi="Arial" w:cs="Arial"/>
          <w:b/>
          <w:sz w:val="20"/>
          <w:szCs w:val="20"/>
        </w:rPr>
      </w:pPr>
      <w:r w:rsidRPr="00C8495E">
        <w:rPr>
          <w:rFonts w:ascii="Arial" w:hAnsi="Arial" w:cs="Arial"/>
          <w:noProof/>
          <w:sz w:val="20"/>
          <w:szCs w:val="20"/>
          <w:lang w:eastAsia="en-GB"/>
        </w:rPr>
        <mc:AlternateContent>
          <mc:Choice Requires="wps">
            <w:drawing>
              <wp:anchor distT="4294967294" distB="4294967294" distL="114300" distR="114300" simplePos="0" relativeHeight="251659264" behindDoc="0" locked="0" layoutInCell="1" allowOverlap="1" wp14:anchorId="0D351047" wp14:editId="64D85384">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FF0ED"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BLpbv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C8495E">
        <w:rPr>
          <w:rFonts w:ascii="Arial" w:hAnsi="Arial" w:cs="Arial"/>
          <w:b/>
          <w:spacing w:val="-3"/>
          <w:sz w:val="20"/>
          <w:szCs w:val="20"/>
        </w:rPr>
        <w:t xml:space="preserve">Re: </w:t>
      </w:r>
      <w:r w:rsidR="001E17FB" w:rsidRPr="00C8495E">
        <w:rPr>
          <w:rFonts w:ascii="Arial" w:hAnsi="Arial" w:cs="Arial"/>
          <w:b/>
          <w:sz w:val="20"/>
          <w:szCs w:val="20"/>
        </w:rPr>
        <w:t>Final Appraisal Document — Voxelotor for treating haemolytic anaemia caused by sickle cell disorder (SCD) (ID1403)</w:t>
      </w:r>
    </w:p>
    <w:p w14:paraId="645F333C" w14:textId="26E02E44" w:rsidR="00DB178D" w:rsidRPr="00C8495E" w:rsidRDefault="00DB178D" w:rsidP="00DB178D">
      <w:pPr>
        <w:spacing w:before="240" w:after="240"/>
        <w:jc w:val="both"/>
        <w:rPr>
          <w:rFonts w:ascii="Arial" w:eastAsia="Times New Roman" w:hAnsi="Arial" w:cs="Arial"/>
          <w:sz w:val="20"/>
          <w:szCs w:val="20"/>
        </w:rPr>
      </w:pPr>
      <w:r w:rsidRPr="00C8495E">
        <w:rPr>
          <w:rFonts w:ascii="Arial" w:eastAsia="Times New Roman" w:hAnsi="Arial" w:cs="Arial"/>
          <w:sz w:val="20"/>
          <w:szCs w:val="20"/>
        </w:rPr>
        <w:t xml:space="preserve">Thank you for your letter of </w:t>
      </w:r>
      <w:r w:rsidR="001E17FB" w:rsidRPr="00C8495E">
        <w:rPr>
          <w:rFonts w:ascii="Arial" w:eastAsia="Times New Roman" w:hAnsi="Arial" w:cs="Arial"/>
          <w:sz w:val="20"/>
          <w:szCs w:val="20"/>
        </w:rPr>
        <w:t>1 September 2023</w:t>
      </w:r>
      <w:r w:rsidRPr="00C8495E">
        <w:rPr>
          <w:rFonts w:ascii="Arial" w:eastAsia="Times New Roman" w:hAnsi="Arial" w:cs="Arial"/>
          <w:sz w:val="20"/>
          <w:szCs w:val="20"/>
        </w:rPr>
        <w:t xml:space="preserve"> responding to my initial scrutiny views.  This is my final decision on initial scrutiny.</w:t>
      </w:r>
    </w:p>
    <w:p w14:paraId="55B1D5E2" w14:textId="59B59311" w:rsidR="00DB178D" w:rsidRPr="00C8495E" w:rsidRDefault="00DB178D" w:rsidP="00DB178D">
      <w:pPr>
        <w:spacing w:before="240" w:after="240"/>
        <w:jc w:val="both"/>
        <w:rPr>
          <w:rFonts w:ascii="Arial" w:eastAsia="Times New Roman" w:hAnsi="Arial" w:cs="Arial"/>
          <w:sz w:val="20"/>
          <w:szCs w:val="20"/>
        </w:rPr>
      </w:pPr>
      <w:r w:rsidRPr="00C8495E">
        <w:rPr>
          <w:rFonts w:ascii="Arial" w:eastAsia="Times New Roman" w:hAnsi="Arial" w:cs="Arial"/>
          <w:sz w:val="20"/>
          <w:szCs w:val="20"/>
        </w:rPr>
        <w:t>I consider the ground 1(a) points and then the ground 2 point.</w:t>
      </w:r>
    </w:p>
    <w:p w14:paraId="154A6AA5" w14:textId="77777777" w:rsidR="00DB178D" w:rsidRPr="00C8495E" w:rsidRDefault="00DB178D" w:rsidP="00DB178D">
      <w:pPr>
        <w:spacing w:before="240" w:after="240"/>
        <w:jc w:val="both"/>
        <w:rPr>
          <w:rFonts w:ascii="Arial" w:hAnsi="Arial" w:cs="Arial"/>
          <w:b/>
          <w:i/>
          <w:sz w:val="20"/>
          <w:szCs w:val="20"/>
        </w:rPr>
      </w:pPr>
      <w:r w:rsidRPr="00C8495E">
        <w:rPr>
          <w:rFonts w:ascii="Arial" w:eastAsia="Times New Roman" w:hAnsi="Arial" w:cs="Arial"/>
          <w:b/>
          <w:bCs/>
          <w:i/>
          <w:iCs/>
          <w:sz w:val="20"/>
          <w:szCs w:val="20"/>
        </w:rPr>
        <w:t xml:space="preserve">Ground 1(a): In making the assessment that preceded the recommendation, NICE has failed to act </w:t>
      </w:r>
      <w:proofErr w:type="gramStart"/>
      <w:r w:rsidRPr="00C8495E">
        <w:rPr>
          <w:rFonts w:ascii="Arial" w:eastAsia="Times New Roman" w:hAnsi="Arial" w:cs="Arial"/>
          <w:b/>
          <w:bCs/>
          <w:i/>
          <w:iCs/>
          <w:sz w:val="20"/>
          <w:szCs w:val="20"/>
        </w:rPr>
        <w:t>fairly</w:t>
      </w:r>
      <w:proofErr w:type="gramEnd"/>
    </w:p>
    <w:p w14:paraId="4D2EF406" w14:textId="14874106" w:rsidR="00671EF3" w:rsidRPr="00C8495E" w:rsidRDefault="00671EF3" w:rsidP="00671EF3">
      <w:pPr>
        <w:spacing w:before="240" w:after="240"/>
        <w:jc w:val="both"/>
        <w:rPr>
          <w:rFonts w:ascii="Arial" w:hAnsi="Arial" w:cs="Arial"/>
          <w:b/>
          <w:sz w:val="20"/>
          <w:szCs w:val="20"/>
          <w:u w:val="single"/>
        </w:rPr>
      </w:pPr>
      <w:r w:rsidRPr="00C8495E">
        <w:rPr>
          <w:rFonts w:ascii="Arial" w:hAnsi="Arial" w:cs="Arial"/>
          <w:b/>
          <w:sz w:val="20"/>
          <w:szCs w:val="20"/>
          <w:u w:val="single"/>
        </w:rPr>
        <w:t xml:space="preserve">Appeal </w:t>
      </w:r>
      <w:proofErr w:type="gramStart"/>
      <w:r w:rsidRPr="00C8495E">
        <w:rPr>
          <w:rFonts w:ascii="Arial" w:hAnsi="Arial" w:cs="Arial"/>
          <w:b/>
          <w:sz w:val="20"/>
          <w:szCs w:val="20"/>
          <w:u w:val="single"/>
        </w:rPr>
        <w:t>point</w:t>
      </w:r>
      <w:proofErr w:type="gramEnd"/>
      <w:r w:rsidRPr="00C8495E">
        <w:rPr>
          <w:rFonts w:ascii="Arial" w:hAnsi="Arial" w:cs="Arial"/>
          <w:b/>
          <w:sz w:val="20"/>
          <w:szCs w:val="20"/>
          <w:u w:val="single"/>
        </w:rPr>
        <w:t xml:space="preserve"> 1</w:t>
      </w:r>
      <w:r w:rsidR="00DB178D" w:rsidRPr="00C8495E">
        <w:rPr>
          <w:rFonts w:ascii="Arial" w:hAnsi="Arial" w:cs="Arial"/>
          <w:b/>
          <w:sz w:val="20"/>
          <w:szCs w:val="20"/>
          <w:u w:val="single"/>
        </w:rPr>
        <w:t>(a)</w:t>
      </w:r>
      <w:r w:rsidR="001E17FB" w:rsidRPr="00C8495E">
        <w:rPr>
          <w:rFonts w:ascii="Arial" w:hAnsi="Arial" w:cs="Arial"/>
          <w:b/>
          <w:sz w:val="20"/>
          <w:szCs w:val="20"/>
          <w:u w:val="single"/>
        </w:rPr>
        <w:t>.3</w:t>
      </w:r>
      <w:r w:rsidRPr="00C8495E">
        <w:rPr>
          <w:rFonts w:ascii="Arial" w:hAnsi="Arial" w:cs="Arial"/>
          <w:b/>
          <w:sz w:val="20"/>
          <w:szCs w:val="20"/>
          <w:u w:val="single"/>
        </w:rPr>
        <w:t xml:space="preserve">; </w:t>
      </w:r>
      <w:r w:rsidR="001E17FB" w:rsidRPr="00C8495E">
        <w:rPr>
          <w:rFonts w:ascii="Arial" w:hAnsi="Arial" w:cs="Arial"/>
          <w:b/>
          <w:sz w:val="20"/>
          <w:szCs w:val="20"/>
          <w:u w:val="single"/>
        </w:rPr>
        <w:t>In a situation where the Committee considered there still to be multiple sources of uncertainty by the time of the second Appraisal Committee meeting (‘ACM2’), it was unfair nevertheless to proceed directly to the publication of the FDG with no opportunity for a further ACM or to explore suggestions such as managed access.</w:t>
      </w:r>
    </w:p>
    <w:p w14:paraId="50E224EF" w14:textId="04FEE247" w:rsidR="00D770E0" w:rsidRPr="00C8495E" w:rsidRDefault="00D770E0" w:rsidP="00D770E0">
      <w:pPr>
        <w:spacing w:before="120" w:after="240"/>
        <w:rPr>
          <w:rFonts w:ascii="Arial" w:hAnsi="Arial" w:cs="Arial"/>
          <w:sz w:val="20"/>
          <w:szCs w:val="20"/>
          <w:lang w:eastAsia="en-GB"/>
        </w:rPr>
      </w:pPr>
      <w:r w:rsidRPr="00C8495E">
        <w:rPr>
          <w:rFonts w:ascii="Arial" w:eastAsia="Times New Roman" w:hAnsi="Arial" w:cs="Arial"/>
          <w:sz w:val="20"/>
          <w:szCs w:val="20"/>
          <w:lang w:eastAsia="en-GB"/>
        </w:rPr>
        <w:t>Having considered the additional arguments made in your letter of</w:t>
      </w:r>
      <w:r w:rsidR="008A4FAB" w:rsidRPr="00C8495E">
        <w:rPr>
          <w:rFonts w:ascii="Arial" w:eastAsia="Times New Roman" w:hAnsi="Arial" w:cs="Arial"/>
          <w:sz w:val="20"/>
          <w:szCs w:val="20"/>
          <w:lang w:eastAsia="en-GB"/>
        </w:rPr>
        <w:t xml:space="preserve"> 1 September 2023</w:t>
      </w:r>
      <w:r w:rsidRPr="00C8495E">
        <w:rPr>
          <w:rFonts w:ascii="Arial" w:eastAsia="Times New Roman" w:hAnsi="Arial" w:cs="Arial"/>
          <w:sz w:val="20"/>
          <w:szCs w:val="20"/>
          <w:lang w:eastAsia="en-GB"/>
        </w:rPr>
        <w:t>, I agree that this is a valid appeal point.</w:t>
      </w:r>
    </w:p>
    <w:p w14:paraId="5813F8E5" w14:textId="3AF4FA5C" w:rsidR="001E17FB" w:rsidRPr="00C8495E" w:rsidRDefault="001E17FB" w:rsidP="001E17FB">
      <w:pPr>
        <w:spacing w:before="240" w:after="240"/>
        <w:jc w:val="both"/>
        <w:rPr>
          <w:rFonts w:ascii="Arial" w:hAnsi="Arial" w:cs="Arial"/>
          <w:b/>
          <w:sz w:val="20"/>
          <w:szCs w:val="20"/>
          <w:u w:val="single"/>
        </w:rPr>
      </w:pPr>
      <w:r w:rsidRPr="00C8495E">
        <w:rPr>
          <w:rFonts w:ascii="Arial" w:hAnsi="Arial" w:cs="Arial"/>
          <w:b/>
          <w:sz w:val="20"/>
          <w:szCs w:val="20"/>
          <w:u w:val="single"/>
        </w:rPr>
        <w:t xml:space="preserve">Appeal </w:t>
      </w:r>
      <w:proofErr w:type="gramStart"/>
      <w:r w:rsidRPr="00C8495E">
        <w:rPr>
          <w:rFonts w:ascii="Arial" w:hAnsi="Arial" w:cs="Arial"/>
          <w:b/>
          <w:sz w:val="20"/>
          <w:szCs w:val="20"/>
          <w:u w:val="single"/>
        </w:rPr>
        <w:t>point</w:t>
      </w:r>
      <w:proofErr w:type="gramEnd"/>
      <w:r w:rsidRPr="00C8495E">
        <w:rPr>
          <w:rFonts w:ascii="Arial" w:hAnsi="Arial" w:cs="Arial"/>
          <w:b/>
          <w:sz w:val="20"/>
          <w:szCs w:val="20"/>
          <w:u w:val="single"/>
        </w:rPr>
        <w:t xml:space="preserve"> 1(a).5; The Committee should have explained more clearly, during the appraisal process, how it intended to take (or not take) the health inequalities in relation to SCD into account in its decision-making and why.</w:t>
      </w:r>
    </w:p>
    <w:p w14:paraId="52AF5DA5" w14:textId="703CC78A" w:rsidR="002136CE" w:rsidRPr="00C8495E" w:rsidRDefault="008A4FAB" w:rsidP="001E17FB">
      <w:pPr>
        <w:spacing w:before="120" w:after="240"/>
        <w:rPr>
          <w:rFonts w:ascii="Arial" w:eastAsia="Times New Roman" w:hAnsi="Arial" w:cs="Arial"/>
          <w:sz w:val="20"/>
          <w:szCs w:val="20"/>
          <w:lang w:eastAsia="en-GB"/>
        </w:rPr>
      </w:pPr>
      <w:r w:rsidRPr="00C8495E">
        <w:rPr>
          <w:rFonts w:ascii="Arial" w:eastAsia="Times New Roman" w:hAnsi="Arial" w:cs="Arial"/>
          <w:sz w:val="20"/>
          <w:szCs w:val="20"/>
          <w:lang w:eastAsia="en-GB"/>
        </w:rPr>
        <w:t>Having considered the additional arguments made in your letter of 1 September 2023, I remain of the view that the</w:t>
      </w:r>
      <w:r w:rsidR="002136CE" w:rsidRPr="00C8495E">
        <w:rPr>
          <w:rFonts w:ascii="Arial" w:eastAsia="Times New Roman" w:hAnsi="Arial" w:cs="Arial"/>
          <w:sz w:val="20"/>
          <w:szCs w:val="20"/>
          <w:lang w:eastAsia="en-GB"/>
        </w:rPr>
        <w:t xml:space="preserve"> appraisal</w:t>
      </w:r>
      <w:r w:rsidRPr="00C8495E">
        <w:rPr>
          <w:rFonts w:ascii="Arial" w:eastAsia="Times New Roman" w:hAnsi="Arial" w:cs="Arial"/>
          <w:sz w:val="20"/>
          <w:szCs w:val="20"/>
          <w:lang w:eastAsia="en-GB"/>
        </w:rPr>
        <w:t xml:space="preserve"> papers demonstrate that the Committee were aware of the issues raised regarding health inequalities and</w:t>
      </w:r>
      <w:r w:rsidR="006111CE" w:rsidRPr="00C8495E">
        <w:rPr>
          <w:rFonts w:ascii="Arial" w:eastAsia="Times New Roman" w:hAnsi="Arial" w:cs="Arial"/>
          <w:sz w:val="20"/>
          <w:szCs w:val="20"/>
          <w:lang w:eastAsia="en-GB"/>
        </w:rPr>
        <w:t xml:space="preserve"> </w:t>
      </w:r>
      <w:r w:rsidR="002136CE" w:rsidRPr="00C8495E">
        <w:rPr>
          <w:rFonts w:ascii="Arial" w:eastAsia="Times New Roman" w:hAnsi="Arial" w:cs="Arial"/>
          <w:sz w:val="20"/>
          <w:szCs w:val="20"/>
          <w:lang w:eastAsia="en-GB"/>
        </w:rPr>
        <w:t xml:space="preserve">explained the adjustments that were </w:t>
      </w:r>
      <w:proofErr w:type="gramStart"/>
      <w:r w:rsidR="002136CE" w:rsidRPr="00C8495E">
        <w:rPr>
          <w:rFonts w:ascii="Arial" w:eastAsia="Times New Roman" w:hAnsi="Arial" w:cs="Arial"/>
          <w:sz w:val="20"/>
          <w:szCs w:val="20"/>
          <w:lang w:eastAsia="en-GB"/>
        </w:rPr>
        <w:t>taken into account</w:t>
      </w:r>
      <w:proofErr w:type="gramEnd"/>
      <w:r w:rsidR="002136CE" w:rsidRPr="00C8495E">
        <w:rPr>
          <w:rFonts w:ascii="Arial" w:eastAsia="Times New Roman" w:hAnsi="Arial" w:cs="Arial"/>
          <w:sz w:val="20"/>
          <w:szCs w:val="20"/>
          <w:lang w:eastAsia="en-GB"/>
        </w:rPr>
        <w:t>, specifically by allowing for a higher ICER</w:t>
      </w:r>
      <w:r w:rsidR="00E8276F" w:rsidRPr="00C8495E">
        <w:rPr>
          <w:rFonts w:ascii="Arial" w:eastAsia="Times New Roman" w:hAnsi="Arial" w:cs="Arial"/>
          <w:sz w:val="20"/>
          <w:szCs w:val="20"/>
          <w:lang w:eastAsia="en-GB"/>
        </w:rPr>
        <w:t xml:space="preserve"> threshold</w:t>
      </w:r>
      <w:r w:rsidR="002136CE" w:rsidRPr="00C8495E">
        <w:rPr>
          <w:rFonts w:ascii="Arial" w:eastAsia="Times New Roman" w:hAnsi="Arial" w:cs="Arial"/>
          <w:sz w:val="20"/>
          <w:szCs w:val="20"/>
          <w:lang w:eastAsia="en-GB"/>
        </w:rPr>
        <w:t xml:space="preserve">.  </w:t>
      </w:r>
      <w:r w:rsidR="00777342" w:rsidRPr="00C8495E">
        <w:rPr>
          <w:rFonts w:ascii="Arial" w:eastAsia="Times New Roman" w:hAnsi="Arial" w:cs="Arial"/>
          <w:sz w:val="20"/>
          <w:szCs w:val="20"/>
          <w:lang w:eastAsia="en-GB"/>
        </w:rPr>
        <w:t xml:space="preserve">I therefore remain of the view that your argument at para 41 of your response letter as to the adequacy of the explanation in the ACD and/or FDG does </w:t>
      </w:r>
      <w:r w:rsidR="00777342" w:rsidRPr="00C8495E">
        <w:rPr>
          <w:rFonts w:ascii="Arial" w:eastAsia="Times New Roman" w:hAnsi="Arial" w:cs="Arial"/>
          <w:sz w:val="20"/>
          <w:szCs w:val="20"/>
          <w:u w:val="single"/>
          <w:lang w:eastAsia="en-GB"/>
        </w:rPr>
        <w:t>not</w:t>
      </w:r>
      <w:r w:rsidR="00777342" w:rsidRPr="00C8495E">
        <w:rPr>
          <w:rFonts w:ascii="Arial" w:eastAsia="Times New Roman" w:hAnsi="Arial" w:cs="Arial"/>
          <w:sz w:val="20"/>
          <w:szCs w:val="20"/>
          <w:lang w:eastAsia="en-GB"/>
        </w:rPr>
        <w:t xml:space="preserve"> support a valid arguable appeal point. </w:t>
      </w:r>
    </w:p>
    <w:p w14:paraId="30DB3493" w14:textId="03436031" w:rsidR="001A523E" w:rsidRPr="00C8495E" w:rsidRDefault="006111CE" w:rsidP="001E17FB">
      <w:pPr>
        <w:spacing w:before="120" w:after="240"/>
        <w:rPr>
          <w:rFonts w:ascii="Arial" w:eastAsia="Times New Roman" w:hAnsi="Arial" w:cs="Arial"/>
          <w:sz w:val="20"/>
          <w:szCs w:val="20"/>
          <w:lang w:eastAsia="en-GB"/>
        </w:rPr>
      </w:pPr>
      <w:r w:rsidRPr="00C8495E">
        <w:rPr>
          <w:rFonts w:ascii="Arial" w:eastAsia="Times New Roman" w:hAnsi="Arial" w:cs="Arial"/>
          <w:sz w:val="20"/>
          <w:szCs w:val="20"/>
          <w:lang w:eastAsia="en-GB"/>
        </w:rPr>
        <w:t>However,</w:t>
      </w:r>
      <w:r w:rsidR="002136CE" w:rsidRPr="00C8495E">
        <w:rPr>
          <w:rFonts w:ascii="Arial" w:eastAsia="Times New Roman" w:hAnsi="Arial" w:cs="Arial"/>
          <w:sz w:val="20"/>
          <w:szCs w:val="20"/>
          <w:lang w:eastAsia="en-GB"/>
        </w:rPr>
        <w:t xml:space="preserve"> taking into </w:t>
      </w:r>
      <w:r w:rsidR="00777F48" w:rsidRPr="00C8495E">
        <w:rPr>
          <w:rFonts w:ascii="Arial" w:eastAsia="Times New Roman" w:hAnsi="Arial" w:cs="Arial"/>
          <w:sz w:val="20"/>
          <w:szCs w:val="20"/>
          <w:lang w:eastAsia="en-GB"/>
        </w:rPr>
        <w:t xml:space="preserve">consideration your additional arguments I accept </w:t>
      </w:r>
      <w:r w:rsidR="002136CE" w:rsidRPr="00C8495E">
        <w:rPr>
          <w:rFonts w:ascii="Arial" w:eastAsia="Times New Roman" w:hAnsi="Arial" w:cs="Arial"/>
          <w:sz w:val="20"/>
          <w:szCs w:val="20"/>
          <w:lang w:eastAsia="en-GB"/>
        </w:rPr>
        <w:t xml:space="preserve">that </w:t>
      </w:r>
      <w:r w:rsidR="00777F48" w:rsidRPr="00C8495E">
        <w:rPr>
          <w:rFonts w:ascii="Arial" w:eastAsia="Times New Roman" w:hAnsi="Arial" w:cs="Arial"/>
          <w:sz w:val="20"/>
          <w:szCs w:val="20"/>
          <w:lang w:eastAsia="en-GB"/>
        </w:rPr>
        <w:t xml:space="preserve">there is an arguable point that the Committee did not provide </w:t>
      </w:r>
      <w:r w:rsidR="00777342" w:rsidRPr="00C8495E">
        <w:rPr>
          <w:rFonts w:ascii="Arial" w:eastAsia="Times New Roman" w:hAnsi="Arial" w:cs="Arial"/>
          <w:sz w:val="20"/>
          <w:szCs w:val="20"/>
          <w:lang w:eastAsia="en-GB"/>
        </w:rPr>
        <w:t>stakeholders with "</w:t>
      </w:r>
      <w:r w:rsidR="00777342" w:rsidRPr="00C8495E">
        <w:rPr>
          <w:rFonts w:ascii="Arial" w:eastAsia="Times New Roman" w:hAnsi="Arial" w:cs="Arial"/>
          <w:i/>
          <w:iCs/>
          <w:sz w:val="20"/>
          <w:szCs w:val="20"/>
          <w:lang w:eastAsia="en-GB"/>
        </w:rPr>
        <w:t>a fair opportunity to influence the outcome of the Committee’s consideration of this issue … and that the failure to allow such an opportunity was procedurally unfair"</w:t>
      </w:r>
      <w:r w:rsidR="00777342" w:rsidRPr="00C8495E">
        <w:rPr>
          <w:rFonts w:ascii="Arial" w:eastAsia="Times New Roman" w:hAnsi="Arial" w:cs="Arial"/>
          <w:sz w:val="20"/>
          <w:szCs w:val="20"/>
          <w:lang w:eastAsia="en-GB"/>
        </w:rPr>
        <w:t xml:space="preserve"> as, for example, you say "</w:t>
      </w:r>
      <w:r w:rsidR="00777342" w:rsidRPr="00C8495E">
        <w:rPr>
          <w:rFonts w:ascii="Arial" w:eastAsia="Times New Roman" w:hAnsi="Arial" w:cs="Arial"/>
          <w:i/>
          <w:iCs/>
          <w:sz w:val="20"/>
          <w:szCs w:val="20"/>
          <w:lang w:eastAsia="en-GB"/>
        </w:rPr>
        <w:t>Pfizer may, with adequate notice, have been able to bring evidence to bear on the issue, which in the event was not made available to NICE because of this procedural shortcoming</w:t>
      </w:r>
      <w:r w:rsidR="00777342" w:rsidRPr="00C8495E">
        <w:rPr>
          <w:rFonts w:ascii="Arial" w:eastAsia="Times New Roman" w:hAnsi="Arial" w:cs="Arial"/>
          <w:sz w:val="20"/>
          <w:szCs w:val="20"/>
          <w:lang w:eastAsia="en-GB"/>
        </w:rPr>
        <w:t>" and "</w:t>
      </w:r>
      <w:r w:rsidR="00777342" w:rsidRPr="00C8495E">
        <w:rPr>
          <w:rFonts w:ascii="Arial" w:eastAsia="Times New Roman" w:hAnsi="Arial" w:cs="Arial"/>
          <w:i/>
          <w:iCs/>
          <w:sz w:val="20"/>
          <w:szCs w:val="20"/>
          <w:lang w:eastAsia="en-GB"/>
        </w:rPr>
        <w:t xml:space="preserve">Pfizer and other stakeholders should at the very least have been </w:t>
      </w:r>
      <w:r w:rsidR="00777342" w:rsidRPr="00C8495E">
        <w:rPr>
          <w:rFonts w:ascii="Arial" w:eastAsia="Times New Roman" w:hAnsi="Arial" w:cs="Arial"/>
          <w:i/>
          <w:iCs/>
          <w:sz w:val="20"/>
          <w:szCs w:val="20"/>
          <w:lang w:eastAsia="en-GB"/>
        </w:rPr>
        <w:lastRenderedPageBreak/>
        <w:t>told well in advance of ACM2 and with sufficient time to prepare responses, what the Committee’s approach was to the detailed submissions made on this point following ACD</w:t>
      </w:r>
      <w:r w:rsidR="00777342" w:rsidRPr="00C8495E">
        <w:rPr>
          <w:rFonts w:ascii="Arial" w:eastAsia="Times New Roman" w:hAnsi="Arial" w:cs="Arial"/>
          <w:sz w:val="20"/>
          <w:szCs w:val="20"/>
          <w:lang w:eastAsia="en-GB"/>
        </w:rPr>
        <w:t>"</w:t>
      </w:r>
      <w:r w:rsidR="002136CE" w:rsidRPr="00C8495E">
        <w:rPr>
          <w:rFonts w:ascii="Arial" w:eastAsia="Times New Roman" w:hAnsi="Arial" w:cs="Arial"/>
          <w:sz w:val="20"/>
          <w:szCs w:val="20"/>
          <w:lang w:eastAsia="en-GB"/>
        </w:rPr>
        <w:t xml:space="preserve">. </w:t>
      </w:r>
      <w:proofErr w:type="gramStart"/>
      <w:r w:rsidR="002136CE" w:rsidRPr="00C8495E">
        <w:rPr>
          <w:rFonts w:ascii="Arial" w:eastAsia="Times New Roman" w:hAnsi="Arial" w:cs="Arial"/>
          <w:sz w:val="20"/>
          <w:szCs w:val="20"/>
          <w:lang w:eastAsia="en-GB"/>
        </w:rPr>
        <w:t>Therefore</w:t>
      </w:r>
      <w:proofErr w:type="gramEnd"/>
      <w:r w:rsidR="002136CE" w:rsidRPr="00C8495E">
        <w:rPr>
          <w:rFonts w:ascii="Arial" w:eastAsia="Times New Roman" w:hAnsi="Arial" w:cs="Arial"/>
          <w:sz w:val="20"/>
          <w:szCs w:val="20"/>
          <w:lang w:eastAsia="en-GB"/>
        </w:rPr>
        <w:t xml:space="preserve"> I </w:t>
      </w:r>
      <w:r w:rsidR="00777342" w:rsidRPr="00C8495E">
        <w:rPr>
          <w:rFonts w:ascii="Arial" w:eastAsia="Times New Roman" w:hAnsi="Arial" w:cs="Arial"/>
          <w:sz w:val="20"/>
          <w:szCs w:val="20"/>
          <w:lang w:eastAsia="en-GB"/>
        </w:rPr>
        <w:t xml:space="preserve">will refer your point 2.1 limited to your </w:t>
      </w:r>
      <w:r w:rsidR="001A523E" w:rsidRPr="00C8495E">
        <w:rPr>
          <w:rFonts w:ascii="Arial" w:eastAsia="Times New Roman" w:hAnsi="Arial" w:cs="Arial"/>
          <w:sz w:val="20"/>
          <w:szCs w:val="20"/>
          <w:lang w:eastAsia="en-GB"/>
        </w:rPr>
        <w:t xml:space="preserve">argument that the Committee did not provide adequate opportunity </w:t>
      </w:r>
      <w:r w:rsidR="00777342" w:rsidRPr="00C8495E">
        <w:rPr>
          <w:rFonts w:ascii="Arial" w:eastAsia="Times New Roman" w:hAnsi="Arial" w:cs="Arial"/>
          <w:sz w:val="20"/>
          <w:szCs w:val="20"/>
          <w:lang w:eastAsia="en-GB"/>
        </w:rPr>
        <w:t xml:space="preserve">for stakeholders </w:t>
      </w:r>
      <w:r w:rsidR="001A523E" w:rsidRPr="00C8495E">
        <w:rPr>
          <w:rFonts w:ascii="Arial" w:eastAsia="Times New Roman" w:hAnsi="Arial" w:cs="Arial"/>
          <w:sz w:val="20"/>
          <w:szCs w:val="20"/>
          <w:lang w:eastAsia="en-GB"/>
        </w:rPr>
        <w:t>to participate in the process regarding health inequalities.</w:t>
      </w:r>
    </w:p>
    <w:p w14:paraId="4710A553" w14:textId="308FE8CA" w:rsidR="00DB178D" w:rsidRPr="00C8495E" w:rsidRDefault="00DB178D" w:rsidP="00DB178D">
      <w:pPr>
        <w:pStyle w:val="Paragraph"/>
        <w:numPr>
          <w:ilvl w:val="0"/>
          <w:numId w:val="0"/>
        </w:numPr>
        <w:spacing w:before="120"/>
        <w:jc w:val="both"/>
        <w:rPr>
          <w:rFonts w:cs="Arial"/>
          <w:b/>
          <w:i/>
          <w:sz w:val="20"/>
          <w:szCs w:val="20"/>
        </w:rPr>
      </w:pPr>
      <w:r w:rsidRPr="00C8495E">
        <w:rPr>
          <w:rFonts w:cs="Arial"/>
          <w:b/>
          <w:i/>
          <w:sz w:val="20"/>
          <w:szCs w:val="20"/>
        </w:rPr>
        <w:t>Ground 2:</w:t>
      </w:r>
      <w:r w:rsidRPr="00C8495E">
        <w:rPr>
          <w:rFonts w:cs="Arial"/>
          <w:i/>
          <w:sz w:val="20"/>
          <w:szCs w:val="20"/>
        </w:rPr>
        <w:t xml:space="preserve"> </w:t>
      </w:r>
      <w:r w:rsidRPr="00C8495E">
        <w:rPr>
          <w:rFonts w:cs="Arial"/>
          <w:b/>
          <w:i/>
          <w:sz w:val="20"/>
          <w:szCs w:val="20"/>
        </w:rPr>
        <w:t xml:space="preserve">the recommendation is unreasonable in the light of the evidence submitted to </w:t>
      </w:r>
      <w:proofErr w:type="gramStart"/>
      <w:r w:rsidRPr="00C8495E">
        <w:rPr>
          <w:rFonts w:cs="Arial"/>
          <w:b/>
          <w:i/>
          <w:sz w:val="20"/>
          <w:szCs w:val="20"/>
        </w:rPr>
        <w:t>NICE</w:t>
      </w:r>
      <w:proofErr w:type="gramEnd"/>
    </w:p>
    <w:p w14:paraId="5268D53A" w14:textId="66D8997C" w:rsidR="00671EF3" w:rsidRPr="00C8495E" w:rsidRDefault="00671EF3" w:rsidP="00671EF3">
      <w:pPr>
        <w:spacing w:before="240" w:after="240"/>
        <w:jc w:val="both"/>
        <w:rPr>
          <w:rFonts w:ascii="Arial" w:hAnsi="Arial" w:cs="Arial"/>
          <w:b/>
          <w:sz w:val="20"/>
          <w:szCs w:val="20"/>
          <w:u w:val="single"/>
        </w:rPr>
      </w:pPr>
      <w:r w:rsidRPr="00C8495E">
        <w:rPr>
          <w:rFonts w:ascii="Arial" w:hAnsi="Arial" w:cs="Arial"/>
          <w:b/>
          <w:sz w:val="20"/>
          <w:szCs w:val="20"/>
          <w:u w:val="single"/>
        </w:rPr>
        <w:t xml:space="preserve">Appeal </w:t>
      </w:r>
      <w:proofErr w:type="gramStart"/>
      <w:r w:rsidRPr="00C8495E">
        <w:rPr>
          <w:rFonts w:ascii="Arial" w:hAnsi="Arial" w:cs="Arial"/>
          <w:b/>
          <w:sz w:val="20"/>
          <w:szCs w:val="20"/>
          <w:u w:val="single"/>
        </w:rPr>
        <w:t>point</w:t>
      </w:r>
      <w:proofErr w:type="gramEnd"/>
      <w:r w:rsidRPr="00C8495E">
        <w:rPr>
          <w:rFonts w:ascii="Arial" w:hAnsi="Arial" w:cs="Arial"/>
          <w:b/>
          <w:sz w:val="20"/>
          <w:szCs w:val="20"/>
          <w:u w:val="single"/>
        </w:rPr>
        <w:t xml:space="preserve"> 2</w:t>
      </w:r>
      <w:r w:rsidR="001E17FB" w:rsidRPr="00C8495E">
        <w:rPr>
          <w:rFonts w:ascii="Arial" w:hAnsi="Arial" w:cs="Arial"/>
          <w:b/>
          <w:sz w:val="20"/>
          <w:szCs w:val="20"/>
          <w:u w:val="single"/>
        </w:rPr>
        <w:t>.1</w:t>
      </w:r>
      <w:r w:rsidRPr="00C8495E">
        <w:rPr>
          <w:rFonts w:ascii="Arial" w:hAnsi="Arial" w:cs="Arial"/>
          <w:b/>
          <w:sz w:val="20"/>
          <w:szCs w:val="20"/>
          <w:u w:val="single"/>
        </w:rPr>
        <w:t xml:space="preserve">; </w:t>
      </w:r>
      <w:r w:rsidR="001E17FB" w:rsidRPr="00C8495E">
        <w:rPr>
          <w:rFonts w:ascii="Arial" w:hAnsi="Arial" w:cs="Arial"/>
          <w:b/>
          <w:sz w:val="20"/>
          <w:szCs w:val="20"/>
          <w:u w:val="single"/>
        </w:rPr>
        <w:t>The Committee’s conclusion that there was too much uncertainty, such that it could not assess the cost-effectiveness of voxelotor, was irrational.</w:t>
      </w:r>
    </w:p>
    <w:p w14:paraId="6DDB3CB0" w14:textId="5BFFB79E" w:rsidR="00644056" w:rsidRPr="00C8495E" w:rsidRDefault="008A4FAB" w:rsidP="008A4FAB">
      <w:pPr>
        <w:spacing w:before="120" w:after="240"/>
        <w:rPr>
          <w:rFonts w:ascii="Arial" w:eastAsia="Times New Roman" w:hAnsi="Arial" w:cs="Arial"/>
          <w:sz w:val="20"/>
          <w:szCs w:val="20"/>
          <w:lang w:eastAsia="en-GB"/>
        </w:rPr>
      </w:pPr>
      <w:r w:rsidRPr="00C8495E">
        <w:rPr>
          <w:rFonts w:ascii="Arial" w:eastAsia="Times New Roman" w:hAnsi="Arial" w:cs="Arial"/>
          <w:sz w:val="20"/>
          <w:szCs w:val="20"/>
          <w:lang w:eastAsia="en-GB"/>
        </w:rPr>
        <w:t>Having considered the additional arguments made in your letter of 1 September 2023</w:t>
      </w:r>
      <w:r w:rsidR="00E8276F" w:rsidRPr="00C8495E">
        <w:rPr>
          <w:rFonts w:ascii="Arial" w:eastAsia="Times New Roman" w:hAnsi="Arial" w:cs="Arial"/>
          <w:sz w:val="20"/>
          <w:szCs w:val="20"/>
          <w:lang w:eastAsia="en-GB"/>
        </w:rPr>
        <w:t xml:space="preserve">, particularly </w:t>
      </w:r>
      <w:r w:rsidR="00B61B06" w:rsidRPr="00C8495E">
        <w:rPr>
          <w:rFonts w:ascii="Arial" w:eastAsia="Times New Roman" w:hAnsi="Arial" w:cs="Arial"/>
          <w:sz w:val="20"/>
          <w:szCs w:val="20"/>
          <w:lang w:eastAsia="en-GB"/>
        </w:rPr>
        <w:t xml:space="preserve">the question of whether </w:t>
      </w:r>
      <w:r w:rsidR="00E8276F" w:rsidRPr="00C8495E">
        <w:rPr>
          <w:rFonts w:ascii="Arial" w:eastAsia="Times New Roman" w:hAnsi="Arial" w:cs="Arial"/>
          <w:sz w:val="20"/>
          <w:szCs w:val="20"/>
          <w:lang w:eastAsia="en-GB"/>
        </w:rPr>
        <w:t>"</w:t>
      </w:r>
      <w:r w:rsidR="00E8276F" w:rsidRPr="00C8495E">
        <w:rPr>
          <w:rFonts w:ascii="Arial" w:eastAsia="Times New Roman" w:hAnsi="Arial" w:cs="Arial"/>
          <w:i/>
          <w:iCs/>
          <w:sz w:val="20"/>
          <w:szCs w:val="20"/>
          <w:lang w:eastAsia="en-GB"/>
        </w:rPr>
        <w:t xml:space="preserve">the degree of uncertainty here permitted the Committee to take the unusual steps of not formulating an ICER, nor taking other steps to mitigate or deal with the types of uncertainties that frequently arise in other cases </w:t>
      </w:r>
      <w:r w:rsidR="00E8276F" w:rsidRPr="00C8495E">
        <w:rPr>
          <w:rFonts w:ascii="Arial" w:eastAsia="Times New Roman" w:hAnsi="Arial" w:cs="Arial"/>
          <w:sz w:val="20"/>
          <w:szCs w:val="20"/>
          <w:lang w:eastAsia="en-GB"/>
        </w:rPr>
        <w:t>"</w:t>
      </w:r>
      <w:r w:rsidRPr="00C8495E">
        <w:rPr>
          <w:rFonts w:ascii="Arial" w:eastAsia="Times New Roman" w:hAnsi="Arial" w:cs="Arial"/>
          <w:sz w:val="20"/>
          <w:szCs w:val="20"/>
          <w:lang w:eastAsia="en-GB"/>
        </w:rPr>
        <w:t xml:space="preserve">, I agree that this is a </w:t>
      </w:r>
      <w:r w:rsidR="00B61B06" w:rsidRPr="00C8495E">
        <w:rPr>
          <w:rFonts w:ascii="Arial" w:eastAsia="Times New Roman" w:hAnsi="Arial" w:cs="Arial"/>
          <w:sz w:val="20"/>
          <w:szCs w:val="20"/>
          <w:lang w:eastAsia="en-GB"/>
        </w:rPr>
        <w:t xml:space="preserve">matter a </w:t>
      </w:r>
      <w:r w:rsidRPr="00C8495E">
        <w:rPr>
          <w:rFonts w:ascii="Arial" w:eastAsia="Times New Roman" w:hAnsi="Arial" w:cs="Arial"/>
          <w:sz w:val="20"/>
          <w:szCs w:val="20"/>
          <w:lang w:eastAsia="en-GB"/>
        </w:rPr>
        <w:t>valid appeal point</w:t>
      </w:r>
      <w:r w:rsidR="00B61B06" w:rsidRPr="00C8495E">
        <w:rPr>
          <w:rFonts w:ascii="Arial" w:eastAsia="Times New Roman" w:hAnsi="Arial" w:cs="Arial"/>
          <w:sz w:val="20"/>
          <w:szCs w:val="20"/>
          <w:lang w:eastAsia="en-GB"/>
        </w:rPr>
        <w:t xml:space="preserve"> that can be explored by the Appeal Panel</w:t>
      </w:r>
      <w:r w:rsidRPr="00C8495E">
        <w:rPr>
          <w:rFonts w:ascii="Arial" w:eastAsia="Times New Roman" w:hAnsi="Arial" w:cs="Arial"/>
          <w:sz w:val="20"/>
          <w:szCs w:val="20"/>
          <w:lang w:eastAsia="en-GB"/>
        </w:rPr>
        <w:t>.</w:t>
      </w:r>
      <w:r w:rsidR="00B61B06" w:rsidRPr="00C8495E">
        <w:rPr>
          <w:rFonts w:ascii="Arial" w:eastAsia="Times New Roman" w:hAnsi="Arial" w:cs="Arial"/>
          <w:sz w:val="20"/>
          <w:szCs w:val="20"/>
          <w:lang w:eastAsia="en-GB"/>
        </w:rPr>
        <w:t xml:space="preserve"> I anticipate that in preparing for the hearing you will wish to focus on </w:t>
      </w:r>
      <w:r w:rsidR="00644056" w:rsidRPr="00C8495E">
        <w:rPr>
          <w:rFonts w:ascii="Arial" w:eastAsia="Times New Roman" w:hAnsi="Arial" w:cs="Arial"/>
          <w:sz w:val="20"/>
          <w:szCs w:val="20"/>
          <w:lang w:eastAsia="en-GB"/>
        </w:rPr>
        <w:t>why</w:t>
      </w:r>
      <w:r w:rsidR="00B61B06" w:rsidRPr="00C8495E">
        <w:rPr>
          <w:rFonts w:ascii="Arial" w:eastAsia="Times New Roman" w:hAnsi="Arial" w:cs="Arial"/>
          <w:sz w:val="20"/>
          <w:szCs w:val="20"/>
          <w:lang w:eastAsia="en-GB"/>
        </w:rPr>
        <w:t xml:space="preserve"> it was </w:t>
      </w:r>
      <w:r w:rsidR="00644056" w:rsidRPr="00C8495E">
        <w:rPr>
          <w:rFonts w:ascii="Arial" w:eastAsia="Times New Roman" w:hAnsi="Arial" w:cs="Arial"/>
          <w:sz w:val="20"/>
          <w:szCs w:val="20"/>
          <w:lang w:eastAsia="en-GB"/>
        </w:rPr>
        <w:t>un</w:t>
      </w:r>
      <w:r w:rsidR="00B61B06" w:rsidRPr="00C8495E">
        <w:rPr>
          <w:rFonts w:ascii="Arial" w:eastAsia="Times New Roman" w:hAnsi="Arial" w:cs="Arial"/>
          <w:sz w:val="20"/>
          <w:szCs w:val="20"/>
          <w:lang w:eastAsia="en-GB"/>
        </w:rPr>
        <w:t xml:space="preserve">reasonable </w:t>
      </w:r>
      <w:r w:rsidR="00B61B06" w:rsidRPr="00C8495E">
        <w:rPr>
          <w:rFonts w:ascii="Arial" w:eastAsia="Times New Roman" w:hAnsi="Arial" w:cs="Arial"/>
          <w:sz w:val="20"/>
          <w:szCs w:val="20"/>
          <w:u w:val="single"/>
          <w:lang w:eastAsia="en-GB"/>
        </w:rPr>
        <w:t>on the evidenc</w:t>
      </w:r>
      <w:r w:rsidR="00D70854" w:rsidRPr="00C8495E">
        <w:rPr>
          <w:rFonts w:ascii="Arial" w:eastAsia="Times New Roman" w:hAnsi="Arial" w:cs="Arial"/>
          <w:sz w:val="20"/>
          <w:szCs w:val="20"/>
          <w:u w:val="single"/>
          <w:lang w:eastAsia="en-GB"/>
        </w:rPr>
        <w:t xml:space="preserve">e submitted to NICE </w:t>
      </w:r>
      <w:r w:rsidR="00B61B06" w:rsidRPr="00C8495E">
        <w:rPr>
          <w:rFonts w:ascii="Arial" w:eastAsia="Times New Roman" w:hAnsi="Arial" w:cs="Arial"/>
          <w:sz w:val="20"/>
          <w:szCs w:val="20"/>
          <w:lang w:eastAsia="en-GB"/>
        </w:rPr>
        <w:t>for the Committee</w:t>
      </w:r>
      <w:r w:rsidR="00D70854" w:rsidRPr="00C8495E">
        <w:rPr>
          <w:rFonts w:ascii="Arial" w:eastAsia="Times New Roman" w:hAnsi="Arial" w:cs="Arial"/>
          <w:sz w:val="20"/>
          <w:szCs w:val="20"/>
          <w:lang w:eastAsia="en-GB"/>
        </w:rPr>
        <w:t xml:space="preserve"> to conclude that</w:t>
      </w:r>
      <w:r w:rsidR="00B61B06" w:rsidRPr="00C8495E">
        <w:rPr>
          <w:rFonts w:ascii="Arial" w:eastAsia="Times New Roman" w:hAnsi="Arial" w:cs="Arial"/>
          <w:sz w:val="20"/>
          <w:szCs w:val="20"/>
          <w:lang w:eastAsia="en-GB"/>
        </w:rPr>
        <w:t xml:space="preserve"> </w:t>
      </w:r>
      <w:r w:rsidR="00D70854" w:rsidRPr="00C8495E">
        <w:rPr>
          <w:rFonts w:ascii="Arial" w:eastAsia="Times New Roman" w:hAnsi="Arial" w:cs="Arial"/>
          <w:sz w:val="20"/>
          <w:szCs w:val="20"/>
          <w:lang w:eastAsia="en-GB"/>
        </w:rPr>
        <w:t>the degree of uncertainty prevented calculation of a sufficiently reliable most plausible ICER (or ICER range)</w:t>
      </w:r>
      <w:r w:rsidR="00BF489B" w:rsidRPr="00C8495E">
        <w:rPr>
          <w:rFonts w:ascii="Arial" w:eastAsia="Times New Roman" w:hAnsi="Arial" w:cs="Arial"/>
          <w:sz w:val="20"/>
          <w:szCs w:val="20"/>
          <w:lang w:eastAsia="en-GB"/>
        </w:rPr>
        <w:t>.</w:t>
      </w:r>
    </w:p>
    <w:p w14:paraId="2AADAF28" w14:textId="77777777" w:rsidR="005A7A7D" w:rsidRPr="00C8495E" w:rsidRDefault="005A7A7D" w:rsidP="005A7A7D">
      <w:pPr>
        <w:spacing w:before="120" w:after="240"/>
        <w:jc w:val="both"/>
        <w:rPr>
          <w:rFonts w:ascii="Arial" w:eastAsia="Times New Roman" w:hAnsi="Arial" w:cs="Arial"/>
          <w:sz w:val="20"/>
          <w:szCs w:val="20"/>
          <w:u w:val="single"/>
        </w:rPr>
      </w:pPr>
      <w:r w:rsidRPr="00C8495E">
        <w:rPr>
          <w:rFonts w:ascii="Arial" w:eastAsia="Times New Roman" w:hAnsi="Arial" w:cs="Arial"/>
          <w:sz w:val="20"/>
          <w:szCs w:val="20"/>
          <w:u w:val="single"/>
        </w:rPr>
        <w:t>Conclusion</w:t>
      </w:r>
    </w:p>
    <w:p w14:paraId="64256DC4" w14:textId="77777777" w:rsidR="005A7A7D" w:rsidRPr="00C8495E" w:rsidRDefault="005A7A7D" w:rsidP="005A7A7D">
      <w:pPr>
        <w:spacing w:before="120" w:after="240"/>
        <w:jc w:val="both"/>
        <w:rPr>
          <w:rFonts w:ascii="Arial" w:eastAsia="Times New Roman" w:hAnsi="Arial" w:cs="Arial"/>
          <w:sz w:val="20"/>
          <w:szCs w:val="20"/>
        </w:rPr>
      </w:pPr>
      <w:proofErr w:type="gramStart"/>
      <w:r w:rsidRPr="00C8495E">
        <w:rPr>
          <w:rFonts w:ascii="Arial" w:eastAsia="Times New Roman" w:hAnsi="Arial" w:cs="Arial"/>
          <w:sz w:val="20"/>
          <w:szCs w:val="20"/>
        </w:rPr>
        <w:t>Therefore</w:t>
      </w:r>
      <w:proofErr w:type="gramEnd"/>
      <w:r w:rsidRPr="00C8495E">
        <w:rPr>
          <w:rFonts w:ascii="Arial" w:eastAsia="Times New Roman" w:hAnsi="Arial" w:cs="Arial"/>
          <w:sz w:val="20"/>
          <w:szCs w:val="20"/>
        </w:rPr>
        <w:t xml:space="preserve"> the valid appeal points are:</w:t>
      </w:r>
    </w:p>
    <w:p w14:paraId="0AF0E90C" w14:textId="0B785684" w:rsidR="005A7A7D" w:rsidRPr="00C8495E" w:rsidRDefault="005A7A7D"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 xml:space="preserve">1(a).1 </w:t>
      </w:r>
      <w:r w:rsidR="001E17FB" w:rsidRPr="00C8495E">
        <w:rPr>
          <w:rFonts w:ascii="Arial" w:eastAsia="Times New Roman" w:hAnsi="Arial" w:cs="Arial"/>
          <w:sz w:val="20"/>
          <w:szCs w:val="20"/>
        </w:rPr>
        <w:t>It was procedurally unfair for the Committee not to give, at any point during the appraisal process, any indication of what it considered to be the plausible cost-effectiveness of voxelotor.</w:t>
      </w:r>
    </w:p>
    <w:p w14:paraId="572939F7" w14:textId="4A8A499E" w:rsidR="005A7A7D" w:rsidRPr="00C8495E" w:rsidRDefault="005A7A7D"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1(</w:t>
      </w:r>
      <w:r w:rsidR="001E17FB" w:rsidRPr="00C8495E">
        <w:rPr>
          <w:rFonts w:ascii="Arial" w:eastAsia="Times New Roman" w:hAnsi="Arial" w:cs="Arial"/>
          <w:sz w:val="20"/>
          <w:szCs w:val="20"/>
        </w:rPr>
        <w:t>a</w:t>
      </w:r>
      <w:r w:rsidRPr="00C8495E">
        <w:rPr>
          <w:rFonts w:ascii="Arial" w:eastAsia="Times New Roman" w:hAnsi="Arial" w:cs="Arial"/>
          <w:sz w:val="20"/>
          <w:szCs w:val="20"/>
        </w:rPr>
        <w:t>).</w:t>
      </w:r>
      <w:r w:rsidR="001E17FB" w:rsidRPr="00C8495E">
        <w:rPr>
          <w:rFonts w:ascii="Arial" w:eastAsia="Times New Roman" w:hAnsi="Arial" w:cs="Arial"/>
          <w:sz w:val="20"/>
          <w:szCs w:val="20"/>
        </w:rPr>
        <w:t>2</w:t>
      </w:r>
      <w:r w:rsidRPr="00C8495E">
        <w:rPr>
          <w:rFonts w:ascii="Arial" w:eastAsia="Times New Roman" w:hAnsi="Arial" w:cs="Arial"/>
          <w:sz w:val="20"/>
          <w:szCs w:val="20"/>
        </w:rPr>
        <w:t xml:space="preserve"> </w:t>
      </w:r>
      <w:r w:rsidR="001E17FB" w:rsidRPr="00C8495E">
        <w:rPr>
          <w:rFonts w:ascii="Arial" w:eastAsia="Times New Roman" w:hAnsi="Arial" w:cs="Arial"/>
          <w:sz w:val="20"/>
          <w:szCs w:val="20"/>
        </w:rPr>
        <w:t>It was procedurally unfair for the Committee not to inform Pfizer, in sufficient time in advance of ACM2, of the estimates generated by the exploratory scenario analyses of the external assessment group (‘EAG’).</w:t>
      </w:r>
    </w:p>
    <w:p w14:paraId="2446CC73" w14:textId="77A6DFCC" w:rsidR="001E17FB" w:rsidRPr="00C8495E" w:rsidRDefault="001E17FB"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 xml:space="preserve">1(a).3 </w:t>
      </w:r>
      <w:r w:rsidR="005D18CC" w:rsidRPr="00C8495E">
        <w:rPr>
          <w:rFonts w:ascii="Arial" w:eastAsia="Times New Roman" w:hAnsi="Arial" w:cs="Arial"/>
          <w:sz w:val="20"/>
          <w:szCs w:val="20"/>
        </w:rPr>
        <w:t>In a situation where the Committee considered there still to be multiple sources of uncertainty by the time of ACM2, it was unfair nevertheless to proceed directly to the publication of the FDG with no opportunity for a further ACM or to explore suggestions such as managed access.</w:t>
      </w:r>
    </w:p>
    <w:p w14:paraId="06CD160D" w14:textId="74E54AF7" w:rsidR="001E17FB" w:rsidRPr="00C8495E" w:rsidRDefault="001E17FB"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1(a).4 Given the nature of the outstanding issues, the Committee should have ensured that a clinical and/or patient expert was invited to ACM2, to speak directly on issues where their input would have been valuable.</w:t>
      </w:r>
    </w:p>
    <w:p w14:paraId="7B3032F3" w14:textId="0AC929BD" w:rsidR="001E17FB" w:rsidRPr="00C8495E" w:rsidRDefault="001E17FB"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1(a).5</w:t>
      </w:r>
      <w:r w:rsidR="005D18CC" w:rsidRPr="00C8495E">
        <w:rPr>
          <w:rFonts w:ascii="Arial" w:eastAsia="Times New Roman" w:hAnsi="Arial" w:cs="Arial"/>
          <w:sz w:val="20"/>
          <w:szCs w:val="20"/>
        </w:rPr>
        <w:t xml:space="preserve"> </w:t>
      </w:r>
      <w:r w:rsidR="00777342" w:rsidRPr="00C8495E">
        <w:rPr>
          <w:rFonts w:ascii="Arial" w:eastAsia="Times New Roman" w:hAnsi="Arial" w:cs="Arial"/>
          <w:sz w:val="20"/>
          <w:szCs w:val="20"/>
        </w:rPr>
        <w:t>The Committee unfairly failed to provide adequate opportunity for stakeholders, during the appraisal process, to comment on how it intended to take (or not take) health inequalities in relation to SCD into account in its decision-making and why</w:t>
      </w:r>
      <w:r w:rsidR="00C8495E">
        <w:rPr>
          <w:rFonts w:ascii="Arial" w:eastAsia="Times New Roman" w:hAnsi="Arial" w:cs="Arial"/>
          <w:sz w:val="20"/>
          <w:szCs w:val="20"/>
        </w:rPr>
        <w:t>.</w:t>
      </w:r>
    </w:p>
    <w:p w14:paraId="63A192F1" w14:textId="2CE74579" w:rsidR="005A7A7D" w:rsidRPr="00C8495E" w:rsidRDefault="005A7A7D"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1(b).</w:t>
      </w:r>
      <w:r w:rsidR="001E17FB" w:rsidRPr="00C8495E">
        <w:rPr>
          <w:rFonts w:ascii="Arial" w:eastAsia="Times New Roman" w:hAnsi="Arial" w:cs="Arial"/>
          <w:sz w:val="20"/>
          <w:szCs w:val="20"/>
        </w:rPr>
        <w:t>1</w:t>
      </w:r>
      <w:r w:rsidRPr="00C8495E">
        <w:rPr>
          <w:rFonts w:ascii="Arial" w:eastAsia="Times New Roman" w:hAnsi="Arial" w:cs="Arial"/>
          <w:sz w:val="20"/>
          <w:szCs w:val="20"/>
        </w:rPr>
        <w:t xml:space="preserve"> </w:t>
      </w:r>
      <w:r w:rsidR="001E17FB" w:rsidRPr="00C8495E">
        <w:rPr>
          <w:rFonts w:ascii="Arial" w:eastAsia="Times New Roman" w:hAnsi="Arial" w:cs="Arial"/>
          <w:sz w:val="20"/>
          <w:szCs w:val="20"/>
        </w:rPr>
        <w:t>The adjustment made by the Committee to reflect the health inequalities associated with SCD, while welcome, was inadequate and should not have been so limited in scope.</w:t>
      </w:r>
    </w:p>
    <w:p w14:paraId="35347CF6" w14:textId="68E62FF1" w:rsidR="005A7A7D" w:rsidRPr="00C8495E" w:rsidRDefault="005A7A7D"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2.</w:t>
      </w:r>
      <w:r w:rsidR="001E17FB" w:rsidRPr="00C8495E">
        <w:rPr>
          <w:rFonts w:ascii="Arial" w:eastAsia="Times New Roman" w:hAnsi="Arial" w:cs="Arial"/>
          <w:sz w:val="20"/>
          <w:szCs w:val="20"/>
        </w:rPr>
        <w:t>1</w:t>
      </w:r>
      <w:r w:rsidR="0004376F" w:rsidRPr="00C8495E">
        <w:rPr>
          <w:rFonts w:ascii="Arial" w:eastAsia="Times New Roman" w:hAnsi="Arial" w:cs="Arial"/>
          <w:sz w:val="20"/>
          <w:szCs w:val="20"/>
        </w:rPr>
        <w:t xml:space="preserve"> The Committee’s conclusion that there was too much uncertainty, such that it could not assess the cost-effectiveness of voxelotor, was irrational.</w:t>
      </w:r>
    </w:p>
    <w:p w14:paraId="39AAB977" w14:textId="366201A7" w:rsidR="005A7A7D" w:rsidRPr="00C8495E" w:rsidRDefault="005A7A7D"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t>•</w:t>
      </w:r>
      <w:r w:rsidRPr="00C8495E">
        <w:rPr>
          <w:rFonts w:ascii="Arial" w:eastAsia="Times New Roman" w:hAnsi="Arial" w:cs="Arial"/>
          <w:sz w:val="20"/>
          <w:szCs w:val="20"/>
        </w:rPr>
        <w:tab/>
        <w:t>2.</w:t>
      </w:r>
      <w:r w:rsidR="001E17FB" w:rsidRPr="00C8495E">
        <w:rPr>
          <w:rFonts w:ascii="Arial" w:eastAsia="Times New Roman" w:hAnsi="Arial" w:cs="Arial"/>
          <w:sz w:val="20"/>
          <w:szCs w:val="20"/>
        </w:rPr>
        <w:t>2</w:t>
      </w:r>
      <w:r w:rsidR="008C2721">
        <w:rPr>
          <w:rFonts w:ascii="Arial" w:eastAsia="Times New Roman" w:hAnsi="Arial" w:cs="Arial"/>
          <w:sz w:val="20"/>
          <w:szCs w:val="20"/>
        </w:rPr>
        <w:t xml:space="preserve"> </w:t>
      </w:r>
      <w:r w:rsidR="001E17FB" w:rsidRPr="00C8495E">
        <w:rPr>
          <w:rFonts w:ascii="Arial" w:eastAsia="Times New Roman" w:hAnsi="Arial" w:cs="Arial"/>
          <w:sz w:val="20"/>
          <w:szCs w:val="20"/>
        </w:rPr>
        <w:t>The Committee misunderstood the relationship between the proposed positioning/NHS population and the trial population. It drew incorrect conclusions.</w:t>
      </w:r>
    </w:p>
    <w:p w14:paraId="78B3B301" w14:textId="2FBD104B" w:rsidR="001E17FB" w:rsidRPr="00C8495E" w:rsidRDefault="001E17FB" w:rsidP="002136CE">
      <w:pPr>
        <w:spacing w:before="120" w:after="240"/>
        <w:ind w:left="720" w:hanging="720"/>
        <w:jc w:val="both"/>
        <w:rPr>
          <w:rFonts w:ascii="Arial" w:eastAsia="Times New Roman" w:hAnsi="Arial" w:cs="Arial"/>
          <w:sz w:val="20"/>
          <w:szCs w:val="20"/>
        </w:rPr>
      </w:pPr>
      <w:r w:rsidRPr="00C8495E">
        <w:rPr>
          <w:rFonts w:ascii="Arial" w:eastAsia="Times New Roman" w:hAnsi="Arial" w:cs="Arial"/>
          <w:sz w:val="20"/>
          <w:szCs w:val="20"/>
        </w:rPr>
        <w:lastRenderedPageBreak/>
        <w:t>•</w:t>
      </w:r>
      <w:r w:rsidRPr="00C8495E">
        <w:rPr>
          <w:rFonts w:ascii="Arial" w:eastAsia="Times New Roman" w:hAnsi="Arial" w:cs="Arial"/>
          <w:sz w:val="20"/>
          <w:szCs w:val="20"/>
        </w:rPr>
        <w:tab/>
        <w:t>2.3</w:t>
      </w:r>
      <w:r w:rsidR="008C2721">
        <w:rPr>
          <w:rFonts w:ascii="Arial" w:eastAsia="Times New Roman" w:hAnsi="Arial" w:cs="Arial"/>
          <w:sz w:val="20"/>
          <w:szCs w:val="20"/>
        </w:rPr>
        <w:t xml:space="preserve"> </w:t>
      </w:r>
      <w:r w:rsidRPr="00C8495E">
        <w:rPr>
          <w:rFonts w:ascii="Arial" w:eastAsia="Times New Roman" w:hAnsi="Arial" w:cs="Arial"/>
          <w:sz w:val="20"/>
          <w:szCs w:val="20"/>
        </w:rPr>
        <w:t xml:space="preserve">To the extent that the Committee considered that the rates of RTT modelled in the voxelotor and SoC arms of the model could be the </w:t>
      </w:r>
      <w:proofErr w:type="gramStart"/>
      <w:r w:rsidRPr="00C8495E">
        <w:rPr>
          <w:rFonts w:ascii="Arial" w:eastAsia="Times New Roman" w:hAnsi="Arial" w:cs="Arial"/>
          <w:sz w:val="20"/>
          <w:szCs w:val="20"/>
        </w:rPr>
        <w:t>same, and</w:t>
      </w:r>
      <w:proofErr w:type="gramEnd"/>
      <w:r w:rsidRPr="00C8495E">
        <w:rPr>
          <w:rFonts w:ascii="Arial" w:eastAsia="Times New Roman" w:hAnsi="Arial" w:cs="Arial"/>
          <w:sz w:val="20"/>
          <w:szCs w:val="20"/>
        </w:rPr>
        <w:t xml:space="preserve"> relied in the FDG on that being a possibility, it was unreasonable to do so.</w:t>
      </w:r>
    </w:p>
    <w:p w14:paraId="6599EABC" w14:textId="54B18327" w:rsidR="005A7A7D" w:rsidRPr="00C8495E"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NICE shares the valid appeal grounds of each appellant with the other appellants</w:t>
      </w:r>
      <w:r w:rsidR="00D165C7">
        <w:rPr>
          <w:rFonts w:ascii="Arial" w:eastAsia="Times New Roman" w:hAnsi="Arial" w:cs="Arial"/>
          <w:sz w:val="20"/>
          <w:szCs w:val="20"/>
        </w:rPr>
        <w:t xml:space="preserve"> in the appeal papers</w:t>
      </w:r>
      <w:r w:rsidRPr="00C8495E">
        <w:rPr>
          <w:rFonts w:ascii="Arial" w:eastAsia="Times New Roman" w:hAnsi="Arial" w:cs="Arial"/>
          <w:sz w:val="20"/>
          <w:szCs w:val="20"/>
        </w:rPr>
        <w:t xml:space="preserve"> to assist with preparation for the hearing.  </w:t>
      </w:r>
    </w:p>
    <w:p w14:paraId="5CCF2CB3" w14:textId="77777777" w:rsidR="005A7A7D" w:rsidRPr="00C8495E"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 xml:space="preserve">NICE will be in contact with you regarding the administration of the appeal, which will be held orally. </w:t>
      </w:r>
    </w:p>
    <w:p w14:paraId="12F2B947" w14:textId="77777777" w:rsidR="005A7A7D" w:rsidRPr="00C8495E" w:rsidRDefault="005A7A7D" w:rsidP="005A7A7D">
      <w:pPr>
        <w:spacing w:before="120" w:after="240"/>
        <w:jc w:val="both"/>
        <w:rPr>
          <w:rFonts w:ascii="Arial" w:eastAsia="Times New Roman" w:hAnsi="Arial" w:cs="Arial"/>
          <w:sz w:val="20"/>
          <w:szCs w:val="20"/>
          <w:u w:val="single"/>
        </w:rPr>
      </w:pPr>
    </w:p>
    <w:p w14:paraId="04BAA200" w14:textId="77777777" w:rsidR="005A7A7D"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Yours sincerely</w:t>
      </w:r>
    </w:p>
    <w:p w14:paraId="478F5986" w14:textId="66AD8F59" w:rsidR="00D165C7" w:rsidRPr="0031085E" w:rsidRDefault="0031085E" w:rsidP="005A7A7D">
      <w:pPr>
        <w:spacing w:before="120" w:after="240"/>
        <w:jc w:val="both"/>
        <w:rPr>
          <w:rFonts w:ascii="Arial" w:eastAsia="Times New Roman" w:hAnsi="Arial" w:cs="Arial"/>
          <w:sz w:val="20"/>
          <w:szCs w:val="20"/>
        </w:rPr>
      </w:pPr>
      <w:r w:rsidRPr="0031085E">
        <w:rPr>
          <w:rFonts w:cs="Arial"/>
          <w:noProof/>
          <w:sz w:val="20"/>
          <w:szCs w:val="20"/>
          <w:highlight w:val="black"/>
        </w:rPr>
        <w:t>XXXXXXXXXXXXXXXXXXXXXXXXX</w:t>
      </w:r>
    </w:p>
    <w:p w14:paraId="06E59F3D" w14:textId="77777777" w:rsidR="005A7A7D" w:rsidRPr="00C8495E"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Dr Mark Chakravarty</w:t>
      </w:r>
    </w:p>
    <w:p w14:paraId="321A9458" w14:textId="77777777" w:rsidR="005A7A7D" w:rsidRPr="00C8495E"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Lead Non-Executive Director for Appeals &amp; Vice Chairman</w:t>
      </w:r>
    </w:p>
    <w:p w14:paraId="40B9BBC0" w14:textId="77777777" w:rsidR="005A7A7D" w:rsidRPr="00C8495E" w:rsidRDefault="005A7A7D" w:rsidP="005A7A7D">
      <w:pPr>
        <w:spacing w:before="120" w:after="240"/>
        <w:jc w:val="both"/>
        <w:rPr>
          <w:rFonts w:ascii="Arial" w:eastAsia="Times New Roman" w:hAnsi="Arial" w:cs="Arial"/>
          <w:sz w:val="20"/>
          <w:szCs w:val="20"/>
        </w:rPr>
      </w:pPr>
      <w:r w:rsidRPr="00C8495E">
        <w:rPr>
          <w:rFonts w:ascii="Arial" w:eastAsia="Times New Roman" w:hAnsi="Arial" w:cs="Arial"/>
          <w:sz w:val="20"/>
          <w:szCs w:val="20"/>
        </w:rPr>
        <w:t>National Institute for Health and Care Excellence</w:t>
      </w:r>
    </w:p>
    <w:p w14:paraId="03E7BAFA" w14:textId="4811D299" w:rsidR="000B36E1" w:rsidRPr="00C8495E" w:rsidRDefault="000B36E1" w:rsidP="002B6A0D">
      <w:pPr>
        <w:spacing w:line="360" w:lineRule="auto"/>
        <w:rPr>
          <w:rFonts w:ascii="Arial" w:hAnsi="Arial" w:cs="Arial"/>
          <w:sz w:val="20"/>
          <w:szCs w:val="20"/>
        </w:rPr>
      </w:pPr>
    </w:p>
    <w:sectPr w:rsidR="000B36E1" w:rsidRPr="00C8495E"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C170" w14:textId="77777777" w:rsidR="00B711E5" w:rsidRDefault="00B711E5" w:rsidP="000B352B">
      <w:pPr>
        <w:spacing w:after="0" w:line="240" w:lineRule="auto"/>
      </w:pPr>
      <w:r>
        <w:separator/>
      </w:r>
    </w:p>
  </w:endnote>
  <w:endnote w:type="continuationSeparator" w:id="0">
    <w:p w14:paraId="6293F653" w14:textId="77777777" w:rsidR="00B711E5" w:rsidRDefault="00B711E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DBFD" w14:textId="77777777" w:rsidR="00B711E5" w:rsidRDefault="00B711E5" w:rsidP="000B352B">
      <w:pPr>
        <w:spacing w:after="0" w:line="240" w:lineRule="auto"/>
      </w:pPr>
      <w:r>
        <w:separator/>
      </w:r>
    </w:p>
  </w:footnote>
  <w:footnote w:type="continuationSeparator" w:id="0">
    <w:p w14:paraId="45079002" w14:textId="77777777" w:rsidR="00B711E5" w:rsidRDefault="00B711E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7"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081330">
    <w:abstractNumId w:val="1"/>
  </w:num>
  <w:num w:numId="2" w16cid:durableId="1239897750">
    <w:abstractNumId w:val="5"/>
  </w:num>
  <w:num w:numId="3" w16cid:durableId="724110161">
    <w:abstractNumId w:val="2"/>
  </w:num>
  <w:num w:numId="4" w16cid:durableId="99180155">
    <w:abstractNumId w:val="6"/>
  </w:num>
  <w:num w:numId="5" w16cid:durableId="1481845086">
    <w:abstractNumId w:val="0"/>
  </w:num>
  <w:num w:numId="6" w16cid:durableId="423919277">
    <w:abstractNumId w:val="3"/>
  </w:num>
  <w:num w:numId="7" w16cid:durableId="2008357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738768">
    <w:abstractNumId w:val="4"/>
  </w:num>
  <w:num w:numId="9" w16cid:durableId="1504122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376F"/>
    <w:rsid w:val="000468DC"/>
    <w:rsid w:val="000641E7"/>
    <w:rsid w:val="00085181"/>
    <w:rsid w:val="000B104A"/>
    <w:rsid w:val="000B352B"/>
    <w:rsid w:val="000B36E1"/>
    <w:rsid w:val="00144F73"/>
    <w:rsid w:val="0014732A"/>
    <w:rsid w:val="00166A09"/>
    <w:rsid w:val="00176AA4"/>
    <w:rsid w:val="001A523E"/>
    <w:rsid w:val="001D5BD2"/>
    <w:rsid w:val="001E0317"/>
    <w:rsid w:val="001E17FB"/>
    <w:rsid w:val="001F3962"/>
    <w:rsid w:val="002136CE"/>
    <w:rsid w:val="0022689E"/>
    <w:rsid w:val="002B6A0D"/>
    <w:rsid w:val="0031085E"/>
    <w:rsid w:val="00320722"/>
    <w:rsid w:val="00321B75"/>
    <w:rsid w:val="00371B99"/>
    <w:rsid w:val="0039364E"/>
    <w:rsid w:val="003936B7"/>
    <w:rsid w:val="003A3E2E"/>
    <w:rsid w:val="003A79BD"/>
    <w:rsid w:val="003B2535"/>
    <w:rsid w:val="003D614E"/>
    <w:rsid w:val="0040409D"/>
    <w:rsid w:val="004215D9"/>
    <w:rsid w:val="0043022B"/>
    <w:rsid w:val="00453738"/>
    <w:rsid w:val="00453774"/>
    <w:rsid w:val="00480405"/>
    <w:rsid w:val="00493D2F"/>
    <w:rsid w:val="004C2D22"/>
    <w:rsid w:val="004E4493"/>
    <w:rsid w:val="004F29D7"/>
    <w:rsid w:val="004F39B0"/>
    <w:rsid w:val="00593F3D"/>
    <w:rsid w:val="005A42E5"/>
    <w:rsid w:val="005A7A7D"/>
    <w:rsid w:val="005B078B"/>
    <w:rsid w:val="005C388B"/>
    <w:rsid w:val="005C7480"/>
    <w:rsid w:val="005D18CC"/>
    <w:rsid w:val="005E0434"/>
    <w:rsid w:val="005E2A58"/>
    <w:rsid w:val="006111CE"/>
    <w:rsid w:val="00641CEB"/>
    <w:rsid w:val="00644056"/>
    <w:rsid w:val="006628FF"/>
    <w:rsid w:val="00671EF3"/>
    <w:rsid w:val="0069376C"/>
    <w:rsid w:val="006D0C62"/>
    <w:rsid w:val="006F031D"/>
    <w:rsid w:val="0072577F"/>
    <w:rsid w:val="00732227"/>
    <w:rsid w:val="00777342"/>
    <w:rsid w:val="00777F48"/>
    <w:rsid w:val="0079326E"/>
    <w:rsid w:val="007B36FA"/>
    <w:rsid w:val="007C64C6"/>
    <w:rsid w:val="007D4914"/>
    <w:rsid w:val="00823D8C"/>
    <w:rsid w:val="00866617"/>
    <w:rsid w:val="008A4FAB"/>
    <w:rsid w:val="008C081A"/>
    <w:rsid w:val="008C2721"/>
    <w:rsid w:val="008E4AE4"/>
    <w:rsid w:val="00961369"/>
    <w:rsid w:val="009A01FD"/>
    <w:rsid w:val="009E2F15"/>
    <w:rsid w:val="009E5151"/>
    <w:rsid w:val="009F0476"/>
    <w:rsid w:val="00A0226C"/>
    <w:rsid w:val="00A84AF4"/>
    <w:rsid w:val="00AE303D"/>
    <w:rsid w:val="00B24360"/>
    <w:rsid w:val="00B32B71"/>
    <w:rsid w:val="00B61B06"/>
    <w:rsid w:val="00B711E5"/>
    <w:rsid w:val="00B737D4"/>
    <w:rsid w:val="00BC7BE7"/>
    <w:rsid w:val="00BF489B"/>
    <w:rsid w:val="00C66C39"/>
    <w:rsid w:val="00C75D1F"/>
    <w:rsid w:val="00C8495E"/>
    <w:rsid w:val="00C85906"/>
    <w:rsid w:val="00C96687"/>
    <w:rsid w:val="00CB4563"/>
    <w:rsid w:val="00CE085C"/>
    <w:rsid w:val="00D165C7"/>
    <w:rsid w:val="00D22D3F"/>
    <w:rsid w:val="00D37DEC"/>
    <w:rsid w:val="00D43C5C"/>
    <w:rsid w:val="00D70854"/>
    <w:rsid w:val="00D755E3"/>
    <w:rsid w:val="00D770E0"/>
    <w:rsid w:val="00DB178D"/>
    <w:rsid w:val="00DD43C2"/>
    <w:rsid w:val="00E03263"/>
    <w:rsid w:val="00E467E2"/>
    <w:rsid w:val="00E60FCF"/>
    <w:rsid w:val="00E622D7"/>
    <w:rsid w:val="00E67BD1"/>
    <w:rsid w:val="00E70F23"/>
    <w:rsid w:val="00E7772A"/>
    <w:rsid w:val="00E8276F"/>
    <w:rsid w:val="00EA3919"/>
    <w:rsid w:val="00EE6553"/>
    <w:rsid w:val="00F04994"/>
    <w:rsid w:val="00F1265E"/>
    <w:rsid w:val="00F233EA"/>
    <w:rsid w:val="00F24B1D"/>
    <w:rsid w:val="00F271CA"/>
    <w:rsid w:val="00F47A04"/>
    <w:rsid w:val="00F70A40"/>
    <w:rsid w:val="00FB225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6</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Lyn Davies</cp:lastModifiedBy>
  <cp:revision>3</cp:revision>
  <dcterms:created xsi:type="dcterms:W3CDTF">2023-09-08T17:20:00Z</dcterms:created>
  <dcterms:modified xsi:type="dcterms:W3CDTF">2023-10-05T09:15:00Z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2023-09-11T09:18:40Z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8f5e137d-6c59-46ac-b5dc-b268e45bfc23</vt:lpwstr>
  </property>
  <property fmtid="{D5CDD505-2E9C-101B-9397-08002B2CF9AE}" pid="8" name="MSIP_Label_c69d85d5-6d9e-4305-a294-1f636ec0f2d6_ContentBits">
    <vt:lpwstr>0</vt:lpwstr>
  </property>
</Properties>
</file>