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C1A4" w14:textId="4CF2D1F5" w:rsidR="0004302C" w:rsidRPr="00CF1729" w:rsidRDefault="0004302C" w:rsidP="0004302C">
      <w:pPr>
        <w:rPr>
          <w:rStyle w:val="Hyperlink"/>
          <w:rFonts w:cs="Arial"/>
          <w:color w:val="auto"/>
        </w:rPr>
      </w:pPr>
      <w:r w:rsidRPr="00CF1729">
        <w:rPr>
          <w:rFonts w:cs="Arial"/>
          <w:color w:val="auto"/>
        </w:rPr>
        <w:t xml:space="preserve">Sent by e-mail only: </w:t>
      </w:r>
      <w:r w:rsidR="00C17BF2" w:rsidRPr="00C17BF2">
        <w:rPr>
          <w:rFonts w:cs="Arial"/>
          <w:color w:val="auto"/>
          <w:highlight w:val="black"/>
        </w:rPr>
        <w:t>XXXXXXXXXXXXXX</w:t>
      </w:r>
    </w:p>
    <w:p w14:paraId="52AF9A60" w14:textId="0CCB7DDB" w:rsidR="0004302C" w:rsidRPr="00C17BF2" w:rsidRDefault="0004302C" w:rsidP="0004302C">
      <w:pPr>
        <w:spacing w:after="0" w:line="240" w:lineRule="auto"/>
        <w:jc w:val="both"/>
        <w:rPr>
          <w:rFonts w:cs="Arial"/>
          <w:color w:val="auto"/>
          <w:highlight w:val="black"/>
        </w:rPr>
      </w:pPr>
      <w:r w:rsidRPr="00CF1729">
        <w:rPr>
          <w:rFonts w:cs="Arial"/>
          <w:color w:val="auto"/>
        </w:rPr>
        <w:t xml:space="preserve">FAO </w:t>
      </w:r>
      <w:r w:rsidR="00C17BF2" w:rsidRPr="00C17BF2">
        <w:rPr>
          <w:rFonts w:cs="Arial"/>
          <w:color w:val="auto"/>
          <w:highlight w:val="black"/>
        </w:rPr>
        <w:t>XXXXXXXXXXXXXXX</w:t>
      </w:r>
    </w:p>
    <w:p w14:paraId="3CB02436" w14:textId="5782A45F" w:rsidR="003D280B" w:rsidRPr="00CF1729" w:rsidRDefault="00C17BF2" w:rsidP="0004302C">
      <w:pPr>
        <w:spacing w:after="0" w:line="240" w:lineRule="auto"/>
        <w:jc w:val="both"/>
        <w:rPr>
          <w:rFonts w:cs="Arial"/>
          <w:color w:val="auto"/>
        </w:rPr>
      </w:pPr>
      <w:r w:rsidRPr="00C17BF2">
        <w:rPr>
          <w:rFonts w:cs="Arial"/>
          <w:color w:val="auto"/>
          <w:highlight w:val="black"/>
        </w:rPr>
        <w:t>XXXXXXXXXXXXXXXXXX</w:t>
      </w:r>
    </w:p>
    <w:p w14:paraId="145271F9" w14:textId="4C0D4962" w:rsidR="003D280B" w:rsidRPr="00CF1729" w:rsidRDefault="008D2660" w:rsidP="0004302C">
      <w:pPr>
        <w:spacing w:after="0" w:line="240" w:lineRule="auto"/>
        <w:jc w:val="both"/>
        <w:rPr>
          <w:rFonts w:cs="Arial"/>
          <w:color w:val="auto"/>
        </w:rPr>
      </w:pPr>
      <w:r w:rsidRPr="00CF1729">
        <w:rPr>
          <w:rFonts w:cs="Arial"/>
          <w:color w:val="auto"/>
        </w:rPr>
        <w:t>Pfizer</w:t>
      </w:r>
    </w:p>
    <w:p w14:paraId="706E42E0" w14:textId="77777777" w:rsidR="0004302C" w:rsidRPr="00CF1729" w:rsidRDefault="0004302C" w:rsidP="0004302C">
      <w:pPr>
        <w:rPr>
          <w:rFonts w:cs="Arial"/>
          <w:color w:val="auto"/>
        </w:rPr>
      </w:pPr>
    </w:p>
    <w:p w14:paraId="341D2A8D" w14:textId="77777777" w:rsidR="00A47B0F" w:rsidRPr="00CF1729" w:rsidRDefault="00A47B0F" w:rsidP="00A47B0F">
      <w:pPr>
        <w:rPr>
          <w:rFonts w:cs="Arial"/>
          <w:color w:val="auto"/>
        </w:rPr>
      </w:pPr>
      <w:r>
        <w:rPr>
          <w:rFonts w:cs="Arial"/>
          <w:color w:val="auto"/>
        </w:rPr>
        <w:t>18 August 2023</w:t>
      </w:r>
    </w:p>
    <w:p w14:paraId="50583914" w14:textId="77777777" w:rsidR="0004302C" w:rsidRPr="00CF1729" w:rsidRDefault="0004302C" w:rsidP="0004302C">
      <w:pPr>
        <w:rPr>
          <w:rStyle w:val="Hyperlink"/>
          <w:rFonts w:cs="Arial"/>
          <w:color w:val="auto"/>
        </w:rPr>
      </w:pPr>
    </w:p>
    <w:p w14:paraId="6392A75B" w14:textId="7B74AAC4" w:rsidR="0004302C" w:rsidRPr="00CF1729" w:rsidRDefault="0004302C" w:rsidP="0004302C">
      <w:pPr>
        <w:ind w:left="426" w:right="468" w:hanging="426"/>
        <w:jc w:val="both"/>
        <w:rPr>
          <w:rFonts w:cs="Arial"/>
          <w:noProof/>
          <w:color w:val="auto"/>
          <w:spacing w:val="-3"/>
          <w:lang w:eastAsia="en-GB"/>
        </w:rPr>
      </w:pPr>
      <w:bookmarkStart w:id="0" w:name="deartext"/>
      <w:r w:rsidRPr="00CF1729">
        <w:rPr>
          <w:rFonts w:cs="Arial"/>
          <w:color w:val="auto"/>
        </w:rPr>
        <w:t>Dear</w:t>
      </w:r>
      <w:bookmarkEnd w:id="0"/>
      <w:r w:rsidRPr="00CF1729">
        <w:rPr>
          <w:rFonts w:cs="Arial"/>
          <w:color w:val="auto"/>
        </w:rPr>
        <w:t xml:space="preserve"> </w:t>
      </w:r>
      <w:bookmarkStart w:id="1" w:name="Sal"/>
      <w:bookmarkEnd w:id="1"/>
      <w:r w:rsidR="00C17BF2" w:rsidRPr="00C17BF2">
        <w:rPr>
          <w:rFonts w:cs="Arial"/>
          <w:color w:val="auto"/>
          <w:highlight w:val="black"/>
        </w:rPr>
        <w:t>XXXXXXXXXXXXXXXX</w:t>
      </w:r>
    </w:p>
    <w:p w14:paraId="0C2B27E7" w14:textId="425C600C" w:rsidR="0004302C" w:rsidRPr="00CF1729" w:rsidRDefault="0004302C" w:rsidP="0004302C">
      <w:pPr>
        <w:ind w:left="426" w:right="468" w:hanging="426"/>
        <w:jc w:val="both"/>
        <w:rPr>
          <w:rFonts w:cs="Arial"/>
          <w:b/>
          <w:color w:val="auto"/>
        </w:rPr>
      </w:pPr>
      <w:r w:rsidRPr="00CF1729">
        <w:rPr>
          <w:rFonts w:cs="Arial"/>
          <w:noProof/>
          <w:color w:val="auto"/>
          <w:lang w:eastAsia="en-GB"/>
        </w:rPr>
        <mc:AlternateContent>
          <mc:Choice Requires="wps">
            <w:drawing>
              <wp:anchor distT="4294967294" distB="4294967294" distL="114300" distR="114300" simplePos="0" relativeHeight="251659264" behindDoc="0" locked="0" layoutInCell="1" allowOverlap="1" wp14:anchorId="6EA67439" wp14:editId="02C5AE77">
                <wp:simplePos x="0" y="0"/>
                <wp:positionH relativeFrom="column">
                  <wp:posOffset>-805815</wp:posOffset>
                </wp:positionH>
                <wp:positionV relativeFrom="paragraph">
                  <wp:posOffset>255270</wp:posOffset>
                </wp:positionV>
                <wp:extent cx="8191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136FDB" id="Straight Connector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" strokecolor="#505050" strokeweight=".25pt">
                <o:lock v:ext="edit" shapetype="f"/>
              </v:line>
            </w:pict>
          </mc:Fallback>
        </mc:AlternateContent>
      </w:r>
      <w:r w:rsidRPr="00CF1729">
        <w:rPr>
          <w:rFonts w:cs="Arial"/>
          <w:b/>
          <w:color w:val="auto"/>
          <w:spacing w:val="-3"/>
        </w:rPr>
        <w:t xml:space="preserve">Re: </w:t>
      </w:r>
      <w:r w:rsidRPr="00CF1729">
        <w:rPr>
          <w:rFonts w:cs="Arial"/>
          <w:b/>
          <w:color w:val="auto"/>
        </w:rPr>
        <w:t xml:space="preserve">Final Appraisal Document — </w:t>
      </w:r>
      <w:proofErr w:type="spellStart"/>
      <w:r w:rsidR="003D280B" w:rsidRPr="00CF1729">
        <w:rPr>
          <w:rFonts w:cs="Arial"/>
          <w:b/>
          <w:color w:val="auto"/>
        </w:rPr>
        <w:t>Voxelotor</w:t>
      </w:r>
      <w:proofErr w:type="spellEnd"/>
      <w:r w:rsidR="003D280B" w:rsidRPr="00CF1729">
        <w:rPr>
          <w:rFonts w:cs="Arial"/>
          <w:b/>
          <w:color w:val="auto"/>
        </w:rPr>
        <w:t xml:space="preserve"> for treating haemolytic anaemia caused by sickle cell disorder (SCD) (ID1403)</w:t>
      </w:r>
    </w:p>
    <w:p w14:paraId="7414DC3E" w14:textId="71C7DA86" w:rsidR="00003026" w:rsidRPr="00CF1729" w:rsidRDefault="000223BD" w:rsidP="00413F89">
      <w:pPr>
        <w:jc w:val="both"/>
        <w:rPr>
          <w:rFonts w:cs="Arial"/>
          <w:color w:val="auto"/>
        </w:rPr>
      </w:pPr>
      <w:r w:rsidRPr="00CF1729">
        <w:rPr>
          <w:rFonts w:cs="Arial"/>
          <w:color w:val="auto"/>
        </w:rPr>
        <w:t xml:space="preserve">Thank you for your letter of </w:t>
      </w:r>
      <w:r w:rsidR="007A7F07" w:rsidRPr="00CF1729">
        <w:rPr>
          <w:rFonts w:cs="Arial"/>
          <w:color w:val="auto"/>
        </w:rPr>
        <w:t>1</w:t>
      </w:r>
      <w:r w:rsidR="00432745" w:rsidRPr="00CF1729">
        <w:rPr>
          <w:rFonts w:cs="Arial"/>
          <w:color w:val="auto"/>
        </w:rPr>
        <w:t>1</w:t>
      </w:r>
      <w:r w:rsidR="007A7F07" w:rsidRPr="00CF1729">
        <w:rPr>
          <w:rFonts w:cs="Arial"/>
          <w:color w:val="auto"/>
        </w:rPr>
        <w:t xml:space="preserve"> </w:t>
      </w:r>
      <w:r w:rsidR="00432745" w:rsidRPr="00CF1729">
        <w:rPr>
          <w:rFonts w:cs="Arial"/>
          <w:color w:val="auto"/>
        </w:rPr>
        <w:t>August</w:t>
      </w:r>
      <w:r w:rsidR="007A7F07" w:rsidRPr="00CF1729">
        <w:rPr>
          <w:rFonts w:cs="Arial"/>
          <w:color w:val="auto"/>
        </w:rPr>
        <w:t xml:space="preserve"> 2023</w:t>
      </w:r>
      <w:r w:rsidRPr="00CF1729">
        <w:rPr>
          <w:rFonts w:cs="Arial"/>
          <w:color w:val="auto"/>
        </w:rPr>
        <w:t xml:space="preserve">, lodging </w:t>
      </w:r>
      <w:r w:rsidR="00F4296D" w:rsidRPr="00CF1729">
        <w:rPr>
          <w:rFonts w:cs="Arial"/>
          <w:color w:val="auto"/>
        </w:rPr>
        <w:t>an</w:t>
      </w:r>
      <w:r w:rsidRPr="00CF1729">
        <w:rPr>
          <w:rFonts w:cs="Arial"/>
          <w:color w:val="auto"/>
        </w:rPr>
        <w:t xml:space="preserve"> appeal against the above Final </w:t>
      </w:r>
      <w:r w:rsidR="00432745" w:rsidRPr="00CF1729">
        <w:rPr>
          <w:rFonts w:cs="Arial"/>
          <w:color w:val="auto"/>
        </w:rPr>
        <w:t xml:space="preserve">Draft Guidance </w:t>
      </w:r>
      <w:r w:rsidRPr="00CF1729">
        <w:rPr>
          <w:rFonts w:cs="Arial"/>
          <w:color w:val="auto"/>
        </w:rPr>
        <w:t>(F</w:t>
      </w:r>
      <w:r w:rsidR="00432745" w:rsidRPr="00CF1729">
        <w:rPr>
          <w:rFonts w:cs="Arial"/>
          <w:color w:val="auto"/>
        </w:rPr>
        <w:t>DG</w:t>
      </w:r>
      <w:r w:rsidRPr="00CF1729">
        <w:rPr>
          <w:rFonts w:cs="Arial"/>
          <w:color w:val="auto"/>
        </w:rPr>
        <w:t xml:space="preserve">). </w:t>
      </w:r>
      <w:r w:rsidR="00262058" w:rsidRPr="00CF1729">
        <w:rPr>
          <w:rFonts w:cs="Arial"/>
          <w:color w:val="auto"/>
        </w:rPr>
        <w:t xml:space="preserve"> </w:t>
      </w:r>
    </w:p>
    <w:p w14:paraId="5F523C58" w14:textId="77777777" w:rsidR="00C70019" w:rsidRPr="00CF1729" w:rsidRDefault="00C70019" w:rsidP="00413F89">
      <w:pPr>
        <w:jc w:val="both"/>
        <w:rPr>
          <w:rFonts w:cs="Arial"/>
          <w:color w:val="auto"/>
        </w:rPr>
      </w:pPr>
      <w:r w:rsidRPr="00CF1729">
        <w:rPr>
          <w:rFonts w:cs="Arial"/>
          <w:color w:val="auto"/>
          <w:u w:val="single"/>
        </w:rPr>
        <w:t>Introduction</w:t>
      </w:r>
      <w:r w:rsidRPr="00CF1729">
        <w:rPr>
          <w:rFonts w:cs="Arial"/>
          <w:color w:val="auto"/>
        </w:rPr>
        <w:t xml:space="preserve"> </w:t>
      </w:r>
    </w:p>
    <w:p w14:paraId="70E1E5B1" w14:textId="2DBAE3FD" w:rsidR="00C70019" w:rsidRPr="00CF1729" w:rsidRDefault="00C70019" w:rsidP="00413F89">
      <w:pPr>
        <w:jc w:val="both"/>
        <w:rPr>
          <w:rFonts w:cs="Arial"/>
          <w:color w:val="auto"/>
        </w:rPr>
      </w:pPr>
      <w:r w:rsidRPr="00CF1729">
        <w:rPr>
          <w:rFonts w:cs="Arial"/>
          <w:color w:val="auto"/>
        </w:rPr>
        <w:t xml:space="preserve">The Institute's appeal procedures provide for an initial scrutiny of points that an appellant wishes to raise, to </w:t>
      </w:r>
      <w:r w:rsidR="006B6C22" w:rsidRPr="00CF1729">
        <w:rPr>
          <w:rFonts w:cs="Arial"/>
          <w:color w:val="auto"/>
        </w:rPr>
        <w:t>provide an initial view on whether</w:t>
      </w:r>
      <w:r w:rsidRPr="00CF1729">
        <w:rPr>
          <w:rFonts w:cs="Arial"/>
          <w:color w:val="auto"/>
        </w:rPr>
        <w:t xml:space="preserve"> they are within the permitted grounds of appeal ("valid")</w:t>
      </w:r>
      <w:r w:rsidR="006B6C22" w:rsidRPr="00CF1729">
        <w:rPr>
          <w:rFonts w:cs="Arial"/>
          <w:color w:val="auto"/>
        </w:rPr>
        <w:t xml:space="preserve"> and are at least arguable</w:t>
      </w:r>
      <w:r w:rsidRPr="00CF1729">
        <w:rPr>
          <w:rFonts w:cs="Arial"/>
          <w:color w:val="auto"/>
        </w:rPr>
        <w:t xml:space="preserve">. The permitted grounds of appeal are: </w:t>
      </w:r>
    </w:p>
    <w:p w14:paraId="25359C75" w14:textId="77777777" w:rsidR="00C70019" w:rsidRPr="00CF1729" w:rsidRDefault="00C70019" w:rsidP="00413F89">
      <w:pPr>
        <w:numPr>
          <w:ilvl w:val="0"/>
          <w:numId w:val="2"/>
        </w:numPr>
        <w:shd w:val="clear" w:color="auto" w:fill="FFFFFF"/>
        <w:spacing w:before="240" w:after="240" w:line="240" w:lineRule="auto"/>
        <w:jc w:val="both"/>
        <w:rPr>
          <w:rFonts w:cs="Arial"/>
          <w:color w:val="auto"/>
        </w:rPr>
      </w:pPr>
      <w:r w:rsidRPr="00CF1729">
        <w:rPr>
          <w:rFonts w:cs="Arial"/>
          <w:color w:val="auto"/>
        </w:rPr>
        <w:t xml:space="preserve">1(a) NICE has failed to act fairly, or </w:t>
      </w:r>
    </w:p>
    <w:p w14:paraId="14BFF060" w14:textId="77777777" w:rsidR="00C70019" w:rsidRPr="00CF1729" w:rsidRDefault="00C70019" w:rsidP="00413F89">
      <w:pPr>
        <w:numPr>
          <w:ilvl w:val="0"/>
          <w:numId w:val="2"/>
        </w:numPr>
        <w:shd w:val="clear" w:color="auto" w:fill="FFFFFF"/>
        <w:spacing w:before="240" w:after="240" w:line="240" w:lineRule="auto"/>
        <w:jc w:val="both"/>
        <w:rPr>
          <w:rFonts w:cs="Arial"/>
          <w:color w:val="auto"/>
        </w:rPr>
      </w:pPr>
      <w:r w:rsidRPr="00CF1729">
        <w:rPr>
          <w:rFonts w:cs="Arial"/>
          <w:color w:val="auto"/>
        </w:rPr>
        <w:t xml:space="preserve">1(b) NICE has exceeded </w:t>
      </w:r>
      <w:proofErr w:type="gramStart"/>
      <w:r w:rsidRPr="00CF1729">
        <w:rPr>
          <w:rFonts w:cs="Arial"/>
          <w:color w:val="auto"/>
        </w:rPr>
        <w:t>powers;</w:t>
      </w:r>
      <w:proofErr w:type="gramEnd"/>
    </w:p>
    <w:p w14:paraId="22754B60" w14:textId="77777777" w:rsidR="00C70019" w:rsidRPr="00CF1729" w:rsidRDefault="00C70019" w:rsidP="00413F89">
      <w:pPr>
        <w:numPr>
          <w:ilvl w:val="0"/>
          <w:numId w:val="2"/>
        </w:numPr>
        <w:shd w:val="clear" w:color="auto" w:fill="FFFFFF"/>
        <w:spacing w:before="240" w:after="240" w:line="240" w:lineRule="auto"/>
        <w:jc w:val="both"/>
        <w:rPr>
          <w:rFonts w:cs="Arial"/>
          <w:color w:val="auto"/>
        </w:rPr>
      </w:pPr>
      <w:r w:rsidRPr="00CF1729">
        <w:rPr>
          <w:rFonts w:cs="Arial"/>
          <w:color w:val="auto"/>
        </w:rPr>
        <w:t>(2) the recommendation is unreasonable in the light of the evidence submitted to NICE</w:t>
      </w:r>
      <w:r w:rsidR="006347AD" w:rsidRPr="00CF1729">
        <w:rPr>
          <w:rFonts w:cs="Arial"/>
          <w:color w:val="auto"/>
        </w:rPr>
        <w:t>.</w:t>
      </w:r>
    </w:p>
    <w:p w14:paraId="08D953B5" w14:textId="25297E74" w:rsidR="00C70019" w:rsidRPr="00CF1729" w:rsidRDefault="00C70019" w:rsidP="00413F89">
      <w:pPr>
        <w:jc w:val="both"/>
        <w:rPr>
          <w:rFonts w:cs="Arial"/>
          <w:color w:val="auto"/>
        </w:rPr>
      </w:pPr>
      <w:r w:rsidRPr="00CF1729">
        <w:rPr>
          <w:rFonts w:cs="Arial"/>
          <w:color w:val="auto"/>
        </w:rPr>
        <w:t>This letter sets out my initial view of the points of appeal you have raised: principally whether they fall within any of the grounds of appeal, or whether further clarification is required of any point. Only if I am satisfied that your points contain the necessary information</w:t>
      </w:r>
      <w:r w:rsidR="00F41597" w:rsidRPr="00CF1729">
        <w:rPr>
          <w:rFonts w:cs="Arial"/>
          <w:color w:val="auto"/>
        </w:rPr>
        <w:t>, are arguable, and</w:t>
      </w:r>
      <w:r w:rsidRPr="00CF1729">
        <w:rPr>
          <w:rFonts w:cs="Arial"/>
          <w:color w:val="auto"/>
        </w:rPr>
        <w:t xml:space="preserve"> fall within any one of the grounds will your appeal be referred to the Appeal Panel. </w:t>
      </w:r>
    </w:p>
    <w:p w14:paraId="146CF237" w14:textId="77777777" w:rsidR="00C70019" w:rsidRPr="00CF1729" w:rsidRDefault="00C70019" w:rsidP="00413F89">
      <w:pPr>
        <w:jc w:val="both"/>
        <w:rPr>
          <w:rFonts w:cs="Arial"/>
          <w:color w:val="auto"/>
        </w:rPr>
      </w:pPr>
      <w:r w:rsidRPr="00CF1729">
        <w:rPr>
          <w:rFonts w:cs="Arial"/>
          <w:color w:val="auto"/>
        </w:rPr>
        <w:t xml:space="preserve">You </w:t>
      </w:r>
      <w:proofErr w:type="gramStart"/>
      <w:r w:rsidRPr="00CF1729">
        <w:rPr>
          <w:rFonts w:cs="Arial"/>
          <w:color w:val="auto"/>
        </w:rPr>
        <w:t>have the opportunity to</w:t>
      </w:r>
      <w:proofErr w:type="gramEnd"/>
      <w:r w:rsidRPr="00CF1729">
        <w:rPr>
          <w:rFonts w:cs="Arial"/>
          <w:color w:val="auto"/>
        </w:rPr>
        <w:t xml:space="preserve"> comment on this letter in order to elaborate on or clarify any of the points raised before I will make my final decision as to whether each appeal point should be referred on to the Appeal Panel. </w:t>
      </w:r>
    </w:p>
    <w:p w14:paraId="3294E8F2" w14:textId="77777777" w:rsidR="00C70019" w:rsidRPr="00CF1729" w:rsidRDefault="00C70019" w:rsidP="00413F89">
      <w:pPr>
        <w:jc w:val="both"/>
        <w:rPr>
          <w:rFonts w:cs="Arial"/>
          <w:color w:val="auto"/>
          <w:u w:val="single"/>
        </w:rPr>
      </w:pPr>
      <w:r w:rsidRPr="00CF1729">
        <w:rPr>
          <w:rFonts w:cs="Arial"/>
          <w:color w:val="auto"/>
          <w:u w:val="single"/>
        </w:rPr>
        <w:t>Initial View</w:t>
      </w:r>
    </w:p>
    <w:p w14:paraId="15B951E6" w14:textId="4A8D7BE4" w:rsidR="00262058" w:rsidRPr="00CF1729" w:rsidRDefault="00BB43EC" w:rsidP="00413F89">
      <w:pPr>
        <w:jc w:val="both"/>
        <w:rPr>
          <w:rFonts w:cs="Arial"/>
          <w:color w:val="auto"/>
        </w:rPr>
      </w:pPr>
      <w:r w:rsidRPr="00CF1729">
        <w:rPr>
          <w:rFonts w:cs="Arial"/>
          <w:color w:val="auto"/>
        </w:rPr>
        <w:t>I</w:t>
      </w:r>
      <w:r w:rsidR="00C70019" w:rsidRPr="00CF1729">
        <w:rPr>
          <w:rFonts w:cs="Arial"/>
          <w:color w:val="auto"/>
        </w:rPr>
        <w:t xml:space="preserve"> assess each of your </w:t>
      </w:r>
      <w:r w:rsidR="00B36320" w:rsidRPr="00CF1729">
        <w:rPr>
          <w:rFonts w:cs="Arial"/>
          <w:color w:val="auto"/>
        </w:rPr>
        <w:t xml:space="preserve">points </w:t>
      </w:r>
      <w:r w:rsidR="00C70019" w:rsidRPr="00CF1729">
        <w:rPr>
          <w:rFonts w:cs="Arial"/>
          <w:color w:val="auto"/>
        </w:rPr>
        <w:t xml:space="preserve">in turn.  </w:t>
      </w:r>
    </w:p>
    <w:p w14:paraId="7ADCDE98" w14:textId="124337AB" w:rsidR="00E87F1E" w:rsidRPr="00CF1729" w:rsidRDefault="00E87F1E" w:rsidP="00E87F1E">
      <w:pPr>
        <w:spacing w:before="120" w:after="0" w:line="240" w:lineRule="auto"/>
        <w:rPr>
          <w:rFonts w:cs="Arial"/>
          <w:b/>
          <w:i/>
          <w:color w:val="auto"/>
          <w:lang w:eastAsia="en-GB"/>
        </w:rPr>
      </w:pPr>
      <w:r w:rsidRPr="00CF1729">
        <w:rPr>
          <w:rFonts w:cs="Arial"/>
          <w:b/>
          <w:i/>
          <w:color w:val="auto"/>
          <w:lang w:eastAsia="en-GB"/>
        </w:rPr>
        <w:t xml:space="preserve">Ground 1(a): In making the assessment that preceded the recommendation, NICE has failed to act </w:t>
      </w:r>
      <w:r w:rsidR="00B65BD6" w:rsidRPr="00CF1729">
        <w:rPr>
          <w:rFonts w:cs="Arial"/>
          <w:b/>
          <w:i/>
          <w:color w:val="auto"/>
          <w:lang w:eastAsia="en-GB"/>
        </w:rPr>
        <w:t>fairly.</w:t>
      </w:r>
    </w:p>
    <w:p w14:paraId="4DA05162" w14:textId="3FF3E979" w:rsidR="00B11119" w:rsidRPr="00CF1729" w:rsidRDefault="00B62869" w:rsidP="007A7F07">
      <w:pPr>
        <w:spacing w:before="240" w:after="240" w:line="276" w:lineRule="auto"/>
        <w:jc w:val="both"/>
        <w:rPr>
          <w:rFonts w:cs="Arial"/>
          <w:b/>
          <w:color w:val="auto"/>
          <w:u w:val="single"/>
        </w:rPr>
      </w:pPr>
      <w:r w:rsidRPr="00CF1729">
        <w:rPr>
          <w:rFonts w:cs="Arial"/>
          <w:b/>
          <w:color w:val="auto"/>
          <w:u w:val="single"/>
        </w:rPr>
        <w:lastRenderedPageBreak/>
        <w:t xml:space="preserve">Appeal </w:t>
      </w:r>
      <w:proofErr w:type="gramStart"/>
      <w:r w:rsidRPr="00CF1729">
        <w:rPr>
          <w:rFonts w:cs="Arial"/>
          <w:b/>
          <w:color w:val="auto"/>
          <w:u w:val="single"/>
        </w:rPr>
        <w:t>point</w:t>
      </w:r>
      <w:proofErr w:type="gramEnd"/>
      <w:r w:rsidRPr="00CF1729">
        <w:rPr>
          <w:rFonts w:cs="Arial"/>
          <w:b/>
          <w:color w:val="auto"/>
          <w:u w:val="single"/>
        </w:rPr>
        <w:t xml:space="preserve"> 1(a).1</w:t>
      </w:r>
      <w:r w:rsidR="007A7F07" w:rsidRPr="00CF1729">
        <w:rPr>
          <w:rFonts w:cs="Arial"/>
          <w:b/>
          <w:color w:val="auto"/>
          <w:u w:val="single"/>
        </w:rPr>
        <w:t xml:space="preserve">: </w:t>
      </w:r>
      <w:r w:rsidR="00366177" w:rsidRPr="00CF1729">
        <w:rPr>
          <w:rFonts w:cs="Arial"/>
          <w:b/>
          <w:color w:val="auto"/>
          <w:u w:val="single"/>
        </w:rPr>
        <w:t xml:space="preserve">"It was procedurally unfair for the Committee not to give, at any point during the appraisal process, any indication of what it considered to be the plausible cost-effectiveness of </w:t>
      </w:r>
      <w:proofErr w:type="spellStart"/>
      <w:r w:rsidR="00366177" w:rsidRPr="00CF1729">
        <w:rPr>
          <w:rFonts w:cs="Arial"/>
          <w:b/>
          <w:color w:val="auto"/>
          <w:u w:val="single"/>
        </w:rPr>
        <w:t>voxelotor</w:t>
      </w:r>
      <w:proofErr w:type="spellEnd"/>
      <w:r w:rsidR="00366177" w:rsidRPr="00CF1729">
        <w:rPr>
          <w:rFonts w:cs="Arial"/>
          <w:b/>
          <w:color w:val="auto"/>
          <w:u w:val="single"/>
        </w:rPr>
        <w:t>."</w:t>
      </w:r>
    </w:p>
    <w:p w14:paraId="0C16A783" w14:textId="63A83E7A" w:rsidR="00E87F1E" w:rsidRPr="00CF1729" w:rsidRDefault="00E87F1E" w:rsidP="00E87F1E">
      <w:pPr>
        <w:pStyle w:val="BodyText"/>
        <w:jc w:val="both"/>
        <w:rPr>
          <w:rFonts w:cs="Arial"/>
          <w:color w:val="auto"/>
        </w:rPr>
      </w:pPr>
      <w:r w:rsidRPr="00CF1729">
        <w:rPr>
          <w:rFonts w:cs="Arial"/>
          <w:color w:val="auto"/>
        </w:rPr>
        <w:t>I am</w:t>
      </w:r>
      <w:r w:rsidR="0006486B" w:rsidRPr="00CF1729">
        <w:rPr>
          <w:rFonts w:cs="Arial"/>
          <w:color w:val="auto"/>
        </w:rPr>
        <w:t xml:space="preserve"> </w:t>
      </w:r>
      <w:r w:rsidRPr="00CF1729">
        <w:rPr>
          <w:rFonts w:cs="Arial"/>
          <w:color w:val="auto"/>
        </w:rPr>
        <w:t xml:space="preserve">minded </w:t>
      </w:r>
      <w:proofErr w:type="gramStart"/>
      <w:r w:rsidRPr="00CF1729">
        <w:rPr>
          <w:rFonts w:cs="Arial"/>
          <w:color w:val="auto"/>
        </w:rPr>
        <w:t>to refer</w:t>
      </w:r>
      <w:proofErr w:type="gramEnd"/>
      <w:r w:rsidRPr="00CF1729">
        <w:rPr>
          <w:rFonts w:cs="Arial"/>
          <w:color w:val="auto"/>
        </w:rPr>
        <w:t xml:space="preserve"> this appeal point to the Appeal Panel. </w:t>
      </w:r>
    </w:p>
    <w:p w14:paraId="64A737FC" w14:textId="64ECB390" w:rsidR="00366177" w:rsidRPr="00CF1729" w:rsidRDefault="00366177" w:rsidP="00366177">
      <w:pPr>
        <w:spacing w:before="240" w:after="240" w:line="276" w:lineRule="auto"/>
        <w:jc w:val="both"/>
        <w:rPr>
          <w:rFonts w:cs="Arial"/>
          <w:b/>
          <w:color w:val="auto"/>
          <w:u w:val="single"/>
        </w:rPr>
      </w:pPr>
      <w:r w:rsidRPr="00CF1729">
        <w:rPr>
          <w:rFonts w:cs="Arial"/>
          <w:b/>
          <w:color w:val="auto"/>
          <w:u w:val="single"/>
        </w:rPr>
        <w:t xml:space="preserve">Appeal </w:t>
      </w:r>
      <w:proofErr w:type="gramStart"/>
      <w:r w:rsidRPr="00CF1729">
        <w:rPr>
          <w:rFonts w:cs="Arial"/>
          <w:b/>
          <w:color w:val="auto"/>
          <w:u w:val="single"/>
        </w:rPr>
        <w:t>point</w:t>
      </w:r>
      <w:proofErr w:type="gramEnd"/>
      <w:r w:rsidRPr="00CF1729">
        <w:rPr>
          <w:rFonts w:cs="Arial"/>
          <w:b/>
          <w:color w:val="auto"/>
          <w:u w:val="single"/>
        </w:rPr>
        <w:t xml:space="preserve"> 1(a).2: "It was procedurally unfair for the Committee not to inform Pfizer, in sufficient time in advance of ACM2, of the estimates generated by the exploratory scenario analyses of the external assessment group (‘EAG’)."</w:t>
      </w:r>
    </w:p>
    <w:p w14:paraId="753443AF" w14:textId="7A7AE792" w:rsidR="00DF143D" w:rsidRPr="00CF1729" w:rsidRDefault="00366177" w:rsidP="00366177">
      <w:pPr>
        <w:pStyle w:val="BodyText"/>
        <w:jc w:val="both"/>
        <w:rPr>
          <w:rFonts w:cs="Arial"/>
          <w:color w:val="auto"/>
        </w:rPr>
      </w:pPr>
      <w:r w:rsidRPr="00CF1729">
        <w:rPr>
          <w:rFonts w:cs="Arial"/>
          <w:color w:val="auto"/>
        </w:rPr>
        <w:t>I am</w:t>
      </w:r>
      <w:r w:rsidR="00DF143D" w:rsidRPr="00CF1729">
        <w:rPr>
          <w:rFonts w:cs="Arial"/>
          <w:color w:val="auto"/>
        </w:rPr>
        <w:t xml:space="preserve"> </w:t>
      </w:r>
      <w:r w:rsidRPr="00CF1729">
        <w:rPr>
          <w:rFonts w:cs="Arial"/>
          <w:color w:val="auto"/>
        </w:rPr>
        <w:t xml:space="preserve">minded </w:t>
      </w:r>
      <w:proofErr w:type="gramStart"/>
      <w:r w:rsidRPr="00CF1729">
        <w:rPr>
          <w:rFonts w:cs="Arial"/>
          <w:color w:val="auto"/>
        </w:rPr>
        <w:t>to refer</w:t>
      </w:r>
      <w:proofErr w:type="gramEnd"/>
      <w:r w:rsidRPr="00CF1729">
        <w:rPr>
          <w:rFonts w:cs="Arial"/>
          <w:color w:val="auto"/>
        </w:rPr>
        <w:t xml:space="preserve"> this appeal point to the Appeal Panel</w:t>
      </w:r>
      <w:r w:rsidR="00DF143D" w:rsidRPr="00CF1729">
        <w:rPr>
          <w:rFonts w:cs="Arial"/>
          <w:color w:val="auto"/>
        </w:rPr>
        <w:t>.</w:t>
      </w:r>
    </w:p>
    <w:p w14:paraId="076954D5" w14:textId="5118D68D" w:rsidR="00366177" w:rsidRPr="00CF1729" w:rsidRDefault="00366177" w:rsidP="00366177">
      <w:pPr>
        <w:spacing w:before="240" w:after="240" w:line="276" w:lineRule="auto"/>
        <w:jc w:val="both"/>
        <w:rPr>
          <w:rFonts w:cs="Arial"/>
          <w:b/>
          <w:color w:val="auto"/>
          <w:u w:val="single"/>
        </w:rPr>
      </w:pPr>
      <w:r w:rsidRPr="00CF1729">
        <w:rPr>
          <w:rFonts w:cs="Arial"/>
          <w:b/>
          <w:color w:val="auto"/>
          <w:u w:val="single"/>
        </w:rPr>
        <w:t xml:space="preserve">Appeal </w:t>
      </w:r>
      <w:proofErr w:type="gramStart"/>
      <w:r w:rsidRPr="00CF1729">
        <w:rPr>
          <w:rFonts w:cs="Arial"/>
          <w:b/>
          <w:color w:val="auto"/>
          <w:u w:val="single"/>
        </w:rPr>
        <w:t>point</w:t>
      </w:r>
      <w:proofErr w:type="gramEnd"/>
      <w:r w:rsidRPr="00CF1729">
        <w:rPr>
          <w:rFonts w:cs="Arial"/>
          <w:b/>
          <w:color w:val="auto"/>
          <w:u w:val="single"/>
        </w:rPr>
        <w:t xml:space="preserve"> 1(a).3: "In a situation where the Committee considered there still to be multiple sources of uncertainty by the time of ACM2, it was unfair nevertheless to proceed directly to the publication of the FDG with no opportunity for a further ACM or to explore suggestions such as managed access."</w:t>
      </w:r>
    </w:p>
    <w:p w14:paraId="44CE54E2" w14:textId="5EC1B68D" w:rsidR="006A6DAA" w:rsidRPr="00CF1729" w:rsidRDefault="006A6DAA" w:rsidP="006A6DAA">
      <w:pPr>
        <w:pStyle w:val="BodyText"/>
        <w:jc w:val="both"/>
        <w:rPr>
          <w:rFonts w:cs="Arial"/>
          <w:color w:val="auto"/>
        </w:rPr>
      </w:pPr>
      <w:r w:rsidRPr="00CF1729">
        <w:rPr>
          <w:rFonts w:cs="Arial"/>
          <w:color w:val="auto"/>
        </w:rPr>
        <w:t xml:space="preserve">I am not minded </w:t>
      </w:r>
      <w:proofErr w:type="gramStart"/>
      <w:r w:rsidRPr="00CF1729">
        <w:rPr>
          <w:rFonts w:cs="Arial"/>
          <w:color w:val="auto"/>
        </w:rPr>
        <w:t>to refer</w:t>
      </w:r>
      <w:proofErr w:type="gramEnd"/>
      <w:r w:rsidRPr="00CF1729">
        <w:rPr>
          <w:rFonts w:cs="Arial"/>
          <w:color w:val="auto"/>
        </w:rPr>
        <w:t xml:space="preserve"> this appeal point to the Appeal Panel.</w:t>
      </w:r>
    </w:p>
    <w:p w14:paraId="388912B0" w14:textId="71EDBEBD" w:rsidR="0006486B" w:rsidRPr="00CF1729" w:rsidRDefault="0006486B" w:rsidP="00366177">
      <w:pPr>
        <w:pStyle w:val="BodyText"/>
        <w:jc w:val="both"/>
        <w:rPr>
          <w:rFonts w:cs="Arial"/>
          <w:color w:val="auto"/>
        </w:rPr>
      </w:pPr>
      <w:r w:rsidRPr="00CF1729">
        <w:rPr>
          <w:rFonts w:cs="Arial"/>
          <w:color w:val="auto"/>
        </w:rPr>
        <w:t xml:space="preserve">I understand the appeal </w:t>
      </w:r>
      <w:r w:rsidR="00DE2275" w:rsidRPr="00CF1729">
        <w:rPr>
          <w:rFonts w:cs="Arial"/>
          <w:color w:val="auto"/>
        </w:rPr>
        <w:t xml:space="preserve">point </w:t>
      </w:r>
      <w:r w:rsidRPr="00CF1729">
        <w:rPr>
          <w:rFonts w:cs="Arial"/>
          <w:color w:val="auto"/>
        </w:rPr>
        <w:t xml:space="preserve">to raise two </w:t>
      </w:r>
      <w:r w:rsidR="00DE2275" w:rsidRPr="00CF1729">
        <w:rPr>
          <w:rFonts w:cs="Arial"/>
          <w:color w:val="auto"/>
        </w:rPr>
        <w:t>distinct arguments</w:t>
      </w:r>
      <w:r w:rsidR="00836C3E" w:rsidRPr="00CF1729">
        <w:rPr>
          <w:rFonts w:cs="Arial"/>
          <w:color w:val="auto"/>
        </w:rPr>
        <w:t>:</w:t>
      </w:r>
    </w:p>
    <w:p w14:paraId="5F294129" w14:textId="44594FA9" w:rsidR="00836C3E" w:rsidRPr="00CF1729" w:rsidRDefault="00836C3E" w:rsidP="00836C3E">
      <w:pPr>
        <w:pStyle w:val="BodyText"/>
        <w:numPr>
          <w:ilvl w:val="0"/>
          <w:numId w:val="35"/>
        </w:numPr>
        <w:jc w:val="both"/>
        <w:rPr>
          <w:rFonts w:cs="Arial"/>
          <w:color w:val="auto"/>
        </w:rPr>
      </w:pPr>
      <w:r w:rsidRPr="00CF1729">
        <w:rPr>
          <w:rFonts w:cs="Arial"/>
          <w:color w:val="auto"/>
        </w:rPr>
        <w:t xml:space="preserve">That it was procedurally unfair not to proceed to a third </w:t>
      </w:r>
      <w:r w:rsidR="00090C19" w:rsidRPr="00CF1729">
        <w:rPr>
          <w:rFonts w:cs="Arial"/>
          <w:color w:val="auto"/>
        </w:rPr>
        <w:t>Appraisal Committee Meeting ("</w:t>
      </w:r>
      <w:r w:rsidRPr="00CF1729">
        <w:rPr>
          <w:rFonts w:cs="Arial"/>
          <w:color w:val="auto"/>
        </w:rPr>
        <w:t>ACM</w:t>
      </w:r>
      <w:r w:rsidR="00090C19" w:rsidRPr="00CF1729">
        <w:rPr>
          <w:rFonts w:cs="Arial"/>
          <w:color w:val="auto"/>
        </w:rPr>
        <w:t>")</w:t>
      </w:r>
      <w:r w:rsidR="00B15010" w:rsidRPr="00CF1729">
        <w:rPr>
          <w:rFonts w:cs="Arial"/>
          <w:color w:val="auto"/>
        </w:rPr>
        <w:t xml:space="preserve"> </w:t>
      </w:r>
      <w:r w:rsidR="00C50D87" w:rsidRPr="00CF1729">
        <w:rPr>
          <w:rFonts w:cs="Arial"/>
          <w:color w:val="auto"/>
        </w:rPr>
        <w:t xml:space="preserve">where </w:t>
      </w:r>
      <w:r w:rsidR="00B15010" w:rsidRPr="00CF1729">
        <w:rPr>
          <w:rFonts w:cs="Arial"/>
          <w:color w:val="auto"/>
        </w:rPr>
        <w:t>there were uncertainties that remained unresolved</w:t>
      </w:r>
      <w:r w:rsidR="004261F7" w:rsidRPr="00CF1729">
        <w:rPr>
          <w:rFonts w:cs="Arial"/>
          <w:color w:val="auto"/>
        </w:rPr>
        <w:t xml:space="preserve">. You appear to rely on </w:t>
      </w:r>
      <w:r w:rsidR="006A6DAA" w:rsidRPr="00CF1729">
        <w:rPr>
          <w:rFonts w:cs="Arial"/>
          <w:color w:val="auto"/>
        </w:rPr>
        <w:t>a</w:t>
      </w:r>
      <w:r w:rsidR="002E0A81" w:rsidRPr="00CF1729">
        <w:rPr>
          <w:rFonts w:cs="Arial"/>
          <w:color w:val="auto"/>
        </w:rPr>
        <w:t xml:space="preserve">n </w:t>
      </w:r>
      <w:r w:rsidR="006A6DAA" w:rsidRPr="00CF1729">
        <w:rPr>
          <w:rFonts w:cs="Arial"/>
          <w:color w:val="auto"/>
        </w:rPr>
        <w:t xml:space="preserve">expectation </w:t>
      </w:r>
      <w:r w:rsidR="002E0A81" w:rsidRPr="00CF1729">
        <w:rPr>
          <w:rFonts w:cs="Arial"/>
          <w:color w:val="auto"/>
        </w:rPr>
        <w:t xml:space="preserve">that this would happen, </w:t>
      </w:r>
      <w:r w:rsidR="006A6DAA" w:rsidRPr="00CF1729">
        <w:rPr>
          <w:rFonts w:cs="Arial"/>
          <w:color w:val="auto"/>
        </w:rPr>
        <w:t>based on NICE's previous practice</w:t>
      </w:r>
      <w:r w:rsidR="008B6667" w:rsidRPr="00CF1729">
        <w:rPr>
          <w:rFonts w:cs="Arial"/>
          <w:color w:val="auto"/>
        </w:rPr>
        <w:t>.</w:t>
      </w:r>
      <w:r w:rsidR="006A6DAA" w:rsidRPr="00CF1729">
        <w:rPr>
          <w:rFonts w:cs="Arial"/>
          <w:color w:val="auto"/>
        </w:rPr>
        <w:t xml:space="preserve"> </w:t>
      </w:r>
      <w:r w:rsidR="00B15010" w:rsidRPr="00CF1729">
        <w:rPr>
          <w:rFonts w:cs="Arial"/>
          <w:color w:val="auto"/>
        </w:rPr>
        <w:t xml:space="preserve"> </w:t>
      </w:r>
    </w:p>
    <w:p w14:paraId="47C966FE" w14:textId="0F0A8245" w:rsidR="006A6DAA" w:rsidRPr="00CF1729" w:rsidRDefault="00836C3E" w:rsidP="00836C3E">
      <w:pPr>
        <w:pStyle w:val="BodyText"/>
        <w:numPr>
          <w:ilvl w:val="0"/>
          <w:numId w:val="35"/>
        </w:numPr>
        <w:jc w:val="both"/>
        <w:rPr>
          <w:rFonts w:cs="Arial"/>
          <w:color w:val="auto"/>
        </w:rPr>
      </w:pPr>
      <w:r w:rsidRPr="00CF1729">
        <w:rPr>
          <w:rFonts w:cs="Arial"/>
          <w:color w:val="auto"/>
        </w:rPr>
        <w:t xml:space="preserve">That </w:t>
      </w:r>
      <w:r w:rsidR="007C3CF4" w:rsidRPr="00CF1729">
        <w:rPr>
          <w:rFonts w:cs="Arial"/>
          <w:color w:val="auto"/>
        </w:rPr>
        <w:t xml:space="preserve">it was procedurally unfair not </w:t>
      </w:r>
      <w:r w:rsidR="00B65BD6" w:rsidRPr="00CF1729">
        <w:rPr>
          <w:rFonts w:cs="Arial"/>
          <w:color w:val="auto"/>
        </w:rPr>
        <w:t>to provide</w:t>
      </w:r>
      <w:r w:rsidRPr="00CF1729">
        <w:rPr>
          <w:rFonts w:cs="Arial"/>
          <w:color w:val="auto"/>
        </w:rPr>
        <w:t xml:space="preserve"> </w:t>
      </w:r>
      <w:r w:rsidR="00090C19" w:rsidRPr="00CF1729">
        <w:rPr>
          <w:rFonts w:cs="Arial"/>
          <w:color w:val="auto"/>
        </w:rPr>
        <w:t xml:space="preserve">further </w:t>
      </w:r>
      <w:r w:rsidRPr="00CF1729">
        <w:rPr>
          <w:rFonts w:cs="Arial"/>
          <w:color w:val="auto"/>
        </w:rPr>
        <w:t>opportunity to consider a</w:t>
      </w:r>
      <w:r w:rsidR="006A6DAA" w:rsidRPr="00CF1729">
        <w:rPr>
          <w:rFonts w:cs="Arial"/>
          <w:color w:val="auto"/>
        </w:rPr>
        <w:t xml:space="preserve"> Managed Access Agreement</w:t>
      </w:r>
      <w:r w:rsidR="00090C19" w:rsidRPr="00CF1729">
        <w:rPr>
          <w:rFonts w:cs="Arial"/>
          <w:color w:val="auto"/>
        </w:rPr>
        <w:t xml:space="preserve"> after the second ACM.</w:t>
      </w:r>
    </w:p>
    <w:p w14:paraId="32C3E1D2" w14:textId="2F54D8DA" w:rsidR="006A6DAA" w:rsidRPr="00CF1729" w:rsidRDefault="006A6DAA" w:rsidP="006A6DAA">
      <w:pPr>
        <w:pStyle w:val="BodyText"/>
        <w:jc w:val="both"/>
        <w:rPr>
          <w:rFonts w:cs="Arial"/>
          <w:color w:val="auto"/>
        </w:rPr>
      </w:pPr>
      <w:r w:rsidRPr="00CF1729">
        <w:rPr>
          <w:rFonts w:cs="Arial"/>
          <w:color w:val="auto"/>
        </w:rPr>
        <w:t xml:space="preserve">In regard to </w:t>
      </w:r>
      <w:r w:rsidR="008B4FBF" w:rsidRPr="00CF1729">
        <w:rPr>
          <w:rFonts w:cs="Arial"/>
          <w:color w:val="auto"/>
        </w:rPr>
        <w:t xml:space="preserve">the first </w:t>
      </w:r>
      <w:r w:rsidR="00A85A90" w:rsidRPr="00CF1729">
        <w:rPr>
          <w:rFonts w:cs="Arial"/>
          <w:color w:val="auto"/>
        </w:rPr>
        <w:t>argument</w:t>
      </w:r>
      <w:r w:rsidRPr="00CF1729">
        <w:rPr>
          <w:rFonts w:cs="Arial"/>
          <w:color w:val="auto"/>
        </w:rPr>
        <w:t xml:space="preserve">, </w:t>
      </w:r>
      <w:r w:rsidR="007827FA" w:rsidRPr="00CF1729">
        <w:rPr>
          <w:rFonts w:cs="Arial"/>
          <w:color w:val="auto"/>
        </w:rPr>
        <w:t>I note your reference to section 5.2.1 of the</w:t>
      </w:r>
      <w:r w:rsidR="009D154A" w:rsidRPr="00CF1729">
        <w:rPr>
          <w:rFonts w:cs="Arial"/>
          <w:color w:val="auto"/>
        </w:rPr>
        <w:t xml:space="preserve"> NICE Health Technology Evalu</w:t>
      </w:r>
      <w:r w:rsidR="002E0A81" w:rsidRPr="00CF1729">
        <w:rPr>
          <w:rFonts w:cs="Arial"/>
          <w:color w:val="auto"/>
        </w:rPr>
        <w:t>a</w:t>
      </w:r>
      <w:r w:rsidR="009D154A" w:rsidRPr="00CF1729">
        <w:rPr>
          <w:rFonts w:cs="Arial"/>
          <w:color w:val="auto"/>
        </w:rPr>
        <w:t>tions</w:t>
      </w:r>
      <w:r w:rsidR="007827FA" w:rsidRPr="00CF1729">
        <w:rPr>
          <w:rFonts w:cs="Arial"/>
          <w:color w:val="auto"/>
        </w:rPr>
        <w:t xml:space="preserve"> </w:t>
      </w:r>
      <w:r w:rsidR="002F352F" w:rsidRPr="00CF1729">
        <w:rPr>
          <w:rFonts w:cs="Arial"/>
          <w:color w:val="auto"/>
        </w:rPr>
        <w:t>M</w:t>
      </w:r>
      <w:r w:rsidR="007827FA" w:rsidRPr="00CF1729">
        <w:rPr>
          <w:rFonts w:cs="Arial"/>
          <w:color w:val="auto"/>
        </w:rPr>
        <w:t xml:space="preserve">anual </w:t>
      </w:r>
      <w:r w:rsidR="009D154A" w:rsidRPr="00CF1729">
        <w:rPr>
          <w:rFonts w:cs="Arial"/>
          <w:color w:val="auto"/>
        </w:rPr>
        <w:t>(the "</w:t>
      </w:r>
      <w:hyperlink r:id="rId8" w:history="1">
        <w:r w:rsidR="009D154A" w:rsidRPr="00106F6B">
          <w:rPr>
            <w:rStyle w:val="Hyperlink"/>
            <w:rFonts w:cs="Arial"/>
          </w:rPr>
          <w:t>Manual</w:t>
        </w:r>
      </w:hyperlink>
      <w:r w:rsidR="009D154A" w:rsidRPr="00106F6B">
        <w:rPr>
          <w:rFonts w:cs="Arial"/>
          <w:color w:val="auto"/>
        </w:rPr>
        <w:t xml:space="preserve">") </w:t>
      </w:r>
      <w:r w:rsidR="007827FA" w:rsidRPr="00CF1729">
        <w:rPr>
          <w:rFonts w:cs="Arial"/>
          <w:color w:val="auto"/>
        </w:rPr>
        <w:t>which states:</w:t>
      </w:r>
    </w:p>
    <w:p w14:paraId="7EF4293E" w14:textId="37175DCD" w:rsidR="007827FA" w:rsidRPr="00CF1729" w:rsidRDefault="007827FA" w:rsidP="007827FA">
      <w:pPr>
        <w:pStyle w:val="BodyText"/>
        <w:ind w:left="720"/>
        <w:jc w:val="both"/>
        <w:rPr>
          <w:rFonts w:cs="Arial"/>
          <w:i/>
          <w:iCs/>
          <w:color w:val="auto"/>
        </w:rPr>
      </w:pPr>
      <w:r w:rsidRPr="00CF1729">
        <w:rPr>
          <w:rFonts w:cs="Arial"/>
          <w:i/>
          <w:iCs/>
          <w:color w:val="auto"/>
        </w:rPr>
        <w:t>"</w:t>
      </w:r>
      <w:proofErr w:type="gramStart"/>
      <w:r w:rsidRPr="00CF1729">
        <w:rPr>
          <w:rFonts w:cs="Arial"/>
          <w:i/>
          <w:iCs/>
          <w:color w:val="auto"/>
        </w:rPr>
        <w:t>it</w:t>
      </w:r>
      <w:proofErr w:type="gramEnd"/>
      <w:r w:rsidRPr="00CF1729">
        <w:rPr>
          <w:rFonts w:cs="Arial"/>
          <w:i/>
          <w:iCs/>
          <w:color w:val="auto"/>
        </w:rPr>
        <w:t xml:space="preserve"> is not possible to set absolute timelines for all stages of the evaluation.  The length of time needed for each stage can vary depending on the nature of the particular evaluation." </w:t>
      </w:r>
    </w:p>
    <w:p w14:paraId="68718D23" w14:textId="65D9147D" w:rsidR="00432745" w:rsidRPr="00CF1729" w:rsidRDefault="00AA6002" w:rsidP="00432745">
      <w:pPr>
        <w:pStyle w:val="BodyText"/>
        <w:jc w:val="both"/>
        <w:rPr>
          <w:rFonts w:cs="Arial"/>
          <w:color w:val="auto"/>
        </w:rPr>
      </w:pPr>
      <w:r w:rsidRPr="00CF1729">
        <w:rPr>
          <w:rFonts w:cs="Arial"/>
          <w:color w:val="auto"/>
        </w:rPr>
        <w:t>I am aware of</w:t>
      </w:r>
      <w:r w:rsidR="00432745" w:rsidRPr="00CF1729">
        <w:rPr>
          <w:rFonts w:cs="Arial"/>
          <w:color w:val="auto"/>
        </w:rPr>
        <w:t xml:space="preserve"> no procedural requirement</w:t>
      </w:r>
      <w:r w:rsidRPr="00CF1729">
        <w:rPr>
          <w:rFonts w:cs="Arial"/>
          <w:color w:val="auto"/>
        </w:rPr>
        <w:t xml:space="preserve"> in the Manual or otherwise</w:t>
      </w:r>
      <w:r w:rsidR="00432745" w:rsidRPr="00CF1729">
        <w:rPr>
          <w:rFonts w:cs="Arial"/>
          <w:color w:val="auto"/>
        </w:rPr>
        <w:t xml:space="preserve"> on the </w:t>
      </w:r>
      <w:r w:rsidR="004005F8" w:rsidRPr="00CF1729">
        <w:rPr>
          <w:rFonts w:cs="Arial"/>
          <w:color w:val="auto"/>
        </w:rPr>
        <w:t>C</w:t>
      </w:r>
      <w:r w:rsidR="00432745" w:rsidRPr="00CF1729">
        <w:rPr>
          <w:rFonts w:cs="Arial"/>
          <w:color w:val="auto"/>
        </w:rPr>
        <w:t>ommittee to proceed to a third ACM</w:t>
      </w:r>
      <w:r w:rsidR="00117D69" w:rsidRPr="00CF1729">
        <w:rPr>
          <w:rFonts w:cs="Arial"/>
          <w:color w:val="auto"/>
        </w:rPr>
        <w:t xml:space="preserve"> where uncertainties remain</w:t>
      </w:r>
      <w:r w:rsidR="00432745" w:rsidRPr="00CF1729">
        <w:rPr>
          <w:rFonts w:cs="Arial"/>
          <w:color w:val="auto"/>
        </w:rPr>
        <w:t>.   It is clear from the FDG that the Committee</w:t>
      </w:r>
      <w:r w:rsidR="002E0A81" w:rsidRPr="00CF1729">
        <w:rPr>
          <w:rFonts w:cs="Arial"/>
          <w:color w:val="auto"/>
        </w:rPr>
        <w:t xml:space="preserve"> </w:t>
      </w:r>
      <w:r w:rsidR="00C22E3B" w:rsidRPr="00CF1729">
        <w:rPr>
          <w:rFonts w:cs="Arial"/>
          <w:color w:val="auto"/>
        </w:rPr>
        <w:t xml:space="preserve">considered the uncertainties that remained and </w:t>
      </w:r>
      <w:r w:rsidR="00117D69" w:rsidRPr="00CF1729">
        <w:rPr>
          <w:rFonts w:cs="Arial"/>
          <w:color w:val="auto"/>
        </w:rPr>
        <w:t xml:space="preserve">took these into account, </w:t>
      </w:r>
      <w:r w:rsidR="00C22E3B" w:rsidRPr="00CF1729">
        <w:rPr>
          <w:rFonts w:cs="Arial"/>
          <w:color w:val="auto"/>
        </w:rPr>
        <w:t>conclud</w:t>
      </w:r>
      <w:r w:rsidR="00117D69" w:rsidRPr="00CF1729">
        <w:rPr>
          <w:rFonts w:cs="Arial"/>
          <w:color w:val="auto"/>
        </w:rPr>
        <w:t xml:space="preserve">ing </w:t>
      </w:r>
      <w:r w:rsidR="00C22E3B" w:rsidRPr="00CF1729">
        <w:rPr>
          <w:rFonts w:cs="Arial"/>
          <w:color w:val="auto"/>
        </w:rPr>
        <w:t xml:space="preserve">that </w:t>
      </w:r>
      <w:r w:rsidR="008E3E39" w:rsidRPr="00CF1729">
        <w:rPr>
          <w:rFonts w:cs="Arial"/>
          <w:color w:val="auto"/>
        </w:rPr>
        <w:t xml:space="preserve">any plausible </w:t>
      </w:r>
      <w:r w:rsidR="00432745" w:rsidRPr="00CF1729">
        <w:rPr>
          <w:rFonts w:cs="Arial"/>
          <w:color w:val="auto"/>
        </w:rPr>
        <w:t>ICER was</w:t>
      </w:r>
      <w:r w:rsidR="008E3E39" w:rsidRPr="00CF1729">
        <w:rPr>
          <w:rFonts w:cs="Arial"/>
          <w:color w:val="auto"/>
        </w:rPr>
        <w:t xml:space="preserve"> highly uncertain but</w:t>
      </w:r>
      <w:r w:rsidR="00432745" w:rsidRPr="00CF1729">
        <w:rPr>
          <w:rFonts w:cs="Arial"/>
          <w:color w:val="auto"/>
        </w:rPr>
        <w:t xml:space="preserve"> likely to be above the suitable range</w:t>
      </w:r>
      <w:r w:rsidR="008E3E39" w:rsidRPr="00CF1729">
        <w:rPr>
          <w:rFonts w:cs="Arial"/>
          <w:color w:val="auto"/>
        </w:rPr>
        <w:t xml:space="preserve"> (FDG paragraph 3.20)</w:t>
      </w:r>
      <w:r w:rsidR="00432745" w:rsidRPr="00CF1729">
        <w:rPr>
          <w:rFonts w:cs="Arial"/>
          <w:color w:val="auto"/>
        </w:rPr>
        <w:t xml:space="preserve">.  </w:t>
      </w:r>
      <w:r w:rsidR="00A85A90" w:rsidRPr="00CF1729">
        <w:rPr>
          <w:rFonts w:cs="Arial"/>
          <w:color w:val="auto"/>
        </w:rPr>
        <w:t xml:space="preserve">This approach was open to the Committee as a matter of procedural fairness. </w:t>
      </w:r>
      <w:r w:rsidR="00FE4F4A" w:rsidRPr="00CF1729">
        <w:rPr>
          <w:rFonts w:cs="Arial"/>
          <w:color w:val="auto"/>
        </w:rPr>
        <w:t>There can be no assumption</w:t>
      </w:r>
      <w:r w:rsidR="00A85A90" w:rsidRPr="00CF1729">
        <w:rPr>
          <w:rFonts w:cs="Arial"/>
          <w:color w:val="auto"/>
        </w:rPr>
        <w:t xml:space="preserve"> by a company</w:t>
      </w:r>
      <w:r w:rsidR="00FE4F4A" w:rsidRPr="00CF1729">
        <w:rPr>
          <w:rFonts w:cs="Arial"/>
          <w:color w:val="auto"/>
        </w:rPr>
        <w:t xml:space="preserve"> that</w:t>
      </w:r>
      <w:r w:rsidR="00A85A90" w:rsidRPr="00CF1729">
        <w:rPr>
          <w:rFonts w:cs="Arial"/>
          <w:color w:val="auto"/>
        </w:rPr>
        <w:t xml:space="preserve">, </w:t>
      </w:r>
      <w:r w:rsidR="00E2144E" w:rsidRPr="00CF1729">
        <w:rPr>
          <w:rFonts w:cs="Arial"/>
          <w:color w:val="auto"/>
        </w:rPr>
        <w:t>rather than incorporate any remaining uncertainties into its decision-making</w:t>
      </w:r>
      <w:r w:rsidR="00A85A90" w:rsidRPr="00CF1729">
        <w:rPr>
          <w:rFonts w:cs="Arial"/>
          <w:color w:val="auto"/>
        </w:rPr>
        <w:t xml:space="preserve">, a </w:t>
      </w:r>
      <w:proofErr w:type="gramStart"/>
      <w:r w:rsidR="00A85A90" w:rsidRPr="00CF1729">
        <w:rPr>
          <w:rFonts w:cs="Arial"/>
          <w:color w:val="auto"/>
        </w:rPr>
        <w:t>Committee</w:t>
      </w:r>
      <w:proofErr w:type="gramEnd"/>
      <w:r w:rsidR="00A85A90" w:rsidRPr="00CF1729">
        <w:rPr>
          <w:rFonts w:cs="Arial"/>
          <w:color w:val="auto"/>
        </w:rPr>
        <w:t xml:space="preserve"> will proceed to a third Committee meeting to seek to explore them further</w:t>
      </w:r>
      <w:r w:rsidR="00E2144E" w:rsidRPr="00CF1729">
        <w:rPr>
          <w:rFonts w:cs="Arial"/>
          <w:color w:val="auto"/>
        </w:rPr>
        <w:t xml:space="preserve">. </w:t>
      </w:r>
      <w:r w:rsidR="00CF1729">
        <w:rPr>
          <w:rFonts w:cs="Arial"/>
          <w:color w:val="auto"/>
        </w:rPr>
        <w:t>I can see nothing</w:t>
      </w:r>
      <w:r w:rsidR="00E2144E" w:rsidRPr="00CF1729">
        <w:rPr>
          <w:rFonts w:cs="Arial"/>
          <w:color w:val="auto"/>
        </w:rPr>
        <w:t xml:space="preserve"> in the Manual or conduct of previous Committees</w:t>
      </w:r>
      <w:r w:rsidR="00CF1729">
        <w:rPr>
          <w:rFonts w:cs="Arial"/>
          <w:color w:val="auto"/>
        </w:rPr>
        <w:t xml:space="preserve"> that</w:t>
      </w:r>
      <w:r w:rsidR="00E2144E" w:rsidRPr="00CF1729">
        <w:rPr>
          <w:rFonts w:cs="Arial"/>
          <w:color w:val="auto"/>
        </w:rPr>
        <w:t xml:space="preserve"> could arguably support that proposition. </w:t>
      </w:r>
      <w:r w:rsidR="00612E2E" w:rsidRPr="00CF1729">
        <w:rPr>
          <w:rFonts w:cs="Arial"/>
          <w:color w:val="auto"/>
        </w:rPr>
        <w:t xml:space="preserve">I </w:t>
      </w:r>
      <w:r w:rsidR="00A85A90" w:rsidRPr="00CF1729">
        <w:rPr>
          <w:rFonts w:cs="Arial"/>
          <w:color w:val="auto"/>
        </w:rPr>
        <w:t xml:space="preserve">therefore am not persuaded that there is a valid appeal point in relation to </w:t>
      </w:r>
      <w:r w:rsidR="002E0A81" w:rsidRPr="00CF1729">
        <w:rPr>
          <w:rFonts w:cs="Arial"/>
          <w:color w:val="auto"/>
        </w:rPr>
        <w:t xml:space="preserve">your argument that the Committee should have convened </w:t>
      </w:r>
      <w:r w:rsidR="00A85A90" w:rsidRPr="00CF1729">
        <w:rPr>
          <w:rFonts w:cs="Arial"/>
          <w:color w:val="auto"/>
        </w:rPr>
        <w:t>a third ACM</w:t>
      </w:r>
      <w:r w:rsidR="00CF1729">
        <w:rPr>
          <w:rFonts w:cs="Arial"/>
          <w:color w:val="auto"/>
        </w:rPr>
        <w:t xml:space="preserve"> as a matter of procedural fairness</w:t>
      </w:r>
      <w:r w:rsidR="00612E2E" w:rsidRPr="00CF1729">
        <w:rPr>
          <w:rFonts w:cs="Arial"/>
          <w:color w:val="auto"/>
        </w:rPr>
        <w:t>.</w:t>
      </w:r>
    </w:p>
    <w:p w14:paraId="6ED50454" w14:textId="0DD601E3" w:rsidR="009B2DC5" w:rsidRPr="00106F6B" w:rsidRDefault="007827FA" w:rsidP="006A6DAA">
      <w:pPr>
        <w:pStyle w:val="BodyText"/>
        <w:jc w:val="both"/>
        <w:rPr>
          <w:rFonts w:cs="Arial"/>
          <w:color w:val="auto"/>
        </w:rPr>
      </w:pPr>
      <w:proofErr w:type="gramStart"/>
      <w:r w:rsidRPr="00106F6B">
        <w:rPr>
          <w:rFonts w:cs="Arial"/>
          <w:color w:val="auto"/>
        </w:rPr>
        <w:t>In regard to</w:t>
      </w:r>
      <w:proofErr w:type="gramEnd"/>
      <w:r w:rsidR="00A85A90" w:rsidRPr="00106F6B">
        <w:rPr>
          <w:rFonts w:cs="Arial"/>
          <w:color w:val="auto"/>
        </w:rPr>
        <w:t xml:space="preserve"> your</w:t>
      </w:r>
      <w:r w:rsidRPr="00106F6B">
        <w:rPr>
          <w:rFonts w:cs="Arial"/>
          <w:color w:val="auto"/>
        </w:rPr>
        <w:t xml:space="preserve"> </w:t>
      </w:r>
      <w:r w:rsidR="008B4FBF" w:rsidRPr="00106F6B">
        <w:rPr>
          <w:rFonts w:cs="Arial"/>
          <w:color w:val="auto"/>
        </w:rPr>
        <w:t xml:space="preserve">second </w:t>
      </w:r>
      <w:r w:rsidR="00A85A90" w:rsidRPr="00106F6B">
        <w:rPr>
          <w:rFonts w:cs="Arial"/>
          <w:color w:val="auto"/>
        </w:rPr>
        <w:t>argument</w:t>
      </w:r>
      <w:r w:rsidRPr="00106F6B">
        <w:rPr>
          <w:rFonts w:cs="Arial"/>
          <w:color w:val="auto"/>
        </w:rPr>
        <w:t xml:space="preserve">, </w:t>
      </w:r>
      <w:r w:rsidR="009B2DC5" w:rsidRPr="00106F6B">
        <w:rPr>
          <w:rFonts w:cs="Arial"/>
          <w:color w:val="auto"/>
        </w:rPr>
        <w:t xml:space="preserve">the </w:t>
      </w:r>
      <w:r w:rsidR="009522ED" w:rsidRPr="00106F6B">
        <w:rPr>
          <w:rFonts w:cs="Arial"/>
          <w:color w:val="auto"/>
        </w:rPr>
        <w:t>M</w:t>
      </w:r>
      <w:r w:rsidR="009B2DC5" w:rsidRPr="00106F6B">
        <w:rPr>
          <w:rFonts w:cs="Arial"/>
          <w:color w:val="auto"/>
        </w:rPr>
        <w:t>anual states:</w:t>
      </w:r>
    </w:p>
    <w:p w14:paraId="78022585" w14:textId="03D8F833" w:rsidR="002A7BF7" w:rsidRPr="00106F6B" w:rsidRDefault="009522ED" w:rsidP="002A7BF7">
      <w:pPr>
        <w:pStyle w:val="BodyText"/>
        <w:ind w:left="720"/>
        <w:jc w:val="both"/>
        <w:rPr>
          <w:rFonts w:cs="Arial"/>
          <w:i/>
          <w:iCs/>
          <w:color w:val="auto"/>
        </w:rPr>
      </w:pPr>
      <w:r w:rsidRPr="00106F6B">
        <w:rPr>
          <w:rFonts w:cs="Arial"/>
          <w:i/>
          <w:iCs/>
          <w:color w:val="auto"/>
        </w:rPr>
        <w:t>"5</w:t>
      </w:r>
      <w:r w:rsidR="002A7BF7" w:rsidRPr="00106F6B">
        <w:rPr>
          <w:rFonts w:cs="Arial"/>
          <w:i/>
          <w:iCs/>
          <w:color w:val="auto"/>
        </w:rPr>
        <w:t xml:space="preserve">.5.21 A company may opt to make a managed access proposal for any medicines that may be considered eligible through the Cancer Drugs Fund or the Innovative Medicines Fund. Early engagement with NICE about a managed access proposal is encouraged to allow exploration of the potential for further data collection to address significant uncertainties in the evidence. Multiple touch points within the evaluation process provide opportunities for NICE, the company </w:t>
      </w:r>
      <w:r w:rsidR="002A7BF7" w:rsidRPr="00106F6B">
        <w:rPr>
          <w:rFonts w:cs="Arial"/>
          <w:i/>
          <w:iCs/>
          <w:color w:val="auto"/>
        </w:rPr>
        <w:lastRenderedPageBreak/>
        <w:t>and other stakeholders to identify if a medicine may be suitable for managed access, and that a managed access proposal could be submitted, including:</w:t>
      </w:r>
    </w:p>
    <w:p w14:paraId="420F72C9" w14:textId="41643D77" w:rsidR="002A7BF7" w:rsidRPr="00106F6B" w:rsidRDefault="002A7BF7" w:rsidP="002A7BF7">
      <w:pPr>
        <w:pStyle w:val="BodyText"/>
        <w:ind w:left="720"/>
        <w:jc w:val="both"/>
        <w:rPr>
          <w:rFonts w:cs="Arial"/>
          <w:i/>
          <w:iCs/>
          <w:color w:val="auto"/>
        </w:rPr>
      </w:pPr>
      <w:r w:rsidRPr="00106F6B">
        <w:rPr>
          <w:rFonts w:cs="Arial"/>
          <w:i/>
          <w:iCs/>
          <w:color w:val="auto"/>
        </w:rPr>
        <w:t>• At scoping, during the decision-problem stage where the company is considering making a managed access proposal.</w:t>
      </w:r>
    </w:p>
    <w:p w14:paraId="2FE6EC72" w14:textId="2684403D" w:rsidR="002A7BF7" w:rsidRPr="00106F6B" w:rsidRDefault="002A7BF7" w:rsidP="002A7BF7">
      <w:pPr>
        <w:pStyle w:val="BodyText"/>
        <w:ind w:left="720"/>
        <w:jc w:val="both"/>
        <w:rPr>
          <w:rFonts w:cs="Arial"/>
          <w:i/>
          <w:iCs/>
          <w:color w:val="auto"/>
        </w:rPr>
      </w:pPr>
      <w:r w:rsidRPr="00106F6B">
        <w:rPr>
          <w:rFonts w:cs="Arial"/>
          <w:i/>
          <w:iCs/>
          <w:color w:val="auto"/>
        </w:rPr>
        <w:t>• At submission, a managed access proposal as part of the company's submission.</w:t>
      </w:r>
    </w:p>
    <w:p w14:paraId="119A1E32" w14:textId="50FA31DE" w:rsidR="002A7BF7" w:rsidRPr="00106F6B" w:rsidRDefault="002A7BF7" w:rsidP="002A7BF7">
      <w:pPr>
        <w:pStyle w:val="BodyText"/>
        <w:ind w:left="720"/>
        <w:jc w:val="both"/>
        <w:rPr>
          <w:rFonts w:cs="Arial"/>
          <w:i/>
          <w:iCs/>
          <w:color w:val="auto"/>
        </w:rPr>
      </w:pPr>
      <w:r w:rsidRPr="00106F6B">
        <w:rPr>
          <w:rFonts w:cs="Arial"/>
          <w:i/>
          <w:iCs/>
          <w:color w:val="auto"/>
        </w:rPr>
        <w:t>• At technical engagement (if held) when significant uncertainties are highlighted, and a managed access proposal could be submitted.</w:t>
      </w:r>
    </w:p>
    <w:p w14:paraId="3130396B" w14:textId="5AAD6C44" w:rsidR="009522ED" w:rsidRPr="00106F6B" w:rsidRDefault="000C16E2" w:rsidP="002A7BF7">
      <w:pPr>
        <w:pStyle w:val="BodyText"/>
        <w:ind w:left="720"/>
        <w:jc w:val="both"/>
        <w:rPr>
          <w:rFonts w:cs="Arial"/>
          <w:i/>
          <w:iCs/>
          <w:color w:val="auto"/>
        </w:rPr>
      </w:pPr>
      <w:r w:rsidRPr="00106F6B">
        <w:rPr>
          <w:rFonts w:cs="Arial"/>
          <w:i/>
          <w:iCs/>
          <w:color w:val="auto"/>
        </w:rPr>
        <w:t>5</w:t>
      </w:r>
      <w:r w:rsidR="009522ED" w:rsidRPr="00106F6B">
        <w:rPr>
          <w:rFonts w:cs="Arial"/>
          <w:i/>
          <w:iCs/>
          <w:color w:val="auto"/>
        </w:rPr>
        <w:t>.5.22 Managed access proposals should be submitted at the evidence submission stage</w:t>
      </w:r>
      <w:r w:rsidRPr="00106F6B">
        <w:rPr>
          <w:rFonts w:cs="Arial"/>
          <w:i/>
          <w:iCs/>
          <w:color w:val="auto"/>
        </w:rPr>
        <w:t>…"</w:t>
      </w:r>
    </w:p>
    <w:p w14:paraId="46E4BCFD" w14:textId="2BBE9C93" w:rsidR="00397190" w:rsidRPr="00106F6B" w:rsidRDefault="000C16E2" w:rsidP="006A6DAA">
      <w:pPr>
        <w:pStyle w:val="BodyText"/>
        <w:jc w:val="both"/>
        <w:rPr>
          <w:rFonts w:cs="Arial"/>
          <w:color w:val="auto"/>
        </w:rPr>
      </w:pPr>
      <w:proofErr w:type="gramStart"/>
      <w:r w:rsidRPr="00106F6B">
        <w:rPr>
          <w:rFonts w:cs="Arial"/>
          <w:color w:val="auto"/>
        </w:rPr>
        <w:t>It is clear that the</w:t>
      </w:r>
      <w:proofErr w:type="gramEnd"/>
      <w:r w:rsidRPr="00106F6B">
        <w:rPr>
          <w:rFonts w:cs="Arial"/>
          <w:color w:val="auto"/>
        </w:rPr>
        <w:t xml:space="preserve"> onus is on the company </w:t>
      </w:r>
      <w:r w:rsidR="00CE2EB2" w:rsidRPr="00106F6B">
        <w:rPr>
          <w:rFonts w:cs="Arial"/>
          <w:color w:val="auto"/>
        </w:rPr>
        <w:t xml:space="preserve">not only to indicate its interest in exploring an MAA but </w:t>
      </w:r>
      <w:r w:rsidRPr="00106F6B">
        <w:rPr>
          <w:rFonts w:cs="Arial"/>
          <w:color w:val="auto"/>
        </w:rPr>
        <w:t>to make a proposal</w:t>
      </w:r>
      <w:r w:rsidR="00397190" w:rsidRPr="00106F6B">
        <w:rPr>
          <w:rFonts w:cs="Arial"/>
          <w:color w:val="auto"/>
        </w:rPr>
        <w:t xml:space="preserve">. </w:t>
      </w:r>
      <w:r w:rsidR="00C97DFB" w:rsidRPr="00106F6B">
        <w:rPr>
          <w:rFonts w:cs="Arial"/>
          <w:color w:val="auto"/>
        </w:rPr>
        <w:t>I can see n</w:t>
      </w:r>
      <w:r w:rsidR="00397190" w:rsidRPr="00106F6B">
        <w:rPr>
          <w:rFonts w:cs="Arial"/>
          <w:color w:val="auto"/>
        </w:rPr>
        <w:t xml:space="preserve">othing in the Manual or otherwise </w:t>
      </w:r>
      <w:r w:rsidR="00C97DFB" w:rsidRPr="00106F6B">
        <w:rPr>
          <w:rFonts w:cs="Arial"/>
          <w:color w:val="auto"/>
        </w:rPr>
        <w:t xml:space="preserve">that </w:t>
      </w:r>
      <w:r w:rsidR="00397190" w:rsidRPr="00106F6B">
        <w:rPr>
          <w:rFonts w:cs="Arial"/>
          <w:color w:val="auto"/>
        </w:rPr>
        <w:t xml:space="preserve">arguably creates a procedural </w:t>
      </w:r>
      <w:r w:rsidR="00C97DFB" w:rsidRPr="00106F6B">
        <w:rPr>
          <w:rFonts w:cs="Arial"/>
          <w:color w:val="auto"/>
        </w:rPr>
        <w:t>obligation</w:t>
      </w:r>
      <w:r w:rsidR="00397190" w:rsidRPr="00106F6B">
        <w:rPr>
          <w:rFonts w:cs="Arial"/>
          <w:color w:val="auto"/>
        </w:rPr>
        <w:t xml:space="preserve"> for </w:t>
      </w:r>
      <w:r w:rsidR="00CF4655" w:rsidRPr="00106F6B">
        <w:rPr>
          <w:rFonts w:cs="Arial"/>
          <w:color w:val="auto"/>
        </w:rPr>
        <w:t>the Committee</w:t>
      </w:r>
      <w:r w:rsidR="0017704A" w:rsidRPr="00106F6B">
        <w:rPr>
          <w:rFonts w:cs="Arial"/>
          <w:color w:val="auto"/>
        </w:rPr>
        <w:t xml:space="preserve"> to invite the company to make a proposal</w:t>
      </w:r>
      <w:r w:rsidR="00C97DFB" w:rsidRPr="00106F6B">
        <w:rPr>
          <w:rFonts w:cs="Arial"/>
          <w:color w:val="auto"/>
        </w:rPr>
        <w:t xml:space="preserve"> in the period</w:t>
      </w:r>
      <w:r w:rsidR="0017704A" w:rsidRPr="00106F6B">
        <w:rPr>
          <w:rFonts w:cs="Arial"/>
          <w:color w:val="auto"/>
        </w:rPr>
        <w:t xml:space="preserve"> following the second ACM before publication of draft guidance. </w:t>
      </w:r>
    </w:p>
    <w:p w14:paraId="4737866D" w14:textId="203BB093" w:rsidR="009522ED" w:rsidRPr="00106F6B" w:rsidRDefault="009522ED" w:rsidP="006A6DAA">
      <w:pPr>
        <w:pStyle w:val="BodyText"/>
        <w:jc w:val="both"/>
        <w:rPr>
          <w:rFonts w:cs="Arial"/>
          <w:color w:val="auto"/>
        </w:rPr>
      </w:pPr>
      <w:r w:rsidRPr="00106F6B">
        <w:rPr>
          <w:rFonts w:cs="Arial"/>
          <w:color w:val="auto"/>
        </w:rPr>
        <w:t xml:space="preserve">Furthermore, at the </w:t>
      </w:r>
      <w:r w:rsidR="002A1230" w:rsidRPr="00106F6B">
        <w:rPr>
          <w:rFonts w:cs="Arial"/>
          <w:color w:val="auto"/>
        </w:rPr>
        <w:t xml:space="preserve">first </w:t>
      </w:r>
      <w:r w:rsidRPr="00106F6B">
        <w:rPr>
          <w:rFonts w:cs="Arial"/>
          <w:color w:val="auto"/>
        </w:rPr>
        <w:t xml:space="preserve">ACM meeting on </w:t>
      </w:r>
      <w:r w:rsidR="002A1230" w:rsidRPr="00106F6B">
        <w:rPr>
          <w:rFonts w:cs="Arial"/>
          <w:color w:val="auto"/>
        </w:rPr>
        <w:t>7 December 2022</w:t>
      </w:r>
      <w:r w:rsidRPr="00106F6B">
        <w:rPr>
          <w:rFonts w:cs="Arial"/>
          <w:color w:val="auto"/>
        </w:rPr>
        <w:t>, the Committee noted that you had not put forward a manged access proposal and that:</w:t>
      </w:r>
    </w:p>
    <w:p w14:paraId="25BF9F8C" w14:textId="31604299" w:rsidR="009522ED" w:rsidRPr="00106F6B" w:rsidRDefault="009522ED" w:rsidP="009522ED">
      <w:pPr>
        <w:pStyle w:val="BodyText"/>
        <w:ind w:left="720"/>
        <w:jc w:val="both"/>
        <w:rPr>
          <w:rFonts w:cs="Arial"/>
          <w:i/>
          <w:iCs/>
          <w:color w:val="auto"/>
        </w:rPr>
      </w:pPr>
      <w:r w:rsidRPr="00106F6B">
        <w:rPr>
          <w:rFonts w:cs="Arial"/>
          <w:i/>
          <w:iCs/>
          <w:color w:val="auto"/>
        </w:rPr>
        <w:t>"To consider a recommendation with managed access, the committee need a managed access proposal (requested as part of the company submission) along with a feasibility assessment from NICE (normally expected approximately 4 weeks prior to the committee meeting)"</w:t>
      </w:r>
      <w:r w:rsidR="002215BB" w:rsidRPr="00106F6B">
        <w:rPr>
          <w:rFonts w:cs="Arial"/>
          <w:i/>
          <w:iCs/>
          <w:color w:val="auto"/>
        </w:rPr>
        <w:t>.</w:t>
      </w:r>
    </w:p>
    <w:p w14:paraId="6877D64A" w14:textId="53986DED" w:rsidR="009522ED" w:rsidRPr="00106F6B" w:rsidRDefault="00B65BD6" w:rsidP="006A6DAA">
      <w:pPr>
        <w:pStyle w:val="BodyText"/>
        <w:jc w:val="both"/>
        <w:rPr>
          <w:rFonts w:cs="Arial"/>
          <w:color w:val="auto"/>
        </w:rPr>
      </w:pPr>
      <w:r w:rsidRPr="00106F6B">
        <w:rPr>
          <w:rFonts w:cs="Arial"/>
          <w:color w:val="auto"/>
        </w:rPr>
        <w:t>Therefore,</w:t>
      </w:r>
      <w:r w:rsidR="009522ED" w:rsidRPr="00106F6B">
        <w:rPr>
          <w:rFonts w:cs="Arial"/>
          <w:color w:val="auto"/>
        </w:rPr>
        <w:t xml:space="preserve"> I consider </w:t>
      </w:r>
      <w:r w:rsidR="005C7E65" w:rsidRPr="00106F6B">
        <w:rPr>
          <w:rFonts w:cs="Arial"/>
          <w:color w:val="auto"/>
        </w:rPr>
        <w:t xml:space="preserve">it unarguable </w:t>
      </w:r>
      <w:r w:rsidR="009522ED" w:rsidRPr="00106F6B">
        <w:rPr>
          <w:rFonts w:cs="Arial"/>
          <w:color w:val="auto"/>
        </w:rPr>
        <w:t xml:space="preserve">that the </w:t>
      </w:r>
      <w:r w:rsidR="005C7E65" w:rsidRPr="00106F6B">
        <w:rPr>
          <w:rFonts w:cs="Arial"/>
          <w:color w:val="auto"/>
        </w:rPr>
        <w:t>C</w:t>
      </w:r>
      <w:r w:rsidR="009522ED" w:rsidRPr="00106F6B">
        <w:rPr>
          <w:rFonts w:cs="Arial"/>
          <w:color w:val="auto"/>
        </w:rPr>
        <w:t xml:space="preserve">ommittee have </w:t>
      </w:r>
      <w:r w:rsidR="005C7E65" w:rsidRPr="00106F6B">
        <w:rPr>
          <w:rFonts w:cs="Arial"/>
          <w:color w:val="auto"/>
        </w:rPr>
        <w:t>acted unfairly by</w:t>
      </w:r>
      <w:r w:rsidR="009522ED" w:rsidRPr="00106F6B">
        <w:rPr>
          <w:rFonts w:cs="Arial"/>
          <w:color w:val="auto"/>
        </w:rPr>
        <w:t xml:space="preserve"> provid</w:t>
      </w:r>
      <w:r w:rsidR="005C7E65" w:rsidRPr="00106F6B">
        <w:rPr>
          <w:rFonts w:cs="Arial"/>
          <w:color w:val="auto"/>
        </w:rPr>
        <w:t>ing</w:t>
      </w:r>
      <w:r w:rsidR="009522ED" w:rsidRPr="00106F6B">
        <w:rPr>
          <w:rFonts w:cs="Arial"/>
          <w:color w:val="auto"/>
        </w:rPr>
        <w:t xml:space="preserve"> </w:t>
      </w:r>
      <w:r w:rsidR="005C7E65" w:rsidRPr="00106F6B">
        <w:rPr>
          <w:rFonts w:cs="Arial"/>
          <w:color w:val="auto"/>
        </w:rPr>
        <w:t>in</w:t>
      </w:r>
      <w:r w:rsidR="009522ED" w:rsidRPr="00106F6B">
        <w:rPr>
          <w:rFonts w:cs="Arial"/>
          <w:color w:val="auto"/>
        </w:rPr>
        <w:t>adequate</w:t>
      </w:r>
      <w:r w:rsidR="005C7E65" w:rsidRPr="00106F6B">
        <w:rPr>
          <w:rFonts w:cs="Arial"/>
          <w:color w:val="auto"/>
        </w:rPr>
        <w:t xml:space="preserve"> opportunity or</w:t>
      </w:r>
      <w:r w:rsidR="009522ED" w:rsidRPr="00106F6B">
        <w:rPr>
          <w:rFonts w:cs="Arial"/>
          <w:color w:val="auto"/>
        </w:rPr>
        <w:t xml:space="preserve"> notice for you to submit a managed access proposal</w:t>
      </w:r>
      <w:r w:rsidR="00CA6191">
        <w:rPr>
          <w:rFonts w:cs="Arial"/>
          <w:color w:val="auto"/>
        </w:rPr>
        <w:t>.</w:t>
      </w:r>
      <w:r w:rsidR="009522ED" w:rsidRPr="00106F6B">
        <w:rPr>
          <w:rFonts w:cs="Arial"/>
          <w:color w:val="auto"/>
        </w:rPr>
        <w:t xml:space="preserve"> </w:t>
      </w:r>
    </w:p>
    <w:p w14:paraId="27AEDEA8" w14:textId="508E4358" w:rsidR="009522ED" w:rsidRPr="00106F6B" w:rsidRDefault="009522ED" w:rsidP="006A6DAA">
      <w:pPr>
        <w:pStyle w:val="BodyText"/>
        <w:jc w:val="both"/>
        <w:rPr>
          <w:rFonts w:cs="Arial"/>
          <w:color w:val="auto"/>
        </w:rPr>
      </w:pPr>
      <w:r w:rsidRPr="00106F6B">
        <w:rPr>
          <w:rFonts w:cs="Arial"/>
          <w:color w:val="auto"/>
        </w:rPr>
        <w:t xml:space="preserve">I note that you have </w:t>
      </w:r>
      <w:r w:rsidR="00080489" w:rsidRPr="00106F6B">
        <w:rPr>
          <w:rFonts w:cs="Arial"/>
          <w:color w:val="auto"/>
        </w:rPr>
        <w:t>argued</w:t>
      </w:r>
      <w:r w:rsidRPr="00106F6B">
        <w:rPr>
          <w:rFonts w:cs="Arial"/>
          <w:color w:val="auto"/>
        </w:rPr>
        <w:t xml:space="preserve"> in your appeal letter (paragraph 23-27) that it was unrealistic and unfair for you to submit a managed access proposal </w:t>
      </w:r>
      <w:r w:rsidR="00080489" w:rsidRPr="00106F6B">
        <w:rPr>
          <w:rFonts w:cs="Arial"/>
          <w:color w:val="auto"/>
        </w:rPr>
        <w:t>before the second ACM</w:t>
      </w:r>
      <w:r w:rsidRPr="00106F6B">
        <w:rPr>
          <w:rFonts w:cs="Arial"/>
          <w:color w:val="auto"/>
        </w:rPr>
        <w:t>.   I have considered the</w:t>
      </w:r>
      <w:r w:rsidR="008B4FBF" w:rsidRPr="00106F6B">
        <w:rPr>
          <w:rFonts w:cs="Arial"/>
          <w:color w:val="auto"/>
        </w:rPr>
        <w:t>se</w:t>
      </w:r>
      <w:r w:rsidRPr="00106F6B">
        <w:rPr>
          <w:rFonts w:cs="Arial"/>
          <w:color w:val="auto"/>
        </w:rPr>
        <w:t xml:space="preserve"> reasons but </w:t>
      </w:r>
      <w:r w:rsidR="009E5215" w:rsidRPr="00106F6B">
        <w:rPr>
          <w:rFonts w:cs="Arial"/>
          <w:color w:val="auto"/>
        </w:rPr>
        <w:t>remain unpersuaded</w:t>
      </w:r>
      <w:r w:rsidR="00080489" w:rsidRPr="00106F6B">
        <w:rPr>
          <w:rFonts w:cs="Arial"/>
          <w:color w:val="auto"/>
        </w:rPr>
        <w:t xml:space="preserve"> that this is a valid appeal point</w:t>
      </w:r>
      <w:r w:rsidRPr="00106F6B">
        <w:rPr>
          <w:rFonts w:cs="Arial"/>
          <w:color w:val="auto"/>
        </w:rPr>
        <w:t xml:space="preserve">.   </w:t>
      </w:r>
      <w:proofErr w:type="gramStart"/>
      <w:r w:rsidRPr="00106F6B">
        <w:rPr>
          <w:rFonts w:cs="Arial"/>
          <w:color w:val="auto"/>
        </w:rPr>
        <w:t>In regard to</w:t>
      </w:r>
      <w:proofErr w:type="gramEnd"/>
      <w:r w:rsidRPr="00106F6B">
        <w:rPr>
          <w:rFonts w:cs="Arial"/>
          <w:color w:val="auto"/>
        </w:rPr>
        <w:t xml:space="preserve"> </w:t>
      </w:r>
      <w:r w:rsidR="00080489" w:rsidRPr="00106F6B">
        <w:rPr>
          <w:rFonts w:cs="Arial"/>
          <w:color w:val="auto"/>
        </w:rPr>
        <w:t xml:space="preserve">your </w:t>
      </w:r>
      <w:r w:rsidRPr="00106F6B">
        <w:rPr>
          <w:rFonts w:cs="Arial"/>
          <w:color w:val="auto"/>
        </w:rPr>
        <w:t>first</w:t>
      </w:r>
      <w:r w:rsidR="00F93371" w:rsidRPr="00106F6B">
        <w:rPr>
          <w:rFonts w:cs="Arial"/>
          <w:color w:val="auto"/>
        </w:rPr>
        <w:t xml:space="preserve"> and second</w:t>
      </w:r>
      <w:r w:rsidRPr="00106F6B">
        <w:rPr>
          <w:rFonts w:cs="Arial"/>
          <w:color w:val="auto"/>
        </w:rPr>
        <w:t xml:space="preserve"> point</w:t>
      </w:r>
      <w:r w:rsidR="004A6E07" w:rsidRPr="00106F6B">
        <w:rPr>
          <w:rFonts w:cs="Arial"/>
          <w:color w:val="auto"/>
        </w:rPr>
        <w:t>s</w:t>
      </w:r>
      <w:r w:rsidR="00770024" w:rsidRPr="00106F6B">
        <w:rPr>
          <w:rFonts w:cs="Arial"/>
          <w:color w:val="auto"/>
        </w:rPr>
        <w:t xml:space="preserve"> as to why the company did not put in a proposal</w:t>
      </w:r>
      <w:r w:rsidRPr="00106F6B">
        <w:rPr>
          <w:rFonts w:cs="Arial"/>
          <w:color w:val="auto"/>
        </w:rPr>
        <w:t xml:space="preserve">, the </w:t>
      </w:r>
      <w:r w:rsidR="008B4FBF" w:rsidRPr="00106F6B">
        <w:rPr>
          <w:rFonts w:cs="Arial"/>
          <w:color w:val="auto"/>
        </w:rPr>
        <w:t>M</w:t>
      </w:r>
      <w:r w:rsidRPr="00106F6B">
        <w:rPr>
          <w:rFonts w:cs="Arial"/>
          <w:color w:val="auto"/>
        </w:rPr>
        <w:t xml:space="preserve">anual and guidance provided by the </w:t>
      </w:r>
      <w:r w:rsidR="004A6E07" w:rsidRPr="00106F6B">
        <w:rPr>
          <w:rFonts w:cs="Arial"/>
          <w:color w:val="auto"/>
        </w:rPr>
        <w:t>C</w:t>
      </w:r>
      <w:r w:rsidRPr="00106F6B">
        <w:rPr>
          <w:rFonts w:cs="Arial"/>
          <w:color w:val="auto"/>
        </w:rPr>
        <w:t xml:space="preserve">ommittee </w:t>
      </w:r>
      <w:r w:rsidR="002F6AA2" w:rsidRPr="00106F6B">
        <w:rPr>
          <w:rFonts w:cs="Arial"/>
          <w:color w:val="auto"/>
        </w:rPr>
        <w:t xml:space="preserve">in the first ACM slides </w:t>
      </w:r>
      <w:r w:rsidR="004A6E07" w:rsidRPr="00106F6B">
        <w:rPr>
          <w:rFonts w:cs="Arial"/>
          <w:color w:val="auto"/>
        </w:rPr>
        <w:t>clearly set out expectations</w:t>
      </w:r>
      <w:r w:rsidRPr="00106F6B">
        <w:rPr>
          <w:rFonts w:cs="Arial"/>
          <w:color w:val="auto"/>
        </w:rPr>
        <w:t xml:space="preserve"> in regard to submitting a managed access proposal</w:t>
      </w:r>
      <w:r w:rsidR="00465979" w:rsidRPr="00106F6B">
        <w:rPr>
          <w:rFonts w:cs="Arial"/>
          <w:color w:val="auto"/>
        </w:rPr>
        <w:t xml:space="preserve">. I disagree that this was a "different approach" or that the Committee </w:t>
      </w:r>
      <w:r w:rsidR="00EA58D4" w:rsidRPr="00106F6B">
        <w:rPr>
          <w:rFonts w:cs="Arial"/>
          <w:color w:val="auto"/>
        </w:rPr>
        <w:t>failed to convey its position clearly to the company with reasonable notice.</w:t>
      </w:r>
    </w:p>
    <w:p w14:paraId="093768D4" w14:textId="0C4F5A2C" w:rsidR="00F93371" w:rsidRPr="00106F6B" w:rsidRDefault="00F93371" w:rsidP="006A6DAA">
      <w:pPr>
        <w:pStyle w:val="BodyText"/>
        <w:jc w:val="both"/>
        <w:rPr>
          <w:rFonts w:cs="Arial"/>
          <w:color w:val="auto"/>
        </w:rPr>
      </w:pPr>
      <w:proofErr w:type="gramStart"/>
      <w:r w:rsidRPr="00106F6B">
        <w:rPr>
          <w:rFonts w:cs="Arial"/>
          <w:color w:val="auto"/>
        </w:rPr>
        <w:t>I</w:t>
      </w:r>
      <w:r w:rsidR="00CF1729">
        <w:rPr>
          <w:rFonts w:cs="Arial"/>
          <w:color w:val="auto"/>
        </w:rPr>
        <w:t>n regard to</w:t>
      </w:r>
      <w:proofErr w:type="gramEnd"/>
      <w:r w:rsidR="00CF1729">
        <w:rPr>
          <w:rFonts w:cs="Arial"/>
          <w:color w:val="auto"/>
        </w:rPr>
        <w:t xml:space="preserve"> your third point, I</w:t>
      </w:r>
      <w:r w:rsidR="002E0A81">
        <w:rPr>
          <w:rFonts w:cs="Arial"/>
          <w:color w:val="auto"/>
        </w:rPr>
        <w:t xml:space="preserve"> understand you </w:t>
      </w:r>
      <w:r w:rsidR="00CF1729">
        <w:rPr>
          <w:rFonts w:cs="Arial"/>
          <w:color w:val="auto"/>
        </w:rPr>
        <w:t>say</w:t>
      </w:r>
      <w:r w:rsidR="002E0A81">
        <w:rPr>
          <w:rFonts w:cs="Arial"/>
          <w:color w:val="auto"/>
        </w:rPr>
        <w:t xml:space="preserve"> that the</w:t>
      </w:r>
      <w:r w:rsidRPr="00106F6B">
        <w:rPr>
          <w:rFonts w:cs="Arial"/>
          <w:color w:val="auto"/>
        </w:rPr>
        <w:t xml:space="preserve"> </w:t>
      </w:r>
      <w:r w:rsidR="00770024" w:rsidRPr="00106F6B">
        <w:rPr>
          <w:rFonts w:cs="Arial"/>
          <w:color w:val="auto"/>
        </w:rPr>
        <w:t>reason the company did not make a proposal was that</w:t>
      </w:r>
      <w:r w:rsidRPr="00106F6B">
        <w:rPr>
          <w:rFonts w:cs="Arial"/>
          <w:color w:val="auto"/>
        </w:rPr>
        <w:t xml:space="preserve"> no ICER had been provided</w:t>
      </w:r>
      <w:r w:rsidR="000442D5">
        <w:rPr>
          <w:rFonts w:cs="Arial"/>
          <w:color w:val="auto"/>
        </w:rPr>
        <w:t>.  W</w:t>
      </w:r>
      <w:r w:rsidR="00612E2E" w:rsidRPr="00106F6B">
        <w:rPr>
          <w:rFonts w:cs="Arial"/>
          <w:color w:val="auto"/>
        </w:rPr>
        <w:t xml:space="preserve">hether </w:t>
      </w:r>
      <w:r w:rsidR="002F4FC9" w:rsidRPr="00106F6B">
        <w:rPr>
          <w:rFonts w:cs="Arial"/>
          <w:color w:val="auto"/>
        </w:rPr>
        <w:t>an</w:t>
      </w:r>
      <w:r w:rsidR="00612E2E" w:rsidRPr="00106F6B">
        <w:rPr>
          <w:rFonts w:cs="Arial"/>
          <w:color w:val="auto"/>
        </w:rPr>
        <w:t xml:space="preserve"> ICER</w:t>
      </w:r>
      <w:r w:rsidR="002F4FC9" w:rsidRPr="00106F6B">
        <w:rPr>
          <w:rFonts w:cs="Arial"/>
          <w:color w:val="auto"/>
        </w:rPr>
        <w:t xml:space="preserve"> or range</w:t>
      </w:r>
      <w:r w:rsidR="00612E2E" w:rsidRPr="00106F6B">
        <w:rPr>
          <w:rFonts w:cs="Arial"/>
          <w:color w:val="auto"/>
        </w:rPr>
        <w:t xml:space="preserve"> should have been shared is a question </w:t>
      </w:r>
      <w:r w:rsidR="002F4FC9" w:rsidRPr="00106F6B">
        <w:rPr>
          <w:rFonts w:cs="Arial"/>
          <w:color w:val="auto"/>
        </w:rPr>
        <w:t>that will be explore</w:t>
      </w:r>
      <w:r w:rsidR="000442D5">
        <w:rPr>
          <w:rFonts w:cs="Arial"/>
          <w:color w:val="auto"/>
        </w:rPr>
        <w:t>d</w:t>
      </w:r>
      <w:r w:rsidR="002F4FC9" w:rsidRPr="00106F6B">
        <w:rPr>
          <w:rFonts w:cs="Arial"/>
          <w:color w:val="auto"/>
        </w:rPr>
        <w:t xml:space="preserve"> </w:t>
      </w:r>
      <w:proofErr w:type="spellStart"/>
      <w:r w:rsidR="00612E2E" w:rsidRPr="00106F6B">
        <w:rPr>
          <w:rFonts w:cs="Arial"/>
          <w:color w:val="auto"/>
        </w:rPr>
        <w:t>under ground</w:t>
      </w:r>
      <w:proofErr w:type="spellEnd"/>
      <w:r w:rsidR="00612E2E" w:rsidRPr="00106F6B">
        <w:rPr>
          <w:rFonts w:cs="Arial"/>
          <w:color w:val="auto"/>
        </w:rPr>
        <w:t xml:space="preserve"> 1</w:t>
      </w:r>
      <w:r w:rsidR="00CF1729">
        <w:rPr>
          <w:rFonts w:cs="Arial"/>
          <w:color w:val="auto"/>
        </w:rPr>
        <w:t>(</w:t>
      </w:r>
      <w:r w:rsidR="00612E2E" w:rsidRPr="00106F6B">
        <w:rPr>
          <w:rFonts w:cs="Arial"/>
          <w:color w:val="auto"/>
        </w:rPr>
        <w:t>a</w:t>
      </w:r>
      <w:r w:rsidR="00CF1729">
        <w:rPr>
          <w:rFonts w:cs="Arial"/>
          <w:color w:val="auto"/>
        </w:rPr>
        <w:t>)</w:t>
      </w:r>
      <w:r w:rsidR="00612E2E" w:rsidRPr="00106F6B">
        <w:rPr>
          <w:rFonts w:cs="Arial"/>
          <w:color w:val="auto"/>
        </w:rPr>
        <w:t>.1</w:t>
      </w:r>
      <w:r w:rsidR="00B251B6" w:rsidRPr="00106F6B">
        <w:rPr>
          <w:rFonts w:cs="Arial"/>
          <w:color w:val="auto"/>
        </w:rPr>
        <w:t xml:space="preserve">, and you may refer under that point to the impact and consequences of the Committee not having shared this. However, </w:t>
      </w:r>
      <w:r w:rsidR="00612E2E" w:rsidRPr="00106F6B">
        <w:rPr>
          <w:rFonts w:cs="Arial"/>
          <w:color w:val="auto"/>
        </w:rPr>
        <w:t>I do not consider th</w:t>
      </w:r>
      <w:r w:rsidR="00F00124" w:rsidRPr="00106F6B">
        <w:rPr>
          <w:rFonts w:cs="Arial"/>
          <w:color w:val="auto"/>
        </w:rPr>
        <w:t xml:space="preserve">at the absence of a plausible ICER from the Committee renders its decision to proceed to publication of the draft FDG after the second ACM without exploring managed access with the company procedurally unfair. </w:t>
      </w:r>
      <w:r w:rsidR="00612E2E" w:rsidRPr="00106F6B">
        <w:rPr>
          <w:rFonts w:cs="Arial"/>
          <w:color w:val="auto"/>
        </w:rPr>
        <w:t xml:space="preserve"> </w:t>
      </w:r>
    </w:p>
    <w:p w14:paraId="5D0C2085" w14:textId="5B430ADF" w:rsidR="00366177" w:rsidRPr="00106F6B" w:rsidRDefault="00366177" w:rsidP="00366177">
      <w:pPr>
        <w:spacing w:before="240" w:after="240" w:line="276" w:lineRule="auto"/>
        <w:jc w:val="both"/>
        <w:rPr>
          <w:rFonts w:cs="Arial"/>
          <w:b/>
          <w:color w:val="auto"/>
          <w:u w:val="single"/>
        </w:rPr>
      </w:pPr>
      <w:r w:rsidRPr="00106F6B">
        <w:rPr>
          <w:rFonts w:cs="Arial"/>
          <w:b/>
          <w:color w:val="auto"/>
          <w:u w:val="single"/>
        </w:rPr>
        <w:t xml:space="preserve">Appeal </w:t>
      </w:r>
      <w:proofErr w:type="gramStart"/>
      <w:r w:rsidRPr="00106F6B">
        <w:rPr>
          <w:rFonts w:cs="Arial"/>
          <w:b/>
          <w:color w:val="auto"/>
          <w:u w:val="single"/>
        </w:rPr>
        <w:t>point</w:t>
      </w:r>
      <w:proofErr w:type="gramEnd"/>
      <w:r w:rsidRPr="00106F6B">
        <w:rPr>
          <w:rFonts w:cs="Arial"/>
          <w:b/>
          <w:color w:val="auto"/>
          <w:u w:val="single"/>
        </w:rPr>
        <w:t xml:space="preserve"> 1(a).4: "Given the nature of the outstanding issues, the Committee should have ensured that a clinical and/or patient expert was invited to ACM2, to speak directly on issues where their input would have been valuable."</w:t>
      </w:r>
    </w:p>
    <w:p w14:paraId="35486D8D" w14:textId="5F0984AD" w:rsidR="00366177" w:rsidRPr="00CF1729" w:rsidRDefault="00366177" w:rsidP="00366177">
      <w:pPr>
        <w:pStyle w:val="BodyText"/>
        <w:jc w:val="both"/>
        <w:rPr>
          <w:rFonts w:cs="Arial"/>
          <w:color w:val="auto"/>
        </w:rPr>
      </w:pPr>
      <w:r w:rsidRPr="00CF1729">
        <w:rPr>
          <w:rFonts w:cs="Arial"/>
          <w:color w:val="auto"/>
        </w:rPr>
        <w:t xml:space="preserve">I am minded </w:t>
      </w:r>
      <w:proofErr w:type="gramStart"/>
      <w:r w:rsidRPr="00CF1729">
        <w:rPr>
          <w:rFonts w:cs="Arial"/>
          <w:color w:val="auto"/>
        </w:rPr>
        <w:t>to refer</w:t>
      </w:r>
      <w:proofErr w:type="gramEnd"/>
      <w:r w:rsidRPr="00CF1729">
        <w:rPr>
          <w:rFonts w:cs="Arial"/>
          <w:color w:val="auto"/>
        </w:rPr>
        <w:t xml:space="preserve"> this appeal point to the Appeal Panel</w:t>
      </w:r>
      <w:r w:rsidR="00836C3E" w:rsidRPr="00CF1729">
        <w:rPr>
          <w:rFonts w:cs="Arial"/>
          <w:color w:val="auto"/>
        </w:rPr>
        <w:t>.</w:t>
      </w:r>
    </w:p>
    <w:p w14:paraId="369F8EE4" w14:textId="5AC54298" w:rsidR="00366177" w:rsidRPr="00CF1729" w:rsidRDefault="00366177" w:rsidP="00366177">
      <w:pPr>
        <w:spacing w:before="240" w:after="240" w:line="276" w:lineRule="auto"/>
        <w:jc w:val="both"/>
        <w:rPr>
          <w:rFonts w:cs="Arial"/>
          <w:b/>
          <w:color w:val="auto"/>
          <w:u w:val="single"/>
        </w:rPr>
      </w:pPr>
      <w:r w:rsidRPr="00CF1729">
        <w:rPr>
          <w:rFonts w:cs="Arial"/>
          <w:b/>
          <w:color w:val="auto"/>
          <w:u w:val="single"/>
        </w:rPr>
        <w:t xml:space="preserve">Appeal </w:t>
      </w:r>
      <w:proofErr w:type="gramStart"/>
      <w:r w:rsidRPr="00CF1729">
        <w:rPr>
          <w:rFonts w:cs="Arial"/>
          <w:b/>
          <w:color w:val="auto"/>
          <w:u w:val="single"/>
        </w:rPr>
        <w:t>point</w:t>
      </w:r>
      <w:proofErr w:type="gramEnd"/>
      <w:r w:rsidRPr="00CF1729">
        <w:rPr>
          <w:rFonts w:cs="Arial"/>
          <w:b/>
          <w:color w:val="auto"/>
          <w:u w:val="single"/>
        </w:rPr>
        <w:t xml:space="preserve"> 1(a).5: "The Committee should have explained more clearly, during the appraisal process, how it intended to take (or not take) the health inequalities in relation to SCD into account in its decision-making and why."</w:t>
      </w:r>
    </w:p>
    <w:p w14:paraId="76551B48" w14:textId="77777777" w:rsidR="00156550" w:rsidRPr="00CF1729" w:rsidRDefault="00156550" w:rsidP="00156550">
      <w:pPr>
        <w:pStyle w:val="BodyText"/>
        <w:jc w:val="both"/>
        <w:rPr>
          <w:rFonts w:cs="Arial"/>
          <w:color w:val="auto"/>
        </w:rPr>
      </w:pPr>
      <w:r w:rsidRPr="00CF1729">
        <w:rPr>
          <w:rFonts w:cs="Arial"/>
          <w:color w:val="auto"/>
        </w:rPr>
        <w:lastRenderedPageBreak/>
        <w:t xml:space="preserve">I am not minded </w:t>
      </w:r>
      <w:proofErr w:type="gramStart"/>
      <w:r w:rsidRPr="00CF1729">
        <w:rPr>
          <w:rFonts w:cs="Arial"/>
          <w:color w:val="auto"/>
        </w:rPr>
        <w:t>to refer</w:t>
      </w:r>
      <w:proofErr w:type="gramEnd"/>
      <w:r w:rsidRPr="00CF1729">
        <w:rPr>
          <w:rFonts w:cs="Arial"/>
          <w:color w:val="auto"/>
        </w:rPr>
        <w:t xml:space="preserve"> this appeal point to the Appeal Panel.</w:t>
      </w:r>
    </w:p>
    <w:p w14:paraId="53E80348" w14:textId="3B76C3E5" w:rsidR="00DD74DC" w:rsidRPr="00CF1729" w:rsidRDefault="008B4FBF" w:rsidP="008B4FBF">
      <w:pPr>
        <w:pStyle w:val="BodyText"/>
        <w:jc w:val="both"/>
        <w:rPr>
          <w:rFonts w:cs="Arial"/>
          <w:color w:val="auto"/>
        </w:rPr>
      </w:pPr>
      <w:r w:rsidRPr="00CF1729">
        <w:rPr>
          <w:rFonts w:cs="Arial"/>
          <w:color w:val="auto"/>
        </w:rPr>
        <w:t xml:space="preserve">I understand this appeal point to be that the Committee has failed to </w:t>
      </w:r>
      <w:r w:rsidRPr="00CF1729">
        <w:rPr>
          <w:rFonts w:cs="Arial"/>
          <w:b/>
          <w:bCs/>
          <w:color w:val="auto"/>
          <w:u w:val="single"/>
        </w:rPr>
        <w:t>explain</w:t>
      </w:r>
      <w:r w:rsidRPr="00CF1729">
        <w:rPr>
          <w:rFonts w:cs="Arial"/>
          <w:color w:val="auto"/>
        </w:rPr>
        <w:t xml:space="preserve"> </w:t>
      </w:r>
      <w:r w:rsidR="00AE54F4" w:rsidRPr="00CF1729">
        <w:rPr>
          <w:rFonts w:cs="Arial"/>
          <w:color w:val="auto"/>
        </w:rPr>
        <w:t xml:space="preserve">adequately </w:t>
      </w:r>
      <w:r w:rsidRPr="00CF1729">
        <w:rPr>
          <w:rFonts w:cs="Arial"/>
          <w:color w:val="auto"/>
        </w:rPr>
        <w:t xml:space="preserve">how </w:t>
      </w:r>
      <w:r w:rsidR="00AE54F4" w:rsidRPr="00CF1729">
        <w:rPr>
          <w:rFonts w:cs="Arial"/>
          <w:color w:val="auto"/>
        </w:rPr>
        <w:t xml:space="preserve">it </w:t>
      </w:r>
      <w:r w:rsidR="004B3094" w:rsidRPr="00CF1729">
        <w:rPr>
          <w:rFonts w:cs="Arial"/>
          <w:color w:val="auto"/>
        </w:rPr>
        <w:t>intended to take (or not take)</w:t>
      </w:r>
      <w:r w:rsidR="00AE54F4" w:rsidRPr="00CF1729">
        <w:rPr>
          <w:rFonts w:cs="Arial"/>
          <w:color w:val="auto"/>
        </w:rPr>
        <w:t xml:space="preserve"> </w:t>
      </w:r>
      <w:r w:rsidRPr="00CF1729">
        <w:rPr>
          <w:rFonts w:cs="Arial"/>
          <w:color w:val="auto"/>
        </w:rPr>
        <w:t>the health inequalities raised during the evaluation</w:t>
      </w:r>
      <w:r w:rsidR="000442D5" w:rsidRPr="00CF1729">
        <w:rPr>
          <w:rFonts w:cs="Arial"/>
          <w:color w:val="auto"/>
        </w:rPr>
        <w:t xml:space="preserve"> </w:t>
      </w:r>
      <w:r w:rsidR="004B3094" w:rsidRPr="00CF1729">
        <w:rPr>
          <w:rFonts w:cs="Arial"/>
          <w:color w:val="auto"/>
        </w:rPr>
        <w:t xml:space="preserve">into account </w:t>
      </w:r>
      <w:r w:rsidR="000442D5" w:rsidRPr="00CF1729">
        <w:rPr>
          <w:rFonts w:cs="Arial"/>
          <w:color w:val="auto"/>
        </w:rPr>
        <w:t>and why</w:t>
      </w:r>
      <w:r w:rsidRPr="00CF1729">
        <w:rPr>
          <w:rFonts w:cs="Arial"/>
          <w:color w:val="auto"/>
        </w:rPr>
        <w:t xml:space="preserve">.   </w:t>
      </w:r>
      <w:r w:rsidR="00E814D5" w:rsidRPr="00CF1729">
        <w:rPr>
          <w:rFonts w:cs="Arial"/>
          <w:color w:val="auto"/>
        </w:rPr>
        <w:t>It is clear that</w:t>
      </w:r>
      <w:r w:rsidR="000442D5" w:rsidRPr="00CF1729">
        <w:rPr>
          <w:rFonts w:cs="Arial"/>
          <w:color w:val="auto"/>
        </w:rPr>
        <w:t xml:space="preserve"> </w:t>
      </w:r>
      <w:r w:rsidRPr="00CF1729">
        <w:rPr>
          <w:rFonts w:cs="Arial"/>
          <w:color w:val="auto"/>
        </w:rPr>
        <w:t>the Committee were aware of the</w:t>
      </w:r>
      <w:r w:rsidR="00E814D5" w:rsidRPr="00CF1729">
        <w:rPr>
          <w:rFonts w:cs="Arial"/>
          <w:color w:val="auto"/>
        </w:rPr>
        <w:t xml:space="preserve"> issues relating to</w:t>
      </w:r>
      <w:r w:rsidRPr="00CF1729">
        <w:rPr>
          <w:rFonts w:cs="Arial"/>
          <w:color w:val="auto"/>
        </w:rPr>
        <w:t xml:space="preserve"> health inequalities that had been raised</w:t>
      </w:r>
      <w:r w:rsidR="00E814D5" w:rsidRPr="00CF1729">
        <w:rPr>
          <w:rFonts w:cs="Arial"/>
          <w:color w:val="auto"/>
        </w:rPr>
        <w:t>: see</w:t>
      </w:r>
      <w:r w:rsidR="00AE54F4" w:rsidRPr="00CF1729">
        <w:rPr>
          <w:rFonts w:cs="Arial"/>
          <w:color w:val="auto"/>
        </w:rPr>
        <w:t xml:space="preserve"> the responses to consultation</w:t>
      </w:r>
      <w:r w:rsidR="00E814D5" w:rsidRPr="00CF1729">
        <w:rPr>
          <w:rFonts w:cs="Arial"/>
          <w:color w:val="auto"/>
        </w:rPr>
        <w:t xml:space="preserve"> (including the NICE response to the specific comments to which you refer in your appeal letter) and the slides from</w:t>
      </w:r>
      <w:r w:rsidRPr="00CF1729">
        <w:rPr>
          <w:rFonts w:cs="Arial"/>
          <w:color w:val="auto"/>
        </w:rPr>
        <w:t xml:space="preserve"> the second ACM meeting</w:t>
      </w:r>
      <w:r w:rsidR="00E814D5" w:rsidRPr="00CF1729">
        <w:rPr>
          <w:rFonts w:cs="Arial"/>
          <w:color w:val="auto"/>
        </w:rPr>
        <w:t xml:space="preserve">: </w:t>
      </w:r>
      <w:hyperlink r:id="rId9" w:history="1">
        <w:r w:rsidR="000442D5" w:rsidRPr="00CF1729">
          <w:rPr>
            <w:rStyle w:val="Hyperlink"/>
            <w:rFonts w:cs="Arial"/>
            <w:color w:val="auto"/>
          </w:rPr>
          <w:t>https://www.nice.org.uk/guidance/gid-ta10505/documents/1-2</w:t>
        </w:r>
      </w:hyperlink>
      <w:r w:rsidR="000442D5" w:rsidRPr="00CF1729">
        <w:rPr>
          <w:rFonts w:cs="Arial"/>
          <w:color w:val="auto"/>
        </w:rPr>
        <w:t xml:space="preserve">. </w:t>
      </w:r>
      <w:r w:rsidRPr="00CF1729">
        <w:rPr>
          <w:rFonts w:cs="Arial"/>
          <w:color w:val="auto"/>
        </w:rPr>
        <w:t>The Committee acknowledge health inequalities in the FDG at paragraph 3.18</w:t>
      </w:r>
      <w:r w:rsidR="00B65BD6" w:rsidRPr="00CF1729">
        <w:rPr>
          <w:rFonts w:cs="Arial"/>
          <w:color w:val="auto"/>
        </w:rPr>
        <w:t>, concluding</w:t>
      </w:r>
      <w:r w:rsidRPr="00CF1729">
        <w:rPr>
          <w:rFonts w:cs="Arial"/>
          <w:color w:val="auto"/>
        </w:rPr>
        <w:t xml:space="preserve"> that:</w:t>
      </w:r>
    </w:p>
    <w:p w14:paraId="78A72C13" w14:textId="5CA24839" w:rsidR="00DD74DC" w:rsidRPr="00CF1729" w:rsidRDefault="00DD74DC" w:rsidP="00DD74DC">
      <w:pPr>
        <w:pStyle w:val="BodyText"/>
        <w:ind w:left="720"/>
        <w:jc w:val="both"/>
        <w:rPr>
          <w:rFonts w:cs="Arial"/>
          <w:i/>
          <w:iCs/>
          <w:color w:val="auto"/>
        </w:rPr>
      </w:pPr>
      <w:r w:rsidRPr="00CF1729">
        <w:rPr>
          <w:rFonts w:cs="Arial"/>
          <w:i/>
          <w:iCs/>
          <w:color w:val="auto"/>
        </w:rPr>
        <w:t>"</w:t>
      </w:r>
      <w:proofErr w:type="gramStart"/>
      <w:r w:rsidRPr="00CF1729">
        <w:rPr>
          <w:rFonts w:cs="Arial"/>
          <w:i/>
          <w:iCs/>
          <w:color w:val="auto"/>
        </w:rPr>
        <w:t>it</w:t>
      </w:r>
      <w:proofErr w:type="gramEnd"/>
      <w:r w:rsidRPr="00CF1729">
        <w:rPr>
          <w:rFonts w:cs="Arial"/>
          <w:i/>
          <w:iCs/>
          <w:color w:val="auto"/>
        </w:rPr>
        <w:t xml:space="preserve"> was willing to take health inequality into account in its decision making by accepting a higher cost</w:t>
      </w:r>
      <w:r w:rsidR="004A6E07" w:rsidRPr="00CF1729">
        <w:rPr>
          <w:rFonts w:cs="Arial"/>
          <w:i/>
          <w:iCs/>
          <w:color w:val="auto"/>
        </w:rPr>
        <w:t xml:space="preserve"> </w:t>
      </w:r>
      <w:r w:rsidRPr="00CF1729">
        <w:rPr>
          <w:rFonts w:cs="Arial"/>
          <w:i/>
          <w:iCs/>
          <w:color w:val="auto"/>
        </w:rPr>
        <w:t>effectiveness estimate than it otherwise would have done, despite the considerable unresolved uncertainty (see section 3.20)."</w:t>
      </w:r>
    </w:p>
    <w:p w14:paraId="16CB12E2" w14:textId="0B8702FF" w:rsidR="008B4FBF" w:rsidRPr="00CF1729" w:rsidRDefault="00E814D5" w:rsidP="00DD74DC">
      <w:pPr>
        <w:pStyle w:val="BodyText"/>
        <w:jc w:val="both"/>
        <w:rPr>
          <w:rFonts w:cs="Arial"/>
          <w:color w:val="auto"/>
        </w:rPr>
      </w:pPr>
      <w:r w:rsidRPr="00CF1729">
        <w:rPr>
          <w:rFonts w:cs="Arial"/>
          <w:color w:val="auto"/>
        </w:rPr>
        <w:t>In my view t</w:t>
      </w:r>
      <w:r w:rsidR="008B4FBF" w:rsidRPr="00CF1729">
        <w:rPr>
          <w:rFonts w:cs="Arial"/>
          <w:color w:val="auto"/>
        </w:rPr>
        <w:t xml:space="preserve">he </w:t>
      </w:r>
      <w:r w:rsidRPr="00CF1729">
        <w:rPr>
          <w:rFonts w:cs="Arial"/>
          <w:color w:val="auto"/>
        </w:rPr>
        <w:t xml:space="preserve">papers </w:t>
      </w:r>
      <w:r w:rsidR="008B4FBF" w:rsidRPr="00CF1729">
        <w:rPr>
          <w:rFonts w:cs="Arial"/>
          <w:color w:val="auto"/>
        </w:rPr>
        <w:t>demonstrate</w:t>
      </w:r>
      <w:r w:rsidRPr="00CF1729">
        <w:rPr>
          <w:rFonts w:cs="Arial"/>
          <w:color w:val="auto"/>
        </w:rPr>
        <w:t xml:space="preserve"> </w:t>
      </w:r>
      <w:r w:rsidR="008B4FBF" w:rsidRPr="00CF1729">
        <w:rPr>
          <w:rFonts w:cs="Arial"/>
          <w:color w:val="auto"/>
        </w:rPr>
        <w:t xml:space="preserve">that </w:t>
      </w:r>
      <w:r w:rsidRPr="00CF1729">
        <w:rPr>
          <w:rFonts w:cs="Arial"/>
          <w:color w:val="auto"/>
        </w:rPr>
        <w:t xml:space="preserve">the Committee were </w:t>
      </w:r>
      <w:r w:rsidR="008B4FBF" w:rsidRPr="00CF1729">
        <w:rPr>
          <w:rFonts w:cs="Arial"/>
          <w:color w:val="auto"/>
        </w:rPr>
        <w:t xml:space="preserve">aware of the </w:t>
      </w:r>
      <w:r w:rsidR="00AE54F4" w:rsidRPr="00CF1729">
        <w:rPr>
          <w:rFonts w:cs="Arial"/>
          <w:color w:val="auto"/>
        </w:rPr>
        <w:t xml:space="preserve">issues raised regarding </w:t>
      </w:r>
      <w:r w:rsidR="008B4FBF" w:rsidRPr="00CF1729">
        <w:rPr>
          <w:rFonts w:cs="Arial"/>
          <w:color w:val="auto"/>
        </w:rPr>
        <w:t xml:space="preserve">health inequalities and </w:t>
      </w:r>
      <w:r w:rsidR="00AE54F4" w:rsidRPr="00CF1729">
        <w:rPr>
          <w:rFonts w:cs="Arial"/>
          <w:color w:val="auto"/>
        </w:rPr>
        <w:t xml:space="preserve">explained how </w:t>
      </w:r>
      <w:r w:rsidR="008B4FBF" w:rsidRPr="00CF1729">
        <w:rPr>
          <w:rFonts w:cs="Arial"/>
          <w:color w:val="auto"/>
        </w:rPr>
        <w:t>they were taken into account as part of the evaluation</w:t>
      </w:r>
      <w:r w:rsidR="00AE54F4" w:rsidRPr="00CF1729">
        <w:rPr>
          <w:rFonts w:cs="Arial"/>
          <w:color w:val="auto"/>
        </w:rPr>
        <w:t xml:space="preserve"> (</w:t>
      </w:r>
      <w:proofErr w:type="gramStart"/>
      <w:r w:rsidR="00AE54F4" w:rsidRPr="00CF1729">
        <w:rPr>
          <w:rFonts w:cs="Arial"/>
          <w:color w:val="auto"/>
        </w:rPr>
        <w:t>i.e.</w:t>
      </w:r>
      <w:proofErr w:type="gramEnd"/>
      <w:r w:rsidR="00AE54F4" w:rsidRPr="00CF1729">
        <w:rPr>
          <w:rFonts w:cs="Arial"/>
          <w:color w:val="auto"/>
        </w:rPr>
        <w:t xml:space="preserve"> by accepting a higher ICER</w:t>
      </w:r>
      <w:r w:rsidR="00CA6191" w:rsidRPr="00CF1729">
        <w:rPr>
          <w:rFonts w:cs="Arial"/>
          <w:color w:val="auto"/>
        </w:rPr>
        <w:t xml:space="preserve">). </w:t>
      </w:r>
      <w:r w:rsidR="008B4FBF" w:rsidRPr="00CF1729">
        <w:rPr>
          <w:rFonts w:cs="Arial"/>
          <w:color w:val="auto"/>
        </w:rPr>
        <w:t xml:space="preserve"> </w:t>
      </w:r>
      <w:r w:rsidR="00156550" w:rsidRPr="00CF1729">
        <w:rPr>
          <w:rFonts w:cs="Arial"/>
          <w:color w:val="auto"/>
        </w:rPr>
        <w:t>W</w:t>
      </w:r>
      <w:r w:rsidR="00EB5BAF" w:rsidRPr="00CF1729">
        <w:rPr>
          <w:rFonts w:cs="Arial"/>
          <w:color w:val="auto"/>
        </w:rPr>
        <w:t xml:space="preserve">hether this was an adequate adjustment under equalities law </w:t>
      </w:r>
      <w:r w:rsidR="00AE54F4" w:rsidRPr="00CF1729">
        <w:rPr>
          <w:rFonts w:cs="Arial"/>
          <w:color w:val="auto"/>
        </w:rPr>
        <w:t>is</w:t>
      </w:r>
      <w:r w:rsidR="00156550" w:rsidRPr="00CF1729">
        <w:rPr>
          <w:rFonts w:cs="Arial"/>
          <w:color w:val="auto"/>
        </w:rPr>
        <w:t xml:space="preserve"> an arguable </w:t>
      </w:r>
      <w:r w:rsidR="00AE54F4" w:rsidRPr="00CF1729">
        <w:rPr>
          <w:rFonts w:cs="Arial"/>
          <w:color w:val="auto"/>
        </w:rPr>
        <w:t xml:space="preserve">appeal </w:t>
      </w:r>
      <w:r w:rsidR="00156550" w:rsidRPr="00CF1729">
        <w:rPr>
          <w:rFonts w:cs="Arial"/>
          <w:color w:val="auto"/>
        </w:rPr>
        <w:t xml:space="preserve">point </w:t>
      </w:r>
      <w:r w:rsidR="00AE54F4" w:rsidRPr="00CF1729">
        <w:rPr>
          <w:rFonts w:cs="Arial"/>
          <w:color w:val="auto"/>
        </w:rPr>
        <w:t xml:space="preserve">which I will refer to the Appeal Panel (as your point 1(b).1)) </w:t>
      </w:r>
      <w:r w:rsidR="00156550" w:rsidRPr="00CF1729">
        <w:rPr>
          <w:rFonts w:cs="Arial"/>
          <w:color w:val="auto"/>
        </w:rPr>
        <w:t>but</w:t>
      </w:r>
      <w:r w:rsidR="00AE54F4" w:rsidRPr="00CF1729">
        <w:rPr>
          <w:rFonts w:cs="Arial"/>
          <w:color w:val="auto"/>
        </w:rPr>
        <w:t xml:space="preserve"> I can see no</w:t>
      </w:r>
      <w:r w:rsidR="00EB5BAF" w:rsidRPr="00CF1729">
        <w:rPr>
          <w:rFonts w:cs="Arial"/>
          <w:color w:val="auto"/>
        </w:rPr>
        <w:t xml:space="preserve"> arguable </w:t>
      </w:r>
      <w:r w:rsidR="000442D5" w:rsidRPr="00CF1729">
        <w:rPr>
          <w:rFonts w:cs="Arial"/>
          <w:color w:val="auto"/>
        </w:rPr>
        <w:t>appeal</w:t>
      </w:r>
      <w:r w:rsidRPr="00CF1729">
        <w:rPr>
          <w:rFonts w:cs="Arial"/>
          <w:color w:val="auto"/>
        </w:rPr>
        <w:t xml:space="preserve"> point that </w:t>
      </w:r>
      <w:r w:rsidR="00EB5BAF" w:rsidRPr="00CF1729">
        <w:rPr>
          <w:rFonts w:cs="Arial"/>
          <w:color w:val="auto"/>
        </w:rPr>
        <w:t>procedural unfairness</w:t>
      </w:r>
      <w:r w:rsidRPr="00CF1729">
        <w:rPr>
          <w:rFonts w:cs="Arial"/>
          <w:color w:val="auto"/>
        </w:rPr>
        <w:t xml:space="preserve"> demanded more by way of explanation</w:t>
      </w:r>
      <w:r w:rsidR="00EB5BAF" w:rsidRPr="00CF1729">
        <w:rPr>
          <w:rFonts w:cs="Arial"/>
          <w:color w:val="auto"/>
        </w:rPr>
        <w:t>.</w:t>
      </w:r>
    </w:p>
    <w:p w14:paraId="30C9C65F" w14:textId="1C4ADCD2" w:rsidR="00C638BF" w:rsidRPr="00CF1729" w:rsidRDefault="00C638BF" w:rsidP="00C638BF">
      <w:pPr>
        <w:pStyle w:val="Paragraph"/>
        <w:numPr>
          <w:ilvl w:val="0"/>
          <w:numId w:val="0"/>
        </w:numPr>
        <w:spacing w:before="120"/>
        <w:jc w:val="both"/>
        <w:rPr>
          <w:rFonts w:cs="Arial"/>
          <w:b/>
          <w:i/>
          <w:sz w:val="20"/>
          <w:szCs w:val="20"/>
        </w:rPr>
      </w:pPr>
      <w:r w:rsidRPr="00CF1729">
        <w:rPr>
          <w:rFonts w:cs="Arial"/>
          <w:b/>
          <w:i/>
          <w:sz w:val="20"/>
          <w:szCs w:val="20"/>
        </w:rPr>
        <w:t xml:space="preserve">Ground 1(b): In making the assessment that preceded the recommendation, NICE has exceeded its </w:t>
      </w:r>
      <w:r w:rsidR="00B65BD6" w:rsidRPr="00CF1729">
        <w:rPr>
          <w:rFonts w:cs="Arial"/>
          <w:b/>
          <w:i/>
          <w:sz w:val="20"/>
          <w:szCs w:val="20"/>
        </w:rPr>
        <w:t>powers.</w:t>
      </w:r>
    </w:p>
    <w:p w14:paraId="47CC0639" w14:textId="0874B0AD" w:rsidR="00C638BF" w:rsidRPr="00CF1729" w:rsidRDefault="00C638BF" w:rsidP="00C638BF">
      <w:pPr>
        <w:pStyle w:val="Paragraph"/>
        <w:numPr>
          <w:ilvl w:val="0"/>
          <w:numId w:val="0"/>
        </w:numPr>
        <w:spacing w:before="120"/>
        <w:jc w:val="both"/>
        <w:rPr>
          <w:rFonts w:cs="Arial"/>
          <w:b/>
          <w:sz w:val="20"/>
          <w:szCs w:val="20"/>
          <w:u w:val="single"/>
        </w:rPr>
      </w:pPr>
      <w:r w:rsidRPr="00CF1729">
        <w:rPr>
          <w:rFonts w:cs="Arial"/>
          <w:b/>
          <w:sz w:val="20"/>
          <w:szCs w:val="20"/>
          <w:u w:val="single"/>
        </w:rPr>
        <w:t xml:space="preserve">Appeal </w:t>
      </w:r>
      <w:proofErr w:type="gramStart"/>
      <w:r w:rsidRPr="00CF1729">
        <w:rPr>
          <w:rFonts w:cs="Arial"/>
          <w:b/>
          <w:sz w:val="20"/>
          <w:szCs w:val="20"/>
          <w:u w:val="single"/>
        </w:rPr>
        <w:t>point</w:t>
      </w:r>
      <w:proofErr w:type="gramEnd"/>
      <w:r w:rsidRPr="00CF1729">
        <w:rPr>
          <w:rFonts w:cs="Arial"/>
          <w:b/>
          <w:sz w:val="20"/>
          <w:szCs w:val="20"/>
          <w:u w:val="single"/>
        </w:rPr>
        <w:t xml:space="preserve"> 1(b).1:</w:t>
      </w:r>
      <w:r w:rsidR="00366177" w:rsidRPr="00CF1729">
        <w:rPr>
          <w:rFonts w:cs="Arial"/>
          <w:b/>
          <w:sz w:val="20"/>
          <w:szCs w:val="20"/>
          <w:u w:val="single"/>
        </w:rPr>
        <w:t xml:space="preserve"> "The adjustment made by the Committee to reflect the health inequalities associated with SCD, while welcome, was inadequate and should not have been so limited in scope."</w:t>
      </w:r>
    </w:p>
    <w:p w14:paraId="1ED43349" w14:textId="47B8E6BC" w:rsidR="00C638BF" w:rsidRPr="00CF1729" w:rsidRDefault="00C638BF" w:rsidP="00C638BF">
      <w:pPr>
        <w:pStyle w:val="BodyText"/>
        <w:jc w:val="both"/>
        <w:rPr>
          <w:rFonts w:cs="Arial"/>
          <w:color w:val="auto"/>
        </w:rPr>
      </w:pPr>
      <w:r w:rsidRPr="00CF1729">
        <w:rPr>
          <w:rFonts w:cs="Arial"/>
          <w:color w:val="auto"/>
        </w:rPr>
        <w:t>I am</w:t>
      </w:r>
      <w:r w:rsidR="00836C3E" w:rsidRPr="00CF1729">
        <w:rPr>
          <w:rFonts w:cs="Arial"/>
          <w:color w:val="auto"/>
        </w:rPr>
        <w:t xml:space="preserve"> </w:t>
      </w:r>
      <w:r w:rsidRPr="00CF1729">
        <w:rPr>
          <w:rFonts w:cs="Arial"/>
          <w:color w:val="auto"/>
        </w:rPr>
        <w:t xml:space="preserve">minded </w:t>
      </w:r>
      <w:proofErr w:type="gramStart"/>
      <w:r w:rsidRPr="00CF1729">
        <w:rPr>
          <w:rFonts w:cs="Arial"/>
          <w:color w:val="auto"/>
        </w:rPr>
        <w:t>to refer</w:t>
      </w:r>
      <w:proofErr w:type="gramEnd"/>
      <w:r w:rsidRPr="00CF1729">
        <w:rPr>
          <w:rFonts w:cs="Arial"/>
          <w:color w:val="auto"/>
        </w:rPr>
        <w:t xml:space="preserve"> this appeal point to the Appeal Panel.   </w:t>
      </w:r>
    </w:p>
    <w:p w14:paraId="25FB955A" w14:textId="18B17612" w:rsidR="00B62869" w:rsidRPr="00CF1729" w:rsidRDefault="007A7F07" w:rsidP="00B62869">
      <w:pPr>
        <w:spacing w:before="240" w:after="240" w:line="276" w:lineRule="auto"/>
        <w:jc w:val="both"/>
        <w:rPr>
          <w:rFonts w:cs="Arial"/>
          <w:b/>
          <w:i/>
          <w:color w:val="auto"/>
        </w:rPr>
      </w:pPr>
      <w:r w:rsidRPr="00CF1729">
        <w:rPr>
          <w:rFonts w:cs="Arial"/>
          <w:b/>
          <w:i/>
          <w:color w:val="auto"/>
        </w:rPr>
        <w:t>G</w:t>
      </w:r>
      <w:r w:rsidR="00491045" w:rsidRPr="00CF1729">
        <w:rPr>
          <w:rFonts w:cs="Arial"/>
          <w:b/>
          <w:i/>
          <w:color w:val="auto"/>
        </w:rPr>
        <w:t xml:space="preserve">round 2: </w:t>
      </w:r>
      <w:r w:rsidR="00B62869" w:rsidRPr="00CF1729">
        <w:rPr>
          <w:rFonts w:cs="Arial"/>
          <w:b/>
          <w:i/>
          <w:color w:val="auto"/>
        </w:rPr>
        <w:t xml:space="preserve">the recommendation is unreasonable in the light of the evidence submitted to </w:t>
      </w:r>
      <w:r w:rsidR="00B65BD6" w:rsidRPr="00CF1729">
        <w:rPr>
          <w:rFonts w:cs="Arial"/>
          <w:b/>
          <w:i/>
          <w:color w:val="auto"/>
        </w:rPr>
        <w:t>NICE.</w:t>
      </w:r>
    </w:p>
    <w:p w14:paraId="41564A14" w14:textId="2B8E262F" w:rsidR="00491045" w:rsidRPr="00CF1729" w:rsidRDefault="00B62869" w:rsidP="007A7F07">
      <w:pPr>
        <w:pStyle w:val="Paragraph"/>
        <w:numPr>
          <w:ilvl w:val="0"/>
          <w:numId w:val="0"/>
        </w:numPr>
        <w:jc w:val="both"/>
        <w:rPr>
          <w:rFonts w:cs="Arial"/>
          <w:b/>
          <w:sz w:val="20"/>
          <w:szCs w:val="20"/>
          <w:u w:val="single"/>
        </w:rPr>
      </w:pPr>
      <w:r w:rsidRPr="00CF1729">
        <w:rPr>
          <w:rFonts w:cs="Arial"/>
          <w:b/>
          <w:sz w:val="20"/>
          <w:szCs w:val="20"/>
          <w:u w:val="single"/>
        </w:rPr>
        <w:t xml:space="preserve">Appeal </w:t>
      </w:r>
      <w:proofErr w:type="gramStart"/>
      <w:r w:rsidRPr="00CF1729">
        <w:rPr>
          <w:rFonts w:cs="Arial"/>
          <w:b/>
          <w:sz w:val="20"/>
          <w:szCs w:val="20"/>
          <w:u w:val="single"/>
        </w:rPr>
        <w:t>point</w:t>
      </w:r>
      <w:proofErr w:type="gramEnd"/>
      <w:r w:rsidRPr="00CF1729">
        <w:rPr>
          <w:rFonts w:cs="Arial"/>
          <w:b/>
          <w:sz w:val="20"/>
          <w:szCs w:val="20"/>
          <w:u w:val="single"/>
        </w:rPr>
        <w:t xml:space="preserve"> 2.1: </w:t>
      </w:r>
      <w:r w:rsidR="00366177" w:rsidRPr="00CF1729">
        <w:rPr>
          <w:rFonts w:cs="Arial"/>
          <w:b/>
          <w:sz w:val="20"/>
          <w:szCs w:val="20"/>
          <w:u w:val="single"/>
        </w:rPr>
        <w:t xml:space="preserve">"The Committee’s conclusion that there was too much uncertainty, such that it could not assess the cost-effectiveness of </w:t>
      </w:r>
      <w:proofErr w:type="spellStart"/>
      <w:r w:rsidR="00366177" w:rsidRPr="00CF1729">
        <w:rPr>
          <w:rFonts w:cs="Arial"/>
          <w:b/>
          <w:sz w:val="20"/>
          <w:szCs w:val="20"/>
          <w:u w:val="single"/>
        </w:rPr>
        <w:t>voxelotor</w:t>
      </w:r>
      <w:proofErr w:type="spellEnd"/>
      <w:r w:rsidR="00366177" w:rsidRPr="00CF1729">
        <w:rPr>
          <w:rFonts w:cs="Arial"/>
          <w:b/>
          <w:sz w:val="20"/>
          <w:szCs w:val="20"/>
          <w:u w:val="single"/>
        </w:rPr>
        <w:t>, was irrational."</w:t>
      </w:r>
    </w:p>
    <w:p w14:paraId="2664B26B" w14:textId="5C064BB8" w:rsidR="00491045" w:rsidRPr="00CF1729" w:rsidRDefault="00534486" w:rsidP="00491045">
      <w:pPr>
        <w:pStyle w:val="BodyText"/>
        <w:jc w:val="both"/>
        <w:rPr>
          <w:rFonts w:cs="Arial"/>
          <w:color w:val="auto"/>
        </w:rPr>
      </w:pPr>
      <w:r w:rsidRPr="00CF1729">
        <w:rPr>
          <w:rFonts w:cs="Arial"/>
          <w:color w:val="auto"/>
        </w:rPr>
        <w:t xml:space="preserve">I do not regard this as a valid appeal point. </w:t>
      </w:r>
    </w:p>
    <w:p w14:paraId="7F4BBEF4" w14:textId="69585B03" w:rsidR="00EB5BAF" w:rsidRPr="00CF1729" w:rsidRDefault="00DD74DC" w:rsidP="00E51564">
      <w:pPr>
        <w:pStyle w:val="BodyText"/>
        <w:jc w:val="both"/>
        <w:rPr>
          <w:rFonts w:cs="Arial"/>
          <w:color w:val="auto"/>
        </w:rPr>
      </w:pPr>
      <w:r w:rsidRPr="00CF1729">
        <w:rPr>
          <w:rFonts w:cs="Arial"/>
          <w:color w:val="auto"/>
        </w:rPr>
        <w:t>I understand you</w:t>
      </w:r>
      <w:r w:rsidR="00DB42C0" w:rsidRPr="00CF1729">
        <w:rPr>
          <w:rFonts w:cs="Arial"/>
          <w:color w:val="auto"/>
        </w:rPr>
        <w:t>r</w:t>
      </w:r>
      <w:r w:rsidRPr="00CF1729">
        <w:rPr>
          <w:rFonts w:cs="Arial"/>
          <w:color w:val="auto"/>
        </w:rPr>
        <w:t xml:space="preserve"> appeal point to be </w:t>
      </w:r>
      <w:r w:rsidR="00EB5BAF" w:rsidRPr="00CF1729">
        <w:rPr>
          <w:rFonts w:cs="Arial"/>
          <w:color w:val="auto"/>
        </w:rPr>
        <w:t>that the Committee</w:t>
      </w:r>
      <w:r w:rsidR="009A7048" w:rsidRPr="00CF1729">
        <w:rPr>
          <w:rFonts w:cs="Arial"/>
          <w:color w:val="auto"/>
        </w:rPr>
        <w:t xml:space="preserve">'s </w:t>
      </w:r>
      <w:r w:rsidR="00E13E81" w:rsidRPr="00CF1729">
        <w:rPr>
          <w:rFonts w:cs="Arial"/>
          <w:color w:val="auto"/>
        </w:rPr>
        <w:t>decision</w:t>
      </w:r>
      <w:r w:rsidR="009A7048" w:rsidRPr="00CF1729">
        <w:rPr>
          <w:rFonts w:cs="Arial"/>
          <w:color w:val="auto"/>
        </w:rPr>
        <w:t xml:space="preserve"> not </w:t>
      </w:r>
      <w:r w:rsidR="00B65BD6" w:rsidRPr="00CF1729">
        <w:rPr>
          <w:rFonts w:cs="Arial"/>
          <w:color w:val="auto"/>
        </w:rPr>
        <w:t>to provide</w:t>
      </w:r>
      <w:r w:rsidR="00EB5BAF" w:rsidRPr="00CF1729">
        <w:rPr>
          <w:rFonts w:cs="Arial"/>
          <w:color w:val="auto"/>
        </w:rPr>
        <w:t xml:space="preserve"> an </w:t>
      </w:r>
      <w:r w:rsidR="00E13E81" w:rsidRPr="00CF1729">
        <w:rPr>
          <w:rFonts w:cs="Arial"/>
          <w:color w:val="auto"/>
        </w:rPr>
        <w:t>ICER owing to uncertainty</w:t>
      </w:r>
      <w:r w:rsidR="00254D85" w:rsidRPr="00CF1729">
        <w:rPr>
          <w:rFonts w:cs="Arial"/>
          <w:color w:val="auto"/>
        </w:rPr>
        <w:t xml:space="preserve"> (rather than factor that uncertainty into the most plausible ICER)</w:t>
      </w:r>
      <w:r w:rsidR="00E13E81" w:rsidRPr="00CF1729">
        <w:rPr>
          <w:rFonts w:cs="Arial"/>
          <w:color w:val="auto"/>
        </w:rPr>
        <w:t xml:space="preserve"> was </w:t>
      </w:r>
      <w:r w:rsidR="001171ED" w:rsidRPr="00CF1729">
        <w:rPr>
          <w:rFonts w:cs="Arial"/>
          <w:color w:val="auto"/>
        </w:rPr>
        <w:t>highly unusual</w:t>
      </w:r>
      <w:r w:rsidR="00E13E81" w:rsidRPr="00CF1729">
        <w:rPr>
          <w:rFonts w:cs="Arial"/>
          <w:color w:val="auto"/>
        </w:rPr>
        <w:t xml:space="preserve"> </w:t>
      </w:r>
      <w:proofErr w:type="gramStart"/>
      <w:r w:rsidR="00E13E81" w:rsidRPr="00CF1729">
        <w:rPr>
          <w:rFonts w:cs="Arial"/>
          <w:color w:val="auto"/>
        </w:rPr>
        <w:t>in light of</w:t>
      </w:r>
      <w:proofErr w:type="gramEnd"/>
      <w:r w:rsidR="00E13E81" w:rsidRPr="00CF1729">
        <w:rPr>
          <w:rFonts w:cs="Arial"/>
          <w:color w:val="auto"/>
        </w:rPr>
        <w:t xml:space="preserve"> the evidence submitted to NICE</w:t>
      </w:r>
      <w:r w:rsidR="001171ED" w:rsidRPr="00CF1729">
        <w:rPr>
          <w:rFonts w:cs="Arial"/>
          <w:color w:val="auto"/>
        </w:rPr>
        <w:t xml:space="preserve"> and therefore required a cogent explanation.  Without such explanation, you say the approach was unreasonable as it differed from the approach taken in apparently similar other appraisals</w:t>
      </w:r>
      <w:r w:rsidR="00EB5BAF" w:rsidRPr="00CF1729">
        <w:rPr>
          <w:rFonts w:cs="Arial"/>
          <w:color w:val="auto"/>
        </w:rPr>
        <w:t xml:space="preserve">.  </w:t>
      </w:r>
      <w:r w:rsidR="009510B5" w:rsidRPr="00CF1729">
        <w:rPr>
          <w:rFonts w:cs="Arial"/>
          <w:color w:val="auto"/>
        </w:rPr>
        <w:t xml:space="preserve">You consider there was no good reason for this approach and that </w:t>
      </w:r>
      <w:proofErr w:type="gramStart"/>
      <w:r w:rsidR="009510B5" w:rsidRPr="00CF1729">
        <w:rPr>
          <w:rFonts w:cs="Arial"/>
          <w:color w:val="auto"/>
        </w:rPr>
        <w:t>a</w:t>
      </w:r>
      <w:r w:rsidR="00B11361" w:rsidRPr="00CF1729">
        <w:rPr>
          <w:rFonts w:cs="Arial"/>
          <w:color w:val="auto"/>
        </w:rPr>
        <w:t>ll o</w:t>
      </w:r>
      <w:r w:rsidR="009510B5" w:rsidRPr="00CF1729">
        <w:rPr>
          <w:rFonts w:cs="Arial"/>
          <w:color w:val="auto"/>
        </w:rPr>
        <w:t>f</w:t>
      </w:r>
      <w:proofErr w:type="gramEnd"/>
      <w:r w:rsidR="009510B5" w:rsidRPr="00CF1729">
        <w:rPr>
          <w:rFonts w:cs="Arial"/>
          <w:color w:val="auto"/>
        </w:rPr>
        <w:t xml:space="preserve"> </w:t>
      </w:r>
      <w:r w:rsidR="00B11361" w:rsidRPr="00CF1729">
        <w:rPr>
          <w:rFonts w:cs="Arial"/>
          <w:color w:val="auto"/>
        </w:rPr>
        <w:t xml:space="preserve">the unresolved </w:t>
      </w:r>
      <w:r w:rsidR="00FC0033" w:rsidRPr="00CF1729">
        <w:rPr>
          <w:rFonts w:cs="Arial"/>
          <w:color w:val="auto"/>
        </w:rPr>
        <w:t xml:space="preserve">issues or </w:t>
      </w:r>
      <w:r w:rsidR="009510B5" w:rsidRPr="00CF1729">
        <w:rPr>
          <w:rFonts w:cs="Arial"/>
          <w:color w:val="auto"/>
        </w:rPr>
        <w:t xml:space="preserve">uncertainties identified by the Committee do not constitute such a reason. </w:t>
      </w:r>
      <w:r w:rsidR="00FC0033" w:rsidRPr="00CF1729">
        <w:rPr>
          <w:rFonts w:cs="Arial"/>
          <w:color w:val="auto"/>
        </w:rPr>
        <w:t xml:space="preserve">The Committee's approach to two of the five issues you identify are challenged in your appeal points 2.2 and 2.3 which I consider valid (see below). Your appeal </w:t>
      </w:r>
      <w:proofErr w:type="gramStart"/>
      <w:r w:rsidR="00FC0033" w:rsidRPr="00CF1729">
        <w:rPr>
          <w:rFonts w:cs="Arial"/>
          <w:color w:val="auto"/>
        </w:rPr>
        <w:t>point</w:t>
      </w:r>
      <w:proofErr w:type="gramEnd"/>
      <w:r w:rsidR="00FC0033" w:rsidRPr="00CF1729">
        <w:rPr>
          <w:rFonts w:cs="Arial"/>
          <w:color w:val="auto"/>
        </w:rPr>
        <w:t xml:space="preserve"> 2.1 appears to be that </w:t>
      </w:r>
      <w:r w:rsidR="00F826E5" w:rsidRPr="00CF1729">
        <w:rPr>
          <w:rFonts w:cs="Arial"/>
          <w:color w:val="auto"/>
        </w:rPr>
        <w:t xml:space="preserve">the </w:t>
      </w:r>
      <w:r w:rsidR="00642B0D" w:rsidRPr="00CF1729">
        <w:rPr>
          <w:rFonts w:cs="Arial"/>
          <w:color w:val="auto"/>
        </w:rPr>
        <w:t xml:space="preserve">Committee's </w:t>
      </w:r>
      <w:r w:rsidR="00182C22" w:rsidRPr="00CF1729">
        <w:rPr>
          <w:rFonts w:cs="Arial"/>
          <w:color w:val="auto"/>
        </w:rPr>
        <w:t xml:space="preserve">concerns about uncertainty </w:t>
      </w:r>
      <w:r w:rsidR="00F826E5" w:rsidRPr="00CF1729">
        <w:rPr>
          <w:rFonts w:cs="Arial"/>
          <w:color w:val="auto"/>
        </w:rPr>
        <w:t>'</w:t>
      </w:r>
      <w:r w:rsidR="00BF34CB" w:rsidRPr="00CF1729">
        <w:rPr>
          <w:rFonts w:cs="Arial"/>
          <w:color w:val="auto"/>
        </w:rPr>
        <w:t xml:space="preserve">ranged from </w:t>
      </w:r>
      <w:r w:rsidR="00F826E5" w:rsidRPr="00CF1729">
        <w:rPr>
          <w:rFonts w:cs="Arial"/>
          <w:color w:val="auto"/>
        </w:rPr>
        <w:t xml:space="preserve">greatly overstated </w:t>
      </w:r>
      <w:r w:rsidR="00BF34CB" w:rsidRPr="00CF1729">
        <w:rPr>
          <w:rFonts w:cs="Arial"/>
          <w:color w:val="auto"/>
        </w:rPr>
        <w:t xml:space="preserve">to </w:t>
      </w:r>
      <w:r w:rsidR="00F826E5" w:rsidRPr="00CF1729">
        <w:rPr>
          <w:rFonts w:cs="Arial"/>
          <w:color w:val="auto"/>
        </w:rPr>
        <w:t>simply incorrect'</w:t>
      </w:r>
      <w:r w:rsidR="00BF34CB" w:rsidRPr="00CF1729">
        <w:rPr>
          <w:rFonts w:cs="Arial"/>
          <w:color w:val="auto"/>
        </w:rPr>
        <w:t xml:space="preserve">, such that </w:t>
      </w:r>
      <w:r w:rsidR="00182C22" w:rsidRPr="00CF1729">
        <w:rPr>
          <w:rFonts w:cs="Arial"/>
          <w:color w:val="auto"/>
        </w:rPr>
        <w:t>the Committee's</w:t>
      </w:r>
      <w:r w:rsidR="00BF34CB" w:rsidRPr="00CF1729">
        <w:rPr>
          <w:rFonts w:cs="Arial"/>
          <w:color w:val="auto"/>
        </w:rPr>
        <w:t xml:space="preserve"> </w:t>
      </w:r>
      <w:r w:rsidR="00182C22" w:rsidRPr="00CF1729">
        <w:rPr>
          <w:rFonts w:cs="Arial"/>
          <w:color w:val="auto"/>
        </w:rPr>
        <w:t>overall conclusion that the degree of uncertainty prevented calculation of a sufficiently reliable most plausible ICER was</w:t>
      </w:r>
      <w:r w:rsidR="00F826E5" w:rsidRPr="00CF1729">
        <w:rPr>
          <w:rFonts w:cs="Arial"/>
          <w:color w:val="auto"/>
        </w:rPr>
        <w:t xml:space="preserve"> </w:t>
      </w:r>
      <w:r w:rsidR="00182C22" w:rsidRPr="00CF1729">
        <w:rPr>
          <w:rFonts w:cs="Arial"/>
          <w:color w:val="auto"/>
        </w:rPr>
        <w:t>unreasonable</w:t>
      </w:r>
      <w:r w:rsidR="00F826E5" w:rsidRPr="00CF1729">
        <w:rPr>
          <w:rFonts w:cs="Arial"/>
          <w:color w:val="auto"/>
        </w:rPr>
        <w:t>.</w:t>
      </w:r>
    </w:p>
    <w:p w14:paraId="741BFD2A" w14:textId="24298275" w:rsidR="00051A9C" w:rsidRPr="00CF1729" w:rsidRDefault="00051A9C" w:rsidP="00051A9C">
      <w:pPr>
        <w:pStyle w:val="BodyText"/>
        <w:jc w:val="both"/>
        <w:rPr>
          <w:rFonts w:cs="Arial"/>
          <w:color w:val="auto"/>
        </w:rPr>
      </w:pPr>
      <w:r w:rsidRPr="00CF1729">
        <w:rPr>
          <w:rFonts w:cs="Arial"/>
          <w:color w:val="auto"/>
        </w:rPr>
        <w:t>I note the Committee concluded at paragraph 3.17 of the FDG that:</w:t>
      </w:r>
    </w:p>
    <w:p w14:paraId="70CC325C" w14:textId="77777777" w:rsidR="00051A9C" w:rsidRPr="00CF1729" w:rsidRDefault="00051A9C" w:rsidP="00051A9C">
      <w:pPr>
        <w:pStyle w:val="BodyText"/>
        <w:ind w:left="720"/>
        <w:jc w:val="both"/>
        <w:rPr>
          <w:rFonts w:cs="Arial"/>
          <w:i/>
          <w:iCs/>
          <w:color w:val="auto"/>
        </w:rPr>
      </w:pPr>
      <w:r w:rsidRPr="00CF1729">
        <w:rPr>
          <w:rFonts w:cs="Arial"/>
          <w:i/>
          <w:iCs/>
          <w:color w:val="auto"/>
        </w:rPr>
        <w:lastRenderedPageBreak/>
        <w:t>"</w:t>
      </w:r>
      <w:proofErr w:type="gramStart"/>
      <w:r w:rsidRPr="00CF1729">
        <w:rPr>
          <w:rFonts w:cs="Arial"/>
          <w:i/>
          <w:iCs/>
          <w:color w:val="auto"/>
        </w:rPr>
        <w:t>the</w:t>
      </w:r>
      <w:proofErr w:type="gramEnd"/>
      <w:r w:rsidRPr="00CF1729">
        <w:rPr>
          <w:rFonts w:cs="Arial"/>
          <w:i/>
          <w:iCs/>
          <w:color w:val="auto"/>
        </w:rPr>
        <w:t xml:space="preserve"> high levels of uncertainty about the population and model inputs meant that it could not adequately assess the cost effectiveness of </w:t>
      </w:r>
      <w:proofErr w:type="spellStart"/>
      <w:r w:rsidRPr="00CF1729">
        <w:rPr>
          <w:rFonts w:cs="Arial"/>
          <w:i/>
          <w:iCs/>
          <w:color w:val="auto"/>
        </w:rPr>
        <w:t>voxelotor</w:t>
      </w:r>
      <w:proofErr w:type="spellEnd"/>
      <w:r w:rsidRPr="00CF1729">
        <w:rPr>
          <w:rFonts w:cs="Arial"/>
          <w:i/>
          <w:iCs/>
          <w:color w:val="auto"/>
        </w:rPr>
        <w:t>, given the historic challenges associated with SCD."</w:t>
      </w:r>
    </w:p>
    <w:p w14:paraId="64B4E83C" w14:textId="77777777" w:rsidR="00051A9C" w:rsidRPr="00CF1729" w:rsidRDefault="00051A9C" w:rsidP="00051A9C">
      <w:pPr>
        <w:pStyle w:val="BodyText"/>
        <w:jc w:val="both"/>
        <w:rPr>
          <w:rFonts w:cs="Arial"/>
          <w:color w:val="auto"/>
        </w:rPr>
      </w:pPr>
      <w:r w:rsidRPr="00CF1729">
        <w:rPr>
          <w:rFonts w:cs="Arial"/>
          <w:color w:val="auto"/>
        </w:rPr>
        <w:t xml:space="preserve">Page 2 of the FDG summarises the reasons as follows: </w:t>
      </w:r>
    </w:p>
    <w:p w14:paraId="6A58F5FD" w14:textId="69CBB722" w:rsidR="00051A9C" w:rsidRPr="00CF1729" w:rsidRDefault="00051A9C" w:rsidP="00051A9C">
      <w:pPr>
        <w:pStyle w:val="BodyText"/>
        <w:ind w:left="720"/>
        <w:jc w:val="both"/>
        <w:rPr>
          <w:rFonts w:cs="Arial"/>
          <w:i/>
          <w:iCs/>
          <w:color w:val="auto"/>
        </w:rPr>
      </w:pPr>
      <w:r w:rsidRPr="00CF1729">
        <w:rPr>
          <w:rFonts w:cs="Arial"/>
          <w:i/>
          <w:iCs/>
          <w:color w:val="auto"/>
        </w:rPr>
        <w:t>"</w:t>
      </w:r>
      <w:proofErr w:type="spellStart"/>
      <w:r w:rsidRPr="00CF1729">
        <w:rPr>
          <w:rFonts w:cs="Arial"/>
          <w:i/>
          <w:iCs/>
          <w:color w:val="auto"/>
        </w:rPr>
        <w:t>Voxelotor</w:t>
      </w:r>
      <w:proofErr w:type="spellEnd"/>
      <w:r w:rsidRPr="00CF1729">
        <w:rPr>
          <w:rFonts w:cs="Arial"/>
          <w:i/>
          <w:iCs/>
          <w:color w:val="auto"/>
        </w:rPr>
        <w:t xml:space="preserve"> has the potential to address the health inequalities associated with sickle cell disease and the unmet need for effective treatments, so a higher cost effectiveness estimate could be accepted for decision making. </w:t>
      </w:r>
      <w:proofErr w:type="gramStart"/>
      <w:r w:rsidRPr="00CF1729">
        <w:rPr>
          <w:rFonts w:cs="Arial"/>
          <w:i/>
          <w:iCs/>
          <w:color w:val="auto"/>
        </w:rPr>
        <w:t>But,</w:t>
      </w:r>
      <w:proofErr w:type="gramEnd"/>
      <w:r w:rsidRPr="00CF1729">
        <w:rPr>
          <w:rFonts w:cs="Arial"/>
          <w:i/>
          <w:iCs/>
          <w:color w:val="auto"/>
        </w:rPr>
        <w:t xml:space="preserve"> the estimates for the company’s proposed second line positioning were extremely uncertain. Any estimate that could be considered sufficiently reliable for decision making would likely be above what NICE considers an acceptable use of NHS resources." </w:t>
      </w:r>
    </w:p>
    <w:p w14:paraId="06171ADB" w14:textId="716A27FC" w:rsidR="00F826E5" w:rsidRPr="00CF1729" w:rsidRDefault="00F826E5" w:rsidP="00051A9C">
      <w:pPr>
        <w:pStyle w:val="BodyText"/>
        <w:jc w:val="both"/>
        <w:rPr>
          <w:rFonts w:cs="Arial"/>
          <w:i/>
          <w:iCs/>
          <w:color w:val="auto"/>
        </w:rPr>
      </w:pPr>
      <w:r w:rsidRPr="00CF1729">
        <w:rPr>
          <w:rFonts w:cs="Arial"/>
          <w:color w:val="auto"/>
        </w:rPr>
        <w:t xml:space="preserve">The Committee have considered the uncertainties raised in the evaluation and concluded that they should be </w:t>
      </w:r>
      <w:proofErr w:type="gramStart"/>
      <w:r w:rsidRPr="00CF1729">
        <w:rPr>
          <w:rFonts w:cs="Arial"/>
          <w:color w:val="auto"/>
        </w:rPr>
        <w:t>taken into account</w:t>
      </w:r>
      <w:proofErr w:type="gramEnd"/>
      <w:r w:rsidRPr="00CF1729">
        <w:rPr>
          <w:rFonts w:cs="Arial"/>
          <w:color w:val="auto"/>
        </w:rPr>
        <w:t xml:space="preserve"> by accepting a higher ICER.  </w:t>
      </w:r>
    </w:p>
    <w:p w14:paraId="75FC5D6B" w14:textId="1C92AE07" w:rsidR="00EB5BAF" w:rsidRPr="00CF1729" w:rsidRDefault="00F826E5" w:rsidP="00F826E5">
      <w:pPr>
        <w:pStyle w:val="BodyText"/>
        <w:jc w:val="both"/>
        <w:rPr>
          <w:rFonts w:cs="Arial"/>
          <w:color w:val="auto"/>
        </w:rPr>
      </w:pPr>
      <w:r w:rsidRPr="00CF1729">
        <w:rPr>
          <w:rFonts w:cs="Arial"/>
          <w:color w:val="auto"/>
        </w:rPr>
        <w:t xml:space="preserve">I accept that there may be specific arguments as to how the data was </w:t>
      </w:r>
      <w:r w:rsidR="00156550" w:rsidRPr="00CF1729">
        <w:rPr>
          <w:rFonts w:cs="Arial"/>
          <w:color w:val="auto"/>
        </w:rPr>
        <w:t>understood</w:t>
      </w:r>
      <w:r w:rsidRPr="00CF1729">
        <w:rPr>
          <w:rFonts w:cs="Arial"/>
          <w:color w:val="auto"/>
        </w:rPr>
        <w:t>, which have be</w:t>
      </w:r>
      <w:r w:rsidR="00236A8F" w:rsidRPr="00CF1729">
        <w:rPr>
          <w:rFonts w:cs="Arial"/>
          <w:color w:val="auto"/>
        </w:rPr>
        <w:t>e</w:t>
      </w:r>
      <w:r w:rsidRPr="00CF1729">
        <w:rPr>
          <w:rFonts w:cs="Arial"/>
          <w:color w:val="auto"/>
        </w:rPr>
        <w:t>n raised in</w:t>
      </w:r>
      <w:r w:rsidR="00236A8F" w:rsidRPr="00CF1729">
        <w:rPr>
          <w:rFonts w:cs="Arial"/>
          <w:color w:val="auto"/>
        </w:rPr>
        <w:t xml:space="preserve"> your</w:t>
      </w:r>
      <w:r w:rsidRPr="00CF1729">
        <w:rPr>
          <w:rFonts w:cs="Arial"/>
          <w:color w:val="auto"/>
        </w:rPr>
        <w:t xml:space="preserve"> appeal point</w:t>
      </w:r>
      <w:r w:rsidR="00236A8F" w:rsidRPr="00CF1729">
        <w:rPr>
          <w:rFonts w:cs="Arial"/>
          <w:color w:val="auto"/>
        </w:rPr>
        <w:t>s</w:t>
      </w:r>
      <w:r w:rsidRPr="00CF1729">
        <w:rPr>
          <w:rFonts w:cs="Arial"/>
          <w:color w:val="auto"/>
        </w:rPr>
        <w:t xml:space="preserve"> 2.2 and 2.3</w:t>
      </w:r>
      <w:r w:rsidR="00236A8F" w:rsidRPr="00CF1729">
        <w:rPr>
          <w:rFonts w:cs="Arial"/>
          <w:color w:val="auto"/>
        </w:rPr>
        <w:t xml:space="preserve"> (see further below)</w:t>
      </w:r>
      <w:r w:rsidRPr="00CF1729">
        <w:rPr>
          <w:rFonts w:cs="Arial"/>
          <w:color w:val="auto"/>
        </w:rPr>
        <w:t xml:space="preserve">, but </w:t>
      </w:r>
      <w:r w:rsidR="00236A8F" w:rsidRPr="00CF1729">
        <w:rPr>
          <w:rFonts w:cs="Arial"/>
          <w:color w:val="auto"/>
        </w:rPr>
        <w:t xml:space="preserve">I can see no arguable point that </w:t>
      </w:r>
      <w:r w:rsidRPr="00CF1729">
        <w:rPr>
          <w:rFonts w:cs="Arial"/>
          <w:color w:val="auto"/>
        </w:rPr>
        <w:t>the Committee</w:t>
      </w:r>
      <w:r w:rsidR="00236A8F" w:rsidRPr="00CF1729">
        <w:rPr>
          <w:rFonts w:cs="Arial"/>
          <w:color w:val="auto"/>
        </w:rPr>
        <w:t xml:space="preserve">'s overall approach to </w:t>
      </w:r>
      <w:r w:rsidR="009E1558" w:rsidRPr="00CF1729">
        <w:rPr>
          <w:rFonts w:cs="Arial"/>
          <w:color w:val="auto"/>
        </w:rPr>
        <w:t xml:space="preserve">uncertainty (whereby it identified the issues, explained that it would accept a higher ICER than usually </w:t>
      </w:r>
      <w:r w:rsidR="00D06502" w:rsidRPr="00CF1729">
        <w:rPr>
          <w:rFonts w:cs="Arial"/>
          <w:color w:val="auto"/>
        </w:rPr>
        <w:t xml:space="preserve">an acceptable use of NHS resources and </w:t>
      </w:r>
      <w:r w:rsidR="006021A8" w:rsidRPr="00CF1729">
        <w:rPr>
          <w:rFonts w:cs="Arial"/>
          <w:color w:val="auto"/>
        </w:rPr>
        <w:t>explained why it was unable to calculate a most plausible ICER)</w:t>
      </w:r>
      <w:r w:rsidR="00D06502" w:rsidRPr="00CF1729">
        <w:rPr>
          <w:rFonts w:cs="Arial"/>
          <w:color w:val="auto"/>
        </w:rPr>
        <w:t xml:space="preserve"> </w:t>
      </w:r>
      <w:r w:rsidR="00236A8F" w:rsidRPr="00CF1729">
        <w:rPr>
          <w:rFonts w:cs="Arial"/>
          <w:color w:val="auto"/>
        </w:rPr>
        <w:t xml:space="preserve">was unreasonable. </w:t>
      </w:r>
    </w:p>
    <w:p w14:paraId="5B236BD0" w14:textId="1B3FAA86" w:rsidR="00366177" w:rsidRPr="00CF1729" w:rsidRDefault="00366177" w:rsidP="00366177">
      <w:pPr>
        <w:pStyle w:val="Paragraph"/>
        <w:numPr>
          <w:ilvl w:val="0"/>
          <w:numId w:val="0"/>
        </w:numPr>
        <w:jc w:val="both"/>
        <w:rPr>
          <w:rFonts w:cs="Arial"/>
          <w:b/>
          <w:sz w:val="20"/>
          <w:szCs w:val="20"/>
          <w:u w:val="single"/>
        </w:rPr>
      </w:pPr>
      <w:r w:rsidRPr="00CF1729">
        <w:rPr>
          <w:rFonts w:cs="Arial"/>
          <w:b/>
          <w:sz w:val="20"/>
          <w:szCs w:val="20"/>
          <w:u w:val="single"/>
        </w:rPr>
        <w:t xml:space="preserve">Appeal </w:t>
      </w:r>
      <w:proofErr w:type="gramStart"/>
      <w:r w:rsidRPr="00CF1729">
        <w:rPr>
          <w:rFonts w:cs="Arial"/>
          <w:b/>
          <w:sz w:val="20"/>
          <w:szCs w:val="20"/>
          <w:u w:val="single"/>
        </w:rPr>
        <w:t>point</w:t>
      </w:r>
      <w:proofErr w:type="gramEnd"/>
      <w:r w:rsidRPr="00CF1729">
        <w:rPr>
          <w:rFonts w:cs="Arial"/>
          <w:b/>
          <w:sz w:val="20"/>
          <w:szCs w:val="20"/>
          <w:u w:val="single"/>
        </w:rPr>
        <w:t xml:space="preserve"> 2.2: "The Committee misunderstood the relationship between the proposed positioning/NHS population and the trial population. It drew incorrect conclusions."</w:t>
      </w:r>
    </w:p>
    <w:p w14:paraId="78EBE1B3" w14:textId="08440119" w:rsidR="00366177" w:rsidRPr="00CF1729" w:rsidRDefault="00366177" w:rsidP="00366177">
      <w:pPr>
        <w:pStyle w:val="BodyText"/>
        <w:jc w:val="both"/>
        <w:rPr>
          <w:rFonts w:cs="Arial"/>
          <w:color w:val="auto"/>
        </w:rPr>
      </w:pPr>
      <w:r w:rsidRPr="00CF1729">
        <w:rPr>
          <w:rFonts w:cs="Arial"/>
          <w:color w:val="auto"/>
        </w:rPr>
        <w:t>I am</w:t>
      </w:r>
      <w:r w:rsidR="0028181F" w:rsidRPr="00CF1729">
        <w:rPr>
          <w:rFonts w:cs="Arial"/>
          <w:color w:val="auto"/>
        </w:rPr>
        <w:t xml:space="preserve"> </w:t>
      </w:r>
      <w:r w:rsidRPr="00CF1729">
        <w:rPr>
          <w:rFonts w:cs="Arial"/>
          <w:color w:val="auto"/>
        </w:rPr>
        <w:t xml:space="preserve">minded </w:t>
      </w:r>
      <w:proofErr w:type="gramStart"/>
      <w:r w:rsidRPr="00CF1729">
        <w:rPr>
          <w:rFonts w:cs="Arial"/>
          <w:color w:val="auto"/>
        </w:rPr>
        <w:t>to refer</w:t>
      </w:r>
      <w:proofErr w:type="gramEnd"/>
      <w:r w:rsidRPr="00CF1729">
        <w:rPr>
          <w:rFonts w:cs="Arial"/>
          <w:color w:val="auto"/>
        </w:rPr>
        <w:t xml:space="preserve"> this appeal point to the Appeal Panel</w:t>
      </w:r>
      <w:r w:rsidR="0028181F" w:rsidRPr="00CF1729">
        <w:rPr>
          <w:rFonts w:cs="Arial"/>
          <w:color w:val="auto"/>
        </w:rPr>
        <w:t>.</w:t>
      </w:r>
    </w:p>
    <w:p w14:paraId="0C3E99C0" w14:textId="2EE9899B" w:rsidR="00366177" w:rsidRPr="00CF1729" w:rsidRDefault="00366177" w:rsidP="00366177">
      <w:pPr>
        <w:pStyle w:val="Paragraph"/>
        <w:numPr>
          <w:ilvl w:val="0"/>
          <w:numId w:val="0"/>
        </w:numPr>
        <w:jc w:val="both"/>
        <w:rPr>
          <w:rFonts w:cs="Arial"/>
          <w:b/>
          <w:sz w:val="20"/>
          <w:szCs w:val="20"/>
          <w:u w:val="single"/>
        </w:rPr>
      </w:pPr>
      <w:r w:rsidRPr="00CF1729">
        <w:rPr>
          <w:rFonts w:cs="Arial"/>
          <w:b/>
          <w:sz w:val="20"/>
          <w:szCs w:val="20"/>
          <w:u w:val="single"/>
        </w:rPr>
        <w:t xml:space="preserve">Appeal </w:t>
      </w:r>
      <w:proofErr w:type="gramStart"/>
      <w:r w:rsidRPr="00CF1729">
        <w:rPr>
          <w:rFonts w:cs="Arial"/>
          <w:b/>
          <w:sz w:val="20"/>
          <w:szCs w:val="20"/>
          <w:u w:val="single"/>
        </w:rPr>
        <w:t>point</w:t>
      </w:r>
      <w:proofErr w:type="gramEnd"/>
      <w:r w:rsidRPr="00CF1729">
        <w:rPr>
          <w:rFonts w:cs="Arial"/>
          <w:b/>
          <w:sz w:val="20"/>
          <w:szCs w:val="20"/>
          <w:u w:val="single"/>
        </w:rPr>
        <w:t xml:space="preserve"> 2.3: "</w:t>
      </w:r>
      <w:r w:rsidR="00CA3E0F" w:rsidRPr="00CA3E0F">
        <w:rPr>
          <w:rFonts w:cs="Arial"/>
          <w:b/>
          <w:sz w:val="20"/>
          <w:szCs w:val="20"/>
          <w:u w:val="single"/>
        </w:rPr>
        <w:t xml:space="preserve">To the extent that the Committee considered that the rates of RTT modelled in the </w:t>
      </w:r>
      <w:proofErr w:type="spellStart"/>
      <w:r w:rsidR="00CA3E0F" w:rsidRPr="00CA3E0F">
        <w:rPr>
          <w:rFonts w:cs="Arial"/>
          <w:b/>
          <w:sz w:val="20"/>
          <w:szCs w:val="20"/>
          <w:u w:val="single"/>
        </w:rPr>
        <w:t>voxelotor</w:t>
      </w:r>
      <w:proofErr w:type="spellEnd"/>
      <w:r w:rsidR="00CA3E0F" w:rsidRPr="00CA3E0F">
        <w:rPr>
          <w:rFonts w:cs="Arial"/>
          <w:b/>
          <w:sz w:val="20"/>
          <w:szCs w:val="20"/>
          <w:u w:val="single"/>
        </w:rPr>
        <w:t xml:space="preserve"> and SoC arms of the model could be the same, and relied in the FDG on that being a possibility, it was unreasonable to do so</w:t>
      </w:r>
      <w:r w:rsidRPr="00CF1729">
        <w:rPr>
          <w:rFonts w:cs="Arial"/>
          <w:b/>
          <w:sz w:val="20"/>
          <w:szCs w:val="20"/>
          <w:u w:val="single"/>
        </w:rPr>
        <w:t>."</w:t>
      </w:r>
    </w:p>
    <w:p w14:paraId="589D08D4" w14:textId="48463A74" w:rsidR="00366177" w:rsidRPr="00CF1729" w:rsidRDefault="00366177" w:rsidP="00366177">
      <w:pPr>
        <w:pStyle w:val="BodyText"/>
        <w:jc w:val="both"/>
        <w:rPr>
          <w:rFonts w:cs="Arial"/>
          <w:color w:val="auto"/>
        </w:rPr>
      </w:pPr>
      <w:r w:rsidRPr="00CF1729">
        <w:rPr>
          <w:rFonts w:cs="Arial"/>
          <w:color w:val="auto"/>
        </w:rPr>
        <w:t xml:space="preserve">I am minded </w:t>
      </w:r>
      <w:proofErr w:type="gramStart"/>
      <w:r w:rsidRPr="00CF1729">
        <w:rPr>
          <w:rFonts w:cs="Arial"/>
          <w:color w:val="auto"/>
        </w:rPr>
        <w:t>to refer</w:t>
      </w:r>
      <w:proofErr w:type="gramEnd"/>
      <w:r w:rsidRPr="00CF1729">
        <w:rPr>
          <w:rFonts w:cs="Arial"/>
          <w:color w:val="auto"/>
        </w:rPr>
        <w:t xml:space="preserve"> this appeal point to the Appeal Panel.   </w:t>
      </w:r>
    </w:p>
    <w:p w14:paraId="4AE6A487" w14:textId="6BDD7B15" w:rsidR="007E4EDC" w:rsidRPr="00CF1729" w:rsidRDefault="007E4EDC" w:rsidP="00623213">
      <w:pPr>
        <w:pStyle w:val="Paragraph"/>
        <w:numPr>
          <w:ilvl w:val="0"/>
          <w:numId w:val="0"/>
        </w:numPr>
        <w:jc w:val="both"/>
        <w:rPr>
          <w:rFonts w:cs="Arial"/>
          <w:sz w:val="20"/>
          <w:szCs w:val="20"/>
          <w:u w:val="single"/>
          <w:lang w:eastAsia="en-US"/>
        </w:rPr>
      </w:pPr>
      <w:r w:rsidRPr="00CF1729">
        <w:rPr>
          <w:rFonts w:cs="Arial"/>
          <w:sz w:val="20"/>
          <w:szCs w:val="20"/>
          <w:u w:val="single"/>
          <w:lang w:eastAsia="en-US"/>
        </w:rPr>
        <w:t xml:space="preserve">Conclusion </w:t>
      </w:r>
    </w:p>
    <w:p w14:paraId="0D42AE48" w14:textId="77777777" w:rsidR="00C2049A" w:rsidRPr="00CF1729" w:rsidRDefault="00AA2694" w:rsidP="00413F89">
      <w:pPr>
        <w:pStyle w:val="Paragraph"/>
        <w:numPr>
          <w:ilvl w:val="0"/>
          <w:numId w:val="0"/>
        </w:numPr>
        <w:spacing w:before="120"/>
        <w:jc w:val="both"/>
        <w:rPr>
          <w:rFonts w:cs="Arial"/>
          <w:sz w:val="20"/>
          <w:szCs w:val="20"/>
          <w:lang w:eastAsia="en-US"/>
        </w:rPr>
      </w:pPr>
      <w:r w:rsidRPr="00CF1729">
        <w:rPr>
          <w:rFonts w:cs="Arial"/>
          <w:sz w:val="20"/>
          <w:szCs w:val="20"/>
          <w:lang w:eastAsia="en-US"/>
        </w:rPr>
        <w:t>The above sets</w:t>
      </w:r>
      <w:r w:rsidR="00C2049A" w:rsidRPr="00CF1729">
        <w:rPr>
          <w:rFonts w:cs="Arial"/>
          <w:sz w:val="20"/>
          <w:szCs w:val="20"/>
          <w:lang w:eastAsia="en-US"/>
        </w:rPr>
        <w:t xml:space="preserve"> out above my initial views on </w:t>
      </w:r>
      <w:proofErr w:type="gramStart"/>
      <w:r w:rsidR="00C2049A" w:rsidRPr="00CF1729">
        <w:rPr>
          <w:rFonts w:cs="Arial"/>
          <w:sz w:val="20"/>
          <w:szCs w:val="20"/>
          <w:lang w:eastAsia="en-US"/>
        </w:rPr>
        <w:t>all of</w:t>
      </w:r>
      <w:proofErr w:type="gramEnd"/>
      <w:r w:rsidR="00C2049A" w:rsidRPr="00CF1729">
        <w:rPr>
          <w:rFonts w:cs="Arial"/>
          <w:sz w:val="20"/>
          <w:szCs w:val="20"/>
          <w:lang w:eastAsia="en-US"/>
        </w:rPr>
        <w:t xml:space="preserve"> your appeal points.</w:t>
      </w:r>
    </w:p>
    <w:p w14:paraId="5224AE76" w14:textId="0DF7052E" w:rsidR="003B056B" w:rsidRPr="00CF1729" w:rsidRDefault="003B056B" w:rsidP="00413F89">
      <w:pPr>
        <w:pStyle w:val="Paragraph"/>
        <w:numPr>
          <w:ilvl w:val="0"/>
          <w:numId w:val="0"/>
        </w:numPr>
        <w:spacing w:before="120"/>
        <w:jc w:val="both"/>
        <w:rPr>
          <w:rFonts w:cs="Arial"/>
          <w:sz w:val="20"/>
          <w:szCs w:val="20"/>
          <w:lang w:eastAsia="en-US"/>
        </w:rPr>
      </w:pPr>
      <w:r w:rsidRPr="00CF1729">
        <w:rPr>
          <w:rFonts w:cs="Arial"/>
          <w:sz w:val="20"/>
          <w:szCs w:val="20"/>
          <w:lang w:eastAsia="en-US"/>
        </w:rPr>
        <w:t xml:space="preserve">In respect of your points which I am not minded </w:t>
      </w:r>
      <w:proofErr w:type="gramStart"/>
      <w:r w:rsidRPr="00CF1729">
        <w:rPr>
          <w:rFonts w:cs="Arial"/>
          <w:sz w:val="20"/>
          <w:szCs w:val="20"/>
          <w:lang w:eastAsia="en-US"/>
        </w:rPr>
        <w:t>to refer</w:t>
      </w:r>
      <w:proofErr w:type="gramEnd"/>
      <w:r w:rsidRPr="00CF1729">
        <w:rPr>
          <w:rFonts w:cs="Arial"/>
          <w:sz w:val="20"/>
          <w:szCs w:val="20"/>
          <w:lang w:eastAsia="en-US"/>
        </w:rPr>
        <w:t xml:space="preserve"> on you are entitled to submit further clarification and/or evidence to me within the next 10 working days, and I will then give a final decision on the points t</w:t>
      </w:r>
      <w:r w:rsidR="00726F5A" w:rsidRPr="00CF1729">
        <w:rPr>
          <w:rFonts w:cs="Arial"/>
          <w:sz w:val="20"/>
          <w:szCs w:val="20"/>
          <w:lang w:eastAsia="en-US"/>
        </w:rPr>
        <w:t xml:space="preserve">o put before an appeal panel.  </w:t>
      </w:r>
      <w:r w:rsidR="00A47B0F" w:rsidRPr="00CF1729">
        <w:rPr>
          <w:rFonts w:cs="Arial"/>
          <w:sz w:val="20"/>
          <w:szCs w:val="20"/>
          <w:lang w:eastAsia="en-US"/>
        </w:rPr>
        <w:t xml:space="preserve">For the points I am already content to refer on, an oral appeal will be held </w:t>
      </w:r>
      <w:r w:rsidR="00A47B0F" w:rsidRPr="003017F6">
        <w:rPr>
          <w:rFonts w:cs="Arial"/>
          <w:sz w:val="20"/>
          <w:szCs w:val="20"/>
          <w:lang w:eastAsia="en-US"/>
        </w:rPr>
        <w:t>which is likely to be held remotely.</w:t>
      </w:r>
    </w:p>
    <w:p w14:paraId="6445C872" w14:textId="729B28F3" w:rsidR="003B056B" w:rsidRPr="00CF1729" w:rsidRDefault="003B056B" w:rsidP="00413F89">
      <w:pPr>
        <w:pStyle w:val="Paragraph"/>
        <w:numPr>
          <w:ilvl w:val="0"/>
          <w:numId w:val="0"/>
        </w:numPr>
        <w:spacing w:before="120"/>
        <w:jc w:val="both"/>
        <w:rPr>
          <w:rFonts w:cs="Arial"/>
          <w:sz w:val="20"/>
          <w:szCs w:val="20"/>
        </w:rPr>
      </w:pPr>
      <w:r w:rsidRPr="00CF1729">
        <w:rPr>
          <w:rFonts w:cs="Arial"/>
          <w:sz w:val="20"/>
          <w:szCs w:val="20"/>
          <w:lang w:eastAsia="en-US"/>
        </w:rPr>
        <w:t xml:space="preserve">Once I have made my final decision, and where there is more than one appellant, each appellant will receive the valid appeal points of the other appellants and their redacted appeal letter. This is to enable appellants to avoid duplication at the hearing where there are overlapping appeal points. If the appeal letter and/or responses to scrutiny contain confidential </w:t>
      </w:r>
      <w:proofErr w:type="gramStart"/>
      <w:r w:rsidRPr="00CF1729">
        <w:rPr>
          <w:rFonts w:cs="Arial"/>
          <w:sz w:val="20"/>
          <w:szCs w:val="20"/>
          <w:lang w:eastAsia="en-US"/>
        </w:rPr>
        <w:t>information</w:t>
      </w:r>
      <w:proofErr w:type="gramEnd"/>
      <w:r w:rsidRPr="00CF1729">
        <w:rPr>
          <w:rFonts w:cs="Arial"/>
          <w:sz w:val="20"/>
          <w:szCs w:val="20"/>
        </w:rPr>
        <w:t xml:space="preserve"> please ensure you have provided a version with this information redacted by </w:t>
      </w:r>
      <w:r w:rsidR="00A47B0F">
        <w:rPr>
          <w:rFonts w:cs="Arial"/>
          <w:sz w:val="20"/>
          <w:szCs w:val="20"/>
        </w:rPr>
        <w:t>1 September 2023</w:t>
      </w:r>
      <w:r w:rsidR="00A47B0F" w:rsidRPr="00CF1729">
        <w:rPr>
          <w:rFonts w:cs="Arial"/>
          <w:sz w:val="20"/>
          <w:szCs w:val="20"/>
        </w:rPr>
        <w:t>.</w:t>
      </w:r>
    </w:p>
    <w:p w14:paraId="0ED764D7" w14:textId="77BB115C" w:rsidR="00010318" w:rsidRPr="00CF1729" w:rsidRDefault="00010318" w:rsidP="00413F89">
      <w:pPr>
        <w:pStyle w:val="Paragraph"/>
        <w:numPr>
          <w:ilvl w:val="0"/>
          <w:numId w:val="0"/>
        </w:numPr>
        <w:spacing w:before="120"/>
        <w:jc w:val="both"/>
        <w:rPr>
          <w:rFonts w:cs="Arial"/>
          <w:sz w:val="20"/>
          <w:szCs w:val="20"/>
        </w:rPr>
      </w:pPr>
      <w:r w:rsidRPr="00CF1729">
        <w:rPr>
          <w:rFonts w:cs="Arial"/>
          <w:sz w:val="20"/>
          <w:szCs w:val="20"/>
        </w:rPr>
        <w:t xml:space="preserve">Ordinarily appeals are conducted </w:t>
      </w:r>
      <w:proofErr w:type="gramStart"/>
      <w:r w:rsidRPr="00CF1729">
        <w:rPr>
          <w:rFonts w:cs="Arial"/>
          <w:sz w:val="20"/>
          <w:szCs w:val="20"/>
        </w:rPr>
        <w:t>on the basis of</w:t>
      </w:r>
      <w:proofErr w:type="gramEnd"/>
      <w:r w:rsidRPr="00CF1729">
        <w:rPr>
          <w:rFonts w:cs="Arial"/>
          <w:sz w:val="20"/>
          <w:szCs w:val="20"/>
        </w:rPr>
        <w:t xml:space="preserve"> the appellants’ written appeal letters, and the material generated during the appraisal process.  Use of additional written material is discouraged, and the panel cannot receive any new evidence.  If, exceptionally, you feel there is written material that will not be before the panel that you would wish to rely on you must let the NICE Appeal team know by return of </w:t>
      </w:r>
      <w:r w:rsidRPr="00CF1729">
        <w:rPr>
          <w:rFonts w:cs="Arial"/>
          <w:sz w:val="20"/>
          <w:szCs w:val="20"/>
        </w:rPr>
        <w:lastRenderedPageBreak/>
        <w:t xml:space="preserve">letter, indicating what the material is, why it is desirable to submit it, and when it will be available, by no later than </w:t>
      </w:r>
      <w:r w:rsidR="00A47B0F">
        <w:rPr>
          <w:rFonts w:cs="Arial"/>
          <w:sz w:val="20"/>
          <w:szCs w:val="20"/>
        </w:rPr>
        <w:t>4 September 2023</w:t>
      </w:r>
      <w:r w:rsidR="00A47B0F" w:rsidRPr="00CF1729">
        <w:rPr>
          <w:rFonts w:cs="Arial"/>
          <w:sz w:val="20"/>
          <w:szCs w:val="20"/>
        </w:rPr>
        <w:t xml:space="preserve">. </w:t>
      </w:r>
      <w:r w:rsidRPr="00CF1729">
        <w:rPr>
          <w:rFonts w:cs="Arial"/>
          <w:sz w:val="20"/>
          <w:szCs w:val="20"/>
        </w:rPr>
        <w:t>Please note that the appeal panel cannot accept papers that are tabled late or ad hoc, as this affects the preparation of the panel and other parties for the appeal.</w:t>
      </w:r>
    </w:p>
    <w:p w14:paraId="6427A69D" w14:textId="21C02660" w:rsidR="00C70019" w:rsidRPr="00CF1729" w:rsidRDefault="00C70019" w:rsidP="00413F89">
      <w:pPr>
        <w:jc w:val="both"/>
        <w:rPr>
          <w:rFonts w:cs="Arial"/>
          <w:color w:val="auto"/>
        </w:rPr>
      </w:pPr>
      <w:r w:rsidRPr="00CF1729">
        <w:rPr>
          <w:rFonts w:cs="Arial"/>
          <w:color w:val="auto"/>
        </w:rPr>
        <w:t>Yours sincerely</w:t>
      </w:r>
    </w:p>
    <w:p w14:paraId="638CFD9A" w14:textId="77777777" w:rsidR="002B21D4" w:rsidRPr="00CF1729" w:rsidRDefault="002B21D4" w:rsidP="00413F89">
      <w:pPr>
        <w:jc w:val="both"/>
        <w:rPr>
          <w:rFonts w:cs="Arial"/>
          <w:color w:val="auto"/>
        </w:rPr>
      </w:pPr>
    </w:p>
    <w:p w14:paraId="707E0375" w14:textId="45C8151E" w:rsidR="00A47B0F" w:rsidRDefault="00A47B0F" w:rsidP="00A47B0F">
      <w:pPr>
        <w:rPr>
          <w:rFonts w:ascii="Calibri" w:hAnsi="Calibri"/>
          <w:color w:val="auto"/>
        </w:rPr>
      </w:pPr>
    </w:p>
    <w:p w14:paraId="2D5780EA" w14:textId="53B32272" w:rsidR="00A47B0F" w:rsidRDefault="00C17BF2" w:rsidP="00A47B0F">
      <w:r w:rsidRPr="00C17BF2">
        <w:rPr>
          <w:color w:val="auto"/>
          <w:highlight w:val="black"/>
        </w:rPr>
        <w:t>XXXXXXXXXXXXXXXXXX</w:t>
      </w:r>
    </w:p>
    <w:p w14:paraId="10F94995" w14:textId="77777777" w:rsidR="00A47B0F" w:rsidRDefault="00A47B0F" w:rsidP="00A47B0F">
      <w:pPr>
        <w:spacing w:line="360" w:lineRule="auto"/>
        <w:jc w:val="both"/>
        <w:rPr>
          <w:rFonts w:cs="Arial"/>
        </w:rPr>
      </w:pPr>
      <w:r>
        <w:rPr>
          <w:rFonts w:cs="Arial"/>
        </w:rPr>
        <w:t>Dr Mark Chakravarty</w:t>
      </w:r>
    </w:p>
    <w:p w14:paraId="468891ED" w14:textId="77777777" w:rsidR="00A47B0F" w:rsidRDefault="00A47B0F" w:rsidP="00A47B0F">
      <w:pPr>
        <w:spacing w:line="360" w:lineRule="auto"/>
        <w:jc w:val="both"/>
        <w:rPr>
          <w:rFonts w:cs="Arial"/>
          <w14:ligatures w14:val="standardContextual"/>
        </w:rPr>
      </w:pPr>
      <w:r>
        <w:rPr>
          <w:rFonts w:cs="Arial"/>
        </w:rPr>
        <w:t>Lead Non-Executive Director for Appeals &amp; Vice Chairman</w:t>
      </w:r>
    </w:p>
    <w:p w14:paraId="0052FECD" w14:textId="77777777" w:rsidR="00A47B0F" w:rsidRDefault="00A47B0F" w:rsidP="00A47B0F">
      <w:pPr>
        <w:spacing w:line="360" w:lineRule="auto"/>
        <w:jc w:val="both"/>
        <w:rPr>
          <w:rFonts w:cs="Arial"/>
        </w:rPr>
      </w:pPr>
      <w:r>
        <w:rPr>
          <w:rFonts w:cs="Arial"/>
        </w:rPr>
        <w:t>National Institute for Health and Care Excellence</w:t>
      </w:r>
    </w:p>
    <w:p w14:paraId="72284BFF" w14:textId="22D2CF28" w:rsidR="004A76D5" w:rsidRPr="00106F6B" w:rsidRDefault="004A76D5" w:rsidP="00413F89">
      <w:pPr>
        <w:jc w:val="both"/>
        <w:rPr>
          <w:rFonts w:cs="Arial"/>
          <w:color w:val="auto"/>
        </w:rPr>
      </w:pPr>
    </w:p>
    <w:p w14:paraId="0C61E456" w14:textId="77777777" w:rsidR="002B21D4" w:rsidRPr="00106F6B" w:rsidRDefault="002B21D4" w:rsidP="00413F89">
      <w:pPr>
        <w:jc w:val="both"/>
        <w:rPr>
          <w:rFonts w:cs="Arial"/>
          <w:color w:val="auto"/>
        </w:rPr>
      </w:pPr>
    </w:p>
    <w:sectPr w:rsidR="002B21D4" w:rsidRPr="00106F6B" w:rsidSect="00DC03BB">
      <w:footerReference w:type="default" r:id="rId10"/>
      <w:headerReference w:type="first" r:id="rId11"/>
      <w:footerReference w:type="first" r:id="rId12"/>
      <w:pgSz w:w="11907" w:h="16840" w:code="9"/>
      <w:pgMar w:top="1848" w:right="1418" w:bottom="1418" w:left="1418" w:header="11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C735" w14:textId="77777777" w:rsidR="008A5540" w:rsidRDefault="008A5540">
      <w:r>
        <w:separator/>
      </w:r>
    </w:p>
  </w:endnote>
  <w:endnote w:type="continuationSeparator" w:id="0">
    <w:p w14:paraId="774C0B3C" w14:textId="77777777" w:rsidR="008A5540" w:rsidRDefault="008A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A69C" w14:textId="3A8305C2" w:rsidR="00E308B8" w:rsidRPr="00E10C0E" w:rsidRDefault="00E308B8" w:rsidP="00832D34">
    <w:pPr>
      <w:pStyle w:val="Footer"/>
      <w:tabs>
        <w:tab w:val="clear" w:pos="4153"/>
        <w:tab w:val="clear" w:pos="8306"/>
        <w:tab w:val="center" w:pos="4536"/>
        <w:tab w:val="right" w:pos="9072"/>
      </w:tabs>
      <w:spacing w:line="240" w:lineRule="auto"/>
      <w:rPr>
        <w:color w:val="808080"/>
        <w:sz w:val="18"/>
        <w:szCs w:val="18"/>
      </w:rPr>
    </w:pPr>
    <w:r>
      <w:rPr>
        <w:rStyle w:val="PageNumber"/>
        <w:color w:val="808080"/>
        <w:szCs w:val="18"/>
      </w:rPr>
      <w:tab/>
    </w:r>
    <w:r>
      <w:rPr>
        <w:rStyle w:val="PageNumber"/>
        <w:color w:val="808080"/>
        <w:szCs w:val="18"/>
      </w:rPr>
      <w:tab/>
    </w:r>
    <w:r w:rsidRPr="00E10C0E">
      <w:rPr>
        <w:rStyle w:val="PageNumber"/>
        <w:color w:val="808080"/>
        <w:szCs w:val="18"/>
      </w:rPr>
      <w:t xml:space="preserve">Page </w:t>
    </w:r>
    <w:r w:rsidRPr="00E10C0E">
      <w:rPr>
        <w:rStyle w:val="PageNumber"/>
        <w:bCs/>
        <w:color w:val="808080"/>
        <w:szCs w:val="18"/>
      </w:rPr>
      <w:fldChar w:fldCharType="begin"/>
    </w:r>
    <w:r w:rsidRPr="00E10C0E">
      <w:rPr>
        <w:rStyle w:val="PageNumber"/>
        <w:bCs/>
        <w:color w:val="808080"/>
        <w:szCs w:val="18"/>
      </w:rPr>
      <w:instrText xml:space="preserve"> PAGE </w:instrText>
    </w:r>
    <w:r w:rsidRPr="00E10C0E">
      <w:rPr>
        <w:rStyle w:val="PageNumber"/>
        <w:bCs/>
        <w:color w:val="808080"/>
        <w:szCs w:val="18"/>
      </w:rPr>
      <w:fldChar w:fldCharType="separate"/>
    </w:r>
    <w:r w:rsidR="00811421">
      <w:rPr>
        <w:rStyle w:val="PageNumber"/>
        <w:bCs/>
        <w:noProof/>
        <w:color w:val="808080"/>
        <w:szCs w:val="18"/>
      </w:rPr>
      <w:t>2</w:t>
    </w:r>
    <w:r w:rsidRPr="00E10C0E">
      <w:rPr>
        <w:rStyle w:val="PageNumber"/>
        <w:bCs/>
        <w:color w:val="808080"/>
        <w:szCs w:val="18"/>
      </w:rPr>
      <w:fldChar w:fldCharType="end"/>
    </w:r>
    <w:r w:rsidRPr="00E10C0E">
      <w:rPr>
        <w:rStyle w:val="PageNumber"/>
        <w:color w:val="808080"/>
        <w:szCs w:val="18"/>
      </w:rPr>
      <w:t xml:space="preserve"> of </w:t>
    </w:r>
    <w:r w:rsidRPr="00E10C0E">
      <w:rPr>
        <w:rStyle w:val="PageNumber"/>
        <w:b/>
        <w:color w:val="808080"/>
        <w:szCs w:val="18"/>
      </w:rPr>
      <w:fldChar w:fldCharType="begin"/>
    </w:r>
    <w:r w:rsidRPr="00E10C0E">
      <w:rPr>
        <w:rStyle w:val="PageNumber"/>
        <w:b/>
        <w:color w:val="808080"/>
        <w:szCs w:val="18"/>
      </w:rPr>
      <w:instrText xml:space="preserve"> NUMPAGES  \* MERGEFORMAT </w:instrText>
    </w:r>
    <w:r w:rsidRPr="00E10C0E">
      <w:rPr>
        <w:rStyle w:val="PageNumber"/>
        <w:b/>
        <w:color w:val="808080"/>
        <w:szCs w:val="18"/>
      </w:rPr>
      <w:fldChar w:fldCharType="separate"/>
    </w:r>
    <w:r w:rsidR="00811421" w:rsidRPr="00811421">
      <w:rPr>
        <w:rStyle w:val="PageNumber"/>
        <w:noProof/>
        <w:color w:val="808080"/>
        <w:szCs w:val="18"/>
      </w:rPr>
      <w:t>2</w:t>
    </w:r>
    <w:r w:rsidRPr="00E10C0E">
      <w:rPr>
        <w:rStyle w:val="PageNumber"/>
        <w:b/>
        <w:color w:val="80808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013B" w14:textId="0A4FBAFA" w:rsidR="00E308B8" w:rsidRPr="00832D34" w:rsidRDefault="00811421" w:rsidP="00EF043B">
    <w:pPr>
      <w:pStyle w:val="Footer"/>
      <w:tabs>
        <w:tab w:val="clear" w:pos="4153"/>
        <w:tab w:val="clear" w:pos="8306"/>
        <w:tab w:val="left" w:pos="0"/>
        <w:tab w:val="center" w:pos="4536"/>
        <w:tab w:val="right" w:pos="9072"/>
      </w:tabs>
      <w:spacing w:line="240" w:lineRule="auto"/>
      <w:jc w:val="right"/>
      <w:rPr>
        <w:color w:val="808080"/>
        <w:sz w:val="18"/>
        <w:szCs w:val="18"/>
      </w:rPr>
    </w:pPr>
    <w:r>
      <w:rPr>
        <w:noProof/>
        <w:lang w:eastAsia="en-GB"/>
      </w:rPr>
      <w:drawing>
        <wp:anchor distT="0" distB="0" distL="114300" distR="114300" simplePos="0" relativeHeight="251661312" behindDoc="0" locked="0" layoutInCell="1" allowOverlap="1" wp14:anchorId="762011F8" wp14:editId="211A3AF0">
          <wp:simplePos x="0" y="0"/>
          <wp:positionH relativeFrom="margin">
            <wp:align>center</wp:align>
          </wp:positionH>
          <wp:positionV relativeFrom="margin">
            <wp:posOffset>7708265</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r w:rsidR="00E308B8" w:rsidRPr="00832D34">
      <w:rPr>
        <w:color w:val="808080"/>
        <w:sz w:val="18"/>
        <w:szCs w:val="18"/>
      </w:rPr>
      <w:fldChar w:fldCharType="begin"/>
    </w:r>
    <w:r w:rsidR="00E308B8" w:rsidRPr="00832D34">
      <w:rPr>
        <w:color w:val="808080"/>
        <w:sz w:val="18"/>
        <w:szCs w:val="18"/>
      </w:rPr>
      <w:instrText xml:space="preserve"> FILENAME \* Upper </w:instrText>
    </w:r>
    <w:r w:rsidR="00E308B8" w:rsidRPr="00832D34">
      <w:rPr>
        <w:color w:val="808080"/>
        <w:sz w:val="18"/>
        <w:szCs w:val="18"/>
      </w:rPr>
      <w:fldChar w:fldCharType="separate"/>
    </w:r>
    <w:r w:rsidR="00E308B8">
      <w:rPr>
        <w:noProof/>
        <w:color w:val="808080"/>
        <w:sz w:val="18"/>
        <w:szCs w:val="18"/>
      </w:rPr>
      <w:t>DOCUMENT3</w:t>
    </w:r>
    <w:r w:rsidR="00E308B8" w:rsidRPr="00832D34">
      <w:rPr>
        <w:color w:val="808080"/>
        <w:sz w:val="18"/>
        <w:szCs w:val="18"/>
      </w:rPr>
      <w:fldChar w:fldCharType="end"/>
    </w:r>
    <w:r w:rsidR="00E308B8">
      <w:rPr>
        <w:snapToGrid w:val="0"/>
        <w:color w:val="808080"/>
        <w:sz w:val="18"/>
        <w:szCs w:val="18"/>
      </w:rPr>
      <w:tab/>
    </w:r>
    <w:r w:rsidR="00E308B8">
      <w:rPr>
        <w:snapToGrid w:val="0"/>
        <w:color w:val="808080"/>
        <w:sz w:val="18"/>
        <w:szCs w:val="18"/>
      </w:rPr>
      <w:tab/>
    </w:r>
    <w:r w:rsidR="00E308B8" w:rsidRPr="00EF043B">
      <w:rPr>
        <w:snapToGrid w:val="0"/>
        <w:color w:val="808080"/>
        <w:sz w:val="18"/>
        <w:szCs w:val="18"/>
      </w:rPr>
      <w:t xml:space="preserve">Page </w:t>
    </w:r>
    <w:r w:rsidR="00E308B8" w:rsidRPr="00EF043B">
      <w:rPr>
        <w:snapToGrid w:val="0"/>
        <w:color w:val="808080"/>
        <w:sz w:val="18"/>
        <w:szCs w:val="18"/>
      </w:rPr>
      <w:fldChar w:fldCharType="begin"/>
    </w:r>
    <w:r w:rsidR="00E308B8" w:rsidRPr="00EF043B">
      <w:rPr>
        <w:snapToGrid w:val="0"/>
        <w:color w:val="808080"/>
        <w:sz w:val="18"/>
        <w:szCs w:val="18"/>
      </w:rPr>
      <w:instrText xml:space="preserve"> PAGE </w:instrText>
    </w:r>
    <w:r w:rsidR="00E308B8" w:rsidRPr="00EF043B">
      <w:rPr>
        <w:snapToGrid w:val="0"/>
        <w:color w:val="808080"/>
        <w:sz w:val="18"/>
        <w:szCs w:val="18"/>
      </w:rPr>
      <w:fldChar w:fldCharType="separate"/>
    </w:r>
    <w:r>
      <w:rPr>
        <w:noProof/>
        <w:snapToGrid w:val="0"/>
        <w:color w:val="808080"/>
        <w:sz w:val="18"/>
        <w:szCs w:val="18"/>
      </w:rPr>
      <w:t>1</w:t>
    </w:r>
    <w:r w:rsidR="00E308B8" w:rsidRPr="00EF043B">
      <w:rPr>
        <w:snapToGrid w:val="0"/>
        <w:color w:val="808080"/>
        <w:sz w:val="18"/>
        <w:szCs w:val="18"/>
      </w:rPr>
      <w:fldChar w:fldCharType="end"/>
    </w:r>
    <w:r w:rsidR="00E308B8" w:rsidRPr="00EF043B">
      <w:rPr>
        <w:snapToGrid w:val="0"/>
        <w:color w:val="808080"/>
        <w:sz w:val="18"/>
        <w:szCs w:val="18"/>
      </w:rPr>
      <w:t xml:space="preserve"> of </w:t>
    </w:r>
    <w:r w:rsidR="00E308B8" w:rsidRPr="00EF043B">
      <w:rPr>
        <w:snapToGrid w:val="0"/>
        <w:color w:val="808080"/>
        <w:sz w:val="18"/>
        <w:szCs w:val="18"/>
      </w:rPr>
      <w:fldChar w:fldCharType="begin"/>
    </w:r>
    <w:r w:rsidR="00E308B8" w:rsidRPr="00EF043B">
      <w:rPr>
        <w:snapToGrid w:val="0"/>
        <w:color w:val="808080"/>
        <w:sz w:val="18"/>
        <w:szCs w:val="18"/>
      </w:rPr>
      <w:instrText xml:space="preserve"> NUMPAGES </w:instrText>
    </w:r>
    <w:r w:rsidR="00E308B8" w:rsidRPr="00EF043B">
      <w:rPr>
        <w:snapToGrid w:val="0"/>
        <w:color w:val="808080"/>
        <w:sz w:val="18"/>
        <w:szCs w:val="18"/>
      </w:rPr>
      <w:fldChar w:fldCharType="separate"/>
    </w:r>
    <w:r>
      <w:rPr>
        <w:noProof/>
        <w:snapToGrid w:val="0"/>
        <w:color w:val="808080"/>
        <w:sz w:val="18"/>
        <w:szCs w:val="18"/>
      </w:rPr>
      <w:t>2</w:t>
    </w:r>
    <w:r w:rsidR="00E308B8" w:rsidRPr="00EF043B">
      <w:rPr>
        <w:snapToGrid w:val="0"/>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5C8F" w14:textId="77777777" w:rsidR="008A5540" w:rsidRDefault="008A5540">
      <w:r>
        <w:separator/>
      </w:r>
    </w:p>
  </w:footnote>
  <w:footnote w:type="continuationSeparator" w:id="0">
    <w:p w14:paraId="63047724" w14:textId="77777777" w:rsidR="008A5540" w:rsidRDefault="008A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3CC1" w14:textId="77777777" w:rsidR="00491045" w:rsidRDefault="00491045" w:rsidP="00491045">
    <w:pPr>
      <w:pStyle w:val="Header"/>
      <w:tabs>
        <w:tab w:val="right" w:pos="10065"/>
      </w:tabs>
      <w:spacing w:after="0"/>
      <w:ind w:right="-1039"/>
      <w:jc w:val="right"/>
      <w:rPr>
        <w:rFonts w:cs="Arial"/>
        <w:color w:val="0E0E0E"/>
      </w:rPr>
    </w:pPr>
    <w:r w:rsidRPr="005E0434">
      <w:rPr>
        <w:noProof/>
        <w:color w:val="0E0E0E"/>
        <w:lang w:eastAsia="en-GB"/>
      </w:rPr>
      <w:drawing>
        <wp:anchor distT="0" distB="0" distL="114300" distR="114300" simplePos="0" relativeHeight="251659264" behindDoc="0" locked="0" layoutInCell="1" allowOverlap="1" wp14:anchorId="334CDC48" wp14:editId="26AB789F">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Pr>
        <w:rFonts w:cs="Arial"/>
        <w:color w:val="0E0E0E"/>
      </w:rPr>
      <w:t>2</w:t>
    </w:r>
    <w:r w:rsidRPr="0003729F">
      <w:rPr>
        <w:rFonts w:cs="Arial"/>
        <w:color w:val="0E0E0E"/>
        <w:vertAlign w:val="superscript"/>
      </w:rPr>
      <w:t>nd</w:t>
    </w:r>
    <w:r>
      <w:rPr>
        <w:rFonts w:cs="Arial"/>
        <w:color w:val="0E0E0E"/>
      </w:rPr>
      <w:t xml:space="preserve"> Floor</w:t>
    </w:r>
  </w:p>
  <w:p w14:paraId="2DD48BCF" w14:textId="77777777" w:rsidR="00491045" w:rsidRPr="005E0434" w:rsidRDefault="00491045" w:rsidP="00491045">
    <w:pPr>
      <w:pStyle w:val="Header"/>
      <w:tabs>
        <w:tab w:val="right" w:pos="10065"/>
      </w:tabs>
      <w:spacing w:after="0"/>
      <w:ind w:right="-1039"/>
      <w:jc w:val="right"/>
      <w:rPr>
        <w:rFonts w:cs="Arial"/>
        <w:color w:val="0E0E0E"/>
      </w:rPr>
    </w:pPr>
    <w:r>
      <w:rPr>
        <w:rFonts w:cs="Arial"/>
        <w:color w:val="0E0E0E"/>
      </w:rPr>
      <w:t>2 Redman Place</w:t>
    </w:r>
  </w:p>
  <w:p w14:paraId="4E0459EB" w14:textId="77777777" w:rsidR="00491045" w:rsidRPr="005E0434" w:rsidRDefault="00491045" w:rsidP="00491045">
    <w:pPr>
      <w:pStyle w:val="Header"/>
      <w:tabs>
        <w:tab w:val="right" w:pos="10065"/>
      </w:tabs>
      <w:spacing w:after="0"/>
      <w:ind w:right="-1039"/>
      <w:jc w:val="right"/>
      <w:rPr>
        <w:rFonts w:cs="Arial"/>
        <w:color w:val="0E0E0E"/>
      </w:rPr>
    </w:pPr>
    <w:r w:rsidRPr="005E0434">
      <w:rPr>
        <w:rFonts w:cs="Arial"/>
        <w:color w:val="0E0E0E"/>
      </w:rPr>
      <w:softHyphen/>
      <w:t>London</w:t>
    </w:r>
  </w:p>
  <w:p w14:paraId="17FA5E6C" w14:textId="77777777" w:rsidR="00491045" w:rsidRPr="005E0434" w:rsidRDefault="00491045" w:rsidP="00491045">
    <w:pPr>
      <w:pStyle w:val="Header"/>
      <w:tabs>
        <w:tab w:val="right" w:pos="10065"/>
      </w:tabs>
      <w:spacing w:after="0"/>
      <w:ind w:right="-1039"/>
      <w:jc w:val="right"/>
      <w:rPr>
        <w:rFonts w:cs="Arial"/>
        <w:color w:val="0E0E0E"/>
      </w:rPr>
    </w:pPr>
    <w:r>
      <w:rPr>
        <w:rFonts w:cs="Arial"/>
        <w:color w:val="0E0E0E"/>
      </w:rPr>
      <w:t>E20 1JQ</w:t>
    </w:r>
  </w:p>
  <w:p w14:paraId="7B0504BC" w14:textId="77777777" w:rsidR="00491045" w:rsidRPr="005E0434" w:rsidRDefault="00491045" w:rsidP="00491045">
    <w:pPr>
      <w:pStyle w:val="Header"/>
      <w:tabs>
        <w:tab w:val="right" w:pos="10065"/>
      </w:tabs>
      <w:spacing w:after="0"/>
      <w:ind w:right="-1039"/>
      <w:jc w:val="right"/>
      <w:rPr>
        <w:rFonts w:cs="Arial"/>
        <w:color w:val="0E0E0E"/>
      </w:rPr>
    </w:pPr>
    <w:r w:rsidRPr="005E0434">
      <w:rPr>
        <w:rFonts w:cs="Arial"/>
        <w:color w:val="0E0E0E"/>
      </w:rPr>
      <w:t>United Kingdom</w:t>
    </w:r>
  </w:p>
  <w:p w14:paraId="0A93A6A6" w14:textId="77777777" w:rsidR="00491045" w:rsidRPr="005E0434" w:rsidRDefault="00491045" w:rsidP="00491045">
    <w:pPr>
      <w:pStyle w:val="Header"/>
      <w:tabs>
        <w:tab w:val="right" w:pos="10065"/>
      </w:tabs>
      <w:spacing w:after="0"/>
      <w:ind w:right="-1039"/>
      <w:jc w:val="right"/>
      <w:rPr>
        <w:rFonts w:cs="Arial"/>
        <w:color w:val="0E0E0E"/>
      </w:rPr>
    </w:pPr>
  </w:p>
  <w:p w14:paraId="5D6CD5A4" w14:textId="77777777" w:rsidR="00491045" w:rsidRPr="003A3E2E" w:rsidRDefault="00491045" w:rsidP="00491045">
    <w:pPr>
      <w:pStyle w:val="Header"/>
      <w:tabs>
        <w:tab w:val="right" w:pos="10065"/>
      </w:tabs>
      <w:spacing w:after="0"/>
      <w:ind w:right="-1039"/>
      <w:jc w:val="right"/>
      <w:rPr>
        <w:rFonts w:ascii="Lato" w:hAnsi="Lato" w:cs="Arial"/>
        <w:color w:val="0E0E0E"/>
      </w:rPr>
    </w:pPr>
    <w:r w:rsidRPr="003A3E2E">
      <w:rPr>
        <w:rFonts w:ascii="Lato" w:hAnsi="Lato" w:cs="Segoe UI"/>
        <w:color w:val="000000"/>
      </w:rPr>
      <w:t>+44 (0)300 323 0140</w:t>
    </w:r>
  </w:p>
  <w:p w14:paraId="1C9776DF" w14:textId="21D4BFDB" w:rsidR="00E308B8" w:rsidRPr="00491045" w:rsidRDefault="00E308B8" w:rsidP="00491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352E09"/>
    <w:multiLevelType w:val="hybridMultilevel"/>
    <w:tmpl w:val="D08DC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7899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FAD21376"/>
    <w:lvl w:ilvl="0">
      <w:start w:val="1"/>
      <w:numFmt w:val="decimal"/>
      <w:pStyle w:val="Heading1"/>
      <w:lvlText w:val="%1."/>
      <w:legacy w:legacy="1" w:legacySpace="0" w:legacyIndent="708"/>
      <w:lvlJc w:val="left"/>
      <w:pPr>
        <w:ind w:left="720" w:hanging="708"/>
      </w:pPr>
    </w:lvl>
    <w:lvl w:ilvl="1">
      <w:start w:val="1"/>
      <w:numFmt w:val="decimal"/>
      <w:pStyle w:val="Heading2"/>
      <w:lvlText w:val="%1.%2."/>
      <w:legacy w:legacy="1" w:legacySpace="0" w:legacyIndent="708"/>
      <w:lvlJc w:val="left"/>
      <w:pPr>
        <w:ind w:left="1440" w:hanging="708"/>
      </w:pPr>
    </w:lvl>
    <w:lvl w:ilvl="2">
      <w:start w:val="1"/>
      <w:numFmt w:val="decimal"/>
      <w:pStyle w:val="Heading3"/>
      <w:lvlText w:val="%1.%2.%3."/>
      <w:legacy w:legacy="1" w:legacySpace="0" w:legacyIndent="708"/>
      <w:lvlJc w:val="left"/>
      <w:pPr>
        <w:ind w:left="2404"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0" w:legacyIndent="708"/>
      <w:lvlJc w:val="left"/>
      <w:pPr>
        <w:ind w:left="3612"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egacy w:legacy="1" w:legacySpace="0" w:legacyIndent="708"/>
      <w:lvlJc w:val="left"/>
      <w:pPr>
        <w:ind w:left="4349" w:hanging="708"/>
      </w:pPr>
    </w:lvl>
    <w:lvl w:ilvl="5">
      <w:start w:val="1"/>
      <w:numFmt w:val="lowerRoman"/>
      <w:pStyle w:val="Heading6"/>
      <w:lvlText w:val="(%6)"/>
      <w:legacy w:legacy="1" w:legacySpace="0" w:legacyIndent="708"/>
      <w:lvlJc w:val="left"/>
      <w:pPr>
        <w:ind w:left="5058" w:hanging="708"/>
      </w:pPr>
    </w:lvl>
    <w:lvl w:ilvl="6">
      <w:start w:val="1"/>
      <w:numFmt w:val="none"/>
      <w:pStyle w:val="Heading7"/>
      <w:lvlText w:val=""/>
      <w:legacy w:legacy="1" w:legacySpace="0" w:legacyIndent="708"/>
      <w:lvlJc w:val="left"/>
      <w:pPr>
        <w:ind w:left="5761" w:hanging="708"/>
      </w:pPr>
      <w:rPr>
        <w:rFonts w:ascii="Symbol" w:hAnsi="Symbol" w:hint="default"/>
      </w:rPr>
    </w:lvl>
    <w:lvl w:ilvl="7">
      <w:start w:val="1"/>
      <w:numFmt w:val="none"/>
      <w:pStyle w:val="Heading8"/>
      <w:lvlText w:val=""/>
      <w:legacy w:legacy="1" w:legacySpace="0" w:legacyIndent="708"/>
      <w:lvlJc w:val="left"/>
      <w:pPr>
        <w:ind w:left="6447" w:hanging="708"/>
      </w:pPr>
      <w:rPr>
        <w:rFonts w:ascii="Symbol" w:hAnsi="Symbol" w:hint="default"/>
      </w:rPr>
    </w:lvl>
    <w:lvl w:ilvl="8">
      <w:start w:val="1"/>
      <w:numFmt w:val="none"/>
      <w:pStyle w:val="Heading9"/>
      <w:lvlText w:val=""/>
      <w:legacy w:legacy="1" w:legacySpace="0" w:legacyIndent="708"/>
      <w:lvlJc w:val="left"/>
      <w:pPr>
        <w:ind w:left="7155" w:hanging="708"/>
      </w:pPr>
      <w:rPr>
        <w:rFonts w:ascii="Symbol" w:hAnsi="Symbol" w:hint="default"/>
      </w:rPr>
    </w:lvl>
  </w:abstractNum>
  <w:abstractNum w:abstractNumId="3" w15:restartNumberingAfterBreak="0">
    <w:nsid w:val="19DF3CAE"/>
    <w:multiLevelType w:val="hybridMultilevel"/>
    <w:tmpl w:val="32A2F77E"/>
    <w:lvl w:ilvl="0" w:tplc="A5FC299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C72C5"/>
    <w:multiLevelType w:val="hybridMultilevel"/>
    <w:tmpl w:val="A31A9C94"/>
    <w:lvl w:ilvl="0" w:tplc="E7E613C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D159CD"/>
    <w:multiLevelType w:val="hybridMultilevel"/>
    <w:tmpl w:val="343EBF16"/>
    <w:lvl w:ilvl="0" w:tplc="678AA1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E225A"/>
    <w:multiLevelType w:val="hybridMultilevel"/>
    <w:tmpl w:val="441A1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6229C1"/>
    <w:multiLevelType w:val="hybridMultilevel"/>
    <w:tmpl w:val="F766C982"/>
    <w:lvl w:ilvl="0" w:tplc="E7E613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0013B"/>
    <w:multiLevelType w:val="hybridMultilevel"/>
    <w:tmpl w:val="523C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90BB6"/>
    <w:multiLevelType w:val="hybridMultilevel"/>
    <w:tmpl w:val="0F766B3A"/>
    <w:lvl w:ilvl="0" w:tplc="678AA1F2">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E073F"/>
    <w:multiLevelType w:val="hybridMultilevel"/>
    <w:tmpl w:val="FC3AD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715A4"/>
    <w:multiLevelType w:val="hybridMultilevel"/>
    <w:tmpl w:val="91C4A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546514"/>
    <w:multiLevelType w:val="hybridMultilevel"/>
    <w:tmpl w:val="D91C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46CA6"/>
    <w:multiLevelType w:val="hybridMultilevel"/>
    <w:tmpl w:val="E894F61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3BAE5383"/>
    <w:multiLevelType w:val="hybridMultilevel"/>
    <w:tmpl w:val="20C23D0E"/>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C8632C"/>
    <w:multiLevelType w:val="hybridMultilevel"/>
    <w:tmpl w:val="26E460D6"/>
    <w:lvl w:ilvl="0" w:tplc="A5FC299A">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037D2"/>
    <w:multiLevelType w:val="hybridMultilevel"/>
    <w:tmpl w:val="5C8A9156"/>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90189A"/>
    <w:multiLevelType w:val="hybridMultilevel"/>
    <w:tmpl w:val="E2E64854"/>
    <w:lvl w:ilvl="0" w:tplc="510A83D8">
      <w:numFmt w:val="bullet"/>
      <w:lvlText w:val=""/>
      <w:lvlJc w:val="left"/>
      <w:pPr>
        <w:ind w:left="502" w:hanging="285"/>
      </w:pPr>
      <w:rPr>
        <w:rFonts w:ascii="Symbol" w:eastAsia="Symbol" w:hAnsi="Symbol" w:cs="Symbol" w:hint="default"/>
        <w:w w:val="100"/>
        <w:sz w:val="24"/>
        <w:szCs w:val="24"/>
      </w:rPr>
    </w:lvl>
    <w:lvl w:ilvl="1" w:tplc="70E68858">
      <w:numFmt w:val="bullet"/>
      <w:lvlText w:val="•"/>
      <w:lvlJc w:val="left"/>
      <w:pPr>
        <w:ind w:left="1326" w:hanging="285"/>
      </w:pPr>
      <w:rPr>
        <w:rFonts w:hint="default"/>
      </w:rPr>
    </w:lvl>
    <w:lvl w:ilvl="2" w:tplc="14A8D234">
      <w:numFmt w:val="bullet"/>
      <w:lvlText w:val="•"/>
      <w:lvlJc w:val="left"/>
      <w:pPr>
        <w:ind w:left="2152" w:hanging="285"/>
      </w:pPr>
      <w:rPr>
        <w:rFonts w:hint="default"/>
      </w:rPr>
    </w:lvl>
    <w:lvl w:ilvl="3" w:tplc="D340D50A">
      <w:numFmt w:val="bullet"/>
      <w:lvlText w:val="•"/>
      <w:lvlJc w:val="left"/>
      <w:pPr>
        <w:ind w:left="2978" w:hanging="285"/>
      </w:pPr>
      <w:rPr>
        <w:rFonts w:hint="default"/>
      </w:rPr>
    </w:lvl>
    <w:lvl w:ilvl="4" w:tplc="91BE99B2">
      <w:numFmt w:val="bullet"/>
      <w:lvlText w:val="•"/>
      <w:lvlJc w:val="left"/>
      <w:pPr>
        <w:ind w:left="3804" w:hanging="285"/>
      </w:pPr>
      <w:rPr>
        <w:rFonts w:hint="default"/>
      </w:rPr>
    </w:lvl>
    <w:lvl w:ilvl="5" w:tplc="E594F0CC">
      <w:numFmt w:val="bullet"/>
      <w:lvlText w:val="•"/>
      <w:lvlJc w:val="left"/>
      <w:pPr>
        <w:ind w:left="4630" w:hanging="285"/>
      </w:pPr>
      <w:rPr>
        <w:rFonts w:hint="default"/>
      </w:rPr>
    </w:lvl>
    <w:lvl w:ilvl="6" w:tplc="7AFA5F86">
      <w:numFmt w:val="bullet"/>
      <w:lvlText w:val="•"/>
      <w:lvlJc w:val="left"/>
      <w:pPr>
        <w:ind w:left="5456" w:hanging="285"/>
      </w:pPr>
      <w:rPr>
        <w:rFonts w:hint="default"/>
      </w:rPr>
    </w:lvl>
    <w:lvl w:ilvl="7" w:tplc="2C2CF4D6">
      <w:numFmt w:val="bullet"/>
      <w:lvlText w:val="•"/>
      <w:lvlJc w:val="left"/>
      <w:pPr>
        <w:ind w:left="6282" w:hanging="285"/>
      </w:pPr>
      <w:rPr>
        <w:rFonts w:hint="default"/>
      </w:rPr>
    </w:lvl>
    <w:lvl w:ilvl="8" w:tplc="75FCA95C">
      <w:numFmt w:val="bullet"/>
      <w:lvlText w:val="•"/>
      <w:lvlJc w:val="left"/>
      <w:pPr>
        <w:ind w:left="7108" w:hanging="285"/>
      </w:pPr>
      <w:rPr>
        <w:rFonts w:hint="default"/>
      </w:rPr>
    </w:lvl>
  </w:abstractNum>
  <w:abstractNum w:abstractNumId="19" w15:restartNumberingAfterBreak="0">
    <w:nsid w:val="4633557D"/>
    <w:multiLevelType w:val="hybridMultilevel"/>
    <w:tmpl w:val="DCDC7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E04E4A"/>
    <w:multiLevelType w:val="hybridMultilevel"/>
    <w:tmpl w:val="7F1A6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561894"/>
    <w:multiLevelType w:val="hybridMultilevel"/>
    <w:tmpl w:val="52341780"/>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1A545E2"/>
    <w:multiLevelType w:val="hybridMultilevel"/>
    <w:tmpl w:val="9028B44C"/>
    <w:lvl w:ilvl="0" w:tplc="A6907310">
      <w:start w:val="1"/>
      <w:numFmt w:val="lowerRoman"/>
      <w:lvlText w:val="(%1)"/>
      <w:lvlJc w:val="left"/>
      <w:pPr>
        <w:ind w:left="1110" w:hanging="72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4" w15:restartNumberingAfterBreak="0">
    <w:nsid w:val="65943324"/>
    <w:multiLevelType w:val="hybridMultilevel"/>
    <w:tmpl w:val="41608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14533C"/>
    <w:multiLevelType w:val="hybridMultilevel"/>
    <w:tmpl w:val="C8E82536"/>
    <w:lvl w:ilvl="0" w:tplc="678AA1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D0B93"/>
    <w:multiLevelType w:val="hybridMultilevel"/>
    <w:tmpl w:val="66C0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145E95"/>
    <w:multiLevelType w:val="hybridMultilevel"/>
    <w:tmpl w:val="010C8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5055A4"/>
    <w:multiLevelType w:val="hybridMultilevel"/>
    <w:tmpl w:val="96104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A83406B"/>
    <w:multiLevelType w:val="hybridMultilevel"/>
    <w:tmpl w:val="FAC87EC8"/>
    <w:lvl w:ilvl="0" w:tplc="535C66D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B10FCC"/>
    <w:multiLevelType w:val="hybridMultilevel"/>
    <w:tmpl w:val="AC6C282E"/>
    <w:lvl w:ilvl="0" w:tplc="93440D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1440061">
    <w:abstractNumId w:val="2"/>
  </w:num>
  <w:num w:numId="2" w16cid:durableId="1940479412">
    <w:abstractNumId w:val="6"/>
  </w:num>
  <w:num w:numId="3" w16cid:durableId="735858711">
    <w:abstractNumId w:val="22"/>
  </w:num>
  <w:num w:numId="4" w16cid:durableId="791437817">
    <w:abstractNumId w:val="22"/>
  </w:num>
  <w:num w:numId="5" w16cid:durableId="589656231">
    <w:abstractNumId w:val="23"/>
  </w:num>
  <w:num w:numId="6" w16cid:durableId="1033071542">
    <w:abstractNumId w:val="0"/>
  </w:num>
  <w:num w:numId="7" w16cid:durableId="692002320">
    <w:abstractNumId w:val="22"/>
  </w:num>
  <w:num w:numId="8" w16cid:durableId="893390988">
    <w:abstractNumId w:val="22"/>
  </w:num>
  <w:num w:numId="9" w16cid:durableId="1036344506">
    <w:abstractNumId w:val="22"/>
  </w:num>
  <w:num w:numId="10" w16cid:durableId="1081758715">
    <w:abstractNumId w:val="16"/>
  </w:num>
  <w:num w:numId="11" w16cid:durableId="1324700156">
    <w:abstractNumId w:val="3"/>
  </w:num>
  <w:num w:numId="12" w16cid:durableId="297996532">
    <w:abstractNumId w:val="15"/>
  </w:num>
  <w:num w:numId="13" w16cid:durableId="1315715874">
    <w:abstractNumId w:val="17"/>
  </w:num>
  <w:num w:numId="14" w16cid:durableId="1234002226">
    <w:abstractNumId w:val="21"/>
  </w:num>
  <w:num w:numId="15" w16cid:durableId="682052213">
    <w:abstractNumId w:val="12"/>
  </w:num>
  <w:num w:numId="16" w16cid:durableId="1741825062">
    <w:abstractNumId w:val="19"/>
  </w:num>
  <w:num w:numId="17" w16cid:durableId="1644236023">
    <w:abstractNumId w:val="28"/>
  </w:num>
  <w:num w:numId="18" w16cid:durableId="530655038">
    <w:abstractNumId w:val="5"/>
  </w:num>
  <w:num w:numId="19" w16cid:durableId="2126733805">
    <w:abstractNumId w:val="25"/>
  </w:num>
  <w:num w:numId="20" w16cid:durableId="621762274">
    <w:abstractNumId w:val="14"/>
  </w:num>
  <w:num w:numId="21" w16cid:durableId="170607788">
    <w:abstractNumId w:val="7"/>
  </w:num>
  <w:num w:numId="22" w16cid:durableId="460727966">
    <w:abstractNumId w:val="29"/>
  </w:num>
  <w:num w:numId="23" w16cid:durableId="2105420001">
    <w:abstractNumId w:val="1"/>
  </w:num>
  <w:num w:numId="24" w16cid:durableId="2048407580">
    <w:abstractNumId w:val="18"/>
  </w:num>
  <w:num w:numId="25" w16cid:durableId="1798986414">
    <w:abstractNumId w:val="10"/>
  </w:num>
  <w:num w:numId="26" w16cid:durableId="1415205502">
    <w:abstractNumId w:val="27"/>
  </w:num>
  <w:num w:numId="27" w16cid:durableId="368603691">
    <w:abstractNumId w:val="9"/>
  </w:num>
  <w:num w:numId="28" w16cid:durableId="217009139">
    <w:abstractNumId w:val="22"/>
  </w:num>
  <w:num w:numId="29" w16cid:durableId="1991011021">
    <w:abstractNumId w:val="22"/>
  </w:num>
  <w:num w:numId="30" w16cid:durableId="840006877">
    <w:abstractNumId w:val="11"/>
  </w:num>
  <w:num w:numId="31" w16cid:durableId="324751170">
    <w:abstractNumId w:val="22"/>
  </w:num>
  <w:num w:numId="32" w16cid:durableId="1909340188">
    <w:abstractNumId w:val="22"/>
  </w:num>
  <w:num w:numId="33" w16cid:durableId="334496126">
    <w:abstractNumId w:val="30"/>
  </w:num>
  <w:num w:numId="34" w16cid:durableId="1078751855">
    <w:abstractNumId w:val="26"/>
  </w:num>
  <w:num w:numId="35" w16cid:durableId="442653743">
    <w:abstractNumId w:val="20"/>
  </w:num>
  <w:num w:numId="36" w16cid:durableId="120345761">
    <w:abstractNumId w:val="24"/>
  </w:num>
  <w:num w:numId="37" w16cid:durableId="1332836671">
    <w:abstractNumId w:val="13"/>
  </w:num>
  <w:num w:numId="38" w16cid:durableId="919292902">
    <w:abstractNumId w:val="8"/>
  </w:num>
  <w:num w:numId="39" w16cid:durableId="194013897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00"/>
    <w:rsid w:val="00000FD0"/>
    <w:rsid w:val="00001138"/>
    <w:rsid w:val="00003026"/>
    <w:rsid w:val="00010318"/>
    <w:rsid w:val="000111DB"/>
    <w:rsid w:val="0001311E"/>
    <w:rsid w:val="0002043D"/>
    <w:rsid w:val="000218C9"/>
    <w:rsid w:val="000223BD"/>
    <w:rsid w:val="00024DA5"/>
    <w:rsid w:val="00025D77"/>
    <w:rsid w:val="000329FE"/>
    <w:rsid w:val="0004302C"/>
    <w:rsid w:val="000442D5"/>
    <w:rsid w:val="00047383"/>
    <w:rsid w:val="00051A9C"/>
    <w:rsid w:val="00052894"/>
    <w:rsid w:val="000532DA"/>
    <w:rsid w:val="00055301"/>
    <w:rsid w:val="00056CD2"/>
    <w:rsid w:val="0006486B"/>
    <w:rsid w:val="0006785D"/>
    <w:rsid w:val="0007095A"/>
    <w:rsid w:val="000709E5"/>
    <w:rsid w:val="00074B51"/>
    <w:rsid w:val="00080489"/>
    <w:rsid w:val="00080FCA"/>
    <w:rsid w:val="00082FAB"/>
    <w:rsid w:val="00083604"/>
    <w:rsid w:val="00084FD0"/>
    <w:rsid w:val="000853F6"/>
    <w:rsid w:val="00085837"/>
    <w:rsid w:val="00087222"/>
    <w:rsid w:val="000878D5"/>
    <w:rsid w:val="00090C19"/>
    <w:rsid w:val="000928C5"/>
    <w:rsid w:val="0009628E"/>
    <w:rsid w:val="00096EBF"/>
    <w:rsid w:val="000977EB"/>
    <w:rsid w:val="000A490C"/>
    <w:rsid w:val="000A4DFC"/>
    <w:rsid w:val="000B1D36"/>
    <w:rsid w:val="000B3C21"/>
    <w:rsid w:val="000B5760"/>
    <w:rsid w:val="000B73F9"/>
    <w:rsid w:val="000C16E2"/>
    <w:rsid w:val="000D1E58"/>
    <w:rsid w:val="000E020F"/>
    <w:rsid w:val="000E16D3"/>
    <w:rsid w:val="000E40C4"/>
    <w:rsid w:val="000F014D"/>
    <w:rsid w:val="000F3523"/>
    <w:rsid w:val="000F6BB5"/>
    <w:rsid w:val="00102F59"/>
    <w:rsid w:val="0010417D"/>
    <w:rsid w:val="00106505"/>
    <w:rsid w:val="00106F6B"/>
    <w:rsid w:val="00107520"/>
    <w:rsid w:val="00111749"/>
    <w:rsid w:val="00116523"/>
    <w:rsid w:val="00116A77"/>
    <w:rsid w:val="001171ED"/>
    <w:rsid w:val="00117D69"/>
    <w:rsid w:val="00120071"/>
    <w:rsid w:val="00120FFA"/>
    <w:rsid w:val="001232BE"/>
    <w:rsid w:val="00123922"/>
    <w:rsid w:val="00123B83"/>
    <w:rsid w:val="00131602"/>
    <w:rsid w:val="001319CF"/>
    <w:rsid w:val="00132DDC"/>
    <w:rsid w:val="00135049"/>
    <w:rsid w:val="00136C94"/>
    <w:rsid w:val="00145246"/>
    <w:rsid w:val="001465BD"/>
    <w:rsid w:val="0014692A"/>
    <w:rsid w:val="001470EF"/>
    <w:rsid w:val="00150421"/>
    <w:rsid w:val="00151269"/>
    <w:rsid w:val="00156550"/>
    <w:rsid w:val="00156C49"/>
    <w:rsid w:val="00160A2A"/>
    <w:rsid w:val="00163C9B"/>
    <w:rsid w:val="00170F86"/>
    <w:rsid w:val="001760DF"/>
    <w:rsid w:val="0017704A"/>
    <w:rsid w:val="0017732F"/>
    <w:rsid w:val="00182BDA"/>
    <w:rsid w:val="00182C22"/>
    <w:rsid w:val="00184EE2"/>
    <w:rsid w:val="00190698"/>
    <w:rsid w:val="00190763"/>
    <w:rsid w:val="001908C4"/>
    <w:rsid w:val="00192F68"/>
    <w:rsid w:val="001945C8"/>
    <w:rsid w:val="00194EE4"/>
    <w:rsid w:val="001969C2"/>
    <w:rsid w:val="001A0143"/>
    <w:rsid w:val="001A18CA"/>
    <w:rsid w:val="001B0102"/>
    <w:rsid w:val="001B23C6"/>
    <w:rsid w:val="001B71EA"/>
    <w:rsid w:val="001C655B"/>
    <w:rsid w:val="001D26C0"/>
    <w:rsid w:val="001D736F"/>
    <w:rsid w:val="001E0293"/>
    <w:rsid w:val="001E615E"/>
    <w:rsid w:val="001F15B2"/>
    <w:rsid w:val="001F15C2"/>
    <w:rsid w:val="001F1CF7"/>
    <w:rsid w:val="001F2364"/>
    <w:rsid w:val="001F4B8B"/>
    <w:rsid w:val="001F649E"/>
    <w:rsid w:val="001F6DCA"/>
    <w:rsid w:val="001F7A9F"/>
    <w:rsid w:val="00200442"/>
    <w:rsid w:val="0020398C"/>
    <w:rsid w:val="00203EE8"/>
    <w:rsid w:val="00205000"/>
    <w:rsid w:val="002064F0"/>
    <w:rsid w:val="00206A41"/>
    <w:rsid w:val="00207859"/>
    <w:rsid w:val="00211AE9"/>
    <w:rsid w:val="00211FE0"/>
    <w:rsid w:val="002129C1"/>
    <w:rsid w:val="00217D5F"/>
    <w:rsid w:val="00220DE8"/>
    <w:rsid w:val="002215BB"/>
    <w:rsid w:val="002216BB"/>
    <w:rsid w:val="00223EBE"/>
    <w:rsid w:val="00232FF4"/>
    <w:rsid w:val="00236A8F"/>
    <w:rsid w:val="0023747F"/>
    <w:rsid w:val="00237C6C"/>
    <w:rsid w:val="00240D08"/>
    <w:rsid w:val="0024377B"/>
    <w:rsid w:val="0025046D"/>
    <w:rsid w:val="00254235"/>
    <w:rsid w:val="00254708"/>
    <w:rsid w:val="00254D85"/>
    <w:rsid w:val="00255C8A"/>
    <w:rsid w:val="00256BF4"/>
    <w:rsid w:val="00262058"/>
    <w:rsid w:val="00262314"/>
    <w:rsid w:val="0026333A"/>
    <w:rsid w:val="00271E0A"/>
    <w:rsid w:val="00274609"/>
    <w:rsid w:val="00275528"/>
    <w:rsid w:val="0028181F"/>
    <w:rsid w:val="00282D7A"/>
    <w:rsid w:val="00283C5A"/>
    <w:rsid w:val="00283D6E"/>
    <w:rsid w:val="00284917"/>
    <w:rsid w:val="00284CBA"/>
    <w:rsid w:val="0028620E"/>
    <w:rsid w:val="00294EB1"/>
    <w:rsid w:val="002A1230"/>
    <w:rsid w:val="002A254E"/>
    <w:rsid w:val="002A4E90"/>
    <w:rsid w:val="002A7BF7"/>
    <w:rsid w:val="002B21D4"/>
    <w:rsid w:val="002C14B2"/>
    <w:rsid w:val="002C3E42"/>
    <w:rsid w:val="002C4202"/>
    <w:rsid w:val="002C5356"/>
    <w:rsid w:val="002D412A"/>
    <w:rsid w:val="002D4715"/>
    <w:rsid w:val="002D7D53"/>
    <w:rsid w:val="002E0A81"/>
    <w:rsid w:val="002E4D13"/>
    <w:rsid w:val="002E6A1E"/>
    <w:rsid w:val="002E7FE1"/>
    <w:rsid w:val="002F25FC"/>
    <w:rsid w:val="002F352F"/>
    <w:rsid w:val="002F374D"/>
    <w:rsid w:val="002F4FC9"/>
    <w:rsid w:val="002F6526"/>
    <w:rsid w:val="002F6AA2"/>
    <w:rsid w:val="003027BC"/>
    <w:rsid w:val="00310279"/>
    <w:rsid w:val="00314589"/>
    <w:rsid w:val="00316D28"/>
    <w:rsid w:val="00317646"/>
    <w:rsid w:val="00321A60"/>
    <w:rsid w:val="00323185"/>
    <w:rsid w:val="00326AFE"/>
    <w:rsid w:val="00326E72"/>
    <w:rsid w:val="003308CE"/>
    <w:rsid w:val="00332149"/>
    <w:rsid w:val="00332C05"/>
    <w:rsid w:val="0033740C"/>
    <w:rsid w:val="00343CE3"/>
    <w:rsid w:val="00345918"/>
    <w:rsid w:val="00347851"/>
    <w:rsid w:val="003478F6"/>
    <w:rsid w:val="00351496"/>
    <w:rsid w:val="003627D7"/>
    <w:rsid w:val="0036323C"/>
    <w:rsid w:val="00366177"/>
    <w:rsid w:val="00371C6B"/>
    <w:rsid w:val="00381E46"/>
    <w:rsid w:val="00382D01"/>
    <w:rsid w:val="00383DDC"/>
    <w:rsid w:val="0038454F"/>
    <w:rsid w:val="00393619"/>
    <w:rsid w:val="00395196"/>
    <w:rsid w:val="0039570A"/>
    <w:rsid w:val="00396B85"/>
    <w:rsid w:val="00397190"/>
    <w:rsid w:val="003A74FD"/>
    <w:rsid w:val="003A78CC"/>
    <w:rsid w:val="003A7A38"/>
    <w:rsid w:val="003B056B"/>
    <w:rsid w:val="003B0952"/>
    <w:rsid w:val="003B29ED"/>
    <w:rsid w:val="003B5308"/>
    <w:rsid w:val="003C4D96"/>
    <w:rsid w:val="003C5792"/>
    <w:rsid w:val="003C7489"/>
    <w:rsid w:val="003D1A18"/>
    <w:rsid w:val="003D280B"/>
    <w:rsid w:val="003D2B50"/>
    <w:rsid w:val="003D3448"/>
    <w:rsid w:val="003E09ED"/>
    <w:rsid w:val="003E2CBA"/>
    <w:rsid w:val="003E5293"/>
    <w:rsid w:val="003E64E4"/>
    <w:rsid w:val="003E67E7"/>
    <w:rsid w:val="003F0380"/>
    <w:rsid w:val="004005F8"/>
    <w:rsid w:val="0040061D"/>
    <w:rsid w:val="00406D54"/>
    <w:rsid w:val="00413F89"/>
    <w:rsid w:val="00414D6F"/>
    <w:rsid w:val="00417F57"/>
    <w:rsid w:val="00424E76"/>
    <w:rsid w:val="004261F7"/>
    <w:rsid w:val="004265FC"/>
    <w:rsid w:val="004309B6"/>
    <w:rsid w:val="00431B23"/>
    <w:rsid w:val="00432745"/>
    <w:rsid w:val="00434670"/>
    <w:rsid w:val="00436264"/>
    <w:rsid w:val="00440142"/>
    <w:rsid w:val="00444494"/>
    <w:rsid w:val="004445BE"/>
    <w:rsid w:val="00453E92"/>
    <w:rsid w:val="0045574A"/>
    <w:rsid w:val="00456D3B"/>
    <w:rsid w:val="00460780"/>
    <w:rsid w:val="00465979"/>
    <w:rsid w:val="00465F46"/>
    <w:rsid w:val="004768DE"/>
    <w:rsid w:val="00476A37"/>
    <w:rsid w:val="00481D88"/>
    <w:rsid w:val="00491045"/>
    <w:rsid w:val="00491E3A"/>
    <w:rsid w:val="0049446F"/>
    <w:rsid w:val="0049578D"/>
    <w:rsid w:val="004A65E4"/>
    <w:rsid w:val="004A6E07"/>
    <w:rsid w:val="004A76D5"/>
    <w:rsid w:val="004B3094"/>
    <w:rsid w:val="004B3E6C"/>
    <w:rsid w:val="004C4AED"/>
    <w:rsid w:val="004D0511"/>
    <w:rsid w:val="004D1394"/>
    <w:rsid w:val="004D24D5"/>
    <w:rsid w:val="004D284F"/>
    <w:rsid w:val="004D2CE5"/>
    <w:rsid w:val="004D3D80"/>
    <w:rsid w:val="004D44D5"/>
    <w:rsid w:val="004D4E54"/>
    <w:rsid w:val="004D5E08"/>
    <w:rsid w:val="004D6F91"/>
    <w:rsid w:val="004D7840"/>
    <w:rsid w:val="004E5E43"/>
    <w:rsid w:val="004F1061"/>
    <w:rsid w:val="004F44BE"/>
    <w:rsid w:val="004F531C"/>
    <w:rsid w:val="00500AEB"/>
    <w:rsid w:val="00504E1B"/>
    <w:rsid w:val="0051022D"/>
    <w:rsid w:val="00510BE0"/>
    <w:rsid w:val="00512A63"/>
    <w:rsid w:val="00513648"/>
    <w:rsid w:val="00515176"/>
    <w:rsid w:val="005203AB"/>
    <w:rsid w:val="00526F8A"/>
    <w:rsid w:val="005302B1"/>
    <w:rsid w:val="005308AC"/>
    <w:rsid w:val="005310C8"/>
    <w:rsid w:val="00532E15"/>
    <w:rsid w:val="00533F44"/>
    <w:rsid w:val="00534486"/>
    <w:rsid w:val="00535B05"/>
    <w:rsid w:val="00535B14"/>
    <w:rsid w:val="0054085B"/>
    <w:rsid w:val="005467C7"/>
    <w:rsid w:val="0055476A"/>
    <w:rsid w:val="00554B22"/>
    <w:rsid w:val="00556358"/>
    <w:rsid w:val="00562D4E"/>
    <w:rsid w:val="00562E65"/>
    <w:rsid w:val="005631ED"/>
    <w:rsid w:val="005632AA"/>
    <w:rsid w:val="0056409C"/>
    <w:rsid w:val="005641A8"/>
    <w:rsid w:val="00564E8F"/>
    <w:rsid w:val="00570E77"/>
    <w:rsid w:val="00573C72"/>
    <w:rsid w:val="00574C95"/>
    <w:rsid w:val="00574FB3"/>
    <w:rsid w:val="00581C7E"/>
    <w:rsid w:val="00582449"/>
    <w:rsid w:val="00582FC4"/>
    <w:rsid w:val="00583F62"/>
    <w:rsid w:val="00584E26"/>
    <w:rsid w:val="00587762"/>
    <w:rsid w:val="00597A7F"/>
    <w:rsid w:val="005A0B8C"/>
    <w:rsid w:val="005B066D"/>
    <w:rsid w:val="005B0EA5"/>
    <w:rsid w:val="005B2FEC"/>
    <w:rsid w:val="005B6D46"/>
    <w:rsid w:val="005B7585"/>
    <w:rsid w:val="005B775D"/>
    <w:rsid w:val="005C4A8E"/>
    <w:rsid w:val="005C7E65"/>
    <w:rsid w:val="005D2833"/>
    <w:rsid w:val="005D7F74"/>
    <w:rsid w:val="005E0186"/>
    <w:rsid w:val="005E20D0"/>
    <w:rsid w:val="005E339C"/>
    <w:rsid w:val="005E70E7"/>
    <w:rsid w:val="005E7923"/>
    <w:rsid w:val="005E7DAF"/>
    <w:rsid w:val="005F6045"/>
    <w:rsid w:val="005F75A8"/>
    <w:rsid w:val="005F7C6F"/>
    <w:rsid w:val="0060170A"/>
    <w:rsid w:val="006021A8"/>
    <w:rsid w:val="0060349F"/>
    <w:rsid w:val="006053B6"/>
    <w:rsid w:val="00605766"/>
    <w:rsid w:val="00612E2E"/>
    <w:rsid w:val="00620070"/>
    <w:rsid w:val="00620F1B"/>
    <w:rsid w:val="00621C42"/>
    <w:rsid w:val="00623213"/>
    <w:rsid w:val="006273E6"/>
    <w:rsid w:val="00627B61"/>
    <w:rsid w:val="00627E80"/>
    <w:rsid w:val="0063072C"/>
    <w:rsid w:val="00631165"/>
    <w:rsid w:val="006339CA"/>
    <w:rsid w:val="006347AD"/>
    <w:rsid w:val="006347EE"/>
    <w:rsid w:val="0063542C"/>
    <w:rsid w:val="006404AD"/>
    <w:rsid w:val="00641577"/>
    <w:rsid w:val="00642B0D"/>
    <w:rsid w:val="00642D59"/>
    <w:rsid w:val="00643777"/>
    <w:rsid w:val="00654046"/>
    <w:rsid w:val="006574D6"/>
    <w:rsid w:val="00664690"/>
    <w:rsid w:val="00664C74"/>
    <w:rsid w:val="00666041"/>
    <w:rsid w:val="00671AC5"/>
    <w:rsid w:val="00671DEA"/>
    <w:rsid w:val="0067289D"/>
    <w:rsid w:val="00683436"/>
    <w:rsid w:val="00683585"/>
    <w:rsid w:val="006845FA"/>
    <w:rsid w:val="006863D5"/>
    <w:rsid w:val="006869AE"/>
    <w:rsid w:val="006941C5"/>
    <w:rsid w:val="00694D09"/>
    <w:rsid w:val="00697B78"/>
    <w:rsid w:val="006A6DAA"/>
    <w:rsid w:val="006A7179"/>
    <w:rsid w:val="006B04FF"/>
    <w:rsid w:val="006B1F0D"/>
    <w:rsid w:val="006B5A98"/>
    <w:rsid w:val="006B66E3"/>
    <w:rsid w:val="006B6C22"/>
    <w:rsid w:val="006C2992"/>
    <w:rsid w:val="006C3215"/>
    <w:rsid w:val="006C4724"/>
    <w:rsid w:val="006C5225"/>
    <w:rsid w:val="006C7DD0"/>
    <w:rsid w:val="006D0BE6"/>
    <w:rsid w:val="006D2130"/>
    <w:rsid w:val="006D2A19"/>
    <w:rsid w:val="006D3EE0"/>
    <w:rsid w:val="006D5A72"/>
    <w:rsid w:val="006D629B"/>
    <w:rsid w:val="006E1BA8"/>
    <w:rsid w:val="006E5424"/>
    <w:rsid w:val="006E5BFE"/>
    <w:rsid w:val="006E73D2"/>
    <w:rsid w:val="006F031B"/>
    <w:rsid w:val="006F0B11"/>
    <w:rsid w:val="006F417A"/>
    <w:rsid w:val="006F4507"/>
    <w:rsid w:val="006F57FC"/>
    <w:rsid w:val="006F64A0"/>
    <w:rsid w:val="007016D8"/>
    <w:rsid w:val="00704DBF"/>
    <w:rsid w:val="007050BA"/>
    <w:rsid w:val="00717A94"/>
    <w:rsid w:val="007232A5"/>
    <w:rsid w:val="00723B83"/>
    <w:rsid w:val="0072474B"/>
    <w:rsid w:val="00726B3B"/>
    <w:rsid w:val="00726F5A"/>
    <w:rsid w:val="00730789"/>
    <w:rsid w:val="00732580"/>
    <w:rsid w:val="00732B6F"/>
    <w:rsid w:val="00732C0C"/>
    <w:rsid w:val="007353F9"/>
    <w:rsid w:val="007405AA"/>
    <w:rsid w:val="00743499"/>
    <w:rsid w:val="00750A27"/>
    <w:rsid w:val="00750BB6"/>
    <w:rsid w:val="0075253A"/>
    <w:rsid w:val="00754E19"/>
    <w:rsid w:val="00755AA9"/>
    <w:rsid w:val="00763715"/>
    <w:rsid w:val="00770024"/>
    <w:rsid w:val="007778CF"/>
    <w:rsid w:val="00777DAC"/>
    <w:rsid w:val="00780FBA"/>
    <w:rsid w:val="0078157F"/>
    <w:rsid w:val="007822FB"/>
    <w:rsid w:val="007827FA"/>
    <w:rsid w:val="007833CB"/>
    <w:rsid w:val="00784CF9"/>
    <w:rsid w:val="007A0E5C"/>
    <w:rsid w:val="007A1D39"/>
    <w:rsid w:val="007A7F07"/>
    <w:rsid w:val="007B275D"/>
    <w:rsid w:val="007B303B"/>
    <w:rsid w:val="007B3B1C"/>
    <w:rsid w:val="007B5AA3"/>
    <w:rsid w:val="007C0D4C"/>
    <w:rsid w:val="007C3CF4"/>
    <w:rsid w:val="007C57A8"/>
    <w:rsid w:val="007D2528"/>
    <w:rsid w:val="007D7791"/>
    <w:rsid w:val="007D7C74"/>
    <w:rsid w:val="007E32CB"/>
    <w:rsid w:val="007E48AD"/>
    <w:rsid w:val="007E4EDC"/>
    <w:rsid w:val="007E7499"/>
    <w:rsid w:val="007F1C02"/>
    <w:rsid w:val="007F2E45"/>
    <w:rsid w:val="007F31DE"/>
    <w:rsid w:val="007F4051"/>
    <w:rsid w:val="007F426B"/>
    <w:rsid w:val="007F4A9D"/>
    <w:rsid w:val="008033ED"/>
    <w:rsid w:val="008077F7"/>
    <w:rsid w:val="00810794"/>
    <w:rsid w:val="00811421"/>
    <w:rsid w:val="008116A7"/>
    <w:rsid w:val="00812477"/>
    <w:rsid w:val="00813221"/>
    <w:rsid w:val="00814189"/>
    <w:rsid w:val="00814DEB"/>
    <w:rsid w:val="00815A94"/>
    <w:rsid w:val="008161FC"/>
    <w:rsid w:val="008208A7"/>
    <w:rsid w:val="00824CB2"/>
    <w:rsid w:val="008268F9"/>
    <w:rsid w:val="008273FA"/>
    <w:rsid w:val="00832D34"/>
    <w:rsid w:val="008330F5"/>
    <w:rsid w:val="008333D8"/>
    <w:rsid w:val="008349BD"/>
    <w:rsid w:val="00836768"/>
    <w:rsid w:val="00836849"/>
    <w:rsid w:val="00836C3E"/>
    <w:rsid w:val="00841DE5"/>
    <w:rsid w:val="00842D0D"/>
    <w:rsid w:val="00844BE5"/>
    <w:rsid w:val="0084519D"/>
    <w:rsid w:val="00855278"/>
    <w:rsid w:val="008576D4"/>
    <w:rsid w:val="00861527"/>
    <w:rsid w:val="00862B47"/>
    <w:rsid w:val="00862C1A"/>
    <w:rsid w:val="008630DF"/>
    <w:rsid w:val="008651F9"/>
    <w:rsid w:val="00870284"/>
    <w:rsid w:val="0087462B"/>
    <w:rsid w:val="008763B3"/>
    <w:rsid w:val="008765DE"/>
    <w:rsid w:val="008847CD"/>
    <w:rsid w:val="00891B24"/>
    <w:rsid w:val="008A302A"/>
    <w:rsid w:val="008A3EEE"/>
    <w:rsid w:val="008A51D9"/>
    <w:rsid w:val="008A5540"/>
    <w:rsid w:val="008A708E"/>
    <w:rsid w:val="008A77E3"/>
    <w:rsid w:val="008B17F4"/>
    <w:rsid w:val="008B29A5"/>
    <w:rsid w:val="008B3C53"/>
    <w:rsid w:val="008B3D16"/>
    <w:rsid w:val="008B4FBF"/>
    <w:rsid w:val="008B6667"/>
    <w:rsid w:val="008C114C"/>
    <w:rsid w:val="008C27DA"/>
    <w:rsid w:val="008C522A"/>
    <w:rsid w:val="008D2660"/>
    <w:rsid w:val="008D3115"/>
    <w:rsid w:val="008D6691"/>
    <w:rsid w:val="008D799D"/>
    <w:rsid w:val="008E0DF1"/>
    <w:rsid w:val="008E3142"/>
    <w:rsid w:val="008E3E39"/>
    <w:rsid w:val="008E5DA7"/>
    <w:rsid w:val="008E6AF9"/>
    <w:rsid w:val="008E722E"/>
    <w:rsid w:val="008F2130"/>
    <w:rsid w:val="008F4CCF"/>
    <w:rsid w:val="00900450"/>
    <w:rsid w:val="00903256"/>
    <w:rsid w:val="0090619B"/>
    <w:rsid w:val="00906CBF"/>
    <w:rsid w:val="009110D1"/>
    <w:rsid w:val="00913200"/>
    <w:rsid w:val="00915F8D"/>
    <w:rsid w:val="00917ADE"/>
    <w:rsid w:val="00917DBD"/>
    <w:rsid w:val="009230E2"/>
    <w:rsid w:val="00930029"/>
    <w:rsid w:val="00930425"/>
    <w:rsid w:val="0093112A"/>
    <w:rsid w:val="009324E9"/>
    <w:rsid w:val="00933199"/>
    <w:rsid w:val="00936354"/>
    <w:rsid w:val="009376A0"/>
    <w:rsid w:val="00940811"/>
    <w:rsid w:val="00942F13"/>
    <w:rsid w:val="0094600E"/>
    <w:rsid w:val="009510B5"/>
    <w:rsid w:val="00951D67"/>
    <w:rsid w:val="009522ED"/>
    <w:rsid w:val="00965082"/>
    <w:rsid w:val="00973C62"/>
    <w:rsid w:val="009742BF"/>
    <w:rsid w:val="00976F99"/>
    <w:rsid w:val="0098532A"/>
    <w:rsid w:val="00986A5A"/>
    <w:rsid w:val="00990C9A"/>
    <w:rsid w:val="00993784"/>
    <w:rsid w:val="00993EDE"/>
    <w:rsid w:val="009949CD"/>
    <w:rsid w:val="009955EE"/>
    <w:rsid w:val="00995ABD"/>
    <w:rsid w:val="00996EAC"/>
    <w:rsid w:val="009971A0"/>
    <w:rsid w:val="009A1A7D"/>
    <w:rsid w:val="009A23B7"/>
    <w:rsid w:val="009A7048"/>
    <w:rsid w:val="009A7C87"/>
    <w:rsid w:val="009B2917"/>
    <w:rsid w:val="009B299F"/>
    <w:rsid w:val="009B2DC5"/>
    <w:rsid w:val="009C2A6F"/>
    <w:rsid w:val="009C40F0"/>
    <w:rsid w:val="009D1532"/>
    <w:rsid w:val="009D154A"/>
    <w:rsid w:val="009D1F01"/>
    <w:rsid w:val="009D4D95"/>
    <w:rsid w:val="009D78E2"/>
    <w:rsid w:val="009E1558"/>
    <w:rsid w:val="009E1606"/>
    <w:rsid w:val="009E1E8C"/>
    <w:rsid w:val="009E22E6"/>
    <w:rsid w:val="009E28B2"/>
    <w:rsid w:val="009E314A"/>
    <w:rsid w:val="009E5215"/>
    <w:rsid w:val="009E63ED"/>
    <w:rsid w:val="009E67A1"/>
    <w:rsid w:val="009E7DFB"/>
    <w:rsid w:val="009F0F43"/>
    <w:rsid w:val="00A03ABC"/>
    <w:rsid w:val="00A0770B"/>
    <w:rsid w:val="00A078BF"/>
    <w:rsid w:val="00A201EF"/>
    <w:rsid w:val="00A215F6"/>
    <w:rsid w:val="00A23060"/>
    <w:rsid w:val="00A236B3"/>
    <w:rsid w:val="00A25FCD"/>
    <w:rsid w:val="00A34D95"/>
    <w:rsid w:val="00A35519"/>
    <w:rsid w:val="00A361B2"/>
    <w:rsid w:val="00A40E7A"/>
    <w:rsid w:val="00A42AAB"/>
    <w:rsid w:val="00A43E73"/>
    <w:rsid w:val="00A44626"/>
    <w:rsid w:val="00A460E2"/>
    <w:rsid w:val="00A46840"/>
    <w:rsid w:val="00A47B0F"/>
    <w:rsid w:val="00A47EFE"/>
    <w:rsid w:val="00A50D8E"/>
    <w:rsid w:val="00A52E7E"/>
    <w:rsid w:val="00A5794D"/>
    <w:rsid w:val="00A618B0"/>
    <w:rsid w:val="00A71685"/>
    <w:rsid w:val="00A74DFC"/>
    <w:rsid w:val="00A750E9"/>
    <w:rsid w:val="00A760B9"/>
    <w:rsid w:val="00A80603"/>
    <w:rsid w:val="00A85A90"/>
    <w:rsid w:val="00A87143"/>
    <w:rsid w:val="00A879C0"/>
    <w:rsid w:val="00A87CC1"/>
    <w:rsid w:val="00A95771"/>
    <w:rsid w:val="00A96044"/>
    <w:rsid w:val="00A9793D"/>
    <w:rsid w:val="00AA07E3"/>
    <w:rsid w:val="00AA0FC2"/>
    <w:rsid w:val="00AA12CA"/>
    <w:rsid w:val="00AA2694"/>
    <w:rsid w:val="00AA6002"/>
    <w:rsid w:val="00AB16DA"/>
    <w:rsid w:val="00AB36CF"/>
    <w:rsid w:val="00AC036B"/>
    <w:rsid w:val="00AC320B"/>
    <w:rsid w:val="00AC3CAE"/>
    <w:rsid w:val="00AC61E2"/>
    <w:rsid w:val="00AC67D3"/>
    <w:rsid w:val="00AC6A8F"/>
    <w:rsid w:val="00AC6A97"/>
    <w:rsid w:val="00AD1760"/>
    <w:rsid w:val="00AD210E"/>
    <w:rsid w:val="00AD7649"/>
    <w:rsid w:val="00AD7ADD"/>
    <w:rsid w:val="00AE090B"/>
    <w:rsid w:val="00AE0C2D"/>
    <w:rsid w:val="00AE3388"/>
    <w:rsid w:val="00AE51B1"/>
    <w:rsid w:val="00AE54F4"/>
    <w:rsid w:val="00AF1A26"/>
    <w:rsid w:val="00AF26DD"/>
    <w:rsid w:val="00AF2C0F"/>
    <w:rsid w:val="00AF35E5"/>
    <w:rsid w:val="00AF4D25"/>
    <w:rsid w:val="00B01601"/>
    <w:rsid w:val="00B0180D"/>
    <w:rsid w:val="00B11119"/>
    <w:rsid w:val="00B11361"/>
    <w:rsid w:val="00B15010"/>
    <w:rsid w:val="00B15DE3"/>
    <w:rsid w:val="00B251B6"/>
    <w:rsid w:val="00B2538A"/>
    <w:rsid w:val="00B32249"/>
    <w:rsid w:val="00B3468A"/>
    <w:rsid w:val="00B36320"/>
    <w:rsid w:val="00B37654"/>
    <w:rsid w:val="00B40DA1"/>
    <w:rsid w:val="00B46004"/>
    <w:rsid w:val="00B4629A"/>
    <w:rsid w:val="00B60AF4"/>
    <w:rsid w:val="00B61587"/>
    <w:rsid w:val="00B62757"/>
    <w:rsid w:val="00B62869"/>
    <w:rsid w:val="00B65B79"/>
    <w:rsid w:val="00B65BD6"/>
    <w:rsid w:val="00B67A28"/>
    <w:rsid w:val="00B7076F"/>
    <w:rsid w:val="00B71887"/>
    <w:rsid w:val="00B7333D"/>
    <w:rsid w:val="00B817B1"/>
    <w:rsid w:val="00B81EA3"/>
    <w:rsid w:val="00B86BDD"/>
    <w:rsid w:val="00B86C44"/>
    <w:rsid w:val="00B86D18"/>
    <w:rsid w:val="00B90347"/>
    <w:rsid w:val="00B91B1E"/>
    <w:rsid w:val="00B925D2"/>
    <w:rsid w:val="00B94A47"/>
    <w:rsid w:val="00B97C79"/>
    <w:rsid w:val="00BA0CC8"/>
    <w:rsid w:val="00BA170C"/>
    <w:rsid w:val="00BA1E44"/>
    <w:rsid w:val="00BA3214"/>
    <w:rsid w:val="00BA41B5"/>
    <w:rsid w:val="00BA498D"/>
    <w:rsid w:val="00BA74CA"/>
    <w:rsid w:val="00BB43EC"/>
    <w:rsid w:val="00BB67B2"/>
    <w:rsid w:val="00BC1B80"/>
    <w:rsid w:val="00BC2CBC"/>
    <w:rsid w:val="00BC3B5C"/>
    <w:rsid w:val="00BC53D9"/>
    <w:rsid w:val="00BC6861"/>
    <w:rsid w:val="00BD05D1"/>
    <w:rsid w:val="00BD0B0E"/>
    <w:rsid w:val="00BD2637"/>
    <w:rsid w:val="00BD2C9A"/>
    <w:rsid w:val="00BD4BF4"/>
    <w:rsid w:val="00BD54FF"/>
    <w:rsid w:val="00BD5A2B"/>
    <w:rsid w:val="00BE2210"/>
    <w:rsid w:val="00BE323B"/>
    <w:rsid w:val="00BE3A86"/>
    <w:rsid w:val="00BE3D27"/>
    <w:rsid w:val="00BE3F08"/>
    <w:rsid w:val="00BF05E0"/>
    <w:rsid w:val="00BF15F6"/>
    <w:rsid w:val="00BF34CB"/>
    <w:rsid w:val="00BF4FF8"/>
    <w:rsid w:val="00BF5EBB"/>
    <w:rsid w:val="00BF6B5B"/>
    <w:rsid w:val="00BF6BA1"/>
    <w:rsid w:val="00C00668"/>
    <w:rsid w:val="00C020FA"/>
    <w:rsid w:val="00C03935"/>
    <w:rsid w:val="00C11255"/>
    <w:rsid w:val="00C17BF2"/>
    <w:rsid w:val="00C2049A"/>
    <w:rsid w:val="00C204DE"/>
    <w:rsid w:val="00C214C1"/>
    <w:rsid w:val="00C22E3B"/>
    <w:rsid w:val="00C26381"/>
    <w:rsid w:val="00C32256"/>
    <w:rsid w:val="00C34C6E"/>
    <w:rsid w:val="00C36073"/>
    <w:rsid w:val="00C37918"/>
    <w:rsid w:val="00C46B59"/>
    <w:rsid w:val="00C47D95"/>
    <w:rsid w:val="00C5006F"/>
    <w:rsid w:val="00C50D87"/>
    <w:rsid w:val="00C511EF"/>
    <w:rsid w:val="00C53573"/>
    <w:rsid w:val="00C54ED3"/>
    <w:rsid w:val="00C567DE"/>
    <w:rsid w:val="00C60B7F"/>
    <w:rsid w:val="00C610C3"/>
    <w:rsid w:val="00C638BF"/>
    <w:rsid w:val="00C70019"/>
    <w:rsid w:val="00C74328"/>
    <w:rsid w:val="00C743C2"/>
    <w:rsid w:val="00C74693"/>
    <w:rsid w:val="00C74C78"/>
    <w:rsid w:val="00C821E5"/>
    <w:rsid w:val="00C9104F"/>
    <w:rsid w:val="00C92F2A"/>
    <w:rsid w:val="00C9408E"/>
    <w:rsid w:val="00C97DFB"/>
    <w:rsid w:val="00CA270F"/>
    <w:rsid w:val="00CA3E0F"/>
    <w:rsid w:val="00CA554E"/>
    <w:rsid w:val="00CA6191"/>
    <w:rsid w:val="00CB4BB7"/>
    <w:rsid w:val="00CB4C80"/>
    <w:rsid w:val="00CB7FD7"/>
    <w:rsid w:val="00CC2B62"/>
    <w:rsid w:val="00CC4BC2"/>
    <w:rsid w:val="00CC5A2C"/>
    <w:rsid w:val="00CD0242"/>
    <w:rsid w:val="00CD1D19"/>
    <w:rsid w:val="00CD2F35"/>
    <w:rsid w:val="00CD6C88"/>
    <w:rsid w:val="00CE2EB2"/>
    <w:rsid w:val="00CE450F"/>
    <w:rsid w:val="00CF1729"/>
    <w:rsid w:val="00CF1FD6"/>
    <w:rsid w:val="00CF2EA0"/>
    <w:rsid w:val="00CF2FAD"/>
    <w:rsid w:val="00CF4345"/>
    <w:rsid w:val="00CF4655"/>
    <w:rsid w:val="00CF6F1B"/>
    <w:rsid w:val="00D06502"/>
    <w:rsid w:val="00D131CC"/>
    <w:rsid w:val="00D13C31"/>
    <w:rsid w:val="00D1448F"/>
    <w:rsid w:val="00D159BE"/>
    <w:rsid w:val="00D22D12"/>
    <w:rsid w:val="00D235CC"/>
    <w:rsid w:val="00D2633B"/>
    <w:rsid w:val="00D325D1"/>
    <w:rsid w:val="00D32D4E"/>
    <w:rsid w:val="00D336E0"/>
    <w:rsid w:val="00D50626"/>
    <w:rsid w:val="00D60DCA"/>
    <w:rsid w:val="00D622DA"/>
    <w:rsid w:val="00D70D75"/>
    <w:rsid w:val="00D7181B"/>
    <w:rsid w:val="00D72C12"/>
    <w:rsid w:val="00D751F7"/>
    <w:rsid w:val="00D759C6"/>
    <w:rsid w:val="00D800C5"/>
    <w:rsid w:val="00D81B09"/>
    <w:rsid w:val="00D83A27"/>
    <w:rsid w:val="00D84024"/>
    <w:rsid w:val="00D95A0F"/>
    <w:rsid w:val="00DA35E1"/>
    <w:rsid w:val="00DA623F"/>
    <w:rsid w:val="00DB42C0"/>
    <w:rsid w:val="00DB6D57"/>
    <w:rsid w:val="00DC0168"/>
    <w:rsid w:val="00DC03BB"/>
    <w:rsid w:val="00DC3C9A"/>
    <w:rsid w:val="00DC669A"/>
    <w:rsid w:val="00DD4B37"/>
    <w:rsid w:val="00DD5E1F"/>
    <w:rsid w:val="00DD73C1"/>
    <w:rsid w:val="00DD74DC"/>
    <w:rsid w:val="00DD7697"/>
    <w:rsid w:val="00DE1FEB"/>
    <w:rsid w:val="00DE2275"/>
    <w:rsid w:val="00DE4223"/>
    <w:rsid w:val="00DE52A4"/>
    <w:rsid w:val="00DF143D"/>
    <w:rsid w:val="00DF654A"/>
    <w:rsid w:val="00DF782D"/>
    <w:rsid w:val="00DF79CC"/>
    <w:rsid w:val="00E10345"/>
    <w:rsid w:val="00E10819"/>
    <w:rsid w:val="00E10C0E"/>
    <w:rsid w:val="00E11762"/>
    <w:rsid w:val="00E13E81"/>
    <w:rsid w:val="00E140BF"/>
    <w:rsid w:val="00E15CAE"/>
    <w:rsid w:val="00E16BC6"/>
    <w:rsid w:val="00E1774B"/>
    <w:rsid w:val="00E20DF8"/>
    <w:rsid w:val="00E2144E"/>
    <w:rsid w:val="00E27656"/>
    <w:rsid w:val="00E308B8"/>
    <w:rsid w:val="00E4124D"/>
    <w:rsid w:val="00E44353"/>
    <w:rsid w:val="00E45413"/>
    <w:rsid w:val="00E51564"/>
    <w:rsid w:val="00E52A48"/>
    <w:rsid w:val="00E608E1"/>
    <w:rsid w:val="00E613A5"/>
    <w:rsid w:val="00E62630"/>
    <w:rsid w:val="00E63295"/>
    <w:rsid w:val="00E64324"/>
    <w:rsid w:val="00E66927"/>
    <w:rsid w:val="00E671C3"/>
    <w:rsid w:val="00E71E47"/>
    <w:rsid w:val="00E7553E"/>
    <w:rsid w:val="00E76DAD"/>
    <w:rsid w:val="00E76ECF"/>
    <w:rsid w:val="00E80CA5"/>
    <w:rsid w:val="00E814D5"/>
    <w:rsid w:val="00E83B14"/>
    <w:rsid w:val="00E84D0A"/>
    <w:rsid w:val="00E855E3"/>
    <w:rsid w:val="00E8776B"/>
    <w:rsid w:val="00E877ED"/>
    <w:rsid w:val="00E87F1E"/>
    <w:rsid w:val="00E91831"/>
    <w:rsid w:val="00E93CB4"/>
    <w:rsid w:val="00EA155E"/>
    <w:rsid w:val="00EA1D7B"/>
    <w:rsid w:val="00EA440D"/>
    <w:rsid w:val="00EA58D4"/>
    <w:rsid w:val="00EA6D6D"/>
    <w:rsid w:val="00EA725B"/>
    <w:rsid w:val="00EB4615"/>
    <w:rsid w:val="00EB5BAF"/>
    <w:rsid w:val="00EB7F04"/>
    <w:rsid w:val="00EC1824"/>
    <w:rsid w:val="00EC2D3C"/>
    <w:rsid w:val="00EC73B3"/>
    <w:rsid w:val="00ED0C09"/>
    <w:rsid w:val="00ED66BC"/>
    <w:rsid w:val="00EE03EE"/>
    <w:rsid w:val="00EE42AF"/>
    <w:rsid w:val="00EE5403"/>
    <w:rsid w:val="00EE5D52"/>
    <w:rsid w:val="00EF043B"/>
    <w:rsid w:val="00EF237E"/>
    <w:rsid w:val="00EF23DF"/>
    <w:rsid w:val="00EF2575"/>
    <w:rsid w:val="00F00124"/>
    <w:rsid w:val="00F0780D"/>
    <w:rsid w:val="00F16D65"/>
    <w:rsid w:val="00F17B83"/>
    <w:rsid w:val="00F20790"/>
    <w:rsid w:val="00F2351B"/>
    <w:rsid w:val="00F32B29"/>
    <w:rsid w:val="00F41597"/>
    <w:rsid w:val="00F4296D"/>
    <w:rsid w:val="00F46396"/>
    <w:rsid w:val="00F53B8A"/>
    <w:rsid w:val="00F53FDC"/>
    <w:rsid w:val="00F55118"/>
    <w:rsid w:val="00F551AD"/>
    <w:rsid w:val="00F56E8C"/>
    <w:rsid w:val="00F61308"/>
    <w:rsid w:val="00F61547"/>
    <w:rsid w:val="00F619F6"/>
    <w:rsid w:val="00F625A9"/>
    <w:rsid w:val="00F673F0"/>
    <w:rsid w:val="00F7163B"/>
    <w:rsid w:val="00F721F0"/>
    <w:rsid w:val="00F7476C"/>
    <w:rsid w:val="00F76D5B"/>
    <w:rsid w:val="00F826E5"/>
    <w:rsid w:val="00F83300"/>
    <w:rsid w:val="00F839A2"/>
    <w:rsid w:val="00F868B9"/>
    <w:rsid w:val="00F8796D"/>
    <w:rsid w:val="00F912B1"/>
    <w:rsid w:val="00F91942"/>
    <w:rsid w:val="00F93371"/>
    <w:rsid w:val="00F93B0E"/>
    <w:rsid w:val="00F93BEE"/>
    <w:rsid w:val="00F948D4"/>
    <w:rsid w:val="00F94A49"/>
    <w:rsid w:val="00F97147"/>
    <w:rsid w:val="00FA0AF2"/>
    <w:rsid w:val="00FA6626"/>
    <w:rsid w:val="00FB033D"/>
    <w:rsid w:val="00FB0DAB"/>
    <w:rsid w:val="00FB3AE9"/>
    <w:rsid w:val="00FB79C9"/>
    <w:rsid w:val="00FC0033"/>
    <w:rsid w:val="00FC0076"/>
    <w:rsid w:val="00FC1156"/>
    <w:rsid w:val="00FC342C"/>
    <w:rsid w:val="00FC4B10"/>
    <w:rsid w:val="00FD13E3"/>
    <w:rsid w:val="00FD5516"/>
    <w:rsid w:val="00FD6D44"/>
    <w:rsid w:val="00FD72D9"/>
    <w:rsid w:val="00FD7366"/>
    <w:rsid w:val="00FE4F4A"/>
    <w:rsid w:val="00FE7C65"/>
    <w:rsid w:val="00FF2267"/>
    <w:rsid w:val="00FF4009"/>
    <w:rsid w:val="00FF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8E8AB"/>
  <w15:docId w15:val="{E7F9BA90-7B93-4FE7-B30A-79F1684E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C02"/>
    <w:pPr>
      <w:spacing w:after="200" w:line="288" w:lineRule="auto"/>
    </w:pPr>
    <w:rPr>
      <w:rFonts w:ascii="Arial" w:hAnsi="Arial"/>
      <w:color w:val="333333"/>
      <w:lang w:eastAsia="en-US"/>
    </w:rPr>
  </w:style>
  <w:style w:type="paragraph" w:styleId="Heading1">
    <w:name w:val="heading 1"/>
    <w:basedOn w:val="Normal"/>
    <w:next w:val="Body1"/>
    <w:qFormat/>
    <w:rsid w:val="00C11255"/>
    <w:pPr>
      <w:numPr>
        <w:numId w:val="1"/>
      </w:numPr>
      <w:outlineLvl w:val="0"/>
    </w:pPr>
  </w:style>
  <w:style w:type="paragraph" w:styleId="Heading2">
    <w:name w:val="heading 2"/>
    <w:basedOn w:val="Normal"/>
    <w:next w:val="Body2"/>
    <w:qFormat/>
    <w:rsid w:val="00C11255"/>
    <w:pPr>
      <w:numPr>
        <w:ilvl w:val="1"/>
        <w:numId w:val="1"/>
      </w:numPr>
      <w:outlineLvl w:val="1"/>
    </w:pPr>
  </w:style>
  <w:style w:type="paragraph" w:styleId="Heading3">
    <w:name w:val="heading 3"/>
    <w:basedOn w:val="Normal"/>
    <w:next w:val="Body3"/>
    <w:qFormat/>
    <w:rsid w:val="005C4A8E"/>
    <w:pPr>
      <w:numPr>
        <w:ilvl w:val="2"/>
        <w:numId w:val="1"/>
      </w:numPr>
      <w:ind w:hanging="964"/>
      <w:outlineLvl w:val="2"/>
    </w:pPr>
  </w:style>
  <w:style w:type="paragraph" w:styleId="Heading4">
    <w:name w:val="heading 4"/>
    <w:basedOn w:val="Normal"/>
    <w:next w:val="Body4"/>
    <w:qFormat/>
    <w:rsid w:val="005C4A8E"/>
    <w:pPr>
      <w:numPr>
        <w:ilvl w:val="3"/>
        <w:numId w:val="1"/>
      </w:numPr>
      <w:ind w:left="3623" w:hanging="1219"/>
      <w:outlineLvl w:val="3"/>
    </w:pPr>
  </w:style>
  <w:style w:type="paragraph" w:styleId="Heading5">
    <w:name w:val="heading 5"/>
    <w:basedOn w:val="Normal"/>
    <w:next w:val="Body5"/>
    <w:qFormat/>
    <w:rsid w:val="00C11255"/>
    <w:pPr>
      <w:numPr>
        <w:ilvl w:val="4"/>
        <w:numId w:val="1"/>
      </w:numPr>
      <w:outlineLvl w:val="4"/>
    </w:pPr>
  </w:style>
  <w:style w:type="paragraph" w:styleId="Heading6">
    <w:name w:val="heading 6"/>
    <w:basedOn w:val="Normal"/>
    <w:next w:val="Body6"/>
    <w:qFormat/>
    <w:rsid w:val="00C11255"/>
    <w:pPr>
      <w:numPr>
        <w:ilvl w:val="5"/>
        <w:numId w:val="1"/>
      </w:numPr>
      <w:outlineLvl w:val="5"/>
    </w:pPr>
  </w:style>
  <w:style w:type="paragraph" w:styleId="Heading7">
    <w:name w:val="heading 7"/>
    <w:basedOn w:val="Normal"/>
    <w:next w:val="Body7"/>
    <w:qFormat/>
    <w:rsid w:val="00C11255"/>
    <w:pPr>
      <w:numPr>
        <w:ilvl w:val="6"/>
        <w:numId w:val="1"/>
      </w:numPr>
      <w:outlineLvl w:val="6"/>
    </w:pPr>
  </w:style>
  <w:style w:type="paragraph" w:styleId="Heading8">
    <w:name w:val="heading 8"/>
    <w:basedOn w:val="Normal"/>
    <w:next w:val="Body8"/>
    <w:qFormat/>
    <w:rsid w:val="00C11255"/>
    <w:pPr>
      <w:numPr>
        <w:ilvl w:val="7"/>
        <w:numId w:val="1"/>
      </w:numPr>
      <w:outlineLvl w:val="7"/>
    </w:pPr>
  </w:style>
  <w:style w:type="paragraph" w:styleId="Heading9">
    <w:name w:val="heading 9"/>
    <w:basedOn w:val="Normal"/>
    <w:next w:val="Body9"/>
    <w:qFormat/>
    <w:rsid w:val="00C11255"/>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1255"/>
    <w:pPr>
      <w:tabs>
        <w:tab w:val="center" w:pos="4153"/>
        <w:tab w:val="right" w:pos="8306"/>
      </w:tabs>
    </w:pPr>
  </w:style>
  <w:style w:type="paragraph" w:styleId="Footer">
    <w:name w:val="footer"/>
    <w:basedOn w:val="Normal"/>
    <w:rsid w:val="00C11255"/>
    <w:pPr>
      <w:tabs>
        <w:tab w:val="center" w:pos="4153"/>
        <w:tab w:val="right" w:pos="8306"/>
      </w:tabs>
    </w:pPr>
  </w:style>
  <w:style w:type="character" w:styleId="PageNumber">
    <w:name w:val="page number"/>
    <w:basedOn w:val="DefaultParagraphFont"/>
    <w:rsid w:val="00C11255"/>
    <w:rPr>
      <w:rFonts w:ascii="Arial" w:hAnsi="Arial"/>
      <w:sz w:val="18"/>
    </w:rPr>
  </w:style>
  <w:style w:type="paragraph" w:customStyle="1" w:styleId="Body1">
    <w:name w:val="Body1"/>
    <w:basedOn w:val="Normal"/>
    <w:rsid w:val="00C11255"/>
    <w:pPr>
      <w:ind w:left="720"/>
    </w:pPr>
  </w:style>
  <w:style w:type="paragraph" w:customStyle="1" w:styleId="Body2">
    <w:name w:val="Body2"/>
    <w:basedOn w:val="Normal"/>
    <w:rsid w:val="00C11255"/>
    <w:pPr>
      <w:ind w:left="1440"/>
    </w:pPr>
  </w:style>
  <w:style w:type="paragraph" w:customStyle="1" w:styleId="Body3">
    <w:name w:val="Body3"/>
    <w:basedOn w:val="Normal"/>
    <w:rsid w:val="00C11255"/>
    <w:pPr>
      <w:ind w:left="2404"/>
    </w:pPr>
  </w:style>
  <w:style w:type="paragraph" w:customStyle="1" w:styleId="Body4">
    <w:name w:val="Body4"/>
    <w:basedOn w:val="Normal"/>
    <w:rsid w:val="00C11255"/>
    <w:pPr>
      <w:ind w:left="3617"/>
    </w:pPr>
  </w:style>
  <w:style w:type="paragraph" w:customStyle="1" w:styleId="Body5">
    <w:name w:val="Body5"/>
    <w:basedOn w:val="Normal"/>
    <w:rsid w:val="00C11255"/>
    <w:pPr>
      <w:ind w:left="4349"/>
    </w:pPr>
  </w:style>
  <w:style w:type="paragraph" w:styleId="BodyTextIndent">
    <w:name w:val="Body Text Indent"/>
    <w:basedOn w:val="Normal"/>
    <w:rsid w:val="00C11255"/>
    <w:pPr>
      <w:ind w:left="709"/>
    </w:pPr>
  </w:style>
  <w:style w:type="paragraph" w:customStyle="1" w:styleId="Body6">
    <w:name w:val="Body6"/>
    <w:basedOn w:val="Normal"/>
    <w:rsid w:val="00C11255"/>
    <w:pPr>
      <w:ind w:left="5058"/>
    </w:pPr>
  </w:style>
  <w:style w:type="paragraph" w:customStyle="1" w:styleId="Body7">
    <w:name w:val="Body7"/>
    <w:basedOn w:val="Normal"/>
    <w:rsid w:val="00C11255"/>
    <w:pPr>
      <w:ind w:left="5761"/>
    </w:pPr>
  </w:style>
  <w:style w:type="paragraph" w:customStyle="1" w:styleId="Body8">
    <w:name w:val="Body8"/>
    <w:basedOn w:val="Normal"/>
    <w:rsid w:val="00C11255"/>
    <w:pPr>
      <w:ind w:left="6447"/>
    </w:pPr>
  </w:style>
  <w:style w:type="paragraph" w:customStyle="1" w:styleId="Body9">
    <w:name w:val="Body9"/>
    <w:basedOn w:val="Normal"/>
    <w:rsid w:val="00C11255"/>
    <w:pPr>
      <w:ind w:left="7156"/>
    </w:pPr>
  </w:style>
  <w:style w:type="paragraph" w:styleId="ListBullet">
    <w:name w:val="List Bullet"/>
    <w:basedOn w:val="Normal"/>
    <w:rsid w:val="00C11255"/>
    <w:pPr>
      <w:ind w:left="709" w:hanging="709"/>
    </w:pPr>
  </w:style>
  <w:style w:type="paragraph" w:styleId="ListBullet2">
    <w:name w:val="List Bullet 2"/>
    <w:basedOn w:val="Normal"/>
    <w:rsid w:val="00C11255"/>
    <w:pPr>
      <w:ind w:left="993" w:hanging="709"/>
    </w:pPr>
  </w:style>
  <w:style w:type="paragraph" w:styleId="ListBullet3">
    <w:name w:val="List Bullet 3"/>
    <w:basedOn w:val="Normal"/>
    <w:rsid w:val="00C11255"/>
    <w:pPr>
      <w:ind w:left="1276" w:hanging="709"/>
    </w:pPr>
  </w:style>
  <w:style w:type="paragraph" w:styleId="ListBullet4">
    <w:name w:val="List Bullet 4"/>
    <w:basedOn w:val="Normal"/>
    <w:rsid w:val="00C11255"/>
    <w:pPr>
      <w:ind w:left="1560" w:hanging="709"/>
    </w:pPr>
  </w:style>
  <w:style w:type="paragraph" w:styleId="ListBullet5">
    <w:name w:val="List Bullet 5"/>
    <w:basedOn w:val="Normal"/>
    <w:rsid w:val="00C11255"/>
    <w:pPr>
      <w:ind w:left="1843" w:hanging="709"/>
    </w:pPr>
  </w:style>
  <w:style w:type="paragraph" w:styleId="ListContinue">
    <w:name w:val="List Continue"/>
    <w:basedOn w:val="Normal"/>
    <w:rsid w:val="00C11255"/>
    <w:pPr>
      <w:ind w:left="709"/>
    </w:pPr>
  </w:style>
  <w:style w:type="paragraph" w:styleId="ListContinue2">
    <w:name w:val="List Continue 2"/>
    <w:basedOn w:val="Normal"/>
    <w:rsid w:val="00C11255"/>
    <w:pPr>
      <w:ind w:left="567"/>
    </w:pPr>
  </w:style>
  <w:style w:type="paragraph" w:styleId="ListNumber">
    <w:name w:val="List Number"/>
    <w:basedOn w:val="Normal"/>
    <w:rsid w:val="00C11255"/>
    <w:pPr>
      <w:ind w:left="709" w:hanging="709"/>
    </w:pPr>
  </w:style>
  <w:style w:type="paragraph" w:styleId="ListNumber2">
    <w:name w:val="List Number 2"/>
    <w:basedOn w:val="Normal"/>
    <w:rsid w:val="00C11255"/>
    <w:pPr>
      <w:ind w:left="993" w:hanging="709"/>
    </w:pPr>
  </w:style>
  <w:style w:type="paragraph" w:styleId="ListNumber3">
    <w:name w:val="List Number 3"/>
    <w:basedOn w:val="Normal"/>
    <w:rsid w:val="00C11255"/>
    <w:pPr>
      <w:ind w:left="1276" w:hanging="709"/>
    </w:pPr>
  </w:style>
  <w:style w:type="paragraph" w:styleId="ListNumber4">
    <w:name w:val="List Number 4"/>
    <w:basedOn w:val="Normal"/>
    <w:rsid w:val="00C11255"/>
    <w:pPr>
      <w:ind w:left="1560" w:hanging="709"/>
    </w:pPr>
  </w:style>
  <w:style w:type="paragraph" w:styleId="ListNumber5">
    <w:name w:val="List Number 5"/>
    <w:basedOn w:val="Normal"/>
    <w:rsid w:val="00C11255"/>
    <w:pPr>
      <w:ind w:left="1843" w:hanging="709"/>
    </w:pPr>
  </w:style>
  <w:style w:type="paragraph" w:styleId="BodyText">
    <w:name w:val="Body Text"/>
    <w:basedOn w:val="Normal"/>
    <w:rsid w:val="00C11255"/>
  </w:style>
  <w:style w:type="paragraph" w:customStyle="1" w:styleId="DocSpace">
    <w:name w:val="DocSpace"/>
    <w:basedOn w:val="Normal"/>
    <w:rsid w:val="00C11255"/>
  </w:style>
  <w:style w:type="paragraph" w:customStyle="1" w:styleId="SchTitle">
    <w:name w:val="Sch Title"/>
    <w:next w:val="Normal"/>
    <w:rsid w:val="00C11255"/>
    <w:pPr>
      <w:keepNext/>
      <w:spacing w:before="240" w:after="60"/>
      <w:jc w:val="center"/>
    </w:pPr>
    <w:rPr>
      <w:rFonts w:ascii="Arial" w:hAnsi="Arial"/>
      <w:b/>
      <w:noProof/>
      <w:lang w:eastAsia="en-US"/>
    </w:rPr>
  </w:style>
  <w:style w:type="paragraph" w:customStyle="1" w:styleId="SchedClauses">
    <w:name w:val="Sched Clauses"/>
    <w:basedOn w:val="Normal"/>
    <w:rsid w:val="00C11255"/>
  </w:style>
  <w:style w:type="paragraph" w:customStyle="1" w:styleId="STBody">
    <w:name w:val="STBody"/>
    <w:basedOn w:val="Normal"/>
    <w:rsid w:val="00C11255"/>
    <w:pPr>
      <w:keepNext/>
      <w:jc w:val="center"/>
    </w:pPr>
  </w:style>
  <w:style w:type="character" w:styleId="Hyperlink">
    <w:name w:val="Hyperlink"/>
    <w:basedOn w:val="DefaultParagraphFont"/>
    <w:uiPriority w:val="99"/>
    <w:rsid w:val="00C11255"/>
    <w:rPr>
      <w:color w:val="0000FF"/>
      <w:u w:val="single"/>
    </w:rPr>
  </w:style>
  <w:style w:type="paragraph" w:customStyle="1" w:styleId="SingleSpace">
    <w:name w:val="SingleSpace"/>
    <w:rsid w:val="007F1C02"/>
    <w:pPr>
      <w:tabs>
        <w:tab w:val="left" w:pos="993"/>
      </w:tabs>
    </w:pPr>
    <w:rPr>
      <w:rFonts w:ascii="Arial" w:hAnsi="Arial"/>
      <w:lang w:eastAsia="en-US"/>
    </w:rPr>
  </w:style>
  <w:style w:type="paragraph" w:styleId="BalloonText">
    <w:name w:val="Balloon Text"/>
    <w:basedOn w:val="Normal"/>
    <w:semiHidden/>
    <w:rsid w:val="00697B78"/>
    <w:rPr>
      <w:rFonts w:ascii="Tahoma" w:hAnsi="Tahoma" w:cs="Tahoma"/>
      <w:sz w:val="16"/>
      <w:szCs w:val="16"/>
    </w:rPr>
  </w:style>
  <w:style w:type="paragraph" w:styleId="ListParagraph">
    <w:name w:val="List Paragraph"/>
    <w:basedOn w:val="Normal"/>
    <w:uiPriority w:val="1"/>
    <w:qFormat/>
    <w:rsid w:val="004A76D5"/>
    <w:pPr>
      <w:spacing w:after="0"/>
      <w:ind w:left="720"/>
      <w:contextualSpacing/>
    </w:pPr>
    <w:rPr>
      <w:color w:val="auto"/>
    </w:rPr>
  </w:style>
  <w:style w:type="paragraph" w:styleId="NormalWeb">
    <w:name w:val="Normal (Web)"/>
    <w:basedOn w:val="Normal"/>
    <w:uiPriority w:val="99"/>
    <w:unhideWhenUsed/>
    <w:rsid w:val="004A76D5"/>
    <w:pPr>
      <w:spacing w:before="240" w:after="480" w:line="240" w:lineRule="auto"/>
    </w:pPr>
    <w:rPr>
      <w:rFonts w:ascii="Times New Roman" w:hAnsi="Times New Roman"/>
      <w:color w:val="auto"/>
      <w:sz w:val="24"/>
      <w:szCs w:val="24"/>
      <w:lang w:eastAsia="en-GB"/>
    </w:rPr>
  </w:style>
  <w:style w:type="character" w:styleId="Strong">
    <w:name w:val="Strong"/>
    <w:basedOn w:val="DefaultParagraphFont"/>
    <w:uiPriority w:val="1"/>
    <w:qFormat/>
    <w:rsid w:val="0020398C"/>
    <w:rPr>
      <w:b/>
      <w:bCs/>
    </w:rPr>
  </w:style>
  <w:style w:type="character" w:styleId="FollowedHyperlink">
    <w:name w:val="FollowedHyperlink"/>
    <w:basedOn w:val="DefaultParagraphFont"/>
    <w:semiHidden/>
    <w:unhideWhenUsed/>
    <w:rsid w:val="0020398C"/>
    <w:rPr>
      <w:color w:val="800080" w:themeColor="followedHyperlink"/>
      <w:u w:val="single"/>
    </w:rPr>
  </w:style>
  <w:style w:type="paragraph" w:customStyle="1" w:styleId="Default">
    <w:name w:val="Default"/>
    <w:rsid w:val="005E70E7"/>
    <w:pPr>
      <w:autoSpaceDE w:val="0"/>
      <w:autoSpaceDN w:val="0"/>
      <w:adjustRightInd w:val="0"/>
    </w:pPr>
    <w:rPr>
      <w:rFonts w:ascii="Arial" w:hAnsi="Arial" w:cs="Arial"/>
      <w:color w:val="000000"/>
      <w:sz w:val="24"/>
      <w:szCs w:val="24"/>
    </w:rPr>
  </w:style>
  <w:style w:type="paragraph" w:customStyle="1" w:styleId="Paragraph">
    <w:name w:val="Paragraph"/>
    <w:basedOn w:val="Normal"/>
    <w:uiPriority w:val="4"/>
    <w:qFormat/>
    <w:rsid w:val="000223BD"/>
    <w:pPr>
      <w:numPr>
        <w:numId w:val="4"/>
      </w:numPr>
      <w:spacing w:before="240" w:after="240" w:line="276" w:lineRule="auto"/>
    </w:pPr>
    <w:rPr>
      <w:color w:val="auto"/>
      <w:sz w:val="24"/>
      <w:szCs w:val="24"/>
      <w:lang w:eastAsia="en-GB"/>
    </w:rPr>
  </w:style>
  <w:style w:type="paragraph" w:styleId="Revision">
    <w:name w:val="Revision"/>
    <w:hidden/>
    <w:uiPriority w:val="99"/>
    <w:semiHidden/>
    <w:rsid w:val="000329FE"/>
    <w:rPr>
      <w:rFonts w:ascii="Arial" w:hAnsi="Arial"/>
      <w:color w:val="333333"/>
      <w:lang w:eastAsia="en-US"/>
    </w:rPr>
  </w:style>
  <w:style w:type="character" w:styleId="CommentReference">
    <w:name w:val="annotation reference"/>
    <w:basedOn w:val="DefaultParagraphFont"/>
    <w:semiHidden/>
    <w:unhideWhenUsed/>
    <w:rsid w:val="000329FE"/>
    <w:rPr>
      <w:sz w:val="16"/>
      <w:szCs w:val="16"/>
    </w:rPr>
  </w:style>
  <w:style w:type="paragraph" w:styleId="CommentText">
    <w:name w:val="annotation text"/>
    <w:basedOn w:val="Normal"/>
    <w:link w:val="CommentTextChar"/>
    <w:unhideWhenUsed/>
    <w:rsid w:val="000329FE"/>
    <w:pPr>
      <w:spacing w:line="240" w:lineRule="auto"/>
    </w:pPr>
  </w:style>
  <w:style w:type="character" w:customStyle="1" w:styleId="CommentTextChar">
    <w:name w:val="Comment Text Char"/>
    <w:basedOn w:val="DefaultParagraphFont"/>
    <w:link w:val="CommentText"/>
    <w:rsid w:val="000329FE"/>
    <w:rPr>
      <w:rFonts w:ascii="Arial" w:hAnsi="Arial"/>
      <w:color w:val="333333"/>
      <w:lang w:eastAsia="en-US"/>
    </w:rPr>
  </w:style>
  <w:style w:type="paragraph" w:styleId="CommentSubject">
    <w:name w:val="annotation subject"/>
    <w:basedOn w:val="CommentText"/>
    <w:next w:val="CommentText"/>
    <w:link w:val="CommentSubjectChar"/>
    <w:semiHidden/>
    <w:unhideWhenUsed/>
    <w:rsid w:val="000329FE"/>
    <w:rPr>
      <w:b/>
      <w:bCs/>
    </w:rPr>
  </w:style>
  <w:style w:type="character" w:customStyle="1" w:styleId="CommentSubjectChar">
    <w:name w:val="Comment Subject Char"/>
    <w:basedOn w:val="CommentTextChar"/>
    <w:link w:val="CommentSubject"/>
    <w:semiHidden/>
    <w:rsid w:val="000329FE"/>
    <w:rPr>
      <w:rFonts w:ascii="Arial" w:hAnsi="Arial"/>
      <w:b/>
      <w:bCs/>
      <w:color w:val="333333"/>
      <w:lang w:eastAsia="en-US"/>
    </w:rPr>
  </w:style>
  <w:style w:type="paragraph" w:styleId="FootnoteText">
    <w:name w:val="footnote text"/>
    <w:basedOn w:val="Normal"/>
    <w:link w:val="FootnoteTextChar"/>
    <w:semiHidden/>
    <w:unhideWhenUsed/>
    <w:rsid w:val="00C70019"/>
    <w:pPr>
      <w:spacing w:after="0" w:line="240" w:lineRule="auto"/>
    </w:pPr>
  </w:style>
  <w:style w:type="character" w:customStyle="1" w:styleId="FootnoteTextChar">
    <w:name w:val="Footnote Text Char"/>
    <w:basedOn w:val="DefaultParagraphFont"/>
    <w:link w:val="FootnoteText"/>
    <w:semiHidden/>
    <w:rsid w:val="00C70019"/>
    <w:rPr>
      <w:rFonts w:ascii="Arial" w:hAnsi="Arial"/>
      <w:color w:val="333333"/>
      <w:lang w:eastAsia="en-US"/>
    </w:rPr>
  </w:style>
  <w:style w:type="character" w:styleId="FootnoteReference">
    <w:name w:val="footnote reference"/>
    <w:basedOn w:val="DefaultParagraphFont"/>
    <w:uiPriority w:val="99"/>
    <w:semiHidden/>
    <w:unhideWhenUsed/>
    <w:rsid w:val="00C70019"/>
    <w:rPr>
      <w:vertAlign w:val="superscript"/>
    </w:rPr>
  </w:style>
  <w:style w:type="character" w:customStyle="1" w:styleId="NICEnormalChar">
    <w:name w:val="NICE normal Char"/>
    <w:basedOn w:val="DefaultParagraphFont"/>
    <w:link w:val="NICEnormal"/>
    <w:locked/>
    <w:rsid w:val="00B94A47"/>
    <w:rPr>
      <w:rFonts w:ascii="Arial" w:hAnsi="Arial" w:cs="Arial"/>
      <w:lang w:eastAsia="en-US"/>
    </w:rPr>
  </w:style>
  <w:style w:type="paragraph" w:customStyle="1" w:styleId="NICEnormal">
    <w:name w:val="NICE normal"/>
    <w:basedOn w:val="Normal"/>
    <w:link w:val="NICEnormalChar"/>
    <w:rsid w:val="00B94A47"/>
    <w:pPr>
      <w:spacing w:after="240" w:line="360" w:lineRule="auto"/>
    </w:pPr>
    <w:rPr>
      <w:rFonts w:cs="Arial"/>
      <w:color w:val="auto"/>
    </w:rPr>
  </w:style>
  <w:style w:type="character" w:customStyle="1" w:styleId="HeaderChar">
    <w:name w:val="Header Char"/>
    <w:basedOn w:val="DefaultParagraphFont"/>
    <w:link w:val="Header"/>
    <w:uiPriority w:val="99"/>
    <w:rsid w:val="00491045"/>
    <w:rPr>
      <w:rFonts w:ascii="Arial" w:hAnsi="Arial"/>
      <w:color w:val="333333"/>
      <w:lang w:eastAsia="en-US"/>
    </w:rPr>
  </w:style>
  <w:style w:type="character" w:styleId="UnresolvedMention">
    <w:name w:val="Unresolved Mention"/>
    <w:basedOn w:val="DefaultParagraphFont"/>
    <w:uiPriority w:val="99"/>
    <w:semiHidden/>
    <w:unhideWhenUsed/>
    <w:rsid w:val="00623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885">
      <w:bodyDiv w:val="1"/>
      <w:marLeft w:val="0"/>
      <w:marRight w:val="0"/>
      <w:marTop w:val="0"/>
      <w:marBottom w:val="0"/>
      <w:divBdr>
        <w:top w:val="none" w:sz="0" w:space="0" w:color="auto"/>
        <w:left w:val="none" w:sz="0" w:space="0" w:color="auto"/>
        <w:bottom w:val="none" w:sz="0" w:space="0" w:color="auto"/>
        <w:right w:val="none" w:sz="0" w:space="0" w:color="auto"/>
      </w:divBdr>
    </w:div>
    <w:div w:id="357779098">
      <w:bodyDiv w:val="1"/>
      <w:marLeft w:val="0"/>
      <w:marRight w:val="0"/>
      <w:marTop w:val="0"/>
      <w:marBottom w:val="0"/>
      <w:divBdr>
        <w:top w:val="none" w:sz="0" w:space="0" w:color="auto"/>
        <w:left w:val="none" w:sz="0" w:space="0" w:color="auto"/>
        <w:bottom w:val="none" w:sz="0" w:space="0" w:color="auto"/>
        <w:right w:val="none" w:sz="0" w:space="0" w:color="auto"/>
      </w:divBdr>
    </w:div>
    <w:div w:id="993726166">
      <w:bodyDiv w:val="1"/>
      <w:marLeft w:val="0"/>
      <w:marRight w:val="0"/>
      <w:marTop w:val="0"/>
      <w:marBottom w:val="0"/>
      <w:divBdr>
        <w:top w:val="none" w:sz="0" w:space="0" w:color="auto"/>
        <w:left w:val="none" w:sz="0" w:space="0" w:color="auto"/>
        <w:bottom w:val="none" w:sz="0" w:space="0" w:color="auto"/>
        <w:right w:val="none" w:sz="0" w:space="0" w:color="auto"/>
      </w:divBdr>
    </w:div>
    <w:div w:id="1008215759">
      <w:bodyDiv w:val="1"/>
      <w:marLeft w:val="0"/>
      <w:marRight w:val="0"/>
      <w:marTop w:val="0"/>
      <w:marBottom w:val="0"/>
      <w:divBdr>
        <w:top w:val="none" w:sz="0" w:space="0" w:color="auto"/>
        <w:left w:val="none" w:sz="0" w:space="0" w:color="auto"/>
        <w:bottom w:val="none" w:sz="0" w:space="0" w:color="auto"/>
        <w:right w:val="none" w:sz="0" w:space="0" w:color="auto"/>
      </w:divBdr>
    </w:div>
    <w:div w:id="1180238150">
      <w:bodyDiv w:val="1"/>
      <w:marLeft w:val="0"/>
      <w:marRight w:val="0"/>
      <w:marTop w:val="0"/>
      <w:marBottom w:val="0"/>
      <w:divBdr>
        <w:top w:val="none" w:sz="0" w:space="0" w:color="auto"/>
        <w:left w:val="none" w:sz="0" w:space="0" w:color="auto"/>
        <w:bottom w:val="none" w:sz="0" w:space="0" w:color="auto"/>
        <w:right w:val="none" w:sz="0" w:space="0" w:color="auto"/>
      </w:divBdr>
    </w:div>
    <w:div w:id="1525746716">
      <w:bodyDiv w:val="1"/>
      <w:marLeft w:val="0"/>
      <w:marRight w:val="0"/>
      <w:marTop w:val="0"/>
      <w:marBottom w:val="0"/>
      <w:divBdr>
        <w:top w:val="none" w:sz="0" w:space="0" w:color="auto"/>
        <w:left w:val="none" w:sz="0" w:space="0" w:color="auto"/>
        <w:bottom w:val="none" w:sz="0" w:space="0" w:color="auto"/>
        <w:right w:val="none" w:sz="0" w:space="0" w:color="auto"/>
      </w:divBdr>
    </w:div>
    <w:div w:id="1724055910">
      <w:bodyDiv w:val="1"/>
      <w:marLeft w:val="0"/>
      <w:marRight w:val="0"/>
      <w:marTop w:val="0"/>
      <w:marBottom w:val="0"/>
      <w:divBdr>
        <w:top w:val="none" w:sz="0" w:space="0" w:color="auto"/>
        <w:left w:val="none" w:sz="0" w:space="0" w:color="auto"/>
        <w:bottom w:val="none" w:sz="0" w:space="0" w:color="auto"/>
        <w:right w:val="none" w:sz="0" w:space="0" w:color="auto"/>
      </w:divBdr>
    </w:div>
    <w:div w:id="20554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36/resources/nice-health-technology-evaluations-the-manual-pdf-722867792447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guidance/gid-ta10505/documents/1-2"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B5916-520C-4605-8C23-F8A8B92B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2423</Words>
  <Characters>12679</Characters>
  <Application>Microsoft Office Word</Application>
  <DocSecurity>0</DocSecurity>
  <Lines>105</Lines>
  <Paragraphs>30</Paragraphs>
  <ScaleCrop>false</ScaleCrop>
  <Company/>
  <LinksUpToDate>false</LinksUpToDate>
  <CharactersWithSpaces>15072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Lyn Davies</cp:lastModifiedBy>
  <cp:revision>3</cp:revision>
  <dcterms:created xsi:type="dcterms:W3CDTF">2023-08-18T11:23:00Z</dcterms:created>
  <dcterms:modified xsi:type="dcterms:W3CDTF">2023-10-05T09:26:00Z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2023-08-18T11:31:32Z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2227cb8b-9320-431e-bd6f-78a788f7d5d0</vt:lpwstr>
  </property>
  <property fmtid="{D5CDD505-2E9C-101B-9397-08002B2CF9AE}" pid="8" name="MSIP_Label_c69d85d5-6d9e-4305-a294-1f636ec0f2d6_ContentBits">
    <vt:lpwstr>0</vt:lpwstr>
  </property>
</Properties>
</file>