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626A" w14:textId="69FF1828" w:rsidR="1ABE4402" w:rsidRDefault="1ABE4402" w:rsidP="00DF183D">
      <w:pPr>
        <w:spacing w:before="0" w:after="0" w:line="240" w:lineRule="auto"/>
      </w:pPr>
      <w:r w:rsidRPr="200BE424">
        <w:t>Dr Mark Chakravarty</w:t>
      </w:r>
    </w:p>
    <w:p w14:paraId="469805AE" w14:textId="335368BF" w:rsidR="1ABE4402" w:rsidRDefault="1ABE4402" w:rsidP="00DF183D">
      <w:pPr>
        <w:spacing w:before="0" w:after="0" w:line="240" w:lineRule="auto"/>
      </w:pPr>
      <w:r w:rsidRPr="200BE424">
        <w:t xml:space="preserve">Lead </w:t>
      </w:r>
      <w:r w:rsidR="00CD00E1">
        <w:t>N</w:t>
      </w:r>
      <w:r w:rsidRPr="200BE424">
        <w:t>on-</w:t>
      </w:r>
      <w:r w:rsidR="00CD00E1">
        <w:t>E</w:t>
      </w:r>
      <w:r w:rsidRPr="200BE424">
        <w:t xml:space="preserve">xecutive </w:t>
      </w:r>
      <w:r w:rsidR="00AF3471">
        <w:t>D</w:t>
      </w:r>
      <w:r w:rsidRPr="200BE424">
        <w:t xml:space="preserve">irector for </w:t>
      </w:r>
      <w:r w:rsidR="00AF3471">
        <w:t>A</w:t>
      </w:r>
      <w:r w:rsidRPr="200BE424">
        <w:t>ppeals</w:t>
      </w:r>
    </w:p>
    <w:p w14:paraId="36A1EB96" w14:textId="47A375B3" w:rsidR="1ABE4402" w:rsidRDefault="1ABE4402" w:rsidP="00DF183D">
      <w:pPr>
        <w:spacing w:before="0" w:after="0" w:line="240" w:lineRule="auto"/>
      </w:pPr>
      <w:r w:rsidRPr="200BE424">
        <w:t>National Institute for Health and Care Excellence</w:t>
      </w:r>
    </w:p>
    <w:p w14:paraId="31760AEA" w14:textId="7AC9219B" w:rsidR="1ABE4402" w:rsidRDefault="1ABE4402" w:rsidP="00DF183D">
      <w:pPr>
        <w:spacing w:before="0" w:after="0" w:line="240" w:lineRule="auto"/>
      </w:pPr>
      <w:r w:rsidRPr="200BE424">
        <w:t>2nd Floor</w:t>
      </w:r>
    </w:p>
    <w:p w14:paraId="386BBEA8" w14:textId="0A77E10E" w:rsidR="1ABE4402" w:rsidRDefault="1ABE4402" w:rsidP="00DF183D">
      <w:pPr>
        <w:spacing w:before="0" w:after="0" w:line="240" w:lineRule="auto"/>
      </w:pPr>
      <w:r w:rsidRPr="200BE424">
        <w:t>2 Redman Place</w:t>
      </w:r>
    </w:p>
    <w:p w14:paraId="487FA133" w14:textId="0D741CA5" w:rsidR="1ABE4402" w:rsidRDefault="1ABE4402" w:rsidP="00DF183D">
      <w:pPr>
        <w:spacing w:before="0" w:after="0" w:line="240" w:lineRule="auto"/>
      </w:pPr>
      <w:r w:rsidRPr="200BE424">
        <w:t>London E20 1JQ</w:t>
      </w:r>
    </w:p>
    <w:p w14:paraId="70D4762D" w14:textId="715C4970" w:rsidR="1ABE4402" w:rsidRDefault="1ABE4402" w:rsidP="009035BC">
      <w:pPr>
        <w:spacing w:before="360" w:after="120"/>
        <w:rPr>
          <w:rFonts w:eastAsia="Arial" w:cs="Arial"/>
          <w:color w:val="000000" w:themeColor="text1"/>
          <w:szCs w:val="24"/>
        </w:rPr>
      </w:pPr>
      <w:r w:rsidRPr="200BE424">
        <w:rPr>
          <w:rFonts w:eastAsia="Arial" w:cs="Arial"/>
          <w:color w:val="000000" w:themeColor="text1"/>
          <w:szCs w:val="24"/>
        </w:rPr>
        <w:t>Dear Dr Chakravarty,</w:t>
      </w:r>
    </w:p>
    <w:p w14:paraId="6930F1E2" w14:textId="3E5148F6" w:rsidR="00B87191" w:rsidRDefault="00EE510F" w:rsidP="00B87191">
      <w:pPr>
        <w:spacing w:after="0" w:line="240" w:lineRule="auto"/>
        <w:jc w:val="right"/>
        <w:rPr>
          <w:rFonts w:cs="Arial"/>
        </w:rPr>
      </w:pPr>
      <w:r w:rsidRPr="00170A62">
        <w:rPr>
          <w:rFonts w:cs="Arial"/>
        </w:rPr>
        <w:t>4</w:t>
      </w:r>
      <w:r w:rsidR="00B87191" w:rsidRPr="00170A62">
        <w:rPr>
          <w:rFonts w:cs="Arial"/>
          <w:vertAlign w:val="superscript"/>
        </w:rPr>
        <w:t>th</w:t>
      </w:r>
      <w:r w:rsidR="00B87191" w:rsidRPr="00170A62">
        <w:rPr>
          <w:rFonts w:cs="Arial"/>
        </w:rPr>
        <w:t xml:space="preserve"> </w:t>
      </w:r>
      <w:r w:rsidRPr="00170A62">
        <w:rPr>
          <w:rFonts w:cs="Arial"/>
        </w:rPr>
        <w:t>August</w:t>
      </w:r>
      <w:r w:rsidR="00B87191" w:rsidRPr="00170A62">
        <w:rPr>
          <w:rFonts w:cs="Arial"/>
        </w:rPr>
        <w:t xml:space="preserve"> 2023</w:t>
      </w:r>
    </w:p>
    <w:p w14:paraId="15BC51E8" w14:textId="69099AB7" w:rsidR="00B87191" w:rsidRPr="00F0068F" w:rsidRDefault="00B87191" w:rsidP="00B87191">
      <w:pPr>
        <w:spacing w:before="240" w:after="240" w:line="240" w:lineRule="auto"/>
        <w:jc w:val="center"/>
        <w:rPr>
          <w:rFonts w:cs="Arial"/>
          <w:b/>
          <w:bCs/>
        </w:rPr>
      </w:pPr>
      <w:r w:rsidRPr="6B08CC8A">
        <w:rPr>
          <w:rFonts w:cs="Arial"/>
          <w:b/>
          <w:bCs/>
        </w:rPr>
        <w:t xml:space="preserve">Appeal against the Final </w:t>
      </w:r>
      <w:r w:rsidR="4B52393B" w:rsidRPr="6B08CC8A">
        <w:rPr>
          <w:rFonts w:cs="Arial"/>
          <w:b/>
          <w:bCs/>
        </w:rPr>
        <w:t>Draft Guidance</w:t>
      </w:r>
      <w:r w:rsidR="00AF6D29">
        <w:rPr>
          <w:rFonts w:cs="Arial"/>
          <w:b/>
          <w:bCs/>
        </w:rPr>
        <w:t xml:space="preserve"> (FDG)</w:t>
      </w:r>
      <w:r w:rsidR="00E22165" w:rsidRPr="6B08CC8A">
        <w:rPr>
          <w:rFonts w:cs="Arial"/>
          <w:b/>
          <w:bCs/>
        </w:rPr>
        <w:t xml:space="preserve"> </w:t>
      </w:r>
      <w:r w:rsidR="4B52393B" w:rsidRPr="6B08CC8A">
        <w:rPr>
          <w:rFonts w:cs="Arial"/>
          <w:b/>
          <w:bCs/>
        </w:rPr>
        <w:t>Issued</w:t>
      </w:r>
      <w:r w:rsidR="3D9C704C" w:rsidRPr="6B08CC8A">
        <w:rPr>
          <w:rFonts w:cs="Arial"/>
          <w:b/>
          <w:bCs/>
        </w:rPr>
        <w:t xml:space="preserve"> </w:t>
      </w:r>
      <w:r w:rsidR="72329E1D" w:rsidRPr="6B08CC8A">
        <w:rPr>
          <w:rFonts w:cs="Arial"/>
          <w:b/>
          <w:bCs/>
        </w:rPr>
        <w:t>b</w:t>
      </w:r>
      <w:r w:rsidR="3D9C704C" w:rsidRPr="00B97788">
        <w:rPr>
          <w:rFonts w:cs="Arial"/>
          <w:b/>
          <w:bCs/>
        </w:rPr>
        <w:t xml:space="preserve">y The National Institute </w:t>
      </w:r>
      <w:r w:rsidR="07C4619C" w:rsidRPr="00B97788">
        <w:rPr>
          <w:rFonts w:cs="Arial"/>
          <w:b/>
          <w:bCs/>
        </w:rPr>
        <w:t>for</w:t>
      </w:r>
      <w:r w:rsidR="3D9C704C" w:rsidRPr="00B97788">
        <w:rPr>
          <w:rFonts w:cs="Arial"/>
          <w:b/>
          <w:bCs/>
        </w:rPr>
        <w:t xml:space="preserve"> Health </w:t>
      </w:r>
      <w:r w:rsidR="67049903" w:rsidRPr="00B97788">
        <w:rPr>
          <w:rFonts w:cs="Arial"/>
          <w:b/>
          <w:bCs/>
        </w:rPr>
        <w:t>and</w:t>
      </w:r>
      <w:r w:rsidR="3D9C704C" w:rsidRPr="00B97788">
        <w:rPr>
          <w:rFonts w:cs="Arial"/>
          <w:b/>
          <w:bCs/>
        </w:rPr>
        <w:t xml:space="preserve"> Clinical Excellence </w:t>
      </w:r>
      <w:r w:rsidR="1BF223F9" w:rsidRPr="00B97788">
        <w:rPr>
          <w:rFonts w:cs="Arial"/>
          <w:b/>
          <w:bCs/>
        </w:rPr>
        <w:t xml:space="preserve">(NICE) </w:t>
      </w:r>
      <w:r w:rsidR="2473B796" w:rsidRPr="6B08CC8A">
        <w:rPr>
          <w:rFonts w:cs="Arial"/>
          <w:b/>
          <w:bCs/>
        </w:rPr>
        <w:t>on 21</w:t>
      </w:r>
      <w:r w:rsidR="2473B796" w:rsidRPr="00B97788">
        <w:rPr>
          <w:rFonts w:cs="Arial"/>
          <w:b/>
          <w:bCs/>
        </w:rPr>
        <w:t>st</w:t>
      </w:r>
      <w:r w:rsidR="2473B796" w:rsidRPr="6B08CC8A">
        <w:rPr>
          <w:rFonts w:cs="Arial"/>
          <w:b/>
          <w:bCs/>
        </w:rPr>
        <w:t xml:space="preserve"> July 2023 </w:t>
      </w:r>
      <w:r w:rsidRPr="6B08CC8A">
        <w:rPr>
          <w:rFonts w:cs="Arial"/>
          <w:b/>
          <w:bCs/>
        </w:rPr>
        <w:t xml:space="preserve">for </w:t>
      </w:r>
      <w:r w:rsidR="00685381">
        <w:rPr>
          <w:rFonts w:cs="Arial"/>
          <w:b/>
          <w:bCs/>
        </w:rPr>
        <w:t>b</w:t>
      </w:r>
      <w:r w:rsidRPr="6B08CC8A">
        <w:rPr>
          <w:rFonts w:cs="Arial"/>
          <w:b/>
          <w:bCs/>
        </w:rPr>
        <w:t>elantamab mafodotin for treating relapsed or refractory multiple myeloma after 4 or more prior therapies [ID2701]</w:t>
      </w:r>
    </w:p>
    <w:p w14:paraId="0B8868E0" w14:textId="336D2BE1" w:rsidR="1B2AEDD2" w:rsidRDefault="002E39A3" w:rsidP="00DB1165">
      <w:pPr>
        <w:pStyle w:val="Heading1"/>
      </w:pPr>
      <w:r>
        <w:t>Executive summary</w:t>
      </w:r>
    </w:p>
    <w:p w14:paraId="4B3FBD5E" w14:textId="3D29DC7E" w:rsidR="0169E578" w:rsidRDefault="0169E578" w:rsidP="00B97788">
      <w:r w:rsidRPr="024BDB9A">
        <w:t>GSK is advancing an appeal under Ground 1a (</w:t>
      </w:r>
      <w:r w:rsidR="1F7889F7" w:rsidRPr="240285E7">
        <w:t>NICE has failed to act fairly</w:t>
      </w:r>
      <w:r w:rsidRPr="024BDB9A">
        <w:t>) and Ground 2 (unreasonableness) of the grounds permitted in accordance with NICE’s Guide to Technology Appraisal Appeal Process.</w:t>
      </w:r>
    </w:p>
    <w:p w14:paraId="3D15A15F" w14:textId="77777777" w:rsidR="00170A62" w:rsidRDefault="009A63E9" w:rsidP="43C139C0">
      <w:pPr>
        <w:pStyle w:val="Paragraph"/>
        <w:rPr>
          <w:b/>
          <w:bCs/>
          <w:u w:val="single"/>
        </w:rPr>
      </w:pPr>
      <w:r w:rsidRPr="4C5DF438">
        <w:rPr>
          <w:b/>
          <w:u w:val="single"/>
        </w:rPr>
        <w:t>Ground 1a</w:t>
      </w:r>
      <w:r w:rsidR="0037121C" w:rsidRPr="4C5DF438">
        <w:rPr>
          <w:b/>
          <w:u w:val="single"/>
        </w:rPr>
        <w:t xml:space="preserve"> </w:t>
      </w:r>
      <w:r w:rsidR="337B27A4" w:rsidRPr="4C5DF438">
        <w:rPr>
          <w:b/>
          <w:bCs/>
          <w:u w:val="single"/>
        </w:rPr>
        <w:t>(NICE has failed to act fairly</w:t>
      </w:r>
      <w:r w:rsidR="337B27A4" w:rsidRPr="41591543">
        <w:rPr>
          <w:b/>
          <w:bCs/>
          <w:u w:val="single"/>
        </w:rPr>
        <w:t>)</w:t>
      </w:r>
    </w:p>
    <w:p w14:paraId="708DE372" w14:textId="4470E042" w:rsidR="00170A62" w:rsidRPr="00170A62" w:rsidRDefault="00170A62" w:rsidP="00170A62">
      <w:r w:rsidRPr="00170A62">
        <w:fldChar w:fldCharType="begin"/>
      </w:r>
      <w:r w:rsidRPr="00170A62">
        <w:instrText xml:space="preserve"> REF _Ref141613224 \r \h  \* MERGEFORMAT </w:instrText>
      </w:r>
      <w:r w:rsidRPr="00170A62">
        <w:fldChar w:fldCharType="separate"/>
      </w:r>
      <w:r w:rsidRPr="00170A62">
        <w:t>1(a).1</w:t>
      </w:r>
      <w:r w:rsidRPr="00170A62">
        <w:fldChar w:fldCharType="end"/>
      </w:r>
      <w:r w:rsidRPr="00170A62">
        <w:t xml:space="preserve"> </w:t>
      </w:r>
      <w:r w:rsidRPr="00170A62">
        <w:fldChar w:fldCharType="begin"/>
      </w:r>
      <w:r w:rsidRPr="00170A62">
        <w:instrText xml:space="preserve"> REF _Ref141613224 \h  \* MERGEFORMAT </w:instrText>
      </w:r>
      <w:r w:rsidRPr="00170A62">
        <w:fldChar w:fldCharType="separate"/>
      </w:r>
      <w:r w:rsidR="00C86574" w:rsidRPr="00DD7FDD">
        <w:t xml:space="preserve">The </w:t>
      </w:r>
      <w:r w:rsidR="00C86574">
        <w:t>C</w:t>
      </w:r>
      <w:r w:rsidR="00C86574" w:rsidRPr="00DD7FDD">
        <w:t xml:space="preserve">ommittee’s conclusions on the validity of </w:t>
      </w:r>
      <w:proofErr w:type="spellStart"/>
      <w:r w:rsidR="00C86574" w:rsidRPr="00DD7FDD">
        <w:t>belantamab</w:t>
      </w:r>
      <w:proofErr w:type="spellEnd"/>
      <w:r w:rsidR="00C86574" w:rsidRPr="00DD7FDD">
        <w:t xml:space="preserve"> UK RWE and related analyses lack transparency and are inconsistent with the focus placed on real-world data use in the NICE strategy for 2021 to 2026.</w:t>
      </w:r>
      <w:r w:rsidRPr="00170A62">
        <w:fldChar w:fldCharType="end"/>
      </w:r>
    </w:p>
    <w:p w14:paraId="79ACAD76" w14:textId="7B670E1E" w:rsidR="00170A62" w:rsidRPr="00170A62" w:rsidRDefault="00170A62" w:rsidP="00170A62">
      <w:r w:rsidRPr="00170A62">
        <w:fldChar w:fldCharType="begin"/>
      </w:r>
      <w:r w:rsidRPr="00170A62">
        <w:instrText xml:space="preserve"> REF _Ref141605931 \r \h  \* MERGEFORMAT </w:instrText>
      </w:r>
      <w:r w:rsidRPr="00170A62">
        <w:fldChar w:fldCharType="separate"/>
      </w:r>
      <w:r w:rsidRPr="00170A62">
        <w:t>1(a).2</w:t>
      </w:r>
      <w:r w:rsidRPr="00170A62">
        <w:fldChar w:fldCharType="end"/>
      </w:r>
      <w:r w:rsidRPr="00170A62">
        <w:t xml:space="preserve"> </w:t>
      </w:r>
      <w:r w:rsidRPr="00170A62">
        <w:fldChar w:fldCharType="begin"/>
      </w:r>
      <w:r w:rsidRPr="00170A62">
        <w:instrText xml:space="preserve"> REF _Ref141605931 \h  \* MERGEFORMAT </w:instrText>
      </w:r>
      <w:r w:rsidRPr="00170A62">
        <w:fldChar w:fldCharType="separate"/>
      </w:r>
      <w:r w:rsidR="00C86574" w:rsidRPr="00B43CAC">
        <w:t xml:space="preserve">The </w:t>
      </w:r>
      <w:r w:rsidR="00C86574">
        <w:t>C</w:t>
      </w:r>
      <w:r w:rsidR="00C86574" w:rsidRPr="00B43CAC">
        <w:t xml:space="preserve">ommittee’s decision that </w:t>
      </w:r>
      <w:proofErr w:type="spellStart"/>
      <w:r w:rsidR="00C86574" w:rsidRPr="00B43CAC">
        <w:t>belantamab</w:t>
      </w:r>
      <w:proofErr w:type="spellEnd"/>
      <w:r w:rsidR="00C86574" w:rsidRPr="00B43CAC">
        <w:t xml:space="preserve"> is not suitable for use through the Cancer Drugs Fund</w:t>
      </w:r>
      <w:r w:rsidR="00C86574">
        <w:t xml:space="preserve"> (CDF) </w:t>
      </w:r>
      <w:r w:rsidR="00C86574" w:rsidRPr="00B43CAC">
        <w:t>is procedurally unfair</w:t>
      </w:r>
      <w:r w:rsidR="00C86574">
        <w:t>.</w:t>
      </w:r>
      <w:r w:rsidRPr="00170A62">
        <w:fldChar w:fldCharType="end"/>
      </w:r>
    </w:p>
    <w:p w14:paraId="2DB9F564" w14:textId="1AA339EB" w:rsidR="00170A62" w:rsidRPr="00170A62" w:rsidRDefault="00170A62" w:rsidP="00170A62">
      <w:r w:rsidRPr="00170A62">
        <w:fldChar w:fldCharType="begin"/>
      </w:r>
      <w:r w:rsidRPr="00170A62">
        <w:instrText xml:space="preserve"> REF _Ref141968641 \r \h  \* MERGEFORMAT </w:instrText>
      </w:r>
      <w:r w:rsidRPr="00170A62">
        <w:fldChar w:fldCharType="separate"/>
      </w:r>
      <w:r w:rsidRPr="00170A62">
        <w:t>1(a).3</w:t>
      </w:r>
      <w:r w:rsidRPr="00170A62">
        <w:fldChar w:fldCharType="end"/>
      </w:r>
      <w:r w:rsidRPr="00170A62">
        <w:t xml:space="preserve"> </w:t>
      </w:r>
      <w:r w:rsidRPr="00170A62">
        <w:fldChar w:fldCharType="begin"/>
      </w:r>
      <w:r w:rsidRPr="00170A62">
        <w:instrText xml:space="preserve"> REF _Ref141968641 \h  \* MERGEFORMAT </w:instrText>
      </w:r>
      <w:r w:rsidRPr="00170A62">
        <w:fldChar w:fldCharType="separate"/>
      </w:r>
      <w:r w:rsidR="00C86574" w:rsidRPr="003A4D8C">
        <w:t xml:space="preserve">The Committee’s conclusion that TA897 should not be </w:t>
      </w:r>
      <w:proofErr w:type="gramStart"/>
      <w:r w:rsidR="00C86574" w:rsidRPr="003A4D8C">
        <w:t>taken into account</w:t>
      </w:r>
      <w:proofErr w:type="gramEnd"/>
      <w:r w:rsidR="00C86574" w:rsidRPr="003A4D8C">
        <w:t xml:space="preserve"> in the context of this evaluation is inconsistent with </w:t>
      </w:r>
      <w:proofErr w:type="spellStart"/>
      <w:r w:rsidR="00C86574" w:rsidRPr="003A4D8C">
        <w:t>NICE’s</w:t>
      </w:r>
      <w:proofErr w:type="spellEnd"/>
      <w:r w:rsidR="00C86574" w:rsidRPr="003A4D8C">
        <w:t xml:space="preserve"> processes and is inadequately explained.</w:t>
      </w:r>
      <w:r w:rsidRPr="00170A62">
        <w:fldChar w:fldCharType="end"/>
      </w:r>
    </w:p>
    <w:p w14:paraId="2F978495" w14:textId="59A41E46" w:rsidR="00170A62" w:rsidRPr="00170A62" w:rsidRDefault="00170A62" w:rsidP="00170A62">
      <w:r w:rsidRPr="00170A62">
        <w:fldChar w:fldCharType="begin"/>
      </w:r>
      <w:r w:rsidRPr="00170A62">
        <w:instrText xml:space="preserve"> REF _Ref141968649 \r \h  \* MERGEFORMAT </w:instrText>
      </w:r>
      <w:r w:rsidRPr="00170A62">
        <w:fldChar w:fldCharType="separate"/>
      </w:r>
      <w:r w:rsidRPr="00170A62">
        <w:t>1(a).4</w:t>
      </w:r>
      <w:r w:rsidRPr="00170A62">
        <w:fldChar w:fldCharType="end"/>
      </w:r>
      <w:r w:rsidRPr="00170A62">
        <w:t xml:space="preserve"> </w:t>
      </w:r>
      <w:r w:rsidRPr="00170A62">
        <w:fldChar w:fldCharType="begin"/>
      </w:r>
      <w:r w:rsidRPr="00170A62">
        <w:instrText xml:space="preserve"> REF _Ref141968649 \h  \* MERGEFORMAT </w:instrText>
      </w:r>
      <w:r w:rsidRPr="00170A62">
        <w:fldChar w:fldCharType="separate"/>
      </w:r>
      <w:r w:rsidR="00C86574" w:rsidRPr="00A235FE">
        <w:t xml:space="preserve">The </w:t>
      </w:r>
      <w:r w:rsidR="00C86574">
        <w:t>C</w:t>
      </w:r>
      <w:r w:rsidR="00C86574" w:rsidRPr="00A235FE">
        <w:t xml:space="preserve">ommittee’s conclusion that it would not recommend </w:t>
      </w:r>
      <w:proofErr w:type="spellStart"/>
      <w:r w:rsidR="00C86574" w:rsidRPr="00A235FE">
        <w:t>belantamab</w:t>
      </w:r>
      <w:proofErr w:type="spellEnd"/>
      <w:r w:rsidR="00C86574" w:rsidRPr="00A235FE">
        <w:t xml:space="preserve"> in the 5L+ </w:t>
      </w:r>
      <w:proofErr w:type="spellStart"/>
      <w:r w:rsidR="00C86574" w:rsidRPr="00A235FE">
        <w:t>TCR</w:t>
      </w:r>
      <w:proofErr w:type="spellEnd"/>
      <w:r w:rsidR="00C86574" w:rsidRPr="00A235FE">
        <w:t xml:space="preserve"> MM post-POM setting due to the uncertainty in the comparative evidence is unfair, given that these limitations were largely driven by the paucity of evidence for the comparator despite being recommended  by NICE and in circumstances where the effect of the decision is that patients will be forced to receive less effective treatment with less evidence of benefit.</w:t>
      </w:r>
      <w:r w:rsidRPr="00170A62">
        <w:fldChar w:fldCharType="end"/>
      </w:r>
    </w:p>
    <w:p w14:paraId="5578F817" w14:textId="4682EE48" w:rsidR="00170A62" w:rsidRPr="00170A62" w:rsidRDefault="00170A62" w:rsidP="00170A62">
      <w:r w:rsidRPr="00170A62">
        <w:lastRenderedPageBreak/>
        <w:fldChar w:fldCharType="begin"/>
      </w:r>
      <w:r w:rsidRPr="00170A62">
        <w:instrText xml:space="preserve"> REF _Ref141613280 \r \h  \* MERGEFORMAT </w:instrText>
      </w:r>
      <w:r w:rsidRPr="00170A62">
        <w:fldChar w:fldCharType="separate"/>
      </w:r>
      <w:r w:rsidRPr="00170A62">
        <w:t>1(a).5</w:t>
      </w:r>
      <w:r w:rsidRPr="00170A62">
        <w:fldChar w:fldCharType="end"/>
      </w:r>
      <w:r w:rsidR="00973F2D">
        <w:t xml:space="preserve"> </w:t>
      </w:r>
      <w:r w:rsidR="00973F2D" w:rsidRPr="001F1E7F">
        <w:fldChar w:fldCharType="begin"/>
      </w:r>
      <w:r w:rsidR="00973F2D" w:rsidRPr="001F1E7F">
        <w:instrText xml:space="preserve"> REF _Ref141613280 \h </w:instrText>
      </w:r>
      <w:r w:rsidR="001F1E7F" w:rsidRPr="001F1E7F">
        <w:instrText xml:space="preserve"> \* MERGEFORMAT </w:instrText>
      </w:r>
      <w:r w:rsidR="00973F2D" w:rsidRPr="001F1E7F">
        <w:fldChar w:fldCharType="separate"/>
      </w:r>
      <w:r w:rsidR="00C86574" w:rsidRPr="00874999">
        <w:t xml:space="preserve">The </w:t>
      </w:r>
      <w:r w:rsidR="00C86574">
        <w:t>C</w:t>
      </w:r>
      <w:r w:rsidR="00C86574" w:rsidRPr="00874999">
        <w:t xml:space="preserve">ommittee has failed to fairly consider </w:t>
      </w:r>
      <w:proofErr w:type="spellStart"/>
      <w:r w:rsidR="00C86574" w:rsidRPr="00874999">
        <w:rPr>
          <w:lang w:eastAsia="x-none"/>
        </w:rPr>
        <w:t>belantamab</w:t>
      </w:r>
      <w:proofErr w:type="spellEnd"/>
      <w:r w:rsidR="00C86574" w:rsidRPr="00874999">
        <w:rPr>
          <w:lang w:eastAsia="x-none"/>
        </w:rPr>
        <w:t xml:space="preserve"> </w:t>
      </w:r>
      <w:r w:rsidR="00C86574" w:rsidRPr="00874999">
        <w:t xml:space="preserve">in the </w:t>
      </w:r>
      <w:r w:rsidR="00C86574">
        <w:t xml:space="preserve">original (5L+ </w:t>
      </w:r>
      <w:proofErr w:type="spellStart"/>
      <w:r w:rsidR="00C86574">
        <w:t>TCR</w:t>
      </w:r>
      <w:proofErr w:type="spellEnd"/>
      <w:r w:rsidR="00C86574">
        <w:t xml:space="preserve">) or </w:t>
      </w:r>
      <w:r w:rsidR="00C86574" w:rsidRPr="00874999">
        <w:t xml:space="preserve">revised positioning </w:t>
      </w:r>
      <w:r w:rsidR="00C86574">
        <w:t>(</w:t>
      </w:r>
      <w:r w:rsidR="00C86574" w:rsidRPr="00874999">
        <w:t xml:space="preserve">5L+ </w:t>
      </w:r>
      <w:proofErr w:type="spellStart"/>
      <w:r w:rsidR="00C86574" w:rsidRPr="00874999">
        <w:t>TCR</w:t>
      </w:r>
      <w:proofErr w:type="spellEnd"/>
      <w:r w:rsidR="00C86574" w:rsidRPr="00874999">
        <w:t xml:space="preserve"> post-pomalidomide subpopulation</w:t>
      </w:r>
      <w:r w:rsidR="00C86574">
        <w:t>)</w:t>
      </w:r>
      <w:r w:rsidR="00C86574" w:rsidRPr="00874999">
        <w:t xml:space="preserve"> in which </w:t>
      </w:r>
      <w:proofErr w:type="spellStart"/>
      <w:r w:rsidR="00C86574" w:rsidRPr="00874999">
        <w:rPr>
          <w:lang w:eastAsia="x-none"/>
        </w:rPr>
        <w:t>belantamab</w:t>
      </w:r>
      <w:proofErr w:type="spellEnd"/>
      <w:r w:rsidR="00C86574" w:rsidRPr="00874999">
        <w:rPr>
          <w:lang w:eastAsia="x-none"/>
        </w:rPr>
        <w:t xml:space="preserve"> </w:t>
      </w:r>
      <w:r w:rsidR="00C86574" w:rsidRPr="00874999">
        <w:t>offers significant benefits to UK patients with a high unmet need.</w:t>
      </w:r>
      <w:r w:rsidR="00973F2D" w:rsidRPr="001F1E7F">
        <w:fldChar w:fldCharType="end"/>
      </w:r>
      <w:r w:rsidRPr="00170A62">
        <w:t xml:space="preserve"> </w:t>
      </w:r>
    </w:p>
    <w:p w14:paraId="65580237" w14:textId="419E4A1C" w:rsidR="009A63E9" w:rsidRDefault="009A63E9" w:rsidP="009A63E9">
      <w:pPr>
        <w:pStyle w:val="Paragraph"/>
        <w:rPr>
          <w:b/>
          <w:bCs/>
          <w:u w:val="single"/>
          <w:lang w:eastAsia="x-none"/>
        </w:rPr>
      </w:pPr>
      <w:r w:rsidRPr="0037121C">
        <w:rPr>
          <w:b/>
          <w:bCs/>
          <w:u w:val="single"/>
          <w:lang w:eastAsia="x-none"/>
        </w:rPr>
        <w:t>Ground 2</w:t>
      </w:r>
      <w:r w:rsidR="00273681" w:rsidRPr="0037121C">
        <w:rPr>
          <w:b/>
          <w:bCs/>
          <w:u w:val="single"/>
          <w:lang w:eastAsia="x-none"/>
        </w:rPr>
        <w:t xml:space="preserve"> The recommendation is unreasonable in the light of the evidence submitted to NICE</w:t>
      </w:r>
      <w:r w:rsidR="0037121C">
        <w:rPr>
          <w:b/>
          <w:bCs/>
          <w:u w:val="single"/>
          <w:lang w:eastAsia="x-none"/>
        </w:rPr>
        <w:t>.</w:t>
      </w:r>
    </w:p>
    <w:p w14:paraId="6A5D9A79" w14:textId="6D288DD6" w:rsidR="00170A62" w:rsidRPr="00170A62" w:rsidRDefault="00170A62" w:rsidP="00170A62">
      <w:r w:rsidRPr="00170A62">
        <w:fldChar w:fldCharType="begin"/>
      </w:r>
      <w:r w:rsidRPr="00170A62">
        <w:instrText xml:space="preserve"> REF _Ref141613284 \r \h  \* MERGEFORMAT </w:instrText>
      </w:r>
      <w:r w:rsidRPr="00170A62">
        <w:fldChar w:fldCharType="separate"/>
      </w:r>
      <w:r w:rsidRPr="00170A62">
        <w:t>2.1</w:t>
      </w:r>
      <w:r w:rsidRPr="00170A62">
        <w:fldChar w:fldCharType="end"/>
      </w:r>
      <w:r>
        <w:t xml:space="preserve"> </w:t>
      </w:r>
      <w:r w:rsidR="00B00A54" w:rsidRPr="001F1E7F">
        <w:fldChar w:fldCharType="begin"/>
      </w:r>
      <w:r w:rsidR="00B00A54" w:rsidRPr="001F1E7F">
        <w:instrText xml:space="preserve"> REF _Ref141613284 \h </w:instrText>
      </w:r>
      <w:r w:rsidR="001F1E7F" w:rsidRPr="001F1E7F">
        <w:instrText xml:space="preserve"> \* MERGEFORMAT </w:instrText>
      </w:r>
      <w:r w:rsidR="00B00A54" w:rsidRPr="001F1E7F">
        <w:fldChar w:fldCharType="separate"/>
      </w:r>
      <w:r w:rsidR="00C86574" w:rsidRPr="00657AAE">
        <w:t xml:space="preserve">The Committee’s conclusion </w:t>
      </w:r>
      <w:r w:rsidR="00C86574">
        <w:t xml:space="preserve">in relation to the data from the </w:t>
      </w:r>
      <w:r w:rsidR="00C86574" w:rsidRPr="00657AAE">
        <w:t xml:space="preserve">DREAMM-3 </w:t>
      </w:r>
      <w:r w:rsidR="00C86574">
        <w:t>are unreasonable in the light of the evidence submitted</w:t>
      </w:r>
      <w:r w:rsidR="00C86574" w:rsidRPr="00657AAE">
        <w:t>.</w:t>
      </w:r>
      <w:r w:rsidR="00B00A54" w:rsidRPr="001F1E7F">
        <w:fldChar w:fldCharType="end"/>
      </w:r>
    </w:p>
    <w:p w14:paraId="3E60EC1F" w14:textId="3A6A054A" w:rsidR="00170A62" w:rsidRPr="00170A62" w:rsidRDefault="00170A62" w:rsidP="00170A62">
      <w:r w:rsidRPr="00170A62">
        <w:fldChar w:fldCharType="begin"/>
      </w:r>
      <w:r w:rsidRPr="00170A62">
        <w:instrText xml:space="preserve"> REF _Ref141968712 \r \h  \* MERGEFORMAT </w:instrText>
      </w:r>
      <w:r w:rsidRPr="00170A62">
        <w:fldChar w:fldCharType="separate"/>
      </w:r>
      <w:r w:rsidRPr="00170A62">
        <w:t>2.2</w:t>
      </w:r>
      <w:r w:rsidRPr="00170A62">
        <w:fldChar w:fldCharType="end"/>
      </w:r>
      <w:r>
        <w:t xml:space="preserve"> </w:t>
      </w:r>
      <w:r w:rsidRPr="00170A62">
        <w:fldChar w:fldCharType="begin"/>
      </w:r>
      <w:r w:rsidRPr="00170A62">
        <w:instrText xml:space="preserve"> REF _Ref141968712 \h  \* MERGEFORMAT </w:instrText>
      </w:r>
      <w:r w:rsidRPr="00170A62">
        <w:fldChar w:fldCharType="separate"/>
      </w:r>
      <w:r w:rsidR="00C86574" w:rsidRPr="00C86574">
        <w:t xml:space="preserve">The </w:t>
      </w:r>
      <w:r w:rsidR="00C86574">
        <w:t>C</w:t>
      </w:r>
      <w:r w:rsidR="00C86574" w:rsidRPr="00C86574">
        <w:t xml:space="preserve">ommittee’s failure to </w:t>
      </w:r>
      <w:r w:rsidR="00C86574">
        <w:t xml:space="preserve">recognise </w:t>
      </w:r>
      <w:proofErr w:type="spellStart"/>
      <w:r w:rsidR="00C86574">
        <w:t>belantamab</w:t>
      </w:r>
      <w:proofErr w:type="spellEnd"/>
      <w:r w:rsidR="00C86574">
        <w:t xml:space="preserve"> as an innovative intervention with benefits not captured in the economic modelling is inconsistent with the innovation passport granted by MHRA, the evidence submitted by GSK and stakeholders’ comments in response to the consultation on the draft guidance and is therefore unreasonable.</w:t>
      </w:r>
      <w:r w:rsidRPr="00170A62">
        <w:fldChar w:fldCharType="end"/>
      </w:r>
    </w:p>
    <w:p w14:paraId="4CCB995B" w14:textId="4293FF33" w:rsidR="00170A62" w:rsidRPr="00170A62" w:rsidRDefault="00170A62" w:rsidP="00170A62">
      <w:r w:rsidRPr="00170A62">
        <w:fldChar w:fldCharType="begin"/>
      </w:r>
      <w:r w:rsidRPr="00170A62">
        <w:instrText xml:space="preserve"> REF _Ref141968720 \r \h  \* MERGEFORMAT </w:instrText>
      </w:r>
      <w:r w:rsidRPr="00170A62">
        <w:fldChar w:fldCharType="separate"/>
      </w:r>
      <w:r w:rsidRPr="00170A62">
        <w:t>2.3</w:t>
      </w:r>
      <w:r w:rsidRPr="00170A62">
        <w:fldChar w:fldCharType="end"/>
      </w:r>
      <w:r>
        <w:t xml:space="preserve"> </w:t>
      </w:r>
      <w:r w:rsidRPr="00170A62">
        <w:fldChar w:fldCharType="begin"/>
      </w:r>
      <w:r w:rsidRPr="00170A62">
        <w:instrText xml:space="preserve"> REF _Ref141968720 \h  \* MERGEFORMAT </w:instrText>
      </w:r>
      <w:r w:rsidRPr="00170A62">
        <w:fldChar w:fldCharType="separate"/>
      </w:r>
      <w:r w:rsidR="00C86574" w:rsidRPr="003B414F">
        <w:t xml:space="preserve">The </w:t>
      </w:r>
      <w:r w:rsidR="00C86574">
        <w:t>C</w:t>
      </w:r>
      <w:r w:rsidR="00C86574" w:rsidRPr="003B414F">
        <w:t xml:space="preserve">ommittee’s conclusions on the severity modifiers in the 5L+ </w:t>
      </w:r>
      <w:proofErr w:type="spellStart"/>
      <w:r w:rsidR="00C86574" w:rsidRPr="003B414F">
        <w:t>TCR</w:t>
      </w:r>
      <w:proofErr w:type="spellEnd"/>
      <w:r w:rsidR="00C86574" w:rsidRPr="003B414F">
        <w:t xml:space="preserve"> post-POM subgroup </w:t>
      </w:r>
      <w:r w:rsidR="00C86574">
        <w:t xml:space="preserve">are </w:t>
      </w:r>
      <w:r w:rsidR="00C86574" w:rsidRPr="003B414F">
        <w:t>unreasonable given the evidence indicating the applicability of a 1.7 severity weight.</w:t>
      </w:r>
      <w:r w:rsidRPr="00170A62">
        <w:fldChar w:fldCharType="end"/>
      </w:r>
    </w:p>
    <w:p w14:paraId="0E08E587" w14:textId="5749AA59" w:rsidR="00987CB2" w:rsidRDefault="008C64D7" w:rsidP="00BC6737">
      <w:pPr>
        <w:pStyle w:val="Heading1"/>
        <w:rPr>
          <w:lang w:eastAsia="en-GB"/>
        </w:rPr>
      </w:pPr>
      <w:r w:rsidRPr="006D5D92">
        <w:rPr>
          <w:lang w:eastAsia="en-GB"/>
        </w:rPr>
        <w:t>Introduction</w:t>
      </w:r>
    </w:p>
    <w:p w14:paraId="72210F9C" w14:textId="0B717153" w:rsidR="00325542" w:rsidRPr="006913A2" w:rsidRDefault="00325542" w:rsidP="00E0409A">
      <w:r w:rsidRPr="006913A2">
        <w:t xml:space="preserve">The following </w:t>
      </w:r>
      <w:r>
        <w:t>section</w:t>
      </w:r>
      <w:r w:rsidR="006A625D">
        <w:t>s</w:t>
      </w:r>
      <w:r w:rsidRPr="006913A2">
        <w:t xml:space="preserve"> provide background information in relation to multiple myeloma and </w:t>
      </w:r>
      <w:r w:rsidR="00EA7BFB">
        <w:rPr>
          <w:lang w:eastAsia="x-none"/>
        </w:rPr>
        <w:t xml:space="preserve">belantamab </w:t>
      </w:r>
      <w:proofErr w:type="gramStart"/>
      <w:r w:rsidRPr="006913A2">
        <w:t>in order to</w:t>
      </w:r>
      <w:proofErr w:type="gramEnd"/>
      <w:r w:rsidRPr="006913A2">
        <w:t xml:space="preserve"> assist the Appeal Panel. This summary is not intended to replace the more detailed information provided by GSK in </w:t>
      </w:r>
      <w:r w:rsidR="00DF17B7" w:rsidRPr="006913A2">
        <w:t>the appraisal documents</w:t>
      </w:r>
      <w:r w:rsidRPr="006913A2">
        <w:t xml:space="preserve">. </w:t>
      </w:r>
    </w:p>
    <w:p w14:paraId="5085299C" w14:textId="51DA79A1" w:rsidR="00171DCC" w:rsidRPr="00642686" w:rsidRDefault="00171DCC" w:rsidP="00BC6737">
      <w:pPr>
        <w:pStyle w:val="Heading2"/>
        <w:rPr>
          <w:lang w:val="en-GB"/>
        </w:rPr>
      </w:pPr>
      <w:r w:rsidRPr="006D5D92">
        <w:t>Multiple Myeloma</w:t>
      </w:r>
      <w:r w:rsidR="00642686">
        <w:rPr>
          <w:lang w:val="en-GB"/>
        </w:rPr>
        <w:t xml:space="preserve"> (MM)</w:t>
      </w:r>
    </w:p>
    <w:p w14:paraId="4510A2C6" w14:textId="469C5083" w:rsidR="00534F6C" w:rsidRPr="00534F6C" w:rsidRDefault="00784DE5" w:rsidP="00E0409A">
      <w:r>
        <w:t>Multiple myeloma (MM)</w:t>
      </w:r>
      <w:r w:rsidR="00534F6C" w:rsidRPr="00534F6C">
        <w:t xml:space="preserve"> is an orphan, incurable, progressive, malignant plasma cell dis</w:t>
      </w:r>
      <w:r w:rsidR="005D42B6">
        <w:t>ease</w:t>
      </w:r>
      <w:r w:rsidR="00534F6C" w:rsidRPr="00534F6C">
        <w:t>, characterised by the abnormal proliferation of clonal B-cells in the bone marrow.</w:t>
      </w:r>
      <w:r w:rsidR="007050FB" w:rsidRPr="00E0008D">
        <w:rPr>
          <w:highlight w:val="yellow"/>
          <w:vertAlign w:val="superscript"/>
        </w:rPr>
        <w:fldChar w:fldCharType="begin" w:fldLock="1"/>
      </w:r>
      <w:r w:rsidR="00C93DE3">
        <w:rPr>
          <w:highlight w:val="yellow"/>
          <w:vertAlign w:val="superscript"/>
        </w:rPr>
        <w:instrText xml:space="preserve"> ADDIN ZOTERO_ITEM CSL_CITATION {"citationID":"1q4RuDbP","properties":{"formattedCitation":"\\super 1\\nosupersub{}","plainCitation":"1","noteIndex":0},"citationItems":[{"id":"9Hb1KKeR/M5wbT1DX","uris":["http://www.mendeley.com/documents/?uuid=60ecd6e8-7da3-4bec-81ba-ececbe6dffc7"],"itemData":{"DOI":"10.1038/leu.2008.291","ISSN":"1476-5551","abstract":"New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-1","issue":"1","issued":{"date-parts":[["2009"]]},"page":"3-9","title":"Criteria for diagnosis, staging, risk stratification and response assessment of multiple myeloma","type":"article-journal","volume":"23"}}],"schema":"https://github.com/citation-style-language/schema/raw/master/csl-citation.json"} </w:instrText>
      </w:r>
      <w:r w:rsidR="007050FB" w:rsidRPr="00E0008D">
        <w:rPr>
          <w:highlight w:val="yellow"/>
          <w:vertAlign w:val="superscript"/>
        </w:rPr>
        <w:fldChar w:fldCharType="separate"/>
      </w:r>
      <w:r w:rsidR="00C93DE3" w:rsidRPr="00C93DE3">
        <w:rPr>
          <w:rFonts w:cs="Arial"/>
          <w:szCs w:val="24"/>
          <w:vertAlign w:val="superscript"/>
        </w:rPr>
        <w:t>1</w:t>
      </w:r>
      <w:r w:rsidR="007050FB" w:rsidRPr="00E0008D">
        <w:rPr>
          <w:highlight w:val="yellow"/>
          <w:vertAlign w:val="superscript"/>
        </w:rPr>
        <w:fldChar w:fldCharType="end"/>
      </w:r>
      <w:r w:rsidR="00534F6C" w:rsidRPr="00534F6C">
        <w:t xml:space="preserve"> It accounts for approximately 2% of all new cancer cases, with an estimated 5,951 new cases of MM in the UK each year, and an estimated 3,098 deaths.</w:t>
      </w:r>
      <w:r w:rsidR="007050FB" w:rsidRPr="001D488C">
        <w:rPr>
          <w:vertAlign w:val="superscript"/>
        </w:rPr>
        <w:fldChar w:fldCharType="begin"/>
      </w:r>
      <w:r w:rsidR="00C93DE3">
        <w:rPr>
          <w:vertAlign w:val="superscript"/>
        </w:rPr>
        <w:instrText xml:space="preserve"> ADDIN ZOTERO_ITEM CSL_CITATION {"citationID":"scWmcX4j","properties":{"formattedCitation":"\\super 2,3\\nosupersub{}","plainCitation":"2,3","noteIndex":0},"citationItems":[{"id":19189,"uris":["http://zotero.org/groups/4721759/items/M9KN2IEA"],"itemData":{"id":19189,"type":"webpage","abstract":"The latest myeloma statistics for the UK for Health Professionals. See data for incidence, mortality, survival, risk and more.","container-title":"Cancer Research UK","language":"en","title":"Myeloma statistics","URL":"https://www.cancerresearchuk.org/health-professional/cancer-statistics/statistics-by-cancer-type/myeloma","accessed":{"date-parts":[["2022",6,24]]},"issued":{"date-parts":[["2022"]]}}},{"id":19645,"uris":["http://zotero.org/groups/4721759/items/LHZ4PENA"],"itemData":{"id":19645,"type":"webpage","title":"HMRN - Factsheets","URL":"https://hmrn.org/factsheets#myeloma","accessed":{"date-parts":[["2022",7,19]]}}}],"schema":"https://github.com/citation-style-language/schema/raw/master/csl-citation.json"} </w:instrText>
      </w:r>
      <w:r w:rsidR="007050FB" w:rsidRPr="001D488C">
        <w:rPr>
          <w:vertAlign w:val="superscript"/>
        </w:rPr>
        <w:fldChar w:fldCharType="separate"/>
      </w:r>
      <w:r w:rsidR="00C93DE3" w:rsidRPr="00C93DE3">
        <w:rPr>
          <w:rFonts w:cs="Arial"/>
          <w:szCs w:val="24"/>
          <w:vertAlign w:val="superscript"/>
        </w:rPr>
        <w:t>2,3</w:t>
      </w:r>
      <w:r w:rsidR="007050FB" w:rsidRPr="001D488C">
        <w:rPr>
          <w:vertAlign w:val="superscript"/>
        </w:rPr>
        <w:fldChar w:fldCharType="end"/>
      </w:r>
      <w:r w:rsidR="007050FB" w:rsidRPr="001D488C">
        <w:rPr>
          <w:vertAlign w:val="superscript"/>
        </w:rPr>
        <w:t>,</w:t>
      </w:r>
      <w:r w:rsidR="007050FB" w:rsidRPr="001D488C">
        <w:rPr>
          <w:vertAlign w:val="superscript"/>
        </w:rPr>
        <w:fldChar w:fldCharType="begin"/>
      </w:r>
      <w:r w:rsidR="00C93DE3">
        <w:rPr>
          <w:vertAlign w:val="superscript"/>
        </w:rPr>
        <w:instrText xml:space="preserve"> ADDIN ZOTERO_ITEM CSL_CITATION {"citationID":"BkpDAirV","properties":{"formattedCitation":"\\super 4\\nosupersub{}","plainCitation":"4","noteIndex":0},"citationItems":[{"id":27549,"uris":["http://zotero.org/groups/4721759/items/UHN6TDSH"],"itemData":{"id":27549,"type":"article-journal","abstract":"Estimates of the worldwide incidence and mortality from 36 cancers and for all cancers combined for the year 2018 are now available in the GLOBOCAN 2018 database, compiled and disseminated by the International Agency for Research on Cancer (IARC). This paper reviews the sources and methods used in compiling the cancer statistics in 185 countries. The validity of the national estimates depends upon the representativeness of the source information, and to take into account possible sources of bias, uncertainty intervals are now provided for the estimated sex- and site-specific all-ages number of new cancer cases and cancer deaths. We briefly describe the key results globally and by world region. There were an estimated 18.1 million (95% UI: 17.5–18.7 million) new cases of cancer (17 million excluding non-melanoma skin cancer) and 9.6 million (95% UI: 9.3–9.8 million) deaths from cancer (9.5 million excluding non-melanoma skin cancer) worldwide in 2018.","container-title":"International Journal of Cancer","DOI":"10.1002/ijc.31937","ISSN":"1097-0215","issue":"8","language":"en","note":"_eprint: https://onlinelibrary.wiley.com/doi/pdf/10.1002/ijc.31937","page":"1941-1953","source":"Wiley Online Library","title":"Estimating the global cancer incidence and mortality in 2018: GLOBOCAN sources and methods","title-short":"Estimating the global cancer incidence and mortality in 2018","volume":"144","author":[{"family":"Ferlay","given":"J."},{"family":"Colombet","given":"M."},{"family":"Soerjomataram","given":"I."},{"family":"Mathers","given":"C."},{"family":"Parkin","given":"D.m."},{"family":"Piñeros","given":"M."},{"family":"Znaor","given":"A."},{"family":"Bray","given":"F."}],"issued":{"date-parts":[["2019"]]}}}],"schema":"https://github.com/citation-style-language/schema/raw/master/csl-citation.json"} </w:instrText>
      </w:r>
      <w:r w:rsidR="007050FB" w:rsidRPr="001D488C">
        <w:rPr>
          <w:vertAlign w:val="superscript"/>
        </w:rPr>
        <w:fldChar w:fldCharType="separate"/>
      </w:r>
      <w:r w:rsidR="00C93DE3" w:rsidRPr="00C93DE3">
        <w:rPr>
          <w:rFonts w:cs="Arial"/>
          <w:szCs w:val="24"/>
          <w:vertAlign w:val="superscript"/>
        </w:rPr>
        <w:t>4</w:t>
      </w:r>
      <w:r w:rsidR="007050FB" w:rsidRPr="001D488C">
        <w:rPr>
          <w:vertAlign w:val="superscript"/>
        </w:rPr>
        <w:fldChar w:fldCharType="end"/>
      </w:r>
      <w:r w:rsidR="005C4E2E" w:rsidRPr="005C4E2E">
        <w:t xml:space="preserve"> </w:t>
      </w:r>
      <w:r w:rsidR="005C4E2E">
        <w:t>P</w:t>
      </w:r>
      <w:r w:rsidR="005C4E2E" w:rsidRPr="00534F6C">
        <w:t xml:space="preserve">atients aged 75 and over </w:t>
      </w:r>
      <w:r w:rsidR="005C4E2E">
        <w:t xml:space="preserve">represent </w:t>
      </w:r>
      <w:r w:rsidR="00534F6C" w:rsidRPr="00534F6C">
        <w:t xml:space="preserve">43% of all new UK myeloma </w:t>
      </w:r>
      <w:r w:rsidR="00AF2987">
        <w:t xml:space="preserve">diagnosis </w:t>
      </w:r>
      <w:r w:rsidR="00534F6C" w:rsidRPr="00534F6C">
        <w:t>with a median age at presentation of 72.6 years.</w:t>
      </w:r>
      <w:r w:rsidR="007050FB" w:rsidRPr="591CC727">
        <w:rPr>
          <w:vertAlign w:val="superscript"/>
        </w:rPr>
        <w:fldChar w:fldCharType="begin" w:fldLock="1"/>
      </w:r>
      <w:r w:rsidR="00C93DE3">
        <w:rPr>
          <w:vertAlign w:val="superscript"/>
        </w:rPr>
        <w:instrText xml:space="preserve"> ADDIN ZOTERO_ITEM CSL_CITATION {"citationID":"zLO1EpHh","properties":{"formattedCitation":"\\super 2,5\\nosupersub{}","plainCitation":"2,5","noteIndex":0},"citationItems":[{"id":19647,"uris":["http://zotero.org/groups/4721759/items/SWDZ5UJK"],"itemData":{"id":19647,"type":"webpage","title":"HMRN - Survival","URL":"https://hmrn.org/statistics/survival","accessed":{"date-parts":[["2022",7,19]]}}},{"id":19189,"uris":["http://zotero.org/groups/4721759/items/M9KN2IEA"],"itemData":{"id":19189,"type":"webpage","abstract":"The latest myeloma statistics for the UK for Health Professionals. See data for incidence, mortality, survival, risk and more.","container-title":"Cancer Research UK","language":"en","title":"Myeloma statistics","URL":"https://www.cancerresearchuk.org/health-professional/cancer-statistics/statistics-by-cancer-type/myeloma","accessed":{"date-parts":[["2022",6,24]]},"issued":{"date-parts":[["2022"]]}}}],"schema":"https://github.com/citation-style-language/schema/raw/master/csl-citation.json"} </w:instrText>
      </w:r>
      <w:r w:rsidR="007050FB" w:rsidRPr="591CC727">
        <w:rPr>
          <w:vertAlign w:val="superscript"/>
        </w:rPr>
        <w:fldChar w:fldCharType="separate"/>
      </w:r>
      <w:r w:rsidR="00C93DE3" w:rsidRPr="00C93DE3">
        <w:rPr>
          <w:rFonts w:cs="Arial"/>
          <w:szCs w:val="24"/>
          <w:vertAlign w:val="superscript"/>
        </w:rPr>
        <w:t>2,5</w:t>
      </w:r>
      <w:r w:rsidR="007050FB" w:rsidRPr="591CC727">
        <w:rPr>
          <w:vertAlign w:val="superscript"/>
        </w:rPr>
        <w:fldChar w:fldCharType="end"/>
      </w:r>
      <w:r w:rsidR="00AF2987">
        <w:rPr>
          <w:vertAlign w:val="superscript"/>
        </w:rPr>
        <w:t xml:space="preserve"> </w:t>
      </w:r>
      <w:r w:rsidR="00C93DE3">
        <w:t>Ol</w:t>
      </w:r>
      <w:r w:rsidR="00534F6C" w:rsidRPr="00534F6C">
        <w:t xml:space="preserve">der patients are more likely to have comorbidities, such as cardiovascular disease and renal insufficiency, which </w:t>
      </w:r>
      <w:r w:rsidR="005D42B6">
        <w:t xml:space="preserve">may exclude use of certain treatments </w:t>
      </w:r>
      <w:r w:rsidR="00534F6C" w:rsidRPr="00534F6C">
        <w:t>due to toxic side effects.</w:t>
      </w:r>
      <w:r w:rsidR="007050FB" w:rsidRPr="591CC727">
        <w:rPr>
          <w:vertAlign w:val="superscript"/>
        </w:rPr>
        <w:fldChar w:fldCharType="begin"/>
      </w:r>
      <w:r w:rsidR="00C93DE3">
        <w:rPr>
          <w:vertAlign w:val="superscript"/>
        </w:rPr>
        <w:instrText xml:space="preserve"> ADDIN ZOTERO_ITEM CSL_CITATION {"citationID":"czfjIzNN","properties":{"formattedCitation":"\\super 6\\nosupersub{}","plainCitation":"6","noteIndex":0},"citationItems":[{"id":19617,"uris":["http://zotero.org/groups/4721759/items/ITT2NNGM"],"itemData":{"id":19617,"type":"article-journal","abstract":"Objectives: One-third of patients with multiple myeloma (MM) are diagnosed at age ≥ 75 years. Older patients have increased incidence of cardiovascular disease (CVD) and renal insufﬁciency (RI), hallmark complications of MM. We examined cumulative incidence of CVD and RI in relapsed/refractory MM (RRMM) and outcomes by age and RI/CVD. Materials and Methods: Retrospective cohort study using a large US electronic medical records database of adult patients with RRMM initiating ﬁrst- and second-line therapy (2LT) between 1/2008–06/2015. RI and CVD comorbidities were based on diagnosis codes and/or lab values.\nResults: Among 628 patients, 37.1% were ≥75 years. Cumulative incidence of CVD and/or RI increased from 47.7% at MM diagnosis to 67.8% at ﬁrst relapse. Age ≥ 75 years had a trend toward higher risk of relapse post 2LT, proxied by time to next treatment (TTNT), (adjusted HR: 1.28; 95% CI: 1.00, 1.65; P = 0.05). TTNT was signiﬁcantly higher with comorbid CVD + RI (adjusted HR: 1.50; 95% CI: 1.11, 2.02; P b 0.01). Age ≥ 75 years, RI, CVD, and CVD + RI were associated with increased mortality risk from 2LT initiation; adjusted HR: 1.66 (95% CI: 1.19, 2.33; P b 0.01), 1.51 (95% CI: 1.01, 2.26; P = 0.04), 1.75 (95% CI: 1.03, 2.96; P = 0.04), and 1.95 (95% CI: 1.29, 2.93; P b 0.01), respectively.\nConclusion: Despite treatment with novel agents for RRMM in 86% of patients, an outcome gap persists for older patients and those with RI and/or CVD. Personalized treatment approaches that account for age and comorbidities, and further evaluation of innovative regimens and dosing schedules, are needed to improve outcomes for these patients.","container-title":"Journal of Geriatric Oncology","DOI":"10.1016/j.jgo.2017.09.007","ISSN":"18794068","issue":"2","journalAbbreviation":"Journal of Geriatric Oncology","language":"en","page":"138-144","source":"DOI.org (Crossref)","title":"The impact of age and comorbidities on practice patterns and outcomes in patients with relapsed/refractory multiple myeloma in the era of novel therapies","volume":"9","author":[{"family":"Hari","given":"Parameswaran"},{"family":"Romanus","given":"Dorothy"},{"family":"Luptakova","given":"Katarina"},{"family":"Blazer","given":"Marlo"},{"family":"Yong","given":"Candice"},{"family":"Raju","given":"Aditya"},{"family":"Farrelly","given":"Eileen"},{"family":"Labotka","given":"Richard"},{"family":"Morrison","given":"Vicki A."}],"issued":{"date-parts":[["2018",3]]}}}],"schema":"https://github.com/citation-style-language/schema/raw/master/csl-citation.json"} </w:instrText>
      </w:r>
      <w:r w:rsidR="007050FB" w:rsidRPr="591CC727">
        <w:rPr>
          <w:vertAlign w:val="superscript"/>
        </w:rPr>
        <w:fldChar w:fldCharType="separate"/>
      </w:r>
      <w:r w:rsidR="00C93DE3" w:rsidRPr="00C93DE3">
        <w:rPr>
          <w:rFonts w:cs="Arial"/>
          <w:szCs w:val="24"/>
          <w:vertAlign w:val="superscript"/>
        </w:rPr>
        <w:t>6</w:t>
      </w:r>
      <w:r w:rsidR="007050FB" w:rsidRPr="591CC727">
        <w:rPr>
          <w:vertAlign w:val="superscript"/>
        </w:rPr>
        <w:fldChar w:fldCharType="end"/>
      </w:r>
    </w:p>
    <w:p w14:paraId="53CFE2DA" w14:textId="6FED36C4" w:rsidR="00000CBA" w:rsidRDefault="00534F6C" w:rsidP="00E0409A">
      <w:r w:rsidRPr="00534F6C">
        <w:t>The clinical course of the disease, although variable, typically includes periods of treatment and remission separated by inevitable relapses.</w:t>
      </w:r>
      <w:r w:rsidR="007050FB">
        <w:fldChar w:fldCharType="begin"/>
      </w:r>
      <w:r w:rsidR="00C93DE3">
        <w:instrText xml:space="preserve"> ADDIN ZOTERO_ITEM CSL_CITATION {"citationID":"kA3NKXuA","properties":{"formattedCitation":"\\super 7\\nosupersub{}","plainCitation":"7","noteIndex":0},"citationItems":[{"id":20130,"uris":["http://zotero.org/groups/4721759/items/JEV3T9EN"],"itemData":{"id":20130,"type":"article-journal","container-title":"Mayo Clinic Proceedings","DOI":"10.4065/79.7.867","ISSN":"0025-6196, 1942-5546","issue":"7","journalAbbreviation":"Mayo Clinic Proceedings","language":"English","note":"publisher: Elsevier","page":"867-874","source":"www.mayoclinicproceedings.org","title":"Clinical Course of Patients With Relapsed Multiple Myeloma","volume":"79","author":[{"family":"Kumar","given":"Shaji K."},{"family":"Therneau","given":"Terry M."},{"family":"Gertz","given":"Morie A."},{"family":"Lacy","given":"Martha Q."},{"family":"Dispenzieri","given":"Angela"},{"family":"Rajkumar","given":"S. Vincent"},{"family":"Fonseca","given":"Rafael"},{"family":"Witzig","given":"Thomas E."},{"family":"Lust","given":"John A."},{"family":"Larson","given":"Dirk R."},{"family":"Kyle","given":"Robert A."},{"family":"Greipp","given":"Philip R."}],"issued":{"date-parts":[["2004",7,1]]}}}],"schema":"https://github.com/citation-style-language/schema/raw/master/csl-citation.json"} </w:instrText>
      </w:r>
      <w:r w:rsidR="007050FB">
        <w:fldChar w:fldCharType="separate"/>
      </w:r>
      <w:r w:rsidR="00C93DE3" w:rsidRPr="00C93DE3">
        <w:rPr>
          <w:rFonts w:cs="Arial"/>
          <w:szCs w:val="24"/>
          <w:vertAlign w:val="superscript"/>
        </w:rPr>
        <w:t>7</w:t>
      </w:r>
      <w:r w:rsidR="007050FB">
        <w:fldChar w:fldCharType="end"/>
      </w:r>
      <w:r w:rsidRPr="00534F6C">
        <w:t xml:space="preserve"> Relapsed refractory MM (RRMM) is defined as disease that becomes non-responsive while on therapy or that progress</w:t>
      </w:r>
      <w:r w:rsidR="005D42B6">
        <w:t>es</w:t>
      </w:r>
      <w:r w:rsidRPr="00534F6C">
        <w:t xml:space="preserve"> within 60 days of the last treatment in patients </w:t>
      </w:r>
      <w:r w:rsidR="005D42B6">
        <w:t xml:space="preserve">who </w:t>
      </w:r>
      <w:r w:rsidRPr="00534F6C">
        <w:t>previously achieved minimal response (MR) or better on prior therapy.</w:t>
      </w:r>
      <w:r w:rsidR="00C93DE3" w:rsidRPr="00D65212">
        <w:fldChar w:fldCharType="begin" w:fldLock="1"/>
      </w:r>
      <w:r w:rsidR="00C93DE3">
        <w:instrText xml:space="preserve"> ADDIN ZOTERO_ITEM CSL_CITATION {"citationID":"1NopatbA","properties":{"formattedCitation":"\\super 8,9\\nosupersub{}","plainCitation":"8,9","noteIndex":0},"citationItems":[{"id":"9Hb1KKeR/QMa8p1Hb","uris":["http://www.mendeley.com/documents/?uuid=a53187a9-5853-4211-a528-b8a9879a7b8e"],"itemData":{"DOI":"10.1038/sj.leu.2405016","ISSN":"1476-5551 (Electronic)","PMID":"17972944","abstract":"This manuscript summarizes the recommendations of the American Society of  Hematology/US Food and Drug Administration Workshop on Clinical Endpoints in Multiple Myeloma, which brought together clinical investigators in multiple myeloma, the United States Food and Drug Administration, pharmaceutical companies, patient advocates and other concerned scientists and physicians to provide guidance, consensus and consistency in the definition of clinically relevant end points to expedite new drug approvals for multiple myeloma in the appropriate trial design settings. This manuscript will therefore be a most valuable resource to provide the framework for the design of appropriate clinical trial strategies for more rapid new drug approval in myeloma.","author":[{"dropping-particle":"","family":"Anderson","given":"K C","non-dropping-particle":"","parse-names":false,"suffix":""},{"dropping-particle":"","family":"Kyle","given":"R A","non-dropping-particle":"","parse-names":false,"suffix":""},{"dropping-particle":"V","family":"Rajkumar","given":"S","non-dropping-particle":"","parse-names":false,"suffix":""},{"dropping-particle":"","family":"Stewart","given":"A K","non-dropping-particle":"","parse-names":false,"suffix":""},{"dropping-particle":"","family":"Weber","given":"D","non-dropping-particle":"","parse-names":false,"suffix":""},{"dropping-particle":"","family":"Richardson","given":"P","non-dropping-particle":"","parse-names":false,"suffix":""}],"container-title":"Leukemia","id":"ITEM-1","issue":"2","issued":{"date-parts":[["2008","2"]]},"language":"eng","page":"231-239","publisher-place":"England","title":"Clinically relevant end points and new drug approvals for myeloma.","type":"article-journal","volume":"22"}},{"id":"9Hb1KKeR/IOPSRyf5","uris":["http://www.mendeley.com/documents/?uuid=0840e459-a74d-4a61-a606-b9dcf37a07b0"],"itemData":{"DOI":"10.3324/haematol.2015.129189","abstract":"The approach to the patient with relapsed or relapsed/refractory multiple myeloma (RRMM) requires a careful evaluation of the results of previous treatments, the toxicities associated with them and an assessment of prognostic factors. Since the majority of patients will have received prior therapy with drug combinations including a proteasome inhibitor and/or an immunomodulatory drug (IMiD), it is the physician’s task to choose the right moment for the start of therapy and define with the patient which goals need to be achieved. The choice of regimen is usually based on prior responsiveness, drugs already received, prior adverse effects, the condition of the patient and expected effectiveness and tolerability. Many double and triple drug combinations are available. In addition, promising new drugs like pomalidomide, carfilzomib and monoclonal antibodies are, or will be, available shortly, while other options can be tried in clinical studies. Finally, supportive care and palliative options need to be considered in some patients. It is becoming increasingly more important to consider the therapeutic options for the whole duration of the disease rather than take a step by step approach, and to develop a systematic approach for each individual patient.","author":[{"dropping-particle":"","family":"Pieter Sonneveld","given":"","non-dropping-particle":"","parse-names":false,"suffix":""},{"dropping-particle":"","family":"Annemiek Broijl","given":"","non-dropping-particle":"","parse-names":false,"suffix":""}],"container-title":"Haematologica","id":"ITEM-2","issue":"4 SE  - Review Articles","issued":{"date-parts":[["2016","4","1"]]},"page":"396-406","title":"Treatment of relapsed and refractory multiple myeloma","type":"article-journal","volume":"101"}}],"schema":"https://github.com/citation-style-language/schema/raw/master/csl-citation.json"} </w:instrText>
      </w:r>
      <w:r w:rsidR="00C93DE3" w:rsidRPr="00D65212">
        <w:fldChar w:fldCharType="separate"/>
      </w:r>
      <w:r w:rsidR="00C93DE3" w:rsidRPr="00C93DE3">
        <w:rPr>
          <w:rFonts w:cs="Arial"/>
          <w:szCs w:val="24"/>
          <w:vertAlign w:val="superscript"/>
        </w:rPr>
        <w:t>8,9</w:t>
      </w:r>
      <w:r w:rsidR="00C93DE3" w:rsidRPr="00D65212">
        <w:fldChar w:fldCharType="end"/>
      </w:r>
      <w:r w:rsidRPr="00534F6C">
        <w:t xml:space="preserve"> </w:t>
      </w:r>
      <w:r w:rsidR="005D42B6">
        <w:t xml:space="preserve">A </w:t>
      </w:r>
      <w:r w:rsidRPr="00534F6C">
        <w:t xml:space="preserve">major </w:t>
      </w:r>
      <w:r w:rsidR="005D42B6">
        <w:t xml:space="preserve">challenge </w:t>
      </w:r>
      <w:r w:rsidRPr="00534F6C">
        <w:t>in MM is the evolution of the cancer and the build-up of resistance to different class of therapies as the disease progresses</w:t>
      </w:r>
      <w:r w:rsidR="00C93DE3">
        <w:t>.</w:t>
      </w:r>
      <w:r w:rsidR="00C93DE3">
        <w:fldChar w:fldCharType="begin"/>
      </w:r>
      <w:r w:rsidR="00C93DE3">
        <w:instrText xml:space="preserve"> ADDIN ZOTERO_ITEM CSL_CITATION {"citationID":"nMIaGgaP","properties":{"formattedCitation":"\\super 10\\nosupersub{}","plainCitation":"10","noteIndex":0},"citationItems":[{"id":27753,"uris":["http://zotero.org/groups/4721759/items/QMR636FM"],"itemData":{"id":27753,"type":"article-journal","abstract":"The knowledge of cancer origin and the subsequent tracking of disease evolution represent unmet needs that will soon be within clinical reach. This will provide the opportunity to improve patient's stratification and to personalize treatments based on cancer biology along its life history. In this review, we focus on the molecular pathogenesis of multiple myeloma (MM), a hematologic malignancy with a well-known multi-stage disease course, where such approach can sooner translate into a clinical benefit. We describe novel insights into modes and timing of disease initiation. We dissect the biology of the preclinical and pre-malignant phases, elucidating how knowledge of the genomics of the disease and the composition of the microenvironment allow stratification of patients based on risk of disease progression. Then, we explore cell-intrinsic and cell-extrinsic drivers of MM evolution to symptomatic disease. Finally, we discuss how this may relate to the development of refractory disease after treatment. By integrating an evolutionary view of myeloma biology with the recent acquisitions on its clonal heterogeneity, we envision a way to drive the clinical management of the disease based on its detailed biological features more than surrogates of disease burden.","container-title":"HemaSphere","DOI":"10.1097/HS9.0000000000000502","ISSN":"2572-9241","issue":"6","journalAbbreviation":"Hemasphere","note":"PMID: 33283171\nPMCID: PMC7710229","page":"e502","source":"PubMed Central","title":"A Journey Through Myeloma Evolution: From the Normal Plasma Cell to Disease Complexity","title-short":"A Journey Through Myeloma Evolution","volume":"4","author":[{"family":"Da Vià","given":"Matteo C."},{"family":"Ziccheddu","given":"Bachisio"},{"family":"Maeda","given":"Akihiro"},{"family":"Bagnoli","given":"Filippo"},{"family":"Perrone","given":"Giulia"},{"family":"Bolli","given":"Niccolò"}],"issued":{"date-parts":[["2020",11,24]]}}}],"schema":"https://github.com/citation-style-language/schema/raw/master/csl-citation.json"} </w:instrText>
      </w:r>
      <w:r w:rsidR="00C93DE3">
        <w:fldChar w:fldCharType="separate"/>
      </w:r>
      <w:r w:rsidR="00C93DE3" w:rsidRPr="00C93DE3">
        <w:rPr>
          <w:rFonts w:cs="Arial"/>
          <w:szCs w:val="24"/>
          <w:vertAlign w:val="superscript"/>
        </w:rPr>
        <w:t>10</w:t>
      </w:r>
      <w:r w:rsidR="00C93DE3">
        <w:fldChar w:fldCharType="end"/>
      </w:r>
    </w:p>
    <w:p w14:paraId="7E6421BF" w14:textId="30ECF67B" w:rsidR="00534F6C" w:rsidRDefault="00000CBA" w:rsidP="00E0409A">
      <w:r>
        <w:t>It is important to note that populations considered in this appraisal</w:t>
      </w:r>
      <w:r w:rsidR="00652D17">
        <w:t xml:space="preserve">, namely fifth line </w:t>
      </w:r>
      <w:r w:rsidR="00EA12FA">
        <w:t xml:space="preserve">plus </w:t>
      </w:r>
      <w:r w:rsidR="00652D17">
        <w:t>and triple class refractory</w:t>
      </w:r>
      <w:r>
        <w:t xml:space="preserve"> (5L+ TCR</w:t>
      </w:r>
      <w:r w:rsidR="00652D17">
        <w:t>)</w:t>
      </w:r>
      <w:r>
        <w:t xml:space="preserve"> MM and the post-</w:t>
      </w:r>
      <w:r w:rsidR="00652D17">
        <w:t>p</w:t>
      </w:r>
      <w:r>
        <w:t>om</w:t>
      </w:r>
      <w:r w:rsidR="1FE3706E">
        <w:t>alidomide</w:t>
      </w:r>
      <w:r w:rsidR="00C447A7">
        <w:t xml:space="preserve"> </w:t>
      </w:r>
      <w:r w:rsidR="2C27C6E0">
        <w:t>(post-</w:t>
      </w:r>
      <w:r w:rsidR="00792887">
        <w:t>POM</w:t>
      </w:r>
      <w:r w:rsidR="2C27C6E0">
        <w:t xml:space="preserve">) </w:t>
      </w:r>
      <w:r>
        <w:t>subpopulation</w:t>
      </w:r>
      <w:r w:rsidR="00652D17">
        <w:t>,</w:t>
      </w:r>
      <w:r>
        <w:t xml:space="preserve"> represent late lines of the disease management pathway that </w:t>
      </w:r>
      <w:r>
        <w:lastRenderedPageBreak/>
        <w:t xml:space="preserve">only a </w:t>
      </w:r>
      <w:r w:rsidRPr="00471C00">
        <w:t>very small</w:t>
      </w:r>
      <w:r>
        <w:t xml:space="preserve"> proportion of patients diagnosed with MM </w:t>
      </w:r>
      <w:r w:rsidR="009B19EF">
        <w:t xml:space="preserve">will </w:t>
      </w:r>
      <w:r>
        <w:t xml:space="preserve">reach. For example, Rabb et al. have shown that only 3% of patients diagnosed with MM reach 5L treatment according to a 2015 chart review describing real-world MM treatment patterns and outcomes in </w:t>
      </w:r>
      <w:r w:rsidRPr="0094050D">
        <w:rPr>
          <w:szCs w:val="24"/>
        </w:rPr>
        <w:t>Europe.</w:t>
      </w:r>
      <w:r w:rsidR="0094050D" w:rsidRPr="00AF2987">
        <w:rPr>
          <w:rFonts w:cs="Arial"/>
          <w:szCs w:val="24"/>
        </w:rPr>
        <w:fldChar w:fldCharType="begin"/>
      </w:r>
      <w:r w:rsidR="0094050D">
        <w:rPr>
          <w:rFonts w:cs="Arial"/>
          <w:szCs w:val="24"/>
        </w:rPr>
        <w:instrText xml:space="preserve"> ADDIN ZOTERO_ITEM CSL_CITATION {"citationID":"7iTquBhQ","properties":{"formattedCitation":"\\super 11\\nosupersub{}","plainCitation":"11","noteIndex":0},"citationItems":[{"id":27688,"uris":["http://zotero.org/groups/4721759/items/A6Z2YSMR"],"itemData":{"id":27688,"type":"article-journal","container-title":"British Journal of Haematology","DOI":"10.1111/bjh.15680","issue":"5","page":"981-984","title":"Evolution of multiple myeloma treatment practices in Europe from 2014 to 2016","volume":"185","author":[{"family":"Raab","given":"M.S."},{"family":"Fink","given":"L."},{"family":"Schoen","given":"P."},{"family":"Gonzalez-McQuire","given":"S"}],"issued":{"date-parts":[["2019",6]]}}}],"schema":"https://github.com/citation-style-language/schema/raw/master/csl-citation.json"} </w:instrText>
      </w:r>
      <w:r w:rsidR="0094050D" w:rsidRPr="00AF2987">
        <w:rPr>
          <w:rFonts w:cs="Arial"/>
          <w:szCs w:val="24"/>
        </w:rPr>
        <w:fldChar w:fldCharType="separate"/>
      </w:r>
      <w:r w:rsidR="0094050D" w:rsidRPr="0094050D">
        <w:rPr>
          <w:rFonts w:cs="Arial"/>
          <w:szCs w:val="24"/>
          <w:vertAlign w:val="superscript"/>
        </w:rPr>
        <w:t>11</w:t>
      </w:r>
      <w:r w:rsidR="0094050D" w:rsidRPr="00AF2987">
        <w:rPr>
          <w:rFonts w:cs="Arial"/>
          <w:szCs w:val="24"/>
        </w:rPr>
        <w:fldChar w:fldCharType="end"/>
      </w:r>
    </w:p>
    <w:p w14:paraId="6F385CEA" w14:textId="5AAC6BD8" w:rsidR="005555F2" w:rsidRPr="005555F2" w:rsidRDefault="005555F2" w:rsidP="005555F2">
      <w:pPr>
        <w:pStyle w:val="Heading2"/>
      </w:pPr>
      <w:r w:rsidRPr="005555F2">
        <w:t>MM treatment pathway</w:t>
      </w:r>
    </w:p>
    <w:p w14:paraId="11C295A2" w14:textId="3C0B8250" w:rsidR="00096D48" w:rsidRPr="003B5112" w:rsidRDefault="00096D48" w:rsidP="00E0409A">
      <w:r w:rsidRPr="003B5112">
        <w:t xml:space="preserve">The </w:t>
      </w:r>
      <w:r w:rsidR="00652D17">
        <w:t xml:space="preserve">treatment </w:t>
      </w:r>
      <w:r w:rsidRPr="003B5112">
        <w:t xml:space="preserve">pathway for the treatment of MM </w:t>
      </w:r>
      <w:r w:rsidR="00652D17">
        <w:t xml:space="preserve">recommended by NICE </w:t>
      </w:r>
      <w:r w:rsidRPr="003B5112">
        <w:t>is complex and</w:t>
      </w:r>
      <w:r w:rsidR="003F038A">
        <w:t xml:space="preserve"> evolvi</w:t>
      </w:r>
      <w:r w:rsidR="00CA666F">
        <w:t>ng.</w:t>
      </w:r>
      <w:r w:rsidRPr="003B5112">
        <w:t xml:space="preserve"> </w:t>
      </w:r>
    </w:p>
    <w:p w14:paraId="70F32657" w14:textId="6B2E96B2" w:rsidR="00096D48" w:rsidRPr="003B5112" w:rsidRDefault="00096D48" w:rsidP="00E0409A">
      <w:r w:rsidRPr="003B5112">
        <w:t>MM patients who are refractory to the three established pillars of MM treatment, namely to an immunomodulatory drug (IMiD), a proteasome inhibitor (PI), and an anti-CD38 monoclonal antibody (</w:t>
      </w:r>
      <w:proofErr w:type="spellStart"/>
      <w:r w:rsidRPr="003B5112">
        <w:t>mAb</w:t>
      </w:r>
      <w:proofErr w:type="spellEnd"/>
      <w:r w:rsidRPr="003B5112">
        <w:t>) are referred to as TCR. In the 5L+ TCR MM setting</w:t>
      </w:r>
      <w:r w:rsidR="00CA666F">
        <w:t>,</w:t>
      </w:r>
      <w:r w:rsidRPr="003B5112">
        <w:t xml:space="preserve"> treatment options are extremely limited, </w:t>
      </w:r>
      <w:r w:rsidR="00CA666F">
        <w:t xml:space="preserve">with the result that </w:t>
      </w:r>
      <w:r w:rsidRPr="003B5112">
        <w:t xml:space="preserve">patients </w:t>
      </w:r>
      <w:r w:rsidR="00CA666F">
        <w:t>face a very poor prognosis and</w:t>
      </w:r>
      <w:r w:rsidRPr="003B5112">
        <w:t xml:space="preserve"> feel abandoned.</w:t>
      </w:r>
    </w:p>
    <w:p w14:paraId="3B12C42D" w14:textId="75581F1A" w:rsidR="00096D48" w:rsidRPr="003B5112" w:rsidRDefault="00096D48" w:rsidP="00E0409A">
      <w:r w:rsidRPr="003B5112">
        <w:t xml:space="preserve">Indeed, while NICE recommends interventions in broad populations which include the 5L+ space, there are currently no interventions specifically approved for 5L+ TCR MM patients. In this setting, </w:t>
      </w:r>
      <w:r w:rsidR="00CA666F">
        <w:t xml:space="preserve">the limited </w:t>
      </w:r>
      <w:r w:rsidRPr="003B5112">
        <w:t>options typically consist of:</w:t>
      </w:r>
    </w:p>
    <w:p w14:paraId="59FCD3D4" w14:textId="4959A36A" w:rsidR="00096D48" w:rsidRPr="003B5112" w:rsidRDefault="00684CD2" w:rsidP="008338A6">
      <w:pPr>
        <w:pStyle w:val="ListParagraph"/>
        <w:numPr>
          <w:ilvl w:val="0"/>
          <w:numId w:val="6"/>
        </w:numPr>
        <w:spacing w:before="240"/>
        <w:ind w:left="714" w:hanging="357"/>
      </w:pPr>
      <w:bookmarkStart w:id="0" w:name="_Ref141613240"/>
      <w:r w:rsidRPr="00684CD2">
        <w:t>Pomalidomide in combination with low-dose dexamethasone</w:t>
      </w:r>
      <w:r w:rsidR="00BA5272">
        <w:t xml:space="preserve"> (PomDex)</w:t>
      </w:r>
      <w:r w:rsidRPr="00684CD2">
        <w:t xml:space="preserve">, is recommended as an option for treating </w:t>
      </w:r>
      <w:r w:rsidR="00BA5272">
        <w:t>MM</w:t>
      </w:r>
      <w:r w:rsidRPr="00684CD2">
        <w:t xml:space="preserve"> in adults at third or subsequent relapse; that is, after 3 </w:t>
      </w:r>
      <w:r w:rsidR="009C56DD">
        <w:t xml:space="preserve">or more </w:t>
      </w:r>
      <w:r w:rsidRPr="00684CD2">
        <w:t xml:space="preserve">previous treatments </w:t>
      </w:r>
      <w:r w:rsidR="007C738C">
        <w:t>(</w:t>
      </w:r>
      <w:r w:rsidR="00471C00">
        <w:t>i.e.,</w:t>
      </w:r>
      <w:r w:rsidR="00D663A4">
        <w:t xml:space="preserve"> </w:t>
      </w:r>
      <w:r w:rsidR="007C738C">
        <w:t xml:space="preserve">4L+) </w:t>
      </w:r>
      <w:r w:rsidRPr="00684CD2">
        <w:t>including both lenalidomide and bortezomib</w:t>
      </w:r>
      <w:r w:rsidR="006B56BC">
        <w:t xml:space="preserve"> (NICE TA</w:t>
      </w:r>
      <w:r w:rsidR="008505AD">
        <w:t>427)</w:t>
      </w:r>
      <w:bookmarkEnd w:id="0"/>
      <w:r w:rsidR="00C93DE3">
        <w:fldChar w:fldCharType="begin"/>
      </w:r>
      <w:r w:rsidR="0094050D">
        <w:instrText xml:space="preserve"> ADDIN ZOTERO_ITEM CSL_CITATION {"citationID":"pAEOUmLU","properties":{"formattedCitation":"\\super 12\\nosupersub{}","plainCitation":"12","noteIndex":0},"citationItems":[{"id":27674,"uris":["http://zotero.org/groups/4721759/items/FEDQPDUB"],"itemData":{"id":27674,"type":"document","title":"TA427: Pomalidomide for multiple myeloma previously treated with lenalidomide and bortezomib","URL":"https://www.nice.org.uk/guidance/ta427/documents/committee-papers","author":[{"literal":"National Institute for Health and Care Excellence"}]}}],"schema":"https://github.com/citation-style-language/schema/raw/master/csl-citation.json"} </w:instrText>
      </w:r>
      <w:r w:rsidR="00C93DE3">
        <w:fldChar w:fldCharType="separate"/>
      </w:r>
      <w:r w:rsidR="0094050D" w:rsidRPr="0094050D">
        <w:rPr>
          <w:rFonts w:cs="Arial"/>
          <w:szCs w:val="24"/>
          <w:vertAlign w:val="superscript"/>
        </w:rPr>
        <w:t>12</w:t>
      </w:r>
      <w:r w:rsidR="00C93DE3">
        <w:fldChar w:fldCharType="end"/>
      </w:r>
    </w:p>
    <w:p w14:paraId="535751EB" w14:textId="165BF834" w:rsidR="00096D48" w:rsidRPr="003B5112" w:rsidRDefault="00BA5272" w:rsidP="008338A6">
      <w:pPr>
        <w:pStyle w:val="ListParagraph"/>
        <w:numPr>
          <w:ilvl w:val="0"/>
          <w:numId w:val="6"/>
        </w:numPr>
        <w:spacing w:before="240"/>
        <w:ind w:left="714" w:hanging="357"/>
      </w:pPr>
      <w:r w:rsidRPr="00BA5272">
        <w:t xml:space="preserve">Panobinostat in combination with bortezomib and dexamethasone </w:t>
      </w:r>
      <w:r>
        <w:t xml:space="preserve">(PanoBorDex) </w:t>
      </w:r>
      <w:r w:rsidRPr="00BA5272">
        <w:t xml:space="preserve">is recommended within its marketing authorisation, as an option for treating </w:t>
      </w:r>
      <w:r>
        <w:t>MM</w:t>
      </w:r>
      <w:r w:rsidRPr="00BA5272">
        <w:t xml:space="preserve">, that is, for ‘adult patients with relapsed and/or refractory </w:t>
      </w:r>
      <w:r w:rsidR="0058613A">
        <w:t>MM</w:t>
      </w:r>
      <w:r w:rsidRPr="00BA5272">
        <w:t xml:space="preserve"> who have received at least 2 prior regimens </w:t>
      </w:r>
      <w:r w:rsidR="00D663A4">
        <w:t>(</w:t>
      </w:r>
      <w:r w:rsidR="00471C00">
        <w:t>i.e.,</w:t>
      </w:r>
      <w:r w:rsidR="00D663A4">
        <w:t xml:space="preserve"> 3L+) </w:t>
      </w:r>
      <w:r w:rsidRPr="00BA5272">
        <w:t>including bortezomib and an immunomodulatory agent</w:t>
      </w:r>
      <w:r>
        <w:t xml:space="preserve"> (NICE TA380)</w:t>
      </w:r>
      <w:r w:rsidR="00C93DE3">
        <w:fldChar w:fldCharType="begin"/>
      </w:r>
      <w:r w:rsidR="0094050D">
        <w:instrText xml:space="preserve"> ADDIN ZOTERO_ITEM CSL_CITATION {"citationID":"aJmPifnS","properties":{"formattedCitation":"\\super 13\\nosupersub{}","plainCitation":"13","noteIndex":0},"citationItems":[{"id":27675,"uris":["http://zotero.org/groups/4721759/items/QXPBMRE8"],"itemData":{"id":27675,"type":"document","title":"NICE TA380: Panobinostat for treating multiple myeloma in people who have received at least one prior therapy [ID663]","URL":"https://www.nice.org.uk/guidance/ta380/documents/committee-papers","author":[{"literal":"National Institute for Health and Care Excellence"}]}}],"schema":"https://github.com/citation-style-language/schema/raw/master/csl-citation.json"} </w:instrText>
      </w:r>
      <w:r w:rsidR="00C93DE3">
        <w:fldChar w:fldCharType="separate"/>
      </w:r>
      <w:r w:rsidR="0094050D" w:rsidRPr="0094050D">
        <w:rPr>
          <w:rFonts w:cs="Arial"/>
          <w:szCs w:val="24"/>
          <w:vertAlign w:val="superscript"/>
        </w:rPr>
        <w:t>13</w:t>
      </w:r>
      <w:r w:rsidR="00C93DE3">
        <w:fldChar w:fldCharType="end"/>
      </w:r>
    </w:p>
    <w:p w14:paraId="57EE7F68" w14:textId="3522197E" w:rsidR="00096D48" w:rsidRPr="003B5112" w:rsidRDefault="00096D48" w:rsidP="008338A6">
      <w:pPr>
        <w:pStyle w:val="ListParagraph"/>
        <w:numPr>
          <w:ilvl w:val="0"/>
          <w:numId w:val="6"/>
        </w:numPr>
        <w:spacing w:before="240"/>
        <w:ind w:left="714" w:hanging="357"/>
      </w:pPr>
      <w:r w:rsidRPr="003B5112">
        <w:t xml:space="preserve">Inclusion in a clinical trial and/or an </w:t>
      </w:r>
      <w:r w:rsidR="00726A1E" w:rsidRPr="003B5112">
        <w:t>early access/compassionate use scheme</w:t>
      </w:r>
      <w:r w:rsidRPr="003B5112">
        <w:t>, although this is typically restrictive due to the nature of corresponding inclusion and exclusion criteria.</w:t>
      </w:r>
    </w:p>
    <w:p w14:paraId="739AAD38" w14:textId="77777777" w:rsidR="00096D48" w:rsidRPr="003B5112" w:rsidRDefault="00096D48" w:rsidP="008338A6">
      <w:pPr>
        <w:pStyle w:val="ListParagraph"/>
        <w:numPr>
          <w:ilvl w:val="0"/>
          <w:numId w:val="6"/>
        </w:numPr>
        <w:spacing w:before="240"/>
        <w:ind w:left="714" w:hanging="357"/>
      </w:pPr>
      <w:r w:rsidRPr="003B5112">
        <w:t>Chemotherapy-based palliation in the absence of any alternative options.</w:t>
      </w:r>
    </w:p>
    <w:p w14:paraId="48470789" w14:textId="402CEA29" w:rsidR="00684CD2" w:rsidRDefault="00684CD2" w:rsidP="006B56BC">
      <w:r>
        <w:t xml:space="preserve">For </w:t>
      </w:r>
      <w:r w:rsidR="00435524">
        <w:t>5L+ TCR</w:t>
      </w:r>
      <w:r>
        <w:t xml:space="preserve"> patients who have been exposed to pomalidomide (5L+ TCR post-POM) options are restricted to (2), (3) or (4)</w:t>
      </w:r>
      <w:r w:rsidR="004D6B7E">
        <w:t>, described above</w:t>
      </w:r>
      <w:r>
        <w:t xml:space="preserve">. </w:t>
      </w:r>
      <w:r w:rsidR="00594FE2" w:rsidRPr="003B5112">
        <w:t>Feedback from UK clinical experts suggests that the behaviour driving th</w:t>
      </w:r>
      <w:r w:rsidR="00594FE2">
        <w:t>e</w:t>
      </w:r>
      <w:r w:rsidR="00594FE2" w:rsidRPr="003B5112">
        <w:t xml:space="preserve"> us</w:t>
      </w:r>
      <w:r w:rsidR="00594FE2">
        <w:t>e</w:t>
      </w:r>
      <w:r w:rsidR="00594FE2" w:rsidRPr="003B5112">
        <w:t xml:space="preserve"> </w:t>
      </w:r>
      <w:r w:rsidR="00594FE2">
        <w:t xml:space="preserve">of PanoBorDex </w:t>
      </w:r>
      <w:r w:rsidR="00594FE2" w:rsidRPr="003B5112">
        <w:t xml:space="preserve">is one of desperation in </w:t>
      </w:r>
      <w:r w:rsidR="00594FE2">
        <w:t>view</w:t>
      </w:r>
      <w:r w:rsidR="00594FE2" w:rsidRPr="003B5112">
        <w:t xml:space="preserve"> of the </w:t>
      </w:r>
      <w:r w:rsidR="00CA666F">
        <w:t xml:space="preserve">lack of alternative effective options and the </w:t>
      </w:r>
      <w:r w:rsidR="00594FE2" w:rsidRPr="003B5112">
        <w:t xml:space="preserve">poor survival outcomes </w:t>
      </w:r>
      <w:r w:rsidR="00CA666F">
        <w:t xml:space="preserve">in the context of toxicities associated with </w:t>
      </w:r>
      <w:r w:rsidR="00574AC9" w:rsidRPr="003B5112">
        <w:t>the PanoBorDex</w:t>
      </w:r>
      <w:r w:rsidR="00CA666F">
        <w:t xml:space="preserve"> regimen</w:t>
      </w:r>
      <w:r w:rsidR="00594FE2">
        <w:t>.</w:t>
      </w:r>
      <w:r w:rsidR="009F5B37">
        <w:t xml:space="preserve"> </w:t>
      </w:r>
    </w:p>
    <w:p w14:paraId="74FFE20B" w14:textId="3E3124F8" w:rsidR="00876377" w:rsidRDefault="00876377" w:rsidP="00534F6C">
      <w:pPr>
        <w:pStyle w:val="Heading2"/>
      </w:pPr>
      <w:r>
        <w:t>Unmet need</w:t>
      </w:r>
    </w:p>
    <w:p w14:paraId="15AD0B7F" w14:textId="4EDC4B26" w:rsidR="000A09D2" w:rsidRPr="000A09D2" w:rsidRDefault="000A09D2" w:rsidP="00E0409A">
      <w:r w:rsidRPr="000A09D2">
        <w:t>By the time MM patients reach 5L within the NICE treatment pathway, most will be TCR as they will have been exposed to and become refractory to a PI, an IMiD and an anti-CD38 mAb</w:t>
      </w:r>
      <w:r w:rsidR="00C93DE3">
        <w:t>.</w:t>
      </w:r>
      <w:r w:rsidR="00C93DE3">
        <w:fldChar w:fldCharType="begin"/>
      </w:r>
      <w:r w:rsidR="0094050D">
        <w:instrText xml:space="preserve"> ADDIN ZOTERO_ITEM CSL_CITATION {"citationID":"P1FjHJfh","properties":{"formattedCitation":"\\super 14\\nosupersub{}","plainCitation":"14","noteIndex":0},"citationItems":[{"id":27708,"uris":["http://zotero.org/groups/4721759/items/5D2XAFQA"],"itemData":{"id":27708,"type":"document","title":"Belantamab mafodotin for treating relapsed or refractory multiple myeloma after 4 or more therapies [ID2701]: Response to stakeholder organisation comments on the draft remit and draft scope","URL":"https://www.nice.org.uk/guidance/gid-ta10568/documents/scope-consultation-comments-and-responses-2","author":[{"literal":"National Institute for Health and Care Excellence"}],"accessed":{"date-parts":[["2022",9,9]]},"issued":{"date-parts":[["2022",8]]}}}],"schema":"https://github.com/citation-style-language/schema/raw/master/csl-citation.json"} </w:instrText>
      </w:r>
      <w:r w:rsidR="00C93DE3">
        <w:fldChar w:fldCharType="separate"/>
      </w:r>
      <w:r w:rsidR="0094050D" w:rsidRPr="0094050D">
        <w:rPr>
          <w:rFonts w:cs="Arial"/>
          <w:szCs w:val="24"/>
          <w:vertAlign w:val="superscript"/>
        </w:rPr>
        <w:t>14</w:t>
      </w:r>
      <w:r w:rsidR="00C93DE3">
        <w:fldChar w:fldCharType="end"/>
      </w:r>
      <w:r w:rsidRPr="000A09D2">
        <w:t xml:space="preserve"> </w:t>
      </w:r>
    </w:p>
    <w:p w14:paraId="2A9EB884" w14:textId="0A520DA5" w:rsidR="000A09D2" w:rsidRPr="000A09D2" w:rsidRDefault="000A09D2" w:rsidP="00E0409A">
      <w:r w:rsidRPr="000A09D2">
        <w:lastRenderedPageBreak/>
        <w:t>Due to the disease pathophysiology, recycling of existing therapies in RRMM has limited efficacy as patients are re-exposed to treatments or classes of agents that they have previously developed resistance to.</w:t>
      </w:r>
      <w:r w:rsidR="00C93DE3" w:rsidRPr="00D65212">
        <w:fldChar w:fldCharType="begin"/>
      </w:r>
      <w:r w:rsidR="0094050D">
        <w:instrText xml:space="preserve"> ADDIN ZOTERO_ITEM CSL_CITATION {"citationID":"gSCizCuE","properties":{"formattedCitation":"\\super 15\\nosupersub{}","plainCitation":"15","noteIndex":0},"citationItems":[{"id":19599,"uris":["http://zotero.org/groups/4721759/items/JVB9RAGR"],"itemData":{"id":19599,"type":"article-journal","container-title":"Leukemia","DOI":"10.1038/leu.2011.196","ISSN":"0887-6924, 1476-5551","issue":"1","journalAbbreviation":"Leukemia","language":"en","page":"149-157","source":"DOI.org (Crossref)","title":"Risk of progression and survival in multiple myeloma relapsing after therapy with IMiDs and bortezomib: A multicenter international myeloma working group study","title-short":"Risk of progression and survival in multiple myeloma relapsing after therapy with IMiDs and bortezomib","volume":"26","author":[{"family":"Kumar","given":"S K"},{"family":"Lee","given":"J H"},{"family":"Lahuerta","given":"J J"},{"family":"Morgan","given":"G"},{"family":"Richardson","given":"P G"},{"family":"Crowley","given":"J"},{"family":"Haessler","given":"J"},{"family":"Feather","given":"J"},{"family":"Hoering","given":"A"},{"family":"Moreau","given":"P"},{"family":"LeLeu","given":"X"},{"family":"Hulin","given":"C"},{"family":"Klein","given":"S K"},{"family":"Sonneveld","given":"P"},{"family":"Siegel","given":"D"},{"family":"Bladé","given":"J"},{"family":"Goldschmidt","given":"H"},{"family":"Jagannath","given":"S"},{"family":"Miguel","given":"J S"},{"family":"Orlowski","given":"R"},{"family":"Palumbo","given":"A"},{"family":"Sezer","given":"O"},{"family":"Rajkumar","given":"S V"},{"family":"Durie","given":"B G M"},{"literal":"on behalf of the International Myeloma Working Group"},{"literal":"International Myeloma Working Group"},{"family":"Abildgaard","given":"Niels"},{"family":"Abonour","given":"Rafat"},{"family":"Alexanian","given":"Ray"},{"family":"Alsina","given":"Melissa"},{"family":"Anderson","given":"Kenneth","suffix":"C"},{"family":"Attal","given":"Michael"},{"family":"Avet-Loiseau","given":"Hervé"},{"family":"Badros","given":"Ashraf"},{"family":"Baris","given":"Dalsu"},{"family":"Barlogie","given":"Bart"},{"family":"Bataille","given":"Régis"},{"family":"Beksaç","given":"Meral"},{"family":"Belch","given":"Andrew"},{"family":"Ben-Yehuda","given":"Dina"},{"family":"Bensinger","given":"Bill"},{"family":"Leif Bergsagel","given":"P"},{"family":"Bird","given":"Jenny"},{"family":"Bladé","given":"Joan"},{"family":"Boccadoro","given":"Mario"},{"family":"Cavo","given":"Michele"},{"family":"Chanan-Khan","given":"Asher"},{"family":"Ming Chen","given":"Wen"},{"family":"Child","given":"Tony"},{"family":"Chim","given":"James"},{"family":"Chng","given":"Wee-Joo"},{"family":"Comenzo","given":"Ray"},{"family":"Crowley","given":"John"},{"family":"Dalton","given":"William"},{"family":"Davies","given":"Faith"},{"family":"Souza","given":"Cármino","non-dropping-particle":"de"},{"family":"Delforge","given":"Michel"},{"family":"Dimopoulos","given":"Meletios"},{"family":"Dispenzieri","given":"Angela"},{"family":"Drach","given":"Johannes"},{"family":"Drake","given":"Matthew"},{"family":"Durie","given":"Brian G M"},{"family":"Einsele","given":"Hermann"},{"family":"Facon","given":"Theirry"},{"family":"Fantl","given":"Dorotea"},{"family":"Fermand","given":"Jean-Paul"},{"family":"Fonseca","given":"Rafael"},{"family":"Gahrton","given":"Gösta"},{"family":"García-Sanz","given":"Ramón"},{"family":"Gasparetto","given":"Christina"},{"family":"Gertz","given":"Morie"},{"family":"Gibson","given":"John"},{"family":"Giralt","given":"Sergio"},{"family":"Goldschmidt","given":"Hartmut"},{"family":"Greipp","given":"Philip"},{"family":"Hajek","given":"Roman"},{"family":"Hardan","given":"Izhar"},{"family":"Hari","given":"Parameswaran"},{"family":"Harousseau","given":"Jean-Luc"},{"family":"Hata","given":"Hiroyuki"},{"family":"Hattori","given":"Yutaka"},{"family":"Heffner","given":"Tom"},{"family":"Ho","given":"Joy"},{"family":"Hungria","given":"Vania"},{"family":"Ida","given":"Shinsuke"},{"family":"Jacobs","given":"Peter"},{"family":"Jagannath","given":"Sundar"},{"family":"Johnsen","given":"Hans"},{"family":"Jian","given":"Hou"},{"family":"Joshua","given":"Douglas"},{"family":"Jurczyszyn","given":"Artur"},{"family":"Kawano","given":"Michio"},{"family":"Kröger","given":"Nicolaus"},{"family":"Kumar","given":"Shaji"},{"family":"Kyle","given":"Robert A"},{"family":"Lacy","given":"Martha"},{"family":"Lahuerta","given":"Juan José"},{"family":"Landgren","given":"Ola"},{"family":"Laubach","given":"Jacob"},{"family":"Lee","given":"Jae Hoon"},{"family":"LeLeu","given":"Xavier"},{"family":"Lentzsch","given":"Suzanne"},{"family":"Lokhorst","given":"Henk"},{"family":"Lonial","given":"Sagar"},{"family":"Ludwig","given":"Heinz"},{"family":"Maiolino","given":"Angelo"},{"family":"Mateos","given":"María"},{"family":"Mehta","given":"Jayesh"},{"family":"Mellqvist","given":"Ulf-Henrik"},{"family":"Merlini","given":"GiamPaolo"},{"family":"Mikhael","given":"Joseph"},{"family":"Morales","given":"Angelina Rodríguez"},{"family":"Moreau","given":"Philippe"},{"family":"Morgan","given":"Gareth"},{"family":"Nari","given":"Hareth"},{"family":"Munshi","given":"Nikhil"},{"family":"Niesvizky","given":"Ruben"},{"family":"Nouel","given":"Amara"},{"family":"Novis","given":"Yana"},{"family":"Orlowski","given":"Robert"},{"family":"Palumbo","given":"Antonio"},{"family":"Pavlovsky","given":"Santiago"},{"family":"Pilarski","given":"Linda"},{"family":"Powles","given":"Raymond"},{"family":"Raje","given":"Noopur"},{"family":"Vincent Rajkumar","given":"S"},{"family":"Reece","given":"Donna"},{"family":"Reiman","given":"Tony"},{"family":"Richardson","given":"Paul G"},{"family":"Roodman","given":"David"},{"family":"Rosiñol","given":"Laura"},{"family":"Miguel","given":"Jesús San"},{"family":"Sezer","given":"Orhan"},{"family":"Shah","given":"Jatin J"},{"family":"Shaughnessy","given":"John"},{"family":"Shimizu","given":"Kazuyuki"},{"family":"Shustik","given":"Chaim"},{"family":"Siegel","given":"David"},{"family":"Singhal","given":"Seema"},{"family":"Sonneveld","given":"Pieter"},{"family":"Spencer","given":"Andrew"},{"family":"Stadtmauer","given":"Edward"},{"family":"Stewart","given":"Keith"},{"family":"Terpos","given":"Evangelos"},{"family":"Tosi","given":"Patrizia"},{"family":"Tricot","given":"Guido"},{"family":"Turesson","given":"Ingemar"},{"family":"Van Camp","given":"Ben"},{"family":"Van Ness","given":"Brian"},{"family":"Van Riet","given":"Ivan"},{"family":"Broek","given":"Isabelle Vande"},{"family":"Vanderkerken","given":"Karin"},{"family":"Vescio","given":"Robert"},{"family":"Vesole","given":"David"},{"family":"Waage","given":"Anders"},{"family":"Wang","given":"Michael"},{"family":"Weber","given":"Donna"},{"family":"Westin","given":"Jan"},{"family":"Wheatley","given":"Keith"},{"family":"Zonder","given":"Jeffrey"}],"issued":{"date-parts":[["2012",1]]}}}],"schema":"https://github.com/citation-style-language/schema/raw/master/csl-citation.json"} </w:instrText>
      </w:r>
      <w:r w:rsidR="00C93DE3" w:rsidRPr="00D65212">
        <w:fldChar w:fldCharType="separate"/>
      </w:r>
      <w:r w:rsidR="0094050D" w:rsidRPr="0094050D">
        <w:rPr>
          <w:rFonts w:cs="Arial"/>
          <w:szCs w:val="24"/>
          <w:vertAlign w:val="superscript"/>
        </w:rPr>
        <w:t>15</w:t>
      </w:r>
      <w:r w:rsidR="00C93DE3" w:rsidRPr="00D65212">
        <w:fldChar w:fldCharType="end"/>
      </w:r>
    </w:p>
    <w:p w14:paraId="38AA6635" w14:textId="70D46DDC" w:rsidR="000A09D2" w:rsidRDefault="000A09D2" w:rsidP="00E0409A">
      <w:r w:rsidRPr="000A09D2">
        <w:t>This emphasises the high and urgent unmet medical need for therapies that have a novel mechanism of action which can extend survival, bring hope to patients and offer clinicians an increased flexibility in earlier treatment decisions by adding a new treatment option in the 5L+ TCR MM treatment pathway.</w:t>
      </w:r>
      <w:r w:rsidR="00C93DE3">
        <w:fldChar w:fldCharType="begin"/>
      </w:r>
      <w:r w:rsidR="0094050D">
        <w:instrText xml:space="preserve"> ADDIN ZOTERO_ITEM CSL_CITATION {"citationID":"9oNcy6k3","properties":{"formattedCitation":"\\super 14\\nosupersub{}","plainCitation":"14","noteIndex":0},"citationItems":[{"id":27708,"uris":["http://zotero.org/groups/4721759/items/5D2XAFQA"],"itemData":{"id":27708,"type":"document","title":"Belantamab mafodotin for treating relapsed or refractory multiple myeloma after 4 or more therapies [ID2701]: Response to stakeholder organisation comments on the draft remit and draft scope","URL":"https://www.nice.org.uk/guidance/gid-ta10568/documents/scope-consultation-comments-and-responses-2","author":[{"literal":"National Institute for Health and Care Excellence"}],"accessed":{"date-parts":[["2022",9,9]]},"issued":{"date-parts":[["2022",8]]}}}],"schema":"https://github.com/citation-style-language/schema/raw/master/csl-citation.json"} </w:instrText>
      </w:r>
      <w:r w:rsidR="00C93DE3">
        <w:fldChar w:fldCharType="separate"/>
      </w:r>
      <w:r w:rsidR="0094050D" w:rsidRPr="0094050D">
        <w:rPr>
          <w:rFonts w:cs="Arial"/>
          <w:szCs w:val="24"/>
          <w:vertAlign w:val="superscript"/>
        </w:rPr>
        <w:t>14</w:t>
      </w:r>
      <w:r w:rsidR="00C93DE3">
        <w:fldChar w:fldCharType="end"/>
      </w:r>
      <w:r w:rsidR="004632F3" w:rsidRPr="004632F3">
        <w:t xml:space="preserve"> </w:t>
      </w:r>
      <w:r w:rsidR="004632F3">
        <w:t>In the 5L+ TCR post-Pom setting, the unmet need for treatment options is even greater.</w:t>
      </w:r>
    </w:p>
    <w:p w14:paraId="7BE1BF61" w14:textId="7655E420" w:rsidR="00C52311" w:rsidRDefault="005C08A9" w:rsidP="00C52311">
      <w:r>
        <w:rPr>
          <w:rStyle w:val="ui-provider"/>
        </w:rPr>
        <w:t xml:space="preserve">The extent of the unmet need is further evidenced by the increased uptake observed in the </w:t>
      </w:r>
      <w:r w:rsidRPr="001F1E7F">
        <w:rPr>
          <w:rStyle w:val="ui-provider"/>
        </w:rPr>
        <w:t>Company's data for the use belantamab through the NPP</w:t>
      </w:r>
      <w:r w:rsidR="00C52311">
        <w:t>; in June 2023 alone, there were 23 NPP requests for belantamab. The total number of patients treated with belantamab through the NPP is 319 and the total number of requests is 623 (as of end of June 2023).</w:t>
      </w:r>
    </w:p>
    <w:p w14:paraId="42439C09" w14:textId="0C102898" w:rsidR="000A09D2" w:rsidRPr="00EF42D7" w:rsidRDefault="000A09D2" w:rsidP="00E0409A">
      <w:r w:rsidRPr="000A09D2">
        <w:t xml:space="preserve">The unmet need for 5L+ TCR patients is </w:t>
      </w:r>
      <w:r w:rsidR="00122B69">
        <w:t xml:space="preserve">confirmed by </w:t>
      </w:r>
      <w:r w:rsidRPr="000A09D2">
        <w:t>comments from the</w:t>
      </w:r>
      <w:r w:rsidRPr="00F324C3">
        <w:t xml:space="preserve"> </w:t>
      </w:r>
      <w:r w:rsidRPr="000A09D2">
        <w:t xml:space="preserve">UK Myeloma Forum (UKMF) during the consultation on the draft scope: “This [appraisal] is urgent – there is a need to rapidly introduce effective therapies to help prolong disease control and overall survival. Importantly this [is] for a group of patients that have limited treatment options. This is evidenced by [the] considerable uptake of the </w:t>
      </w:r>
      <w:r w:rsidR="004728B9">
        <w:t xml:space="preserve">belantamab </w:t>
      </w:r>
      <w:r w:rsidRPr="000A09D2">
        <w:t xml:space="preserve">compassionate use programme”. There is therefore a need to broaden access to </w:t>
      </w:r>
      <w:r w:rsidR="004728B9">
        <w:t xml:space="preserve">belantamab </w:t>
      </w:r>
      <w:r w:rsidRPr="000A09D2">
        <w:t>in the NHS to help improve outcomes for a group of patients that have limited treatment options.</w:t>
      </w:r>
    </w:p>
    <w:p w14:paraId="7B8D36EC" w14:textId="3E5C7F77" w:rsidR="00775F08" w:rsidRPr="00EF42D7" w:rsidRDefault="00492EF1" w:rsidP="00BC6737">
      <w:pPr>
        <w:pStyle w:val="Heading2"/>
        <w:rPr>
          <w:lang w:val="en-GB"/>
        </w:rPr>
      </w:pPr>
      <w:r>
        <w:rPr>
          <w:lang w:val="en-GB"/>
        </w:rPr>
        <w:t xml:space="preserve">Belantamab </w:t>
      </w:r>
    </w:p>
    <w:p w14:paraId="6D99D104" w14:textId="36112955" w:rsidR="005D42B6" w:rsidRDefault="004728B9" w:rsidP="005D42B6">
      <w:r>
        <w:t xml:space="preserve">Belantamab </w:t>
      </w:r>
      <w:r w:rsidR="00444ACC">
        <w:t xml:space="preserve">is a humanised IgG1κ monoclonal antibody conjugated with a cytotoxic agent, </w:t>
      </w:r>
      <w:proofErr w:type="spellStart"/>
      <w:r w:rsidR="00444ACC">
        <w:t>maleimidocaproyl</w:t>
      </w:r>
      <w:proofErr w:type="spellEnd"/>
      <w:r w:rsidR="00444ACC">
        <w:t xml:space="preserve"> monomethyl auristatin F</w:t>
      </w:r>
      <w:r w:rsidR="00E0409A">
        <w:t xml:space="preserve"> </w:t>
      </w:r>
      <w:r w:rsidR="00444ACC">
        <w:t>(</w:t>
      </w:r>
      <w:proofErr w:type="spellStart"/>
      <w:r w:rsidR="00444ACC">
        <w:t>mcMMAF</w:t>
      </w:r>
      <w:proofErr w:type="spellEnd"/>
      <w:r w:rsidR="00444ACC">
        <w:t>)</w:t>
      </w:r>
      <w:r w:rsidR="005D42B6">
        <w:t>. It was granted a conditional marketing authorisation by the European Commission on 25 August 2020.  Th</w:t>
      </w:r>
      <w:r w:rsidR="00122B69">
        <w:t xml:space="preserve">is was automatically converted to a Great Britain conditional marketing authorisation on 1 January 2021, following the end of the transition period after the withdrawal of the UK from the EU. </w:t>
      </w:r>
      <w:r w:rsidR="005D42B6">
        <w:t xml:space="preserve"> The licensed indication for use of belantamab is: </w:t>
      </w:r>
    </w:p>
    <w:p w14:paraId="28CAAAE0" w14:textId="40F470C7" w:rsidR="005D42B6" w:rsidRDefault="005D42B6" w:rsidP="005D42B6">
      <w:pPr>
        <w:ind w:left="720"/>
      </w:pPr>
      <w:r>
        <w:t>“…monotherapy for the treatment of multiple myeloma in adult patients who have received at least four prior therapies and whose disease is refractory to at least one proteosome inhibitor, one immunomodulatory agent and an anti-CD38 monoclonal antibody and who have demonstrated disease progression on the last therapy”.</w:t>
      </w:r>
    </w:p>
    <w:p w14:paraId="3B31D964" w14:textId="43DB638A" w:rsidR="00444ACC" w:rsidRPr="00444ACC" w:rsidRDefault="00122AE7" w:rsidP="00EA12FA">
      <w:r w:rsidRPr="00122AE7">
        <w:t xml:space="preserve">Belantamab binds to cell surface </w:t>
      </w:r>
      <w:r w:rsidR="02275810">
        <w:t>B-cell maturation antigen</w:t>
      </w:r>
      <w:r w:rsidR="00444ACC">
        <w:t xml:space="preserve"> </w:t>
      </w:r>
      <w:r w:rsidR="6DC2C54E">
        <w:t>(</w:t>
      </w:r>
      <w:r w:rsidR="00444ACC">
        <w:t>BCMA</w:t>
      </w:r>
      <w:r w:rsidR="3563A2E5">
        <w:t>)</w:t>
      </w:r>
      <w:r w:rsidR="003716DD" w:rsidRPr="003B5112">
        <w:rPr>
          <w:rFonts w:cs="Arial"/>
          <w:vertAlign w:val="superscript"/>
        </w:rPr>
        <w:fldChar w:fldCharType="begin"/>
      </w:r>
      <w:r w:rsidR="0094050D">
        <w:rPr>
          <w:rFonts w:cs="Arial"/>
          <w:vertAlign w:val="superscript"/>
        </w:rPr>
        <w:instrText xml:space="preserve"> ADDIN ZOTERO_ITEM CSL_CITATION {"citationID":"xWZWGtLz","properties":{"formattedCitation":"\\super 16\\nosupersub{}","plainCitation":"16","noteIndex":0},"citationItems":[{"id":19541,"uris":["http://zotero.org/groups/4721759/items/HS95JQAW"],"itemData":{"id":19541,"type":"webpage","title":"BLENREP 100 mg powder for concentrate for solution for infusion - Summary of Product Characteristics (SmPC) - (emc)","URL":"https://www.medicines.org.uk/emc/product/12545/smpc#gref","accessed":{"date-parts":[["2022",6,29]]}}}],"schema":"https://github.com/citation-style-language/schema/raw/master/csl-citation.json"} </w:instrText>
      </w:r>
      <w:r w:rsidR="003716DD" w:rsidRPr="003B5112">
        <w:rPr>
          <w:rFonts w:cs="Arial"/>
          <w:vertAlign w:val="superscript"/>
        </w:rPr>
        <w:fldChar w:fldCharType="separate"/>
      </w:r>
      <w:r w:rsidR="0094050D" w:rsidRPr="0094050D">
        <w:rPr>
          <w:rFonts w:cs="Arial"/>
          <w:szCs w:val="24"/>
          <w:vertAlign w:val="superscript"/>
        </w:rPr>
        <w:t>16</w:t>
      </w:r>
      <w:r w:rsidR="003716DD" w:rsidRPr="003B5112">
        <w:rPr>
          <w:rFonts w:cs="Arial"/>
          <w:vertAlign w:val="superscript"/>
        </w:rPr>
        <w:fldChar w:fldCharType="end"/>
      </w:r>
      <w:r w:rsidR="00EA12FA">
        <w:t xml:space="preserve"> which </w:t>
      </w:r>
      <w:r w:rsidR="00444ACC" w:rsidRPr="00444ACC">
        <w:t xml:space="preserve">is </w:t>
      </w:r>
      <w:r w:rsidR="00EA12FA">
        <w:t xml:space="preserve">present </w:t>
      </w:r>
      <w:r w:rsidR="00444ACC" w:rsidRPr="00444ACC">
        <w:t xml:space="preserve">at high levels on MM cells, but is rarely expressed on most other cells aside from </w:t>
      </w:r>
      <w:proofErr w:type="spellStart"/>
      <w:r w:rsidR="00444ACC" w:rsidRPr="00444ACC">
        <w:t>plasmablasts</w:t>
      </w:r>
      <w:proofErr w:type="spellEnd"/>
      <w:r w:rsidR="00444ACC" w:rsidRPr="00444ACC">
        <w:t xml:space="preserve"> and differentiated plasma cells.</w:t>
      </w:r>
      <w:r w:rsidR="003716DD" w:rsidRPr="003B5112">
        <w:rPr>
          <w:rFonts w:cs="Arial"/>
          <w:vertAlign w:val="superscript"/>
        </w:rPr>
        <w:fldChar w:fldCharType="begin"/>
      </w:r>
      <w:r w:rsidR="0094050D">
        <w:rPr>
          <w:rFonts w:cs="Arial"/>
          <w:vertAlign w:val="superscript"/>
        </w:rPr>
        <w:instrText xml:space="preserve"> ADDIN ZOTERO_ITEM CSL_CITATION {"citationID":"sM6DmFGg","properties":{"formattedCitation":"\\super 17\\uc0\\u8211{}20\\nosupersub{}","plainCitation":"17–20","noteIndex":0},"citationItems":[{"id":19544,"uris":["http://zotero.org/groups/4721759/items/5EB8A4DS"],"itemData":{"id":19544,"type":"article-journal","abstract":"B-cell maturation antigen (BCMA) expression has been proposed as a marker for the identiﬁcation of malignant plasma cells in patients with multiple myeloma (MM). Nearly all MM tumor cells express BCMA, while normal tissue expression is restricted to plasma cells and a subset of mature B cells. Consistent BCMA expression was conﬁrmed on MM biopsies (29/29 BCMA+), and it was further demonstrated that BCMA is expressed in a substantial number of lymphoma samples, as well as primary chronic lymphocytic leukemia B cells. To target BCMA using redirected autologous T cells, lentiviral vectors (LVV) encoding chimeric antigen receptors (CARs) were constructed with four unique anti-BCMA single-chain variable fragments, fused to the CD137 (4-1BB) co-stimulatory and CD3f signaling domains. One LVV, BB2121, was studied in detail, and BB2121 CAR-transduced T cells (bb2121) exhibited a high frequency of CAR + T cells and robust in vitro activity against MM cell lines, lymphoma cell lines, and primary chronic lymphocytic leukemia peripheral blood. Based on receptor quantiﬁcation, bb2121 recognized tumor cells expressing as little as 222 BCMA molecules per cell. The in vivo pharmacology of anti-BCMA CAR T cells was studied in NSG mouse models of human MM, Burkitt lymphoma, and mantle cell lymphoma, where mice received a single intravenous administration of vehicle, control vector–transduced T cells, or antiBCMA CAR-transduced T cells. In all models, the vehicle and control CAR T cells failed to inhibit tumor growth. In contrast, treatment with bb2121 resulted in rapid and sustained elimination of the tumors and 100% survival in all treatment models. Together, these data support the further development of antiBCMA CAR T cells as a potential treatment for not only MM but also some lymphomas.","container-title":"Human Gene Therapy","DOI":"10.1089/hum.2018.001","ISSN":"1043-0342, 1557-7422","issue":"5","journalAbbreviation":"Human Gene Therapy","language":"en","page":"585-601","source":"DOI.org (Crossref)","title":"Effective Targeting of Multiple B-Cell Maturation Antigen–Expressing Hematological Malignances by Anti-B-Cell Maturation Antigen Chimeric Antigen Receptor T Cells","volume":"29","author":[{"family":"Friedman","given":"Kevin M."},{"family":"Garrett","given":"Tracy E."},{"family":"Evans","given":"John W."},{"family":"Horton","given":"Holly M."},{"family":"Latimer","given":"Howard J."},{"family":"Seidel","given":"Stacie L."},{"family":"Horvath","given":"Christopher J."},{"family":"Morgan","given":"Richard A."}],"issued":{"date-parts":[["2018",5]]}}},{"id":19545,"uris":["http://zotero.org/groups/4721759/items/V55CXEYI"],"itemData":{"id":19545,"type":"article-journal","abstract":"The approval of the first two monoclonal antibodies targeting CD38 (daratumumab) and SLAMF7 (elotuzumab) in late 2015 for treating relapsed and refractory multiple myeloma (RRMM) was a critical advance for immunotherapies for multiple myeloma (MM). Importantly, the outcome of patients continues to improve with the incorporation of this new class of agents with current MM therapies. However, both antigens are also expressed on other normal tissues including hematopoietic lineages and immune effector cells, which may limit their long-term clinical use. B cell maturation antigen (BCMA), a transmembrane glycoprotein in the tumor necrosis factor receptor superfamily 17 (TNFRSF17), is expressed at significantly higher levels in all patient MM cells but not on other normal tissues except normal plasma cells. Importantly, it is an antigen targeted by chimeric antigen receptor (CAR) T-cells, which have already shown significant clinical activities in patients with RRMM who have undergone at least three prior treatments, including a proteasome inhibitor and an immunomodulatory agent. Moreover, the first anti-BCMA antibody–drug conjugate also has achieved significant clinical responses in patients who failed at least three prior lines of therapy, including an anti-CD38 antibody, a proteasome inhibitor, and an immunomodulatory agent. Both BCMA targeting immunotherapies were granted breakthrough status for patients with RRMM by FDA in Nov 2017. Other promising BCMA-based immunotherapeutic macromolecules including bispecific T-cell engagers, bispecific molecules, bispecific or trispecific antibodies, as well as improved forms of next generation CAR T cells, also demonstrate high anti-MM activity in preclinical and even early clinical studies. Here, we focus on the biology of this promising MM target antigen and then highlight preclinical and clinical data of current BCMA-targeted immunotherapies with various mechanisms of action. These crucial studies will enhance selective anti-MM response, transform the treatment paradigm, and extend disease-free survival in MM.","container-title":"Frontiers in Immunology","ISSN":"1664-3224","source":"Frontiers","title":"Targeting B Cell Maturation Antigen (BCMA) in Multiple Myeloma: Potential Uses of BCMA-Based Immunotherapy","title-short":"Targeting B Cell Maturation Antigen (BCMA) in Multiple Myeloma","URL":"https://www.frontiersin.org/article/10.3389/fimmu.2018.01821","volume":"9","author":[{"family":"Cho","given":"Shih-Feng"},{"family":"Anderson","given":"Kenneth C."},{"family":"Tai","given":"Yu-Tzu"}],"accessed":{"date-parts":[["2022",6,29]]},"issued":{"date-parts":[["2018"]]}}},{"id":19548,"uris":["http://zotero.org/groups/4721759/items/J8NVMTXR"],"itemData":{"id":19548,"type":"article-journal","abstract":"Long-lived humoral immunity is manifested by the ability of bone marrow plasma cells (PCs) to survive for extended periods of time. Recent studies have underscored the importance of BLyS and APRIL as factors that can support the survival of B lineage lymphocytes. We show that BLyS can sustain PC survival in vitro, and this survival can be further enhanced by interleukin 6. Selective up-regulation of Mcl-1 in PCs by BLyS suggests that this </w:instrText>
      </w:r>
      <w:r w:rsidR="0094050D">
        <w:rPr>
          <w:rFonts w:ascii="MS Gothic" w:eastAsia="MS Gothic" w:hAnsi="MS Gothic" w:cs="MS Gothic" w:hint="eastAsia"/>
          <w:vertAlign w:val="superscript"/>
        </w:rPr>
        <w:instrText>␣</w:instrText>
      </w:r>
      <w:r w:rsidR="0094050D">
        <w:rPr>
          <w:rFonts w:cs="Arial"/>
          <w:vertAlign w:val="superscript"/>
        </w:rPr>
        <w:instrText xml:space="preserve">-apoptotic gene product may play an important role in PC survival. Blockade of BLyS, via transmembrane activator and cyclophilin ligand interactor–immunoglobulin treatment, inhibited PC survival in vitro and in vivo. Heightened expression of B cell maturation antigen (BCMA), and lowered expression of transmembrane activator and cyclophilin ligand interactor and BAFF receptor in PCs relative to resting B cells suggests a vital role of BCMA in PC survival. Affirmation of the importance of BCMA in PC survival was provided by studies in BCMAϪ/Ϫ mice in which the survival of long-lived bone marrow PCs was impaired compared with wild-type controls. These findings offer new insights into the molecular basis for the long-term survival of PCs.","container-title":"Journal of Experimental Medicine","DOI":"10.1084/jem.20031330","ISSN":"1540-9538, 0022-1007","issue":"1","language":"en","page":"91-98","source":"DOI.org (Crossref)","title":"BCMA Is Essential for the Survival of Long-lived Bone Marrow Plasma Cells","volume":"199","author":[{"family":"O'Connor","given":"Brian P."},{"family":"Raman","given":"Vanitha S."},{"family":"Erickson","given":"Loren D."},{"family":"Cook","given":"W. James"},{"family":"Weaver","given":"Lehn K."},{"family":"Ahonen","given":"Cory"},{"family":"Lin","given":"Ling-Li"},{"family":"Mantchev","given":"George T."},{"family":"Bram","given":"Richard J."},{"family":"Noelle","given":"Randolph J."}],"issued":{"date-parts":[["2004",1,5]]}}},{"id":19550,"uris":["http://zotero.org/groups/4721759/items/UBCC84ZN"],"itemData":{"id":19550,"type":"article-journal","container-title":"The Journal of Immunology","DOI":"10.4049/jimmunol.180.6.3655","ISSN":"0022-1767, 1550-6606","issue":"6","journalAbbreviation":"J Immunol","language":"en","page":"3655-3659","source":"DOI.org (Crossref)","title":"Cutting Edge: The Dependence of Plasma Cells and Independence of Memory B Cells on BAFF and APRIL","title-short":"Cutting Edge","volume":"180","author":[{"family":"Benson","given":"Micah J."},{"family":"Dillon","given":"Stacey R."},{"family":"Castigli","given":"Emanuela"},{"family":"Geha","given":"Raif S."},{"family":"Xu","given":"Shengli"},{"family":"Lam","given":"Kong-Peng"},{"family":"Noelle","given":"Randolph J."}],"issued":{"date-parts":[["2008",3,15]]}}}],"schema":"https://github.com/citation-style-language/schema/raw/master/csl-citation.json"} </w:instrText>
      </w:r>
      <w:r w:rsidR="003716DD" w:rsidRPr="003B5112">
        <w:rPr>
          <w:rFonts w:cs="Arial"/>
          <w:vertAlign w:val="superscript"/>
        </w:rPr>
        <w:fldChar w:fldCharType="separate"/>
      </w:r>
      <w:r w:rsidR="0094050D" w:rsidRPr="0094050D">
        <w:rPr>
          <w:rFonts w:cs="Arial"/>
          <w:szCs w:val="24"/>
          <w:vertAlign w:val="superscript"/>
        </w:rPr>
        <w:t>17–20</w:t>
      </w:r>
      <w:r w:rsidR="003716DD" w:rsidRPr="003B5112">
        <w:rPr>
          <w:rFonts w:cs="Arial"/>
          <w:vertAlign w:val="superscript"/>
        </w:rPr>
        <w:fldChar w:fldCharType="end"/>
      </w:r>
    </w:p>
    <w:p w14:paraId="026DA21B" w14:textId="217B2DD4" w:rsidR="00444ACC" w:rsidRPr="00444ACC" w:rsidRDefault="004728B9" w:rsidP="00E0409A">
      <w:r>
        <w:t xml:space="preserve">Belantamab </w:t>
      </w:r>
      <w:r w:rsidR="00444ACC" w:rsidRPr="00444ACC">
        <w:t xml:space="preserve">binds to cell surface BCMA and is rapidly internalised. Once inside </w:t>
      </w:r>
      <w:r w:rsidR="00966FAB">
        <w:t xml:space="preserve">a </w:t>
      </w:r>
      <w:r w:rsidR="00444ACC" w:rsidRPr="00444ACC">
        <w:t xml:space="preserve">tumour cell, the cytotoxic agent is released, leading to cell cycle arrest and apoptosis. The antibody enhances recruitment and activation of immune effector cells, killing tumour cells by antibody-dependent cellular cytotoxicity and phagocytosis. Apoptosis induced by </w:t>
      </w:r>
      <w:r>
        <w:t xml:space="preserve">belantamab </w:t>
      </w:r>
      <w:r w:rsidR="00444ACC" w:rsidRPr="00444ACC">
        <w:t xml:space="preserve">is accompanied by markers of </w:t>
      </w:r>
      <w:r w:rsidR="00444ACC" w:rsidRPr="00444ACC">
        <w:lastRenderedPageBreak/>
        <w:t>immunogenic cell death, which may contribute to an adaptive immune response to tumour cells.</w:t>
      </w:r>
      <w:r w:rsidR="003716DD" w:rsidRPr="003B5112">
        <w:rPr>
          <w:rFonts w:cs="Arial"/>
          <w:vertAlign w:val="superscript"/>
        </w:rPr>
        <w:fldChar w:fldCharType="begin"/>
      </w:r>
      <w:r w:rsidR="0094050D">
        <w:rPr>
          <w:rFonts w:cs="Arial"/>
          <w:vertAlign w:val="superscript"/>
        </w:rPr>
        <w:instrText xml:space="preserve"> ADDIN ZOTERO_ITEM CSL_CITATION {"citationID":"7QEnBQYN","properties":{"formattedCitation":"\\super 16\\nosupersub{}","plainCitation":"16","noteIndex":0},"citationItems":[{"id":19541,"uris":["http://zotero.org/groups/4721759/items/HS95JQAW"],"itemData":{"id":19541,"type":"webpage","title":"BLENREP 100 mg powder for concentrate for solution for infusion - Summary of Product Characteristics (SmPC) - (emc)","URL":"https://www.medicines.org.uk/emc/product/12545/smpc#gref","accessed":{"date-parts":[["2022",6,29]]}}}],"schema":"https://github.com/citation-style-language/schema/raw/master/csl-citation.json"} </w:instrText>
      </w:r>
      <w:r w:rsidR="003716DD" w:rsidRPr="003B5112">
        <w:rPr>
          <w:rFonts w:cs="Arial"/>
          <w:vertAlign w:val="superscript"/>
        </w:rPr>
        <w:fldChar w:fldCharType="separate"/>
      </w:r>
      <w:r w:rsidR="0094050D" w:rsidRPr="0094050D">
        <w:rPr>
          <w:rFonts w:cs="Arial"/>
          <w:szCs w:val="24"/>
          <w:vertAlign w:val="superscript"/>
        </w:rPr>
        <w:t>16</w:t>
      </w:r>
      <w:r w:rsidR="003716DD" w:rsidRPr="003B5112">
        <w:rPr>
          <w:rFonts w:cs="Arial"/>
          <w:vertAlign w:val="superscript"/>
        </w:rPr>
        <w:fldChar w:fldCharType="end"/>
      </w:r>
    </w:p>
    <w:p w14:paraId="6BBAAF0E" w14:textId="20FB8D30" w:rsidR="00B00A72" w:rsidRDefault="00444ACC" w:rsidP="00E0409A">
      <w:r w:rsidRPr="00444ACC">
        <w:t xml:space="preserve">Due to the selective expression of BCMA, </w:t>
      </w:r>
      <w:r w:rsidR="004728B9">
        <w:t xml:space="preserve">belantamab </w:t>
      </w:r>
      <w:r w:rsidRPr="00444ACC">
        <w:t>is an effective therapeutic option for the treatment of</w:t>
      </w:r>
      <w:r w:rsidR="00EA12FA">
        <w:t xml:space="preserve"> 5L+ TCR</w:t>
      </w:r>
      <w:r w:rsidRPr="00444ACC">
        <w:t>.</w:t>
      </w:r>
      <w:r w:rsidR="003716DD" w:rsidRPr="003B5112">
        <w:rPr>
          <w:rFonts w:cs="Arial"/>
          <w:vertAlign w:val="superscript"/>
        </w:rPr>
        <w:fldChar w:fldCharType="begin"/>
      </w:r>
      <w:r w:rsidR="0094050D">
        <w:rPr>
          <w:rFonts w:cs="Arial"/>
          <w:vertAlign w:val="superscript"/>
        </w:rPr>
        <w:instrText xml:space="preserve"> ADDIN ZOTERO_ITEM CSL_CITATION {"citationID":"g487SdtU","properties":{"formattedCitation":"\\super 21\\nosupersub{}","plainCitation":"21","noteIndex":0},"citationItems":[{"id":19561,"uris":["http://zotero.org/groups/4721759/items/HYWNNHQG"],"itemData":{"id":19561,"type":"article-journal","abstract":"Key Points\n            Selective myeloma cell killing and enhanced effector function of a novel anti-BCMA antibody conjugated with MMAF via noncleavable linker. Specific multiple myeloma antigen for monoclonal antibody-based immunotherapy.","container-title":"Blood","DOI":"10.1182/blood-2013-10-535088","ISSN":"0006-4971, 1528-0020","issue":"20","language":"en","page":"3128-3138","source":"DOI.org (Crossref)","title":"Novel anti–B-cell maturation antigen antibody-drug conjugate (GSK2857916) selectively induces killing of multiple myeloma","volume":"123","author":[{"family":"Tai","given":"Yu-Tzu"},{"family":"Mayes","given":"Patrick A."},{"family":"Acharya","given":"Chirag"},{"family":"Zhong","given":"Mike Y."},{"family":"Cea","given":"Michele"},{"family":"Cagnetta","given":"Antonia"},{"family":"Craigen","given":"Jenny"},{"family":"Yates","given":"John"},{"family":"Gliddon","given":"Louise"},{"family":"Fieles","given":"William"},{"family":"Hoang","given":"Bao"},{"family":"Tunstead","given":"James"},{"family":"Christie","given":"Amanda L."},{"family":"Kung","given":"Andrew L."},{"family":"Richardson","given":"Paul"},{"family":"Munshi","given":"Nikhil C."},{"family":"Anderson","given":"Kenneth C."}],"issued":{"date-parts":[["2014",5,15]]}}}],"schema":"https://github.com/citation-style-language/schema/raw/master/csl-citation.json"} </w:instrText>
      </w:r>
      <w:r w:rsidR="003716DD" w:rsidRPr="003B5112">
        <w:rPr>
          <w:rFonts w:cs="Arial"/>
          <w:vertAlign w:val="superscript"/>
        </w:rPr>
        <w:fldChar w:fldCharType="separate"/>
      </w:r>
      <w:r w:rsidR="0094050D" w:rsidRPr="0094050D">
        <w:rPr>
          <w:rFonts w:cs="Arial"/>
          <w:szCs w:val="24"/>
          <w:vertAlign w:val="superscript"/>
        </w:rPr>
        <w:t>21</w:t>
      </w:r>
      <w:r w:rsidR="003716DD" w:rsidRPr="003B5112">
        <w:rPr>
          <w:rFonts w:cs="Arial"/>
          <w:vertAlign w:val="superscript"/>
        </w:rPr>
        <w:fldChar w:fldCharType="end"/>
      </w:r>
    </w:p>
    <w:p w14:paraId="28C3A255" w14:textId="67AF7D45" w:rsidR="00875338" w:rsidRPr="00B00A72" w:rsidRDefault="00D43354" w:rsidP="00E0409A">
      <w:r>
        <w:t>According to the 2021 EHA-ESMO</w:t>
      </w:r>
      <w:r w:rsidR="00E51D00">
        <w:t xml:space="preserve"> </w:t>
      </w:r>
      <w:r w:rsidR="007F3283">
        <w:t>clin</w:t>
      </w:r>
      <w:r w:rsidR="000A492E">
        <w:t xml:space="preserve">ical practice guidelines for diagnosis, </w:t>
      </w:r>
      <w:proofErr w:type="gramStart"/>
      <w:r w:rsidR="000A492E">
        <w:t>treatment</w:t>
      </w:r>
      <w:proofErr w:type="gramEnd"/>
      <w:r w:rsidR="000A492E">
        <w:t xml:space="preserve"> and follow-up of myeloma, </w:t>
      </w:r>
      <w:r w:rsidR="00EA12FA">
        <w:t>b</w:t>
      </w:r>
      <w:r w:rsidR="00A20DC0">
        <w:t>elantamab is only one</w:t>
      </w:r>
      <w:r w:rsidR="00F675E7">
        <w:t xml:space="preserve"> of 2 </w:t>
      </w:r>
      <w:r w:rsidR="00062596">
        <w:t xml:space="preserve">suitable options for </w:t>
      </w:r>
      <w:r w:rsidR="00EA12FA">
        <w:t xml:space="preserve">TCR </w:t>
      </w:r>
      <w:r w:rsidR="00062596">
        <w:t>patients.</w:t>
      </w:r>
      <w:r w:rsidR="00752A14">
        <w:t xml:space="preserve"> (The other option, Selinexor</w:t>
      </w:r>
      <w:r w:rsidR="00BC3C96">
        <w:t xml:space="preserve"> with </w:t>
      </w:r>
      <w:r w:rsidR="00752A14">
        <w:t>dexamethasone, has not been recommended by NICE.)</w:t>
      </w:r>
      <w:r w:rsidR="003716DD">
        <w:fldChar w:fldCharType="begin"/>
      </w:r>
      <w:r w:rsidR="0094050D">
        <w:instrText xml:space="preserve"> ADDIN ZOTERO_ITEM CSL_CITATION {"citationID":"nmV3R5uo","properties":{"formattedCitation":"\\super 22\\nosupersub{}","plainCitation":"22","noteIndex":0},"citationItems":[{"id":19591,"uris":["http://zotero.org/groups/4721759/items/VT8QCPWN"],"itemData":{"id":19591,"type":"article-journal","container-title":"Annals of Oncology","DOI":"10.1016/j.annonc.2020.11.014","ISSN":"09237534","issue":"3","journalAbbreviation":"Annals of Oncology","language":"en","page":"309-322","source":"DOI.org (Crossref)","title":"Multiple myeloma: EHA-ESMO Clinical Practice Guidelines for diagnosis, treatment and follow-up†","title-short":"Multiple myeloma","volume":"32","author":[{"family":"Dimopoulos","given":"M.A."},{"family":"Moreau","given":"P."},{"family":"Terpos","given":"E."},{"family":"Mateos","given":"M.V."},{"family":"Zweegman","given":"S."},{"family":"Cook","given":"G."},{"family":"Delforge","given":"M."},{"family":"Hájek","given":"R."},{"family":"Schjesvold","given":"F."},{"family":"Cavo","given":"M."},{"family":"Goldschmidt","given":"H."},{"family":"Facon","given":"T."},{"family":"Einsele","given":"H."},{"family":"Boccadoro","given":"M."},{"family":"San-Miguel","given":"J."},{"family":"Sonneveld","given":"P."},{"family":"Mey","given":"U."}],"issued":{"date-parts":[["2021",3]]}}}],"schema":"https://github.com/citation-style-language/schema/raw/master/csl-citation.json"} </w:instrText>
      </w:r>
      <w:r w:rsidR="003716DD">
        <w:fldChar w:fldCharType="separate"/>
      </w:r>
      <w:r w:rsidR="0094050D" w:rsidRPr="0094050D">
        <w:rPr>
          <w:rFonts w:cs="Arial"/>
          <w:szCs w:val="24"/>
          <w:vertAlign w:val="superscript"/>
        </w:rPr>
        <w:t>22</w:t>
      </w:r>
      <w:r w:rsidR="003716DD">
        <w:fldChar w:fldCharType="end"/>
      </w:r>
    </w:p>
    <w:p w14:paraId="596F9618" w14:textId="643E8A0F" w:rsidR="008610CE" w:rsidRDefault="008610CE" w:rsidP="003B1EF0">
      <w:pPr>
        <w:pStyle w:val="Heading2"/>
      </w:pPr>
      <w:r w:rsidRPr="008610CE">
        <w:t xml:space="preserve">Procedural history of the appraisal </w:t>
      </w:r>
      <w:r>
        <w:t xml:space="preserve"> </w:t>
      </w:r>
    </w:p>
    <w:tbl>
      <w:tblPr>
        <w:tblStyle w:val="TableGrid0"/>
        <w:tblW w:w="9716" w:type="dxa"/>
        <w:tblInd w:w="0" w:type="dxa"/>
        <w:tblLook w:val="04A0" w:firstRow="1" w:lastRow="0" w:firstColumn="1" w:lastColumn="0" w:noHBand="0" w:noVBand="1"/>
      </w:tblPr>
      <w:tblGrid>
        <w:gridCol w:w="3256"/>
        <w:gridCol w:w="6460"/>
      </w:tblGrid>
      <w:tr w:rsidR="004534EB" w:rsidRPr="00E0409A" w14:paraId="5F57D710"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hideMark/>
          </w:tcPr>
          <w:p w14:paraId="2034C594" w14:textId="77777777" w:rsidR="004534EB" w:rsidRPr="00E0409A" w:rsidRDefault="004534EB" w:rsidP="00DF183D">
            <w:pPr>
              <w:spacing w:before="0"/>
              <w:jc w:val="center"/>
              <w:rPr>
                <w:b/>
                <w:bCs/>
              </w:rPr>
            </w:pPr>
            <w:r w:rsidRPr="00E0409A">
              <w:rPr>
                <w:b/>
                <w:bCs/>
              </w:rPr>
              <w:t>Date</w:t>
            </w:r>
          </w:p>
        </w:tc>
        <w:tc>
          <w:tcPr>
            <w:tcW w:w="6460" w:type="dxa"/>
            <w:tcBorders>
              <w:top w:val="single" w:sz="4" w:space="0" w:color="auto"/>
              <w:left w:val="single" w:sz="4" w:space="0" w:color="auto"/>
              <w:bottom w:val="single" w:sz="4" w:space="0" w:color="auto"/>
              <w:right w:val="single" w:sz="4" w:space="0" w:color="auto"/>
            </w:tcBorders>
            <w:hideMark/>
          </w:tcPr>
          <w:p w14:paraId="238C7B03" w14:textId="77777777" w:rsidR="004534EB" w:rsidRPr="00E0409A" w:rsidRDefault="004534EB" w:rsidP="00DF183D">
            <w:pPr>
              <w:spacing w:before="0"/>
              <w:jc w:val="center"/>
              <w:rPr>
                <w:b/>
                <w:bCs/>
              </w:rPr>
            </w:pPr>
            <w:r w:rsidRPr="00E0409A">
              <w:rPr>
                <w:b/>
                <w:bCs/>
              </w:rPr>
              <w:t>Event</w:t>
            </w:r>
          </w:p>
        </w:tc>
      </w:tr>
      <w:tr w:rsidR="00070C08" w14:paraId="60D2FA44"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6415D807" w14:textId="1F5AD915" w:rsidR="00070C08" w:rsidRDefault="00070C08" w:rsidP="00DF183D">
            <w:pPr>
              <w:spacing w:before="0"/>
            </w:pPr>
            <w:r w:rsidRPr="00262345">
              <w:t>01 June 2022</w:t>
            </w:r>
          </w:p>
        </w:tc>
        <w:tc>
          <w:tcPr>
            <w:tcW w:w="6460" w:type="dxa"/>
            <w:tcBorders>
              <w:top w:val="single" w:sz="4" w:space="0" w:color="auto"/>
              <w:left w:val="single" w:sz="4" w:space="0" w:color="auto"/>
              <w:bottom w:val="single" w:sz="4" w:space="0" w:color="auto"/>
              <w:right w:val="single" w:sz="4" w:space="0" w:color="auto"/>
            </w:tcBorders>
          </w:tcPr>
          <w:p w14:paraId="350D7875" w14:textId="3FE4D6F5" w:rsidR="00070C08" w:rsidRPr="00BA6F6F" w:rsidRDefault="00070C08" w:rsidP="00DF183D">
            <w:pPr>
              <w:spacing w:before="0"/>
            </w:pPr>
            <w:r w:rsidRPr="00BA6F6F">
              <w:t>Scoping commenced</w:t>
            </w:r>
          </w:p>
        </w:tc>
      </w:tr>
      <w:tr w:rsidR="004534EB" w14:paraId="6527D474"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hideMark/>
          </w:tcPr>
          <w:p w14:paraId="54268E89" w14:textId="6636BC5B" w:rsidR="004534EB" w:rsidRDefault="00262345" w:rsidP="00DF183D">
            <w:pPr>
              <w:spacing w:before="0"/>
            </w:pPr>
            <w:r w:rsidRPr="00262345">
              <w:t>01 June 2022 - 01 July 2022</w:t>
            </w:r>
          </w:p>
        </w:tc>
        <w:tc>
          <w:tcPr>
            <w:tcW w:w="6460" w:type="dxa"/>
            <w:tcBorders>
              <w:top w:val="single" w:sz="4" w:space="0" w:color="auto"/>
              <w:left w:val="single" w:sz="4" w:space="0" w:color="auto"/>
              <w:bottom w:val="single" w:sz="4" w:space="0" w:color="auto"/>
              <w:right w:val="single" w:sz="4" w:space="0" w:color="auto"/>
            </w:tcBorders>
            <w:hideMark/>
          </w:tcPr>
          <w:p w14:paraId="6636F37C" w14:textId="77777777" w:rsidR="004534EB" w:rsidRDefault="004534EB" w:rsidP="00DF183D">
            <w:pPr>
              <w:spacing w:before="0"/>
            </w:pPr>
            <w:r>
              <w:t>Consultation on suggested remit, draft scope and provisional stakeholder list of consultees and commentators</w:t>
            </w:r>
          </w:p>
        </w:tc>
      </w:tr>
      <w:tr w:rsidR="00000F14" w14:paraId="25C5F3C4"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440E625F" w14:textId="41D4C792" w:rsidR="00000F14" w:rsidRDefault="00000F14" w:rsidP="00DF183D">
            <w:pPr>
              <w:spacing w:before="0"/>
            </w:pPr>
            <w:r w:rsidRPr="00B250E3">
              <w:t>01 June 2022</w:t>
            </w:r>
          </w:p>
        </w:tc>
        <w:tc>
          <w:tcPr>
            <w:tcW w:w="6460" w:type="dxa"/>
            <w:tcBorders>
              <w:top w:val="single" w:sz="4" w:space="0" w:color="auto"/>
              <w:left w:val="single" w:sz="4" w:space="0" w:color="auto"/>
              <w:bottom w:val="single" w:sz="4" w:space="0" w:color="auto"/>
              <w:right w:val="single" w:sz="4" w:space="0" w:color="auto"/>
            </w:tcBorders>
          </w:tcPr>
          <w:p w14:paraId="76E0B67E" w14:textId="1AF8FEB0" w:rsidR="00000F14" w:rsidRDefault="00000F14" w:rsidP="00DF183D">
            <w:pPr>
              <w:spacing w:before="0"/>
            </w:pPr>
            <w:r>
              <w:t>Invitation to participate</w:t>
            </w:r>
          </w:p>
        </w:tc>
      </w:tr>
      <w:tr w:rsidR="00000F14" w14:paraId="5C7D7A6E"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36256093" w14:textId="51D15F4B" w:rsidR="00000F14" w:rsidRDefault="002C741B" w:rsidP="00DF183D">
            <w:pPr>
              <w:spacing w:before="0"/>
            </w:pPr>
            <w:r>
              <w:t>August 2022</w:t>
            </w:r>
          </w:p>
        </w:tc>
        <w:tc>
          <w:tcPr>
            <w:tcW w:w="6460" w:type="dxa"/>
            <w:tcBorders>
              <w:top w:val="single" w:sz="4" w:space="0" w:color="auto"/>
              <w:left w:val="single" w:sz="4" w:space="0" w:color="auto"/>
              <w:bottom w:val="single" w:sz="4" w:space="0" w:color="auto"/>
              <w:right w:val="single" w:sz="4" w:space="0" w:color="auto"/>
            </w:tcBorders>
          </w:tcPr>
          <w:p w14:paraId="52F6ADFC" w14:textId="6D5FC043" w:rsidR="00000F14" w:rsidRDefault="002C741B" w:rsidP="00DF183D">
            <w:pPr>
              <w:spacing w:before="0"/>
            </w:pPr>
            <w:r>
              <w:t>Final scope</w:t>
            </w:r>
            <w:r w:rsidR="00BA6F6F">
              <w:t xml:space="preserve"> issued</w:t>
            </w:r>
          </w:p>
        </w:tc>
      </w:tr>
      <w:tr w:rsidR="007F4E37" w14:paraId="12CFCE7C"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54CEBEA7" w14:textId="760AFE66" w:rsidR="007F4E37" w:rsidRDefault="007F4E37" w:rsidP="00DF183D">
            <w:pPr>
              <w:spacing w:before="0"/>
            </w:pPr>
            <w:r>
              <w:t>06 October 2022</w:t>
            </w:r>
          </w:p>
        </w:tc>
        <w:tc>
          <w:tcPr>
            <w:tcW w:w="6460" w:type="dxa"/>
            <w:tcBorders>
              <w:top w:val="single" w:sz="4" w:space="0" w:color="auto"/>
              <w:left w:val="single" w:sz="4" w:space="0" w:color="auto"/>
              <w:bottom w:val="single" w:sz="4" w:space="0" w:color="auto"/>
              <w:right w:val="single" w:sz="4" w:space="0" w:color="auto"/>
            </w:tcBorders>
          </w:tcPr>
          <w:p w14:paraId="1A74EDB4" w14:textId="5649D61C" w:rsidR="007F4E37" w:rsidRDefault="007F4E37" w:rsidP="00DF183D">
            <w:pPr>
              <w:spacing w:before="0"/>
            </w:pPr>
            <w:r>
              <w:t>GSK submission to NICE</w:t>
            </w:r>
          </w:p>
        </w:tc>
      </w:tr>
      <w:tr w:rsidR="00F443A4" w14:paraId="6F290801"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19490AD9" w14:textId="76D617F3" w:rsidR="00F443A4" w:rsidRDefault="00F443A4" w:rsidP="00DF183D">
            <w:pPr>
              <w:spacing w:before="0"/>
            </w:pPr>
            <w:r w:rsidRPr="00F443A4">
              <w:t>24 October 2022</w:t>
            </w:r>
            <w:r w:rsidR="00586C2F">
              <w:t xml:space="preserve"> - </w:t>
            </w:r>
            <w:r w:rsidR="00586C2F" w:rsidRPr="00586C2F">
              <w:t>7 November</w:t>
            </w:r>
            <w:r w:rsidR="00586C2F">
              <w:t xml:space="preserve"> </w:t>
            </w:r>
            <w:r w:rsidR="00586C2F" w:rsidRPr="00586C2F">
              <w:t>2022</w:t>
            </w:r>
          </w:p>
        </w:tc>
        <w:tc>
          <w:tcPr>
            <w:tcW w:w="6460" w:type="dxa"/>
            <w:tcBorders>
              <w:top w:val="single" w:sz="4" w:space="0" w:color="auto"/>
              <w:left w:val="single" w:sz="4" w:space="0" w:color="auto"/>
              <w:bottom w:val="single" w:sz="4" w:space="0" w:color="auto"/>
              <w:right w:val="single" w:sz="4" w:space="0" w:color="auto"/>
            </w:tcBorders>
          </w:tcPr>
          <w:p w14:paraId="2231E4F3" w14:textId="0E3701AC" w:rsidR="00F443A4" w:rsidRDefault="00586C2F" w:rsidP="00DF183D">
            <w:pPr>
              <w:spacing w:before="0"/>
            </w:pPr>
            <w:r>
              <w:t>Clarification questions</w:t>
            </w:r>
          </w:p>
        </w:tc>
      </w:tr>
      <w:tr w:rsidR="007F4E37" w14:paraId="00139042"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hideMark/>
          </w:tcPr>
          <w:p w14:paraId="49313873" w14:textId="097A7BF0" w:rsidR="007F4E37" w:rsidRDefault="000737FF" w:rsidP="00DF183D">
            <w:pPr>
              <w:spacing w:before="0"/>
            </w:pPr>
            <w:r w:rsidRPr="000737FF">
              <w:t>13 December 2022</w:t>
            </w:r>
          </w:p>
        </w:tc>
        <w:tc>
          <w:tcPr>
            <w:tcW w:w="6460" w:type="dxa"/>
            <w:tcBorders>
              <w:top w:val="single" w:sz="4" w:space="0" w:color="auto"/>
              <w:left w:val="single" w:sz="4" w:space="0" w:color="auto"/>
              <w:bottom w:val="single" w:sz="4" w:space="0" w:color="auto"/>
              <w:right w:val="single" w:sz="4" w:space="0" w:color="auto"/>
            </w:tcBorders>
          </w:tcPr>
          <w:p w14:paraId="004F5F9C" w14:textId="1674E2AA" w:rsidR="007F4E37" w:rsidRDefault="007F4E37" w:rsidP="00DF183D">
            <w:pPr>
              <w:spacing w:before="0"/>
            </w:pPr>
            <w:r>
              <w:t xml:space="preserve">Evidence </w:t>
            </w:r>
            <w:r w:rsidR="001114A8">
              <w:t xml:space="preserve">Assessment </w:t>
            </w:r>
            <w:r>
              <w:t xml:space="preserve">Group </w:t>
            </w:r>
            <w:r w:rsidR="00996A66">
              <w:t xml:space="preserve">(EAG) report </w:t>
            </w:r>
            <w:r>
              <w:t>prepared by</w:t>
            </w:r>
            <w:r w:rsidR="00D9319D">
              <w:t xml:space="preserve"> </w:t>
            </w:r>
            <w:r w:rsidR="00D9319D" w:rsidRPr="00D9319D">
              <w:t>Warwick Evidence</w:t>
            </w:r>
          </w:p>
        </w:tc>
      </w:tr>
      <w:tr w:rsidR="007F4E37" w14:paraId="53B17A68"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0991EA61" w14:textId="67283FC9" w:rsidR="007F4E37" w:rsidRDefault="00B93F3B" w:rsidP="00DF183D">
            <w:pPr>
              <w:spacing w:before="0"/>
            </w:pPr>
            <w:r w:rsidRPr="00F06F4A">
              <w:t>1</w:t>
            </w:r>
            <w:r w:rsidR="00B94A06" w:rsidRPr="00F06F4A">
              <w:t>7</w:t>
            </w:r>
            <w:r w:rsidRPr="00F06F4A">
              <w:t xml:space="preserve"> January</w:t>
            </w:r>
            <w:r w:rsidR="00586C2F" w:rsidRPr="00F06F4A">
              <w:t xml:space="preserve"> </w:t>
            </w:r>
            <w:r w:rsidRPr="00F06F4A">
              <w:t>2023</w:t>
            </w:r>
            <w:r w:rsidR="007163FB">
              <w:t xml:space="preserve"> - </w:t>
            </w:r>
            <w:r w:rsidR="007163FB" w:rsidRPr="007163FB">
              <w:t>14</w:t>
            </w:r>
            <w:r w:rsidR="007163FB">
              <w:t xml:space="preserve"> </w:t>
            </w:r>
            <w:r w:rsidR="007163FB" w:rsidRPr="007163FB">
              <w:t>February 2023</w:t>
            </w:r>
          </w:p>
        </w:tc>
        <w:tc>
          <w:tcPr>
            <w:tcW w:w="6460" w:type="dxa"/>
            <w:tcBorders>
              <w:top w:val="single" w:sz="4" w:space="0" w:color="auto"/>
              <w:left w:val="single" w:sz="4" w:space="0" w:color="auto"/>
              <w:bottom w:val="single" w:sz="4" w:space="0" w:color="auto"/>
              <w:right w:val="single" w:sz="4" w:space="0" w:color="auto"/>
            </w:tcBorders>
          </w:tcPr>
          <w:p w14:paraId="3DD94825" w14:textId="6B519042" w:rsidR="007F4E37" w:rsidRDefault="00431443" w:rsidP="00DF183D">
            <w:pPr>
              <w:spacing w:before="0"/>
            </w:pPr>
            <w:r w:rsidRPr="00431443">
              <w:t>Technical Engagement</w:t>
            </w:r>
          </w:p>
        </w:tc>
      </w:tr>
      <w:tr w:rsidR="007F4E37" w14:paraId="190C18C4"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3235815D" w14:textId="53336438" w:rsidR="007F4E37" w:rsidRDefault="007F4E37" w:rsidP="00DF183D">
            <w:pPr>
              <w:spacing w:before="0"/>
            </w:pPr>
            <w:r>
              <w:t>13 April 2023</w:t>
            </w:r>
          </w:p>
        </w:tc>
        <w:tc>
          <w:tcPr>
            <w:tcW w:w="6460" w:type="dxa"/>
            <w:tcBorders>
              <w:top w:val="single" w:sz="4" w:space="0" w:color="auto"/>
              <w:left w:val="single" w:sz="4" w:space="0" w:color="auto"/>
              <w:bottom w:val="single" w:sz="4" w:space="0" w:color="auto"/>
              <w:right w:val="single" w:sz="4" w:space="0" w:color="auto"/>
            </w:tcBorders>
          </w:tcPr>
          <w:p w14:paraId="49B0A739" w14:textId="014A1F43" w:rsidR="007F4E37" w:rsidRDefault="007163FB" w:rsidP="00DF183D">
            <w:pPr>
              <w:spacing w:before="0"/>
            </w:pPr>
            <w:r>
              <w:t xml:space="preserve">First </w:t>
            </w:r>
            <w:r w:rsidR="00B85F18">
              <w:t>A</w:t>
            </w:r>
            <w:r>
              <w:t xml:space="preserve">ppraisal </w:t>
            </w:r>
            <w:r w:rsidR="00B85F18">
              <w:t>C</w:t>
            </w:r>
            <w:r>
              <w:t>ommittee meeting</w:t>
            </w:r>
          </w:p>
        </w:tc>
      </w:tr>
      <w:tr w:rsidR="007163FB" w14:paraId="359D7247"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hideMark/>
          </w:tcPr>
          <w:p w14:paraId="001ECFA1" w14:textId="2347C17B" w:rsidR="007163FB" w:rsidRDefault="007163FB" w:rsidP="00DF183D">
            <w:pPr>
              <w:spacing w:before="0"/>
            </w:pPr>
            <w:r w:rsidRPr="00A46433">
              <w:t>09 May 2023 - 31 May 2023</w:t>
            </w:r>
          </w:p>
        </w:tc>
        <w:tc>
          <w:tcPr>
            <w:tcW w:w="6460" w:type="dxa"/>
            <w:tcBorders>
              <w:top w:val="single" w:sz="4" w:space="0" w:color="auto"/>
              <w:left w:val="single" w:sz="4" w:space="0" w:color="auto"/>
              <w:bottom w:val="single" w:sz="4" w:space="0" w:color="auto"/>
              <w:right w:val="single" w:sz="4" w:space="0" w:color="auto"/>
            </w:tcBorders>
            <w:hideMark/>
          </w:tcPr>
          <w:p w14:paraId="390FFE59" w14:textId="736703C2" w:rsidR="007163FB" w:rsidRDefault="00F77F94" w:rsidP="00DF183D">
            <w:pPr>
              <w:spacing w:before="0"/>
            </w:pPr>
            <w:r>
              <w:t>Consultation on the Draft Guidance (DG)</w:t>
            </w:r>
            <w:r w:rsidR="007163FB">
              <w:t xml:space="preserve"> </w:t>
            </w:r>
          </w:p>
        </w:tc>
      </w:tr>
      <w:tr w:rsidR="007163FB" w14:paraId="5C80C43B"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51633646" w14:textId="1E130AC8" w:rsidR="007163FB" w:rsidRDefault="007163FB" w:rsidP="00DF183D">
            <w:pPr>
              <w:spacing w:before="0"/>
            </w:pPr>
            <w:r w:rsidRPr="00A46433">
              <w:t>31 May 2023</w:t>
            </w:r>
          </w:p>
        </w:tc>
        <w:tc>
          <w:tcPr>
            <w:tcW w:w="6460" w:type="dxa"/>
            <w:tcBorders>
              <w:top w:val="single" w:sz="4" w:space="0" w:color="auto"/>
              <w:left w:val="single" w:sz="4" w:space="0" w:color="auto"/>
              <w:bottom w:val="single" w:sz="4" w:space="0" w:color="auto"/>
              <w:right w:val="single" w:sz="4" w:space="0" w:color="auto"/>
            </w:tcBorders>
          </w:tcPr>
          <w:p w14:paraId="66260AFF" w14:textId="761B7692" w:rsidR="007163FB" w:rsidRDefault="007163FB" w:rsidP="00DF183D">
            <w:pPr>
              <w:spacing w:before="0"/>
            </w:pPr>
            <w:r>
              <w:t xml:space="preserve">GSK response to </w:t>
            </w:r>
            <w:r w:rsidR="001114A8">
              <w:t>the DG</w:t>
            </w:r>
          </w:p>
        </w:tc>
      </w:tr>
      <w:tr w:rsidR="007163FB" w14:paraId="1054480B"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52F50557" w14:textId="0EC1529F" w:rsidR="007163FB" w:rsidRDefault="007163FB" w:rsidP="00DF183D">
            <w:pPr>
              <w:spacing w:before="0"/>
            </w:pPr>
            <w:r w:rsidRPr="00DC3127">
              <w:t>14 June 2023</w:t>
            </w:r>
          </w:p>
        </w:tc>
        <w:tc>
          <w:tcPr>
            <w:tcW w:w="6460" w:type="dxa"/>
            <w:tcBorders>
              <w:top w:val="single" w:sz="4" w:space="0" w:color="auto"/>
              <w:left w:val="single" w:sz="4" w:space="0" w:color="auto"/>
              <w:bottom w:val="single" w:sz="4" w:space="0" w:color="auto"/>
              <w:right w:val="single" w:sz="4" w:space="0" w:color="auto"/>
            </w:tcBorders>
          </w:tcPr>
          <w:p w14:paraId="1CDAC8C1" w14:textId="183262A7" w:rsidR="007163FB" w:rsidRDefault="007163FB" w:rsidP="00DF183D">
            <w:pPr>
              <w:spacing w:before="0"/>
            </w:pPr>
            <w:r>
              <w:t xml:space="preserve">Second </w:t>
            </w:r>
            <w:r w:rsidR="00B85F18">
              <w:t>A</w:t>
            </w:r>
            <w:r>
              <w:t xml:space="preserve">ppraisal </w:t>
            </w:r>
            <w:r w:rsidR="00B85F18">
              <w:t>C</w:t>
            </w:r>
            <w:r>
              <w:t>ommittee meeting</w:t>
            </w:r>
          </w:p>
        </w:tc>
      </w:tr>
      <w:tr w:rsidR="007163FB" w14:paraId="28FF7AC5" w14:textId="77777777" w:rsidTr="00DF183D">
        <w:trPr>
          <w:trHeight w:val="18"/>
        </w:trPr>
        <w:tc>
          <w:tcPr>
            <w:tcW w:w="3256" w:type="dxa"/>
            <w:tcBorders>
              <w:top w:val="single" w:sz="4" w:space="0" w:color="auto"/>
              <w:left w:val="single" w:sz="4" w:space="0" w:color="auto"/>
              <w:bottom w:val="single" w:sz="4" w:space="0" w:color="auto"/>
              <w:right w:val="single" w:sz="4" w:space="0" w:color="auto"/>
            </w:tcBorders>
          </w:tcPr>
          <w:p w14:paraId="0C5C7CC1" w14:textId="3B0DA01F" w:rsidR="007163FB" w:rsidRDefault="00BA6F6F" w:rsidP="00DF183D">
            <w:pPr>
              <w:spacing w:before="0"/>
            </w:pPr>
            <w:r>
              <w:t>14 July 2023</w:t>
            </w:r>
          </w:p>
        </w:tc>
        <w:tc>
          <w:tcPr>
            <w:tcW w:w="6460" w:type="dxa"/>
            <w:tcBorders>
              <w:top w:val="single" w:sz="4" w:space="0" w:color="auto"/>
              <w:left w:val="single" w:sz="4" w:space="0" w:color="auto"/>
              <w:bottom w:val="single" w:sz="4" w:space="0" w:color="auto"/>
              <w:right w:val="single" w:sz="4" w:space="0" w:color="auto"/>
            </w:tcBorders>
          </w:tcPr>
          <w:p w14:paraId="532AB8C7" w14:textId="65440365" w:rsidR="007163FB" w:rsidRDefault="007163FB" w:rsidP="00DF183D">
            <w:pPr>
              <w:spacing w:before="0"/>
            </w:pPr>
            <w:r>
              <w:t xml:space="preserve">Final </w:t>
            </w:r>
            <w:r w:rsidR="00B85F18">
              <w:t>Draft Guidance</w:t>
            </w:r>
            <w:r w:rsidR="00DD6938">
              <w:t xml:space="preserve"> (FDG)</w:t>
            </w:r>
          </w:p>
        </w:tc>
      </w:tr>
    </w:tbl>
    <w:p w14:paraId="1068191C" w14:textId="38765BD7" w:rsidR="00FC3E03" w:rsidRDefault="00FC3E03" w:rsidP="00BB6143">
      <w:pPr>
        <w:pStyle w:val="Heading1"/>
      </w:pPr>
      <w:r>
        <w:t>Grounds of Appeal</w:t>
      </w:r>
    </w:p>
    <w:p w14:paraId="074A25E4" w14:textId="26EF4C4E" w:rsidR="000056A6" w:rsidRDefault="00413A86" w:rsidP="00413A86">
      <w:pPr>
        <w:pStyle w:val="Heading2"/>
      </w:pPr>
      <w:bookmarkStart w:id="1" w:name="_Ref141260746"/>
      <w:r>
        <w:rPr>
          <w:lang w:val="en-GB"/>
        </w:rPr>
        <w:t xml:space="preserve">Ground 1a: </w:t>
      </w:r>
      <w:r w:rsidR="0022098C" w:rsidRPr="00BD49A9">
        <w:t xml:space="preserve">In making the assessment that preceded the </w:t>
      </w:r>
      <w:r w:rsidR="0022098C" w:rsidRPr="000056A6">
        <w:t>recommendation</w:t>
      </w:r>
      <w:r w:rsidR="0022098C" w:rsidRPr="00BD49A9">
        <w:t>, NICE has failed to act fairly</w:t>
      </w:r>
      <w:r w:rsidR="69D4E0DB" w:rsidRPr="00BD49A9">
        <w:t>.</w:t>
      </w:r>
      <w:r w:rsidR="0022098C" w:rsidRPr="00BD49A9">
        <w:t xml:space="preserve"> </w:t>
      </w:r>
      <w:bookmarkStart w:id="2" w:name="_Ref141126760"/>
    </w:p>
    <w:p w14:paraId="6C9E2A09" w14:textId="76408078" w:rsidR="00981C2A" w:rsidRPr="00DD7FDD" w:rsidRDefault="00981C2A" w:rsidP="00F10653">
      <w:pPr>
        <w:pStyle w:val="Heading3"/>
      </w:pPr>
      <w:bookmarkStart w:id="3" w:name="_Ref141613224"/>
      <w:r w:rsidRPr="00DD7FDD">
        <w:t xml:space="preserve">The </w:t>
      </w:r>
      <w:r w:rsidR="009E64D5">
        <w:t>C</w:t>
      </w:r>
      <w:r w:rsidRPr="00DD7FDD">
        <w:t xml:space="preserve">ommittee’s conclusions on the validity of belantamab UK RWE and related analyses lack transparency and </w:t>
      </w:r>
      <w:r w:rsidR="0018368F" w:rsidRPr="00DD7FDD">
        <w:t>are</w:t>
      </w:r>
      <w:r w:rsidRPr="00DD7FDD">
        <w:t xml:space="preserve"> inconsistent with the focus placed on real-world data use in the NICE strategy for 2021 to 2026</w:t>
      </w:r>
      <w:r w:rsidR="00ED30B1" w:rsidRPr="00DD7FDD">
        <w:t>.</w:t>
      </w:r>
      <w:bookmarkEnd w:id="3"/>
      <w:r w:rsidRPr="00DD7FDD">
        <w:t xml:space="preserve"> </w:t>
      </w:r>
    </w:p>
    <w:p w14:paraId="0ABF9781" w14:textId="05BC13E5" w:rsidR="00981C2A" w:rsidRPr="00DD7FDD" w:rsidRDefault="00981C2A" w:rsidP="008338A6">
      <w:pPr>
        <w:pStyle w:val="ListParagraph"/>
        <w:numPr>
          <w:ilvl w:val="0"/>
          <w:numId w:val="8"/>
        </w:numPr>
        <w:rPr>
          <w:b/>
        </w:rPr>
      </w:pPr>
      <w:r w:rsidRPr="00DD7FDD">
        <w:rPr>
          <w:b/>
        </w:rPr>
        <w:t xml:space="preserve">The </w:t>
      </w:r>
      <w:r w:rsidR="009E64D5">
        <w:rPr>
          <w:b/>
        </w:rPr>
        <w:t>C</w:t>
      </w:r>
      <w:r w:rsidRPr="00DD7FDD">
        <w:rPr>
          <w:b/>
        </w:rPr>
        <w:t xml:space="preserve">ommittee’s </w:t>
      </w:r>
      <w:r w:rsidR="00DB3F19" w:rsidRPr="00DD7FDD">
        <w:rPr>
          <w:b/>
        </w:rPr>
        <w:t>conclusion that the UK RWE considered in this evaluation is subject to “</w:t>
      </w:r>
      <w:r w:rsidRPr="00DD7FDD">
        <w:rPr>
          <w:b/>
        </w:rPr>
        <w:t>potential bias</w:t>
      </w:r>
      <w:r w:rsidR="00DB3F19" w:rsidRPr="00DD7FDD">
        <w:rPr>
          <w:b/>
        </w:rPr>
        <w:t>”</w:t>
      </w:r>
      <w:r w:rsidRPr="00DD7FDD">
        <w:rPr>
          <w:b/>
        </w:rPr>
        <w:t xml:space="preserve"> and confounding associated with the UK RWE for belantamab are not </w:t>
      </w:r>
      <w:r w:rsidR="004B5848" w:rsidRPr="00DD7FDD">
        <w:rPr>
          <w:b/>
        </w:rPr>
        <w:t>clearly</w:t>
      </w:r>
      <w:r w:rsidRPr="00DD7FDD">
        <w:rPr>
          <w:b/>
        </w:rPr>
        <w:t xml:space="preserve"> </w:t>
      </w:r>
      <w:r w:rsidR="004B5848" w:rsidRPr="00DD7FDD">
        <w:rPr>
          <w:b/>
        </w:rPr>
        <w:t>evidenced</w:t>
      </w:r>
      <w:r w:rsidRPr="00DD7FDD">
        <w:rPr>
          <w:b/>
        </w:rPr>
        <w:t xml:space="preserve"> and justified.</w:t>
      </w:r>
    </w:p>
    <w:p w14:paraId="24508843" w14:textId="1E03691A" w:rsidR="00C94A1E" w:rsidRDefault="00981C2A" w:rsidP="00981C2A">
      <w:r>
        <w:t xml:space="preserve">The Committee’s </w:t>
      </w:r>
      <w:r w:rsidR="00C94A1E">
        <w:t xml:space="preserve">assessment of </w:t>
      </w:r>
      <w:r>
        <w:t xml:space="preserve">the UK RWE evidence </w:t>
      </w:r>
      <w:r w:rsidR="00C94A1E">
        <w:t>submitted in this evaluation</w:t>
      </w:r>
      <w:r>
        <w:t xml:space="preserve"> </w:t>
      </w:r>
      <w:r w:rsidR="00C94A1E">
        <w:t xml:space="preserve">is </w:t>
      </w:r>
      <w:r>
        <w:t xml:space="preserve">set out in section 3.8 of the </w:t>
      </w:r>
      <w:r w:rsidR="00AF6D29">
        <w:t>FDG</w:t>
      </w:r>
      <w:r w:rsidR="00C94A1E">
        <w:t>, resulting in</w:t>
      </w:r>
      <w:r w:rsidR="007470E8">
        <w:t xml:space="preserve"> </w:t>
      </w:r>
      <w:r w:rsidR="00C94A1E">
        <w:t xml:space="preserve">the Committee’s conclusion: </w:t>
      </w:r>
    </w:p>
    <w:p w14:paraId="2ECF332B" w14:textId="01D9EF5F" w:rsidR="00C94A1E" w:rsidRDefault="00C94A1E" w:rsidP="00DD7FDD">
      <w:pPr>
        <w:ind w:left="720"/>
      </w:pPr>
      <w:r>
        <w:t xml:space="preserve">“The </w:t>
      </w:r>
      <w:r w:rsidR="00A9406D">
        <w:t>c</w:t>
      </w:r>
      <w:r>
        <w:t xml:space="preserve">ommittee agreed that the extent and direction of the potential bias was unclear in the company’s naïve comparison. It concluded that the company’s updated naïve comparison lacked validity and added further uncertainty around the efficacy of belantamab compared with pomalidomide plus </w:t>
      </w:r>
      <w:r w:rsidR="00DD7FDD">
        <w:t>dexamethasone</w:t>
      </w:r>
      <w:r w:rsidR="007470E8">
        <w:t>.</w:t>
      </w:r>
      <w:r w:rsidR="00DD7FDD">
        <w:t>”</w:t>
      </w:r>
    </w:p>
    <w:p w14:paraId="4CC0BC6D" w14:textId="120901EB" w:rsidR="00E14581" w:rsidRDefault="00C94A1E" w:rsidP="00DD7FDD">
      <w:r>
        <w:t>The UK RWE considered by t</w:t>
      </w:r>
      <w:r w:rsidR="00981C2A" w:rsidRPr="001B1C47">
        <w:t xml:space="preserve">he Committee </w:t>
      </w:r>
      <w:r w:rsidR="005601F5">
        <w:t xml:space="preserve">comprised data from a retrospective non-interventional evaluation of belantamab in the UK, used in accordance with its licenced indication (the NPP study) and a descriptive, retrospective, non-interventional study of pomalidomide plus dexamethasone </w:t>
      </w:r>
      <w:r w:rsidR="00154E39">
        <w:t xml:space="preserve">and </w:t>
      </w:r>
      <w:r w:rsidR="00DB3F19">
        <w:t xml:space="preserve">using routine, patient level data from the NCRAS dataset (the NCRAS study). </w:t>
      </w:r>
      <w:r w:rsidR="00E14581">
        <w:t xml:space="preserve"> The UK RWE therefore reflect</w:t>
      </w:r>
      <w:r w:rsidR="00EF5C91">
        <w:t>s</w:t>
      </w:r>
      <w:r w:rsidR="00E14581">
        <w:t xml:space="preserve"> the use of both belantamab</w:t>
      </w:r>
      <w:r w:rsidR="004E45F3">
        <w:t xml:space="preserve"> and</w:t>
      </w:r>
      <w:r w:rsidR="00914D72">
        <w:t xml:space="preserve"> </w:t>
      </w:r>
      <w:r w:rsidR="004E45F3">
        <w:t xml:space="preserve">pomalidomide plus dexamethasone </w:t>
      </w:r>
      <w:r w:rsidR="00E14581">
        <w:t>as they are</w:t>
      </w:r>
      <w:r w:rsidR="003864E7">
        <w:t>,</w:t>
      </w:r>
      <w:r w:rsidR="00E14581">
        <w:t xml:space="preserve"> in fact</w:t>
      </w:r>
      <w:r w:rsidR="00A569D3">
        <w:t>,</w:t>
      </w:r>
      <w:r w:rsidR="00E14581">
        <w:t xml:space="preserve"> used in clinical practice in the UK. Nevertheless, the Committee criticised the data and the comparison submitted by GSK:  </w:t>
      </w:r>
    </w:p>
    <w:p w14:paraId="7323E9A1" w14:textId="2256A1E9" w:rsidR="00981C2A" w:rsidRPr="005513DB" w:rsidRDefault="00981C2A" w:rsidP="00DD7FDD">
      <w:pPr>
        <w:ind w:left="720"/>
        <w:rPr>
          <w:sz w:val="23"/>
          <w:szCs w:val="23"/>
        </w:rPr>
      </w:pPr>
      <w:r w:rsidRPr="001B1C47">
        <w:t xml:space="preserve">“It </w:t>
      </w:r>
      <w:r>
        <w:t xml:space="preserve">[the </w:t>
      </w:r>
      <w:r w:rsidR="009E64D5">
        <w:t>C</w:t>
      </w:r>
      <w:r>
        <w:t xml:space="preserve">ommittee] </w:t>
      </w:r>
      <w:r w:rsidRPr="001B1C47">
        <w:t xml:space="preserve">noted that the median progression-free survival was much longer in the NPP study than in DREAMM-2. The </w:t>
      </w:r>
      <w:r w:rsidR="009E64D5">
        <w:t>C</w:t>
      </w:r>
      <w:r w:rsidRPr="001B1C47">
        <w:t>ommittee considered that this suggested that the population in NPP may be less likely to have disease progression and that this may favour belantamab in the company’s updated naive unadjusted comparison.”</w:t>
      </w:r>
    </w:p>
    <w:p w14:paraId="567ADCCC" w14:textId="2F5D8B7A" w:rsidR="00744988" w:rsidRDefault="00927539" w:rsidP="00981C2A">
      <w:r>
        <w:t>However, t</w:t>
      </w:r>
      <w:r w:rsidR="00E930A4">
        <w:t xml:space="preserve">he key consideration is not whether the population in the NPP study is less likely to have disease progression than the population in DREAMM-2, but rather whether the population in the NPP study reflects the patients likely to receive belantamab in UK clinical practice (which it clearly does) and whether </w:t>
      </w:r>
      <w:r w:rsidR="00235000">
        <w:t xml:space="preserve">it </w:t>
      </w:r>
      <w:r>
        <w:t xml:space="preserve">is appropriate to compare patients from the NPP study with those from NCRAS. </w:t>
      </w:r>
    </w:p>
    <w:p w14:paraId="5E88B54D" w14:textId="6D9E6D06" w:rsidR="00744988" w:rsidRDefault="00E930A4" w:rsidP="00981C2A">
      <w:r>
        <w:t>The Committee had previously referred to DREAMM-2, stating “the study included 58 centres, 7 of which included a very small number of people from the UK” (section 3.4 of the FDG)</w:t>
      </w:r>
      <w:r w:rsidR="00927539">
        <w:t xml:space="preserve">. The </w:t>
      </w:r>
      <w:r>
        <w:t xml:space="preserve">issue </w:t>
      </w:r>
      <w:r w:rsidR="00927539">
        <w:t xml:space="preserve">of UK representation was therefore </w:t>
      </w:r>
      <w:r>
        <w:t xml:space="preserve">addressed by use of </w:t>
      </w:r>
      <w:r w:rsidR="00927539">
        <w:t xml:space="preserve">RWE from </w:t>
      </w:r>
      <w:r>
        <w:t>the NPP study</w:t>
      </w:r>
      <w:r w:rsidR="00927539">
        <w:t>,</w:t>
      </w:r>
      <w:r>
        <w:t xml:space="preserve"> which was entirely based on UK clinical practice, rather than within the constraints of a clinical trial.   </w:t>
      </w:r>
    </w:p>
    <w:p w14:paraId="74D17EB1" w14:textId="7BC9BAA4" w:rsidR="00D40B77" w:rsidRDefault="00927539" w:rsidP="00981C2A">
      <w:r>
        <w:lastRenderedPageBreak/>
        <w:t>In terms of comparison between the NPP study and NCRAS, a</w:t>
      </w:r>
      <w:r w:rsidR="005513DB">
        <w:t>s documented in section 3.8 of the FDG, “the committee discussed whether the people having belantamab in the NPP were likely to be different to those having pomalidomide plus dexamethasone in the NCRAS study”</w:t>
      </w:r>
      <w:r w:rsidR="00744988">
        <w:t xml:space="preserve"> and, following explanation by the clinical experts, they concluded “any differences between the populations would be minor</w:t>
      </w:r>
      <w:r>
        <w:t>”.  GSK further explained that, to the extent that the comparison was subject to bias, this would operate against belantamab because “progression-free survival [in the pomalidomide plus dexamethasone group] would probably be overestimated by using a proxy measure (</w:t>
      </w:r>
      <w:r w:rsidR="00D57764">
        <w:t xml:space="preserve">Time </w:t>
      </w:r>
      <w:r w:rsidR="00BA4E97">
        <w:t>T</w:t>
      </w:r>
      <w:r w:rsidR="00D57764">
        <w:t xml:space="preserve">o Next Treatment, </w:t>
      </w:r>
      <w:r>
        <w:t>TTNT)”.</w:t>
      </w:r>
    </w:p>
    <w:p w14:paraId="34D1E518" w14:textId="6056E089" w:rsidR="00981C2A" w:rsidRPr="00731F72" w:rsidRDefault="00A228C9" w:rsidP="00981C2A">
      <w:pPr>
        <w:rPr>
          <w:rFonts w:ascii="Lato" w:hAnsi="Lato" w:cs="Lato"/>
          <w:color w:val="000000"/>
          <w:szCs w:val="24"/>
        </w:rPr>
      </w:pPr>
      <w:r>
        <w:t xml:space="preserve">The Committee therefore has provided no explanation (a) for its conclusion that GSK’s comparison of data from the NPP study with NCRAS is likely to be biased in circumstances where the NPP study reflects UK data from real world clinical practice (explaining any difference from a formal trial with only a small number of UK participants) and/or (b) for its conclusion </w:t>
      </w:r>
      <w:r w:rsidRPr="008C2385">
        <w:t xml:space="preserve">that the naive comparison of two UK RWE datasets </w:t>
      </w:r>
      <w:r>
        <w:t xml:space="preserve">is potentially biased and </w:t>
      </w:r>
      <w:r w:rsidRPr="008C2385">
        <w:t>lacked validity</w:t>
      </w:r>
      <w:r>
        <w:t xml:space="preserve">, disregarding the views of the clinical experts in relation to the similarities between the NPP study and NCRAS. </w:t>
      </w:r>
      <w:r w:rsidR="00981C2A">
        <w:t xml:space="preserve">Rigorous and </w:t>
      </w:r>
      <w:r w:rsidR="006F3EEB">
        <w:t xml:space="preserve">transparent </w:t>
      </w:r>
      <w:r w:rsidR="00981C2A">
        <w:t>decision</w:t>
      </w:r>
      <w:r w:rsidR="001A719A">
        <w:t>-</w:t>
      </w:r>
      <w:r w:rsidR="00981C2A">
        <w:t xml:space="preserve">making </w:t>
      </w:r>
      <w:r w:rsidR="006F3EEB">
        <w:t xml:space="preserve">is an essential requirement of procedural fairness and is </w:t>
      </w:r>
      <w:r w:rsidR="00981C2A">
        <w:t>recognised in NICE’s proce</w:t>
      </w:r>
      <w:r w:rsidR="00397B33">
        <w:t>sses</w:t>
      </w:r>
      <w:r w:rsidR="00981C2A">
        <w:t>. In the NICE guidelines for health technology evaluations (2022).</w:t>
      </w:r>
      <w:r w:rsidR="003716DD">
        <w:fldChar w:fldCharType="begin"/>
      </w:r>
      <w:r w:rsidR="0094050D">
        <w:instrText xml:space="preserve"> ADDIN ZOTERO_ITEM CSL_CITATION {"citationID":"AfJofkFf","properties":{"formattedCitation":"\\super 23\\nosupersub{}","plainCitation":"23","noteIndex":0},"citationItems":[{"id":27705,"uris":["http://zotero.org/groups/4721759/items/IESV9EGK"],"itemData":{"id":27705,"type":"document","title":"NICE health technology evaluations: the manual","URL":"https://www.nice.org.uk/process/pmg36/resources/nice-health-technology-evaluations-the-manual-pdf-72286779244741","author":[{"literal":"National Institute for Health and Care Excellence"}],"issued":{"date-parts":[["2022",1,31]]}}}],"schema":"https://github.com/citation-style-language/schema/raw/master/csl-citation.json"} </w:instrText>
      </w:r>
      <w:r w:rsidR="003716DD">
        <w:fldChar w:fldCharType="separate"/>
      </w:r>
      <w:r w:rsidR="0094050D" w:rsidRPr="0094050D">
        <w:rPr>
          <w:rFonts w:cs="Arial"/>
          <w:szCs w:val="24"/>
          <w:vertAlign w:val="superscript"/>
        </w:rPr>
        <w:t>23</w:t>
      </w:r>
      <w:r w:rsidR="003716DD">
        <w:fldChar w:fldCharType="end"/>
      </w:r>
      <w:r w:rsidR="00981C2A">
        <w:t xml:space="preserve"> Section 6.1.8 provides: </w:t>
      </w:r>
    </w:p>
    <w:p w14:paraId="734EA774" w14:textId="564766D2" w:rsidR="00981C2A" w:rsidRDefault="00981C2A" w:rsidP="00E87A14">
      <w:pPr>
        <w:ind w:left="720"/>
      </w:pPr>
      <w:r>
        <w:t>“</w:t>
      </w:r>
      <w:r w:rsidRPr="00731F72">
        <w:t>The credibility of the guidance produced by NICE depends on the transparency of the committee</w:t>
      </w:r>
      <w:r w:rsidR="00397B33">
        <w:t>’</w:t>
      </w:r>
      <w:r w:rsidRPr="00731F72">
        <w:t>s decision-making process. The committee</w:t>
      </w:r>
      <w:r w:rsidR="00397B33">
        <w:t>’</w:t>
      </w:r>
      <w:r w:rsidRPr="00731F72">
        <w:t>s decisions must be</w:t>
      </w:r>
      <w:r>
        <w:t xml:space="preserve"> </w:t>
      </w:r>
      <w:r w:rsidRPr="00731F72">
        <w:t>explained clearly with reference to all the available evidence, the contributions of experts, and comments received during consultation. The reasoning for the committee</w:t>
      </w:r>
      <w:r w:rsidR="00397B33">
        <w:t>’</w:t>
      </w:r>
      <w:r w:rsidRPr="00731F72">
        <w:t>s decision will be explained, with reference to the factors that have been considered, in the committee discussion section of the guidance.</w:t>
      </w:r>
      <w:r>
        <w:t>”</w:t>
      </w:r>
    </w:p>
    <w:p w14:paraId="2B7AEFE6" w14:textId="5A8DF86C" w:rsidR="00981C2A" w:rsidRDefault="006F3EEB" w:rsidP="00981C2A">
      <w:r>
        <w:t>The standards set out at section 6.1.8 have not been met</w:t>
      </w:r>
      <w:r w:rsidR="00397B33">
        <w:t xml:space="preserve">, with the result that the basis for the conclusions reached by the Committee in relation to use of UK RWE is </w:t>
      </w:r>
      <w:r w:rsidR="002D4BD8">
        <w:t>unexplained,</w:t>
      </w:r>
      <w:r w:rsidR="00397B33">
        <w:t xml:space="preserve"> and GSK is unable to understand the Committee’s reasons for rejecting the naïve comparison. </w:t>
      </w:r>
      <w:r>
        <w:t xml:space="preserve">  </w:t>
      </w:r>
    </w:p>
    <w:p w14:paraId="26520D9E" w14:textId="109460F8" w:rsidR="00981C2A" w:rsidRPr="00A71A21" w:rsidRDefault="00FD7EE4" w:rsidP="00A71A21">
      <w:pPr>
        <w:pStyle w:val="ListParagraph"/>
        <w:numPr>
          <w:ilvl w:val="0"/>
          <w:numId w:val="8"/>
        </w:numPr>
        <w:rPr>
          <w:b/>
          <w:bCs/>
        </w:rPr>
      </w:pPr>
      <w:r w:rsidRPr="00A71A21">
        <w:rPr>
          <w:b/>
          <w:bCs/>
        </w:rPr>
        <w:t xml:space="preserve">The rejection of the UK RWE as a basis for decision-making in the current evaluation is inconsistent with commitments made by </w:t>
      </w:r>
      <w:r w:rsidR="00981C2A" w:rsidRPr="00A71A21">
        <w:rPr>
          <w:b/>
          <w:bCs/>
        </w:rPr>
        <w:t>NICE at the heart of its 2021 – 2026 strategy.</w:t>
      </w:r>
    </w:p>
    <w:p w14:paraId="3DEEF26A" w14:textId="4C00743D" w:rsidR="00981C2A" w:rsidRDefault="00981C2A" w:rsidP="00981C2A">
      <w:r>
        <w:t xml:space="preserve">The </w:t>
      </w:r>
      <w:r w:rsidR="00FD7EE4">
        <w:t xml:space="preserve">importance </w:t>
      </w:r>
      <w:r>
        <w:t>of RWE is a key focus</w:t>
      </w:r>
      <w:r w:rsidRPr="000C38B1">
        <w:t xml:space="preserve"> in the NICE </w:t>
      </w:r>
      <w:r>
        <w:t xml:space="preserve">2021 </w:t>
      </w:r>
      <w:r w:rsidR="002C6B8D">
        <w:t>-</w:t>
      </w:r>
      <w:r>
        <w:t xml:space="preserve"> 2026 strategy which </w:t>
      </w:r>
      <w:r w:rsidR="00D723AB">
        <w:t xml:space="preserve">states under </w:t>
      </w:r>
      <w:r>
        <w:t>the 4</w:t>
      </w:r>
      <w:r w:rsidRPr="000C38B1">
        <w:rPr>
          <w:vertAlign w:val="superscript"/>
        </w:rPr>
        <w:t>th</w:t>
      </w:r>
      <w:r>
        <w:t xml:space="preserve"> pillar of the strategy,</w:t>
      </w:r>
      <w:r w:rsidR="00D723AB">
        <w:t xml:space="preserve"> “We will be scientific leaders driving the research agenda across health and social </w:t>
      </w:r>
      <w:r w:rsidR="00EE7F8B">
        <w:t>care and</w:t>
      </w:r>
      <w:r w:rsidR="00D723AB">
        <w:t xml:space="preserve"> thought leaders at the forefront of developing innovative approaches to using real-world data and data analytics to inform all aspects of our work”.</w:t>
      </w:r>
      <w:r w:rsidR="003716DD">
        <w:fldChar w:fldCharType="begin"/>
      </w:r>
      <w:r w:rsidR="0094050D">
        <w:instrText xml:space="preserve"> ADDIN ZOTERO_ITEM CSL_CITATION {"citationID":"0TDcAIsM","properties":{"formattedCitation":"\\super 24\\nosupersub{}","plainCitation":"24","noteIndex":0},"citationItems":[{"id":29956,"uris":["http://zotero.org/groups/4721759/items/ZT7AQ5IC"],"itemData":{"id":29956,"type":"article-journal","language":"en","source":"Zotero","title":"NICE strategy 2021 to 2026: Dynamic, Collaborative, Excellent","author":[{"family":"National Institute for Health and Care Excellence","given":""}],"issued":{"date-parts":[["2021"]]}}}],"schema":"https://github.com/citation-style-language/schema/raw/master/csl-citation.json"} </w:instrText>
      </w:r>
      <w:r w:rsidR="003716DD">
        <w:fldChar w:fldCharType="separate"/>
      </w:r>
      <w:r w:rsidR="0094050D" w:rsidRPr="0094050D">
        <w:rPr>
          <w:rFonts w:cs="Arial"/>
          <w:szCs w:val="24"/>
          <w:vertAlign w:val="superscript"/>
        </w:rPr>
        <w:t>24</w:t>
      </w:r>
      <w:r w:rsidR="003716DD">
        <w:fldChar w:fldCharType="end"/>
      </w:r>
      <w:r w:rsidR="00D723AB">
        <w:t xml:space="preserve"> </w:t>
      </w:r>
    </w:p>
    <w:p w14:paraId="12D69BEF" w14:textId="77777777" w:rsidR="00981C2A" w:rsidRDefault="00981C2A" w:rsidP="00981C2A">
      <w:r>
        <w:t>Furthermore, the strategy describes t</w:t>
      </w:r>
      <w:r w:rsidRPr="003D586C">
        <w:t>he need to integrate real-world data into evaluation processes to inform rapid but robust decisions</w:t>
      </w:r>
      <w:r>
        <w:t xml:space="preserve"> aiming to </w:t>
      </w:r>
      <w:r w:rsidRPr="003D586C">
        <w:t>speed up access to new and effective treatments</w:t>
      </w:r>
      <w:r>
        <w:t xml:space="preserve"> and embrace innovation.</w:t>
      </w:r>
    </w:p>
    <w:p w14:paraId="33941AB5" w14:textId="0CE52A0E" w:rsidR="00981C2A" w:rsidRDefault="00D723AB" w:rsidP="00C11102">
      <w:r>
        <w:lastRenderedPageBreak/>
        <w:t>In view of increasing recognition given to use of RWE, including in the NICE 2021-2026 strategy</w:t>
      </w:r>
      <w:r w:rsidR="00A4167D">
        <w:fldChar w:fldCharType="begin"/>
      </w:r>
      <w:r w:rsidR="0094050D">
        <w:instrText xml:space="preserve"> ADDIN ZOTERO_ITEM CSL_CITATION {"citationID":"sd18xcqC","properties":{"formattedCitation":"\\super 24\\nosupersub{}","plainCitation":"24","noteIndex":0},"citationItems":[{"id":29956,"uris":["http://zotero.org/groups/4721759/items/ZT7AQ5IC"],"itemData":{"id":29956,"type":"article-journal","language":"en","source":"Zotero","title":"NICE strategy 2021 to 2026: Dynamic, Collaborative, Excellent","author":[{"family":"National Institute for Health and Care Excellence","given":""}],"issued":{"date-parts":[["2021"]]}}}],"schema":"https://github.com/citation-style-language/schema/raw/master/csl-citation.json"} </w:instrText>
      </w:r>
      <w:r w:rsidR="00A4167D">
        <w:fldChar w:fldCharType="separate"/>
      </w:r>
      <w:r w:rsidR="0094050D" w:rsidRPr="0094050D">
        <w:rPr>
          <w:rFonts w:cs="Arial"/>
          <w:szCs w:val="24"/>
          <w:vertAlign w:val="superscript"/>
        </w:rPr>
        <w:t>24</w:t>
      </w:r>
      <w:r w:rsidR="00A4167D">
        <w:fldChar w:fldCharType="end"/>
      </w:r>
      <w:r>
        <w:t xml:space="preserve">, GSK prepared the naïve comparison based on UK RWE to support the evaluation of </w:t>
      </w:r>
      <w:r w:rsidR="00981C2A">
        <w:rPr>
          <w:lang w:eastAsia="x-none"/>
        </w:rPr>
        <w:t>belantamab</w:t>
      </w:r>
      <w:r w:rsidR="00981C2A">
        <w:t xml:space="preserve">. </w:t>
      </w:r>
      <w:r>
        <w:t xml:space="preserve"> However the Committee dismissed this analysis without adequate explanation (as set out above)</w:t>
      </w:r>
      <w:r w:rsidR="00E37F8F">
        <w:t xml:space="preserve">, </w:t>
      </w:r>
      <w:r w:rsidR="005A3140">
        <w:t>simply accepting the EAG’s bald assessment:</w:t>
      </w:r>
      <w:r w:rsidR="00E37F8F">
        <w:t xml:space="preserve"> “the EAG</w:t>
      </w:r>
      <w:r>
        <w:t xml:space="preserve"> </w:t>
      </w:r>
      <w:r w:rsidR="00E37F8F">
        <w:t xml:space="preserve">considered that the company had not provided a valid reason for changing the efficacy source for belantamab from DREAMM-2 to NPP" </w:t>
      </w:r>
      <w:r w:rsidR="00981C2A">
        <w:t>GSK believes that, in line with the NICE 2021 – 2026 strategy</w:t>
      </w:r>
      <w:r w:rsidR="00A4167D">
        <w:fldChar w:fldCharType="begin"/>
      </w:r>
      <w:r w:rsidR="0094050D">
        <w:instrText xml:space="preserve"> ADDIN ZOTERO_ITEM CSL_CITATION {"citationID":"EXQl7Wp5","properties":{"formattedCitation":"\\super 24\\nosupersub{}","plainCitation":"24","noteIndex":0},"citationItems":[{"id":29956,"uris":["http://zotero.org/groups/4721759/items/ZT7AQ5IC"],"itemData":{"id":29956,"type":"article-journal","language":"en","source":"Zotero","title":"NICE strategy 2021 to 2026: Dynamic, Collaborative, Excellent","author":[{"family":"National Institute for Health and Care Excellence","given":""}],"issued":{"date-parts":[["2021"]]}}}],"schema":"https://github.com/citation-style-language/schema/raw/master/csl-citation.json"} </w:instrText>
      </w:r>
      <w:r w:rsidR="00A4167D">
        <w:fldChar w:fldCharType="separate"/>
      </w:r>
      <w:r w:rsidR="0094050D" w:rsidRPr="0094050D">
        <w:rPr>
          <w:rFonts w:cs="Arial"/>
          <w:szCs w:val="24"/>
          <w:vertAlign w:val="superscript"/>
        </w:rPr>
        <w:t>24</w:t>
      </w:r>
      <w:r w:rsidR="00A4167D">
        <w:fldChar w:fldCharType="end"/>
      </w:r>
      <w:r w:rsidR="00981C2A">
        <w:t>, this dataset</w:t>
      </w:r>
      <w:r w:rsidR="00E37F8F">
        <w:t>, based on clinical use in a routine UK setting,</w:t>
      </w:r>
      <w:r w:rsidR="00981C2A">
        <w:t xml:space="preserve"> should have been given more consideration to support patient access to an innovative medicine namely, </w:t>
      </w:r>
      <w:r w:rsidR="00981C2A">
        <w:rPr>
          <w:lang w:eastAsia="x-none"/>
        </w:rPr>
        <w:t>belantamab</w:t>
      </w:r>
      <w:r w:rsidR="00981C2A">
        <w:t xml:space="preserve">. </w:t>
      </w:r>
      <w:r w:rsidR="00E37F8F">
        <w:t xml:space="preserve">Any deficiencies, such as the immaturity of the data referenced at section 3.8, </w:t>
      </w:r>
      <w:r w:rsidR="00981C2A">
        <w:t xml:space="preserve">could </w:t>
      </w:r>
      <w:r w:rsidR="00E37F8F">
        <w:t xml:space="preserve">readily </w:t>
      </w:r>
      <w:r w:rsidR="00981C2A">
        <w:t>be confirmed through a managed access agreement.</w:t>
      </w:r>
    </w:p>
    <w:p w14:paraId="056B901F" w14:textId="06A6D1F3" w:rsidR="00B43CAC" w:rsidRDefault="00871729" w:rsidP="00C11102">
      <w:r>
        <w:t xml:space="preserve">In conclusion, the approach to UK RWE is central to this evaluation, impacting not only the Committee’s conclusions on clinical effectiveness in section 3.8, but also its willingness to accept highly favourable assessments of cost-effectiveness in section 3.18.  It is GSK’s firm view that the approach reflected in the FDG is procedurally unfair and that the Committee should be required further to explain its conclusion that the NPP study is subject to bias and the naïve comparison unreliable, in the context of the evidence referenced above and the principles set out in its 2021-2026 strategy. </w:t>
      </w:r>
    </w:p>
    <w:p w14:paraId="08F2CEDE" w14:textId="4C68107D" w:rsidR="00101536" w:rsidRPr="00502D80" w:rsidRDefault="00101536" w:rsidP="00101536">
      <w:pPr>
        <w:pStyle w:val="Heading3"/>
        <w:spacing w:before="240" w:after="240"/>
        <w:ind w:left="357" w:hanging="357"/>
      </w:pPr>
      <w:bookmarkStart w:id="4" w:name="_Ref141605931"/>
      <w:bookmarkStart w:id="5" w:name="_Ref141033378"/>
      <w:r w:rsidRPr="00B43CAC">
        <w:t xml:space="preserve">The </w:t>
      </w:r>
      <w:r w:rsidR="00A9406D">
        <w:t>C</w:t>
      </w:r>
      <w:r w:rsidRPr="00B43CAC">
        <w:t xml:space="preserve">ommittee’s decision that </w:t>
      </w:r>
      <w:r w:rsidRPr="00B43CAC">
        <w:rPr>
          <w:lang w:eastAsia="x-none"/>
        </w:rPr>
        <w:t xml:space="preserve">belantamab </w:t>
      </w:r>
      <w:r w:rsidRPr="00B43CAC">
        <w:t>is not suitable for use through the Cancer Drugs Fund</w:t>
      </w:r>
      <w:r w:rsidR="00B43CAC">
        <w:t xml:space="preserve"> </w:t>
      </w:r>
      <w:r w:rsidR="0074667A">
        <w:t xml:space="preserve">(CDF) </w:t>
      </w:r>
      <w:r w:rsidRPr="00B43CAC">
        <w:t>is procedurally unfair</w:t>
      </w:r>
      <w:r>
        <w:t>.</w:t>
      </w:r>
      <w:bookmarkEnd w:id="4"/>
    </w:p>
    <w:p w14:paraId="20EA8D3B" w14:textId="49A8275F" w:rsidR="00A67ECE" w:rsidRDefault="00101536" w:rsidP="00101536">
      <w:pPr>
        <w:spacing w:after="0" w:line="240" w:lineRule="auto"/>
        <w:rPr>
          <w:rFonts w:cs="Arial"/>
          <w:color w:val="000000" w:themeColor="text1"/>
        </w:rPr>
      </w:pPr>
      <w:r w:rsidRPr="4C541D9E">
        <w:rPr>
          <w:rFonts w:cs="Arial"/>
          <w:color w:val="000000" w:themeColor="text1"/>
        </w:rPr>
        <w:t xml:space="preserve">In </w:t>
      </w:r>
      <w:r>
        <w:t xml:space="preserve">section 3.19 of the </w:t>
      </w:r>
      <w:r w:rsidR="00AF6D29">
        <w:t>FDG</w:t>
      </w:r>
      <w:r>
        <w:t xml:space="preserve">, </w:t>
      </w:r>
      <w:r w:rsidRPr="4C541D9E">
        <w:rPr>
          <w:rFonts w:cs="Arial"/>
          <w:color w:val="000000" w:themeColor="text1"/>
        </w:rPr>
        <w:t xml:space="preserve">the </w:t>
      </w:r>
      <w:r w:rsidR="00A67ECE">
        <w:rPr>
          <w:rFonts w:cs="Arial"/>
          <w:color w:val="000000" w:themeColor="text1"/>
        </w:rPr>
        <w:t>C</w:t>
      </w:r>
      <w:r w:rsidRPr="4C541D9E">
        <w:rPr>
          <w:rFonts w:cs="Arial"/>
          <w:color w:val="000000" w:themeColor="text1"/>
        </w:rPr>
        <w:t xml:space="preserve">ommittee </w:t>
      </w:r>
      <w:r w:rsidR="00A67ECE">
        <w:rPr>
          <w:rFonts w:cs="Arial"/>
          <w:color w:val="000000" w:themeColor="text1"/>
        </w:rPr>
        <w:t xml:space="preserve">considered a recommendation for use of belantamab with managed access. </w:t>
      </w:r>
    </w:p>
    <w:p w14:paraId="31A0CB02" w14:textId="2F8F2851" w:rsidR="004A1C50" w:rsidRPr="00B43CAC" w:rsidRDefault="00A67ECE" w:rsidP="008338A6">
      <w:pPr>
        <w:pStyle w:val="ListParagraph"/>
        <w:numPr>
          <w:ilvl w:val="0"/>
          <w:numId w:val="9"/>
        </w:numPr>
        <w:spacing w:after="0" w:line="240" w:lineRule="auto"/>
        <w:rPr>
          <w:rFonts w:cs="Arial"/>
          <w:b/>
          <w:bCs/>
          <w:color w:val="000000" w:themeColor="text1"/>
        </w:rPr>
      </w:pPr>
      <w:r w:rsidRPr="00B43CAC">
        <w:rPr>
          <w:rFonts w:cs="Arial"/>
          <w:b/>
          <w:bCs/>
          <w:color w:val="000000" w:themeColor="text1"/>
        </w:rPr>
        <w:t>The Committee has not applied the correct test as set out in its p</w:t>
      </w:r>
      <w:r w:rsidR="004A1C50" w:rsidRPr="00B43CAC">
        <w:rPr>
          <w:rFonts w:cs="Arial"/>
          <w:b/>
          <w:bCs/>
          <w:color w:val="000000" w:themeColor="text1"/>
        </w:rPr>
        <w:t>rocess guide</w:t>
      </w:r>
      <w:r w:rsidR="00CE394B">
        <w:rPr>
          <w:rFonts w:cs="Arial"/>
          <w:b/>
          <w:bCs/>
          <w:color w:val="000000" w:themeColor="text1"/>
        </w:rPr>
        <w:t>.</w:t>
      </w:r>
    </w:p>
    <w:p w14:paraId="5BA0A0B0" w14:textId="4911523A" w:rsidR="00A67ECE" w:rsidRPr="007B7F29" w:rsidRDefault="004A1C50" w:rsidP="004A1C50">
      <w:pPr>
        <w:spacing w:after="0" w:line="240" w:lineRule="auto"/>
        <w:rPr>
          <w:rFonts w:cs="Arial"/>
          <w:color w:val="000000" w:themeColor="text1"/>
        </w:rPr>
      </w:pPr>
      <w:r w:rsidRPr="00B43CAC">
        <w:rPr>
          <w:rFonts w:cs="Arial"/>
          <w:color w:val="000000" w:themeColor="text1"/>
        </w:rPr>
        <w:t xml:space="preserve">The circumstances in which the Committee should consider a recommendation for use of a technology with managed access are set out at paragraph 6.4.6 of </w:t>
      </w:r>
      <w:r>
        <w:rPr>
          <w:rFonts w:cs="Arial"/>
          <w:color w:val="000000" w:themeColor="text1"/>
        </w:rPr>
        <w:t xml:space="preserve">NICE Health Technology Evaluations: </w:t>
      </w:r>
      <w:proofErr w:type="gramStart"/>
      <w:r>
        <w:rPr>
          <w:rFonts w:cs="Arial"/>
          <w:color w:val="000000" w:themeColor="text1"/>
        </w:rPr>
        <w:t>the</w:t>
      </w:r>
      <w:proofErr w:type="gramEnd"/>
      <w:r>
        <w:rPr>
          <w:rFonts w:cs="Arial"/>
          <w:color w:val="000000" w:themeColor="text1"/>
        </w:rPr>
        <w:t xml:space="preserve"> Manual</w:t>
      </w:r>
      <w:r w:rsidR="00CE394B">
        <w:rPr>
          <w:rFonts w:cs="Arial"/>
          <w:color w:val="000000" w:themeColor="text1"/>
        </w:rPr>
        <w:t>:</w:t>
      </w:r>
      <w:r w:rsidRPr="007B7F29">
        <w:rPr>
          <w:rFonts w:cs="Arial"/>
          <w:color w:val="000000" w:themeColor="text1"/>
        </w:rPr>
        <w:t xml:space="preserve"> </w:t>
      </w:r>
    </w:p>
    <w:p w14:paraId="61D807AA" w14:textId="77777777" w:rsidR="004A1C50" w:rsidRDefault="004A1C50" w:rsidP="004A1C50">
      <w:pPr>
        <w:spacing w:after="0" w:line="240" w:lineRule="auto"/>
        <w:ind w:left="720"/>
      </w:pPr>
      <w:r>
        <w:t xml:space="preserve">When a committee is unable to recommend a medicine because there is still significant resolvable uncertainty, it can make a recommendation for further evidence to be gathered subject to managed access. The committee can consider a recommendation with managed access when: </w:t>
      </w:r>
    </w:p>
    <w:p w14:paraId="4211640F" w14:textId="5FB476E3" w:rsidR="004A1C50" w:rsidRDefault="004A1C50" w:rsidP="008338A6">
      <w:pPr>
        <w:pStyle w:val="ListParagraph"/>
        <w:numPr>
          <w:ilvl w:val="0"/>
          <w:numId w:val="10"/>
        </w:numPr>
        <w:spacing w:after="0" w:line="240" w:lineRule="auto"/>
      </w:pPr>
      <w:r>
        <w:t xml:space="preserve">the medicine has not been recommended, it has the plausible potential to be cost effective at the currently agreed price, but the evidence is currently too uncertain, and </w:t>
      </w:r>
    </w:p>
    <w:p w14:paraId="7BEAE804" w14:textId="44C56005" w:rsidR="004A1C50" w:rsidRDefault="004A1C50" w:rsidP="008338A6">
      <w:pPr>
        <w:pStyle w:val="ListParagraph"/>
        <w:numPr>
          <w:ilvl w:val="0"/>
          <w:numId w:val="10"/>
        </w:numPr>
        <w:spacing w:after="0" w:line="240" w:lineRule="auto"/>
      </w:pPr>
      <w:r>
        <w:t>new evidence that could sufficiently support the case for recommendation is expected from ongoing or planned clinical trials, or could be collected from patients having the medicine in clinical practice, and</w:t>
      </w:r>
    </w:p>
    <w:p w14:paraId="752BC102" w14:textId="41AA334D" w:rsidR="004A1C50" w:rsidRPr="007B7F29" w:rsidRDefault="004A1C50" w:rsidP="008338A6">
      <w:pPr>
        <w:pStyle w:val="ListParagraph"/>
        <w:numPr>
          <w:ilvl w:val="0"/>
          <w:numId w:val="10"/>
        </w:numPr>
        <w:spacing w:after="0" w:line="240" w:lineRule="auto"/>
        <w:rPr>
          <w:rFonts w:cs="Arial"/>
          <w:color w:val="000000" w:themeColor="text1"/>
        </w:rPr>
      </w:pPr>
      <w:r>
        <w:t>these data could feasibly be collected within a reasonable timeframe (up to a maximum of 5 years) without undue burden.</w:t>
      </w:r>
    </w:p>
    <w:p w14:paraId="3E5DD548" w14:textId="4AD45823" w:rsidR="004A1C50" w:rsidRDefault="007B7F29" w:rsidP="004A1C50">
      <w:pPr>
        <w:spacing w:after="0" w:line="240" w:lineRule="auto"/>
        <w:rPr>
          <w:rFonts w:cs="Arial"/>
          <w:color w:val="000000" w:themeColor="text1"/>
        </w:rPr>
      </w:pPr>
      <w:r w:rsidRPr="007B7F29">
        <w:rPr>
          <w:rFonts w:cs="Arial"/>
          <w:color w:val="000000" w:themeColor="text1"/>
        </w:rPr>
        <w:t xml:space="preserve">In relation to </w:t>
      </w:r>
      <w:r>
        <w:rPr>
          <w:rFonts w:cs="Arial"/>
          <w:color w:val="000000" w:themeColor="text1"/>
        </w:rPr>
        <w:t xml:space="preserve">cost-effectiveness, the test is therefore that the medicine “has the plausible potential to be cost effective at the currently agreed price” but “the evidence is currently too uncertain”. </w:t>
      </w:r>
    </w:p>
    <w:p w14:paraId="4F461187" w14:textId="4F00888F" w:rsidR="007B7F29" w:rsidRPr="007B7F29" w:rsidRDefault="007B7F29" w:rsidP="004A1C50">
      <w:pPr>
        <w:spacing w:after="0" w:line="240" w:lineRule="auto"/>
        <w:rPr>
          <w:rFonts w:cs="Arial"/>
          <w:color w:val="000000" w:themeColor="text1"/>
        </w:rPr>
      </w:pPr>
      <w:r>
        <w:rPr>
          <w:rFonts w:cs="Arial"/>
          <w:color w:val="000000" w:themeColor="text1"/>
        </w:rPr>
        <w:lastRenderedPageBreak/>
        <w:t>In considering belantamab however, the Committee imposed a requirement for managed access that it should be presented with “a plausible reliable cost-effectiveness estimate”, referring to the reasoning applied for consideration of the product for routine use.  The word “reliable” does not appear in the Manual</w:t>
      </w:r>
      <w:r w:rsidR="00F74961">
        <w:rPr>
          <w:rFonts w:cs="Arial"/>
          <w:color w:val="000000" w:themeColor="text1"/>
        </w:rPr>
        <w:t xml:space="preserve"> in the context of managed access</w:t>
      </w:r>
      <w:r>
        <w:rPr>
          <w:rFonts w:cs="Arial"/>
          <w:color w:val="000000" w:themeColor="text1"/>
        </w:rPr>
        <w:t xml:space="preserve">; its inclusion in the test applied by the Committee, contradicts the entire purpose of managed access, which is to provide a recommendation where the data are uncertain and therefore, by definition, not </w:t>
      </w:r>
      <w:r w:rsidR="00A101C7">
        <w:rPr>
          <w:rFonts w:cs="Arial"/>
          <w:color w:val="000000" w:themeColor="text1"/>
        </w:rPr>
        <w:t xml:space="preserve">sufficiently </w:t>
      </w:r>
      <w:r>
        <w:rPr>
          <w:rFonts w:cs="Arial"/>
          <w:color w:val="000000" w:themeColor="text1"/>
        </w:rPr>
        <w:t>reliable</w:t>
      </w:r>
      <w:r w:rsidR="00930E4A">
        <w:rPr>
          <w:rFonts w:cs="Arial"/>
          <w:color w:val="000000" w:themeColor="text1"/>
        </w:rPr>
        <w:t xml:space="preserve"> to support a recommendation for routine commissioning</w:t>
      </w:r>
      <w:r>
        <w:rPr>
          <w:rFonts w:cs="Arial"/>
          <w:color w:val="000000" w:themeColor="text1"/>
        </w:rPr>
        <w:t>.</w:t>
      </w:r>
    </w:p>
    <w:p w14:paraId="49BC3B34" w14:textId="08182072" w:rsidR="007B7F29" w:rsidRPr="00532F88" w:rsidRDefault="005F1014" w:rsidP="008338A6">
      <w:pPr>
        <w:pStyle w:val="ListParagraph"/>
        <w:numPr>
          <w:ilvl w:val="0"/>
          <w:numId w:val="9"/>
        </w:numPr>
        <w:spacing w:after="0" w:line="240" w:lineRule="auto"/>
        <w:rPr>
          <w:rFonts w:cs="Arial"/>
          <w:b/>
          <w:bCs/>
          <w:color w:val="000000" w:themeColor="text1"/>
        </w:rPr>
      </w:pPr>
      <w:r w:rsidRPr="00532F88">
        <w:rPr>
          <w:rFonts w:cs="Arial"/>
          <w:b/>
          <w:bCs/>
          <w:color w:val="000000" w:themeColor="text1"/>
        </w:rPr>
        <w:t>The Committee’s apparent conclusion that only comparative data could sufficiently support the case for recommendation disregards the benefits of RWE</w:t>
      </w:r>
      <w:r w:rsidR="00AE729D">
        <w:rPr>
          <w:rFonts w:cs="Arial"/>
          <w:b/>
          <w:bCs/>
          <w:color w:val="000000" w:themeColor="text1"/>
        </w:rPr>
        <w:t>.</w:t>
      </w:r>
    </w:p>
    <w:p w14:paraId="72B0FC71" w14:textId="35892A85" w:rsidR="005F1014" w:rsidRDefault="005F1014" w:rsidP="00101536">
      <w:pPr>
        <w:spacing w:after="0" w:line="240" w:lineRule="auto"/>
        <w:rPr>
          <w:rFonts w:cs="Arial"/>
          <w:color w:val="000000" w:themeColor="text1"/>
        </w:rPr>
      </w:pPr>
      <w:r>
        <w:rPr>
          <w:rFonts w:cs="Arial"/>
          <w:color w:val="000000" w:themeColor="text1"/>
        </w:rPr>
        <w:t>In relation to evidence to support the case for recommendation, the Committee stated at section 3.19</w:t>
      </w:r>
      <w:r w:rsidR="00450136">
        <w:rPr>
          <w:rFonts w:cs="Arial"/>
          <w:color w:val="000000" w:themeColor="text1"/>
        </w:rPr>
        <w:t>:</w:t>
      </w:r>
      <w:r>
        <w:rPr>
          <w:rFonts w:cs="Arial"/>
          <w:color w:val="000000" w:themeColor="text1"/>
        </w:rPr>
        <w:t xml:space="preserve"> </w:t>
      </w:r>
    </w:p>
    <w:p w14:paraId="65F6BED6" w14:textId="438D4100" w:rsidR="00101536" w:rsidRPr="009A4D3C" w:rsidRDefault="005F1014" w:rsidP="00532F88">
      <w:pPr>
        <w:spacing w:after="0" w:line="240" w:lineRule="auto"/>
        <w:ind w:left="720"/>
      </w:pPr>
      <w:r>
        <w:rPr>
          <w:rFonts w:cs="Arial"/>
          <w:color w:val="000000" w:themeColor="text1"/>
        </w:rPr>
        <w:t>“</w:t>
      </w:r>
      <w:r w:rsidR="00101536" w:rsidRPr="009A4D3C">
        <w:t xml:space="preserve">It also discussed that additional data collection would be unlikely to resolve the uncertainty around the efficacy of </w:t>
      </w:r>
      <w:r w:rsidR="00101536">
        <w:rPr>
          <w:lang w:eastAsia="x-none"/>
        </w:rPr>
        <w:t xml:space="preserve">belantamab </w:t>
      </w:r>
      <w:r w:rsidR="00101536" w:rsidRPr="009A4D3C">
        <w:t xml:space="preserve">compared with the relevant comparators for this evaluation. </w:t>
      </w:r>
      <w:r w:rsidR="00101536">
        <w:t>Overall</w:t>
      </w:r>
      <w:r w:rsidR="00101536" w:rsidRPr="009A4D3C">
        <w:t>, the committee concluded that managed access was not a feasible option</w:t>
      </w:r>
      <w:r>
        <w:t>”</w:t>
      </w:r>
      <w:r w:rsidR="00101536" w:rsidRPr="009A4D3C">
        <w:t xml:space="preserve">. </w:t>
      </w:r>
    </w:p>
    <w:p w14:paraId="248DA24E" w14:textId="0D768E93" w:rsidR="00101536" w:rsidRDefault="005F1014" w:rsidP="00101536">
      <w:r>
        <w:t xml:space="preserve">While </w:t>
      </w:r>
      <w:r w:rsidR="00101536">
        <w:t xml:space="preserve">GSK </w:t>
      </w:r>
      <w:r>
        <w:t xml:space="preserve">accepts that </w:t>
      </w:r>
      <w:r w:rsidR="00E52C2C">
        <w:t xml:space="preserve">managed access will not generate </w:t>
      </w:r>
      <w:r>
        <w:t>comparative data</w:t>
      </w:r>
      <w:r w:rsidR="00E52C2C">
        <w:t>, we</w:t>
      </w:r>
      <w:r>
        <w:t xml:space="preserve"> </w:t>
      </w:r>
      <w:r w:rsidR="00101536">
        <w:t xml:space="preserve">consider that </w:t>
      </w:r>
      <w:r w:rsidR="00E52C2C">
        <w:t xml:space="preserve">the data generated through managed access will supplement the </w:t>
      </w:r>
      <w:r w:rsidR="00101536">
        <w:t xml:space="preserve">significant evidence of </w:t>
      </w:r>
      <w:r w:rsidR="00101536">
        <w:rPr>
          <w:lang w:eastAsia="x-none"/>
        </w:rPr>
        <w:t xml:space="preserve">belantamab </w:t>
      </w:r>
      <w:r w:rsidR="00101536">
        <w:t xml:space="preserve">efficacy </w:t>
      </w:r>
      <w:r w:rsidR="00E52C2C">
        <w:t xml:space="preserve">already </w:t>
      </w:r>
      <w:r w:rsidR="00101536">
        <w:t>presented to</w:t>
      </w:r>
      <w:r w:rsidR="00E52C2C">
        <w:t xml:space="preserve"> </w:t>
      </w:r>
      <w:r w:rsidR="00101536">
        <w:t xml:space="preserve">the committee throughout this </w:t>
      </w:r>
      <w:r w:rsidR="00E52C2C">
        <w:t xml:space="preserve">evaluation, </w:t>
      </w:r>
      <w:r w:rsidR="00101536">
        <w:t>including data from a single-arm trial (DREAMM</w:t>
      </w:r>
      <w:r w:rsidR="001B79FC">
        <w:t>-</w:t>
      </w:r>
      <w:r w:rsidR="00101536">
        <w:t xml:space="preserve">2) and RWE from </w:t>
      </w:r>
      <w:r w:rsidR="00101536">
        <w:rPr>
          <w:lang w:eastAsia="x-none"/>
        </w:rPr>
        <w:t xml:space="preserve">belantamab </w:t>
      </w:r>
      <w:r w:rsidR="00101536">
        <w:t>use (the NPP</w:t>
      </w:r>
      <w:r w:rsidR="001B79FC">
        <w:t xml:space="preserve"> study</w:t>
      </w:r>
      <w:r w:rsidR="00101536">
        <w:t>), in UK clinical practice.</w:t>
      </w:r>
      <w:r w:rsidR="001B79FC">
        <w:t xml:space="preserve"> </w:t>
      </w:r>
      <w:r w:rsidR="00F210F7">
        <w:t>T</w:t>
      </w:r>
      <w:r w:rsidR="00E52C2C">
        <w:t>his cum</w:t>
      </w:r>
      <w:r w:rsidR="00F210F7">
        <w:t xml:space="preserve">ulative dataset would clearly address most if not all of the uncertainties identified by the Committee in the FDG: </w:t>
      </w:r>
    </w:p>
    <w:p w14:paraId="3795D78C" w14:textId="4D33D431" w:rsidR="00101536" w:rsidRPr="00A235FE" w:rsidRDefault="00101536" w:rsidP="008338A6">
      <w:pPr>
        <w:pStyle w:val="ListParagraph"/>
        <w:numPr>
          <w:ilvl w:val="0"/>
          <w:numId w:val="7"/>
        </w:numPr>
        <w:rPr>
          <w:rFonts w:eastAsia="Calibri" w:cs="Arial"/>
        </w:rPr>
      </w:pPr>
      <w:r>
        <w:t xml:space="preserve">Firstly, the collection of additional </w:t>
      </w:r>
      <w:proofErr w:type="gramStart"/>
      <w:r>
        <w:t>UK</w:t>
      </w:r>
      <w:proofErr w:type="gramEnd"/>
      <w:r>
        <w:t xml:space="preserve"> RWE would likely confirm the findings from the UK NPP study </w:t>
      </w:r>
      <w:r w:rsidR="00F210F7">
        <w:t xml:space="preserve">including the evidence of progression free survival </w:t>
      </w:r>
      <w:r w:rsidR="00CD1E1C">
        <w:t>and also increase the sample size, thereby addressing two concerns raised by the Committee (section 3.8 of the FDG);</w:t>
      </w:r>
      <w:r>
        <w:t xml:space="preserve"> </w:t>
      </w:r>
    </w:p>
    <w:p w14:paraId="40917F9F" w14:textId="62930131" w:rsidR="00CD1E1C" w:rsidRPr="00BB331A" w:rsidRDefault="00101536" w:rsidP="008338A6">
      <w:pPr>
        <w:pStyle w:val="ListParagraph"/>
        <w:numPr>
          <w:ilvl w:val="0"/>
          <w:numId w:val="7"/>
        </w:numPr>
        <w:rPr>
          <w:rFonts w:eastAsia="Calibri" w:cs="Arial"/>
          <w:szCs w:val="24"/>
        </w:rPr>
      </w:pPr>
      <w:r>
        <w:t xml:space="preserve">Secondly, the collection of additional UK belantamab RWE through a managed access agreement would allow the generation of data with a longer follow-up </w:t>
      </w:r>
      <w:r w:rsidR="64A5F94D">
        <w:t xml:space="preserve">than the NPP study </w:t>
      </w:r>
      <w:r>
        <w:t xml:space="preserve">and will increase the number and quality of the baseline characteristics which will </w:t>
      </w:r>
      <w:r w:rsidR="00CD1E1C">
        <w:t xml:space="preserve">also address criticisms by the Committee and </w:t>
      </w:r>
      <w:r>
        <w:t xml:space="preserve">improve the </w:t>
      </w:r>
      <w:r w:rsidR="00CD1E1C">
        <w:t xml:space="preserve">reliability </w:t>
      </w:r>
      <w:r>
        <w:t xml:space="preserve">of </w:t>
      </w:r>
      <w:r w:rsidR="00CD1E1C">
        <w:t xml:space="preserve">indirect treatment comparisons (ITCs) </w:t>
      </w:r>
      <w:r>
        <w:t xml:space="preserve">with the NCRAS dataset. </w:t>
      </w:r>
    </w:p>
    <w:p w14:paraId="2A7E09DD" w14:textId="4E57BE68" w:rsidR="00101536" w:rsidRPr="00CD1E1C" w:rsidRDefault="00CD1E1C" w:rsidP="00BB331A">
      <w:pPr>
        <w:rPr>
          <w:rFonts w:eastAsia="Calibri" w:cs="Arial"/>
          <w:szCs w:val="24"/>
        </w:rPr>
      </w:pPr>
      <w:r>
        <w:t xml:space="preserve">Incidentally, </w:t>
      </w:r>
      <w:r w:rsidR="00101536">
        <w:t xml:space="preserve">the MM pathway evolves rapidly, and it is likely that at the end of the managed access agreement, the sample size of the NCRAS cohorts </w:t>
      </w:r>
      <w:r>
        <w:t xml:space="preserve">would have increased, which would also </w:t>
      </w:r>
      <w:r w:rsidR="00101536">
        <w:t>improve the quality of ITCs.</w:t>
      </w:r>
    </w:p>
    <w:p w14:paraId="06172A81" w14:textId="183FA0B1" w:rsidR="00101536" w:rsidRDefault="00101536" w:rsidP="00101536">
      <w:r>
        <w:t>In conclusion, GSK believe</w:t>
      </w:r>
      <w:r w:rsidR="00CD1E1C">
        <w:t>s</w:t>
      </w:r>
      <w:r>
        <w:t xml:space="preserve"> that a CDF recommendation will allow the resolution of the areas of uncertainty identified by the Committee in addition to providing patient access to an intervention </w:t>
      </w:r>
      <w:r w:rsidR="00CD1E1C">
        <w:t xml:space="preserve">with </w:t>
      </w:r>
      <w:r>
        <w:t>demonstrated efficacy outcomes.</w:t>
      </w:r>
      <w:r w:rsidR="000F1548">
        <w:t xml:space="preserve"> </w:t>
      </w:r>
    </w:p>
    <w:p w14:paraId="348CD0CD" w14:textId="6F4A9D52" w:rsidR="003A4D8C" w:rsidRPr="003A4D8C" w:rsidRDefault="003A4D8C" w:rsidP="003A4D8C">
      <w:pPr>
        <w:pStyle w:val="Heading3"/>
      </w:pPr>
      <w:bookmarkStart w:id="6" w:name="_Ref141968641"/>
      <w:r w:rsidRPr="003A4D8C">
        <w:lastRenderedPageBreak/>
        <w:t>The Committee’s conclusion that TA897 should not be taken into account in the context of this evaluation is inconsistent with NICE’s processes and is inadequately explained.</w:t>
      </w:r>
      <w:bookmarkEnd w:id="6"/>
    </w:p>
    <w:p w14:paraId="1933083D" w14:textId="49A31F78" w:rsidR="003A4D8C" w:rsidRDefault="003A4D8C" w:rsidP="003A4D8C">
      <w:r>
        <w:t xml:space="preserve">At section 3.3 of the </w:t>
      </w:r>
      <w:r w:rsidR="6087FB0A">
        <w:t>FDG</w:t>
      </w:r>
      <w:r>
        <w:t xml:space="preserve">, the Committee refers to </w:t>
      </w:r>
      <w:r w:rsidRPr="00F14116">
        <w:t>TA897</w:t>
      </w:r>
      <w:r w:rsidR="00A4167D">
        <w:fldChar w:fldCharType="begin"/>
      </w:r>
      <w:r w:rsidR="0094050D">
        <w:instrText xml:space="preserve"> ADDIN ZOTERO_ITEM CSL_CITATION {"citationID":"FQkLsvw6","properties":{"formattedCitation":"\\super 25\\nosupersub{}","plainCitation":"25","noteIndex":0},"citationItems":[{"id":29959,"uris":["http://zotero.org/groups/4721759/items/THB2Z2HS"],"itemData":{"id":29959,"type":"webpage","abstract":"Evidence-based recommendations on daratumumab (Darzalex) with bortezomib and dexamethasone for previously treated multiple myeloma in adults","language":"eng","note":"publisher: NICE","title":"NICE TA897: Daratumumab with bortezomib and dexamethasone for previously treated multiple myeloma","URL":"https://www.nice.org.uk/guidance/ta897","author":[{"family":"National Institute for Health and Care Excellence","given":""}],"accessed":{"date-parts":[["2023",8,3]]},"issued":{"date-parts":[["2023",6,6]]}}}],"schema":"https://github.com/citation-style-language/schema/raw/master/csl-citation.json"} </w:instrText>
      </w:r>
      <w:r w:rsidR="00A4167D">
        <w:fldChar w:fldCharType="separate"/>
      </w:r>
      <w:r w:rsidR="0094050D" w:rsidRPr="0AE02A4D">
        <w:rPr>
          <w:rFonts w:cs="Arial"/>
          <w:vertAlign w:val="superscript"/>
        </w:rPr>
        <w:t>25</w:t>
      </w:r>
      <w:r w:rsidR="00A4167D">
        <w:fldChar w:fldCharType="end"/>
      </w:r>
      <w:r w:rsidRPr="00F14116">
        <w:t xml:space="preserve"> </w:t>
      </w:r>
      <w:r>
        <w:t>(</w:t>
      </w:r>
      <w:r w:rsidRPr="0077699B">
        <w:t>daratumumab with bortezomib and dexamethasone for previously treated multiple myeloma</w:t>
      </w:r>
      <w:r>
        <w:t>; managed access review of TA573) and states that this “</w:t>
      </w:r>
      <w:r w:rsidRPr="00F14116">
        <w:t>may affect the treatment pathway at later lines but that it would likely be some time before these changes would happen in clinical practice.</w:t>
      </w:r>
      <w:r>
        <w:t xml:space="preserve">” The Committee stated that TA897 was published after consultation of the guidance for the evaluation of </w:t>
      </w:r>
      <w:r w:rsidR="00202F0C">
        <w:t>belantamab</w:t>
      </w:r>
      <w:r>
        <w:t xml:space="preserve"> closed and concluded “because of this, it agreed that it could not take the consequences of this update to the treatment pathway into account in its decision making”</w:t>
      </w:r>
      <w:r w:rsidR="00202F0C">
        <w:t>.</w:t>
      </w:r>
    </w:p>
    <w:p w14:paraId="55CFD5BD" w14:textId="0EB128C6" w:rsidR="003A4D8C" w:rsidRDefault="003A4D8C" w:rsidP="00790FE9">
      <w:r>
        <w:t xml:space="preserve">The purpose of NICE’s guidance is to issue recommendations to the NHS </w:t>
      </w:r>
      <w:r w:rsidR="00E7671C">
        <w:t xml:space="preserve">that </w:t>
      </w:r>
      <w:r>
        <w:t>will be of use in guiding treatment decisions.</w:t>
      </w:r>
      <w:r w:rsidR="00790FE9">
        <w:t xml:space="preserve"> </w:t>
      </w:r>
      <w:r>
        <w:t xml:space="preserve">This exercise is futile if the guidance issued by NICE is outdated before it has even been finalised. NICE has substantial discretion to consider comparators and product positioning in cases where the treatment landscape is </w:t>
      </w:r>
      <w:r w:rsidR="00790FE9">
        <w:t>changing,</w:t>
      </w:r>
      <w:r>
        <w:t xml:space="preserve"> and it is unfair and contrary to NICE’s own procedures not to do so.</w:t>
      </w:r>
    </w:p>
    <w:p w14:paraId="21479BBD" w14:textId="668E2483" w:rsidR="003A4D8C" w:rsidRDefault="003A4D8C" w:rsidP="00790FE9">
      <w:bookmarkStart w:id="7" w:name="_Hlk141956058"/>
      <w:r>
        <w:t xml:space="preserve">NICE’s procedures do not specify that the cut-off for considering the impact of treatment changes is the end of consultation on preliminary draft guidance and it is unclear why the Committee appeared to consider </w:t>
      </w:r>
      <w:r w:rsidR="00C70D9E">
        <w:t>that</w:t>
      </w:r>
      <w:r>
        <w:t xml:space="preserve"> this was the position</w:t>
      </w:r>
      <w:r w:rsidR="005E22EE">
        <w:t xml:space="preserve">, </w:t>
      </w:r>
      <w:r w:rsidR="00403D4A">
        <w:t>when drafting the FDG</w:t>
      </w:r>
      <w:r>
        <w:t>. In this case however</w:t>
      </w:r>
      <w:r w:rsidR="00B21C27">
        <w:t xml:space="preserve"> in particular</w:t>
      </w:r>
      <w:r>
        <w:t xml:space="preserve">, the FDG on </w:t>
      </w:r>
      <w:r w:rsidRPr="0077699B">
        <w:t>daratumumab with bortezomib and dexamethasone</w:t>
      </w:r>
      <w:r>
        <w:t xml:space="preserve"> had been made public on 24 April 2023 and the period for any appeal concluded on 8 May 2023, before the commencement of consultation on the ACD for </w:t>
      </w:r>
      <w:r w:rsidR="00CA7DA7">
        <w:t>belantamab</w:t>
      </w:r>
      <w:r>
        <w:t xml:space="preserve"> on 9 May 2023.</w:t>
      </w:r>
      <w:r w:rsidR="00CA7DA7">
        <w:t xml:space="preserve"> </w:t>
      </w:r>
      <w:r>
        <w:t>In circumstances therefore, where the content of TA</w:t>
      </w:r>
      <w:r w:rsidR="00BD19B7">
        <w:t>897</w:t>
      </w:r>
      <w:r>
        <w:t xml:space="preserve"> was known to stakeholders prior to consultation on </w:t>
      </w:r>
      <w:r w:rsidR="0037522A">
        <w:t>belantamab</w:t>
      </w:r>
      <w:r>
        <w:t xml:space="preserve"> it was procedurally unfair for this information to be excluded from consideration by the Committee at its meeting on 14 June 2023</w:t>
      </w:r>
      <w:r w:rsidR="0037522A">
        <w:t>.</w:t>
      </w:r>
      <w:r w:rsidR="00753CFE" w:rsidRPr="00753CFE">
        <w:t xml:space="preserve"> </w:t>
      </w:r>
      <w:r w:rsidR="00753CFE">
        <w:t>Nevertheless, NICE’s position on whether or not TA897 should be taken into account was confused and inconsistent, with advice issued to GSK before consultation that it could not be considered and differing views expressed by NICE and Committee members up to and during the second meeting of the Committee.</w:t>
      </w:r>
    </w:p>
    <w:bookmarkEnd w:id="7"/>
    <w:p w14:paraId="532E6099" w14:textId="4173FFC7" w:rsidR="003A4D8C" w:rsidRDefault="003A4D8C" w:rsidP="00342C06">
      <w:r>
        <w:t>Fairness clearly requires that stakeholders have adequate opportunity to comment on draft guidance and if the treatment pathway changes so that such consultation has not taken place, it is incumbent on the Committee to hold a further meeting to ensure that guidance that is both relevant and subject to consultation takes place.  There is no indication in the FDG that either NICE or the Committee gave any consideration to whether the publication of TA</w:t>
      </w:r>
      <w:r w:rsidR="00BD19B7">
        <w:t>897</w:t>
      </w:r>
      <w:r>
        <w:t xml:space="preserve"> meant that a further period of consultation was necessary to consider </w:t>
      </w:r>
      <w:r w:rsidR="00E40561">
        <w:t xml:space="preserve">its </w:t>
      </w:r>
      <w:r>
        <w:t xml:space="preserve">implications in the context of </w:t>
      </w:r>
      <w:r w:rsidR="005C0B29">
        <w:t>belantamab</w:t>
      </w:r>
      <w:r>
        <w:t xml:space="preserve">, to ensure that relevant guidance would be issued.  </w:t>
      </w:r>
    </w:p>
    <w:p w14:paraId="6AA29E3C" w14:textId="11FB0867" w:rsidR="003A4D8C" w:rsidRDefault="003A4D8C" w:rsidP="00101536">
      <w:r w:rsidRPr="00342C06">
        <w:t>Finally, the Committee concluded “that it would likely be some time” before the changes resulting from TA</w:t>
      </w:r>
      <w:r w:rsidR="00BD19B7">
        <w:t>897</w:t>
      </w:r>
      <w:r w:rsidRPr="00342C06">
        <w:t xml:space="preserve"> would happen in clinical practice. The basis for this conclusion is unexplained and it appears inconsistent with the fact that daratumumab with bortezomib and dexamethasone has been accessed through the Cancer Drugs Fund and is therefore to some extent already established treatment. We are aware </w:t>
      </w:r>
      <w:r w:rsidRPr="00A235FE">
        <w:lastRenderedPageBreak/>
        <w:t>that NICE is committed to ensuring that its recommendations are implemented and its guidance is viewed as standard treatment to be considered in other evaluations</w:t>
      </w:r>
      <w:r w:rsidR="001721F5" w:rsidRPr="00A235FE">
        <w:t>; this means that TA897 should be reflected in NHS practice soon if not with immediate effect</w:t>
      </w:r>
      <w:r w:rsidRPr="00A235FE">
        <w:t xml:space="preserve">.  Furthermore, if it is in fact correct that </w:t>
      </w:r>
      <w:r w:rsidR="00F95A8C" w:rsidRPr="00A235FE">
        <w:t>TA</w:t>
      </w:r>
      <w:r w:rsidR="00F95A8C">
        <w:t>897</w:t>
      </w:r>
      <w:r w:rsidRPr="00A235FE">
        <w:t xml:space="preserve"> will not be implemented for some time, this would presumably mirror any implementation of guidance for </w:t>
      </w:r>
      <w:r w:rsidR="00342C06" w:rsidRPr="00A235FE">
        <w:t>belantamab</w:t>
      </w:r>
      <w:r w:rsidRPr="00A235FE">
        <w:t>.  GSK therefore contends that failure to take into account TA</w:t>
      </w:r>
      <w:r w:rsidR="00AC6178" w:rsidRPr="00A235FE">
        <w:t>897</w:t>
      </w:r>
      <w:r w:rsidRPr="00A235FE">
        <w:t xml:space="preserve"> in the context of the current evaluation was procedurally unfair and has the result that NICE’s guidance will be irrelevant before it is even published.</w:t>
      </w:r>
      <w:r>
        <w:t xml:space="preserve">  </w:t>
      </w:r>
    </w:p>
    <w:p w14:paraId="4B402A1E" w14:textId="373B844D" w:rsidR="00ED30B1" w:rsidRPr="00A235FE" w:rsidRDefault="00ED30B1" w:rsidP="00A235FE">
      <w:pPr>
        <w:pStyle w:val="Heading3"/>
      </w:pPr>
      <w:bookmarkStart w:id="8" w:name="_Ref141613279"/>
      <w:bookmarkStart w:id="9" w:name="_Ref141968649"/>
      <w:r w:rsidRPr="00A235FE">
        <w:t xml:space="preserve">The </w:t>
      </w:r>
      <w:r w:rsidR="003226F1">
        <w:t>C</w:t>
      </w:r>
      <w:r w:rsidRPr="00A235FE">
        <w:t xml:space="preserve">ommittee’s </w:t>
      </w:r>
      <w:r w:rsidR="00150763" w:rsidRPr="00A235FE">
        <w:t xml:space="preserve">conclusion </w:t>
      </w:r>
      <w:r w:rsidRPr="00A235FE">
        <w:t xml:space="preserve">that </w:t>
      </w:r>
      <w:r w:rsidR="00150763" w:rsidRPr="00A235FE">
        <w:t>it w</w:t>
      </w:r>
      <w:r w:rsidRPr="00A235FE">
        <w:t xml:space="preserve">ould not recommend belantamab </w:t>
      </w:r>
      <w:r w:rsidR="00150763" w:rsidRPr="00A235FE">
        <w:t xml:space="preserve">in the 5L+ TCR MM post-POM setting </w:t>
      </w:r>
      <w:r w:rsidR="005A0A96" w:rsidRPr="00A235FE">
        <w:t>due to</w:t>
      </w:r>
      <w:r w:rsidRPr="00A235FE">
        <w:t xml:space="preserve"> the uncertainty in the comparative evidence </w:t>
      </w:r>
      <w:r w:rsidR="00150763" w:rsidRPr="00A235FE">
        <w:t xml:space="preserve">is </w:t>
      </w:r>
      <w:r w:rsidRPr="00A235FE">
        <w:t>unfair</w:t>
      </w:r>
      <w:r w:rsidR="00150763" w:rsidRPr="00A235FE">
        <w:t>,</w:t>
      </w:r>
      <w:r w:rsidRPr="00A235FE">
        <w:t xml:space="preserve"> given that these limitations were largely driven by the paucity of evidence for the comparator despite being recommended </w:t>
      </w:r>
      <w:bookmarkEnd w:id="5"/>
      <w:bookmarkEnd w:id="8"/>
      <w:r w:rsidR="00150763" w:rsidRPr="00A235FE">
        <w:t xml:space="preserve"> by NICE and</w:t>
      </w:r>
      <w:r w:rsidR="00D34266" w:rsidRPr="00A235FE">
        <w:t xml:space="preserve"> in circumstances where the effect of the decision is that patients will be forced to receive less effective treatment with less evidence of benefit.</w:t>
      </w:r>
      <w:bookmarkEnd w:id="9"/>
      <w:r w:rsidR="00150763" w:rsidRPr="00A235FE">
        <w:t xml:space="preserve"> </w:t>
      </w:r>
    </w:p>
    <w:p w14:paraId="50BD75BE" w14:textId="34AF778C" w:rsidR="00ED30B1" w:rsidRDefault="00ED30B1" w:rsidP="00ED30B1">
      <w:r>
        <w:t>In s</w:t>
      </w:r>
      <w:r w:rsidRPr="00821090">
        <w:t>ection 3.11</w:t>
      </w:r>
      <w:r>
        <w:t xml:space="preserve"> of the </w:t>
      </w:r>
      <w:r w:rsidR="00AF6D29">
        <w:t>FDG</w:t>
      </w:r>
      <w:r>
        <w:t>, t</w:t>
      </w:r>
      <w:r w:rsidRPr="0046194B">
        <w:t xml:space="preserve">he </w:t>
      </w:r>
      <w:r w:rsidR="00D34266">
        <w:t>C</w:t>
      </w:r>
      <w:r w:rsidRPr="0046194B">
        <w:t xml:space="preserve">ommittee </w:t>
      </w:r>
      <w:r w:rsidR="00D34266">
        <w:t xml:space="preserve">considered the evidence submitted by GSK </w:t>
      </w:r>
      <w:r w:rsidR="003378D5">
        <w:t>in relation to use of belantamab in 5L+ TCR MM</w:t>
      </w:r>
      <w:r w:rsidR="003378D5" w:rsidRPr="0046194B">
        <w:t xml:space="preserve"> </w:t>
      </w:r>
      <w:r w:rsidR="003378D5">
        <w:t xml:space="preserve">patients who had previously received treatment with pomalidomide. </w:t>
      </w:r>
      <w:r w:rsidR="000C35D7">
        <w:t xml:space="preserve">The </w:t>
      </w:r>
      <w:r w:rsidR="00FE1E15">
        <w:t xml:space="preserve">Committee </w:t>
      </w:r>
      <w:r w:rsidR="000C35D7">
        <w:t>noted submissions by GSK that there was no clinical trial evidence for current standard treatment PanoBorDex in the relevant patient population and “</w:t>
      </w:r>
      <w:r w:rsidRPr="0046194B">
        <w:t xml:space="preserve">recognised that efficacy outcomes for </w:t>
      </w:r>
      <w:bookmarkStart w:id="10" w:name="_Hlk141892106"/>
      <w:r w:rsidR="00F27210">
        <w:t>panobinostat plus bortezomib and dexamethasone</w:t>
      </w:r>
      <w:bookmarkEnd w:id="10"/>
      <w:r w:rsidR="00F27210" w:rsidDel="00F27210">
        <w:t xml:space="preserve"> </w:t>
      </w:r>
      <w:r w:rsidRPr="0046194B">
        <w:t>were likely to be poor in this population</w:t>
      </w:r>
      <w:r w:rsidR="00F27210">
        <w:t>”</w:t>
      </w:r>
      <w:r w:rsidRPr="0046194B">
        <w:t xml:space="preserve">. </w:t>
      </w:r>
      <w:r w:rsidR="00F27210">
        <w:t>However</w:t>
      </w:r>
      <w:r w:rsidR="00D84DEE">
        <w:t>,</w:t>
      </w:r>
      <w:r w:rsidR="00F27210">
        <w:t xml:space="preserve"> the Committee </w:t>
      </w:r>
      <w:r w:rsidR="00E3136E">
        <w:t xml:space="preserve">then </w:t>
      </w:r>
      <w:r w:rsidRPr="0046194B">
        <w:t xml:space="preserve">concluded </w:t>
      </w:r>
      <w:r w:rsidR="00F27210">
        <w:t>“</w:t>
      </w:r>
      <w:r w:rsidRPr="0046194B">
        <w:t xml:space="preserve">that it had not been presented with sufficient evidence to confirm that </w:t>
      </w:r>
      <w:r>
        <w:rPr>
          <w:lang w:eastAsia="x-none"/>
        </w:rPr>
        <w:t xml:space="preserve">belantamab </w:t>
      </w:r>
      <w:r w:rsidRPr="0046194B">
        <w:t xml:space="preserve">is more clinically effective than </w:t>
      </w:r>
      <w:r w:rsidR="00F27210" w:rsidRPr="00F27210">
        <w:t xml:space="preserve">panobinostat plus bortezomib and dexamethasone </w:t>
      </w:r>
      <w:r w:rsidRPr="0046194B">
        <w:t>at a population level</w:t>
      </w:r>
      <w:r w:rsidR="00F27210">
        <w:t>”</w:t>
      </w:r>
      <w:r w:rsidRPr="0046194B">
        <w:t>.</w:t>
      </w:r>
    </w:p>
    <w:p w14:paraId="0F5AD0DE" w14:textId="28FCF80D" w:rsidR="00ED30B1" w:rsidRDefault="00ED30B1" w:rsidP="00ED30B1">
      <w:r w:rsidRPr="00B32B2D">
        <w:t xml:space="preserve">PanoBorDex </w:t>
      </w:r>
      <w:r>
        <w:t>was</w:t>
      </w:r>
      <w:r w:rsidRPr="00B32B2D">
        <w:t xml:space="preserve"> recommended </w:t>
      </w:r>
      <w:r>
        <w:t xml:space="preserve">by NICE </w:t>
      </w:r>
      <w:r w:rsidR="003F0B3A">
        <w:t xml:space="preserve">in 2016 </w:t>
      </w:r>
      <w:r w:rsidRPr="00B25542">
        <w:t xml:space="preserve">as an option for treating adult patients with </w:t>
      </w:r>
      <w:r>
        <w:t xml:space="preserve">RRMM </w:t>
      </w:r>
      <w:r w:rsidRPr="00B25542">
        <w:t>who have received at least 2 prior regimens including bortezomib and an immunomodulatory agent</w:t>
      </w:r>
      <w:r>
        <w:t xml:space="preserve"> (TA380).</w:t>
      </w:r>
      <w:r w:rsidR="00A4167D">
        <w:fldChar w:fldCharType="begin"/>
      </w:r>
      <w:r w:rsidR="0094050D">
        <w:instrText xml:space="preserve"> ADDIN ZOTERO_ITEM CSL_CITATION {"citationID":"LEDSZnwh","properties":{"formattedCitation":"\\super 13\\nosupersub{}","plainCitation":"13","noteIndex":0},"citationItems":[{"id":27675,"uris":["http://zotero.org/groups/4721759/items/QXPBMRE8"],"itemData":{"id":27675,"type":"document","title":"NICE TA380: Panobinostat for treating multiple myeloma in people who have received at least one prior therapy [ID663]","URL":"https://www.nice.org.uk/guidance/ta380/documents/committee-papers","author":[{"literal":"National Institute for Health and Care Excellence"}]}}],"schema":"https://github.com/citation-style-language/schema/raw/master/csl-citation.json"} </w:instrText>
      </w:r>
      <w:r w:rsidR="00A4167D">
        <w:fldChar w:fldCharType="separate"/>
      </w:r>
      <w:r w:rsidR="0094050D" w:rsidRPr="0094050D">
        <w:rPr>
          <w:rFonts w:cs="Arial"/>
          <w:szCs w:val="24"/>
          <w:vertAlign w:val="superscript"/>
        </w:rPr>
        <w:t>13</w:t>
      </w:r>
      <w:r w:rsidR="00A4167D">
        <w:fldChar w:fldCharType="end"/>
      </w:r>
      <w:r>
        <w:t xml:space="preserve"> While the recommendation in TA380 enables patients within the </w:t>
      </w:r>
      <w:bookmarkStart w:id="11" w:name="_Hlk141892430"/>
      <w:r>
        <w:t>5L+ TCR MM</w:t>
      </w:r>
      <w:bookmarkEnd w:id="11"/>
      <w:r>
        <w:t xml:space="preserve"> setting to access PanoBorDex, there was no evidence reported in TA380 supporting the efficacy and cost-effectiveness of this intervention</w:t>
      </w:r>
      <w:r w:rsidR="00F27210">
        <w:t xml:space="preserve"> as fifth line treatment.</w:t>
      </w:r>
      <w:r w:rsidR="007D0F64">
        <w:t xml:space="preserve"> </w:t>
      </w:r>
      <w:r w:rsidR="00E73F89">
        <w:t xml:space="preserve">The rapid evolution of the MM pathway means that the unmet need increases as patients become refractory to multiple class of agents earlier in the pathway. At the time of PanoBorDex appraisal, anti-CD38 </w:t>
      </w:r>
      <w:r w:rsidR="00AD3021">
        <w:t>monoclonal antibodies</w:t>
      </w:r>
      <w:r w:rsidR="00E73F89">
        <w:t xml:space="preserve"> were not yet available in NHS routine</w:t>
      </w:r>
      <w:r w:rsidR="72603ACB">
        <w:t xml:space="preserve"> </w:t>
      </w:r>
      <w:r w:rsidR="285310A4">
        <w:t>commissioning,</w:t>
      </w:r>
      <w:r w:rsidR="00E73F89">
        <w:t xml:space="preserve"> thus PanoBorDex </w:t>
      </w:r>
      <w:r w:rsidR="00F27210">
        <w:t xml:space="preserve">was used earlier in the treatment pathway and there was no evidence for use in </w:t>
      </w:r>
      <w:r w:rsidR="00F27210" w:rsidRPr="00F27210">
        <w:t>5L+ TCR MM</w:t>
      </w:r>
      <w:r w:rsidR="00F27210">
        <w:t>.</w:t>
      </w:r>
    </w:p>
    <w:p w14:paraId="5B5754E2" w14:textId="02725174" w:rsidR="00C11102" w:rsidRDefault="00ED30B1" w:rsidP="00C11102">
      <w:r>
        <w:t xml:space="preserve">To address this limitation, GSK performed a systematic literature review and a study of the NCRAS dataset to collect evidence for PanoBorDex efficacy in </w:t>
      </w:r>
      <w:r w:rsidR="00152CCD">
        <w:t xml:space="preserve">the </w:t>
      </w:r>
      <w:r w:rsidR="00152CCD" w:rsidRPr="00F27210">
        <w:t>5L+ TCR MM</w:t>
      </w:r>
      <w:r w:rsidR="00362D47">
        <w:t xml:space="preserve"> </w:t>
      </w:r>
      <w:r w:rsidR="00152CCD">
        <w:t>post</w:t>
      </w:r>
      <w:r w:rsidR="00FE686F">
        <w:t>-</w:t>
      </w:r>
      <w:r w:rsidR="00152CCD">
        <w:t xml:space="preserve">POM </w:t>
      </w:r>
      <w:r>
        <w:t xml:space="preserve">population. No evidence was retrieved from the literature search and the cohort of patients in the NCRAS study was small, </w:t>
      </w:r>
      <w:r w:rsidR="002A49A2">
        <w:t>as would be</w:t>
      </w:r>
      <w:r>
        <w:t xml:space="preserve"> expected for a heavily pre-treated group. These issues translate into significant challenges when attempting to perform an ITC of </w:t>
      </w:r>
      <w:r>
        <w:rPr>
          <w:lang w:eastAsia="x-none"/>
        </w:rPr>
        <w:t xml:space="preserve">belantamab </w:t>
      </w:r>
      <w:r>
        <w:t xml:space="preserve">vs PanoBorDex in a 5L+ TCR MM population post-POM. </w:t>
      </w:r>
    </w:p>
    <w:p w14:paraId="3E5D96CB" w14:textId="2950A35D" w:rsidR="00046773" w:rsidRDefault="00046773" w:rsidP="00C11102">
      <w:pPr>
        <w:rPr>
          <w:color w:val="000000" w:themeColor="text1"/>
        </w:rPr>
      </w:pPr>
      <w:r>
        <w:t xml:space="preserve">In conclusion, this issue not only reflects the difficulties associated with appraisals towards the end of the MM treatment pathway where patient numbers are small, and </w:t>
      </w:r>
      <w:r>
        <w:lastRenderedPageBreak/>
        <w:t xml:space="preserve">data are scarce, but also the challenges emerging </w:t>
      </w:r>
      <w:proofErr w:type="gramStart"/>
      <w:r>
        <w:t>as a result of</w:t>
      </w:r>
      <w:proofErr w:type="gramEnd"/>
      <w:r>
        <w:t xml:space="preserve"> previous recommendations made by NICE in broad populations (e.g., third line treatment and above) which limit access to future interventions in narrower subpopulations at later lines.</w:t>
      </w:r>
    </w:p>
    <w:p w14:paraId="2D4968AB" w14:textId="05FD4E4A" w:rsidR="00152CCD" w:rsidRDefault="0021783E" w:rsidP="00C11102">
      <w:r>
        <w:rPr>
          <w:color w:val="000000" w:themeColor="text1"/>
        </w:rPr>
        <w:t xml:space="preserve">In the above circumstances, the inflexible approach of the Committee to the available data for </w:t>
      </w:r>
      <w:r>
        <w:t>PanoBorDex</w:t>
      </w:r>
      <w:r w:rsidRPr="00F27210">
        <w:t xml:space="preserve"> </w:t>
      </w:r>
      <w:r>
        <w:t xml:space="preserve">in </w:t>
      </w:r>
      <w:bookmarkStart w:id="12" w:name="_Hlk142038799"/>
      <w:r>
        <w:t xml:space="preserve">the </w:t>
      </w:r>
      <w:r w:rsidRPr="00F27210">
        <w:t>5L+ TCR MM</w:t>
      </w:r>
      <w:r>
        <w:t xml:space="preserve"> post-POM population </w:t>
      </w:r>
      <w:bookmarkEnd w:id="12"/>
      <w:r>
        <w:t xml:space="preserve">is unfair.  </w:t>
      </w:r>
      <w:r w:rsidRPr="00AE1238">
        <w:t>PanoBorDex</w:t>
      </w:r>
      <w:r>
        <w:t xml:space="preserve"> is currently used to treat the </w:t>
      </w:r>
      <w:r w:rsidRPr="00F27210">
        <w:t>5L+ TCR MM</w:t>
      </w:r>
      <w:r>
        <w:t xml:space="preserve"> post-POM population as recommended by NICE, but without supporting data, thereby excluding other treatments where data in 5L</w:t>
      </w:r>
      <w:r w:rsidR="009C22B4">
        <w:t>+</w:t>
      </w:r>
      <w:r>
        <w:t xml:space="preserve"> are available.  The effect of an approach which penalises technologies such as </w:t>
      </w:r>
      <w:r w:rsidR="004A1EDE">
        <w:t>belantamab</w:t>
      </w:r>
      <w:r>
        <w:t xml:space="preserve"> for the fact that data for</w:t>
      </w:r>
      <w:r w:rsidRPr="00AE1238">
        <w:t xml:space="preserve"> PanoBorDex</w:t>
      </w:r>
      <w:r>
        <w:t xml:space="preserve"> are not </w:t>
      </w:r>
      <w:r w:rsidR="004A1EDE">
        <w:t>available</w:t>
      </w:r>
      <w:r>
        <w:t xml:space="preserve"> is that patients are forced to continue to receive treatment where there is limited supporting efficacy data and newer treatments where there is evidence of superior benefit cannot be accessed.</w:t>
      </w:r>
      <w:r w:rsidR="004A1EDE">
        <w:t xml:space="preserve"> </w:t>
      </w:r>
      <w:r w:rsidR="00874999">
        <w:t xml:space="preserve"> </w:t>
      </w:r>
      <w:r w:rsidR="00152CCD">
        <w:rPr>
          <w:color w:val="000000" w:themeColor="text1"/>
        </w:rPr>
        <w:t xml:space="preserve"> </w:t>
      </w:r>
    </w:p>
    <w:p w14:paraId="1EFAF792" w14:textId="59DA8FE6" w:rsidR="00DA168B" w:rsidRPr="00874999" w:rsidRDefault="00AE4222" w:rsidP="00502D80">
      <w:pPr>
        <w:pStyle w:val="Heading3"/>
        <w:spacing w:before="240" w:after="240"/>
        <w:ind w:left="357" w:hanging="357"/>
      </w:pPr>
      <w:bookmarkStart w:id="13" w:name="_Ref141613280"/>
      <w:r w:rsidRPr="00874999">
        <w:t xml:space="preserve">The </w:t>
      </w:r>
      <w:r w:rsidR="003226F1">
        <w:t>C</w:t>
      </w:r>
      <w:r w:rsidRPr="00874999">
        <w:t xml:space="preserve">ommittee has </w:t>
      </w:r>
      <w:r w:rsidR="001E43C8" w:rsidRPr="00874999">
        <w:t xml:space="preserve">failed to </w:t>
      </w:r>
      <w:r w:rsidR="006E1B7C" w:rsidRPr="00874999">
        <w:t xml:space="preserve">fairly </w:t>
      </w:r>
      <w:r w:rsidR="6CA82986" w:rsidRPr="00874999">
        <w:t xml:space="preserve">consider </w:t>
      </w:r>
      <w:r w:rsidR="004728B9" w:rsidRPr="00874999">
        <w:rPr>
          <w:lang w:eastAsia="x-none"/>
        </w:rPr>
        <w:t xml:space="preserve">belantamab </w:t>
      </w:r>
      <w:r w:rsidR="00F06F4A" w:rsidRPr="00874999">
        <w:t>i</w:t>
      </w:r>
      <w:r w:rsidR="3A13DBD0" w:rsidRPr="00874999">
        <w:t>n</w:t>
      </w:r>
      <w:r w:rsidRPr="00874999">
        <w:t xml:space="preserve"> </w:t>
      </w:r>
      <w:r w:rsidR="006E1B7C" w:rsidRPr="00874999">
        <w:t xml:space="preserve">the </w:t>
      </w:r>
      <w:r w:rsidR="006D226D">
        <w:t xml:space="preserve">original (5L+ TCR) or </w:t>
      </w:r>
      <w:r w:rsidR="00E73D37" w:rsidRPr="00874999">
        <w:t xml:space="preserve">revised </w:t>
      </w:r>
      <w:r w:rsidR="001F7CC8" w:rsidRPr="00874999">
        <w:t xml:space="preserve">positioning </w:t>
      </w:r>
      <w:r w:rsidR="00753DC0">
        <w:t>(</w:t>
      </w:r>
      <w:r w:rsidR="00E73D37" w:rsidRPr="00874999">
        <w:t xml:space="preserve">5L+ TCR post-pomalidomide </w:t>
      </w:r>
      <w:r w:rsidR="00542CCB" w:rsidRPr="00874999">
        <w:t>subpopulation</w:t>
      </w:r>
      <w:r w:rsidR="00753DC0">
        <w:t>)</w:t>
      </w:r>
      <w:r w:rsidR="00542CCB" w:rsidRPr="00874999">
        <w:t xml:space="preserve"> in </w:t>
      </w:r>
      <w:r w:rsidR="00DA168B" w:rsidRPr="00874999">
        <w:t xml:space="preserve">which </w:t>
      </w:r>
      <w:r w:rsidR="004728B9" w:rsidRPr="00874999">
        <w:rPr>
          <w:lang w:eastAsia="x-none"/>
        </w:rPr>
        <w:t xml:space="preserve">belantamab </w:t>
      </w:r>
      <w:r w:rsidR="00DA168B" w:rsidRPr="00874999">
        <w:t>offer</w:t>
      </w:r>
      <w:r w:rsidR="00AF5546" w:rsidRPr="00874999">
        <w:t>s</w:t>
      </w:r>
      <w:r w:rsidR="00DA168B" w:rsidRPr="00874999">
        <w:t xml:space="preserve"> significant benefits to UK patients with </w:t>
      </w:r>
      <w:r w:rsidR="001E43C8" w:rsidRPr="00874999">
        <w:t>a high unmet need</w:t>
      </w:r>
      <w:r w:rsidR="00B417CE" w:rsidRPr="00874999">
        <w:t>.</w:t>
      </w:r>
      <w:bookmarkEnd w:id="1"/>
      <w:bookmarkEnd w:id="2"/>
      <w:bookmarkEnd w:id="13"/>
    </w:p>
    <w:p w14:paraId="61A99960" w14:textId="7F1A4C3E" w:rsidR="0001253A" w:rsidRDefault="00917F19" w:rsidP="009D7225">
      <w:r>
        <w:t>In section 3.10</w:t>
      </w:r>
      <w:r w:rsidR="00D826C5">
        <w:t xml:space="preserve"> of the </w:t>
      </w:r>
      <w:r w:rsidR="00AF6D29">
        <w:t>FDG</w:t>
      </w:r>
      <w:r>
        <w:t>, t</w:t>
      </w:r>
      <w:r w:rsidR="0001253A" w:rsidRPr="002A1BAA">
        <w:t xml:space="preserve">he </w:t>
      </w:r>
      <w:r w:rsidR="003226F1">
        <w:t>C</w:t>
      </w:r>
      <w:r w:rsidR="0001253A" w:rsidRPr="002A1BAA">
        <w:t xml:space="preserve">ommittee </w:t>
      </w:r>
      <w:r w:rsidR="00ED4A65">
        <w:t xml:space="preserve">referred to the DREAMM-3 clinical trial and </w:t>
      </w:r>
      <w:r w:rsidR="0001253A" w:rsidRPr="002A1BAA">
        <w:t xml:space="preserve">recognised that </w:t>
      </w:r>
      <w:r w:rsidR="004728B9">
        <w:rPr>
          <w:lang w:eastAsia="x-none"/>
        </w:rPr>
        <w:t xml:space="preserve">belantamab </w:t>
      </w:r>
      <w:r w:rsidR="0001253A" w:rsidRPr="002A1BAA">
        <w:t>may offer benefits to some individual</w:t>
      </w:r>
      <w:r w:rsidR="009D4B7D">
        <w:t>s</w:t>
      </w:r>
      <w:r w:rsidR="00ED4A65">
        <w:t xml:space="preserve"> with 5L+ TCR MM</w:t>
      </w:r>
      <w:r w:rsidR="0001253A" w:rsidRPr="002A1BAA">
        <w:t xml:space="preserve">, </w:t>
      </w:r>
      <w:r w:rsidR="007349C1" w:rsidRPr="007349C1">
        <w:t>but that it was not possible to define this subgroup of</w:t>
      </w:r>
      <w:r w:rsidR="00296758">
        <w:t xml:space="preserve"> </w:t>
      </w:r>
      <w:r w:rsidR="00296758" w:rsidRPr="00296758">
        <w:t>people who would be expected to have greater clinical benefit than the broader eligible population</w:t>
      </w:r>
      <w:r w:rsidR="00296758">
        <w:t>.</w:t>
      </w:r>
    </w:p>
    <w:p w14:paraId="67673A86" w14:textId="1CC6D9A1" w:rsidR="00E87F56" w:rsidRPr="002A1BAA" w:rsidRDefault="00E87F56" w:rsidP="009D7225">
      <w:r>
        <w:t xml:space="preserve">As per the current NICE pathway, there are no approved therapies with a validated biomarker to predict which patients may respond to therapy. Therefore, the </w:t>
      </w:r>
      <w:r w:rsidR="003226F1">
        <w:t>C</w:t>
      </w:r>
      <w:r>
        <w:t xml:space="preserve">ommittee’s comments with respect to identification of patients who may benefit from treatment with </w:t>
      </w:r>
      <w:r w:rsidR="00AA7FCC">
        <w:t>b</w:t>
      </w:r>
      <w:r>
        <w:t>elantamab is unfair.</w:t>
      </w:r>
    </w:p>
    <w:p w14:paraId="61E96A91" w14:textId="1397AF56" w:rsidR="00496834" w:rsidRDefault="007432A8" w:rsidP="009D7225">
      <w:r>
        <w:t xml:space="preserve">Whilst there is currently no predictive biomarker for response to </w:t>
      </w:r>
      <w:r w:rsidR="009128F8">
        <w:t>b</w:t>
      </w:r>
      <w:r>
        <w:t>elantamab, t</w:t>
      </w:r>
      <w:r w:rsidR="00611D6D">
        <w:t xml:space="preserve">he clinical experts </w:t>
      </w:r>
      <w:r w:rsidR="00043D6A">
        <w:t xml:space="preserve">present at the appraisal </w:t>
      </w:r>
      <w:r w:rsidR="003226F1">
        <w:t>C</w:t>
      </w:r>
      <w:r w:rsidR="00043D6A">
        <w:t xml:space="preserve">ommittee meetings </w:t>
      </w:r>
      <w:r w:rsidR="00611D6D">
        <w:t xml:space="preserve">explained that when there is disease response to </w:t>
      </w:r>
      <w:r w:rsidR="004728B9">
        <w:t>belantamab</w:t>
      </w:r>
      <w:r w:rsidR="00611D6D">
        <w:t>, it happens quickly</w:t>
      </w:r>
      <w:r w:rsidR="00FD70B4">
        <w:t xml:space="preserve"> (</w:t>
      </w:r>
      <w:r w:rsidR="007A0136">
        <w:t xml:space="preserve">median time </w:t>
      </w:r>
      <w:r w:rsidR="00D33588">
        <w:t>to response</w:t>
      </w:r>
      <w:r w:rsidR="0054535B">
        <w:t xml:space="preserve"> is 1.5 </w:t>
      </w:r>
      <w:r w:rsidR="001F1F7A">
        <w:t>months [final analysi</w:t>
      </w:r>
      <w:r w:rsidR="005E7554">
        <w:t xml:space="preserve">s, 95% CI: </w:t>
      </w:r>
      <w:r w:rsidR="006250F5">
        <w:t>1.0</w:t>
      </w:r>
      <w:r w:rsidR="003F5888">
        <w:t>, 2.1])</w:t>
      </w:r>
      <w:r w:rsidR="00611D6D">
        <w:t xml:space="preserve"> and has a long </w:t>
      </w:r>
      <w:r w:rsidR="00296758">
        <w:t>duration.</w:t>
      </w:r>
      <w:r w:rsidR="00611D6D">
        <w:t xml:space="preserve"> </w:t>
      </w:r>
      <w:r w:rsidR="00F64B4F">
        <w:t xml:space="preserve">This </w:t>
      </w:r>
      <w:r w:rsidR="00FB4557">
        <w:t>illustrates</w:t>
      </w:r>
      <w:r w:rsidR="00F64B4F">
        <w:t xml:space="preserve"> that the </w:t>
      </w:r>
      <w:r w:rsidR="00496834">
        <w:t xml:space="preserve">identification of patients who benefit from </w:t>
      </w:r>
      <w:r w:rsidR="004728B9">
        <w:t xml:space="preserve">belantamab </w:t>
      </w:r>
      <w:r w:rsidR="00496834">
        <w:t xml:space="preserve">is </w:t>
      </w:r>
      <w:r w:rsidR="00F64B4F">
        <w:t xml:space="preserve">feasible and can be </w:t>
      </w:r>
      <w:r w:rsidR="000D6F74">
        <w:t xml:space="preserve">done </w:t>
      </w:r>
      <w:r w:rsidR="00496834">
        <w:t>rapid</w:t>
      </w:r>
      <w:r w:rsidR="000D6F74">
        <w:t>ly after treatment initiation.</w:t>
      </w:r>
    </w:p>
    <w:p w14:paraId="5310AB17" w14:textId="3B7DCBE9" w:rsidR="005C752F" w:rsidRDefault="00412CC7" w:rsidP="00053E48">
      <w:pPr>
        <w:autoSpaceDE w:val="0"/>
        <w:autoSpaceDN w:val="0"/>
        <w:adjustRightInd w:val="0"/>
        <w:spacing w:after="0" w:line="276" w:lineRule="auto"/>
      </w:pPr>
      <w:r w:rsidRPr="4C541D9E">
        <w:rPr>
          <w:rFonts w:cs="Arial"/>
          <w:color w:val="000000" w:themeColor="text1"/>
        </w:rPr>
        <w:t xml:space="preserve">In conclusion, GSK would like to emphasize that the </w:t>
      </w:r>
      <w:r w:rsidR="003226F1">
        <w:rPr>
          <w:rFonts w:cs="Arial"/>
          <w:color w:val="000000" w:themeColor="text1"/>
        </w:rPr>
        <w:t>C</w:t>
      </w:r>
      <w:r w:rsidR="005D6699" w:rsidRPr="4C541D9E">
        <w:rPr>
          <w:rFonts w:cs="Arial"/>
          <w:color w:val="000000" w:themeColor="text1"/>
        </w:rPr>
        <w:t>ommittee</w:t>
      </w:r>
      <w:r w:rsidR="00BE293A" w:rsidRPr="4C541D9E">
        <w:rPr>
          <w:rFonts w:cs="Arial"/>
          <w:color w:val="000000" w:themeColor="text1"/>
        </w:rPr>
        <w:t>’s</w:t>
      </w:r>
      <w:r w:rsidR="005D6699" w:rsidRPr="4C541D9E">
        <w:rPr>
          <w:rFonts w:cs="Arial"/>
          <w:color w:val="000000" w:themeColor="text1"/>
        </w:rPr>
        <w:t xml:space="preserve"> </w:t>
      </w:r>
      <w:r w:rsidRPr="4C541D9E">
        <w:rPr>
          <w:rFonts w:cs="Arial"/>
          <w:color w:val="000000" w:themeColor="text1"/>
        </w:rPr>
        <w:t xml:space="preserve">decision appears unfair </w:t>
      </w:r>
      <w:r w:rsidR="00785A62" w:rsidRPr="4C541D9E">
        <w:rPr>
          <w:rFonts w:cs="Arial"/>
          <w:color w:val="000000" w:themeColor="text1"/>
        </w:rPr>
        <w:t>considering</w:t>
      </w:r>
      <w:r w:rsidRPr="4C541D9E">
        <w:rPr>
          <w:rFonts w:cs="Arial"/>
          <w:color w:val="000000" w:themeColor="text1"/>
        </w:rPr>
        <w:t xml:space="preserve"> </w:t>
      </w:r>
      <w:r w:rsidR="005D6699" w:rsidRPr="4C541D9E">
        <w:rPr>
          <w:rFonts w:cs="Arial"/>
          <w:color w:val="000000" w:themeColor="text1"/>
        </w:rPr>
        <w:t xml:space="preserve">the benefit that </w:t>
      </w:r>
      <w:r w:rsidR="004728B9">
        <w:rPr>
          <w:lang w:eastAsia="x-none"/>
        </w:rPr>
        <w:t xml:space="preserve">belantamab </w:t>
      </w:r>
      <w:r w:rsidR="001F5C86" w:rsidRPr="4C541D9E">
        <w:rPr>
          <w:rFonts w:cs="Arial"/>
          <w:color w:val="000000" w:themeColor="text1"/>
        </w:rPr>
        <w:t>may</w:t>
      </w:r>
      <w:r w:rsidR="00036186" w:rsidRPr="4C541D9E">
        <w:rPr>
          <w:rFonts w:cs="Arial"/>
          <w:color w:val="000000" w:themeColor="text1"/>
        </w:rPr>
        <w:t xml:space="preserve"> provide to </w:t>
      </w:r>
      <w:r w:rsidR="002247B1" w:rsidRPr="4C541D9E">
        <w:rPr>
          <w:rFonts w:cs="Arial"/>
          <w:color w:val="000000" w:themeColor="text1"/>
        </w:rPr>
        <w:t xml:space="preserve">UK </w:t>
      </w:r>
      <w:r w:rsidR="00036186" w:rsidRPr="4C541D9E">
        <w:rPr>
          <w:rFonts w:cs="Arial"/>
          <w:color w:val="000000" w:themeColor="text1"/>
        </w:rPr>
        <w:t xml:space="preserve">patients </w:t>
      </w:r>
      <w:r w:rsidR="0086724D" w:rsidRPr="4C541D9E">
        <w:rPr>
          <w:rFonts w:cs="Arial"/>
          <w:color w:val="000000" w:themeColor="text1"/>
        </w:rPr>
        <w:t>currently facing a</w:t>
      </w:r>
      <w:r w:rsidR="00036186" w:rsidRPr="4C541D9E">
        <w:rPr>
          <w:rFonts w:cs="Arial"/>
          <w:color w:val="000000" w:themeColor="text1"/>
        </w:rPr>
        <w:t xml:space="preserve"> high unmet need</w:t>
      </w:r>
      <w:r w:rsidR="00126E72" w:rsidRPr="4C541D9E">
        <w:rPr>
          <w:rFonts w:cs="Arial"/>
          <w:color w:val="000000" w:themeColor="text1"/>
        </w:rPr>
        <w:t xml:space="preserve"> </w:t>
      </w:r>
      <w:r w:rsidR="003F6AE7" w:rsidRPr="4C541D9E">
        <w:rPr>
          <w:rFonts w:cs="Arial"/>
          <w:color w:val="000000" w:themeColor="text1"/>
        </w:rPr>
        <w:t xml:space="preserve">for new therapies in the </w:t>
      </w:r>
      <w:r w:rsidR="00126E72" w:rsidRPr="4C541D9E">
        <w:rPr>
          <w:rFonts w:cs="Arial"/>
          <w:color w:val="000000" w:themeColor="text1"/>
        </w:rPr>
        <w:t>5L+ TCR MM post-POM</w:t>
      </w:r>
      <w:r w:rsidR="003F6AE7" w:rsidRPr="4C541D9E">
        <w:rPr>
          <w:rFonts w:cs="Arial"/>
          <w:color w:val="000000" w:themeColor="text1"/>
        </w:rPr>
        <w:t xml:space="preserve"> setting</w:t>
      </w:r>
      <w:r w:rsidR="003215AD" w:rsidRPr="4C541D9E">
        <w:rPr>
          <w:rFonts w:cs="Arial"/>
          <w:color w:val="000000" w:themeColor="text1"/>
        </w:rPr>
        <w:t xml:space="preserve">. </w:t>
      </w:r>
      <w:r w:rsidRPr="4C541D9E">
        <w:rPr>
          <w:rFonts w:cs="Arial"/>
          <w:color w:val="000000" w:themeColor="text1"/>
        </w:rPr>
        <w:t xml:space="preserve">GSK </w:t>
      </w:r>
      <w:r w:rsidR="003215AD" w:rsidRPr="4C541D9E">
        <w:rPr>
          <w:rFonts w:cs="Arial"/>
          <w:color w:val="000000" w:themeColor="text1"/>
        </w:rPr>
        <w:t xml:space="preserve">would like to express its </w:t>
      </w:r>
      <w:r w:rsidRPr="4C541D9E">
        <w:rPr>
          <w:rFonts w:cs="Arial"/>
          <w:color w:val="000000" w:themeColor="text1"/>
        </w:rPr>
        <w:t>openness</w:t>
      </w:r>
      <w:r w:rsidR="00126E72" w:rsidRPr="4C541D9E">
        <w:rPr>
          <w:rFonts w:cs="Arial"/>
          <w:color w:val="000000" w:themeColor="text1"/>
        </w:rPr>
        <w:t xml:space="preserve"> and willingness</w:t>
      </w:r>
      <w:r w:rsidRPr="4C541D9E">
        <w:rPr>
          <w:rFonts w:cs="Arial"/>
          <w:color w:val="000000" w:themeColor="text1"/>
        </w:rPr>
        <w:t xml:space="preserve"> to </w:t>
      </w:r>
      <w:r w:rsidR="003215AD" w:rsidRPr="4C541D9E">
        <w:rPr>
          <w:rFonts w:cs="Arial"/>
          <w:color w:val="000000" w:themeColor="text1"/>
        </w:rPr>
        <w:t xml:space="preserve">discuss </w:t>
      </w:r>
      <w:r w:rsidRPr="4C541D9E">
        <w:rPr>
          <w:rFonts w:cs="Arial"/>
          <w:color w:val="000000" w:themeColor="text1"/>
        </w:rPr>
        <w:t>alternative positioning</w:t>
      </w:r>
      <w:r w:rsidR="00126E72" w:rsidRPr="4C541D9E">
        <w:rPr>
          <w:rFonts w:cs="Arial"/>
          <w:color w:val="000000" w:themeColor="text1"/>
        </w:rPr>
        <w:t>(s)</w:t>
      </w:r>
      <w:r w:rsidRPr="4C541D9E">
        <w:rPr>
          <w:rFonts w:cs="Arial"/>
          <w:color w:val="000000" w:themeColor="text1"/>
        </w:rPr>
        <w:t xml:space="preserve"> </w:t>
      </w:r>
      <w:r w:rsidR="00281E2E" w:rsidRPr="4C541D9E">
        <w:rPr>
          <w:rFonts w:cs="Arial"/>
          <w:color w:val="000000" w:themeColor="text1"/>
        </w:rPr>
        <w:t xml:space="preserve">in the best interest of UK </w:t>
      </w:r>
      <w:r w:rsidRPr="4C541D9E">
        <w:rPr>
          <w:rFonts w:cs="Arial"/>
          <w:color w:val="000000" w:themeColor="text1"/>
        </w:rPr>
        <w:t xml:space="preserve">patients in populations where </w:t>
      </w:r>
      <w:r w:rsidR="004728B9">
        <w:rPr>
          <w:lang w:eastAsia="x-none"/>
        </w:rPr>
        <w:t xml:space="preserve">belantamab </w:t>
      </w:r>
      <w:r w:rsidR="004A2E57" w:rsidRPr="4C541D9E">
        <w:rPr>
          <w:rFonts w:cs="Arial"/>
          <w:color w:val="000000" w:themeColor="text1"/>
        </w:rPr>
        <w:t xml:space="preserve">could address </w:t>
      </w:r>
      <w:r w:rsidR="002247B1" w:rsidRPr="4C541D9E">
        <w:rPr>
          <w:rFonts w:cs="Arial"/>
          <w:color w:val="000000" w:themeColor="text1"/>
        </w:rPr>
        <w:t>a</w:t>
      </w:r>
      <w:r w:rsidRPr="4C541D9E">
        <w:rPr>
          <w:rFonts w:cs="Arial"/>
          <w:color w:val="000000" w:themeColor="text1"/>
        </w:rPr>
        <w:t xml:space="preserve"> substantial unmet need</w:t>
      </w:r>
      <w:r w:rsidR="007905B2" w:rsidRPr="4C541D9E">
        <w:rPr>
          <w:rFonts w:cs="Arial"/>
          <w:color w:val="000000" w:themeColor="text1"/>
        </w:rPr>
        <w:t>.</w:t>
      </w:r>
    </w:p>
    <w:p w14:paraId="6A3CDBFC" w14:textId="4BC0D73F" w:rsidR="00B8005C" w:rsidRDefault="000C0DE5" w:rsidP="002A31F1">
      <w:pPr>
        <w:pStyle w:val="Heading2"/>
      </w:pPr>
      <w:r w:rsidRPr="00C651D0">
        <w:lastRenderedPageBreak/>
        <w:t>G</w:t>
      </w:r>
      <w:r w:rsidR="00E87011">
        <w:t>round</w:t>
      </w:r>
      <w:r w:rsidRPr="00C651D0">
        <w:t xml:space="preserve"> 2</w:t>
      </w:r>
      <w:r w:rsidR="00C651D0" w:rsidRPr="00C651D0">
        <w:t xml:space="preserve"> The recommendation is unreasonable in the light of the evidence submitted to NICE</w:t>
      </w:r>
    </w:p>
    <w:p w14:paraId="6812EDEC" w14:textId="79464E28" w:rsidR="00E7250C" w:rsidRPr="00657AAE" w:rsidRDefault="00E7250C" w:rsidP="008338A6">
      <w:pPr>
        <w:pStyle w:val="Heading3"/>
        <w:numPr>
          <w:ilvl w:val="1"/>
          <w:numId w:val="5"/>
        </w:numPr>
        <w:spacing w:before="240" w:after="240"/>
      </w:pPr>
      <w:bookmarkStart w:id="14" w:name="_Ref141613284"/>
      <w:r w:rsidRPr="00657AAE">
        <w:t xml:space="preserve">The </w:t>
      </w:r>
      <w:r w:rsidR="005F2143" w:rsidRPr="00657AAE">
        <w:t>C</w:t>
      </w:r>
      <w:r w:rsidRPr="00657AAE">
        <w:t>ommittee</w:t>
      </w:r>
      <w:r w:rsidR="007A448E" w:rsidRPr="00657AAE">
        <w:t>’s</w:t>
      </w:r>
      <w:r w:rsidRPr="00657AAE">
        <w:t xml:space="preserve"> </w:t>
      </w:r>
      <w:r w:rsidR="00BA7316" w:rsidRPr="00657AAE">
        <w:t xml:space="preserve">conclusion </w:t>
      </w:r>
      <w:r w:rsidR="0034340C">
        <w:t xml:space="preserve">in relation to the data from the </w:t>
      </w:r>
      <w:r w:rsidRPr="00657AAE">
        <w:t xml:space="preserve">DREAMM-3 </w:t>
      </w:r>
      <w:r w:rsidR="0034340C">
        <w:t>are unreasonable in the light of the evidence submitted</w:t>
      </w:r>
      <w:r w:rsidR="00D54F82" w:rsidRPr="00657AAE">
        <w:t>.</w:t>
      </w:r>
      <w:bookmarkEnd w:id="14"/>
    </w:p>
    <w:p w14:paraId="01FE330B" w14:textId="6CA76063" w:rsidR="001425A2" w:rsidRPr="00C108D2" w:rsidRDefault="00DB3B8B" w:rsidP="008338A6">
      <w:pPr>
        <w:pStyle w:val="ListParagraph"/>
        <w:numPr>
          <w:ilvl w:val="0"/>
          <w:numId w:val="14"/>
        </w:numPr>
        <w:rPr>
          <w:b/>
          <w:bCs/>
        </w:rPr>
      </w:pPr>
      <w:r>
        <w:rPr>
          <w:b/>
          <w:bCs/>
        </w:rPr>
        <w:t>T</w:t>
      </w:r>
      <w:r w:rsidR="00295367" w:rsidRPr="00C108D2">
        <w:rPr>
          <w:b/>
          <w:bCs/>
        </w:rPr>
        <w:t xml:space="preserve">he </w:t>
      </w:r>
      <w:r w:rsidR="001425A2" w:rsidRPr="00C108D2">
        <w:rPr>
          <w:b/>
          <w:bCs/>
        </w:rPr>
        <w:t>DREAMM-3 ITT population</w:t>
      </w:r>
      <w:r w:rsidR="00295367" w:rsidRPr="00C108D2">
        <w:rPr>
          <w:b/>
          <w:bCs/>
        </w:rPr>
        <w:t xml:space="preserve"> </w:t>
      </w:r>
      <w:r>
        <w:rPr>
          <w:b/>
          <w:bCs/>
        </w:rPr>
        <w:t xml:space="preserve">is broader than the population considered in the decision problem therefore the committee’s conclusion that it is </w:t>
      </w:r>
      <w:r w:rsidR="00295367" w:rsidRPr="00C108D2">
        <w:rPr>
          <w:b/>
          <w:bCs/>
        </w:rPr>
        <w:t>relevant for this decision problem</w:t>
      </w:r>
      <w:r>
        <w:rPr>
          <w:b/>
          <w:bCs/>
        </w:rPr>
        <w:t xml:space="preserve"> is unreasonable</w:t>
      </w:r>
      <w:r w:rsidR="00C108D2" w:rsidRPr="00C108D2">
        <w:rPr>
          <w:b/>
          <w:bCs/>
        </w:rPr>
        <w:t>.</w:t>
      </w:r>
    </w:p>
    <w:p w14:paraId="52EA9511" w14:textId="5943E577" w:rsidR="00672665" w:rsidRDefault="00672665" w:rsidP="00955E6C">
      <w:r w:rsidRPr="0081074E">
        <w:t>In section 3.9 of the FDG, the Committee refers to the DREAMM-3 trial conducted in people with RRMM who received at least 2 prior lines of anti-myeloma treatments, including at least 2 consecutive cycles of both lenalidomide and a PI. The Committee recognised that the “ITT population included belantamab being used earlier in the treatment pathway, meaning it is a broader population than that under consideration in this appraisal”. As the DREAMM-3 ITT population does not reflect the licensed indication for belantamab, the patients eligible for treatment, or the decision problem for this appraisal, the conclusion that efficacy data from the ITT population is “relevant” to decision making by the Committee in the current appraisal is unreasonable.</w:t>
      </w:r>
    </w:p>
    <w:p w14:paraId="53FE467C" w14:textId="45A6E87E" w:rsidR="00C108D2" w:rsidRPr="00D81EEE" w:rsidRDefault="00C108D2" w:rsidP="008338A6">
      <w:pPr>
        <w:pStyle w:val="ListParagraph"/>
        <w:numPr>
          <w:ilvl w:val="0"/>
          <w:numId w:val="14"/>
        </w:numPr>
        <w:rPr>
          <w:b/>
          <w:bCs/>
        </w:rPr>
      </w:pPr>
      <w:r w:rsidRPr="00D81EEE">
        <w:rPr>
          <w:b/>
          <w:bCs/>
        </w:rPr>
        <w:t xml:space="preserve">The Committee’s conclusions regarding the DREAMM-3 subgroup data as being the most relevant to this decision problem are unreasonable. </w:t>
      </w:r>
    </w:p>
    <w:p w14:paraId="51AFFAF0" w14:textId="1CEA1593" w:rsidR="008D2ED6" w:rsidRDefault="0034340C" w:rsidP="0DDC6A89">
      <w:pPr>
        <w:autoSpaceDE w:val="0"/>
        <w:autoSpaceDN w:val="0"/>
        <w:adjustRightInd w:val="0"/>
        <w:spacing w:after="0" w:line="240" w:lineRule="auto"/>
        <w:rPr>
          <w:rFonts w:cs="Arial"/>
          <w:color w:val="000000"/>
        </w:rPr>
      </w:pPr>
      <w:r>
        <w:rPr>
          <w:rFonts w:cs="Arial"/>
          <w:color w:val="000000" w:themeColor="text1"/>
        </w:rPr>
        <w:t xml:space="preserve">In response to consultation, GSK submitted data from a </w:t>
      </w:r>
      <w:r w:rsidR="00F929B8">
        <w:rPr>
          <w:rFonts w:cs="Arial"/>
          <w:color w:val="000000" w:themeColor="text1"/>
        </w:rPr>
        <w:t xml:space="preserve">very small </w:t>
      </w:r>
      <w:r>
        <w:rPr>
          <w:rFonts w:cs="Arial"/>
          <w:color w:val="000000" w:themeColor="text1"/>
        </w:rPr>
        <w:t xml:space="preserve">subgroup of patients from DREAMM-3, </w:t>
      </w:r>
      <w:r w:rsidR="00F929B8">
        <w:rPr>
          <w:rFonts w:cs="Arial"/>
          <w:color w:val="000000" w:themeColor="text1"/>
        </w:rPr>
        <w:t xml:space="preserve">defined post hoc, </w:t>
      </w:r>
      <w:r>
        <w:rPr>
          <w:rFonts w:cs="Arial"/>
          <w:color w:val="000000" w:themeColor="text1"/>
        </w:rPr>
        <w:t xml:space="preserve">who do reflect the licensed indication for </w:t>
      </w:r>
      <w:r w:rsidR="00476473">
        <w:rPr>
          <w:rFonts w:cs="Arial"/>
          <w:color w:val="000000" w:themeColor="text1"/>
        </w:rPr>
        <w:t>belantamab</w:t>
      </w:r>
      <w:r>
        <w:rPr>
          <w:rFonts w:cs="Arial"/>
          <w:color w:val="000000" w:themeColor="text1"/>
        </w:rPr>
        <w:t xml:space="preserve">. </w:t>
      </w:r>
      <w:r w:rsidR="008D2ED6" w:rsidRPr="0DDC6A89">
        <w:rPr>
          <w:rFonts w:cs="Arial"/>
          <w:color w:val="000000" w:themeColor="text1"/>
        </w:rPr>
        <w:t xml:space="preserve">The </w:t>
      </w:r>
      <w:r w:rsidR="003226F1">
        <w:rPr>
          <w:rFonts w:cs="Arial"/>
          <w:color w:val="000000" w:themeColor="text1"/>
        </w:rPr>
        <w:t>C</w:t>
      </w:r>
      <w:r w:rsidR="008D2ED6" w:rsidRPr="0DDC6A89">
        <w:rPr>
          <w:rFonts w:cs="Arial"/>
          <w:color w:val="000000" w:themeColor="text1"/>
        </w:rPr>
        <w:t xml:space="preserve">ommittee agreed with the </w:t>
      </w:r>
      <w:r w:rsidR="00C73DE3">
        <w:rPr>
          <w:rFonts w:cs="Arial"/>
          <w:color w:val="000000" w:themeColor="text1"/>
        </w:rPr>
        <w:t>evidence assessment group (</w:t>
      </w:r>
      <w:r w:rsidR="008D2ED6" w:rsidRPr="0DDC6A89">
        <w:rPr>
          <w:rFonts w:cs="Arial"/>
          <w:color w:val="000000" w:themeColor="text1"/>
        </w:rPr>
        <w:t>EAG</w:t>
      </w:r>
      <w:r w:rsidR="00C73DE3">
        <w:rPr>
          <w:rFonts w:cs="Arial"/>
          <w:color w:val="000000" w:themeColor="text1"/>
        </w:rPr>
        <w:t>)</w:t>
      </w:r>
      <w:r w:rsidR="008D2ED6" w:rsidRPr="0DDC6A89">
        <w:rPr>
          <w:rFonts w:cs="Arial"/>
          <w:color w:val="000000" w:themeColor="text1"/>
        </w:rPr>
        <w:t xml:space="preserve"> that, despite the limitations</w:t>
      </w:r>
      <w:r w:rsidR="001E5EC6" w:rsidRPr="0DDC6A89">
        <w:rPr>
          <w:rFonts w:cs="Arial"/>
          <w:color w:val="000000" w:themeColor="text1"/>
        </w:rPr>
        <w:t xml:space="preserve"> observed with the subgroup </w:t>
      </w:r>
      <w:r w:rsidR="008D2ED6" w:rsidRPr="0DDC6A89">
        <w:rPr>
          <w:rFonts w:cs="Arial"/>
          <w:color w:val="000000" w:themeColor="text1"/>
        </w:rPr>
        <w:t xml:space="preserve">data from </w:t>
      </w:r>
      <w:r w:rsidR="00656ED3" w:rsidRPr="0DDC6A89">
        <w:rPr>
          <w:rFonts w:cs="Arial"/>
          <w:color w:val="000000" w:themeColor="text1"/>
        </w:rPr>
        <w:t xml:space="preserve">the randomised </w:t>
      </w:r>
      <w:r w:rsidR="008D2ED6" w:rsidRPr="0DDC6A89">
        <w:rPr>
          <w:rFonts w:cs="Arial"/>
          <w:color w:val="000000" w:themeColor="text1"/>
        </w:rPr>
        <w:t>DREAMM-3</w:t>
      </w:r>
      <w:r w:rsidR="0027192D">
        <w:rPr>
          <w:rFonts w:cs="Arial"/>
          <w:color w:val="000000" w:themeColor="text1"/>
        </w:rPr>
        <w:t xml:space="preserve"> trial</w:t>
      </w:r>
      <w:r w:rsidR="00E60DAE" w:rsidRPr="0DDC6A89">
        <w:rPr>
          <w:rFonts w:cs="Arial"/>
          <w:color w:val="000000" w:themeColor="text1"/>
        </w:rPr>
        <w:t>, this data source</w:t>
      </w:r>
      <w:r w:rsidR="008D2ED6" w:rsidRPr="0DDC6A89">
        <w:rPr>
          <w:rFonts w:cs="Arial"/>
          <w:color w:val="000000" w:themeColor="text1"/>
        </w:rPr>
        <w:t xml:space="preserve"> was preferable to the non-randomised </w:t>
      </w:r>
      <w:r w:rsidR="3A4A6145" w:rsidRPr="0DDC6A89">
        <w:rPr>
          <w:rFonts w:cs="Arial"/>
          <w:color w:val="000000" w:themeColor="text1"/>
        </w:rPr>
        <w:t xml:space="preserve">UK specific </w:t>
      </w:r>
      <w:r w:rsidR="008D2ED6" w:rsidRPr="0DDC6A89">
        <w:rPr>
          <w:rFonts w:cs="Arial"/>
          <w:color w:val="000000" w:themeColor="text1"/>
        </w:rPr>
        <w:t>evidence presented by the company.</w:t>
      </w:r>
    </w:p>
    <w:p w14:paraId="626671FC" w14:textId="21CA25F0" w:rsidR="002F480F" w:rsidRDefault="002F480F" w:rsidP="002F480F">
      <w:r>
        <w:t>In the draft guidance consultation, clinical experts expressed significant concerns about the rationale behind any statements that the subgroup within the DREAMM-3 trial was proposed as the most reliable dataset.</w:t>
      </w:r>
      <w:r w:rsidR="0027192D">
        <w:t xml:space="preserve"> </w:t>
      </w:r>
      <w:r w:rsidR="0074444E">
        <w:t xml:space="preserve">They </w:t>
      </w:r>
      <w:r w:rsidR="00FA664A">
        <w:t>stated</w:t>
      </w:r>
      <w:r w:rsidR="0074444E">
        <w:t xml:space="preserve"> that </w:t>
      </w:r>
      <w:r w:rsidR="00656ED3">
        <w:t>“</w:t>
      </w:r>
      <w:r w:rsidR="00FA664A" w:rsidRPr="0DDC6A89">
        <w:rPr>
          <w:i/>
          <w:iCs/>
        </w:rPr>
        <w:t>t</w:t>
      </w:r>
      <w:r w:rsidR="00656ED3" w:rsidRPr="0DDC6A89">
        <w:rPr>
          <w:i/>
          <w:iCs/>
        </w:rPr>
        <w:t>he subgroup represents only about 10% of the total patient population in the study that was designed to define new 3rd line standard of care rather than the 5th line treatment which is the decision problem.</w:t>
      </w:r>
      <w:r w:rsidR="00753E8F">
        <w:t xml:space="preserve">” The clinical experts </w:t>
      </w:r>
      <w:r w:rsidR="000075F4">
        <w:t>further</w:t>
      </w:r>
      <w:r w:rsidR="00753E8F">
        <w:t xml:space="preserve"> </w:t>
      </w:r>
      <w:r w:rsidR="00FA664A">
        <w:t>explained</w:t>
      </w:r>
      <w:r w:rsidR="00753E8F">
        <w:t xml:space="preserve"> </w:t>
      </w:r>
      <w:r w:rsidR="000075F4">
        <w:t>that “</w:t>
      </w:r>
      <w:r w:rsidR="00656ED3" w:rsidRPr="0DDC6A89">
        <w:rPr>
          <w:i/>
          <w:iCs/>
        </w:rPr>
        <w:t>patients are “selected” rather than truly randomised</w:t>
      </w:r>
      <w:r w:rsidR="000075F4" w:rsidRPr="0DDC6A89">
        <w:rPr>
          <w:i/>
          <w:iCs/>
        </w:rPr>
        <w:t xml:space="preserve"> </w:t>
      </w:r>
      <w:r w:rsidR="002B6CBE" w:rsidRPr="0DDC6A89">
        <w:rPr>
          <w:i/>
          <w:iCs/>
        </w:rPr>
        <w:t xml:space="preserve">as the patient populations differ and treatment outcomes in </w:t>
      </w:r>
      <w:r w:rsidR="007C44CB" w:rsidRPr="0DDC6A89">
        <w:rPr>
          <w:i/>
          <w:iCs/>
        </w:rPr>
        <w:t>p</w:t>
      </w:r>
      <w:r w:rsidR="002B6CBE" w:rsidRPr="0DDC6A89">
        <w:rPr>
          <w:i/>
          <w:iCs/>
        </w:rPr>
        <w:t>omalidomide dexamethasone registered have never been reported in any</w:t>
      </w:r>
      <w:r w:rsidR="007C44CB" w:rsidRPr="0DDC6A89">
        <w:rPr>
          <w:i/>
          <w:iCs/>
        </w:rPr>
        <w:t xml:space="preserve"> </w:t>
      </w:r>
      <w:r w:rsidRPr="0DDC6A89">
        <w:rPr>
          <w:i/>
          <w:iCs/>
        </w:rPr>
        <w:t>studies of PomDex in the last 10-years.</w:t>
      </w:r>
      <w:r w:rsidR="007C44CB">
        <w:t>”</w:t>
      </w:r>
    </w:p>
    <w:p w14:paraId="13178576" w14:textId="0EB70EC6" w:rsidR="00661B15" w:rsidRDefault="00F929B8" w:rsidP="006E01D0">
      <w:r>
        <w:t>However</w:t>
      </w:r>
      <w:r w:rsidR="0027192D">
        <w:t>,</w:t>
      </w:r>
      <w:r>
        <w:t xml:space="preserve"> there is no indication that the Committee took any of these factors into account or assessed them when considering the weight to be attached to the DREAMM-3 subgroup versus the DREAMM-2 trial and the UK RWE. </w:t>
      </w:r>
      <w:r w:rsidR="006E01D0">
        <w:t xml:space="preserve">GSK </w:t>
      </w:r>
      <w:r>
        <w:t xml:space="preserve">therefore </w:t>
      </w:r>
      <w:r w:rsidR="006E01D0">
        <w:t xml:space="preserve">believes that </w:t>
      </w:r>
      <w:r w:rsidR="30D83829">
        <w:t xml:space="preserve">the </w:t>
      </w:r>
      <w:r>
        <w:t>C</w:t>
      </w:r>
      <w:r w:rsidR="006E01D0">
        <w:t xml:space="preserve">ommittee’s conclusions regarding the DREAMM-3 subgroup data </w:t>
      </w:r>
      <w:r w:rsidR="104F773B">
        <w:t xml:space="preserve">as being the most relevant to this decision problem </w:t>
      </w:r>
      <w:r w:rsidR="006E01D0">
        <w:t>are unreasonable</w:t>
      </w:r>
      <w:r w:rsidR="00661B15">
        <w:t xml:space="preserve">. </w:t>
      </w:r>
    </w:p>
    <w:p w14:paraId="03ED5F93" w14:textId="5A74E46C" w:rsidR="00967F36" w:rsidRDefault="005D5DD1" w:rsidP="008338A6">
      <w:pPr>
        <w:pStyle w:val="Heading3"/>
        <w:numPr>
          <w:ilvl w:val="1"/>
          <w:numId w:val="5"/>
        </w:numPr>
        <w:spacing w:before="240" w:after="240"/>
      </w:pPr>
      <w:bookmarkStart w:id="15" w:name="_Ref141613288"/>
      <w:bookmarkStart w:id="16" w:name="_Ref141968712"/>
      <w:r w:rsidRPr="005D5DD1">
        <w:rPr>
          <w:bCs/>
        </w:rPr>
        <w:lastRenderedPageBreak/>
        <w:t xml:space="preserve">The </w:t>
      </w:r>
      <w:r w:rsidR="00627BCB">
        <w:t>C</w:t>
      </w:r>
      <w:r w:rsidRPr="005D5DD1">
        <w:rPr>
          <w:bCs/>
        </w:rPr>
        <w:t>ommittee</w:t>
      </w:r>
      <w:r w:rsidR="00627BCB">
        <w:rPr>
          <w:bCs/>
        </w:rPr>
        <w:t xml:space="preserve">’s failure to </w:t>
      </w:r>
      <w:r w:rsidR="00F62756">
        <w:t xml:space="preserve">recognise </w:t>
      </w:r>
      <w:r w:rsidR="00210852">
        <w:rPr>
          <w:lang w:eastAsia="x-none"/>
        </w:rPr>
        <w:t>belantamab</w:t>
      </w:r>
      <w:r w:rsidR="00F62756">
        <w:t xml:space="preserve"> as an innovative intervention</w:t>
      </w:r>
      <w:r w:rsidR="00627BCB">
        <w:t xml:space="preserve"> with benefits not captured in the economic modelling </w:t>
      </w:r>
      <w:r w:rsidR="000219BD">
        <w:t>is inconsistent with</w:t>
      </w:r>
      <w:r w:rsidR="00F62756">
        <w:t xml:space="preserve"> the innovation passport granted by MHRA</w:t>
      </w:r>
      <w:r w:rsidR="00627BCB">
        <w:t>, the evidence submitted by GSK</w:t>
      </w:r>
      <w:r w:rsidR="00F62756">
        <w:t xml:space="preserve"> </w:t>
      </w:r>
      <w:r w:rsidR="00F57F9F">
        <w:t xml:space="preserve">and </w:t>
      </w:r>
      <w:r w:rsidR="00C4770A">
        <w:t>stakeholders’</w:t>
      </w:r>
      <w:r w:rsidR="005C40AE">
        <w:t xml:space="preserve"> comments</w:t>
      </w:r>
      <w:r w:rsidR="000219BD">
        <w:t xml:space="preserve"> in response to the consultation on the draft </w:t>
      </w:r>
      <w:r w:rsidR="00C4770A">
        <w:t>guidance</w:t>
      </w:r>
      <w:r w:rsidR="00F51BD1">
        <w:t xml:space="preserve"> and </w:t>
      </w:r>
      <w:r w:rsidR="00627BCB">
        <w:t>is</w:t>
      </w:r>
      <w:r w:rsidR="004875C8">
        <w:t xml:space="preserve"> </w:t>
      </w:r>
      <w:r w:rsidR="00F51BD1">
        <w:t>therefore unreasonable</w:t>
      </w:r>
      <w:r w:rsidR="00C4770A">
        <w:t>.</w:t>
      </w:r>
      <w:bookmarkEnd w:id="15"/>
      <w:bookmarkEnd w:id="16"/>
    </w:p>
    <w:p w14:paraId="248BF97D" w14:textId="1F9642BE" w:rsidR="00B57CAB" w:rsidRDefault="00B57CAB" w:rsidP="00B57CAB">
      <w:r>
        <w:t xml:space="preserve">In section 3.21 of the </w:t>
      </w:r>
      <w:r w:rsidR="00AF6D29">
        <w:t>FDG</w:t>
      </w:r>
      <w:r>
        <w:t xml:space="preserve">, the </w:t>
      </w:r>
      <w:r w:rsidR="00401EB6">
        <w:t>C</w:t>
      </w:r>
      <w:r>
        <w:t xml:space="preserve">ommittee considered if </w:t>
      </w:r>
      <w:r w:rsidR="00210852">
        <w:rPr>
          <w:lang w:eastAsia="x-none"/>
        </w:rPr>
        <w:t>belantamab</w:t>
      </w:r>
      <w:r>
        <w:t xml:space="preserve"> was innovative. </w:t>
      </w:r>
      <w:r w:rsidR="00401EB6">
        <w:t xml:space="preserve"> </w:t>
      </w:r>
      <w:r w:rsidR="00627BCB">
        <w:t>T</w:t>
      </w:r>
      <w:r>
        <w:t xml:space="preserve">he </w:t>
      </w:r>
      <w:r w:rsidR="00401EB6">
        <w:t>C</w:t>
      </w:r>
      <w:r>
        <w:t xml:space="preserve">ommittee </w:t>
      </w:r>
      <w:r w:rsidR="00627BCB">
        <w:t xml:space="preserve">stated that “it </w:t>
      </w:r>
      <w:r>
        <w:t xml:space="preserve">did not identify any additional benefits of </w:t>
      </w:r>
      <w:r w:rsidR="00210852">
        <w:rPr>
          <w:lang w:eastAsia="x-none"/>
        </w:rPr>
        <w:t>belantamab</w:t>
      </w:r>
      <w:r>
        <w:t xml:space="preserve"> not captured in the economic modelling</w:t>
      </w:r>
      <w:r w:rsidR="00627BCB">
        <w:t>” and therefore concluded “that all additional benefits of</w:t>
      </w:r>
      <w:r w:rsidR="002D4BD8">
        <w:t xml:space="preserve"> bel</w:t>
      </w:r>
      <w:r w:rsidR="00627BCB">
        <w:t>antamab had already been taken into account”. The Committee</w:t>
      </w:r>
      <w:r>
        <w:t xml:space="preserve"> did not comment </w:t>
      </w:r>
      <w:r w:rsidR="00627BCB">
        <w:t xml:space="preserve">explicitly </w:t>
      </w:r>
      <w:r>
        <w:t xml:space="preserve">on whether </w:t>
      </w:r>
      <w:r w:rsidR="00627BCB">
        <w:t xml:space="preserve">it </w:t>
      </w:r>
      <w:r w:rsidR="00C449AF">
        <w:t xml:space="preserve">considered </w:t>
      </w:r>
      <w:r w:rsidR="00210852">
        <w:rPr>
          <w:lang w:eastAsia="x-none"/>
        </w:rPr>
        <w:t>belantamab</w:t>
      </w:r>
      <w:r>
        <w:t xml:space="preserve"> </w:t>
      </w:r>
      <w:r w:rsidR="001A619D">
        <w:t>to be</w:t>
      </w:r>
      <w:r>
        <w:t xml:space="preserve"> innovative</w:t>
      </w:r>
      <w:r w:rsidR="002B6E96">
        <w:t>.</w:t>
      </w:r>
    </w:p>
    <w:p w14:paraId="1B9276AF" w14:textId="0294C213" w:rsidR="00647FB8" w:rsidRPr="006E0B55" w:rsidRDefault="00210852" w:rsidP="008338A6">
      <w:pPr>
        <w:pStyle w:val="ListParagraph"/>
        <w:numPr>
          <w:ilvl w:val="0"/>
          <w:numId w:val="13"/>
        </w:numPr>
        <w:rPr>
          <w:b/>
          <w:bCs/>
        </w:rPr>
      </w:pPr>
      <w:r w:rsidRPr="006E0B55">
        <w:rPr>
          <w:b/>
          <w:bCs/>
        </w:rPr>
        <w:t>Belantamab</w:t>
      </w:r>
      <w:r w:rsidR="00647FB8" w:rsidRPr="006E0B55">
        <w:rPr>
          <w:b/>
          <w:bCs/>
        </w:rPr>
        <w:t xml:space="preserve"> was granted an innovation passport by MHRA.</w:t>
      </w:r>
    </w:p>
    <w:p w14:paraId="5B7F1D13" w14:textId="1BF69B58" w:rsidR="00B3023B" w:rsidRDefault="00DA34BF" w:rsidP="00B3023B">
      <w:r>
        <w:t xml:space="preserve">The </w:t>
      </w:r>
      <w:r w:rsidR="00401EB6">
        <w:t>C</w:t>
      </w:r>
      <w:r>
        <w:t xml:space="preserve">ommittee’s conclusions </w:t>
      </w:r>
      <w:r w:rsidR="00401EB6">
        <w:t xml:space="preserve">conflict with </w:t>
      </w:r>
      <w:r>
        <w:t>t</w:t>
      </w:r>
      <w:r w:rsidR="00B3023B" w:rsidRPr="000125C3">
        <w:t>he Medicines and Healthcare</w:t>
      </w:r>
      <w:r w:rsidR="00B3023B">
        <w:t xml:space="preserve"> </w:t>
      </w:r>
      <w:r w:rsidR="00B3023B" w:rsidRPr="000125C3">
        <w:t xml:space="preserve">products Regulatory Agency (MHRA) </w:t>
      </w:r>
      <w:r w:rsidR="00401EB6">
        <w:t xml:space="preserve">acceptance of </w:t>
      </w:r>
      <w:r w:rsidR="00B3023B" w:rsidRPr="000125C3">
        <w:t xml:space="preserve">the innovative </w:t>
      </w:r>
      <w:r w:rsidR="00401EB6">
        <w:t xml:space="preserve">nature </w:t>
      </w:r>
      <w:r w:rsidR="00B3023B" w:rsidRPr="000125C3">
        <w:t>of</w:t>
      </w:r>
      <w:r w:rsidR="00B3023B">
        <w:t xml:space="preserve"> </w:t>
      </w:r>
      <w:r w:rsidR="00210852">
        <w:rPr>
          <w:lang w:eastAsia="x-none"/>
        </w:rPr>
        <w:t>belantamab</w:t>
      </w:r>
      <w:r w:rsidR="00B3023B" w:rsidRPr="000125C3">
        <w:t xml:space="preserve"> through award of an Innovation Passport in May 2022, with the goal of</w:t>
      </w:r>
      <w:r w:rsidR="00B3023B">
        <w:t xml:space="preserve"> </w:t>
      </w:r>
      <w:r w:rsidR="00B3023B" w:rsidRPr="000125C3">
        <w:t>accelerating access for UK patients to novel medicines.</w:t>
      </w:r>
      <w:r w:rsidR="00401EB6">
        <w:t xml:space="preserve">  No explanation has been provided by the Committee for diverging from MHRA’s assessment and it is GSK’s firm position that belantamab offers substantial benefits to eligible patients, some of which are not captured in the economic analysis.  </w:t>
      </w:r>
    </w:p>
    <w:p w14:paraId="08C7B657" w14:textId="0F9C9860" w:rsidR="00647FB8" w:rsidRPr="006E0B55" w:rsidRDefault="00647FB8" w:rsidP="008338A6">
      <w:pPr>
        <w:pStyle w:val="ListParagraph"/>
        <w:numPr>
          <w:ilvl w:val="0"/>
          <w:numId w:val="13"/>
        </w:numPr>
        <w:rPr>
          <w:b/>
          <w:bCs/>
        </w:rPr>
      </w:pPr>
      <w:r w:rsidRPr="006E0B55">
        <w:rPr>
          <w:b/>
          <w:bCs/>
        </w:rPr>
        <w:t>The innovati</w:t>
      </w:r>
      <w:r w:rsidR="00401EB6" w:rsidRPr="006E0B55">
        <w:rPr>
          <w:b/>
          <w:bCs/>
        </w:rPr>
        <w:t>ve</w:t>
      </w:r>
      <w:r w:rsidRPr="006E0B55">
        <w:rPr>
          <w:b/>
          <w:bCs/>
        </w:rPr>
        <w:t xml:space="preserve"> </w:t>
      </w:r>
      <w:r w:rsidR="00111319" w:rsidRPr="006E0B55">
        <w:rPr>
          <w:b/>
          <w:bCs/>
        </w:rPr>
        <w:t>nature</w:t>
      </w:r>
      <w:r w:rsidRPr="006E0B55">
        <w:rPr>
          <w:b/>
          <w:bCs/>
        </w:rPr>
        <w:t xml:space="preserve"> of </w:t>
      </w:r>
      <w:r w:rsidR="00210852" w:rsidRPr="006E0B55">
        <w:rPr>
          <w:b/>
          <w:bCs/>
        </w:rPr>
        <w:t>belantamab</w:t>
      </w:r>
      <w:r w:rsidRPr="006E0B55">
        <w:rPr>
          <w:b/>
          <w:bCs/>
        </w:rPr>
        <w:t xml:space="preserve"> is well recognised</w:t>
      </w:r>
      <w:r w:rsidR="002D4BD8" w:rsidRPr="006E0B55">
        <w:rPr>
          <w:b/>
          <w:bCs/>
        </w:rPr>
        <w:t xml:space="preserve"> </w:t>
      </w:r>
      <w:r w:rsidR="00401EB6" w:rsidRPr="006E0B55">
        <w:rPr>
          <w:b/>
          <w:bCs/>
        </w:rPr>
        <w:t xml:space="preserve">by clinicians, </w:t>
      </w:r>
      <w:r w:rsidR="00AF2705" w:rsidRPr="006E0B55">
        <w:rPr>
          <w:b/>
          <w:bCs/>
        </w:rPr>
        <w:t>patients,</w:t>
      </w:r>
      <w:r w:rsidR="00401EB6" w:rsidRPr="006E0B55">
        <w:rPr>
          <w:b/>
          <w:bCs/>
        </w:rPr>
        <w:t xml:space="preserve"> and other stakeholders</w:t>
      </w:r>
      <w:r w:rsidRPr="006E0B55">
        <w:rPr>
          <w:b/>
          <w:bCs/>
        </w:rPr>
        <w:t>.</w:t>
      </w:r>
    </w:p>
    <w:p w14:paraId="7104DAC2" w14:textId="77777777" w:rsidR="00401EB6" w:rsidRDefault="00401EB6" w:rsidP="00F349F2">
      <w:r>
        <w:t>The innovative nature of belantamab is demonstrated by the following:</w:t>
      </w:r>
    </w:p>
    <w:p w14:paraId="3ECA030E" w14:textId="43B3DAAC" w:rsidR="00401EB6" w:rsidRDefault="00401EB6" w:rsidP="008338A6">
      <w:pPr>
        <w:pStyle w:val="ListParagraph"/>
        <w:numPr>
          <w:ilvl w:val="0"/>
          <w:numId w:val="11"/>
        </w:numPr>
      </w:pPr>
      <w:r>
        <w:rPr>
          <w:lang w:eastAsia="x-none"/>
        </w:rPr>
        <w:t>B</w:t>
      </w:r>
      <w:r w:rsidR="00210852">
        <w:rPr>
          <w:lang w:eastAsia="x-none"/>
        </w:rPr>
        <w:t>elantamab</w:t>
      </w:r>
      <w:r w:rsidR="00F349F2">
        <w:t xml:space="preserve"> </w:t>
      </w:r>
      <w:r>
        <w:t xml:space="preserve">would </w:t>
      </w:r>
      <w:r w:rsidR="00F349F2">
        <w:t>be the first BCMA targeted therapy within the NICE pathway</w:t>
      </w:r>
      <w:r>
        <w:t>, providing a novel approach to treatment of patients at high clinical need</w:t>
      </w:r>
      <w:r w:rsidR="00F82E7A">
        <w:t xml:space="preserve">. </w:t>
      </w:r>
    </w:p>
    <w:p w14:paraId="360D4BC5" w14:textId="65D8C7E8" w:rsidR="00F349F2" w:rsidRDefault="00401EB6" w:rsidP="008338A6">
      <w:pPr>
        <w:pStyle w:val="ListParagraph"/>
        <w:numPr>
          <w:ilvl w:val="0"/>
          <w:numId w:val="11"/>
        </w:numPr>
      </w:pPr>
      <w:r>
        <w:t>T</w:t>
      </w:r>
      <w:r w:rsidR="00F349F2">
        <w:t>here is</w:t>
      </w:r>
      <w:r w:rsidR="00A53596">
        <w:t xml:space="preserve"> </w:t>
      </w:r>
      <w:r w:rsidR="00F349F2">
        <w:t>considerable advocacy and support from the UK multiple myeloma clinical and patient communities</w:t>
      </w:r>
      <w:r w:rsidR="00F82E7A">
        <w:t xml:space="preserve"> </w:t>
      </w:r>
      <w:r w:rsidR="006C5DFF">
        <w:t>highlighting</w:t>
      </w:r>
      <w:r w:rsidR="00F82E7A">
        <w:t xml:space="preserve"> that </w:t>
      </w:r>
      <w:r w:rsidR="00210852">
        <w:rPr>
          <w:lang w:eastAsia="x-none"/>
        </w:rPr>
        <w:t>belantamab</w:t>
      </w:r>
      <w:r w:rsidR="006C5DFF">
        <w:t xml:space="preserve"> </w:t>
      </w:r>
      <w:r w:rsidR="00F82E7A">
        <w:t>is a much</w:t>
      </w:r>
      <w:r w:rsidR="006C5DFF">
        <w:t>-</w:t>
      </w:r>
      <w:r w:rsidR="00F82E7A">
        <w:t>needed medicine</w:t>
      </w:r>
      <w:r w:rsidR="00254C82">
        <w:t xml:space="preserve"> and suggesting that more weight should be</w:t>
      </w:r>
      <w:r w:rsidR="00FC3D08">
        <w:t xml:space="preserve"> given to the innovative nature of </w:t>
      </w:r>
      <w:r w:rsidR="00210852">
        <w:rPr>
          <w:lang w:eastAsia="x-none"/>
        </w:rPr>
        <w:t>belantamab</w:t>
      </w:r>
      <w:r w:rsidR="005512F8">
        <w:t>, as evidenced in the stakeholder consultation</w:t>
      </w:r>
      <w:r w:rsidR="00790F62">
        <w:t>s</w:t>
      </w:r>
      <w:r w:rsidR="005512F8">
        <w:t xml:space="preserve"> on the draft guidance</w:t>
      </w:r>
      <w:r w:rsidR="00F349F2">
        <w:t>.</w:t>
      </w:r>
    </w:p>
    <w:p w14:paraId="4B355CCA" w14:textId="1791C50D" w:rsidR="007D45E9" w:rsidRDefault="007D45E9" w:rsidP="008338A6">
      <w:pPr>
        <w:pStyle w:val="ListParagraph"/>
        <w:numPr>
          <w:ilvl w:val="1"/>
          <w:numId w:val="11"/>
        </w:numPr>
      </w:pPr>
      <w:r>
        <w:t xml:space="preserve">Myeloma UK stated </w:t>
      </w:r>
      <w:r w:rsidR="005512F8">
        <w:t>“</w:t>
      </w:r>
      <w:r w:rsidR="005512F8" w:rsidRPr="00444F04">
        <w:rPr>
          <w:i/>
          <w:iCs/>
        </w:rPr>
        <w:t>The significant unmet need among the patient population relevant to this appraisal and the innovative nature of belantamab should be grounds for a more flexible approach to considering this treatment a candidate for managed access.</w:t>
      </w:r>
      <w:r w:rsidR="00015634" w:rsidRPr="00444F04">
        <w:rPr>
          <w:i/>
          <w:iCs/>
        </w:rPr>
        <w:t xml:space="preserve"> […] We believe the Committee should give further weight to the innovative nature of this treatment.</w:t>
      </w:r>
      <w:r w:rsidR="005512F8" w:rsidRPr="00444F04">
        <w:rPr>
          <w:i/>
          <w:iCs/>
        </w:rPr>
        <w:t>”</w:t>
      </w:r>
    </w:p>
    <w:p w14:paraId="14D21765" w14:textId="422C642A" w:rsidR="005512F8" w:rsidRDefault="00C63F3C" w:rsidP="008338A6">
      <w:pPr>
        <w:pStyle w:val="ListParagraph"/>
        <w:numPr>
          <w:ilvl w:val="1"/>
          <w:numId w:val="11"/>
        </w:numPr>
      </w:pPr>
      <w:r>
        <w:t>Clinical experts recognised that “</w:t>
      </w:r>
      <w:r w:rsidRPr="00790F62">
        <w:rPr>
          <w:i/>
          <w:iCs/>
        </w:rPr>
        <w:t xml:space="preserve">BCMA targeted therapy is the </w:t>
      </w:r>
      <w:r w:rsidR="00AF2705" w:rsidRPr="00790F62">
        <w:rPr>
          <w:i/>
          <w:iCs/>
        </w:rPr>
        <w:t>innovation</w:t>
      </w:r>
      <w:r w:rsidRPr="00790F62">
        <w:rPr>
          <w:i/>
          <w:iCs/>
        </w:rPr>
        <w:t xml:space="preserve"> in myeloma. Across Western countries use of BCMA targeted therapy is standard of care for patients in 5th line. Belantamab mafodotin is the only antibody drug conjugate that can be utilised as 5th line for the multiply pre</w:t>
      </w:r>
      <w:r w:rsidR="008268AD" w:rsidRPr="00790F62">
        <w:rPr>
          <w:i/>
          <w:iCs/>
        </w:rPr>
        <w:t>-</w:t>
      </w:r>
      <w:r w:rsidRPr="00790F62">
        <w:rPr>
          <w:i/>
          <w:iCs/>
        </w:rPr>
        <w:t>treated and comorbid myeloma patient population</w:t>
      </w:r>
      <w:r w:rsidR="00F55190">
        <w:rPr>
          <w:i/>
          <w:iCs/>
        </w:rPr>
        <w:t>.</w:t>
      </w:r>
      <w:r>
        <w:t>”</w:t>
      </w:r>
    </w:p>
    <w:p w14:paraId="0B882652" w14:textId="4FF869CC" w:rsidR="00790F62" w:rsidRPr="006E0B55" w:rsidRDefault="00F549D5" w:rsidP="008338A6">
      <w:pPr>
        <w:pStyle w:val="ListParagraph"/>
        <w:numPr>
          <w:ilvl w:val="0"/>
          <w:numId w:val="13"/>
        </w:numPr>
        <w:rPr>
          <w:b/>
          <w:bCs/>
        </w:rPr>
      </w:pPr>
      <w:r w:rsidRPr="006E0B55">
        <w:rPr>
          <w:b/>
          <w:bCs/>
        </w:rPr>
        <w:lastRenderedPageBreak/>
        <w:t>T</w:t>
      </w:r>
      <w:r w:rsidR="002712BB" w:rsidRPr="006E0B55">
        <w:rPr>
          <w:b/>
          <w:bCs/>
        </w:rPr>
        <w:t xml:space="preserve">he </w:t>
      </w:r>
      <w:r w:rsidR="003226F1">
        <w:rPr>
          <w:b/>
          <w:bCs/>
        </w:rPr>
        <w:t>C</w:t>
      </w:r>
      <w:r w:rsidR="002712BB" w:rsidRPr="006E0B55">
        <w:rPr>
          <w:b/>
          <w:bCs/>
        </w:rPr>
        <w:t>ommittee’s conclusions that b</w:t>
      </w:r>
      <w:r w:rsidR="00210852" w:rsidRPr="006E0B55">
        <w:rPr>
          <w:b/>
          <w:bCs/>
        </w:rPr>
        <w:t>elantamab</w:t>
      </w:r>
      <w:r w:rsidR="00790F62" w:rsidRPr="006E0B55">
        <w:rPr>
          <w:b/>
          <w:bCs/>
        </w:rPr>
        <w:t xml:space="preserve"> </w:t>
      </w:r>
      <w:r w:rsidR="002712BB" w:rsidRPr="006E0B55">
        <w:rPr>
          <w:b/>
          <w:bCs/>
        </w:rPr>
        <w:t xml:space="preserve">does not </w:t>
      </w:r>
      <w:r w:rsidR="00790F62" w:rsidRPr="006E0B55">
        <w:rPr>
          <w:b/>
          <w:bCs/>
        </w:rPr>
        <w:t>offer patients additional benefits not captured in the economic evaluation</w:t>
      </w:r>
      <w:r w:rsidR="002712BB" w:rsidRPr="006E0B55">
        <w:rPr>
          <w:b/>
          <w:bCs/>
        </w:rPr>
        <w:t xml:space="preserve"> </w:t>
      </w:r>
      <w:r w:rsidR="00627BCB" w:rsidRPr="006E0B55">
        <w:rPr>
          <w:b/>
          <w:bCs/>
        </w:rPr>
        <w:t xml:space="preserve">is inconsistent with </w:t>
      </w:r>
      <w:r w:rsidR="002712BB" w:rsidRPr="006E0B55">
        <w:rPr>
          <w:b/>
          <w:bCs/>
        </w:rPr>
        <w:t>the evidence submitted in GSK original submission</w:t>
      </w:r>
      <w:r w:rsidR="001A133B" w:rsidRPr="006E0B55">
        <w:rPr>
          <w:b/>
          <w:bCs/>
        </w:rPr>
        <w:t xml:space="preserve"> (</w:t>
      </w:r>
      <w:r w:rsidR="00E7448B" w:rsidRPr="006E0B55">
        <w:rPr>
          <w:b/>
          <w:bCs/>
        </w:rPr>
        <w:t>d</w:t>
      </w:r>
      <w:r w:rsidR="00B30A60" w:rsidRPr="006E0B55">
        <w:rPr>
          <w:b/>
          <w:bCs/>
        </w:rPr>
        <w:t xml:space="preserve">ocument B - </w:t>
      </w:r>
      <w:r w:rsidR="001A133B" w:rsidRPr="006E0B55">
        <w:rPr>
          <w:b/>
          <w:bCs/>
        </w:rPr>
        <w:t>section B.3.</w:t>
      </w:r>
      <w:r w:rsidR="00B30A60" w:rsidRPr="006E0B55">
        <w:rPr>
          <w:b/>
          <w:bCs/>
        </w:rPr>
        <w:t>13)</w:t>
      </w:r>
      <w:r w:rsidR="00790F62" w:rsidRPr="006E0B55">
        <w:rPr>
          <w:b/>
          <w:bCs/>
        </w:rPr>
        <w:t>.</w:t>
      </w:r>
    </w:p>
    <w:p w14:paraId="53A5EDBC" w14:textId="11FCC32A" w:rsidR="002C3411" w:rsidRDefault="003E710B" w:rsidP="000125C3">
      <w:pPr>
        <w:rPr>
          <w:szCs w:val="23"/>
        </w:rPr>
      </w:pPr>
      <w:r>
        <w:rPr>
          <w:szCs w:val="23"/>
        </w:rPr>
        <w:t xml:space="preserve">First, the introduction of a new </w:t>
      </w:r>
      <w:r w:rsidR="009C703E">
        <w:rPr>
          <w:szCs w:val="23"/>
        </w:rPr>
        <w:t>mechanism of action</w:t>
      </w:r>
      <w:r>
        <w:rPr>
          <w:szCs w:val="23"/>
        </w:rPr>
        <w:t xml:space="preserve"> in the MM treatment paradigm for</w:t>
      </w:r>
      <w:r w:rsidR="00B66CFA">
        <w:rPr>
          <w:szCs w:val="23"/>
        </w:rPr>
        <w:t xml:space="preserve"> a population of heavily pre-treated patients </w:t>
      </w:r>
      <w:r w:rsidR="006C5782">
        <w:t xml:space="preserve">would improve patients’ QoL by bringing hope to a group who otherwise are </w:t>
      </w:r>
      <w:r w:rsidR="006C5782" w:rsidRPr="00F97FF0">
        <w:t>left with poor treatment options</w:t>
      </w:r>
      <w:r w:rsidR="006C5782">
        <w:t xml:space="preserve"> which may negatively impact their and their family’s mental health.</w:t>
      </w:r>
      <w:r w:rsidR="00B66CFA">
        <w:rPr>
          <w:szCs w:val="23"/>
        </w:rPr>
        <w:t xml:space="preserve"> </w:t>
      </w:r>
    </w:p>
    <w:p w14:paraId="20F1A791" w14:textId="3F1DC950" w:rsidR="00147D54" w:rsidRDefault="009A1763" w:rsidP="000125C3">
      <w:r>
        <w:t>Moreover, the burden on caregivers and impact on their</w:t>
      </w:r>
      <w:r w:rsidR="00A542AA">
        <w:t xml:space="preserve"> </w:t>
      </w:r>
      <w:r>
        <w:t>QoL is not reflected in the QALY calculations.</w:t>
      </w:r>
      <w:r w:rsidR="00BF6073">
        <w:t xml:space="preserve"> </w:t>
      </w:r>
      <w:r w:rsidR="00147D54">
        <w:t>T</w:t>
      </w:r>
      <w:r w:rsidR="00BF6073" w:rsidRPr="00522DB2">
        <w:t xml:space="preserve">he limited effective treatment options in this setting may have a detrimental psychological impact on patients, leaving them feeling </w:t>
      </w:r>
      <w:r w:rsidR="00BF6073">
        <w:t>hopeless</w:t>
      </w:r>
      <w:r w:rsidR="00147D54">
        <w:t xml:space="preserve">. This </w:t>
      </w:r>
      <w:r w:rsidR="008E4FD4">
        <w:t xml:space="preserve">consideration </w:t>
      </w:r>
      <w:r w:rsidR="00147D54">
        <w:t>was also highlighted by Myeloma UK in their response to the draft guidance stating that</w:t>
      </w:r>
      <w:r w:rsidR="00E53266">
        <w:t>,</w:t>
      </w:r>
      <w:r w:rsidR="00147D54">
        <w:t xml:space="preserve"> </w:t>
      </w:r>
      <w:r w:rsidR="00147D54" w:rsidRPr="00147D54">
        <w:t>“</w:t>
      </w:r>
      <w:r w:rsidR="00147D54" w:rsidRPr="008E4FD4">
        <w:rPr>
          <w:i/>
          <w:iCs/>
        </w:rPr>
        <w:t>The approval of this novel therapy would be a welcome step towards building a clinically optimal treatment pathway with the breadth of options and mechanisms of action required to meet the needs of multiply relapsed myeloma patients. This would also offer patients hope that belantamab can serve as a bridge to other innovative treatments coming down the pipeline, which has an immensely positive impact on their psychological well-being.</w:t>
      </w:r>
      <w:r w:rsidR="00147D54" w:rsidRPr="00147D54">
        <w:t>”</w:t>
      </w:r>
    </w:p>
    <w:p w14:paraId="48A312A1" w14:textId="3F2FEE76" w:rsidR="003E33FA" w:rsidRPr="006E0B55" w:rsidRDefault="003E33FA" w:rsidP="008338A6">
      <w:pPr>
        <w:pStyle w:val="ListParagraph"/>
        <w:numPr>
          <w:ilvl w:val="0"/>
          <w:numId w:val="13"/>
        </w:numPr>
        <w:rPr>
          <w:b/>
          <w:bCs/>
        </w:rPr>
      </w:pPr>
      <w:r w:rsidRPr="006E0B55">
        <w:rPr>
          <w:b/>
          <w:bCs/>
        </w:rPr>
        <w:t xml:space="preserve">The Committee has itself noted the particular benefits of </w:t>
      </w:r>
      <w:r w:rsidR="005E38DD" w:rsidRPr="006E0B55">
        <w:rPr>
          <w:b/>
          <w:bCs/>
        </w:rPr>
        <w:t>belantamab</w:t>
      </w:r>
      <w:r w:rsidRPr="006E0B55">
        <w:rPr>
          <w:b/>
          <w:bCs/>
        </w:rPr>
        <w:t xml:space="preserve"> but has failed to take these matters into account at section 3.21 of the </w:t>
      </w:r>
      <w:proofErr w:type="gramStart"/>
      <w:r w:rsidRPr="006E0B55">
        <w:rPr>
          <w:b/>
          <w:bCs/>
        </w:rPr>
        <w:t>FDG</w:t>
      </w:r>
      <w:proofErr w:type="gramEnd"/>
    </w:p>
    <w:p w14:paraId="330E73D8" w14:textId="77777777" w:rsidR="003E33FA" w:rsidRDefault="003E33FA" w:rsidP="003E33FA">
      <w:pPr>
        <w:rPr>
          <w:szCs w:val="23"/>
        </w:rPr>
      </w:pPr>
      <w:r>
        <w:rPr>
          <w:szCs w:val="23"/>
        </w:rPr>
        <w:t>At section 3.1 of the FDG, the Committee notes:</w:t>
      </w:r>
    </w:p>
    <w:p w14:paraId="4C7EF8A4" w14:textId="61118472" w:rsidR="003E33FA" w:rsidRDefault="003E33FA" w:rsidP="008338A6">
      <w:pPr>
        <w:pStyle w:val="ListParagraph"/>
        <w:numPr>
          <w:ilvl w:val="0"/>
          <w:numId w:val="12"/>
        </w:numPr>
        <w:rPr>
          <w:szCs w:val="23"/>
        </w:rPr>
      </w:pPr>
      <w:r>
        <w:rPr>
          <w:szCs w:val="23"/>
        </w:rPr>
        <w:t xml:space="preserve">The fact that </w:t>
      </w:r>
      <w:r w:rsidR="002D4BD8">
        <w:rPr>
          <w:szCs w:val="23"/>
        </w:rPr>
        <w:t>belantamab</w:t>
      </w:r>
      <w:r>
        <w:rPr>
          <w:szCs w:val="23"/>
        </w:rPr>
        <w:t xml:space="preserve"> is the only antibody treatment to be licensed for MM that targets the BCMA;</w:t>
      </w:r>
    </w:p>
    <w:p w14:paraId="3E1576E2" w14:textId="77FC4122" w:rsidR="003E33FA" w:rsidRDefault="003E33FA" w:rsidP="008338A6">
      <w:pPr>
        <w:pStyle w:val="ListParagraph"/>
        <w:numPr>
          <w:ilvl w:val="0"/>
          <w:numId w:val="12"/>
        </w:numPr>
        <w:rPr>
          <w:szCs w:val="23"/>
        </w:rPr>
      </w:pPr>
      <w:r>
        <w:rPr>
          <w:szCs w:val="23"/>
        </w:rPr>
        <w:t>That belantamab benefit</w:t>
      </w:r>
      <w:r w:rsidR="00864778">
        <w:rPr>
          <w:szCs w:val="23"/>
        </w:rPr>
        <w:t>s</w:t>
      </w:r>
      <w:r>
        <w:rPr>
          <w:szCs w:val="23"/>
        </w:rPr>
        <w:t xml:space="preserve"> some patients because it is not used with combination steroids which may have toxic side </w:t>
      </w:r>
      <w:proofErr w:type="gramStart"/>
      <w:r>
        <w:rPr>
          <w:szCs w:val="23"/>
        </w:rPr>
        <w:t>effects;</w:t>
      </w:r>
      <w:proofErr w:type="gramEnd"/>
    </w:p>
    <w:p w14:paraId="587E84A2" w14:textId="77777777" w:rsidR="003E33FA" w:rsidRPr="003E33FA" w:rsidRDefault="003E33FA" w:rsidP="008338A6">
      <w:pPr>
        <w:pStyle w:val="ListParagraph"/>
        <w:numPr>
          <w:ilvl w:val="0"/>
          <w:numId w:val="12"/>
        </w:numPr>
        <w:rPr>
          <w:szCs w:val="23"/>
        </w:rPr>
      </w:pPr>
      <w:r>
        <w:rPr>
          <w:szCs w:val="23"/>
        </w:rPr>
        <w:t>The clinical need of patients with triple-class refractory MM after 4 or more treatments;</w:t>
      </w:r>
    </w:p>
    <w:p w14:paraId="73922A07" w14:textId="0A260973" w:rsidR="003E33FA" w:rsidRPr="00147D54" w:rsidRDefault="003E33FA" w:rsidP="000125C3">
      <w:r>
        <w:rPr>
          <w:szCs w:val="23"/>
        </w:rPr>
        <w:t xml:space="preserve">In summary therefore, while the Committee was provided with material evidence of benefits of </w:t>
      </w:r>
      <w:r w:rsidR="002D4BD8">
        <w:rPr>
          <w:szCs w:val="23"/>
        </w:rPr>
        <w:t>belantamab</w:t>
      </w:r>
      <w:r>
        <w:rPr>
          <w:szCs w:val="23"/>
        </w:rPr>
        <w:t xml:space="preserve"> not reflected in the economic modelling, these have been disregarded by the Committee in the context of its consideration of innovation at section 3.21 of the FGD. This is unreasonable.</w:t>
      </w:r>
    </w:p>
    <w:p w14:paraId="3C5D2611" w14:textId="73CADF5F" w:rsidR="004A4F72" w:rsidRPr="003B414F" w:rsidRDefault="00467DBF" w:rsidP="008338A6">
      <w:pPr>
        <w:pStyle w:val="Heading3"/>
        <w:numPr>
          <w:ilvl w:val="1"/>
          <w:numId w:val="5"/>
        </w:numPr>
        <w:spacing w:before="240" w:after="240"/>
      </w:pPr>
      <w:bookmarkStart w:id="17" w:name="_Ref141613289"/>
      <w:bookmarkStart w:id="18" w:name="_Ref141968720"/>
      <w:r w:rsidRPr="003B414F">
        <w:t xml:space="preserve">The </w:t>
      </w:r>
      <w:r w:rsidR="007E2508">
        <w:t>C</w:t>
      </w:r>
      <w:r w:rsidR="007E2508" w:rsidRPr="003B414F">
        <w:t xml:space="preserve">ommittee’s </w:t>
      </w:r>
      <w:r w:rsidRPr="003B414F">
        <w:t xml:space="preserve">conclusions on the severity modifiers in the 5L+ TCR post-POM subgroup </w:t>
      </w:r>
      <w:r w:rsidR="00EC4C09">
        <w:t xml:space="preserve">are </w:t>
      </w:r>
      <w:r w:rsidRPr="003B414F">
        <w:t xml:space="preserve">unreasonable </w:t>
      </w:r>
      <w:r w:rsidR="002B0A24" w:rsidRPr="003B414F">
        <w:t>given the evidence indicating the applicability of a 1.7 severity weight.</w:t>
      </w:r>
      <w:bookmarkEnd w:id="17"/>
      <w:bookmarkEnd w:id="18"/>
      <w:r w:rsidRPr="003B414F">
        <w:t xml:space="preserve"> </w:t>
      </w:r>
    </w:p>
    <w:p w14:paraId="6B67474A" w14:textId="3CBCDA3A" w:rsidR="005635F1" w:rsidRDefault="00C91D0E" w:rsidP="005635F1">
      <w:r>
        <w:t>In section 3.17</w:t>
      </w:r>
      <w:r w:rsidR="00E53266">
        <w:t xml:space="preserve"> of the </w:t>
      </w:r>
      <w:r w:rsidR="00AF6D29">
        <w:t>FDG</w:t>
      </w:r>
      <w:r>
        <w:t>, t</w:t>
      </w:r>
      <w:r w:rsidRPr="00C91D0E">
        <w:t xml:space="preserve">he </w:t>
      </w:r>
      <w:r w:rsidR="001E2DA1">
        <w:t>C</w:t>
      </w:r>
      <w:r w:rsidRPr="00C91D0E">
        <w:t>ommittee</w:t>
      </w:r>
      <w:r w:rsidR="04F0AC37">
        <w:t>,</w:t>
      </w:r>
      <w:r>
        <w:t xml:space="preserve"> </w:t>
      </w:r>
      <w:r w:rsidR="7079DE44">
        <w:t>at the second committee meeting</w:t>
      </w:r>
      <w:r w:rsidR="7C642C97">
        <w:t>,</w:t>
      </w:r>
      <w:r w:rsidRPr="00C91D0E">
        <w:t xml:space="preserve"> concluded that it had not been presented with compelling evidence to change its initial conclusion that a severity weight of 1.2 applied to the QALYs would likely be appropriate.</w:t>
      </w:r>
    </w:p>
    <w:p w14:paraId="2BF2A066" w14:textId="50624DB4" w:rsidR="00892FEF" w:rsidRPr="00C31B64" w:rsidRDefault="00892FEF" w:rsidP="008338A6">
      <w:pPr>
        <w:pStyle w:val="ListParagraph"/>
        <w:numPr>
          <w:ilvl w:val="0"/>
          <w:numId w:val="16"/>
        </w:numPr>
        <w:rPr>
          <w:b/>
          <w:bCs/>
        </w:rPr>
      </w:pPr>
      <w:r w:rsidRPr="00C31B64">
        <w:rPr>
          <w:b/>
          <w:bCs/>
        </w:rPr>
        <w:t>The outcomes for PanoBorDex supporting the severity modifier calculations are realistic and plausible.</w:t>
      </w:r>
    </w:p>
    <w:p w14:paraId="4D7683F9" w14:textId="28616B1A" w:rsidR="00E2533B" w:rsidRDefault="435B5B77" w:rsidP="00A73874">
      <w:r>
        <w:lastRenderedPageBreak/>
        <w:t>Notwithstanding w</w:t>
      </w:r>
      <w:r w:rsidR="000D4920">
        <w:t xml:space="preserve">hether the </w:t>
      </w:r>
      <w:r w:rsidR="003226F1">
        <w:t>C</w:t>
      </w:r>
      <w:r w:rsidR="00E2533B">
        <w:t>ommittee consider</w:t>
      </w:r>
      <w:r w:rsidR="00AF4824">
        <w:t>s</w:t>
      </w:r>
      <w:r w:rsidR="00E2533B">
        <w:t xml:space="preserve"> </w:t>
      </w:r>
      <w:r w:rsidR="000D4920">
        <w:t>PanoBorDex to be an appropriate comparator in the 5L+</w:t>
      </w:r>
      <w:r w:rsidR="00890BE8">
        <w:t xml:space="preserve"> TCR post-POM</w:t>
      </w:r>
      <w:r w:rsidR="000D4920">
        <w:t xml:space="preserve">, </w:t>
      </w:r>
      <w:r w:rsidR="00CC407D">
        <w:t xml:space="preserve">a 1.7 severity modifier should be applied based on </w:t>
      </w:r>
      <w:r w:rsidR="00E2533B">
        <w:t xml:space="preserve">the </w:t>
      </w:r>
      <w:r w:rsidR="00800DF1">
        <w:t xml:space="preserve">QALY generated </w:t>
      </w:r>
      <w:r w:rsidR="00D36F26">
        <w:t xml:space="preserve">for </w:t>
      </w:r>
      <w:r w:rsidR="00E2533B">
        <w:t xml:space="preserve">PanoBorDex </w:t>
      </w:r>
      <w:r w:rsidR="00CD7CA3">
        <w:t>in the economic analysis</w:t>
      </w:r>
      <w:r w:rsidR="00E2533B">
        <w:t>.</w:t>
      </w:r>
      <w:r w:rsidR="00D36F26">
        <w:t xml:space="preserve"> </w:t>
      </w:r>
    </w:p>
    <w:p w14:paraId="5C95AD28" w14:textId="5E9885F9" w:rsidR="00193135" w:rsidRDefault="00193135" w:rsidP="00193135">
      <w:pPr>
        <w:pStyle w:val="NICEnormal"/>
        <w:rPr>
          <w:sz w:val="20"/>
          <w:szCs w:val="20"/>
        </w:rPr>
      </w:pPr>
      <w:r w:rsidRPr="00193135">
        <w:t>In the original submission</w:t>
      </w:r>
      <w:r w:rsidR="006547F1">
        <w:t xml:space="preserve"> (document B – section B.1.3.</w:t>
      </w:r>
      <w:r w:rsidR="00E7448B">
        <w:t>3.1)</w:t>
      </w:r>
      <w:r w:rsidRPr="00193135">
        <w:t xml:space="preserve">, GSK presented evidence suggesting that </w:t>
      </w:r>
      <w:r w:rsidR="008335A8">
        <w:t xml:space="preserve">efficacy </w:t>
      </w:r>
      <w:r w:rsidRPr="00193135">
        <w:t xml:space="preserve">outcomes </w:t>
      </w:r>
      <w:r w:rsidR="008335A8">
        <w:t xml:space="preserve">for PanoBorDex </w:t>
      </w:r>
      <w:r w:rsidRPr="00193135">
        <w:t xml:space="preserve">in the 5L+ TCR MM population </w:t>
      </w:r>
      <w:r w:rsidR="008335A8">
        <w:t>are</w:t>
      </w:r>
      <w:r w:rsidRPr="00193135">
        <w:t xml:space="preserve"> likely to be poor</w:t>
      </w:r>
      <w:r w:rsidR="007D5F4E">
        <w:t>.</w:t>
      </w:r>
    </w:p>
    <w:p w14:paraId="6D398F88" w14:textId="05BDC8BD" w:rsidR="00327033" w:rsidRPr="006051D1" w:rsidRDefault="00327033" w:rsidP="005863A0">
      <w:r>
        <w:t xml:space="preserve">This evidence confirms that despite the uncertainty resulting from the limited </w:t>
      </w:r>
      <w:r w:rsidR="003C05CC">
        <w:t xml:space="preserve">efficacy </w:t>
      </w:r>
      <w:r>
        <w:t>data available for PanoBorDex in the subpopulation (</w:t>
      </w:r>
      <w:r w:rsidR="003C05CC">
        <w:t>i.e.</w:t>
      </w:r>
      <w:r w:rsidR="00841853">
        <w:t>,</w:t>
      </w:r>
      <w:r w:rsidR="003C05CC">
        <w:t xml:space="preserve"> </w:t>
      </w:r>
      <w:r>
        <w:t xml:space="preserve">5L+ TCR MM post-POM), the </w:t>
      </w:r>
      <w:r w:rsidR="005863A0">
        <w:t xml:space="preserve">outcomes generated </w:t>
      </w:r>
      <w:r w:rsidR="003C05CC">
        <w:t>from</w:t>
      </w:r>
      <w:r w:rsidR="005863A0">
        <w:t xml:space="preserve"> the CEM </w:t>
      </w:r>
      <w:r w:rsidR="003C05CC">
        <w:t xml:space="preserve">model </w:t>
      </w:r>
      <w:r w:rsidR="005863A0">
        <w:t>are realistic and plausible and</w:t>
      </w:r>
      <w:r w:rsidR="003C05CC">
        <w:t xml:space="preserve"> support the 1.7 severity weight. T</w:t>
      </w:r>
      <w:r w:rsidR="005863A0">
        <w:t>hus</w:t>
      </w:r>
      <w:r w:rsidR="003C05CC">
        <w:t>,</w:t>
      </w:r>
      <w:r w:rsidR="005863A0">
        <w:t xml:space="preserve"> </w:t>
      </w:r>
      <w:r>
        <w:t xml:space="preserve">the </w:t>
      </w:r>
      <w:r w:rsidR="003226F1">
        <w:t>C</w:t>
      </w:r>
      <w:r w:rsidR="003C05CC">
        <w:t xml:space="preserve">ommittee decision to apply the 1.2 </w:t>
      </w:r>
      <w:r w:rsidR="005863A0">
        <w:t xml:space="preserve">severity </w:t>
      </w:r>
      <w:r w:rsidR="003C05CC">
        <w:t>modifier is unreasonable</w:t>
      </w:r>
      <w:r w:rsidR="005863A0">
        <w:t>.</w:t>
      </w:r>
    </w:p>
    <w:p w14:paraId="59E459EA" w14:textId="64CF7A2C" w:rsidR="000859C7" w:rsidRPr="006E0B55" w:rsidRDefault="00431C57" w:rsidP="008338A6">
      <w:pPr>
        <w:pStyle w:val="ListParagraph"/>
        <w:numPr>
          <w:ilvl w:val="0"/>
          <w:numId w:val="16"/>
        </w:numPr>
        <w:rPr>
          <w:b/>
          <w:bCs/>
        </w:rPr>
      </w:pPr>
      <w:r w:rsidRPr="006E0B55">
        <w:rPr>
          <w:b/>
          <w:bCs/>
        </w:rPr>
        <w:t xml:space="preserve">The </w:t>
      </w:r>
      <w:r w:rsidR="003226F1">
        <w:rPr>
          <w:b/>
          <w:bCs/>
        </w:rPr>
        <w:t>C</w:t>
      </w:r>
      <w:r w:rsidRPr="006E0B55">
        <w:rPr>
          <w:b/>
          <w:bCs/>
        </w:rPr>
        <w:t xml:space="preserve">ommittee’s </w:t>
      </w:r>
      <w:r w:rsidR="003F1CD5" w:rsidRPr="006E0B55">
        <w:rPr>
          <w:b/>
          <w:bCs/>
        </w:rPr>
        <w:t xml:space="preserve">conclusion that it had not been presented evidence to support a 1.7 </w:t>
      </w:r>
      <w:r w:rsidR="00641F61" w:rsidRPr="006E0B55">
        <w:rPr>
          <w:b/>
          <w:bCs/>
        </w:rPr>
        <w:t xml:space="preserve">severity weight </w:t>
      </w:r>
      <w:r w:rsidRPr="006E0B55">
        <w:rPr>
          <w:b/>
          <w:bCs/>
        </w:rPr>
        <w:t xml:space="preserve">is unreasonable </w:t>
      </w:r>
      <w:r w:rsidR="00DE2A91" w:rsidRPr="006E0B55">
        <w:rPr>
          <w:b/>
          <w:bCs/>
        </w:rPr>
        <w:t xml:space="preserve">and fails to consider the evidence presented by </w:t>
      </w:r>
      <w:r w:rsidR="00892FEF" w:rsidRPr="006E0B55">
        <w:rPr>
          <w:b/>
          <w:bCs/>
        </w:rPr>
        <w:t>GSK</w:t>
      </w:r>
      <w:r w:rsidR="50ED6435" w:rsidRPr="006E0B55">
        <w:rPr>
          <w:b/>
          <w:bCs/>
        </w:rPr>
        <w:t>’s</w:t>
      </w:r>
      <w:r w:rsidR="00892FEF" w:rsidRPr="006E0B55">
        <w:rPr>
          <w:b/>
          <w:bCs/>
        </w:rPr>
        <w:t xml:space="preserve"> and the EAG</w:t>
      </w:r>
      <w:r w:rsidR="00DE2A91" w:rsidRPr="006E0B55">
        <w:rPr>
          <w:b/>
          <w:bCs/>
        </w:rPr>
        <w:t>’s</w:t>
      </w:r>
      <w:r w:rsidR="00892FEF" w:rsidRPr="006E0B55">
        <w:rPr>
          <w:b/>
          <w:bCs/>
        </w:rPr>
        <w:t>.</w:t>
      </w:r>
    </w:p>
    <w:p w14:paraId="56B1BDB3" w14:textId="306B0B43" w:rsidR="00E2533B" w:rsidRDefault="00E2533B" w:rsidP="00A73874">
      <w:r>
        <w:t>Both GSK</w:t>
      </w:r>
      <w:r w:rsidR="7C92FE79">
        <w:t>’s</w:t>
      </w:r>
      <w:r>
        <w:t xml:space="preserve"> and the EAG</w:t>
      </w:r>
      <w:r w:rsidR="02879DED">
        <w:t>’s</w:t>
      </w:r>
      <w:r>
        <w:t xml:space="preserve"> severity modifier calculations in the 5L+ TCR post-POM population (using the age and </w:t>
      </w:r>
      <w:r w:rsidR="00094EE1">
        <w:t>male: female</w:t>
      </w:r>
      <w:r>
        <w:t xml:space="preserve"> ratio from the DREAMM-2 and the NCRAS dataset, respectively) demonstrate that a 1.7 severity modifier is applicable. </w:t>
      </w:r>
      <w:r w:rsidR="00E12F37">
        <w:t xml:space="preserve">Hence, </w:t>
      </w:r>
      <w:r w:rsidR="2B28C8AF">
        <w:t>GSK request that</w:t>
      </w:r>
      <w:r w:rsidR="00E12F37">
        <w:t xml:space="preserve"> the </w:t>
      </w:r>
      <w:r w:rsidR="003226F1">
        <w:t>C</w:t>
      </w:r>
      <w:r w:rsidR="00E12F37">
        <w:t>ommittee reconsider the choice of severity weight based on evidence submitted by GSK and confirmed by the EAG</w:t>
      </w:r>
      <w:r w:rsidR="00094EE1">
        <w:t xml:space="preserve"> or provide a clear and transparent rationale for deciding otherwise.</w:t>
      </w:r>
    </w:p>
    <w:p w14:paraId="7BA55EBE" w14:textId="168CE2B9" w:rsidR="008E67AB" w:rsidRPr="006E0B55" w:rsidRDefault="008E67AB" w:rsidP="008338A6">
      <w:pPr>
        <w:pStyle w:val="ListParagraph"/>
        <w:numPr>
          <w:ilvl w:val="0"/>
          <w:numId w:val="16"/>
        </w:numPr>
        <w:rPr>
          <w:b/>
          <w:bCs/>
        </w:rPr>
      </w:pPr>
      <w:r w:rsidRPr="006E0B55">
        <w:rPr>
          <w:b/>
          <w:bCs/>
        </w:rPr>
        <w:t xml:space="preserve">The </w:t>
      </w:r>
      <w:r w:rsidR="003226F1">
        <w:rPr>
          <w:b/>
          <w:bCs/>
        </w:rPr>
        <w:t>C</w:t>
      </w:r>
      <w:r w:rsidRPr="006E0B55">
        <w:rPr>
          <w:b/>
          <w:bCs/>
        </w:rPr>
        <w:t xml:space="preserve">ommittee’s decision on severity modifier is procedurally unfair and unreasonable </w:t>
      </w:r>
      <w:r w:rsidR="003D38B1" w:rsidRPr="006E0B55">
        <w:rPr>
          <w:b/>
          <w:bCs/>
        </w:rPr>
        <w:t>in view of</w:t>
      </w:r>
      <w:r w:rsidRPr="006E0B55">
        <w:rPr>
          <w:b/>
          <w:bCs/>
        </w:rPr>
        <w:t xml:space="preserve"> the </w:t>
      </w:r>
      <w:r w:rsidR="003D38B1" w:rsidRPr="006E0B55">
        <w:rPr>
          <w:b/>
          <w:bCs/>
        </w:rPr>
        <w:t xml:space="preserve">purpose </w:t>
      </w:r>
      <w:r w:rsidRPr="006E0B55">
        <w:rPr>
          <w:b/>
          <w:bCs/>
        </w:rPr>
        <w:t xml:space="preserve">of the severity modifier </w:t>
      </w:r>
      <w:r w:rsidR="003D38B1" w:rsidRPr="006E0B55">
        <w:rPr>
          <w:b/>
          <w:bCs/>
        </w:rPr>
        <w:t xml:space="preserve">described by the NICE methods </w:t>
      </w:r>
      <w:r w:rsidRPr="006E0B55">
        <w:rPr>
          <w:b/>
          <w:bCs/>
        </w:rPr>
        <w:t xml:space="preserve">and </w:t>
      </w:r>
      <w:r w:rsidR="003D38B1" w:rsidRPr="006E0B55">
        <w:rPr>
          <w:b/>
          <w:bCs/>
        </w:rPr>
        <w:t xml:space="preserve">in </w:t>
      </w:r>
      <w:r w:rsidRPr="006E0B55">
        <w:rPr>
          <w:b/>
          <w:bCs/>
        </w:rPr>
        <w:t>absence of clear guid</w:t>
      </w:r>
      <w:r w:rsidR="003D38B1" w:rsidRPr="006E0B55">
        <w:rPr>
          <w:b/>
          <w:bCs/>
        </w:rPr>
        <w:t>ance</w:t>
      </w:r>
      <w:r w:rsidRPr="006E0B55">
        <w:rPr>
          <w:b/>
          <w:bCs/>
        </w:rPr>
        <w:t xml:space="preserve"> on how uncertainty </w:t>
      </w:r>
      <w:r w:rsidR="003D38B1" w:rsidRPr="006E0B55">
        <w:rPr>
          <w:b/>
          <w:bCs/>
        </w:rPr>
        <w:t>can</w:t>
      </w:r>
      <w:r w:rsidRPr="006E0B55">
        <w:rPr>
          <w:b/>
          <w:bCs/>
        </w:rPr>
        <w:t xml:space="preserve"> affect </w:t>
      </w:r>
      <w:r w:rsidR="003D38B1" w:rsidRPr="006E0B55">
        <w:rPr>
          <w:b/>
          <w:bCs/>
        </w:rPr>
        <w:t xml:space="preserve">the choice of </w:t>
      </w:r>
      <w:r w:rsidRPr="006E0B55">
        <w:rPr>
          <w:b/>
          <w:bCs/>
        </w:rPr>
        <w:t>severity weight</w:t>
      </w:r>
      <w:r w:rsidR="003D38B1" w:rsidRPr="006E0B55">
        <w:rPr>
          <w:b/>
          <w:bCs/>
        </w:rPr>
        <w:t>ing</w:t>
      </w:r>
      <w:r w:rsidRPr="006E0B55">
        <w:rPr>
          <w:b/>
          <w:bCs/>
        </w:rPr>
        <w:t>.</w:t>
      </w:r>
    </w:p>
    <w:p w14:paraId="67BC6FDB" w14:textId="237799B4" w:rsidR="00813400" w:rsidRDefault="00FB393C" w:rsidP="00A73874">
      <w:r>
        <w:t>T</w:t>
      </w:r>
      <w:r w:rsidR="00813400">
        <w:t xml:space="preserve">he </w:t>
      </w:r>
      <w:r w:rsidR="00EE7EDA">
        <w:t xml:space="preserve">NICE </w:t>
      </w:r>
      <w:r w:rsidR="001E660A">
        <w:t xml:space="preserve">Manual </w:t>
      </w:r>
      <w:r w:rsidR="00EE7EDA">
        <w:t>for health technology evaluations</w:t>
      </w:r>
      <w:r w:rsidR="00813400">
        <w:t xml:space="preserve">, </w:t>
      </w:r>
      <w:r w:rsidR="00C83974">
        <w:t>paragraphs</w:t>
      </w:r>
      <w:r w:rsidR="00813400">
        <w:t xml:space="preserve"> 6.2.12 to </w:t>
      </w:r>
      <w:r w:rsidR="00C83974">
        <w:t>6.2.22 “</w:t>
      </w:r>
      <w:r w:rsidR="00C83974" w:rsidRPr="00C83974">
        <w:t>Decision modifiers: severity</w:t>
      </w:r>
      <w:r w:rsidR="00C83974">
        <w:t xml:space="preserve">” </w:t>
      </w:r>
      <w:r w:rsidR="006C4F8F">
        <w:t>describe</w:t>
      </w:r>
      <w:r w:rsidR="00C83974">
        <w:t xml:space="preserve"> the objectives and methods to calculate the </w:t>
      </w:r>
      <w:r w:rsidR="00EB2FC9">
        <w:t>modifier that reflect the severity of a condition</w:t>
      </w:r>
      <w:r w:rsidR="0003597C">
        <w:t xml:space="preserve"> and potentially the extent of unmet need</w:t>
      </w:r>
      <w:r w:rsidR="00C83974">
        <w:t xml:space="preserve">.  </w:t>
      </w:r>
    </w:p>
    <w:p w14:paraId="785D9D61" w14:textId="2D25FBA6" w:rsidR="000857F3" w:rsidRDefault="00C83974" w:rsidP="00A73874">
      <w:r>
        <w:t>In paragraph</w:t>
      </w:r>
      <w:r w:rsidR="00EE7EDA">
        <w:t xml:space="preserve"> </w:t>
      </w:r>
      <w:r w:rsidR="00204283">
        <w:t>6.2.12</w:t>
      </w:r>
      <w:r w:rsidR="00EB2FC9">
        <w:t>, it is stated that “</w:t>
      </w:r>
      <w:r w:rsidR="000857F3" w:rsidRPr="000857F3">
        <w:t xml:space="preserve">The </w:t>
      </w:r>
      <w:r w:rsidR="00C86AD5">
        <w:t>C</w:t>
      </w:r>
      <w:r w:rsidR="000857F3" w:rsidRPr="000857F3">
        <w:t>ommittee will consider the severity of the condition, defined as the future health lost by people living with the condition with standard care in the NHS (including use of other available treatments, diagnostics, or best supportive care). The extent of unmet health need is reflected within the severity definition.</w:t>
      </w:r>
      <w:r w:rsidR="00EB2FC9">
        <w:t>”</w:t>
      </w:r>
    </w:p>
    <w:p w14:paraId="6E9034E0" w14:textId="4FE94BA0" w:rsidR="006C533D" w:rsidRDefault="00BE66C2" w:rsidP="006C533D">
      <w:pPr>
        <w:pStyle w:val="Default"/>
        <w:rPr>
          <w:sz w:val="23"/>
          <w:szCs w:val="23"/>
        </w:rPr>
      </w:pPr>
      <w:r>
        <w:t>In section 3.17 of the FDG, the C</w:t>
      </w:r>
      <w:r w:rsidRPr="006C533D">
        <w:t xml:space="preserve">ommittee </w:t>
      </w:r>
      <w:r w:rsidR="006C533D" w:rsidRPr="006C533D">
        <w:t xml:space="preserve">explained that “It [the </w:t>
      </w:r>
      <w:r w:rsidR="00C86AD5">
        <w:t>C</w:t>
      </w:r>
      <w:r w:rsidR="006C533D" w:rsidRPr="006C533D">
        <w:t>ommittee] considered that any QALY shortfall estimates based on this data</w:t>
      </w:r>
      <w:r w:rsidR="00A34421">
        <w:t xml:space="preserve"> [</w:t>
      </w:r>
      <w:r w:rsidR="00A34421" w:rsidRPr="00A34421">
        <w:t>the company’s indirect treatment comparison comparing belantamab with panobinostat plus bortezomib and dexamethasone</w:t>
      </w:r>
      <w:r w:rsidR="00A34421">
        <w:t>]</w:t>
      </w:r>
      <w:r w:rsidR="00437D1E">
        <w:t xml:space="preserve"> </w:t>
      </w:r>
      <w:r w:rsidR="006C533D" w:rsidRPr="006C533D">
        <w:t>were likely to be highly uncertain because the MAIC included a very small number of people on panobinostat plus bortezomib and dexamethasone.</w:t>
      </w:r>
      <w:r w:rsidR="006C533D">
        <w:t>”</w:t>
      </w:r>
      <w:r w:rsidR="006C533D" w:rsidRPr="006E0B55">
        <w:t xml:space="preserve"> </w:t>
      </w:r>
      <w:r w:rsidR="002C170E" w:rsidRPr="006E0B55">
        <w:t>It therefore stated that it “had not been presented with compelling evidence to change its initial conclusion that a severity weighting of 1.2 applied to the QALYs would likely be appropriate.”</w:t>
      </w:r>
    </w:p>
    <w:p w14:paraId="78885F05" w14:textId="1995F640" w:rsidR="00FE6CE7" w:rsidRDefault="00DC6F76" w:rsidP="00A73874">
      <w:r>
        <w:lastRenderedPageBreak/>
        <w:t xml:space="preserve">As indicated under appeal point 1(a).4, the lack of data for PanoBorDex exerts a material effect in this appraisal including prejudicing the assessment of QALY shortfalls. </w:t>
      </w:r>
      <w:r w:rsidR="00A51481">
        <w:t xml:space="preserve">The </w:t>
      </w:r>
      <w:r w:rsidR="001E0850">
        <w:t>NCRAS study provide</w:t>
      </w:r>
      <w:r w:rsidR="00DA6945">
        <w:t>s</w:t>
      </w:r>
      <w:r w:rsidR="00B82F01">
        <w:t xml:space="preserve"> </w:t>
      </w:r>
      <w:r w:rsidR="00303F96">
        <w:t xml:space="preserve">the </w:t>
      </w:r>
      <w:r w:rsidR="001B3E58">
        <w:t xml:space="preserve">only and therefore </w:t>
      </w:r>
      <w:r w:rsidR="00303F96">
        <w:t>most</w:t>
      </w:r>
      <w:r w:rsidR="001E0850">
        <w:t xml:space="preserve"> </w:t>
      </w:r>
      <w:r w:rsidR="00F01D4C">
        <w:t xml:space="preserve">robust evidence of </w:t>
      </w:r>
      <w:r w:rsidR="001E0850">
        <w:t>the efficacy of PanoBorDex</w:t>
      </w:r>
      <w:r w:rsidR="00F01D4C">
        <w:t xml:space="preserve"> in UK patients with 5L+ TCR MM</w:t>
      </w:r>
      <w:r w:rsidR="00AD5747">
        <w:t xml:space="preserve">. </w:t>
      </w:r>
      <w:r w:rsidR="003F383D">
        <w:t xml:space="preserve">When assessing the MAIC adjustments were made only to the </w:t>
      </w:r>
      <w:r w:rsidR="003F383D">
        <w:rPr>
          <w:lang w:eastAsia="x-none"/>
        </w:rPr>
        <w:t>belantamab</w:t>
      </w:r>
      <w:r w:rsidR="003F383D">
        <w:t xml:space="preserve"> arm meaning that the QALY calculations rely on all the evidence available for PanoBorDex and have not introduced bias.</w:t>
      </w:r>
      <w:r w:rsidR="00C86AD5">
        <w:t xml:space="preserve"> </w:t>
      </w:r>
      <w:r w:rsidR="003F383D">
        <w:t xml:space="preserve">In these circumstances the evidence presented for the QALY shortfall is the most robust possible in </w:t>
      </w:r>
      <w:r w:rsidR="003F383D" w:rsidRPr="002E5869">
        <w:t>patients with 5L+ TCR MM</w:t>
      </w:r>
      <w:r w:rsidR="003F383D">
        <w:t xml:space="preserve">, justifying a severity modifier of 1.7. </w:t>
      </w:r>
      <w:r w:rsidR="00FE6CE7">
        <w:t xml:space="preserve">  </w:t>
      </w:r>
    </w:p>
    <w:p w14:paraId="787381D9" w14:textId="77FB59F6" w:rsidR="00E2339A" w:rsidRDefault="007E755B" w:rsidP="00E2339A">
      <w:r>
        <w:t>GSK therefore considers that the Committee’s decision to select a 1.2 severity modifier is unreasonable in view of the evidence and methods used to calculate the QALY associated with PanoBorDex and the purpose and guidelines for severity modifiers decisions developed by NICE.</w:t>
      </w:r>
    </w:p>
    <w:p w14:paraId="6DA93BAB" w14:textId="77777777" w:rsidR="00AB1B4D" w:rsidRDefault="00AB1B4D" w:rsidP="00AB1B4D">
      <w:pPr>
        <w:pStyle w:val="Heading1"/>
      </w:pPr>
      <w:r>
        <w:t>The determination of this appeal</w:t>
      </w:r>
    </w:p>
    <w:p w14:paraId="106301C4" w14:textId="27F074C9" w:rsidR="00AB1B4D" w:rsidRDefault="00AB1B4D" w:rsidP="00AB1B4D">
      <w:pPr>
        <w:pStyle w:val="Paragraph"/>
        <w:spacing w:before="0" w:after="0" w:line="360" w:lineRule="auto"/>
        <w:ind w:left="851" w:hanging="851"/>
        <w:rPr>
          <w:bCs/>
        </w:rPr>
      </w:pPr>
      <w:r>
        <w:t xml:space="preserve">GSK request that this appeal is </w:t>
      </w:r>
      <w:r w:rsidRPr="00152B3E">
        <w:t xml:space="preserve">determined at an </w:t>
      </w:r>
      <w:r w:rsidR="0020693B">
        <w:t>oral</w:t>
      </w:r>
      <w:r w:rsidR="001B7921">
        <w:t xml:space="preserve"> </w:t>
      </w:r>
      <w:r>
        <w:t>appeal</w:t>
      </w:r>
      <w:r w:rsidRPr="00152B3E">
        <w:rPr>
          <w:bCs/>
        </w:rPr>
        <w:t>.</w:t>
      </w:r>
    </w:p>
    <w:p w14:paraId="75319135" w14:textId="0B6722FF" w:rsidR="00A60F45" w:rsidRDefault="00A60F45" w:rsidP="00AB1B4D">
      <w:pPr>
        <w:pStyle w:val="Heading1"/>
      </w:pPr>
      <w:r>
        <w:t>R</w:t>
      </w:r>
      <w:r w:rsidR="00AB1B4D">
        <w:t xml:space="preserve">equested outcome following </w:t>
      </w:r>
      <w:proofErr w:type="gramStart"/>
      <w:r w:rsidR="00AB1B4D">
        <w:t>appeal</w:t>
      </w:r>
      <w:proofErr w:type="gramEnd"/>
    </w:p>
    <w:p w14:paraId="1EDBFBB0" w14:textId="2B0D7239" w:rsidR="001B7921" w:rsidRPr="00573DCC" w:rsidRDefault="004121A6" w:rsidP="00573DCC">
      <w:r>
        <w:t xml:space="preserve">The Appeal Panel is respectfully requested to return this appraisal for further </w:t>
      </w:r>
      <w:r w:rsidRPr="00573DCC">
        <w:t xml:space="preserve">consideration by the Appraisal Committee with the following directions: </w:t>
      </w:r>
    </w:p>
    <w:p w14:paraId="0CA712EA" w14:textId="77777777" w:rsidR="003C607C" w:rsidRPr="003C607C" w:rsidRDefault="001F4569" w:rsidP="008338A6">
      <w:pPr>
        <w:pStyle w:val="ListParagraph"/>
        <w:numPr>
          <w:ilvl w:val="0"/>
          <w:numId w:val="15"/>
        </w:numPr>
      </w:pPr>
      <w:r w:rsidRPr="00741544">
        <w:rPr>
          <w:lang w:eastAsia="en-GB"/>
        </w:rPr>
        <w:t>The Committee should reconsider and explain its approach to the UK RWE, including the NPP study, which offers an important and relevant predictor of belantamab efficacy in UK clinical practice.</w:t>
      </w:r>
    </w:p>
    <w:p w14:paraId="66EEAD44" w14:textId="30C5D712" w:rsidR="000373C1" w:rsidRDefault="00AD478D" w:rsidP="008338A6">
      <w:pPr>
        <w:pStyle w:val="ListParagraph"/>
        <w:numPr>
          <w:ilvl w:val="0"/>
          <w:numId w:val="15"/>
        </w:numPr>
      </w:pPr>
      <w:r w:rsidRPr="006B4B57">
        <w:t xml:space="preserve">The Committee should reconsider the use of belantamab through managed access, in accordance with NICE’s procedures and in circumstances where this would allow for the collection </w:t>
      </w:r>
      <w:r w:rsidR="0060201E" w:rsidRPr="00573DCC">
        <w:t>of further UK RWE for belantamab and thus, reduce the uncertainty around long-term benefits and comparative efficacy of belantamab vs PanoBorDex in patients with 5L+ TCR MM post-POM.</w:t>
      </w:r>
      <w:r w:rsidR="000373C1" w:rsidRPr="000373C1">
        <w:t xml:space="preserve"> </w:t>
      </w:r>
    </w:p>
    <w:p w14:paraId="67AC8F2A" w14:textId="60FABF41" w:rsidR="000373C1" w:rsidRPr="006B4B57" w:rsidRDefault="000373C1" w:rsidP="008338A6">
      <w:pPr>
        <w:pStyle w:val="ListParagraph"/>
        <w:numPr>
          <w:ilvl w:val="0"/>
          <w:numId w:val="15"/>
        </w:numPr>
      </w:pPr>
      <w:r w:rsidRPr="006B4B57">
        <w:t>The Committee should allow for adequate consideration and consultation in the context of changes to the treatment pathway following TA897, so that guidance for belantamab is relevant to NHS practice when issued.</w:t>
      </w:r>
    </w:p>
    <w:p w14:paraId="55A80A14" w14:textId="77777777" w:rsidR="003C607C" w:rsidRDefault="000373C1" w:rsidP="008338A6">
      <w:pPr>
        <w:pStyle w:val="ListParagraph"/>
        <w:numPr>
          <w:ilvl w:val="0"/>
          <w:numId w:val="15"/>
        </w:numPr>
      </w:pPr>
      <w:r w:rsidRPr="006B4B57">
        <w:t>DREAMM-3 should not be used for the purposes of assessment of efficacy in the context of this appraisal.</w:t>
      </w:r>
      <w:r w:rsidR="003C607C" w:rsidRPr="003C607C">
        <w:t xml:space="preserve"> </w:t>
      </w:r>
    </w:p>
    <w:p w14:paraId="374E0D8C" w14:textId="4DA8143B" w:rsidR="003C607C" w:rsidRPr="006B4B57" w:rsidRDefault="003C607C" w:rsidP="008338A6">
      <w:pPr>
        <w:pStyle w:val="ListParagraph"/>
        <w:numPr>
          <w:ilvl w:val="0"/>
          <w:numId w:val="15"/>
        </w:numPr>
      </w:pPr>
      <w:r>
        <w:t>Belantamab</w:t>
      </w:r>
      <w:r w:rsidRPr="006B4B57">
        <w:t xml:space="preserve"> should be recognised as an innovative treatment with benefits not currently captured in the economic modelling and the Committee should reconsider the assessment of the severity modifiers to be applied</w:t>
      </w:r>
      <w:r>
        <w:t>.</w:t>
      </w:r>
      <w:r w:rsidRPr="006B4B57">
        <w:t xml:space="preserve"> </w:t>
      </w:r>
    </w:p>
    <w:p w14:paraId="61FD27D4" w14:textId="4CFCE420" w:rsidR="000373C1" w:rsidRPr="006B4B57" w:rsidRDefault="003C607C" w:rsidP="008338A6">
      <w:pPr>
        <w:pStyle w:val="ListParagraph"/>
        <w:numPr>
          <w:ilvl w:val="0"/>
          <w:numId w:val="15"/>
        </w:numPr>
      </w:pPr>
      <w:r w:rsidRPr="006B4B57">
        <w:t xml:space="preserve">The </w:t>
      </w:r>
      <w:r w:rsidR="00C86AD5">
        <w:t>C</w:t>
      </w:r>
      <w:r w:rsidRPr="006B4B57">
        <w:t>ommittee should demonstrate a degree of flexibility in view of the high unmet need and engage in discussions with GSK on whether an alternative positioning could lead to providing patients access to belantamab, a much needed and recognised innovative intervention</w:t>
      </w:r>
      <w:r>
        <w:t>.</w:t>
      </w:r>
    </w:p>
    <w:p w14:paraId="077A2317" w14:textId="77777777" w:rsidR="00DF183D" w:rsidRDefault="00DF183D" w:rsidP="001B3751">
      <w:pPr>
        <w:spacing w:before="0"/>
      </w:pPr>
    </w:p>
    <w:p w14:paraId="44184483" w14:textId="2664E38B" w:rsidR="00A60F45" w:rsidRPr="00573DCC" w:rsidRDefault="00A60F45" w:rsidP="001B3751">
      <w:pPr>
        <w:spacing w:before="0"/>
      </w:pPr>
      <w:r w:rsidRPr="00573DCC">
        <w:t>Your</w:t>
      </w:r>
      <w:r w:rsidR="001B3751">
        <w:t>s</w:t>
      </w:r>
      <w:r w:rsidRPr="00573DCC">
        <w:t xml:space="preserve"> sincerely,</w:t>
      </w:r>
    </w:p>
    <w:tbl>
      <w:tblPr>
        <w:tblW w:w="0" w:type="auto"/>
        <w:tblCellMar>
          <w:left w:w="0" w:type="dxa"/>
          <w:right w:w="0" w:type="dxa"/>
        </w:tblCellMar>
        <w:tblLook w:val="04A0" w:firstRow="1" w:lastRow="0" w:firstColumn="1" w:lastColumn="0" w:noHBand="0" w:noVBand="1"/>
      </w:tblPr>
      <w:tblGrid>
        <w:gridCol w:w="1415"/>
        <w:gridCol w:w="2405"/>
        <w:gridCol w:w="352"/>
        <w:gridCol w:w="352"/>
        <w:gridCol w:w="353"/>
      </w:tblGrid>
      <w:tr w:rsidR="00DF183D" w:rsidRPr="00DF183D" w14:paraId="391B9B52" w14:textId="77777777" w:rsidTr="00DF183D">
        <w:trPr>
          <w:trHeight w:val="283"/>
        </w:trPr>
        <w:tc>
          <w:tcPr>
            <w:tcW w:w="4877" w:type="dxa"/>
            <w:gridSpan w:val="5"/>
            <w:vAlign w:val="center"/>
          </w:tcPr>
          <w:p w14:paraId="208F705F" w14:textId="77777777" w:rsidR="00DF183D" w:rsidRPr="00DF183D" w:rsidRDefault="00DF183D" w:rsidP="00DF183D">
            <w:pPr>
              <w:spacing w:before="0" w:after="0" w:line="240" w:lineRule="auto"/>
              <w:rPr>
                <w:rFonts w:eastAsia="Calibri" w:cs="Arial"/>
                <w:color w:val="000000"/>
                <w:sz w:val="20"/>
                <w:szCs w:val="20"/>
              </w:rPr>
            </w:pPr>
          </w:p>
          <w:p w14:paraId="39D69FEA" w14:textId="63822456" w:rsidR="00DF183D" w:rsidRDefault="00DF183D" w:rsidP="00DF183D">
            <w:pPr>
              <w:spacing w:before="0" w:after="0" w:line="240" w:lineRule="auto"/>
              <w:rPr>
                <w:rFonts w:eastAsia="Calibri" w:cs="Arial"/>
                <w:b/>
                <w:bCs/>
                <w:color w:val="000000"/>
                <w:sz w:val="22"/>
              </w:rPr>
            </w:pPr>
            <w:r w:rsidRPr="00DF183D">
              <w:rPr>
                <w:rFonts w:eastAsia="Calibri" w:cs="Arial"/>
                <w:b/>
                <w:bCs/>
                <w:color w:val="000000"/>
                <w:sz w:val="22"/>
              </w:rPr>
              <w:t>GSK</w:t>
            </w:r>
          </w:p>
          <w:p w14:paraId="12B8DE59" w14:textId="77777777" w:rsidR="00DF183D" w:rsidRPr="00DF183D" w:rsidRDefault="00DF183D" w:rsidP="00DF183D">
            <w:pPr>
              <w:spacing w:before="0" w:after="0" w:line="240" w:lineRule="auto"/>
              <w:rPr>
                <w:rFonts w:eastAsia="Calibri" w:cs="Arial"/>
                <w:b/>
                <w:bCs/>
                <w:color w:val="000000"/>
                <w:sz w:val="22"/>
              </w:rPr>
            </w:pPr>
          </w:p>
          <w:p w14:paraId="7FAB5C27" w14:textId="77777777" w:rsidR="00DF183D" w:rsidRDefault="00DF183D" w:rsidP="00DF183D">
            <w:pPr>
              <w:spacing w:before="0" w:after="0" w:line="240" w:lineRule="auto"/>
              <w:rPr>
                <w:rFonts w:eastAsia="Calibri" w:cs="Arial"/>
                <w:b/>
                <w:bCs/>
                <w:color w:val="000000"/>
                <w:sz w:val="20"/>
                <w:szCs w:val="20"/>
              </w:rPr>
            </w:pPr>
          </w:p>
          <w:p w14:paraId="1F025EB6" w14:textId="77777777" w:rsidR="00DF183D" w:rsidRDefault="00DF183D" w:rsidP="00DF183D">
            <w:pPr>
              <w:spacing w:before="0" w:after="0" w:line="240" w:lineRule="auto"/>
              <w:rPr>
                <w:rFonts w:eastAsia="Calibri" w:cs="Arial"/>
                <w:b/>
                <w:bCs/>
                <w:color w:val="000000"/>
                <w:sz w:val="20"/>
                <w:szCs w:val="20"/>
              </w:rPr>
            </w:pPr>
          </w:p>
          <w:p w14:paraId="2681269C" w14:textId="77777777" w:rsidR="00DF183D" w:rsidRDefault="00DF183D" w:rsidP="00DF183D">
            <w:pPr>
              <w:spacing w:before="0" w:after="0" w:line="240" w:lineRule="auto"/>
              <w:rPr>
                <w:rFonts w:eastAsia="Calibri" w:cs="Arial"/>
                <w:b/>
                <w:bCs/>
                <w:color w:val="000000"/>
                <w:sz w:val="20"/>
                <w:szCs w:val="20"/>
              </w:rPr>
            </w:pPr>
          </w:p>
          <w:p w14:paraId="44CDAD1C" w14:textId="77777777" w:rsidR="00DF183D" w:rsidRDefault="00DF183D" w:rsidP="00DF183D">
            <w:pPr>
              <w:spacing w:before="0" w:after="0" w:line="240" w:lineRule="auto"/>
              <w:rPr>
                <w:rFonts w:eastAsia="Calibri" w:cs="Arial"/>
                <w:b/>
                <w:bCs/>
                <w:color w:val="000000"/>
                <w:sz w:val="20"/>
                <w:szCs w:val="20"/>
              </w:rPr>
            </w:pPr>
          </w:p>
          <w:p w14:paraId="6828822D" w14:textId="77777777" w:rsidR="00DF183D" w:rsidRDefault="00DF183D" w:rsidP="00DF183D">
            <w:pPr>
              <w:spacing w:before="0" w:after="0" w:line="240" w:lineRule="auto"/>
              <w:rPr>
                <w:rFonts w:eastAsia="Calibri" w:cs="Arial"/>
                <w:b/>
                <w:bCs/>
                <w:color w:val="000000"/>
                <w:sz w:val="20"/>
                <w:szCs w:val="20"/>
              </w:rPr>
            </w:pPr>
          </w:p>
          <w:p w14:paraId="0944F932" w14:textId="77777777" w:rsidR="00DF183D" w:rsidRDefault="00DF183D" w:rsidP="00DF183D">
            <w:pPr>
              <w:spacing w:before="0" w:after="0" w:line="240" w:lineRule="auto"/>
              <w:rPr>
                <w:rFonts w:eastAsia="Calibri" w:cs="Arial"/>
                <w:b/>
                <w:bCs/>
                <w:color w:val="000000"/>
                <w:sz w:val="20"/>
                <w:szCs w:val="20"/>
              </w:rPr>
            </w:pPr>
          </w:p>
          <w:p w14:paraId="6D4D15C3" w14:textId="77777777" w:rsidR="00DF183D" w:rsidRDefault="00DF183D" w:rsidP="00DF183D">
            <w:pPr>
              <w:spacing w:before="0" w:after="0" w:line="240" w:lineRule="auto"/>
              <w:rPr>
                <w:rFonts w:eastAsia="Calibri" w:cs="Arial"/>
                <w:b/>
                <w:bCs/>
                <w:color w:val="000000"/>
                <w:sz w:val="20"/>
                <w:szCs w:val="20"/>
              </w:rPr>
            </w:pPr>
          </w:p>
          <w:p w14:paraId="1FFC0B1C" w14:textId="77777777" w:rsidR="00DF183D" w:rsidRDefault="00DF183D" w:rsidP="00DF183D">
            <w:pPr>
              <w:spacing w:before="0" w:after="0" w:line="240" w:lineRule="auto"/>
              <w:rPr>
                <w:rFonts w:eastAsia="Calibri" w:cs="Arial"/>
                <w:b/>
                <w:bCs/>
                <w:color w:val="000000"/>
                <w:sz w:val="20"/>
                <w:szCs w:val="20"/>
              </w:rPr>
            </w:pPr>
          </w:p>
          <w:p w14:paraId="5D60AB64" w14:textId="77777777" w:rsidR="00DF183D" w:rsidRDefault="00DF183D" w:rsidP="00DF183D">
            <w:pPr>
              <w:spacing w:before="0" w:after="0" w:line="240" w:lineRule="auto"/>
              <w:rPr>
                <w:rFonts w:eastAsia="Calibri" w:cs="Arial"/>
                <w:b/>
                <w:bCs/>
                <w:color w:val="000000"/>
                <w:sz w:val="20"/>
                <w:szCs w:val="20"/>
              </w:rPr>
            </w:pPr>
          </w:p>
          <w:p w14:paraId="626ADFE1" w14:textId="23430698" w:rsidR="00DF183D" w:rsidRPr="00DF183D" w:rsidRDefault="00DF183D" w:rsidP="00DF183D">
            <w:pPr>
              <w:spacing w:before="0" w:after="0" w:line="240" w:lineRule="auto"/>
              <w:rPr>
                <w:rFonts w:eastAsia="Calibri" w:cs="Arial"/>
                <w:b/>
                <w:bCs/>
                <w:color w:val="000000"/>
                <w:sz w:val="20"/>
                <w:szCs w:val="20"/>
              </w:rPr>
            </w:pPr>
          </w:p>
        </w:tc>
      </w:tr>
      <w:tr w:rsidR="00DF183D" w:rsidRPr="00DF183D" w14:paraId="11B8A8CE" w14:textId="77777777" w:rsidTr="00DF183D">
        <w:trPr>
          <w:trHeight w:val="283"/>
        </w:trPr>
        <w:tc>
          <w:tcPr>
            <w:tcW w:w="1415" w:type="dxa"/>
            <w:vAlign w:val="center"/>
            <w:hideMark/>
          </w:tcPr>
          <w:p w14:paraId="732277CC" w14:textId="46FCF06E" w:rsidR="00DF183D" w:rsidRPr="00DF183D" w:rsidRDefault="00DF183D" w:rsidP="00DF183D">
            <w:pPr>
              <w:spacing w:before="0" w:after="0" w:line="240" w:lineRule="auto"/>
              <w:rPr>
                <w:rFonts w:eastAsia="Calibri" w:cs="Arial"/>
                <w:b/>
                <w:bCs/>
                <w:color w:val="000000"/>
                <w:sz w:val="20"/>
                <w:szCs w:val="20"/>
              </w:rPr>
            </w:pPr>
          </w:p>
        </w:tc>
        <w:tc>
          <w:tcPr>
            <w:tcW w:w="2405" w:type="dxa"/>
            <w:vAlign w:val="center"/>
          </w:tcPr>
          <w:p w14:paraId="0C5AB33D" w14:textId="77777777" w:rsidR="00DF183D" w:rsidRPr="00DF183D" w:rsidRDefault="00DF183D" w:rsidP="00DF183D">
            <w:pPr>
              <w:spacing w:before="0" w:after="0" w:line="240" w:lineRule="auto"/>
              <w:rPr>
                <w:rFonts w:eastAsia="Calibri" w:cs="Arial"/>
                <w:b/>
                <w:bCs/>
                <w:color w:val="000000"/>
                <w:sz w:val="20"/>
                <w:szCs w:val="20"/>
              </w:rPr>
            </w:pPr>
          </w:p>
        </w:tc>
        <w:tc>
          <w:tcPr>
            <w:tcW w:w="352" w:type="dxa"/>
            <w:vAlign w:val="center"/>
            <w:hideMark/>
          </w:tcPr>
          <w:p w14:paraId="0E9AF4D1" w14:textId="70A07AB5" w:rsidR="00DF183D" w:rsidRPr="00DF183D" w:rsidRDefault="00DF183D" w:rsidP="00DF183D">
            <w:pPr>
              <w:spacing w:before="0" w:after="0" w:line="240" w:lineRule="auto"/>
              <w:jc w:val="right"/>
              <w:rPr>
                <w:rFonts w:eastAsia="Calibri" w:cs="Arial"/>
                <w:b/>
                <w:bCs/>
                <w:color w:val="000000"/>
                <w:sz w:val="20"/>
                <w:szCs w:val="20"/>
              </w:rPr>
            </w:pPr>
          </w:p>
        </w:tc>
        <w:tc>
          <w:tcPr>
            <w:tcW w:w="352" w:type="dxa"/>
            <w:vAlign w:val="center"/>
            <w:hideMark/>
          </w:tcPr>
          <w:p w14:paraId="69AEBE9B" w14:textId="57906E49" w:rsidR="00DF183D" w:rsidRPr="00DF183D" w:rsidRDefault="00DF183D" w:rsidP="00DF183D">
            <w:pPr>
              <w:spacing w:before="0" w:after="0" w:line="240" w:lineRule="auto"/>
              <w:jc w:val="right"/>
              <w:rPr>
                <w:rFonts w:eastAsia="Calibri" w:cs="Arial"/>
                <w:b/>
                <w:bCs/>
                <w:color w:val="000000"/>
                <w:sz w:val="20"/>
                <w:szCs w:val="20"/>
              </w:rPr>
            </w:pPr>
          </w:p>
        </w:tc>
        <w:tc>
          <w:tcPr>
            <w:tcW w:w="353" w:type="dxa"/>
            <w:vAlign w:val="center"/>
            <w:hideMark/>
          </w:tcPr>
          <w:p w14:paraId="6FD3217D" w14:textId="5AE3BC29" w:rsidR="00DF183D" w:rsidRPr="00DF183D" w:rsidRDefault="00DF183D" w:rsidP="00DF183D">
            <w:pPr>
              <w:spacing w:before="0" w:after="0" w:line="240" w:lineRule="auto"/>
              <w:jc w:val="right"/>
              <w:rPr>
                <w:rFonts w:eastAsia="Calibri" w:cs="Arial"/>
                <w:b/>
                <w:bCs/>
                <w:color w:val="000000"/>
                <w:sz w:val="20"/>
                <w:szCs w:val="20"/>
              </w:rPr>
            </w:pPr>
          </w:p>
        </w:tc>
      </w:tr>
    </w:tbl>
    <w:p w14:paraId="61E82726" w14:textId="53ABC045" w:rsidR="00BC3C96" w:rsidRPr="00DF183D" w:rsidRDefault="00BC3C96" w:rsidP="001B3751">
      <w:pPr>
        <w:spacing w:before="0"/>
        <w:rPr>
          <w:b/>
          <w:bCs/>
        </w:rPr>
      </w:pPr>
      <w:r w:rsidRPr="00DF183D">
        <w:rPr>
          <w:b/>
          <w:bCs/>
        </w:rPr>
        <w:br w:type="page"/>
      </w:r>
    </w:p>
    <w:p w14:paraId="0EFC1119" w14:textId="7C6FA3B4" w:rsidR="0094050D" w:rsidRPr="00DF183D" w:rsidRDefault="0094050D" w:rsidP="008C64D7">
      <w:pPr>
        <w:rPr>
          <w:b/>
        </w:rPr>
      </w:pPr>
      <w:r w:rsidRPr="00DF183D">
        <w:rPr>
          <w:b/>
        </w:rPr>
        <w:t>References</w:t>
      </w:r>
    </w:p>
    <w:p w14:paraId="5580C8EE" w14:textId="77777777" w:rsidR="0094050D" w:rsidRPr="0094050D" w:rsidRDefault="0094050D" w:rsidP="0094050D">
      <w:pPr>
        <w:pStyle w:val="Bibliography"/>
        <w:rPr>
          <w:rFonts w:cs="Arial"/>
        </w:rPr>
      </w:pPr>
      <w:r>
        <w:fldChar w:fldCharType="begin"/>
      </w:r>
      <w:r>
        <w:instrText xml:space="preserve"> ADDIN ZOTERO_BIBL {"uncited":[],"omitted":[],"custom":[]} CSL_BIBLIOGRAPHY </w:instrText>
      </w:r>
      <w:r>
        <w:fldChar w:fldCharType="separate"/>
      </w:r>
      <w:r w:rsidRPr="0094050D">
        <w:rPr>
          <w:rFonts w:cs="Arial"/>
        </w:rPr>
        <w:t xml:space="preserve">1. </w:t>
      </w:r>
      <w:r w:rsidRPr="0094050D">
        <w:rPr>
          <w:rFonts w:cs="Arial"/>
        </w:rPr>
        <w:tab/>
        <w:t xml:space="preserve">Kyle RA, Rajkumar S V. Criteria for diagnosis, staging, risk stratification and response assessment of multiple myeloma. Leukemia. 2009;23(1):3–9. </w:t>
      </w:r>
    </w:p>
    <w:p w14:paraId="48A9464D" w14:textId="77777777" w:rsidR="0094050D" w:rsidRPr="0094050D" w:rsidRDefault="0094050D" w:rsidP="0094050D">
      <w:pPr>
        <w:pStyle w:val="Bibliography"/>
        <w:rPr>
          <w:rFonts w:cs="Arial"/>
        </w:rPr>
      </w:pPr>
      <w:r w:rsidRPr="0094050D">
        <w:rPr>
          <w:rFonts w:cs="Arial"/>
        </w:rPr>
        <w:t xml:space="preserve">2. </w:t>
      </w:r>
      <w:r w:rsidRPr="0094050D">
        <w:rPr>
          <w:rFonts w:cs="Arial"/>
        </w:rPr>
        <w:tab/>
        <w:t>Myeloma statistics [Internet]. Cancer Research UK. 2022 [cited 2022 Jun 24]. Available from: https://www.cancerresearchuk.org/health-professional/cancer-statistics/statistics-by-cancer-type/myeloma</w:t>
      </w:r>
    </w:p>
    <w:p w14:paraId="20FACAC5" w14:textId="77777777" w:rsidR="0094050D" w:rsidRPr="0094050D" w:rsidRDefault="0094050D" w:rsidP="0094050D">
      <w:pPr>
        <w:pStyle w:val="Bibliography"/>
        <w:rPr>
          <w:rFonts w:cs="Arial"/>
        </w:rPr>
      </w:pPr>
      <w:r w:rsidRPr="0094050D">
        <w:rPr>
          <w:rFonts w:cs="Arial"/>
        </w:rPr>
        <w:t xml:space="preserve">3. </w:t>
      </w:r>
      <w:r w:rsidRPr="0094050D">
        <w:rPr>
          <w:rFonts w:cs="Arial"/>
        </w:rPr>
        <w:tab/>
        <w:t>HMRN - Factsheets [Internet]. [cited 2022 Jul 19]. Available from: https://hmrn.org/factsheets#myeloma</w:t>
      </w:r>
    </w:p>
    <w:p w14:paraId="5041B664" w14:textId="77777777" w:rsidR="0094050D" w:rsidRPr="0094050D" w:rsidRDefault="0094050D" w:rsidP="0094050D">
      <w:pPr>
        <w:pStyle w:val="Bibliography"/>
        <w:rPr>
          <w:rFonts w:cs="Arial"/>
        </w:rPr>
      </w:pPr>
      <w:r w:rsidRPr="0094050D">
        <w:rPr>
          <w:rFonts w:cs="Arial"/>
        </w:rPr>
        <w:t xml:space="preserve">4. </w:t>
      </w:r>
      <w:r w:rsidRPr="0094050D">
        <w:rPr>
          <w:rFonts w:cs="Arial"/>
        </w:rPr>
        <w:tab/>
        <w:t xml:space="preserve">Ferlay J, Colombet M, Soerjomataram I, Mathers C, Parkin D m., Piñeros M, et al. Estimating the global cancer incidence and mortality in 2018: GLOBOCAN sources and methods. International Journal of Cancer. 2019;144(8):1941–53. </w:t>
      </w:r>
    </w:p>
    <w:p w14:paraId="03FEF778" w14:textId="77777777" w:rsidR="0094050D" w:rsidRPr="0094050D" w:rsidRDefault="0094050D" w:rsidP="0094050D">
      <w:pPr>
        <w:pStyle w:val="Bibliography"/>
        <w:rPr>
          <w:rFonts w:cs="Arial"/>
        </w:rPr>
      </w:pPr>
      <w:r w:rsidRPr="0094050D">
        <w:rPr>
          <w:rFonts w:cs="Arial"/>
        </w:rPr>
        <w:t xml:space="preserve">5. </w:t>
      </w:r>
      <w:r w:rsidRPr="0094050D">
        <w:rPr>
          <w:rFonts w:cs="Arial"/>
        </w:rPr>
        <w:tab/>
        <w:t>HMRN - Survival [Internet]. [cited 2022 Jul 19]. Available from: https://hmrn.org/statistics/survival</w:t>
      </w:r>
    </w:p>
    <w:p w14:paraId="6768619A" w14:textId="77777777" w:rsidR="0094050D" w:rsidRPr="0094050D" w:rsidRDefault="0094050D" w:rsidP="0094050D">
      <w:pPr>
        <w:pStyle w:val="Bibliography"/>
        <w:rPr>
          <w:rFonts w:cs="Arial"/>
        </w:rPr>
      </w:pPr>
      <w:r w:rsidRPr="0094050D">
        <w:rPr>
          <w:rFonts w:cs="Arial"/>
        </w:rPr>
        <w:t xml:space="preserve">6. </w:t>
      </w:r>
      <w:r w:rsidRPr="0094050D">
        <w:rPr>
          <w:rFonts w:cs="Arial"/>
        </w:rPr>
        <w:tab/>
        <w:t xml:space="preserve">Hari P, Romanus D, Luptakova K, Blazer M, Yong C, Raju A, et al. The impact of age and comorbidities on practice patterns and outcomes in patients with relapsed/refractory multiple myeloma in the era of novel therapies. Journal of Geriatric Oncology. 2018 Mar;9(2):138–44. </w:t>
      </w:r>
    </w:p>
    <w:p w14:paraId="2A7534D4" w14:textId="77777777" w:rsidR="0094050D" w:rsidRPr="0094050D" w:rsidRDefault="0094050D" w:rsidP="0094050D">
      <w:pPr>
        <w:pStyle w:val="Bibliography"/>
        <w:rPr>
          <w:rFonts w:cs="Arial"/>
        </w:rPr>
      </w:pPr>
      <w:r w:rsidRPr="0094050D">
        <w:rPr>
          <w:rFonts w:cs="Arial"/>
        </w:rPr>
        <w:t xml:space="preserve">7. </w:t>
      </w:r>
      <w:r w:rsidRPr="0094050D">
        <w:rPr>
          <w:rFonts w:cs="Arial"/>
        </w:rPr>
        <w:tab/>
        <w:t xml:space="preserve">Kumar SK, Therneau TM, Gertz MA, Lacy MQ, Dispenzieri A, Rajkumar SV, et al. Clinical Course of Patients With Relapsed Multiple Myeloma. Mayo Clinic Proceedings. 2004 Jul 1;79(7):867–74. </w:t>
      </w:r>
    </w:p>
    <w:p w14:paraId="6D78615C" w14:textId="77777777" w:rsidR="0094050D" w:rsidRPr="0094050D" w:rsidRDefault="0094050D" w:rsidP="0094050D">
      <w:pPr>
        <w:pStyle w:val="Bibliography"/>
        <w:rPr>
          <w:rFonts w:cs="Arial"/>
        </w:rPr>
      </w:pPr>
      <w:r w:rsidRPr="0094050D">
        <w:rPr>
          <w:rFonts w:cs="Arial"/>
        </w:rPr>
        <w:t xml:space="preserve">8. </w:t>
      </w:r>
      <w:r w:rsidRPr="0094050D">
        <w:rPr>
          <w:rFonts w:cs="Arial"/>
        </w:rPr>
        <w:tab/>
        <w:t xml:space="preserve">Anderson KC, Kyle RA, Rajkumar S V, Stewart AK, Weber D, Richardson P. Clinically relevant end points and new drug approvals for myeloma. Leukemia. 2008 Feb;22(2):231–9. </w:t>
      </w:r>
    </w:p>
    <w:p w14:paraId="3E3BF70A" w14:textId="77777777" w:rsidR="0094050D" w:rsidRPr="0094050D" w:rsidRDefault="0094050D" w:rsidP="0094050D">
      <w:pPr>
        <w:pStyle w:val="Bibliography"/>
        <w:rPr>
          <w:rFonts w:cs="Arial"/>
        </w:rPr>
      </w:pPr>
      <w:r w:rsidRPr="0094050D">
        <w:rPr>
          <w:rFonts w:cs="Arial"/>
        </w:rPr>
        <w:t xml:space="preserve">9. </w:t>
      </w:r>
      <w:r w:rsidRPr="0094050D">
        <w:rPr>
          <w:rFonts w:cs="Arial"/>
        </w:rPr>
        <w:tab/>
        <w:t xml:space="preserve">Pieter Sonneveld, Annemiek Broijl. Treatment of relapsed and refractory multiple myeloma. Haematologica. 2016 Apr 1;101(4 SE-Review Articles):396–406. </w:t>
      </w:r>
    </w:p>
    <w:p w14:paraId="1D8114C6" w14:textId="77777777" w:rsidR="0094050D" w:rsidRPr="0094050D" w:rsidRDefault="0094050D" w:rsidP="0094050D">
      <w:pPr>
        <w:pStyle w:val="Bibliography"/>
        <w:rPr>
          <w:rFonts w:cs="Arial"/>
        </w:rPr>
      </w:pPr>
      <w:r w:rsidRPr="0094050D">
        <w:rPr>
          <w:rFonts w:cs="Arial"/>
        </w:rPr>
        <w:t xml:space="preserve">10. </w:t>
      </w:r>
      <w:r w:rsidRPr="0094050D">
        <w:rPr>
          <w:rFonts w:cs="Arial"/>
        </w:rPr>
        <w:tab/>
        <w:t xml:space="preserve">Da Vià MC, Ziccheddu B, Maeda A, Bagnoli F, Perrone G, Bolli N. A Journey Through Myeloma Evolution: From the Normal Plasma Cell to Disease Complexity. Hemasphere. 2020 Nov 24;4(6):e502. </w:t>
      </w:r>
    </w:p>
    <w:p w14:paraId="7C06B71C" w14:textId="77777777" w:rsidR="0094050D" w:rsidRPr="0094050D" w:rsidRDefault="0094050D" w:rsidP="0094050D">
      <w:pPr>
        <w:pStyle w:val="Bibliography"/>
        <w:rPr>
          <w:rFonts w:cs="Arial"/>
        </w:rPr>
      </w:pPr>
      <w:r w:rsidRPr="0094050D">
        <w:rPr>
          <w:rFonts w:cs="Arial"/>
        </w:rPr>
        <w:t xml:space="preserve">11. </w:t>
      </w:r>
      <w:r w:rsidRPr="0094050D">
        <w:rPr>
          <w:rFonts w:cs="Arial"/>
        </w:rPr>
        <w:tab/>
        <w:t xml:space="preserve">Raab MS, Fink L, Schoen P, Gonzalez-McQuire S. Evolution of multiple myeloma treatment practices in Europe from 2014 to 2016. British Journal of Haematology. 2019 Jun;185(5):981–4. </w:t>
      </w:r>
    </w:p>
    <w:p w14:paraId="28AB9C71" w14:textId="77777777" w:rsidR="0094050D" w:rsidRPr="0094050D" w:rsidRDefault="0094050D" w:rsidP="0094050D">
      <w:pPr>
        <w:pStyle w:val="Bibliography"/>
        <w:rPr>
          <w:rFonts w:cs="Arial"/>
        </w:rPr>
      </w:pPr>
      <w:r w:rsidRPr="0094050D">
        <w:rPr>
          <w:rFonts w:cs="Arial"/>
        </w:rPr>
        <w:t xml:space="preserve">12. </w:t>
      </w:r>
      <w:r w:rsidRPr="0094050D">
        <w:rPr>
          <w:rFonts w:cs="Arial"/>
        </w:rPr>
        <w:tab/>
        <w:t>National Institute for Health and Care Excellence. TA427: Pomalidomide for multiple myeloma previously treated with lenalidomide and bortezomib [Internet]. Available from: https://www.nice.org.uk/guidance/ta427/documents/committee-papers</w:t>
      </w:r>
    </w:p>
    <w:p w14:paraId="5A9D6AD9" w14:textId="77777777" w:rsidR="0094050D" w:rsidRPr="0094050D" w:rsidRDefault="0094050D" w:rsidP="0094050D">
      <w:pPr>
        <w:pStyle w:val="Bibliography"/>
        <w:rPr>
          <w:rFonts w:cs="Arial"/>
        </w:rPr>
      </w:pPr>
      <w:r w:rsidRPr="0094050D">
        <w:rPr>
          <w:rFonts w:cs="Arial"/>
        </w:rPr>
        <w:t xml:space="preserve">13. </w:t>
      </w:r>
      <w:r w:rsidRPr="0094050D">
        <w:rPr>
          <w:rFonts w:cs="Arial"/>
        </w:rPr>
        <w:tab/>
        <w:t xml:space="preserve">National Institute for Health and Care Excellence. NICE TA380: Panobinostat for treating multiple myeloma in people who have received at least one prior </w:t>
      </w:r>
      <w:r w:rsidRPr="0094050D">
        <w:rPr>
          <w:rFonts w:cs="Arial"/>
        </w:rPr>
        <w:lastRenderedPageBreak/>
        <w:t>therapy [ID663] [Internet]. Available from: https://www.nice.org.uk/guidance/ta380/documents/committee-papers</w:t>
      </w:r>
    </w:p>
    <w:p w14:paraId="6418F1D4" w14:textId="77777777" w:rsidR="0094050D" w:rsidRPr="0094050D" w:rsidRDefault="0094050D" w:rsidP="0094050D">
      <w:pPr>
        <w:pStyle w:val="Bibliography"/>
        <w:rPr>
          <w:rFonts w:cs="Arial"/>
        </w:rPr>
      </w:pPr>
      <w:r w:rsidRPr="0094050D">
        <w:rPr>
          <w:rFonts w:cs="Arial"/>
        </w:rPr>
        <w:t xml:space="preserve">14. </w:t>
      </w:r>
      <w:r w:rsidRPr="0094050D">
        <w:rPr>
          <w:rFonts w:cs="Arial"/>
        </w:rPr>
        <w:tab/>
        <w:t>National Institute for Health and Care Excellence. Belantamab mafodotin for treating relapsed or refractory multiple myeloma after 4 or more therapies [ID2701]: Response to stakeholder organisation comments on the draft remit and draft scope [Internet]. 2022 [cited 2022 Sep 9]. Available from: https://www.nice.org.uk/guidance/gid-ta10568/documents/scope-consultation-comments-and-responses-2</w:t>
      </w:r>
    </w:p>
    <w:p w14:paraId="2C023A8B" w14:textId="77777777" w:rsidR="0094050D" w:rsidRPr="0094050D" w:rsidRDefault="0094050D" w:rsidP="0094050D">
      <w:pPr>
        <w:pStyle w:val="Bibliography"/>
        <w:rPr>
          <w:rFonts w:cs="Arial"/>
        </w:rPr>
      </w:pPr>
      <w:r w:rsidRPr="0094050D">
        <w:rPr>
          <w:rFonts w:cs="Arial"/>
        </w:rPr>
        <w:t xml:space="preserve">15. </w:t>
      </w:r>
      <w:r w:rsidRPr="0094050D">
        <w:rPr>
          <w:rFonts w:cs="Arial"/>
        </w:rPr>
        <w:tab/>
        <w:t xml:space="preserve">Kumar SK, Lee JH, Lahuerta JJ, Morgan G, Richardson PG, Crowley J, et al. Risk of progression and survival in multiple myeloma relapsing after therapy with IMiDs and bortezomib: A multicenter international myeloma working group study. Leukemia. 2012 Jan;26(1):149–57. </w:t>
      </w:r>
    </w:p>
    <w:p w14:paraId="6C8CA8E1" w14:textId="77777777" w:rsidR="0094050D" w:rsidRPr="0094050D" w:rsidRDefault="0094050D" w:rsidP="0094050D">
      <w:pPr>
        <w:pStyle w:val="Bibliography"/>
        <w:rPr>
          <w:rFonts w:cs="Arial"/>
        </w:rPr>
      </w:pPr>
      <w:r w:rsidRPr="0094050D">
        <w:rPr>
          <w:rFonts w:cs="Arial"/>
        </w:rPr>
        <w:t xml:space="preserve">16. </w:t>
      </w:r>
      <w:r w:rsidRPr="0094050D">
        <w:rPr>
          <w:rFonts w:cs="Arial"/>
        </w:rPr>
        <w:tab/>
        <w:t>BLENREP 100 mg powder for concentrate for solution for infusion - Summary of Product Characteristics (SmPC) - (emc) [Internet]. [cited 2022 Jun 29]. Available from: https://www.medicines.org.uk/emc/product/12545/smpc#gref</w:t>
      </w:r>
    </w:p>
    <w:p w14:paraId="6B37BD64" w14:textId="77777777" w:rsidR="0094050D" w:rsidRPr="0094050D" w:rsidRDefault="0094050D" w:rsidP="0094050D">
      <w:pPr>
        <w:pStyle w:val="Bibliography"/>
        <w:rPr>
          <w:rFonts w:cs="Arial"/>
        </w:rPr>
      </w:pPr>
      <w:r w:rsidRPr="0094050D">
        <w:rPr>
          <w:rFonts w:cs="Arial"/>
        </w:rPr>
        <w:t xml:space="preserve">17. </w:t>
      </w:r>
      <w:r w:rsidRPr="0094050D">
        <w:rPr>
          <w:rFonts w:cs="Arial"/>
        </w:rPr>
        <w:tab/>
        <w:t xml:space="preserve">Friedman KM, Garrett TE, Evans JW, Horton HM, Latimer HJ, Seidel SL, et al. Effective Targeting of Multiple B-Cell Maturation Antigen–Expressing Hematological Malignances by Anti-B-Cell Maturation Antigen Chimeric Antigen Receptor T Cells. Human Gene Therapy. 2018 May;29(5):585–601. </w:t>
      </w:r>
    </w:p>
    <w:p w14:paraId="546996B2" w14:textId="77777777" w:rsidR="0094050D" w:rsidRPr="0094050D" w:rsidRDefault="0094050D" w:rsidP="0094050D">
      <w:pPr>
        <w:pStyle w:val="Bibliography"/>
        <w:rPr>
          <w:rFonts w:cs="Arial"/>
        </w:rPr>
      </w:pPr>
      <w:r w:rsidRPr="0094050D">
        <w:rPr>
          <w:rFonts w:cs="Arial"/>
        </w:rPr>
        <w:t xml:space="preserve">18. </w:t>
      </w:r>
      <w:r w:rsidRPr="0094050D">
        <w:rPr>
          <w:rFonts w:cs="Arial"/>
        </w:rPr>
        <w:tab/>
        <w:t>Cho SF, Anderson KC, Tai YT. Targeting B Cell Maturation Antigen (BCMA) in Multiple Myeloma: Potential Uses of BCMA-Based Immunotherapy. Frontiers in Immunology [Internet]. 2018 [cited 2022 Jun 29];9. Available from: https://www.frontiersin.org/article/10.3389/fimmu.2018.01821</w:t>
      </w:r>
    </w:p>
    <w:p w14:paraId="71C6FDC2" w14:textId="77777777" w:rsidR="0094050D" w:rsidRPr="0094050D" w:rsidRDefault="0094050D" w:rsidP="0094050D">
      <w:pPr>
        <w:pStyle w:val="Bibliography"/>
        <w:rPr>
          <w:rFonts w:cs="Arial"/>
        </w:rPr>
      </w:pPr>
      <w:r w:rsidRPr="0094050D">
        <w:rPr>
          <w:rFonts w:cs="Arial"/>
        </w:rPr>
        <w:t xml:space="preserve">19. </w:t>
      </w:r>
      <w:r w:rsidRPr="0094050D">
        <w:rPr>
          <w:rFonts w:cs="Arial"/>
        </w:rPr>
        <w:tab/>
        <w:t xml:space="preserve">O’Connor BP, Raman VS, Erickson LD, Cook WJ, Weaver LK, Ahonen C, et al. BCMA Is Essential for the Survival of Long-lived Bone Marrow Plasma Cells. Journal of Experimental Medicine. 2004 Jan 5;199(1):91–8. </w:t>
      </w:r>
    </w:p>
    <w:p w14:paraId="7A01E62C" w14:textId="77777777" w:rsidR="0094050D" w:rsidRPr="0094050D" w:rsidRDefault="0094050D" w:rsidP="0094050D">
      <w:pPr>
        <w:pStyle w:val="Bibliography"/>
        <w:rPr>
          <w:rFonts w:cs="Arial"/>
        </w:rPr>
      </w:pPr>
      <w:r w:rsidRPr="0094050D">
        <w:rPr>
          <w:rFonts w:cs="Arial"/>
        </w:rPr>
        <w:t xml:space="preserve">20. </w:t>
      </w:r>
      <w:r w:rsidRPr="0094050D">
        <w:rPr>
          <w:rFonts w:cs="Arial"/>
        </w:rPr>
        <w:tab/>
        <w:t xml:space="preserve">Benson MJ, Dillon SR, Castigli E, Geha RS, Xu S, Lam KP, et al. Cutting Edge: The Dependence of Plasma Cells and Independence of Memory B Cells on BAFF and APRIL. J Immunol. 2008 Mar 15;180(6):3655–9. </w:t>
      </w:r>
    </w:p>
    <w:p w14:paraId="35E81900" w14:textId="77777777" w:rsidR="0094050D" w:rsidRPr="0094050D" w:rsidRDefault="0094050D" w:rsidP="0094050D">
      <w:pPr>
        <w:pStyle w:val="Bibliography"/>
        <w:rPr>
          <w:rFonts w:cs="Arial"/>
        </w:rPr>
      </w:pPr>
      <w:r w:rsidRPr="0094050D">
        <w:rPr>
          <w:rFonts w:cs="Arial"/>
        </w:rPr>
        <w:t xml:space="preserve">21. </w:t>
      </w:r>
      <w:r w:rsidRPr="0094050D">
        <w:rPr>
          <w:rFonts w:cs="Arial"/>
        </w:rPr>
        <w:tab/>
        <w:t xml:space="preserve">Tai YT, Mayes PA, Acharya C, Zhong MY, Cea M, Cagnetta A, et al. Novel anti–B-cell maturation antigen antibody-drug conjugate (GSK2857916) selectively induces killing of multiple myeloma. Blood. 2014 May 15;123(20):3128–38. </w:t>
      </w:r>
    </w:p>
    <w:p w14:paraId="2413E7F3" w14:textId="77777777" w:rsidR="0094050D" w:rsidRPr="0094050D" w:rsidRDefault="0094050D" w:rsidP="0094050D">
      <w:pPr>
        <w:pStyle w:val="Bibliography"/>
        <w:rPr>
          <w:rFonts w:cs="Arial"/>
        </w:rPr>
      </w:pPr>
      <w:r w:rsidRPr="0094050D">
        <w:rPr>
          <w:rFonts w:cs="Arial"/>
        </w:rPr>
        <w:t xml:space="preserve">22. </w:t>
      </w:r>
      <w:r w:rsidRPr="0094050D">
        <w:rPr>
          <w:rFonts w:cs="Arial"/>
        </w:rPr>
        <w:tab/>
        <w:t xml:space="preserve">Dimopoulos MA, Moreau P, Terpos E, Mateos MV, Zweegman S, Cook G, et al. Multiple myeloma: EHA-ESMO Clinical Practice Guidelines for diagnosis, treatment and follow-up†. Annals of Oncology. 2021 Mar;32(3):309–22. </w:t>
      </w:r>
    </w:p>
    <w:p w14:paraId="2AB60BAD" w14:textId="77777777" w:rsidR="0094050D" w:rsidRPr="0094050D" w:rsidRDefault="0094050D" w:rsidP="0094050D">
      <w:pPr>
        <w:pStyle w:val="Bibliography"/>
        <w:rPr>
          <w:rFonts w:cs="Arial"/>
        </w:rPr>
      </w:pPr>
      <w:r w:rsidRPr="0094050D">
        <w:rPr>
          <w:rFonts w:cs="Arial"/>
        </w:rPr>
        <w:t xml:space="preserve">23. </w:t>
      </w:r>
      <w:r w:rsidRPr="0094050D">
        <w:rPr>
          <w:rFonts w:cs="Arial"/>
        </w:rPr>
        <w:tab/>
        <w:t>National Institute for Health and Care Excellence. NICE health technology evaluations: the manual [Internet]. 2022. Available from: https://www.nice.org.uk/process/pmg36/resources/nice-health-technology-evaluations-the-manual-pdf-72286779244741</w:t>
      </w:r>
    </w:p>
    <w:p w14:paraId="24EAC0BE" w14:textId="77777777" w:rsidR="0094050D" w:rsidRPr="0094050D" w:rsidRDefault="0094050D" w:rsidP="0094050D">
      <w:pPr>
        <w:pStyle w:val="Bibliography"/>
        <w:rPr>
          <w:rFonts w:cs="Arial"/>
        </w:rPr>
      </w:pPr>
      <w:r w:rsidRPr="0094050D">
        <w:rPr>
          <w:rFonts w:cs="Arial"/>
        </w:rPr>
        <w:lastRenderedPageBreak/>
        <w:t xml:space="preserve">24. </w:t>
      </w:r>
      <w:r w:rsidRPr="0094050D">
        <w:rPr>
          <w:rFonts w:cs="Arial"/>
        </w:rPr>
        <w:tab/>
        <w:t xml:space="preserve">National Institute for Health and Care Excellence. NICE strategy 2021 to 2026: Dynamic, Collaborative, Excellent. 2021; </w:t>
      </w:r>
    </w:p>
    <w:p w14:paraId="5CF10B25" w14:textId="77777777" w:rsidR="0094050D" w:rsidRPr="0094050D" w:rsidRDefault="0094050D" w:rsidP="0094050D">
      <w:pPr>
        <w:pStyle w:val="Bibliography"/>
        <w:rPr>
          <w:rFonts w:cs="Arial"/>
        </w:rPr>
      </w:pPr>
      <w:r w:rsidRPr="0094050D">
        <w:rPr>
          <w:rFonts w:cs="Arial"/>
        </w:rPr>
        <w:t xml:space="preserve">25. </w:t>
      </w:r>
      <w:r w:rsidRPr="0094050D">
        <w:rPr>
          <w:rFonts w:cs="Arial"/>
        </w:rPr>
        <w:tab/>
        <w:t>National Institute for Health and Care Excellence. NICE TA897: Daratumumab with bortezomib and dexamethasone for previously treated multiple myeloma [Internet]. NICE; 2023 [cited 2023 Aug 3]. Available from: https://www.nice.org.uk/guidance/ta897</w:t>
      </w:r>
    </w:p>
    <w:p w14:paraId="24448298" w14:textId="4F97EAA8" w:rsidR="0094050D" w:rsidRPr="000213CB" w:rsidRDefault="0094050D" w:rsidP="008C64D7">
      <w:r>
        <w:fldChar w:fldCharType="end"/>
      </w:r>
    </w:p>
    <w:sectPr w:rsidR="0094050D" w:rsidRPr="000213CB" w:rsidSect="001B29C3">
      <w:headerReference w:type="default"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02C3" w14:textId="77777777" w:rsidR="00F94C48" w:rsidRDefault="00F94C48" w:rsidP="00A34451">
      <w:pPr>
        <w:spacing w:before="0" w:after="0" w:line="240" w:lineRule="auto"/>
      </w:pPr>
      <w:r>
        <w:separator/>
      </w:r>
    </w:p>
  </w:endnote>
  <w:endnote w:type="continuationSeparator" w:id="0">
    <w:p w14:paraId="7AC79C69" w14:textId="77777777" w:rsidR="00F94C48" w:rsidRDefault="00F94C48" w:rsidP="00A34451">
      <w:pPr>
        <w:spacing w:before="0" w:after="0" w:line="240" w:lineRule="auto"/>
      </w:pPr>
      <w:r>
        <w:continuationSeparator/>
      </w:r>
    </w:p>
  </w:endnote>
  <w:endnote w:type="continuationNotice" w:id="1">
    <w:p w14:paraId="5F978441" w14:textId="77777777" w:rsidR="00F94C48" w:rsidRDefault="00F94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91428"/>
      <w:docPartObj>
        <w:docPartGallery w:val="Page Numbers (Bottom of Page)"/>
        <w:docPartUnique/>
      </w:docPartObj>
    </w:sdtPr>
    <w:sdtEndPr>
      <w:rPr>
        <w:noProof/>
      </w:rPr>
    </w:sdtEndPr>
    <w:sdtContent>
      <w:p w14:paraId="309F2F62" w14:textId="23C73E8C" w:rsidR="00E13366" w:rsidRDefault="00E133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9567F" w14:textId="13AE2516" w:rsidR="00E13366" w:rsidRDefault="00E13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0325" w14:textId="15F59C8F" w:rsidR="00731F0C" w:rsidRDefault="00731F0C">
    <w:pPr>
      <w:pStyle w:val="Footer"/>
      <w:jc w:val="right"/>
    </w:pPr>
    <w:r>
      <w:fldChar w:fldCharType="begin"/>
    </w:r>
    <w:r>
      <w:instrText xml:space="preserve"> PAGE   \* MERGEFORMAT </w:instrText>
    </w:r>
    <w:r>
      <w:fldChar w:fldCharType="separate"/>
    </w:r>
    <w:r>
      <w:rPr>
        <w:noProof/>
      </w:rPr>
      <w:t>2</w:t>
    </w:r>
    <w:r>
      <w:rPr>
        <w:noProof/>
      </w:rPr>
      <w:fldChar w:fldCharType="end"/>
    </w:r>
  </w:p>
  <w:p w14:paraId="59FC8FF8" w14:textId="77777777" w:rsidR="00731F0C" w:rsidRDefault="0073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21C6" w14:textId="77777777" w:rsidR="00F94C48" w:rsidRDefault="00F94C48" w:rsidP="00A34451">
      <w:pPr>
        <w:spacing w:before="0" w:after="0" w:line="240" w:lineRule="auto"/>
      </w:pPr>
      <w:r>
        <w:separator/>
      </w:r>
    </w:p>
  </w:footnote>
  <w:footnote w:type="continuationSeparator" w:id="0">
    <w:p w14:paraId="47690D9E" w14:textId="77777777" w:rsidR="00F94C48" w:rsidRDefault="00F94C48" w:rsidP="00A34451">
      <w:pPr>
        <w:spacing w:before="0" w:after="0" w:line="240" w:lineRule="auto"/>
      </w:pPr>
      <w:r>
        <w:continuationSeparator/>
      </w:r>
    </w:p>
  </w:footnote>
  <w:footnote w:type="continuationNotice" w:id="1">
    <w:p w14:paraId="365C7720" w14:textId="77777777" w:rsidR="00F94C48" w:rsidRDefault="00F94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2BD" w14:textId="77777777" w:rsidR="008E367B" w:rsidRDefault="008E367B">
    <w:pPr>
      <w:pStyle w:val="Header"/>
    </w:pPr>
  </w:p>
  <w:p w14:paraId="7410D941" w14:textId="472B6FFE" w:rsidR="00A34451" w:rsidRDefault="00A34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2511" w14:textId="77777777" w:rsidR="007F43FD" w:rsidRDefault="00BE7EF7">
    <w:pPr>
      <w:pStyle w:val="Header"/>
    </w:pPr>
    <w:r w:rsidRPr="00C02AB7">
      <w:rPr>
        <w:noProof/>
      </w:rPr>
      <w:drawing>
        <wp:inline distT="0" distB="0" distL="0" distR="0" wp14:anchorId="7C31B0DC" wp14:editId="195AEC9F">
          <wp:extent cx="551356" cy="149249"/>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120" t="28543" r="14631" b="27883"/>
                  <a:stretch/>
                </pic:blipFill>
                <pic:spPr bwMode="auto">
                  <a:xfrm>
                    <a:off x="0" y="0"/>
                    <a:ext cx="551970" cy="149415"/>
                  </a:xfrm>
                  <a:prstGeom prst="rect">
                    <a:avLst/>
                  </a:prstGeom>
                  <a:ln>
                    <a:noFill/>
                  </a:ln>
                  <a:extLst>
                    <a:ext uri="{53640926-AAD7-44D8-BBD7-CCE9431645EC}">
                      <a14:shadowObscured xmlns:a14="http://schemas.microsoft.com/office/drawing/2010/main"/>
                    </a:ext>
                  </a:extLst>
                </pic:spPr>
              </pic:pic>
            </a:graphicData>
          </a:graphic>
        </wp:inline>
      </w:drawing>
    </w:r>
  </w:p>
  <w:p w14:paraId="40465554" w14:textId="0FBDAB4E" w:rsidR="007F43FD" w:rsidRDefault="007F43FD">
    <w:pPr>
      <w:pStyle w:val="Header"/>
    </w:pPr>
  </w:p>
  <w:p w14:paraId="39AB7597" w14:textId="43E75F4E" w:rsidR="00D62AA8" w:rsidRDefault="00D62AA8">
    <w:pPr>
      <w:pStyle w:val="Header"/>
    </w:pPr>
    <w:r w:rsidRPr="007437B2">
      <w:rPr>
        <w:noProof/>
      </w:rPr>
      <mc:AlternateContent>
        <mc:Choice Requires="wps">
          <w:drawing>
            <wp:anchor distT="0" distB="0" distL="114300" distR="114300" simplePos="0" relativeHeight="251658241" behindDoc="0" locked="0" layoutInCell="1" allowOverlap="1" wp14:anchorId="40BF0FEC" wp14:editId="04849CF7">
              <wp:simplePos x="0" y="0"/>
              <wp:positionH relativeFrom="page">
                <wp:posOffset>6105525</wp:posOffset>
              </wp:positionH>
              <wp:positionV relativeFrom="page">
                <wp:posOffset>1085851</wp:posOffset>
              </wp:positionV>
              <wp:extent cx="1390650" cy="800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90650"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1D9E6" w14:textId="77777777" w:rsidR="00D62AA8" w:rsidRPr="00D90B3A" w:rsidRDefault="00D62AA8" w:rsidP="00457B07">
                          <w:pPr>
                            <w:spacing w:before="0" w:after="0" w:line="240" w:lineRule="auto"/>
                            <w:rPr>
                              <w:rFonts w:cs="Arial"/>
                              <w:sz w:val="16"/>
                              <w:szCs w:val="16"/>
                            </w:rPr>
                          </w:pPr>
                          <w:r w:rsidRPr="00D90B3A">
                            <w:rPr>
                              <w:rFonts w:cs="Arial"/>
                              <w:sz w:val="16"/>
                              <w:szCs w:val="16"/>
                            </w:rPr>
                            <w:t>GSK</w:t>
                          </w:r>
                        </w:p>
                        <w:p w14:paraId="53F1226C" w14:textId="77777777" w:rsidR="00D62AA8" w:rsidRPr="00D90B3A" w:rsidRDefault="00D62AA8" w:rsidP="00457B07">
                          <w:pPr>
                            <w:spacing w:before="0" w:after="0" w:line="240" w:lineRule="auto"/>
                            <w:rPr>
                              <w:rFonts w:cs="Arial"/>
                              <w:sz w:val="16"/>
                              <w:szCs w:val="16"/>
                            </w:rPr>
                          </w:pPr>
                          <w:r w:rsidRPr="00D90B3A">
                            <w:rPr>
                              <w:rFonts w:cs="Arial"/>
                              <w:sz w:val="16"/>
                              <w:szCs w:val="16"/>
                            </w:rPr>
                            <w:t>GSK House</w:t>
                          </w:r>
                        </w:p>
                        <w:p w14:paraId="64C26937" w14:textId="77777777" w:rsidR="00D62AA8" w:rsidRPr="00D90B3A" w:rsidRDefault="00D62AA8" w:rsidP="00457B07">
                          <w:pPr>
                            <w:spacing w:before="0" w:after="0" w:line="240" w:lineRule="auto"/>
                            <w:rPr>
                              <w:noProof/>
                              <w:color w:val="000000"/>
                              <w:sz w:val="16"/>
                              <w:szCs w:val="16"/>
                            </w:rPr>
                          </w:pPr>
                          <w:r w:rsidRPr="00D90B3A">
                            <w:rPr>
                              <w:noProof/>
                              <w:color w:val="000000"/>
                              <w:sz w:val="16"/>
                              <w:szCs w:val="16"/>
                            </w:rPr>
                            <w:t xml:space="preserve">980 Great West Road, </w:t>
                          </w:r>
                        </w:p>
                        <w:p w14:paraId="024AA14D" w14:textId="77777777" w:rsidR="00CC5781" w:rsidRPr="00D90B3A" w:rsidRDefault="00D62AA8" w:rsidP="00457B07">
                          <w:pPr>
                            <w:spacing w:before="0" w:after="0" w:line="240" w:lineRule="auto"/>
                            <w:rPr>
                              <w:noProof/>
                              <w:color w:val="000000"/>
                              <w:sz w:val="16"/>
                              <w:szCs w:val="16"/>
                            </w:rPr>
                          </w:pPr>
                          <w:r w:rsidRPr="00D90B3A">
                            <w:rPr>
                              <w:noProof/>
                              <w:color w:val="000000"/>
                              <w:sz w:val="16"/>
                              <w:szCs w:val="16"/>
                            </w:rPr>
                            <w:t>Brentford, Middlesex,</w:t>
                          </w:r>
                        </w:p>
                        <w:p w14:paraId="125448D4" w14:textId="7C707BCF" w:rsidR="00D62AA8" w:rsidRPr="00D90B3A" w:rsidRDefault="00D62AA8" w:rsidP="00457B07">
                          <w:pPr>
                            <w:spacing w:before="0" w:after="0" w:line="240" w:lineRule="auto"/>
                            <w:rPr>
                              <w:color w:val="000000" w:themeColor="text1"/>
                              <w:sz w:val="16"/>
                              <w:szCs w:val="16"/>
                              <w:lang w:val="pt-PT"/>
                            </w:rPr>
                          </w:pPr>
                          <w:r w:rsidRPr="00D90B3A">
                            <w:rPr>
                              <w:color w:val="000000" w:themeColor="text1"/>
                              <w:sz w:val="16"/>
                              <w:szCs w:val="16"/>
                              <w:lang w:val="pt-PT"/>
                            </w:rPr>
                            <w:t>TW8 9GS</w:t>
                          </w:r>
                        </w:p>
                        <w:p w14:paraId="6E8625A4" w14:textId="374797BB" w:rsidR="00CC24A1" w:rsidRPr="00D90B3A" w:rsidRDefault="00CC24A1" w:rsidP="00457B07">
                          <w:pPr>
                            <w:spacing w:before="0" w:after="0" w:line="240" w:lineRule="auto"/>
                            <w:rPr>
                              <w:noProof/>
                              <w:color w:val="000000"/>
                              <w:sz w:val="16"/>
                              <w:szCs w:val="16"/>
                              <w:lang w:val="pt-PT"/>
                            </w:rPr>
                          </w:pPr>
                          <w:r w:rsidRPr="00D90B3A">
                            <w:rPr>
                              <w:color w:val="000000" w:themeColor="text1"/>
                              <w:sz w:val="16"/>
                              <w:szCs w:val="16"/>
                              <w:lang w:val="pt-PT"/>
                            </w:rPr>
                            <w:t>T +44</w:t>
                          </w:r>
                          <w:r w:rsidR="003B4DA8" w:rsidRPr="003B4DA8">
                            <w:t xml:space="preserve"> </w:t>
                          </w:r>
                          <w:r w:rsidR="003B4DA8" w:rsidRPr="003B4DA8">
                            <w:rPr>
                              <w:color w:val="000000" w:themeColor="text1"/>
                              <w:sz w:val="16"/>
                              <w:szCs w:val="16"/>
                              <w:lang w:val="pt-PT"/>
                            </w:rPr>
                            <w:t>208 047 5000</w:t>
                          </w:r>
                        </w:p>
                        <w:p w14:paraId="467AB399" w14:textId="77777777" w:rsidR="00D62AA8" w:rsidRPr="00031A79" w:rsidRDefault="00D62AA8" w:rsidP="00B4129F">
                          <w:pPr>
                            <w:pStyle w:val="GSKAddress"/>
                            <w:ind w:firstLine="709"/>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F0FEC" id="_x0000_t202" coordsize="21600,21600" o:spt="202" path="m,l,21600r21600,l21600,xe">
              <v:stroke joinstyle="miter"/>
              <v:path gradientshapeok="t" o:connecttype="rect"/>
            </v:shapetype>
            <v:shape id="Text Box 15" o:spid="_x0000_s1026" type="#_x0000_t202" style="position:absolute;margin-left:480.75pt;margin-top:85.5pt;width:109.5pt;height:6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stWwIAAC0FAAAOAAAAZHJzL2Uyb0RvYy54bWysVN9P2zAQfp+0/8Hy+0gBDbGKFHVFTJMQ&#10;IGDi2XXsNprj887XJt1fv7OTtIzthWkvzsX33a/v7nxx2TVObA3GGnwpj48mUhivoar9qpTfnq4/&#10;nEsRSflKOfCmlDsT5eXs/buLNkzNCazBVQYFO/Fx2oZSronCtCiiXptGxSMIxrPSAjaK+BdXRYWq&#10;Ze+NK04mk7OiBawCgjYx8u1Vr5Sz7N9ao+nO2mhIuFJybpRPzOcyncXsQk1XqMK61kMa6h+yaFTt&#10;Oeje1ZUiJTZY/+GqqTVCBEtHGpoCrK21yTVwNceTV9U8rlUwuRYmJ4Y9TfH/udW328dwj4K6z9Bx&#10;AxMhbYjTyJepns5ik76cqWA9U7jb02Y6EjoZnX6anH1klWbd+YTryLwWB+uAkb4YaEQSSonclsyW&#10;2t5E4ogMHSEpmIfr2rncGudFW8qzU3b/m4YtnE83Jjd5cHPIPEu0cyZhnH8wVtRVLiBd5PEyC4di&#10;q3gwlNbGU649+2V0QllO4i2GA/6Q1VuM+zrGyOBpb9zUHjBX/yrt6vuYsu3xTOSLupNI3bIbOrqE&#10;aseNRuh3IAZ9XXM3blSke4U89NxAXmS648M6YNZhkKRYA/78233C8yyyVoqWl6iU8cdGoZHCffU8&#10;pWnjRgFHYTkKftMsgOk/5ici6CyyAZIbRYvQPPN+z1MUVimvOVYpaRQX1K8yvw/azOcZxHsVFN34&#10;x6CT69SNNFtP3bPCMAwg8ejewrheavpqDntssvQw3xDYOg9pIrRncSCadzLP7vB+pKV/+Z9Rh1du&#10;9gsAAP//AwBQSwMEFAAGAAgAAAAhAFeFTHXgAAAADAEAAA8AAABkcnMvZG93bnJldi54bWxMj0tP&#10;wzAQhO9I/AdrkbhRO5XoI8SpEI8bUGiLBDcnXpIIPyLbScO/Z3uC4858mp0pNpM1bMQQO+8kZDMB&#10;DF3tdecaCYf949UKWEzKaWW8Qwk/GGFTnp8VKtf+6N5w3KWGUYiLuZLQptTnnMe6RavizPfoyPvy&#10;wapEZ2i4DupI4dbwuRALblXn6EOrerxrsf7eDVaC+YjhqRLpc7xvntPrlg/vD9mLlJcX0+0NsIRT&#10;+oPhVJ+qQ0mdKj84HZmRsF5k14SSscxo1InIVoKkSsJ8vRTAy4L/H1H+AgAA//8DAFBLAQItABQA&#10;BgAIAAAAIQC2gziS/gAAAOEBAAATAAAAAAAAAAAAAAAAAAAAAABbQ29udGVudF9UeXBlc10ueG1s&#10;UEsBAi0AFAAGAAgAAAAhADj9If/WAAAAlAEAAAsAAAAAAAAAAAAAAAAALwEAAF9yZWxzLy5yZWxz&#10;UEsBAi0AFAAGAAgAAAAhAGYgey1bAgAALQUAAA4AAAAAAAAAAAAAAAAALgIAAGRycy9lMm9Eb2Mu&#10;eG1sUEsBAi0AFAAGAAgAAAAhAFeFTHXgAAAADAEAAA8AAAAAAAAAAAAAAAAAtQQAAGRycy9kb3du&#10;cmV2LnhtbFBLBQYAAAAABAAEAPMAAADCBQAAAAA=&#10;" filled="f" stroked="f" strokeweight=".5pt">
              <v:textbox inset="0,0,0,0">
                <w:txbxContent>
                  <w:p w14:paraId="5B61D9E6" w14:textId="77777777" w:rsidR="00D62AA8" w:rsidRPr="00D90B3A" w:rsidRDefault="00D62AA8" w:rsidP="00457B07">
                    <w:pPr>
                      <w:spacing w:before="0" w:after="0" w:line="240" w:lineRule="auto"/>
                      <w:rPr>
                        <w:rFonts w:cs="Arial"/>
                        <w:sz w:val="16"/>
                        <w:szCs w:val="16"/>
                      </w:rPr>
                    </w:pPr>
                    <w:r w:rsidRPr="00D90B3A">
                      <w:rPr>
                        <w:rFonts w:cs="Arial"/>
                        <w:sz w:val="16"/>
                        <w:szCs w:val="16"/>
                      </w:rPr>
                      <w:t>GSK</w:t>
                    </w:r>
                  </w:p>
                  <w:p w14:paraId="53F1226C" w14:textId="77777777" w:rsidR="00D62AA8" w:rsidRPr="00D90B3A" w:rsidRDefault="00D62AA8" w:rsidP="00457B07">
                    <w:pPr>
                      <w:spacing w:before="0" w:after="0" w:line="240" w:lineRule="auto"/>
                      <w:rPr>
                        <w:rFonts w:cs="Arial"/>
                        <w:sz w:val="16"/>
                        <w:szCs w:val="16"/>
                      </w:rPr>
                    </w:pPr>
                    <w:r w:rsidRPr="00D90B3A">
                      <w:rPr>
                        <w:rFonts w:cs="Arial"/>
                        <w:sz w:val="16"/>
                        <w:szCs w:val="16"/>
                      </w:rPr>
                      <w:t>GSK House</w:t>
                    </w:r>
                  </w:p>
                  <w:p w14:paraId="64C26937" w14:textId="77777777" w:rsidR="00D62AA8" w:rsidRPr="00D90B3A" w:rsidRDefault="00D62AA8" w:rsidP="00457B07">
                    <w:pPr>
                      <w:spacing w:before="0" w:after="0" w:line="240" w:lineRule="auto"/>
                      <w:rPr>
                        <w:noProof/>
                        <w:color w:val="000000"/>
                        <w:sz w:val="16"/>
                        <w:szCs w:val="16"/>
                      </w:rPr>
                    </w:pPr>
                    <w:r w:rsidRPr="00D90B3A">
                      <w:rPr>
                        <w:noProof/>
                        <w:color w:val="000000"/>
                        <w:sz w:val="16"/>
                        <w:szCs w:val="16"/>
                      </w:rPr>
                      <w:t xml:space="preserve">980 Great West Road, </w:t>
                    </w:r>
                  </w:p>
                  <w:p w14:paraId="024AA14D" w14:textId="77777777" w:rsidR="00CC5781" w:rsidRPr="00D90B3A" w:rsidRDefault="00D62AA8" w:rsidP="00457B07">
                    <w:pPr>
                      <w:spacing w:before="0" w:after="0" w:line="240" w:lineRule="auto"/>
                      <w:rPr>
                        <w:noProof/>
                        <w:color w:val="000000"/>
                        <w:sz w:val="16"/>
                        <w:szCs w:val="16"/>
                      </w:rPr>
                    </w:pPr>
                    <w:r w:rsidRPr="00D90B3A">
                      <w:rPr>
                        <w:noProof/>
                        <w:color w:val="000000"/>
                        <w:sz w:val="16"/>
                        <w:szCs w:val="16"/>
                      </w:rPr>
                      <w:t>Brentford, Middlesex,</w:t>
                    </w:r>
                  </w:p>
                  <w:p w14:paraId="125448D4" w14:textId="7C707BCF" w:rsidR="00D62AA8" w:rsidRPr="00D90B3A" w:rsidRDefault="00D62AA8" w:rsidP="00457B07">
                    <w:pPr>
                      <w:spacing w:before="0" w:after="0" w:line="240" w:lineRule="auto"/>
                      <w:rPr>
                        <w:color w:val="000000" w:themeColor="text1"/>
                        <w:sz w:val="16"/>
                        <w:szCs w:val="16"/>
                        <w:lang w:val="pt-PT"/>
                      </w:rPr>
                    </w:pPr>
                    <w:r w:rsidRPr="00D90B3A">
                      <w:rPr>
                        <w:color w:val="000000" w:themeColor="text1"/>
                        <w:sz w:val="16"/>
                        <w:szCs w:val="16"/>
                        <w:lang w:val="pt-PT"/>
                      </w:rPr>
                      <w:t>TW8 9GS</w:t>
                    </w:r>
                  </w:p>
                  <w:p w14:paraId="6E8625A4" w14:textId="374797BB" w:rsidR="00CC24A1" w:rsidRPr="00D90B3A" w:rsidRDefault="00CC24A1" w:rsidP="00457B07">
                    <w:pPr>
                      <w:spacing w:before="0" w:after="0" w:line="240" w:lineRule="auto"/>
                      <w:rPr>
                        <w:noProof/>
                        <w:color w:val="000000"/>
                        <w:sz w:val="16"/>
                        <w:szCs w:val="16"/>
                        <w:lang w:val="pt-PT"/>
                      </w:rPr>
                    </w:pPr>
                    <w:r w:rsidRPr="00D90B3A">
                      <w:rPr>
                        <w:color w:val="000000" w:themeColor="text1"/>
                        <w:sz w:val="16"/>
                        <w:szCs w:val="16"/>
                        <w:lang w:val="pt-PT"/>
                      </w:rPr>
                      <w:t>T +44</w:t>
                    </w:r>
                    <w:r w:rsidR="003B4DA8" w:rsidRPr="003B4DA8">
                      <w:t xml:space="preserve"> </w:t>
                    </w:r>
                    <w:r w:rsidR="003B4DA8" w:rsidRPr="003B4DA8">
                      <w:rPr>
                        <w:color w:val="000000" w:themeColor="text1"/>
                        <w:sz w:val="16"/>
                        <w:szCs w:val="16"/>
                        <w:lang w:val="pt-PT"/>
                      </w:rPr>
                      <w:t>208 047 5000</w:t>
                    </w:r>
                  </w:p>
                  <w:p w14:paraId="467AB399" w14:textId="77777777" w:rsidR="00D62AA8" w:rsidRPr="00031A79" w:rsidRDefault="00D62AA8" w:rsidP="00B4129F">
                    <w:pPr>
                      <w:pStyle w:val="GSKAddress"/>
                      <w:ind w:firstLine="709"/>
                      <w:rPr>
                        <w:rFonts w:ascii="Arial" w:hAnsi="Arial" w:cs="Arial"/>
                      </w:rPr>
                    </w:pPr>
                  </w:p>
                </w:txbxContent>
              </v:textbox>
              <w10:wrap anchorx="page" anchory="page"/>
            </v:shape>
          </w:pict>
        </mc:Fallback>
      </mc:AlternateContent>
    </w:r>
  </w:p>
  <w:p w14:paraId="63858911" w14:textId="77777777" w:rsidR="00D62AA8" w:rsidRDefault="00D62AA8">
    <w:pPr>
      <w:pStyle w:val="Header"/>
    </w:pPr>
  </w:p>
  <w:p w14:paraId="2C53A3C6" w14:textId="77777777" w:rsidR="00D62AA8" w:rsidRDefault="00D62AA8">
    <w:pPr>
      <w:pStyle w:val="Header"/>
    </w:pPr>
  </w:p>
  <w:p w14:paraId="06C313BC" w14:textId="4557908A" w:rsidR="008E367B" w:rsidRDefault="001079B9" w:rsidP="00731F0C">
    <w:pPr>
      <w:pStyle w:val="Header"/>
      <w:spacing w:before="0"/>
      <w:jc w:val="right"/>
    </w:pPr>
    <w:r w:rsidRPr="007437B2">
      <w:rPr>
        <w:noProof/>
      </w:rPr>
      <w:drawing>
        <wp:anchor distT="0" distB="0" distL="114300" distR="114300" simplePos="0" relativeHeight="251658240" behindDoc="0" locked="1" layoutInCell="1" allowOverlap="1" wp14:anchorId="7B6F73A9" wp14:editId="0653D724">
          <wp:simplePos x="0" y="0"/>
          <wp:positionH relativeFrom="column">
            <wp:posOffset>4981575</wp:posOffset>
          </wp:positionH>
          <wp:positionV relativeFrom="page">
            <wp:posOffset>74295</wp:posOffset>
          </wp:positionV>
          <wp:extent cx="1109345" cy="1109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9345" cy="1109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46F"/>
    <w:multiLevelType w:val="hybridMultilevel"/>
    <w:tmpl w:val="3E689156"/>
    <w:lvl w:ilvl="0" w:tplc="8CF659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76B8"/>
    <w:multiLevelType w:val="hybridMultilevel"/>
    <w:tmpl w:val="151C36D2"/>
    <w:lvl w:ilvl="0" w:tplc="2D0CB5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B25D4"/>
    <w:multiLevelType w:val="multilevel"/>
    <w:tmpl w:val="1F24F588"/>
    <w:lvl w:ilvl="0">
      <w:start w:val="1"/>
      <w:numFmt w:val="decimal"/>
      <w:pStyle w:val="Heading3"/>
      <w:lvlText w:val="1(a).%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2258DF"/>
    <w:multiLevelType w:val="hybridMultilevel"/>
    <w:tmpl w:val="F9ACC78A"/>
    <w:lvl w:ilvl="0" w:tplc="C0029F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26614"/>
    <w:multiLevelType w:val="hybridMultilevel"/>
    <w:tmpl w:val="DC02C68E"/>
    <w:lvl w:ilvl="0" w:tplc="78527F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21807"/>
    <w:multiLevelType w:val="multilevel"/>
    <w:tmpl w:val="056EA7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BC7E03"/>
    <w:multiLevelType w:val="hybridMultilevel"/>
    <w:tmpl w:val="0BDEAC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A90411"/>
    <w:multiLevelType w:val="multilevel"/>
    <w:tmpl w:val="AD4E3864"/>
    <w:lvl w:ilvl="0">
      <w:start w:val="1"/>
      <w:numFmt w:val="decimal"/>
      <w:pStyle w:val="Heading4"/>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981E59"/>
    <w:multiLevelType w:val="hybridMultilevel"/>
    <w:tmpl w:val="C79AFE06"/>
    <w:lvl w:ilvl="0" w:tplc="EE1A22CC">
      <w:start w:val="1"/>
      <w:numFmt w:val="bullet"/>
      <w:lvlText w:val=""/>
      <w:lvlJc w:val="left"/>
      <w:pPr>
        <w:ind w:left="720" w:hanging="360"/>
      </w:pPr>
      <w:rPr>
        <w:rFonts w:ascii="Symbol" w:hAnsi="Symbol" w:hint="default"/>
      </w:rPr>
    </w:lvl>
    <w:lvl w:ilvl="1" w:tplc="6BAAB5A8">
      <w:start w:val="1"/>
      <w:numFmt w:val="bullet"/>
      <w:lvlText w:val="o"/>
      <w:lvlJc w:val="left"/>
      <w:pPr>
        <w:ind w:left="1440" w:hanging="360"/>
      </w:pPr>
      <w:rPr>
        <w:rFonts w:ascii="Courier New" w:hAnsi="Courier New" w:hint="default"/>
      </w:rPr>
    </w:lvl>
    <w:lvl w:ilvl="2" w:tplc="A52CFBDC">
      <w:start w:val="1"/>
      <w:numFmt w:val="bullet"/>
      <w:lvlText w:val=""/>
      <w:lvlJc w:val="left"/>
      <w:pPr>
        <w:ind w:left="2160" w:hanging="360"/>
      </w:pPr>
      <w:rPr>
        <w:rFonts w:ascii="Wingdings" w:hAnsi="Wingdings" w:hint="default"/>
      </w:rPr>
    </w:lvl>
    <w:lvl w:ilvl="3" w:tplc="CEA2D2A4">
      <w:start w:val="1"/>
      <w:numFmt w:val="bullet"/>
      <w:lvlText w:val=""/>
      <w:lvlJc w:val="left"/>
      <w:pPr>
        <w:ind w:left="2880" w:hanging="360"/>
      </w:pPr>
      <w:rPr>
        <w:rFonts w:ascii="Symbol" w:hAnsi="Symbol" w:hint="default"/>
      </w:rPr>
    </w:lvl>
    <w:lvl w:ilvl="4" w:tplc="8BE0928A">
      <w:start w:val="1"/>
      <w:numFmt w:val="bullet"/>
      <w:lvlText w:val="o"/>
      <w:lvlJc w:val="left"/>
      <w:pPr>
        <w:ind w:left="3600" w:hanging="360"/>
      </w:pPr>
      <w:rPr>
        <w:rFonts w:ascii="Courier New" w:hAnsi="Courier New" w:hint="default"/>
      </w:rPr>
    </w:lvl>
    <w:lvl w:ilvl="5" w:tplc="2E968358">
      <w:start w:val="1"/>
      <w:numFmt w:val="bullet"/>
      <w:lvlText w:val=""/>
      <w:lvlJc w:val="left"/>
      <w:pPr>
        <w:ind w:left="4320" w:hanging="360"/>
      </w:pPr>
      <w:rPr>
        <w:rFonts w:ascii="Wingdings" w:hAnsi="Wingdings" w:hint="default"/>
      </w:rPr>
    </w:lvl>
    <w:lvl w:ilvl="6" w:tplc="4EFA1E5A">
      <w:start w:val="1"/>
      <w:numFmt w:val="bullet"/>
      <w:lvlText w:val=""/>
      <w:lvlJc w:val="left"/>
      <w:pPr>
        <w:ind w:left="5040" w:hanging="360"/>
      </w:pPr>
      <w:rPr>
        <w:rFonts w:ascii="Symbol" w:hAnsi="Symbol" w:hint="default"/>
      </w:rPr>
    </w:lvl>
    <w:lvl w:ilvl="7" w:tplc="C1E64E80">
      <w:start w:val="1"/>
      <w:numFmt w:val="bullet"/>
      <w:lvlText w:val="o"/>
      <w:lvlJc w:val="left"/>
      <w:pPr>
        <w:ind w:left="5760" w:hanging="360"/>
      </w:pPr>
      <w:rPr>
        <w:rFonts w:ascii="Courier New" w:hAnsi="Courier New" w:hint="default"/>
      </w:rPr>
    </w:lvl>
    <w:lvl w:ilvl="8" w:tplc="F8C8989E">
      <w:start w:val="1"/>
      <w:numFmt w:val="bullet"/>
      <w:lvlText w:val=""/>
      <w:lvlJc w:val="left"/>
      <w:pPr>
        <w:ind w:left="6480" w:hanging="360"/>
      </w:pPr>
      <w:rPr>
        <w:rFonts w:ascii="Wingdings" w:hAnsi="Wingdings" w:hint="default"/>
      </w:rPr>
    </w:lvl>
  </w:abstractNum>
  <w:abstractNum w:abstractNumId="9" w15:restartNumberingAfterBreak="0">
    <w:nsid w:val="37073EC2"/>
    <w:multiLevelType w:val="hybridMultilevel"/>
    <w:tmpl w:val="938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530CA"/>
    <w:multiLevelType w:val="multilevel"/>
    <w:tmpl w:val="221E469A"/>
    <w:styleLink w:val="Style1"/>
    <w:lvl w:ilvl="0">
      <w:start w:val="1"/>
      <w:numFmt w:val="decimal"/>
      <w:lvlText w:val="2.%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6C6E20"/>
    <w:multiLevelType w:val="multilevel"/>
    <w:tmpl w:val="3A12390E"/>
    <w:lvl w:ilvl="0">
      <w:start w:val="1"/>
      <w:numFmt w:val="decimal"/>
      <w:pStyle w:val="Style2"/>
      <w:lvlText w:val="2.%1"/>
      <w:lvlJc w:val="left"/>
      <w:pPr>
        <w:ind w:left="360" w:hanging="360"/>
      </w:pPr>
      <w:rPr>
        <w:rFonts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003A2"/>
    <w:multiLevelType w:val="hybridMultilevel"/>
    <w:tmpl w:val="FC701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C56520"/>
    <w:multiLevelType w:val="hybridMultilevel"/>
    <w:tmpl w:val="032C1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D6AD3"/>
    <w:multiLevelType w:val="hybridMultilevel"/>
    <w:tmpl w:val="BCF8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C66B1"/>
    <w:multiLevelType w:val="hybridMultilevel"/>
    <w:tmpl w:val="8FB0BFC2"/>
    <w:lvl w:ilvl="0" w:tplc="7A9C2E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865629">
    <w:abstractNumId w:val="2"/>
  </w:num>
  <w:num w:numId="2" w16cid:durableId="1706908176">
    <w:abstractNumId w:val="11"/>
  </w:num>
  <w:num w:numId="3" w16cid:durableId="1951888265">
    <w:abstractNumId w:val="10"/>
  </w:num>
  <w:num w:numId="4" w16cid:durableId="939261959">
    <w:abstractNumId w:val="7"/>
  </w:num>
  <w:num w:numId="5" w16cid:durableId="982851599">
    <w:abstractNumId w:val="5"/>
  </w:num>
  <w:num w:numId="6" w16cid:durableId="1129978668">
    <w:abstractNumId w:val="6"/>
  </w:num>
  <w:num w:numId="7" w16cid:durableId="2114081737">
    <w:abstractNumId w:val="8"/>
  </w:num>
  <w:num w:numId="8" w16cid:durableId="1481969476">
    <w:abstractNumId w:val="3"/>
  </w:num>
  <w:num w:numId="9" w16cid:durableId="283461377">
    <w:abstractNumId w:val="4"/>
  </w:num>
  <w:num w:numId="10" w16cid:durableId="885725884">
    <w:abstractNumId w:val="12"/>
  </w:num>
  <w:num w:numId="11" w16cid:durableId="218711463">
    <w:abstractNumId w:val="13"/>
  </w:num>
  <w:num w:numId="12" w16cid:durableId="736637377">
    <w:abstractNumId w:val="14"/>
  </w:num>
  <w:num w:numId="13" w16cid:durableId="2057970344">
    <w:abstractNumId w:val="15"/>
  </w:num>
  <w:num w:numId="14" w16cid:durableId="1387991122">
    <w:abstractNumId w:val="0"/>
  </w:num>
  <w:num w:numId="15" w16cid:durableId="1822232981">
    <w:abstractNumId w:val="9"/>
  </w:num>
  <w:num w:numId="16" w16cid:durableId="12305789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91"/>
    <w:rsid w:val="00000CBA"/>
    <w:rsid w:val="00000E56"/>
    <w:rsid w:val="00000F14"/>
    <w:rsid w:val="000016B2"/>
    <w:rsid w:val="00001F9E"/>
    <w:rsid w:val="0000208E"/>
    <w:rsid w:val="00002C79"/>
    <w:rsid w:val="00003FA4"/>
    <w:rsid w:val="0000469B"/>
    <w:rsid w:val="00004DC1"/>
    <w:rsid w:val="00005123"/>
    <w:rsid w:val="000056A6"/>
    <w:rsid w:val="00006289"/>
    <w:rsid w:val="000063A8"/>
    <w:rsid w:val="00006D38"/>
    <w:rsid w:val="00007547"/>
    <w:rsid w:val="000075F4"/>
    <w:rsid w:val="00007927"/>
    <w:rsid w:val="00007995"/>
    <w:rsid w:val="0001041D"/>
    <w:rsid w:val="000104DF"/>
    <w:rsid w:val="00010532"/>
    <w:rsid w:val="00010C85"/>
    <w:rsid w:val="00011AF5"/>
    <w:rsid w:val="00011D84"/>
    <w:rsid w:val="00011DCC"/>
    <w:rsid w:val="00012344"/>
    <w:rsid w:val="00012498"/>
    <w:rsid w:val="0001253A"/>
    <w:rsid w:val="000125C3"/>
    <w:rsid w:val="00012A0C"/>
    <w:rsid w:val="000133A7"/>
    <w:rsid w:val="00013BA2"/>
    <w:rsid w:val="00014B75"/>
    <w:rsid w:val="00014B89"/>
    <w:rsid w:val="00014F05"/>
    <w:rsid w:val="000154D1"/>
    <w:rsid w:val="00015634"/>
    <w:rsid w:val="00016428"/>
    <w:rsid w:val="00016525"/>
    <w:rsid w:val="00016C71"/>
    <w:rsid w:val="00016FFA"/>
    <w:rsid w:val="00017B59"/>
    <w:rsid w:val="00017F54"/>
    <w:rsid w:val="000210D5"/>
    <w:rsid w:val="000213CB"/>
    <w:rsid w:val="000219BD"/>
    <w:rsid w:val="000228CC"/>
    <w:rsid w:val="0002316B"/>
    <w:rsid w:val="00023175"/>
    <w:rsid w:val="00023BEA"/>
    <w:rsid w:val="000244FE"/>
    <w:rsid w:val="00024AEE"/>
    <w:rsid w:val="000258D8"/>
    <w:rsid w:val="00026072"/>
    <w:rsid w:val="0002688A"/>
    <w:rsid w:val="0002769F"/>
    <w:rsid w:val="0002778B"/>
    <w:rsid w:val="00027ABF"/>
    <w:rsid w:val="0003003D"/>
    <w:rsid w:val="00030DE3"/>
    <w:rsid w:val="00030EC4"/>
    <w:rsid w:val="00031686"/>
    <w:rsid w:val="00031B3B"/>
    <w:rsid w:val="00031EA5"/>
    <w:rsid w:val="000330AC"/>
    <w:rsid w:val="00033270"/>
    <w:rsid w:val="00033696"/>
    <w:rsid w:val="00033AC4"/>
    <w:rsid w:val="00033DE8"/>
    <w:rsid w:val="00035434"/>
    <w:rsid w:val="000354A8"/>
    <w:rsid w:val="0003597C"/>
    <w:rsid w:val="00036186"/>
    <w:rsid w:val="000373C1"/>
    <w:rsid w:val="00040798"/>
    <w:rsid w:val="00040DE1"/>
    <w:rsid w:val="00042AEF"/>
    <w:rsid w:val="00042C32"/>
    <w:rsid w:val="000433EC"/>
    <w:rsid w:val="00043592"/>
    <w:rsid w:val="00043785"/>
    <w:rsid w:val="00043D6A"/>
    <w:rsid w:val="00043E3E"/>
    <w:rsid w:val="00045010"/>
    <w:rsid w:val="0004617B"/>
    <w:rsid w:val="00046773"/>
    <w:rsid w:val="000470DB"/>
    <w:rsid w:val="00047CF2"/>
    <w:rsid w:val="000500BC"/>
    <w:rsid w:val="0005021C"/>
    <w:rsid w:val="00050766"/>
    <w:rsid w:val="00050C89"/>
    <w:rsid w:val="0005199C"/>
    <w:rsid w:val="00051BA7"/>
    <w:rsid w:val="00051F59"/>
    <w:rsid w:val="00052565"/>
    <w:rsid w:val="00053642"/>
    <w:rsid w:val="00053AF5"/>
    <w:rsid w:val="00053C72"/>
    <w:rsid w:val="00053DD8"/>
    <w:rsid w:val="00053E48"/>
    <w:rsid w:val="00053FA9"/>
    <w:rsid w:val="00054AFD"/>
    <w:rsid w:val="00054B21"/>
    <w:rsid w:val="00054D4A"/>
    <w:rsid w:val="00054E43"/>
    <w:rsid w:val="00054FA4"/>
    <w:rsid w:val="0005507E"/>
    <w:rsid w:val="00055367"/>
    <w:rsid w:val="0005550F"/>
    <w:rsid w:val="00055E2C"/>
    <w:rsid w:val="00056B1D"/>
    <w:rsid w:val="000576E0"/>
    <w:rsid w:val="00057BFF"/>
    <w:rsid w:val="00060602"/>
    <w:rsid w:val="00060990"/>
    <w:rsid w:val="00061A90"/>
    <w:rsid w:val="00062510"/>
    <w:rsid w:val="00062596"/>
    <w:rsid w:val="00062BCE"/>
    <w:rsid w:val="00062E2C"/>
    <w:rsid w:val="0006322D"/>
    <w:rsid w:val="000660FD"/>
    <w:rsid w:val="000668B2"/>
    <w:rsid w:val="000673B0"/>
    <w:rsid w:val="00070C08"/>
    <w:rsid w:val="0007111E"/>
    <w:rsid w:val="000720E8"/>
    <w:rsid w:val="00072931"/>
    <w:rsid w:val="000729EF"/>
    <w:rsid w:val="00072DFE"/>
    <w:rsid w:val="000731C8"/>
    <w:rsid w:val="0007330B"/>
    <w:rsid w:val="000737FF"/>
    <w:rsid w:val="00073F84"/>
    <w:rsid w:val="000742A5"/>
    <w:rsid w:val="00074673"/>
    <w:rsid w:val="0007477E"/>
    <w:rsid w:val="00075496"/>
    <w:rsid w:val="00075934"/>
    <w:rsid w:val="00077805"/>
    <w:rsid w:val="00077DFB"/>
    <w:rsid w:val="00077FE7"/>
    <w:rsid w:val="00080D66"/>
    <w:rsid w:val="00082663"/>
    <w:rsid w:val="000829A6"/>
    <w:rsid w:val="00083C73"/>
    <w:rsid w:val="00083DC9"/>
    <w:rsid w:val="00085327"/>
    <w:rsid w:val="000857F3"/>
    <w:rsid w:val="000859C1"/>
    <w:rsid w:val="000859C7"/>
    <w:rsid w:val="00086A6B"/>
    <w:rsid w:val="00086EFC"/>
    <w:rsid w:val="00087829"/>
    <w:rsid w:val="00087AAE"/>
    <w:rsid w:val="000902B4"/>
    <w:rsid w:val="00090EAD"/>
    <w:rsid w:val="00091070"/>
    <w:rsid w:val="000913D7"/>
    <w:rsid w:val="0009144E"/>
    <w:rsid w:val="000915D3"/>
    <w:rsid w:val="000926AB"/>
    <w:rsid w:val="00092921"/>
    <w:rsid w:val="0009342B"/>
    <w:rsid w:val="0009360A"/>
    <w:rsid w:val="00094EE1"/>
    <w:rsid w:val="00095487"/>
    <w:rsid w:val="00095539"/>
    <w:rsid w:val="00096D11"/>
    <w:rsid w:val="00096D48"/>
    <w:rsid w:val="00097F1C"/>
    <w:rsid w:val="000A09D2"/>
    <w:rsid w:val="000A0D92"/>
    <w:rsid w:val="000A106B"/>
    <w:rsid w:val="000A1F1A"/>
    <w:rsid w:val="000A28F3"/>
    <w:rsid w:val="000A42A1"/>
    <w:rsid w:val="000A492E"/>
    <w:rsid w:val="000A52D8"/>
    <w:rsid w:val="000A569E"/>
    <w:rsid w:val="000A6C4C"/>
    <w:rsid w:val="000A6D08"/>
    <w:rsid w:val="000A6F87"/>
    <w:rsid w:val="000A73ED"/>
    <w:rsid w:val="000A7F00"/>
    <w:rsid w:val="000B04F4"/>
    <w:rsid w:val="000B0676"/>
    <w:rsid w:val="000B09AB"/>
    <w:rsid w:val="000B1F57"/>
    <w:rsid w:val="000B3054"/>
    <w:rsid w:val="000B386B"/>
    <w:rsid w:val="000B4C30"/>
    <w:rsid w:val="000B59FF"/>
    <w:rsid w:val="000B61D7"/>
    <w:rsid w:val="000B6C24"/>
    <w:rsid w:val="000B6E54"/>
    <w:rsid w:val="000B7545"/>
    <w:rsid w:val="000B7E9E"/>
    <w:rsid w:val="000B7F43"/>
    <w:rsid w:val="000C004C"/>
    <w:rsid w:val="000C0DE5"/>
    <w:rsid w:val="000C147E"/>
    <w:rsid w:val="000C28CD"/>
    <w:rsid w:val="000C2CB9"/>
    <w:rsid w:val="000C3572"/>
    <w:rsid w:val="000C35D7"/>
    <w:rsid w:val="000C37D1"/>
    <w:rsid w:val="000C3A25"/>
    <w:rsid w:val="000C41F6"/>
    <w:rsid w:val="000C47CA"/>
    <w:rsid w:val="000C4FC0"/>
    <w:rsid w:val="000C6362"/>
    <w:rsid w:val="000C6A10"/>
    <w:rsid w:val="000C6A71"/>
    <w:rsid w:val="000C6AA6"/>
    <w:rsid w:val="000C6EAF"/>
    <w:rsid w:val="000C75FF"/>
    <w:rsid w:val="000D071E"/>
    <w:rsid w:val="000D0CB7"/>
    <w:rsid w:val="000D1035"/>
    <w:rsid w:val="000D1743"/>
    <w:rsid w:val="000D1CCA"/>
    <w:rsid w:val="000D1CD1"/>
    <w:rsid w:val="000D2643"/>
    <w:rsid w:val="000D2A7E"/>
    <w:rsid w:val="000D39F8"/>
    <w:rsid w:val="000D4436"/>
    <w:rsid w:val="000D4920"/>
    <w:rsid w:val="000D4DB4"/>
    <w:rsid w:val="000D4F21"/>
    <w:rsid w:val="000D5C30"/>
    <w:rsid w:val="000D67F6"/>
    <w:rsid w:val="000D6946"/>
    <w:rsid w:val="000D6F74"/>
    <w:rsid w:val="000D74C9"/>
    <w:rsid w:val="000D7E92"/>
    <w:rsid w:val="000D7EBA"/>
    <w:rsid w:val="000E0636"/>
    <w:rsid w:val="000E1E5B"/>
    <w:rsid w:val="000E3133"/>
    <w:rsid w:val="000E31AC"/>
    <w:rsid w:val="000E358B"/>
    <w:rsid w:val="000E4DE1"/>
    <w:rsid w:val="000E562C"/>
    <w:rsid w:val="000E66D0"/>
    <w:rsid w:val="000E7626"/>
    <w:rsid w:val="000E78BD"/>
    <w:rsid w:val="000F0705"/>
    <w:rsid w:val="000F0C72"/>
    <w:rsid w:val="000F1548"/>
    <w:rsid w:val="000F28D6"/>
    <w:rsid w:val="000F2AA9"/>
    <w:rsid w:val="000F3B06"/>
    <w:rsid w:val="000F4604"/>
    <w:rsid w:val="000F5FBC"/>
    <w:rsid w:val="000F6CF7"/>
    <w:rsid w:val="000F6E91"/>
    <w:rsid w:val="000F7421"/>
    <w:rsid w:val="000F7ADD"/>
    <w:rsid w:val="000F7FE8"/>
    <w:rsid w:val="001013B6"/>
    <w:rsid w:val="00101536"/>
    <w:rsid w:val="0010186D"/>
    <w:rsid w:val="0010295C"/>
    <w:rsid w:val="00102D44"/>
    <w:rsid w:val="00102FF9"/>
    <w:rsid w:val="00103284"/>
    <w:rsid w:val="0010343D"/>
    <w:rsid w:val="001037A7"/>
    <w:rsid w:val="001046B5"/>
    <w:rsid w:val="00105519"/>
    <w:rsid w:val="00105759"/>
    <w:rsid w:val="00105E0A"/>
    <w:rsid w:val="001071F5"/>
    <w:rsid w:val="00107650"/>
    <w:rsid w:val="001079B9"/>
    <w:rsid w:val="00107E5E"/>
    <w:rsid w:val="00110C6B"/>
    <w:rsid w:val="00110E4B"/>
    <w:rsid w:val="00110FFF"/>
    <w:rsid w:val="0011106F"/>
    <w:rsid w:val="00111319"/>
    <w:rsid w:val="001114A8"/>
    <w:rsid w:val="00112FC4"/>
    <w:rsid w:val="00113261"/>
    <w:rsid w:val="00113D58"/>
    <w:rsid w:val="001149DC"/>
    <w:rsid w:val="00114B29"/>
    <w:rsid w:val="00114EE1"/>
    <w:rsid w:val="00115359"/>
    <w:rsid w:val="00115B87"/>
    <w:rsid w:val="001160C8"/>
    <w:rsid w:val="0011680D"/>
    <w:rsid w:val="0011747B"/>
    <w:rsid w:val="0011781E"/>
    <w:rsid w:val="00117F61"/>
    <w:rsid w:val="00120A93"/>
    <w:rsid w:val="00120F06"/>
    <w:rsid w:val="00122383"/>
    <w:rsid w:val="001223B8"/>
    <w:rsid w:val="00122AE7"/>
    <w:rsid w:val="00122B69"/>
    <w:rsid w:val="001232E1"/>
    <w:rsid w:val="00123384"/>
    <w:rsid w:val="00123F80"/>
    <w:rsid w:val="0012442E"/>
    <w:rsid w:val="00124A01"/>
    <w:rsid w:val="00124CE1"/>
    <w:rsid w:val="00124E3A"/>
    <w:rsid w:val="00125DDA"/>
    <w:rsid w:val="00126BBD"/>
    <w:rsid w:val="00126E72"/>
    <w:rsid w:val="00127905"/>
    <w:rsid w:val="0013031D"/>
    <w:rsid w:val="00130B27"/>
    <w:rsid w:val="001313F6"/>
    <w:rsid w:val="00131E3F"/>
    <w:rsid w:val="0013207B"/>
    <w:rsid w:val="00132E48"/>
    <w:rsid w:val="00132E7A"/>
    <w:rsid w:val="00133982"/>
    <w:rsid w:val="001339A7"/>
    <w:rsid w:val="0013432A"/>
    <w:rsid w:val="00134FCE"/>
    <w:rsid w:val="001353A7"/>
    <w:rsid w:val="00135428"/>
    <w:rsid w:val="001354E4"/>
    <w:rsid w:val="00135AFE"/>
    <w:rsid w:val="00135F0D"/>
    <w:rsid w:val="001361CF"/>
    <w:rsid w:val="00136676"/>
    <w:rsid w:val="001371F0"/>
    <w:rsid w:val="00140424"/>
    <w:rsid w:val="001418F3"/>
    <w:rsid w:val="00141AEF"/>
    <w:rsid w:val="00141C5F"/>
    <w:rsid w:val="001421AB"/>
    <w:rsid w:val="00142585"/>
    <w:rsid w:val="001425A2"/>
    <w:rsid w:val="00142CC9"/>
    <w:rsid w:val="0014337E"/>
    <w:rsid w:val="00144B94"/>
    <w:rsid w:val="0014508F"/>
    <w:rsid w:val="00145455"/>
    <w:rsid w:val="00146805"/>
    <w:rsid w:val="00146E00"/>
    <w:rsid w:val="00147AF4"/>
    <w:rsid w:val="00147BBE"/>
    <w:rsid w:val="00147D54"/>
    <w:rsid w:val="00150763"/>
    <w:rsid w:val="00150A12"/>
    <w:rsid w:val="00150A61"/>
    <w:rsid w:val="00152B3E"/>
    <w:rsid w:val="00152CCD"/>
    <w:rsid w:val="00153E6F"/>
    <w:rsid w:val="00154E39"/>
    <w:rsid w:val="00156663"/>
    <w:rsid w:val="00157783"/>
    <w:rsid w:val="0016052A"/>
    <w:rsid w:val="001608B2"/>
    <w:rsid w:val="00160FCF"/>
    <w:rsid w:val="00161318"/>
    <w:rsid w:val="00162459"/>
    <w:rsid w:val="00162E27"/>
    <w:rsid w:val="001638DA"/>
    <w:rsid w:val="00163BF9"/>
    <w:rsid w:val="00163CAF"/>
    <w:rsid w:val="001645F5"/>
    <w:rsid w:val="00165096"/>
    <w:rsid w:val="0016521E"/>
    <w:rsid w:val="00166D76"/>
    <w:rsid w:val="0016731C"/>
    <w:rsid w:val="00167525"/>
    <w:rsid w:val="00167595"/>
    <w:rsid w:val="001679B1"/>
    <w:rsid w:val="00167F16"/>
    <w:rsid w:val="001700CE"/>
    <w:rsid w:val="00170A62"/>
    <w:rsid w:val="00171001"/>
    <w:rsid w:val="001712D1"/>
    <w:rsid w:val="00171DCC"/>
    <w:rsid w:val="001721F5"/>
    <w:rsid w:val="00173374"/>
    <w:rsid w:val="00173440"/>
    <w:rsid w:val="001740E2"/>
    <w:rsid w:val="00176E36"/>
    <w:rsid w:val="001779C7"/>
    <w:rsid w:val="00177CD2"/>
    <w:rsid w:val="00177F8F"/>
    <w:rsid w:val="00180593"/>
    <w:rsid w:val="001818E0"/>
    <w:rsid w:val="0018206C"/>
    <w:rsid w:val="00182C49"/>
    <w:rsid w:val="00182DE1"/>
    <w:rsid w:val="00182E69"/>
    <w:rsid w:val="0018368F"/>
    <w:rsid w:val="001841A7"/>
    <w:rsid w:val="001847A7"/>
    <w:rsid w:val="00184A78"/>
    <w:rsid w:val="00185676"/>
    <w:rsid w:val="00186DD2"/>
    <w:rsid w:val="00187739"/>
    <w:rsid w:val="00187BDD"/>
    <w:rsid w:val="00187C82"/>
    <w:rsid w:val="00190503"/>
    <w:rsid w:val="001917C7"/>
    <w:rsid w:val="00193135"/>
    <w:rsid w:val="00193A0E"/>
    <w:rsid w:val="00193CC2"/>
    <w:rsid w:val="001947C9"/>
    <w:rsid w:val="00194EDF"/>
    <w:rsid w:val="0019556C"/>
    <w:rsid w:val="00197813"/>
    <w:rsid w:val="001A0014"/>
    <w:rsid w:val="001A05AB"/>
    <w:rsid w:val="001A0ABD"/>
    <w:rsid w:val="001A102B"/>
    <w:rsid w:val="001A109C"/>
    <w:rsid w:val="001A133B"/>
    <w:rsid w:val="001A2C48"/>
    <w:rsid w:val="001A3871"/>
    <w:rsid w:val="001A3FBB"/>
    <w:rsid w:val="001A46ED"/>
    <w:rsid w:val="001A5E95"/>
    <w:rsid w:val="001A619D"/>
    <w:rsid w:val="001A6805"/>
    <w:rsid w:val="001A6950"/>
    <w:rsid w:val="001A6AD0"/>
    <w:rsid w:val="001A6CE0"/>
    <w:rsid w:val="001A7066"/>
    <w:rsid w:val="001A719A"/>
    <w:rsid w:val="001A73F8"/>
    <w:rsid w:val="001B0C1C"/>
    <w:rsid w:val="001B10D5"/>
    <w:rsid w:val="001B1C47"/>
    <w:rsid w:val="001B23F5"/>
    <w:rsid w:val="001B29C3"/>
    <w:rsid w:val="001B30EA"/>
    <w:rsid w:val="001B3644"/>
    <w:rsid w:val="001B3751"/>
    <w:rsid w:val="001B3850"/>
    <w:rsid w:val="001B3A8B"/>
    <w:rsid w:val="001B3C47"/>
    <w:rsid w:val="001B3E58"/>
    <w:rsid w:val="001B4C8D"/>
    <w:rsid w:val="001B4CE2"/>
    <w:rsid w:val="001B5621"/>
    <w:rsid w:val="001B5B4F"/>
    <w:rsid w:val="001B7921"/>
    <w:rsid w:val="001B79FC"/>
    <w:rsid w:val="001B7AE9"/>
    <w:rsid w:val="001C4859"/>
    <w:rsid w:val="001C5619"/>
    <w:rsid w:val="001C791B"/>
    <w:rsid w:val="001D0240"/>
    <w:rsid w:val="001D05B1"/>
    <w:rsid w:val="001D2555"/>
    <w:rsid w:val="001D4BAC"/>
    <w:rsid w:val="001D5421"/>
    <w:rsid w:val="001D6574"/>
    <w:rsid w:val="001D6D08"/>
    <w:rsid w:val="001E0850"/>
    <w:rsid w:val="001E0EF7"/>
    <w:rsid w:val="001E1FE8"/>
    <w:rsid w:val="001E2DA1"/>
    <w:rsid w:val="001E3342"/>
    <w:rsid w:val="001E4057"/>
    <w:rsid w:val="001E43C8"/>
    <w:rsid w:val="001E4732"/>
    <w:rsid w:val="001E5EC6"/>
    <w:rsid w:val="001E61FC"/>
    <w:rsid w:val="001E660A"/>
    <w:rsid w:val="001E692E"/>
    <w:rsid w:val="001E6C3E"/>
    <w:rsid w:val="001E708E"/>
    <w:rsid w:val="001E75E3"/>
    <w:rsid w:val="001E7795"/>
    <w:rsid w:val="001F04DD"/>
    <w:rsid w:val="001F1126"/>
    <w:rsid w:val="001F1BB7"/>
    <w:rsid w:val="001F1DD9"/>
    <w:rsid w:val="001F1E1D"/>
    <w:rsid w:val="001F1E7F"/>
    <w:rsid w:val="001F1F7A"/>
    <w:rsid w:val="001F24C4"/>
    <w:rsid w:val="001F4569"/>
    <w:rsid w:val="001F4591"/>
    <w:rsid w:val="001F4745"/>
    <w:rsid w:val="001F4C74"/>
    <w:rsid w:val="001F4E3C"/>
    <w:rsid w:val="001F54EA"/>
    <w:rsid w:val="001F5C86"/>
    <w:rsid w:val="001F5EB8"/>
    <w:rsid w:val="001F7006"/>
    <w:rsid w:val="001F7975"/>
    <w:rsid w:val="001F7CC8"/>
    <w:rsid w:val="001F7E78"/>
    <w:rsid w:val="002005DA"/>
    <w:rsid w:val="00202C59"/>
    <w:rsid w:val="00202F0C"/>
    <w:rsid w:val="00202F3B"/>
    <w:rsid w:val="002038FD"/>
    <w:rsid w:val="00204283"/>
    <w:rsid w:val="0020555C"/>
    <w:rsid w:val="00205F7A"/>
    <w:rsid w:val="00206543"/>
    <w:rsid w:val="0020693B"/>
    <w:rsid w:val="002069C5"/>
    <w:rsid w:val="00206E85"/>
    <w:rsid w:val="00207B02"/>
    <w:rsid w:val="00207B14"/>
    <w:rsid w:val="0021062B"/>
    <w:rsid w:val="00210812"/>
    <w:rsid w:val="00210852"/>
    <w:rsid w:val="00210BD1"/>
    <w:rsid w:val="00210FA1"/>
    <w:rsid w:val="00211871"/>
    <w:rsid w:val="0021345A"/>
    <w:rsid w:val="00214C75"/>
    <w:rsid w:val="002159AB"/>
    <w:rsid w:val="00216C09"/>
    <w:rsid w:val="0021783E"/>
    <w:rsid w:val="00217AAD"/>
    <w:rsid w:val="00220689"/>
    <w:rsid w:val="002207FC"/>
    <w:rsid w:val="0022098C"/>
    <w:rsid w:val="00221F34"/>
    <w:rsid w:val="00221F5D"/>
    <w:rsid w:val="0022201B"/>
    <w:rsid w:val="00223125"/>
    <w:rsid w:val="00223158"/>
    <w:rsid w:val="00223420"/>
    <w:rsid w:val="002238AD"/>
    <w:rsid w:val="002247B1"/>
    <w:rsid w:val="00224A94"/>
    <w:rsid w:val="00225734"/>
    <w:rsid w:val="0022719F"/>
    <w:rsid w:val="00227C5A"/>
    <w:rsid w:val="00230B4F"/>
    <w:rsid w:val="00230E3F"/>
    <w:rsid w:val="002315F6"/>
    <w:rsid w:val="002318A2"/>
    <w:rsid w:val="00231BAB"/>
    <w:rsid w:val="002327DB"/>
    <w:rsid w:val="00233F85"/>
    <w:rsid w:val="0023405D"/>
    <w:rsid w:val="00235000"/>
    <w:rsid w:val="0023507E"/>
    <w:rsid w:val="0023621F"/>
    <w:rsid w:val="00236A37"/>
    <w:rsid w:val="00236ABC"/>
    <w:rsid w:val="00236C9E"/>
    <w:rsid w:val="00237F8C"/>
    <w:rsid w:val="00240D80"/>
    <w:rsid w:val="00241003"/>
    <w:rsid w:val="00241142"/>
    <w:rsid w:val="00241155"/>
    <w:rsid w:val="00241247"/>
    <w:rsid w:val="00241471"/>
    <w:rsid w:val="0024212A"/>
    <w:rsid w:val="00242AE1"/>
    <w:rsid w:val="00244257"/>
    <w:rsid w:val="002442D2"/>
    <w:rsid w:val="002444B0"/>
    <w:rsid w:val="002446D8"/>
    <w:rsid w:val="00245741"/>
    <w:rsid w:val="00247790"/>
    <w:rsid w:val="00250A71"/>
    <w:rsid w:val="00250C2E"/>
    <w:rsid w:val="00250E39"/>
    <w:rsid w:val="00251569"/>
    <w:rsid w:val="00251C6B"/>
    <w:rsid w:val="00251E19"/>
    <w:rsid w:val="00252757"/>
    <w:rsid w:val="002533F9"/>
    <w:rsid w:val="00254120"/>
    <w:rsid w:val="002541DA"/>
    <w:rsid w:val="00254206"/>
    <w:rsid w:val="002545D4"/>
    <w:rsid w:val="00254C82"/>
    <w:rsid w:val="0025529D"/>
    <w:rsid w:val="002560C4"/>
    <w:rsid w:val="00256C2D"/>
    <w:rsid w:val="00257264"/>
    <w:rsid w:val="002575D9"/>
    <w:rsid w:val="00257F17"/>
    <w:rsid w:val="00257F63"/>
    <w:rsid w:val="002617F3"/>
    <w:rsid w:val="00262116"/>
    <w:rsid w:val="00262345"/>
    <w:rsid w:val="00262D18"/>
    <w:rsid w:val="002632A0"/>
    <w:rsid w:val="002633E9"/>
    <w:rsid w:val="00263614"/>
    <w:rsid w:val="002648FF"/>
    <w:rsid w:val="00264EDC"/>
    <w:rsid w:val="00264F45"/>
    <w:rsid w:val="002701E0"/>
    <w:rsid w:val="002712BB"/>
    <w:rsid w:val="00271470"/>
    <w:rsid w:val="0027192D"/>
    <w:rsid w:val="00271D3D"/>
    <w:rsid w:val="0027202E"/>
    <w:rsid w:val="00272572"/>
    <w:rsid w:val="00272886"/>
    <w:rsid w:val="002733C1"/>
    <w:rsid w:val="00273681"/>
    <w:rsid w:val="00274B62"/>
    <w:rsid w:val="00275071"/>
    <w:rsid w:val="002754C5"/>
    <w:rsid w:val="0027791E"/>
    <w:rsid w:val="00277E56"/>
    <w:rsid w:val="0028065B"/>
    <w:rsid w:val="00280C85"/>
    <w:rsid w:val="00281375"/>
    <w:rsid w:val="002818C2"/>
    <w:rsid w:val="00281C7E"/>
    <w:rsid w:val="00281E2E"/>
    <w:rsid w:val="0028356D"/>
    <w:rsid w:val="00284059"/>
    <w:rsid w:val="0028466F"/>
    <w:rsid w:val="0028505F"/>
    <w:rsid w:val="002858A3"/>
    <w:rsid w:val="00285971"/>
    <w:rsid w:val="00285B7F"/>
    <w:rsid w:val="00285E33"/>
    <w:rsid w:val="002863C0"/>
    <w:rsid w:val="0028661F"/>
    <w:rsid w:val="00286B5F"/>
    <w:rsid w:val="00286CC0"/>
    <w:rsid w:val="00287966"/>
    <w:rsid w:val="00287E9C"/>
    <w:rsid w:val="0029008D"/>
    <w:rsid w:val="002901CD"/>
    <w:rsid w:val="002903FB"/>
    <w:rsid w:val="00291D97"/>
    <w:rsid w:val="00292587"/>
    <w:rsid w:val="0029289D"/>
    <w:rsid w:val="002934F3"/>
    <w:rsid w:val="00293B44"/>
    <w:rsid w:val="002946F2"/>
    <w:rsid w:val="00294C1C"/>
    <w:rsid w:val="00294D5F"/>
    <w:rsid w:val="00295367"/>
    <w:rsid w:val="002963D3"/>
    <w:rsid w:val="00296758"/>
    <w:rsid w:val="00296EE9"/>
    <w:rsid w:val="002973CE"/>
    <w:rsid w:val="00297962"/>
    <w:rsid w:val="00297E1B"/>
    <w:rsid w:val="002A013D"/>
    <w:rsid w:val="002A030A"/>
    <w:rsid w:val="002A0EBB"/>
    <w:rsid w:val="002A128D"/>
    <w:rsid w:val="002A1891"/>
    <w:rsid w:val="002A195F"/>
    <w:rsid w:val="002A1A05"/>
    <w:rsid w:val="002A1BAA"/>
    <w:rsid w:val="002A2545"/>
    <w:rsid w:val="002A3153"/>
    <w:rsid w:val="002A31F1"/>
    <w:rsid w:val="002A43B9"/>
    <w:rsid w:val="002A458B"/>
    <w:rsid w:val="002A49A2"/>
    <w:rsid w:val="002A52EA"/>
    <w:rsid w:val="002A589B"/>
    <w:rsid w:val="002A64F9"/>
    <w:rsid w:val="002A6753"/>
    <w:rsid w:val="002A6A80"/>
    <w:rsid w:val="002A76C1"/>
    <w:rsid w:val="002B0A24"/>
    <w:rsid w:val="002B0C40"/>
    <w:rsid w:val="002B0D6D"/>
    <w:rsid w:val="002B0EC3"/>
    <w:rsid w:val="002B263C"/>
    <w:rsid w:val="002B2C6C"/>
    <w:rsid w:val="002B2DF2"/>
    <w:rsid w:val="002B454C"/>
    <w:rsid w:val="002B462A"/>
    <w:rsid w:val="002B4877"/>
    <w:rsid w:val="002B4A16"/>
    <w:rsid w:val="002B4C8C"/>
    <w:rsid w:val="002B5031"/>
    <w:rsid w:val="002B5D55"/>
    <w:rsid w:val="002B6CBE"/>
    <w:rsid w:val="002B6E96"/>
    <w:rsid w:val="002B7C18"/>
    <w:rsid w:val="002C0677"/>
    <w:rsid w:val="002C06E6"/>
    <w:rsid w:val="002C0936"/>
    <w:rsid w:val="002C0F3D"/>
    <w:rsid w:val="002C170E"/>
    <w:rsid w:val="002C1778"/>
    <w:rsid w:val="002C19B9"/>
    <w:rsid w:val="002C1D39"/>
    <w:rsid w:val="002C227C"/>
    <w:rsid w:val="002C23D4"/>
    <w:rsid w:val="002C27D7"/>
    <w:rsid w:val="002C29F5"/>
    <w:rsid w:val="002C2AE3"/>
    <w:rsid w:val="002C3411"/>
    <w:rsid w:val="002C3422"/>
    <w:rsid w:val="002C4098"/>
    <w:rsid w:val="002C43D6"/>
    <w:rsid w:val="002C497B"/>
    <w:rsid w:val="002C4AB5"/>
    <w:rsid w:val="002C4B6C"/>
    <w:rsid w:val="002C4C85"/>
    <w:rsid w:val="002C529F"/>
    <w:rsid w:val="002C5722"/>
    <w:rsid w:val="002C6085"/>
    <w:rsid w:val="002C6A87"/>
    <w:rsid w:val="002C6B8D"/>
    <w:rsid w:val="002C741B"/>
    <w:rsid w:val="002C7E58"/>
    <w:rsid w:val="002D036D"/>
    <w:rsid w:val="002D0893"/>
    <w:rsid w:val="002D0DD0"/>
    <w:rsid w:val="002D1B02"/>
    <w:rsid w:val="002D2FA3"/>
    <w:rsid w:val="002D316A"/>
    <w:rsid w:val="002D31A0"/>
    <w:rsid w:val="002D39D8"/>
    <w:rsid w:val="002D3C4D"/>
    <w:rsid w:val="002D3D6A"/>
    <w:rsid w:val="002D3DEC"/>
    <w:rsid w:val="002D44A3"/>
    <w:rsid w:val="002D452B"/>
    <w:rsid w:val="002D4BD8"/>
    <w:rsid w:val="002D649C"/>
    <w:rsid w:val="002E00FB"/>
    <w:rsid w:val="002E0BE9"/>
    <w:rsid w:val="002E0DE1"/>
    <w:rsid w:val="002E0F40"/>
    <w:rsid w:val="002E39A3"/>
    <w:rsid w:val="002E3B5C"/>
    <w:rsid w:val="002E4432"/>
    <w:rsid w:val="002E4CFF"/>
    <w:rsid w:val="002E5C76"/>
    <w:rsid w:val="002E6151"/>
    <w:rsid w:val="002E661D"/>
    <w:rsid w:val="002E6F67"/>
    <w:rsid w:val="002F0337"/>
    <w:rsid w:val="002F1BEE"/>
    <w:rsid w:val="002F1C26"/>
    <w:rsid w:val="002F2F73"/>
    <w:rsid w:val="002F2F87"/>
    <w:rsid w:val="002F3678"/>
    <w:rsid w:val="002F40E8"/>
    <w:rsid w:val="002F480F"/>
    <w:rsid w:val="002F4EC8"/>
    <w:rsid w:val="002F56F7"/>
    <w:rsid w:val="002F68CD"/>
    <w:rsid w:val="002F7701"/>
    <w:rsid w:val="002F7A1B"/>
    <w:rsid w:val="00301475"/>
    <w:rsid w:val="00301806"/>
    <w:rsid w:val="00301837"/>
    <w:rsid w:val="00301CCB"/>
    <w:rsid w:val="00301E62"/>
    <w:rsid w:val="00302C05"/>
    <w:rsid w:val="0030341E"/>
    <w:rsid w:val="00303CF0"/>
    <w:rsid w:val="00303F96"/>
    <w:rsid w:val="003051E0"/>
    <w:rsid w:val="003057C9"/>
    <w:rsid w:val="00305A29"/>
    <w:rsid w:val="00306138"/>
    <w:rsid w:val="00306332"/>
    <w:rsid w:val="00306E78"/>
    <w:rsid w:val="00307B94"/>
    <w:rsid w:val="003124C2"/>
    <w:rsid w:val="0031294F"/>
    <w:rsid w:val="00314106"/>
    <w:rsid w:val="00314217"/>
    <w:rsid w:val="0031475D"/>
    <w:rsid w:val="003148D4"/>
    <w:rsid w:val="00315A00"/>
    <w:rsid w:val="00316544"/>
    <w:rsid w:val="003167B9"/>
    <w:rsid w:val="00316A6A"/>
    <w:rsid w:val="00320CC8"/>
    <w:rsid w:val="003215AD"/>
    <w:rsid w:val="003218A5"/>
    <w:rsid w:val="003223D3"/>
    <w:rsid w:val="003226F1"/>
    <w:rsid w:val="003231BB"/>
    <w:rsid w:val="0032386B"/>
    <w:rsid w:val="003243D1"/>
    <w:rsid w:val="00324AE9"/>
    <w:rsid w:val="00324E84"/>
    <w:rsid w:val="0032537C"/>
    <w:rsid w:val="00325542"/>
    <w:rsid w:val="00325622"/>
    <w:rsid w:val="00326632"/>
    <w:rsid w:val="003266B5"/>
    <w:rsid w:val="00327033"/>
    <w:rsid w:val="003270C8"/>
    <w:rsid w:val="00327281"/>
    <w:rsid w:val="00327B79"/>
    <w:rsid w:val="00327D41"/>
    <w:rsid w:val="00327D62"/>
    <w:rsid w:val="003306F4"/>
    <w:rsid w:val="00330AA8"/>
    <w:rsid w:val="00330E34"/>
    <w:rsid w:val="003318DD"/>
    <w:rsid w:val="00332E9B"/>
    <w:rsid w:val="0033341D"/>
    <w:rsid w:val="00333453"/>
    <w:rsid w:val="00333C4F"/>
    <w:rsid w:val="00333D6B"/>
    <w:rsid w:val="00334BC9"/>
    <w:rsid w:val="00334D79"/>
    <w:rsid w:val="00334D9F"/>
    <w:rsid w:val="003360DB"/>
    <w:rsid w:val="003361BB"/>
    <w:rsid w:val="0033672C"/>
    <w:rsid w:val="00336AC5"/>
    <w:rsid w:val="00336D52"/>
    <w:rsid w:val="00336E85"/>
    <w:rsid w:val="0033724D"/>
    <w:rsid w:val="003376DB"/>
    <w:rsid w:val="003378D5"/>
    <w:rsid w:val="00337993"/>
    <w:rsid w:val="00337D02"/>
    <w:rsid w:val="00337FB5"/>
    <w:rsid w:val="00340622"/>
    <w:rsid w:val="003425BF"/>
    <w:rsid w:val="00342C06"/>
    <w:rsid w:val="0034340C"/>
    <w:rsid w:val="00343692"/>
    <w:rsid w:val="00343751"/>
    <w:rsid w:val="003438E9"/>
    <w:rsid w:val="00343A28"/>
    <w:rsid w:val="00343BD7"/>
    <w:rsid w:val="0034456F"/>
    <w:rsid w:val="00345787"/>
    <w:rsid w:val="00346EE9"/>
    <w:rsid w:val="003479FF"/>
    <w:rsid w:val="00350250"/>
    <w:rsid w:val="00350C49"/>
    <w:rsid w:val="003516FB"/>
    <w:rsid w:val="00352DD5"/>
    <w:rsid w:val="0035515C"/>
    <w:rsid w:val="003551EE"/>
    <w:rsid w:val="003559B2"/>
    <w:rsid w:val="00355A9E"/>
    <w:rsid w:val="00357399"/>
    <w:rsid w:val="003603A1"/>
    <w:rsid w:val="003605FA"/>
    <w:rsid w:val="003621A1"/>
    <w:rsid w:val="0036249D"/>
    <w:rsid w:val="00362D47"/>
    <w:rsid w:val="00362DE0"/>
    <w:rsid w:val="003634A5"/>
    <w:rsid w:val="00363AB9"/>
    <w:rsid w:val="00364036"/>
    <w:rsid w:val="003643BB"/>
    <w:rsid w:val="00365025"/>
    <w:rsid w:val="00366CAA"/>
    <w:rsid w:val="003676AD"/>
    <w:rsid w:val="00370684"/>
    <w:rsid w:val="00370A8A"/>
    <w:rsid w:val="0037121C"/>
    <w:rsid w:val="0037137D"/>
    <w:rsid w:val="003713E3"/>
    <w:rsid w:val="00371426"/>
    <w:rsid w:val="003716DD"/>
    <w:rsid w:val="00372427"/>
    <w:rsid w:val="00372F20"/>
    <w:rsid w:val="00374DE7"/>
    <w:rsid w:val="003750E3"/>
    <w:rsid w:val="0037522A"/>
    <w:rsid w:val="00375407"/>
    <w:rsid w:val="00376575"/>
    <w:rsid w:val="00376A86"/>
    <w:rsid w:val="00377763"/>
    <w:rsid w:val="00377980"/>
    <w:rsid w:val="00377E8B"/>
    <w:rsid w:val="00377F36"/>
    <w:rsid w:val="00380158"/>
    <w:rsid w:val="00380655"/>
    <w:rsid w:val="003812F3"/>
    <w:rsid w:val="00381B9D"/>
    <w:rsid w:val="0038204E"/>
    <w:rsid w:val="0038269B"/>
    <w:rsid w:val="003827E2"/>
    <w:rsid w:val="00382EC9"/>
    <w:rsid w:val="00382F89"/>
    <w:rsid w:val="003831E6"/>
    <w:rsid w:val="00383930"/>
    <w:rsid w:val="003840AC"/>
    <w:rsid w:val="00384C6C"/>
    <w:rsid w:val="00384FB4"/>
    <w:rsid w:val="00385CF2"/>
    <w:rsid w:val="00386462"/>
    <w:rsid w:val="003864E7"/>
    <w:rsid w:val="003866C7"/>
    <w:rsid w:val="00386EF9"/>
    <w:rsid w:val="003878F9"/>
    <w:rsid w:val="00387F28"/>
    <w:rsid w:val="00390022"/>
    <w:rsid w:val="00390146"/>
    <w:rsid w:val="00390AE5"/>
    <w:rsid w:val="00390F28"/>
    <w:rsid w:val="0039176F"/>
    <w:rsid w:val="003925D4"/>
    <w:rsid w:val="003931E6"/>
    <w:rsid w:val="00393222"/>
    <w:rsid w:val="0039378D"/>
    <w:rsid w:val="00394F2D"/>
    <w:rsid w:val="0039544A"/>
    <w:rsid w:val="003968C0"/>
    <w:rsid w:val="00397B33"/>
    <w:rsid w:val="003A04E5"/>
    <w:rsid w:val="003A1111"/>
    <w:rsid w:val="003A1974"/>
    <w:rsid w:val="003A19F5"/>
    <w:rsid w:val="003A1D80"/>
    <w:rsid w:val="003A3654"/>
    <w:rsid w:val="003A3AA9"/>
    <w:rsid w:val="003A3FC8"/>
    <w:rsid w:val="003A4339"/>
    <w:rsid w:val="003A4A8D"/>
    <w:rsid w:val="003A4D8C"/>
    <w:rsid w:val="003A5A34"/>
    <w:rsid w:val="003A5B15"/>
    <w:rsid w:val="003A5E1B"/>
    <w:rsid w:val="003A5E93"/>
    <w:rsid w:val="003A6565"/>
    <w:rsid w:val="003A6A41"/>
    <w:rsid w:val="003A7538"/>
    <w:rsid w:val="003B06F0"/>
    <w:rsid w:val="003B07B0"/>
    <w:rsid w:val="003B1707"/>
    <w:rsid w:val="003B1EF0"/>
    <w:rsid w:val="003B23C9"/>
    <w:rsid w:val="003B2409"/>
    <w:rsid w:val="003B3775"/>
    <w:rsid w:val="003B3B82"/>
    <w:rsid w:val="003B414F"/>
    <w:rsid w:val="003B4DA8"/>
    <w:rsid w:val="003B5112"/>
    <w:rsid w:val="003B6025"/>
    <w:rsid w:val="003C05CC"/>
    <w:rsid w:val="003C15A0"/>
    <w:rsid w:val="003C2D77"/>
    <w:rsid w:val="003C2D9B"/>
    <w:rsid w:val="003C3A7B"/>
    <w:rsid w:val="003C42E8"/>
    <w:rsid w:val="003C473F"/>
    <w:rsid w:val="003C47F5"/>
    <w:rsid w:val="003C4A7C"/>
    <w:rsid w:val="003C54DC"/>
    <w:rsid w:val="003C5654"/>
    <w:rsid w:val="003C5969"/>
    <w:rsid w:val="003C607C"/>
    <w:rsid w:val="003C63E7"/>
    <w:rsid w:val="003D0970"/>
    <w:rsid w:val="003D16AB"/>
    <w:rsid w:val="003D2070"/>
    <w:rsid w:val="003D38B1"/>
    <w:rsid w:val="003D3BB8"/>
    <w:rsid w:val="003D462C"/>
    <w:rsid w:val="003D4FB9"/>
    <w:rsid w:val="003D5034"/>
    <w:rsid w:val="003D5169"/>
    <w:rsid w:val="003D5A0F"/>
    <w:rsid w:val="003D5C9F"/>
    <w:rsid w:val="003D652E"/>
    <w:rsid w:val="003D6A01"/>
    <w:rsid w:val="003D798C"/>
    <w:rsid w:val="003D7B14"/>
    <w:rsid w:val="003D7D78"/>
    <w:rsid w:val="003D7F56"/>
    <w:rsid w:val="003E0527"/>
    <w:rsid w:val="003E0733"/>
    <w:rsid w:val="003E1220"/>
    <w:rsid w:val="003E1281"/>
    <w:rsid w:val="003E1EC2"/>
    <w:rsid w:val="003E2172"/>
    <w:rsid w:val="003E33FA"/>
    <w:rsid w:val="003E4E30"/>
    <w:rsid w:val="003E629E"/>
    <w:rsid w:val="003E64C3"/>
    <w:rsid w:val="003E6D52"/>
    <w:rsid w:val="003E710B"/>
    <w:rsid w:val="003E77EE"/>
    <w:rsid w:val="003E7DD1"/>
    <w:rsid w:val="003F038A"/>
    <w:rsid w:val="003F0984"/>
    <w:rsid w:val="003F0B3A"/>
    <w:rsid w:val="003F0F5A"/>
    <w:rsid w:val="003F1215"/>
    <w:rsid w:val="003F1CD5"/>
    <w:rsid w:val="003F2504"/>
    <w:rsid w:val="003F2F7C"/>
    <w:rsid w:val="003F383D"/>
    <w:rsid w:val="003F3C5E"/>
    <w:rsid w:val="003F3FFE"/>
    <w:rsid w:val="003F4351"/>
    <w:rsid w:val="003F5888"/>
    <w:rsid w:val="003F639D"/>
    <w:rsid w:val="003F66B6"/>
    <w:rsid w:val="003F6AE7"/>
    <w:rsid w:val="003F7A4E"/>
    <w:rsid w:val="003F7F00"/>
    <w:rsid w:val="00400D24"/>
    <w:rsid w:val="004016E7"/>
    <w:rsid w:val="00401EB6"/>
    <w:rsid w:val="00403A7B"/>
    <w:rsid w:val="00403D4A"/>
    <w:rsid w:val="00403F99"/>
    <w:rsid w:val="00405CF0"/>
    <w:rsid w:val="00405F94"/>
    <w:rsid w:val="004060DC"/>
    <w:rsid w:val="0040718A"/>
    <w:rsid w:val="0040749D"/>
    <w:rsid w:val="0040798C"/>
    <w:rsid w:val="0041015B"/>
    <w:rsid w:val="00410358"/>
    <w:rsid w:val="00410CFD"/>
    <w:rsid w:val="00411318"/>
    <w:rsid w:val="004116D5"/>
    <w:rsid w:val="004117CD"/>
    <w:rsid w:val="0041189A"/>
    <w:rsid w:val="00411CC6"/>
    <w:rsid w:val="004121A6"/>
    <w:rsid w:val="00412CC7"/>
    <w:rsid w:val="004137C0"/>
    <w:rsid w:val="00413A86"/>
    <w:rsid w:val="00413D4B"/>
    <w:rsid w:val="004140F5"/>
    <w:rsid w:val="0041691E"/>
    <w:rsid w:val="00416FD1"/>
    <w:rsid w:val="00417C3E"/>
    <w:rsid w:val="00420158"/>
    <w:rsid w:val="0042083D"/>
    <w:rsid w:val="00420D3A"/>
    <w:rsid w:val="00421714"/>
    <w:rsid w:val="00422FEF"/>
    <w:rsid w:val="00423458"/>
    <w:rsid w:val="00423B63"/>
    <w:rsid w:val="00423F2A"/>
    <w:rsid w:val="00424D76"/>
    <w:rsid w:val="00424DDD"/>
    <w:rsid w:val="0042526A"/>
    <w:rsid w:val="00425981"/>
    <w:rsid w:val="004264D0"/>
    <w:rsid w:val="00426CD0"/>
    <w:rsid w:val="00427890"/>
    <w:rsid w:val="00427DAF"/>
    <w:rsid w:val="004310B2"/>
    <w:rsid w:val="004310F8"/>
    <w:rsid w:val="00431286"/>
    <w:rsid w:val="00431443"/>
    <w:rsid w:val="00431BF5"/>
    <w:rsid w:val="00431C57"/>
    <w:rsid w:val="00432B24"/>
    <w:rsid w:val="004335B7"/>
    <w:rsid w:val="00433AB9"/>
    <w:rsid w:val="00435524"/>
    <w:rsid w:val="00435A2D"/>
    <w:rsid w:val="004365F6"/>
    <w:rsid w:val="004366F0"/>
    <w:rsid w:val="00437D1E"/>
    <w:rsid w:val="00437EAC"/>
    <w:rsid w:val="00437F90"/>
    <w:rsid w:val="00440AC6"/>
    <w:rsid w:val="00441374"/>
    <w:rsid w:val="00441547"/>
    <w:rsid w:val="00441C99"/>
    <w:rsid w:val="00442D80"/>
    <w:rsid w:val="0044458D"/>
    <w:rsid w:val="004448B9"/>
    <w:rsid w:val="00444ACC"/>
    <w:rsid w:val="00444F04"/>
    <w:rsid w:val="00445419"/>
    <w:rsid w:val="00445610"/>
    <w:rsid w:val="00446405"/>
    <w:rsid w:val="00446488"/>
    <w:rsid w:val="00446FF0"/>
    <w:rsid w:val="00447590"/>
    <w:rsid w:val="00450136"/>
    <w:rsid w:val="00450363"/>
    <w:rsid w:val="004503C2"/>
    <w:rsid w:val="00450995"/>
    <w:rsid w:val="004509D4"/>
    <w:rsid w:val="00450BD4"/>
    <w:rsid w:val="004518E7"/>
    <w:rsid w:val="00452962"/>
    <w:rsid w:val="004534EB"/>
    <w:rsid w:val="00455745"/>
    <w:rsid w:val="004563A6"/>
    <w:rsid w:val="00456901"/>
    <w:rsid w:val="00457B07"/>
    <w:rsid w:val="00460989"/>
    <w:rsid w:val="00461412"/>
    <w:rsid w:val="0046157A"/>
    <w:rsid w:val="0046194B"/>
    <w:rsid w:val="0046205C"/>
    <w:rsid w:val="00462E1F"/>
    <w:rsid w:val="004632F3"/>
    <w:rsid w:val="00463CA9"/>
    <w:rsid w:val="00464557"/>
    <w:rsid w:val="00464995"/>
    <w:rsid w:val="004656FD"/>
    <w:rsid w:val="00466AE5"/>
    <w:rsid w:val="00467DBF"/>
    <w:rsid w:val="00470B6C"/>
    <w:rsid w:val="004710E0"/>
    <w:rsid w:val="00471739"/>
    <w:rsid w:val="00471BED"/>
    <w:rsid w:val="00471C00"/>
    <w:rsid w:val="0047205A"/>
    <w:rsid w:val="0047266A"/>
    <w:rsid w:val="004728B9"/>
    <w:rsid w:val="00472E43"/>
    <w:rsid w:val="00473610"/>
    <w:rsid w:val="00473C15"/>
    <w:rsid w:val="004747C7"/>
    <w:rsid w:val="00475500"/>
    <w:rsid w:val="004755D4"/>
    <w:rsid w:val="004759D2"/>
    <w:rsid w:val="00475A70"/>
    <w:rsid w:val="00475E9F"/>
    <w:rsid w:val="00476222"/>
    <w:rsid w:val="00476473"/>
    <w:rsid w:val="00476699"/>
    <w:rsid w:val="00480EDA"/>
    <w:rsid w:val="0048164F"/>
    <w:rsid w:val="0048165B"/>
    <w:rsid w:val="00481D96"/>
    <w:rsid w:val="004821C2"/>
    <w:rsid w:val="0048269D"/>
    <w:rsid w:val="00482D64"/>
    <w:rsid w:val="004832D4"/>
    <w:rsid w:val="00484028"/>
    <w:rsid w:val="00484458"/>
    <w:rsid w:val="00484C1F"/>
    <w:rsid w:val="00484E43"/>
    <w:rsid w:val="0048508C"/>
    <w:rsid w:val="004856C4"/>
    <w:rsid w:val="004857F8"/>
    <w:rsid w:val="0048596D"/>
    <w:rsid w:val="00485AE7"/>
    <w:rsid w:val="00485B74"/>
    <w:rsid w:val="00486DA2"/>
    <w:rsid w:val="004875C8"/>
    <w:rsid w:val="004916DD"/>
    <w:rsid w:val="00492310"/>
    <w:rsid w:val="004928D3"/>
    <w:rsid w:val="00492910"/>
    <w:rsid w:val="00492A27"/>
    <w:rsid w:val="00492EF1"/>
    <w:rsid w:val="004933AF"/>
    <w:rsid w:val="004933F4"/>
    <w:rsid w:val="00493B7B"/>
    <w:rsid w:val="00493E55"/>
    <w:rsid w:val="0049522C"/>
    <w:rsid w:val="00495964"/>
    <w:rsid w:val="00495AED"/>
    <w:rsid w:val="0049630F"/>
    <w:rsid w:val="0049664D"/>
    <w:rsid w:val="00496834"/>
    <w:rsid w:val="004976AF"/>
    <w:rsid w:val="00497ADA"/>
    <w:rsid w:val="004A14D2"/>
    <w:rsid w:val="004A153B"/>
    <w:rsid w:val="004A1C50"/>
    <w:rsid w:val="004A1D99"/>
    <w:rsid w:val="004A1EDE"/>
    <w:rsid w:val="004A24A2"/>
    <w:rsid w:val="004A2E57"/>
    <w:rsid w:val="004A429C"/>
    <w:rsid w:val="004A4E47"/>
    <w:rsid w:val="004A4F72"/>
    <w:rsid w:val="004A53C1"/>
    <w:rsid w:val="004A5E87"/>
    <w:rsid w:val="004A6316"/>
    <w:rsid w:val="004A67BC"/>
    <w:rsid w:val="004A7F5F"/>
    <w:rsid w:val="004B0850"/>
    <w:rsid w:val="004B22D0"/>
    <w:rsid w:val="004B2368"/>
    <w:rsid w:val="004B2CB2"/>
    <w:rsid w:val="004B338A"/>
    <w:rsid w:val="004B3BF8"/>
    <w:rsid w:val="004B49A7"/>
    <w:rsid w:val="004B5848"/>
    <w:rsid w:val="004B5CFD"/>
    <w:rsid w:val="004B6065"/>
    <w:rsid w:val="004B63D6"/>
    <w:rsid w:val="004B6751"/>
    <w:rsid w:val="004B6BF7"/>
    <w:rsid w:val="004B722E"/>
    <w:rsid w:val="004B762F"/>
    <w:rsid w:val="004B7D15"/>
    <w:rsid w:val="004C057C"/>
    <w:rsid w:val="004C0804"/>
    <w:rsid w:val="004C1DCB"/>
    <w:rsid w:val="004C1FFC"/>
    <w:rsid w:val="004C2108"/>
    <w:rsid w:val="004C2F41"/>
    <w:rsid w:val="004C2F6B"/>
    <w:rsid w:val="004C33F0"/>
    <w:rsid w:val="004C43B9"/>
    <w:rsid w:val="004C4C28"/>
    <w:rsid w:val="004C5D11"/>
    <w:rsid w:val="004C65E6"/>
    <w:rsid w:val="004C6900"/>
    <w:rsid w:val="004D05D1"/>
    <w:rsid w:val="004D0ABA"/>
    <w:rsid w:val="004D1285"/>
    <w:rsid w:val="004D14E3"/>
    <w:rsid w:val="004D1C83"/>
    <w:rsid w:val="004D1DDB"/>
    <w:rsid w:val="004D1E43"/>
    <w:rsid w:val="004D1F74"/>
    <w:rsid w:val="004D2802"/>
    <w:rsid w:val="004D2969"/>
    <w:rsid w:val="004D394C"/>
    <w:rsid w:val="004D3B70"/>
    <w:rsid w:val="004D4565"/>
    <w:rsid w:val="004D45F8"/>
    <w:rsid w:val="004D4F56"/>
    <w:rsid w:val="004D4FD7"/>
    <w:rsid w:val="004D59D7"/>
    <w:rsid w:val="004D6135"/>
    <w:rsid w:val="004D613A"/>
    <w:rsid w:val="004D6698"/>
    <w:rsid w:val="004D684F"/>
    <w:rsid w:val="004D6B7E"/>
    <w:rsid w:val="004D6EB2"/>
    <w:rsid w:val="004D6FE0"/>
    <w:rsid w:val="004E0465"/>
    <w:rsid w:val="004E063F"/>
    <w:rsid w:val="004E1DF2"/>
    <w:rsid w:val="004E2DD4"/>
    <w:rsid w:val="004E3430"/>
    <w:rsid w:val="004E411D"/>
    <w:rsid w:val="004E44F5"/>
    <w:rsid w:val="004E45F3"/>
    <w:rsid w:val="004E4A0A"/>
    <w:rsid w:val="004E6E69"/>
    <w:rsid w:val="004E6EBA"/>
    <w:rsid w:val="004E70D1"/>
    <w:rsid w:val="004F086C"/>
    <w:rsid w:val="004F13FE"/>
    <w:rsid w:val="004F24FB"/>
    <w:rsid w:val="004F2A96"/>
    <w:rsid w:val="004F2CF0"/>
    <w:rsid w:val="004F3DF6"/>
    <w:rsid w:val="004F46D2"/>
    <w:rsid w:val="004F47E1"/>
    <w:rsid w:val="004F4D1B"/>
    <w:rsid w:val="004F60D3"/>
    <w:rsid w:val="004F6CDB"/>
    <w:rsid w:val="004F6D64"/>
    <w:rsid w:val="004F74C9"/>
    <w:rsid w:val="004F74D0"/>
    <w:rsid w:val="004F798D"/>
    <w:rsid w:val="0050084C"/>
    <w:rsid w:val="00500DA9"/>
    <w:rsid w:val="00500E36"/>
    <w:rsid w:val="00500E78"/>
    <w:rsid w:val="0050100D"/>
    <w:rsid w:val="005011A4"/>
    <w:rsid w:val="00501BBF"/>
    <w:rsid w:val="00502B36"/>
    <w:rsid w:val="00502D80"/>
    <w:rsid w:val="00503671"/>
    <w:rsid w:val="005039F7"/>
    <w:rsid w:val="00504187"/>
    <w:rsid w:val="00504679"/>
    <w:rsid w:val="00504CDF"/>
    <w:rsid w:val="00504EA6"/>
    <w:rsid w:val="00505C25"/>
    <w:rsid w:val="00507330"/>
    <w:rsid w:val="005075E3"/>
    <w:rsid w:val="00507806"/>
    <w:rsid w:val="00507C1F"/>
    <w:rsid w:val="005104D6"/>
    <w:rsid w:val="005108D7"/>
    <w:rsid w:val="00510EA0"/>
    <w:rsid w:val="005115A4"/>
    <w:rsid w:val="00511629"/>
    <w:rsid w:val="00512794"/>
    <w:rsid w:val="005141B4"/>
    <w:rsid w:val="0051515C"/>
    <w:rsid w:val="0051576D"/>
    <w:rsid w:val="00515ADC"/>
    <w:rsid w:val="00516AC9"/>
    <w:rsid w:val="00517377"/>
    <w:rsid w:val="005173DE"/>
    <w:rsid w:val="00517529"/>
    <w:rsid w:val="0051760C"/>
    <w:rsid w:val="00517918"/>
    <w:rsid w:val="00520575"/>
    <w:rsid w:val="0052106E"/>
    <w:rsid w:val="005212CD"/>
    <w:rsid w:val="005219A1"/>
    <w:rsid w:val="00521A86"/>
    <w:rsid w:val="00522505"/>
    <w:rsid w:val="00522B7A"/>
    <w:rsid w:val="0052324D"/>
    <w:rsid w:val="00523BCE"/>
    <w:rsid w:val="005245B5"/>
    <w:rsid w:val="00525B4E"/>
    <w:rsid w:val="00526A4E"/>
    <w:rsid w:val="0052703D"/>
    <w:rsid w:val="00530ACF"/>
    <w:rsid w:val="0053126B"/>
    <w:rsid w:val="0053148F"/>
    <w:rsid w:val="00531FCB"/>
    <w:rsid w:val="00532A87"/>
    <w:rsid w:val="00532F88"/>
    <w:rsid w:val="0053302F"/>
    <w:rsid w:val="00533A1B"/>
    <w:rsid w:val="00534044"/>
    <w:rsid w:val="00534F6C"/>
    <w:rsid w:val="005353A6"/>
    <w:rsid w:val="00535967"/>
    <w:rsid w:val="005361C2"/>
    <w:rsid w:val="005368A8"/>
    <w:rsid w:val="0053772A"/>
    <w:rsid w:val="005407AB"/>
    <w:rsid w:val="005409DB"/>
    <w:rsid w:val="00540C08"/>
    <w:rsid w:val="005421A8"/>
    <w:rsid w:val="0054221D"/>
    <w:rsid w:val="005428B2"/>
    <w:rsid w:val="00542CCB"/>
    <w:rsid w:val="005435A6"/>
    <w:rsid w:val="00543C36"/>
    <w:rsid w:val="00543C74"/>
    <w:rsid w:val="00543F18"/>
    <w:rsid w:val="005448A9"/>
    <w:rsid w:val="0054535B"/>
    <w:rsid w:val="00545760"/>
    <w:rsid w:val="005462AF"/>
    <w:rsid w:val="005473A6"/>
    <w:rsid w:val="005512F8"/>
    <w:rsid w:val="005513DB"/>
    <w:rsid w:val="0055162B"/>
    <w:rsid w:val="005527E7"/>
    <w:rsid w:val="00552A67"/>
    <w:rsid w:val="00552D70"/>
    <w:rsid w:val="00553078"/>
    <w:rsid w:val="00553EDD"/>
    <w:rsid w:val="00554394"/>
    <w:rsid w:val="00554C16"/>
    <w:rsid w:val="005555F2"/>
    <w:rsid w:val="005558C4"/>
    <w:rsid w:val="0055633C"/>
    <w:rsid w:val="0055645C"/>
    <w:rsid w:val="00556A37"/>
    <w:rsid w:val="0055725F"/>
    <w:rsid w:val="005574E9"/>
    <w:rsid w:val="005601F5"/>
    <w:rsid w:val="005604B7"/>
    <w:rsid w:val="00560518"/>
    <w:rsid w:val="00560A00"/>
    <w:rsid w:val="00560C45"/>
    <w:rsid w:val="005619F6"/>
    <w:rsid w:val="0056294C"/>
    <w:rsid w:val="00562978"/>
    <w:rsid w:val="00562C73"/>
    <w:rsid w:val="005635F1"/>
    <w:rsid w:val="005660B8"/>
    <w:rsid w:val="005663B4"/>
    <w:rsid w:val="00566555"/>
    <w:rsid w:val="0056663E"/>
    <w:rsid w:val="005666AE"/>
    <w:rsid w:val="00567932"/>
    <w:rsid w:val="00567988"/>
    <w:rsid w:val="00567BA7"/>
    <w:rsid w:val="005705F0"/>
    <w:rsid w:val="00570F96"/>
    <w:rsid w:val="005716C5"/>
    <w:rsid w:val="00571B89"/>
    <w:rsid w:val="0057219B"/>
    <w:rsid w:val="00573DCC"/>
    <w:rsid w:val="00574319"/>
    <w:rsid w:val="00574AC9"/>
    <w:rsid w:val="00575EBE"/>
    <w:rsid w:val="005764B2"/>
    <w:rsid w:val="005765AD"/>
    <w:rsid w:val="005769A2"/>
    <w:rsid w:val="00577BD1"/>
    <w:rsid w:val="005818EF"/>
    <w:rsid w:val="00582A70"/>
    <w:rsid w:val="00582AE3"/>
    <w:rsid w:val="00583547"/>
    <w:rsid w:val="00583E33"/>
    <w:rsid w:val="00584A76"/>
    <w:rsid w:val="0058613A"/>
    <w:rsid w:val="005863A0"/>
    <w:rsid w:val="0058688E"/>
    <w:rsid w:val="00586C2F"/>
    <w:rsid w:val="005873E2"/>
    <w:rsid w:val="00587EF7"/>
    <w:rsid w:val="0059190A"/>
    <w:rsid w:val="005921B0"/>
    <w:rsid w:val="00593901"/>
    <w:rsid w:val="00593B95"/>
    <w:rsid w:val="00594047"/>
    <w:rsid w:val="0059410D"/>
    <w:rsid w:val="0059461E"/>
    <w:rsid w:val="00594DFA"/>
    <w:rsid w:val="00594FE2"/>
    <w:rsid w:val="0059539B"/>
    <w:rsid w:val="005955BA"/>
    <w:rsid w:val="00595916"/>
    <w:rsid w:val="00596254"/>
    <w:rsid w:val="00597111"/>
    <w:rsid w:val="00597266"/>
    <w:rsid w:val="005972B1"/>
    <w:rsid w:val="00597D8A"/>
    <w:rsid w:val="005A04D7"/>
    <w:rsid w:val="005A0A96"/>
    <w:rsid w:val="005A3140"/>
    <w:rsid w:val="005A60A1"/>
    <w:rsid w:val="005A7880"/>
    <w:rsid w:val="005A7BDB"/>
    <w:rsid w:val="005B00F8"/>
    <w:rsid w:val="005B01D9"/>
    <w:rsid w:val="005B09E0"/>
    <w:rsid w:val="005B11B4"/>
    <w:rsid w:val="005B233F"/>
    <w:rsid w:val="005B2389"/>
    <w:rsid w:val="005B2F66"/>
    <w:rsid w:val="005B3CB1"/>
    <w:rsid w:val="005B3F54"/>
    <w:rsid w:val="005B4E81"/>
    <w:rsid w:val="005B5275"/>
    <w:rsid w:val="005B65A9"/>
    <w:rsid w:val="005B66AC"/>
    <w:rsid w:val="005B71D6"/>
    <w:rsid w:val="005B71E4"/>
    <w:rsid w:val="005B763F"/>
    <w:rsid w:val="005B7A57"/>
    <w:rsid w:val="005B7E22"/>
    <w:rsid w:val="005C018D"/>
    <w:rsid w:val="005C01B0"/>
    <w:rsid w:val="005C08A9"/>
    <w:rsid w:val="005C0B29"/>
    <w:rsid w:val="005C1AAB"/>
    <w:rsid w:val="005C1C56"/>
    <w:rsid w:val="005C3450"/>
    <w:rsid w:val="005C40AE"/>
    <w:rsid w:val="005C469A"/>
    <w:rsid w:val="005C4B82"/>
    <w:rsid w:val="005C4E2E"/>
    <w:rsid w:val="005C4FB0"/>
    <w:rsid w:val="005C5E95"/>
    <w:rsid w:val="005C65EA"/>
    <w:rsid w:val="005C6651"/>
    <w:rsid w:val="005C6D6A"/>
    <w:rsid w:val="005C752F"/>
    <w:rsid w:val="005C7983"/>
    <w:rsid w:val="005D264A"/>
    <w:rsid w:val="005D2BF6"/>
    <w:rsid w:val="005D3515"/>
    <w:rsid w:val="005D4071"/>
    <w:rsid w:val="005D423A"/>
    <w:rsid w:val="005D42B6"/>
    <w:rsid w:val="005D4BD0"/>
    <w:rsid w:val="005D4F9B"/>
    <w:rsid w:val="005D5493"/>
    <w:rsid w:val="005D5945"/>
    <w:rsid w:val="005D5DD1"/>
    <w:rsid w:val="005D5F94"/>
    <w:rsid w:val="005D6699"/>
    <w:rsid w:val="005D7027"/>
    <w:rsid w:val="005E047E"/>
    <w:rsid w:val="005E19E8"/>
    <w:rsid w:val="005E1CCD"/>
    <w:rsid w:val="005E22EE"/>
    <w:rsid w:val="005E38DD"/>
    <w:rsid w:val="005E3D16"/>
    <w:rsid w:val="005E3F2D"/>
    <w:rsid w:val="005E46CC"/>
    <w:rsid w:val="005E4829"/>
    <w:rsid w:val="005E4FA6"/>
    <w:rsid w:val="005E573E"/>
    <w:rsid w:val="005E6895"/>
    <w:rsid w:val="005E6CCC"/>
    <w:rsid w:val="005E6E26"/>
    <w:rsid w:val="005E7554"/>
    <w:rsid w:val="005F0006"/>
    <w:rsid w:val="005F0029"/>
    <w:rsid w:val="005F01A6"/>
    <w:rsid w:val="005F02C5"/>
    <w:rsid w:val="005F0356"/>
    <w:rsid w:val="005F1014"/>
    <w:rsid w:val="005F10A7"/>
    <w:rsid w:val="005F17E5"/>
    <w:rsid w:val="005F1B0F"/>
    <w:rsid w:val="005F1DA7"/>
    <w:rsid w:val="005F2095"/>
    <w:rsid w:val="005F2143"/>
    <w:rsid w:val="005F241F"/>
    <w:rsid w:val="005F312D"/>
    <w:rsid w:val="005F42DB"/>
    <w:rsid w:val="005F584F"/>
    <w:rsid w:val="005F610D"/>
    <w:rsid w:val="005F6B89"/>
    <w:rsid w:val="005F6EDD"/>
    <w:rsid w:val="005F71F7"/>
    <w:rsid w:val="005F740E"/>
    <w:rsid w:val="005F796C"/>
    <w:rsid w:val="005F7D81"/>
    <w:rsid w:val="00600E31"/>
    <w:rsid w:val="00600F51"/>
    <w:rsid w:val="0060201E"/>
    <w:rsid w:val="0060248C"/>
    <w:rsid w:val="00602564"/>
    <w:rsid w:val="006039F8"/>
    <w:rsid w:val="00603B98"/>
    <w:rsid w:val="00603BD4"/>
    <w:rsid w:val="006040EC"/>
    <w:rsid w:val="00604861"/>
    <w:rsid w:val="00604DB6"/>
    <w:rsid w:val="00605737"/>
    <w:rsid w:val="00605B98"/>
    <w:rsid w:val="00606BAF"/>
    <w:rsid w:val="00606E27"/>
    <w:rsid w:val="006072C4"/>
    <w:rsid w:val="00607418"/>
    <w:rsid w:val="00607884"/>
    <w:rsid w:val="00611147"/>
    <w:rsid w:val="00611D6D"/>
    <w:rsid w:val="00612F97"/>
    <w:rsid w:val="0061313C"/>
    <w:rsid w:val="00613A58"/>
    <w:rsid w:val="00613F93"/>
    <w:rsid w:val="006149BD"/>
    <w:rsid w:val="00617027"/>
    <w:rsid w:val="00617D94"/>
    <w:rsid w:val="00617F4A"/>
    <w:rsid w:val="00620175"/>
    <w:rsid w:val="0062118E"/>
    <w:rsid w:val="0062119C"/>
    <w:rsid w:val="006224B0"/>
    <w:rsid w:val="0062279A"/>
    <w:rsid w:val="006233A5"/>
    <w:rsid w:val="006238EE"/>
    <w:rsid w:val="006250F5"/>
    <w:rsid w:val="00626983"/>
    <w:rsid w:val="00626E3B"/>
    <w:rsid w:val="00627BCB"/>
    <w:rsid w:val="00627F44"/>
    <w:rsid w:val="006303B7"/>
    <w:rsid w:val="00630AD4"/>
    <w:rsid w:val="00630FBC"/>
    <w:rsid w:val="006341A6"/>
    <w:rsid w:val="006341A8"/>
    <w:rsid w:val="0063544E"/>
    <w:rsid w:val="00636A70"/>
    <w:rsid w:val="00636A75"/>
    <w:rsid w:val="00636CE2"/>
    <w:rsid w:val="00636D92"/>
    <w:rsid w:val="00636E58"/>
    <w:rsid w:val="006372E3"/>
    <w:rsid w:val="006373C8"/>
    <w:rsid w:val="0064045A"/>
    <w:rsid w:val="006404F9"/>
    <w:rsid w:val="00641F61"/>
    <w:rsid w:val="00642686"/>
    <w:rsid w:val="006427DA"/>
    <w:rsid w:val="00642CBB"/>
    <w:rsid w:val="00642E22"/>
    <w:rsid w:val="00643157"/>
    <w:rsid w:val="00643960"/>
    <w:rsid w:val="00643CB4"/>
    <w:rsid w:val="00645A62"/>
    <w:rsid w:val="006469F4"/>
    <w:rsid w:val="00646E1B"/>
    <w:rsid w:val="0064743F"/>
    <w:rsid w:val="00647FB8"/>
    <w:rsid w:val="00650A57"/>
    <w:rsid w:val="00651AB8"/>
    <w:rsid w:val="00652D17"/>
    <w:rsid w:val="00653EB6"/>
    <w:rsid w:val="00653EF5"/>
    <w:rsid w:val="006547F1"/>
    <w:rsid w:val="00655646"/>
    <w:rsid w:val="00655FA5"/>
    <w:rsid w:val="00656ED3"/>
    <w:rsid w:val="00657AAE"/>
    <w:rsid w:val="0066009B"/>
    <w:rsid w:val="00660488"/>
    <w:rsid w:val="0066155C"/>
    <w:rsid w:val="00661B15"/>
    <w:rsid w:val="00661DFA"/>
    <w:rsid w:val="0066339D"/>
    <w:rsid w:val="0066354A"/>
    <w:rsid w:val="00663726"/>
    <w:rsid w:val="00663BE0"/>
    <w:rsid w:val="006646EF"/>
    <w:rsid w:val="00664AD5"/>
    <w:rsid w:val="00665A60"/>
    <w:rsid w:val="00666182"/>
    <w:rsid w:val="006664EE"/>
    <w:rsid w:val="00666EE0"/>
    <w:rsid w:val="0066705B"/>
    <w:rsid w:val="0066797E"/>
    <w:rsid w:val="00667C3C"/>
    <w:rsid w:val="00670E00"/>
    <w:rsid w:val="00670FC2"/>
    <w:rsid w:val="006712AA"/>
    <w:rsid w:val="006719F0"/>
    <w:rsid w:val="00672665"/>
    <w:rsid w:val="0067285D"/>
    <w:rsid w:val="00673B90"/>
    <w:rsid w:val="00675E27"/>
    <w:rsid w:val="00676012"/>
    <w:rsid w:val="006766D2"/>
    <w:rsid w:val="006777E1"/>
    <w:rsid w:val="006809AF"/>
    <w:rsid w:val="00681B2A"/>
    <w:rsid w:val="006820DD"/>
    <w:rsid w:val="006833AD"/>
    <w:rsid w:val="00683E13"/>
    <w:rsid w:val="006845BB"/>
    <w:rsid w:val="00684649"/>
    <w:rsid w:val="00684CD2"/>
    <w:rsid w:val="00685381"/>
    <w:rsid w:val="0068571A"/>
    <w:rsid w:val="00685A54"/>
    <w:rsid w:val="00686015"/>
    <w:rsid w:val="0068601E"/>
    <w:rsid w:val="00686DE8"/>
    <w:rsid w:val="006871C4"/>
    <w:rsid w:val="00690E3A"/>
    <w:rsid w:val="006913A2"/>
    <w:rsid w:val="006913CD"/>
    <w:rsid w:val="00691807"/>
    <w:rsid w:val="00692522"/>
    <w:rsid w:val="00692F43"/>
    <w:rsid w:val="00693223"/>
    <w:rsid w:val="00693A57"/>
    <w:rsid w:val="00694309"/>
    <w:rsid w:val="00694434"/>
    <w:rsid w:val="00695010"/>
    <w:rsid w:val="00695C57"/>
    <w:rsid w:val="00695C7D"/>
    <w:rsid w:val="00696225"/>
    <w:rsid w:val="0069653C"/>
    <w:rsid w:val="0069667A"/>
    <w:rsid w:val="00696757"/>
    <w:rsid w:val="006974AC"/>
    <w:rsid w:val="006975A4"/>
    <w:rsid w:val="006A0695"/>
    <w:rsid w:val="006A10AB"/>
    <w:rsid w:val="006A128F"/>
    <w:rsid w:val="006A12A2"/>
    <w:rsid w:val="006A1344"/>
    <w:rsid w:val="006A223B"/>
    <w:rsid w:val="006A38B2"/>
    <w:rsid w:val="006A38B6"/>
    <w:rsid w:val="006A3B54"/>
    <w:rsid w:val="006A3CD3"/>
    <w:rsid w:val="006A4029"/>
    <w:rsid w:val="006A598A"/>
    <w:rsid w:val="006A5FD4"/>
    <w:rsid w:val="006A625D"/>
    <w:rsid w:val="006A6942"/>
    <w:rsid w:val="006A7D19"/>
    <w:rsid w:val="006B08EC"/>
    <w:rsid w:val="006B2331"/>
    <w:rsid w:val="006B25E6"/>
    <w:rsid w:val="006B2C93"/>
    <w:rsid w:val="006B306B"/>
    <w:rsid w:val="006B370B"/>
    <w:rsid w:val="006B5195"/>
    <w:rsid w:val="006B56BC"/>
    <w:rsid w:val="006B6EBE"/>
    <w:rsid w:val="006C0715"/>
    <w:rsid w:val="006C0F87"/>
    <w:rsid w:val="006C1C15"/>
    <w:rsid w:val="006C2EC6"/>
    <w:rsid w:val="006C3290"/>
    <w:rsid w:val="006C372E"/>
    <w:rsid w:val="006C3913"/>
    <w:rsid w:val="006C3B9F"/>
    <w:rsid w:val="006C4536"/>
    <w:rsid w:val="006C47A5"/>
    <w:rsid w:val="006C4F8F"/>
    <w:rsid w:val="006C533D"/>
    <w:rsid w:val="006C5782"/>
    <w:rsid w:val="006C5DFF"/>
    <w:rsid w:val="006C5FFB"/>
    <w:rsid w:val="006C720E"/>
    <w:rsid w:val="006C7540"/>
    <w:rsid w:val="006D0165"/>
    <w:rsid w:val="006D03A4"/>
    <w:rsid w:val="006D0587"/>
    <w:rsid w:val="006D1760"/>
    <w:rsid w:val="006D226D"/>
    <w:rsid w:val="006D2698"/>
    <w:rsid w:val="006D2798"/>
    <w:rsid w:val="006D3635"/>
    <w:rsid w:val="006D4165"/>
    <w:rsid w:val="006D449F"/>
    <w:rsid w:val="006D44FF"/>
    <w:rsid w:val="006D58BE"/>
    <w:rsid w:val="006D5BE2"/>
    <w:rsid w:val="006D5D92"/>
    <w:rsid w:val="006D66C8"/>
    <w:rsid w:val="006D67E1"/>
    <w:rsid w:val="006D6906"/>
    <w:rsid w:val="006D6E79"/>
    <w:rsid w:val="006D7CB3"/>
    <w:rsid w:val="006E00BD"/>
    <w:rsid w:val="006E01D0"/>
    <w:rsid w:val="006E044A"/>
    <w:rsid w:val="006E076D"/>
    <w:rsid w:val="006E0867"/>
    <w:rsid w:val="006E0B55"/>
    <w:rsid w:val="006E0EAB"/>
    <w:rsid w:val="006E0FB8"/>
    <w:rsid w:val="006E13F0"/>
    <w:rsid w:val="006E1B36"/>
    <w:rsid w:val="006E1B7C"/>
    <w:rsid w:val="006E1DA7"/>
    <w:rsid w:val="006E321C"/>
    <w:rsid w:val="006E3491"/>
    <w:rsid w:val="006E3630"/>
    <w:rsid w:val="006E4AA4"/>
    <w:rsid w:val="006E4D63"/>
    <w:rsid w:val="006E50C3"/>
    <w:rsid w:val="006E6B26"/>
    <w:rsid w:val="006E6D45"/>
    <w:rsid w:val="006E75E9"/>
    <w:rsid w:val="006E7DA6"/>
    <w:rsid w:val="006F0892"/>
    <w:rsid w:val="006F11EC"/>
    <w:rsid w:val="006F1AC3"/>
    <w:rsid w:val="006F2551"/>
    <w:rsid w:val="006F28F4"/>
    <w:rsid w:val="006F3445"/>
    <w:rsid w:val="006F3727"/>
    <w:rsid w:val="006F3EEB"/>
    <w:rsid w:val="006F40C0"/>
    <w:rsid w:val="006F4651"/>
    <w:rsid w:val="006F624E"/>
    <w:rsid w:val="006F630F"/>
    <w:rsid w:val="006F699F"/>
    <w:rsid w:val="006F69C3"/>
    <w:rsid w:val="006F6CE5"/>
    <w:rsid w:val="006F750F"/>
    <w:rsid w:val="006F7EAB"/>
    <w:rsid w:val="007007D3"/>
    <w:rsid w:val="00700B25"/>
    <w:rsid w:val="00700B89"/>
    <w:rsid w:val="0070117A"/>
    <w:rsid w:val="0070143D"/>
    <w:rsid w:val="0070165B"/>
    <w:rsid w:val="00701B88"/>
    <w:rsid w:val="00703847"/>
    <w:rsid w:val="00703ED9"/>
    <w:rsid w:val="00704C31"/>
    <w:rsid w:val="007050FB"/>
    <w:rsid w:val="007057E2"/>
    <w:rsid w:val="00705E40"/>
    <w:rsid w:val="00705F53"/>
    <w:rsid w:val="00706EBD"/>
    <w:rsid w:val="00706EEF"/>
    <w:rsid w:val="00710054"/>
    <w:rsid w:val="00710C20"/>
    <w:rsid w:val="00711644"/>
    <w:rsid w:val="00711668"/>
    <w:rsid w:val="0071194B"/>
    <w:rsid w:val="00711E0A"/>
    <w:rsid w:val="00714320"/>
    <w:rsid w:val="00714446"/>
    <w:rsid w:val="00714FF9"/>
    <w:rsid w:val="007151E3"/>
    <w:rsid w:val="007157F9"/>
    <w:rsid w:val="0071609B"/>
    <w:rsid w:val="007163FB"/>
    <w:rsid w:val="0071647F"/>
    <w:rsid w:val="007166E5"/>
    <w:rsid w:val="0071695B"/>
    <w:rsid w:val="00717604"/>
    <w:rsid w:val="00717790"/>
    <w:rsid w:val="00717EC5"/>
    <w:rsid w:val="00721BDA"/>
    <w:rsid w:val="00722B13"/>
    <w:rsid w:val="00722F39"/>
    <w:rsid w:val="00723414"/>
    <w:rsid w:val="00723688"/>
    <w:rsid w:val="00723A13"/>
    <w:rsid w:val="00723EA7"/>
    <w:rsid w:val="00725023"/>
    <w:rsid w:val="007267B4"/>
    <w:rsid w:val="00726996"/>
    <w:rsid w:val="00726A1E"/>
    <w:rsid w:val="00727BE9"/>
    <w:rsid w:val="00727C61"/>
    <w:rsid w:val="00730C55"/>
    <w:rsid w:val="00731F0C"/>
    <w:rsid w:val="00731F72"/>
    <w:rsid w:val="0073220C"/>
    <w:rsid w:val="00733271"/>
    <w:rsid w:val="00733D7E"/>
    <w:rsid w:val="007349C1"/>
    <w:rsid w:val="00734B62"/>
    <w:rsid w:val="0073539D"/>
    <w:rsid w:val="00735D5F"/>
    <w:rsid w:val="007367C4"/>
    <w:rsid w:val="00737876"/>
    <w:rsid w:val="007411C7"/>
    <w:rsid w:val="00741544"/>
    <w:rsid w:val="00741C7F"/>
    <w:rsid w:val="0074225C"/>
    <w:rsid w:val="007422B9"/>
    <w:rsid w:val="00742B65"/>
    <w:rsid w:val="00742EA3"/>
    <w:rsid w:val="00743232"/>
    <w:rsid w:val="007432A8"/>
    <w:rsid w:val="00743B6E"/>
    <w:rsid w:val="0074444E"/>
    <w:rsid w:val="00744682"/>
    <w:rsid w:val="00744988"/>
    <w:rsid w:val="00744F98"/>
    <w:rsid w:val="007453A9"/>
    <w:rsid w:val="00745755"/>
    <w:rsid w:val="00745A95"/>
    <w:rsid w:val="0074667A"/>
    <w:rsid w:val="007470E8"/>
    <w:rsid w:val="007473DF"/>
    <w:rsid w:val="007501E4"/>
    <w:rsid w:val="00750498"/>
    <w:rsid w:val="007510D4"/>
    <w:rsid w:val="00751753"/>
    <w:rsid w:val="00752263"/>
    <w:rsid w:val="0075258E"/>
    <w:rsid w:val="00752A14"/>
    <w:rsid w:val="007539F1"/>
    <w:rsid w:val="00753CFE"/>
    <w:rsid w:val="00753DC0"/>
    <w:rsid w:val="00753E8F"/>
    <w:rsid w:val="007546EA"/>
    <w:rsid w:val="00754F7F"/>
    <w:rsid w:val="007553B9"/>
    <w:rsid w:val="00755A4C"/>
    <w:rsid w:val="00755E34"/>
    <w:rsid w:val="007561C3"/>
    <w:rsid w:val="007568E1"/>
    <w:rsid w:val="00756A01"/>
    <w:rsid w:val="00756DDC"/>
    <w:rsid w:val="007578D8"/>
    <w:rsid w:val="00761864"/>
    <w:rsid w:val="00761F82"/>
    <w:rsid w:val="00765639"/>
    <w:rsid w:val="007656D2"/>
    <w:rsid w:val="00765B80"/>
    <w:rsid w:val="0076601B"/>
    <w:rsid w:val="007662E7"/>
    <w:rsid w:val="007667D3"/>
    <w:rsid w:val="00767F1D"/>
    <w:rsid w:val="0077031D"/>
    <w:rsid w:val="00771C0C"/>
    <w:rsid w:val="007729B1"/>
    <w:rsid w:val="00773403"/>
    <w:rsid w:val="00773DD9"/>
    <w:rsid w:val="00774718"/>
    <w:rsid w:val="0077567A"/>
    <w:rsid w:val="007756D0"/>
    <w:rsid w:val="00775F08"/>
    <w:rsid w:val="00775F16"/>
    <w:rsid w:val="0077699B"/>
    <w:rsid w:val="00777611"/>
    <w:rsid w:val="00780133"/>
    <w:rsid w:val="0078016F"/>
    <w:rsid w:val="007804FE"/>
    <w:rsid w:val="0078065B"/>
    <w:rsid w:val="00780791"/>
    <w:rsid w:val="0078240C"/>
    <w:rsid w:val="007825A1"/>
    <w:rsid w:val="0078367C"/>
    <w:rsid w:val="007841F3"/>
    <w:rsid w:val="00784DE5"/>
    <w:rsid w:val="00785A62"/>
    <w:rsid w:val="00785B58"/>
    <w:rsid w:val="00786118"/>
    <w:rsid w:val="007863A7"/>
    <w:rsid w:val="007868AF"/>
    <w:rsid w:val="00786A20"/>
    <w:rsid w:val="00786B83"/>
    <w:rsid w:val="00787251"/>
    <w:rsid w:val="007877D5"/>
    <w:rsid w:val="00790112"/>
    <w:rsid w:val="007905B2"/>
    <w:rsid w:val="00790F62"/>
    <w:rsid w:val="00790FE9"/>
    <w:rsid w:val="0079145D"/>
    <w:rsid w:val="00791828"/>
    <w:rsid w:val="00792093"/>
    <w:rsid w:val="007921AE"/>
    <w:rsid w:val="00792887"/>
    <w:rsid w:val="00792922"/>
    <w:rsid w:val="00792E2A"/>
    <w:rsid w:val="00793C04"/>
    <w:rsid w:val="00794126"/>
    <w:rsid w:val="0079414B"/>
    <w:rsid w:val="0079488D"/>
    <w:rsid w:val="00794AA6"/>
    <w:rsid w:val="0079515A"/>
    <w:rsid w:val="007952F5"/>
    <w:rsid w:val="00795905"/>
    <w:rsid w:val="007959ED"/>
    <w:rsid w:val="0079793B"/>
    <w:rsid w:val="007979AC"/>
    <w:rsid w:val="00797DB6"/>
    <w:rsid w:val="007A0136"/>
    <w:rsid w:val="007A070F"/>
    <w:rsid w:val="007A150E"/>
    <w:rsid w:val="007A3461"/>
    <w:rsid w:val="007A3D12"/>
    <w:rsid w:val="007A3DEA"/>
    <w:rsid w:val="007A448E"/>
    <w:rsid w:val="007A4B4C"/>
    <w:rsid w:val="007A4BC1"/>
    <w:rsid w:val="007A7127"/>
    <w:rsid w:val="007A79F9"/>
    <w:rsid w:val="007A7D9D"/>
    <w:rsid w:val="007B005D"/>
    <w:rsid w:val="007B0439"/>
    <w:rsid w:val="007B0F4C"/>
    <w:rsid w:val="007B1E4E"/>
    <w:rsid w:val="007B29C0"/>
    <w:rsid w:val="007B3576"/>
    <w:rsid w:val="007B36FB"/>
    <w:rsid w:val="007B4953"/>
    <w:rsid w:val="007B55FD"/>
    <w:rsid w:val="007B59BB"/>
    <w:rsid w:val="007B7757"/>
    <w:rsid w:val="007B7F29"/>
    <w:rsid w:val="007B7FED"/>
    <w:rsid w:val="007C0BD9"/>
    <w:rsid w:val="007C1112"/>
    <w:rsid w:val="007C116A"/>
    <w:rsid w:val="007C1440"/>
    <w:rsid w:val="007C213D"/>
    <w:rsid w:val="007C2486"/>
    <w:rsid w:val="007C346D"/>
    <w:rsid w:val="007C3547"/>
    <w:rsid w:val="007C36BA"/>
    <w:rsid w:val="007C3972"/>
    <w:rsid w:val="007C44CB"/>
    <w:rsid w:val="007C5190"/>
    <w:rsid w:val="007C5633"/>
    <w:rsid w:val="007C59C4"/>
    <w:rsid w:val="007C5F02"/>
    <w:rsid w:val="007C6687"/>
    <w:rsid w:val="007C738C"/>
    <w:rsid w:val="007C7434"/>
    <w:rsid w:val="007C7691"/>
    <w:rsid w:val="007C792A"/>
    <w:rsid w:val="007D03BD"/>
    <w:rsid w:val="007D0F64"/>
    <w:rsid w:val="007D1409"/>
    <w:rsid w:val="007D1675"/>
    <w:rsid w:val="007D180D"/>
    <w:rsid w:val="007D1BC9"/>
    <w:rsid w:val="007D27DD"/>
    <w:rsid w:val="007D2BA5"/>
    <w:rsid w:val="007D3A8E"/>
    <w:rsid w:val="007D3AE9"/>
    <w:rsid w:val="007D3DC7"/>
    <w:rsid w:val="007D45E9"/>
    <w:rsid w:val="007D4820"/>
    <w:rsid w:val="007D4A6A"/>
    <w:rsid w:val="007D4C2D"/>
    <w:rsid w:val="007D500D"/>
    <w:rsid w:val="007D5AB3"/>
    <w:rsid w:val="007D5F4E"/>
    <w:rsid w:val="007D63EA"/>
    <w:rsid w:val="007D6A32"/>
    <w:rsid w:val="007D72E7"/>
    <w:rsid w:val="007E0044"/>
    <w:rsid w:val="007E0750"/>
    <w:rsid w:val="007E07BA"/>
    <w:rsid w:val="007E1464"/>
    <w:rsid w:val="007E1F87"/>
    <w:rsid w:val="007E2508"/>
    <w:rsid w:val="007E2DF0"/>
    <w:rsid w:val="007E2F45"/>
    <w:rsid w:val="007E3BB5"/>
    <w:rsid w:val="007E481D"/>
    <w:rsid w:val="007E5F75"/>
    <w:rsid w:val="007E6905"/>
    <w:rsid w:val="007E755B"/>
    <w:rsid w:val="007E7767"/>
    <w:rsid w:val="007F114D"/>
    <w:rsid w:val="007F176C"/>
    <w:rsid w:val="007F1DF2"/>
    <w:rsid w:val="007F1E7A"/>
    <w:rsid w:val="007F237D"/>
    <w:rsid w:val="007F2BA9"/>
    <w:rsid w:val="007F3283"/>
    <w:rsid w:val="007F3D3F"/>
    <w:rsid w:val="007F3FEA"/>
    <w:rsid w:val="007F43FD"/>
    <w:rsid w:val="007F4E37"/>
    <w:rsid w:val="007F5040"/>
    <w:rsid w:val="007F5715"/>
    <w:rsid w:val="007F58A1"/>
    <w:rsid w:val="007F59D3"/>
    <w:rsid w:val="007F5A35"/>
    <w:rsid w:val="007F5B26"/>
    <w:rsid w:val="007F6122"/>
    <w:rsid w:val="007F6288"/>
    <w:rsid w:val="007F71E0"/>
    <w:rsid w:val="007F7665"/>
    <w:rsid w:val="007F7721"/>
    <w:rsid w:val="007F790D"/>
    <w:rsid w:val="007F79E5"/>
    <w:rsid w:val="00800770"/>
    <w:rsid w:val="00800DF1"/>
    <w:rsid w:val="00801349"/>
    <w:rsid w:val="00801D0C"/>
    <w:rsid w:val="00801EB2"/>
    <w:rsid w:val="008035A5"/>
    <w:rsid w:val="00803F0D"/>
    <w:rsid w:val="00803F1F"/>
    <w:rsid w:val="00803FB8"/>
    <w:rsid w:val="00804BA5"/>
    <w:rsid w:val="0080542E"/>
    <w:rsid w:val="00805E22"/>
    <w:rsid w:val="008066F3"/>
    <w:rsid w:val="00806A32"/>
    <w:rsid w:val="008075AA"/>
    <w:rsid w:val="008076A9"/>
    <w:rsid w:val="00810285"/>
    <w:rsid w:val="008103E0"/>
    <w:rsid w:val="00811796"/>
    <w:rsid w:val="008119E0"/>
    <w:rsid w:val="00812939"/>
    <w:rsid w:val="00812A5D"/>
    <w:rsid w:val="008133EE"/>
    <w:rsid w:val="00813400"/>
    <w:rsid w:val="00813594"/>
    <w:rsid w:val="008138B8"/>
    <w:rsid w:val="008148D5"/>
    <w:rsid w:val="00814E3A"/>
    <w:rsid w:val="00814F89"/>
    <w:rsid w:val="008153BC"/>
    <w:rsid w:val="00816677"/>
    <w:rsid w:val="00816ED5"/>
    <w:rsid w:val="00817E00"/>
    <w:rsid w:val="00821090"/>
    <w:rsid w:val="00822764"/>
    <w:rsid w:val="00822B16"/>
    <w:rsid w:val="00822CC5"/>
    <w:rsid w:val="00822F4A"/>
    <w:rsid w:val="008245BE"/>
    <w:rsid w:val="00825B4D"/>
    <w:rsid w:val="008268AD"/>
    <w:rsid w:val="0082791E"/>
    <w:rsid w:val="0083090C"/>
    <w:rsid w:val="00830EA5"/>
    <w:rsid w:val="00831A60"/>
    <w:rsid w:val="00832046"/>
    <w:rsid w:val="008325B3"/>
    <w:rsid w:val="00832616"/>
    <w:rsid w:val="00833404"/>
    <w:rsid w:val="008335A8"/>
    <w:rsid w:val="008338A6"/>
    <w:rsid w:val="008339BE"/>
    <w:rsid w:val="00834F68"/>
    <w:rsid w:val="00836435"/>
    <w:rsid w:val="00837101"/>
    <w:rsid w:val="00837478"/>
    <w:rsid w:val="008415BE"/>
    <w:rsid w:val="00841853"/>
    <w:rsid w:val="0084193D"/>
    <w:rsid w:val="00843393"/>
    <w:rsid w:val="00843607"/>
    <w:rsid w:val="00843F50"/>
    <w:rsid w:val="008442E8"/>
    <w:rsid w:val="0084435D"/>
    <w:rsid w:val="008443E5"/>
    <w:rsid w:val="00844469"/>
    <w:rsid w:val="00844D8C"/>
    <w:rsid w:val="0084746C"/>
    <w:rsid w:val="008505AD"/>
    <w:rsid w:val="00851577"/>
    <w:rsid w:val="00853040"/>
    <w:rsid w:val="008531C3"/>
    <w:rsid w:val="008546D5"/>
    <w:rsid w:val="00854BF2"/>
    <w:rsid w:val="00857F5B"/>
    <w:rsid w:val="0086069C"/>
    <w:rsid w:val="00860F1E"/>
    <w:rsid w:val="008610CE"/>
    <w:rsid w:val="008617DD"/>
    <w:rsid w:val="0086310F"/>
    <w:rsid w:val="0086330A"/>
    <w:rsid w:val="008637E9"/>
    <w:rsid w:val="00864778"/>
    <w:rsid w:val="00864F72"/>
    <w:rsid w:val="00865677"/>
    <w:rsid w:val="0086724D"/>
    <w:rsid w:val="00867A4B"/>
    <w:rsid w:val="00870175"/>
    <w:rsid w:val="00871729"/>
    <w:rsid w:val="00871C1D"/>
    <w:rsid w:val="00873B4A"/>
    <w:rsid w:val="00873D39"/>
    <w:rsid w:val="00873D5D"/>
    <w:rsid w:val="00873FB9"/>
    <w:rsid w:val="00874211"/>
    <w:rsid w:val="00874999"/>
    <w:rsid w:val="00875338"/>
    <w:rsid w:val="0087539A"/>
    <w:rsid w:val="00875616"/>
    <w:rsid w:val="00875ABB"/>
    <w:rsid w:val="00875D71"/>
    <w:rsid w:val="0087627C"/>
    <w:rsid w:val="00876377"/>
    <w:rsid w:val="00876FE3"/>
    <w:rsid w:val="008770B6"/>
    <w:rsid w:val="00877AA6"/>
    <w:rsid w:val="00877DE4"/>
    <w:rsid w:val="00877ED1"/>
    <w:rsid w:val="0088072D"/>
    <w:rsid w:val="00880A37"/>
    <w:rsid w:val="00880AD4"/>
    <w:rsid w:val="008814D4"/>
    <w:rsid w:val="00882465"/>
    <w:rsid w:val="008833E2"/>
    <w:rsid w:val="008839EA"/>
    <w:rsid w:val="00883C3F"/>
    <w:rsid w:val="0088490E"/>
    <w:rsid w:val="00885746"/>
    <w:rsid w:val="008857C1"/>
    <w:rsid w:val="00886A42"/>
    <w:rsid w:val="008871B4"/>
    <w:rsid w:val="00887EDF"/>
    <w:rsid w:val="00890096"/>
    <w:rsid w:val="0089035A"/>
    <w:rsid w:val="008904F0"/>
    <w:rsid w:val="008909B5"/>
    <w:rsid w:val="00890BE8"/>
    <w:rsid w:val="00891987"/>
    <w:rsid w:val="00891E1E"/>
    <w:rsid w:val="00891E9F"/>
    <w:rsid w:val="00892FEF"/>
    <w:rsid w:val="00892FF9"/>
    <w:rsid w:val="00893CCD"/>
    <w:rsid w:val="00894215"/>
    <w:rsid w:val="00894850"/>
    <w:rsid w:val="008949F4"/>
    <w:rsid w:val="0089510D"/>
    <w:rsid w:val="00895B62"/>
    <w:rsid w:val="00895D2D"/>
    <w:rsid w:val="00896308"/>
    <w:rsid w:val="00896955"/>
    <w:rsid w:val="008978FF"/>
    <w:rsid w:val="00897C5D"/>
    <w:rsid w:val="008A0508"/>
    <w:rsid w:val="008A0C1D"/>
    <w:rsid w:val="008A1272"/>
    <w:rsid w:val="008A1399"/>
    <w:rsid w:val="008A27E8"/>
    <w:rsid w:val="008A29F3"/>
    <w:rsid w:val="008A2B3F"/>
    <w:rsid w:val="008A2D4C"/>
    <w:rsid w:val="008A2EBC"/>
    <w:rsid w:val="008A3F19"/>
    <w:rsid w:val="008A4193"/>
    <w:rsid w:val="008A4D9D"/>
    <w:rsid w:val="008A5706"/>
    <w:rsid w:val="008A58E8"/>
    <w:rsid w:val="008A6698"/>
    <w:rsid w:val="008A6BCA"/>
    <w:rsid w:val="008A7544"/>
    <w:rsid w:val="008B0066"/>
    <w:rsid w:val="008B024E"/>
    <w:rsid w:val="008B06A5"/>
    <w:rsid w:val="008B0A93"/>
    <w:rsid w:val="008B1AB6"/>
    <w:rsid w:val="008B1FE1"/>
    <w:rsid w:val="008B3F14"/>
    <w:rsid w:val="008B52DD"/>
    <w:rsid w:val="008B56A1"/>
    <w:rsid w:val="008B605D"/>
    <w:rsid w:val="008B6174"/>
    <w:rsid w:val="008B67D3"/>
    <w:rsid w:val="008B70DD"/>
    <w:rsid w:val="008B7549"/>
    <w:rsid w:val="008B75AE"/>
    <w:rsid w:val="008C1DA5"/>
    <w:rsid w:val="008C2287"/>
    <w:rsid w:val="008C2385"/>
    <w:rsid w:val="008C3292"/>
    <w:rsid w:val="008C3F6D"/>
    <w:rsid w:val="008C4062"/>
    <w:rsid w:val="008C4154"/>
    <w:rsid w:val="008C44E3"/>
    <w:rsid w:val="008C5131"/>
    <w:rsid w:val="008C64D7"/>
    <w:rsid w:val="008C6A25"/>
    <w:rsid w:val="008D063E"/>
    <w:rsid w:val="008D08C4"/>
    <w:rsid w:val="008D12C3"/>
    <w:rsid w:val="008D19ED"/>
    <w:rsid w:val="008D1C8E"/>
    <w:rsid w:val="008D2ED6"/>
    <w:rsid w:val="008D3A2D"/>
    <w:rsid w:val="008D3BB8"/>
    <w:rsid w:val="008D3D57"/>
    <w:rsid w:val="008D4228"/>
    <w:rsid w:val="008D4E1E"/>
    <w:rsid w:val="008E12BE"/>
    <w:rsid w:val="008E2801"/>
    <w:rsid w:val="008E3113"/>
    <w:rsid w:val="008E367B"/>
    <w:rsid w:val="008E37C5"/>
    <w:rsid w:val="008E3813"/>
    <w:rsid w:val="008E3F3D"/>
    <w:rsid w:val="008E443A"/>
    <w:rsid w:val="008E4510"/>
    <w:rsid w:val="008E4607"/>
    <w:rsid w:val="008E48A3"/>
    <w:rsid w:val="008E4FD4"/>
    <w:rsid w:val="008E5B8C"/>
    <w:rsid w:val="008E6045"/>
    <w:rsid w:val="008E62F8"/>
    <w:rsid w:val="008E67AB"/>
    <w:rsid w:val="008E7B91"/>
    <w:rsid w:val="008F1229"/>
    <w:rsid w:val="008F1496"/>
    <w:rsid w:val="008F14E5"/>
    <w:rsid w:val="008F1D68"/>
    <w:rsid w:val="008F25D3"/>
    <w:rsid w:val="008F5AFA"/>
    <w:rsid w:val="008F5C7C"/>
    <w:rsid w:val="008F6BF9"/>
    <w:rsid w:val="008F7735"/>
    <w:rsid w:val="009001F4"/>
    <w:rsid w:val="00900CBA"/>
    <w:rsid w:val="00902279"/>
    <w:rsid w:val="0090323A"/>
    <w:rsid w:val="00903302"/>
    <w:rsid w:val="009035BC"/>
    <w:rsid w:val="0090391F"/>
    <w:rsid w:val="00903FED"/>
    <w:rsid w:val="00904988"/>
    <w:rsid w:val="00904F8D"/>
    <w:rsid w:val="00905CA6"/>
    <w:rsid w:val="00910554"/>
    <w:rsid w:val="00910E01"/>
    <w:rsid w:val="00911B40"/>
    <w:rsid w:val="00912018"/>
    <w:rsid w:val="009127BF"/>
    <w:rsid w:val="009128F8"/>
    <w:rsid w:val="00912B6D"/>
    <w:rsid w:val="00912DED"/>
    <w:rsid w:val="00913E15"/>
    <w:rsid w:val="009140CB"/>
    <w:rsid w:val="00914D72"/>
    <w:rsid w:val="00916A13"/>
    <w:rsid w:val="00917BCA"/>
    <w:rsid w:val="00917F19"/>
    <w:rsid w:val="009200FC"/>
    <w:rsid w:val="00920711"/>
    <w:rsid w:val="00920F8F"/>
    <w:rsid w:val="00921E7C"/>
    <w:rsid w:val="009225EB"/>
    <w:rsid w:val="0092262E"/>
    <w:rsid w:val="009227C0"/>
    <w:rsid w:val="00922844"/>
    <w:rsid w:val="00923707"/>
    <w:rsid w:val="00923F54"/>
    <w:rsid w:val="0092402B"/>
    <w:rsid w:val="009244C1"/>
    <w:rsid w:val="00924587"/>
    <w:rsid w:val="00924CC7"/>
    <w:rsid w:val="00926012"/>
    <w:rsid w:val="0092653E"/>
    <w:rsid w:val="00927539"/>
    <w:rsid w:val="0092761A"/>
    <w:rsid w:val="0092764F"/>
    <w:rsid w:val="00927F9D"/>
    <w:rsid w:val="00930A27"/>
    <w:rsid w:val="00930E4A"/>
    <w:rsid w:val="009321BF"/>
    <w:rsid w:val="00932F61"/>
    <w:rsid w:val="009335E2"/>
    <w:rsid w:val="00934F82"/>
    <w:rsid w:val="00934FD9"/>
    <w:rsid w:val="0093567C"/>
    <w:rsid w:val="009362BE"/>
    <w:rsid w:val="009362CB"/>
    <w:rsid w:val="00937400"/>
    <w:rsid w:val="00937600"/>
    <w:rsid w:val="009378B4"/>
    <w:rsid w:val="00937D01"/>
    <w:rsid w:val="00937E93"/>
    <w:rsid w:val="0094050D"/>
    <w:rsid w:val="00940812"/>
    <w:rsid w:val="00940DC5"/>
    <w:rsid w:val="0094118D"/>
    <w:rsid w:val="0094145B"/>
    <w:rsid w:val="00941865"/>
    <w:rsid w:val="00942E06"/>
    <w:rsid w:val="009430F2"/>
    <w:rsid w:val="00943589"/>
    <w:rsid w:val="00943B32"/>
    <w:rsid w:val="00943D3D"/>
    <w:rsid w:val="0094456D"/>
    <w:rsid w:val="00945129"/>
    <w:rsid w:val="00945612"/>
    <w:rsid w:val="00945B56"/>
    <w:rsid w:val="00946567"/>
    <w:rsid w:val="009506D9"/>
    <w:rsid w:val="00951AF4"/>
    <w:rsid w:val="00951B58"/>
    <w:rsid w:val="00952016"/>
    <w:rsid w:val="00952239"/>
    <w:rsid w:val="00952EA0"/>
    <w:rsid w:val="009531B7"/>
    <w:rsid w:val="00953CEA"/>
    <w:rsid w:val="00955B40"/>
    <w:rsid w:val="00955DF4"/>
    <w:rsid w:val="00955E6C"/>
    <w:rsid w:val="00956470"/>
    <w:rsid w:val="00956FA2"/>
    <w:rsid w:val="009573D5"/>
    <w:rsid w:val="00957476"/>
    <w:rsid w:val="0096006E"/>
    <w:rsid w:val="00960D77"/>
    <w:rsid w:val="009615D4"/>
    <w:rsid w:val="00961BD3"/>
    <w:rsid w:val="00961C21"/>
    <w:rsid w:val="009627C2"/>
    <w:rsid w:val="009627DF"/>
    <w:rsid w:val="00962EB2"/>
    <w:rsid w:val="00963C81"/>
    <w:rsid w:val="00963FC9"/>
    <w:rsid w:val="009646CE"/>
    <w:rsid w:val="009653F3"/>
    <w:rsid w:val="0096639C"/>
    <w:rsid w:val="00966FAB"/>
    <w:rsid w:val="00967F36"/>
    <w:rsid w:val="00970084"/>
    <w:rsid w:val="0097011E"/>
    <w:rsid w:val="00970B59"/>
    <w:rsid w:val="00970DF2"/>
    <w:rsid w:val="00972A0E"/>
    <w:rsid w:val="00973F2D"/>
    <w:rsid w:val="0097493D"/>
    <w:rsid w:val="0097575F"/>
    <w:rsid w:val="0097606E"/>
    <w:rsid w:val="00977220"/>
    <w:rsid w:val="009772DD"/>
    <w:rsid w:val="009778D8"/>
    <w:rsid w:val="0097793A"/>
    <w:rsid w:val="009807B0"/>
    <w:rsid w:val="009807D5"/>
    <w:rsid w:val="00981901"/>
    <w:rsid w:val="00981C23"/>
    <w:rsid w:val="00981C2A"/>
    <w:rsid w:val="00981F93"/>
    <w:rsid w:val="009824F4"/>
    <w:rsid w:val="009832A1"/>
    <w:rsid w:val="00983D6B"/>
    <w:rsid w:val="00983E19"/>
    <w:rsid w:val="00983F1D"/>
    <w:rsid w:val="009849DE"/>
    <w:rsid w:val="00985CA6"/>
    <w:rsid w:val="00986C41"/>
    <w:rsid w:val="00986C70"/>
    <w:rsid w:val="009875CC"/>
    <w:rsid w:val="00987CB2"/>
    <w:rsid w:val="00991FF1"/>
    <w:rsid w:val="00992A1C"/>
    <w:rsid w:val="00993C30"/>
    <w:rsid w:val="009942D5"/>
    <w:rsid w:val="00994B3F"/>
    <w:rsid w:val="0099527B"/>
    <w:rsid w:val="009959A9"/>
    <w:rsid w:val="00995AE6"/>
    <w:rsid w:val="00995FA3"/>
    <w:rsid w:val="00995FDD"/>
    <w:rsid w:val="0099612F"/>
    <w:rsid w:val="0099653B"/>
    <w:rsid w:val="00996A66"/>
    <w:rsid w:val="00996F24"/>
    <w:rsid w:val="009979F4"/>
    <w:rsid w:val="00997F8E"/>
    <w:rsid w:val="009A002B"/>
    <w:rsid w:val="009A112E"/>
    <w:rsid w:val="009A1763"/>
    <w:rsid w:val="009A19B5"/>
    <w:rsid w:val="009A368F"/>
    <w:rsid w:val="009A3BCE"/>
    <w:rsid w:val="009A46A3"/>
    <w:rsid w:val="009A4D3C"/>
    <w:rsid w:val="009A6141"/>
    <w:rsid w:val="009A63E9"/>
    <w:rsid w:val="009B034D"/>
    <w:rsid w:val="009B0C34"/>
    <w:rsid w:val="009B0C5B"/>
    <w:rsid w:val="009B19EF"/>
    <w:rsid w:val="009B2558"/>
    <w:rsid w:val="009B269C"/>
    <w:rsid w:val="009B27DF"/>
    <w:rsid w:val="009B2C99"/>
    <w:rsid w:val="009B39F0"/>
    <w:rsid w:val="009B4677"/>
    <w:rsid w:val="009B4E9F"/>
    <w:rsid w:val="009B5359"/>
    <w:rsid w:val="009B5BA6"/>
    <w:rsid w:val="009B652F"/>
    <w:rsid w:val="009B72B7"/>
    <w:rsid w:val="009B754D"/>
    <w:rsid w:val="009B7E22"/>
    <w:rsid w:val="009C0853"/>
    <w:rsid w:val="009C0DAF"/>
    <w:rsid w:val="009C0FDE"/>
    <w:rsid w:val="009C16C4"/>
    <w:rsid w:val="009C22B4"/>
    <w:rsid w:val="009C2B7E"/>
    <w:rsid w:val="009C3694"/>
    <w:rsid w:val="009C3728"/>
    <w:rsid w:val="009C44D6"/>
    <w:rsid w:val="009C50DD"/>
    <w:rsid w:val="009C55CE"/>
    <w:rsid w:val="009C55F0"/>
    <w:rsid w:val="009C56DD"/>
    <w:rsid w:val="009C65EA"/>
    <w:rsid w:val="009C68CE"/>
    <w:rsid w:val="009C703E"/>
    <w:rsid w:val="009C7BB0"/>
    <w:rsid w:val="009D00CD"/>
    <w:rsid w:val="009D1073"/>
    <w:rsid w:val="009D1241"/>
    <w:rsid w:val="009D17CF"/>
    <w:rsid w:val="009D2A70"/>
    <w:rsid w:val="009D2BE3"/>
    <w:rsid w:val="009D3CD4"/>
    <w:rsid w:val="009D4B7D"/>
    <w:rsid w:val="009D5846"/>
    <w:rsid w:val="009D61D9"/>
    <w:rsid w:val="009D6928"/>
    <w:rsid w:val="009D7203"/>
    <w:rsid w:val="009D7225"/>
    <w:rsid w:val="009D7557"/>
    <w:rsid w:val="009E01F9"/>
    <w:rsid w:val="009E04DA"/>
    <w:rsid w:val="009E1566"/>
    <w:rsid w:val="009E4213"/>
    <w:rsid w:val="009E46B0"/>
    <w:rsid w:val="009E56FE"/>
    <w:rsid w:val="009E636B"/>
    <w:rsid w:val="009E64D5"/>
    <w:rsid w:val="009E6822"/>
    <w:rsid w:val="009E69E1"/>
    <w:rsid w:val="009E7330"/>
    <w:rsid w:val="009E7BAD"/>
    <w:rsid w:val="009F05E6"/>
    <w:rsid w:val="009F11FE"/>
    <w:rsid w:val="009F1FC7"/>
    <w:rsid w:val="009F215C"/>
    <w:rsid w:val="009F21FA"/>
    <w:rsid w:val="009F287A"/>
    <w:rsid w:val="009F2CCE"/>
    <w:rsid w:val="009F2E6C"/>
    <w:rsid w:val="009F312F"/>
    <w:rsid w:val="009F344E"/>
    <w:rsid w:val="009F3DD5"/>
    <w:rsid w:val="009F412C"/>
    <w:rsid w:val="009F5B37"/>
    <w:rsid w:val="009F6702"/>
    <w:rsid w:val="009F7A4A"/>
    <w:rsid w:val="00A00F80"/>
    <w:rsid w:val="00A01DE0"/>
    <w:rsid w:val="00A02313"/>
    <w:rsid w:val="00A028DB"/>
    <w:rsid w:val="00A02CE4"/>
    <w:rsid w:val="00A0304D"/>
    <w:rsid w:val="00A03C26"/>
    <w:rsid w:val="00A04F82"/>
    <w:rsid w:val="00A061AF"/>
    <w:rsid w:val="00A06279"/>
    <w:rsid w:val="00A06928"/>
    <w:rsid w:val="00A06AE9"/>
    <w:rsid w:val="00A073E5"/>
    <w:rsid w:val="00A077D4"/>
    <w:rsid w:val="00A07DAA"/>
    <w:rsid w:val="00A101C7"/>
    <w:rsid w:val="00A101DE"/>
    <w:rsid w:val="00A103DA"/>
    <w:rsid w:val="00A11701"/>
    <w:rsid w:val="00A11C8D"/>
    <w:rsid w:val="00A11F03"/>
    <w:rsid w:val="00A1232C"/>
    <w:rsid w:val="00A13DAF"/>
    <w:rsid w:val="00A147D5"/>
    <w:rsid w:val="00A14963"/>
    <w:rsid w:val="00A14F3A"/>
    <w:rsid w:val="00A151FC"/>
    <w:rsid w:val="00A16F99"/>
    <w:rsid w:val="00A17917"/>
    <w:rsid w:val="00A20A05"/>
    <w:rsid w:val="00A20DC0"/>
    <w:rsid w:val="00A21EE1"/>
    <w:rsid w:val="00A228C9"/>
    <w:rsid w:val="00A22C90"/>
    <w:rsid w:val="00A233D4"/>
    <w:rsid w:val="00A235FE"/>
    <w:rsid w:val="00A23776"/>
    <w:rsid w:val="00A243AE"/>
    <w:rsid w:val="00A24FD6"/>
    <w:rsid w:val="00A25D41"/>
    <w:rsid w:val="00A26B3D"/>
    <w:rsid w:val="00A27346"/>
    <w:rsid w:val="00A276AE"/>
    <w:rsid w:val="00A27C22"/>
    <w:rsid w:val="00A27E4B"/>
    <w:rsid w:val="00A309CB"/>
    <w:rsid w:val="00A30EA2"/>
    <w:rsid w:val="00A31086"/>
    <w:rsid w:val="00A31DB0"/>
    <w:rsid w:val="00A31E8B"/>
    <w:rsid w:val="00A32317"/>
    <w:rsid w:val="00A34421"/>
    <w:rsid w:val="00A34451"/>
    <w:rsid w:val="00A354F6"/>
    <w:rsid w:val="00A361D3"/>
    <w:rsid w:val="00A36A5A"/>
    <w:rsid w:val="00A36F55"/>
    <w:rsid w:val="00A40053"/>
    <w:rsid w:val="00A40C52"/>
    <w:rsid w:val="00A40CC6"/>
    <w:rsid w:val="00A4167D"/>
    <w:rsid w:val="00A41DA6"/>
    <w:rsid w:val="00A447E6"/>
    <w:rsid w:val="00A44884"/>
    <w:rsid w:val="00A45D42"/>
    <w:rsid w:val="00A46111"/>
    <w:rsid w:val="00A46358"/>
    <w:rsid w:val="00A46433"/>
    <w:rsid w:val="00A46CAA"/>
    <w:rsid w:val="00A502EE"/>
    <w:rsid w:val="00A505FC"/>
    <w:rsid w:val="00A51481"/>
    <w:rsid w:val="00A53585"/>
    <w:rsid w:val="00A53596"/>
    <w:rsid w:val="00A53EF1"/>
    <w:rsid w:val="00A542AA"/>
    <w:rsid w:val="00A54C17"/>
    <w:rsid w:val="00A54EA5"/>
    <w:rsid w:val="00A554A9"/>
    <w:rsid w:val="00A55586"/>
    <w:rsid w:val="00A5584F"/>
    <w:rsid w:val="00A569D3"/>
    <w:rsid w:val="00A56F22"/>
    <w:rsid w:val="00A57056"/>
    <w:rsid w:val="00A60183"/>
    <w:rsid w:val="00A60F45"/>
    <w:rsid w:val="00A6331E"/>
    <w:rsid w:val="00A63C90"/>
    <w:rsid w:val="00A63DB6"/>
    <w:rsid w:val="00A64254"/>
    <w:rsid w:val="00A64885"/>
    <w:rsid w:val="00A65916"/>
    <w:rsid w:val="00A65B6A"/>
    <w:rsid w:val="00A66EBF"/>
    <w:rsid w:val="00A67BB8"/>
    <w:rsid w:val="00A67ECE"/>
    <w:rsid w:val="00A701BF"/>
    <w:rsid w:val="00A70E3D"/>
    <w:rsid w:val="00A712B4"/>
    <w:rsid w:val="00A719F3"/>
    <w:rsid w:val="00A71A21"/>
    <w:rsid w:val="00A71E64"/>
    <w:rsid w:val="00A71ED3"/>
    <w:rsid w:val="00A733F8"/>
    <w:rsid w:val="00A73624"/>
    <w:rsid w:val="00A73874"/>
    <w:rsid w:val="00A73E46"/>
    <w:rsid w:val="00A74A1C"/>
    <w:rsid w:val="00A74ED6"/>
    <w:rsid w:val="00A75727"/>
    <w:rsid w:val="00A763FF"/>
    <w:rsid w:val="00A764A1"/>
    <w:rsid w:val="00A77D11"/>
    <w:rsid w:val="00A80590"/>
    <w:rsid w:val="00A80A3E"/>
    <w:rsid w:val="00A80B9A"/>
    <w:rsid w:val="00A814B3"/>
    <w:rsid w:val="00A81B53"/>
    <w:rsid w:val="00A81E2E"/>
    <w:rsid w:val="00A82B00"/>
    <w:rsid w:val="00A82F11"/>
    <w:rsid w:val="00A82F32"/>
    <w:rsid w:val="00A83076"/>
    <w:rsid w:val="00A83117"/>
    <w:rsid w:val="00A8339B"/>
    <w:rsid w:val="00A83589"/>
    <w:rsid w:val="00A840C8"/>
    <w:rsid w:val="00A841D4"/>
    <w:rsid w:val="00A841E5"/>
    <w:rsid w:val="00A84223"/>
    <w:rsid w:val="00A8475D"/>
    <w:rsid w:val="00A85FB2"/>
    <w:rsid w:val="00A8606B"/>
    <w:rsid w:val="00A862B0"/>
    <w:rsid w:val="00A879FA"/>
    <w:rsid w:val="00A91932"/>
    <w:rsid w:val="00A91E30"/>
    <w:rsid w:val="00A920E4"/>
    <w:rsid w:val="00A927B2"/>
    <w:rsid w:val="00A92BB3"/>
    <w:rsid w:val="00A92EA5"/>
    <w:rsid w:val="00A93F92"/>
    <w:rsid w:val="00A9406D"/>
    <w:rsid w:val="00A94611"/>
    <w:rsid w:val="00A94784"/>
    <w:rsid w:val="00A94BF6"/>
    <w:rsid w:val="00A94C42"/>
    <w:rsid w:val="00A954A9"/>
    <w:rsid w:val="00A95983"/>
    <w:rsid w:val="00A95D72"/>
    <w:rsid w:val="00A96DA0"/>
    <w:rsid w:val="00AA032A"/>
    <w:rsid w:val="00AA08A1"/>
    <w:rsid w:val="00AA08F9"/>
    <w:rsid w:val="00AA0DAB"/>
    <w:rsid w:val="00AA117C"/>
    <w:rsid w:val="00AA1BA9"/>
    <w:rsid w:val="00AA26DF"/>
    <w:rsid w:val="00AA2D93"/>
    <w:rsid w:val="00AA3805"/>
    <w:rsid w:val="00AA39EE"/>
    <w:rsid w:val="00AA3B61"/>
    <w:rsid w:val="00AA3E3F"/>
    <w:rsid w:val="00AA40F4"/>
    <w:rsid w:val="00AA4B9C"/>
    <w:rsid w:val="00AA5416"/>
    <w:rsid w:val="00AA6105"/>
    <w:rsid w:val="00AA7702"/>
    <w:rsid w:val="00AA7FCC"/>
    <w:rsid w:val="00AB058A"/>
    <w:rsid w:val="00AB0D66"/>
    <w:rsid w:val="00AB0FE0"/>
    <w:rsid w:val="00AB1B4D"/>
    <w:rsid w:val="00AB1C2A"/>
    <w:rsid w:val="00AB1EE1"/>
    <w:rsid w:val="00AB2098"/>
    <w:rsid w:val="00AB24CF"/>
    <w:rsid w:val="00AB3179"/>
    <w:rsid w:val="00AB340F"/>
    <w:rsid w:val="00AB3908"/>
    <w:rsid w:val="00AB3CBB"/>
    <w:rsid w:val="00AB3FEA"/>
    <w:rsid w:val="00AB5020"/>
    <w:rsid w:val="00AB56ED"/>
    <w:rsid w:val="00AB602E"/>
    <w:rsid w:val="00AB6B5A"/>
    <w:rsid w:val="00AB6E44"/>
    <w:rsid w:val="00AB7590"/>
    <w:rsid w:val="00AB7C06"/>
    <w:rsid w:val="00AC0E2A"/>
    <w:rsid w:val="00AC1EAC"/>
    <w:rsid w:val="00AC3060"/>
    <w:rsid w:val="00AC3E67"/>
    <w:rsid w:val="00AC4A08"/>
    <w:rsid w:val="00AC4D0C"/>
    <w:rsid w:val="00AC6178"/>
    <w:rsid w:val="00AC69BA"/>
    <w:rsid w:val="00AC7108"/>
    <w:rsid w:val="00AC7582"/>
    <w:rsid w:val="00AC7B4B"/>
    <w:rsid w:val="00AD04A9"/>
    <w:rsid w:val="00AD1213"/>
    <w:rsid w:val="00AD1E90"/>
    <w:rsid w:val="00AD2260"/>
    <w:rsid w:val="00AD3021"/>
    <w:rsid w:val="00AD30B1"/>
    <w:rsid w:val="00AD3427"/>
    <w:rsid w:val="00AD3CBE"/>
    <w:rsid w:val="00AD478D"/>
    <w:rsid w:val="00AD5747"/>
    <w:rsid w:val="00AD5C40"/>
    <w:rsid w:val="00AD68D9"/>
    <w:rsid w:val="00AD719F"/>
    <w:rsid w:val="00AD7828"/>
    <w:rsid w:val="00AD7B01"/>
    <w:rsid w:val="00AD7B09"/>
    <w:rsid w:val="00AE030E"/>
    <w:rsid w:val="00AE1BEA"/>
    <w:rsid w:val="00AE1F3B"/>
    <w:rsid w:val="00AE1FE5"/>
    <w:rsid w:val="00AE2046"/>
    <w:rsid w:val="00AE282E"/>
    <w:rsid w:val="00AE2FC9"/>
    <w:rsid w:val="00AE3CCD"/>
    <w:rsid w:val="00AE4222"/>
    <w:rsid w:val="00AE47F2"/>
    <w:rsid w:val="00AE4905"/>
    <w:rsid w:val="00AE63BD"/>
    <w:rsid w:val="00AE6B39"/>
    <w:rsid w:val="00AE729D"/>
    <w:rsid w:val="00AE7373"/>
    <w:rsid w:val="00AE75C4"/>
    <w:rsid w:val="00AE7825"/>
    <w:rsid w:val="00AE79B2"/>
    <w:rsid w:val="00AF0485"/>
    <w:rsid w:val="00AF0678"/>
    <w:rsid w:val="00AF1063"/>
    <w:rsid w:val="00AF1CC8"/>
    <w:rsid w:val="00AF21D6"/>
    <w:rsid w:val="00AF233A"/>
    <w:rsid w:val="00AF2705"/>
    <w:rsid w:val="00AF2987"/>
    <w:rsid w:val="00AF2C29"/>
    <w:rsid w:val="00AF2C78"/>
    <w:rsid w:val="00AF3471"/>
    <w:rsid w:val="00AF3A3F"/>
    <w:rsid w:val="00AF3D3A"/>
    <w:rsid w:val="00AF4824"/>
    <w:rsid w:val="00AF496D"/>
    <w:rsid w:val="00AF4D94"/>
    <w:rsid w:val="00AF4F35"/>
    <w:rsid w:val="00AF528E"/>
    <w:rsid w:val="00AF5546"/>
    <w:rsid w:val="00AF6D29"/>
    <w:rsid w:val="00B0034A"/>
    <w:rsid w:val="00B00A54"/>
    <w:rsid w:val="00B00A72"/>
    <w:rsid w:val="00B00E62"/>
    <w:rsid w:val="00B021C0"/>
    <w:rsid w:val="00B02854"/>
    <w:rsid w:val="00B0301F"/>
    <w:rsid w:val="00B0305E"/>
    <w:rsid w:val="00B0322C"/>
    <w:rsid w:val="00B03403"/>
    <w:rsid w:val="00B03548"/>
    <w:rsid w:val="00B05E38"/>
    <w:rsid w:val="00B07E40"/>
    <w:rsid w:val="00B10544"/>
    <w:rsid w:val="00B1158C"/>
    <w:rsid w:val="00B13B9A"/>
    <w:rsid w:val="00B14088"/>
    <w:rsid w:val="00B1416A"/>
    <w:rsid w:val="00B169D5"/>
    <w:rsid w:val="00B16A2B"/>
    <w:rsid w:val="00B16AAB"/>
    <w:rsid w:val="00B1725C"/>
    <w:rsid w:val="00B17F4C"/>
    <w:rsid w:val="00B2092F"/>
    <w:rsid w:val="00B20A32"/>
    <w:rsid w:val="00B212EA"/>
    <w:rsid w:val="00B215EC"/>
    <w:rsid w:val="00B21C27"/>
    <w:rsid w:val="00B2217D"/>
    <w:rsid w:val="00B22FC5"/>
    <w:rsid w:val="00B237EA"/>
    <w:rsid w:val="00B238FA"/>
    <w:rsid w:val="00B23A08"/>
    <w:rsid w:val="00B244A3"/>
    <w:rsid w:val="00B249FC"/>
    <w:rsid w:val="00B250E3"/>
    <w:rsid w:val="00B25469"/>
    <w:rsid w:val="00B25542"/>
    <w:rsid w:val="00B268E9"/>
    <w:rsid w:val="00B26F78"/>
    <w:rsid w:val="00B27356"/>
    <w:rsid w:val="00B30090"/>
    <w:rsid w:val="00B3023B"/>
    <w:rsid w:val="00B30815"/>
    <w:rsid w:val="00B30A60"/>
    <w:rsid w:val="00B31958"/>
    <w:rsid w:val="00B32AB7"/>
    <w:rsid w:val="00B32B2D"/>
    <w:rsid w:val="00B32D26"/>
    <w:rsid w:val="00B35E54"/>
    <w:rsid w:val="00B36280"/>
    <w:rsid w:val="00B363B8"/>
    <w:rsid w:val="00B366AA"/>
    <w:rsid w:val="00B368ED"/>
    <w:rsid w:val="00B37FD8"/>
    <w:rsid w:val="00B40614"/>
    <w:rsid w:val="00B4129F"/>
    <w:rsid w:val="00B4146D"/>
    <w:rsid w:val="00B417CE"/>
    <w:rsid w:val="00B4285C"/>
    <w:rsid w:val="00B432B3"/>
    <w:rsid w:val="00B43417"/>
    <w:rsid w:val="00B438F5"/>
    <w:rsid w:val="00B43CAC"/>
    <w:rsid w:val="00B4402C"/>
    <w:rsid w:val="00B4470F"/>
    <w:rsid w:val="00B44D5C"/>
    <w:rsid w:val="00B453F3"/>
    <w:rsid w:val="00B4723C"/>
    <w:rsid w:val="00B47254"/>
    <w:rsid w:val="00B502B8"/>
    <w:rsid w:val="00B50CFF"/>
    <w:rsid w:val="00B51CFC"/>
    <w:rsid w:val="00B53F5E"/>
    <w:rsid w:val="00B54008"/>
    <w:rsid w:val="00B54BC6"/>
    <w:rsid w:val="00B553F9"/>
    <w:rsid w:val="00B563E4"/>
    <w:rsid w:val="00B57CAB"/>
    <w:rsid w:val="00B60A04"/>
    <w:rsid w:val="00B60DEF"/>
    <w:rsid w:val="00B6154A"/>
    <w:rsid w:val="00B621D2"/>
    <w:rsid w:val="00B62575"/>
    <w:rsid w:val="00B62D97"/>
    <w:rsid w:val="00B6301B"/>
    <w:rsid w:val="00B63820"/>
    <w:rsid w:val="00B64925"/>
    <w:rsid w:val="00B64C67"/>
    <w:rsid w:val="00B66CFA"/>
    <w:rsid w:val="00B67CA4"/>
    <w:rsid w:val="00B701C5"/>
    <w:rsid w:val="00B7158F"/>
    <w:rsid w:val="00B72130"/>
    <w:rsid w:val="00B72160"/>
    <w:rsid w:val="00B72915"/>
    <w:rsid w:val="00B73C0C"/>
    <w:rsid w:val="00B743BC"/>
    <w:rsid w:val="00B74A50"/>
    <w:rsid w:val="00B74C02"/>
    <w:rsid w:val="00B75283"/>
    <w:rsid w:val="00B7740D"/>
    <w:rsid w:val="00B7784E"/>
    <w:rsid w:val="00B8005C"/>
    <w:rsid w:val="00B808AE"/>
    <w:rsid w:val="00B8094B"/>
    <w:rsid w:val="00B8094C"/>
    <w:rsid w:val="00B82E7E"/>
    <w:rsid w:val="00B82F01"/>
    <w:rsid w:val="00B83FA8"/>
    <w:rsid w:val="00B840C1"/>
    <w:rsid w:val="00B857C6"/>
    <w:rsid w:val="00B85F18"/>
    <w:rsid w:val="00B86038"/>
    <w:rsid w:val="00B8669E"/>
    <w:rsid w:val="00B87155"/>
    <w:rsid w:val="00B87191"/>
    <w:rsid w:val="00B87369"/>
    <w:rsid w:val="00B87C61"/>
    <w:rsid w:val="00B90671"/>
    <w:rsid w:val="00B9097F"/>
    <w:rsid w:val="00B90C94"/>
    <w:rsid w:val="00B90CBD"/>
    <w:rsid w:val="00B91BE7"/>
    <w:rsid w:val="00B9245D"/>
    <w:rsid w:val="00B92C46"/>
    <w:rsid w:val="00B93C68"/>
    <w:rsid w:val="00B93F3B"/>
    <w:rsid w:val="00B94A06"/>
    <w:rsid w:val="00B9517A"/>
    <w:rsid w:val="00B954A9"/>
    <w:rsid w:val="00B95D66"/>
    <w:rsid w:val="00B9611C"/>
    <w:rsid w:val="00B97788"/>
    <w:rsid w:val="00B977CF"/>
    <w:rsid w:val="00B97A12"/>
    <w:rsid w:val="00B97A36"/>
    <w:rsid w:val="00B97A61"/>
    <w:rsid w:val="00BA0FF2"/>
    <w:rsid w:val="00BA1CBC"/>
    <w:rsid w:val="00BA1F58"/>
    <w:rsid w:val="00BA2D08"/>
    <w:rsid w:val="00BA39A5"/>
    <w:rsid w:val="00BA4E97"/>
    <w:rsid w:val="00BA5272"/>
    <w:rsid w:val="00BA5577"/>
    <w:rsid w:val="00BA585B"/>
    <w:rsid w:val="00BA5C12"/>
    <w:rsid w:val="00BA6618"/>
    <w:rsid w:val="00BA6694"/>
    <w:rsid w:val="00BA6770"/>
    <w:rsid w:val="00BA6F6F"/>
    <w:rsid w:val="00BA7316"/>
    <w:rsid w:val="00BA76C4"/>
    <w:rsid w:val="00BA7E23"/>
    <w:rsid w:val="00BB0C1A"/>
    <w:rsid w:val="00BB14CA"/>
    <w:rsid w:val="00BB1B68"/>
    <w:rsid w:val="00BB331A"/>
    <w:rsid w:val="00BB4627"/>
    <w:rsid w:val="00BB488B"/>
    <w:rsid w:val="00BB51B8"/>
    <w:rsid w:val="00BB5852"/>
    <w:rsid w:val="00BB6143"/>
    <w:rsid w:val="00BB62C2"/>
    <w:rsid w:val="00BB65AB"/>
    <w:rsid w:val="00BB6CEB"/>
    <w:rsid w:val="00BB7062"/>
    <w:rsid w:val="00BB75D0"/>
    <w:rsid w:val="00BC00CF"/>
    <w:rsid w:val="00BC0E73"/>
    <w:rsid w:val="00BC1306"/>
    <w:rsid w:val="00BC21CE"/>
    <w:rsid w:val="00BC2B9E"/>
    <w:rsid w:val="00BC2F65"/>
    <w:rsid w:val="00BC329C"/>
    <w:rsid w:val="00BC3C96"/>
    <w:rsid w:val="00BC3E7C"/>
    <w:rsid w:val="00BC4A6D"/>
    <w:rsid w:val="00BC4B0A"/>
    <w:rsid w:val="00BC5376"/>
    <w:rsid w:val="00BC6276"/>
    <w:rsid w:val="00BC6737"/>
    <w:rsid w:val="00BC6E16"/>
    <w:rsid w:val="00BC7333"/>
    <w:rsid w:val="00BC73CA"/>
    <w:rsid w:val="00BD00CB"/>
    <w:rsid w:val="00BD079D"/>
    <w:rsid w:val="00BD0D04"/>
    <w:rsid w:val="00BD19B7"/>
    <w:rsid w:val="00BD23FF"/>
    <w:rsid w:val="00BD2558"/>
    <w:rsid w:val="00BD2568"/>
    <w:rsid w:val="00BD37A6"/>
    <w:rsid w:val="00BD37F6"/>
    <w:rsid w:val="00BD4038"/>
    <w:rsid w:val="00BD49A9"/>
    <w:rsid w:val="00BD4CC5"/>
    <w:rsid w:val="00BD7DF8"/>
    <w:rsid w:val="00BE096F"/>
    <w:rsid w:val="00BE0C00"/>
    <w:rsid w:val="00BE2796"/>
    <w:rsid w:val="00BE2904"/>
    <w:rsid w:val="00BE293A"/>
    <w:rsid w:val="00BE2B08"/>
    <w:rsid w:val="00BE30F4"/>
    <w:rsid w:val="00BE3938"/>
    <w:rsid w:val="00BE3958"/>
    <w:rsid w:val="00BE3C19"/>
    <w:rsid w:val="00BE4173"/>
    <w:rsid w:val="00BE4471"/>
    <w:rsid w:val="00BE4793"/>
    <w:rsid w:val="00BE66C2"/>
    <w:rsid w:val="00BE7232"/>
    <w:rsid w:val="00BE7C78"/>
    <w:rsid w:val="00BE7EF7"/>
    <w:rsid w:val="00BF0526"/>
    <w:rsid w:val="00BF0E5B"/>
    <w:rsid w:val="00BF1380"/>
    <w:rsid w:val="00BF2BC0"/>
    <w:rsid w:val="00BF2CD4"/>
    <w:rsid w:val="00BF2CF9"/>
    <w:rsid w:val="00BF31F8"/>
    <w:rsid w:val="00BF35DF"/>
    <w:rsid w:val="00BF4561"/>
    <w:rsid w:val="00BF49C5"/>
    <w:rsid w:val="00BF5057"/>
    <w:rsid w:val="00BF6073"/>
    <w:rsid w:val="00BF638D"/>
    <w:rsid w:val="00BF7005"/>
    <w:rsid w:val="00BF7C36"/>
    <w:rsid w:val="00BF7D7D"/>
    <w:rsid w:val="00C00565"/>
    <w:rsid w:val="00C0179A"/>
    <w:rsid w:val="00C029A0"/>
    <w:rsid w:val="00C02C63"/>
    <w:rsid w:val="00C0602C"/>
    <w:rsid w:val="00C0642D"/>
    <w:rsid w:val="00C065BE"/>
    <w:rsid w:val="00C06C3F"/>
    <w:rsid w:val="00C07191"/>
    <w:rsid w:val="00C07EAB"/>
    <w:rsid w:val="00C10028"/>
    <w:rsid w:val="00C10263"/>
    <w:rsid w:val="00C10709"/>
    <w:rsid w:val="00C108D2"/>
    <w:rsid w:val="00C11102"/>
    <w:rsid w:val="00C1119A"/>
    <w:rsid w:val="00C1128B"/>
    <w:rsid w:val="00C116EE"/>
    <w:rsid w:val="00C136F4"/>
    <w:rsid w:val="00C1415B"/>
    <w:rsid w:val="00C142FE"/>
    <w:rsid w:val="00C14BBB"/>
    <w:rsid w:val="00C15347"/>
    <w:rsid w:val="00C1572C"/>
    <w:rsid w:val="00C17760"/>
    <w:rsid w:val="00C207EA"/>
    <w:rsid w:val="00C22846"/>
    <w:rsid w:val="00C22A9A"/>
    <w:rsid w:val="00C22B6E"/>
    <w:rsid w:val="00C23442"/>
    <w:rsid w:val="00C23A9D"/>
    <w:rsid w:val="00C251A0"/>
    <w:rsid w:val="00C2544C"/>
    <w:rsid w:val="00C25941"/>
    <w:rsid w:val="00C25FEB"/>
    <w:rsid w:val="00C26577"/>
    <w:rsid w:val="00C26A65"/>
    <w:rsid w:val="00C26C03"/>
    <w:rsid w:val="00C26F93"/>
    <w:rsid w:val="00C275DD"/>
    <w:rsid w:val="00C27909"/>
    <w:rsid w:val="00C27A53"/>
    <w:rsid w:val="00C304C8"/>
    <w:rsid w:val="00C30516"/>
    <w:rsid w:val="00C31B64"/>
    <w:rsid w:val="00C32386"/>
    <w:rsid w:val="00C329A2"/>
    <w:rsid w:val="00C336C0"/>
    <w:rsid w:val="00C3419B"/>
    <w:rsid w:val="00C344F2"/>
    <w:rsid w:val="00C34BED"/>
    <w:rsid w:val="00C34D4C"/>
    <w:rsid w:val="00C3565A"/>
    <w:rsid w:val="00C3668A"/>
    <w:rsid w:val="00C36A15"/>
    <w:rsid w:val="00C3777D"/>
    <w:rsid w:val="00C37900"/>
    <w:rsid w:val="00C40098"/>
    <w:rsid w:val="00C405E7"/>
    <w:rsid w:val="00C40AD7"/>
    <w:rsid w:val="00C40F54"/>
    <w:rsid w:val="00C42035"/>
    <w:rsid w:val="00C42BF6"/>
    <w:rsid w:val="00C437B5"/>
    <w:rsid w:val="00C442C7"/>
    <w:rsid w:val="00C443D0"/>
    <w:rsid w:val="00C447A7"/>
    <w:rsid w:val="00C449AF"/>
    <w:rsid w:val="00C44AC1"/>
    <w:rsid w:val="00C44B62"/>
    <w:rsid w:val="00C451B6"/>
    <w:rsid w:val="00C4526B"/>
    <w:rsid w:val="00C45C01"/>
    <w:rsid w:val="00C45F96"/>
    <w:rsid w:val="00C4770A"/>
    <w:rsid w:val="00C47B04"/>
    <w:rsid w:val="00C513E0"/>
    <w:rsid w:val="00C51FDE"/>
    <w:rsid w:val="00C5213A"/>
    <w:rsid w:val="00C52311"/>
    <w:rsid w:val="00C52435"/>
    <w:rsid w:val="00C535FE"/>
    <w:rsid w:val="00C5398D"/>
    <w:rsid w:val="00C539D6"/>
    <w:rsid w:val="00C5451E"/>
    <w:rsid w:val="00C54C5C"/>
    <w:rsid w:val="00C55626"/>
    <w:rsid w:val="00C577C8"/>
    <w:rsid w:val="00C60233"/>
    <w:rsid w:val="00C61F24"/>
    <w:rsid w:val="00C627BE"/>
    <w:rsid w:val="00C62842"/>
    <w:rsid w:val="00C63A1F"/>
    <w:rsid w:val="00C63BC2"/>
    <w:rsid w:val="00C63F3C"/>
    <w:rsid w:val="00C640CD"/>
    <w:rsid w:val="00C64886"/>
    <w:rsid w:val="00C6495E"/>
    <w:rsid w:val="00C651D0"/>
    <w:rsid w:val="00C66502"/>
    <w:rsid w:val="00C66B1E"/>
    <w:rsid w:val="00C6751A"/>
    <w:rsid w:val="00C67F3A"/>
    <w:rsid w:val="00C67FA3"/>
    <w:rsid w:val="00C704D9"/>
    <w:rsid w:val="00C70D9E"/>
    <w:rsid w:val="00C70F8F"/>
    <w:rsid w:val="00C710EC"/>
    <w:rsid w:val="00C715CC"/>
    <w:rsid w:val="00C7190B"/>
    <w:rsid w:val="00C72A24"/>
    <w:rsid w:val="00C73DE3"/>
    <w:rsid w:val="00C73EB2"/>
    <w:rsid w:val="00C7578A"/>
    <w:rsid w:val="00C765BB"/>
    <w:rsid w:val="00C77196"/>
    <w:rsid w:val="00C7790B"/>
    <w:rsid w:val="00C80FCD"/>
    <w:rsid w:val="00C81FF3"/>
    <w:rsid w:val="00C823CC"/>
    <w:rsid w:val="00C82482"/>
    <w:rsid w:val="00C82931"/>
    <w:rsid w:val="00C837EE"/>
    <w:rsid w:val="00C838E0"/>
    <w:rsid w:val="00C83974"/>
    <w:rsid w:val="00C85106"/>
    <w:rsid w:val="00C85122"/>
    <w:rsid w:val="00C857E1"/>
    <w:rsid w:val="00C85E30"/>
    <w:rsid w:val="00C86574"/>
    <w:rsid w:val="00C86AD5"/>
    <w:rsid w:val="00C8725E"/>
    <w:rsid w:val="00C87E18"/>
    <w:rsid w:val="00C90809"/>
    <w:rsid w:val="00C91A83"/>
    <w:rsid w:val="00C91D0E"/>
    <w:rsid w:val="00C9270D"/>
    <w:rsid w:val="00C93AAF"/>
    <w:rsid w:val="00C93DE3"/>
    <w:rsid w:val="00C94A1E"/>
    <w:rsid w:val="00C96DAB"/>
    <w:rsid w:val="00C97154"/>
    <w:rsid w:val="00C97652"/>
    <w:rsid w:val="00C97F28"/>
    <w:rsid w:val="00CA078B"/>
    <w:rsid w:val="00CA0AFE"/>
    <w:rsid w:val="00CA15C3"/>
    <w:rsid w:val="00CA182B"/>
    <w:rsid w:val="00CA2157"/>
    <w:rsid w:val="00CA260F"/>
    <w:rsid w:val="00CA3301"/>
    <w:rsid w:val="00CA3D9F"/>
    <w:rsid w:val="00CA4DF3"/>
    <w:rsid w:val="00CA5BE8"/>
    <w:rsid w:val="00CA666F"/>
    <w:rsid w:val="00CA7DA7"/>
    <w:rsid w:val="00CB03A5"/>
    <w:rsid w:val="00CB071D"/>
    <w:rsid w:val="00CB110A"/>
    <w:rsid w:val="00CB110B"/>
    <w:rsid w:val="00CB193B"/>
    <w:rsid w:val="00CB2399"/>
    <w:rsid w:val="00CB2514"/>
    <w:rsid w:val="00CB2EA0"/>
    <w:rsid w:val="00CB3A7B"/>
    <w:rsid w:val="00CB68C1"/>
    <w:rsid w:val="00CB6F5C"/>
    <w:rsid w:val="00CB756B"/>
    <w:rsid w:val="00CB798C"/>
    <w:rsid w:val="00CB7FA3"/>
    <w:rsid w:val="00CC00E8"/>
    <w:rsid w:val="00CC071E"/>
    <w:rsid w:val="00CC0B3C"/>
    <w:rsid w:val="00CC19F7"/>
    <w:rsid w:val="00CC1D24"/>
    <w:rsid w:val="00CC1DBC"/>
    <w:rsid w:val="00CC1F22"/>
    <w:rsid w:val="00CC24A1"/>
    <w:rsid w:val="00CC2E0D"/>
    <w:rsid w:val="00CC3764"/>
    <w:rsid w:val="00CC407D"/>
    <w:rsid w:val="00CC4281"/>
    <w:rsid w:val="00CC4EA5"/>
    <w:rsid w:val="00CC5535"/>
    <w:rsid w:val="00CC5781"/>
    <w:rsid w:val="00CC623E"/>
    <w:rsid w:val="00CC646C"/>
    <w:rsid w:val="00CC6474"/>
    <w:rsid w:val="00CC7CE2"/>
    <w:rsid w:val="00CD00E1"/>
    <w:rsid w:val="00CD049C"/>
    <w:rsid w:val="00CD18AD"/>
    <w:rsid w:val="00CD1D2C"/>
    <w:rsid w:val="00CD1E1C"/>
    <w:rsid w:val="00CD2FB6"/>
    <w:rsid w:val="00CD700C"/>
    <w:rsid w:val="00CD70CA"/>
    <w:rsid w:val="00CD7CA3"/>
    <w:rsid w:val="00CD7F31"/>
    <w:rsid w:val="00CE0719"/>
    <w:rsid w:val="00CE09AF"/>
    <w:rsid w:val="00CE0A57"/>
    <w:rsid w:val="00CE0D6D"/>
    <w:rsid w:val="00CE16F2"/>
    <w:rsid w:val="00CE194D"/>
    <w:rsid w:val="00CE1C30"/>
    <w:rsid w:val="00CE1FB0"/>
    <w:rsid w:val="00CE2C2C"/>
    <w:rsid w:val="00CE2DB2"/>
    <w:rsid w:val="00CE36D1"/>
    <w:rsid w:val="00CE372F"/>
    <w:rsid w:val="00CE394B"/>
    <w:rsid w:val="00CE3F42"/>
    <w:rsid w:val="00CE432C"/>
    <w:rsid w:val="00CE435F"/>
    <w:rsid w:val="00CE4A4A"/>
    <w:rsid w:val="00CE65D1"/>
    <w:rsid w:val="00CE682A"/>
    <w:rsid w:val="00CE6D2B"/>
    <w:rsid w:val="00CE74B7"/>
    <w:rsid w:val="00CE78A8"/>
    <w:rsid w:val="00CE7E77"/>
    <w:rsid w:val="00CF05F8"/>
    <w:rsid w:val="00CF07FE"/>
    <w:rsid w:val="00CF0E20"/>
    <w:rsid w:val="00CF1175"/>
    <w:rsid w:val="00CF16BF"/>
    <w:rsid w:val="00CF26BF"/>
    <w:rsid w:val="00CF2C5D"/>
    <w:rsid w:val="00CF342A"/>
    <w:rsid w:val="00CF3AC7"/>
    <w:rsid w:val="00CF3F5E"/>
    <w:rsid w:val="00CF48B2"/>
    <w:rsid w:val="00CF4D76"/>
    <w:rsid w:val="00CF572A"/>
    <w:rsid w:val="00CF6954"/>
    <w:rsid w:val="00CF6DF9"/>
    <w:rsid w:val="00CF6ECD"/>
    <w:rsid w:val="00CF70B3"/>
    <w:rsid w:val="00CF7241"/>
    <w:rsid w:val="00CF7453"/>
    <w:rsid w:val="00D001D1"/>
    <w:rsid w:val="00D00EFD"/>
    <w:rsid w:val="00D01552"/>
    <w:rsid w:val="00D01CF4"/>
    <w:rsid w:val="00D02239"/>
    <w:rsid w:val="00D02D5E"/>
    <w:rsid w:val="00D031F1"/>
    <w:rsid w:val="00D0368E"/>
    <w:rsid w:val="00D04265"/>
    <w:rsid w:val="00D04B14"/>
    <w:rsid w:val="00D109C3"/>
    <w:rsid w:val="00D11364"/>
    <w:rsid w:val="00D1241F"/>
    <w:rsid w:val="00D128CC"/>
    <w:rsid w:val="00D12B2C"/>
    <w:rsid w:val="00D13EA6"/>
    <w:rsid w:val="00D1443D"/>
    <w:rsid w:val="00D1473A"/>
    <w:rsid w:val="00D14D06"/>
    <w:rsid w:val="00D1592A"/>
    <w:rsid w:val="00D170FA"/>
    <w:rsid w:val="00D1716D"/>
    <w:rsid w:val="00D179BD"/>
    <w:rsid w:val="00D17BDD"/>
    <w:rsid w:val="00D17E2D"/>
    <w:rsid w:val="00D21531"/>
    <w:rsid w:val="00D219F6"/>
    <w:rsid w:val="00D21B76"/>
    <w:rsid w:val="00D230BE"/>
    <w:rsid w:val="00D239F6"/>
    <w:rsid w:val="00D23B04"/>
    <w:rsid w:val="00D23EFF"/>
    <w:rsid w:val="00D24B2D"/>
    <w:rsid w:val="00D24F00"/>
    <w:rsid w:val="00D24FFC"/>
    <w:rsid w:val="00D25111"/>
    <w:rsid w:val="00D25550"/>
    <w:rsid w:val="00D257E4"/>
    <w:rsid w:val="00D25D62"/>
    <w:rsid w:val="00D261DC"/>
    <w:rsid w:val="00D2783A"/>
    <w:rsid w:val="00D30778"/>
    <w:rsid w:val="00D30FEB"/>
    <w:rsid w:val="00D31117"/>
    <w:rsid w:val="00D31279"/>
    <w:rsid w:val="00D31C47"/>
    <w:rsid w:val="00D324C5"/>
    <w:rsid w:val="00D32DB0"/>
    <w:rsid w:val="00D33588"/>
    <w:rsid w:val="00D34266"/>
    <w:rsid w:val="00D34673"/>
    <w:rsid w:val="00D35B1A"/>
    <w:rsid w:val="00D35BFB"/>
    <w:rsid w:val="00D36B7B"/>
    <w:rsid w:val="00D36F26"/>
    <w:rsid w:val="00D37B02"/>
    <w:rsid w:val="00D4044A"/>
    <w:rsid w:val="00D40789"/>
    <w:rsid w:val="00D40B77"/>
    <w:rsid w:val="00D41085"/>
    <w:rsid w:val="00D4185E"/>
    <w:rsid w:val="00D4236C"/>
    <w:rsid w:val="00D42FD6"/>
    <w:rsid w:val="00D431DB"/>
    <w:rsid w:val="00D43354"/>
    <w:rsid w:val="00D43945"/>
    <w:rsid w:val="00D442EE"/>
    <w:rsid w:val="00D446F6"/>
    <w:rsid w:val="00D44B82"/>
    <w:rsid w:val="00D45A5F"/>
    <w:rsid w:val="00D4711F"/>
    <w:rsid w:val="00D4732B"/>
    <w:rsid w:val="00D4739E"/>
    <w:rsid w:val="00D47B2C"/>
    <w:rsid w:val="00D50675"/>
    <w:rsid w:val="00D52201"/>
    <w:rsid w:val="00D52668"/>
    <w:rsid w:val="00D52A0A"/>
    <w:rsid w:val="00D52D52"/>
    <w:rsid w:val="00D54710"/>
    <w:rsid w:val="00D54F82"/>
    <w:rsid w:val="00D55011"/>
    <w:rsid w:val="00D5678F"/>
    <w:rsid w:val="00D572DC"/>
    <w:rsid w:val="00D57764"/>
    <w:rsid w:val="00D5792B"/>
    <w:rsid w:val="00D60667"/>
    <w:rsid w:val="00D61A9A"/>
    <w:rsid w:val="00D62564"/>
    <w:rsid w:val="00D62AA8"/>
    <w:rsid w:val="00D64A28"/>
    <w:rsid w:val="00D65109"/>
    <w:rsid w:val="00D6630E"/>
    <w:rsid w:val="00D663A4"/>
    <w:rsid w:val="00D67610"/>
    <w:rsid w:val="00D71510"/>
    <w:rsid w:val="00D71BD4"/>
    <w:rsid w:val="00D71BD6"/>
    <w:rsid w:val="00D723AB"/>
    <w:rsid w:val="00D72876"/>
    <w:rsid w:val="00D72B42"/>
    <w:rsid w:val="00D72DF4"/>
    <w:rsid w:val="00D73E37"/>
    <w:rsid w:val="00D7504F"/>
    <w:rsid w:val="00D753B0"/>
    <w:rsid w:val="00D7620F"/>
    <w:rsid w:val="00D77060"/>
    <w:rsid w:val="00D80DDD"/>
    <w:rsid w:val="00D8134A"/>
    <w:rsid w:val="00D817B6"/>
    <w:rsid w:val="00D81EEE"/>
    <w:rsid w:val="00D823E6"/>
    <w:rsid w:val="00D824D8"/>
    <w:rsid w:val="00D826C5"/>
    <w:rsid w:val="00D8317A"/>
    <w:rsid w:val="00D83A38"/>
    <w:rsid w:val="00D83C5D"/>
    <w:rsid w:val="00D841E0"/>
    <w:rsid w:val="00D8441D"/>
    <w:rsid w:val="00D84DEE"/>
    <w:rsid w:val="00D84FB5"/>
    <w:rsid w:val="00D853F1"/>
    <w:rsid w:val="00D85D9D"/>
    <w:rsid w:val="00D90733"/>
    <w:rsid w:val="00D90B3A"/>
    <w:rsid w:val="00D90DDD"/>
    <w:rsid w:val="00D92607"/>
    <w:rsid w:val="00D92C56"/>
    <w:rsid w:val="00D930A5"/>
    <w:rsid w:val="00D9319D"/>
    <w:rsid w:val="00D94BF1"/>
    <w:rsid w:val="00D95166"/>
    <w:rsid w:val="00D963EA"/>
    <w:rsid w:val="00D96B3A"/>
    <w:rsid w:val="00D97553"/>
    <w:rsid w:val="00DA168B"/>
    <w:rsid w:val="00DA2786"/>
    <w:rsid w:val="00DA2E06"/>
    <w:rsid w:val="00DA34BF"/>
    <w:rsid w:val="00DA3DBD"/>
    <w:rsid w:val="00DA51D4"/>
    <w:rsid w:val="00DA6945"/>
    <w:rsid w:val="00DA6C6B"/>
    <w:rsid w:val="00DA6CEA"/>
    <w:rsid w:val="00DB0011"/>
    <w:rsid w:val="00DB069C"/>
    <w:rsid w:val="00DB1165"/>
    <w:rsid w:val="00DB1557"/>
    <w:rsid w:val="00DB294E"/>
    <w:rsid w:val="00DB3B8B"/>
    <w:rsid w:val="00DB3F19"/>
    <w:rsid w:val="00DB5DAE"/>
    <w:rsid w:val="00DB6C07"/>
    <w:rsid w:val="00DB7758"/>
    <w:rsid w:val="00DB7AC7"/>
    <w:rsid w:val="00DB7BBD"/>
    <w:rsid w:val="00DC0AEC"/>
    <w:rsid w:val="00DC0FEF"/>
    <w:rsid w:val="00DC1227"/>
    <w:rsid w:val="00DC3127"/>
    <w:rsid w:val="00DC36B9"/>
    <w:rsid w:val="00DC4453"/>
    <w:rsid w:val="00DC4955"/>
    <w:rsid w:val="00DC4D62"/>
    <w:rsid w:val="00DC4D72"/>
    <w:rsid w:val="00DC59BD"/>
    <w:rsid w:val="00DC5F3F"/>
    <w:rsid w:val="00DC692B"/>
    <w:rsid w:val="00DC6F76"/>
    <w:rsid w:val="00DC76EB"/>
    <w:rsid w:val="00DC78E5"/>
    <w:rsid w:val="00DC7BA6"/>
    <w:rsid w:val="00DD0674"/>
    <w:rsid w:val="00DD0E12"/>
    <w:rsid w:val="00DD2020"/>
    <w:rsid w:val="00DD266A"/>
    <w:rsid w:val="00DD3380"/>
    <w:rsid w:val="00DD4E6A"/>
    <w:rsid w:val="00DD5226"/>
    <w:rsid w:val="00DD6938"/>
    <w:rsid w:val="00DD69A1"/>
    <w:rsid w:val="00DD7805"/>
    <w:rsid w:val="00DD796E"/>
    <w:rsid w:val="00DD7FDD"/>
    <w:rsid w:val="00DE0483"/>
    <w:rsid w:val="00DE0685"/>
    <w:rsid w:val="00DE22BB"/>
    <w:rsid w:val="00DE2A91"/>
    <w:rsid w:val="00DE4AD9"/>
    <w:rsid w:val="00DE507E"/>
    <w:rsid w:val="00DE5940"/>
    <w:rsid w:val="00DE7B4A"/>
    <w:rsid w:val="00DE7DA9"/>
    <w:rsid w:val="00DF00DC"/>
    <w:rsid w:val="00DF0219"/>
    <w:rsid w:val="00DF0353"/>
    <w:rsid w:val="00DF0D07"/>
    <w:rsid w:val="00DF0DED"/>
    <w:rsid w:val="00DF1294"/>
    <w:rsid w:val="00DF134D"/>
    <w:rsid w:val="00DF17B7"/>
    <w:rsid w:val="00DF183D"/>
    <w:rsid w:val="00DF185D"/>
    <w:rsid w:val="00DF22B2"/>
    <w:rsid w:val="00DF2BC6"/>
    <w:rsid w:val="00DF2D51"/>
    <w:rsid w:val="00DF3003"/>
    <w:rsid w:val="00DF3AE6"/>
    <w:rsid w:val="00DF40A7"/>
    <w:rsid w:val="00DF41D3"/>
    <w:rsid w:val="00DF5CAB"/>
    <w:rsid w:val="00DF6553"/>
    <w:rsid w:val="00DF75D8"/>
    <w:rsid w:val="00E00593"/>
    <w:rsid w:val="00E00C73"/>
    <w:rsid w:val="00E00ED8"/>
    <w:rsid w:val="00E0142E"/>
    <w:rsid w:val="00E0409A"/>
    <w:rsid w:val="00E0468C"/>
    <w:rsid w:val="00E0644E"/>
    <w:rsid w:val="00E066A2"/>
    <w:rsid w:val="00E06CB6"/>
    <w:rsid w:val="00E075FA"/>
    <w:rsid w:val="00E07A6A"/>
    <w:rsid w:val="00E07D52"/>
    <w:rsid w:val="00E07E00"/>
    <w:rsid w:val="00E101A3"/>
    <w:rsid w:val="00E10609"/>
    <w:rsid w:val="00E10BB0"/>
    <w:rsid w:val="00E10D3A"/>
    <w:rsid w:val="00E10F35"/>
    <w:rsid w:val="00E1147C"/>
    <w:rsid w:val="00E123B9"/>
    <w:rsid w:val="00E12718"/>
    <w:rsid w:val="00E12F37"/>
    <w:rsid w:val="00E13023"/>
    <w:rsid w:val="00E13366"/>
    <w:rsid w:val="00E135F0"/>
    <w:rsid w:val="00E13EDD"/>
    <w:rsid w:val="00E14006"/>
    <w:rsid w:val="00E14581"/>
    <w:rsid w:val="00E1464B"/>
    <w:rsid w:val="00E14C61"/>
    <w:rsid w:val="00E15049"/>
    <w:rsid w:val="00E15D14"/>
    <w:rsid w:val="00E15E55"/>
    <w:rsid w:val="00E1667E"/>
    <w:rsid w:val="00E16C79"/>
    <w:rsid w:val="00E1771A"/>
    <w:rsid w:val="00E17741"/>
    <w:rsid w:val="00E20BD8"/>
    <w:rsid w:val="00E2107E"/>
    <w:rsid w:val="00E21505"/>
    <w:rsid w:val="00E22165"/>
    <w:rsid w:val="00E224C3"/>
    <w:rsid w:val="00E22706"/>
    <w:rsid w:val="00E2291E"/>
    <w:rsid w:val="00E230F6"/>
    <w:rsid w:val="00E2339A"/>
    <w:rsid w:val="00E238D7"/>
    <w:rsid w:val="00E24E27"/>
    <w:rsid w:val="00E2533B"/>
    <w:rsid w:val="00E25DF8"/>
    <w:rsid w:val="00E25E1E"/>
    <w:rsid w:val="00E27466"/>
    <w:rsid w:val="00E27486"/>
    <w:rsid w:val="00E30181"/>
    <w:rsid w:val="00E30619"/>
    <w:rsid w:val="00E3061E"/>
    <w:rsid w:val="00E308C7"/>
    <w:rsid w:val="00E3136E"/>
    <w:rsid w:val="00E31B53"/>
    <w:rsid w:val="00E3222B"/>
    <w:rsid w:val="00E32295"/>
    <w:rsid w:val="00E33178"/>
    <w:rsid w:val="00E33D13"/>
    <w:rsid w:val="00E33E61"/>
    <w:rsid w:val="00E34435"/>
    <w:rsid w:val="00E344AB"/>
    <w:rsid w:val="00E34E3A"/>
    <w:rsid w:val="00E3643D"/>
    <w:rsid w:val="00E367F3"/>
    <w:rsid w:val="00E36AE2"/>
    <w:rsid w:val="00E37F8F"/>
    <w:rsid w:val="00E401BE"/>
    <w:rsid w:val="00E40561"/>
    <w:rsid w:val="00E40603"/>
    <w:rsid w:val="00E40645"/>
    <w:rsid w:val="00E40A0A"/>
    <w:rsid w:val="00E410E8"/>
    <w:rsid w:val="00E41B4B"/>
    <w:rsid w:val="00E41DC6"/>
    <w:rsid w:val="00E41E1F"/>
    <w:rsid w:val="00E42550"/>
    <w:rsid w:val="00E42572"/>
    <w:rsid w:val="00E43199"/>
    <w:rsid w:val="00E437AA"/>
    <w:rsid w:val="00E4474F"/>
    <w:rsid w:val="00E44CA1"/>
    <w:rsid w:val="00E46BB6"/>
    <w:rsid w:val="00E4728B"/>
    <w:rsid w:val="00E474E4"/>
    <w:rsid w:val="00E47AEE"/>
    <w:rsid w:val="00E50A6F"/>
    <w:rsid w:val="00E50F94"/>
    <w:rsid w:val="00E51D00"/>
    <w:rsid w:val="00E527F8"/>
    <w:rsid w:val="00E52C2C"/>
    <w:rsid w:val="00E530F4"/>
    <w:rsid w:val="00E53266"/>
    <w:rsid w:val="00E536C9"/>
    <w:rsid w:val="00E540D2"/>
    <w:rsid w:val="00E54735"/>
    <w:rsid w:val="00E548F2"/>
    <w:rsid w:val="00E556C0"/>
    <w:rsid w:val="00E56293"/>
    <w:rsid w:val="00E56754"/>
    <w:rsid w:val="00E571B8"/>
    <w:rsid w:val="00E5796E"/>
    <w:rsid w:val="00E60246"/>
    <w:rsid w:val="00E605FA"/>
    <w:rsid w:val="00E60AE5"/>
    <w:rsid w:val="00E60DAE"/>
    <w:rsid w:val="00E614AA"/>
    <w:rsid w:val="00E6220D"/>
    <w:rsid w:val="00E6334C"/>
    <w:rsid w:val="00E6424A"/>
    <w:rsid w:val="00E6426C"/>
    <w:rsid w:val="00E644B4"/>
    <w:rsid w:val="00E647E1"/>
    <w:rsid w:val="00E6515A"/>
    <w:rsid w:val="00E66405"/>
    <w:rsid w:val="00E66623"/>
    <w:rsid w:val="00E66D13"/>
    <w:rsid w:val="00E66F5D"/>
    <w:rsid w:val="00E6749D"/>
    <w:rsid w:val="00E67623"/>
    <w:rsid w:val="00E679F8"/>
    <w:rsid w:val="00E70CC5"/>
    <w:rsid w:val="00E71C47"/>
    <w:rsid w:val="00E7250C"/>
    <w:rsid w:val="00E72C0B"/>
    <w:rsid w:val="00E73C87"/>
    <w:rsid w:val="00E73D37"/>
    <w:rsid w:val="00E73E49"/>
    <w:rsid w:val="00E73F89"/>
    <w:rsid w:val="00E73FD4"/>
    <w:rsid w:val="00E7448B"/>
    <w:rsid w:val="00E74C8A"/>
    <w:rsid w:val="00E75092"/>
    <w:rsid w:val="00E7671C"/>
    <w:rsid w:val="00E76D19"/>
    <w:rsid w:val="00E77214"/>
    <w:rsid w:val="00E77F2D"/>
    <w:rsid w:val="00E81047"/>
    <w:rsid w:val="00E8132B"/>
    <w:rsid w:val="00E8187D"/>
    <w:rsid w:val="00E831C7"/>
    <w:rsid w:val="00E835EA"/>
    <w:rsid w:val="00E838D5"/>
    <w:rsid w:val="00E840D4"/>
    <w:rsid w:val="00E846C4"/>
    <w:rsid w:val="00E84A46"/>
    <w:rsid w:val="00E84D97"/>
    <w:rsid w:val="00E8500E"/>
    <w:rsid w:val="00E857FC"/>
    <w:rsid w:val="00E858FC"/>
    <w:rsid w:val="00E87011"/>
    <w:rsid w:val="00E87A14"/>
    <w:rsid w:val="00E87F56"/>
    <w:rsid w:val="00E907D7"/>
    <w:rsid w:val="00E90A7D"/>
    <w:rsid w:val="00E912E2"/>
    <w:rsid w:val="00E91B5B"/>
    <w:rsid w:val="00E930A4"/>
    <w:rsid w:val="00E93D2A"/>
    <w:rsid w:val="00E96954"/>
    <w:rsid w:val="00E97624"/>
    <w:rsid w:val="00E979A6"/>
    <w:rsid w:val="00E97B5F"/>
    <w:rsid w:val="00E97B8B"/>
    <w:rsid w:val="00E97D6E"/>
    <w:rsid w:val="00EA0184"/>
    <w:rsid w:val="00EA12FA"/>
    <w:rsid w:val="00EA14B5"/>
    <w:rsid w:val="00EA295D"/>
    <w:rsid w:val="00EA4876"/>
    <w:rsid w:val="00EA4D84"/>
    <w:rsid w:val="00EA5A1D"/>
    <w:rsid w:val="00EA5C98"/>
    <w:rsid w:val="00EA69DD"/>
    <w:rsid w:val="00EA7BFB"/>
    <w:rsid w:val="00EB0033"/>
    <w:rsid w:val="00EB1CBE"/>
    <w:rsid w:val="00EB26EE"/>
    <w:rsid w:val="00EB2B7A"/>
    <w:rsid w:val="00EB2FC9"/>
    <w:rsid w:val="00EB358A"/>
    <w:rsid w:val="00EB3624"/>
    <w:rsid w:val="00EB44E8"/>
    <w:rsid w:val="00EB704B"/>
    <w:rsid w:val="00EB7910"/>
    <w:rsid w:val="00EC037F"/>
    <w:rsid w:val="00EC03C5"/>
    <w:rsid w:val="00EC04F5"/>
    <w:rsid w:val="00EC0CDF"/>
    <w:rsid w:val="00EC0E16"/>
    <w:rsid w:val="00EC0EE7"/>
    <w:rsid w:val="00EC1317"/>
    <w:rsid w:val="00EC1FB3"/>
    <w:rsid w:val="00EC40C8"/>
    <w:rsid w:val="00EC4C09"/>
    <w:rsid w:val="00EC4F79"/>
    <w:rsid w:val="00EC6660"/>
    <w:rsid w:val="00EC693B"/>
    <w:rsid w:val="00EC6D5B"/>
    <w:rsid w:val="00EC72F2"/>
    <w:rsid w:val="00EC7536"/>
    <w:rsid w:val="00ED1922"/>
    <w:rsid w:val="00ED1B8A"/>
    <w:rsid w:val="00ED30B1"/>
    <w:rsid w:val="00ED3F68"/>
    <w:rsid w:val="00ED4A65"/>
    <w:rsid w:val="00ED534A"/>
    <w:rsid w:val="00ED573F"/>
    <w:rsid w:val="00ED6589"/>
    <w:rsid w:val="00ED6E7F"/>
    <w:rsid w:val="00ED7C6B"/>
    <w:rsid w:val="00EE11EC"/>
    <w:rsid w:val="00EE258D"/>
    <w:rsid w:val="00EE43C9"/>
    <w:rsid w:val="00EE4852"/>
    <w:rsid w:val="00EE510F"/>
    <w:rsid w:val="00EE579E"/>
    <w:rsid w:val="00EE628C"/>
    <w:rsid w:val="00EE6886"/>
    <w:rsid w:val="00EE72D6"/>
    <w:rsid w:val="00EE785F"/>
    <w:rsid w:val="00EE7EDA"/>
    <w:rsid w:val="00EE7F8B"/>
    <w:rsid w:val="00EF0B71"/>
    <w:rsid w:val="00EF163C"/>
    <w:rsid w:val="00EF1706"/>
    <w:rsid w:val="00EF1739"/>
    <w:rsid w:val="00EF21F8"/>
    <w:rsid w:val="00EF243F"/>
    <w:rsid w:val="00EF2917"/>
    <w:rsid w:val="00EF3C89"/>
    <w:rsid w:val="00EF42D7"/>
    <w:rsid w:val="00EF51B2"/>
    <w:rsid w:val="00EF5361"/>
    <w:rsid w:val="00EF5C91"/>
    <w:rsid w:val="00EF6374"/>
    <w:rsid w:val="00EF66DE"/>
    <w:rsid w:val="00EF7A10"/>
    <w:rsid w:val="00F00F28"/>
    <w:rsid w:val="00F01B7E"/>
    <w:rsid w:val="00F01D4C"/>
    <w:rsid w:val="00F01DBA"/>
    <w:rsid w:val="00F01F12"/>
    <w:rsid w:val="00F0260F"/>
    <w:rsid w:val="00F02858"/>
    <w:rsid w:val="00F02DC9"/>
    <w:rsid w:val="00F02E07"/>
    <w:rsid w:val="00F02F6A"/>
    <w:rsid w:val="00F039C7"/>
    <w:rsid w:val="00F048A7"/>
    <w:rsid w:val="00F0553A"/>
    <w:rsid w:val="00F0555D"/>
    <w:rsid w:val="00F05567"/>
    <w:rsid w:val="00F05F35"/>
    <w:rsid w:val="00F064E5"/>
    <w:rsid w:val="00F06F4A"/>
    <w:rsid w:val="00F074BE"/>
    <w:rsid w:val="00F10653"/>
    <w:rsid w:val="00F10FAD"/>
    <w:rsid w:val="00F11582"/>
    <w:rsid w:val="00F11DC1"/>
    <w:rsid w:val="00F12102"/>
    <w:rsid w:val="00F1287F"/>
    <w:rsid w:val="00F12C6A"/>
    <w:rsid w:val="00F12D40"/>
    <w:rsid w:val="00F1379A"/>
    <w:rsid w:val="00F14116"/>
    <w:rsid w:val="00F145D1"/>
    <w:rsid w:val="00F15012"/>
    <w:rsid w:val="00F1527C"/>
    <w:rsid w:val="00F177D8"/>
    <w:rsid w:val="00F1795A"/>
    <w:rsid w:val="00F17F1C"/>
    <w:rsid w:val="00F20145"/>
    <w:rsid w:val="00F2056A"/>
    <w:rsid w:val="00F20F50"/>
    <w:rsid w:val="00F210F7"/>
    <w:rsid w:val="00F2185D"/>
    <w:rsid w:val="00F220E8"/>
    <w:rsid w:val="00F224D0"/>
    <w:rsid w:val="00F23456"/>
    <w:rsid w:val="00F23638"/>
    <w:rsid w:val="00F2387C"/>
    <w:rsid w:val="00F24A2F"/>
    <w:rsid w:val="00F24C78"/>
    <w:rsid w:val="00F250F5"/>
    <w:rsid w:val="00F255DF"/>
    <w:rsid w:val="00F27210"/>
    <w:rsid w:val="00F274E5"/>
    <w:rsid w:val="00F27EFE"/>
    <w:rsid w:val="00F30BF2"/>
    <w:rsid w:val="00F30DCB"/>
    <w:rsid w:val="00F31103"/>
    <w:rsid w:val="00F3119D"/>
    <w:rsid w:val="00F318BC"/>
    <w:rsid w:val="00F31BC1"/>
    <w:rsid w:val="00F31C7C"/>
    <w:rsid w:val="00F320A5"/>
    <w:rsid w:val="00F324C3"/>
    <w:rsid w:val="00F3294B"/>
    <w:rsid w:val="00F32F96"/>
    <w:rsid w:val="00F3494A"/>
    <w:rsid w:val="00F349F2"/>
    <w:rsid w:val="00F35C96"/>
    <w:rsid w:val="00F3614B"/>
    <w:rsid w:val="00F36B9D"/>
    <w:rsid w:val="00F37345"/>
    <w:rsid w:val="00F37B17"/>
    <w:rsid w:val="00F37FC7"/>
    <w:rsid w:val="00F40027"/>
    <w:rsid w:val="00F40396"/>
    <w:rsid w:val="00F40875"/>
    <w:rsid w:val="00F42A01"/>
    <w:rsid w:val="00F4300E"/>
    <w:rsid w:val="00F43273"/>
    <w:rsid w:val="00F43851"/>
    <w:rsid w:val="00F43F8B"/>
    <w:rsid w:val="00F443A4"/>
    <w:rsid w:val="00F4459F"/>
    <w:rsid w:val="00F463B8"/>
    <w:rsid w:val="00F467EC"/>
    <w:rsid w:val="00F50178"/>
    <w:rsid w:val="00F513E5"/>
    <w:rsid w:val="00F51BD1"/>
    <w:rsid w:val="00F53AB5"/>
    <w:rsid w:val="00F53C1B"/>
    <w:rsid w:val="00F5436C"/>
    <w:rsid w:val="00F549D5"/>
    <w:rsid w:val="00F54F13"/>
    <w:rsid w:val="00F55190"/>
    <w:rsid w:val="00F55AD9"/>
    <w:rsid w:val="00F57862"/>
    <w:rsid w:val="00F57F19"/>
    <w:rsid w:val="00F57F9F"/>
    <w:rsid w:val="00F6027C"/>
    <w:rsid w:val="00F60E4F"/>
    <w:rsid w:val="00F6193F"/>
    <w:rsid w:val="00F61E1F"/>
    <w:rsid w:val="00F62756"/>
    <w:rsid w:val="00F62765"/>
    <w:rsid w:val="00F62A48"/>
    <w:rsid w:val="00F6340C"/>
    <w:rsid w:val="00F63A3F"/>
    <w:rsid w:val="00F64AE4"/>
    <w:rsid w:val="00F64B4F"/>
    <w:rsid w:val="00F657CA"/>
    <w:rsid w:val="00F66194"/>
    <w:rsid w:val="00F670C3"/>
    <w:rsid w:val="00F67212"/>
    <w:rsid w:val="00F6752D"/>
    <w:rsid w:val="00F675E7"/>
    <w:rsid w:val="00F67AA2"/>
    <w:rsid w:val="00F710EA"/>
    <w:rsid w:val="00F7417B"/>
    <w:rsid w:val="00F74630"/>
    <w:rsid w:val="00F74961"/>
    <w:rsid w:val="00F753C6"/>
    <w:rsid w:val="00F75592"/>
    <w:rsid w:val="00F757DF"/>
    <w:rsid w:val="00F75E94"/>
    <w:rsid w:val="00F76DDF"/>
    <w:rsid w:val="00F7707A"/>
    <w:rsid w:val="00F77B64"/>
    <w:rsid w:val="00F77EEB"/>
    <w:rsid w:val="00F77F94"/>
    <w:rsid w:val="00F80D6F"/>
    <w:rsid w:val="00F81305"/>
    <w:rsid w:val="00F82063"/>
    <w:rsid w:val="00F821ED"/>
    <w:rsid w:val="00F82752"/>
    <w:rsid w:val="00F82A9C"/>
    <w:rsid w:val="00F82E7A"/>
    <w:rsid w:val="00F836FC"/>
    <w:rsid w:val="00F83B42"/>
    <w:rsid w:val="00F83BA2"/>
    <w:rsid w:val="00F848A0"/>
    <w:rsid w:val="00F850FB"/>
    <w:rsid w:val="00F868F2"/>
    <w:rsid w:val="00F876ED"/>
    <w:rsid w:val="00F87C28"/>
    <w:rsid w:val="00F9038A"/>
    <w:rsid w:val="00F907B7"/>
    <w:rsid w:val="00F91C0B"/>
    <w:rsid w:val="00F91E9C"/>
    <w:rsid w:val="00F921DB"/>
    <w:rsid w:val="00F929B8"/>
    <w:rsid w:val="00F92EE4"/>
    <w:rsid w:val="00F92F5A"/>
    <w:rsid w:val="00F94910"/>
    <w:rsid w:val="00F94C48"/>
    <w:rsid w:val="00F95A8C"/>
    <w:rsid w:val="00F96293"/>
    <w:rsid w:val="00F96C69"/>
    <w:rsid w:val="00F96EBE"/>
    <w:rsid w:val="00F96F03"/>
    <w:rsid w:val="00F979D6"/>
    <w:rsid w:val="00FA084B"/>
    <w:rsid w:val="00FA265D"/>
    <w:rsid w:val="00FA2B75"/>
    <w:rsid w:val="00FA2D7C"/>
    <w:rsid w:val="00FA49C3"/>
    <w:rsid w:val="00FA4D2B"/>
    <w:rsid w:val="00FA4F25"/>
    <w:rsid w:val="00FA5932"/>
    <w:rsid w:val="00FA6399"/>
    <w:rsid w:val="00FA664A"/>
    <w:rsid w:val="00FB01B7"/>
    <w:rsid w:val="00FB05CC"/>
    <w:rsid w:val="00FB1DE6"/>
    <w:rsid w:val="00FB393C"/>
    <w:rsid w:val="00FB3B86"/>
    <w:rsid w:val="00FB4557"/>
    <w:rsid w:val="00FB456D"/>
    <w:rsid w:val="00FB489C"/>
    <w:rsid w:val="00FB4A62"/>
    <w:rsid w:val="00FB4B0C"/>
    <w:rsid w:val="00FB5192"/>
    <w:rsid w:val="00FB54D4"/>
    <w:rsid w:val="00FB562B"/>
    <w:rsid w:val="00FB66AA"/>
    <w:rsid w:val="00FB677D"/>
    <w:rsid w:val="00FB680C"/>
    <w:rsid w:val="00FB71D7"/>
    <w:rsid w:val="00FC1725"/>
    <w:rsid w:val="00FC1E97"/>
    <w:rsid w:val="00FC23B0"/>
    <w:rsid w:val="00FC32D0"/>
    <w:rsid w:val="00FC338B"/>
    <w:rsid w:val="00FC3C08"/>
    <w:rsid w:val="00FC3D08"/>
    <w:rsid w:val="00FC3E03"/>
    <w:rsid w:val="00FC453B"/>
    <w:rsid w:val="00FC4C82"/>
    <w:rsid w:val="00FC594F"/>
    <w:rsid w:val="00FC7283"/>
    <w:rsid w:val="00FC7C47"/>
    <w:rsid w:val="00FC7F46"/>
    <w:rsid w:val="00FD0727"/>
    <w:rsid w:val="00FD0DE1"/>
    <w:rsid w:val="00FD161E"/>
    <w:rsid w:val="00FD23CD"/>
    <w:rsid w:val="00FD28DE"/>
    <w:rsid w:val="00FD320D"/>
    <w:rsid w:val="00FD3706"/>
    <w:rsid w:val="00FD4063"/>
    <w:rsid w:val="00FD4DF5"/>
    <w:rsid w:val="00FD59FC"/>
    <w:rsid w:val="00FD5B43"/>
    <w:rsid w:val="00FD5EE4"/>
    <w:rsid w:val="00FD70B4"/>
    <w:rsid w:val="00FD756B"/>
    <w:rsid w:val="00FD767F"/>
    <w:rsid w:val="00FD7AF0"/>
    <w:rsid w:val="00FD7EE4"/>
    <w:rsid w:val="00FE001B"/>
    <w:rsid w:val="00FE00C8"/>
    <w:rsid w:val="00FE09A9"/>
    <w:rsid w:val="00FE1B37"/>
    <w:rsid w:val="00FE1E15"/>
    <w:rsid w:val="00FE2099"/>
    <w:rsid w:val="00FE347B"/>
    <w:rsid w:val="00FE370F"/>
    <w:rsid w:val="00FE3A32"/>
    <w:rsid w:val="00FE3BF5"/>
    <w:rsid w:val="00FE3FC6"/>
    <w:rsid w:val="00FE5622"/>
    <w:rsid w:val="00FE565C"/>
    <w:rsid w:val="00FE586D"/>
    <w:rsid w:val="00FE59FD"/>
    <w:rsid w:val="00FE686F"/>
    <w:rsid w:val="00FE6AFE"/>
    <w:rsid w:val="00FE6CE7"/>
    <w:rsid w:val="00FE7712"/>
    <w:rsid w:val="00FE7A5F"/>
    <w:rsid w:val="00FE7AEF"/>
    <w:rsid w:val="00FE7E8F"/>
    <w:rsid w:val="00FE7FB2"/>
    <w:rsid w:val="00FF03E0"/>
    <w:rsid w:val="00FF0D9E"/>
    <w:rsid w:val="00FF17FE"/>
    <w:rsid w:val="00FF1A46"/>
    <w:rsid w:val="00FF1D61"/>
    <w:rsid w:val="00FF25BD"/>
    <w:rsid w:val="00FF2619"/>
    <w:rsid w:val="00FF40E2"/>
    <w:rsid w:val="00FF4465"/>
    <w:rsid w:val="00FF46F8"/>
    <w:rsid w:val="00FF641E"/>
    <w:rsid w:val="00FF6B76"/>
    <w:rsid w:val="00FF76C7"/>
    <w:rsid w:val="00FF7EB5"/>
    <w:rsid w:val="011FF58B"/>
    <w:rsid w:val="0120B7AB"/>
    <w:rsid w:val="0137B80A"/>
    <w:rsid w:val="0169E578"/>
    <w:rsid w:val="0185989E"/>
    <w:rsid w:val="021CFB4E"/>
    <w:rsid w:val="02275810"/>
    <w:rsid w:val="024BDB9A"/>
    <w:rsid w:val="026AC573"/>
    <w:rsid w:val="02879DED"/>
    <w:rsid w:val="02C1D0AE"/>
    <w:rsid w:val="02CA710D"/>
    <w:rsid w:val="02FA4431"/>
    <w:rsid w:val="032C01E6"/>
    <w:rsid w:val="039602D0"/>
    <w:rsid w:val="0402F81E"/>
    <w:rsid w:val="045D0113"/>
    <w:rsid w:val="045D1956"/>
    <w:rsid w:val="04BD85D5"/>
    <w:rsid w:val="04C70156"/>
    <w:rsid w:val="04CCDA65"/>
    <w:rsid w:val="04D90E65"/>
    <w:rsid w:val="04F0AC37"/>
    <w:rsid w:val="060835DC"/>
    <w:rsid w:val="0611EBE0"/>
    <w:rsid w:val="061A1C22"/>
    <w:rsid w:val="0732EC1C"/>
    <w:rsid w:val="07BCFEDA"/>
    <w:rsid w:val="07C4619C"/>
    <w:rsid w:val="07E0108C"/>
    <w:rsid w:val="07EB5905"/>
    <w:rsid w:val="085096F9"/>
    <w:rsid w:val="090AC9C7"/>
    <w:rsid w:val="0934543E"/>
    <w:rsid w:val="0A107223"/>
    <w:rsid w:val="0A53D388"/>
    <w:rsid w:val="0A80F7FD"/>
    <w:rsid w:val="0AA5DFD9"/>
    <w:rsid w:val="0AE02A4D"/>
    <w:rsid w:val="0B4F7E8F"/>
    <w:rsid w:val="0B5D20E1"/>
    <w:rsid w:val="0B61331B"/>
    <w:rsid w:val="0BAC4284"/>
    <w:rsid w:val="0BE420F7"/>
    <w:rsid w:val="0C1772F0"/>
    <w:rsid w:val="0C8E7F2C"/>
    <w:rsid w:val="0C9FE04F"/>
    <w:rsid w:val="0CA189E4"/>
    <w:rsid w:val="0DDC6A89"/>
    <w:rsid w:val="0E535A79"/>
    <w:rsid w:val="0E7E5BCD"/>
    <w:rsid w:val="0F77DE50"/>
    <w:rsid w:val="0F9F4F13"/>
    <w:rsid w:val="0FA3C1E8"/>
    <w:rsid w:val="0FE51340"/>
    <w:rsid w:val="104F773B"/>
    <w:rsid w:val="105ED9F4"/>
    <w:rsid w:val="10AE2093"/>
    <w:rsid w:val="10B3F41D"/>
    <w:rsid w:val="110A5AF0"/>
    <w:rsid w:val="112EA171"/>
    <w:rsid w:val="115392B8"/>
    <w:rsid w:val="127177D3"/>
    <w:rsid w:val="12768DEC"/>
    <w:rsid w:val="12CD9087"/>
    <w:rsid w:val="12D2E6D0"/>
    <w:rsid w:val="12E6272B"/>
    <w:rsid w:val="130E3BB2"/>
    <w:rsid w:val="131DC8AA"/>
    <w:rsid w:val="135140AF"/>
    <w:rsid w:val="13C3C551"/>
    <w:rsid w:val="13DD6F28"/>
    <w:rsid w:val="147A8F16"/>
    <w:rsid w:val="14BA7CA1"/>
    <w:rsid w:val="151C9701"/>
    <w:rsid w:val="152463F1"/>
    <w:rsid w:val="15BA07EA"/>
    <w:rsid w:val="15E3DADB"/>
    <w:rsid w:val="1617C9C4"/>
    <w:rsid w:val="1699CD2D"/>
    <w:rsid w:val="16BA18C7"/>
    <w:rsid w:val="16DAE4B3"/>
    <w:rsid w:val="16E8276B"/>
    <w:rsid w:val="1757CA90"/>
    <w:rsid w:val="17656A09"/>
    <w:rsid w:val="17BCEB82"/>
    <w:rsid w:val="186D727F"/>
    <w:rsid w:val="18719D2F"/>
    <w:rsid w:val="1906651F"/>
    <w:rsid w:val="19490090"/>
    <w:rsid w:val="1959535B"/>
    <w:rsid w:val="19B1B041"/>
    <w:rsid w:val="19B5CA66"/>
    <w:rsid w:val="19CA9406"/>
    <w:rsid w:val="19CC802F"/>
    <w:rsid w:val="1A7EC8B0"/>
    <w:rsid w:val="1ABE4402"/>
    <w:rsid w:val="1ABF3E27"/>
    <w:rsid w:val="1B2AEDD2"/>
    <w:rsid w:val="1B5A1556"/>
    <w:rsid w:val="1B98D671"/>
    <w:rsid w:val="1BE0120D"/>
    <w:rsid w:val="1BF223F9"/>
    <w:rsid w:val="1C921E78"/>
    <w:rsid w:val="1C9983C4"/>
    <w:rsid w:val="1CDCD53D"/>
    <w:rsid w:val="1D07DB77"/>
    <w:rsid w:val="1D097870"/>
    <w:rsid w:val="1D31A1FD"/>
    <w:rsid w:val="1D454ECC"/>
    <w:rsid w:val="1DA49AA7"/>
    <w:rsid w:val="1DBD2BB3"/>
    <w:rsid w:val="1DD76E14"/>
    <w:rsid w:val="1DF54FF1"/>
    <w:rsid w:val="1E705CD4"/>
    <w:rsid w:val="1E8B17B8"/>
    <w:rsid w:val="1E955690"/>
    <w:rsid w:val="1F0E2EBD"/>
    <w:rsid w:val="1F2069A3"/>
    <w:rsid w:val="1F3C4921"/>
    <w:rsid w:val="1F647B0B"/>
    <w:rsid w:val="1F72DCC3"/>
    <w:rsid w:val="1F7889F7"/>
    <w:rsid w:val="1FAEBBDF"/>
    <w:rsid w:val="1FE3706E"/>
    <w:rsid w:val="1FE520D8"/>
    <w:rsid w:val="1FEB988A"/>
    <w:rsid w:val="1FFAF353"/>
    <w:rsid w:val="200BE424"/>
    <w:rsid w:val="21296EF0"/>
    <w:rsid w:val="212C3037"/>
    <w:rsid w:val="2132E2EC"/>
    <w:rsid w:val="213CDB09"/>
    <w:rsid w:val="214EE55E"/>
    <w:rsid w:val="216234B9"/>
    <w:rsid w:val="2162B3DB"/>
    <w:rsid w:val="21AD5743"/>
    <w:rsid w:val="2220B192"/>
    <w:rsid w:val="2243F61B"/>
    <w:rsid w:val="22697F7A"/>
    <w:rsid w:val="2273E9E3"/>
    <w:rsid w:val="229FFD54"/>
    <w:rsid w:val="22A0E31B"/>
    <w:rsid w:val="240285E7"/>
    <w:rsid w:val="2473B796"/>
    <w:rsid w:val="2489CE11"/>
    <w:rsid w:val="24C0F92B"/>
    <w:rsid w:val="25611A0E"/>
    <w:rsid w:val="25F9E4E3"/>
    <w:rsid w:val="263E6298"/>
    <w:rsid w:val="26612491"/>
    <w:rsid w:val="26BD7F36"/>
    <w:rsid w:val="26C15005"/>
    <w:rsid w:val="26CD9654"/>
    <w:rsid w:val="26CEF3B4"/>
    <w:rsid w:val="276C701A"/>
    <w:rsid w:val="27C6790F"/>
    <w:rsid w:val="282AEE28"/>
    <w:rsid w:val="285310A4"/>
    <w:rsid w:val="2854E8D2"/>
    <w:rsid w:val="289EC8DF"/>
    <w:rsid w:val="28ACDF99"/>
    <w:rsid w:val="28B0904E"/>
    <w:rsid w:val="28B58BD5"/>
    <w:rsid w:val="28C0ACA5"/>
    <w:rsid w:val="28DAAB81"/>
    <w:rsid w:val="296F92D0"/>
    <w:rsid w:val="297C5BDE"/>
    <w:rsid w:val="297E6A1A"/>
    <w:rsid w:val="29CE5EC4"/>
    <w:rsid w:val="2A1509E0"/>
    <w:rsid w:val="2A325058"/>
    <w:rsid w:val="2A475F6A"/>
    <w:rsid w:val="2A77367B"/>
    <w:rsid w:val="2A7F6587"/>
    <w:rsid w:val="2A802350"/>
    <w:rsid w:val="2ABDE197"/>
    <w:rsid w:val="2ACC99D9"/>
    <w:rsid w:val="2AEF3FCF"/>
    <w:rsid w:val="2B28C8AF"/>
    <w:rsid w:val="2B8265FB"/>
    <w:rsid w:val="2B896D86"/>
    <w:rsid w:val="2C0EA8C1"/>
    <w:rsid w:val="2C27C6E0"/>
    <w:rsid w:val="2C2D25D4"/>
    <w:rsid w:val="2C4DE297"/>
    <w:rsid w:val="2C712DAF"/>
    <w:rsid w:val="2D7BBB4D"/>
    <w:rsid w:val="2D89CB9E"/>
    <w:rsid w:val="2DA2131A"/>
    <w:rsid w:val="2DDC7BE7"/>
    <w:rsid w:val="2E0690E1"/>
    <w:rsid w:val="2E1A27DF"/>
    <w:rsid w:val="2F16E3C5"/>
    <w:rsid w:val="2F36C6E6"/>
    <w:rsid w:val="2F79444A"/>
    <w:rsid w:val="2FBFBB1E"/>
    <w:rsid w:val="2FF1F656"/>
    <w:rsid w:val="2FFC56BF"/>
    <w:rsid w:val="2FFED08E"/>
    <w:rsid w:val="3037B382"/>
    <w:rsid w:val="307BF642"/>
    <w:rsid w:val="30833E5F"/>
    <w:rsid w:val="30A09ECB"/>
    <w:rsid w:val="30D83829"/>
    <w:rsid w:val="312687A6"/>
    <w:rsid w:val="31476820"/>
    <w:rsid w:val="315F6F82"/>
    <w:rsid w:val="317BB365"/>
    <w:rsid w:val="320024E7"/>
    <w:rsid w:val="3245AB25"/>
    <w:rsid w:val="32F1651A"/>
    <w:rsid w:val="32FC6BDD"/>
    <w:rsid w:val="32FFCB37"/>
    <w:rsid w:val="336B791E"/>
    <w:rsid w:val="337B27A4"/>
    <w:rsid w:val="33B3B7C7"/>
    <w:rsid w:val="33BB44C2"/>
    <w:rsid w:val="33ED7774"/>
    <w:rsid w:val="33EF6487"/>
    <w:rsid w:val="3400369A"/>
    <w:rsid w:val="3417988F"/>
    <w:rsid w:val="3459FECD"/>
    <w:rsid w:val="34B04691"/>
    <w:rsid w:val="34D0CAA9"/>
    <w:rsid w:val="35092F78"/>
    <w:rsid w:val="3563A2E5"/>
    <w:rsid w:val="35B8B8B6"/>
    <w:rsid w:val="35E68C95"/>
    <w:rsid w:val="35F2C8CE"/>
    <w:rsid w:val="36383122"/>
    <w:rsid w:val="36535A36"/>
    <w:rsid w:val="36577942"/>
    <w:rsid w:val="367E0CA2"/>
    <w:rsid w:val="36FEA4B4"/>
    <w:rsid w:val="3741B5CB"/>
    <w:rsid w:val="377475E3"/>
    <w:rsid w:val="377920B8"/>
    <w:rsid w:val="37F9F31B"/>
    <w:rsid w:val="381C3667"/>
    <w:rsid w:val="38310837"/>
    <w:rsid w:val="3847F377"/>
    <w:rsid w:val="385012D3"/>
    <w:rsid w:val="38708CA9"/>
    <w:rsid w:val="38BC085F"/>
    <w:rsid w:val="38CD9C6F"/>
    <w:rsid w:val="39104644"/>
    <w:rsid w:val="398EB2D0"/>
    <w:rsid w:val="39E52D1F"/>
    <w:rsid w:val="3A00650A"/>
    <w:rsid w:val="3A13DBD0"/>
    <w:rsid w:val="3A4A6145"/>
    <w:rsid w:val="3ADDC7F3"/>
    <w:rsid w:val="3B447FFD"/>
    <w:rsid w:val="3B530076"/>
    <w:rsid w:val="3BB08839"/>
    <w:rsid w:val="3C565005"/>
    <w:rsid w:val="3C8BD4DF"/>
    <w:rsid w:val="3C99685F"/>
    <w:rsid w:val="3CA25204"/>
    <w:rsid w:val="3CAB6962"/>
    <w:rsid w:val="3D581B6A"/>
    <w:rsid w:val="3D9C704C"/>
    <w:rsid w:val="3E14569E"/>
    <w:rsid w:val="3E8DB991"/>
    <w:rsid w:val="3EBFBE16"/>
    <w:rsid w:val="3EEEEB3C"/>
    <w:rsid w:val="3F0FAE76"/>
    <w:rsid w:val="3F1F8887"/>
    <w:rsid w:val="3F2E9173"/>
    <w:rsid w:val="3F482B77"/>
    <w:rsid w:val="3F677F0A"/>
    <w:rsid w:val="3F6D9EE1"/>
    <w:rsid w:val="3F6F42E8"/>
    <w:rsid w:val="3FD2989B"/>
    <w:rsid w:val="3FFC07D1"/>
    <w:rsid w:val="40042919"/>
    <w:rsid w:val="4039A1CF"/>
    <w:rsid w:val="407AC34E"/>
    <w:rsid w:val="4082938F"/>
    <w:rsid w:val="409647F1"/>
    <w:rsid w:val="40998CD1"/>
    <w:rsid w:val="40B8AA3C"/>
    <w:rsid w:val="40C26745"/>
    <w:rsid w:val="41322326"/>
    <w:rsid w:val="41591543"/>
    <w:rsid w:val="415CFF71"/>
    <w:rsid w:val="4173AF3F"/>
    <w:rsid w:val="417954CD"/>
    <w:rsid w:val="418B7EC4"/>
    <w:rsid w:val="419FB851"/>
    <w:rsid w:val="41C0BB59"/>
    <w:rsid w:val="4259D9C2"/>
    <w:rsid w:val="42906D64"/>
    <w:rsid w:val="4294412F"/>
    <w:rsid w:val="43358675"/>
    <w:rsid w:val="434D095A"/>
    <w:rsid w:val="435B5B77"/>
    <w:rsid w:val="4382CE96"/>
    <w:rsid w:val="43C139C0"/>
    <w:rsid w:val="43C32415"/>
    <w:rsid w:val="43D80DF8"/>
    <w:rsid w:val="44257491"/>
    <w:rsid w:val="4484F8F3"/>
    <w:rsid w:val="4497916E"/>
    <w:rsid w:val="449AA271"/>
    <w:rsid w:val="44D904D4"/>
    <w:rsid w:val="452D5AC1"/>
    <w:rsid w:val="4541B3C0"/>
    <w:rsid w:val="458FC62A"/>
    <w:rsid w:val="459D2110"/>
    <w:rsid w:val="45A6A9B2"/>
    <w:rsid w:val="4611E745"/>
    <w:rsid w:val="461C2F81"/>
    <w:rsid w:val="465A86AF"/>
    <w:rsid w:val="466737CE"/>
    <w:rsid w:val="4672801C"/>
    <w:rsid w:val="46AC95C7"/>
    <w:rsid w:val="46C50656"/>
    <w:rsid w:val="46FECC55"/>
    <w:rsid w:val="471E053B"/>
    <w:rsid w:val="477CABF6"/>
    <w:rsid w:val="4781189D"/>
    <w:rsid w:val="48741C8D"/>
    <w:rsid w:val="487F5384"/>
    <w:rsid w:val="490B53CB"/>
    <w:rsid w:val="491F4ADA"/>
    <w:rsid w:val="49A1B754"/>
    <w:rsid w:val="49ACA39E"/>
    <w:rsid w:val="49FF7B65"/>
    <w:rsid w:val="4A62544B"/>
    <w:rsid w:val="4AB154EE"/>
    <w:rsid w:val="4AEF2159"/>
    <w:rsid w:val="4B1396E8"/>
    <w:rsid w:val="4B52393B"/>
    <w:rsid w:val="4C541D9E"/>
    <w:rsid w:val="4C5DF438"/>
    <w:rsid w:val="4C5FD367"/>
    <w:rsid w:val="4CC818F1"/>
    <w:rsid w:val="4CE1E399"/>
    <w:rsid w:val="4CF51673"/>
    <w:rsid w:val="4D4BAEF8"/>
    <w:rsid w:val="4D532788"/>
    <w:rsid w:val="4D5EE77C"/>
    <w:rsid w:val="4D9712C1"/>
    <w:rsid w:val="4DC04DAD"/>
    <w:rsid w:val="4E14D9CE"/>
    <w:rsid w:val="4EE81A80"/>
    <w:rsid w:val="4EFC0DB8"/>
    <w:rsid w:val="4F52CCBF"/>
    <w:rsid w:val="4FF4E603"/>
    <w:rsid w:val="5042B95C"/>
    <w:rsid w:val="5076779E"/>
    <w:rsid w:val="50C4E781"/>
    <w:rsid w:val="50ED6435"/>
    <w:rsid w:val="51AD1367"/>
    <w:rsid w:val="52C6E75E"/>
    <w:rsid w:val="5315CDBA"/>
    <w:rsid w:val="533F8730"/>
    <w:rsid w:val="535B70DA"/>
    <w:rsid w:val="53A7E6EA"/>
    <w:rsid w:val="53B18C8B"/>
    <w:rsid w:val="53E6BF0E"/>
    <w:rsid w:val="54CFBB22"/>
    <w:rsid w:val="550E3C01"/>
    <w:rsid w:val="55CDDE35"/>
    <w:rsid w:val="55DA6F5A"/>
    <w:rsid w:val="55F77F3C"/>
    <w:rsid w:val="55FBC0A7"/>
    <w:rsid w:val="564EFB31"/>
    <w:rsid w:val="5657630A"/>
    <w:rsid w:val="566979E4"/>
    <w:rsid w:val="5698A2D7"/>
    <w:rsid w:val="56FF6947"/>
    <w:rsid w:val="571A9169"/>
    <w:rsid w:val="57417A8E"/>
    <w:rsid w:val="5768B694"/>
    <w:rsid w:val="585CDE2E"/>
    <w:rsid w:val="5867D79F"/>
    <w:rsid w:val="58A3F272"/>
    <w:rsid w:val="58DE42F1"/>
    <w:rsid w:val="59AE58E3"/>
    <w:rsid w:val="5B2136AF"/>
    <w:rsid w:val="5B831E3E"/>
    <w:rsid w:val="5B94E20E"/>
    <w:rsid w:val="5B9F5AAF"/>
    <w:rsid w:val="5BF3EA10"/>
    <w:rsid w:val="5C09BE33"/>
    <w:rsid w:val="5C46396A"/>
    <w:rsid w:val="5C485018"/>
    <w:rsid w:val="5C488F99"/>
    <w:rsid w:val="5C8E70F9"/>
    <w:rsid w:val="5C90B824"/>
    <w:rsid w:val="5CA69444"/>
    <w:rsid w:val="5CCC1395"/>
    <w:rsid w:val="5D59F592"/>
    <w:rsid w:val="5D634E16"/>
    <w:rsid w:val="5D83C43F"/>
    <w:rsid w:val="5E0FD24D"/>
    <w:rsid w:val="5E12D672"/>
    <w:rsid w:val="5E27A1AF"/>
    <w:rsid w:val="5E785937"/>
    <w:rsid w:val="5E80EF19"/>
    <w:rsid w:val="5F227C20"/>
    <w:rsid w:val="5F2C4ECA"/>
    <w:rsid w:val="5F32DA8F"/>
    <w:rsid w:val="5F8F2582"/>
    <w:rsid w:val="5FDEE9E2"/>
    <w:rsid w:val="5FE6B4EC"/>
    <w:rsid w:val="60730F4D"/>
    <w:rsid w:val="6087FB0A"/>
    <w:rsid w:val="60C80F7E"/>
    <w:rsid w:val="61633AEA"/>
    <w:rsid w:val="617EA5E4"/>
    <w:rsid w:val="61BBE21E"/>
    <w:rsid w:val="61C798F3"/>
    <w:rsid w:val="634333D4"/>
    <w:rsid w:val="63517642"/>
    <w:rsid w:val="63CD9F5E"/>
    <w:rsid w:val="63E0D614"/>
    <w:rsid w:val="64559739"/>
    <w:rsid w:val="647497A8"/>
    <w:rsid w:val="648D0160"/>
    <w:rsid w:val="64A5F94D"/>
    <w:rsid w:val="64B0ECC6"/>
    <w:rsid w:val="64B646A6"/>
    <w:rsid w:val="64DF9BAD"/>
    <w:rsid w:val="64E77A31"/>
    <w:rsid w:val="64ED46A3"/>
    <w:rsid w:val="652AA333"/>
    <w:rsid w:val="653FF25A"/>
    <w:rsid w:val="65799CEB"/>
    <w:rsid w:val="657E5ACF"/>
    <w:rsid w:val="65C94A28"/>
    <w:rsid w:val="65F5EC2D"/>
    <w:rsid w:val="66B77958"/>
    <w:rsid w:val="66D5F5AB"/>
    <w:rsid w:val="66EB06BC"/>
    <w:rsid w:val="67049903"/>
    <w:rsid w:val="672DCB9B"/>
    <w:rsid w:val="67D23ECC"/>
    <w:rsid w:val="67EEFD03"/>
    <w:rsid w:val="67FD5855"/>
    <w:rsid w:val="681A4D72"/>
    <w:rsid w:val="681A6F41"/>
    <w:rsid w:val="68635488"/>
    <w:rsid w:val="688E25A9"/>
    <w:rsid w:val="68AE1323"/>
    <w:rsid w:val="68BF2737"/>
    <w:rsid w:val="68E1DC31"/>
    <w:rsid w:val="68F002F4"/>
    <w:rsid w:val="69643088"/>
    <w:rsid w:val="698F5C3C"/>
    <w:rsid w:val="69C0FFB6"/>
    <w:rsid w:val="69C6476C"/>
    <w:rsid w:val="69C6C132"/>
    <w:rsid w:val="69D4E0DB"/>
    <w:rsid w:val="6A0CA74A"/>
    <w:rsid w:val="6A152730"/>
    <w:rsid w:val="6A3539BE"/>
    <w:rsid w:val="6AAD0AE9"/>
    <w:rsid w:val="6AD74CD6"/>
    <w:rsid w:val="6AE7CB36"/>
    <w:rsid w:val="6AFC1A6D"/>
    <w:rsid w:val="6B08CC8A"/>
    <w:rsid w:val="6B35A777"/>
    <w:rsid w:val="6B4B4C64"/>
    <w:rsid w:val="6B4D16C9"/>
    <w:rsid w:val="6C463487"/>
    <w:rsid w:val="6C5D69D2"/>
    <w:rsid w:val="6CA82986"/>
    <w:rsid w:val="6CA9D6DF"/>
    <w:rsid w:val="6CBED324"/>
    <w:rsid w:val="6CDEC0EC"/>
    <w:rsid w:val="6D35C00C"/>
    <w:rsid w:val="6D4BCBD3"/>
    <w:rsid w:val="6D61DE15"/>
    <w:rsid w:val="6D6AEC9A"/>
    <w:rsid w:val="6D6D14A9"/>
    <w:rsid w:val="6D7AF464"/>
    <w:rsid w:val="6DC2C54E"/>
    <w:rsid w:val="6DE21741"/>
    <w:rsid w:val="6E81C1F4"/>
    <w:rsid w:val="6EB37093"/>
    <w:rsid w:val="6F09A3C0"/>
    <w:rsid w:val="6F2477E4"/>
    <w:rsid w:val="6F80D0C8"/>
    <w:rsid w:val="6F899FC9"/>
    <w:rsid w:val="6F9BD620"/>
    <w:rsid w:val="6FCB1F74"/>
    <w:rsid w:val="6FFD3F75"/>
    <w:rsid w:val="70179E47"/>
    <w:rsid w:val="7079DE44"/>
    <w:rsid w:val="71155C01"/>
    <w:rsid w:val="7186436D"/>
    <w:rsid w:val="71C1F66C"/>
    <w:rsid w:val="71D3BA42"/>
    <w:rsid w:val="72329E1D"/>
    <w:rsid w:val="72603ACB"/>
    <w:rsid w:val="732F232F"/>
    <w:rsid w:val="73676B47"/>
    <w:rsid w:val="736D0C00"/>
    <w:rsid w:val="737A1012"/>
    <w:rsid w:val="73E06527"/>
    <w:rsid w:val="73FE405B"/>
    <w:rsid w:val="74D28B23"/>
    <w:rsid w:val="7520FDFD"/>
    <w:rsid w:val="75240794"/>
    <w:rsid w:val="7585061E"/>
    <w:rsid w:val="76051661"/>
    <w:rsid w:val="761694EF"/>
    <w:rsid w:val="7684F9CC"/>
    <w:rsid w:val="77960B3C"/>
    <w:rsid w:val="77A705B7"/>
    <w:rsid w:val="78149972"/>
    <w:rsid w:val="781A24E2"/>
    <w:rsid w:val="78490516"/>
    <w:rsid w:val="785077F7"/>
    <w:rsid w:val="7856538A"/>
    <w:rsid w:val="786B8267"/>
    <w:rsid w:val="78ABD8D9"/>
    <w:rsid w:val="78C303E0"/>
    <w:rsid w:val="78D5BC23"/>
    <w:rsid w:val="78DD4BB5"/>
    <w:rsid w:val="7912E79A"/>
    <w:rsid w:val="792C459A"/>
    <w:rsid w:val="79B60E98"/>
    <w:rsid w:val="79BC8C6C"/>
    <w:rsid w:val="79D90FFE"/>
    <w:rsid w:val="79E36FA6"/>
    <w:rsid w:val="7A026DE9"/>
    <w:rsid w:val="7A22BC2D"/>
    <w:rsid w:val="7A250AFF"/>
    <w:rsid w:val="7A27802E"/>
    <w:rsid w:val="7A3712D1"/>
    <w:rsid w:val="7AA3CB30"/>
    <w:rsid w:val="7B2B285D"/>
    <w:rsid w:val="7BB098B2"/>
    <w:rsid w:val="7BC66710"/>
    <w:rsid w:val="7BDEBECD"/>
    <w:rsid w:val="7C3498EB"/>
    <w:rsid w:val="7C42B685"/>
    <w:rsid w:val="7C4CD748"/>
    <w:rsid w:val="7C642C97"/>
    <w:rsid w:val="7C6DE44D"/>
    <w:rsid w:val="7C92FE79"/>
    <w:rsid w:val="7C998282"/>
    <w:rsid w:val="7CA24D69"/>
    <w:rsid w:val="7CB9CE1C"/>
    <w:rsid w:val="7D36FC43"/>
    <w:rsid w:val="7DB2A072"/>
    <w:rsid w:val="7DD2A4B3"/>
    <w:rsid w:val="7DD8C143"/>
    <w:rsid w:val="7E0846D9"/>
    <w:rsid w:val="7E557FBF"/>
    <w:rsid w:val="7E9926FB"/>
    <w:rsid w:val="7EC80BA8"/>
    <w:rsid w:val="7ECF0752"/>
    <w:rsid w:val="7EEB7E81"/>
    <w:rsid w:val="7F21D3DB"/>
    <w:rsid w:val="7F602232"/>
    <w:rsid w:val="7F8E258E"/>
    <w:rsid w:val="7F9A298F"/>
    <w:rsid w:val="7FCB15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EDD5"/>
  <w15:chartTrackingRefBased/>
  <w15:docId w15:val="{E2F04C89-EFE1-44EF-A2AD-DDA8467B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09"/>
    <w:pPr>
      <w:spacing w:before="120"/>
    </w:pPr>
    <w:rPr>
      <w:rFonts w:ascii="Arial" w:hAnsi="Arial"/>
      <w:sz w:val="24"/>
    </w:rPr>
  </w:style>
  <w:style w:type="paragraph" w:styleId="Heading1">
    <w:name w:val="heading 1"/>
    <w:basedOn w:val="Normal"/>
    <w:next w:val="Normal"/>
    <w:link w:val="Heading1Char"/>
    <w:uiPriority w:val="9"/>
    <w:qFormat/>
    <w:rsid w:val="00BC6737"/>
    <w:pPr>
      <w:keepNext/>
      <w:keepLines/>
      <w:spacing w:before="240" w:after="0"/>
      <w:outlineLvl w:val="0"/>
    </w:pPr>
    <w:rPr>
      <w:rFonts w:eastAsiaTheme="majorEastAsia" w:cstheme="majorBidi"/>
      <w:b/>
      <w:i/>
      <w:sz w:val="32"/>
      <w:szCs w:val="32"/>
    </w:rPr>
  </w:style>
  <w:style w:type="paragraph" w:styleId="Heading2">
    <w:name w:val="heading 2"/>
    <w:basedOn w:val="Normal"/>
    <w:next w:val="Paragraph"/>
    <w:link w:val="Heading2Char"/>
    <w:uiPriority w:val="2"/>
    <w:unhideWhenUsed/>
    <w:qFormat/>
    <w:rsid w:val="008138B8"/>
    <w:pPr>
      <w:keepNext/>
      <w:spacing w:before="360" w:after="240" w:line="240" w:lineRule="auto"/>
      <w:outlineLvl w:val="1"/>
    </w:pPr>
    <w:rPr>
      <w:rFonts w:eastAsia="Times New Roman" w:cs="Times New Roman"/>
      <w:b/>
      <w:bCs/>
      <w:i/>
      <w:iCs/>
      <w:sz w:val="26"/>
      <w:szCs w:val="28"/>
      <w:u w:val="single"/>
      <w:lang w:val="x-none" w:eastAsia="x-none"/>
    </w:rPr>
  </w:style>
  <w:style w:type="paragraph" w:styleId="Heading3">
    <w:name w:val="heading 3"/>
    <w:basedOn w:val="Normal"/>
    <w:next w:val="Normal"/>
    <w:link w:val="Heading3Char"/>
    <w:uiPriority w:val="9"/>
    <w:unhideWhenUsed/>
    <w:qFormat/>
    <w:rsid w:val="00603B98"/>
    <w:pPr>
      <w:keepNext/>
      <w:keepLines/>
      <w:numPr>
        <w:numId w:val="1"/>
      </w:numPr>
      <w:spacing w:before="40" w:after="0"/>
      <w:outlineLvl w:val="2"/>
    </w:pPr>
    <w:rPr>
      <w:rFonts w:eastAsiaTheme="majorEastAsia" w:cstheme="majorBidi"/>
      <w:b/>
      <w:szCs w:val="24"/>
      <w:u w:val="single"/>
    </w:rPr>
  </w:style>
  <w:style w:type="paragraph" w:styleId="Heading4">
    <w:name w:val="heading 4"/>
    <w:basedOn w:val="Heading3"/>
    <w:next w:val="Normal"/>
    <w:link w:val="Heading4Char"/>
    <w:uiPriority w:val="9"/>
    <w:unhideWhenUsed/>
    <w:rsid w:val="003D5C9F"/>
    <w:pPr>
      <w:numPr>
        <w:numId w:val="4"/>
      </w:numPr>
      <w:spacing w:before="240" w:after="240"/>
      <w:outlineLvl w:val="3"/>
    </w:pPr>
    <w:rPr>
      <w:b w:val="0"/>
      <w:i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8138B8"/>
    <w:rPr>
      <w:rFonts w:ascii="Arial" w:eastAsia="Times New Roman" w:hAnsi="Arial" w:cs="Times New Roman"/>
      <w:b/>
      <w:bCs/>
      <w:i/>
      <w:iCs/>
      <w:sz w:val="26"/>
      <w:szCs w:val="28"/>
      <w:u w:val="single"/>
      <w:lang w:val="x-none" w:eastAsia="x-none"/>
    </w:rPr>
  </w:style>
  <w:style w:type="paragraph" w:customStyle="1" w:styleId="Paragraph">
    <w:name w:val="Paragraph"/>
    <w:basedOn w:val="Normal"/>
    <w:uiPriority w:val="4"/>
    <w:qFormat/>
    <w:rsid w:val="00B87191"/>
    <w:pPr>
      <w:spacing w:before="240" w:after="240" w:line="276" w:lineRule="auto"/>
    </w:pPr>
    <w:rPr>
      <w:rFonts w:eastAsia="Times New Roman" w:cs="Times New Roman"/>
      <w:szCs w:val="24"/>
      <w:lang w:eastAsia="en-GB"/>
    </w:rPr>
  </w:style>
  <w:style w:type="paragraph" w:styleId="ListParagraph">
    <w:name w:val="List Paragraph"/>
    <w:basedOn w:val="Normal"/>
    <w:link w:val="ListParagraphChar"/>
    <w:uiPriority w:val="34"/>
    <w:qFormat/>
    <w:rsid w:val="00955E6C"/>
    <w:pPr>
      <w:spacing w:after="240"/>
      <w:ind w:left="720"/>
      <w:contextualSpacing/>
    </w:pPr>
  </w:style>
  <w:style w:type="character" w:customStyle="1" w:styleId="Heading3Char">
    <w:name w:val="Heading 3 Char"/>
    <w:basedOn w:val="DefaultParagraphFont"/>
    <w:link w:val="Heading3"/>
    <w:uiPriority w:val="9"/>
    <w:rsid w:val="00603B98"/>
    <w:rPr>
      <w:rFonts w:ascii="Arial" w:eastAsiaTheme="majorEastAsia" w:hAnsi="Arial" w:cstheme="majorBidi"/>
      <w:b/>
      <w:sz w:val="24"/>
      <w:szCs w:val="24"/>
      <w:u w:val="single"/>
    </w:rPr>
  </w:style>
  <w:style w:type="paragraph" w:customStyle="1" w:styleId="Paragraphnonumbers">
    <w:name w:val="Paragraph no numbers"/>
    <w:basedOn w:val="Normal"/>
    <w:uiPriority w:val="99"/>
    <w:qFormat/>
    <w:rsid w:val="00292587"/>
    <w:pPr>
      <w:spacing w:after="240" w:line="276" w:lineRule="auto"/>
    </w:pPr>
    <w:rPr>
      <w:rFonts w:eastAsia="Times New Roman" w:cs="Times New Roman"/>
      <w:szCs w:val="24"/>
      <w:lang w:eastAsia="en-GB"/>
    </w:rPr>
  </w:style>
  <w:style w:type="character" w:customStyle="1" w:styleId="ui-provider">
    <w:name w:val="ui-provider"/>
    <w:basedOn w:val="DefaultParagraphFont"/>
    <w:rsid w:val="00A65916"/>
  </w:style>
  <w:style w:type="paragraph" w:styleId="Revision">
    <w:name w:val="Revision"/>
    <w:hidden/>
    <w:uiPriority w:val="99"/>
    <w:semiHidden/>
    <w:rsid w:val="008A1272"/>
    <w:pPr>
      <w:spacing w:after="0" w:line="240" w:lineRule="auto"/>
    </w:pPr>
  </w:style>
  <w:style w:type="character" w:customStyle="1" w:styleId="Heading1Char">
    <w:name w:val="Heading 1 Char"/>
    <w:basedOn w:val="DefaultParagraphFont"/>
    <w:link w:val="Heading1"/>
    <w:uiPriority w:val="9"/>
    <w:rsid w:val="00BC6737"/>
    <w:rPr>
      <w:rFonts w:ascii="Arial" w:eastAsiaTheme="majorEastAsia" w:hAnsi="Arial" w:cstheme="majorBidi"/>
      <w:b/>
      <w:i/>
      <w:sz w:val="32"/>
      <w:szCs w:val="32"/>
    </w:rPr>
  </w:style>
  <w:style w:type="paragraph" w:styleId="BodyText">
    <w:name w:val="Body Text"/>
    <w:basedOn w:val="Normal"/>
    <w:link w:val="BodyTextChar"/>
    <w:unhideWhenUsed/>
    <w:qFormat/>
    <w:rsid w:val="004534EB"/>
    <w:pPr>
      <w:spacing w:after="240" w:line="240" w:lineRule="auto"/>
      <w:jc w:val="both"/>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534E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D5945"/>
    <w:rPr>
      <w:sz w:val="16"/>
      <w:szCs w:val="16"/>
    </w:rPr>
  </w:style>
  <w:style w:type="paragraph" w:styleId="CommentText">
    <w:name w:val="annotation text"/>
    <w:basedOn w:val="Normal"/>
    <w:link w:val="CommentTextChar"/>
    <w:uiPriority w:val="99"/>
    <w:unhideWhenUsed/>
    <w:rsid w:val="005D5945"/>
    <w:pPr>
      <w:spacing w:line="240" w:lineRule="auto"/>
    </w:pPr>
    <w:rPr>
      <w:sz w:val="20"/>
      <w:szCs w:val="20"/>
    </w:rPr>
  </w:style>
  <w:style w:type="character" w:customStyle="1" w:styleId="CommentTextChar">
    <w:name w:val="Comment Text Char"/>
    <w:basedOn w:val="DefaultParagraphFont"/>
    <w:link w:val="CommentText"/>
    <w:uiPriority w:val="99"/>
    <w:rsid w:val="005D5945"/>
    <w:rPr>
      <w:sz w:val="20"/>
      <w:szCs w:val="20"/>
    </w:rPr>
  </w:style>
  <w:style w:type="paragraph" w:styleId="CommentSubject">
    <w:name w:val="annotation subject"/>
    <w:basedOn w:val="CommentText"/>
    <w:next w:val="CommentText"/>
    <w:link w:val="CommentSubjectChar"/>
    <w:uiPriority w:val="99"/>
    <w:semiHidden/>
    <w:unhideWhenUsed/>
    <w:rsid w:val="005D5945"/>
    <w:rPr>
      <w:b/>
      <w:bCs/>
    </w:rPr>
  </w:style>
  <w:style w:type="character" w:customStyle="1" w:styleId="CommentSubjectChar">
    <w:name w:val="Comment Subject Char"/>
    <w:basedOn w:val="CommentTextChar"/>
    <w:link w:val="CommentSubject"/>
    <w:uiPriority w:val="99"/>
    <w:semiHidden/>
    <w:rsid w:val="005D5945"/>
    <w:rPr>
      <w:b/>
      <w:bCs/>
      <w:sz w:val="20"/>
      <w:szCs w:val="20"/>
    </w:rPr>
  </w:style>
  <w:style w:type="paragraph" w:customStyle="1" w:styleId="Default">
    <w:name w:val="Default"/>
    <w:rsid w:val="000C6A1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9A002B"/>
    <w:rPr>
      <w:color w:val="605E5C"/>
      <w:shd w:val="clear" w:color="auto" w:fill="E1DFDD"/>
    </w:rPr>
  </w:style>
  <w:style w:type="character" w:styleId="Mention">
    <w:name w:val="Mention"/>
    <w:basedOn w:val="DefaultParagraphFont"/>
    <w:uiPriority w:val="99"/>
    <w:unhideWhenUsed/>
    <w:rsid w:val="009A002B"/>
    <w:rPr>
      <w:color w:val="2B579A"/>
      <w:shd w:val="clear" w:color="auto" w:fill="E1DFDD"/>
    </w:rPr>
  </w:style>
  <w:style w:type="paragraph" w:styleId="Header">
    <w:name w:val="header"/>
    <w:basedOn w:val="Normal"/>
    <w:link w:val="HeaderChar"/>
    <w:uiPriority w:val="99"/>
    <w:unhideWhenUsed/>
    <w:rsid w:val="00A3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51"/>
  </w:style>
  <w:style w:type="paragraph" w:styleId="Footer">
    <w:name w:val="footer"/>
    <w:basedOn w:val="Normal"/>
    <w:link w:val="FooterChar"/>
    <w:uiPriority w:val="99"/>
    <w:unhideWhenUsed/>
    <w:rsid w:val="00A3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451"/>
  </w:style>
  <w:style w:type="numbering" w:customStyle="1" w:styleId="Style1">
    <w:name w:val="Style1"/>
    <w:uiPriority w:val="99"/>
    <w:rsid w:val="00655646"/>
    <w:pPr>
      <w:numPr>
        <w:numId w:val="3"/>
      </w:numPr>
    </w:pPr>
  </w:style>
  <w:style w:type="paragraph" w:customStyle="1" w:styleId="Style2">
    <w:name w:val="Style2"/>
    <w:basedOn w:val="ListParagraph"/>
    <w:link w:val="Style2Char"/>
    <w:qFormat/>
    <w:rsid w:val="003D5C9F"/>
    <w:pPr>
      <w:numPr>
        <w:numId w:val="2"/>
      </w:numPr>
      <w:spacing w:before="240"/>
    </w:pPr>
    <w:rPr>
      <w:b/>
      <w:bCs/>
    </w:rPr>
  </w:style>
  <w:style w:type="paragraph" w:customStyle="1" w:styleId="NICEnormal">
    <w:name w:val="NICE normal"/>
    <w:basedOn w:val="Normal"/>
    <w:link w:val="NICEnormalChar"/>
    <w:qFormat/>
    <w:rsid w:val="003D5C9F"/>
    <w:pPr>
      <w:spacing w:before="180" w:after="180"/>
    </w:pPr>
  </w:style>
  <w:style w:type="character" w:customStyle="1" w:styleId="ListParagraphChar">
    <w:name w:val="List Paragraph Char"/>
    <w:basedOn w:val="DefaultParagraphFont"/>
    <w:link w:val="ListParagraph"/>
    <w:uiPriority w:val="34"/>
    <w:rsid w:val="00462E1F"/>
    <w:rPr>
      <w:rFonts w:ascii="Arial" w:hAnsi="Arial"/>
      <w:sz w:val="23"/>
    </w:rPr>
  </w:style>
  <w:style w:type="character" w:customStyle="1" w:styleId="Style2Char">
    <w:name w:val="Style2 Char"/>
    <w:basedOn w:val="ListParagraphChar"/>
    <w:link w:val="Style2"/>
    <w:rsid w:val="00CA15C3"/>
    <w:rPr>
      <w:rFonts w:ascii="Arial" w:hAnsi="Arial"/>
      <w:b/>
      <w:bCs/>
      <w:sz w:val="24"/>
    </w:rPr>
  </w:style>
  <w:style w:type="character" w:customStyle="1" w:styleId="NICEnormalChar">
    <w:name w:val="NICE normal Char"/>
    <w:basedOn w:val="DefaultParagraphFont"/>
    <w:link w:val="NICEnormal"/>
    <w:rsid w:val="00193135"/>
    <w:rPr>
      <w:rFonts w:ascii="Arial" w:hAnsi="Arial"/>
      <w:sz w:val="23"/>
    </w:rPr>
  </w:style>
  <w:style w:type="paragraph" w:styleId="NoSpacing">
    <w:name w:val="No Spacing"/>
    <w:uiPriority w:val="1"/>
    <w:qFormat/>
    <w:rsid w:val="00AB7C06"/>
    <w:pPr>
      <w:spacing w:after="0" w:line="240" w:lineRule="auto"/>
    </w:pPr>
    <w:rPr>
      <w:rFonts w:ascii="Arial" w:hAnsi="Arial"/>
      <w:sz w:val="23"/>
    </w:rPr>
  </w:style>
  <w:style w:type="character" w:customStyle="1" w:styleId="Heading4Char">
    <w:name w:val="Heading 4 Char"/>
    <w:basedOn w:val="DefaultParagraphFont"/>
    <w:link w:val="Heading4"/>
    <w:uiPriority w:val="9"/>
    <w:rsid w:val="0046157A"/>
    <w:rPr>
      <w:rFonts w:ascii="Arial" w:eastAsiaTheme="majorEastAsia" w:hAnsi="Arial" w:cstheme="majorBidi"/>
      <w:iCs/>
      <w:sz w:val="23"/>
      <w:szCs w:val="24"/>
      <w:u w:val="single"/>
    </w:rPr>
  </w:style>
  <w:style w:type="paragraph" w:customStyle="1" w:styleId="NICEnormal0">
    <w:name w:val="NICEnormal"/>
    <w:basedOn w:val="NICEnormal"/>
    <w:rsid w:val="00096D48"/>
    <w:pPr>
      <w:spacing w:before="0" w:after="240" w:line="360" w:lineRule="auto"/>
    </w:pPr>
    <w:rPr>
      <w:rFonts w:eastAsia="Times New Roman" w:cs="Times New Roman"/>
      <w:szCs w:val="24"/>
    </w:rPr>
  </w:style>
  <w:style w:type="character" w:styleId="Hyperlink">
    <w:name w:val="Hyperlink"/>
    <w:basedOn w:val="DefaultParagraphFont"/>
    <w:uiPriority w:val="99"/>
    <w:unhideWhenUsed/>
    <w:rsid w:val="001353A7"/>
    <w:rPr>
      <w:color w:val="0563C1" w:themeColor="hyperlink"/>
      <w:u w:val="single"/>
    </w:rPr>
  </w:style>
  <w:style w:type="table" w:customStyle="1" w:styleId="TableGrid1">
    <w:name w:val="Table Grid1"/>
    <w:rsid w:val="003148D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 Grid0"/>
    <w:basedOn w:val="TableNormal"/>
    <w:uiPriority w:val="59"/>
    <w:rsid w:val="003148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4050D"/>
    <w:pPr>
      <w:tabs>
        <w:tab w:val="left" w:pos="504"/>
      </w:tabs>
      <w:spacing w:after="240" w:line="240" w:lineRule="auto"/>
      <w:ind w:left="504" w:hanging="504"/>
    </w:pPr>
  </w:style>
  <w:style w:type="paragraph" w:customStyle="1" w:styleId="GSKAddress">
    <w:name w:val="GSK Address"/>
    <w:qFormat/>
    <w:rsid w:val="00D62AA8"/>
    <w:pPr>
      <w:spacing w:after="0" w:line="240" w:lineRule="auto"/>
    </w:pPr>
    <w:rPr>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4854">
      <w:bodyDiv w:val="1"/>
      <w:marLeft w:val="0"/>
      <w:marRight w:val="0"/>
      <w:marTop w:val="0"/>
      <w:marBottom w:val="0"/>
      <w:divBdr>
        <w:top w:val="none" w:sz="0" w:space="0" w:color="auto"/>
        <w:left w:val="none" w:sz="0" w:space="0" w:color="auto"/>
        <w:bottom w:val="none" w:sz="0" w:space="0" w:color="auto"/>
        <w:right w:val="none" w:sz="0" w:space="0" w:color="auto"/>
      </w:divBdr>
    </w:div>
    <w:div w:id="451247202">
      <w:bodyDiv w:val="1"/>
      <w:marLeft w:val="0"/>
      <w:marRight w:val="0"/>
      <w:marTop w:val="0"/>
      <w:marBottom w:val="0"/>
      <w:divBdr>
        <w:top w:val="none" w:sz="0" w:space="0" w:color="auto"/>
        <w:left w:val="none" w:sz="0" w:space="0" w:color="auto"/>
        <w:bottom w:val="none" w:sz="0" w:space="0" w:color="auto"/>
        <w:right w:val="none" w:sz="0" w:space="0" w:color="auto"/>
      </w:divBdr>
    </w:div>
    <w:div w:id="456798821">
      <w:bodyDiv w:val="1"/>
      <w:marLeft w:val="0"/>
      <w:marRight w:val="0"/>
      <w:marTop w:val="0"/>
      <w:marBottom w:val="0"/>
      <w:divBdr>
        <w:top w:val="none" w:sz="0" w:space="0" w:color="auto"/>
        <w:left w:val="none" w:sz="0" w:space="0" w:color="auto"/>
        <w:bottom w:val="none" w:sz="0" w:space="0" w:color="auto"/>
        <w:right w:val="none" w:sz="0" w:space="0" w:color="auto"/>
      </w:divBdr>
    </w:div>
    <w:div w:id="903249671">
      <w:bodyDiv w:val="1"/>
      <w:marLeft w:val="0"/>
      <w:marRight w:val="0"/>
      <w:marTop w:val="0"/>
      <w:marBottom w:val="0"/>
      <w:divBdr>
        <w:top w:val="none" w:sz="0" w:space="0" w:color="auto"/>
        <w:left w:val="none" w:sz="0" w:space="0" w:color="auto"/>
        <w:bottom w:val="none" w:sz="0" w:space="0" w:color="auto"/>
        <w:right w:val="none" w:sz="0" w:space="0" w:color="auto"/>
      </w:divBdr>
    </w:div>
    <w:div w:id="989598445">
      <w:bodyDiv w:val="1"/>
      <w:marLeft w:val="0"/>
      <w:marRight w:val="0"/>
      <w:marTop w:val="0"/>
      <w:marBottom w:val="0"/>
      <w:divBdr>
        <w:top w:val="none" w:sz="0" w:space="0" w:color="auto"/>
        <w:left w:val="none" w:sz="0" w:space="0" w:color="auto"/>
        <w:bottom w:val="none" w:sz="0" w:space="0" w:color="auto"/>
        <w:right w:val="none" w:sz="0" w:space="0" w:color="auto"/>
      </w:divBdr>
    </w:div>
    <w:div w:id="1068115952">
      <w:bodyDiv w:val="1"/>
      <w:marLeft w:val="0"/>
      <w:marRight w:val="0"/>
      <w:marTop w:val="0"/>
      <w:marBottom w:val="0"/>
      <w:divBdr>
        <w:top w:val="none" w:sz="0" w:space="0" w:color="auto"/>
        <w:left w:val="none" w:sz="0" w:space="0" w:color="auto"/>
        <w:bottom w:val="none" w:sz="0" w:space="0" w:color="auto"/>
        <w:right w:val="none" w:sz="0" w:space="0" w:color="auto"/>
      </w:divBdr>
    </w:div>
    <w:div w:id="1126268245">
      <w:bodyDiv w:val="1"/>
      <w:marLeft w:val="0"/>
      <w:marRight w:val="0"/>
      <w:marTop w:val="0"/>
      <w:marBottom w:val="0"/>
      <w:divBdr>
        <w:top w:val="none" w:sz="0" w:space="0" w:color="auto"/>
        <w:left w:val="none" w:sz="0" w:space="0" w:color="auto"/>
        <w:bottom w:val="none" w:sz="0" w:space="0" w:color="auto"/>
        <w:right w:val="none" w:sz="0" w:space="0" w:color="auto"/>
      </w:divBdr>
    </w:div>
    <w:div w:id="1431656925">
      <w:bodyDiv w:val="1"/>
      <w:marLeft w:val="0"/>
      <w:marRight w:val="0"/>
      <w:marTop w:val="0"/>
      <w:marBottom w:val="0"/>
      <w:divBdr>
        <w:top w:val="none" w:sz="0" w:space="0" w:color="auto"/>
        <w:left w:val="none" w:sz="0" w:space="0" w:color="auto"/>
        <w:bottom w:val="none" w:sz="0" w:space="0" w:color="auto"/>
        <w:right w:val="none" w:sz="0" w:space="0" w:color="auto"/>
      </w:divBdr>
    </w:div>
    <w:div w:id="1617715538">
      <w:bodyDiv w:val="1"/>
      <w:marLeft w:val="0"/>
      <w:marRight w:val="0"/>
      <w:marTop w:val="0"/>
      <w:marBottom w:val="0"/>
      <w:divBdr>
        <w:top w:val="none" w:sz="0" w:space="0" w:color="auto"/>
        <w:left w:val="none" w:sz="0" w:space="0" w:color="auto"/>
        <w:bottom w:val="none" w:sz="0" w:space="0" w:color="auto"/>
        <w:right w:val="none" w:sz="0" w:space="0" w:color="auto"/>
      </w:divBdr>
    </w:div>
    <w:div w:id="1710372962">
      <w:bodyDiv w:val="1"/>
      <w:marLeft w:val="0"/>
      <w:marRight w:val="0"/>
      <w:marTop w:val="0"/>
      <w:marBottom w:val="0"/>
      <w:divBdr>
        <w:top w:val="none" w:sz="0" w:space="0" w:color="auto"/>
        <w:left w:val="none" w:sz="0" w:space="0" w:color="auto"/>
        <w:bottom w:val="none" w:sz="0" w:space="0" w:color="auto"/>
        <w:right w:val="none" w:sz="0" w:space="0" w:color="auto"/>
      </w:divBdr>
    </w:div>
    <w:div w:id="1733314292">
      <w:bodyDiv w:val="1"/>
      <w:marLeft w:val="0"/>
      <w:marRight w:val="0"/>
      <w:marTop w:val="0"/>
      <w:marBottom w:val="0"/>
      <w:divBdr>
        <w:top w:val="none" w:sz="0" w:space="0" w:color="auto"/>
        <w:left w:val="none" w:sz="0" w:space="0" w:color="auto"/>
        <w:bottom w:val="none" w:sz="0" w:space="0" w:color="auto"/>
        <w:right w:val="none" w:sz="0" w:space="0" w:color="auto"/>
      </w:divBdr>
    </w:div>
    <w:div w:id="1982685972">
      <w:bodyDiv w:val="1"/>
      <w:marLeft w:val="0"/>
      <w:marRight w:val="0"/>
      <w:marTop w:val="0"/>
      <w:marBottom w:val="0"/>
      <w:divBdr>
        <w:top w:val="none" w:sz="0" w:space="0" w:color="auto"/>
        <w:left w:val="none" w:sz="0" w:space="0" w:color="auto"/>
        <w:bottom w:val="none" w:sz="0" w:space="0" w:color="auto"/>
        <w:right w:val="none" w:sz="0" w:space="0" w:color="auto"/>
      </w:divBdr>
    </w:div>
    <w:div w:id="2055350769">
      <w:bodyDiv w:val="1"/>
      <w:marLeft w:val="0"/>
      <w:marRight w:val="0"/>
      <w:marTop w:val="0"/>
      <w:marBottom w:val="0"/>
      <w:divBdr>
        <w:top w:val="none" w:sz="0" w:space="0" w:color="auto"/>
        <w:left w:val="none" w:sz="0" w:space="0" w:color="auto"/>
        <w:bottom w:val="none" w:sz="0" w:space="0" w:color="auto"/>
        <w:right w:val="none" w:sz="0" w:space="0" w:color="auto"/>
      </w:divBdr>
    </w:div>
    <w:div w:id="21350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8357D4C7-6A2D-40F3-A4A9-627F504AEBE3}">
    <t:Anchor>
      <t:Comment id="1939725467"/>
    </t:Anchor>
    <t:History>
      <t:Event id="{0CDA8F46-1D26-43DD-AE38-581A5C2F1489}" time="2023-08-04T12:42:39.546Z">
        <t:Attribution userId="S::toni.k.maslen@gsk.com::83cde433-7978-4c37-8f6a-5a6bff9ce0e5" userProvider="AD" userName="Toni Maslen"/>
        <t:Anchor>
          <t:Comment id="1939725467"/>
        </t:Anchor>
        <t:Create/>
      </t:Event>
      <t:Event id="{EC9BD37A-6710-44EE-AFB2-CFB17BEF09E3}" time="2023-08-04T12:42:39.546Z">
        <t:Attribution userId="S::toni.k.maslen@gsk.com::83cde433-7978-4c37-8f6a-5a6bff9ce0e5" userProvider="AD" userName="Toni Maslen"/>
        <t:Anchor>
          <t:Comment id="1939725467"/>
        </t:Anchor>
        <t:Assign userId="S::laura.x.cornic@gsk.com::4ae85550-bb8c-402c-8d51-55acae440118" userProvider="AD" userName="Laura Cornic"/>
      </t:Event>
      <t:Event id="{2B6934AF-93E4-4AFF-88FC-86004A8193A8}" time="2023-08-04T12:42:39.546Z">
        <t:Attribution userId="S::toni.k.maslen@gsk.com::83cde433-7978-4c37-8f6a-5a6bff9ce0e5" userProvider="AD" userName="Toni Maslen"/>
        <t:Anchor>
          <t:Comment id="1939725467"/>
        </t:Anchor>
        <t:SetTitle title="@Laura Cornic - what is this guidance, is it a typ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052B67EE7F54084FC5CE2C1FA5B1D" ma:contentTypeVersion="14" ma:contentTypeDescription="Create a new document." ma:contentTypeScope="" ma:versionID="27f9f9adbc3b9a2471b2696221a99ea2">
  <xsd:schema xmlns:xsd="http://www.w3.org/2001/XMLSchema" xmlns:xs="http://www.w3.org/2001/XMLSchema" xmlns:p="http://schemas.microsoft.com/office/2006/metadata/properties" xmlns:ns2="dd313657-f50c-4f39-86b1-54f797ee1794" xmlns:ns3="76f3be66-adea-43e8-a561-6a75ac24f4c3" targetNamespace="http://schemas.microsoft.com/office/2006/metadata/properties" ma:root="true" ma:fieldsID="8595a35e1c8037369fc3e37ec5b734d7" ns2:_="" ns3:_="">
    <xsd:import namespace="dd313657-f50c-4f39-86b1-54f797ee1794"/>
    <xsd:import namespace="76f3be66-adea-43e8-a561-6a75ac24f4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3657-f50c-4f39-86b1-54f797ee1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51d461-d530-465a-81eb-73ef42a83da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3be66-adea-43e8-a561-6a75ac24f4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23e485-c33c-4e05-9a33-ba751e357ef4}" ma:internalName="TaxCatchAll" ma:showField="CatchAllData" ma:web="76f3be66-adea-43e8-a561-6a75ac24f4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13657-f50c-4f39-86b1-54f797ee1794">
      <Terms xmlns="http://schemas.microsoft.com/office/infopath/2007/PartnerControls"/>
    </lcf76f155ced4ddcb4097134ff3c332f>
    <TaxCatchAll xmlns="76f3be66-adea-43e8-a561-6a75ac24f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92EAEF-C52A-438E-AF63-B5647CDA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13657-f50c-4f39-86b1-54f797ee1794"/>
    <ds:schemaRef ds:uri="76f3be66-adea-43e8-a561-6a75ac24f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C67D1-6FF6-4EC9-8877-584681ABDCA8}">
  <ds:schemaRefs>
    <ds:schemaRef ds:uri="http://schemas.microsoft.com/office/2006/documentManagement/types"/>
    <ds:schemaRef ds:uri="http://schemas.openxmlformats.org/package/2006/metadata/core-properties"/>
    <ds:schemaRef ds:uri="http://purl.org/dc/dcmitype/"/>
    <ds:schemaRef ds:uri="http://purl.org/dc/elements/1.1/"/>
    <ds:schemaRef ds:uri="dd313657-f50c-4f39-86b1-54f797ee1794"/>
    <ds:schemaRef ds:uri="76f3be66-adea-43e8-a561-6a75ac24f4c3"/>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0AFE0C2-1001-4311-9193-2AFB22680A38}">
  <ds:schemaRefs>
    <ds:schemaRef ds:uri="http://schemas.microsoft.com/sharepoint/v3/contenttype/forms"/>
  </ds:schemaRefs>
</ds:datastoreItem>
</file>

<file path=customXml/itemProps4.xml><?xml version="1.0" encoding="utf-8"?>
<ds:datastoreItem xmlns:ds="http://schemas.openxmlformats.org/officeDocument/2006/customXml" ds:itemID="{4C9D5D55-DBE7-457F-B0E9-28D4B878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14285</Words>
  <Characters>81429</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Cornic</dc:creator>
  <cp:keywords/>
  <cp:lastModifiedBy>Toni Maslen</cp:lastModifiedBy>
  <cp:revision>2</cp:revision>
  <dcterms:created xsi:type="dcterms:W3CDTF">2023-08-04T14:11:00Z</dcterms:created>
  <dcterms:modified xsi:type="dcterms:W3CDTF">2023-08-04T14:11:00Z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0x01010032A052B67EE7F54084FC5CE2C1FA5B1D</vt:lpwstr>
  </property>
  <property fmtid="{D5CDD505-2E9C-101B-9397-08002B2CF9AE}" pid="3" name="ZOTERO_PREF_1">
    <vt:lpwstr>&lt;data data-version="3" zotero-version="6.0.26"&gt;&lt;session id="9Hb1KKeR"/&gt;&lt;style id="http://www.zotero.org/styles/vancouver-superscript" locale="en-US" hasBibliography="1" bibliographyStyleHasBeenSet="1"/&gt;&lt;prefs&gt;&lt;pref name="fieldType" value="Field"/&gt;&lt;/prefs&gt;</vt:lpwstr>
  </property>
  <property fmtid="{D5CDD505-2E9C-101B-9397-08002B2CF9AE}" pid="4" name="ZOTERO_PREF_2">
    <vt:lpwstr>&lt;/data&gt;</vt:lpwstr>
  </property>
  <property fmtid="{D5CDD505-2E9C-101B-9397-08002B2CF9AE}" pid="5" name="MediaServiceImageTags">
    <vt:lpwstr/>
  </property>
</Properties>
</file>