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9"/>
        <w:ind w:left="10123" w:right="117" w:firstLine="266"/>
        <w:jc w:val="both"/>
        <w:rPr>
          <w:sz w:val="20"/>
        </w:rPr>
      </w:pPr>
      <w:r>
        <w:rPr/>
        <w:drawing>
          <wp:anchor distT="0" distB="0" distL="0" distR="0" allowOverlap="1" layoutInCell="1" locked="0" behindDoc="0" simplePos="0" relativeHeight="15729152">
            <wp:simplePos x="0" y="0"/>
            <wp:positionH relativeFrom="page">
              <wp:posOffset>419100</wp:posOffset>
            </wp:positionH>
            <wp:positionV relativeFrom="paragraph">
              <wp:posOffset>51052</wp:posOffset>
            </wp:positionV>
            <wp:extent cx="2597404" cy="2692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97404" cy="269240"/>
                    </a:xfrm>
                    <a:prstGeom prst="rect">
                      <a:avLst/>
                    </a:prstGeom>
                  </pic:spPr>
                </pic:pic>
              </a:graphicData>
            </a:graphic>
          </wp:anchor>
        </w:drawing>
      </w:r>
      <w:r>
        <w:rPr>
          <w:color w:val="0D0D0D"/>
          <w:sz w:val="20"/>
        </w:rPr>
        <w:t>Level</w:t>
      </w:r>
      <w:r>
        <w:rPr>
          <w:color w:val="0D0D0D"/>
          <w:spacing w:val="-14"/>
          <w:sz w:val="20"/>
        </w:rPr>
        <w:t> </w:t>
      </w:r>
      <w:r>
        <w:rPr>
          <w:color w:val="0D0D0D"/>
          <w:sz w:val="20"/>
        </w:rPr>
        <w:t>1A City Tower </w:t>
      </w:r>
      <w:r>
        <w:rPr>
          <w:color w:val="0D0D0D"/>
          <w:spacing w:val="-2"/>
          <w:sz w:val="20"/>
        </w:rPr>
        <w:t>Manchester</w:t>
      </w:r>
    </w:p>
    <w:p>
      <w:pPr>
        <w:spacing w:line="229" w:lineRule="exact" w:before="0"/>
        <w:ind w:left="0" w:right="120" w:firstLine="0"/>
        <w:jc w:val="right"/>
        <w:rPr>
          <w:sz w:val="20"/>
        </w:rPr>
      </w:pPr>
      <w:r>
        <w:rPr>
          <w:color w:val="0D0D0D"/>
          <w:sz w:val="20"/>
        </w:rPr>
        <w:t>M1</w:t>
      </w:r>
      <w:r>
        <w:rPr>
          <w:color w:val="0D0D0D"/>
          <w:spacing w:val="-5"/>
          <w:sz w:val="20"/>
        </w:rPr>
        <w:t> 4BT</w:t>
      </w:r>
    </w:p>
    <w:p>
      <w:pPr>
        <w:spacing w:before="1"/>
        <w:ind w:left="0" w:right="119" w:firstLine="0"/>
        <w:jc w:val="right"/>
        <w:rPr>
          <w:sz w:val="20"/>
        </w:rPr>
      </w:pPr>
      <w:r>
        <w:rPr>
          <w:color w:val="0D0D0D"/>
          <w:sz w:val="20"/>
        </w:rPr>
        <w:t>United</w:t>
      </w:r>
      <w:r>
        <w:rPr>
          <w:color w:val="0D0D0D"/>
          <w:spacing w:val="-9"/>
          <w:sz w:val="20"/>
        </w:rPr>
        <w:t> </w:t>
      </w:r>
      <w:r>
        <w:rPr>
          <w:color w:val="0D0D0D"/>
          <w:spacing w:val="-2"/>
          <w:sz w:val="20"/>
        </w:rPr>
        <w:t>Kingdom</w:t>
      </w:r>
    </w:p>
    <w:p>
      <w:pPr>
        <w:pStyle w:val="BodyText"/>
        <w:rPr>
          <w:sz w:val="20"/>
        </w:rPr>
      </w:pPr>
    </w:p>
    <w:p>
      <w:pPr>
        <w:spacing w:before="1"/>
        <w:ind w:left="0" w:right="119" w:firstLine="0"/>
        <w:jc w:val="right"/>
        <w:rPr>
          <w:sz w:val="20"/>
        </w:rPr>
      </w:pPr>
      <w:r>
        <w:rPr>
          <w:sz w:val="20"/>
        </w:rPr>
        <w:t>+44</w:t>
      </w:r>
      <w:r>
        <w:rPr>
          <w:spacing w:val="-8"/>
          <w:sz w:val="20"/>
        </w:rPr>
        <w:t> </w:t>
      </w:r>
      <w:r>
        <w:rPr>
          <w:sz w:val="20"/>
        </w:rPr>
        <w:t>(0)300</w:t>
      </w:r>
      <w:r>
        <w:rPr>
          <w:spacing w:val="-5"/>
          <w:sz w:val="20"/>
        </w:rPr>
        <w:t> </w:t>
      </w:r>
      <w:r>
        <w:rPr>
          <w:sz w:val="20"/>
        </w:rPr>
        <w:t>323</w:t>
      </w:r>
      <w:r>
        <w:rPr>
          <w:spacing w:val="-6"/>
          <w:sz w:val="20"/>
        </w:rPr>
        <w:t> </w:t>
      </w:r>
      <w:r>
        <w:rPr>
          <w:spacing w:val="-4"/>
          <w:sz w:val="20"/>
        </w:rPr>
        <w:t>0140</w:t>
      </w:r>
    </w:p>
    <w:p>
      <w:pPr>
        <w:pStyle w:val="BodyText"/>
        <w:rPr>
          <w:sz w:val="20"/>
        </w:rPr>
      </w:pPr>
    </w:p>
    <w:p>
      <w:pPr>
        <w:pStyle w:val="BodyText"/>
        <w:rPr>
          <w:sz w:val="20"/>
        </w:rPr>
      </w:pPr>
    </w:p>
    <w:p>
      <w:pPr>
        <w:pStyle w:val="BodyText"/>
        <w:spacing w:before="8"/>
        <w:rPr>
          <w:sz w:val="19"/>
        </w:rPr>
      </w:pPr>
    </w:p>
    <w:p>
      <w:pPr>
        <w:pStyle w:val="BodyText"/>
        <w:spacing w:before="92"/>
        <w:ind w:left="1100"/>
      </w:pPr>
      <w:r>
        <w:rPr/>
        <w:t>Dr</w:t>
      </w:r>
      <w:r>
        <w:rPr>
          <w:spacing w:val="-3"/>
        </w:rPr>
        <w:t> </w:t>
      </w:r>
      <w:r>
        <w:rPr/>
        <w:t>Mark </w:t>
      </w:r>
      <w:r>
        <w:rPr>
          <w:spacing w:val="-2"/>
        </w:rPr>
        <w:t>Chakravarty</w:t>
      </w:r>
    </w:p>
    <w:p>
      <w:pPr>
        <w:pStyle w:val="BodyText"/>
        <w:spacing w:line="276" w:lineRule="auto" w:before="41"/>
        <w:ind w:left="1100" w:right="3152"/>
      </w:pPr>
      <w:r>
        <w:rPr/>
        <w:t>Lead</w:t>
      </w:r>
      <w:r>
        <w:rPr>
          <w:spacing w:val="-5"/>
        </w:rPr>
        <w:t> </w:t>
      </w:r>
      <w:r>
        <w:rPr/>
        <w:t>Non-Executive</w:t>
      </w:r>
      <w:r>
        <w:rPr>
          <w:spacing w:val="-7"/>
        </w:rPr>
        <w:t> </w:t>
      </w:r>
      <w:r>
        <w:rPr/>
        <w:t>Director</w:t>
      </w:r>
      <w:r>
        <w:rPr>
          <w:spacing w:val="-5"/>
        </w:rPr>
        <w:t> </w:t>
      </w:r>
      <w:r>
        <w:rPr/>
        <w:t>for</w:t>
      </w:r>
      <w:r>
        <w:rPr>
          <w:spacing w:val="-5"/>
        </w:rPr>
        <w:t> </w:t>
      </w:r>
      <w:r>
        <w:rPr/>
        <w:t>Appeals</w:t>
      </w:r>
      <w:r>
        <w:rPr>
          <w:spacing w:val="-5"/>
        </w:rPr>
        <w:t> </w:t>
      </w:r>
      <w:r>
        <w:rPr/>
        <w:t>&amp;</w:t>
      </w:r>
      <w:r>
        <w:rPr>
          <w:spacing w:val="-7"/>
        </w:rPr>
        <w:t> </w:t>
      </w:r>
      <w:r>
        <w:rPr/>
        <w:t>Vice</w:t>
      </w:r>
      <w:r>
        <w:rPr>
          <w:spacing w:val="-5"/>
        </w:rPr>
        <w:t> </w:t>
      </w:r>
      <w:r>
        <w:rPr/>
        <w:t>Chairman National Institute for Health and Care Excellence</w:t>
      </w:r>
    </w:p>
    <w:p>
      <w:pPr>
        <w:pStyle w:val="BodyText"/>
        <w:spacing w:before="200"/>
        <w:ind w:left="1100"/>
      </w:pPr>
      <w:r>
        <w:rPr/>
        <w:t>2</w:t>
      </w:r>
      <w:r>
        <w:rPr>
          <w:spacing w:val="-3"/>
        </w:rPr>
        <w:t> </w:t>
      </w:r>
      <w:r>
        <w:rPr/>
        <w:t>October</w:t>
      </w:r>
      <w:r>
        <w:rPr>
          <w:spacing w:val="-1"/>
        </w:rPr>
        <w:t> </w:t>
      </w:r>
      <w:r>
        <w:rPr>
          <w:spacing w:val="-4"/>
        </w:rPr>
        <w:t>2023</w:t>
      </w:r>
    </w:p>
    <w:p>
      <w:pPr>
        <w:pStyle w:val="BodyText"/>
        <w:rPr>
          <w:sz w:val="26"/>
        </w:rPr>
      </w:pPr>
    </w:p>
    <w:p>
      <w:pPr>
        <w:pStyle w:val="BodyText"/>
        <w:rPr>
          <w:sz w:val="26"/>
        </w:rPr>
      </w:pPr>
    </w:p>
    <w:p>
      <w:pPr>
        <w:pStyle w:val="BodyText"/>
        <w:spacing w:before="161"/>
        <w:ind w:left="1100"/>
      </w:pPr>
      <w:r>
        <w:rPr/>
        <w:t>Dear</w:t>
      </w:r>
      <w:r>
        <w:rPr>
          <w:spacing w:val="-2"/>
        </w:rPr>
        <w:t> Mark,</w:t>
      </w:r>
    </w:p>
    <w:p>
      <w:pPr>
        <w:pStyle w:val="BodyText"/>
        <w:spacing w:before="10"/>
        <w:rPr>
          <w:sz w:val="20"/>
        </w:rPr>
      </w:pPr>
    </w:p>
    <w:p>
      <w:pPr>
        <w:pStyle w:val="Title"/>
        <w:spacing w:line="278" w:lineRule="auto"/>
      </w:pPr>
      <w:r>
        <w:rPr/>
        <w:t>Re:</w:t>
      </w:r>
      <w:r>
        <w:rPr>
          <w:spacing w:val="-3"/>
        </w:rPr>
        <w:t> </w:t>
      </w:r>
      <w:r>
        <w:rPr/>
        <w:t>Withdrawal</w:t>
      </w:r>
      <w:r>
        <w:rPr>
          <w:spacing w:val="-3"/>
        </w:rPr>
        <w:t> </w:t>
      </w:r>
      <w:r>
        <w:rPr/>
        <w:t>of</w:t>
      </w:r>
      <w:r>
        <w:rPr>
          <w:spacing w:val="-4"/>
        </w:rPr>
        <w:t> </w:t>
      </w:r>
      <w:r>
        <w:rPr/>
        <w:t>draft</w:t>
      </w:r>
      <w:r>
        <w:rPr>
          <w:spacing w:val="-5"/>
        </w:rPr>
        <w:t> </w:t>
      </w:r>
      <w:r>
        <w:rPr/>
        <w:t>final</w:t>
      </w:r>
      <w:r>
        <w:rPr>
          <w:spacing w:val="-3"/>
        </w:rPr>
        <w:t> </w:t>
      </w:r>
      <w:r>
        <w:rPr/>
        <w:t>guidance</w:t>
      </w:r>
      <w:r>
        <w:rPr>
          <w:spacing w:val="-3"/>
        </w:rPr>
        <w:t> </w:t>
      </w:r>
      <w:r>
        <w:rPr/>
        <w:t>for</w:t>
      </w:r>
      <w:r>
        <w:rPr>
          <w:spacing w:val="-6"/>
        </w:rPr>
        <w:t> </w:t>
      </w:r>
      <w:r>
        <w:rPr/>
        <w:t>belantamab</w:t>
      </w:r>
      <w:r>
        <w:rPr>
          <w:spacing w:val="-6"/>
        </w:rPr>
        <w:t> </w:t>
      </w:r>
      <w:r>
        <w:rPr/>
        <w:t>mafodotin</w:t>
      </w:r>
      <w:r>
        <w:rPr>
          <w:spacing w:val="-3"/>
        </w:rPr>
        <w:t> </w:t>
      </w:r>
      <w:r>
        <w:rPr/>
        <w:t>for treating relapsed or refractory multiple myeloma after 4 or more therapies [ID2701]</w:t>
      </w:r>
    </w:p>
    <w:p>
      <w:pPr>
        <w:pStyle w:val="BodyText"/>
        <w:spacing w:line="276" w:lineRule="auto" w:before="195"/>
        <w:ind w:left="1100" w:right="1139"/>
      </w:pPr>
      <w:r>
        <w:rPr/>
        <w:t>The Centre for Health Technology Evaluation is aware that the </w:t>
      </w:r>
      <w:hyperlink r:id="rId6">
        <w:r>
          <w:rPr>
            <w:color w:val="0000FF"/>
            <w:u w:val="single" w:color="0000FF"/>
          </w:rPr>
          <w:t>European Medicines</w:t>
        </w:r>
      </w:hyperlink>
      <w:r>
        <w:rPr>
          <w:color w:val="0000FF"/>
        </w:rPr>
        <w:t> </w:t>
      </w:r>
      <w:hyperlink r:id="rId6">
        <w:r>
          <w:rPr>
            <w:color w:val="0000FF"/>
            <w:u w:val="single" w:color="0000FF"/>
          </w:rPr>
          <w:t>Agency’s Committee for Medicinal Products for Human Use (CHMP) has</w:t>
        </w:r>
      </w:hyperlink>
      <w:r>
        <w:rPr>
          <w:color w:val="0000FF"/>
        </w:rPr>
        <w:t> </w:t>
      </w:r>
      <w:hyperlink r:id="rId6">
        <w:r>
          <w:rPr>
            <w:color w:val="0000FF"/>
            <w:u w:val="single" w:color="0000FF"/>
          </w:rPr>
          <w:t>recommended not renewing the conditional marketing authorisation for belantamab</w:t>
        </w:r>
      </w:hyperlink>
      <w:r>
        <w:rPr>
          <w:color w:val="0000FF"/>
        </w:rPr>
        <w:t> </w:t>
      </w:r>
      <w:hyperlink r:id="rId6">
        <w:r>
          <w:rPr>
            <w:color w:val="0000FF"/>
            <w:u w:val="single" w:color="0000FF"/>
          </w:rPr>
          <w:t>mafodotin</w:t>
        </w:r>
      </w:hyperlink>
      <w:r>
        <w:rPr>
          <w:color w:val="0000FF"/>
        </w:rPr>
        <w:t> </w:t>
      </w:r>
      <w:r>
        <w:rPr/>
        <w:t>after reviewing results from the DREAMM-3 study, which failed to show that patients treated with belantamab mafodotin lived longer without their disease getting worse than those treated with pomalidomide and low-dose dexamethasone. This phase 3, open-label, randomised study compared belantamab mafodotin with pomalidomide and low-dose dexamethasone</w:t>
      </w:r>
      <w:r>
        <w:rPr>
          <w:spacing w:val="-1"/>
        </w:rPr>
        <w:t> </w:t>
      </w:r>
      <w:r>
        <w:rPr/>
        <w:t>in 325 patients with relapsed/refractory multiple</w:t>
      </w:r>
      <w:r>
        <w:rPr>
          <w:spacing w:val="-5"/>
        </w:rPr>
        <w:t> </w:t>
      </w:r>
      <w:r>
        <w:rPr/>
        <w:t>myeloma.</w:t>
      </w:r>
      <w:r>
        <w:rPr>
          <w:spacing w:val="-3"/>
        </w:rPr>
        <w:t> </w:t>
      </w:r>
      <w:r>
        <w:rPr/>
        <w:t>The</w:t>
      </w:r>
      <w:r>
        <w:rPr>
          <w:spacing w:val="-5"/>
        </w:rPr>
        <w:t> </w:t>
      </w:r>
      <w:r>
        <w:rPr/>
        <w:t>primary</w:t>
      </w:r>
      <w:r>
        <w:rPr>
          <w:spacing w:val="-3"/>
        </w:rPr>
        <w:t> </w:t>
      </w:r>
      <w:r>
        <w:rPr/>
        <w:t>endpoint</w:t>
      </w:r>
      <w:r>
        <w:rPr>
          <w:spacing w:val="-5"/>
        </w:rPr>
        <w:t> </w:t>
      </w:r>
      <w:r>
        <w:rPr/>
        <w:t>agreed as</w:t>
      </w:r>
      <w:r>
        <w:rPr>
          <w:spacing w:val="-5"/>
        </w:rPr>
        <w:t> </w:t>
      </w:r>
      <w:r>
        <w:rPr/>
        <w:t>part</w:t>
      </w:r>
      <w:r>
        <w:rPr>
          <w:spacing w:val="-5"/>
        </w:rPr>
        <w:t> </w:t>
      </w:r>
      <w:r>
        <w:rPr/>
        <w:t>of</w:t>
      </w:r>
      <w:r>
        <w:rPr>
          <w:spacing w:val="-3"/>
        </w:rPr>
        <w:t> </w:t>
      </w:r>
      <w:r>
        <w:rPr/>
        <w:t>the</w:t>
      </w:r>
      <w:r>
        <w:rPr>
          <w:spacing w:val="-3"/>
        </w:rPr>
        <w:t> </w:t>
      </w:r>
      <w:r>
        <w:rPr/>
        <w:t>specific</w:t>
      </w:r>
      <w:r>
        <w:rPr>
          <w:spacing w:val="-3"/>
        </w:rPr>
        <w:t> </w:t>
      </w:r>
      <w:r>
        <w:rPr/>
        <w:t>obligation</w:t>
      </w:r>
      <w:r>
        <w:rPr>
          <w:spacing w:val="-3"/>
        </w:rPr>
        <w:t> </w:t>
      </w:r>
      <w:r>
        <w:rPr/>
        <w:t>was superiority</w:t>
      </w:r>
      <w:r>
        <w:rPr>
          <w:spacing w:val="-2"/>
        </w:rPr>
        <w:t> </w:t>
      </w:r>
      <w:r>
        <w:rPr/>
        <w:t>in</w:t>
      </w:r>
      <w:r>
        <w:rPr>
          <w:spacing w:val="-2"/>
        </w:rPr>
        <w:t> </w:t>
      </w:r>
      <w:r>
        <w:rPr/>
        <w:t>investigator-assessed</w:t>
      </w:r>
      <w:r>
        <w:rPr>
          <w:spacing w:val="-4"/>
        </w:rPr>
        <w:t> </w:t>
      </w:r>
      <w:r>
        <w:rPr/>
        <w:t>progression-free</w:t>
      </w:r>
      <w:r>
        <w:rPr>
          <w:spacing w:val="-2"/>
        </w:rPr>
        <w:t> </w:t>
      </w:r>
      <w:r>
        <w:rPr/>
        <w:t>survival</w:t>
      </w:r>
      <w:r>
        <w:rPr>
          <w:spacing w:val="-2"/>
        </w:rPr>
        <w:t> </w:t>
      </w:r>
      <w:r>
        <w:rPr/>
        <w:t>(PFS).</w:t>
      </w:r>
      <w:r>
        <w:rPr>
          <w:spacing w:val="-5"/>
        </w:rPr>
        <w:t> </w:t>
      </w:r>
      <w:r>
        <w:rPr/>
        <w:t>The</w:t>
      </w:r>
      <w:r>
        <w:rPr>
          <w:spacing w:val="-2"/>
        </w:rPr>
        <w:t> </w:t>
      </w:r>
      <w:r>
        <w:rPr/>
        <w:t>study</w:t>
      </w:r>
      <w:r>
        <w:rPr>
          <w:spacing w:val="-2"/>
        </w:rPr>
        <w:t> </w:t>
      </w:r>
      <w:r>
        <w:rPr/>
        <w:t>found no statistically significant difference in PFS between the two groups (HR 1.03; 95% confidence interval: 0.72, 1.47).</w:t>
      </w:r>
    </w:p>
    <w:p>
      <w:pPr>
        <w:pStyle w:val="BodyText"/>
        <w:spacing w:line="276" w:lineRule="auto" w:before="200"/>
        <w:ind w:left="1100" w:right="1139"/>
      </w:pPr>
      <w:r>
        <w:rPr/>
        <w:t>The</w:t>
      </w:r>
      <w:r>
        <w:rPr>
          <w:spacing w:val="-4"/>
        </w:rPr>
        <w:t> </w:t>
      </w:r>
      <w:r>
        <w:rPr/>
        <w:t>Medicines</w:t>
      </w:r>
      <w:r>
        <w:rPr>
          <w:spacing w:val="-4"/>
        </w:rPr>
        <w:t> </w:t>
      </w:r>
      <w:r>
        <w:rPr/>
        <w:t>and</w:t>
      </w:r>
      <w:r>
        <w:rPr>
          <w:spacing w:val="-4"/>
        </w:rPr>
        <w:t> </w:t>
      </w:r>
      <w:r>
        <w:rPr/>
        <w:t>Healthcare</w:t>
      </w:r>
      <w:r>
        <w:rPr>
          <w:spacing w:val="-6"/>
        </w:rPr>
        <w:t> </w:t>
      </w:r>
      <w:r>
        <w:rPr/>
        <w:t>products</w:t>
      </w:r>
      <w:r>
        <w:rPr>
          <w:spacing w:val="-4"/>
        </w:rPr>
        <w:t> </w:t>
      </w:r>
      <w:r>
        <w:rPr/>
        <w:t>Regulatory</w:t>
      </w:r>
      <w:r>
        <w:rPr>
          <w:spacing w:val="-4"/>
        </w:rPr>
        <w:t> </w:t>
      </w:r>
      <w:r>
        <w:rPr/>
        <w:t>Agency</w:t>
      </w:r>
      <w:r>
        <w:rPr>
          <w:spacing w:val="-6"/>
        </w:rPr>
        <w:t> </w:t>
      </w:r>
      <w:r>
        <w:rPr/>
        <w:t>(MHRA),</w:t>
      </w:r>
      <w:r>
        <w:rPr>
          <w:spacing w:val="-4"/>
        </w:rPr>
        <w:t> </w:t>
      </w:r>
      <w:r>
        <w:rPr/>
        <w:t>the</w:t>
      </w:r>
      <w:r>
        <w:rPr>
          <w:spacing w:val="-4"/>
        </w:rPr>
        <w:t> </w:t>
      </w:r>
      <w:r>
        <w:rPr/>
        <w:t>regulator</w:t>
      </w:r>
      <w:r>
        <w:rPr>
          <w:spacing w:val="-4"/>
        </w:rPr>
        <w:t> </w:t>
      </w:r>
      <w:r>
        <w:rPr/>
        <w:t>of medicines in the UK, will make the decision on whether the licence is not renewed within the UK. We would like to advise you that we are withdrawing the draft final guidance</w:t>
      </w:r>
      <w:r>
        <w:rPr>
          <w:spacing w:val="-2"/>
        </w:rPr>
        <w:t> </w:t>
      </w:r>
      <w:r>
        <w:rPr/>
        <w:t>and</w:t>
      </w:r>
      <w:r>
        <w:rPr>
          <w:spacing w:val="-2"/>
        </w:rPr>
        <w:t> </w:t>
      </w:r>
      <w:r>
        <w:rPr/>
        <w:t>pausing</w:t>
      </w:r>
      <w:r>
        <w:rPr>
          <w:spacing w:val="-3"/>
        </w:rPr>
        <w:t> </w:t>
      </w:r>
      <w:r>
        <w:rPr/>
        <w:t>the</w:t>
      </w:r>
      <w:r>
        <w:rPr>
          <w:spacing w:val="-1"/>
        </w:rPr>
        <w:t> </w:t>
      </w:r>
      <w:r>
        <w:rPr/>
        <w:t>appraisal until NICE has received</w:t>
      </w:r>
      <w:r>
        <w:rPr>
          <w:spacing w:val="-1"/>
        </w:rPr>
        <w:t> </w:t>
      </w:r>
      <w:r>
        <w:rPr/>
        <w:t>the MHRA’s decision as we are not aware of any evidence to suggest the MHRA will not follow the CHMP recommendation. We understand that the ongoing appeal process will be cancelled as a result of this action.</w:t>
      </w:r>
    </w:p>
    <w:p>
      <w:pPr>
        <w:pStyle w:val="BodyText"/>
        <w:rPr>
          <w:sz w:val="26"/>
        </w:rPr>
      </w:pPr>
    </w:p>
    <w:p>
      <w:pPr>
        <w:pStyle w:val="BodyText"/>
        <w:spacing w:before="6"/>
        <w:rPr>
          <w:sz w:val="36"/>
        </w:rPr>
      </w:pPr>
    </w:p>
    <w:p>
      <w:pPr>
        <w:pStyle w:val="BodyText"/>
        <w:ind w:left="1100"/>
      </w:pPr>
      <w:r>
        <w:rPr/>
        <w:t>Kind</w:t>
      </w:r>
      <w:r>
        <w:rPr>
          <w:spacing w:val="-3"/>
        </w:rPr>
        <w:t> </w:t>
      </w:r>
      <w:r>
        <w:rPr>
          <w:spacing w:val="-2"/>
        </w:rPr>
        <w:t>regards,</w:t>
      </w:r>
    </w:p>
    <w:p>
      <w:pPr>
        <w:pStyle w:val="BodyText"/>
        <w:rPr>
          <w:sz w:val="26"/>
        </w:rPr>
      </w:pPr>
    </w:p>
    <w:p>
      <w:pPr>
        <w:pStyle w:val="BodyText"/>
        <w:rPr>
          <w:sz w:val="26"/>
        </w:rPr>
      </w:pPr>
    </w:p>
    <w:p>
      <w:pPr>
        <w:spacing w:before="153"/>
        <w:ind w:left="1100" w:right="0" w:firstLine="0"/>
        <w:jc w:val="left"/>
        <w:rPr>
          <w:i/>
          <w:sz w:val="18"/>
        </w:rPr>
      </w:pPr>
      <w:r>
        <w:rPr>
          <w:b/>
          <w:sz w:val="20"/>
        </w:rPr>
        <w:t>Dr</w:t>
      </w:r>
      <w:r>
        <w:rPr>
          <w:b/>
          <w:spacing w:val="-7"/>
          <w:sz w:val="20"/>
        </w:rPr>
        <w:t> </w:t>
      </w:r>
      <w:r>
        <w:rPr>
          <w:b/>
          <w:sz w:val="20"/>
        </w:rPr>
        <w:t>Jacoline</w:t>
      </w:r>
      <w:r>
        <w:rPr>
          <w:b/>
          <w:spacing w:val="-6"/>
          <w:sz w:val="20"/>
        </w:rPr>
        <w:t> </w:t>
      </w:r>
      <w:r>
        <w:rPr>
          <w:b/>
          <w:sz w:val="20"/>
        </w:rPr>
        <w:t>Bouvy</w:t>
      </w:r>
      <w:r>
        <w:rPr>
          <w:b/>
          <w:spacing w:val="-6"/>
          <w:sz w:val="20"/>
        </w:rPr>
        <w:t> </w:t>
      </w:r>
      <w:r>
        <w:rPr>
          <w:i/>
          <w:spacing w:val="-2"/>
          <w:sz w:val="18"/>
        </w:rPr>
        <w:t>(she/her)</w:t>
      </w:r>
    </w:p>
    <w:p>
      <w:pPr>
        <w:spacing w:line="276" w:lineRule="auto" w:before="34"/>
        <w:ind w:left="1100" w:right="5737" w:firstLine="0"/>
        <w:jc w:val="left"/>
        <w:rPr>
          <w:sz w:val="20"/>
        </w:rPr>
      </w:pPr>
      <w:r>
        <w:rPr>
          <w:sz w:val="20"/>
        </w:rPr>
        <w:t>Programme</w:t>
      </w:r>
      <w:r>
        <w:rPr>
          <w:spacing w:val="-10"/>
          <w:sz w:val="20"/>
        </w:rPr>
        <w:t> </w:t>
      </w:r>
      <w:r>
        <w:rPr>
          <w:sz w:val="20"/>
        </w:rPr>
        <w:t>Director</w:t>
      </w:r>
      <w:r>
        <w:rPr>
          <w:spacing w:val="-9"/>
          <w:sz w:val="20"/>
        </w:rPr>
        <w:t> </w:t>
      </w:r>
      <w:r>
        <w:rPr>
          <w:sz w:val="20"/>
        </w:rPr>
        <w:t>–</w:t>
      </w:r>
      <w:r>
        <w:rPr>
          <w:spacing w:val="-12"/>
          <w:sz w:val="20"/>
        </w:rPr>
        <w:t> </w:t>
      </w:r>
      <w:r>
        <w:rPr>
          <w:sz w:val="20"/>
        </w:rPr>
        <w:t>Medicines</w:t>
      </w:r>
      <w:r>
        <w:rPr>
          <w:spacing w:val="-9"/>
          <w:sz w:val="20"/>
        </w:rPr>
        <w:t> </w:t>
      </w:r>
      <w:r>
        <w:rPr>
          <w:sz w:val="20"/>
        </w:rPr>
        <w:t>Evaluation Centre for Health Technology Evaluation</w:t>
      </w:r>
    </w:p>
    <w:p>
      <w:pPr>
        <w:pStyle w:val="BodyText"/>
        <w:spacing w:before="6"/>
        <w:rPr>
          <w:sz w:val="27"/>
        </w:rPr>
      </w:pPr>
      <w:r>
        <w:rPr/>
        <w:drawing>
          <wp:anchor distT="0" distB="0" distL="0" distR="0" allowOverlap="1" layoutInCell="1" locked="0" behindDoc="1" simplePos="0" relativeHeight="487587840">
            <wp:simplePos x="0" y="0"/>
            <wp:positionH relativeFrom="page">
              <wp:posOffset>289559</wp:posOffset>
            </wp:positionH>
            <wp:positionV relativeFrom="paragraph">
              <wp:posOffset>216200</wp:posOffset>
            </wp:positionV>
            <wp:extent cx="6959819" cy="37719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6959819" cy="377190"/>
                    </a:xfrm>
                    <a:prstGeom prst="rect">
                      <a:avLst/>
                    </a:prstGeom>
                  </pic:spPr>
                </pic:pic>
              </a:graphicData>
            </a:graphic>
          </wp:anchor>
        </w:drawing>
      </w:r>
    </w:p>
    <w:sectPr>
      <w:type w:val="continuous"/>
      <w:pgSz w:w="11910" w:h="16840"/>
      <w:pgMar w:top="620" w:bottom="280" w:left="34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ind w:left="1100" w:right="1139"/>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ema.europa.eu/en/news/ema-recommends-non-renewal-authorisation-multiple-myeloma-medicine-blenrep" TargetMode="Externa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Ripley</dc:creator>
  <dcterms:created xsi:type="dcterms:W3CDTF">2023-10-10T13:49:35Z</dcterms:created>
  <dcterms:modified xsi:type="dcterms:W3CDTF">2023-10-10T13:49:35Z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2023-10-10T00:00:00Z</vt:filetime>
  </property>
  <property fmtid="{D5CDD505-2E9C-101B-9397-08002B2CF9AE}" pid="5" name="MSIP_Label_c69d85d5-6d9e-4305-a294-1f636ec0f2d6_ActionId">
    <vt:lpwstr>da97a198-7887-4f55-b665-45e81523d624</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2023-09-28T18:03:26Z</vt:lpwstr>
  </property>
  <property fmtid="{D5CDD505-2E9C-101B-9397-08002B2CF9AE}" pid="11" name="MSIP_Label_c69d85d5-6d9e-4305-a294-1f636ec0f2d6_SiteId">
    <vt:lpwstr>6030f479-b342-472d-a5dd-740ff7538de9</vt:lpwstr>
  </property>
  <property fmtid="{D5CDD505-2E9C-101B-9397-08002B2CF9AE}" pid="12" name="Producer">
    <vt:lpwstr>Microsoft® Word for Microsoft 365</vt:lpwstr>
  </property>
</Properties>
</file>