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41AEE3BC" w14:textId="2A32C708" w:rsidR="0053717B" w:rsidRDefault="00340C80" w:rsidP="00340C80">
      <w:pPr>
        <w:jc w:val="center"/>
        <w:rPr>
          <w:rFonts w:ascii="Arial" w:hAnsi="Arial" w:cs="Arial"/>
          <w:b/>
          <w:bCs/>
        </w:rPr>
      </w:pPr>
      <w:proofErr w:type="spellStart"/>
      <w:r w:rsidRPr="00340C80">
        <w:rPr>
          <w:rFonts w:ascii="Arial" w:hAnsi="Arial"/>
          <w:b/>
          <w:bCs/>
          <w:kern w:val="28"/>
          <w:sz w:val="32"/>
          <w:szCs w:val="32"/>
        </w:rPr>
        <w:t>Omburtamab</w:t>
      </w:r>
      <w:proofErr w:type="spellEnd"/>
      <w:r w:rsidRPr="00340C80">
        <w:rPr>
          <w:rFonts w:ascii="Arial" w:hAnsi="Arial"/>
          <w:b/>
          <w:bCs/>
          <w:kern w:val="28"/>
          <w:sz w:val="32"/>
          <w:szCs w:val="32"/>
        </w:rPr>
        <w:t xml:space="preserve"> I-131 for treating neuroblastoma with central nervous system or leptomeningeal metastasis ID1664</w:t>
      </w:r>
    </w:p>
    <w:p w14:paraId="15240EDA" w14:textId="60ECF423" w:rsidR="006A2A61" w:rsidRDefault="00995EEA" w:rsidP="006A2A61">
      <w:pPr>
        <w:pStyle w:val="Heading3"/>
      </w:pPr>
      <w:r w:rsidRPr="00E74106">
        <w:t>Introduction</w:t>
      </w:r>
    </w:p>
    <w:p w14:paraId="4740A469" w14:textId="4485D8FA" w:rsidR="00E74106" w:rsidRPr="00E74106" w:rsidRDefault="00D96736" w:rsidP="00F90BB8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Pr="00E74106">
        <w:rPr>
          <w:rFonts w:ascii="Arial" w:hAnsi="Arial" w:cs="Arial"/>
        </w:rPr>
        <w:t xml:space="preserve"> has been identified as suitable.</w:t>
      </w:r>
      <w:r w:rsidR="00DF772E">
        <w:rPr>
          <w:rFonts w:ascii="Arial" w:hAnsi="Arial" w:cs="Arial"/>
        </w:rPr>
        <w:t xml:space="preserve"> </w:t>
      </w:r>
      <w:r w:rsidR="00DF772E" w:rsidRPr="00DF772E">
        <w:rPr>
          <w:rFonts w:ascii="Arial" w:hAnsi="Arial" w:cs="Arial"/>
        </w:rPr>
        <w:t xml:space="preserve">For more information, please see </w:t>
      </w:r>
      <w:hyperlink r:id="rId7" w:history="1">
        <w:r w:rsidR="00DF772E" w:rsidRPr="00DF772E">
          <w:rPr>
            <w:rStyle w:val="Hyperlink"/>
            <w:rFonts w:ascii="Arial" w:hAnsi="Arial" w:cs="Arial"/>
          </w:rPr>
          <w:t>section 7 of NICE health technology evaluation topic selection: the manual</w:t>
        </w:r>
      </w:hyperlink>
    </w:p>
    <w:p w14:paraId="0A986CA0" w14:textId="14D840F5" w:rsidR="00857CBD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CD715DE" w14:textId="494DA9D3" w:rsidR="00E74106" w:rsidRPr="00715265" w:rsidRDefault="00715265" w:rsidP="00CA055B">
      <w:pPr>
        <w:pStyle w:val="Heading3"/>
      </w:pPr>
      <w:r>
        <w:t xml:space="preserve">Key – does the technology meet the criteria? 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>to advise if the technology meets the criteria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5B5B89C6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this 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585A5C59" w14:textId="77777777" w:rsidTr="00D71447">
        <w:trPr>
          <w:trHeight w:val="280"/>
        </w:trPr>
        <w:tc>
          <w:tcPr>
            <w:tcW w:w="975" w:type="dxa"/>
            <w:shd w:val="clear" w:color="auto" w:fill="FFC000"/>
          </w:tcPr>
          <w:p w14:paraId="0269532A" w14:textId="24674662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Unclear</w:t>
            </w:r>
          </w:p>
        </w:tc>
        <w:tc>
          <w:tcPr>
            <w:tcW w:w="8097" w:type="dxa"/>
          </w:tcPr>
          <w:p w14:paraId="1DA83087" w14:textId="25E05A1D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some </w:t>
            </w:r>
            <w:r w:rsidR="00D71447">
              <w:rPr>
                <w:rFonts w:ascii="Arial" w:eastAsia="Times New Roman" w:hAnsi="Arial"/>
                <w:lang w:eastAsia="en-GB"/>
              </w:rPr>
              <w:t>evidence,</w:t>
            </w:r>
            <w:r>
              <w:rPr>
                <w:rFonts w:ascii="Arial" w:eastAsia="Times New Roman" w:hAnsi="Arial"/>
                <w:lang w:eastAsia="en-GB"/>
              </w:rPr>
              <w:t xml:space="preserve"> or the evidence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 available</w:t>
            </w:r>
            <w:r>
              <w:rPr>
                <w:rFonts w:ascii="Arial" w:eastAsia="Times New Roman" w:hAnsi="Arial"/>
                <w:lang w:eastAsia="en-GB"/>
              </w:rPr>
              <w:t xml:space="preserve"> is unclear</w:t>
            </w:r>
            <w:r w:rsidR="00D71447">
              <w:rPr>
                <w:rFonts w:ascii="Arial" w:eastAsia="Times New Roman" w:hAnsi="Arial"/>
                <w:lang w:eastAsia="en-GB"/>
              </w:rPr>
              <w:t>.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10446DC5" w14:textId="4716D926" w:rsidR="00E74106" w:rsidRPr="00E74106" w:rsidRDefault="00D71447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54B65FC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3E95E146" w14:textId="373EAA96" w:rsidR="00C9475C" w:rsidRPr="00340C80" w:rsidRDefault="00C9475C" w:rsidP="00CA055B">
      <w:pPr>
        <w:pStyle w:val="Heading3"/>
        <w:rPr>
          <w:u w:val="single"/>
        </w:rPr>
      </w:pPr>
      <w:r w:rsidRPr="00C9475C">
        <w:t xml:space="preserve">MA wording: </w:t>
      </w:r>
      <w:r w:rsidR="00BF1369" w:rsidRPr="00BF1369">
        <w:rPr>
          <w:b w:val="0"/>
          <w:bCs w:val="0"/>
          <w:highlight w:val="black"/>
          <w:u w:val="single"/>
        </w:rPr>
        <w:t>*************************************************************************************************************************************************************************</w:t>
      </w:r>
    </w:p>
    <w:p w14:paraId="5DE853F9" w14:textId="34EA6C45" w:rsidR="000D3405" w:rsidRDefault="000D3405" w:rsidP="00F90BB8">
      <w:pPr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563"/>
        <w:gridCol w:w="7496"/>
        <w:gridCol w:w="1756"/>
      </w:tblGrid>
      <w:tr w:rsidR="000D3405" w:rsidRPr="00C9475C" w14:paraId="604A78F5" w14:textId="1D838B5C" w:rsidTr="00E74106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59AAB6" w14:textId="77777777" w:rsidR="000D3405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0D3405">
              <w:rPr>
                <w:rFonts w:ascii="Arial" w:hAnsi="Arial" w:cs="Arial"/>
                <w:b/>
                <w:bCs/>
              </w:rPr>
              <w:t xml:space="preserve">Description of how the technology meets the criteria </w:t>
            </w:r>
          </w:p>
          <w:p w14:paraId="1A6CF046" w14:textId="7BB686AE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0D3405" w:rsidRPr="00C9475C" w14:paraId="71E5DCF4" w14:textId="62BB659A" w:rsidTr="00C564C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1EE" w14:textId="77777777" w:rsidR="000D3405" w:rsidRPr="00D71447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condition is very rare defined by 1:50,000 in England </w:t>
            </w:r>
          </w:p>
          <w:p w14:paraId="4AB8D1A0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  <w:p w14:paraId="2F4ED0A0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85F14" w14:textId="01893F55" w:rsidR="00C564C7" w:rsidRPr="00FC3B72" w:rsidRDefault="00C564C7" w:rsidP="00AF5123">
            <w:pPr>
              <w:rPr>
                <w:rFonts w:ascii="Arial" w:hAnsi="Arial" w:cs="Arial"/>
                <w:b/>
                <w:bCs/>
              </w:rPr>
            </w:pPr>
            <w:r w:rsidRPr="00FC3B72">
              <w:rPr>
                <w:rFonts w:ascii="Arial" w:hAnsi="Arial" w:cs="Arial"/>
                <w:b/>
                <w:bCs/>
              </w:rPr>
              <w:t xml:space="preserve">The condition meets the definition of ‘very rare’ (approximately 1,100 patients) regardless of whether considering neuroblastoma as a whole or neuroblastoma with CNS/leptomeningeal metastasis (decided </w:t>
            </w:r>
            <w:proofErr w:type="gramStart"/>
            <w:r w:rsidRPr="00FC3B72">
              <w:rPr>
                <w:rFonts w:ascii="Arial" w:hAnsi="Arial" w:cs="Arial"/>
                <w:b/>
                <w:bCs/>
              </w:rPr>
              <w:t>at</w:t>
            </w:r>
            <w:proofErr w:type="gramEnd"/>
            <w:r w:rsidRPr="00FC3B72">
              <w:rPr>
                <w:rFonts w:ascii="Arial" w:hAnsi="Arial" w:cs="Arial"/>
                <w:b/>
                <w:bCs/>
              </w:rPr>
              <w:t xml:space="preserve"> March 2022 TSOP meeting).</w:t>
            </w:r>
          </w:p>
          <w:p w14:paraId="3F3651C2" w14:textId="77777777" w:rsidR="00C564C7" w:rsidRDefault="00C564C7" w:rsidP="00AF5123">
            <w:pPr>
              <w:rPr>
                <w:rFonts w:ascii="Arial" w:hAnsi="Arial" w:cs="Arial"/>
                <w:b/>
                <w:bCs/>
              </w:rPr>
            </w:pPr>
          </w:p>
          <w:p w14:paraId="042956ED" w14:textId="5A24574F" w:rsidR="00AF5123" w:rsidRPr="00AF5123" w:rsidRDefault="00AF5123" w:rsidP="00AF5123">
            <w:p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  <w:b/>
                <w:bCs/>
              </w:rPr>
              <w:lastRenderedPageBreak/>
              <w:t>Prevalence (England)</w:t>
            </w:r>
          </w:p>
          <w:p w14:paraId="40F86949" w14:textId="61726975" w:rsidR="00AF5123" w:rsidRPr="00AF5123" w:rsidRDefault="00AF5123" w:rsidP="00AF512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>Difficult to calculate</w:t>
            </w:r>
            <w:r>
              <w:rPr>
                <w:rFonts w:ascii="Arial" w:hAnsi="Arial" w:cs="Arial"/>
              </w:rPr>
              <w:t xml:space="preserve"> due to limited data</w:t>
            </w:r>
          </w:p>
          <w:p w14:paraId="14EBEF49" w14:textId="77777777" w:rsidR="00AF5123" w:rsidRPr="00AF5123" w:rsidRDefault="00AF5123" w:rsidP="00AF512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 xml:space="preserve">Estimated prevalence of neuroblastoma: </w:t>
            </w:r>
            <w:r w:rsidRPr="00AF5123">
              <w:rPr>
                <w:rFonts w:ascii="Arial" w:hAnsi="Arial" w:cs="Arial"/>
                <w:b/>
                <w:bCs/>
                <w:u w:val="single"/>
              </w:rPr>
              <w:t>584 to 779</w:t>
            </w:r>
          </w:p>
          <w:p w14:paraId="3A478E39" w14:textId="669DA367" w:rsidR="00AF5123" w:rsidRPr="00AF5123" w:rsidRDefault="00AF5123" w:rsidP="00AF5123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 xml:space="preserve">Based on </w:t>
            </w:r>
            <w:hyperlink r:id="rId8" w:history="1">
              <w:r w:rsidRPr="00AF5123">
                <w:rPr>
                  <w:rStyle w:val="Hyperlink"/>
                  <w:rFonts w:ascii="Arial" w:hAnsi="Arial" w:cs="Arial"/>
                </w:rPr>
                <w:t>9,747</w:t>
              </w:r>
            </w:hyperlink>
            <w:r w:rsidRPr="00AF5123">
              <w:rPr>
                <w:rFonts w:ascii="Arial" w:hAnsi="Arial" w:cs="Arial"/>
              </w:rPr>
              <w:t xml:space="preserve"> children aged 0-14 living with a cancer diagnosis in England in 2018 </w:t>
            </w:r>
          </w:p>
          <w:p w14:paraId="6627FE37" w14:textId="6C6BED48" w:rsidR="00AF5123" w:rsidRPr="00AF5123" w:rsidRDefault="00AF5123" w:rsidP="00AF5123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 xml:space="preserve">Neuroblastoma accounts for between </w:t>
            </w:r>
            <w:hyperlink r:id="rId9" w:history="1">
              <w:r w:rsidRPr="00AF5123">
                <w:rPr>
                  <w:rStyle w:val="Hyperlink"/>
                  <w:rFonts w:ascii="Arial" w:hAnsi="Arial" w:cs="Arial"/>
                </w:rPr>
                <w:t>6%</w:t>
              </w:r>
            </w:hyperlink>
            <w:r w:rsidRPr="00AF5123">
              <w:rPr>
                <w:rFonts w:ascii="Arial" w:hAnsi="Arial" w:cs="Arial"/>
              </w:rPr>
              <w:t xml:space="preserve"> to </w:t>
            </w:r>
            <w:hyperlink r:id="rId10" w:history="1">
              <w:r w:rsidRPr="00AF5123">
                <w:rPr>
                  <w:rStyle w:val="Hyperlink"/>
                  <w:rFonts w:ascii="Arial" w:hAnsi="Arial" w:cs="Arial"/>
                </w:rPr>
                <w:t>8%</w:t>
              </w:r>
            </w:hyperlink>
            <w:r w:rsidRPr="00AF5123">
              <w:rPr>
                <w:rFonts w:ascii="Arial" w:hAnsi="Arial" w:cs="Arial"/>
              </w:rPr>
              <w:t xml:space="preserve"> of cancers in children</w:t>
            </w:r>
          </w:p>
          <w:p w14:paraId="27507832" w14:textId="0522ED8E" w:rsidR="00AF5123" w:rsidRPr="00AF5123" w:rsidRDefault="00AF5123" w:rsidP="00AF512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 xml:space="preserve">Estimated prevalence of neuroblastoma with CNS/leptomeningeal metastasis: </w:t>
            </w:r>
            <w:r w:rsidR="0046555D">
              <w:rPr>
                <w:rFonts w:ascii="Arial" w:hAnsi="Arial" w:cs="Arial"/>
                <w:b/>
                <w:bCs/>
                <w:u w:val="single"/>
              </w:rPr>
              <w:t>16</w:t>
            </w:r>
            <w:r w:rsidRPr="00AF5123">
              <w:rPr>
                <w:rFonts w:ascii="Arial" w:hAnsi="Arial" w:cs="Arial"/>
                <w:b/>
                <w:bCs/>
                <w:u w:val="single"/>
              </w:rPr>
              <w:t xml:space="preserve"> to </w:t>
            </w:r>
            <w:r w:rsidR="0046555D">
              <w:rPr>
                <w:rFonts w:ascii="Arial" w:hAnsi="Arial" w:cs="Arial"/>
                <w:b/>
                <w:bCs/>
                <w:u w:val="single"/>
              </w:rPr>
              <w:t>78</w:t>
            </w:r>
          </w:p>
          <w:p w14:paraId="701CA4A2" w14:textId="3FFA2FF5" w:rsidR="00723ED9" w:rsidRDefault="00367C2D" w:rsidP="0046555D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</w:rPr>
            </w:pPr>
            <w:r w:rsidRPr="00367C2D">
              <w:rPr>
                <w:rFonts w:ascii="Arial" w:hAnsi="Arial" w:cs="Arial"/>
              </w:rPr>
              <w:t xml:space="preserve">Based on 584 to 779 </w:t>
            </w:r>
            <w:r>
              <w:rPr>
                <w:rFonts w:ascii="Arial" w:hAnsi="Arial" w:cs="Arial"/>
              </w:rPr>
              <w:t xml:space="preserve">total </w:t>
            </w:r>
            <w:r w:rsidRPr="00367C2D">
              <w:rPr>
                <w:rFonts w:ascii="Arial" w:hAnsi="Arial" w:cs="Arial"/>
              </w:rPr>
              <w:t xml:space="preserve">with neuroblastoma and </w:t>
            </w:r>
            <w:r w:rsidR="00AF5123" w:rsidRPr="00AF5123">
              <w:rPr>
                <w:rFonts w:ascii="Arial" w:hAnsi="Arial" w:cs="Arial"/>
              </w:rPr>
              <w:t xml:space="preserve">different % estimates of </w:t>
            </w:r>
            <w:r>
              <w:rPr>
                <w:rFonts w:ascii="Arial" w:hAnsi="Arial" w:cs="Arial"/>
              </w:rPr>
              <w:t xml:space="preserve">the proportion of these people </w:t>
            </w:r>
            <w:r w:rsidR="00AF5123" w:rsidRPr="00AF5123">
              <w:rPr>
                <w:rFonts w:ascii="Arial" w:hAnsi="Arial" w:cs="Arial"/>
              </w:rPr>
              <w:t xml:space="preserve">who have with CNS metastasis </w:t>
            </w:r>
          </w:p>
          <w:tbl>
            <w:tblPr>
              <w:tblStyle w:val="TableGrid"/>
              <w:tblW w:w="5373" w:type="dxa"/>
              <w:tblInd w:w="1275" w:type="dxa"/>
              <w:tblLook w:val="0420" w:firstRow="1" w:lastRow="0" w:firstColumn="0" w:lastColumn="0" w:noHBand="0" w:noVBand="1"/>
            </w:tblPr>
            <w:tblGrid>
              <w:gridCol w:w="1329"/>
              <w:gridCol w:w="829"/>
              <w:gridCol w:w="3215"/>
            </w:tblGrid>
            <w:tr w:rsidR="0046555D" w:rsidRPr="002C35F7" w14:paraId="325059D8" w14:textId="77777777" w:rsidTr="00017835">
              <w:trPr>
                <w:trHeight w:val="516"/>
              </w:trPr>
              <w:tc>
                <w:tcPr>
                  <w:tcW w:w="2158" w:type="dxa"/>
                  <w:gridSpan w:val="2"/>
                  <w:hideMark/>
                </w:tcPr>
                <w:p w14:paraId="70534BD1" w14:textId="13D8BDF3" w:rsidR="003E1E7E" w:rsidRPr="002C35F7" w:rsidRDefault="003E1E7E" w:rsidP="003E1E7E">
                  <w:pPr>
                    <w:ind w:left="-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Prevalence of neuroblastoma = 584</w:t>
                  </w:r>
                </w:p>
              </w:tc>
              <w:tc>
                <w:tcPr>
                  <w:tcW w:w="3215" w:type="dxa"/>
                </w:tcPr>
                <w:p w14:paraId="46908BCF" w14:textId="0C2D9AE2" w:rsidR="003E1E7E" w:rsidRPr="00CD6A67" w:rsidRDefault="003E1E7E" w:rsidP="003E1E7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D6A67">
                    <w:rPr>
                      <w:rFonts w:ascii="Arial" w:hAnsi="Arial" w:cs="Arial"/>
                      <w:b/>
                      <w:bCs/>
                    </w:rPr>
                    <w:t>Estimated prevalence of neuroblastoma with CNS/leptomeningeal metastasis</w:t>
                  </w:r>
                </w:p>
              </w:tc>
            </w:tr>
            <w:tr w:rsidR="0046555D" w:rsidRPr="002C35F7" w14:paraId="6B17FC51" w14:textId="77777777" w:rsidTr="00A36537">
              <w:trPr>
                <w:trHeight w:val="246"/>
              </w:trPr>
              <w:tc>
                <w:tcPr>
                  <w:tcW w:w="1329" w:type="dxa"/>
                  <w:vMerge w:val="restart"/>
                  <w:hideMark/>
                </w:tcPr>
                <w:p w14:paraId="7B1F2687" w14:textId="77777777" w:rsidR="003E1E7E" w:rsidRPr="002C35F7" w:rsidRDefault="003E1E7E" w:rsidP="003E1E7E">
                  <w:pPr>
                    <w:ind w:left="-26" w:hanging="10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t>Estimated % with CNS metastasis</w:t>
                  </w:r>
                </w:p>
              </w:tc>
              <w:tc>
                <w:tcPr>
                  <w:tcW w:w="829" w:type="dxa"/>
                  <w:hideMark/>
                </w:tcPr>
                <w:p w14:paraId="75161408" w14:textId="77777777" w:rsidR="003E1E7E" w:rsidRPr="002C35F7" w:rsidRDefault="003E1E7E" w:rsidP="003E1E7E">
                  <w:pPr>
                    <w:ind w:left="33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t>2.7%</w:t>
                  </w:r>
                  <w:r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215" w:type="dxa"/>
                </w:tcPr>
                <w:p w14:paraId="7078F33A" w14:textId="18E14D10" w:rsidR="003E1E7E" w:rsidRPr="00723ED9" w:rsidRDefault="00ED5793" w:rsidP="003E1E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</w:tr>
            <w:tr w:rsidR="0046555D" w:rsidRPr="002C35F7" w14:paraId="7A4EA221" w14:textId="77777777" w:rsidTr="006D427C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1237A032" w14:textId="77777777" w:rsidR="00ED5793" w:rsidRPr="002C35F7" w:rsidRDefault="00ED5793" w:rsidP="003E1E7E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7B095FDF" w14:textId="77777777" w:rsidR="00ED5793" w:rsidRPr="002C35F7" w:rsidRDefault="000911A1" w:rsidP="003E1E7E">
                  <w:pPr>
                    <w:ind w:left="33"/>
                    <w:rPr>
                      <w:rFonts w:ascii="Arial" w:hAnsi="Arial" w:cs="Arial"/>
                    </w:rPr>
                  </w:pPr>
                  <w:hyperlink r:id="rId11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5%</w:t>
                    </w:r>
                  </w:hyperlink>
                </w:p>
              </w:tc>
              <w:tc>
                <w:tcPr>
                  <w:tcW w:w="3215" w:type="dxa"/>
                </w:tcPr>
                <w:p w14:paraId="24A8C9B3" w14:textId="4F378760" w:rsidR="00ED5793" w:rsidRPr="00723ED9" w:rsidRDefault="00ED5793" w:rsidP="003E1E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</w:tr>
            <w:tr w:rsidR="0046555D" w:rsidRPr="002C35F7" w14:paraId="18DEE511" w14:textId="77777777" w:rsidTr="005B6E21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35AEBE7B" w14:textId="77777777" w:rsidR="00ED5793" w:rsidRPr="002C35F7" w:rsidRDefault="00ED5793" w:rsidP="003E1E7E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0BCE3D25" w14:textId="77777777" w:rsidR="00ED5793" w:rsidRPr="002C35F7" w:rsidRDefault="000911A1" w:rsidP="003E1E7E">
                  <w:pPr>
                    <w:ind w:left="33"/>
                    <w:rPr>
                      <w:rFonts w:ascii="Arial" w:hAnsi="Arial" w:cs="Arial"/>
                    </w:rPr>
                  </w:pPr>
                  <w:hyperlink r:id="rId12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8%</w:t>
                    </w:r>
                  </w:hyperlink>
                </w:p>
              </w:tc>
              <w:tc>
                <w:tcPr>
                  <w:tcW w:w="3215" w:type="dxa"/>
                </w:tcPr>
                <w:p w14:paraId="67573D7D" w14:textId="2E367D1B" w:rsidR="00ED5793" w:rsidRPr="00723ED9" w:rsidRDefault="00ED5793" w:rsidP="003E1E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</w:t>
                  </w:r>
                </w:p>
              </w:tc>
            </w:tr>
            <w:tr w:rsidR="0046555D" w:rsidRPr="002C35F7" w14:paraId="62A36ED2" w14:textId="77777777" w:rsidTr="0023028A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3A066BEF" w14:textId="77777777" w:rsidR="00ED5793" w:rsidRPr="002C35F7" w:rsidRDefault="00ED5793" w:rsidP="003E1E7E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2367707D" w14:textId="77777777" w:rsidR="00ED5793" w:rsidRPr="002C35F7" w:rsidRDefault="000911A1" w:rsidP="003E1E7E">
                  <w:pPr>
                    <w:ind w:left="33"/>
                    <w:rPr>
                      <w:rFonts w:ascii="Arial" w:hAnsi="Arial" w:cs="Arial"/>
                    </w:rPr>
                  </w:pPr>
                  <w:hyperlink r:id="rId13" w:anchor="Tab1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10%</w:t>
                    </w:r>
                  </w:hyperlink>
                </w:p>
              </w:tc>
              <w:tc>
                <w:tcPr>
                  <w:tcW w:w="3215" w:type="dxa"/>
                </w:tcPr>
                <w:p w14:paraId="77646C80" w14:textId="196F457F" w:rsidR="00ED5793" w:rsidRPr="00723ED9" w:rsidRDefault="00ED5793" w:rsidP="003E1E7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58</w:t>
                  </w:r>
                </w:p>
              </w:tc>
            </w:tr>
            <w:tr w:rsidR="003E1E7E" w:rsidRPr="002C35F7" w14:paraId="3F5CB7EE" w14:textId="77777777" w:rsidTr="00800608">
              <w:trPr>
                <w:trHeight w:val="246"/>
              </w:trPr>
              <w:tc>
                <w:tcPr>
                  <w:tcW w:w="5373" w:type="dxa"/>
                  <w:gridSpan w:val="3"/>
                </w:tcPr>
                <w:p w14:paraId="32DF661A" w14:textId="77777777" w:rsidR="003E1E7E" w:rsidRPr="00723ED9" w:rsidRDefault="003E1E7E" w:rsidP="003E1E7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</w:rPr>
                    <w:t>Clinical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expert advice</w:t>
                  </w:r>
                </w:p>
              </w:tc>
            </w:tr>
          </w:tbl>
          <w:p w14:paraId="55317C7A" w14:textId="657BFF02" w:rsidR="003E1E7E" w:rsidRDefault="003E1E7E" w:rsidP="00367C2D">
            <w:pPr>
              <w:rPr>
                <w:rFonts w:ascii="Arial" w:hAnsi="Arial" w:cs="Arial"/>
              </w:rPr>
            </w:pPr>
          </w:p>
          <w:p w14:paraId="60F2E450" w14:textId="5CC9CC14" w:rsidR="003E1E7E" w:rsidRDefault="003E1E7E" w:rsidP="00367C2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5373" w:type="dxa"/>
              <w:tblInd w:w="1275" w:type="dxa"/>
              <w:tblLook w:val="0420" w:firstRow="1" w:lastRow="0" w:firstColumn="0" w:lastColumn="0" w:noHBand="0" w:noVBand="1"/>
            </w:tblPr>
            <w:tblGrid>
              <w:gridCol w:w="1329"/>
              <w:gridCol w:w="829"/>
              <w:gridCol w:w="3215"/>
            </w:tblGrid>
            <w:tr w:rsidR="0046555D" w:rsidRPr="002C35F7" w14:paraId="7FDF77A0" w14:textId="77777777" w:rsidTr="00800608">
              <w:trPr>
                <w:trHeight w:val="516"/>
              </w:trPr>
              <w:tc>
                <w:tcPr>
                  <w:tcW w:w="2158" w:type="dxa"/>
                  <w:gridSpan w:val="2"/>
                  <w:hideMark/>
                </w:tcPr>
                <w:p w14:paraId="79E69FF7" w14:textId="20581D8C" w:rsidR="00ED5793" w:rsidRPr="002C35F7" w:rsidRDefault="00ED5793" w:rsidP="00ED5793">
                  <w:pPr>
                    <w:ind w:left="-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Prevalence of neuroblastoma = 779</w:t>
                  </w:r>
                </w:p>
              </w:tc>
              <w:tc>
                <w:tcPr>
                  <w:tcW w:w="3215" w:type="dxa"/>
                </w:tcPr>
                <w:p w14:paraId="1F93B04F" w14:textId="77777777" w:rsidR="00ED5793" w:rsidRPr="00CD6A67" w:rsidRDefault="00ED5793" w:rsidP="00ED579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D6A67">
                    <w:rPr>
                      <w:rFonts w:ascii="Arial" w:hAnsi="Arial" w:cs="Arial"/>
                      <w:b/>
                      <w:bCs/>
                    </w:rPr>
                    <w:t>Estimated prevalence of neuroblastoma with CNS/leptomeningeal metastasis</w:t>
                  </w:r>
                </w:p>
              </w:tc>
            </w:tr>
            <w:tr w:rsidR="0046555D" w:rsidRPr="002C35F7" w14:paraId="22B28DE4" w14:textId="77777777" w:rsidTr="00800608">
              <w:trPr>
                <w:trHeight w:val="246"/>
              </w:trPr>
              <w:tc>
                <w:tcPr>
                  <w:tcW w:w="1329" w:type="dxa"/>
                  <w:vMerge w:val="restart"/>
                  <w:hideMark/>
                </w:tcPr>
                <w:p w14:paraId="3AFD266B" w14:textId="77777777" w:rsidR="00ED5793" w:rsidRPr="002C35F7" w:rsidRDefault="00ED5793" w:rsidP="00ED5793">
                  <w:pPr>
                    <w:ind w:left="-26" w:hanging="10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t xml:space="preserve">Estimated % with </w:t>
                  </w:r>
                  <w:r w:rsidRPr="002C35F7">
                    <w:rPr>
                      <w:rFonts w:ascii="Arial" w:hAnsi="Arial" w:cs="Arial"/>
                      <w:b/>
                      <w:bCs/>
                    </w:rPr>
                    <w:lastRenderedPageBreak/>
                    <w:t>CNS metastasis</w:t>
                  </w:r>
                </w:p>
              </w:tc>
              <w:tc>
                <w:tcPr>
                  <w:tcW w:w="829" w:type="dxa"/>
                  <w:hideMark/>
                </w:tcPr>
                <w:p w14:paraId="1CB7A2ED" w14:textId="77777777" w:rsidR="00ED5793" w:rsidRPr="002C35F7" w:rsidRDefault="00ED5793" w:rsidP="00ED5793">
                  <w:pPr>
                    <w:ind w:left="33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lastRenderedPageBreak/>
                    <w:t>2.7%</w:t>
                  </w:r>
                  <w:r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215" w:type="dxa"/>
                </w:tcPr>
                <w:p w14:paraId="4BF21F96" w14:textId="4EDBB396" w:rsidR="00ED5793" w:rsidRPr="00723ED9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</w:tr>
            <w:tr w:rsidR="0046555D" w:rsidRPr="002C35F7" w14:paraId="18FB0D9A" w14:textId="77777777" w:rsidTr="00800608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36FA39D9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388A0164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14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5%</w:t>
                    </w:r>
                  </w:hyperlink>
                </w:p>
              </w:tc>
              <w:tc>
                <w:tcPr>
                  <w:tcW w:w="3215" w:type="dxa"/>
                </w:tcPr>
                <w:p w14:paraId="21641EB7" w14:textId="62DC3D38" w:rsidR="00ED5793" w:rsidRPr="00723ED9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</w:tr>
            <w:tr w:rsidR="0046555D" w:rsidRPr="002C35F7" w14:paraId="59E26E4D" w14:textId="77777777" w:rsidTr="00800608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72458C7B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712B4C15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15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8%</w:t>
                    </w:r>
                  </w:hyperlink>
                </w:p>
              </w:tc>
              <w:tc>
                <w:tcPr>
                  <w:tcW w:w="3215" w:type="dxa"/>
                </w:tcPr>
                <w:p w14:paraId="2512B625" w14:textId="54B7BEF3" w:rsidR="00ED5793" w:rsidRPr="00723ED9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62</w:t>
                  </w:r>
                </w:p>
              </w:tc>
            </w:tr>
            <w:tr w:rsidR="0046555D" w:rsidRPr="002C35F7" w14:paraId="3227E529" w14:textId="77777777" w:rsidTr="00800608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5EAE570A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614DF705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16" w:anchor="Tab1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10%</w:t>
                    </w:r>
                  </w:hyperlink>
                </w:p>
              </w:tc>
              <w:tc>
                <w:tcPr>
                  <w:tcW w:w="3215" w:type="dxa"/>
                </w:tcPr>
                <w:p w14:paraId="070A533C" w14:textId="4A0BE013" w:rsidR="00ED5793" w:rsidRPr="00723ED9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</w:t>
                  </w:r>
                </w:p>
              </w:tc>
            </w:tr>
            <w:tr w:rsidR="00ED5793" w:rsidRPr="002C35F7" w14:paraId="73522F07" w14:textId="77777777" w:rsidTr="00800608">
              <w:trPr>
                <w:trHeight w:val="246"/>
              </w:trPr>
              <w:tc>
                <w:tcPr>
                  <w:tcW w:w="5373" w:type="dxa"/>
                  <w:gridSpan w:val="3"/>
                </w:tcPr>
                <w:p w14:paraId="3F8F30DC" w14:textId="77777777" w:rsidR="00ED5793" w:rsidRPr="00723ED9" w:rsidRDefault="00ED5793" w:rsidP="00ED5793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</w:rPr>
                    <w:t>Clinical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expert advice</w:t>
                  </w:r>
                </w:p>
              </w:tc>
            </w:tr>
          </w:tbl>
          <w:p w14:paraId="617D049D" w14:textId="1426D6E6" w:rsidR="00ED5793" w:rsidRDefault="00ED5793" w:rsidP="00367C2D">
            <w:pPr>
              <w:rPr>
                <w:rFonts w:ascii="Arial" w:hAnsi="Arial" w:cs="Arial"/>
              </w:rPr>
            </w:pPr>
          </w:p>
          <w:p w14:paraId="310F038E" w14:textId="77777777" w:rsidR="00ED5793" w:rsidRPr="00367C2D" w:rsidRDefault="00ED5793" w:rsidP="00367C2D">
            <w:pPr>
              <w:rPr>
                <w:rFonts w:ascii="Arial" w:hAnsi="Arial" w:cs="Arial"/>
              </w:rPr>
            </w:pPr>
          </w:p>
          <w:p w14:paraId="43B1DA45" w14:textId="77777777" w:rsidR="00AF5123" w:rsidRPr="00AF5123" w:rsidRDefault="00AF5123" w:rsidP="00AF5123">
            <w:p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  <w:b/>
                <w:bCs/>
              </w:rPr>
              <w:t>Incidence (England)</w:t>
            </w:r>
          </w:p>
          <w:p w14:paraId="190F6814" w14:textId="6109CF9C" w:rsidR="00AF5123" w:rsidRDefault="00AF5123" w:rsidP="00AF512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>Estimated incidence of neuroblastoma: 90</w:t>
            </w:r>
          </w:p>
          <w:p w14:paraId="506E7E38" w14:textId="5F2DC63E" w:rsidR="00AF5123" w:rsidRPr="00AF5123" w:rsidRDefault="007D69B4" w:rsidP="007D69B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</w:t>
            </w:r>
            <w:hyperlink r:id="rId17" w:history="1">
              <w:r w:rsidRPr="00994385">
                <w:rPr>
                  <w:rStyle w:val="Hyperlink"/>
                  <w:rFonts w:ascii="Arial" w:hAnsi="Arial" w:cs="Arial"/>
                </w:rPr>
                <w:t xml:space="preserve">1,645 children aged 0 to 14 years diagnosed with any cancer per year in UK, </w:t>
              </w:r>
              <w:r w:rsidR="00994385" w:rsidRPr="00994385">
                <w:rPr>
                  <w:rStyle w:val="Hyperlink"/>
                  <w:rFonts w:ascii="Arial" w:hAnsi="Arial" w:cs="Arial"/>
                </w:rPr>
                <w:t>91.15% of these being in England, and 6% having neuroblastoma</w:t>
              </w:r>
            </w:hyperlink>
          </w:p>
          <w:p w14:paraId="23743F30" w14:textId="2EE170AF" w:rsidR="000D3405" w:rsidRDefault="00AF5123" w:rsidP="00AF512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F5123">
              <w:rPr>
                <w:rFonts w:ascii="Arial" w:hAnsi="Arial" w:cs="Arial"/>
              </w:rPr>
              <w:t xml:space="preserve">Estimated incidence of neuroblastoma with CNS/leptomeningeal metastasis: </w:t>
            </w:r>
            <w:r w:rsidR="00ED5793">
              <w:rPr>
                <w:rFonts w:ascii="Arial" w:hAnsi="Arial" w:cs="Arial"/>
              </w:rPr>
              <w:t>2</w:t>
            </w:r>
            <w:r w:rsidRPr="00AF5123">
              <w:rPr>
                <w:rFonts w:ascii="Arial" w:hAnsi="Arial" w:cs="Arial"/>
              </w:rPr>
              <w:t xml:space="preserve"> to </w:t>
            </w:r>
            <w:r w:rsidR="00ED5793">
              <w:rPr>
                <w:rFonts w:ascii="Arial" w:hAnsi="Arial" w:cs="Arial"/>
              </w:rPr>
              <w:t>9</w:t>
            </w:r>
          </w:p>
          <w:p w14:paraId="5681779E" w14:textId="2CDFCA33" w:rsidR="00ED5793" w:rsidRDefault="00994385" w:rsidP="001418CA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</w:rPr>
            </w:pPr>
            <w:r w:rsidRPr="00367C2D">
              <w:rPr>
                <w:rFonts w:ascii="Arial" w:hAnsi="Arial" w:cs="Arial"/>
              </w:rPr>
              <w:t xml:space="preserve">Based on </w:t>
            </w:r>
            <w:r>
              <w:rPr>
                <w:rFonts w:ascii="Arial" w:hAnsi="Arial" w:cs="Arial"/>
              </w:rPr>
              <w:t xml:space="preserve">90 total </w:t>
            </w:r>
            <w:r w:rsidRPr="00367C2D">
              <w:rPr>
                <w:rFonts w:ascii="Arial" w:hAnsi="Arial" w:cs="Arial"/>
              </w:rPr>
              <w:t xml:space="preserve">with neuroblastoma and </w:t>
            </w:r>
            <w:r w:rsidR="00AF5123" w:rsidRPr="00AF5123">
              <w:rPr>
                <w:rFonts w:ascii="Arial" w:hAnsi="Arial" w:cs="Arial"/>
              </w:rPr>
              <w:t xml:space="preserve">different % estimates of </w:t>
            </w:r>
            <w:r>
              <w:rPr>
                <w:rFonts w:ascii="Arial" w:hAnsi="Arial" w:cs="Arial"/>
              </w:rPr>
              <w:t xml:space="preserve">the proportion of these people </w:t>
            </w:r>
            <w:r w:rsidR="00AF5123" w:rsidRPr="00AF5123">
              <w:rPr>
                <w:rFonts w:ascii="Arial" w:hAnsi="Arial" w:cs="Arial"/>
              </w:rPr>
              <w:t>who have stage 4 neuroblastoma</w:t>
            </w:r>
            <w:r w:rsidRPr="00367C2D">
              <w:rPr>
                <w:rFonts w:ascii="Arial" w:hAnsi="Arial" w:cs="Arial"/>
              </w:rPr>
              <w:t xml:space="preserve"> </w:t>
            </w:r>
            <w:r w:rsidR="00AF5123" w:rsidRPr="00AF5123">
              <w:rPr>
                <w:rFonts w:ascii="Arial" w:hAnsi="Arial" w:cs="Arial"/>
              </w:rPr>
              <w:t xml:space="preserve">with CNS metastasis </w:t>
            </w:r>
          </w:p>
          <w:p w14:paraId="2F44F48C" w14:textId="03665EB4" w:rsidR="00ED5793" w:rsidRDefault="00ED5793" w:rsidP="00ED5793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39"/>
              <w:tblOverlap w:val="never"/>
              <w:tblW w:w="5373" w:type="dxa"/>
              <w:tblLook w:val="0420" w:firstRow="1" w:lastRow="0" w:firstColumn="0" w:lastColumn="0" w:noHBand="0" w:noVBand="1"/>
            </w:tblPr>
            <w:tblGrid>
              <w:gridCol w:w="1329"/>
              <w:gridCol w:w="829"/>
              <w:gridCol w:w="3215"/>
            </w:tblGrid>
            <w:tr w:rsidR="00ED5793" w:rsidRPr="002C35F7" w14:paraId="2E78FADA" w14:textId="77777777" w:rsidTr="00704C51">
              <w:trPr>
                <w:trHeight w:val="759"/>
              </w:trPr>
              <w:tc>
                <w:tcPr>
                  <w:tcW w:w="2158" w:type="dxa"/>
                  <w:gridSpan w:val="2"/>
                  <w:hideMark/>
                </w:tcPr>
                <w:p w14:paraId="091ABCA5" w14:textId="3D5986FD" w:rsidR="00ED5793" w:rsidRPr="002C35F7" w:rsidRDefault="00ED5793" w:rsidP="00ED5793">
                  <w:pPr>
                    <w:ind w:left="-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Incidence of neuroblastoma = 90</w:t>
                  </w:r>
                </w:p>
              </w:tc>
              <w:tc>
                <w:tcPr>
                  <w:tcW w:w="3215" w:type="dxa"/>
                </w:tcPr>
                <w:p w14:paraId="61C3C567" w14:textId="480F027B" w:rsidR="00ED5793" w:rsidRPr="00CD6A67" w:rsidRDefault="00ED5793" w:rsidP="00ED579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D6A67">
                    <w:rPr>
                      <w:rFonts w:ascii="Arial" w:hAnsi="Arial" w:cs="Arial"/>
                      <w:b/>
                      <w:bCs/>
                    </w:rPr>
                    <w:t>Estimated incidence of neuroblastoma with CNS/leptomeningeal metastasis</w:t>
                  </w:r>
                </w:p>
              </w:tc>
            </w:tr>
            <w:tr w:rsidR="00ED5793" w:rsidRPr="002C35F7" w14:paraId="1DA2A6EA" w14:textId="77777777" w:rsidTr="00D35EEE">
              <w:trPr>
                <w:trHeight w:val="246"/>
              </w:trPr>
              <w:tc>
                <w:tcPr>
                  <w:tcW w:w="1329" w:type="dxa"/>
                  <w:vMerge w:val="restart"/>
                  <w:hideMark/>
                </w:tcPr>
                <w:p w14:paraId="33D7485F" w14:textId="77777777" w:rsidR="00ED5793" w:rsidRPr="002C35F7" w:rsidRDefault="00ED5793" w:rsidP="00ED5793">
                  <w:pPr>
                    <w:ind w:left="-26" w:hanging="10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t>Estimated % with CNS metastasis</w:t>
                  </w:r>
                </w:p>
              </w:tc>
              <w:tc>
                <w:tcPr>
                  <w:tcW w:w="829" w:type="dxa"/>
                  <w:hideMark/>
                </w:tcPr>
                <w:p w14:paraId="650031FC" w14:textId="77777777" w:rsidR="00ED5793" w:rsidRPr="002C35F7" w:rsidRDefault="00ED5793" w:rsidP="00ED5793">
                  <w:pPr>
                    <w:ind w:left="33"/>
                    <w:rPr>
                      <w:rFonts w:ascii="Arial" w:hAnsi="Arial" w:cs="Arial"/>
                    </w:rPr>
                  </w:pPr>
                  <w:r w:rsidRPr="002C35F7">
                    <w:rPr>
                      <w:rFonts w:ascii="Arial" w:hAnsi="Arial" w:cs="Arial"/>
                      <w:b/>
                      <w:bCs/>
                    </w:rPr>
                    <w:t>2.7%</w:t>
                  </w:r>
                  <w:r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215" w:type="dxa"/>
                </w:tcPr>
                <w:p w14:paraId="51329C4A" w14:textId="2A604483" w:rsidR="00ED5793" w:rsidRPr="00994385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ED5793" w:rsidRPr="002C35F7" w14:paraId="5477FD1F" w14:textId="77777777" w:rsidTr="00D07A1D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03EA254B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48A57042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18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5%</w:t>
                    </w:r>
                  </w:hyperlink>
                </w:p>
              </w:tc>
              <w:tc>
                <w:tcPr>
                  <w:tcW w:w="3215" w:type="dxa"/>
                </w:tcPr>
                <w:p w14:paraId="6B2DBB51" w14:textId="6EAC8517" w:rsidR="00ED5793" w:rsidRPr="00994385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5793" w:rsidRPr="002C35F7" w14:paraId="487686AF" w14:textId="77777777" w:rsidTr="00953989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1A368147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380A53AA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19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8%</w:t>
                    </w:r>
                  </w:hyperlink>
                </w:p>
              </w:tc>
              <w:tc>
                <w:tcPr>
                  <w:tcW w:w="3215" w:type="dxa"/>
                </w:tcPr>
                <w:p w14:paraId="78113DA3" w14:textId="6FEF6967" w:rsidR="00ED5793" w:rsidRPr="00994385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ED5793" w:rsidRPr="002C35F7" w14:paraId="24CE6F7D" w14:textId="77777777" w:rsidTr="00607C5E">
              <w:trPr>
                <w:trHeight w:val="246"/>
              </w:trPr>
              <w:tc>
                <w:tcPr>
                  <w:tcW w:w="0" w:type="auto"/>
                  <w:vMerge/>
                  <w:hideMark/>
                </w:tcPr>
                <w:p w14:paraId="0619B3C8" w14:textId="77777777" w:rsidR="00ED5793" w:rsidRPr="002C35F7" w:rsidRDefault="00ED5793" w:rsidP="00ED5793">
                  <w:pPr>
                    <w:ind w:left="108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9" w:type="dxa"/>
                  <w:hideMark/>
                </w:tcPr>
                <w:p w14:paraId="2312A8B8" w14:textId="77777777" w:rsidR="00ED5793" w:rsidRPr="002C35F7" w:rsidRDefault="000911A1" w:rsidP="00ED5793">
                  <w:pPr>
                    <w:ind w:left="33"/>
                    <w:rPr>
                      <w:rFonts w:ascii="Arial" w:hAnsi="Arial" w:cs="Arial"/>
                    </w:rPr>
                  </w:pPr>
                  <w:hyperlink r:id="rId20" w:anchor="Tab1" w:history="1">
                    <w:r w:rsidR="00ED5793" w:rsidRPr="00723ED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10%</w:t>
                    </w:r>
                  </w:hyperlink>
                </w:p>
              </w:tc>
              <w:tc>
                <w:tcPr>
                  <w:tcW w:w="3215" w:type="dxa"/>
                </w:tcPr>
                <w:p w14:paraId="54964B2A" w14:textId="6A3C2FD3" w:rsidR="00ED5793" w:rsidRPr="00994385" w:rsidRDefault="00ED5793" w:rsidP="00ED579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ED5793" w:rsidRPr="002C35F7" w14:paraId="413D78E2" w14:textId="77777777" w:rsidTr="00800608">
              <w:trPr>
                <w:trHeight w:val="246"/>
              </w:trPr>
              <w:tc>
                <w:tcPr>
                  <w:tcW w:w="5373" w:type="dxa"/>
                  <w:gridSpan w:val="3"/>
                </w:tcPr>
                <w:p w14:paraId="1E97D119" w14:textId="77777777" w:rsidR="00ED5793" w:rsidRPr="00723ED9" w:rsidRDefault="00ED5793" w:rsidP="00ED5793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</w:rPr>
                    <w:t>Clinical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expert advice</w:t>
                  </w:r>
                </w:p>
              </w:tc>
            </w:tr>
          </w:tbl>
          <w:p w14:paraId="094BC994" w14:textId="77777777" w:rsidR="00ED5793" w:rsidRPr="00ED5793" w:rsidRDefault="00ED5793" w:rsidP="00ED5793">
            <w:pPr>
              <w:rPr>
                <w:rFonts w:ascii="Arial" w:hAnsi="Arial" w:cs="Arial"/>
              </w:rPr>
            </w:pPr>
          </w:p>
          <w:p w14:paraId="3C8ADE05" w14:textId="2F562795" w:rsidR="00ED5793" w:rsidRDefault="00ED5793" w:rsidP="00ED5793">
            <w:pPr>
              <w:rPr>
                <w:rFonts w:ascii="Arial" w:hAnsi="Arial" w:cs="Arial"/>
              </w:rPr>
            </w:pPr>
          </w:p>
          <w:p w14:paraId="7DA65A5F" w14:textId="4E2A632F" w:rsidR="00994385" w:rsidRPr="00AF5123" w:rsidRDefault="00994385" w:rsidP="009943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5C7D72A" w14:textId="5B752961" w:rsidR="00E74106" w:rsidRPr="00D71447" w:rsidRDefault="00C564C7" w:rsidP="00D71447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Met</w:t>
            </w:r>
          </w:p>
          <w:p w14:paraId="4A35B2B7" w14:textId="3B59D2A6" w:rsidR="00D71447" w:rsidRPr="00EF3DC0" w:rsidRDefault="00D71447" w:rsidP="00340C80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340C80" w:rsidRPr="00C9475C" w14:paraId="6BCC6689" w14:textId="0915F44B" w:rsidTr="00340C80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77777777" w:rsidR="00340C80" w:rsidRPr="00D71447" w:rsidRDefault="00340C80" w:rsidP="00340C8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471" w14:textId="77777777" w:rsidR="00340C80" w:rsidRDefault="00340C80" w:rsidP="00340C80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  <w:p w14:paraId="55E850C5" w14:textId="442AD58F" w:rsidR="00340C80" w:rsidRPr="00D71447" w:rsidRDefault="00340C80" w:rsidP="00340C80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4718B" w14:textId="20ADA750" w:rsidR="00340C80" w:rsidRPr="00FC3B72" w:rsidRDefault="00340C80" w:rsidP="00340C80">
            <w:pPr>
              <w:ind w:left="34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C3B72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As stated above, there is going to be significantly less than 300 people in England eligible for the technology in its licensed indication</w:t>
            </w:r>
            <w:r w:rsidR="00994385" w:rsidRPr="00FC3B7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(see </w:t>
            </w:r>
            <w:proofErr w:type="spellStart"/>
            <w:r w:rsidR="00994385" w:rsidRPr="00FC3B72">
              <w:rPr>
                <w:rFonts w:ascii="Arial" w:eastAsia="Times New Roman" w:hAnsi="Arial" w:cs="Arial"/>
                <w:b/>
                <w:bCs/>
                <w:lang w:val="en-US"/>
              </w:rPr>
              <w:t>preval</w:t>
            </w:r>
            <w:r w:rsidR="00AF5123" w:rsidRPr="00FC3B72">
              <w:rPr>
                <w:rFonts w:ascii="Arial" w:hAnsi="Arial" w:cs="Arial"/>
                <w:b/>
                <w:bCs/>
              </w:rPr>
              <w:t>ence</w:t>
            </w:r>
            <w:proofErr w:type="spellEnd"/>
            <w:r w:rsidR="00AF5123" w:rsidRPr="00FC3B72">
              <w:rPr>
                <w:rFonts w:ascii="Arial" w:hAnsi="Arial" w:cs="Arial"/>
                <w:b/>
                <w:bCs/>
              </w:rPr>
              <w:t xml:space="preserve"> of neuroblastoma with CNS/leptomeningeal metastasis</w:t>
            </w:r>
            <w:r w:rsidR="00994385" w:rsidRPr="00FC3B72">
              <w:rPr>
                <w:rFonts w:ascii="Arial" w:hAnsi="Arial" w:cs="Arial"/>
                <w:b/>
                <w:bCs/>
              </w:rPr>
              <w:t>)</w:t>
            </w:r>
            <w:r w:rsidRPr="00FC3B72">
              <w:rPr>
                <w:rFonts w:ascii="Arial" w:eastAsia="Times New Roman" w:hAnsi="Arial" w:cs="Arial"/>
                <w:b/>
                <w:bCs/>
                <w:lang w:val="en-US"/>
              </w:rPr>
              <w:t xml:space="preserve">. </w:t>
            </w:r>
          </w:p>
          <w:p w14:paraId="7BE4DE19" w14:textId="77777777" w:rsidR="00340C80" w:rsidRDefault="00340C80" w:rsidP="00340C80">
            <w:pPr>
              <w:ind w:left="34"/>
              <w:rPr>
                <w:rFonts w:ascii="Arial" w:eastAsia="Times New Roman" w:hAnsi="Arial" w:cs="Arial"/>
                <w:lang w:val="en-US"/>
              </w:rPr>
            </w:pPr>
          </w:p>
          <w:p w14:paraId="4D840ED0" w14:textId="3EC02AAC" w:rsidR="00340C80" w:rsidRDefault="00340C80" w:rsidP="00340C80">
            <w:pPr>
              <w:ind w:left="3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lastRenderedPageBreak/>
              <w:t xml:space="preserve">The technology does not currently have a UK marketing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authorisation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for any other indication. However, t</w:t>
            </w:r>
            <w:r w:rsidRPr="00BA519B">
              <w:rPr>
                <w:rFonts w:ascii="Arial" w:eastAsia="Times New Roman" w:hAnsi="Arial" w:cs="Arial"/>
                <w:lang w:val="en-US"/>
              </w:rPr>
              <w:t>here are other indications in the pipeline for this technology (</w:t>
            </w:r>
            <w:proofErr w:type="gramStart"/>
            <w:r w:rsidRPr="00BA519B">
              <w:rPr>
                <w:rFonts w:ascii="Arial" w:eastAsia="Times New Roman" w:hAnsi="Arial" w:cs="Arial"/>
                <w:lang w:val="en-US"/>
              </w:rPr>
              <w:t>e.g.</w:t>
            </w:r>
            <w:proofErr w:type="gramEnd"/>
            <w:r w:rsidRPr="00BA519B">
              <w:rPr>
                <w:rFonts w:ascii="Arial" w:eastAsia="Times New Roman" w:hAnsi="Arial" w:cs="Arial"/>
                <w:lang w:val="en-US"/>
              </w:rPr>
              <w:t xml:space="preserve"> desmoplastic small round cell </w:t>
            </w:r>
            <w:proofErr w:type="spellStart"/>
            <w:r w:rsidRPr="00BA519B">
              <w:rPr>
                <w:rFonts w:ascii="Arial" w:eastAsia="Times New Roman" w:hAnsi="Arial" w:cs="Arial"/>
                <w:lang w:val="en-US"/>
              </w:rPr>
              <w:t>tumour</w:t>
            </w:r>
            <w:proofErr w:type="spellEnd"/>
            <w:r w:rsidRPr="00BA519B">
              <w:rPr>
                <w:rFonts w:ascii="Arial" w:eastAsia="Times New Roman" w:hAnsi="Arial" w:cs="Arial"/>
                <w:lang w:val="en-US"/>
              </w:rPr>
              <w:t xml:space="preserve">, medulloblastoma). See: </w:t>
            </w:r>
            <w:hyperlink r:id="rId21" w:history="1">
              <w:r w:rsidRPr="00BA519B">
                <w:rPr>
                  <w:rStyle w:val="Hyperlink"/>
                  <w:rFonts w:ascii="Arial" w:eastAsia="Times New Roman" w:hAnsi="Arial" w:cs="Arial"/>
                  <w:lang w:val="en-US"/>
                </w:rPr>
                <w:t>https://ymabs.com/research-development/pipeline/</w:t>
              </w:r>
            </w:hyperlink>
            <w:r w:rsidRPr="00BA519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534408E7" w14:textId="72C65BE4" w:rsidR="00340C80" w:rsidRPr="00340C80" w:rsidRDefault="00340C80" w:rsidP="00FB68D3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lang w:val="en-US"/>
              </w:rPr>
            </w:pPr>
            <w:r w:rsidRPr="00473E15">
              <w:rPr>
                <w:rFonts w:ascii="Arial" w:eastAsia="Times New Roman" w:hAnsi="Arial" w:cs="Arial"/>
                <w:lang w:val="en-US"/>
              </w:rPr>
              <w:t>Intrathecal Immunotherapy for CNS/Leptomeningeal Metastases</w:t>
            </w:r>
            <w:r>
              <w:rPr>
                <w:rFonts w:ascii="Arial" w:eastAsia="Times New Roman" w:hAnsi="Arial" w:cs="Arial"/>
                <w:lang w:val="en-US"/>
              </w:rPr>
              <w:t xml:space="preserve">: estimates that there are between 7,000 and </w:t>
            </w:r>
            <w:r w:rsidRPr="00F973F6">
              <w:rPr>
                <w:rFonts w:ascii="Arial" w:eastAsia="Times New Roman" w:hAnsi="Arial" w:cs="Arial"/>
                <w:lang w:val="en-US"/>
              </w:rPr>
              <w:t>15,000 patients diagnosed with cerebral metastases in England each year</w:t>
            </w:r>
          </w:p>
          <w:p w14:paraId="1BEB2A0D" w14:textId="7DD996F6" w:rsidR="00340C80" w:rsidRPr="00340C80" w:rsidRDefault="00340C80" w:rsidP="00FB68D3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lang w:val="en-US"/>
              </w:rPr>
            </w:pPr>
            <w:r w:rsidRPr="00BA519B">
              <w:rPr>
                <w:rFonts w:ascii="Arial" w:eastAsia="Times New Roman" w:hAnsi="Arial" w:cs="Arial"/>
                <w:lang w:val="en-US"/>
              </w:rPr>
              <w:t>Diffuse Intrinsic Pontine Glioma (</w:t>
            </w:r>
            <w:proofErr w:type="spellStart"/>
            <w:r w:rsidRPr="00BA519B">
              <w:rPr>
                <w:rFonts w:ascii="Arial" w:eastAsia="Times New Roman" w:hAnsi="Arial" w:cs="Arial"/>
                <w:lang w:val="en-US"/>
              </w:rPr>
              <w:t>paediatric</w:t>
            </w:r>
            <w:proofErr w:type="spellEnd"/>
            <w:r w:rsidRPr="00BA519B">
              <w:rPr>
                <w:rFonts w:ascii="Arial" w:eastAsia="Times New Roman" w:hAnsi="Arial" w:cs="Arial"/>
                <w:lang w:val="en-US"/>
              </w:rPr>
              <w:t xml:space="preserve">) : Less than 40 children a year develop pontine glioma in the UK </w:t>
            </w:r>
            <w:hyperlink r:id="rId22" w:history="1">
              <w:r w:rsidRPr="00BA519B">
                <w:rPr>
                  <w:rStyle w:val="Hyperlink"/>
                  <w:rFonts w:ascii="Arial" w:eastAsia="Times New Roman" w:hAnsi="Arial" w:cs="Arial"/>
                  <w:lang w:val="en-US"/>
                </w:rPr>
                <w:t>(Pontine glioma | TRM Trust and Private Care (royalmarsden.nhs.uk)</w:t>
              </w:r>
            </w:hyperlink>
            <w:r w:rsidRPr="00BA519B">
              <w:rPr>
                <w:rFonts w:ascii="Arial" w:eastAsia="Times New Roman" w:hAnsi="Arial" w:cs="Arial"/>
                <w:lang w:val="en-US"/>
              </w:rPr>
              <w:t>)</w:t>
            </w:r>
          </w:p>
          <w:p w14:paraId="006807E3" w14:textId="63F6E0FA" w:rsidR="00340C80" w:rsidRPr="00340C80" w:rsidRDefault="00340C80" w:rsidP="00FB68D3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lang w:val="en-US"/>
              </w:rPr>
            </w:pPr>
            <w:r w:rsidRPr="00BA519B">
              <w:rPr>
                <w:rFonts w:ascii="Arial" w:eastAsia="Times New Roman" w:hAnsi="Arial" w:cs="Arial"/>
                <w:lang w:val="en-US"/>
              </w:rPr>
              <w:t>Desmoplastic Small Round Cell Tumor (</w:t>
            </w:r>
            <w:proofErr w:type="spellStart"/>
            <w:r w:rsidRPr="00BA519B">
              <w:rPr>
                <w:rFonts w:ascii="Arial" w:eastAsia="Times New Roman" w:hAnsi="Arial" w:cs="Arial"/>
                <w:lang w:val="en-US"/>
              </w:rPr>
              <w:t>paediatric</w:t>
            </w:r>
            <w:proofErr w:type="spellEnd"/>
            <w:r w:rsidRPr="00BA519B">
              <w:rPr>
                <w:rFonts w:ascii="Arial" w:eastAsia="Times New Roman" w:hAnsi="Arial" w:cs="Arial"/>
                <w:lang w:val="en-US"/>
              </w:rPr>
              <w:t xml:space="preserve">): </w:t>
            </w:r>
            <w:r>
              <w:rPr>
                <w:rFonts w:ascii="Arial" w:eastAsia="Times New Roman" w:hAnsi="Arial" w:cs="Arial"/>
                <w:lang w:val="en-US"/>
              </w:rPr>
              <w:t xml:space="preserve">no incidence data found, but thought to be </w:t>
            </w:r>
            <w:hyperlink r:id="rId23" w:history="1">
              <w:r w:rsidRPr="00F94C69">
                <w:rPr>
                  <w:rStyle w:val="Hyperlink"/>
                  <w:rFonts w:ascii="Arial" w:eastAsia="Times New Roman" w:hAnsi="Arial" w:cs="Arial"/>
                  <w:lang w:val="en-US"/>
                </w:rPr>
                <w:t>very rare</w:t>
              </w:r>
            </w:hyperlink>
          </w:p>
          <w:p w14:paraId="416E31C3" w14:textId="09AE79A9" w:rsidR="00340C80" w:rsidRPr="00340C80" w:rsidRDefault="00340C80" w:rsidP="00FB68D3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lang w:val="en-US"/>
              </w:rPr>
            </w:pPr>
            <w:r w:rsidRPr="00BA519B">
              <w:rPr>
                <w:rFonts w:ascii="Arial" w:eastAsia="Times New Roman" w:hAnsi="Arial" w:cs="Arial"/>
                <w:lang w:val="en-US"/>
              </w:rPr>
              <w:t>Medulloblastoma (</w:t>
            </w:r>
            <w:proofErr w:type="spellStart"/>
            <w:r w:rsidRPr="00BA519B">
              <w:rPr>
                <w:rFonts w:ascii="Arial" w:eastAsia="Times New Roman" w:hAnsi="Arial" w:cs="Arial"/>
                <w:lang w:val="en-US"/>
              </w:rPr>
              <w:t>paediatric</w:t>
            </w:r>
            <w:proofErr w:type="spellEnd"/>
            <w:r w:rsidRPr="00BA519B">
              <w:rPr>
                <w:rFonts w:ascii="Arial" w:eastAsia="Times New Roman" w:hAnsi="Arial" w:cs="Arial"/>
                <w:lang w:val="en-US"/>
              </w:rPr>
              <w:t xml:space="preserve">): Less than 90 children a year </w:t>
            </w:r>
            <w:hyperlink r:id="rId24" w:anchor=":~:text=Less%20than%2090%20children%20a%20year%20develop%20medulloblastoma,are%20slightly%20more%20common%20in%20boys%20than%20girls." w:history="1">
              <w:r w:rsidRPr="00BA519B">
                <w:rPr>
                  <w:rStyle w:val="Hyperlink"/>
                  <w:rFonts w:ascii="Arial" w:eastAsia="Times New Roman" w:hAnsi="Arial" w:cs="Arial"/>
                  <w:lang w:val="en-US"/>
                </w:rPr>
                <w:t>(Medulloblastoma/PNET | TRM Trust and Private Care (royalmarsden.nhs.uk)</w:t>
              </w:r>
            </w:hyperlink>
            <w:r w:rsidRPr="00BA519B">
              <w:rPr>
                <w:rFonts w:ascii="Arial" w:eastAsia="Times New Roman" w:hAnsi="Arial" w:cs="Arial"/>
                <w:lang w:val="en-US"/>
              </w:rPr>
              <w:t>)</w:t>
            </w:r>
          </w:p>
          <w:p w14:paraId="4C6F7AF2" w14:textId="7866F4F4" w:rsidR="00340C80" w:rsidRPr="00340C80" w:rsidRDefault="00340C80" w:rsidP="00FB68D3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lang w:val="en-US"/>
              </w:rPr>
            </w:pPr>
            <w:r w:rsidRPr="00BA519B">
              <w:rPr>
                <w:rFonts w:ascii="Arial" w:eastAsia="Times New Roman" w:hAnsi="Arial" w:cs="Arial"/>
                <w:lang w:val="en-US"/>
              </w:rPr>
              <w:t>B7-H3 Positive CNS/LM tumors:</w:t>
            </w:r>
            <w:r>
              <w:rPr>
                <w:rFonts w:ascii="Arial" w:eastAsia="Times New Roman" w:hAnsi="Arial" w:cs="Arial"/>
                <w:lang w:val="en-US"/>
              </w:rPr>
              <w:t xml:space="preserve"> no incidence data found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363703A" w14:textId="77777777" w:rsidR="00340C80" w:rsidRPr="00D71447" w:rsidRDefault="00340C80" w:rsidP="00340C80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2A49A49C" w14:textId="77777777" w:rsidR="00340C80" w:rsidRPr="00EF3DC0" w:rsidRDefault="00340C80" w:rsidP="00340C80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340C80" w:rsidRPr="00C9475C" w14:paraId="7C095163" w14:textId="663CB376" w:rsidTr="00BF7D5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340C80" w:rsidRPr="00D71447" w:rsidRDefault="00340C80" w:rsidP="00340C8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7EF" w14:textId="77777777" w:rsidR="00340C80" w:rsidRPr="00D71447" w:rsidRDefault="00340C80" w:rsidP="00340C80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very rare condition significantly shortens life or severely impairs its quality </w:t>
            </w:r>
          </w:p>
          <w:p w14:paraId="3AE5894D" w14:textId="77777777" w:rsidR="00340C80" w:rsidRPr="00D71447" w:rsidRDefault="00340C80" w:rsidP="00340C80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B0F1B" w14:textId="793BED61" w:rsidR="00FC3B72" w:rsidRPr="00FC3B72" w:rsidRDefault="00FC3B72" w:rsidP="00FC3B72">
            <w:pPr>
              <w:rPr>
                <w:rFonts w:ascii="Arial" w:hAnsi="Arial" w:cs="Arial"/>
                <w:b/>
                <w:bCs/>
              </w:rPr>
            </w:pPr>
            <w:r w:rsidRPr="00FC3B72">
              <w:rPr>
                <w:rFonts w:ascii="Arial" w:hAnsi="Arial" w:cs="Arial"/>
                <w:b/>
                <w:bCs/>
              </w:rPr>
              <w:t xml:space="preserve">Overall, data are </w:t>
            </w:r>
            <w:proofErr w:type="gramStart"/>
            <w:r w:rsidRPr="00FC3B72">
              <w:rPr>
                <w:rFonts w:ascii="Arial" w:hAnsi="Arial" w:cs="Arial"/>
                <w:b/>
                <w:bCs/>
              </w:rPr>
              <w:t>uncertain</w:t>
            </w:r>
            <w:proofErr w:type="gramEnd"/>
            <w:r w:rsidRPr="00FC3B72">
              <w:rPr>
                <w:rFonts w:ascii="Arial" w:hAnsi="Arial" w:cs="Arial"/>
                <w:b/>
                <w:bCs/>
              </w:rPr>
              <w:t xml:space="preserve"> and it is difficult to estimate survival </w:t>
            </w:r>
            <w:r>
              <w:rPr>
                <w:rFonts w:ascii="Arial" w:hAnsi="Arial" w:cs="Arial"/>
                <w:b/>
                <w:bCs/>
              </w:rPr>
              <w:t xml:space="preserve">for </w:t>
            </w:r>
            <w:r w:rsidRPr="00FC3B72">
              <w:rPr>
                <w:rFonts w:ascii="Arial" w:hAnsi="Arial" w:cs="Arial"/>
                <w:b/>
                <w:bCs/>
              </w:rPr>
              <w:t>neuroblastoma with central nervous system/leptomeningeal metastases with standard of care</w:t>
            </w:r>
            <w:r>
              <w:rPr>
                <w:rFonts w:ascii="Arial" w:hAnsi="Arial" w:cs="Arial"/>
                <w:b/>
                <w:bCs/>
              </w:rPr>
              <w:t>. H</w:t>
            </w:r>
            <w:r w:rsidRPr="00FC3B72">
              <w:rPr>
                <w:rFonts w:ascii="Arial" w:hAnsi="Arial" w:cs="Arial"/>
                <w:b/>
                <w:bCs/>
              </w:rPr>
              <w:t>owever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C3B72">
              <w:rPr>
                <w:rFonts w:ascii="Arial" w:hAnsi="Arial" w:cs="Arial"/>
                <w:b/>
                <w:bCs/>
              </w:rPr>
              <w:t xml:space="preserve"> even with the most conservative estimate, the condition was deemed to significantly shorten life. </w:t>
            </w:r>
          </w:p>
          <w:p w14:paraId="5844AB2E" w14:textId="77777777" w:rsidR="00FC3B72" w:rsidRPr="00FC3B72" w:rsidRDefault="00FC3B72" w:rsidP="00FC3B72">
            <w:pPr>
              <w:rPr>
                <w:rFonts w:ascii="Arial" w:hAnsi="Arial" w:cs="Arial"/>
              </w:rPr>
            </w:pPr>
          </w:p>
          <w:p w14:paraId="438FFDCF" w14:textId="528BCD02" w:rsidR="00340C80" w:rsidRDefault="00340C80" w:rsidP="00340C8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9161BC">
              <w:rPr>
                <w:rFonts w:ascii="Arial" w:hAnsi="Arial" w:cs="Arial"/>
              </w:rPr>
              <w:t xml:space="preserve">The 5 year survival rate for Neuroblastoma in children in England is </w:t>
            </w:r>
            <w:hyperlink r:id="rId25" w:history="1">
              <w:r w:rsidRPr="00BF7D54">
                <w:rPr>
                  <w:rStyle w:val="Hyperlink"/>
                  <w:rFonts w:ascii="Arial" w:hAnsi="Arial" w:cs="Arial"/>
                </w:rPr>
                <w:t>67%</w:t>
              </w:r>
            </w:hyperlink>
            <w:r>
              <w:rPr>
                <w:rFonts w:ascii="Arial" w:hAnsi="Arial" w:cs="Arial"/>
              </w:rPr>
              <w:t xml:space="preserve">. </w:t>
            </w:r>
            <w:r w:rsidRPr="009161BC">
              <w:rPr>
                <w:rFonts w:ascii="Arial" w:hAnsi="Arial" w:cs="Arial"/>
              </w:rPr>
              <w:t xml:space="preserve">5-year survival </w:t>
            </w:r>
            <w:r>
              <w:rPr>
                <w:rFonts w:ascii="Arial" w:hAnsi="Arial" w:cs="Arial"/>
              </w:rPr>
              <w:t>is thought to</w:t>
            </w:r>
            <w:r w:rsidRPr="009161BC">
              <w:rPr>
                <w:rFonts w:ascii="Arial" w:hAnsi="Arial" w:cs="Arial"/>
              </w:rPr>
              <w:t xml:space="preserve"> range from </w:t>
            </w:r>
            <w:hyperlink r:id="rId26" w:history="1">
              <w:r w:rsidRPr="00340C80">
                <w:rPr>
                  <w:rStyle w:val="Hyperlink"/>
                  <w:rFonts w:ascii="Arial" w:hAnsi="Arial" w:cs="Arial"/>
                </w:rPr>
                <w:t>over 95% in low risk cases to 40% in high risk cases</w:t>
              </w:r>
            </w:hyperlink>
            <w:r w:rsidR="00BF7D54">
              <w:rPr>
                <w:rFonts w:ascii="Arial" w:hAnsi="Arial" w:cs="Arial"/>
              </w:rPr>
              <w:t>.</w:t>
            </w:r>
            <w:r w:rsidRPr="00340C80">
              <w:rPr>
                <w:rFonts w:ascii="Arial" w:hAnsi="Arial" w:cs="Arial"/>
              </w:rPr>
              <w:t xml:space="preserve"> </w:t>
            </w:r>
          </w:p>
          <w:p w14:paraId="6FD7F38F" w14:textId="2CEC135F" w:rsidR="00126A87" w:rsidRPr="00126A87" w:rsidRDefault="006B7411" w:rsidP="00126A8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 are worse for children who have n</w:t>
            </w:r>
            <w:r w:rsidRPr="009161BC">
              <w:rPr>
                <w:rFonts w:ascii="Arial" w:hAnsi="Arial" w:cs="Arial"/>
              </w:rPr>
              <w:t>euroblastoma with central nervous system/leptomeninge</w:t>
            </w:r>
            <w:r>
              <w:rPr>
                <w:rFonts w:ascii="Arial" w:hAnsi="Arial" w:cs="Arial"/>
              </w:rPr>
              <w:t>al</w:t>
            </w:r>
            <w:r w:rsidRPr="009161BC">
              <w:rPr>
                <w:rFonts w:ascii="Arial" w:hAnsi="Arial" w:cs="Arial"/>
              </w:rPr>
              <w:t xml:space="preserve"> metastases</w:t>
            </w:r>
            <w:r>
              <w:rPr>
                <w:rFonts w:ascii="Arial" w:hAnsi="Arial" w:cs="Arial"/>
              </w:rPr>
              <w:t xml:space="preserve">. </w:t>
            </w:r>
            <w:r w:rsidR="00126A87">
              <w:rPr>
                <w:rFonts w:ascii="Arial" w:hAnsi="Arial" w:cs="Arial"/>
              </w:rPr>
              <w:t>It is d</w:t>
            </w:r>
            <w:r w:rsidR="00126A87" w:rsidRPr="00126A87">
              <w:rPr>
                <w:rFonts w:ascii="Arial" w:hAnsi="Arial" w:cs="Arial"/>
              </w:rPr>
              <w:t xml:space="preserve">ifficult to estimate survival </w:t>
            </w:r>
            <w:r>
              <w:rPr>
                <w:rFonts w:ascii="Arial" w:hAnsi="Arial" w:cs="Arial"/>
              </w:rPr>
              <w:t xml:space="preserve">for this group </w:t>
            </w:r>
            <w:r w:rsidR="00126A87" w:rsidRPr="00126A87">
              <w:rPr>
                <w:rFonts w:ascii="Arial" w:hAnsi="Arial" w:cs="Arial"/>
              </w:rPr>
              <w:t xml:space="preserve">with standard of care (surgery, chemotherapy, radiotherapy) – </w:t>
            </w:r>
            <w:r>
              <w:rPr>
                <w:rFonts w:ascii="Arial" w:hAnsi="Arial" w:cs="Arial"/>
              </w:rPr>
              <w:t xml:space="preserve">no recent trial data from the UK. Some </w:t>
            </w:r>
            <w:r w:rsidR="00126A87" w:rsidRPr="00126A87">
              <w:rPr>
                <w:rFonts w:ascii="Arial" w:hAnsi="Arial" w:cs="Arial"/>
              </w:rPr>
              <w:t>estimates from observational studies, some of which are old</w:t>
            </w:r>
            <w:r w:rsidR="00126A87">
              <w:rPr>
                <w:rFonts w:ascii="Arial" w:hAnsi="Arial" w:cs="Arial"/>
              </w:rPr>
              <w:t>.</w:t>
            </w:r>
          </w:p>
          <w:p w14:paraId="171A99E6" w14:textId="733287AC" w:rsidR="00340C80" w:rsidRDefault="00340C80" w:rsidP="00340C8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 English data are available on survival for this subgroup</w:t>
            </w:r>
            <w:r w:rsidR="000E2C64" w:rsidRPr="009161BC">
              <w:rPr>
                <w:rFonts w:ascii="Arial" w:hAnsi="Arial" w:cs="Arial"/>
              </w:rPr>
              <w:t xml:space="preserve"> with central nervous system/leptomeninge</w:t>
            </w:r>
            <w:r w:rsidR="000E2C64">
              <w:rPr>
                <w:rFonts w:ascii="Arial" w:hAnsi="Arial" w:cs="Arial"/>
              </w:rPr>
              <w:t>al</w:t>
            </w:r>
            <w:r w:rsidR="000E2C64" w:rsidRPr="009161BC">
              <w:rPr>
                <w:rFonts w:ascii="Arial" w:hAnsi="Arial" w:cs="Arial"/>
              </w:rPr>
              <w:t xml:space="preserve"> metastases</w:t>
            </w:r>
            <w:r>
              <w:rPr>
                <w:rFonts w:ascii="Arial" w:hAnsi="Arial" w:cs="Arial"/>
              </w:rPr>
              <w:t xml:space="preserve">, however </w:t>
            </w:r>
            <w:hyperlink r:id="rId27" w:history="1">
              <w:r w:rsidRPr="00BF7D54">
                <w:rPr>
                  <w:rStyle w:val="Hyperlink"/>
                  <w:rFonts w:ascii="Arial" w:hAnsi="Arial" w:cs="Arial"/>
                </w:rPr>
                <w:t>registry data from Germany</w:t>
              </w:r>
            </w:hyperlink>
            <w:r>
              <w:rPr>
                <w:rFonts w:ascii="Arial" w:hAnsi="Arial" w:cs="Arial"/>
              </w:rPr>
              <w:t xml:space="preserve"> suggests that</w:t>
            </w:r>
            <w:r w:rsidRPr="00340C80">
              <w:rPr>
                <w:rFonts w:ascii="Arial" w:hAnsi="Arial" w:cs="Arial"/>
              </w:rPr>
              <w:t xml:space="preserve"> </w:t>
            </w:r>
            <w:r w:rsidRPr="00E77A3E">
              <w:rPr>
                <w:rFonts w:ascii="Arial" w:hAnsi="Arial" w:cs="Arial"/>
              </w:rPr>
              <w:t>&lt;10% of patients</w:t>
            </w:r>
            <w:r>
              <w:rPr>
                <w:rFonts w:ascii="Arial" w:hAnsi="Arial" w:cs="Arial"/>
              </w:rPr>
              <w:t xml:space="preserve"> with CNS metastasis</w:t>
            </w:r>
            <w:r w:rsidRPr="00E77A3E">
              <w:rPr>
                <w:rFonts w:ascii="Arial" w:hAnsi="Arial" w:cs="Arial"/>
              </w:rPr>
              <w:t xml:space="preserve"> survive 36 months</w:t>
            </w:r>
            <w:r>
              <w:rPr>
                <w:rFonts w:ascii="Arial" w:hAnsi="Arial" w:cs="Arial"/>
              </w:rPr>
              <w:t>.</w:t>
            </w:r>
            <w:r w:rsidR="001C6416">
              <w:rPr>
                <w:rFonts w:ascii="Arial" w:hAnsi="Arial" w:cs="Arial"/>
              </w:rPr>
              <w:t xml:space="preserve"> The company provided data suggesting </w:t>
            </w:r>
            <w:r w:rsidR="001C6416" w:rsidRPr="00340C80">
              <w:rPr>
                <w:rFonts w:ascii="Arial" w:hAnsi="Arial" w:cs="Arial"/>
              </w:rPr>
              <w:t>3-year survival is estimated to be 13% to 15%</w:t>
            </w:r>
            <w:r w:rsidR="005356F0">
              <w:rPr>
                <w:rFonts w:ascii="Arial" w:hAnsi="Arial" w:cs="Arial"/>
              </w:rPr>
              <w:t xml:space="preserve"> (company’s own analysis)</w:t>
            </w:r>
            <w:r w:rsidR="001C6416" w:rsidRPr="00340C80">
              <w:rPr>
                <w:rFonts w:ascii="Arial" w:hAnsi="Arial" w:cs="Arial"/>
              </w:rPr>
              <w:t>.</w:t>
            </w:r>
          </w:p>
          <w:p w14:paraId="32FE2566" w14:textId="77AFE825" w:rsidR="004E37FD" w:rsidRDefault="004E37FD" w:rsidP="00340C8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Estimates of median survival for neuroblastoma with CNS/leptomeningeal metastasis </w:t>
            </w:r>
            <w:r w:rsidR="001C6416">
              <w:rPr>
                <w:rFonts w:ascii="Arial" w:hAnsi="Arial" w:cs="Arial"/>
              </w:rPr>
              <w:t>with standard of care</w:t>
            </w:r>
            <w:r w:rsidR="005356F0">
              <w:rPr>
                <w:rFonts w:ascii="Arial" w:hAnsi="Arial" w:cs="Arial"/>
              </w:rPr>
              <w:t xml:space="preserve"> (chemotherapy, </w:t>
            </w:r>
            <w:proofErr w:type="gramStart"/>
            <w:r w:rsidR="005356F0">
              <w:rPr>
                <w:rFonts w:ascii="Arial" w:hAnsi="Arial" w:cs="Arial"/>
              </w:rPr>
              <w:t>radiotherapy</w:t>
            </w:r>
            <w:proofErr w:type="gramEnd"/>
            <w:r w:rsidR="005356F0">
              <w:rPr>
                <w:rFonts w:ascii="Arial" w:hAnsi="Arial" w:cs="Arial"/>
              </w:rPr>
              <w:t xml:space="preserve"> or surgery)</w:t>
            </w:r>
            <w:r w:rsidR="001C64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vary from 1 month to 1</w:t>
            </w:r>
            <w:r w:rsidR="0099099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months: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67"/>
              <w:gridCol w:w="2822"/>
            </w:tblGrid>
            <w:tr w:rsidR="004E37FD" w14:paraId="4D572175" w14:textId="77777777" w:rsidTr="004D417C">
              <w:tc>
                <w:tcPr>
                  <w:tcW w:w="3367" w:type="dxa"/>
                </w:tcPr>
                <w:p w14:paraId="37FD5624" w14:textId="7219A76C" w:rsidR="004E37FD" w:rsidRPr="004E37FD" w:rsidRDefault="004E37FD" w:rsidP="004E37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E37FD">
                    <w:rPr>
                      <w:rFonts w:ascii="Arial" w:hAnsi="Arial" w:cs="Arial"/>
                      <w:b/>
                      <w:bCs/>
                    </w:rPr>
                    <w:t>Source (year)</w:t>
                  </w:r>
                </w:p>
              </w:tc>
              <w:tc>
                <w:tcPr>
                  <w:tcW w:w="2822" w:type="dxa"/>
                </w:tcPr>
                <w:p w14:paraId="0CDE75BA" w14:textId="1E2770DE" w:rsidR="004E37FD" w:rsidRPr="004E37FD" w:rsidRDefault="004E37FD" w:rsidP="004E37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E37FD">
                    <w:rPr>
                      <w:rFonts w:ascii="Arial" w:hAnsi="Arial" w:cs="Arial"/>
                      <w:b/>
                      <w:bCs/>
                    </w:rPr>
                    <w:t>Median survival</w:t>
                  </w:r>
                  <w:r w:rsidR="004D417C">
                    <w:rPr>
                      <w:rFonts w:ascii="Arial" w:hAnsi="Arial" w:cs="Arial"/>
                      <w:b/>
                      <w:bCs/>
                    </w:rPr>
                    <w:t xml:space="preserve"> (months)</w:t>
                  </w:r>
                </w:p>
              </w:tc>
            </w:tr>
            <w:tr w:rsidR="004D417C" w14:paraId="44CA1421" w14:textId="77777777" w:rsidTr="004D417C">
              <w:tc>
                <w:tcPr>
                  <w:tcW w:w="3367" w:type="dxa"/>
                </w:tcPr>
                <w:p w14:paraId="22AB6AE2" w14:textId="5EED5638" w:rsidR="004D417C" w:rsidRPr="00AF2A8C" w:rsidRDefault="004D417C" w:rsidP="004D417C">
                  <w:pPr>
                    <w:rPr>
                      <w:rFonts w:ascii="Arial" w:hAnsi="Arial" w:cs="Arial"/>
                      <w:vertAlign w:val="superscript"/>
                    </w:rPr>
                  </w:pPr>
                  <w:r w:rsidRPr="00B92BC8">
                    <w:rPr>
                      <w:rFonts w:ascii="Arial" w:hAnsi="Arial" w:cs="Arial"/>
                    </w:rPr>
                    <w:t>CGCCR</w:t>
                  </w:r>
                  <w:r w:rsidR="00990997">
                    <w:rPr>
                      <w:rFonts w:ascii="Arial" w:hAnsi="Arial" w:cs="Arial"/>
                    </w:rPr>
                    <w:t xml:space="preserve"> (2017)</w:t>
                  </w:r>
                  <w:r w:rsidR="006A5C6A">
                    <w:rPr>
                      <w:rFonts w:ascii="Arial" w:hAnsi="Arial" w:cs="Arial"/>
                    </w:rPr>
                    <w:t xml:space="preserve"> </w:t>
                  </w:r>
                  <w:r w:rsidR="00AF2A8C">
                    <w:rPr>
                      <w:rFonts w:ascii="Arial" w:hAnsi="Arial" w:cs="Arial"/>
                      <w:vertAlign w:val="superscript"/>
                    </w:rPr>
                    <w:t>a</w:t>
                  </w:r>
                </w:p>
              </w:tc>
              <w:tc>
                <w:tcPr>
                  <w:tcW w:w="2822" w:type="dxa"/>
                </w:tcPr>
                <w:p w14:paraId="253030BA" w14:textId="7A13F0CC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 xml:space="preserve">9.9 </w:t>
                  </w:r>
                </w:p>
              </w:tc>
            </w:tr>
            <w:tr w:rsidR="004D417C" w14:paraId="035C1912" w14:textId="77777777" w:rsidTr="004D417C">
              <w:tc>
                <w:tcPr>
                  <w:tcW w:w="3367" w:type="dxa"/>
                </w:tcPr>
                <w:p w14:paraId="1773178C" w14:textId="521198F4" w:rsidR="004D417C" w:rsidRPr="00AF2A8C" w:rsidRDefault="004D417C" w:rsidP="004D417C">
                  <w:pPr>
                    <w:rPr>
                      <w:rFonts w:ascii="Arial" w:hAnsi="Arial" w:cs="Arial"/>
                      <w:vertAlign w:val="superscript"/>
                    </w:rPr>
                  </w:pPr>
                  <w:r w:rsidRPr="00B92BC8">
                    <w:rPr>
                      <w:rFonts w:ascii="Arial" w:hAnsi="Arial" w:cs="Arial"/>
                    </w:rPr>
                    <w:t>SIOPEN</w:t>
                  </w:r>
                  <w:r w:rsidR="00650ACD">
                    <w:rPr>
                      <w:rFonts w:ascii="Arial" w:hAnsi="Arial" w:cs="Arial"/>
                    </w:rPr>
                    <w:t xml:space="preserve"> (2021)</w:t>
                  </w:r>
                  <w:r w:rsidR="006A5C6A">
                    <w:rPr>
                      <w:rFonts w:ascii="Arial" w:hAnsi="Arial" w:cs="Arial"/>
                    </w:rPr>
                    <w:t xml:space="preserve"> </w:t>
                  </w:r>
                  <w:r w:rsidR="00AF2A8C">
                    <w:rPr>
                      <w:rFonts w:ascii="Arial" w:hAnsi="Arial" w:cs="Arial"/>
                      <w:vertAlign w:val="superscript"/>
                    </w:rPr>
                    <w:t>a</w:t>
                  </w:r>
                </w:p>
              </w:tc>
              <w:tc>
                <w:tcPr>
                  <w:tcW w:w="2822" w:type="dxa"/>
                </w:tcPr>
                <w:p w14:paraId="355B1C5E" w14:textId="6A09B9B0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 xml:space="preserve">9.0 </w:t>
                  </w:r>
                </w:p>
              </w:tc>
            </w:tr>
            <w:tr w:rsidR="004D417C" w14:paraId="49BE37C9" w14:textId="77777777" w:rsidTr="004D417C">
              <w:tc>
                <w:tcPr>
                  <w:tcW w:w="3367" w:type="dxa"/>
                </w:tcPr>
                <w:p w14:paraId="7F3A6F9F" w14:textId="6B131CE0" w:rsidR="004D417C" w:rsidRPr="00B92BC8" w:rsidRDefault="000911A1" w:rsidP="004D417C">
                  <w:pPr>
                    <w:rPr>
                      <w:rFonts w:ascii="Arial" w:hAnsi="Arial" w:cs="Arial"/>
                    </w:rPr>
                  </w:pPr>
                  <w:hyperlink r:id="rId28" w:history="1">
                    <w:r w:rsidR="004D417C" w:rsidRPr="00023D81">
                      <w:rPr>
                        <w:rStyle w:val="Hyperlink"/>
                        <w:rFonts w:ascii="Arial" w:hAnsi="Arial" w:cs="Arial"/>
                      </w:rPr>
                      <w:t>Zhu et al</w:t>
                    </w:r>
                  </w:hyperlink>
                  <w:r w:rsidR="00023D81">
                    <w:rPr>
                      <w:rFonts w:ascii="Arial" w:hAnsi="Arial" w:cs="Arial"/>
                    </w:rPr>
                    <w:t xml:space="preserve"> (2015)</w:t>
                  </w:r>
                </w:p>
              </w:tc>
              <w:tc>
                <w:tcPr>
                  <w:tcW w:w="2822" w:type="dxa"/>
                </w:tcPr>
                <w:p w14:paraId="7FD92DC7" w14:textId="122589C1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4D417C" w14:paraId="5168D3E2" w14:textId="77777777" w:rsidTr="004D417C">
              <w:tc>
                <w:tcPr>
                  <w:tcW w:w="3367" w:type="dxa"/>
                </w:tcPr>
                <w:p w14:paraId="31CC331A" w14:textId="0B1B241D" w:rsidR="004D417C" w:rsidRPr="00B92BC8" w:rsidRDefault="000911A1" w:rsidP="004D417C">
                  <w:pPr>
                    <w:rPr>
                      <w:rFonts w:ascii="Arial" w:hAnsi="Arial" w:cs="Arial"/>
                      <w:vertAlign w:val="superscript"/>
                    </w:rPr>
                  </w:pPr>
                  <w:hyperlink r:id="rId29" w:history="1">
                    <w:proofErr w:type="spellStart"/>
                    <w:r w:rsidR="004D417C" w:rsidRPr="006979FF">
                      <w:rPr>
                        <w:rStyle w:val="Hyperlink"/>
                        <w:rFonts w:ascii="Arial" w:hAnsi="Arial" w:cs="Arial"/>
                      </w:rPr>
                      <w:t>Astigarraga</w:t>
                    </w:r>
                    <w:proofErr w:type="spellEnd"/>
                    <w:r w:rsidR="004D417C" w:rsidRPr="006979FF">
                      <w:rPr>
                        <w:rStyle w:val="Hyperlink"/>
                        <w:rFonts w:ascii="Arial" w:hAnsi="Arial" w:cs="Arial"/>
                      </w:rPr>
                      <w:t xml:space="preserve"> et.al (1987 – 1990)</w:t>
                    </w:r>
                    <w:r w:rsidR="001C6416" w:rsidRPr="006979FF">
                      <w:rPr>
                        <w:rStyle w:val="Hyperlink"/>
                        <w:rFonts w:ascii="Arial" w:hAnsi="Arial" w:cs="Arial"/>
                      </w:rPr>
                      <w:t xml:space="preserve"> </w:t>
                    </w:r>
                    <w:r w:rsidR="006A5C6A" w:rsidRPr="006A5C6A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>b</w:t>
                    </w:r>
                  </w:hyperlink>
                </w:p>
              </w:tc>
              <w:tc>
                <w:tcPr>
                  <w:tcW w:w="2822" w:type="dxa"/>
                </w:tcPr>
                <w:p w14:paraId="01D1319C" w14:textId="45226B68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4D417C" w14:paraId="732055BF" w14:textId="77777777" w:rsidTr="004D417C">
              <w:tc>
                <w:tcPr>
                  <w:tcW w:w="3367" w:type="dxa"/>
                </w:tcPr>
                <w:p w14:paraId="3D95775F" w14:textId="15BEC6B4" w:rsidR="004D417C" w:rsidRPr="00B92BC8" w:rsidRDefault="000911A1" w:rsidP="004D417C">
                  <w:pPr>
                    <w:rPr>
                      <w:rFonts w:ascii="Arial" w:hAnsi="Arial" w:cs="Arial"/>
                    </w:rPr>
                  </w:pPr>
                  <w:hyperlink r:id="rId30" w:history="1">
                    <w:r w:rsidR="004D417C" w:rsidRPr="006979FF">
                      <w:rPr>
                        <w:rStyle w:val="Hyperlink"/>
                        <w:rFonts w:ascii="Arial" w:hAnsi="Arial" w:cs="Arial"/>
                      </w:rPr>
                      <w:t>Blatt et.al (1978 – 1993)</w:t>
                    </w:r>
                    <w:r w:rsidR="001C6416" w:rsidRPr="006979FF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 xml:space="preserve"> </w:t>
                    </w:r>
                    <w:r w:rsidR="006A5C6A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>b</w:t>
                    </w:r>
                  </w:hyperlink>
                </w:p>
              </w:tc>
              <w:tc>
                <w:tcPr>
                  <w:tcW w:w="2822" w:type="dxa"/>
                </w:tcPr>
                <w:p w14:paraId="2A114211" w14:textId="547F5AC2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4.5</w:t>
                  </w:r>
                </w:p>
              </w:tc>
            </w:tr>
            <w:tr w:rsidR="004D417C" w14:paraId="704A2FC4" w14:textId="77777777" w:rsidTr="004D417C">
              <w:tc>
                <w:tcPr>
                  <w:tcW w:w="3367" w:type="dxa"/>
                </w:tcPr>
                <w:p w14:paraId="3A867CD8" w14:textId="0489809F" w:rsidR="004D417C" w:rsidRPr="00B92BC8" w:rsidRDefault="000911A1" w:rsidP="004D417C">
                  <w:pPr>
                    <w:rPr>
                      <w:rFonts w:ascii="Arial" w:hAnsi="Arial" w:cs="Arial"/>
                    </w:rPr>
                  </w:pPr>
                  <w:hyperlink r:id="rId31" w:history="1">
                    <w:r w:rsidR="004D417C" w:rsidRPr="006979FF">
                      <w:rPr>
                        <w:rStyle w:val="Hyperlink"/>
                        <w:rFonts w:ascii="Arial" w:hAnsi="Arial" w:cs="Arial"/>
                      </w:rPr>
                      <w:t>Kellie et.al. (1978 – 1989)</w:t>
                    </w:r>
                    <w:r w:rsidR="001C6416" w:rsidRPr="006979FF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 xml:space="preserve"> </w:t>
                    </w:r>
                    <w:r w:rsidR="006A5C6A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>b</w:t>
                    </w:r>
                  </w:hyperlink>
                </w:p>
              </w:tc>
              <w:tc>
                <w:tcPr>
                  <w:tcW w:w="2822" w:type="dxa"/>
                </w:tcPr>
                <w:p w14:paraId="54703911" w14:textId="34C9A67C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14.1</w:t>
                  </w:r>
                </w:p>
              </w:tc>
            </w:tr>
            <w:tr w:rsidR="004D417C" w14:paraId="6C7BA5E5" w14:textId="77777777" w:rsidTr="004D417C">
              <w:tc>
                <w:tcPr>
                  <w:tcW w:w="3367" w:type="dxa"/>
                </w:tcPr>
                <w:p w14:paraId="1DB72F14" w14:textId="76E8E02F" w:rsidR="004D417C" w:rsidRPr="00B92BC8" w:rsidRDefault="000911A1" w:rsidP="004D417C">
                  <w:pPr>
                    <w:rPr>
                      <w:rFonts w:ascii="Arial" w:hAnsi="Arial" w:cs="Arial"/>
                    </w:rPr>
                  </w:pPr>
                  <w:hyperlink r:id="rId32" w:history="1">
                    <w:r w:rsidR="004D417C" w:rsidRPr="00650ACD">
                      <w:rPr>
                        <w:rStyle w:val="Hyperlink"/>
                        <w:rFonts w:ascii="Arial" w:hAnsi="Arial" w:cs="Arial"/>
                      </w:rPr>
                      <w:t>Shaw (1982 – 1989)</w:t>
                    </w:r>
                    <w:r w:rsidR="001C6416" w:rsidRPr="00650ACD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 xml:space="preserve"> </w:t>
                    </w:r>
                    <w:r w:rsidR="006A5C6A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>b</w:t>
                    </w:r>
                  </w:hyperlink>
                </w:p>
              </w:tc>
              <w:tc>
                <w:tcPr>
                  <w:tcW w:w="2822" w:type="dxa"/>
                </w:tcPr>
                <w:p w14:paraId="1795E4EA" w14:textId="3704AD01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D417C" w14:paraId="4CE2EC53" w14:textId="77777777" w:rsidTr="004D417C">
              <w:tc>
                <w:tcPr>
                  <w:tcW w:w="3367" w:type="dxa"/>
                </w:tcPr>
                <w:p w14:paraId="3220881C" w14:textId="072CBED7" w:rsidR="004D417C" w:rsidRPr="00B92BC8" w:rsidRDefault="000911A1" w:rsidP="004D417C">
                  <w:pPr>
                    <w:rPr>
                      <w:rFonts w:ascii="Arial" w:hAnsi="Arial" w:cs="Arial"/>
                    </w:rPr>
                  </w:pPr>
                  <w:hyperlink r:id="rId33" w:history="1">
                    <w:r w:rsidR="00650ACD">
                      <w:rPr>
                        <w:rFonts w:ascii="Arial" w:hAnsi="Arial" w:cs="Arial"/>
                      </w:rPr>
                      <w:t xml:space="preserve">Kramer et al. </w:t>
                    </w:r>
                    <w:r w:rsidR="004D417C" w:rsidRPr="00650ACD">
                      <w:rPr>
                        <w:rStyle w:val="Hyperlink"/>
                        <w:rFonts w:ascii="Arial" w:hAnsi="Arial" w:cs="Arial"/>
                      </w:rPr>
                      <w:t>(1980 – 1999)</w:t>
                    </w:r>
                    <w:r w:rsidR="001C6416" w:rsidRPr="00650ACD">
                      <w:rPr>
                        <w:rStyle w:val="Hyperlink"/>
                        <w:rFonts w:ascii="Arial" w:hAnsi="Arial" w:cs="Arial"/>
                        <w:vertAlign w:val="superscript"/>
                      </w:rPr>
                      <w:t xml:space="preserve"> </w:t>
                    </w:r>
                  </w:hyperlink>
                </w:p>
              </w:tc>
              <w:tc>
                <w:tcPr>
                  <w:tcW w:w="2822" w:type="dxa"/>
                </w:tcPr>
                <w:p w14:paraId="25125F68" w14:textId="120DC149" w:rsidR="004D417C" w:rsidRPr="00B92BC8" w:rsidRDefault="004D417C" w:rsidP="004D417C">
                  <w:pPr>
                    <w:jc w:val="right"/>
                    <w:rPr>
                      <w:rFonts w:ascii="Arial" w:hAnsi="Arial" w:cs="Arial"/>
                    </w:rPr>
                  </w:pPr>
                  <w:r w:rsidRPr="00B92BC8">
                    <w:rPr>
                      <w:rFonts w:ascii="Arial" w:hAnsi="Arial" w:cs="Arial"/>
                    </w:rPr>
                    <w:t>6.7</w:t>
                  </w:r>
                </w:p>
              </w:tc>
            </w:tr>
            <w:tr w:rsidR="001C6416" w14:paraId="233D0405" w14:textId="77777777" w:rsidTr="00D5083B">
              <w:tc>
                <w:tcPr>
                  <w:tcW w:w="6189" w:type="dxa"/>
                  <w:gridSpan w:val="2"/>
                </w:tcPr>
                <w:p w14:paraId="101225B3" w14:textId="50CC7AC1" w:rsidR="001C6416" w:rsidRPr="001C6416" w:rsidRDefault="001C6416" w:rsidP="001C6416">
                  <w:r>
                    <w:rPr>
                      <w:rFonts w:ascii="Arial" w:hAnsi="Arial" w:cs="Arial"/>
                      <w:vertAlign w:val="superscript"/>
                    </w:rPr>
                    <w:t xml:space="preserve">a </w:t>
                  </w:r>
                  <w:r w:rsidR="00AF2A8C" w:rsidRPr="00AF2A8C">
                    <w:rPr>
                      <w:rFonts w:ascii="Arial" w:hAnsi="Arial" w:cs="Arial"/>
                    </w:rPr>
                    <w:t>Company’s own analysis of registry data;</w:t>
                  </w:r>
                  <w:r w:rsidR="00AF2A8C">
                    <w:rPr>
                      <w:rFonts w:ascii="Arial" w:hAnsi="Arial" w:cs="Arial"/>
                      <w:vertAlign w:val="superscript"/>
                    </w:rPr>
                    <w:t xml:space="preserve"> </w:t>
                  </w:r>
                  <w:proofErr w:type="spellStart"/>
                  <w:r w:rsidR="00AF2A8C">
                    <w:rPr>
                      <w:rFonts w:ascii="Arial" w:hAnsi="Arial" w:cs="Arial"/>
                      <w:vertAlign w:val="superscript"/>
                    </w:rPr>
                    <w:t>b</w:t>
                  </w:r>
                  <w:r w:rsidR="003F0948">
                    <w:rPr>
                      <w:rFonts w:ascii="Arial" w:hAnsi="Arial" w:cs="Arial"/>
                    </w:rPr>
                    <w:t>Identified</w:t>
                  </w:r>
                  <w:proofErr w:type="spellEnd"/>
                  <w:r w:rsidR="003F0948">
                    <w:rPr>
                      <w:rFonts w:ascii="Arial" w:hAnsi="Arial" w:cs="Arial"/>
                    </w:rPr>
                    <w:t xml:space="preserve"> via </w:t>
                  </w:r>
                  <w:hyperlink r:id="rId34" w:history="1">
                    <w:r w:rsidR="003F0948" w:rsidRPr="006979FF">
                      <w:rPr>
                        <w:rStyle w:val="Hyperlink"/>
                        <w:rFonts w:ascii="Arial" w:hAnsi="Arial" w:cs="Arial"/>
                      </w:rPr>
                      <w:t>literature review from Kramer et al. (2001)</w:t>
                    </w:r>
                  </w:hyperlink>
                </w:p>
              </w:tc>
            </w:tr>
          </w:tbl>
          <w:p w14:paraId="578F54E7" w14:textId="77777777" w:rsidR="00340C80" w:rsidRDefault="00340C80" w:rsidP="003F094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2D121C6" w14:textId="3E82D3BF" w:rsidR="006B7411" w:rsidRPr="00FC3B72" w:rsidRDefault="002311F8" w:rsidP="00FC3B7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 s</w:t>
            </w:r>
            <w:r w:rsidR="006B7411" w:rsidRPr="006B7411">
              <w:rPr>
                <w:rFonts w:ascii="Arial" w:hAnsi="Arial" w:cs="Arial"/>
              </w:rPr>
              <w:t xml:space="preserve">urvival </w:t>
            </w:r>
            <w:r w:rsidR="006B7411">
              <w:rPr>
                <w:rFonts w:ascii="Arial" w:hAnsi="Arial" w:cs="Arial"/>
              </w:rPr>
              <w:t xml:space="preserve">with standard of care </w:t>
            </w:r>
            <w:r w:rsidR="006B7411" w:rsidRPr="006B7411">
              <w:rPr>
                <w:rFonts w:ascii="Arial" w:hAnsi="Arial" w:cs="Arial"/>
              </w:rPr>
              <w:t xml:space="preserve">could be </w:t>
            </w:r>
            <w:r w:rsidR="000911A1" w:rsidRPr="000911A1">
              <w:rPr>
                <w:rFonts w:ascii="Arial" w:hAnsi="Arial" w:cs="Arial"/>
                <w:highlight w:val="black"/>
                <w:u w:val="single"/>
              </w:rPr>
              <w:t>*************</w:t>
            </w:r>
            <w:r w:rsidR="006B7411" w:rsidRPr="006B7411">
              <w:rPr>
                <w:rFonts w:ascii="Arial" w:hAnsi="Arial" w:cs="Arial"/>
              </w:rPr>
              <w:t xml:space="preserve"> for people who previously had all 3 treatment modalities (radiotherapy, </w:t>
            </w:r>
            <w:proofErr w:type="gramStart"/>
            <w:r w:rsidR="006B7411" w:rsidRPr="006B7411">
              <w:rPr>
                <w:rFonts w:ascii="Arial" w:hAnsi="Arial" w:cs="Arial"/>
              </w:rPr>
              <w:t>chemotherapy</w:t>
            </w:r>
            <w:proofErr w:type="gramEnd"/>
            <w:r w:rsidR="006B7411" w:rsidRPr="006B7411">
              <w:rPr>
                <w:rFonts w:ascii="Arial" w:hAnsi="Arial" w:cs="Arial"/>
              </w:rPr>
              <w:t xml:space="preserve"> and surgery</w:t>
            </w:r>
            <w:r w:rsidR="000E2C64">
              <w:rPr>
                <w:rFonts w:ascii="Arial" w:hAnsi="Arial" w:cs="Arial"/>
              </w:rPr>
              <w:t>; data from CGCCR registry provided by company).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C067F56" w14:textId="77777777" w:rsidR="00340C80" w:rsidRPr="00D71447" w:rsidRDefault="00340C80" w:rsidP="00340C80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41BD97F3" w14:textId="77777777" w:rsidR="00340C80" w:rsidRPr="00EF3DC0" w:rsidRDefault="00340C80" w:rsidP="00BF7D5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340C80" w:rsidRPr="00C9475C" w14:paraId="3926C63E" w14:textId="217B1634" w:rsidTr="006B7411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340C80" w:rsidRPr="00D71447" w:rsidRDefault="00340C80" w:rsidP="00340C8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340C80" w:rsidRDefault="00340C80" w:rsidP="00340C80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52BF37D1" w14:textId="77777777" w:rsidR="00340C80" w:rsidRPr="00D71447" w:rsidRDefault="00340C80" w:rsidP="00340C80">
            <w:pPr>
              <w:rPr>
                <w:rFonts w:ascii="Arial" w:hAnsi="Arial" w:cs="Arial"/>
              </w:rPr>
            </w:pPr>
          </w:p>
          <w:p w14:paraId="37761BB2" w14:textId="77777777" w:rsidR="00340C80" w:rsidRPr="00D71447" w:rsidRDefault="00340C80" w:rsidP="00340C80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7671" w14:textId="35D658AF" w:rsidR="00A347C0" w:rsidRDefault="00A347C0" w:rsidP="00FB4B03">
            <w:pPr>
              <w:ind w:left="34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There is insufficient evidence that this criterion is met:</w:t>
            </w:r>
          </w:p>
          <w:p w14:paraId="7B150424" w14:textId="18ED763C" w:rsidR="00A347C0" w:rsidRDefault="007018E2" w:rsidP="00A347C0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There may be satisfactory treatment options depending on disease status and p</w:t>
            </w:r>
            <w:r w:rsidR="00E4430F">
              <w:rPr>
                <w:rFonts w:ascii="Arial" w:eastAsia="Times New Roman" w:hAnsi="Arial" w:cs="Arial"/>
                <w:b/>
                <w:bCs/>
                <w:lang w:val="en-US"/>
              </w:rPr>
              <w:t>osition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in the neuroblastoma pathway</w:t>
            </w:r>
          </w:p>
          <w:p w14:paraId="43BD748A" w14:textId="1E43EEF4" w:rsidR="007018E2" w:rsidRPr="00A347C0" w:rsidRDefault="00676AB7" w:rsidP="00A347C0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76AB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The magnitude and duration of benefit of </w:t>
            </w:r>
            <w:proofErr w:type="spellStart"/>
            <w:r w:rsidRPr="00676AB7">
              <w:rPr>
                <w:rFonts w:ascii="Arial" w:eastAsia="Times New Roman" w:hAnsi="Arial" w:cs="Arial"/>
                <w:b/>
                <w:bCs/>
                <w:lang w:val="en-US"/>
              </w:rPr>
              <w:t>omburtamab</w:t>
            </w:r>
            <w:proofErr w:type="spellEnd"/>
            <w:r w:rsidRPr="00676AB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over existing treatment options is highly uncertain, and therefore unlikely to meet this criterion</w:t>
            </w:r>
          </w:p>
          <w:p w14:paraId="31A0645E" w14:textId="77777777" w:rsidR="00A347C0" w:rsidRDefault="00A347C0" w:rsidP="00FB4B03">
            <w:pPr>
              <w:ind w:left="34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6FB27ACE" w14:textId="621097E7" w:rsidR="00FB4B03" w:rsidRPr="00177C13" w:rsidRDefault="00FB4B03" w:rsidP="00FB4B03">
            <w:pPr>
              <w:ind w:left="34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Current treatment options</w:t>
            </w:r>
          </w:p>
          <w:p w14:paraId="64FDD8B5" w14:textId="4BA9EA72" w:rsidR="007A1EBE" w:rsidRPr="008631C3" w:rsidRDefault="007A1EBE" w:rsidP="008631C3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lang w:val="en-US"/>
              </w:rPr>
            </w:pPr>
            <w:r w:rsidRPr="008631C3">
              <w:rPr>
                <w:rFonts w:ascii="Arial" w:eastAsia="Times New Roman" w:hAnsi="Arial" w:cs="Arial"/>
                <w:lang w:val="en-US"/>
              </w:rPr>
              <w:t xml:space="preserve">Treatment options </w:t>
            </w:r>
            <w:r w:rsidR="00895DEB" w:rsidRPr="008631C3">
              <w:rPr>
                <w:rFonts w:ascii="Arial" w:eastAsia="Times New Roman" w:hAnsi="Arial" w:cs="Arial"/>
                <w:lang w:val="en-US"/>
              </w:rPr>
              <w:t xml:space="preserve">for neuroblastoma include chemotherapy, surgery, radiotherapy on primary </w:t>
            </w:r>
            <w:proofErr w:type="spellStart"/>
            <w:r w:rsidR="00895DEB" w:rsidRPr="008631C3">
              <w:rPr>
                <w:rFonts w:ascii="Arial" w:eastAsia="Times New Roman" w:hAnsi="Arial" w:cs="Arial"/>
                <w:lang w:val="en-US"/>
              </w:rPr>
              <w:t>tumour</w:t>
            </w:r>
            <w:proofErr w:type="spellEnd"/>
            <w:r w:rsidR="00895DEB" w:rsidRPr="008631C3">
              <w:rPr>
                <w:rFonts w:ascii="Arial" w:eastAsia="Times New Roman" w:hAnsi="Arial" w:cs="Arial"/>
                <w:lang w:val="en-US"/>
              </w:rPr>
              <w:t xml:space="preserve">, stem cell transplant and </w:t>
            </w:r>
            <w:proofErr w:type="spellStart"/>
            <w:r w:rsidR="00895DEB" w:rsidRPr="008631C3">
              <w:rPr>
                <w:rFonts w:ascii="Arial" w:eastAsia="Times New Roman" w:hAnsi="Arial" w:cs="Arial"/>
                <w:lang w:val="en-US"/>
              </w:rPr>
              <w:t>dinutuximab</w:t>
            </w:r>
            <w:proofErr w:type="spellEnd"/>
            <w:r w:rsidR="00C47D61" w:rsidRPr="008631C3">
              <w:rPr>
                <w:rFonts w:ascii="Arial" w:eastAsia="Times New Roman" w:hAnsi="Arial" w:cs="Arial"/>
                <w:lang w:val="en-US"/>
              </w:rPr>
              <w:t xml:space="preserve"> (</w:t>
            </w:r>
            <w:hyperlink r:id="rId35" w:history="1">
              <w:r w:rsidR="00C47D61" w:rsidRPr="0062291D">
                <w:rPr>
                  <w:rStyle w:val="Hyperlink"/>
                  <w:rFonts w:ascii="Arial" w:eastAsia="Times New Roman" w:hAnsi="Arial" w:cs="Arial"/>
                  <w:lang w:val="en-US"/>
                </w:rPr>
                <w:t>TA538</w:t>
              </w:r>
            </w:hyperlink>
            <w:r w:rsidR="00C47D61" w:rsidRPr="008631C3">
              <w:rPr>
                <w:rFonts w:ascii="Arial" w:eastAsia="Times New Roman" w:hAnsi="Arial" w:cs="Arial"/>
                <w:lang w:val="en-US"/>
              </w:rPr>
              <w:t>)</w:t>
            </w:r>
            <w:r w:rsidR="00895DEB" w:rsidRPr="008631C3">
              <w:rPr>
                <w:rFonts w:ascii="Arial" w:eastAsia="Times New Roman" w:hAnsi="Arial" w:cs="Arial"/>
                <w:lang w:val="en-US"/>
              </w:rPr>
              <w:t xml:space="preserve">. </w:t>
            </w:r>
            <w:proofErr w:type="spellStart"/>
            <w:r w:rsidR="004867CC">
              <w:rPr>
                <w:rFonts w:ascii="Arial" w:eastAsia="Times New Roman" w:hAnsi="Arial" w:cs="Arial"/>
                <w:lang w:val="en-US"/>
              </w:rPr>
              <w:t>Dinutuximab</w:t>
            </w:r>
            <w:proofErr w:type="spellEnd"/>
            <w:r w:rsidR="004867C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D60A6D">
              <w:rPr>
                <w:rFonts w:ascii="Arial" w:eastAsia="Times New Roman" w:hAnsi="Arial" w:cs="Arial"/>
                <w:lang w:val="en-US"/>
              </w:rPr>
              <w:t xml:space="preserve">is the only </w:t>
            </w:r>
            <w:r w:rsidR="00D60A6D" w:rsidRPr="008631C3">
              <w:rPr>
                <w:rFonts w:ascii="Arial" w:eastAsia="Times New Roman" w:hAnsi="Arial" w:cs="Arial"/>
                <w:lang w:val="en-US"/>
              </w:rPr>
              <w:t>targeted immunotherapy for neuroblastoma recommended by NICE</w:t>
            </w:r>
            <w:r w:rsidR="00D60A6D">
              <w:rPr>
                <w:rFonts w:ascii="Arial" w:eastAsia="Times New Roman" w:hAnsi="Arial" w:cs="Arial"/>
                <w:lang w:val="en-US"/>
              </w:rPr>
              <w:t>. It</w:t>
            </w:r>
            <w:r w:rsidR="00D60A6D" w:rsidRPr="008631C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4867CC" w:rsidRPr="008631C3">
              <w:rPr>
                <w:rFonts w:ascii="Arial" w:eastAsia="Times New Roman" w:hAnsi="Arial" w:cs="Arial"/>
                <w:lang w:val="en-US"/>
              </w:rPr>
              <w:t>is used for initial treatment of high-risk neuroblastoma without relapsed/refractory disease</w:t>
            </w:r>
            <w:r w:rsidR="004867CC">
              <w:rPr>
                <w:rFonts w:ascii="Arial" w:eastAsia="Times New Roman" w:hAnsi="Arial" w:cs="Arial"/>
                <w:lang w:val="en-US"/>
              </w:rPr>
              <w:t xml:space="preserve"> – this is estimated to be ~</w:t>
            </w:r>
            <w:r w:rsidR="00D60A6D">
              <w:rPr>
                <w:rFonts w:ascii="Arial" w:eastAsia="Times New Roman" w:hAnsi="Arial" w:cs="Arial"/>
                <w:lang w:val="en-US"/>
              </w:rPr>
              <w:t>60 to 70% of patients presenting with neuroblastoma (based on clinical expert opinion)</w:t>
            </w:r>
            <w:r w:rsidR="004867CC" w:rsidRPr="008631C3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7AD6182B" w14:textId="04776F72" w:rsidR="00FB4B03" w:rsidRPr="004867CC" w:rsidRDefault="00FB4B03" w:rsidP="004867CC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lang w:val="en-US"/>
              </w:rPr>
            </w:pPr>
            <w:r w:rsidRPr="008631C3">
              <w:rPr>
                <w:rFonts w:ascii="Arial" w:eastAsia="Times New Roman" w:hAnsi="Arial" w:cs="Arial"/>
                <w:lang w:val="en-US"/>
              </w:rPr>
              <w:t xml:space="preserve">Treatment options for CNS or leptomeningeal metastasis </w:t>
            </w:r>
            <w:r w:rsidR="0062291D">
              <w:rPr>
                <w:rFonts w:ascii="Arial" w:eastAsia="Times New Roman" w:hAnsi="Arial" w:cs="Arial"/>
                <w:lang w:val="en-US"/>
              </w:rPr>
              <w:t xml:space="preserve">of neuroblastoma </w:t>
            </w:r>
            <w:r w:rsidRPr="008631C3">
              <w:rPr>
                <w:rFonts w:ascii="Arial" w:eastAsia="Times New Roman" w:hAnsi="Arial" w:cs="Arial"/>
                <w:lang w:val="en-US"/>
              </w:rPr>
              <w:t>are limited. They include neurosurgical resection</w:t>
            </w:r>
            <w:r w:rsidR="006A5C6A" w:rsidRPr="008631C3">
              <w:rPr>
                <w:rFonts w:ascii="Arial" w:eastAsia="Times New Roman" w:hAnsi="Arial" w:cs="Arial"/>
                <w:lang w:val="en-US"/>
              </w:rPr>
              <w:t xml:space="preserve"> (surgery)</w:t>
            </w:r>
            <w:r w:rsidRPr="008631C3">
              <w:rPr>
                <w:rFonts w:ascii="Arial" w:eastAsia="Times New Roman" w:hAnsi="Arial" w:cs="Arial"/>
                <w:lang w:val="en-US"/>
              </w:rPr>
              <w:t xml:space="preserve">, craniospinal radiotherapy and chemotherapy. Feedback from the scoping workshop was that there is a significant and urgent need for new treatments for this condition as there are no known effective and curative treatments for neuroblastoma with CNS/leptomeningeal metastasis currently available in the UK. </w:t>
            </w:r>
          </w:p>
          <w:p w14:paraId="4DDC3A03" w14:textId="16C49A09" w:rsidR="004867CC" w:rsidRDefault="00FB4B03" w:rsidP="008631C3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8631C3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8631C3">
              <w:rPr>
                <w:rFonts w:ascii="Arial" w:eastAsia="Times New Roman" w:hAnsi="Arial" w:cs="Arial"/>
                <w:lang w:val="en-US"/>
              </w:rPr>
              <w:t xml:space="preserve"> would be the first treatment licensed specifically for CNS or leptomeningeal metastasis. </w:t>
            </w:r>
            <w:r w:rsidR="0023460C">
              <w:rPr>
                <w:rFonts w:ascii="Arial" w:eastAsia="Times New Roman" w:hAnsi="Arial" w:cs="Arial"/>
                <w:lang w:val="en-US"/>
              </w:rPr>
              <w:t>It is a</w:t>
            </w:r>
            <w:r w:rsidR="0023460C" w:rsidRPr="0023460C">
              <w:rPr>
                <w:rFonts w:ascii="Arial" w:eastAsia="Times New Roman" w:hAnsi="Arial" w:cs="Arial"/>
                <w:lang w:val="en-US"/>
              </w:rPr>
              <w:t>dministered as an ‘add on’ therapy after surgery, chemotherapy or radiotherapy</w:t>
            </w:r>
            <w:r w:rsidR="0023460C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gramStart"/>
            <w:r w:rsidR="0023460C">
              <w:rPr>
                <w:rFonts w:ascii="Arial" w:eastAsia="Times New Roman" w:hAnsi="Arial" w:cs="Arial"/>
                <w:lang w:val="en-US"/>
              </w:rPr>
              <w:t>i.e.</w:t>
            </w:r>
            <w:proofErr w:type="gramEnd"/>
            <w:r w:rsidR="0023460C">
              <w:rPr>
                <w:rFonts w:ascii="Arial" w:eastAsia="Times New Roman" w:hAnsi="Arial" w:cs="Arial"/>
                <w:lang w:val="en-US"/>
              </w:rPr>
              <w:t xml:space="preserve"> it is not given alone).</w:t>
            </w:r>
          </w:p>
          <w:p w14:paraId="026A2A5A" w14:textId="367C0A80" w:rsidR="00FB4B03" w:rsidRPr="0062291D" w:rsidRDefault="00D60A6D" w:rsidP="0062291D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 w:rsidRPr="00D60A6D">
              <w:rPr>
                <w:rFonts w:ascii="Arial" w:eastAsia="Times New Roman" w:hAnsi="Arial" w:cs="Arial"/>
                <w:lang w:val="en-US"/>
              </w:rPr>
              <w:t xml:space="preserve">Comparators for </w:t>
            </w:r>
            <w:proofErr w:type="spellStart"/>
            <w:r w:rsidRPr="00D60A6D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D60A6D">
              <w:rPr>
                <w:rFonts w:ascii="Arial" w:eastAsia="Times New Roman" w:hAnsi="Arial" w:cs="Arial"/>
                <w:lang w:val="en-US"/>
              </w:rPr>
              <w:t xml:space="preserve"> are chemotherapy, </w:t>
            </w:r>
            <w:r w:rsidR="0023460C" w:rsidRPr="008631C3">
              <w:rPr>
                <w:rFonts w:ascii="Arial" w:eastAsia="Times New Roman" w:hAnsi="Arial" w:cs="Arial"/>
                <w:lang w:val="en-US"/>
              </w:rPr>
              <w:t xml:space="preserve">neurosurgical </w:t>
            </w:r>
            <w:proofErr w:type="gramStart"/>
            <w:r w:rsidR="0023460C" w:rsidRPr="008631C3">
              <w:rPr>
                <w:rFonts w:ascii="Arial" w:eastAsia="Times New Roman" w:hAnsi="Arial" w:cs="Arial"/>
                <w:lang w:val="en-US"/>
              </w:rPr>
              <w:t>resection</w:t>
            </w:r>
            <w:proofErr w:type="gramEnd"/>
            <w:r w:rsidRPr="00D60A6D">
              <w:rPr>
                <w:rFonts w:ascii="Arial" w:eastAsia="Times New Roman" w:hAnsi="Arial" w:cs="Arial"/>
                <w:lang w:val="en-US"/>
              </w:rPr>
              <w:t xml:space="preserve"> and cranio-spinal irradiation (without </w:t>
            </w:r>
            <w:proofErr w:type="spellStart"/>
            <w:r w:rsidRPr="00D60A6D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D60A6D">
              <w:rPr>
                <w:rFonts w:ascii="Arial" w:eastAsia="Times New Roman" w:hAnsi="Arial" w:cs="Arial"/>
                <w:lang w:val="en-US"/>
              </w:rPr>
              <w:t xml:space="preserve"> add on therapy). </w:t>
            </w:r>
            <w:proofErr w:type="spellStart"/>
            <w:r w:rsidR="006A5C6A" w:rsidRPr="00D60A6D">
              <w:rPr>
                <w:rFonts w:ascii="Arial" w:eastAsia="Times New Roman" w:hAnsi="Arial" w:cs="Arial"/>
                <w:lang w:val="en-US"/>
              </w:rPr>
              <w:t>Dinutuximab</w:t>
            </w:r>
            <w:proofErr w:type="spellEnd"/>
            <w:r w:rsidR="006A5C6A" w:rsidRPr="00D60A6D">
              <w:rPr>
                <w:rFonts w:ascii="Arial" w:eastAsia="Times New Roman" w:hAnsi="Arial" w:cs="Arial"/>
                <w:lang w:val="en-US"/>
              </w:rPr>
              <w:t xml:space="preserve"> is n</w:t>
            </w:r>
            <w:r w:rsidR="00BE205B" w:rsidRPr="00D60A6D">
              <w:rPr>
                <w:rFonts w:ascii="Arial" w:eastAsia="Times New Roman" w:hAnsi="Arial" w:cs="Arial"/>
                <w:lang w:val="en-US"/>
              </w:rPr>
              <w:t>ot a comparator, but</w:t>
            </w:r>
            <w:r w:rsidR="006A5C6A" w:rsidRPr="00D60A6D">
              <w:rPr>
                <w:rFonts w:ascii="Arial" w:eastAsia="Times New Roman" w:hAnsi="Arial" w:cs="Arial"/>
                <w:lang w:val="en-US"/>
              </w:rPr>
              <w:t xml:space="preserve"> a</w:t>
            </w:r>
            <w:r w:rsidR="00BE205B" w:rsidRPr="00D60A6D">
              <w:rPr>
                <w:rFonts w:ascii="Arial" w:eastAsia="Times New Roman" w:hAnsi="Arial" w:cs="Arial"/>
                <w:lang w:val="en-US"/>
              </w:rPr>
              <w:t xml:space="preserve"> large proportion of </w:t>
            </w:r>
            <w:r w:rsidR="00BE205B" w:rsidRPr="00D60A6D">
              <w:rPr>
                <w:rFonts w:ascii="Arial" w:eastAsia="Times New Roman" w:hAnsi="Arial" w:cs="Arial"/>
                <w:lang w:val="en-US"/>
              </w:rPr>
              <w:lastRenderedPageBreak/>
              <w:t xml:space="preserve">people eligible for </w:t>
            </w:r>
            <w:proofErr w:type="spellStart"/>
            <w:r w:rsidR="00BE205B" w:rsidRPr="00D60A6D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="00BE205B" w:rsidRPr="00D60A6D">
              <w:rPr>
                <w:rFonts w:ascii="Arial" w:eastAsia="Times New Roman" w:hAnsi="Arial" w:cs="Arial"/>
                <w:lang w:val="en-US"/>
              </w:rPr>
              <w:t xml:space="preserve"> will have previously received </w:t>
            </w:r>
            <w:proofErr w:type="spellStart"/>
            <w:r w:rsidR="00BE205B" w:rsidRPr="00D60A6D">
              <w:rPr>
                <w:rFonts w:ascii="Arial" w:eastAsia="Times New Roman" w:hAnsi="Arial" w:cs="Arial"/>
                <w:lang w:val="en-US"/>
              </w:rPr>
              <w:t>dinutuximab</w:t>
            </w:r>
            <w:proofErr w:type="spellEnd"/>
            <w:r w:rsidR="00BE205B" w:rsidRPr="00D60A6D">
              <w:rPr>
                <w:rFonts w:ascii="Arial" w:eastAsia="Times New Roman" w:hAnsi="Arial" w:cs="Arial"/>
                <w:lang w:val="en-US"/>
              </w:rPr>
              <w:t xml:space="preserve"> at </w:t>
            </w:r>
            <w:r>
              <w:rPr>
                <w:rFonts w:ascii="Arial" w:eastAsia="Times New Roman" w:hAnsi="Arial" w:cs="Arial"/>
                <w:lang w:val="en-US"/>
              </w:rPr>
              <w:t xml:space="preserve">an </w:t>
            </w:r>
            <w:r w:rsidR="00BE205B" w:rsidRPr="00D60A6D">
              <w:rPr>
                <w:rFonts w:ascii="Arial" w:eastAsia="Times New Roman" w:hAnsi="Arial" w:cs="Arial"/>
                <w:lang w:val="en-US"/>
              </w:rPr>
              <w:t>earlier line (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i.e.</w:t>
            </w:r>
            <w:proofErr w:type="gram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BE205B" w:rsidRPr="00D60A6D">
              <w:rPr>
                <w:rFonts w:ascii="Arial" w:eastAsia="Times New Roman" w:hAnsi="Arial" w:cs="Arial"/>
                <w:lang w:val="en-US"/>
              </w:rPr>
              <w:t>people treated for initial high-risk disease who later develop CNS metastasis).</w:t>
            </w:r>
            <w:r w:rsidR="0062291D" w:rsidRPr="0062291D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1C4F657C" w14:textId="39E3BCB8" w:rsidR="00D60A6D" w:rsidRPr="00D60A6D" w:rsidRDefault="00A700F8" w:rsidP="0062291D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O</w:t>
            </w:r>
            <w:r w:rsidR="0062291D" w:rsidRPr="0062291D">
              <w:rPr>
                <w:rFonts w:ascii="Arial" w:eastAsia="Times New Roman" w:hAnsi="Arial" w:cs="Arial"/>
                <w:lang w:val="en-US"/>
              </w:rPr>
              <w:t>mburtamab</w:t>
            </w:r>
            <w:proofErr w:type="spellEnd"/>
            <w:r w:rsidR="0062291D" w:rsidRPr="0062291D">
              <w:rPr>
                <w:rFonts w:ascii="Arial" w:eastAsia="Times New Roman" w:hAnsi="Arial" w:cs="Arial"/>
                <w:lang w:val="en-US"/>
              </w:rPr>
              <w:t xml:space="preserve"> is a later line treatment for most people. People will likely already have benefitted</w:t>
            </w:r>
            <w:r w:rsidR="0062291D" w:rsidRPr="0062291D">
              <w:rPr>
                <w:rFonts w:ascii="Arial" w:eastAsia="Times New Roman" w:hAnsi="Arial" w:cs="Arial"/>
              </w:rPr>
              <w:t xml:space="preserve"> cumulatively from </w:t>
            </w:r>
            <w:proofErr w:type="spellStart"/>
            <w:r w:rsidR="0062291D" w:rsidRPr="0062291D">
              <w:rPr>
                <w:rFonts w:ascii="Arial" w:eastAsia="Times New Roman" w:hAnsi="Arial" w:cs="Arial"/>
              </w:rPr>
              <w:t>dinutuximab</w:t>
            </w:r>
            <w:proofErr w:type="spellEnd"/>
            <w:r w:rsidR="0062291D" w:rsidRPr="0062291D">
              <w:rPr>
                <w:rFonts w:ascii="Arial" w:eastAsia="Times New Roman" w:hAnsi="Arial" w:cs="Arial"/>
              </w:rPr>
              <w:t xml:space="preserve">, stem cell transplant, and/or chemotherapy, </w:t>
            </w:r>
            <w:proofErr w:type="gramStart"/>
            <w:r w:rsidR="0062291D" w:rsidRPr="0062291D">
              <w:rPr>
                <w:rFonts w:ascii="Arial" w:eastAsia="Times New Roman" w:hAnsi="Arial" w:cs="Arial"/>
              </w:rPr>
              <w:t>surgery</w:t>
            </w:r>
            <w:proofErr w:type="gramEnd"/>
            <w:r w:rsidR="0062291D" w:rsidRPr="0062291D">
              <w:rPr>
                <w:rFonts w:ascii="Arial" w:eastAsia="Times New Roman" w:hAnsi="Arial" w:cs="Arial"/>
              </w:rPr>
              <w:t xml:space="preserve"> and radiotherapy</w:t>
            </w:r>
            <w:r>
              <w:rPr>
                <w:rFonts w:ascii="Arial" w:eastAsia="Times New Roman" w:hAnsi="Arial" w:cs="Arial"/>
              </w:rPr>
              <w:t xml:space="preserve"> before developing CNS/leptomeningeal metastasis and becoming eligible for </w:t>
            </w:r>
            <w:proofErr w:type="spellStart"/>
            <w:r>
              <w:rPr>
                <w:rFonts w:ascii="Arial" w:eastAsia="Times New Roman" w:hAnsi="Arial" w:cs="Arial"/>
              </w:rPr>
              <w:t>omburtamab</w:t>
            </w:r>
            <w:proofErr w:type="spellEnd"/>
            <w:r w:rsidR="0062291D">
              <w:rPr>
                <w:rFonts w:ascii="Arial" w:eastAsia="Times New Roman" w:hAnsi="Arial" w:cs="Arial"/>
              </w:rPr>
              <w:t>.</w:t>
            </w:r>
          </w:p>
          <w:p w14:paraId="3DE77492" w14:textId="77777777" w:rsidR="00FB4B03" w:rsidRDefault="00FB4B03" w:rsidP="00FB4B03">
            <w:pPr>
              <w:ind w:left="34"/>
              <w:rPr>
                <w:rFonts w:ascii="Arial" w:eastAsia="Times New Roman" w:hAnsi="Arial" w:cs="Arial"/>
                <w:lang w:val="en-US"/>
              </w:rPr>
            </w:pPr>
          </w:p>
          <w:p w14:paraId="736FCF84" w14:textId="77777777" w:rsidR="00FB4B03" w:rsidRPr="00177C13" w:rsidRDefault="00FB4B03" w:rsidP="00FB4B03">
            <w:pPr>
              <w:ind w:left="34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Benefit with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omburtamab</w:t>
            </w:r>
            <w:proofErr w:type="spellEnd"/>
          </w:p>
          <w:p w14:paraId="48556F0F" w14:textId="0BE3E3C8" w:rsidR="00B217AC" w:rsidRDefault="00FB4B03" w:rsidP="00B217AC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val="en-US"/>
              </w:rPr>
            </w:pPr>
            <w:r w:rsidRPr="00B217AC">
              <w:rPr>
                <w:rFonts w:ascii="Arial" w:eastAsia="Times New Roman" w:hAnsi="Arial" w:cs="Arial"/>
                <w:lang w:val="en-US"/>
              </w:rPr>
              <w:t>As noted above,</w:t>
            </w:r>
            <w:r w:rsidR="006A5C6A" w:rsidRPr="00B217AC">
              <w:rPr>
                <w:rFonts w:ascii="Arial" w:hAnsi="Arial" w:cs="Arial"/>
              </w:rPr>
              <w:t xml:space="preserve"> estimates of median survival for neuroblastoma with CNS/leptomeningeal metastasis with standard of care (chemotherapy, </w:t>
            </w:r>
            <w:proofErr w:type="gramStart"/>
            <w:r w:rsidR="006A5C6A" w:rsidRPr="00B217AC">
              <w:rPr>
                <w:rFonts w:ascii="Arial" w:hAnsi="Arial" w:cs="Arial"/>
              </w:rPr>
              <w:t>radiotherapy</w:t>
            </w:r>
            <w:proofErr w:type="gramEnd"/>
            <w:r w:rsidR="006A5C6A" w:rsidRPr="00B217AC">
              <w:rPr>
                <w:rFonts w:ascii="Arial" w:hAnsi="Arial" w:cs="Arial"/>
              </w:rPr>
              <w:t xml:space="preserve"> or surgery) vary from 1 month to 14 months</w:t>
            </w:r>
            <w:r w:rsidR="00B217AC" w:rsidRPr="00B217AC">
              <w:rPr>
                <w:rFonts w:ascii="Arial" w:hAnsi="Arial" w:cs="Arial"/>
              </w:rPr>
              <w:t xml:space="preserve">, but could be up to </w:t>
            </w:r>
            <w:r w:rsidR="000911A1" w:rsidRPr="000911A1">
              <w:rPr>
                <w:rFonts w:ascii="Arial" w:hAnsi="Arial" w:cs="Arial"/>
                <w:highlight w:val="black"/>
                <w:u w:val="single"/>
              </w:rPr>
              <w:t>********</w:t>
            </w:r>
            <w:r w:rsidR="00B217AC" w:rsidRPr="00B217AC">
              <w:rPr>
                <w:rFonts w:ascii="Arial" w:hAnsi="Arial" w:cs="Arial"/>
              </w:rPr>
              <w:t xml:space="preserve"> for people who previously had all 3 treatment modalities</w:t>
            </w:r>
            <w:r w:rsidR="00596FB5">
              <w:rPr>
                <w:rFonts w:ascii="Arial" w:hAnsi="Arial" w:cs="Arial"/>
              </w:rPr>
              <w:t xml:space="preserve">. </w:t>
            </w:r>
            <w:r w:rsidRPr="00B217AC">
              <w:rPr>
                <w:rFonts w:ascii="Arial" w:eastAsia="Times New Roman" w:hAnsi="Arial" w:cs="Arial"/>
                <w:lang w:val="en-US"/>
              </w:rPr>
              <w:t>3-year survival is estimated to be 13% to 15%.</w:t>
            </w:r>
          </w:p>
          <w:p w14:paraId="574420DC" w14:textId="40852CEB" w:rsidR="00FB4B03" w:rsidRDefault="00FB4B03" w:rsidP="00B217AC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val="en-US"/>
              </w:rPr>
            </w:pPr>
            <w:r w:rsidRPr="00B217AC">
              <w:rPr>
                <w:rFonts w:ascii="Arial" w:eastAsia="Times New Roman" w:hAnsi="Arial" w:cs="Arial"/>
                <w:lang w:val="en-US"/>
              </w:rPr>
              <w:t xml:space="preserve">Comparatively, </w:t>
            </w:r>
            <w:r w:rsidR="00B217AC">
              <w:rPr>
                <w:rFonts w:ascii="Arial" w:eastAsia="Times New Roman" w:hAnsi="Arial" w:cs="Arial"/>
                <w:lang w:val="en-US"/>
              </w:rPr>
              <w:t>median survival</w:t>
            </w:r>
            <w:r w:rsidRPr="00B217A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596FB5">
              <w:rPr>
                <w:rFonts w:ascii="Arial" w:eastAsia="Times New Roman" w:hAnsi="Arial" w:cs="Arial"/>
                <w:lang w:val="en-US"/>
              </w:rPr>
              <w:t xml:space="preserve">with </w:t>
            </w:r>
            <w:proofErr w:type="spellStart"/>
            <w:r w:rsidR="00596FB5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="00596FB5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B217AC">
              <w:rPr>
                <w:rFonts w:ascii="Arial" w:eastAsia="Times New Roman" w:hAnsi="Arial" w:cs="Arial"/>
                <w:lang w:val="en-US"/>
              </w:rPr>
              <w:t xml:space="preserve">in Trial 03-133 </w:t>
            </w:r>
            <w:r w:rsidR="00B217AC">
              <w:rPr>
                <w:rFonts w:ascii="Arial" w:eastAsia="Times New Roman" w:hAnsi="Arial" w:cs="Arial"/>
                <w:lang w:val="en-US"/>
              </w:rPr>
              <w:t>was</w:t>
            </w:r>
            <w:r w:rsidRPr="00B217AC">
              <w:rPr>
                <w:rFonts w:ascii="Arial" w:eastAsia="Times New Roman" w:hAnsi="Arial" w:cs="Arial"/>
                <w:lang w:val="en-US"/>
              </w:rPr>
              <w:t xml:space="preserve"> 50 months, and 3-year survival was 56%. However, results are uncertain because this trial was single arm, open label and included a small number of patients (n=109). </w:t>
            </w:r>
          </w:p>
          <w:p w14:paraId="0E3BB731" w14:textId="4899B1DA" w:rsidR="00596FB5" w:rsidRPr="00596FB5" w:rsidRDefault="00B217AC" w:rsidP="00596FB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596FB5">
              <w:rPr>
                <w:rFonts w:ascii="Arial" w:eastAsia="Times New Roman" w:hAnsi="Arial" w:cs="Arial"/>
                <w:lang w:val="en-US"/>
              </w:rPr>
              <w:t xml:space="preserve">Survival gains with </w:t>
            </w:r>
            <w:proofErr w:type="spellStart"/>
            <w:r w:rsidRPr="00596FB5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596FB5">
              <w:rPr>
                <w:rFonts w:ascii="Arial" w:eastAsia="Times New Roman" w:hAnsi="Arial" w:cs="Arial"/>
                <w:lang w:val="en-US"/>
              </w:rPr>
              <w:t xml:space="preserve"> uncertain and difficult to estimate – could range from 20 to 49 months</w:t>
            </w:r>
            <w:r w:rsidR="009141AC" w:rsidRPr="00596FB5">
              <w:rPr>
                <w:rFonts w:ascii="Arial" w:eastAsia="Times New Roman" w:hAnsi="Arial" w:cs="Arial"/>
                <w:lang w:val="en-US"/>
              </w:rPr>
              <w:t xml:space="preserve"> (1.7 to 4.1 years)</w:t>
            </w:r>
            <w:r w:rsidRPr="00596FB5">
              <w:rPr>
                <w:rFonts w:ascii="Arial" w:eastAsia="Times New Roman" w:hAnsi="Arial" w:cs="Arial"/>
                <w:lang w:val="en-US"/>
              </w:rPr>
              <w:t xml:space="preserve"> based on naïve comparison of median survival from </w:t>
            </w:r>
            <w:proofErr w:type="spellStart"/>
            <w:r w:rsidRPr="00596FB5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596FB5">
              <w:rPr>
                <w:rFonts w:ascii="Arial" w:eastAsia="Times New Roman" w:hAnsi="Arial" w:cs="Arial"/>
                <w:lang w:val="en-US"/>
              </w:rPr>
              <w:t xml:space="preserve"> trial and external control data. </w:t>
            </w:r>
            <w:r w:rsidR="009141AC" w:rsidRPr="00596FB5">
              <w:rPr>
                <w:rFonts w:ascii="Arial" w:eastAsia="Times New Roman" w:hAnsi="Arial" w:cs="Arial"/>
                <w:lang w:val="en-US"/>
              </w:rPr>
              <w:t xml:space="preserve">For comparative purposes, life-year gains in </w:t>
            </w:r>
            <w:proofErr w:type="spellStart"/>
            <w:r w:rsidR="009141AC" w:rsidRPr="00596FB5">
              <w:rPr>
                <w:rFonts w:ascii="Arial" w:eastAsia="Times New Roman" w:hAnsi="Arial" w:cs="Arial"/>
                <w:lang w:val="en-US"/>
              </w:rPr>
              <w:t>dinutuximab</w:t>
            </w:r>
            <w:proofErr w:type="spellEnd"/>
            <w:r w:rsidR="009141AC" w:rsidRPr="00596FB5">
              <w:rPr>
                <w:rFonts w:ascii="Arial" w:eastAsia="Times New Roman" w:hAnsi="Arial" w:cs="Arial"/>
                <w:lang w:val="en-US"/>
              </w:rPr>
              <w:t xml:space="preserve"> appraisal (vs isotretinoin), which was routed as a TA, ranged from 3.6 to 5.2</w:t>
            </w:r>
            <w:r w:rsidR="00596FB5">
              <w:rPr>
                <w:rFonts w:ascii="Arial" w:eastAsia="Times New Roman" w:hAnsi="Arial" w:cs="Arial"/>
                <w:lang w:val="en-US"/>
              </w:rPr>
              <w:t xml:space="preserve"> years</w:t>
            </w:r>
            <w:r w:rsidR="009141AC" w:rsidRPr="00596FB5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415B6FB6" w14:textId="77777777" w:rsidR="00340C80" w:rsidRDefault="00FB4B03" w:rsidP="00596FB5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</w:rPr>
            </w:pPr>
            <w:r w:rsidRPr="00596FB5">
              <w:rPr>
                <w:rFonts w:ascii="Arial" w:eastAsia="Times New Roman" w:hAnsi="Arial" w:cs="Arial"/>
                <w:lang w:val="en-US"/>
              </w:rPr>
              <w:t xml:space="preserve">Feedback from the scoping workshop was that it is unknown whether </w:t>
            </w:r>
            <w:proofErr w:type="spellStart"/>
            <w:r w:rsidRPr="00596FB5">
              <w:rPr>
                <w:rFonts w:ascii="Arial" w:eastAsia="Times New Roman" w:hAnsi="Arial" w:cs="Arial"/>
                <w:lang w:val="en-US"/>
              </w:rPr>
              <w:t>omburtamab</w:t>
            </w:r>
            <w:proofErr w:type="spellEnd"/>
            <w:r w:rsidRPr="00596FB5">
              <w:rPr>
                <w:rFonts w:ascii="Arial" w:eastAsia="Times New Roman" w:hAnsi="Arial" w:cs="Arial"/>
                <w:lang w:val="en-US"/>
              </w:rPr>
              <w:t xml:space="preserve"> is curative.</w:t>
            </w:r>
            <w:r w:rsidR="00596FB5" w:rsidRPr="00596FB5">
              <w:rPr>
                <w:rFonts w:ascii="Arial" w:eastAsia="Times New Roman" w:hAnsi="Arial" w:cs="Arial"/>
                <w:lang w:val="en-US"/>
              </w:rPr>
              <w:t xml:space="preserve"> The company highlighted that in </w:t>
            </w:r>
            <w:r w:rsidR="00596FB5" w:rsidRPr="00596FB5">
              <w:rPr>
                <w:rFonts w:ascii="Arial" w:eastAsia="Times New Roman" w:hAnsi="Arial" w:cs="Arial"/>
              </w:rPr>
              <w:t xml:space="preserve">Trial 03-133, the overall survival rate plateaus at around 40% with very few patients dying between 5 and 10 years, and several patients </w:t>
            </w:r>
            <w:r w:rsidR="00596FB5" w:rsidRPr="00596FB5">
              <w:rPr>
                <w:rFonts w:ascii="Arial" w:eastAsia="Times New Roman" w:hAnsi="Arial" w:cs="Arial"/>
              </w:rPr>
              <w:lastRenderedPageBreak/>
              <w:t>surviving 10 years and longer</w:t>
            </w:r>
            <w:r w:rsidR="00596FB5">
              <w:rPr>
                <w:rFonts w:ascii="Arial" w:eastAsia="Times New Roman" w:hAnsi="Arial" w:cs="Arial"/>
              </w:rPr>
              <w:t>. Company suggests</w:t>
            </w:r>
            <w:r w:rsidR="00596FB5" w:rsidRPr="00596FB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96FB5" w:rsidRPr="00596FB5">
              <w:rPr>
                <w:rFonts w:ascii="Arial" w:eastAsia="Times New Roman" w:hAnsi="Arial" w:cs="Arial"/>
              </w:rPr>
              <w:t>omburtamab</w:t>
            </w:r>
            <w:proofErr w:type="spellEnd"/>
            <w:r w:rsidR="00596FB5" w:rsidRPr="00596FB5">
              <w:rPr>
                <w:rFonts w:ascii="Arial" w:eastAsia="Times New Roman" w:hAnsi="Arial" w:cs="Arial"/>
              </w:rPr>
              <w:t xml:space="preserve"> is likely to be curative for some</w:t>
            </w:r>
            <w:r w:rsidR="00596FB5">
              <w:rPr>
                <w:rFonts w:ascii="Arial" w:eastAsia="Times New Roman" w:hAnsi="Arial" w:cs="Arial"/>
              </w:rPr>
              <w:t>, but not all,</w:t>
            </w:r>
            <w:r w:rsidR="00596FB5" w:rsidRPr="00596FB5">
              <w:rPr>
                <w:rFonts w:ascii="Arial" w:eastAsia="Times New Roman" w:hAnsi="Arial" w:cs="Arial"/>
              </w:rPr>
              <w:t xml:space="preserve"> patients</w:t>
            </w:r>
            <w:r w:rsidR="00596FB5">
              <w:rPr>
                <w:rFonts w:ascii="Arial" w:eastAsia="Times New Roman" w:hAnsi="Arial" w:cs="Arial"/>
              </w:rPr>
              <w:t>.</w:t>
            </w:r>
          </w:p>
          <w:p w14:paraId="49115641" w14:textId="24D32F40" w:rsidR="00596FB5" w:rsidRPr="00596FB5" w:rsidRDefault="00764522" w:rsidP="00676AB7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</w:rPr>
            </w:pPr>
            <w:proofErr w:type="spellStart"/>
            <w:r w:rsidRPr="00676AB7">
              <w:rPr>
                <w:rFonts w:ascii="Arial" w:eastAsia="Times New Roman" w:hAnsi="Arial" w:cs="Arial"/>
              </w:rPr>
              <w:t>Omburtamab</w:t>
            </w:r>
            <w:proofErr w:type="spellEnd"/>
            <w:r w:rsidRPr="00676AB7">
              <w:rPr>
                <w:rFonts w:ascii="Arial" w:eastAsia="Times New Roman" w:hAnsi="Arial" w:cs="Arial"/>
              </w:rPr>
              <w:t xml:space="preserve"> is likely to offer a benefit over existing treatment options, but the extent of benefit is </w:t>
            </w:r>
            <w:r w:rsidR="00676AB7" w:rsidRPr="00676AB7">
              <w:rPr>
                <w:rFonts w:ascii="Arial" w:eastAsia="Times New Roman" w:hAnsi="Arial" w:cs="Arial"/>
              </w:rPr>
              <w:t xml:space="preserve">highly uncertain. </w:t>
            </w:r>
            <w:r w:rsidR="00BF1369" w:rsidRPr="00676AB7">
              <w:rPr>
                <w:rFonts w:ascii="Arial" w:eastAsia="Times New Roman" w:hAnsi="Arial" w:cs="Arial"/>
              </w:rPr>
              <w:t>Therefore,</w:t>
            </w:r>
            <w:r w:rsidR="00676AB7" w:rsidRPr="00676AB7">
              <w:rPr>
                <w:rFonts w:ascii="Arial" w:eastAsia="Times New Roman" w:hAnsi="Arial" w:cs="Arial"/>
              </w:rPr>
              <w:t xml:space="preserve"> </w:t>
            </w:r>
            <w:r w:rsidR="00676AB7">
              <w:rPr>
                <w:rFonts w:ascii="Arial" w:eastAsia="Times New Roman" w:hAnsi="Arial" w:cs="Arial"/>
              </w:rPr>
              <w:t xml:space="preserve">this criterion is </w:t>
            </w:r>
            <w:r w:rsidR="007E28DB">
              <w:rPr>
                <w:rFonts w:ascii="Arial" w:eastAsia="Times New Roman" w:hAnsi="Arial" w:cs="Arial"/>
              </w:rPr>
              <w:t xml:space="preserve">not </w:t>
            </w:r>
            <w:r w:rsidR="00676AB7">
              <w:rPr>
                <w:rFonts w:ascii="Arial" w:eastAsia="Times New Roman" w:hAnsi="Arial" w:cs="Arial"/>
              </w:rPr>
              <w:t>met.</w:t>
            </w:r>
            <w:r w:rsidR="00596FB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1E4BB0E" w14:textId="159A4AE8" w:rsidR="00340C80" w:rsidRPr="00FB4B03" w:rsidRDefault="006B7411" w:rsidP="00340C80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Not met</w:t>
            </w:r>
          </w:p>
          <w:p w14:paraId="0A0F82F7" w14:textId="77777777" w:rsidR="00340C80" w:rsidRPr="00EF3DC0" w:rsidRDefault="00340C80" w:rsidP="00FB4B03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04873BA" w14:textId="224C1313" w:rsidR="000D3405" w:rsidRDefault="000D3405" w:rsidP="00F90BB8">
      <w:pPr>
        <w:rPr>
          <w:rFonts w:ascii="Arial" w:hAnsi="Arial" w:cs="Arial"/>
          <w:b/>
          <w:bCs/>
        </w:rPr>
      </w:pPr>
    </w:p>
    <w:p w14:paraId="5B848B0E" w14:textId="77777777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36"/>
      <w:footerReference w:type="defaul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0567FF" w:rsidRDefault="000567FF" w:rsidP="00446BEE">
      <w:r>
        <w:separator/>
      </w:r>
    </w:p>
  </w:endnote>
  <w:endnote w:type="continuationSeparator" w:id="0">
    <w:p w14:paraId="35862D2B" w14:textId="77777777" w:rsidR="000567FF" w:rsidRDefault="000567F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6CE8A8E5" w:rsidR="00696A5C" w:rsidRDefault="007A1F83">
    <w:pPr>
      <w:pStyle w:val="Footer"/>
    </w:pPr>
    <w:r>
      <w:t>July</w:t>
    </w:r>
    <w:r w:rsidR="00EC53AC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0567FF" w:rsidRDefault="000567FF" w:rsidP="00446BEE">
      <w:r>
        <w:separator/>
      </w:r>
    </w:p>
  </w:footnote>
  <w:footnote w:type="continuationSeparator" w:id="0">
    <w:p w14:paraId="61D0BE6E" w14:textId="77777777" w:rsidR="000567FF" w:rsidRDefault="000567F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616B9"/>
    <w:multiLevelType w:val="hybridMultilevel"/>
    <w:tmpl w:val="1BC24230"/>
    <w:lvl w:ilvl="0" w:tplc="F28A5C1C">
      <w:start w:val="14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8D038D5"/>
    <w:multiLevelType w:val="hybridMultilevel"/>
    <w:tmpl w:val="E18C544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09011BE8"/>
    <w:multiLevelType w:val="hybridMultilevel"/>
    <w:tmpl w:val="3FAACDEE"/>
    <w:lvl w:ilvl="0" w:tplc="8D78DA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09CF7CAF"/>
    <w:multiLevelType w:val="hybridMultilevel"/>
    <w:tmpl w:val="425E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A1025"/>
    <w:multiLevelType w:val="hybridMultilevel"/>
    <w:tmpl w:val="DDB2BA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1EBC3693"/>
    <w:multiLevelType w:val="hybridMultilevel"/>
    <w:tmpl w:val="DCF66844"/>
    <w:lvl w:ilvl="0" w:tplc="5D085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61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4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2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C8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2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A3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67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C0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3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3696F"/>
    <w:multiLevelType w:val="hybridMultilevel"/>
    <w:tmpl w:val="4AFC2516"/>
    <w:lvl w:ilvl="0" w:tplc="42703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EE5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0E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C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A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A9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47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0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46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F67DC9"/>
    <w:multiLevelType w:val="hybridMultilevel"/>
    <w:tmpl w:val="9618BC88"/>
    <w:lvl w:ilvl="0" w:tplc="1E20F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E4F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261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E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EB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61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A6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4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84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4581">
    <w:abstractNumId w:val="29"/>
  </w:num>
  <w:num w:numId="2" w16cid:durableId="2015456101">
    <w:abstractNumId w:val="31"/>
  </w:num>
  <w:num w:numId="3" w16cid:durableId="304550086">
    <w:abstractNumId w:val="31"/>
    <w:lvlOverride w:ilvl="0">
      <w:startOverride w:val="1"/>
    </w:lvlOverride>
  </w:num>
  <w:num w:numId="4" w16cid:durableId="1410620144">
    <w:abstractNumId w:val="31"/>
    <w:lvlOverride w:ilvl="0">
      <w:startOverride w:val="1"/>
    </w:lvlOverride>
  </w:num>
  <w:num w:numId="5" w16cid:durableId="602566748">
    <w:abstractNumId w:val="31"/>
    <w:lvlOverride w:ilvl="0">
      <w:startOverride w:val="1"/>
    </w:lvlOverride>
  </w:num>
  <w:num w:numId="6" w16cid:durableId="1392312773">
    <w:abstractNumId w:val="31"/>
    <w:lvlOverride w:ilvl="0">
      <w:startOverride w:val="1"/>
    </w:lvlOverride>
  </w:num>
  <w:num w:numId="7" w16cid:durableId="518813627">
    <w:abstractNumId w:val="31"/>
    <w:lvlOverride w:ilvl="0">
      <w:startOverride w:val="1"/>
    </w:lvlOverride>
  </w:num>
  <w:num w:numId="8" w16cid:durableId="1501234299">
    <w:abstractNumId w:val="9"/>
  </w:num>
  <w:num w:numId="9" w16cid:durableId="1587109497">
    <w:abstractNumId w:val="7"/>
  </w:num>
  <w:num w:numId="10" w16cid:durableId="1917665090">
    <w:abstractNumId w:val="6"/>
  </w:num>
  <w:num w:numId="11" w16cid:durableId="1249390651">
    <w:abstractNumId w:val="5"/>
  </w:num>
  <w:num w:numId="12" w16cid:durableId="1426150223">
    <w:abstractNumId w:val="4"/>
  </w:num>
  <w:num w:numId="13" w16cid:durableId="474570194">
    <w:abstractNumId w:val="8"/>
  </w:num>
  <w:num w:numId="14" w16cid:durableId="1913587989">
    <w:abstractNumId w:val="3"/>
  </w:num>
  <w:num w:numId="15" w16cid:durableId="1734427190">
    <w:abstractNumId w:val="2"/>
  </w:num>
  <w:num w:numId="16" w16cid:durableId="1700155585">
    <w:abstractNumId w:val="1"/>
  </w:num>
  <w:num w:numId="17" w16cid:durableId="1445494180">
    <w:abstractNumId w:val="0"/>
  </w:num>
  <w:num w:numId="18" w16cid:durableId="2071075761">
    <w:abstractNumId w:val="20"/>
  </w:num>
  <w:num w:numId="19" w16cid:durableId="34357604">
    <w:abstractNumId w:val="20"/>
    <w:lvlOverride w:ilvl="0">
      <w:startOverride w:val="1"/>
    </w:lvlOverride>
  </w:num>
  <w:num w:numId="20" w16cid:durableId="1271082040">
    <w:abstractNumId w:val="15"/>
  </w:num>
  <w:num w:numId="21" w16cid:durableId="2048605883">
    <w:abstractNumId w:val="34"/>
  </w:num>
  <w:num w:numId="22" w16cid:durableId="1278029486">
    <w:abstractNumId w:val="28"/>
  </w:num>
  <w:num w:numId="23" w16cid:durableId="1022048418">
    <w:abstractNumId w:val="32"/>
  </w:num>
  <w:num w:numId="24" w16cid:durableId="80954416">
    <w:abstractNumId w:val="30"/>
  </w:num>
  <w:num w:numId="25" w16cid:durableId="325986514">
    <w:abstractNumId w:val="25"/>
  </w:num>
  <w:num w:numId="26" w16cid:durableId="344326977">
    <w:abstractNumId w:val="23"/>
  </w:num>
  <w:num w:numId="27" w16cid:durableId="525870792">
    <w:abstractNumId w:val="21"/>
  </w:num>
  <w:num w:numId="28" w16cid:durableId="734354382">
    <w:abstractNumId w:val="16"/>
  </w:num>
  <w:num w:numId="29" w16cid:durableId="2093232475">
    <w:abstractNumId w:val="24"/>
  </w:num>
  <w:num w:numId="30" w16cid:durableId="775367246">
    <w:abstractNumId w:val="35"/>
  </w:num>
  <w:num w:numId="31" w16cid:durableId="95105712">
    <w:abstractNumId w:val="19"/>
  </w:num>
  <w:num w:numId="32" w16cid:durableId="6942586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1521291">
    <w:abstractNumId w:val="11"/>
  </w:num>
  <w:num w:numId="34" w16cid:durableId="798958967">
    <w:abstractNumId w:val="22"/>
  </w:num>
  <w:num w:numId="35" w16cid:durableId="1762410684">
    <w:abstractNumId w:val="26"/>
  </w:num>
  <w:num w:numId="36" w16cid:durableId="177819730">
    <w:abstractNumId w:val="10"/>
  </w:num>
  <w:num w:numId="37" w16cid:durableId="2048287018">
    <w:abstractNumId w:val="33"/>
  </w:num>
  <w:num w:numId="38" w16cid:durableId="801731488">
    <w:abstractNumId w:val="14"/>
  </w:num>
  <w:num w:numId="39" w16cid:durableId="1029914145">
    <w:abstractNumId w:val="13"/>
  </w:num>
  <w:num w:numId="40" w16cid:durableId="228538147">
    <w:abstractNumId w:val="17"/>
  </w:num>
  <w:num w:numId="41" w16cid:durableId="1873036013">
    <w:abstractNumId w:val="18"/>
  </w:num>
  <w:num w:numId="42" w16cid:durableId="868690472">
    <w:abstractNumId w:val="12"/>
  </w:num>
  <w:num w:numId="43" w16cid:durableId="2094742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FF"/>
    <w:rsid w:val="000053F8"/>
    <w:rsid w:val="0000635C"/>
    <w:rsid w:val="00006FAF"/>
    <w:rsid w:val="00023CB5"/>
    <w:rsid w:val="00023D81"/>
    <w:rsid w:val="00024D0A"/>
    <w:rsid w:val="00033CA8"/>
    <w:rsid w:val="000472DC"/>
    <w:rsid w:val="000567FF"/>
    <w:rsid w:val="00070065"/>
    <w:rsid w:val="000911A1"/>
    <w:rsid w:val="000A4FEE"/>
    <w:rsid w:val="000B5939"/>
    <w:rsid w:val="000D3405"/>
    <w:rsid w:val="000E2C64"/>
    <w:rsid w:val="000E39C5"/>
    <w:rsid w:val="00111CCE"/>
    <w:rsid w:val="001134E7"/>
    <w:rsid w:val="00126223"/>
    <w:rsid w:val="00126A87"/>
    <w:rsid w:val="001418CA"/>
    <w:rsid w:val="0017149E"/>
    <w:rsid w:val="0017169E"/>
    <w:rsid w:val="00181A4A"/>
    <w:rsid w:val="001A03FB"/>
    <w:rsid w:val="001B0EE9"/>
    <w:rsid w:val="001B65B3"/>
    <w:rsid w:val="001C6416"/>
    <w:rsid w:val="001D3BC1"/>
    <w:rsid w:val="001D4959"/>
    <w:rsid w:val="00200E38"/>
    <w:rsid w:val="002029A6"/>
    <w:rsid w:val="002175E9"/>
    <w:rsid w:val="002311F8"/>
    <w:rsid w:val="0023460C"/>
    <w:rsid w:val="002408EA"/>
    <w:rsid w:val="002819D7"/>
    <w:rsid w:val="00291A17"/>
    <w:rsid w:val="00292B9A"/>
    <w:rsid w:val="002C1A7E"/>
    <w:rsid w:val="002C35F7"/>
    <w:rsid w:val="002C5E6A"/>
    <w:rsid w:val="002D3376"/>
    <w:rsid w:val="00311ED0"/>
    <w:rsid w:val="00340C80"/>
    <w:rsid w:val="00363071"/>
    <w:rsid w:val="003648C5"/>
    <w:rsid w:val="00367C2D"/>
    <w:rsid w:val="003722FA"/>
    <w:rsid w:val="003A0F66"/>
    <w:rsid w:val="003C7AAF"/>
    <w:rsid w:val="003E1E7E"/>
    <w:rsid w:val="003F0948"/>
    <w:rsid w:val="003F41C3"/>
    <w:rsid w:val="004075B6"/>
    <w:rsid w:val="0041504E"/>
    <w:rsid w:val="00420952"/>
    <w:rsid w:val="00433EFF"/>
    <w:rsid w:val="00443081"/>
    <w:rsid w:val="00446BEE"/>
    <w:rsid w:val="0046555D"/>
    <w:rsid w:val="00482716"/>
    <w:rsid w:val="004867CC"/>
    <w:rsid w:val="004D417C"/>
    <w:rsid w:val="004E20CB"/>
    <w:rsid w:val="004E37FD"/>
    <w:rsid w:val="00501E76"/>
    <w:rsid w:val="005025A1"/>
    <w:rsid w:val="005356F0"/>
    <w:rsid w:val="0053717B"/>
    <w:rsid w:val="005461CB"/>
    <w:rsid w:val="00566E2A"/>
    <w:rsid w:val="00596FB5"/>
    <w:rsid w:val="005B3B35"/>
    <w:rsid w:val="0062291D"/>
    <w:rsid w:val="00650ACD"/>
    <w:rsid w:val="00662D57"/>
    <w:rsid w:val="00676AB7"/>
    <w:rsid w:val="006921E1"/>
    <w:rsid w:val="006959F3"/>
    <w:rsid w:val="00696A5C"/>
    <w:rsid w:val="006979FF"/>
    <w:rsid w:val="006A2A61"/>
    <w:rsid w:val="006A553A"/>
    <w:rsid w:val="006A5C6A"/>
    <w:rsid w:val="006B7411"/>
    <w:rsid w:val="006D6093"/>
    <w:rsid w:val="006F4B25"/>
    <w:rsid w:val="006F5C60"/>
    <w:rsid w:val="006F6496"/>
    <w:rsid w:val="007018E2"/>
    <w:rsid w:val="00703875"/>
    <w:rsid w:val="00715265"/>
    <w:rsid w:val="00723ED9"/>
    <w:rsid w:val="00736348"/>
    <w:rsid w:val="00756DAF"/>
    <w:rsid w:val="00760908"/>
    <w:rsid w:val="00764522"/>
    <w:rsid w:val="007955CD"/>
    <w:rsid w:val="007A1EBE"/>
    <w:rsid w:val="007A1F83"/>
    <w:rsid w:val="007B6176"/>
    <w:rsid w:val="007D69B4"/>
    <w:rsid w:val="007E0D03"/>
    <w:rsid w:val="007E28DB"/>
    <w:rsid w:val="007F09A1"/>
    <w:rsid w:val="007F238D"/>
    <w:rsid w:val="00835AD7"/>
    <w:rsid w:val="00841BC8"/>
    <w:rsid w:val="00857CBD"/>
    <w:rsid w:val="00860835"/>
    <w:rsid w:val="00861B92"/>
    <w:rsid w:val="008631C3"/>
    <w:rsid w:val="00873C18"/>
    <w:rsid w:val="008806FA"/>
    <w:rsid w:val="008814FB"/>
    <w:rsid w:val="00895DEB"/>
    <w:rsid w:val="008A1291"/>
    <w:rsid w:val="008F5E30"/>
    <w:rsid w:val="00900806"/>
    <w:rsid w:val="00906AEF"/>
    <w:rsid w:val="009141AC"/>
    <w:rsid w:val="00914D7F"/>
    <w:rsid w:val="00962555"/>
    <w:rsid w:val="00990997"/>
    <w:rsid w:val="009930B5"/>
    <w:rsid w:val="00994385"/>
    <w:rsid w:val="00995EEA"/>
    <w:rsid w:val="009A60B4"/>
    <w:rsid w:val="009E680B"/>
    <w:rsid w:val="00A15A1F"/>
    <w:rsid w:val="00A3325A"/>
    <w:rsid w:val="00A347C0"/>
    <w:rsid w:val="00A43013"/>
    <w:rsid w:val="00A700F8"/>
    <w:rsid w:val="00AA0377"/>
    <w:rsid w:val="00AF108A"/>
    <w:rsid w:val="00AF2A8C"/>
    <w:rsid w:val="00AF5123"/>
    <w:rsid w:val="00B02E55"/>
    <w:rsid w:val="00B036C1"/>
    <w:rsid w:val="00B217AC"/>
    <w:rsid w:val="00B46ABD"/>
    <w:rsid w:val="00B5431F"/>
    <w:rsid w:val="00B92BC8"/>
    <w:rsid w:val="00BC66C6"/>
    <w:rsid w:val="00BE205B"/>
    <w:rsid w:val="00BF1369"/>
    <w:rsid w:val="00BF629E"/>
    <w:rsid w:val="00BF7D54"/>
    <w:rsid w:val="00BF7FE0"/>
    <w:rsid w:val="00C17FC3"/>
    <w:rsid w:val="00C209B6"/>
    <w:rsid w:val="00C47D61"/>
    <w:rsid w:val="00C564C7"/>
    <w:rsid w:val="00C670DD"/>
    <w:rsid w:val="00C81104"/>
    <w:rsid w:val="00C9475C"/>
    <w:rsid w:val="00C96411"/>
    <w:rsid w:val="00CA055B"/>
    <w:rsid w:val="00CA78AA"/>
    <w:rsid w:val="00CB5671"/>
    <w:rsid w:val="00CD00BD"/>
    <w:rsid w:val="00CD3014"/>
    <w:rsid w:val="00CD6A67"/>
    <w:rsid w:val="00CF58B7"/>
    <w:rsid w:val="00D22C5F"/>
    <w:rsid w:val="00D23F62"/>
    <w:rsid w:val="00D351C1"/>
    <w:rsid w:val="00D35EFB"/>
    <w:rsid w:val="00D44C15"/>
    <w:rsid w:val="00D504B3"/>
    <w:rsid w:val="00D60A6D"/>
    <w:rsid w:val="00D667AE"/>
    <w:rsid w:val="00D71447"/>
    <w:rsid w:val="00D86AC1"/>
    <w:rsid w:val="00D86BF0"/>
    <w:rsid w:val="00D93F96"/>
    <w:rsid w:val="00D96736"/>
    <w:rsid w:val="00DC3B22"/>
    <w:rsid w:val="00DD22B2"/>
    <w:rsid w:val="00DE4DE9"/>
    <w:rsid w:val="00DF772E"/>
    <w:rsid w:val="00E4430F"/>
    <w:rsid w:val="00E51920"/>
    <w:rsid w:val="00E64120"/>
    <w:rsid w:val="00E660A1"/>
    <w:rsid w:val="00E72062"/>
    <w:rsid w:val="00E74106"/>
    <w:rsid w:val="00EA3CCF"/>
    <w:rsid w:val="00EC53AC"/>
    <w:rsid w:val="00ED5793"/>
    <w:rsid w:val="00EE5195"/>
    <w:rsid w:val="00EE70FC"/>
    <w:rsid w:val="00EF3DC0"/>
    <w:rsid w:val="00F00624"/>
    <w:rsid w:val="00F055F1"/>
    <w:rsid w:val="00F610AF"/>
    <w:rsid w:val="00F90BB8"/>
    <w:rsid w:val="00FA2C5A"/>
    <w:rsid w:val="00FB4B03"/>
    <w:rsid w:val="00FB68D3"/>
    <w:rsid w:val="00FC2D11"/>
    <w:rsid w:val="00FC3B72"/>
    <w:rsid w:val="00FC6230"/>
    <w:rsid w:val="00FF61E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8F90"/>
  <w15:chartTrackingRefBased/>
  <w15:docId w15:val="{8DEC6D71-6D20-4067-8595-A2569B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385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555D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8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30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641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6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8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030">
          <w:marLeft w:val="22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105">
          <w:marLeft w:val="22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8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831">
          <w:marLeft w:val="22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110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31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96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cercommun.biomedcentral.com/articles/10.1186/s40880-015-0038-2" TargetMode="External"/><Relationship Id="rId18" Type="http://schemas.openxmlformats.org/officeDocument/2006/relationships/hyperlink" Target="https://reader.elsevier.com/reader/sd/pii/S0959804920312946?token=3F4F5366AE1D7848110C66EFEF76AEE240D29CE2A5886F27860ACA1BE12DA30C8D60D390B437236134373BCF7FF3E6BF&amp;originRegion=eu-west-1&amp;originCreation=20220211103713" TargetMode="External"/><Relationship Id="rId26" Type="http://schemas.openxmlformats.org/officeDocument/2006/relationships/hyperlink" Target="https://www.solvingkidscancer.org.uk/blog/exploring-the-statistics-behind-neuroblastoma-in-the-u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mabs.com/research-development/pipeline/" TargetMode="External"/><Relationship Id="rId34" Type="http://schemas.openxmlformats.org/officeDocument/2006/relationships/hyperlink" Target="https://acsjournals.onlinelibrary.wiley.com/doi/full/10.1002/1097-0142%2820010415%2991%3A8%3C1510%3A%3AAID-CNCR1159%3E3.0.CO%3B2-I" TargetMode="External"/><Relationship Id="rId7" Type="http://schemas.openxmlformats.org/officeDocument/2006/relationships/hyperlink" Target="https://www.nice.org.uk/process/pmg37/chapter/highly-specialised-technologies" TargetMode="External"/><Relationship Id="rId12" Type="http://schemas.openxmlformats.org/officeDocument/2006/relationships/hyperlink" Target="https://www.redjournal.org/article/S0360-3016(03)00502-9/fulltext" TargetMode="External"/><Relationship Id="rId17" Type="http://schemas.openxmlformats.org/officeDocument/2006/relationships/hyperlink" Target="http://www.ncin.org.uk/cancer_type_and_topic_specific_work/cancer_type_specific_work/cancer_in_children_teenagers_and_young_adults/" TargetMode="External"/><Relationship Id="rId25" Type="http://schemas.openxmlformats.org/officeDocument/2006/relationships/hyperlink" Target="https://www.childrenwithcancer.org.uk/childhood-cancer-info/cancer-types/neuroblastoma/" TargetMode="External"/><Relationship Id="rId33" Type="http://schemas.openxmlformats.org/officeDocument/2006/relationships/hyperlink" Target="https://acsjournals.onlinelibrary.wiley.com/doi/full/10.1002/1097-0142%2820010415%2991%3A8%3C1510%3A%3AAID-CNCR1159%3E3.0.CO%3B2-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ncercommun.biomedcentral.com/articles/10.1186/s40880-015-0038-2" TargetMode="External"/><Relationship Id="rId20" Type="http://schemas.openxmlformats.org/officeDocument/2006/relationships/hyperlink" Target="https://cancercommun.biomedcentral.com/articles/10.1186/s40880-015-0038-2" TargetMode="External"/><Relationship Id="rId29" Type="http://schemas.openxmlformats.org/officeDocument/2006/relationships/hyperlink" Target="https://acsjournals.onlinelibrary.wiley.com/doi/10.1002/%28SICI%291096-911X%28199612%2927%3A6%3C529%3A%3AAID-MPO4%3E3.0.CO%3B2-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der.elsevier.com/reader/sd/pii/S0959804920312946?token=3F4F5366AE1D7848110C66EFEF76AEE240D29CE2A5886F27860ACA1BE12DA30C8D60D390B437236134373BCF7FF3E6BF&amp;originRegion=eu-west-1&amp;originCreation=20220211103713" TargetMode="External"/><Relationship Id="rId24" Type="http://schemas.openxmlformats.org/officeDocument/2006/relationships/hyperlink" Target="https://www.royalmarsden.nhs.uk/your-care/cancer-types/paediatric-cancers/medulloblastomapnet" TargetMode="External"/><Relationship Id="rId32" Type="http://schemas.openxmlformats.org/officeDocument/2006/relationships/hyperlink" Target="https://onlinelibrary.wiley.com/doi/10.1002/mpo.2950200211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edjournal.org/article/S0360-3016(03)00502-9/fulltext" TargetMode="External"/><Relationship Id="rId23" Type="http://schemas.openxmlformats.org/officeDocument/2006/relationships/hyperlink" Target="https://www.cancer.gov/pediatric-adult-rare-tumor/rare-tumors/rare-soft-tissue-tumors/desmoplastic-small-round-cell-tumors" TargetMode="External"/><Relationship Id="rId28" Type="http://schemas.openxmlformats.org/officeDocument/2006/relationships/hyperlink" Target="https://www.ncbi.nlm.nih.gov/pmc/articles/PMC4593360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cclg.org.uk/Neuroblastoma" TargetMode="External"/><Relationship Id="rId19" Type="http://schemas.openxmlformats.org/officeDocument/2006/relationships/hyperlink" Target="https://www.redjournal.org/article/S0360-3016(03)00502-9/fulltext" TargetMode="External"/><Relationship Id="rId31" Type="http://schemas.openxmlformats.org/officeDocument/2006/relationships/hyperlink" Target="https://acsjournals.onlinelibrary.wiley.com/doi/epdf/10.1002/1097-0142%2819911101%2968%3A9%3C1999%3A%3AAID-CNCR2820680926%3E3.0.CO%3B2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in.org.uk/cancer_type_and_topic_specific_work/cancer_type_specific_work/cancer_in_children_teenagers_and_young_adults/" TargetMode="External"/><Relationship Id="rId14" Type="http://schemas.openxmlformats.org/officeDocument/2006/relationships/hyperlink" Target="https://reader.elsevier.com/reader/sd/pii/S0959804920312946?token=3F4F5366AE1D7848110C66EFEF76AEE240D29CE2A5886F27860ACA1BE12DA30C8D60D390B437236134373BCF7FF3E6BF&amp;originRegion=eu-west-1&amp;originCreation=20220211103713" TargetMode="External"/><Relationship Id="rId22" Type="http://schemas.openxmlformats.org/officeDocument/2006/relationships/hyperlink" Target="https://www.royalmarsden.nhs.uk/your-care/cancer-types/paediatric-cancers/pontine-glioma" TargetMode="External"/><Relationship Id="rId27" Type="http://schemas.openxmlformats.org/officeDocument/2006/relationships/hyperlink" Target="https://ascopubs.org/doi/10.1200/JCO.2017.35.15_suppl.10555" TargetMode="External"/><Relationship Id="rId30" Type="http://schemas.openxmlformats.org/officeDocument/2006/relationships/hyperlink" Target="https://www.tandfonline.com/doi/abs/10.3109/08880019709009493" TargetMode="External"/><Relationship Id="rId35" Type="http://schemas.openxmlformats.org/officeDocument/2006/relationships/hyperlink" Target="https://www.nice.org.uk/guidance/ta538" TargetMode="External"/><Relationship Id="rId8" Type="http://schemas.openxmlformats.org/officeDocument/2006/relationships/hyperlink" Target="https://www.cancerdata.nhs.uk/prevalence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1454</Words>
  <Characters>12051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Emily Richards</cp:lastModifiedBy>
  <cp:revision>4</cp:revision>
  <cp:lastPrinted>2020-02-04T14:39:00Z</cp:lastPrinted>
  <dcterms:created xsi:type="dcterms:W3CDTF">2022-08-16T17:08:00Z</dcterms:created>
  <dcterms:modified xsi:type="dcterms:W3CDTF">2022-10-07T13:41:00Z</dcterms:modified>
</cp:coreProperties>
</file>