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06EEA943" w14:textId="0F930176" w:rsidR="006D1845" w:rsidRDefault="006D1845" w:rsidP="006D1845">
      <w:pPr>
        <w:pStyle w:val="Title"/>
        <w:tabs>
          <w:tab w:val="center" w:pos="4513"/>
          <w:tab w:val="left" w:pos="7350"/>
        </w:tabs>
      </w:pPr>
      <w:r>
        <w:t>Burosumab for treating FGF23-related hypophosphataemia in tumour-induced osteomalacia ID3924</w:t>
      </w:r>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485D8FA"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7" w:history="1">
        <w:r w:rsidR="00DF772E" w:rsidRPr="00DF772E">
          <w:rPr>
            <w:rStyle w:val="Hyperlink"/>
            <w:rFonts w:ascii="Arial" w:hAnsi="Arial" w:cs="Arial"/>
          </w:rPr>
          <w:t>section 7 of NICE health technology evaluation topic selection: the manual</w:t>
        </w:r>
      </w:hyperlink>
    </w:p>
    <w:p w14:paraId="0A986CA0" w14:textId="14D840F5" w:rsidR="00857CBD" w:rsidRDefault="00E74106" w:rsidP="00F90BB8">
      <w:pPr>
        <w:rPr>
          <w:rFonts w:ascii="Arial" w:hAnsi="Arial" w:cs="Arial"/>
          <w:b/>
          <w:bCs/>
        </w:rPr>
      </w:pPr>
      <w:r>
        <w:rPr>
          <w:rFonts w:ascii="Arial" w:hAnsi="Arial" w:cs="Arial"/>
          <w:b/>
          <w:bCs/>
        </w:rPr>
        <w:t xml:space="preserve"> </w:t>
      </w:r>
    </w:p>
    <w:p w14:paraId="6CD715DE" w14:textId="494DA9D3"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37C101A8" w14:textId="77777777" w:rsidTr="00D71447">
        <w:trPr>
          <w:trHeight w:val="280"/>
        </w:trPr>
        <w:tc>
          <w:tcPr>
            <w:tcW w:w="975" w:type="dxa"/>
            <w:shd w:val="clear" w:color="auto" w:fill="92D050"/>
          </w:tcPr>
          <w:p w14:paraId="7B200E30" w14:textId="49C24FC9"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5B5B89C6"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585A5C59" w14:textId="77777777" w:rsidTr="00D71447">
        <w:trPr>
          <w:trHeight w:val="280"/>
        </w:trPr>
        <w:tc>
          <w:tcPr>
            <w:tcW w:w="975" w:type="dxa"/>
            <w:shd w:val="clear" w:color="auto" w:fill="FFC000"/>
          </w:tcPr>
          <w:p w14:paraId="0269532A" w14:textId="24674662"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Unclear</w:t>
            </w:r>
          </w:p>
        </w:tc>
        <w:tc>
          <w:tcPr>
            <w:tcW w:w="8097" w:type="dxa"/>
          </w:tcPr>
          <w:p w14:paraId="1DA83087" w14:textId="25E05A1D"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some </w:t>
            </w:r>
            <w:r w:rsidR="00D71447">
              <w:rPr>
                <w:rFonts w:ascii="Arial" w:eastAsia="Times New Roman" w:hAnsi="Arial"/>
                <w:lang w:eastAsia="en-GB"/>
              </w:rPr>
              <w:t>evidence,</w:t>
            </w:r>
            <w:r>
              <w:rPr>
                <w:rFonts w:ascii="Arial" w:eastAsia="Times New Roman" w:hAnsi="Arial"/>
                <w:lang w:eastAsia="en-GB"/>
              </w:rPr>
              <w:t xml:space="preserve"> or the evidence</w:t>
            </w:r>
            <w:r w:rsidR="00D71447">
              <w:rPr>
                <w:rFonts w:ascii="Arial" w:eastAsia="Times New Roman" w:hAnsi="Arial"/>
                <w:lang w:eastAsia="en-GB"/>
              </w:rPr>
              <w:t xml:space="preserve"> available</w:t>
            </w:r>
            <w:r>
              <w:rPr>
                <w:rFonts w:ascii="Arial" w:eastAsia="Times New Roman" w:hAnsi="Arial"/>
                <w:lang w:eastAsia="en-GB"/>
              </w:rPr>
              <w:t xml:space="preserve"> is unclear</w:t>
            </w:r>
            <w:r w:rsidR="00D71447">
              <w:rPr>
                <w:rFonts w:ascii="Arial" w:eastAsia="Times New Roman" w:hAnsi="Arial"/>
                <w:lang w:eastAsia="en-GB"/>
              </w:rPr>
              <w:t>.</w:t>
            </w:r>
          </w:p>
        </w:tc>
      </w:tr>
      <w:tr w:rsidR="00E74106" w:rsidRPr="006D6093" w14:paraId="2C33E2C1" w14:textId="77777777" w:rsidTr="00D71447">
        <w:trPr>
          <w:trHeight w:val="343"/>
        </w:trPr>
        <w:tc>
          <w:tcPr>
            <w:tcW w:w="975" w:type="dxa"/>
            <w:shd w:val="clear" w:color="auto" w:fill="FF0000"/>
          </w:tcPr>
          <w:p w14:paraId="1D95A0BE" w14:textId="004DFD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10446DC5" w14:textId="4716D926" w:rsidR="00E74106" w:rsidRPr="00E74106" w:rsidRDefault="00D71447" w:rsidP="00742AF3">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5D8EC4D4" w14:textId="77777777" w:rsidR="00E74106" w:rsidRDefault="00E74106" w:rsidP="00E74106">
      <w:pPr>
        <w:rPr>
          <w:rFonts w:ascii="Arial" w:hAnsi="Arial" w:cs="Arial"/>
          <w:b/>
          <w:bCs/>
        </w:rPr>
      </w:pPr>
    </w:p>
    <w:p w14:paraId="554B65FC" w14:textId="77777777" w:rsidR="00E74106" w:rsidRPr="00C9475C" w:rsidRDefault="00E74106" w:rsidP="00F90BB8">
      <w:pPr>
        <w:rPr>
          <w:rFonts w:ascii="Arial" w:hAnsi="Arial" w:cs="Arial"/>
          <w:b/>
          <w:bCs/>
        </w:rPr>
      </w:pPr>
    </w:p>
    <w:p w14:paraId="3E95E146" w14:textId="22C6E396" w:rsidR="00C9475C" w:rsidRDefault="00C9475C" w:rsidP="00CA055B">
      <w:pPr>
        <w:pStyle w:val="Heading3"/>
      </w:pPr>
      <w:r w:rsidRPr="00C9475C">
        <w:t xml:space="preserve">MA wording: </w:t>
      </w:r>
      <w:r w:rsidR="00921ACD" w:rsidRPr="008D5C42">
        <w:t>T</w:t>
      </w:r>
      <w:r w:rsidR="00921ACD" w:rsidRPr="008D5C42">
        <w:rPr>
          <w:rFonts w:cs="Arial"/>
          <w:szCs w:val="22"/>
        </w:rPr>
        <w:t>reatment of FGF23-related hypophosphataemia in tumour-induced osteomalacia associated with phosphaturic mesenchymal tumours that cannot be curatively resected or localised in patients aged 1 year and over</w:t>
      </w:r>
    </w:p>
    <w:p w14:paraId="5DE853F9" w14:textId="34EA6C45"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604A78F5" w14:textId="1D838B5C"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1A6CF046" w14:textId="7BB686AE"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921ACD" w:rsidRPr="00C9475C" w14:paraId="71E5DCF4" w14:textId="62BB659A" w:rsidTr="00C3032C">
        <w:tc>
          <w:tcPr>
            <w:tcW w:w="403" w:type="pct"/>
            <w:tcBorders>
              <w:top w:val="nil"/>
              <w:left w:val="single" w:sz="8" w:space="0" w:color="auto"/>
              <w:bottom w:val="single" w:sz="8" w:space="0" w:color="auto"/>
              <w:right w:val="single" w:sz="8" w:space="0" w:color="auto"/>
            </w:tcBorders>
          </w:tcPr>
          <w:p w14:paraId="240F2C71" w14:textId="77777777" w:rsidR="00921ACD" w:rsidRPr="00D71447" w:rsidRDefault="00921ACD" w:rsidP="00921ACD">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B1EE" w14:textId="77777777" w:rsidR="00921ACD" w:rsidRPr="00C3032C" w:rsidRDefault="00921ACD" w:rsidP="00921ACD">
            <w:pPr>
              <w:rPr>
                <w:rFonts w:ascii="Arial" w:hAnsi="Arial" w:cs="Arial"/>
                <w:b/>
                <w:bCs/>
              </w:rPr>
            </w:pPr>
            <w:r w:rsidRPr="00C3032C">
              <w:rPr>
                <w:rFonts w:ascii="Arial" w:hAnsi="Arial" w:cs="Arial"/>
                <w:b/>
                <w:bCs/>
              </w:rPr>
              <w:t xml:space="preserve">The condition is very rare defined by 1:50,000 in England </w:t>
            </w:r>
          </w:p>
          <w:p w14:paraId="4AB8D1A0" w14:textId="77777777" w:rsidR="00921ACD" w:rsidRPr="00C3032C" w:rsidRDefault="00921ACD" w:rsidP="00921ACD">
            <w:pPr>
              <w:rPr>
                <w:rFonts w:ascii="Arial" w:hAnsi="Arial" w:cs="Arial"/>
                <w:b/>
                <w:bCs/>
              </w:rPr>
            </w:pPr>
          </w:p>
          <w:p w14:paraId="2F4ED0A0" w14:textId="77777777" w:rsidR="00921ACD" w:rsidRPr="00D71447" w:rsidRDefault="00921ACD" w:rsidP="00921ACD">
            <w:pPr>
              <w:rPr>
                <w:rFonts w:ascii="Arial" w:hAnsi="Arial" w:cs="Arial"/>
              </w:rPr>
            </w:pPr>
          </w:p>
        </w:tc>
        <w:tc>
          <w:tcPr>
            <w:tcW w:w="2689" w:type="pct"/>
            <w:tcBorders>
              <w:top w:val="nil"/>
              <w:left w:val="single" w:sz="8" w:space="0" w:color="auto"/>
              <w:bottom w:val="single" w:sz="8" w:space="0" w:color="auto"/>
              <w:right w:val="single" w:sz="8" w:space="0" w:color="auto"/>
            </w:tcBorders>
          </w:tcPr>
          <w:p w14:paraId="6AEF59D7" w14:textId="77777777" w:rsidR="00921ACD" w:rsidRPr="00921ACD" w:rsidRDefault="00921ACD" w:rsidP="00921ACD">
            <w:pPr>
              <w:pStyle w:val="BodyText"/>
              <w:spacing w:after="0"/>
              <w:rPr>
                <w:rFonts w:cs="Arial"/>
                <w:sz w:val="22"/>
                <w:szCs w:val="22"/>
                <w:lang w:val="en-US"/>
              </w:rPr>
            </w:pPr>
            <w:r w:rsidRPr="00921ACD">
              <w:rPr>
                <w:rFonts w:cs="Arial"/>
                <w:sz w:val="22"/>
                <w:szCs w:val="22"/>
                <w:lang w:val="en-US"/>
              </w:rPr>
              <w:t xml:space="preserve">There are an average of 5 finished consultant episodes in England per year (2015-2021), with a primary diagnosis of other adult osteomalacia. The number of these that are tumour-induced osteomalacia with unresectable tumours is unknown. The target patient group is likely to be very small.  </w:t>
            </w:r>
          </w:p>
          <w:p w14:paraId="7B566B36" w14:textId="77777777" w:rsidR="00921ACD" w:rsidRPr="00921ACD" w:rsidRDefault="00921ACD" w:rsidP="00921ACD">
            <w:pPr>
              <w:pStyle w:val="BodyText"/>
              <w:spacing w:after="0"/>
              <w:rPr>
                <w:rFonts w:cs="Arial"/>
                <w:sz w:val="22"/>
                <w:szCs w:val="22"/>
                <w:lang w:val="en-US"/>
              </w:rPr>
            </w:pPr>
          </w:p>
          <w:p w14:paraId="7DA65A5F" w14:textId="355E818D" w:rsidR="00BB33F8" w:rsidRPr="00993CEF" w:rsidRDefault="00921ACD" w:rsidP="00DC3D1B">
            <w:pPr>
              <w:rPr>
                <w:rFonts w:ascii="Arial" w:hAnsi="Arial" w:cs="Arial"/>
              </w:rPr>
            </w:pPr>
            <w:r w:rsidRPr="00921ACD">
              <w:rPr>
                <w:rFonts w:ascii="Arial" w:hAnsi="Arial" w:cs="Arial"/>
              </w:rPr>
              <w:lastRenderedPageBreak/>
              <w:t xml:space="preserve">A Denmark registry study has estimated the prevalence of tumour-induced osteomalacia to be </w:t>
            </w:r>
            <w:r w:rsidR="00EC6CC3">
              <w:rPr>
                <w:rFonts w:ascii="Arial" w:hAnsi="Arial" w:cs="Arial"/>
              </w:rPr>
              <w:t>less than 0.7 per 100,000</w:t>
            </w:r>
            <w:r w:rsidR="00EC6CC3">
              <w:rPr>
                <w:rFonts w:ascii="Arial" w:hAnsi="Arial" w:cs="Arial"/>
                <w:vertAlign w:val="superscript"/>
              </w:rPr>
              <w:t xml:space="preserve">1 </w:t>
            </w:r>
            <w:r w:rsidRPr="00921ACD">
              <w:rPr>
                <w:rFonts w:ascii="Arial" w:hAnsi="Arial" w:cs="Arial"/>
              </w:rPr>
              <w:t xml:space="preserve">and the corresponding mortality rate at </w:t>
            </w:r>
            <w:r w:rsidRPr="00CA3FF6">
              <w:rPr>
                <w:rFonts w:ascii="Arial" w:hAnsi="Arial" w:cs="Arial"/>
              </w:rPr>
              <w:t>1%</w:t>
            </w:r>
            <w:r w:rsidRPr="00921ACD">
              <w:rPr>
                <w:rFonts w:ascii="Arial" w:hAnsi="Arial" w:cs="Arial"/>
              </w:rPr>
              <w:t xml:space="preserve">. Applied to a population in England of 56 million, this would be </w:t>
            </w:r>
            <w:r w:rsidR="005D08A5">
              <w:rPr>
                <w:rFonts w:ascii="Arial" w:hAnsi="Arial" w:cs="Arial"/>
              </w:rPr>
              <w:t>less than 392</w:t>
            </w:r>
            <w:r w:rsidRPr="00921ACD">
              <w:rPr>
                <w:rFonts w:ascii="Arial" w:hAnsi="Arial" w:cs="Arial"/>
              </w:rPr>
              <w:t xml:space="preserve"> people with the condition, of which ~4 would die from it.   The anticipated marketing authorisation suggests the underlying causal tumours are </w:t>
            </w:r>
            <w:r w:rsidRPr="008D5C42">
              <w:rPr>
                <w:rFonts w:ascii="Arial" w:hAnsi="Arial" w:cs="Arial"/>
              </w:rPr>
              <w:t>phosphaturic mesenchymal tumours</w:t>
            </w:r>
            <w:r w:rsidRPr="00921ACD">
              <w:rPr>
                <w:rFonts w:ascii="Arial" w:hAnsi="Arial" w:cs="Arial"/>
              </w:rPr>
              <w:t xml:space="preserve"> which </w:t>
            </w:r>
            <w:r w:rsidR="008D5C42">
              <w:rPr>
                <w:rFonts w:ascii="Arial" w:hAnsi="Arial" w:cs="Arial"/>
              </w:rPr>
              <w:t>are</w:t>
            </w:r>
            <w:r w:rsidRPr="00921ACD">
              <w:rPr>
                <w:rFonts w:ascii="Arial" w:hAnsi="Arial" w:cs="Arial"/>
              </w:rPr>
              <w:t xml:space="preserve"> “exceptionally rare”</w:t>
            </w:r>
            <w:r w:rsidR="008D5C42" w:rsidRPr="008D5C42">
              <w:rPr>
                <w:rFonts w:ascii="Arial" w:hAnsi="Arial" w:cs="Arial"/>
                <w:vertAlign w:val="superscript"/>
              </w:rPr>
              <w:t>2</w:t>
            </w:r>
            <w:r w:rsidRPr="00921ACD">
              <w:rPr>
                <w:rFonts w:ascii="Arial" w:hAnsi="Arial" w:cs="Arial"/>
              </w:rPr>
              <w:t>.</w:t>
            </w:r>
            <w:r w:rsidRPr="00921ACD">
              <w:rPr>
                <w:rFonts w:cs="Arial"/>
              </w:rPr>
              <w:t xml:space="preserve"> </w:t>
            </w:r>
          </w:p>
        </w:tc>
        <w:tc>
          <w:tcPr>
            <w:tcW w:w="630" w:type="pct"/>
            <w:tcBorders>
              <w:top w:val="nil"/>
              <w:left w:val="single" w:sz="8" w:space="0" w:color="auto"/>
              <w:bottom w:val="single" w:sz="8" w:space="0" w:color="auto"/>
              <w:right w:val="single" w:sz="8" w:space="0" w:color="auto"/>
            </w:tcBorders>
            <w:shd w:val="clear" w:color="auto" w:fill="92D050"/>
          </w:tcPr>
          <w:p w14:paraId="3D14E654" w14:textId="77777777" w:rsidR="00921ACD" w:rsidRPr="00D71447" w:rsidRDefault="00921ACD" w:rsidP="00921ACD">
            <w:pPr>
              <w:ind w:left="288" w:right="188"/>
              <w:rPr>
                <w:rFonts w:ascii="Arial" w:hAnsi="Arial" w:cs="Arial"/>
              </w:rPr>
            </w:pPr>
            <w:r w:rsidRPr="00D71447">
              <w:rPr>
                <w:rFonts w:ascii="Arial" w:hAnsi="Arial" w:cs="Arial"/>
              </w:rPr>
              <w:lastRenderedPageBreak/>
              <w:t>Met</w:t>
            </w:r>
          </w:p>
          <w:p w14:paraId="4A35B2B7" w14:textId="3B59D2A6" w:rsidR="00921ACD" w:rsidRPr="00EF3DC0" w:rsidRDefault="00921ACD" w:rsidP="00921ACD">
            <w:pPr>
              <w:ind w:left="288" w:right="188"/>
              <w:rPr>
                <w:rFonts w:ascii="Arial" w:hAnsi="Arial" w:cs="Arial"/>
                <w:b/>
                <w:bCs/>
              </w:rPr>
            </w:pPr>
          </w:p>
        </w:tc>
      </w:tr>
      <w:tr w:rsidR="000D3405" w:rsidRPr="00C9475C" w14:paraId="6BCC6689" w14:textId="0915F44B" w:rsidTr="00C3032C">
        <w:tc>
          <w:tcPr>
            <w:tcW w:w="403" w:type="pct"/>
            <w:tcBorders>
              <w:top w:val="nil"/>
              <w:left w:val="single" w:sz="8" w:space="0" w:color="auto"/>
              <w:bottom w:val="single" w:sz="8" w:space="0" w:color="auto"/>
              <w:right w:val="single" w:sz="8" w:space="0" w:color="auto"/>
            </w:tcBorders>
          </w:tcPr>
          <w:p w14:paraId="1A5A72F4"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Pr="00C3032C" w:rsidRDefault="000D3405" w:rsidP="000D3405">
            <w:pPr>
              <w:rPr>
                <w:rFonts w:ascii="Arial" w:hAnsi="Arial" w:cs="Arial"/>
                <w:b/>
                <w:bCs/>
              </w:rPr>
            </w:pPr>
            <w:r w:rsidRPr="00C3032C">
              <w:rPr>
                <w:rFonts w:ascii="Arial" w:hAnsi="Arial" w:cs="Arial"/>
                <w:b/>
                <w:bCs/>
              </w:rPr>
              <w:t xml:space="preserve">Normally no more than 300 people in England are eligible for the technology in its licensed indication and no more than 500 across all its indications </w:t>
            </w:r>
          </w:p>
          <w:p w14:paraId="55E850C5" w14:textId="442AD58F"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C621CE7" w14:textId="2662C15D" w:rsidR="00921ACD" w:rsidRDefault="00921ACD" w:rsidP="00921ACD">
            <w:pPr>
              <w:rPr>
                <w:rFonts w:ascii="Arial" w:hAnsi="Arial" w:cs="Arial"/>
                <w:lang w:val="en-US"/>
              </w:rPr>
            </w:pPr>
            <w:r>
              <w:rPr>
                <w:rFonts w:ascii="Arial" w:hAnsi="Arial" w:cs="Arial"/>
                <w:lang w:val="en-US"/>
              </w:rPr>
              <w:t xml:space="preserve">The number of people in England eligible for the technology in its licensed indicated is unknown. Taking the estimate of </w:t>
            </w:r>
            <w:r w:rsidR="009434AB">
              <w:rPr>
                <w:rFonts w:ascii="Arial" w:hAnsi="Arial" w:cs="Arial"/>
                <w:lang w:val="en-US"/>
              </w:rPr>
              <w:t>392</w:t>
            </w:r>
            <w:r>
              <w:rPr>
                <w:rFonts w:ascii="Arial" w:hAnsi="Arial" w:cs="Arial"/>
                <w:lang w:val="en-US"/>
              </w:rPr>
              <w:t xml:space="preserve"> people in England with tumour-induced osteomalacia and assuming those with unresectable tumours will be a proportion of that population, it may be less than 300.</w:t>
            </w:r>
          </w:p>
          <w:p w14:paraId="45B46EC8" w14:textId="360ABA69" w:rsidR="00DC3D1B" w:rsidRDefault="00DC3D1B" w:rsidP="00921ACD">
            <w:pPr>
              <w:rPr>
                <w:rFonts w:ascii="Arial" w:hAnsi="Arial" w:cs="Arial"/>
                <w:lang w:val="en-US"/>
              </w:rPr>
            </w:pPr>
          </w:p>
          <w:p w14:paraId="549E1A1F" w14:textId="1176AAE9" w:rsidR="00DC3D1B" w:rsidRDefault="00DC3D1B" w:rsidP="00921ACD">
            <w:pPr>
              <w:rPr>
                <w:rFonts w:ascii="Arial" w:hAnsi="Arial" w:cs="Arial"/>
              </w:rPr>
            </w:pPr>
            <w:r w:rsidRPr="00993CEF">
              <w:rPr>
                <w:rFonts w:ascii="Arial" w:hAnsi="Arial" w:cs="Arial"/>
              </w:rPr>
              <w:t>A targeted review</w:t>
            </w:r>
            <w:r w:rsidR="002456C9" w:rsidRPr="002456C9">
              <w:rPr>
                <w:rFonts w:ascii="Arial" w:hAnsi="Arial" w:cs="Arial"/>
                <w:vertAlign w:val="superscript"/>
              </w:rPr>
              <w:t>3</w:t>
            </w:r>
            <w:r w:rsidRPr="00993CEF">
              <w:rPr>
                <w:rFonts w:ascii="Arial" w:hAnsi="Arial" w:cs="Arial"/>
              </w:rPr>
              <w:t xml:space="preserve"> summarising the pathophysiology of TIO, found that of 31 patients with TIO syndrome in which genetic causes of hypophosphatemia were excluded, the causative tumour was identified in 61% of them. </w:t>
            </w:r>
            <w:r>
              <w:rPr>
                <w:rFonts w:ascii="Arial" w:hAnsi="Arial" w:cs="Arial"/>
              </w:rPr>
              <w:t>Assuming</w:t>
            </w:r>
            <w:r w:rsidRPr="00993CEF">
              <w:rPr>
                <w:rFonts w:ascii="Arial" w:hAnsi="Arial" w:cs="Arial"/>
              </w:rPr>
              <w:t xml:space="preserve"> &lt;40% of TIO cases are non-localised/non-resectable tumours </w:t>
            </w:r>
            <w:r>
              <w:rPr>
                <w:rFonts w:ascii="Arial" w:hAnsi="Arial" w:cs="Arial"/>
              </w:rPr>
              <w:t>and a</w:t>
            </w:r>
            <w:r w:rsidRPr="00993CEF">
              <w:rPr>
                <w:rFonts w:ascii="Arial" w:hAnsi="Arial" w:cs="Arial"/>
              </w:rPr>
              <w:t xml:space="preserve">pplying these estimates to </w:t>
            </w:r>
            <w:r>
              <w:rPr>
                <w:rFonts w:ascii="Arial" w:hAnsi="Arial" w:cs="Arial"/>
              </w:rPr>
              <w:t>England</w:t>
            </w:r>
            <w:r w:rsidRPr="00993CEF">
              <w:rPr>
                <w:rFonts w:ascii="Arial" w:hAnsi="Arial" w:cs="Arial"/>
              </w:rPr>
              <w:t xml:space="preserve"> would equate to 1</w:t>
            </w:r>
            <w:r>
              <w:rPr>
                <w:rFonts w:ascii="Arial" w:hAnsi="Arial" w:cs="Arial"/>
              </w:rPr>
              <w:t>5</w:t>
            </w:r>
            <w:r w:rsidR="009434AB">
              <w:rPr>
                <w:rFonts w:ascii="Arial" w:hAnsi="Arial" w:cs="Arial"/>
              </w:rPr>
              <w:t>7</w:t>
            </w:r>
            <w:r w:rsidRPr="00993CEF">
              <w:rPr>
                <w:rFonts w:ascii="Arial" w:hAnsi="Arial" w:cs="Arial"/>
              </w:rPr>
              <w:t xml:space="preserve"> p</w:t>
            </w:r>
            <w:r>
              <w:rPr>
                <w:rFonts w:ascii="Arial" w:hAnsi="Arial" w:cs="Arial"/>
              </w:rPr>
              <w:t>eople</w:t>
            </w:r>
            <w:r w:rsidRPr="00993CEF">
              <w:rPr>
                <w:rFonts w:ascii="Arial" w:hAnsi="Arial" w:cs="Arial"/>
              </w:rPr>
              <w:t xml:space="preserve"> with tumours that cannot be curatively resected or localised.</w:t>
            </w:r>
          </w:p>
          <w:p w14:paraId="57F68C45" w14:textId="0FD65501" w:rsidR="009434AB" w:rsidRDefault="009434AB" w:rsidP="00921ACD">
            <w:pPr>
              <w:rPr>
                <w:rFonts w:ascii="Arial" w:hAnsi="Arial" w:cs="Arial"/>
                <w:lang w:val="en-US"/>
              </w:rPr>
            </w:pPr>
          </w:p>
          <w:p w14:paraId="2C87B55F" w14:textId="713015D6" w:rsidR="009434AB" w:rsidRDefault="009434AB" w:rsidP="00921ACD">
            <w:pPr>
              <w:rPr>
                <w:rFonts w:ascii="Arial" w:hAnsi="Arial" w:cs="Arial"/>
                <w:lang w:val="en-US"/>
              </w:rPr>
            </w:pPr>
            <w:r>
              <w:rPr>
                <w:rFonts w:ascii="Arial" w:hAnsi="Arial" w:cs="Arial"/>
                <w:lang w:val="en-US"/>
              </w:rPr>
              <w:t xml:space="preserve">It was concluded in the scoping workshop that the statistics from the Danish registry would overestimate the eligible population in England. Based on clinical expert experience, patient expert experience and the company’s experience, it was agreed that an estimate of 20 would be reasonable as the outside upper limit. </w:t>
            </w:r>
          </w:p>
          <w:p w14:paraId="7AFB913F" w14:textId="77777777" w:rsidR="00921ACD" w:rsidRDefault="00921ACD" w:rsidP="00921ACD">
            <w:pPr>
              <w:rPr>
                <w:rFonts w:ascii="Arial" w:hAnsi="Arial" w:cs="Arial"/>
                <w:lang w:val="en-US"/>
              </w:rPr>
            </w:pPr>
          </w:p>
          <w:p w14:paraId="4C6F7AF2" w14:textId="3502C749" w:rsidR="000D3405" w:rsidRPr="00921ACD" w:rsidRDefault="00B13588" w:rsidP="00921ACD">
            <w:pPr>
              <w:rPr>
                <w:rFonts w:ascii="Arial" w:hAnsi="Arial" w:cs="Arial"/>
              </w:rPr>
            </w:pPr>
            <w:r>
              <w:rPr>
                <w:rFonts w:ascii="Arial" w:hAnsi="Arial" w:cs="Arial"/>
                <w:lang w:val="en-US"/>
              </w:rPr>
              <w:t xml:space="preserve">Burosumab is also indicated for </w:t>
            </w:r>
            <w:r w:rsidR="00921ACD" w:rsidRPr="00921ACD">
              <w:rPr>
                <w:rFonts w:ascii="Arial" w:hAnsi="Arial" w:cs="Arial"/>
                <w:lang w:val="en-US"/>
              </w:rPr>
              <w:t>X-linked hypophosphataemia</w:t>
            </w:r>
            <w:r>
              <w:rPr>
                <w:rFonts w:ascii="Arial" w:hAnsi="Arial" w:cs="Arial"/>
                <w:lang w:val="en-US"/>
              </w:rPr>
              <w:t xml:space="preserve"> – the adult population</w:t>
            </w:r>
            <w:r w:rsidR="00921ACD" w:rsidRPr="00921ACD">
              <w:rPr>
                <w:rFonts w:ascii="Arial" w:hAnsi="Arial" w:cs="Arial"/>
                <w:lang w:val="en-US"/>
              </w:rPr>
              <w:t xml:space="preserve"> is </w:t>
            </w:r>
            <w:r>
              <w:rPr>
                <w:rFonts w:ascii="Arial" w:hAnsi="Arial" w:cs="Arial"/>
                <w:lang w:val="en-US"/>
              </w:rPr>
              <w:t>approximately 350</w:t>
            </w:r>
            <w:r w:rsidR="00921ACD" w:rsidRPr="00921ACD">
              <w:rPr>
                <w:rFonts w:ascii="Arial" w:hAnsi="Arial" w:cs="Arial"/>
                <w:lang w:val="en-US"/>
              </w:rPr>
              <w:t xml:space="preserve"> people currently in treatment with </w:t>
            </w:r>
            <w:r>
              <w:rPr>
                <w:rFonts w:ascii="Arial" w:hAnsi="Arial" w:cs="Arial"/>
                <w:lang w:val="en-US"/>
              </w:rPr>
              <w:t>a prevalence of up to</w:t>
            </w:r>
            <w:r w:rsidR="00921ACD" w:rsidRPr="00921ACD">
              <w:rPr>
                <w:rFonts w:ascii="Arial" w:hAnsi="Arial" w:cs="Arial"/>
                <w:lang w:val="en-US"/>
              </w:rPr>
              <w:t xml:space="preserve"> 1,000 people including those not in treatment or undiagnosed. Burosumab is also indicated for X-linked hypophosphataemia in children. There are approximately 250 children and young people with X-</w:t>
            </w:r>
            <w:r w:rsidR="00921ACD" w:rsidRPr="00921ACD">
              <w:rPr>
                <w:rFonts w:ascii="Arial" w:hAnsi="Arial" w:cs="Arial"/>
                <w:lang w:val="en-US"/>
              </w:rPr>
              <w:lastRenderedPageBreak/>
              <w:t>linked hypophosphataemia in England (</w:t>
            </w:r>
            <w:hyperlink r:id="rId8" w:history="1">
              <w:r w:rsidR="00921ACD" w:rsidRPr="00921ACD">
                <w:rPr>
                  <w:rStyle w:val="Hyperlink"/>
                  <w:rFonts w:ascii="Arial" w:hAnsi="Arial" w:cs="Arial"/>
                  <w:lang w:val="en-US"/>
                </w:rPr>
                <w:t>HST8 scope</w:t>
              </w:r>
            </w:hyperlink>
            <w:r w:rsidR="00921ACD" w:rsidRPr="00921ACD">
              <w:rPr>
                <w:rFonts w:ascii="Arial" w:hAnsi="Arial" w:cs="Arial"/>
                <w:lang w:val="en-US"/>
              </w:rPr>
              <w:t>). This means that total numbers including these indications exceeds 500.</w:t>
            </w:r>
          </w:p>
        </w:tc>
        <w:tc>
          <w:tcPr>
            <w:tcW w:w="630" w:type="pct"/>
            <w:tcBorders>
              <w:top w:val="nil"/>
              <w:left w:val="single" w:sz="8" w:space="0" w:color="auto"/>
              <w:bottom w:val="single" w:sz="8" w:space="0" w:color="auto"/>
              <w:right w:val="single" w:sz="8" w:space="0" w:color="auto"/>
            </w:tcBorders>
            <w:shd w:val="clear" w:color="auto" w:fill="FF0000"/>
          </w:tcPr>
          <w:p w14:paraId="3E2C7EBA" w14:textId="77777777" w:rsidR="00D71447" w:rsidRDefault="00D71447" w:rsidP="00D71447">
            <w:pPr>
              <w:ind w:left="288" w:right="188"/>
              <w:rPr>
                <w:rFonts w:ascii="Arial" w:hAnsi="Arial" w:cs="Arial"/>
              </w:rPr>
            </w:pPr>
            <w:r w:rsidRPr="00D71447">
              <w:rPr>
                <w:rFonts w:ascii="Arial" w:hAnsi="Arial" w:cs="Arial"/>
              </w:rPr>
              <w:lastRenderedPageBreak/>
              <w:t>Not met</w:t>
            </w:r>
          </w:p>
          <w:p w14:paraId="2A49A49C" w14:textId="77777777" w:rsidR="000D3405" w:rsidRPr="00EF3DC0" w:rsidRDefault="000D3405" w:rsidP="00D71447">
            <w:pPr>
              <w:ind w:left="288" w:right="188"/>
              <w:rPr>
                <w:rFonts w:ascii="Arial" w:hAnsi="Arial" w:cs="Arial"/>
                <w:b/>
                <w:bCs/>
              </w:rPr>
            </w:pPr>
          </w:p>
        </w:tc>
      </w:tr>
      <w:tr w:rsidR="000D3405" w:rsidRPr="00C9475C" w14:paraId="7C095163" w14:textId="663CB376" w:rsidTr="00C3032C">
        <w:tc>
          <w:tcPr>
            <w:tcW w:w="403" w:type="pct"/>
            <w:tcBorders>
              <w:top w:val="nil"/>
              <w:left w:val="single" w:sz="8" w:space="0" w:color="auto"/>
              <w:bottom w:val="single" w:sz="8" w:space="0" w:color="auto"/>
              <w:right w:val="single" w:sz="8" w:space="0" w:color="auto"/>
            </w:tcBorders>
          </w:tcPr>
          <w:p w14:paraId="1B8680B2"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03E7EF" w14:textId="77777777" w:rsidR="000D3405" w:rsidRPr="00C3032C" w:rsidRDefault="000D3405" w:rsidP="00742AF3">
            <w:pPr>
              <w:rPr>
                <w:rFonts w:ascii="Arial" w:hAnsi="Arial" w:cs="Arial"/>
                <w:b/>
                <w:bCs/>
              </w:rPr>
            </w:pPr>
            <w:r w:rsidRPr="00C3032C">
              <w:rPr>
                <w:rFonts w:ascii="Arial" w:hAnsi="Arial" w:cs="Arial"/>
                <w:b/>
                <w:bCs/>
              </w:rPr>
              <w:t xml:space="preserve">The very rare condition significantly shortens life or severely impairs its quality </w:t>
            </w:r>
          </w:p>
          <w:p w14:paraId="3AE5894D"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211B2C36" w14:textId="0876A588" w:rsidR="000D3405" w:rsidRDefault="00921ACD" w:rsidP="00921ACD">
            <w:pPr>
              <w:rPr>
                <w:rFonts w:ascii="Arial" w:hAnsi="Arial" w:cs="Arial"/>
              </w:rPr>
            </w:pPr>
            <w:r w:rsidRPr="00921ACD">
              <w:rPr>
                <w:rFonts w:ascii="Arial" w:hAnsi="Arial" w:cs="Arial"/>
              </w:rPr>
              <w:t xml:space="preserve">In the case of unresectable TIO, the condition is chronic. A delay in diagnosis can result in severe disability, including thoracic and spinal deformity. Management therapy is expected to improve symptoms and skeletal involvement but other complications may develop as a result of this therapy. Tolerance of management therapy in patients is </w:t>
            </w:r>
            <w:r w:rsidR="001501C4">
              <w:rPr>
                <w:rFonts w:ascii="Arial" w:hAnsi="Arial" w:cs="Arial"/>
              </w:rPr>
              <w:t>poor</w:t>
            </w:r>
            <w:r w:rsidRPr="00921ACD">
              <w:rPr>
                <w:rFonts w:ascii="Arial" w:hAnsi="Arial" w:cs="Arial"/>
              </w:rPr>
              <w:t>.</w:t>
            </w:r>
          </w:p>
          <w:p w14:paraId="15943E18" w14:textId="77777777" w:rsidR="001501C4" w:rsidRDefault="001501C4" w:rsidP="00921ACD">
            <w:pPr>
              <w:rPr>
                <w:rFonts w:ascii="Arial" w:hAnsi="Arial" w:cs="Arial"/>
              </w:rPr>
            </w:pPr>
          </w:p>
          <w:p w14:paraId="12D121C6" w14:textId="18CF86C2" w:rsidR="00B13588" w:rsidRPr="00921ACD" w:rsidRDefault="00B13588" w:rsidP="00921ACD">
            <w:pPr>
              <w:rPr>
                <w:rFonts w:ascii="Arial" w:hAnsi="Arial" w:cs="Arial"/>
              </w:rPr>
            </w:pPr>
            <w:r>
              <w:rPr>
                <w:rFonts w:ascii="Arial" w:hAnsi="Arial" w:cs="Arial"/>
              </w:rPr>
              <w:t>There is very limited evidence on</w:t>
            </w:r>
            <w:r w:rsidR="004C67B5">
              <w:rPr>
                <w:rFonts w:ascii="Arial" w:hAnsi="Arial" w:cs="Arial"/>
              </w:rPr>
              <w:t xml:space="preserve"> mortality and disease burden for</w:t>
            </w:r>
            <w:r>
              <w:rPr>
                <w:rFonts w:ascii="Arial" w:hAnsi="Arial" w:cs="Arial"/>
              </w:rPr>
              <w:t xml:space="preserve"> patients with </w:t>
            </w:r>
            <w:r w:rsidRPr="00B13588">
              <w:rPr>
                <w:rFonts w:ascii="Arial" w:hAnsi="Arial" w:cs="Arial"/>
              </w:rPr>
              <w:t>FGF23-related hypophosphataemia in tumour-induced osteomalacia associated with phosphaturic mesenchymal tumours that cannot be curatively resected or localised</w:t>
            </w:r>
            <w:r>
              <w:rPr>
                <w:rFonts w:ascii="Arial" w:hAnsi="Arial" w:cs="Arial"/>
              </w:rPr>
              <w:t xml:space="preserve"> specifically.</w:t>
            </w:r>
          </w:p>
        </w:tc>
        <w:tc>
          <w:tcPr>
            <w:tcW w:w="630" w:type="pct"/>
            <w:tcBorders>
              <w:top w:val="nil"/>
              <w:left w:val="single" w:sz="8" w:space="0" w:color="auto"/>
              <w:bottom w:val="single" w:sz="8" w:space="0" w:color="auto"/>
              <w:right w:val="single" w:sz="8" w:space="0" w:color="auto"/>
            </w:tcBorders>
            <w:shd w:val="clear" w:color="auto" w:fill="FFC000"/>
          </w:tcPr>
          <w:p w14:paraId="304FD0F2" w14:textId="2C8F3290" w:rsidR="00D71447" w:rsidRPr="00D71447" w:rsidRDefault="00B13588" w:rsidP="00D71447">
            <w:pPr>
              <w:ind w:left="288" w:right="188"/>
              <w:rPr>
                <w:rFonts w:ascii="Arial" w:hAnsi="Arial" w:cs="Arial"/>
              </w:rPr>
            </w:pPr>
            <w:r>
              <w:rPr>
                <w:rFonts w:ascii="Arial" w:hAnsi="Arial" w:cs="Arial"/>
              </w:rPr>
              <w:t>Unclear</w:t>
            </w:r>
          </w:p>
          <w:p w14:paraId="41BD97F3" w14:textId="77777777" w:rsidR="000D3405" w:rsidRPr="00EF3DC0" w:rsidRDefault="000D3405" w:rsidP="00921ACD">
            <w:pPr>
              <w:ind w:left="288" w:right="188"/>
              <w:rPr>
                <w:rFonts w:ascii="Arial" w:hAnsi="Arial" w:cs="Arial"/>
                <w:b/>
                <w:bCs/>
              </w:rPr>
            </w:pPr>
          </w:p>
        </w:tc>
      </w:tr>
      <w:tr w:rsidR="000D3405" w:rsidRPr="00C9475C" w14:paraId="3926C63E" w14:textId="217B1634" w:rsidTr="00C3032C">
        <w:tc>
          <w:tcPr>
            <w:tcW w:w="403" w:type="pct"/>
            <w:tcBorders>
              <w:top w:val="nil"/>
              <w:left w:val="single" w:sz="8" w:space="0" w:color="auto"/>
              <w:bottom w:val="single" w:sz="8" w:space="0" w:color="auto"/>
              <w:right w:val="single" w:sz="8" w:space="0" w:color="auto"/>
            </w:tcBorders>
          </w:tcPr>
          <w:p w14:paraId="0C844678"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014AD" w14:textId="1C64668F" w:rsidR="000D3405" w:rsidRPr="00C3032C" w:rsidRDefault="000D3405" w:rsidP="00742AF3">
            <w:pPr>
              <w:rPr>
                <w:rFonts w:ascii="Arial" w:hAnsi="Arial" w:cs="Arial"/>
                <w:b/>
                <w:bCs/>
              </w:rPr>
            </w:pPr>
            <w:r w:rsidRPr="00C3032C">
              <w:rPr>
                <w:rFonts w:ascii="Arial" w:hAnsi="Arial" w:cs="Arial"/>
                <w:b/>
                <w:bCs/>
              </w:rPr>
              <w:t>There are no other satisfactory treatment options, or the technology is likely to offer significant additional benefit over existing treatment options.</w:t>
            </w:r>
          </w:p>
          <w:p w14:paraId="52BF37D1" w14:textId="77777777" w:rsidR="00D71447" w:rsidRPr="00D71447" w:rsidRDefault="00D71447" w:rsidP="00742AF3">
            <w:pPr>
              <w:rPr>
                <w:rFonts w:ascii="Arial" w:hAnsi="Arial" w:cs="Arial"/>
              </w:rPr>
            </w:pPr>
          </w:p>
          <w:p w14:paraId="37761BB2"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49115641" w14:textId="563C4D9A" w:rsidR="000D3405" w:rsidRPr="00921ACD" w:rsidRDefault="00921ACD" w:rsidP="00921ACD">
            <w:pPr>
              <w:rPr>
                <w:rFonts w:ascii="Arial" w:hAnsi="Arial" w:cs="Arial"/>
              </w:rPr>
            </w:pPr>
            <w:r w:rsidRPr="00921ACD">
              <w:rPr>
                <w:rFonts w:ascii="Arial" w:hAnsi="Arial" w:cs="Arial"/>
              </w:rPr>
              <w:t>If the tumour can be located but surgery not possible then image-guided ablation with radiofrequency or cryoablation provides an alternative treatment but long-term outcomes are unknown</w:t>
            </w:r>
            <w:r w:rsidRPr="00921ACD">
              <w:rPr>
                <w:rFonts w:ascii="Arial" w:hAnsi="Arial" w:cs="Arial"/>
                <w:vertAlign w:val="superscript"/>
              </w:rPr>
              <w:t>1</w:t>
            </w:r>
            <w:r w:rsidRPr="00921ACD">
              <w:rPr>
                <w:rFonts w:ascii="Arial" w:hAnsi="Arial" w:cs="Arial"/>
              </w:rPr>
              <w:t>. Otherwise there is no treatment beyond symptom management. Management options include phosphate supplementation, vitamin D analogues such as alfacalcidol or calcitriol, or supportive care</w:t>
            </w:r>
            <w:r w:rsidRPr="00921ACD">
              <w:rPr>
                <w:rFonts w:ascii="Arial" w:hAnsi="Arial" w:cs="Arial"/>
                <w:vertAlign w:val="superscript"/>
              </w:rPr>
              <w:t>1</w:t>
            </w:r>
            <w:r w:rsidRPr="00921ACD">
              <w:rPr>
                <w:rFonts w:ascii="Arial" w:hAnsi="Arial" w:cs="Arial"/>
              </w:rPr>
              <w:t>. Conventional therapy is taken 4-6 times a day which interferes with usual activities including work and can disturb sleep.</w:t>
            </w:r>
          </w:p>
        </w:tc>
        <w:tc>
          <w:tcPr>
            <w:tcW w:w="630" w:type="pct"/>
            <w:tcBorders>
              <w:top w:val="nil"/>
              <w:left w:val="single" w:sz="8" w:space="0" w:color="auto"/>
              <w:bottom w:val="single" w:sz="8" w:space="0" w:color="auto"/>
              <w:right w:val="single" w:sz="8" w:space="0" w:color="auto"/>
            </w:tcBorders>
            <w:shd w:val="clear" w:color="auto" w:fill="92D050"/>
          </w:tcPr>
          <w:p w14:paraId="0A0F82F7" w14:textId="3DBCD24E" w:rsidR="000D3405" w:rsidRPr="00921ACD" w:rsidRDefault="00D71447" w:rsidP="00921ACD">
            <w:pPr>
              <w:ind w:left="288" w:right="188"/>
              <w:rPr>
                <w:rFonts w:ascii="Arial" w:hAnsi="Arial" w:cs="Arial"/>
              </w:rPr>
            </w:pPr>
            <w:r w:rsidRPr="00D71447">
              <w:rPr>
                <w:rFonts w:ascii="Arial" w:hAnsi="Arial" w:cs="Arial"/>
              </w:rPr>
              <w:t>Met</w:t>
            </w:r>
          </w:p>
        </w:tc>
      </w:tr>
    </w:tbl>
    <w:p w14:paraId="204873BA" w14:textId="224C1313" w:rsidR="000D3405" w:rsidRDefault="000D3405" w:rsidP="00F90BB8">
      <w:pPr>
        <w:rPr>
          <w:rFonts w:ascii="Arial" w:hAnsi="Arial" w:cs="Arial"/>
          <w:b/>
          <w:bCs/>
        </w:rPr>
      </w:pPr>
    </w:p>
    <w:p w14:paraId="5B848B0E" w14:textId="72E7B8C7" w:rsidR="00715265" w:rsidRPr="00EC6CC3" w:rsidRDefault="00993CEF" w:rsidP="00F90BB8">
      <w:pPr>
        <w:rPr>
          <w:rFonts w:ascii="Arial" w:hAnsi="Arial" w:cs="Arial"/>
          <w:b/>
          <w:bCs/>
        </w:rPr>
      </w:pPr>
      <w:r w:rsidRPr="00EC6CC3">
        <w:rPr>
          <w:rFonts w:ascii="Arial" w:hAnsi="Arial" w:cs="Arial"/>
          <w:b/>
          <w:bCs/>
        </w:rPr>
        <w:t>References</w:t>
      </w:r>
    </w:p>
    <w:p w14:paraId="3EA8A03B" w14:textId="6D07ED0E" w:rsidR="00EC6CC3" w:rsidRDefault="00EC6CC3" w:rsidP="00F90BB8">
      <w:pPr>
        <w:rPr>
          <w:rFonts w:ascii="Arial" w:hAnsi="Arial" w:cs="Arial"/>
        </w:rPr>
      </w:pPr>
      <w:r w:rsidRPr="00EC6CC3">
        <w:rPr>
          <w:rFonts w:ascii="Arial" w:hAnsi="Arial" w:cs="Arial"/>
          <w:b/>
          <w:bCs/>
          <w:vertAlign w:val="superscript"/>
        </w:rPr>
        <w:t>1</w:t>
      </w:r>
      <w:r w:rsidRPr="00EC6CC3">
        <w:rPr>
          <w:rFonts w:ascii="Arial" w:hAnsi="Arial" w:cs="Arial"/>
        </w:rPr>
        <w:t xml:space="preserve"> Abrahamsen B, Smith CD, Minisola S. Epidemiology of Tumor-Induced Osteomalacia in Denmark. </w:t>
      </w:r>
      <w:r w:rsidRPr="00EC6CC3">
        <w:rPr>
          <w:rFonts w:ascii="Arial" w:hAnsi="Arial" w:cs="Arial"/>
          <w:i/>
        </w:rPr>
        <w:t xml:space="preserve">Calcified tissue international. </w:t>
      </w:r>
      <w:r w:rsidRPr="00EC6CC3">
        <w:rPr>
          <w:rFonts w:ascii="Arial" w:hAnsi="Arial" w:cs="Arial"/>
        </w:rPr>
        <w:t>2021;109(2):147-156.</w:t>
      </w:r>
    </w:p>
    <w:p w14:paraId="3BA1B5DF" w14:textId="3AA9B72A" w:rsidR="008D5C42" w:rsidRPr="008D5C42" w:rsidRDefault="008D5C42" w:rsidP="008D5C42">
      <w:pPr>
        <w:rPr>
          <w:rStyle w:val="Hyperlink"/>
          <w:rFonts w:ascii="Arial" w:hAnsi="Arial" w:cs="Arial"/>
        </w:rPr>
      </w:pPr>
      <w:r w:rsidRPr="002456C9">
        <w:rPr>
          <w:rFonts w:ascii="Arial" w:hAnsi="Arial" w:cs="Arial"/>
          <w:vertAlign w:val="superscript"/>
        </w:rPr>
        <w:t>2</w:t>
      </w:r>
      <w:r w:rsidR="002456C9" w:rsidRPr="002456C9">
        <w:rPr>
          <w:rFonts w:ascii="Arial" w:hAnsi="Arial" w:cs="Arial"/>
        </w:rPr>
        <w:t xml:space="preserve"> </w:t>
      </w:r>
      <w:r w:rsidR="002456C9" w:rsidRPr="002456C9">
        <w:rPr>
          <w:rStyle w:val="Hyperlink"/>
          <w:rFonts w:ascii="Arial" w:hAnsi="Arial" w:cs="Arial"/>
          <w:color w:val="auto"/>
          <w:u w:val="none"/>
        </w:rPr>
        <w:t>Ghorbani-Aghbolaghi</w:t>
      </w:r>
      <w:r w:rsidR="002456C9" w:rsidRPr="002456C9">
        <w:rPr>
          <w:rFonts w:ascii="Arial" w:hAnsi="Arial" w:cs="Arial"/>
        </w:rPr>
        <w:t xml:space="preserve"> </w:t>
      </w:r>
      <w:r w:rsidR="002456C9">
        <w:rPr>
          <w:rFonts w:ascii="Arial" w:hAnsi="Arial" w:cs="Arial"/>
        </w:rPr>
        <w:t>A, Morgan AD, Wang T.</w:t>
      </w:r>
      <w:hyperlink r:id="rId9" w:anchor="B006" w:history="1"/>
      <w:r w:rsidRPr="002456C9">
        <w:rPr>
          <w:rStyle w:val="Hyperlink"/>
          <w:rFonts w:ascii="Arial" w:hAnsi="Arial" w:cs="Arial"/>
          <w:color w:val="auto"/>
          <w:u w:val="none"/>
        </w:rPr>
        <w:t>Phosphaturic mesenchymal tumor (PMT): exceptionally rare disease, yet crucial not to miss</w:t>
      </w:r>
    </w:p>
    <w:p w14:paraId="641E361C" w14:textId="148C10A3" w:rsidR="008D5C42" w:rsidRPr="002456C9" w:rsidRDefault="008D5C42" w:rsidP="002456C9">
      <w:pPr>
        <w:shd w:val="clear" w:color="auto" w:fill="FFFFFF"/>
        <w:rPr>
          <w:rFonts w:ascii="Helvetica" w:hAnsi="Helvetica" w:cs="Helvetica"/>
          <w:color w:val="212121"/>
        </w:rPr>
      </w:pPr>
      <w:r w:rsidRPr="002456C9">
        <w:rPr>
          <w:rFonts w:ascii="Helvetica" w:hAnsi="Helvetica" w:cs="Helvetica"/>
          <w:color w:val="212121"/>
        </w:rPr>
        <w:t>Autops Case Rep.</w:t>
      </w:r>
      <w:r>
        <w:rPr>
          <w:rFonts w:ascii="Helvetica" w:hAnsi="Helvetica" w:cs="Helvetica"/>
          <w:color w:val="212121"/>
        </w:rPr>
        <w:t> 2017 Jul-Sep; 7(3): 32–37</w:t>
      </w:r>
      <w:r>
        <w:rPr>
          <w:rStyle w:val="fm-vol-iss-date"/>
          <w:rFonts w:ascii="Helvetica" w:hAnsi="Helvetica" w:cs="Helvetica"/>
          <w:color w:val="212121"/>
        </w:rPr>
        <w:t>. </w:t>
      </w:r>
      <w:r>
        <w:rPr>
          <w:rStyle w:val="doi"/>
          <w:rFonts w:ascii="Helvetica" w:hAnsi="Helvetica" w:cs="Helvetica"/>
          <w:color w:val="212121"/>
        </w:rPr>
        <w:t>doi: </w:t>
      </w:r>
      <w:hyperlink r:id="rId10" w:tgtFrame="_blank" w:history="1">
        <w:r>
          <w:rPr>
            <w:rStyle w:val="Hyperlink"/>
            <w:rFonts w:ascii="Helvetica" w:hAnsi="Helvetica" w:cs="Helvetica"/>
            <w:color w:val="376FAA"/>
          </w:rPr>
          <w:t>10.4322/acr.2017.031</w:t>
        </w:r>
      </w:hyperlink>
    </w:p>
    <w:p w14:paraId="01C4C7CF" w14:textId="76C769F7" w:rsidR="00993CEF" w:rsidRPr="00EC6CC3" w:rsidRDefault="002456C9" w:rsidP="00993CEF">
      <w:pPr>
        <w:rPr>
          <w:rFonts w:ascii="Arial" w:hAnsi="Arial" w:cs="Arial"/>
          <w:b/>
          <w:bCs/>
        </w:rPr>
      </w:pPr>
      <w:r>
        <w:rPr>
          <w:rFonts w:ascii="Arial" w:hAnsi="Arial" w:cs="Arial"/>
          <w:vertAlign w:val="superscript"/>
        </w:rPr>
        <w:t>3</w:t>
      </w:r>
      <w:r w:rsidR="00993CEF" w:rsidRPr="00EC6CC3">
        <w:rPr>
          <w:rFonts w:ascii="Arial" w:hAnsi="Arial" w:cs="Arial"/>
        </w:rPr>
        <w:t xml:space="preserve">Chong WH, Molinolo AA, Chen CC, Collins MT. Tumor-induced osteomalacia. </w:t>
      </w:r>
      <w:r w:rsidR="00993CEF" w:rsidRPr="00EC6CC3">
        <w:rPr>
          <w:rFonts w:ascii="Arial" w:hAnsi="Arial" w:cs="Arial"/>
          <w:i/>
        </w:rPr>
        <w:t xml:space="preserve">Endocrine-related cancer. </w:t>
      </w:r>
      <w:r w:rsidR="00993CEF" w:rsidRPr="00EC6CC3">
        <w:rPr>
          <w:rFonts w:ascii="Arial" w:hAnsi="Arial" w:cs="Arial"/>
        </w:rPr>
        <w:t>2011;18(3):R53-R77.</w:t>
      </w:r>
    </w:p>
    <w:sectPr w:rsidR="00993CEF" w:rsidRPr="00EC6CC3" w:rsidSect="000D3405">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1CE0" w14:textId="77777777" w:rsidR="000567FF" w:rsidRDefault="000567FF" w:rsidP="00446BEE">
      <w:r>
        <w:separator/>
      </w:r>
    </w:p>
  </w:endnote>
  <w:endnote w:type="continuationSeparator" w:id="0">
    <w:p w14:paraId="35862D2B" w14:textId="77777777" w:rsidR="000567FF" w:rsidRDefault="000567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7B9A379C" w:rsidR="00696A5C" w:rsidRDefault="00DF772E">
    <w:pPr>
      <w:pStyle w:val="Footer"/>
    </w:pPr>
    <w:r>
      <w:t>February</w:t>
    </w:r>
    <w:r w:rsidR="00EC53AC">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BEF" w14:textId="77777777" w:rsidR="000567FF" w:rsidRDefault="000567FF" w:rsidP="00446BEE">
      <w:r>
        <w:separator/>
      </w:r>
    </w:p>
  </w:footnote>
  <w:footnote w:type="continuationSeparator" w:id="0">
    <w:p w14:paraId="61D0BE6E" w14:textId="77777777" w:rsidR="000567FF" w:rsidRDefault="000567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7BB27139"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04EB5"/>
    <w:multiLevelType w:val="hybridMultilevel"/>
    <w:tmpl w:val="DF46FD42"/>
    <w:lvl w:ilvl="0" w:tplc="CFDA9072">
      <w:start w:val="1"/>
      <w:numFmt w:val="decimal"/>
      <w:lvlText w:val="%1."/>
      <w:lvlJc w:val="left"/>
      <w:pPr>
        <w:ind w:left="720" w:hanging="360"/>
      </w:pPr>
      <w:rPr>
        <w:rFonts w:ascii="Calibri" w:hAnsi="Calibri"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208831">
    <w:abstractNumId w:val="23"/>
  </w:num>
  <w:num w:numId="2" w16cid:durableId="427432106">
    <w:abstractNumId w:val="25"/>
  </w:num>
  <w:num w:numId="3" w16cid:durableId="1951811611">
    <w:abstractNumId w:val="25"/>
    <w:lvlOverride w:ilvl="0">
      <w:startOverride w:val="1"/>
    </w:lvlOverride>
  </w:num>
  <w:num w:numId="4" w16cid:durableId="406612269">
    <w:abstractNumId w:val="25"/>
    <w:lvlOverride w:ilvl="0">
      <w:startOverride w:val="1"/>
    </w:lvlOverride>
  </w:num>
  <w:num w:numId="5" w16cid:durableId="1973751291">
    <w:abstractNumId w:val="25"/>
    <w:lvlOverride w:ilvl="0">
      <w:startOverride w:val="1"/>
    </w:lvlOverride>
  </w:num>
  <w:num w:numId="6" w16cid:durableId="1334797853">
    <w:abstractNumId w:val="25"/>
    <w:lvlOverride w:ilvl="0">
      <w:startOverride w:val="1"/>
    </w:lvlOverride>
  </w:num>
  <w:num w:numId="7" w16cid:durableId="2062166454">
    <w:abstractNumId w:val="25"/>
    <w:lvlOverride w:ilvl="0">
      <w:startOverride w:val="1"/>
    </w:lvlOverride>
  </w:num>
  <w:num w:numId="8" w16cid:durableId="2120682706">
    <w:abstractNumId w:val="9"/>
  </w:num>
  <w:num w:numId="9" w16cid:durableId="1854029047">
    <w:abstractNumId w:val="7"/>
  </w:num>
  <w:num w:numId="10" w16cid:durableId="7802248">
    <w:abstractNumId w:val="6"/>
  </w:num>
  <w:num w:numId="11" w16cid:durableId="1682269241">
    <w:abstractNumId w:val="5"/>
  </w:num>
  <w:num w:numId="12" w16cid:durableId="1029914748">
    <w:abstractNumId w:val="4"/>
  </w:num>
  <w:num w:numId="13" w16cid:durableId="1102795864">
    <w:abstractNumId w:val="8"/>
  </w:num>
  <w:num w:numId="14" w16cid:durableId="2071415324">
    <w:abstractNumId w:val="3"/>
  </w:num>
  <w:num w:numId="15" w16cid:durableId="200409950">
    <w:abstractNumId w:val="2"/>
  </w:num>
  <w:num w:numId="16" w16cid:durableId="775906293">
    <w:abstractNumId w:val="1"/>
  </w:num>
  <w:num w:numId="17" w16cid:durableId="1651059661">
    <w:abstractNumId w:val="0"/>
  </w:num>
  <w:num w:numId="18" w16cid:durableId="418060271">
    <w:abstractNumId w:val="14"/>
  </w:num>
  <w:num w:numId="19" w16cid:durableId="718629874">
    <w:abstractNumId w:val="14"/>
    <w:lvlOverride w:ilvl="0">
      <w:startOverride w:val="1"/>
    </w:lvlOverride>
  </w:num>
  <w:num w:numId="20" w16cid:durableId="1020741854">
    <w:abstractNumId w:val="11"/>
  </w:num>
  <w:num w:numId="21" w16cid:durableId="2064061236">
    <w:abstractNumId w:val="27"/>
  </w:num>
  <w:num w:numId="22" w16cid:durableId="763041410">
    <w:abstractNumId w:val="22"/>
  </w:num>
  <w:num w:numId="23" w16cid:durableId="481312380">
    <w:abstractNumId w:val="26"/>
  </w:num>
  <w:num w:numId="24" w16cid:durableId="388919872">
    <w:abstractNumId w:val="24"/>
  </w:num>
  <w:num w:numId="25" w16cid:durableId="1024356979">
    <w:abstractNumId w:val="20"/>
  </w:num>
  <w:num w:numId="26" w16cid:durableId="420760493">
    <w:abstractNumId w:val="17"/>
  </w:num>
  <w:num w:numId="27" w16cid:durableId="1072973041">
    <w:abstractNumId w:val="15"/>
  </w:num>
  <w:num w:numId="28" w16cid:durableId="494032307">
    <w:abstractNumId w:val="12"/>
  </w:num>
  <w:num w:numId="29" w16cid:durableId="877548442">
    <w:abstractNumId w:val="18"/>
  </w:num>
  <w:num w:numId="30" w16cid:durableId="233516670">
    <w:abstractNumId w:val="28"/>
  </w:num>
  <w:num w:numId="31" w16cid:durableId="172380923">
    <w:abstractNumId w:val="13"/>
  </w:num>
  <w:num w:numId="32" w16cid:durableId="68702395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7940638">
    <w:abstractNumId w:val="10"/>
  </w:num>
  <w:num w:numId="34" w16cid:durableId="1431119307">
    <w:abstractNumId w:val="16"/>
  </w:num>
  <w:num w:numId="35" w16cid:durableId="769394175">
    <w:abstractNumId w:val="21"/>
  </w:num>
  <w:num w:numId="36" w16cid:durableId="20333403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F"/>
    <w:rsid w:val="000053F8"/>
    <w:rsid w:val="00006FAF"/>
    <w:rsid w:val="00024D0A"/>
    <w:rsid w:val="000472DC"/>
    <w:rsid w:val="000567FF"/>
    <w:rsid w:val="00070065"/>
    <w:rsid w:val="000A4FEE"/>
    <w:rsid w:val="000B18E5"/>
    <w:rsid w:val="000B5939"/>
    <w:rsid w:val="000D3405"/>
    <w:rsid w:val="000E39C5"/>
    <w:rsid w:val="00111CCE"/>
    <w:rsid w:val="001134E7"/>
    <w:rsid w:val="001501C4"/>
    <w:rsid w:val="0017149E"/>
    <w:rsid w:val="0017169E"/>
    <w:rsid w:val="00181A4A"/>
    <w:rsid w:val="001B0EE9"/>
    <w:rsid w:val="001B65B3"/>
    <w:rsid w:val="00200E38"/>
    <w:rsid w:val="002029A6"/>
    <w:rsid w:val="002408EA"/>
    <w:rsid w:val="002456C9"/>
    <w:rsid w:val="002819D7"/>
    <w:rsid w:val="00291A17"/>
    <w:rsid w:val="002C1A7E"/>
    <w:rsid w:val="002C5E6A"/>
    <w:rsid w:val="002D3376"/>
    <w:rsid w:val="002E080B"/>
    <w:rsid w:val="00311ED0"/>
    <w:rsid w:val="003648C5"/>
    <w:rsid w:val="003722FA"/>
    <w:rsid w:val="003A0F66"/>
    <w:rsid w:val="003C7AAF"/>
    <w:rsid w:val="003F41C3"/>
    <w:rsid w:val="004075B6"/>
    <w:rsid w:val="0041504E"/>
    <w:rsid w:val="00420952"/>
    <w:rsid w:val="00433EFF"/>
    <w:rsid w:val="00443081"/>
    <w:rsid w:val="00446BEE"/>
    <w:rsid w:val="00482716"/>
    <w:rsid w:val="004C67B5"/>
    <w:rsid w:val="004E20CB"/>
    <w:rsid w:val="005025A1"/>
    <w:rsid w:val="0053717B"/>
    <w:rsid w:val="005461CB"/>
    <w:rsid w:val="00566E2A"/>
    <w:rsid w:val="005D08A5"/>
    <w:rsid w:val="006921E1"/>
    <w:rsid w:val="00696A5C"/>
    <w:rsid w:val="006A2A61"/>
    <w:rsid w:val="006D1845"/>
    <w:rsid w:val="006D6093"/>
    <w:rsid w:val="006F4B25"/>
    <w:rsid w:val="006F6496"/>
    <w:rsid w:val="00715265"/>
    <w:rsid w:val="00736348"/>
    <w:rsid w:val="00760908"/>
    <w:rsid w:val="007614CE"/>
    <w:rsid w:val="007955CD"/>
    <w:rsid w:val="007F09A1"/>
    <w:rsid w:val="007F238D"/>
    <w:rsid w:val="00835AD7"/>
    <w:rsid w:val="00857CBD"/>
    <w:rsid w:val="00860835"/>
    <w:rsid w:val="00861B92"/>
    <w:rsid w:val="008814FB"/>
    <w:rsid w:val="008D5C42"/>
    <w:rsid w:val="008F5E30"/>
    <w:rsid w:val="00914D7F"/>
    <w:rsid w:val="00921ACD"/>
    <w:rsid w:val="009434AB"/>
    <w:rsid w:val="00961821"/>
    <w:rsid w:val="00962555"/>
    <w:rsid w:val="009930B5"/>
    <w:rsid w:val="00993CEF"/>
    <w:rsid w:val="00995EEA"/>
    <w:rsid w:val="009A60B4"/>
    <w:rsid w:val="009E680B"/>
    <w:rsid w:val="00A15A1F"/>
    <w:rsid w:val="00A3325A"/>
    <w:rsid w:val="00A43013"/>
    <w:rsid w:val="00AA0377"/>
    <w:rsid w:val="00AF108A"/>
    <w:rsid w:val="00B02E55"/>
    <w:rsid w:val="00B036C1"/>
    <w:rsid w:val="00B13588"/>
    <w:rsid w:val="00B46ABD"/>
    <w:rsid w:val="00B5431F"/>
    <w:rsid w:val="00BB33F8"/>
    <w:rsid w:val="00BC66C6"/>
    <w:rsid w:val="00BF629E"/>
    <w:rsid w:val="00BF7FE0"/>
    <w:rsid w:val="00C209B6"/>
    <w:rsid w:val="00C3032C"/>
    <w:rsid w:val="00C670DD"/>
    <w:rsid w:val="00C81104"/>
    <w:rsid w:val="00C9475C"/>
    <w:rsid w:val="00C96411"/>
    <w:rsid w:val="00CA055B"/>
    <w:rsid w:val="00CA3FF6"/>
    <w:rsid w:val="00CA78AA"/>
    <w:rsid w:val="00CB5671"/>
    <w:rsid w:val="00CD3014"/>
    <w:rsid w:val="00CF58B7"/>
    <w:rsid w:val="00D22C5F"/>
    <w:rsid w:val="00D351C1"/>
    <w:rsid w:val="00D35EFB"/>
    <w:rsid w:val="00D44C15"/>
    <w:rsid w:val="00D504B3"/>
    <w:rsid w:val="00D71447"/>
    <w:rsid w:val="00D86AC1"/>
    <w:rsid w:val="00D86BF0"/>
    <w:rsid w:val="00D93F96"/>
    <w:rsid w:val="00D96736"/>
    <w:rsid w:val="00DC3B22"/>
    <w:rsid w:val="00DC3D1B"/>
    <w:rsid w:val="00DE4DE9"/>
    <w:rsid w:val="00DF772E"/>
    <w:rsid w:val="00E51920"/>
    <w:rsid w:val="00E64120"/>
    <w:rsid w:val="00E660A1"/>
    <w:rsid w:val="00E72062"/>
    <w:rsid w:val="00E74106"/>
    <w:rsid w:val="00EA3CCF"/>
    <w:rsid w:val="00EC53AC"/>
    <w:rsid w:val="00EC6CC3"/>
    <w:rsid w:val="00EF3DC0"/>
    <w:rsid w:val="00F00624"/>
    <w:rsid w:val="00F055F1"/>
    <w:rsid w:val="00F610AF"/>
    <w:rsid w:val="00F90BB8"/>
    <w:rsid w:val="00FA2C5A"/>
    <w:rsid w:val="00FC2D11"/>
    <w:rsid w:val="00FC6230"/>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B8F90"/>
  <w15:chartTrackingRefBased/>
  <w15:docId w15:val="{8DEC6D71-6D20-4067-8595-A2569B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 w:type="paragraph" w:styleId="Revision">
    <w:name w:val="Revision"/>
    <w:hidden/>
    <w:uiPriority w:val="99"/>
    <w:semiHidden/>
    <w:rsid w:val="00EC6CC3"/>
    <w:rPr>
      <w:rFonts w:ascii="Calibri" w:eastAsiaTheme="minorHAnsi" w:hAnsi="Calibri"/>
      <w:sz w:val="22"/>
      <w:szCs w:val="22"/>
      <w:lang w:eastAsia="en-US"/>
    </w:rPr>
  </w:style>
  <w:style w:type="character" w:styleId="FollowedHyperlink">
    <w:name w:val="FollowedHyperlink"/>
    <w:basedOn w:val="DefaultParagraphFont"/>
    <w:semiHidden/>
    <w:unhideWhenUsed/>
    <w:rsid w:val="008D5C42"/>
    <w:rPr>
      <w:color w:val="800080" w:themeColor="followedHyperlink"/>
      <w:u w:val="single"/>
    </w:rPr>
  </w:style>
  <w:style w:type="character" w:customStyle="1" w:styleId="fm-vol-iss-date">
    <w:name w:val="fm-vol-iss-date"/>
    <w:basedOn w:val="DefaultParagraphFont"/>
    <w:rsid w:val="008D5C42"/>
  </w:style>
  <w:style w:type="character" w:customStyle="1" w:styleId="doi">
    <w:name w:val="doi"/>
    <w:basedOn w:val="DefaultParagraphFont"/>
    <w:rsid w:val="008D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2067101937">
      <w:bodyDiv w:val="1"/>
      <w:marLeft w:val="0"/>
      <w:marRight w:val="0"/>
      <w:marTop w:val="0"/>
      <w:marBottom w:val="0"/>
      <w:divBdr>
        <w:top w:val="none" w:sz="0" w:space="0" w:color="auto"/>
        <w:left w:val="none" w:sz="0" w:space="0" w:color="auto"/>
        <w:bottom w:val="none" w:sz="0" w:space="0" w:color="auto"/>
        <w:right w:val="none" w:sz="0" w:space="0" w:color="auto"/>
      </w:divBdr>
      <w:divsChild>
        <w:div w:id="1255478862">
          <w:marLeft w:val="0"/>
          <w:marRight w:val="0"/>
          <w:marTop w:val="0"/>
          <w:marBottom w:val="0"/>
          <w:divBdr>
            <w:top w:val="none" w:sz="0" w:space="0" w:color="auto"/>
            <w:left w:val="none" w:sz="0" w:space="0" w:color="auto"/>
            <w:bottom w:val="none" w:sz="0" w:space="0" w:color="auto"/>
            <w:right w:val="none" w:sz="0" w:space="0" w:color="auto"/>
          </w:divBdr>
        </w:div>
        <w:div w:id="836381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hst8/documents/final-sco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process/pmg37/chapter/highly-specialised-technolog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4322%2Facr.2017.031" TargetMode="External"/><Relationship Id="rId4" Type="http://schemas.openxmlformats.org/officeDocument/2006/relationships/webSettings" Target="webSettings.xml"/><Relationship Id="rId9" Type="http://schemas.openxmlformats.org/officeDocument/2006/relationships/hyperlink" Target="https://www.ncbi.nlm.nih.gov/pmc/articles/PMC563443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Michelle Adhemar</cp:lastModifiedBy>
  <cp:revision>3</cp:revision>
  <cp:lastPrinted>2020-02-04T14:39:00Z</cp:lastPrinted>
  <dcterms:created xsi:type="dcterms:W3CDTF">2022-08-25T13:43:00Z</dcterms:created>
  <dcterms:modified xsi:type="dcterms:W3CDTF">2022-08-25T13:43:00Z</dcterms:modified>
</cp:coreProperties>
</file>