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2A38D048" w14:textId="5F676C13" w:rsidR="00443081" w:rsidRDefault="00D5346D" w:rsidP="00D71447">
      <w:pPr>
        <w:pStyle w:val="Title"/>
        <w:tabs>
          <w:tab w:val="center" w:pos="4513"/>
          <w:tab w:val="left" w:pos="7350"/>
        </w:tabs>
      </w:pPr>
      <w:proofErr w:type="spellStart"/>
      <w:r w:rsidRPr="00D5346D">
        <w:t>Beremagene</w:t>
      </w:r>
      <w:proofErr w:type="spellEnd"/>
      <w:r w:rsidRPr="00D5346D">
        <w:t xml:space="preserve"> </w:t>
      </w:r>
      <w:proofErr w:type="spellStart"/>
      <w:r w:rsidRPr="00D5346D">
        <w:t>geperpavec</w:t>
      </w:r>
      <w:proofErr w:type="spellEnd"/>
      <w:r w:rsidRPr="00D5346D">
        <w:t xml:space="preserve"> for treating </w:t>
      </w:r>
      <w:r w:rsidR="002B051F">
        <w:t xml:space="preserve">wounds associated with </w:t>
      </w:r>
      <w:r w:rsidRPr="00D5346D">
        <w:t xml:space="preserve">dystrophic epidermolysis bullosa </w:t>
      </w:r>
    </w:p>
    <w:p w14:paraId="41AEE3BC" w14:textId="77777777" w:rsidR="0053717B" w:rsidRDefault="0053717B" w:rsidP="00F90BB8">
      <w:pPr>
        <w:rPr>
          <w:rFonts w:ascii="Arial" w:hAnsi="Arial" w:cs="Arial"/>
          <w:b/>
          <w:bCs/>
        </w:rPr>
      </w:pPr>
    </w:p>
    <w:p w14:paraId="15240EDA" w14:textId="60ECF423" w:rsidR="006A2A61" w:rsidRDefault="00995EEA" w:rsidP="006A2A61">
      <w:pPr>
        <w:pStyle w:val="Heading3"/>
      </w:pPr>
      <w:r w:rsidRPr="00E74106">
        <w:t>Introduction</w:t>
      </w:r>
    </w:p>
    <w:p w14:paraId="4740A469" w14:textId="4485D8FA" w:rsidR="00E74106" w:rsidRPr="00E74106" w:rsidRDefault="00D96736" w:rsidP="00F90BB8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Pr="00E74106">
        <w:rPr>
          <w:rFonts w:ascii="Arial" w:hAnsi="Arial" w:cs="Arial"/>
        </w:rPr>
        <w:t xml:space="preserve"> has been identified as suitable.</w:t>
      </w:r>
      <w:r w:rsidR="00DF772E">
        <w:rPr>
          <w:rFonts w:ascii="Arial" w:hAnsi="Arial" w:cs="Arial"/>
        </w:rPr>
        <w:t xml:space="preserve"> </w:t>
      </w:r>
      <w:r w:rsidR="00DF772E" w:rsidRPr="00DF772E">
        <w:rPr>
          <w:rFonts w:ascii="Arial" w:hAnsi="Arial" w:cs="Arial"/>
        </w:rPr>
        <w:t xml:space="preserve">For more information, please see </w:t>
      </w:r>
      <w:hyperlink r:id="rId7" w:history="1">
        <w:r w:rsidR="00DF772E" w:rsidRPr="00DF772E">
          <w:rPr>
            <w:rStyle w:val="Hyperlink"/>
            <w:rFonts w:ascii="Arial" w:hAnsi="Arial" w:cs="Arial"/>
          </w:rPr>
          <w:t>section 7 of NICE health technology evaluation topic selection: the manual</w:t>
        </w:r>
      </w:hyperlink>
    </w:p>
    <w:p w14:paraId="0A986CA0" w14:textId="14D840F5" w:rsidR="00857CBD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A92FF6" w14:textId="3BBD6BA3" w:rsidR="00C9475C" w:rsidRDefault="00C9475C" w:rsidP="00F90BB8">
      <w:pPr>
        <w:rPr>
          <w:rFonts w:ascii="Arial" w:hAnsi="Arial" w:cs="Arial"/>
          <w:b/>
          <w:bCs/>
        </w:rPr>
      </w:pPr>
    </w:p>
    <w:p w14:paraId="6CD715DE" w14:textId="494DA9D3" w:rsidR="00E74106" w:rsidRPr="00715265" w:rsidRDefault="00715265" w:rsidP="00CA055B">
      <w:pPr>
        <w:pStyle w:val="Heading3"/>
      </w:pPr>
      <w:r>
        <w:t xml:space="preserve">Key – does the technology meet the criteria? 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>to advise if the technology meets the criteria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5B5B89C6" w:rsidR="00E74106" w:rsidRPr="00E74106" w:rsidRDefault="00E74106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this 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61F5B3B3" w14:textId="77777777" w:rsidR="00E74106" w:rsidRDefault="00D71447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  <w:p w14:paraId="10446DC5" w14:textId="29FBD583" w:rsidR="0033351A" w:rsidRPr="00E74106" w:rsidRDefault="0033351A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There is some evidence, or the evidence available is unclear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54B65FC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4E6C588A" w14:textId="7FD7AD8C" w:rsidR="001A62DA" w:rsidRPr="00955A36" w:rsidRDefault="00C9475C" w:rsidP="001A62DA">
      <w:pPr>
        <w:pStyle w:val="BodyText"/>
        <w:spacing w:after="0"/>
        <w:rPr>
          <w:rFonts w:cs="Arial"/>
          <w:u w:val="single"/>
          <w:lang w:val="en-GB"/>
        </w:rPr>
      </w:pPr>
      <w:r w:rsidRPr="00C9475C">
        <w:t xml:space="preserve">MA wording: </w:t>
      </w:r>
      <w:r w:rsidR="001A62DA">
        <w:t xml:space="preserve">anticipated: </w:t>
      </w:r>
      <w:r w:rsidR="00955A36" w:rsidRPr="00955A36">
        <w:rPr>
          <w:rFonts w:cs="Arial"/>
          <w:highlight w:val="black"/>
          <w:u w:val="single"/>
          <w:lang w:val="en-GB"/>
        </w:rPr>
        <w:t>***********************************************************************************************************************</w:t>
      </w:r>
    </w:p>
    <w:p w14:paraId="3E95E146" w14:textId="2D8D897D" w:rsidR="00C9475C" w:rsidRDefault="00C9475C" w:rsidP="00CA055B">
      <w:pPr>
        <w:pStyle w:val="Heading3"/>
      </w:pPr>
    </w:p>
    <w:p w14:paraId="5DE853F9" w14:textId="34EA6C45" w:rsidR="000D3405" w:rsidRDefault="000D3405" w:rsidP="00F90BB8">
      <w:pPr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563"/>
        <w:gridCol w:w="7496"/>
        <w:gridCol w:w="1756"/>
      </w:tblGrid>
      <w:tr w:rsidR="00955A36" w:rsidRPr="00C9475C" w14:paraId="604A78F5" w14:textId="1D838B5C" w:rsidTr="5C639C94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59AAB6" w14:textId="77777777" w:rsidR="000D3405" w:rsidRPr="0087284A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87284A">
              <w:rPr>
                <w:rFonts w:ascii="Arial" w:hAnsi="Arial" w:cs="Arial"/>
                <w:b/>
                <w:bCs/>
              </w:rPr>
              <w:t xml:space="preserve">Description of how the technology meets the criteria </w:t>
            </w:r>
          </w:p>
          <w:p w14:paraId="1A6CF046" w14:textId="7BB686AE" w:rsidR="000D3405" w:rsidRPr="0087284A" w:rsidRDefault="000D3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955A36" w:rsidRPr="00C9475C" w14:paraId="71E5DCF4" w14:textId="62BB659A" w:rsidTr="5C639C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1EE" w14:textId="77777777" w:rsidR="000D3405" w:rsidRPr="00D71447" w:rsidRDefault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condition is very rare defined by 1:50,000 in England </w:t>
            </w:r>
          </w:p>
          <w:p w14:paraId="4AB8D1A0" w14:textId="77777777" w:rsidR="000D3405" w:rsidRPr="00D71447" w:rsidRDefault="000D3405">
            <w:pPr>
              <w:rPr>
                <w:rFonts w:ascii="Arial" w:hAnsi="Arial" w:cs="Arial"/>
              </w:rPr>
            </w:pPr>
          </w:p>
          <w:p w14:paraId="2F4ED0A0" w14:textId="77777777" w:rsidR="000D3405" w:rsidRPr="00D71447" w:rsidRDefault="000D3405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6A1DC" w14:textId="77777777" w:rsidR="001A62DA" w:rsidRPr="0087284A" w:rsidRDefault="001A62DA" w:rsidP="001A62DA">
            <w:pPr>
              <w:rPr>
                <w:rFonts w:ascii="Arial" w:hAnsi="Arial" w:cs="Arial"/>
              </w:rPr>
            </w:pPr>
          </w:p>
          <w:p w14:paraId="280E281A" w14:textId="17C959C7" w:rsidR="001A62DA" w:rsidRPr="0087284A" w:rsidRDefault="001A62DA" w:rsidP="001A62DA">
            <w:pPr>
              <w:rPr>
                <w:rFonts w:ascii="Arial" w:eastAsia="Times New Roman" w:hAnsi="Arial" w:cs="Arial"/>
                <w:color w:val="000000"/>
              </w:rPr>
            </w:pPr>
            <w:r w:rsidRPr="0087284A">
              <w:rPr>
                <w:rFonts w:ascii="Arial" w:eastAsia="Times New Roman" w:hAnsi="Arial" w:cs="Arial"/>
                <w:color w:val="000000"/>
              </w:rPr>
              <w:t>Epidermolysis Bullosa is thought to affect 1 in 17,000 births. Around 5,000 people are affected in the UK.</w:t>
            </w:r>
            <w:r w:rsidR="003E0ECB" w:rsidRPr="0087284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7284A">
              <w:rPr>
                <w:rFonts w:ascii="Arial" w:eastAsia="Times New Roman" w:hAnsi="Arial" w:cs="Arial"/>
                <w:color w:val="000000"/>
              </w:rPr>
              <w:t xml:space="preserve">(BMJ Best Practice, </w:t>
            </w:r>
            <w:hyperlink r:id="rId8" w:history="1">
              <w:r w:rsidRPr="0087284A">
                <w:rPr>
                  <w:rFonts w:ascii="Arial" w:eastAsia="Times New Roman" w:hAnsi="Arial" w:cs="Arial"/>
                  <w:color w:val="0000FF"/>
                  <w:u w:val="single"/>
                </w:rPr>
                <w:t>Epidermolysis bullosa</w:t>
              </w:r>
            </w:hyperlink>
            <w:r w:rsidRPr="0087284A">
              <w:rPr>
                <w:rFonts w:ascii="Arial" w:eastAsia="Times New Roman" w:hAnsi="Arial" w:cs="Arial"/>
                <w:color w:val="000000"/>
              </w:rPr>
              <w:t xml:space="preserve">, March 2019 &amp; Patient UK, </w:t>
            </w:r>
            <w:hyperlink r:id="rId9" w:anchor="nav-2" w:history="1">
              <w:r w:rsidRPr="0087284A">
                <w:rPr>
                  <w:rFonts w:ascii="Arial" w:eastAsia="Times New Roman" w:hAnsi="Arial" w:cs="Arial"/>
                  <w:color w:val="0000FF"/>
                  <w:u w:val="single"/>
                </w:rPr>
                <w:t>Epidermolysis Bullosa</w:t>
              </w:r>
            </w:hyperlink>
            <w:r w:rsidRPr="0087284A">
              <w:rPr>
                <w:rFonts w:ascii="Arial" w:eastAsia="Times New Roman" w:hAnsi="Arial" w:cs="Arial"/>
                <w:color w:val="000000"/>
              </w:rPr>
              <w:t>, February 2016)</w:t>
            </w:r>
            <w:r w:rsidR="0087284A" w:rsidRPr="0087284A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7284A" w:rsidRPr="0087284A">
              <w:rPr>
                <w:rFonts w:ascii="Arial" w:hAnsi="Arial" w:cs="Arial"/>
                <w:color w:val="000000"/>
              </w:rPr>
              <w:t>More</w:t>
            </w:r>
            <w:r w:rsidR="0087284A" w:rsidRPr="00187C67">
              <w:rPr>
                <w:rFonts w:ascii="Arial" w:hAnsi="Arial" w:cs="Arial"/>
              </w:rPr>
              <w:t xml:space="preserve"> </w:t>
            </w:r>
            <w:r w:rsidR="0087284A" w:rsidRPr="00187C67">
              <w:rPr>
                <w:rFonts w:ascii="Arial" w:hAnsi="Arial" w:cs="Arial"/>
              </w:rPr>
              <w:lastRenderedPageBreak/>
              <w:t>than 30 EB subtypes</w:t>
            </w:r>
            <w:r w:rsidR="0087284A" w:rsidRPr="00187C67">
              <w:rPr>
                <w:rFonts w:ascii="Arial" w:hAnsi="Arial" w:cs="Arial"/>
                <w:color w:val="212121"/>
              </w:rPr>
              <w:t xml:space="preserve">, which vary in the severity of symptoms, ranging from mild to severe have been identified. </w:t>
            </w:r>
          </w:p>
          <w:p w14:paraId="0FD2A2D8" w14:textId="17EB06B8" w:rsidR="001A62DA" w:rsidRPr="0087284A" w:rsidRDefault="001A62DA" w:rsidP="001A62DA">
            <w:pPr>
              <w:rPr>
                <w:rFonts w:ascii="Arial" w:hAnsi="Arial" w:cs="Arial"/>
              </w:rPr>
            </w:pPr>
          </w:p>
          <w:p w14:paraId="2E6D7153" w14:textId="7C5AC9FB" w:rsidR="001A62DA" w:rsidRPr="007B1491" w:rsidRDefault="0087284A" w:rsidP="00526019">
            <w:pPr>
              <w:rPr>
                <w:rFonts w:ascii="Arial" w:hAnsi="Arial" w:cs="Arial"/>
              </w:rPr>
            </w:pPr>
            <w:r w:rsidRPr="5C639C94">
              <w:rPr>
                <w:rFonts w:ascii="Arial" w:hAnsi="Arial" w:cs="Arial"/>
              </w:rPr>
              <w:t xml:space="preserve">Around </w:t>
            </w:r>
            <w:r w:rsidR="001A62DA" w:rsidRPr="007B1491">
              <w:rPr>
                <w:rFonts w:ascii="Arial" w:hAnsi="Arial" w:cs="Arial"/>
              </w:rPr>
              <w:t>25% of E</w:t>
            </w:r>
            <w:r w:rsidR="00A24C57" w:rsidRPr="007B1491">
              <w:rPr>
                <w:rFonts w:ascii="Arial" w:hAnsi="Arial" w:cs="Arial"/>
              </w:rPr>
              <w:t>B</w:t>
            </w:r>
            <w:r w:rsidR="001A62DA" w:rsidRPr="007B1491">
              <w:rPr>
                <w:rFonts w:ascii="Arial" w:hAnsi="Arial" w:cs="Arial"/>
              </w:rPr>
              <w:t xml:space="preserve"> is </w:t>
            </w:r>
            <w:r w:rsidRPr="007B1491">
              <w:rPr>
                <w:rFonts w:ascii="Arial" w:hAnsi="Arial" w:cs="Arial"/>
              </w:rPr>
              <w:t>dystrophic epidermolysis bullosa (</w:t>
            </w:r>
            <w:r w:rsidR="001A62DA" w:rsidRPr="007B1491">
              <w:rPr>
                <w:rFonts w:ascii="Arial" w:hAnsi="Arial" w:cs="Arial"/>
              </w:rPr>
              <w:t>DEB</w:t>
            </w:r>
            <w:r w:rsidRPr="007B1491">
              <w:rPr>
                <w:rFonts w:ascii="Arial" w:hAnsi="Arial" w:cs="Arial"/>
              </w:rPr>
              <w:t>). Prevalence estimates</w:t>
            </w:r>
            <w:r w:rsidR="41B8C18F" w:rsidRPr="007B1491">
              <w:rPr>
                <w:rFonts w:ascii="Arial" w:hAnsi="Arial" w:cs="Arial"/>
              </w:rPr>
              <w:t xml:space="preserve"> of DEB</w:t>
            </w:r>
            <w:r w:rsidRPr="007B1491">
              <w:rPr>
                <w:rFonts w:ascii="Arial" w:hAnsi="Arial" w:cs="Arial"/>
              </w:rPr>
              <w:t xml:space="preserve"> vary</w:t>
            </w:r>
            <w:r w:rsidR="00526019">
              <w:rPr>
                <w:rFonts w:ascii="Arial" w:hAnsi="Arial" w:cs="Arial"/>
              </w:rPr>
              <w:t xml:space="preserve"> in the literature from around 1 in 90,000 (</w:t>
            </w:r>
            <w:proofErr w:type="spellStart"/>
            <w:r w:rsidR="00526019" w:rsidRPr="00526019">
              <w:rPr>
                <w:rFonts w:ascii="Arial" w:hAnsi="Arial" w:cs="Arial"/>
              </w:rPr>
              <w:t>Petrof</w:t>
            </w:r>
            <w:proofErr w:type="spellEnd"/>
            <w:r w:rsidR="00526019" w:rsidRPr="00526019">
              <w:rPr>
                <w:rFonts w:ascii="Arial" w:hAnsi="Arial" w:cs="Arial"/>
              </w:rPr>
              <w:t xml:space="preserve"> </w:t>
            </w:r>
            <w:r w:rsidR="00526019">
              <w:rPr>
                <w:rFonts w:ascii="Arial" w:hAnsi="Arial" w:cs="Arial"/>
              </w:rPr>
              <w:t xml:space="preserve">et al </w:t>
            </w:r>
            <w:r w:rsidR="00526019" w:rsidRPr="00526019">
              <w:rPr>
                <w:rFonts w:ascii="Arial" w:hAnsi="Arial" w:cs="Arial"/>
              </w:rPr>
              <w:t>2022</w:t>
            </w:r>
            <w:r w:rsidR="00526019">
              <w:rPr>
                <w:rFonts w:ascii="Arial" w:hAnsi="Arial" w:cs="Arial"/>
              </w:rPr>
              <w:t>)</w:t>
            </w:r>
            <w:r w:rsidRPr="007B1491">
              <w:rPr>
                <w:rFonts w:ascii="Arial" w:hAnsi="Arial" w:cs="Arial"/>
              </w:rPr>
              <w:t xml:space="preserve"> </w:t>
            </w:r>
            <w:r w:rsidR="00526019">
              <w:rPr>
                <w:rFonts w:ascii="Arial" w:hAnsi="Arial" w:cs="Arial"/>
              </w:rPr>
              <w:t xml:space="preserve">or </w:t>
            </w:r>
            <w:r w:rsidR="001D3497" w:rsidRPr="007B1491">
              <w:rPr>
                <w:rFonts w:ascii="Arial" w:hAnsi="Arial" w:cs="Arial"/>
              </w:rPr>
              <w:t>1</w:t>
            </w:r>
            <w:r w:rsidR="3B0BA20E" w:rsidRPr="007B1491">
              <w:rPr>
                <w:rFonts w:ascii="Arial" w:hAnsi="Arial" w:cs="Arial"/>
              </w:rPr>
              <w:t xml:space="preserve"> </w:t>
            </w:r>
            <w:r w:rsidR="001D3497" w:rsidRPr="007B1491">
              <w:rPr>
                <w:rFonts w:ascii="Arial" w:hAnsi="Arial" w:cs="Arial"/>
              </w:rPr>
              <w:t>in 68,000</w:t>
            </w:r>
            <w:r w:rsidRPr="007B1491">
              <w:rPr>
                <w:rFonts w:ascii="Arial" w:hAnsi="Arial" w:cs="Arial"/>
              </w:rPr>
              <w:t xml:space="preserve"> (</w:t>
            </w:r>
            <w:r w:rsidRPr="007B1491">
              <w:rPr>
                <w:rFonts w:ascii="Arial" w:eastAsia="Times New Roman" w:hAnsi="Arial" w:cs="Arial"/>
                <w:color w:val="000000" w:themeColor="text1"/>
              </w:rPr>
              <w:t>BMJ Best Practice, 2019) to 1.02 per 50,000</w:t>
            </w:r>
            <w:r w:rsidR="00190DC6" w:rsidRPr="007B1491">
              <w:rPr>
                <w:rFonts w:ascii="Arial" w:hAnsi="Arial" w:cs="Arial"/>
              </w:rPr>
              <w:t xml:space="preserve"> </w:t>
            </w:r>
            <w:r w:rsidR="79F7105C" w:rsidRPr="007B1491">
              <w:rPr>
                <w:rFonts w:ascii="Arial" w:hAnsi="Arial" w:cs="Arial"/>
              </w:rPr>
              <w:t>(</w:t>
            </w:r>
            <w:hyperlink r:id="rId10" w:history="1">
              <w:r w:rsidR="00190DC6" w:rsidRPr="007B1491">
                <w:rPr>
                  <w:rFonts w:ascii="Arial" w:hAnsi="Arial" w:cs="Arial"/>
                </w:rPr>
                <w:t>Horn et al 1998</w:t>
              </w:r>
              <w:r w:rsidR="45842F23" w:rsidRPr="007B1491">
                <w:rPr>
                  <w:rFonts w:ascii="Arial" w:hAnsi="Arial" w:cs="Arial"/>
                </w:rPr>
                <w:t>)</w:t>
              </w:r>
            </w:hyperlink>
            <w:r w:rsidR="007B1491" w:rsidRPr="007B1491">
              <w:rPr>
                <w:rFonts w:ascii="Arial" w:hAnsi="Arial" w:cs="Arial"/>
              </w:rPr>
              <w:t xml:space="preserve">. Horn et al </w:t>
            </w:r>
            <w:r w:rsidR="00526019">
              <w:rPr>
                <w:rFonts w:ascii="Arial" w:hAnsi="Arial" w:cs="Arial"/>
              </w:rPr>
              <w:t>estimated the prevalence in Scotland. It's noted that</w:t>
            </w:r>
            <w:r w:rsidR="007B1491" w:rsidRPr="007B1491">
              <w:rPr>
                <w:rFonts w:ascii="Arial" w:hAnsi="Arial" w:cs="Arial"/>
              </w:rPr>
              <w:t xml:space="preserve"> the </w:t>
            </w:r>
            <w:proofErr w:type="spellStart"/>
            <w:r w:rsidR="007B1491" w:rsidRPr="007B1491">
              <w:rPr>
                <w:rFonts w:ascii="Arial" w:hAnsi="Arial" w:cs="Arial"/>
              </w:rPr>
              <w:t>prevlance</w:t>
            </w:r>
            <w:proofErr w:type="spellEnd"/>
            <w:r w:rsidR="007B1491" w:rsidRPr="007B1491">
              <w:rPr>
                <w:rFonts w:ascii="Arial" w:hAnsi="Arial" w:cs="Arial"/>
              </w:rPr>
              <w:t xml:space="preserve"> is likely to be underestimated, and more complete searching results in higher prevalence estimates</w:t>
            </w:r>
            <w:r w:rsidR="00526019">
              <w:rPr>
                <w:rFonts w:ascii="Arial" w:hAnsi="Arial" w:cs="Arial"/>
              </w:rPr>
              <w:t xml:space="preserve"> with </w:t>
            </w:r>
            <w:r w:rsidR="00526019" w:rsidRPr="00526019">
              <w:rPr>
                <w:rFonts w:ascii="Arial" w:hAnsi="Arial" w:cs="Arial"/>
              </w:rPr>
              <w:t xml:space="preserve">75% </w:t>
            </w:r>
            <w:r w:rsidR="00526019">
              <w:rPr>
                <w:rFonts w:ascii="Arial" w:hAnsi="Arial" w:cs="Arial"/>
              </w:rPr>
              <w:t xml:space="preserve">of cases </w:t>
            </w:r>
            <w:r w:rsidR="00526019" w:rsidRPr="00526019">
              <w:rPr>
                <w:rFonts w:ascii="Arial" w:hAnsi="Arial" w:cs="Arial"/>
              </w:rPr>
              <w:t>unknown</w:t>
            </w:r>
            <w:r w:rsidR="00526019">
              <w:rPr>
                <w:rFonts w:ascii="Arial" w:hAnsi="Arial" w:cs="Arial"/>
              </w:rPr>
              <w:t xml:space="preserve"> </w:t>
            </w:r>
            <w:r w:rsidR="00526019" w:rsidRPr="00526019">
              <w:rPr>
                <w:rFonts w:ascii="Arial" w:hAnsi="Arial" w:cs="Arial"/>
              </w:rPr>
              <w:t>to general practitioners</w:t>
            </w:r>
            <w:r w:rsidR="007B1491" w:rsidRPr="007B1491">
              <w:rPr>
                <w:rFonts w:ascii="Arial" w:hAnsi="Arial" w:cs="Arial"/>
              </w:rPr>
              <w:t xml:space="preserve">. </w:t>
            </w:r>
            <w:r w:rsidR="00190DC6" w:rsidRPr="007B1491">
              <w:rPr>
                <w:rFonts w:ascii="Arial" w:hAnsi="Arial" w:cs="Arial"/>
              </w:rPr>
              <w:t xml:space="preserve"> </w:t>
            </w:r>
          </w:p>
          <w:p w14:paraId="1485F129" w14:textId="5E9B77C1" w:rsidR="00190DC6" w:rsidRPr="0087284A" w:rsidRDefault="00D33DD1" w:rsidP="00190DC6">
            <w:pPr>
              <w:rPr>
                <w:rFonts w:ascii="Arial" w:hAnsi="Arial" w:cs="Arial"/>
              </w:rPr>
            </w:pPr>
            <w:r>
              <w:br/>
            </w:r>
            <w:r w:rsidR="0087284A" w:rsidRPr="4FA19F66">
              <w:rPr>
                <w:rFonts w:ascii="Arial" w:hAnsi="Arial" w:cs="Arial"/>
              </w:rPr>
              <w:t xml:space="preserve">The TSOP (Topic Selection Oversight Panel) </w:t>
            </w:r>
            <w:r w:rsidRPr="4FA19F66">
              <w:rPr>
                <w:rFonts w:ascii="Arial" w:hAnsi="Arial" w:cs="Arial"/>
              </w:rPr>
              <w:t>noted that</w:t>
            </w:r>
            <w:r w:rsidR="0087284A" w:rsidRPr="4FA19F66">
              <w:rPr>
                <w:rFonts w:ascii="Arial" w:hAnsi="Arial" w:cs="Arial"/>
              </w:rPr>
              <w:t xml:space="preserve"> DEB is caused by genetic mutation, but that symptoms can be milder or severe and that there is clinical overlap with other subtypes of EB.</w:t>
            </w:r>
            <w:r w:rsidRPr="4FA19F66">
              <w:rPr>
                <w:rFonts w:ascii="Arial" w:hAnsi="Arial" w:cs="Arial"/>
              </w:rPr>
              <w:t xml:space="preserve"> </w:t>
            </w:r>
            <w:r w:rsidR="0087284A" w:rsidRPr="4FA19F66">
              <w:rPr>
                <w:rFonts w:ascii="Arial" w:hAnsi="Arial" w:cs="Arial"/>
              </w:rPr>
              <w:t>It</w:t>
            </w:r>
            <w:r w:rsidR="365F5A82" w:rsidRPr="4FA19F66">
              <w:rPr>
                <w:rFonts w:ascii="Arial" w:hAnsi="Arial" w:cs="Arial"/>
              </w:rPr>
              <w:t xml:space="preserve"> </w:t>
            </w:r>
            <w:r w:rsidR="00190DC6" w:rsidRPr="4FA19F66">
              <w:rPr>
                <w:rFonts w:ascii="Arial" w:hAnsi="Arial" w:cs="Arial"/>
              </w:rPr>
              <w:t>considers that</w:t>
            </w:r>
            <w:r w:rsidR="0087284A" w:rsidRPr="4FA19F66">
              <w:rPr>
                <w:rFonts w:ascii="Arial" w:hAnsi="Arial" w:cs="Arial"/>
              </w:rPr>
              <w:t xml:space="preserve"> for criterion 1</w:t>
            </w:r>
            <w:r w:rsidR="00190DC6" w:rsidRPr="4FA19F66">
              <w:rPr>
                <w:rFonts w:ascii="Arial" w:hAnsi="Arial" w:cs="Arial"/>
              </w:rPr>
              <w:t xml:space="preserve"> the condition is Epidermolysis Bullosa, and therefore this criterion is not met as the prevalence of EB is over 1 in 50,000. </w:t>
            </w:r>
          </w:p>
          <w:p w14:paraId="1CA70850" w14:textId="77777777" w:rsidR="00190DC6" w:rsidRPr="0087284A" w:rsidRDefault="00190DC6" w:rsidP="001A62DA">
            <w:pPr>
              <w:rPr>
                <w:rFonts w:ascii="Arial" w:hAnsi="Arial" w:cs="Arial"/>
              </w:rPr>
            </w:pPr>
          </w:p>
          <w:p w14:paraId="7DA65A5F" w14:textId="231C4D6A" w:rsidR="001A62DA" w:rsidRPr="0087284A" w:rsidRDefault="001A62DA" w:rsidP="003E0ECB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A35B2B7" w14:textId="3FDCAB67" w:rsidR="00D71447" w:rsidRPr="00EF3DC0" w:rsidRDefault="00CD52A1" w:rsidP="00CD52A1">
            <w:pPr>
              <w:ind w:right="18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Not met</w:t>
            </w:r>
          </w:p>
        </w:tc>
      </w:tr>
      <w:tr w:rsidR="00955A36" w:rsidRPr="00C9475C" w14:paraId="6BCC6689" w14:textId="0915F44B" w:rsidTr="5C639C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471" w14:textId="77777777" w:rsidR="000D3405" w:rsidRDefault="000D3405" w:rsidP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  <w:p w14:paraId="55E850C5" w14:textId="442AD58F" w:rsidR="00D71447" w:rsidRPr="00D71447" w:rsidRDefault="00D71447" w:rsidP="000D3405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7CE61" w14:textId="76192C93" w:rsidR="00EB6E19" w:rsidRPr="0087284A" w:rsidRDefault="00EB6E19" w:rsidP="00EB6E19">
            <w:pPr>
              <w:rPr>
                <w:rFonts w:ascii="Arial" w:hAnsi="Arial" w:cs="Arial"/>
              </w:rPr>
            </w:pPr>
          </w:p>
          <w:p w14:paraId="3ECFFB10" w14:textId="743881E9" w:rsidR="00EB6E19" w:rsidRPr="0087284A" w:rsidRDefault="0082373C" w:rsidP="00EB6E19">
            <w:pPr>
              <w:rPr>
                <w:rFonts w:ascii="Arial" w:eastAsia="Times New Roman" w:hAnsi="Arial" w:cs="Arial"/>
              </w:rPr>
            </w:pPr>
            <w:r w:rsidRPr="4FA19F66">
              <w:rPr>
                <w:rFonts w:ascii="Arial" w:hAnsi="Arial" w:cs="Arial"/>
              </w:rPr>
              <w:t xml:space="preserve">The anticipated license wording covers all people with </w:t>
            </w:r>
            <w:r w:rsidR="00955A36" w:rsidRPr="00955A36">
              <w:rPr>
                <w:rFonts w:cs="Arial"/>
                <w:highlight w:val="black"/>
                <w:u w:val="single"/>
              </w:rPr>
              <w:t>****************</w:t>
            </w:r>
            <w:r w:rsidR="00955A36">
              <w:rPr>
                <w:rFonts w:cs="Arial"/>
                <w:highlight w:val="black"/>
                <w:u w:val="single"/>
              </w:rPr>
              <w:t xml:space="preserve"> </w:t>
            </w:r>
            <w:r w:rsidR="00955A36" w:rsidRPr="00955A36">
              <w:rPr>
                <w:rFonts w:cs="Arial"/>
                <w:highlight w:val="black"/>
                <w:u w:val="single"/>
              </w:rPr>
              <w:t>*******************</w:t>
            </w:r>
            <w:r w:rsidR="00955A36">
              <w:rPr>
                <w:rFonts w:cs="Arial"/>
                <w:highlight w:val="black"/>
                <w:u w:val="single"/>
              </w:rPr>
              <w:t xml:space="preserve"> </w:t>
            </w:r>
            <w:r w:rsidR="00955A36" w:rsidRPr="00955A36">
              <w:rPr>
                <w:rFonts w:cs="Arial"/>
                <w:highlight w:val="black"/>
                <w:u w:val="single"/>
              </w:rPr>
              <w:t>***********************</w:t>
            </w:r>
            <w:r w:rsidRPr="4FA19F66">
              <w:rPr>
                <w:rFonts w:ascii="Arial" w:eastAsia="Times New Roman" w:hAnsi="Arial" w:cs="Arial"/>
                <w:u w:val="single"/>
              </w:rPr>
              <w:t>.</w:t>
            </w:r>
            <w:r w:rsidR="68865C3D" w:rsidRPr="4FA19F66">
              <w:rPr>
                <w:rFonts w:ascii="Arial" w:eastAsia="Times New Roman" w:hAnsi="Arial" w:cs="Arial"/>
                <w:u w:val="single"/>
              </w:rPr>
              <w:t xml:space="preserve"> </w:t>
            </w:r>
            <w:r w:rsidR="00CD52A1" w:rsidRPr="4FA19F66">
              <w:rPr>
                <w:rFonts w:ascii="Arial" w:eastAsia="Times New Roman" w:hAnsi="Arial" w:cs="Arial"/>
              </w:rPr>
              <w:t xml:space="preserve">EB is thought to affect around 5,000 people in the UK, of these around 1,250 people have DEB. However, population numbers vary based on sources. </w:t>
            </w:r>
          </w:p>
          <w:p w14:paraId="0598B397" w14:textId="4E2E5077" w:rsidR="0082373C" w:rsidRPr="0087284A" w:rsidRDefault="0082373C" w:rsidP="00EB6E19">
            <w:pPr>
              <w:rPr>
                <w:rFonts w:ascii="Arial" w:hAnsi="Arial" w:cs="Arial"/>
              </w:rPr>
            </w:pPr>
          </w:p>
          <w:p w14:paraId="0CFDF3C5" w14:textId="733406AA" w:rsidR="005176F9" w:rsidRPr="0087284A" w:rsidRDefault="005176F9" w:rsidP="00EB6E19">
            <w:pPr>
              <w:rPr>
                <w:rStyle w:val="Hyperlink"/>
                <w:rFonts w:ascii="Arial" w:hAnsi="Arial" w:cs="Arial"/>
                <w:kern w:val="28"/>
              </w:rPr>
            </w:pPr>
            <w:r w:rsidRPr="0087284A">
              <w:rPr>
                <w:rFonts w:ascii="Arial" w:hAnsi="Arial" w:cs="Arial"/>
                <w:kern w:val="28"/>
              </w:rPr>
              <w:t xml:space="preserve">Using EB registry data, </w:t>
            </w:r>
            <w:r w:rsidR="00CD62DA" w:rsidRPr="0087284A">
              <w:rPr>
                <w:rFonts w:ascii="Arial" w:hAnsi="Arial" w:cs="Arial"/>
                <w:kern w:val="28"/>
              </w:rPr>
              <w:t>ID1505</w:t>
            </w:r>
            <w:r w:rsidRPr="0087284A">
              <w:rPr>
                <w:rFonts w:ascii="Arial" w:hAnsi="Arial" w:cs="Arial"/>
                <w:kern w:val="28"/>
              </w:rPr>
              <w:t xml:space="preserve"> estimate</w:t>
            </w:r>
            <w:r w:rsidR="003E0ECB" w:rsidRPr="0087284A">
              <w:rPr>
                <w:rFonts w:ascii="Arial" w:hAnsi="Arial" w:cs="Arial"/>
                <w:kern w:val="28"/>
              </w:rPr>
              <w:t>d</w:t>
            </w:r>
            <w:r w:rsidRPr="0087284A">
              <w:rPr>
                <w:rFonts w:ascii="Arial" w:hAnsi="Arial" w:cs="Arial"/>
                <w:kern w:val="28"/>
              </w:rPr>
              <w:t xml:space="preserve"> the prevalence of relevant subgroups of EB in England to be 569 (DEB)</w:t>
            </w:r>
            <w:r w:rsidR="003E0ECB" w:rsidRPr="0087284A">
              <w:rPr>
                <w:rFonts w:ascii="Arial" w:hAnsi="Arial" w:cs="Arial"/>
                <w:kern w:val="28"/>
              </w:rPr>
              <w:t>. This a</w:t>
            </w:r>
            <w:r w:rsidR="001B5987" w:rsidRPr="0087284A">
              <w:rPr>
                <w:rFonts w:ascii="Arial" w:hAnsi="Arial" w:cs="Arial"/>
                <w:kern w:val="28"/>
              </w:rPr>
              <w:t xml:space="preserve">ligns with the information in a recent publication: </w:t>
            </w:r>
            <w:hyperlink r:id="rId11" w:history="1">
              <w:r w:rsidR="001B5987" w:rsidRPr="0087284A">
                <w:rPr>
                  <w:rStyle w:val="Hyperlink"/>
                  <w:rFonts w:ascii="Arial" w:hAnsi="Arial" w:cs="Arial"/>
                  <w:kern w:val="28"/>
                </w:rPr>
                <w:t>https://onlinelibrary.wiley.com/doi/10.1111/bjd.20958</w:t>
              </w:r>
            </w:hyperlink>
          </w:p>
          <w:p w14:paraId="78E6F435" w14:textId="77777777" w:rsidR="00190DC6" w:rsidRPr="00187C67" w:rsidRDefault="00190DC6" w:rsidP="00EB6E19">
            <w:pPr>
              <w:rPr>
                <w:rStyle w:val="Hyperlink"/>
                <w:rFonts w:ascii="Arial" w:hAnsi="Arial" w:cs="Arial"/>
                <w:kern w:val="28"/>
              </w:rPr>
            </w:pPr>
          </w:p>
          <w:p w14:paraId="4662576B" w14:textId="65BD7E52" w:rsidR="00190DC6" w:rsidRPr="0087284A" w:rsidRDefault="00190DC6" w:rsidP="00190DC6">
            <w:pPr>
              <w:rPr>
                <w:rFonts w:ascii="Arial" w:hAnsi="Arial" w:cs="Arial"/>
                <w:kern w:val="28"/>
              </w:rPr>
            </w:pPr>
            <w:r w:rsidRPr="00187C67">
              <w:rPr>
                <w:rFonts w:ascii="Arial" w:hAnsi="Arial" w:cs="Arial"/>
                <w:kern w:val="28"/>
              </w:rPr>
              <w:lastRenderedPageBreak/>
              <w:t xml:space="preserve">However, other sources of prevalence rates of EB, and therefore DEB, lead to higher estimates of people potentially eligible for </w:t>
            </w:r>
            <w:proofErr w:type="spellStart"/>
            <w:r w:rsidRPr="00187C67">
              <w:rPr>
                <w:rFonts w:ascii="Arial" w:hAnsi="Arial" w:cs="Arial"/>
                <w:kern w:val="28"/>
              </w:rPr>
              <w:t>beremagene</w:t>
            </w:r>
            <w:proofErr w:type="spellEnd"/>
            <w:r w:rsidRPr="00187C67">
              <w:rPr>
                <w:rFonts w:ascii="Arial" w:hAnsi="Arial" w:cs="Arial"/>
                <w:kern w:val="28"/>
              </w:rPr>
              <w:t xml:space="preserve"> </w:t>
            </w:r>
            <w:proofErr w:type="spellStart"/>
            <w:r w:rsidRPr="00187C67">
              <w:rPr>
                <w:rFonts w:ascii="Arial" w:hAnsi="Arial" w:cs="Arial"/>
                <w:kern w:val="28"/>
              </w:rPr>
              <w:t>geperpavec</w:t>
            </w:r>
            <w:proofErr w:type="spellEnd"/>
            <w:r w:rsidRPr="00187C67">
              <w:rPr>
                <w:rFonts w:ascii="Arial" w:hAnsi="Arial" w:cs="Arial"/>
                <w:kern w:val="28"/>
              </w:rPr>
              <w:t xml:space="preserve">, (such as </w:t>
            </w:r>
            <w:hyperlink r:id="rId12" w:history="1">
              <w:r w:rsidRPr="00187C67">
                <w:rPr>
                  <w:rStyle w:val="Hyperlink"/>
                  <w:rFonts w:ascii="Arial" w:hAnsi="Arial" w:cs="Arial"/>
                  <w:kern w:val="28"/>
                </w:rPr>
                <w:t>H</w:t>
              </w:r>
              <w:r w:rsidRPr="00187C67">
                <w:rPr>
                  <w:rStyle w:val="Hyperlink"/>
                  <w:rFonts w:ascii="Arial" w:hAnsi="Arial" w:cs="Arial"/>
                </w:rPr>
                <w:t>orn et al 1998</w:t>
              </w:r>
            </w:hyperlink>
            <w:r w:rsidRPr="00187C67">
              <w:rPr>
                <w:rFonts w:ascii="Arial" w:hAnsi="Arial" w:cs="Arial"/>
                <w:kern w:val="28"/>
              </w:rPr>
              <w:t xml:space="preserve">) – which estimates a prevalence of 1.02 per 50,000 for DEB – which would mean significantly more than 500 people in England would be eligible for treatment with </w:t>
            </w:r>
            <w:proofErr w:type="spellStart"/>
            <w:r w:rsidRPr="00187C67">
              <w:rPr>
                <w:rFonts w:ascii="Arial" w:hAnsi="Arial" w:cs="Arial"/>
                <w:kern w:val="28"/>
              </w:rPr>
              <w:t>beremagene</w:t>
            </w:r>
            <w:proofErr w:type="spellEnd"/>
            <w:r w:rsidRPr="00187C67">
              <w:rPr>
                <w:rFonts w:ascii="Arial" w:hAnsi="Arial" w:cs="Arial"/>
                <w:kern w:val="28"/>
              </w:rPr>
              <w:t xml:space="preserve"> </w:t>
            </w:r>
            <w:proofErr w:type="spellStart"/>
            <w:r w:rsidRPr="00187C67">
              <w:rPr>
                <w:rFonts w:ascii="Arial" w:hAnsi="Arial" w:cs="Arial"/>
                <w:kern w:val="28"/>
              </w:rPr>
              <w:t>geperpavec</w:t>
            </w:r>
            <w:proofErr w:type="spellEnd"/>
            <w:r w:rsidRPr="00187C67">
              <w:rPr>
                <w:rFonts w:ascii="Arial" w:hAnsi="Arial" w:cs="Arial"/>
                <w:kern w:val="28"/>
              </w:rPr>
              <w:t>.</w:t>
            </w:r>
          </w:p>
          <w:p w14:paraId="2F55F5E7" w14:textId="77777777" w:rsidR="001B5987" w:rsidRPr="0087284A" w:rsidRDefault="001B5987" w:rsidP="00EB6E19">
            <w:pPr>
              <w:rPr>
                <w:rFonts w:ascii="Arial" w:hAnsi="Arial" w:cs="Arial"/>
              </w:rPr>
            </w:pPr>
          </w:p>
          <w:p w14:paraId="07323F7F" w14:textId="714FBCAC" w:rsidR="000365F4" w:rsidRPr="0087284A" w:rsidRDefault="00CD52A1" w:rsidP="00CD52A1">
            <w:pPr>
              <w:rPr>
                <w:rFonts w:ascii="Arial" w:hAnsi="Arial" w:cs="Arial"/>
              </w:rPr>
            </w:pPr>
            <w:r w:rsidRPr="0087284A">
              <w:rPr>
                <w:rFonts w:ascii="Arial" w:hAnsi="Arial" w:cs="Arial"/>
              </w:rPr>
              <w:t>DEB would need to be confirmed by genetic testing,</w:t>
            </w:r>
            <w:r w:rsidR="000365F4" w:rsidRPr="0087284A">
              <w:rPr>
                <w:rFonts w:ascii="Arial" w:hAnsi="Arial" w:cs="Arial"/>
              </w:rPr>
              <w:t xml:space="preserve"> all those with DEB who have a mutation in the COL7A1 gene may be eligible for treatment. Unclear if any </w:t>
            </w:r>
            <w:r w:rsidRPr="0087284A">
              <w:rPr>
                <w:rFonts w:ascii="Arial" w:hAnsi="Arial" w:cs="Arial"/>
              </w:rPr>
              <w:t>additional</w:t>
            </w:r>
            <w:r w:rsidR="00DA6E58" w:rsidRPr="0087284A">
              <w:rPr>
                <w:rFonts w:ascii="Arial" w:hAnsi="Arial" w:cs="Arial"/>
              </w:rPr>
              <w:t xml:space="preserve"> </w:t>
            </w:r>
            <w:r w:rsidR="005C258C" w:rsidRPr="0087284A">
              <w:rPr>
                <w:rFonts w:ascii="Arial" w:hAnsi="Arial" w:cs="Arial"/>
              </w:rPr>
              <w:t xml:space="preserve">eligibility </w:t>
            </w:r>
            <w:r w:rsidRPr="0087284A">
              <w:rPr>
                <w:rFonts w:ascii="Arial" w:hAnsi="Arial" w:cs="Arial"/>
              </w:rPr>
              <w:t>criteria will apply</w:t>
            </w:r>
            <w:r w:rsidR="00187C67">
              <w:rPr>
                <w:rFonts w:ascii="Arial" w:hAnsi="Arial" w:cs="Arial"/>
              </w:rPr>
              <w:t>.</w:t>
            </w:r>
            <w:r w:rsidR="003E0ECB" w:rsidRPr="0087284A">
              <w:rPr>
                <w:rFonts w:ascii="Arial" w:hAnsi="Arial" w:cs="Arial"/>
              </w:rPr>
              <w:t xml:space="preserve"> </w:t>
            </w:r>
          </w:p>
          <w:p w14:paraId="6A9A87C2" w14:textId="77777777" w:rsidR="000365F4" w:rsidRPr="0087284A" w:rsidRDefault="000365F4" w:rsidP="00CD52A1">
            <w:pPr>
              <w:rPr>
                <w:rFonts w:ascii="Arial" w:hAnsi="Arial" w:cs="Arial"/>
              </w:rPr>
            </w:pPr>
          </w:p>
          <w:p w14:paraId="23101CEF" w14:textId="59ED1BDA" w:rsidR="001A62DA" w:rsidRPr="0087284A" w:rsidRDefault="00CD62DA" w:rsidP="00CD52A1">
            <w:pPr>
              <w:rPr>
                <w:rFonts w:ascii="Arial" w:hAnsi="Arial" w:cs="Arial"/>
              </w:rPr>
            </w:pPr>
            <w:r w:rsidRPr="0087284A">
              <w:rPr>
                <w:rFonts w:ascii="Arial" w:hAnsi="Arial" w:cs="Arial"/>
              </w:rPr>
              <w:t>Severity can vary in DEB, and need for treatment over a lifetime can change – wounds can appear and heal and appear again elsewhere.</w:t>
            </w:r>
            <w:r w:rsidR="003E0ECB" w:rsidRPr="0087284A">
              <w:rPr>
                <w:rFonts w:ascii="Arial" w:hAnsi="Arial" w:cs="Arial"/>
              </w:rPr>
              <w:t xml:space="preserve"> </w:t>
            </w:r>
            <w:r w:rsidR="000365F4" w:rsidRPr="0087284A">
              <w:rPr>
                <w:rFonts w:ascii="Arial" w:hAnsi="Arial" w:cs="Arial"/>
              </w:rPr>
              <w:t>So,</w:t>
            </w:r>
            <w:r w:rsidR="00CD52A1" w:rsidRPr="0087284A">
              <w:rPr>
                <w:rFonts w:ascii="Arial" w:hAnsi="Arial" w:cs="Arial"/>
              </w:rPr>
              <w:t xml:space="preserve"> eligibility may be transient. </w:t>
            </w:r>
            <w:r w:rsidR="00187C67">
              <w:rPr>
                <w:rFonts w:ascii="Arial" w:hAnsi="Arial" w:cs="Arial"/>
              </w:rPr>
              <w:t>A</w:t>
            </w:r>
            <w:r w:rsidR="00187C67" w:rsidRPr="00187C67">
              <w:rPr>
                <w:rFonts w:ascii="Arial" w:hAnsi="Arial" w:cs="Arial"/>
              </w:rPr>
              <w:t>t the scoping workshop that clinic</w:t>
            </w:r>
            <w:r w:rsidR="00187C67">
              <w:rPr>
                <w:rFonts w:ascii="Arial" w:hAnsi="Arial" w:cs="Arial"/>
              </w:rPr>
              <w:t>al experts suggested that they</w:t>
            </w:r>
            <w:r w:rsidR="00187C67" w:rsidRPr="00187C67">
              <w:rPr>
                <w:rFonts w:ascii="Arial" w:hAnsi="Arial" w:cs="Arial"/>
              </w:rPr>
              <w:t xml:space="preserve"> would offer this treatment to all </w:t>
            </w:r>
            <w:r w:rsidR="00187C67">
              <w:rPr>
                <w:rFonts w:ascii="Arial" w:hAnsi="Arial" w:cs="Arial"/>
              </w:rPr>
              <w:t xml:space="preserve">people with </w:t>
            </w:r>
            <w:r w:rsidR="00187C67" w:rsidRPr="00187C67">
              <w:rPr>
                <w:rFonts w:ascii="Arial" w:hAnsi="Arial" w:cs="Arial"/>
              </w:rPr>
              <w:t>DEB (although they</w:t>
            </w:r>
            <w:r w:rsidR="00187C67">
              <w:rPr>
                <w:rFonts w:ascii="Arial" w:hAnsi="Arial" w:cs="Arial"/>
              </w:rPr>
              <w:t xml:space="preserve"> suggested </w:t>
            </w:r>
            <w:r w:rsidR="00187C67" w:rsidRPr="00187C67">
              <w:rPr>
                <w:rFonts w:ascii="Arial" w:hAnsi="Arial" w:cs="Arial"/>
              </w:rPr>
              <w:t>~60% would take it)</w:t>
            </w:r>
          </w:p>
          <w:p w14:paraId="23D39A3E" w14:textId="77777777" w:rsidR="00EF635D" w:rsidRPr="00187C67" w:rsidRDefault="00EF635D" w:rsidP="00CD52A1">
            <w:pPr>
              <w:rPr>
                <w:rFonts w:ascii="Arial" w:hAnsi="Arial" w:cs="Arial"/>
              </w:rPr>
            </w:pPr>
          </w:p>
          <w:p w14:paraId="702A3430" w14:textId="4D9A8F59" w:rsidR="00EF635D" w:rsidRPr="0087284A" w:rsidRDefault="000371D5" w:rsidP="00EF635D">
            <w:pPr>
              <w:rPr>
                <w:rFonts w:ascii="Arial" w:hAnsi="Arial" w:cs="Arial"/>
              </w:rPr>
            </w:pPr>
            <w:r w:rsidRPr="00187C67">
              <w:rPr>
                <w:rFonts w:ascii="Arial" w:hAnsi="Arial" w:cs="Arial"/>
              </w:rPr>
              <w:t>TSOP</w:t>
            </w:r>
            <w:r w:rsidR="00EF635D" w:rsidRPr="00187C67">
              <w:rPr>
                <w:rFonts w:ascii="Arial" w:hAnsi="Arial" w:cs="Arial"/>
              </w:rPr>
              <w:t xml:space="preserve"> considers the eligible population for this treatment as those with DEB and therefore is over 500 people. Therefore, this criterion is not met.</w:t>
            </w:r>
          </w:p>
          <w:p w14:paraId="574CE828" w14:textId="77777777" w:rsidR="00EF635D" w:rsidRPr="0087284A" w:rsidRDefault="00EF635D" w:rsidP="00CD52A1">
            <w:pPr>
              <w:rPr>
                <w:rFonts w:ascii="Arial" w:hAnsi="Arial" w:cs="Arial"/>
              </w:rPr>
            </w:pPr>
          </w:p>
          <w:p w14:paraId="02290E8D" w14:textId="77777777" w:rsidR="00190DC6" w:rsidRPr="0087284A" w:rsidRDefault="00190DC6" w:rsidP="00CD52A1">
            <w:pPr>
              <w:rPr>
                <w:rFonts w:ascii="Arial" w:hAnsi="Arial" w:cs="Arial"/>
              </w:rPr>
            </w:pPr>
          </w:p>
          <w:p w14:paraId="4C6F7AF2" w14:textId="4591FA8F" w:rsidR="00190DC6" w:rsidRPr="0087284A" w:rsidRDefault="00190DC6" w:rsidP="00CD52A1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8D56911" w14:textId="2F078D22" w:rsidR="00D71447" w:rsidRPr="00D71447" w:rsidRDefault="00CD52A1" w:rsidP="00CD52A1">
            <w:pPr>
              <w:ind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Not </w:t>
            </w:r>
            <w:r w:rsidR="0087284A">
              <w:rPr>
                <w:rFonts w:ascii="Arial" w:hAnsi="Arial" w:cs="Arial"/>
              </w:rPr>
              <w:t>met.</w:t>
            </w:r>
            <w:r>
              <w:rPr>
                <w:rFonts w:ascii="Arial" w:hAnsi="Arial" w:cs="Arial"/>
              </w:rPr>
              <w:t xml:space="preserve"> </w:t>
            </w:r>
          </w:p>
          <w:p w14:paraId="2A49A49C" w14:textId="4D4C6A24" w:rsidR="000D3405" w:rsidRPr="00EF3DC0" w:rsidRDefault="000D3405" w:rsidP="001A62DA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955A36" w:rsidRPr="00C9475C" w14:paraId="7C095163" w14:textId="663CB376" w:rsidTr="5C639C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7EF" w14:textId="77777777" w:rsidR="000D3405" w:rsidRPr="00D71447" w:rsidRDefault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very rare condition significantly shortens life or severely impairs its quality </w:t>
            </w:r>
          </w:p>
          <w:p w14:paraId="3AE5894D" w14:textId="77777777" w:rsidR="000D3405" w:rsidRPr="00D71447" w:rsidRDefault="000D3405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BB4DC" w14:textId="77777777" w:rsidR="003E0ECB" w:rsidRPr="0087284A" w:rsidRDefault="003E0ECB" w:rsidP="002A44CE">
            <w:pPr>
              <w:rPr>
                <w:rFonts w:ascii="Arial" w:hAnsi="Arial" w:cs="Arial"/>
              </w:rPr>
            </w:pPr>
          </w:p>
          <w:p w14:paraId="717FCE18" w14:textId="7EF79B84" w:rsidR="003E0ECB" w:rsidRPr="0087284A" w:rsidRDefault="003E0ECB" w:rsidP="002A44CE">
            <w:pPr>
              <w:rPr>
                <w:rFonts w:ascii="Arial" w:hAnsi="Arial" w:cs="Arial"/>
              </w:rPr>
            </w:pPr>
            <w:r w:rsidRPr="0087284A">
              <w:rPr>
                <w:rFonts w:ascii="Arial" w:hAnsi="Arial" w:cs="Arial"/>
              </w:rPr>
              <w:t>Epidermolysis bullosa (EB) cause the skin to become very fragile. Any trauma or friction can cause the skin to blister and tear easily.</w:t>
            </w:r>
            <w:r w:rsidRPr="00187C67">
              <w:rPr>
                <w:rFonts w:ascii="Arial" w:hAnsi="Arial" w:cs="Arial"/>
              </w:rPr>
              <w:t xml:space="preserve"> </w:t>
            </w:r>
            <w:r w:rsidRPr="0087284A">
              <w:rPr>
                <w:rFonts w:ascii="Arial" w:hAnsi="Arial" w:cs="Arial"/>
              </w:rPr>
              <w:t xml:space="preserve">EB can manifest internally affecting areas such as the eye, </w:t>
            </w:r>
            <w:proofErr w:type="gramStart"/>
            <w:r w:rsidRPr="0087284A">
              <w:rPr>
                <w:rFonts w:ascii="Arial" w:hAnsi="Arial" w:cs="Arial"/>
              </w:rPr>
              <w:t>mouth</w:t>
            </w:r>
            <w:proofErr w:type="gramEnd"/>
            <w:r w:rsidRPr="0087284A">
              <w:rPr>
                <w:rFonts w:ascii="Arial" w:hAnsi="Arial" w:cs="Arial"/>
              </w:rPr>
              <w:t xml:space="preserve"> or stomach.</w:t>
            </w:r>
            <w:r w:rsidR="00CD52A1" w:rsidRPr="0087284A">
              <w:rPr>
                <w:rFonts w:ascii="Arial" w:hAnsi="Arial" w:cs="Arial"/>
              </w:rPr>
              <w:t xml:space="preserve"> </w:t>
            </w:r>
            <w:proofErr w:type="gramStart"/>
            <w:r w:rsidR="00CD52A1" w:rsidRPr="0087284A">
              <w:rPr>
                <w:rFonts w:ascii="Arial" w:hAnsi="Arial" w:cs="Arial"/>
              </w:rPr>
              <w:t xml:space="preserve">This </w:t>
            </w:r>
            <w:r w:rsidR="00CD52A1" w:rsidRPr="00187C67">
              <w:rPr>
                <w:rFonts w:ascii="Arial" w:hAnsi="Arial" w:cs="Arial"/>
              </w:rPr>
              <w:t xml:space="preserve"> </w:t>
            </w:r>
            <w:r w:rsidR="00CD52A1" w:rsidRPr="0087284A">
              <w:rPr>
                <w:rFonts w:ascii="Arial" w:hAnsi="Arial" w:cs="Arial"/>
              </w:rPr>
              <w:t>can</w:t>
            </w:r>
            <w:proofErr w:type="gramEnd"/>
            <w:r w:rsidR="00CD52A1" w:rsidRPr="0087284A">
              <w:rPr>
                <w:rFonts w:ascii="Arial" w:hAnsi="Arial" w:cs="Arial"/>
              </w:rPr>
              <w:t xml:space="preserve"> lead to vision loss, disfigurement, and other serious </w:t>
            </w:r>
            <w:r w:rsidRPr="0087284A">
              <w:rPr>
                <w:rFonts w:ascii="Arial" w:hAnsi="Arial" w:cs="Arial"/>
              </w:rPr>
              <w:t>complications includ</w:t>
            </w:r>
            <w:r w:rsidR="00CD52A1" w:rsidRPr="0087284A">
              <w:rPr>
                <w:rFonts w:ascii="Arial" w:hAnsi="Arial" w:cs="Arial"/>
              </w:rPr>
              <w:t>ing</w:t>
            </w:r>
            <w:r w:rsidRPr="0087284A">
              <w:rPr>
                <w:rFonts w:ascii="Arial" w:hAnsi="Arial" w:cs="Arial"/>
              </w:rPr>
              <w:t xml:space="preserve"> the development of aggressive skin cancers, dental problems, or nutritional compromise.</w:t>
            </w:r>
          </w:p>
          <w:p w14:paraId="61CD67B7" w14:textId="77777777" w:rsidR="003E0ECB" w:rsidRPr="0087284A" w:rsidRDefault="003E0ECB" w:rsidP="002A44CE">
            <w:pPr>
              <w:rPr>
                <w:rFonts w:ascii="Arial" w:hAnsi="Arial" w:cs="Arial"/>
              </w:rPr>
            </w:pPr>
          </w:p>
          <w:p w14:paraId="0C1C365F" w14:textId="2CABADB3" w:rsidR="002A44CE" w:rsidRPr="0087284A" w:rsidRDefault="002A44CE" w:rsidP="002A44CE">
            <w:pPr>
              <w:rPr>
                <w:rFonts w:ascii="Arial" w:hAnsi="Arial" w:cs="Arial"/>
              </w:rPr>
            </w:pPr>
            <w:r w:rsidRPr="0087284A">
              <w:rPr>
                <w:rFonts w:ascii="Arial" w:hAnsi="Arial" w:cs="Arial"/>
              </w:rPr>
              <w:lastRenderedPageBreak/>
              <w:t xml:space="preserve">DEB is </w:t>
            </w:r>
            <w:r w:rsidR="00FB2799" w:rsidRPr="0087284A">
              <w:rPr>
                <w:rFonts w:ascii="Arial" w:hAnsi="Arial" w:cs="Arial"/>
              </w:rPr>
              <w:t xml:space="preserve">one of the most severe forms of </w:t>
            </w:r>
            <w:proofErr w:type="gramStart"/>
            <w:r w:rsidR="00FB2799" w:rsidRPr="0087284A">
              <w:rPr>
                <w:rFonts w:ascii="Arial" w:hAnsi="Arial" w:cs="Arial"/>
              </w:rPr>
              <w:t>EB, and</w:t>
            </w:r>
            <w:proofErr w:type="gramEnd"/>
            <w:r w:rsidR="00FB2799" w:rsidRPr="0087284A">
              <w:rPr>
                <w:rFonts w:ascii="Arial" w:hAnsi="Arial" w:cs="Arial"/>
              </w:rPr>
              <w:t xml:space="preserve"> can </w:t>
            </w:r>
            <w:r w:rsidR="00CD52A1" w:rsidRPr="0087284A">
              <w:rPr>
                <w:rFonts w:ascii="Arial" w:hAnsi="Arial" w:cs="Arial"/>
              </w:rPr>
              <w:t xml:space="preserve">severely </w:t>
            </w:r>
            <w:r w:rsidR="00FB2799" w:rsidRPr="0087284A">
              <w:rPr>
                <w:rFonts w:ascii="Arial" w:hAnsi="Arial" w:cs="Arial"/>
              </w:rPr>
              <w:t>impair its quality</w:t>
            </w:r>
            <w:r w:rsidR="00CD52A1" w:rsidRPr="0087284A">
              <w:rPr>
                <w:rFonts w:ascii="Arial" w:hAnsi="Arial" w:cs="Arial"/>
              </w:rPr>
              <w:t xml:space="preserve"> however s</w:t>
            </w:r>
            <w:r w:rsidR="007B236C" w:rsidRPr="0087284A">
              <w:rPr>
                <w:rFonts w:ascii="Arial" w:hAnsi="Arial" w:cs="Arial"/>
              </w:rPr>
              <w:t>everity</w:t>
            </w:r>
            <w:r w:rsidR="00CD52A1" w:rsidRPr="0087284A">
              <w:rPr>
                <w:rFonts w:ascii="Arial" w:hAnsi="Arial" w:cs="Arial"/>
              </w:rPr>
              <w:t xml:space="preserve"> and symptoms vary across the affected population</w:t>
            </w:r>
            <w:r w:rsidR="007B236C" w:rsidRPr="0087284A">
              <w:rPr>
                <w:rFonts w:ascii="Arial" w:hAnsi="Arial" w:cs="Arial"/>
              </w:rPr>
              <w:t>.</w:t>
            </w:r>
          </w:p>
          <w:p w14:paraId="11B3C905" w14:textId="77777777" w:rsidR="00FB2799" w:rsidRPr="0087284A" w:rsidRDefault="00FB2799" w:rsidP="002A44CE">
            <w:pPr>
              <w:rPr>
                <w:rFonts w:ascii="Arial" w:hAnsi="Arial" w:cs="Arial"/>
              </w:rPr>
            </w:pPr>
          </w:p>
          <w:p w14:paraId="12D121C6" w14:textId="678F2CAE" w:rsidR="0074210A" w:rsidRPr="0087284A" w:rsidRDefault="0074210A" w:rsidP="003E0ECB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C067F56" w14:textId="77777777" w:rsidR="00D71447" w:rsidRPr="00D71447" w:rsidRDefault="00D71447" w:rsidP="00D7144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41BD97F3" w14:textId="77777777" w:rsidR="000D3405" w:rsidRPr="00EF3DC0" w:rsidRDefault="000D3405" w:rsidP="001A62DA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955A36" w:rsidRPr="00C9475C" w14:paraId="3926C63E" w14:textId="217B1634" w:rsidTr="5C639C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0D3405" w:rsidRDefault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52BF37D1" w14:textId="77777777" w:rsidR="00D71447" w:rsidRPr="00D71447" w:rsidRDefault="00D71447">
            <w:pPr>
              <w:rPr>
                <w:rFonts w:ascii="Arial" w:hAnsi="Arial" w:cs="Arial"/>
              </w:rPr>
            </w:pPr>
          </w:p>
          <w:p w14:paraId="37761BB2" w14:textId="77777777" w:rsidR="000D3405" w:rsidRPr="00D71447" w:rsidRDefault="000D3405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1D728" w14:textId="77777777" w:rsidR="00FB2799" w:rsidRPr="0087284A" w:rsidRDefault="00FB2799" w:rsidP="00FB2799">
            <w:pPr>
              <w:rPr>
                <w:rFonts w:ascii="Arial" w:hAnsi="Arial" w:cs="Arial"/>
              </w:rPr>
            </w:pPr>
          </w:p>
          <w:p w14:paraId="4FE9E016" w14:textId="2210876F" w:rsidR="00FB2799" w:rsidRPr="0087284A" w:rsidRDefault="00FB2799" w:rsidP="00FB2799">
            <w:pPr>
              <w:rPr>
                <w:rFonts w:ascii="Arial" w:hAnsi="Arial" w:cs="Arial"/>
              </w:rPr>
            </w:pPr>
            <w:r w:rsidRPr="4FA19F66">
              <w:rPr>
                <w:rFonts w:ascii="Arial" w:hAnsi="Arial" w:cs="Arial"/>
              </w:rPr>
              <w:t>Currently no satisfactory treatment options exist</w:t>
            </w:r>
            <w:r w:rsidR="00187C67" w:rsidRPr="4FA19F66">
              <w:rPr>
                <w:rFonts w:ascii="Arial" w:hAnsi="Arial" w:cs="Arial"/>
              </w:rPr>
              <w:t>.</w:t>
            </w:r>
            <w:r w:rsidRPr="4FA19F66">
              <w:rPr>
                <w:rFonts w:ascii="Arial" w:hAnsi="Arial" w:cs="Arial"/>
              </w:rPr>
              <w:t xml:space="preserve"> oleogel-S10</w:t>
            </w:r>
            <w:r w:rsidR="00187C67" w:rsidRPr="4FA19F66">
              <w:rPr>
                <w:rFonts w:ascii="Arial" w:hAnsi="Arial" w:cs="Arial"/>
              </w:rPr>
              <w:t xml:space="preserve"> (Birch Bark Extract)</w:t>
            </w:r>
            <w:r w:rsidRPr="4FA19F66">
              <w:rPr>
                <w:rFonts w:ascii="Arial" w:hAnsi="Arial" w:cs="Arial"/>
              </w:rPr>
              <w:t xml:space="preserve"> is </w:t>
            </w:r>
            <w:r w:rsidR="00CD52A1" w:rsidRPr="4FA19F66">
              <w:rPr>
                <w:rFonts w:ascii="Arial" w:hAnsi="Arial" w:cs="Arial"/>
              </w:rPr>
              <w:t xml:space="preserve">being </w:t>
            </w:r>
            <w:r w:rsidR="5F7444F8" w:rsidRPr="4FA19F66">
              <w:rPr>
                <w:rFonts w:ascii="Arial" w:hAnsi="Arial" w:cs="Arial"/>
              </w:rPr>
              <w:t xml:space="preserve">evaluated </w:t>
            </w:r>
            <w:r w:rsidR="00CD52A1" w:rsidRPr="4FA19F66">
              <w:rPr>
                <w:rFonts w:ascii="Arial" w:hAnsi="Arial" w:cs="Arial"/>
              </w:rPr>
              <w:t>by NICE for the same population</w:t>
            </w:r>
            <w:r w:rsidR="00187C67" w:rsidRPr="4FA19F66">
              <w:rPr>
                <w:rFonts w:ascii="Arial" w:hAnsi="Arial" w:cs="Arial"/>
              </w:rPr>
              <w:t xml:space="preserve"> but TSOP noted that this is not currently routinely commissioned</w:t>
            </w:r>
            <w:r w:rsidR="00CD52A1" w:rsidRPr="4FA19F66">
              <w:rPr>
                <w:rFonts w:ascii="Arial" w:hAnsi="Arial" w:cs="Arial"/>
              </w:rPr>
              <w:t xml:space="preserve">. </w:t>
            </w:r>
          </w:p>
          <w:p w14:paraId="620CC592" w14:textId="77777777" w:rsidR="00FB2799" w:rsidRPr="0087284A" w:rsidRDefault="00FB2799" w:rsidP="00FB2799">
            <w:pPr>
              <w:rPr>
                <w:rFonts w:ascii="Arial" w:hAnsi="Arial" w:cs="Arial"/>
              </w:rPr>
            </w:pPr>
          </w:p>
          <w:p w14:paraId="49115641" w14:textId="66B9DE5B" w:rsidR="00FB2799" w:rsidRPr="0087284A" w:rsidRDefault="00187C67" w:rsidP="00FB2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TSOP understood there was early evidence from clinical trials suggesting </w:t>
            </w:r>
            <w:proofErr w:type="spellStart"/>
            <w:r w:rsidRPr="00187C67">
              <w:rPr>
                <w:rFonts w:ascii="Arial" w:hAnsi="Arial" w:cs="Arial"/>
              </w:rPr>
              <w:t>Beremagene</w:t>
            </w:r>
            <w:proofErr w:type="spellEnd"/>
            <w:r w:rsidRPr="00187C67">
              <w:rPr>
                <w:rFonts w:ascii="Arial" w:hAnsi="Arial" w:cs="Arial"/>
              </w:rPr>
              <w:t xml:space="preserve"> </w:t>
            </w:r>
            <w:proofErr w:type="spellStart"/>
            <w:r w:rsidRPr="00187C67">
              <w:rPr>
                <w:rFonts w:ascii="Arial" w:hAnsi="Arial" w:cs="Arial"/>
              </w:rPr>
              <w:t>geperpavec</w:t>
            </w:r>
            <w:proofErr w:type="spellEnd"/>
            <w:r w:rsidRPr="00187C67">
              <w:rPr>
                <w:rFonts w:ascii="Arial" w:hAnsi="Arial" w:cs="Arial"/>
              </w:rPr>
              <w:t xml:space="preserve"> </w:t>
            </w:r>
            <w:r w:rsidR="00FB2799" w:rsidRPr="0087284A">
              <w:rPr>
                <w:rFonts w:ascii="Arial" w:hAnsi="Arial" w:cs="Arial"/>
              </w:rPr>
              <w:t>is likely to provide benefits over current standard clinical management</w:t>
            </w:r>
            <w:r>
              <w:rPr>
                <w:rFonts w:ascii="Arial" w:hAnsi="Arial" w:cs="Arial"/>
              </w:rPr>
              <w:t xml:space="preserve"> for skin wounds, although it is</w:t>
            </w:r>
            <w:r w:rsidR="00FB2799" w:rsidRPr="008728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 w:rsidR="00F7096B" w:rsidRPr="0087284A">
              <w:rPr>
                <w:rFonts w:ascii="Arial" w:hAnsi="Arial" w:cs="Arial"/>
              </w:rPr>
              <w:t>nclear</w:t>
            </w:r>
            <w:r w:rsidR="00CD52A1" w:rsidRPr="0087284A">
              <w:rPr>
                <w:rFonts w:ascii="Arial" w:hAnsi="Arial" w:cs="Arial"/>
              </w:rPr>
              <w:t xml:space="preserve"> if these benefits would</w:t>
            </w:r>
            <w:r w:rsidR="00F7096B" w:rsidRPr="0087284A">
              <w:rPr>
                <w:rFonts w:ascii="Arial" w:hAnsi="Arial" w:cs="Arial"/>
              </w:rPr>
              <w:t xml:space="preserve"> impact on survival and </w:t>
            </w:r>
            <w:r w:rsidR="00CD52A1" w:rsidRPr="0087284A">
              <w:rPr>
                <w:rFonts w:ascii="Arial" w:hAnsi="Arial" w:cs="Arial"/>
              </w:rPr>
              <w:t xml:space="preserve">improve </w:t>
            </w:r>
            <w:r w:rsidR="00F7096B" w:rsidRPr="0087284A">
              <w:rPr>
                <w:rFonts w:ascii="Arial" w:hAnsi="Arial" w:cs="Arial"/>
              </w:rPr>
              <w:t>outcomes</w:t>
            </w:r>
            <w:r w:rsidR="00CD52A1" w:rsidRPr="0087284A">
              <w:rPr>
                <w:rFonts w:ascii="Arial" w:hAnsi="Arial" w:cs="Arial"/>
              </w:rPr>
              <w:t xml:space="preserve"> for internal complications associated with EB which cannot be treated using topical treatment</w:t>
            </w:r>
            <w:r w:rsidR="00F7096B" w:rsidRPr="0087284A">
              <w:rPr>
                <w:rFonts w:ascii="Arial" w:hAnsi="Arial" w:cs="Arial"/>
              </w:rPr>
              <w:t>.</w:t>
            </w:r>
            <w:r w:rsidR="00B60949" w:rsidRPr="008728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2167073" w14:textId="4C346A40" w:rsidR="00D71447" w:rsidRPr="00D71447" w:rsidRDefault="0087284A" w:rsidP="00D71447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</w:t>
            </w:r>
          </w:p>
          <w:p w14:paraId="0A0F82F7" w14:textId="77777777" w:rsidR="000D3405" w:rsidRPr="00EF3DC0" w:rsidRDefault="000D3405" w:rsidP="001A62DA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04873BA" w14:textId="224C1313" w:rsidR="000D3405" w:rsidRDefault="000D3405" w:rsidP="00F90BB8">
      <w:pPr>
        <w:rPr>
          <w:rFonts w:ascii="Arial" w:hAnsi="Arial" w:cs="Arial"/>
          <w:b/>
          <w:bCs/>
        </w:rPr>
      </w:pPr>
    </w:p>
    <w:p w14:paraId="5B848B0E" w14:textId="77777777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4D49" w14:textId="77777777" w:rsidR="00F36CB0" w:rsidRDefault="00F36CB0" w:rsidP="00446BEE">
      <w:r>
        <w:separator/>
      </w:r>
    </w:p>
  </w:endnote>
  <w:endnote w:type="continuationSeparator" w:id="0">
    <w:p w14:paraId="2F8C8F02" w14:textId="77777777" w:rsidR="00F36CB0" w:rsidRDefault="00F36CB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5C270E3F" w:rsidR="00696A5C" w:rsidRDefault="00CD52A1">
    <w:pPr>
      <w:pStyle w:val="Footer"/>
    </w:pPr>
    <w:r>
      <w:t>November</w:t>
    </w:r>
    <w:r w:rsidR="00EC53AC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656C" w14:textId="77777777" w:rsidR="00F36CB0" w:rsidRDefault="00F36CB0" w:rsidP="00446BEE">
      <w:r>
        <w:separator/>
      </w:r>
    </w:p>
  </w:footnote>
  <w:footnote w:type="continuationSeparator" w:id="0">
    <w:p w14:paraId="67FC1FAE" w14:textId="77777777" w:rsidR="00F36CB0" w:rsidRDefault="00F36CB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5797"/>
    <w:multiLevelType w:val="hybridMultilevel"/>
    <w:tmpl w:val="8C16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50963">
    <w:abstractNumId w:val="23"/>
  </w:num>
  <w:num w:numId="2" w16cid:durableId="1157303376">
    <w:abstractNumId w:val="25"/>
  </w:num>
  <w:num w:numId="3" w16cid:durableId="203255922">
    <w:abstractNumId w:val="25"/>
    <w:lvlOverride w:ilvl="0">
      <w:startOverride w:val="1"/>
    </w:lvlOverride>
  </w:num>
  <w:num w:numId="4" w16cid:durableId="480269524">
    <w:abstractNumId w:val="25"/>
    <w:lvlOverride w:ilvl="0">
      <w:startOverride w:val="1"/>
    </w:lvlOverride>
  </w:num>
  <w:num w:numId="5" w16cid:durableId="1354721443">
    <w:abstractNumId w:val="25"/>
    <w:lvlOverride w:ilvl="0">
      <w:startOverride w:val="1"/>
    </w:lvlOverride>
  </w:num>
  <w:num w:numId="6" w16cid:durableId="1335382846">
    <w:abstractNumId w:val="25"/>
    <w:lvlOverride w:ilvl="0">
      <w:startOverride w:val="1"/>
    </w:lvlOverride>
  </w:num>
  <w:num w:numId="7" w16cid:durableId="1373574399">
    <w:abstractNumId w:val="25"/>
    <w:lvlOverride w:ilvl="0">
      <w:startOverride w:val="1"/>
    </w:lvlOverride>
  </w:num>
  <w:num w:numId="8" w16cid:durableId="1820001878">
    <w:abstractNumId w:val="9"/>
  </w:num>
  <w:num w:numId="9" w16cid:durableId="1296523184">
    <w:abstractNumId w:val="7"/>
  </w:num>
  <w:num w:numId="10" w16cid:durableId="563875155">
    <w:abstractNumId w:val="6"/>
  </w:num>
  <w:num w:numId="11" w16cid:durableId="1746149613">
    <w:abstractNumId w:val="5"/>
  </w:num>
  <w:num w:numId="12" w16cid:durableId="1247230365">
    <w:abstractNumId w:val="4"/>
  </w:num>
  <w:num w:numId="13" w16cid:durableId="1439762059">
    <w:abstractNumId w:val="8"/>
  </w:num>
  <w:num w:numId="14" w16cid:durableId="1910381640">
    <w:abstractNumId w:val="3"/>
  </w:num>
  <w:num w:numId="15" w16cid:durableId="489754818">
    <w:abstractNumId w:val="2"/>
  </w:num>
  <w:num w:numId="16" w16cid:durableId="320669351">
    <w:abstractNumId w:val="1"/>
  </w:num>
  <w:num w:numId="17" w16cid:durableId="1476409375">
    <w:abstractNumId w:val="0"/>
  </w:num>
  <w:num w:numId="18" w16cid:durableId="1946451945">
    <w:abstractNumId w:val="14"/>
  </w:num>
  <w:num w:numId="19" w16cid:durableId="1881280120">
    <w:abstractNumId w:val="14"/>
    <w:lvlOverride w:ilvl="0">
      <w:startOverride w:val="1"/>
    </w:lvlOverride>
  </w:num>
  <w:num w:numId="20" w16cid:durableId="1161002542">
    <w:abstractNumId w:val="11"/>
  </w:num>
  <w:num w:numId="21" w16cid:durableId="1774201978">
    <w:abstractNumId w:val="27"/>
  </w:num>
  <w:num w:numId="22" w16cid:durableId="1646204616">
    <w:abstractNumId w:val="22"/>
  </w:num>
  <w:num w:numId="23" w16cid:durableId="1590507106">
    <w:abstractNumId w:val="26"/>
  </w:num>
  <w:num w:numId="24" w16cid:durableId="304554171">
    <w:abstractNumId w:val="24"/>
  </w:num>
  <w:num w:numId="25" w16cid:durableId="620190077">
    <w:abstractNumId w:val="20"/>
  </w:num>
  <w:num w:numId="26" w16cid:durableId="458493783">
    <w:abstractNumId w:val="18"/>
  </w:num>
  <w:num w:numId="27" w16cid:durableId="736050692">
    <w:abstractNumId w:val="15"/>
  </w:num>
  <w:num w:numId="28" w16cid:durableId="2124686835">
    <w:abstractNumId w:val="12"/>
  </w:num>
  <w:num w:numId="29" w16cid:durableId="200360171">
    <w:abstractNumId w:val="19"/>
  </w:num>
  <w:num w:numId="30" w16cid:durableId="1414159619">
    <w:abstractNumId w:val="28"/>
  </w:num>
  <w:num w:numId="31" w16cid:durableId="360477520">
    <w:abstractNumId w:val="13"/>
  </w:num>
  <w:num w:numId="32" w16cid:durableId="192616695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8512732">
    <w:abstractNumId w:val="10"/>
  </w:num>
  <w:num w:numId="34" w16cid:durableId="1120152264">
    <w:abstractNumId w:val="17"/>
  </w:num>
  <w:num w:numId="35" w16cid:durableId="641665556">
    <w:abstractNumId w:val="21"/>
  </w:num>
  <w:num w:numId="36" w16cid:durableId="615452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F"/>
    <w:rsid w:val="000053F8"/>
    <w:rsid w:val="00006FAF"/>
    <w:rsid w:val="00024D0A"/>
    <w:rsid w:val="000365F4"/>
    <w:rsid w:val="000371D5"/>
    <w:rsid w:val="000472DC"/>
    <w:rsid w:val="000567FF"/>
    <w:rsid w:val="00070065"/>
    <w:rsid w:val="000A4FEE"/>
    <w:rsid w:val="000B5939"/>
    <w:rsid w:val="000C327B"/>
    <w:rsid w:val="000D3405"/>
    <w:rsid w:val="000E39C5"/>
    <w:rsid w:val="000E4BC4"/>
    <w:rsid w:val="000F4719"/>
    <w:rsid w:val="00111CCE"/>
    <w:rsid w:val="001134E7"/>
    <w:rsid w:val="0017149E"/>
    <w:rsid w:val="0017169E"/>
    <w:rsid w:val="00181A4A"/>
    <w:rsid w:val="00187C67"/>
    <w:rsid w:val="00190DC6"/>
    <w:rsid w:val="001A62DA"/>
    <w:rsid w:val="001B0EE9"/>
    <w:rsid w:val="001B5987"/>
    <w:rsid w:val="001B65B3"/>
    <w:rsid w:val="001D3497"/>
    <w:rsid w:val="00200E38"/>
    <w:rsid w:val="002029A6"/>
    <w:rsid w:val="002255DB"/>
    <w:rsid w:val="002408EA"/>
    <w:rsid w:val="00271DCA"/>
    <w:rsid w:val="002819D7"/>
    <w:rsid w:val="00291A17"/>
    <w:rsid w:val="002A3945"/>
    <w:rsid w:val="002A44CE"/>
    <w:rsid w:val="002A5A8B"/>
    <w:rsid w:val="002B02BE"/>
    <w:rsid w:val="002B051F"/>
    <w:rsid w:val="002C1A7E"/>
    <w:rsid w:val="002C5E6A"/>
    <w:rsid w:val="002D3376"/>
    <w:rsid w:val="00311ED0"/>
    <w:rsid w:val="0033351A"/>
    <w:rsid w:val="003648C5"/>
    <w:rsid w:val="003722FA"/>
    <w:rsid w:val="00391C89"/>
    <w:rsid w:val="003A0F66"/>
    <w:rsid w:val="003C7AAF"/>
    <w:rsid w:val="003E0ECB"/>
    <w:rsid w:val="003F41C3"/>
    <w:rsid w:val="004075B6"/>
    <w:rsid w:val="0041504E"/>
    <w:rsid w:val="00420952"/>
    <w:rsid w:val="00420F6B"/>
    <w:rsid w:val="00433EFF"/>
    <w:rsid w:val="00443081"/>
    <w:rsid w:val="00446BEE"/>
    <w:rsid w:val="00482716"/>
    <w:rsid w:val="004A3531"/>
    <w:rsid w:val="004C2278"/>
    <w:rsid w:val="004E20CB"/>
    <w:rsid w:val="004F5FED"/>
    <w:rsid w:val="005025A1"/>
    <w:rsid w:val="005176F9"/>
    <w:rsid w:val="00526019"/>
    <w:rsid w:val="00534544"/>
    <w:rsid w:val="0053717B"/>
    <w:rsid w:val="005461CB"/>
    <w:rsid w:val="00566E2A"/>
    <w:rsid w:val="00566EFE"/>
    <w:rsid w:val="005B72CE"/>
    <w:rsid w:val="005C258C"/>
    <w:rsid w:val="006921E1"/>
    <w:rsid w:val="00696A5C"/>
    <w:rsid w:val="006A2A61"/>
    <w:rsid w:val="006D27CB"/>
    <w:rsid w:val="006D6093"/>
    <w:rsid w:val="006F4B25"/>
    <w:rsid w:val="006F6496"/>
    <w:rsid w:val="00715265"/>
    <w:rsid w:val="00736348"/>
    <w:rsid w:val="0074210A"/>
    <w:rsid w:val="00760908"/>
    <w:rsid w:val="007955CD"/>
    <w:rsid w:val="007B1491"/>
    <w:rsid w:val="007B236C"/>
    <w:rsid w:val="007E5C0E"/>
    <w:rsid w:val="007E62C9"/>
    <w:rsid w:val="007F09A1"/>
    <w:rsid w:val="007F238D"/>
    <w:rsid w:val="00815748"/>
    <w:rsid w:val="0082373C"/>
    <w:rsid w:val="0082434B"/>
    <w:rsid w:val="00835AD7"/>
    <w:rsid w:val="00857CBD"/>
    <w:rsid w:val="00860835"/>
    <w:rsid w:val="00861B92"/>
    <w:rsid w:val="0087284A"/>
    <w:rsid w:val="008814FB"/>
    <w:rsid w:val="008B7AFF"/>
    <w:rsid w:val="008D11FB"/>
    <w:rsid w:val="008F5E30"/>
    <w:rsid w:val="009043BD"/>
    <w:rsid w:val="00914D7F"/>
    <w:rsid w:val="00923E33"/>
    <w:rsid w:val="0093147F"/>
    <w:rsid w:val="009552F9"/>
    <w:rsid w:val="00955A36"/>
    <w:rsid w:val="00962555"/>
    <w:rsid w:val="009673B0"/>
    <w:rsid w:val="009930B5"/>
    <w:rsid w:val="00995EEA"/>
    <w:rsid w:val="009A60B4"/>
    <w:rsid w:val="009E680B"/>
    <w:rsid w:val="00A15A1F"/>
    <w:rsid w:val="00A24C57"/>
    <w:rsid w:val="00A3325A"/>
    <w:rsid w:val="00A43013"/>
    <w:rsid w:val="00A91AF3"/>
    <w:rsid w:val="00AA0377"/>
    <w:rsid w:val="00AF108A"/>
    <w:rsid w:val="00B021F5"/>
    <w:rsid w:val="00B02E55"/>
    <w:rsid w:val="00B036C1"/>
    <w:rsid w:val="00B25210"/>
    <w:rsid w:val="00B46ABD"/>
    <w:rsid w:val="00B5431F"/>
    <w:rsid w:val="00B60949"/>
    <w:rsid w:val="00B70146"/>
    <w:rsid w:val="00B82453"/>
    <w:rsid w:val="00BC66C6"/>
    <w:rsid w:val="00BC6C67"/>
    <w:rsid w:val="00BE3FC9"/>
    <w:rsid w:val="00BE4FA6"/>
    <w:rsid w:val="00BF629E"/>
    <w:rsid w:val="00BF7FE0"/>
    <w:rsid w:val="00C209B6"/>
    <w:rsid w:val="00C41D0D"/>
    <w:rsid w:val="00C670DD"/>
    <w:rsid w:val="00C81104"/>
    <w:rsid w:val="00C9475C"/>
    <w:rsid w:val="00C96411"/>
    <w:rsid w:val="00CA055B"/>
    <w:rsid w:val="00CA78AA"/>
    <w:rsid w:val="00CB5671"/>
    <w:rsid w:val="00CD3014"/>
    <w:rsid w:val="00CD52A1"/>
    <w:rsid w:val="00CD62DA"/>
    <w:rsid w:val="00CF58B7"/>
    <w:rsid w:val="00D22C5F"/>
    <w:rsid w:val="00D33DD1"/>
    <w:rsid w:val="00D351C1"/>
    <w:rsid w:val="00D35EFB"/>
    <w:rsid w:val="00D43A53"/>
    <w:rsid w:val="00D44C15"/>
    <w:rsid w:val="00D504B3"/>
    <w:rsid w:val="00D5346D"/>
    <w:rsid w:val="00D71447"/>
    <w:rsid w:val="00D86AC1"/>
    <w:rsid w:val="00D86BF0"/>
    <w:rsid w:val="00D93F96"/>
    <w:rsid w:val="00D94CD3"/>
    <w:rsid w:val="00D96736"/>
    <w:rsid w:val="00DA6E58"/>
    <w:rsid w:val="00DC3B22"/>
    <w:rsid w:val="00DE4DE9"/>
    <w:rsid w:val="00DF122B"/>
    <w:rsid w:val="00DF772E"/>
    <w:rsid w:val="00E17323"/>
    <w:rsid w:val="00E34715"/>
    <w:rsid w:val="00E51920"/>
    <w:rsid w:val="00E64120"/>
    <w:rsid w:val="00E660A1"/>
    <w:rsid w:val="00E72062"/>
    <w:rsid w:val="00E74106"/>
    <w:rsid w:val="00EA3CCF"/>
    <w:rsid w:val="00EB6E19"/>
    <w:rsid w:val="00EC53AC"/>
    <w:rsid w:val="00ED5CDF"/>
    <w:rsid w:val="00EF3DC0"/>
    <w:rsid w:val="00EF635D"/>
    <w:rsid w:val="00F00624"/>
    <w:rsid w:val="00F055F1"/>
    <w:rsid w:val="00F36CB0"/>
    <w:rsid w:val="00F610AF"/>
    <w:rsid w:val="00F7096B"/>
    <w:rsid w:val="00F90BB8"/>
    <w:rsid w:val="00FA2C5A"/>
    <w:rsid w:val="00FB2799"/>
    <w:rsid w:val="00FC2D11"/>
    <w:rsid w:val="00FC6230"/>
    <w:rsid w:val="00FF61E7"/>
    <w:rsid w:val="00FF75F7"/>
    <w:rsid w:val="0ACE9368"/>
    <w:rsid w:val="0C6A63C9"/>
    <w:rsid w:val="18A02CC5"/>
    <w:rsid w:val="2CDA797B"/>
    <w:rsid w:val="322B8EB9"/>
    <w:rsid w:val="365F5A82"/>
    <w:rsid w:val="3B0BA20E"/>
    <w:rsid w:val="41B8C18F"/>
    <w:rsid w:val="45842F23"/>
    <w:rsid w:val="4FA19F66"/>
    <w:rsid w:val="50FED1CC"/>
    <w:rsid w:val="51E20A3A"/>
    <w:rsid w:val="5C2B1F98"/>
    <w:rsid w:val="5C639C94"/>
    <w:rsid w:val="5F7444F8"/>
    <w:rsid w:val="645483DE"/>
    <w:rsid w:val="68865C3D"/>
    <w:rsid w:val="6B7A4A36"/>
    <w:rsid w:val="79F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8F90"/>
  <w15:docId w15:val="{F8C0D6CB-92D0-4867-AA58-DF0A2EFA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91A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90DC6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practice.bmj.com/topics/en-gb/74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37/chapter/highly-specialised-technologies" TargetMode="External"/><Relationship Id="rId12" Type="http://schemas.openxmlformats.org/officeDocument/2006/relationships/hyperlink" Target="https://pubmed.ncbi.nlm.nih.gov/915595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doi/10.1111/bjd.209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91559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ient.info/doctor/epidermolysis-bullosa-p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Stephanie Callaghan</cp:lastModifiedBy>
  <cp:revision>4</cp:revision>
  <cp:lastPrinted>2020-02-04T14:39:00Z</cp:lastPrinted>
  <dcterms:created xsi:type="dcterms:W3CDTF">2023-05-31T11:40:00Z</dcterms:created>
  <dcterms:modified xsi:type="dcterms:W3CDTF">2023-05-31T11:45:00Z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2023-04-20T12:52:00Z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2b3d78fe-c943-4224-8170-22e4ff8dd997</vt:lpwstr>
  </property>
  <property fmtid="{D5CDD505-2E9C-101B-9397-08002B2CF9AE}" pid="8" name="MSIP_Label_c69d85d5-6d9e-4305-a294-1f636ec0f2d6_ContentBits">
    <vt:lpwstr>0</vt:lpwstr>
  </property>
</Properties>
</file>