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6C89" w14:textId="77777777" w:rsidR="00CC79EF" w:rsidRPr="00AA2B19" w:rsidRDefault="00CC79EF" w:rsidP="00A959F6">
      <w:pPr>
        <w:pStyle w:val="Title"/>
      </w:pPr>
      <w:r w:rsidRPr="00AA2B19">
        <w:t>NATIONAL INSTITUTE FOR HEALTH AND C</w:t>
      </w:r>
      <w:r>
        <w:t>ARE</w:t>
      </w:r>
      <w:r w:rsidRPr="00AA2B19">
        <w:t xml:space="preserve"> EXCELLENCE</w:t>
      </w:r>
    </w:p>
    <w:p w14:paraId="3E588F26" w14:textId="56EC71EC" w:rsidR="00CC79EF" w:rsidRPr="00AA2B19" w:rsidRDefault="00CC79EF" w:rsidP="00A959F6">
      <w:pPr>
        <w:pStyle w:val="Title"/>
      </w:pPr>
      <w:r w:rsidRPr="009A0FE4">
        <w:t>SINGLE T</w:t>
      </w:r>
      <w:r w:rsidRPr="00AA2B19">
        <w:t>ECHNOLOGY APPRAISAL</w:t>
      </w:r>
    </w:p>
    <w:p w14:paraId="6678744D" w14:textId="77777777" w:rsidR="00CC79EF" w:rsidRPr="00AA2B19" w:rsidRDefault="00CC79EF" w:rsidP="00A959F6">
      <w:pPr>
        <w:pStyle w:val="Title"/>
      </w:pPr>
      <w:r w:rsidRPr="00AA2B19">
        <w:t>APPEAL HEARING</w:t>
      </w:r>
    </w:p>
    <w:p w14:paraId="3612A376" w14:textId="77777777" w:rsidR="00CC79EF" w:rsidRPr="00AA2B19" w:rsidRDefault="00CC79EF" w:rsidP="00CC79EF">
      <w:pPr>
        <w:jc w:val="center"/>
        <w:rPr>
          <w:rFonts w:ascii="Arial" w:hAnsi="Arial" w:cs="Arial"/>
          <w:sz w:val="24"/>
          <w:szCs w:val="24"/>
        </w:rPr>
      </w:pPr>
    </w:p>
    <w:p w14:paraId="783B206C" w14:textId="48E650A9" w:rsidR="009A0FE4" w:rsidRDefault="00CC79EF" w:rsidP="00A959F6">
      <w:pPr>
        <w:pStyle w:val="Heading1"/>
      </w:pPr>
      <w:r w:rsidRPr="00AA2B19">
        <w:t xml:space="preserve">Advice on </w:t>
      </w:r>
      <w:proofErr w:type="spellStart"/>
      <w:r w:rsidR="00831895">
        <w:t>zilucoplan</w:t>
      </w:r>
      <w:proofErr w:type="spellEnd"/>
      <w:r w:rsidR="009A0FE4">
        <w:t xml:space="preserve"> for treating generalised Myasthenia Gravis [ID400</w:t>
      </w:r>
      <w:r w:rsidR="00831895">
        <w:t>8</w:t>
      </w:r>
      <w:r w:rsidR="009A0FE4">
        <w:t>]</w:t>
      </w:r>
      <w:r w:rsidR="00A959F6">
        <w:t xml:space="preserve">: </w:t>
      </w:r>
    </w:p>
    <w:p w14:paraId="505460D7" w14:textId="533A5C4A" w:rsidR="00CC79EF" w:rsidRDefault="00A959F6" w:rsidP="00A959F6">
      <w:pPr>
        <w:pStyle w:val="Heading1"/>
      </w:pPr>
      <w:r w:rsidRPr="00A959F6">
        <w:t>D</w:t>
      </w:r>
      <w:r w:rsidR="00CC79EF" w:rsidRPr="00A959F6">
        <w:t>ecision</w:t>
      </w:r>
      <w:r w:rsidR="00CC79EF" w:rsidRPr="00CC79EF">
        <w:rPr>
          <w:sz w:val="24"/>
          <w:szCs w:val="24"/>
        </w:rPr>
        <w:t xml:space="preserve"> </w:t>
      </w:r>
      <w:r w:rsidR="00CC79EF" w:rsidRPr="00A959F6">
        <w:t xml:space="preserve">of the </w:t>
      </w:r>
      <w:r w:rsidR="00AC1AF9">
        <w:t xml:space="preserve">appeal </w:t>
      </w:r>
      <w:r w:rsidR="00CC79EF" w:rsidRPr="00A959F6">
        <w:t>panel</w:t>
      </w:r>
    </w:p>
    <w:p w14:paraId="29F04EAC" w14:textId="77777777" w:rsidR="00CC79EF" w:rsidRPr="00CC79EF" w:rsidRDefault="00CC79EF" w:rsidP="00A959F6">
      <w:pPr>
        <w:pStyle w:val="Heading2"/>
      </w:pPr>
      <w:r w:rsidRPr="00CC79EF">
        <w:t>Introduction</w:t>
      </w:r>
    </w:p>
    <w:p w14:paraId="39F4448E" w14:textId="6A38696D" w:rsidR="00CC79EF" w:rsidRPr="00D032B4" w:rsidRDefault="00CC79EF" w:rsidP="00CC79EF">
      <w:pPr>
        <w:pStyle w:val="Paragraph"/>
        <w:rPr>
          <w:rFonts w:cs="Arial"/>
          <w:sz w:val="24"/>
          <w:szCs w:val="24"/>
        </w:rPr>
      </w:pPr>
      <w:r w:rsidRPr="00D032B4">
        <w:rPr>
          <w:rFonts w:cs="Arial"/>
          <w:sz w:val="24"/>
          <w:szCs w:val="24"/>
        </w:rPr>
        <w:t xml:space="preserve">An appeal panel was convened on </w:t>
      </w:r>
      <w:r w:rsidR="00F40673">
        <w:rPr>
          <w:rFonts w:cs="Arial"/>
          <w:sz w:val="24"/>
          <w:szCs w:val="24"/>
        </w:rPr>
        <w:t>19 November</w:t>
      </w:r>
      <w:r w:rsidR="009A0FE4" w:rsidRPr="00D032B4">
        <w:rPr>
          <w:rFonts w:cs="Arial"/>
          <w:sz w:val="24"/>
          <w:szCs w:val="24"/>
        </w:rPr>
        <w:t xml:space="preserve"> 2025</w:t>
      </w:r>
      <w:r w:rsidRPr="00D032B4">
        <w:rPr>
          <w:rFonts w:cs="Arial"/>
          <w:sz w:val="24"/>
          <w:szCs w:val="24"/>
        </w:rPr>
        <w:t xml:space="preserve"> to consider an appeal against NICE’s final </w:t>
      </w:r>
      <w:r w:rsidR="00CC7259">
        <w:rPr>
          <w:rFonts w:cs="Arial"/>
          <w:sz w:val="24"/>
          <w:szCs w:val="24"/>
        </w:rPr>
        <w:t>draft guidance</w:t>
      </w:r>
      <w:r w:rsidRPr="00D032B4">
        <w:rPr>
          <w:rFonts w:cs="Arial"/>
          <w:sz w:val="24"/>
          <w:szCs w:val="24"/>
        </w:rPr>
        <w:t xml:space="preserve">, to the NHS, on </w:t>
      </w:r>
      <w:proofErr w:type="spellStart"/>
      <w:r w:rsidR="00F40673">
        <w:rPr>
          <w:rFonts w:cs="Arial"/>
          <w:sz w:val="24"/>
          <w:szCs w:val="24"/>
        </w:rPr>
        <w:t>zilucoplan</w:t>
      </w:r>
      <w:proofErr w:type="spellEnd"/>
      <w:r w:rsidR="009A0FE4" w:rsidRPr="00D032B4">
        <w:rPr>
          <w:rFonts w:cs="Arial"/>
          <w:sz w:val="24"/>
          <w:szCs w:val="24"/>
        </w:rPr>
        <w:t xml:space="preserve"> for treating generalised Myasthenia Gravis</w:t>
      </w:r>
      <w:r w:rsidR="003A413E" w:rsidRPr="00D032B4">
        <w:rPr>
          <w:rFonts w:cs="Arial"/>
          <w:sz w:val="24"/>
          <w:szCs w:val="24"/>
        </w:rPr>
        <w:t xml:space="preserve"> ("</w:t>
      </w:r>
      <w:proofErr w:type="spellStart"/>
      <w:r w:rsidR="00544068" w:rsidRPr="00894289">
        <w:rPr>
          <w:rFonts w:cs="Arial"/>
          <w:sz w:val="24"/>
          <w:szCs w:val="24"/>
        </w:rPr>
        <w:t>g</w:t>
      </w:r>
      <w:r w:rsidR="00F40673" w:rsidRPr="00894289">
        <w:rPr>
          <w:rFonts w:cs="Arial"/>
          <w:sz w:val="24"/>
          <w:szCs w:val="24"/>
        </w:rPr>
        <w:t>MG</w:t>
      </w:r>
      <w:proofErr w:type="spellEnd"/>
      <w:r w:rsidR="003A413E" w:rsidRPr="00D032B4">
        <w:rPr>
          <w:rFonts w:cs="Arial"/>
          <w:sz w:val="24"/>
          <w:szCs w:val="24"/>
        </w:rPr>
        <w:t>") [ID400</w:t>
      </w:r>
      <w:r w:rsidR="00F40673">
        <w:rPr>
          <w:rFonts w:cs="Arial"/>
          <w:sz w:val="24"/>
          <w:szCs w:val="24"/>
        </w:rPr>
        <w:t>8</w:t>
      </w:r>
      <w:r w:rsidR="003A413E" w:rsidRPr="00D032B4">
        <w:rPr>
          <w:rFonts w:cs="Arial"/>
          <w:sz w:val="24"/>
          <w:szCs w:val="24"/>
        </w:rPr>
        <w:t>]</w:t>
      </w:r>
      <w:r w:rsidR="00F535A8" w:rsidRPr="00D032B4">
        <w:rPr>
          <w:rFonts w:cs="Arial"/>
          <w:sz w:val="24"/>
          <w:szCs w:val="24"/>
        </w:rPr>
        <w:t>.</w:t>
      </w:r>
    </w:p>
    <w:p w14:paraId="178100A4" w14:textId="5C758C1F" w:rsidR="00CC79EF" w:rsidRPr="00D032B4" w:rsidRDefault="00CC79EF" w:rsidP="00CC79EF">
      <w:pPr>
        <w:pStyle w:val="Paragraph"/>
        <w:rPr>
          <w:rFonts w:cs="Arial"/>
          <w:sz w:val="24"/>
          <w:szCs w:val="24"/>
        </w:rPr>
      </w:pPr>
      <w:r w:rsidRPr="00D032B4">
        <w:rPr>
          <w:rFonts w:cs="Arial"/>
          <w:sz w:val="24"/>
          <w:szCs w:val="24"/>
        </w:rPr>
        <w:t xml:space="preserve">The </w:t>
      </w:r>
      <w:r w:rsidR="00F535A8" w:rsidRPr="00D032B4">
        <w:rPr>
          <w:rFonts w:cs="Arial"/>
          <w:sz w:val="24"/>
          <w:szCs w:val="24"/>
        </w:rPr>
        <w:t>a</w:t>
      </w:r>
      <w:r w:rsidRPr="00D032B4">
        <w:rPr>
          <w:rFonts w:cs="Arial"/>
          <w:sz w:val="24"/>
          <w:szCs w:val="24"/>
        </w:rPr>
        <w:t xml:space="preserve">ppeal </w:t>
      </w:r>
      <w:r w:rsidR="00F535A8" w:rsidRPr="00D032B4">
        <w:rPr>
          <w:rFonts w:cs="Arial"/>
          <w:sz w:val="24"/>
          <w:szCs w:val="24"/>
        </w:rPr>
        <w:t>p</w:t>
      </w:r>
      <w:r w:rsidRPr="00D032B4">
        <w:rPr>
          <w:rFonts w:cs="Arial"/>
          <w:sz w:val="24"/>
          <w:szCs w:val="24"/>
        </w:rPr>
        <w:t xml:space="preserve">anel consisted of: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3827"/>
      </w:tblGrid>
      <w:tr w:rsidR="009A0FE4" w:rsidRPr="00D032B4" w14:paraId="6B380A54" w14:textId="77777777" w:rsidTr="009A0FE4">
        <w:tc>
          <w:tcPr>
            <w:tcW w:w="3770" w:type="dxa"/>
          </w:tcPr>
          <w:p w14:paraId="52499D15" w14:textId="0C009FCC" w:rsidR="009A0FE4" w:rsidRPr="00D032B4" w:rsidRDefault="009A0FE4" w:rsidP="009A0FE4">
            <w:pPr>
              <w:pStyle w:val="Paragraph"/>
              <w:numPr>
                <w:ilvl w:val="0"/>
                <w:numId w:val="25"/>
              </w:numPr>
              <w:rPr>
                <w:rFonts w:cs="Arial"/>
                <w:sz w:val="24"/>
                <w:szCs w:val="24"/>
              </w:rPr>
            </w:pPr>
            <w:r w:rsidRPr="00D032B4">
              <w:rPr>
                <w:rFonts w:cs="Arial"/>
                <w:sz w:val="24"/>
                <w:szCs w:val="24"/>
              </w:rPr>
              <w:t>Peter Groves</w:t>
            </w:r>
          </w:p>
        </w:tc>
        <w:tc>
          <w:tcPr>
            <w:tcW w:w="3827" w:type="dxa"/>
          </w:tcPr>
          <w:p w14:paraId="6D1C2157" w14:textId="7D2846FB" w:rsidR="009A0FE4" w:rsidRPr="00D032B4" w:rsidRDefault="009A0FE4" w:rsidP="009A0FE4">
            <w:pPr>
              <w:pStyle w:val="Paragraph"/>
              <w:numPr>
                <w:ilvl w:val="0"/>
                <w:numId w:val="0"/>
              </w:numPr>
              <w:rPr>
                <w:rFonts w:cs="Arial"/>
                <w:sz w:val="24"/>
                <w:szCs w:val="24"/>
              </w:rPr>
            </w:pPr>
            <w:r w:rsidRPr="00D032B4">
              <w:rPr>
                <w:rFonts w:cs="Arial"/>
                <w:sz w:val="24"/>
                <w:szCs w:val="24"/>
              </w:rPr>
              <w:t>Chair</w:t>
            </w:r>
          </w:p>
        </w:tc>
      </w:tr>
      <w:tr w:rsidR="009A0FE4" w:rsidRPr="00D032B4" w14:paraId="7A2A26B1" w14:textId="77777777" w:rsidTr="009A0FE4">
        <w:tc>
          <w:tcPr>
            <w:tcW w:w="3770" w:type="dxa"/>
          </w:tcPr>
          <w:p w14:paraId="1D25EF99" w14:textId="61EE7E5D" w:rsidR="009A0FE4" w:rsidRPr="00D032B4" w:rsidRDefault="00F40673" w:rsidP="009A0FE4">
            <w:pPr>
              <w:pStyle w:val="Paragraph"/>
              <w:numPr>
                <w:ilvl w:val="0"/>
                <w:numId w:val="25"/>
              </w:numPr>
              <w:rPr>
                <w:rFonts w:cs="Arial"/>
                <w:sz w:val="24"/>
                <w:szCs w:val="24"/>
              </w:rPr>
            </w:pPr>
            <w:r>
              <w:rPr>
                <w:rFonts w:cs="Arial"/>
                <w:sz w:val="24"/>
                <w:szCs w:val="24"/>
              </w:rPr>
              <w:t>Jackie Fielding</w:t>
            </w:r>
          </w:p>
        </w:tc>
        <w:tc>
          <w:tcPr>
            <w:tcW w:w="3827" w:type="dxa"/>
          </w:tcPr>
          <w:p w14:paraId="53658EF5" w14:textId="66F9E8DF" w:rsidR="009A0FE4" w:rsidRPr="00D032B4" w:rsidRDefault="009A0FE4" w:rsidP="009A0FE4">
            <w:pPr>
              <w:pStyle w:val="Paragraph"/>
              <w:numPr>
                <w:ilvl w:val="0"/>
                <w:numId w:val="0"/>
              </w:numPr>
              <w:rPr>
                <w:rFonts w:cs="Arial"/>
                <w:sz w:val="24"/>
                <w:szCs w:val="24"/>
              </w:rPr>
            </w:pPr>
            <w:r w:rsidRPr="00D032B4">
              <w:rPr>
                <w:rFonts w:cs="Arial"/>
                <w:sz w:val="24"/>
                <w:szCs w:val="24"/>
              </w:rPr>
              <w:t>NICE Non-executive Director</w:t>
            </w:r>
          </w:p>
        </w:tc>
      </w:tr>
      <w:tr w:rsidR="009A0FE4" w:rsidRPr="00D032B4" w14:paraId="7BC682D2" w14:textId="77777777" w:rsidTr="009A0FE4">
        <w:tc>
          <w:tcPr>
            <w:tcW w:w="3770" w:type="dxa"/>
          </w:tcPr>
          <w:p w14:paraId="5FF11EF1" w14:textId="5C4CFAC1" w:rsidR="009A0FE4" w:rsidRPr="00D032B4" w:rsidRDefault="009A0FE4" w:rsidP="009A0FE4">
            <w:pPr>
              <w:pStyle w:val="Paragraph"/>
              <w:numPr>
                <w:ilvl w:val="0"/>
                <w:numId w:val="25"/>
              </w:numPr>
              <w:rPr>
                <w:rFonts w:cs="Arial"/>
                <w:sz w:val="24"/>
                <w:szCs w:val="24"/>
              </w:rPr>
            </w:pPr>
            <w:r w:rsidRPr="00D032B4">
              <w:rPr>
                <w:rFonts w:cs="Arial"/>
                <w:sz w:val="24"/>
                <w:szCs w:val="24"/>
              </w:rPr>
              <w:t>Paul Robinson</w:t>
            </w:r>
          </w:p>
        </w:tc>
        <w:tc>
          <w:tcPr>
            <w:tcW w:w="3827" w:type="dxa"/>
          </w:tcPr>
          <w:p w14:paraId="403CE914" w14:textId="516DC231" w:rsidR="009A0FE4" w:rsidRPr="00D032B4" w:rsidRDefault="009A0FE4" w:rsidP="009A0FE4">
            <w:pPr>
              <w:pStyle w:val="Paragraph"/>
              <w:numPr>
                <w:ilvl w:val="0"/>
                <w:numId w:val="0"/>
              </w:numPr>
              <w:rPr>
                <w:rFonts w:cs="Arial"/>
                <w:sz w:val="24"/>
                <w:szCs w:val="24"/>
              </w:rPr>
            </w:pPr>
            <w:r w:rsidRPr="00D032B4">
              <w:rPr>
                <w:rFonts w:cs="Arial"/>
                <w:sz w:val="24"/>
                <w:szCs w:val="24"/>
              </w:rPr>
              <w:t>Industry Representative</w:t>
            </w:r>
          </w:p>
        </w:tc>
      </w:tr>
      <w:tr w:rsidR="009A0FE4" w:rsidRPr="00D032B4" w14:paraId="579E66C5" w14:textId="77777777" w:rsidTr="009A0FE4">
        <w:tc>
          <w:tcPr>
            <w:tcW w:w="3770" w:type="dxa"/>
          </w:tcPr>
          <w:p w14:paraId="0995BB56" w14:textId="20AB165E" w:rsidR="009A0FE4" w:rsidRPr="00D032B4" w:rsidRDefault="00F40673" w:rsidP="009A0FE4">
            <w:pPr>
              <w:pStyle w:val="Paragraph"/>
              <w:numPr>
                <w:ilvl w:val="0"/>
                <w:numId w:val="25"/>
              </w:numPr>
              <w:rPr>
                <w:rFonts w:cs="Arial"/>
                <w:sz w:val="24"/>
                <w:szCs w:val="24"/>
              </w:rPr>
            </w:pPr>
            <w:r>
              <w:rPr>
                <w:rFonts w:cs="Arial"/>
                <w:sz w:val="24"/>
                <w:szCs w:val="24"/>
              </w:rPr>
              <w:t>Stephen Hoole</w:t>
            </w:r>
          </w:p>
        </w:tc>
        <w:tc>
          <w:tcPr>
            <w:tcW w:w="3827" w:type="dxa"/>
          </w:tcPr>
          <w:p w14:paraId="50408E42" w14:textId="2A0E85C5" w:rsidR="009A0FE4" w:rsidRPr="00D032B4" w:rsidRDefault="009A0FE4" w:rsidP="009A0FE4">
            <w:pPr>
              <w:pStyle w:val="Paragraph"/>
              <w:numPr>
                <w:ilvl w:val="0"/>
                <w:numId w:val="0"/>
              </w:numPr>
              <w:rPr>
                <w:rFonts w:cs="Arial"/>
                <w:sz w:val="24"/>
                <w:szCs w:val="24"/>
              </w:rPr>
            </w:pPr>
            <w:r w:rsidRPr="00D032B4">
              <w:rPr>
                <w:rFonts w:cs="Arial"/>
                <w:sz w:val="24"/>
                <w:szCs w:val="24"/>
              </w:rPr>
              <w:t>Health Service Representative</w:t>
            </w:r>
          </w:p>
        </w:tc>
      </w:tr>
      <w:tr w:rsidR="009A0FE4" w:rsidRPr="00D032B4" w14:paraId="705AFD73" w14:textId="77777777" w:rsidTr="009A0FE4">
        <w:tc>
          <w:tcPr>
            <w:tcW w:w="3770" w:type="dxa"/>
          </w:tcPr>
          <w:p w14:paraId="1E14E3FE" w14:textId="7DACDB4C" w:rsidR="009A0FE4" w:rsidRPr="00D032B4" w:rsidRDefault="00F40673" w:rsidP="009A0FE4">
            <w:pPr>
              <w:pStyle w:val="Paragraph"/>
              <w:numPr>
                <w:ilvl w:val="0"/>
                <w:numId w:val="25"/>
              </w:numPr>
              <w:rPr>
                <w:rFonts w:cs="Arial"/>
                <w:sz w:val="24"/>
                <w:szCs w:val="24"/>
              </w:rPr>
            </w:pPr>
            <w:r>
              <w:rPr>
                <w:rFonts w:cs="Arial"/>
                <w:sz w:val="24"/>
                <w:szCs w:val="24"/>
              </w:rPr>
              <w:t>Malcolm Oswald</w:t>
            </w:r>
          </w:p>
        </w:tc>
        <w:tc>
          <w:tcPr>
            <w:tcW w:w="3827" w:type="dxa"/>
          </w:tcPr>
          <w:p w14:paraId="227B543A" w14:textId="36E5947F" w:rsidR="009A0FE4" w:rsidRPr="00D032B4" w:rsidRDefault="009A0FE4" w:rsidP="009A0FE4">
            <w:pPr>
              <w:pStyle w:val="Paragraph"/>
              <w:numPr>
                <w:ilvl w:val="0"/>
                <w:numId w:val="0"/>
              </w:numPr>
              <w:rPr>
                <w:rFonts w:cs="Arial"/>
                <w:sz w:val="24"/>
                <w:szCs w:val="24"/>
              </w:rPr>
            </w:pPr>
            <w:r w:rsidRPr="00D032B4">
              <w:rPr>
                <w:rFonts w:cs="Arial"/>
                <w:sz w:val="24"/>
                <w:szCs w:val="24"/>
              </w:rPr>
              <w:t>Lay Representative</w:t>
            </w:r>
          </w:p>
        </w:tc>
      </w:tr>
    </w:tbl>
    <w:p w14:paraId="62CC4DFD" w14:textId="77777777" w:rsidR="009A0FE4" w:rsidRPr="00D032B4" w:rsidRDefault="009A0FE4" w:rsidP="009A0FE4">
      <w:pPr>
        <w:pStyle w:val="Paragraph"/>
        <w:numPr>
          <w:ilvl w:val="0"/>
          <w:numId w:val="0"/>
        </w:numPr>
        <w:ind w:left="709"/>
        <w:rPr>
          <w:rFonts w:cs="Arial"/>
          <w:sz w:val="24"/>
          <w:szCs w:val="24"/>
        </w:rPr>
      </w:pPr>
    </w:p>
    <w:p w14:paraId="00CB7AB0" w14:textId="7D96CB58" w:rsidR="00CC79EF" w:rsidRPr="00D032B4" w:rsidRDefault="00CC79EF" w:rsidP="00CC79EF">
      <w:pPr>
        <w:pStyle w:val="Paragraph"/>
        <w:rPr>
          <w:rFonts w:cs="Arial"/>
          <w:sz w:val="24"/>
          <w:szCs w:val="24"/>
        </w:rPr>
      </w:pPr>
      <w:r w:rsidRPr="00D032B4">
        <w:rPr>
          <w:rFonts w:cs="Arial"/>
          <w:sz w:val="24"/>
          <w:szCs w:val="24"/>
        </w:rPr>
        <w:t xml:space="preserve">None of the members of the appeal panel had any competing interest to declare. </w:t>
      </w:r>
    </w:p>
    <w:p w14:paraId="08E13CFD" w14:textId="3C6474DB" w:rsidR="00CC79EF" w:rsidRPr="00D032B4" w:rsidRDefault="00CC79EF" w:rsidP="009A0FE4">
      <w:pPr>
        <w:pStyle w:val="Paragraph"/>
        <w:rPr>
          <w:rFonts w:cs="Arial"/>
          <w:sz w:val="24"/>
          <w:szCs w:val="24"/>
        </w:rPr>
      </w:pPr>
      <w:r w:rsidRPr="00D032B4">
        <w:rPr>
          <w:rFonts w:cs="Arial"/>
          <w:sz w:val="24"/>
          <w:szCs w:val="24"/>
        </w:rPr>
        <w:lastRenderedPageBreak/>
        <w:t xml:space="preserve">The </w:t>
      </w:r>
      <w:r w:rsidR="00AC1AF9">
        <w:rPr>
          <w:rFonts w:cs="Arial"/>
          <w:sz w:val="24"/>
          <w:szCs w:val="24"/>
        </w:rPr>
        <w:t xml:space="preserve">appeal </w:t>
      </w:r>
      <w:r w:rsidRPr="00D032B4">
        <w:rPr>
          <w:rFonts w:cs="Arial"/>
          <w:sz w:val="24"/>
          <w:szCs w:val="24"/>
        </w:rPr>
        <w:t>panel considered appeals submitted by</w:t>
      </w:r>
      <w:r w:rsidR="009A0FE4" w:rsidRPr="00E24104">
        <w:rPr>
          <w:rFonts w:cs="Arial"/>
          <w:sz w:val="24"/>
          <w:szCs w:val="24"/>
        </w:rPr>
        <w:t xml:space="preserve"> </w:t>
      </w:r>
      <w:r w:rsidR="00F40673" w:rsidRPr="00E24104">
        <w:rPr>
          <w:rFonts w:cs="Arial"/>
          <w:sz w:val="24"/>
          <w:szCs w:val="24"/>
        </w:rPr>
        <w:t>UCB Ltd</w:t>
      </w:r>
      <w:r w:rsidR="009A0FE4" w:rsidRPr="00E24104">
        <w:rPr>
          <w:rFonts w:cs="Arial"/>
          <w:sz w:val="24"/>
          <w:szCs w:val="24"/>
        </w:rPr>
        <w:t xml:space="preserve"> (</w:t>
      </w:r>
      <w:r w:rsidR="00F40673" w:rsidRPr="00E24104">
        <w:rPr>
          <w:rFonts w:cs="Arial"/>
          <w:sz w:val="24"/>
          <w:szCs w:val="24"/>
        </w:rPr>
        <w:t>"</w:t>
      </w:r>
      <w:r w:rsidR="009A0FE4" w:rsidRPr="00CA6E74">
        <w:rPr>
          <w:rFonts w:cs="Arial"/>
          <w:sz w:val="24"/>
          <w:szCs w:val="24"/>
        </w:rPr>
        <w:t xml:space="preserve">the </w:t>
      </w:r>
      <w:r w:rsidR="001E6394">
        <w:rPr>
          <w:rFonts w:cs="Arial"/>
          <w:sz w:val="24"/>
          <w:szCs w:val="24"/>
        </w:rPr>
        <w:t>c</w:t>
      </w:r>
      <w:r w:rsidR="009A0FE4" w:rsidRPr="00CA6E74">
        <w:rPr>
          <w:rFonts w:cs="Arial"/>
          <w:sz w:val="24"/>
          <w:szCs w:val="24"/>
        </w:rPr>
        <w:t>ompany</w:t>
      </w:r>
      <w:r w:rsidR="009A0FE4" w:rsidRPr="00E24104">
        <w:rPr>
          <w:rFonts w:cs="Arial"/>
          <w:sz w:val="24"/>
          <w:szCs w:val="24"/>
        </w:rPr>
        <w:t>"</w:t>
      </w:r>
      <w:r w:rsidR="006409AB" w:rsidRPr="00E24104">
        <w:rPr>
          <w:rFonts w:cs="Arial"/>
          <w:sz w:val="24"/>
          <w:szCs w:val="24"/>
        </w:rPr>
        <w:t xml:space="preserve"> / "</w:t>
      </w:r>
      <w:r w:rsidR="006409AB" w:rsidRPr="00CA6E74">
        <w:rPr>
          <w:rFonts w:cs="Arial"/>
          <w:sz w:val="24"/>
          <w:szCs w:val="24"/>
        </w:rPr>
        <w:t>UCB</w:t>
      </w:r>
      <w:r w:rsidR="006409AB" w:rsidRPr="00E24104">
        <w:rPr>
          <w:rFonts w:cs="Arial"/>
          <w:sz w:val="24"/>
          <w:szCs w:val="24"/>
        </w:rPr>
        <w:t>"</w:t>
      </w:r>
      <w:r w:rsidR="009A0FE4" w:rsidRPr="00E24104">
        <w:rPr>
          <w:rFonts w:cs="Arial"/>
          <w:sz w:val="24"/>
          <w:szCs w:val="24"/>
        </w:rPr>
        <w:t>)</w:t>
      </w:r>
      <w:r w:rsidR="00F40673">
        <w:rPr>
          <w:rFonts w:cs="Arial"/>
          <w:sz w:val="24"/>
          <w:szCs w:val="24"/>
        </w:rPr>
        <w:t xml:space="preserve">, </w:t>
      </w:r>
      <w:proofErr w:type="spellStart"/>
      <w:r w:rsidR="009A0FE4" w:rsidRPr="00D032B4">
        <w:rPr>
          <w:rFonts w:cs="Arial"/>
          <w:sz w:val="24"/>
          <w:szCs w:val="24"/>
        </w:rPr>
        <w:t>Myaware</w:t>
      </w:r>
      <w:proofErr w:type="spellEnd"/>
      <w:r w:rsidR="009A0FE4" w:rsidRPr="00D032B4">
        <w:rPr>
          <w:rFonts w:cs="Arial"/>
          <w:sz w:val="24"/>
          <w:szCs w:val="24"/>
        </w:rPr>
        <w:t xml:space="preserve"> UK</w:t>
      </w:r>
      <w:r w:rsidR="00E459A3" w:rsidRPr="00D032B4">
        <w:rPr>
          <w:rFonts w:cs="Arial"/>
          <w:sz w:val="24"/>
          <w:szCs w:val="24"/>
        </w:rPr>
        <w:t xml:space="preserve"> ("</w:t>
      </w:r>
      <w:proofErr w:type="spellStart"/>
      <w:r w:rsidR="00E459A3" w:rsidRPr="00CA6E74">
        <w:rPr>
          <w:rFonts w:cs="Arial"/>
          <w:sz w:val="24"/>
          <w:szCs w:val="24"/>
        </w:rPr>
        <w:t>Myaware</w:t>
      </w:r>
      <w:proofErr w:type="spellEnd"/>
      <w:r w:rsidR="00E459A3" w:rsidRPr="00E24104">
        <w:rPr>
          <w:rFonts w:cs="Arial"/>
          <w:sz w:val="24"/>
          <w:szCs w:val="24"/>
        </w:rPr>
        <w:t>")</w:t>
      </w:r>
      <w:r w:rsidR="00F40673" w:rsidRPr="00E24104">
        <w:rPr>
          <w:rFonts w:cs="Arial"/>
          <w:sz w:val="24"/>
          <w:szCs w:val="24"/>
        </w:rPr>
        <w:t>, Muscular Dystrophy UK ("</w:t>
      </w:r>
      <w:r w:rsidR="00F40673" w:rsidRPr="00CA6E74">
        <w:rPr>
          <w:rFonts w:cs="Arial"/>
          <w:sz w:val="24"/>
          <w:szCs w:val="24"/>
        </w:rPr>
        <w:t>MDUK</w:t>
      </w:r>
      <w:r w:rsidR="00F40673" w:rsidRPr="00E24104">
        <w:rPr>
          <w:rFonts w:cs="Arial"/>
          <w:sz w:val="24"/>
          <w:szCs w:val="24"/>
        </w:rPr>
        <w:t>") and the Association of British Neurologists ("</w:t>
      </w:r>
      <w:r w:rsidR="00F40673" w:rsidRPr="00CA6E74">
        <w:rPr>
          <w:rFonts w:cs="Arial"/>
          <w:sz w:val="24"/>
          <w:szCs w:val="24"/>
        </w:rPr>
        <w:t>ABN</w:t>
      </w:r>
      <w:r w:rsidR="00F40673" w:rsidRPr="00E24104">
        <w:rPr>
          <w:rFonts w:cs="Arial"/>
          <w:sz w:val="24"/>
          <w:szCs w:val="24"/>
        </w:rPr>
        <w:t>")</w:t>
      </w:r>
      <w:r w:rsidR="00F40673">
        <w:rPr>
          <w:rFonts w:cs="Arial"/>
          <w:sz w:val="24"/>
          <w:szCs w:val="24"/>
        </w:rPr>
        <w:t xml:space="preserve">. </w:t>
      </w:r>
    </w:p>
    <w:p w14:paraId="43ED659A" w14:textId="376C5D7C" w:rsidR="00CC79EF" w:rsidRPr="00D032B4" w:rsidRDefault="00E24104" w:rsidP="00CC79EF">
      <w:pPr>
        <w:pStyle w:val="Paragraph"/>
        <w:rPr>
          <w:rFonts w:cs="Arial"/>
          <w:sz w:val="24"/>
          <w:szCs w:val="24"/>
        </w:rPr>
      </w:pPr>
      <w:r>
        <w:rPr>
          <w:rFonts w:cs="Arial"/>
          <w:sz w:val="24"/>
          <w:szCs w:val="24"/>
        </w:rPr>
        <w:t>UCB</w:t>
      </w:r>
      <w:r w:rsidR="006409AB">
        <w:rPr>
          <w:rFonts w:cs="Arial"/>
          <w:sz w:val="24"/>
          <w:szCs w:val="24"/>
        </w:rPr>
        <w:t xml:space="preserve"> </w:t>
      </w:r>
      <w:r w:rsidR="00CC79EF" w:rsidRPr="00D032B4">
        <w:rPr>
          <w:rFonts w:cs="Arial"/>
          <w:sz w:val="24"/>
          <w:szCs w:val="24"/>
        </w:rPr>
        <w:t>was represented by:</w:t>
      </w:r>
      <w:r w:rsidR="00CC79EF" w:rsidRPr="00D032B4">
        <w:rPr>
          <w:rFonts w:cs="Arial"/>
          <w:color w:val="FF0000"/>
          <w:sz w:val="24"/>
          <w:szCs w:val="24"/>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3781"/>
      </w:tblGrid>
      <w:tr w:rsidR="009A0FE4" w:rsidRPr="00D032B4" w14:paraId="4612877D" w14:textId="77777777" w:rsidTr="007A3E07">
        <w:tc>
          <w:tcPr>
            <w:tcW w:w="3816" w:type="dxa"/>
          </w:tcPr>
          <w:p w14:paraId="070C6277" w14:textId="384EE659" w:rsidR="009A0FE4" w:rsidRPr="00D032B4" w:rsidRDefault="007A3E07" w:rsidP="00FD1A77">
            <w:pPr>
              <w:pStyle w:val="Paragraph"/>
              <w:numPr>
                <w:ilvl w:val="0"/>
                <w:numId w:val="26"/>
              </w:numPr>
              <w:rPr>
                <w:rFonts w:cs="Arial"/>
                <w:sz w:val="24"/>
                <w:szCs w:val="24"/>
              </w:rPr>
            </w:pPr>
            <w:r>
              <w:rPr>
                <w:rFonts w:cs="Arial"/>
                <w:sz w:val="24"/>
                <w:szCs w:val="24"/>
              </w:rPr>
              <w:t>Matthew Binns</w:t>
            </w:r>
          </w:p>
        </w:tc>
        <w:tc>
          <w:tcPr>
            <w:tcW w:w="3781" w:type="dxa"/>
          </w:tcPr>
          <w:p w14:paraId="012A1273" w14:textId="0DCA0566" w:rsidR="009A0FE4" w:rsidRPr="00D032B4" w:rsidRDefault="007A3E07" w:rsidP="009A0FE4">
            <w:pPr>
              <w:pStyle w:val="Paragraph"/>
              <w:numPr>
                <w:ilvl w:val="0"/>
                <w:numId w:val="0"/>
              </w:numPr>
              <w:rPr>
                <w:rFonts w:cs="Arial"/>
                <w:sz w:val="24"/>
                <w:szCs w:val="24"/>
              </w:rPr>
            </w:pPr>
            <w:r>
              <w:rPr>
                <w:rFonts w:cs="Arial"/>
                <w:sz w:val="24"/>
                <w:szCs w:val="24"/>
              </w:rPr>
              <w:t xml:space="preserve">Access </w:t>
            </w:r>
            <w:proofErr w:type="gramStart"/>
            <w:r>
              <w:rPr>
                <w:rFonts w:cs="Arial"/>
                <w:sz w:val="24"/>
                <w:szCs w:val="24"/>
              </w:rPr>
              <w:t>Lead</w:t>
            </w:r>
            <w:proofErr w:type="gramEnd"/>
            <w:r>
              <w:rPr>
                <w:rFonts w:cs="Arial"/>
                <w:sz w:val="24"/>
                <w:szCs w:val="24"/>
              </w:rPr>
              <w:t xml:space="preserve"> UK and Ireland</w:t>
            </w:r>
          </w:p>
        </w:tc>
      </w:tr>
      <w:tr w:rsidR="009A0FE4" w:rsidRPr="00D032B4" w14:paraId="1432B49D" w14:textId="77777777" w:rsidTr="007A3E07">
        <w:tc>
          <w:tcPr>
            <w:tcW w:w="3816" w:type="dxa"/>
          </w:tcPr>
          <w:p w14:paraId="4FE4ABB7" w14:textId="4FDA88F1" w:rsidR="009A0FE4" w:rsidRPr="00D032B4" w:rsidRDefault="007A3E07" w:rsidP="00FD1A77">
            <w:pPr>
              <w:pStyle w:val="Paragraph"/>
              <w:numPr>
                <w:ilvl w:val="0"/>
                <w:numId w:val="26"/>
              </w:numPr>
              <w:rPr>
                <w:rFonts w:cs="Arial"/>
                <w:sz w:val="24"/>
                <w:szCs w:val="24"/>
              </w:rPr>
            </w:pPr>
            <w:r>
              <w:rPr>
                <w:rFonts w:cs="Arial"/>
                <w:sz w:val="24"/>
                <w:szCs w:val="24"/>
              </w:rPr>
              <w:t>Maria da Silva Leite</w:t>
            </w:r>
          </w:p>
        </w:tc>
        <w:tc>
          <w:tcPr>
            <w:tcW w:w="3781" w:type="dxa"/>
          </w:tcPr>
          <w:p w14:paraId="129C609A" w14:textId="2901EF23" w:rsidR="009A0FE4" w:rsidRPr="00D032B4" w:rsidRDefault="007A3E07" w:rsidP="009A0FE4">
            <w:pPr>
              <w:pStyle w:val="Paragraph"/>
              <w:numPr>
                <w:ilvl w:val="0"/>
                <w:numId w:val="0"/>
              </w:numPr>
              <w:rPr>
                <w:rFonts w:cs="Arial"/>
                <w:sz w:val="24"/>
                <w:szCs w:val="24"/>
              </w:rPr>
            </w:pPr>
            <w:r>
              <w:rPr>
                <w:rFonts w:cs="Arial"/>
                <w:sz w:val="24"/>
                <w:szCs w:val="24"/>
              </w:rPr>
              <w:t>Consultant Neurologist</w:t>
            </w:r>
          </w:p>
        </w:tc>
      </w:tr>
      <w:tr w:rsidR="009A0FE4" w:rsidRPr="00D032B4" w14:paraId="20720479" w14:textId="77777777" w:rsidTr="007A3E07">
        <w:tc>
          <w:tcPr>
            <w:tcW w:w="3816" w:type="dxa"/>
          </w:tcPr>
          <w:p w14:paraId="78479524" w14:textId="5A08C945" w:rsidR="009A0FE4" w:rsidRPr="00D032B4" w:rsidRDefault="007A3E07" w:rsidP="00FD1A77">
            <w:pPr>
              <w:pStyle w:val="Paragraph"/>
              <w:numPr>
                <w:ilvl w:val="0"/>
                <w:numId w:val="26"/>
              </w:numPr>
              <w:rPr>
                <w:rFonts w:cs="Arial"/>
                <w:sz w:val="24"/>
                <w:szCs w:val="24"/>
              </w:rPr>
            </w:pPr>
            <w:r>
              <w:rPr>
                <w:rFonts w:cs="Arial"/>
                <w:sz w:val="24"/>
                <w:szCs w:val="24"/>
              </w:rPr>
              <w:t>Adela Williams</w:t>
            </w:r>
          </w:p>
        </w:tc>
        <w:tc>
          <w:tcPr>
            <w:tcW w:w="3781" w:type="dxa"/>
          </w:tcPr>
          <w:p w14:paraId="6D31896D" w14:textId="7618F291" w:rsidR="009A0FE4" w:rsidRPr="00D032B4" w:rsidRDefault="009A0FE4" w:rsidP="009A0FE4">
            <w:pPr>
              <w:pStyle w:val="Paragraph"/>
              <w:numPr>
                <w:ilvl w:val="0"/>
                <w:numId w:val="0"/>
              </w:numPr>
              <w:rPr>
                <w:rFonts w:cs="Arial"/>
                <w:sz w:val="24"/>
                <w:szCs w:val="24"/>
              </w:rPr>
            </w:pPr>
            <w:r w:rsidRPr="00D032B4">
              <w:rPr>
                <w:rFonts w:cs="Arial"/>
                <w:sz w:val="24"/>
                <w:szCs w:val="24"/>
              </w:rPr>
              <w:t xml:space="preserve">Legal </w:t>
            </w:r>
            <w:r w:rsidR="00FC70C4" w:rsidRPr="00D032B4">
              <w:rPr>
                <w:rFonts w:cs="Arial"/>
                <w:sz w:val="24"/>
                <w:szCs w:val="24"/>
              </w:rPr>
              <w:t>Representative</w:t>
            </w:r>
          </w:p>
        </w:tc>
      </w:tr>
    </w:tbl>
    <w:p w14:paraId="404068C7" w14:textId="2339C9ED" w:rsidR="00CC79EF" w:rsidRPr="00D032B4" w:rsidRDefault="009A0FE4" w:rsidP="00CC79EF">
      <w:pPr>
        <w:pStyle w:val="Paragraph"/>
        <w:rPr>
          <w:rFonts w:cs="Arial"/>
          <w:sz w:val="24"/>
          <w:szCs w:val="24"/>
        </w:rPr>
      </w:pPr>
      <w:proofErr w:type="spellStart"/>
      <w:r w:rsidRPr="00D032B4">
        <w:rPr>
          <w:rFonts w:cs="Arial"/>
          <w:sz w:val="24"/>
          <w:szCs w:val="24"/>
        </w:rPr>
        <w:t>Myaware</w:t>
      </w:r>
      <w:proofErr w:type="spellEnd"/>
      <w:r w:rsidRPr="00D032B4">
        <w:rPr>
          <w:rFonts w:cs="Arial"/>
          <w:sz w:val="24"/>
          <w:szCs w:val="24"/>
        </w:rPr>
        <w:t xml:space="preserve"> UK</w:t>
      </w:r>
      <w:r w:rsidR="00CC79EF" w:rsidRPr="00D032B4">
        <w:rPr>
          <w:rFonts w:cs="Arial"/>
          <w:sz w:val="24"/>
          <w:szCs w:val="24"/>
        </w:rPr>
        <w:t xml:space="preserve"> was represented by: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727"/>
      </w:tblGrid>
      <w:tr w:rsidR="009A0FE4" w:rsidRPr="00D032B4" w14:paraId="36F440A2" w14:textId="77777777" w:rsidTr="00D3453E">
        <w:tc>
          <w:tcPr>
            <w:tcW w:w="3870" w:type="dxa"/>
          </w:tcPr>
          <w:p w14:paraId="18AE0BD6" w14:textId="046CE20E" w:rsidR="009A0FE4" w:rsidRPr="00D032B4" w:rsidRDefault="00D3453E" w:rsidP="00FD1A77">
            <w:pPr>
              <w:pStyle w:val="Paragraph"/>
              <w:numPr>
                <w:ilvl w:val="0"/>
                <w:numId w:val="26"/>
              </w:numPr>
              <w:rPr>
                <w:rFonts w:cs="Arial"/>
                <w:sz w:val="24"/>
                <w:szCs w:val="24"/>
              </w:rPr>
            </w:pPr>
            <w:r>
              <w:rPr>
                <w:rFonts w:cs="Arial"/>
                <w:sz w:val="24"/>
                <w:szCs w:val="24"/>
              </w:rPr>
              <w:t>Abby Mabil</w:t>
            </w:r>
          </w:p>
        </w:tc>
        <w:tc>
          <w:tcPr>
            <w:tcW w:w="3727" w:type="dxa"/>
          </w:tcPr>
          <w:p w14:paraId="6808DC31" w14:textId="25BCC52A" w:rsidR="009A0FE4" w:rsidRPr="00D032B4" w:rsidRDefault="00D3453E" w:rsidP="009A0FE4">
            <w:pPr>
              <w:pStyle w:val="Paragraph"/>
              <w:numPr>
                <w:ilvl w:val="0"/>
                <w:numId w:val="0"/>
              </w:numPr>
              <w:rPr>
                <w:rFonts w:cs="Arial"/>
                <w:sz w:val="24"/>
                <w:szCs w:val="24"/>
              </w:rPr>
            </w:pPr>
            <w:r>
              <w:rPr>
                <w:rFonts w:cs="Arial"/>
                <w:sz w:val="24"/>
                <w:szCs w:val="24"/>
              </w:rPr>
              <w:t>Patient Expert</w:t>
            </w:r>
          </w:p>
        </w:tc>
      </w:tr>
      <w:tr w:rsidR="009A0FE4" w:rsidRPr="00D032B4" w14:paraId="427C3E7F" w14:textId="77777777" w:rsidTr="00D3453E">
        <w:tc>
          <w:tcPr>
            <w:tcW w:w="3870" w:type="dxa"/>
          </w:tcPr>
          <w:p w14:paraId="536051DB" w14:textId="58752D37" w:rsidR="009A0FE4" w:rsidRPr="00D032B4" w:rsidRDefault="00D3453E" w:rsidP="00FD1A77">
            <w:pPr>
              <w:pStyle w:val="Paragraph"/>
              <w:numPr>
                <w:ilvl w:val="0"/>
                <w:numId w:val="26"/>
              </w:numPr>
              <w:rPr>
                <w:rFonts w:cs="Arial"/>
                <w:sz w:val="24"/>
                <w:szCs w:val="24"/>
              </w:rPr>
            </w:pPr>
            <w:r>
              <w:rPr>
                <w:rFonts w:cs="Arial"/>
                <w:sz w:val="24"/>
                <w:szCs w:val="24"/>
              </w:rPr>
              <w:t xml:space="preserve">Chana </w:t>
            </w:r>
            <w:proofErr w:type="spellStart"/>
            <w:r>
              <w:rPr>
                <w:rFonts w:cs="Arial"/>
                <w:sz w:val="24"/>
                <w:szCs w:val="24"/>
              </w:rPr>
              <w:t>Hewamadduma</w:t>
            </w:r>
            <w:proofErr w:type="spellEnd"/>
          </w:p>
        </w:tc>
        <w:tc>
          <w:tcPr>
            <w:tcW w:w="3727" w:type="dxa"/>
          </w:tcPr>
          <w:p w14:paraId="31311195" w14:textId="21873210" w:rsidR="009A0FE4" w:rsidRPr="00D032B4" w:rsidRDefault="00D3453E" w:rsidP="009A0FE4">
            <w:pPr>
              <w:pStyle w:val="Paragraph"/>
              <w:numPr>
                <w:ilvl w:val="0"/>
                <w:numId w:val="0"/>
              </w:numPr>
              <w:rPr>
                <w:rFonts w:cs="Arial"/>
                <w:sz w:val="24"/>
                <w:szCs w:val="24"/>
              </w:rPr>
            </w:pPr>
            <w:r>
              <w:rPr>
                <w:rFonts w:cs="Arial"/>
                <w:sz w:val="24"/>
                <w:szCs w:val="24"/>
              </w:rPr>
              <w:t xml:space="preserve">Consultant </w:t>
            </w:r>
            <w:r w:rsidR="00E92863">
              <w:rPr>
                <w:rFonts w:cs="Arial"/>
                <w:sz w:val="24"/>
                <w:szCs w:val="24"/>
              </w:rPr>
              <w:t>Neurologist</w:t>
            </w:r>
          </w:p>
        </w:tc>
      </w:tr>
      <w:tr w:rsidR="009A0FE4" w:rsidRPr="00D032B4" w14:paraId="21DF527C" w14:textId="77777777" w:rsidTr="00D3453E">
        <w:tc>
          <w:tcPr>
            <w:tcW w:w="3870" w:type="dxa"/>
          </w:tcPr>
          <w:p w14:paraId="6537E6DC" w14:textId="5022D3C8" w:rsidR="009A0FE4" w:rsidRPr="00D032B4" w:rsidRDefault="009A0FE4" w:rsidP="00FD1A77">
            <w:pPr>
              <w:pStyle w:val="Paragraph"/>
              <w:numPr>
                <w:ilvl w:val="0"/>
                <w:numId w:val="26"/>
              </w:numPr>
              <w:rPr>
                <w:rFonts w:cs="Arial"/>
                <w:sz w:val="24"/>
                <w:szCs w:val="24"/>
              </w:rPr>
            </w:pPr>
            <w:r w:rsidRPr="00D032B4">
              <w:rPr>
                <w:rFonts w:cs="Arial"/>
                <w:sz w:val="24"/>
                <w:szCs w:val="24"/>
              </w:rPr>
              <w:t>Sarah Love</w:t>
            </w:r>
          </w:p>
        </w:tc>
        <w:tc>
          <w:tcPr>
            <w:tcW w:w="3727" w:type="dxa"/>
          </w:tcPr>
          <w:p w14:paraId="2CA06F6C" w14:textId="4301DFFA" w:rsidR="009A0FE4" w:rsidRPr="00D032B4" w:rsidRDefault="009A0FE4" w:rsidP="009A0FE4">
            <w:pPr>
              <w:pStyle w:val="Paragraph"/>
              <w:numPr>
                <w:ilvl w:val="0"/>
                <w:numId w:val="0"/>
              </w:numPr>
              <w:rPr>
                <w:rFonts w:cs="Arial"/>
                <w:sz w:val="24"/>
                <w:szCs w:val="24"/>
              </w:rPr>
            </w:pPr>
            <w:r w:rsidRPr="00D032B4">
              <w:rPr>
                <w:rFonts w:cs="Arial"/>
                <w:sz w:val="24"/>
                <w:szCs w:val="24"/>
              </w:rPr>
              <w:t>Legal Representative</w:t>
            </w:r>
          </w:p>
        </w:tc>
      </w:tr>
    </w:tbl>
    <w:p w14:paraId="7DFA0375" w14:textId="585E9709" w:rsidR="00D91199" w:rsidRPr="00D032B4" w:rsidRDefault="00D91199" w:rsidP="00D91199">
      <w:pPr>
        <w:pStyle w:val="Paragraph"/>
        <w:rPr>
          <w:rFonts w:cs="Arial"/>
          <w:sz w:val="24"/>
          <w:szCs w:val="24"/>
        </w:rPr>
      </w:pPr>
      <w:r w:rsidRPr="00D032B4">
        <w:rPr>
          <w:rFonts w:cs="Arial"/>
          <w:sz w:val="24"/>
          <w:szCs w:val="24"/>
        </w:rPr>
        <w:t>M</w:t>
      </w:r>
      <w:r>
        <w:rPr>
          <w:rFonts w:cs="Arial"/>
          <w:sz w:val="24"/>
          <w:szCs w:val="24"/>
        </w:rPr>
        <w:t>D</w:t>
      </w:r>
      <w:r w:rsidRPr="00D032B4">
        <w:rPr>
          <w:rFonts w:cs="Arial"/>
          <w:sz w:val="24"/>
          <w:szCs w:val="24"/>
        </w:rPr>
        <w:t>UK was represented by: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727"/>
      </w:tblGrid>
      <w:tr w:rsidR="00D91199" w:rsidRPr="00D032B4" w14:paraId="034C983D" w14:textId="77777777">
        <w:tc>
          <w:tcPr>
            <w:tcW w:w="3870" w:type="dxa"/>
          </w:tcPr>
          <w:p w14:paraId="7B638B9F" w14:textId="20652D45" w:rsidR="00D91199" w:rsidRPr="00D032B4" w:rsidRDefault="0026365E">
            <w:pPr>
              <w:pStyle w:val="Paragraph"/>
              <w:numPr>
                <w:ilvl w:val="0"/>
                <w:numId w:val="26"/>
              </w:numPr>
              <w:rPr>
                <w:rFonts w:cs="Arial"/>
                <w:sz w:val="24"/>
                <w:szCs w:val="24"/>
              </w:rPr>
            </w:pPr>
            <w:r>
              <w:rPr>
                <w:rFonts w:cs="Arial"/>
                <w:sz w:val="24"/>
                <w:szCs w:val="24"/>
              </w:rPr>
              <w:t>Kate Adcock</w:t>
            </w:r>
          </w:p>
        </w:tc>
        <w:tc>
          <w:tcPr>
            <w:tcW w:w="3727" w:type="dxa"/>
          </w:tcPr>
          <w:p w14:paraId="34F05729" w14:textId="5465FDC6" w:rsidR="00D91199" w:rsidRPr="00D032B4" w:rsidRDefault="0026365E">
            <w:pPr>
              <w:pStyle w:val="Paragraph"/>
              <w:numPr>
                <w:ilvl w:val="0"/>
                <w:numId w:val="0"/>
              </w:numPr>
              <w:rPr>
                <w:rFonts w:cs="Arial"/>
                <w:sz w:val="24"/>
                <w:szCs w:val="24"/>
              </w:rPr>
            </w:pPr>
            <w:r>
              <w:rPr>
                <w:rFonts w:cs="Arial"/>
                <w:sz w:val="24"/>
                <w:szCs w:val="24"/>
              </w:rPr>
              <w:t>Director of Research</w:t>
            </w:r>
          </w:p>
        </w:tc>
      </w:tr>
      <w:tr w:rsidR="00D91199" w:rsidRPr="00D032B4" w14:paraId="02C4EF39" w14:textId="77777777">
        <w:tc>
          <w:tcPr>
            <w:tcW w:w="3870" w:type="dxa"/>
          </w:tcPr>
          <w:p w14:paraId="2C79158F" w14:textId="07F4D542" w:rsidR="00D91199" w:rsidRPr="00D032B4" w:rsidRDefault="0026365E">
            <w:pPr>
              <w:pStyle w:val="Paragraph"/>
              <w:numPr>
                <w:ilvl w:val="0"/>
                <w:numId w:val="26"/>
              </w:numPr>
              <w:rPr>
                <w:rFonts w:cs="Arial"/>
                <w:sz w:val="24"/>
                <w:szCs w:val="24"/>
              </w:rPr>
            </w:pPr>
            <w:r>
              <w:rPr>
                <w:rFonts w:cs="Arial"/>
                <w:sz w:val="24"/>
                <w:szCs w:val="24"/>
              </w:rPr>
              <w:t>Charlotte Roy</w:t>
            </w:r>
          </w:p>
        </w:tc>
        <w:tc>
          <w:tcPr>
            <w:tcW w:w="3727" w:type="dxa"/>
          </w:tcPr>
          <w:p w14:paraId="3C3CC7AC" w14:textId="75AB84C7" w:rsidR="00D91199" w:rsidRPr="00D032B4" w:rsidRDefault="0026365E">
            <w:pPr>
              <w:pStyle w:val="Paragraph"/>
              <w:numPr>
                <w:ilvl w:val="0"/>
                <w:numId w:val="0"/>
              </w:numPr>
              <w:rPr>
                <w:rFonts w:cs="Arial"/>
                <w:sz w:val="24"/>
                <w:szCs w:val="24"/>
              </w:rPr>
            </w:pPr>
            <w:r>
              <w:rPr>
                <w:rFonts w:cs="Arial"/>
                <w:sz w:val="24"/>
                <w:szCs w:val="24"/>
              </w:rPr>
              <w:t>Research Communications Manager</w:t>
            </w:r>
          </w:p>
        </w:tc>
      </w:tr>
      <w:tr w:rsidR="00D91199" w:rsidRPr="00D032B4" w14:paraId="40C80DC5" w14:textId="77777777">
        <w:tc>
          <w:tcPr>
            <w:tcW w:w="3870" w:type="dxa"/>
          </w:tcPr>
          <w:p w14:paraId="581A1A19" w14:textId="2076878A" w:rsidR="00D91199" w:rsidRPr="00D032B4" w:rsidRDefault="0044503E">
            <w:pPr>
              <w:pStyle w:val="Paragraph"/>
              <w:numPr>
                <w:ilvl w:val="0"/>
                <w:numId w:val="26"/>
              </w:numPr>
              <w:rPr>
                <w:rFonts w:cs="Arial"/>
                <w:sz w:val="24"/>
                <w:szCs w:val="24"/>
              </w:rPr>
            </w:pPr>
            <w:r>
              <w:rPr>
                <w:rFonts w:cs="Arial"/>
                <w:sz w:val="24"/>
                <w:szCs w:val="24"/>
              </w:rPr>
              <w:t>Jennifer Spillane</w:t>
            </w:r>
          </w:p>
        </w:tc>
        <w:tc>
          <w:tcPr>
            <w:tcW w:w="3727" w:type="dxa"/>
          </w:tcPr>
          <w:p w14:paraId="7C681A5B" w14:textId="5E7E0A66" w:rsidR="00D91199" w:rsidRPr="00D032B4" w:rsidRDefault="0044503E">
            <w:pPr>
              <w:pStyle w:val="Paragraph"/>
              <w:numPr>
                <w:ilvl w:val="0"/>
                <w:numId w:val="0"/>
              </w:numPr>
              <w:rPr>
                <w:rFonts w:cs="Arial"/>
                <w:sz w:val="24"/>
                <w:szCs w:val="24"/>
              </w:rPr>
            </w:pPr>
            <w:r>
              <w:rPr>
                <w:rFonts w:cs="Arial"/>
                <w:sz w:val="24"/>
                <w:szCs w:val="24"/>
              </w:rPr>
              <w:t>Consultant Neurologist</w:t>
            </w:r>
            <w:r w:rsidR="00D91199" w:rsidRPr="00D032B4">
              <w:rPr>
                <w:rFonts w:cs="Arial"/>
                <w:sz w:val="24"/>
                <w:szCs w:val="24"/>
              </w:rPr>
              <w:t xml:space="preserve"> </w:t>
            </w:r>
          </w:p>
        </w:tc>
      </w:tr>
    </w:tbl>
    <w:p w14:paraId="39621386" w14:textId="1ADA241E" w:rsidR="00D91199" w:rsidRPr="00D032B4" w:rsidRDefault="0044503E" w:rsidP="00D91199">
      <w:pPr>
        <w:pStyle w:val="Paragraph"/>
        <w:rPr>
          <w:rFonts w:cs="Arial"/>
          <w:sz w:val="24"/>
          <w:szCs w:val="24"/>
        </w:rPr>
      </w:pPr>
      <w:r>
        <w:rPr>
          <w:rFonts w:cs="Arial"/>
          <w:sz w:val="24"/>
          <w:szCs w:val="24"/>
        </w:rPr>
        <w:t>ABN</w:t>
      </w:r>
      <w:r w:rsidR="00D91199" w:rsidRPr="00D032B4">
        <w:rPr>
          <w:rFonts w:cs="Arial"/>
          <w:sz w:val="24"/>
          <w:szCs w:val="24"/>
        </w:rPr>
        <w:t xml:space="preserve"> was represented by: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727"/>
      </w:tblGrid>
      <w:tr w:rsidR="00D91199" w:rsidRPr="00D032B4" w14:paraId="3830378D" w14:textId="77777777">
        <w:tc>
          <w:tcPr>
            <w:tcW w:w="3870" w:type="dxa"/>
          </w:tcPr>
          <w:p w14:paraId="0293CEB5" w14:textId="7DAC8F26" w:rsidR="00D91199" w:rsidRPr="00D032B4" w:rsidRDefault="0044503E">
            <w:pPr>
              <w:pStyle w:val="Paragraph"/>
              <w:numPr>
                <w:ilvl w:val="0"/>
                <w:numId w:val="26"/>
              </w:numPr>
              <w:rPr>
                <w:rFonts w:cs="Arial"/>
                <w:sz w:val="24"/>
                <w:szCs w:val="24"/>
              </w:rPr>
            </w:pPr>
            <w:r>
              <w:rPr>
                <w:rFonts w:cs="Arial"/>
                <w:sz w:val="24"/>
                <w:szCs w:val="24"/>
              </w:rPr>
              <w:lastRenderedPageBreak/>
              <w:t>Katherine Dodd</w:t>
            </w:r>
          </w:p>
        </w:tc>
        <w:tc>
          <w:tcPr>
            <w:tcW w:w="3727" w:type="dxa"/>
          </w:tcPr>
          <w:p w14:paraId="7B6DA3C2" w14:textId="7BEF474C" w:rsidR="00D91199" w:rsidRPr="00D032B4" w:rsidRDefault="0044503E">
            <w:pPr>
              <w:pStyle w:val="Paragraph"/>
              <w:numPr>
                <w:ilvl w:val="0"/>
                <w:numId w:val="0"/>
              </w:numPr>
              <w:rPr>
                <w:rFonts w:cs="Arial"/>
                <w:sz w:val="24"/>
                <w:szCs w:val="24"/>
              </w:rPr>
            </w:pPr>
            <w:r>
              <w:rPr>
                <w:rFonts w:cs="Arial"/>
                <w:sz w:val="24"/>
                <w:szCs w:val="24"/>
              </w:rPr>
              <w:t>Consultant Neurologist</w:t>
            </w:r>
          </w:p>
        </w:tc>
      </w:tr>
    </w:tbl>
    <w:p w14:paraId="3DAD1F11" w14:textId="6D08E7E2" w:rsidR="00CC79EF" w:rsidRPr="00D91199" w:rsidRDefault="00CC79EF" w:rsidP="00D91199">
      <w:pPr>
        <w:pStyle w:val="Paragraph"/>
        <w:rPr>
          <w:rFonts w:cs="Arial"/>
          <w:sz w:val="24"/>
          <w:szCs w:val="24"/>
        </w:rPr>
      </w:pPr>
      <w:r w:rsidRPr="00D032B4">
        <w:rPr>
          <w:rFonts w:cs="Arial"/>
          <w:sz w:val="24"/>
          <w:szCs w:val="24"/>
        </w:rPr>
        <w:t xml:space="preserve">In addition, the following individuals involved in the appraisal were </w:t>
      </w:r>
      <w:r w:rsidRPr="00D91199">
        <w:rPr>
          <w:rFonts w:cs="Arial"/>
          <w:sz w:val="24"/>
          <w:szCs w:val="24"/>
        </w:rPr>
        <w:t>present and available to answer questions from the appeal panel: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3762"/>
      </w:tblGrid>
      <w:tr w:rsidR="00E459A3" w:rsidRPr="00D032B4" w14:paraId="11B948A3" w14:textId="77777777" w:rsidTr="00E459A3">
        <w:tc>
          <w:tcPr>
            <w:tcW w:w="4148" w:type="dxa"/>
          </w:tcPr>
          <w:p w14:paraId="21E632D9" w14:textId="146C348F" w:rsidR="00FD1A77" w:rsidRPr="00D032B4" w:rsidRDefault="00F41286" w:rsidP="00E459A3">
            <w:pPr>
              <w:pStyle w:val="Paragraph"/>
              <w:numPr>
                <w:ilvl w:val="0"/>
                <w:numId w:val="26"/>
              </w:numPr>
              <w:rPr>
                <w:rFonts w:cs="Arial"/>
                <w:sz w:val="24"/>
                <w:szCs w:val="24"/>
              </w:rPr>
            </w:pPr>
            <w:r>
              <w:rPr>
                <w:rFonts w:cs="Arial"/>
                <w:sz w:val="24"/>
                <w:szCs w:val="24"/>
              </w:rPr>
              <w:t>Charles Crawley</w:t>
            </w:r>
          </w:p>
        </w:tc>
        <w:tc>
          <w:tcPr>
            <w:tcW w:w="4148" w:type="dxa"/>
          </w:tcPr>
          <w:p w14:paraId="17397139" w14:textId="2DCBA6F2" w:rsidR="00FD1A77" w:rsidRPr="00D032B4" w:rsidRDefault="00082189" w:rsidP="00FD1A77">
            <w:pPr>
              <w:pStyle w:val="Paragraph"/>
              <w:numPr>
                <w:ilvl w:val="0"/>
                <w:numId w:val="0"/>
              </w:numPr>
              <w:rPr>
                <w:rFonts w:cs="Arial"/>
                <w:sz w:val="24"/>
                <w:szCs w:val="24"/>
              </w:rPr>
            </w:pPr>
            <w:r>
              <w:rPr>
                <w:rFonts w:cs="Arial"/>
                <w:sz w:val="24"/>
                <w:szCs w:val="24"/>
              </w:rPr>
              <w:t xml:space="preserve">Chair, </w:t>
            </w:r>
            <w:r w:rsidR="00FD1A77" w:rsidRPr="00D032B4">
              <w:rPr>
                <w:rFonts w:cs="Arial"/>
                <w:sz w:val="24"/>
                <w:szCs w:val="24"/>
              </w:rPr>
              <w:t>Technology Appraisal Committee</w:t>
            </w:r>
            <w:r>
              <w:rPr>
                <w:rFonts w:cs="Arial"/>
                <w:sz w:val="24"/>
                <w:szCs w:val="24"/>
              </w:rPr>
              <w:t xml:space="preserve"> B</w:t>
            </w:r>
          </w:p>
        </w:tc>
      </w:tr>
      <w:tr w:rsidR="00E459A3" w:rsidRPr="00D032B4" w14:paraId="2D22C4A0" w14:textId="77777777" w:rsidTr="00E459A3">
        <w:tc>
          <w:tcPr>
            <w:tcW w:w="4148" w:type="dxa"/>
          </w:tcPr>
          <w:p w14:paraId="0C246026" w14:textId="3C2A0700" w:rsidR="00FD1A77" w:rsidRPr="00D032B4" w:rsidRDefault="00FD1A77" w:rsidP="00E459A3">
            <w:pPr>
              <w:pStyle w:val="Paragraph"/>
              <w:numPr>
                <w:ilvl w:val="0"/>
                <w:numId w:val="26"/>
              </w:numPr>
              <w:rPr>
                <w:rFonts w:cs="Arial"/>
                <w:sz w:val="24"/>
                <w:szCs w:val="24"/>
              </w:rPr>
            </w:pPr>
            <w:r w:rsidRPr="00D032B4">
              <w:rPr>
                <w:rFonts w:cs="Arial"/>
                <w:sz w:val="24"/>
                <w:szCs w:val="24"/>
              </w:rPr>
              <w:t>Jacoline Bouvy</w:t>
            </w:r>
          </w:p>
        </w:tc>
        <w:tc>
          <w:tcPr>
            <w:tcW w:w="4148" w:type="dxa"/>
          </w:tcPr>
          <w:p w14:paraId="6A89377E" w14:textId="18374FBE" w:rsidR="00FD1A77" w:rsidRPr="00D032B4" w:rsidRDefault="00FD1A77" w:rsidP="00FD1A77">
            <w:pPr>
              <w:pStyle w:val="Paragraph"/>
              <w:numPr>
                <w:ilvl w:val="0"/>
                <w:numId w:val="0"/>
              </w:numPr>
              <w:rPr>
                <w:rFonts w:cs="Arial"/>
                <w:sz w:val="24"/>
                <w:szCs w:val="24"/>
              </w:rPr>
            </w:pPr>
            <w:r w:rsidRPr="00D032B4">
              <w:rPr>
                <w:rFonts w:cs="Arial"/>
                <w:sz w:val="24"/>
                <w:szCs w:val="24"/>
              </w:rPr>
              <w:t>Programme Director</w:t>
            </w:r>
            <w:r w:rsidR="00943733">
              <w:rPr>
                <w:rFonts w:cs="Arial"/>
                <w:sz w:val="24"/>
                <w:szCs w:val="24"/>
              </w:rPr>
              <w:t xml:space="preserve">, </w:t>
            </w:r>
            <w:r w:rsidR="004413FA">
              <w:rPr>
                <w:rFonts w:cs="Arial"/>
                <w:sz w:val="24"/>
                <w:szCs w:val="24"/>
              </w:rPr>
              <w:t>Medicines Evaluation, NICE</w:t>
            </w:r>
          </w:p>
        </w:tc>
      </w:tr>
      <w:tr w:rsidR="00E459A3" w:rsidRPr="00D032B4" w14:paraId="1EAB0A96" w14:textId="77777777" w:rsidTr="00E459A3">
        <w:tc>
          <w:tcPr>
            <w:tcW w:w="4148" w:type="dxa"/>
          </w:tcPr>
          <w:p w14:paraId="29DDFE86" w14:textId="7D2C724B" w:rsidR="00FD1A77" w:rsidRPr="00D032B4" w:rsidRDefault="00F41286" w:rsidP="00E459A3">
            <w:pPr>
              <w:pStyle w:val="Paragraph"/>
              <w:numPr>
                <w:ilvl w:val="0"/>
                <w:numId w:val="26"/>
              </w:numPr>
              <w:rPr>
                <w:rFonts w:cs="Arial"/>
                <w:sz w:val="24"/>
                <w:szCs w:val="24"/>
              </w:rPr>
            </w:pPr>
            <w:r>
              <w:rPr>
                <w:rFonts w:cs="Arial"/>
                <w:sz w:val="24"/>
                <w:szCs w:val="24"/>
              </w:rPr>
              <w:t>Emily Crowe</w:t>
            </w:r>
          </w:p>
        </w:tc>
        <w:tc>
          <w:tcPr>
            <w:tcW w:w="4148" w:type="dxa"/>
          </w:tcPr>
          <w:p w14:paraId="447A30B3" w14:textId="0CA0FE74" w:rsidR="00FD1A77" w:rsidRPr="00D032B4" w:rsidRDefault="00FD1A77" w:rsidP="00FD1A77">
            <w:pPr>
              <w:pStyle w:val="Paragraph"/>
              <w:numPr>
                <w:ilvl w:val="0"/>
                <w:numId w:val="0"/>
              </w:numPr>
              <w:rPr>
                <w:rFonts w:cs="Arial"/>
                <w:sz w:val="24"/>
                <w:szCs w:val="24"/>
              </w:rPr>
            </w:pPr>
            <w:r w:rsidRPr="00D032B4">
              <w:rPr>
                <w:rFonts w:cs="Arial"/>
                <w:sz w:val="24"/>
                <w:szCs w:val="24"/>
              </w:rPr>
              <w:t>Associate Director</w:t>
            </w:r>
            <w:r w:rsidR="004C0FF5">
              <w:rPr>
                <w:rFonts w:cs="Arial"/>
                <w:sz w:val="24"/>
                <w:szCs w:val="24"/>
              </w:rPr>
              <w:t>, Appraisals, NICE</w:t>
            </w:r>
          </w:p>
        </w:tc>
      </w:tr>
      <w:tr w:rsidR="00E459A3" w:rsidRPr="00D032B4" w14:paraId="2C4FCA76" w14:textId="77777777" w:rsidTr="00E459A3">
        <w:tc>
          <w:tcPr>
            <w:tcW w:w="4148" w:type="dxa"/>
          </w:tcPr>
          <w:p w14:paraId="22C1E1E1" w14:textId="21359314" w:rsidR="00FD1A77" w:rsidRPr="00D032B4" w:rsidRDefault="00F41286" w:rsidP="00E459A3">
            <w:pPr>
              <w:pStyle w:val="Paragraph"/>
              <w:numPr>
                <w:ilvl w:val="0"/>
                <w:numId w:val="26"/>
              </w:numPr>
              <w:rPr>
                <w:rFonts w:cs="Arial"/>
                <w:sz w:val="24"/>
                <w:szCs w:val="24"/>
              </w:rPr>
            </w:pPr>
            <w:r>
              <w:rPr>
                <w:rFonts w:cs="Arial"/>
                <w:sz w:val="24"/>
                <w:szCs w:val="24"/>
              </w:rPr>
              <w:t>Yelan Guo</w:t>
            </w:r>
          </w:p>
        </w:tc>
        <w:tc>
          <w:tcPr>
            <w:tcW w:w="4148" w:type="dxa"/>
          </w:tcPr>
          <w:p w14:paraId="03032FDC" w14:textId="4B72D619" w:rsidR="00FD1A77" w:rsidRPr="00D032B4" w:rsidRDefault="00FD1A77" w:rsidP="00FD1A77">
            <w:pPr>
              <w:pStyle w:val="Paragraph"/>
              <w:numPr>
                <w:ilvl w:val="0"/>
                <w:numId w:val="0"/>
              </w:numPr>
              <w:rPr>
                <w:rFonts w:cs="Arial"/>
                <w:sz w:val="24"/>
                <w:szCs w:val="24"/>
              </w:rPr>
            </w:pPr>
            <w:r w:rsidRPr="00D032B4">
              <w:rPr>
                <w:rFonts w:cs="Arial"/>
                <w:sz w:val="24"/>
                <w:szCs w:val="24"/>
              </w:rPr>
              <w:t>Health Technology Assessment Adviser</w:t>
            </w:r>
            <w:r w:rsidR="004C0FF5">
              <w:rPr>
                <w:rFonts w:cs="Arial"/>
                <w:sz w:val="24"/>
                <w:szCs w:val="24"/>
              </w:rPr>
              <w:t>, NICE</w:t>
            </w:r>
          </w:p>
        </w:tc>
      </w:tr>
      <w:tr w:rsidR="00F41286" w:rsidRPr="00D032B4" w14:paraId="49E3825A" w14:textId="77777777" w:rsidTr="00E459A3">
        <w:tc>
          <w:tcPr>
            <w:tcW w:w="4148" w:type="dxa"/>
          </w:tcPr>
          <w:p w14:paraId="581798B0" w14:textId="13ADDE88" w:rsidR="00F41286" w:rsidRDefault="00F41286" w:rsidP="00E459A3">
            <w:pPr>
              <w:pStyle w:val="Paragraph"/>
              <w:numPr>
                <w:ilvl w:val="0"/>
                <w:numId w:val="26"/>
              </w:numPr>
              <w:rPr>
                <w:rFonts w:cs="Arial"/>
                <w:sz w:val="24"/>
                <w:szCs w:val="24"/>
              </w:rPr>
            </w:pPr>
            <w:r>
              <w:rPr>
                <w:rFonts w:cs="Arial"/>
                <w:sz w:val="24"/>
                <w:szCs w:val="24"/>
              </w:rPr>
              <w:t>Peter Wheatley-Price</w:t>
            </w:r>
          </w:p>
        </w:tc>
        <w:tc>
          <w:tcPr>
            <w:tcW w:w="4148" w:type="dxa"/>
          </w:tcPr>
          <w:p w14:paraId="1C497A3F" w14:textId="15C6F0C7" w:rsidR="00F41286" w:rsidRPr="00D032B4" w:rsidRDefault="004C0FF5" w:rsidP="00FD1A77">
            <w:pPr>
              <w:pStyle w:val="Paragraph"/>
              <w:numPr>
                <w:ilvl w:val="0"/>
                <w:numId w:val="0"/>
              </w:numPr>
              <w:rPr>
                <w:rFonts w:cs="Arial"/>
                <w:sz w:val="24"/>
                <w:szCs w:val="24"/>
              </w:rPr>
            </w:pPr>
            <w:r>
              <w:rPr>
                <w:rFonts w:cs="Arial"/>
                <w:sz w:val="24"/>
                <w:szCs w:val="24"/>
              </w:rPr>
              <w:t>Committee member, Technology Appraisal Committee B</w:t>
            </w:r>
          </w:p>
        </w:tc>
      </w:tr>
    </w:tbl>
    <w:p w14:paraId="15A23D07" w14:textId="70E828C0" w:rsidR="00CC79EF" w:rsidRPr="00D032B4" w:rsidRDefault="00CC79EF" w:rsidP="00CC79EF">
      <w:pPr>
        <w:pStyle w:val="Paragraph"/>
        <w:rPr>
          <w:rFonts w:cs="Arial"/>
          <w:sz w:val="24"/>
          <w:szCs w:val="24"/>
        </w:rPr>
      </w:pPr>
      <w:r w:rsidRPr="00D032B4">
        <w:rPr>
          <w:rFonts w:cs="Arial"/>
          <w:sz w:val="24"/>
          <w:szCs w:val="24"/>
        </w:rPr>
        <w:t>The appeal panel’s legal adviser</w:t>
      </w:r>
      <w:r w:rsidR="00FD1A77" w:rsidRPr="00D032B4">
        <w:rPr>
          <w:rFonts w:cs="Arial"/>
          <w:sz w:val="24"/>
          <w:szCs w:val="24"/>
        </w:rPr>
        <w:t xml:space="preserve">, Alistair Robertson (DAC Beachcroft LLP) </w:t>
      </w:r>
      <w:r w:rsidRPr="00D032B4">
        <w:rPr>
          <w:rFonts w:cs="Arial"/>
          <w:sz w:val="24"/>
          <w:szCs w:val="24"/>
        </w:rPr>
        <w:t>was also present.</w:t>
      </w:r>
    </w:p>
    <w:p w14:paraId="41DD00A2" w14:textId="304897D6" w:rsidR="00CC79EF" w:rsidRPr="00D032B4" w:rsidRDefault="00CC79EF" w:rsidP="00CC79EF">
      <w:pPr>
        <w:pStyle w:val="Paragraph"/>
        <w:rPr>
          <w:rFonts w:cs="Arial"/>
          <w:sz w:val="24"/>
          <w:szCs w:val="24"/>
        </w:rPr>
      </w:pPr>
      <w:r w:rsidRPr="00D032B4">
        <w:rPr>
          <w:rFonts w:cs="Arial"/>
          <w:sz w:val="24"/>
          <w:szCs w:val="24"/>
        </w:rPr>
        <w:t xml:space="preserve">Under NICE’s appeal procedures, members of the public are admitted </w:t>
      </w:r>
      <w:proofErr w:type="gramStart"/>
      <w:r w:rsidRPr="00D032B4">
        <w:rPr>
          <w:rFonts w:cs="Arial"/>
          <w:sz w:val="24"/>
          <w:szCs w:val="24"/>
        </w:rPr>
        <w:t>to observe</w:t>
      </w:r>
      <w:proofErr w:type="gramEnd"/>
      <w:r w:rsidRPr="00D032B4">
        <w:rPr>
          <w:rFonts w:cs="Arial"/>
          <w:sz w:val="24"/>
          <w:szCs w:val="24"/>
        </w:rPr>
        <w:t xml:space="preserve"> appeal hearings and several members of the public and NICE staff observed the proceedings which were held via Zoom.</w:t>
      </w:r>
    </w:p>
    <w:p w14:paraId="0908AF93" w14:textId="42C6C1FE" w:rsidR="00CC79EF" w:rsidRPr="00D032B4" w:rsidRDefault="00CC79EF" w:rsidP="00CC79EF">
      <w:pPr>
        <w:pStyle w:val="Paragraph"/>
        <w:rPr>
          <w:rFonts w:cs="Arial"/>
          <w:b/>
          <w:sz w:val="24"/>
          <w:szCs w:val="24"/>
        </w:rPr>
      </w:pPr>
      <w:r w:rsidRPr="00D032B4">
        <w:rPr>
          <w:rFonts w:cs="Arial"/>
          <w:sz w:val="24"/>
          <w:szCs w:val="24"/>
        </w:rPr>
        <w:t>There are two grounds under which an appeal can be lodged:</w:t>
      </w:r>
    </w:p>
    <w:p w14:paraId="3C1CBC24" w14:textId="2249EB22" w:rsidR="00CC79EF" w:rsidRPr="00D032B4" w:rsidRDefault="00CC79EF" w:rsidP="00894289">
      <w:pPr>
        <w:pStyle w:val="Paragraphnonumbers"/>
        <w:ind w:left="851"/>
        <w:rPr>
          <w:rFonts w:cs="Arial"/>
          <w:sz w:val="24"/>
          <w:szCs w:val="24"/>
        </w:rPr>
      </w:pPr>
      <w:r w:rsidRPr="00894289">
        <w:rPr>
          <w:rFonts w:cs="Arial"/>
          <w:b/>
          <w:bCs/>
          <w:sz w:val="24"/>
          <w:szCs w:val="24"/>
        </w:rPr>
        <w:t>Ground One:</w:t>
      </w:r>
      <w:r w:rsidRPr="00D032B4">
        <w:rPr>
          <w:rFonts w:cs="Arial"/>
          <w:sz w:val="24"/>
          <w:szCs w:val="24"/>
        </w:rPr>
        <w:t xml:space="preserve"> In making the assessment that preceded the recommendation, NICE has:</w:t>
      </w:r>
    </w:p>
    <w:p w14:paraId="6BF9CE65" w14:textId="77777777" w:rsidR="00CC79EF" w:rsidRPr="00D032B4" w:rsidRDefault="00CC79EF" w:rsidP="00894289">
      <w:pPr>
        <w:pStyle w:val="Paragraphnonumbers"/>
        <w:ind w:left="851"/>
        <w:rPr>
          <w:rFonts w:eastAsiaTheme="minorHAnsi" w:cs="Arial"/>
          <w:sz w:val="24"/>
          <w:szCs w:val="24"/>
        </w:rPr>
      </w:pPr>
      <w:r w:rsidRPr="00D032B4">
        <w:rPr>
          <w:rFonts w:eastAsiaTheme="minorHAnsi" w:cs="Arial"/>
          <w:sz w:val="24"/>
          <w:szCs w:val="24"/>
        </w:rPr>
        <w:t xml:space="preserve">(a) Failed to act fairly; and/or </w:t>
      </w:r>
    </w:p>
    <w:p w14:paraId="696FF392" w14:textId="77777777" w:rsidR="00CC79EF" w:rsidRPr="00D032B4" w:rsidRDefault="00CC79EF" w:rsidP="00894289">
      <w:pPr>
        <w:pStyle w:val="Paragraphnonumbers"/>
        <w:ind w:left="851"/>
        <w:rPr>
          <w:rFonts w:eastAsiaTheme="minorHAnsi" w:cs="Arial"/>
          <w:sz w:val="24"/>
          <w:szCs w:val="24"/>
        </w:rPr>
      </w:pPr>
      <w:r w:rsidRPr="00D032B4">
        <w:rPr>
          <w:rFonts w:eastAsiaTheme="minorHAnsi" w:cs="Arial"/>
          <w:sz w:val="24"/>
          <w:szCs w:val="24"/>
        </w:rPr>
        <w:lastRenderedPageBreak/>
        <w:t xml:space="preserve">(b) Exceeded its powers. </w:t>
      </w:r>
    </w:p>
    <w:p w14:paraId="06E0240D" w14:textId="77777777" w:rsidR="00CC79EF" w:rsidRPr="00D032B4" w:rsidRDefault="00CC79EF" w:rsidP="00894289">
      <w:pPr>
        <w:pStyle w:val="Paragraphnonumbers"/>
        <w:ind w:left="851"/>
        <w:rPr>
          <w:rFonts w:eastAsiaTheme="minorHAnsi" w:cs="Arial"/>
          <w:sz w:val="24"/>
          <w:szCs w:val="24"/>
        </w:rPr>
      </w:pPr>
      <w:r w:rsidRPr="00894289">
        <w:rPr>
          <w:rFonts w:eastAsiaTheme="minorHAnsi" w:cs="Arial"/>
          <w:b/>
          <w:bCs/>
          <w:sz w:val="24"/>
          <w:szCs w:val="24"/>
        </w:rPr>
        <w:t>Ground Two:</w:t>
      </w:r>
      <w:r w:rsidRPr="00D032B4">
        <w:rPr>
          <w:rFonts w:eastAsiaTheme="minorHAnsi" w:cs="Arial"/>
          <w:sz w:val="24"/>
          <w:szCs w:val="24"/>
        </w:rPr>
        <w:t xml:space="preserve"> The recommendation is unreasonable </w:t>
      </w:r>
      <w:proofErr w:type="gramStart"/>
      <w:r w:rsidRPr="00D032B4">
        <w:rPr>
          <w:rFonts w:eastAsiaTheme="minorHAnsi" w:cs="Arial"/>
          <w:sz w:val="24"/>
          <w:szCs w:val="24"/>
        </w:rPr>
        <w:t>in light of</w:t>
      </w:r>
      <w:proofErr w:type="gramEnd"/>
      <w:r w:rsidRPr="00D032B4">
        <w:rPr>
          <w:rFonts w:eastAsiaTheme="minorHAnsi" w:cs="Arial"/>
          <w:sz w:val="24"/>
          <w:szCs w:val="24"/>
        </w:rPr>
        <w:t xml:space="preserve"> the evidence submitted to NICE. </w:t>
      </w:r>
    </w:p>
    <w:p w14:paraId="6A935EEC" w14:textId="0539B300" w:rsidR="00CC79EF" w:rsidRPr="00D032B4" w:rsidRDefault="00AA6981" w:rsidP="00CC79EF">
      <w:pPr>
        <w:pStyle w:val="Paragraph"/>
        <w:rPr>
          <w:rFonts w:cs="Arial"/>
          <w:sz w:val="24"/>
          <w:szCs w:val="24"/>
        </w:rPr>
      </w:pPr>
      <w:r>
        <w:rPr>
          <w:rFonts w:cs="Arial"/>
          <w:sz w:val="24"/>
          <w:szCs w:val="24"/>
        </w:rPr>
        <w:t xml:space="preserve">Mark Chakravarty, </w:t>
      </w:r>
      <w:r w:rsidR="0025033D">
        <w:rPr>
          <w:rFonts w:cs="Arial"/>
          <w:sz w:val="24"/>
          <w:szCs w:val="24"/>
        </w:rPr>
        <w:t xml:space="preserve">NICE </w:t>
      </w:r>
      <w:r w:rsidR="004D7F19">
        <w:rPr>
          <w:rFonts w:cs="Arial"/>
          <w:sz w:val="24"/>
          <w:szCs w:val="24"/>
        </w:rPr>
        <w:t>lead non-executive director for appeals</w:t>
      </w:r>
      <w:r w:rsidR="0088441D" w:rsidRPr="00D032B4">
        <w:rPr>
          <w:rFonts w:cs="Arial"/>
          <w:sz w:val="24"/>
          <w:szCs w:val="24"/>
        </w:rPr>
        <w:t xml:space="preserve">, </w:t>
      </w:r>
      <w:r w:rsidR="00CC79EF" w:rsidRPr="00D032B4">
        <w:rPr>
          <w:rFonts w:cs="Arial"/>
          <w:sz w:val="24"/>
          <w:szCs w:val="24"/>
        </w:rPr>
        <w:t xml:space="preserve">in preliminary correspondence had confirmed that: </w:t>
      </w:r>
      <w:r w:rsidR="00CC79EF" w:rsidRPr="00D032B4">
        <w:rPr>
          <w:rFonts w:cs="Arial"/>
          <w:sz w:val="24"/>
          <w:szCs w:val="24"/>
        </w:rPr>
        <w:tab/>
      </w:r>
    </w:p>
    <w:p w14:paraId="58F67571" w14:textId="13012516" w:rsidR="00A94EB3" w:rsidRPr="00A94EB3" w:rsidRDefault="00A94EB3" w:rsidP="00A94EB3">
      <w:pPr>
        <w:pStyle w:val="Bullets"/>
        <w:rPr>
          <w:rFonts w:cs="Arial"/>
          <w:b/>
          <w:sz w:val="24"/>
          <w:szCs w:val="24"/>
        </w:rPr>
      </w:pPr>
      <w:r>
        <w:rPr>
          <w:rFonts w:cs="Arial"/>
          <w:sz w:val="24"/>
          <w:szCs w:val="24"/>
        </w:rPr>
        <w:t>UCB had potentially valid grounds of appeal under Grounds 1 and 2</w:t>
      </w:r>
    </w:p>
    <w:p w14:paraId="6FDBF96B" w14:textId="77777777" w:rsidR="00A94EB3" w:rsidRPr="00A94EB3" w:rsidRDefault="00A94EB3" w:rsidP="00A94EB3">
      <w:pPr>
        <w:pStyle w:val="Bullets"/>
        <w:rPr>
          <w:rFonts w:cs="Arial"/>
          <w:b/>
          <w:sz w:val="24"/>
          <w:szCs w:val="24"/>
        </w:rPr>
      </w:pPr>
      <w:proofErr w:type="spellStart"/>
      <w:r>
        <w:rPr>
          <w:rFonts w:cs="Arial"/>
          <w:sz w:val="24"/>
          <w:szCs w:val="24"/>
        </w:rPr>
        <w:t>Myaware</w:t>
      </w:r>
      <w:proofErr w:type="spellEnd"/>
      <w:r>
        <w:rPr>
          <w:rFonts w:cs="Arial"/>
          <w:sz w:val="24"/>
          <w:szCs w:val="24"/>
        </w:rPr>
        <w:t xml:space="preserve"> had potentially valid grounds of appeal under Ground 2</w:t>
      </w:r>
    </w:p>
    <w:p w14:paraId="7BCCAD27" w14:textId="77777777" w:rsidR="00A94EB3" w:rsidRPr="00A94EB3" w:rsidRDefault="00A94EB3" w:rsidP="00A94EB3">
      <w:pPr>
        <w:pStyle w:val="Bullets"/>
        <w:rPr>
          <w:rFonts w:cs="Arial"/>
          <w:b/>
          <w:sz w:val="24"/>
          <w:szCs w:val="24"/>
        </w:rPr>
      </w:pPr>
      <w:r>
        <w:rPr>
          <w:rFonts w:cs="Arial"/>
          <w:sz w:val="24"/>
          <w:szCs w:val="24"/>
        </w:rPr>
        <w:t>MDUK had potentially valid grounds of appeal under Grounds 1 and 2</w:t>
      </w:r>
    </w:p>
    <w:p w14:paraId="32AD7EB1" w14:textId="62120E36" w:rsidR="00CC79EF" w:rsidRPr="00A94EB3" w:rsidRDefault="00A94EB3" w:rsidP="00A94EB3">
      <w:pPr>
        <w:pStyle w:val="Bullets"/>
        <w:rPr>
          <w:rFonts w:cs="Arial"/>
          <w:b/>
          <w:sz w:val="24"/>
          <w:szCs w:val="24"/>
        </w:rPr>
      </w:pPr>
      <w:r>
        <w:rPr>
          <w:rFonts w:cs="Arial"/>
          <w:sz w:val="24"/>
          <w:szCs w:val="24"/>
        </w:rPr>
        <w:t>ABN had potentially valid grounds of appeal under Ground 2.</w:t>
      </w:r>
      <w:r w:rsidR="00E7282A" w:rsidRPr="00A94EB3">
        <w:rPr>
          <w:rFonts w:cs="Arial"/>
          <w:sz w:val="24"/>
          <w:szCs w:val="24"/>
        </w:rPr>
        <w:t xml:space="preserve"> </w:t>
      </w:r>
    </w:p>
    <w:p w14:paraId="039C1784" w14:textId="26D20562" w:rsidR="00E7282A" w:rsidRPr="00D032B4" w:rsidRDefault="00E7282A" w:rsidP="00CC79EF">
      <w:pPr>
        <w:pStyle w:val="Paragraph"/>
        <w:rPr>
          <w:rFonts w:cs="Arial"/>
          <w:sz w:val="24"/>
          <w:szCs w:val="24"/>
        </w:rPr>
      </w:pPr>
      <w:r w:rsidRPr="00D032B4">
        <w:rPr>
          <w:rFonts w:cs="Arial"/>
          <w:sz w:val="24"/>
          <w:szCs w:val="24"/>
        </w:rPr>
        <w:t xml:space="preserve">The appraisal that is the subject of the current appeal provided advice to the NHS on </w:t>
      </w:r>
      <w:proofErr w:type="spellStart"/>
      <w:r w:rsidR="004313BF">
        <w:rPr>
          <w:rFonts w:cs="Arial"/>
          <w:sz w:val="24"/>
          <w:szCs w:val="24"/>
        </w:rPr>
        <w:t>zilucoplan</w:t>
      </w:r>
      <w:proofErr w:type="spellEnd"/>
      <w:r w:rsidR="004313BF">
        <w:rPr>
          <w:rFonts w:cs="Arial"/>
          <w:sz w:val="24"/>
          <w:szCs w:val="24"/>
        </w:rPr>
        <w:t xml:space="preserve"> </w:t>
      </w:r>
      <w:r w:rsidRPr="00D032B4">
        <w:rPr>
          <w:rFonts w:cs="Arial"/>
          <w:sz w:val="24"/>
          <w:szCs w:val="24"/>
        </w:rPr>
        <w:t>for treating generalised Myasthenia Gravis [ID400</w:t>
      </w:r>
      <w:r w:rsidR="004313BF">
        <w:rPr>
          <w:rFonts w:cs="Arial"/>
          <w:sz w:val="24"/>
          <w:szCs w:val="24"/>
        </w:rPr>
        <w:t>8</w:t>
      </w:r>
      <w:r w:rsidRPr="00D032B4">
        <w:rPr>
          <w:rFonts w:cs="Arial"/>
          <w:sz w:val="24"/>
          <w:szCs w:val="24"/>
        </w:rPr>
        <w:t xml:space="preserve">]. </w:t>
      </w:r>
    </w:p>
    <w:p w14:paraId="33485FF7" w14:textId="38467FA8" w:rsidR="00CC79EF" w:rsidRPr="00D032B4" w:rsidRDefault="002F7231" w:rsidP="00CC79EF">
      <w:pPr>
        <w:pStyle w:val="Paragraph"/>
        <w:rPr>
          <w:rFonts w:cs="Arial"/>
          <w:sz w:val="24"/>
          <w:szCs w:val="24"/>
        </w:rPr>
      </w:pPr>
      <w:r w:rsidRPr="00D032B4">
        <w:rPr>
          <w:rFonts w:cs="Arial"/>
          <w:sz w:val="24"/>
          <w:szCs w:val="24"/>
        </w:rPr>
        <w:t xml:space="preserve">The numbering of appeal points in this document reflects those that were used during the hearing. The text of this document does not represent a verbatim account of the proceedings nor a documentation of the order of events that took place but rather, provides </w:t>
      </w:r>
      <w:proofErr w:type="gramStart"/>
      <w:r w:rsidRPr="00D032B4">
        <w:rPr>
          <w:rFonts w:cs="Arial"/>
          <w:sz w:val="24"/>
          <w:szCs w:val="24"/>
        </w:rPr>
        <w:t>a brief summary</w:t>
      </w:r>
      <w:proofErr w:type="gramEnd"/>
      <w:r w:rsidRPr="00D032B4">
        <w:rPr>
          <w:rFonts w:cs="Arial"/>
          <w:sz w:val="24"/>
          <w:szCs w:val="24"/>
        </w:rPr>
        <w:t xml:space="preserve"> of the appellant and committee submissions for the points that were discussed relevant to the decisions of the panel. </w:t>
      </w:r>
    </w:p>
    <w:p w14:paraId="23A96DCB" w14:textId="77777777" w:rsidR="00E7282A" w:rsidRPr="00D032B4" w:rsidRDefault="00CC79EF" w:rsidP="00CC79EF">
      <w:pPr>
        <w:pStyle w:val="Paragraph"/>
        <w:rPr>
          <w:rFonts w:cs="Arial"/>
          <w:color w:val="FF0000"/>
          <w:sz w:val="24"/>
          <w:szCs w:val="24"/>
        </w:rPr>
      </w:pPr>
      <w:r w:rsidRPr="00D032B4">
        <w:rPr>
          <w:rFonts w:cs="Arial"/>
          <w:sz w:val="24"/>
          <w:szCs w:val="24"/>
        </w:rPr>
        <w:t>Before the appeal panel inquired into the detailed complaints the following made a preliminary statement</w:t>
      </w:r>
      <w:r w:rsidR="00E459A3" w:rsidRPr="00D032B4">
        <w:rPr>
          <w:rFonts w:cs="Arial"/>
          <w:sz w:val="24"/>
          <w:szCs w:val="24"/>
        </w:rPr>
        <w:t>:</w:t>
      </w:r>
    </w:p>
    <w:p w14:paraId="7C6899D0" w14:textId="1D238205" w:rsidR="00081CD4" w:rsidRDefault="00081CD4" w:rsidP="00E7282A">
      <w:pPr>
        <w:pStyle w:val="Paragraph"/>
        <w:numPr>
          <w:ilvl w:val="1"/>
          <w:numId w:val="1"/>
        </w:numPr>
        <w:rPr>
          <w:rFonts w:cs="Arial"/>
          <w:sz w:val="24"/>
          <w:szCs w:val="24"/>
        </w:rPr>
      </w:pPr>
      <w:r>
        <w:rPr>
          <w:rFonts w:cs="Arial"/>
          <w:sz w:val="24"/>
          <w:szCs w:val="24"/>
        </w:rPr>
        <w:t xml:space="preserve">Abby Mabil on behalf of </w:t>
      </w:r>
      <w:proofErr w:type="spellStart"/>
      <w:r>
        <w:rPr>
          <w:rFonts w:cs="Arial"/>
          <w:sz w:val="24"/>
          <w:szCs w:val="24"/>
        </w:rPr>
        <w:t>Myaware</w:t>
      </w:r>
      <w:proofErr w:type="spellEnd"/>
      <w:r>
        <w:rPr>
          <w:rFonts w:cs="Arial"/>
          <w:sz w:val="24"/>
          <w:szCs w:val="24"/>
        </w:rPr>
        <w:t>,</w:t>
      </w:r>
      <w:r w:rsidR="00E459A3" w:rsidRPr="00D032B4">
        <w:rPr>
          <w:rFonts w:cs="Arial"/>
          <w:sz w:val="24"/>
          <w:szCs w:val="24"/>
        </w:rPr>
        <w:t xml:space="preserve"> </w:t>
      </w:r>
    </w:p>
    <w:p w14:paraId="2B313F65" w14:textId="1A4D5937" w:rsidR="00E7282A" w:rsidRPr="00D032B4" w:rsidRDefault="00081CD4" w:rsidP="00E7282A">
      <w:pPr>
        <w:pStyle w:val="Paragraph"/>
        <w:numPr>
          <w:ilvl w:val="1"/>
          <w:numId w:val="1"/>
        </w:numPr>
        <w:rPr>
          <w:rFonts w:cs="Arial"/>
          <w:sz w:val="24"/>
          <w:szCs w:val="24"/>
        </w:rPr>
      </w:pPr>
      <w:r>
        <w:rPr>
          <w:rFonts w:cs="Arial"/>
          <w:sz w:val="24"/>
          <w:szCs w:val="24"/>
        </w:rPr>
        <w:t>Matthew Binns on behalf of UCB</w:t>
      </w:r>
      <w:r w:rsidR="00E459A3" w:rsidRPr="00D032B4">
        <w:rPr>
          <w:rFonts w:cs="Arial"/>
          <w:sz w:val="24"/>
          <w:szCs w:val="24"/>
        </w:rPr>
        <w:t xml:space="preserve">, </w:t>
      </w:r>
    </w:p>
    <w:p w14:paraId="3612380D" w14:textId="77777777" w:rsidR="00081CD4" w:rsidRDefault="00081CD4" w:rsidP="00081CD4">
      <w:pPr>
        <w:pStyle w:val="Paragraph"/>
        <w:numPr>
          <w:ilvl w:val="1"/>
          <w:numId w:val="1"/>
        </w:numPr>
        <w:rPr>
          <w:rFonts w:cs="Arial"/>
          <w:sz w:val="24"/>
          <w:szCs w:val="24"/>
        </w:rPr>
      </w:pPr>
      <w:r>
        <w:rPr>
          <w:rFonts w:cs="Arial"/>
          <w:sz w:val="24"/>
          <w:szCs w:val="24"/>
        </w:rPr>
        <w:t xml:space="preserve">Kate Adcock on behalf of Muscular Dystrophy UK, </w:t>
      </w:r>
    </w:p>
    <w:p w14:paraId="16EAF07C" w14:textId="77777777" w:rsidR="00081CD4" w:rsidRDefault="00081CD4" w:rsidP="00081CD4">
      <w:pPr>
        <w:pStyle w:val="Paragraph"/>
        <w:numPr>
          <w:ilvl w:val="1"/>
          <w:numId w:val="1"/>
        </w:numPr>
        <w:rPr>
          <w:rFonts w:cs="Arial"/>
          <w:sz w:val="24"/>
          <w:szCs w:val="24"/>
        </w:rPr>
      </w:pPr>
      <w:r>
        <w:rPr>
          <w:rFonts w:cs="Arial"/>
          <w:sz w:val="24"/>
          <w:szCs w:val="24"/>
        </w:rPr>
        <w:t xml:space="preserve">Katherine Dodd on behalf of ABN; and </w:t>
      </w:r>
    </w:p>
    <w:p w14:paraId="7617B1CD" w14:textId="4ECF05E0" w:rsidR="00CC79EF" w:rsidRDefault="00081CD4">
      <w:pPr>
        <w:pStyle w:val="Paragraph"/>
        <w:numPr>
          <w:ilvl w:val="1"/>
          <w:numId w:val="1"/>
        </w:numPr>
        <w:rPr>
          <w:rFonts w:cs="Arial"/>
          <w:sz w:val="24"/>
          <w:szCs w:val="24"/>
        </w:rPr>
      </w:pPr>
      <w:r w:rsidRPr="00081CD4">
        <w:rPr>
          <w:rFonts w:cs="Arial"/>
          <w:sz w:val="24"/>
          <w:szCs w:val="24"/>
        </w:rPr>
        <w:lastRenderedPageBreak/>
        <w:t xml:space="preserve">Charles Crawley on behalf of </w:t>
      </w:r>
      <w:r w:rsidR="00D46D76">
        <w:rPr>
          <w:rFonts w:cs="Arial"/>
          <w:sz w:val="24"/>
          <w:szCs w:val="24"/>
        </w:rPr>
        <w:t>NICE</w:t>
      </w:r>
      <w:r w:rsidR="00E459A3" w:rsidRPr="00081CD4">
        <w:rPr>
          <w:rFonts w:cs="Arial"/>
          <w:sz w:val="24"/>
          <w:szCs w:val="24"/>
        </w:rPr>
        <w:t>.</w:t>
      </w:r>
    </w:p>
    <w:p w14:paraId="7CCBEEDF" w14:textId="7B051057" w:rsidR="00CC7259" w:rsidRPr="00081CD4" w:rsidRDefault="00CC7259" w:rsidP="00CC7259">
      <w:pPr>
        <w:pStyle w:val="Paragraph"/>
      </w:pPr>
      <w:r>
        <w:rPr>
          <w:rFonts w:cs="Arial"/>
          <w:sz w:val="24"/>
          <w:szCs w:val="24"/>
        </w:rPr>
        <w:t xml:space="preserve">Some appeal points </w:t>
      </w:r>
      <w:r w:rsidRPr="00F237A3">
        <w:rPr>
          <w:rFonts w:cs="Arial"/>
          <w:sz w:val="24"/>
          <w:szCs w:val="24"/>
        </w:rPr>
        <w:t xml:space="preserve">were discussed together in the hearing (which is reflected in the summary of </w:t>
      </w:r>
      <w:r>
        <w:rPr>
          <w:rFonts w:cs="Arial"/>
          <w:sz w:val="24"/>
          <w:szCs w:val="24"/>
        </w:rPr>
        <w:t>the</w:t>
      </w:r>
      <w:r w:rsidRPr="00F237A3">
        <w:rPr>
          <w:rFonts w:cs="Arial"/>
          <w:sz w:val="24"/>
          <w:szCs w:val="24"/>
        </w:rPr>
        <w:t xml:space="preserve"> discussion below). They were then considered separately by the </w:t>
      </w:r>
      <w:r w:rsidR="0025033D">
        <w:rPr>
          <w:rFonts w:cs="Arial"/>
          <w:sz w:val="24"/>
          <w:szCs w:val="24"/>
        </w:rPr>
        <w:t>appeal p</w:t>
      </w:r>
      <w:r w:rsidRPr="00F237A3">
        <w:rPr>
          <w:rFonts w:cs="Arial"/>
          <w:sz w:val="24"/>
          <w:szCs w:val="24"/>
        </w:rPr>
        <w:t>anel and the conclusions in this decision letter are presented as such.</w:t>
      </w:r>
    </w:p>
    <w:p w14:paraId="4B81C97F" w14:textId="57EA9E2E" w:rsidR="00081CD4" w:rsidRPr="00BE734D" w:rsidRDefault="00FC20E3" w:rsidP="00BE734D">
      <w:pPr>
        <w:pStyle w:val="Heading3"/>
      </w:pPr>
      <w:r w:rsidRPr="00BE734D">
        <w:t xml:space="preserve">UCB </w:t>
      </w:r>
      <w:r w:rsidR="00056D91">
        <w:t>a</w:t>
      </w:r>
      <w:r w:rsidRPr="00BE734D">
        <w:t xml:space="preserve">ppeal </w:t>
      </w:r>
      <w:r w:rsidR="00056D91">
        <w:t>p</w:t>
      </w:r>
      <w:r w:rsidRPr="00BE734D">
        <w:t>oint 1(a)1</w:t>
      </w:r>
      <w:r w:rsidR="009605DE">
        <w:t>: T</w:t>
      </w:r>
      <w:r w:rsidRPr="00894289">
        <w:t xml:space="preserve">he committee's conclusion that </w:t>
      </w:r>
      <w:proofErr w:type="spellStart"/>
      <w:r w:rsidR="005A5D49" w:rsidRPr="00894289">
        <w:t>zilucoplan</w:t>
      </w:r>
      <w:proofErr w:type="spellEnd"/>
      <w:r w:rsidRPr="00894289">
        <w:t xml:space="preserve"> adds an additional line to the treatment pathway was raised by the committee only after ACM3, with the result that there was no opportunity for consultation on this key </w:t>
      </w:r>
      <w:r w:rsidR="009825CF" w:rsidRPr="00894289">
        <w:t>issue.</w:t>
      </w:r>
    </w:p>
    <w:p w14:paraId="5F9646A2" w14:textId="145A9359" w:rsidR="00FC20E3" w:rsidRPr="00BE734D" w:rsidRDefault="00FC20E3" w:rsidP="00BE734D">
      <w:pPr>
        <w:pStyle w:val="Heading3"/>
      </w:pPr>
      <w:r w:rsidRPr="00BE734D">
        <w:t xml:space="preserve">UCB </w:t>
      </w:r>
      <w:r w:rsidR="00056D91">
        <w:t>a</w:t>
      </w:r>
      <w:r w:rsidRPr="00BE734D">
        <w:t xml:space="preserve">ppeal </w:t>
      </w:r>
      <w:r w:rsidR="00056D91">
        <w:t>p</w:t>
      </w:r>
      <w:r w:rsidRPr="00BE734D">
        <w:t>oint 2.2</w:t>
      </w:r>
      <w:r w:rsidR="009605DE">
        <w:t>: T</w:t>
      </w:r>
      <w:r w:rsidRPr="00894289">
        <w:t xml:space="preserve">he committee's conclusion that </w:t>
      </w:r>
      <w:proofErr w:type="spellStart"/>
      <w:r w:rsidRPr="00894289">
        <w:t>zilucoplan</w:t>
      </w:r>
      <w:proofErr w:type="spellEnd"/>
      <w:r w:rsidRPr="00894289">
        <w:t xml:space="preserve"> adds an additional line of therapy to the treatment pathway to generalised myasthenia gravis is unreasonable. </w:t>
      </w:r>
    </w:p>
    <w:p w14:paraId="014CF12B" w14:textId="75FBDFBF" w:rsidR="00FC20E3" w:rsidRPr="00F237A3" w:rsidRDefault="00383CCA" w:rsidP="00E459A3">
      <w:pPr>
        <w:pStyle w:val="Paragraph"/>
        <w:rPr>
          <w:rFonts w:cs="Arial"/>
          <w:sz w:val="24"/>
          <w:szCs w:val="24"/>
        </w:rPr>
      </w:pPr>
      <w:r w:rsidRPr="00F237A3">
        <w:rPr>
          <w:rFonts w:cs="Arial"/>
          <w:sz w:val="24"/>
          <w:szCs w:val="24"/>
        </w:rPr>
        <w:t xml:space="preserve">UCB </w:t>
      </w:r>
      <w:r w:rsidR="00D758C5">
        <w:rPr>
          <w:rFonts w:cs="Arial"/>
          <w:sz w:val="24"/>
          <w:szCs w:val="24"/>
        </w:rPr>
        <w:t>a</w:t>
      </w:r>
      <w:r w:rsidRPr="00F237A3">
        <w:rPr>
          <w:rFonts w:cs="Arial"/>
          <w:sz w:val="24"/>
          <w:szCs w:val="24"/>
        </w:rPr>
        <w:t xml:space="preserve">ppeal </w:t>
      </w:r>
      <w:r w:rsidR="00D758C5">
        <w:rPr>
          <w:rFonts w:cs="Arial"/>
          <w:sz w:val="24"/>
          <w:szCs w:val="24"/>
        </w:rPr>
        <w:t>p</w:t>
      </w:r>
      <w:r w:rsidRPr="00F237A3">
        <w:rPr>
          <w:rFonts w:cs="Arial"/>
          <w:sz w:val="24"/>
          <w:szCs w:val="24"/>
        </w:rPr>
        <w:t>oints 1(a)1 and 2.</w:t>
      </w:r>
      <w:r w:rsidR="00F237A3">
        <w:rPr>
          <w:rFonts w:cs="Arial"/>
          <w:sz w:val="24"/>
          <w:szCs w:val="24"/>
        </w:rPr>
        <w:t>2</w:t>
      </w:r>
      <w:r w:rsidRPr="00F237A3">
        <w:rPr>
          <w:rFonts w:cs="Arial"/>
          <w:sz w:val="24"/>
          <w:szCs w:val="24"/>
        </w:rPr>
        <w:t xml:space="preserve"> both related to the positioning of </w:t>
      </w:r>
      <w:proofErr w:type="spellStart"/>
      <w:r w:rsidRPr="00F237A3">
        <w:rPr>
          <w:rFonts w:cs="Arial"/>
          <w:sz w:val="24"/>
          <w:szCs w:val="24"/>
        </w:rPr>
        <w:t>zilucoplan</w:t>
      </w:r>
      <w:proofErr w:type="spellEnd"/>
      <w:r w:rsidRPr="00F237A3">
        <w:rPr>
          <w:rFonts w:cs="Arial"/>
          <w:sz w:val="24"/>
          <w:szCs w:val="24"/>
        </w:rPr>
        <w:t xml:space="preserve"> in the t</w:t>
      </w:r>
      <w:r w:rsidR="00AE2A9B" w:rsidRPr="00F237A3">
        <w:rPr>
          <w:rFonts w:cs="Arial"/>
          <w:sz w:val="24"/>
          <w:szCs w:val="24"/>
        </w:rPr>
        <w:t xml:space="preserve">reatment pathway: 1(a)1 in respect of the procedural fairness of a change in approach following ACM3 as to </w:t>
      </w:r>
      <w:proofErr w:type="spellStart"/>
      <w:r w:rsidR="00AE2A9B" w:rsidRPr="00F237A3">
        <w:rPr>
          <w:rFonts w:cs="Arial"/>
          <w:sz w:val="24"/>
          <w:szCs w:val="24"/>
        </w:rPr>
        <w:t>zilucoplan's</w:t>
      </w:r>
      <w:proofErr w:type="spellEnd"/>
      <w:r w:rsidR="00AE2A9B" w:rsidRPr="00F237A3">
        <w:rPr>
          <w:rFonts w:cs="Arial"/>
          <w:sz w:val="24"/>
          <w:szCs w:val="24"/>
        </w:rPr>
        <w:t xml:space="preserve"> position in the treatment pathway, and 2.</w:t>
      </w:r>
      <w:r w:rsidR="00F237A3">
        <w:rPr>
          <w:rFonts w:cs="Arial"/>
          <w:sz w:val="24"/>
          <w:szCs w:val="24"/>
        </w:rPr>
        <w:t>2</w:t>
      </w:r>
      <w:r w:rsidR="00AE2A9B" w:rsidRPr="00F237A3">
        <w:rPr>
          <w:rFonts w:cs="Arial"/>
          <w:sz w:val="24"/>
          <w:szCs w:val="24"/>
        </w:rPr>
        <w:t xml:space="preserve"> as to the reasonableness of the conclusion. </w:t>
      </w:r>
    </w:p>
    <w:p w14:paraId="45BCC877" w14:textId="61F4D01E" w:rsidR="007217E1" w:rsidRDefault="007217E1" w:rsidP="00E459A3">
      <w:pPr>
        <w:pStyle w:val="Paragraph"/>
        <w:rPr>
          <w:rFonts w:cs="Arial"/>
          <w:sz w:val="24"/>
          <w:szCs w:val="24"/>
        </w:rPr>
      </w:pPr>
      <w:r>
        <w:rPr>
          <w:rFonts w:cs="Arial"/>
          <w:sz w:val="24"/>
          <w:szCs w:val="24"/>
        </w:rPr>
        <w:t xml:space="preserve">Adela Williams introduced this appeal point for </w:t>
      </w:r>
      <w:r w:rsidR="00271962">
        <w:rPr>
          <w:rFonts w:cs="Arial"/>
          <w:sz w:val="24"/>
          <w:szCs w:val="24"/>
        </w:rPr>
        <w:t>UCB</w:t>
      </w:r>
      <w:r>
        <w:rPr>
          <w:rFonts w:cs="Arial"/>
          <w:sz w:val="24"/>
          <w:szCs w:val="24"/>
        </w:rPr>
        <w:t xml:space="preserve">. </w:t>
      </w:r>
      <w:r w:rsidR="00D30EE5">
        <w:rPr>
          <w:rFonts w:cs="Arial"/>
          <w:sz w:val="24"/>
          <w:szCs w:val="24"/>
        </w:rPr>
        <w:t>She explained that</w:t>
      </w:r>
      <w:r w:rsidR="00D746B6">
        <w:rPr>
          <w:rFonts w:cs="Arial"/>
          <w:sz w:val="24"/>
          <w:szCs w:val="24"/>
        </w:rPr>
        <w:t xml:space="preserve"> </w:t>
      </w:r>
      <w:r w:rsidR="00271962">
        <w:rPr>
          <w:rFonts w:cs="Arial"/>
          <w:sz w:val="24"/>
          <w:szCs w:val="24"/>
        </w:rPr>
        <w:t>UCB</w:t>
      </w:r>
      <w:r w:rsidR="00D30EE5">
        <w:rPr>
          <w:rFonts w:cs="Arial"/>
          <w:sz w:val="24"/>
          <w:szCs w:val="24"/>
        </w:rPr>
        <w:t>'s</w:t>
      </w:r>
      <w:r w:rsidR="00042383">
        <w:rPr>
          <w:rFonts w:cs="Arial"/>
          <w:sz w:val="24"/>
          <w:szCs w:val="24"/>
        </w:rPr>
        <w:t xml:space="preserve"> first</w:t>
      </w:r>
      <w:r w:rsidR="00D30EE5">
        <w:rPr>
          <w:rFonts w:cs="Arial"/>
          <w:sz w:val="24"/>
          <w:szCs w:val="24"/>
        </w:rPr>
        <w:t xml:space="preserve"> challenge to the procedural fairness of the appraisal related to what she described as a material change to the </w:t>
      </w:r>
      <w:r w:rsidR="00CC7259">
        <w:rPr>
          <w:rFonts w:cs="Arial"/>
          <w:sz w:val="24"/>
          <w:szCs w:val="24"/>
        </w:rPr>
        <w:t>c</w:t>
      </w:r>
      <w:r w:rsidR="00D30EE5">
        <w:rPr>
          <w:rFonts w:cs="Arial"/>
          <w:sz w:val="24"/>
          <w:szCs w:val="24"/>
        </w:rPr>
        <w:t xml:space="preserve">ommittee's approach to positioning </w:t>
      </w:r>
      <w:proofErr w:type="spellStart"/>
      <w:r w:rsidR="00D30EE5">
        <w:rPr>
          <w:rFonts w:cs="Arial"/>
          <w:sz w:val="24"/>
          <w:szCs w:val="24"/>
        </w:rPr>
        <w:t>zilucoplan</w:t>
      </w:r>
      <w:proofErr w:type="spellEnd"/>
      <w:r w:rsidR="00D30EE5">
        <w:rPr>
          <w:rFonts w:cs="Arial"/>
          <w:sz w:val="24"/>
          <w:szCs w:val="24"/>
        </w:rPr>
        <w:t xml:space="preserve"> as an additional line in the treatment pathway after the third committee meeting, with no opportunity for consultation with the stakeholders or expert input. </w:t>
      </w:r>
    </w:p>
    <w:p w14:paraId="109BFB3D" w14:textId="2E8B88E7" w:rsidR="00756935" w:rsidRDefault="008A56BB" w:rsidP="00B973EE">
      <w:pPr>
        <w:pStyle w:val="Paragraph"/>
        <w:rPr>
          <w:rFonts w:cs="Arial"/>
          <w:sz w:val="24"/>
          <w:szCs w:val="24"/>
        </w:rPr>
      </w:pPr>
      <w:r>
        <w:rPr>
          <w:rFonts w:cs="Arial"/>
          <w:sz w:val="24"/>
          <w:szCs w:val="24"/>
        </w:rPr>
        <w:t xml:space="preserve">Referring to the appeal against the final draft guidance for efgartigimod for treating </w:t>
      </w:r>
      <w:r w:rsidR="005A5D49">
        <w:rPr>
          <w:rFonts w:cs="Arial"/>
          <w:sz w:val="24"/>
          <w:szCs w:val="24"/>
        </w:rPr>
        <w:t xml:space="preserve">antibody-positive </w:t>
      </w:r>
      <w:r>
        <w:rPr>
          <w:rFonts w:cs="Arial"/>
          <w:sz w:val="24"/>
          <w:szCs w:val="24"/>
        </w:rPr>
        <w:t>generalised myasthenia gravis (</w:t>
      </w:r>
      <w:r w:rsidR="005A5D49">
        <w:rPr>
          <w:rFonts w:cs="Arial"/>
          <w:sz w:val="24"/>
          <w:szCs w:val="24"/>
        </w:rPr>
        <w:t>TA1069</w:t>
      </w:r>
      <w:r>
        <w:rPr>
          <w:rFonts w:cs="Arial"/>
          <w:sz w:val="24"/>
          <w:szCs w:val="24"/>
        </w:rPr>
        <w:t>)</w:t>
      </w:r>
      <w:r w:rsidR="007E1B60">
        <w:rPr>
          <w:rFonts w:cs="Arial"/>
          <w:sz w:val="24"/>
          <w:szCs w:val="24"/>
        </w:rPr>
        <w:t>, Adela Williams noted the similar submissions made in respect of the understanding of t</w:t>
      </w:r>
      <w:r w:rsidR="00E96D4F">
        <w:rPr>
          <w:rFonts w:cs="Arial"/>
          <w:sz w:val="24"/>
          <w:szCs w:val="24"/>
        </w:rPr>
        <w:t xml:space="preserve">he relationship between the positioning of </w:t>
      </w:r>
      <w:r w:rsidR="005E6C3D">
        <w:rPr>
          <w:rFonts w:cs="Arial"/>
          <w:sz w:val="24"/>
          <w:szCs w:val="24"/>
        </w:rPr>
        <w:t xml:space="preserve">the drug (in this case </w:t>
      </w:r>
      <w:proofErr w:type="spellStart"/>
      <w:r w:rsidR="00E96D4F">
        <w:rPr>
          <w:rFonts w:cs="Arial"/>
          <w:sz w:val="24"/>
          <w:szCs w:val="24"/>
        </w:rPr>
        <w:t>zilucoplan</w:t>
      </w:r>
      <w:proofErr w:type="spellEnd"/>
      <w:r w:rsidR="005E6C3D">
        <w:rPr>
          <w:rFonts w:cs="Arial"/>
          <w:sz w:val="24"/>
          <w:szCs w:val="24"/>
        </w:rPr>
        <w:t>)</w:t>
      </w:r>
      <w:r w:rsidR="00E96D4F">
        <w:rPr>
          <w:rFonts w:cs="Arial"/>
          <w:sz w:val="24"/>
          <w:szCs w:val="24"/>
        </w:rPr>
        <w:t xml:space="preserve"> in the treatment pathway and its marketing authorisation. </w:t>
      </w:r>
    </w:p>
    <w:p w14:paraId="4E05BE2F" w14:textId="44B68A5C" w:rsidR="00087339" w:rsidRDefault="00891661" w:rsidP="00B973EE">
      <w:pPr>
        <w:pStyle w:val="Paragraph"/>
        <w:rPr>
          <w:rFonts w:cs="Arial"/>
          <w:sz w:val="24"/>
          <w:szCs w:val="24"/>
        </w:rPr>
      </w:pPr>
      <w:r>
        <w:rPr>
          <w:rFonts w:cs="Arial"/>
          <w:sz w:val="24"/>
          <w:szCs w:val="24"/>
        </w:rPr>
        <w:t xml:space="preserve">Adela Williams </w:t>
      </w:r>
      <w:r w:rsidR="003F761F">
        <w:rPr>
          <w:rFonts w:cs="Arial"/>
          <w:sz w:val="24"/>
          <w:szCs w:val="24"/>
        </w:rPr>
        <w:t xml:space="preserve">explained that the marketing authorisation provides for </w:t>
      </w:r>
      <w:proofErr w:type="spellStart"/>
      <w:r w:rsidR="003F761F">
        <w:rPr>
          <w:rFonts w:cs="Arial"/>
          <w:sz w:val="24"/>
          <w:szCs w:val="24"/>
        </w:rPr>
        <w:t>zilucoplan</w:t>
      </w:r>
      <w:proofErr w:type="spellEnd"/>
      <w:r w:rsidR="003F761F">
        <w:rPr>
          <w:rFonts w:cs="Arial"/>
          <w:sz w:val="24"/>
          <w:szCs w:val="24"/>
        </w:rPr>
        <w:t xml:space="preserve"> to be prescribed</w:t>
      </w:r>
      <w:r w:rsidR="007508B4">
        <w:rPr>
          <w:rFonts w:cs="Arial"/>
          <w:sz w:val="24"/>
          <w:szCs w:val="24"/>
        </w:rPr>
        <w:t xml:space="preserve"> as an add-on to standard treatment. </w:t>
      </w:r>
      <w:r w:rsidR="00B73BC6">
        <w:rPr>
          <w:rFonts w:cs="Arial"/>
          <w:sz w:val="24"/>
          <w:szCs w:val="24"/>
        </w:rPr>
        <w:lastRenderedPageBreak/>
        <w:t xml:space="preserve">Standard treatment for </w:t>
      </w:r>
      <w:proofErr w:type="spellStart"/>
      <w:r w:rsidR="00B73BC6">
        <w:rPr>
          <w:rFonts w:cs="Arial"/>
          <w:sz w:val="24"/>
          <w:szCs w:val="24"/>
        </w:rPr>
        <w:t>gMG</w:t>
      </w:r>
      <w:proofErr w:type="spellEnd"/>
      <w:r w:rsidR="00B73BC6">
        <w:rPr>
          <w:rFonts w:cs="Arial"/>
          <w:sz w:val="24"/>
          <w:szCs w:val="24"/>
        </w:rPr>
        <w:t xml:space="preserve"> in adults who test positive for anti-acetylcholine recept</w:t>
      </w:r>
      <w:r w:rsidR="009562AC">
        <w:rPr>
          <w:rFonts w:cs="Arial"/>
          <w:sz w:val="24"/>
          <w:szCs w:val="24"/>
        </w:rPr>
        <w:t>or</w:t>
      </w:r>
      <w:r w:rsidR="00B73BC6">
        <w:rPr>
          <w:rFonts w:cs="Arial"/>
          <w:sz w:val="24"/>
          <w:szCs w:val="24"/>
        </w:rPr>
        <w:t xml:space="preserve"> antibodies includes surgery to remove the thymus gland, acetylcholinesterase inhibitors, </w:t>
      </w:r>
      <w:r w:rsidR="003F761F">
        <w:rPr>
          <w:rFonts w:cs="Arial"/>
          <w:sz w:val="24"/>
          <w:szCs w:val="24"/>
        </w:rPr>
        <w:t xml:space="preserve">corticosteroids </w:t>
      </w:r>
      <w:r w:rsidR="003F761F" w:rsidRPr="001D3973">
        <w:rPr>
          <w:rFonts w:cs="Arial"/>
          <w:sz w:val="24"/>
          <w:szCs w:val="24"/>
        </w:rPr>
        <w:t>("</w:t>
      </w:r>
      <w:r w:rsidR="003F761F" w:rsidRPr="00894289">
        <w:rPr>
          <w:rFonts w:cs="Arial"/>
          <w:sz w:val="24"/>
          <w:szCs w:val="24"/>
        </w:rPr>
        <w:t>CCS</w:t>
      </w:r>
      <w:r w:rsidR="003F761F" w:rsidRPr="001D3973">
        <w:rPr>
          <w:rFonts w:cs="Arial"/>
          <w:sz w:val="24"/>
          <w:szCs w:val="24"/>
        </w:rPr>
        <w:t>") and non-steroidal immunosuppressant</w:t>
      </w:r>
      <w:r w:rsidR="00B73BC6" w:rsidRPr="001D3973">
        <w:rPr>
          <w:rFonts w:cs="Arial"/>
          <w:sz w:val="24"/>
          <w:szCs w:val="24"/>
        </w:rPr>
        <w:t xml:space="preserve"> treatments</w:t>
      </w:r>
      <w:r w:rsidR="003F761F" w:rsidRPr="001D3973">
        <w:rPr>
          <w:rFonts w:cs="Arial"/>
          <w:sz w:val="24"/>
          <w:szCs w:val="24"/>
        </w:rPr>
        <w:t xml:space="preserve"> ("</w:t>
      </w:r>
      <w:r w:rsidR="003F761F" w:rsidRPr="00894289">
        <w:rPr>
          <w:rFonts w:cs="Arial"/>
          <w:sz w:val="24"/>
          <w:szCs w:val="24"/>
        </w:rPr>
        <w:t>NSISTs</w:t>
      </w:r>
      <w:r w:rsidR="003F761F" w:rsidRPr="001D3973">
        <w:rPr>
          <w:rFonts w:cs="Arial"/>
          <w:sz w:val="24"/>
          <w:szCs w:val="24"/>
        </w:rPr>
        <w:t>")</w:t>
      </w:r>
      <w:r w:rsidR="00B73BC6" w:rsidRPr="001D3973">
        <w:rPr>
          <w:rFonts w:cs="Arial"/>
          <w:sz w:val="24"/>
          <w:szCs w:val="24"/>
        </w:rPr>
        <w:t>.</w:t>
      </w:r>
      <w:r w:rsidR="00E378C0">
        <w:rPr>
          <w:rFonts w:cs="Arial"/>
          <w:sz w:val="24"/>
          <w:szCs w:val="24"/>
        </w:rPr>
        <w:t xml:space="preserve"> Adela Williams noted that the marketing authorisation </w:t>
      </w:r>
      <w:r w:rsidR="006F292F">
        <w:rPr>
          <w:rFonts w:cs="Arial"/>
          <w:sz w:val="24"/>
          <w:szCs w:val="24"/>
        </w:rPr>
        <w:t xml:space="preserve">does not specify the sequencing of </w:t>
      </w:r>
      <w:proofErr w:type="gramStart"/>
      <w:r w:rsidR="006F292F">
        <w:rPr>
          <w:rFonts w:cs="Arial"/>
          <w:sz w:val="24"/>
          <w:szCs w:val="24"/>
        </w:rPr>
        <w:t>treatment, and</w:t>
      </w:r>
      <w:proofErr w:type="gramEnd"/>
      <w:r w:rsidR="006F292F">
        <w:rPr>
          <w:rFonts w:cs="Arial"/>
          <w:sz w:val="24"/>
          <w:szCs w:val="24"/>
        </w:rPr>
        <w:t xml:space="preserve"> does not suggest that </w:t>
      </w:r>
      <w:proofErr w:type="spellStart"/>
      <w:r w:rsidR="006F292F">
        <w:rPr>
          <w:rFonts w:cs="Arial"/>
          <w:sz w:val="24"/>
          <w:szCs w:val="24"/>
        </w:rPr>
        <w:t>zilucoplan</w:t>
      </w:r>
      <w:proofErr w:type="spellEnd"/>
      <w:r w:rsidR="006F292F">
        <w:rPr>
          <w:rFonts w:cs="Arial"/>
          <w:sz w:val="24"/>
          <w:szCs w:val="24"/>
        </w:rPr>
        <w:t xml:space="preserve"> is intended to be an additional line of treatment. </w:t>
      </w:r>
    </w:p>
    <w:p w14:paraId="23D5BF0D" w14:textId="38B08593" w:rsidR="00052B46" w:rsidRDefault="00D30233" w:rsidP="00AC76E5">
      <w:pPr>
        <w:pStyle w:val="Paragraph"/>
        <w:rPr>
          <w:rFonts w:cs="Arial"/>
          <w:sz w:val="24"/>
          <w:szCs w:val="24"/>
        </w:rPr>
      </w:pPr>
      <w:r>
        <w:rPr>
          <w:rFonts w:cs="Arial"/>
          <w:sz w:val="24"/>
          <w:szCs w:val="24"/>
        </w:rPr>
        <w:t xml:space="preserve">After the third committee meeting, NICE confirmed in email correspondence with </w:t>
      </w:r>
      <w:r w:rsidR="00226E38">
        <w:rPr>
          <w:rFonts w:cs="Arial"/>
          <w:sz w:val="24"/>
          <w:szCs w:val="24"/>
        </w:rPr>
        <w:t>UCB</w:t>
      </w:r>
      <w:r>
        <w:rPr>
          <w:rFonts w:cs="Arial"/>
          <w:sz w:val="24"/>
          <w:szCs w:val="24"/>
        </w:rPr>
        <w:t xml:space="preserve"> that </w:t>
      </w:r>
      <w:proofErr w:type="spellStart"/>
      <w:r>
        <w:rPr>
          <w:rFonts w:cs="Arial"/>
          <w:sz w:val="24"/>
          <w:szCs w:val="24"/>
        </w:rPr>
        <w:t>zilucoplan</w:t>
      </w:r>
      <w:proofErr w:type="spellEnd"/>
      <w:r>
        <w:rPr>
          <w:rFonts w:cs="Arial"/>
          <w:sz w:val="24"/>
          <w:szCs w:val="24"/>
        </w:rPr>
        <w:t xml:space="preserve"> adds an additional line to the treatment pathway and would therefore constitute a third line of treatment post-standard treatment (intravenous immunoglobulin</w:t>
      </w:r>
      <w:r w:rsidRPr="001D3973">
        <w:rPr>
          <w:rFonts w:cs="Arial"/>
          <w:sz w:val="24"/>
          <w:szCs w:val="24"/>
        </w:rPr>
        <w:t xml:space="preserve"> ("</w:t>
      </w:r>
      <w:r w:rsidRPr="00894289">
        <w:rPr>
          <w:rFonts w:cs="Arial"/>
          <w:sz w:val="24"/>
          <w:szCs w:val="24"/>
        </w:rPr>
        <w:t>IVIg</w:t>
      </w:r>
      <w:r w:rsidRPr="001D3973">
        <w:rPr>
          <w:rFonts w:cs="Arial"/>
          <w:sz w:val="24"/>
          <w:szCs w:val="24"/>
        </w:rPr>
        <w:t>") and plasma exchange ("</w:t>
      </w:r>
      <w:r w:rsidRPr="00894289">
        <w:rPr>
          <w:rFonts w:cs="Arial"/>
          <w:sz w:val="24"/>
          <w:szCs w:val="24"/>
        </w:rPr>
        <w:t>PLEX</w:t>
      </w:r>
      <w:r w:rsidRPr="001D3973">
        <w:rPr>
          <w:rFonts w:cs="Arial"/>
          <w:sz w:val="24"/>
          <w:szCs w:val="24"/>
        </w:rPr>
        <w:t>") b</w:t>
      </w:r>
      <w:r>
        <w:rPr>
          <w:rFonts w:cs="Arial"/>
          <w:sz w:val="24"/>
          <w:szCs w:val="24"/>
        </w:rPr>
        <w:t xml:space="preserve">eing the </w:t>
      </w:r>
      <w:r w:rsidR="00041107">
        <w:rPr>
          <w:rFonts w:cs="Arial"/>
          <w:sz w:val="24"/>
          <w:szCs w:val="24"/>
        </w:rPr>
        <w:t>second line</w:t>
      </w:r>
      <w:r>
        <w:rPr>
          <w:rFonts w:cs="Arial"/>
          <w:sz w:val="24"/>
          <w:szCs w:val="24"/>
        </w:rPr>
        <w:t xml:space="preserve"> of treatment).</w:t>
      </w:r>
      <w:r w:rsidR="00E45D31">
        <w:rPr>
          <w:rFonts w:cs="Arial"/>
          <w:sz w:val="24"/>
          <w:szCs w:val="24"/>
        </w:rPr>
        <w:t xml:space="preserve"> Adela Williams explained</w:t>
      </w:r>
      <w:r w:rsidR="00052B46">
        <w:rPr>
          <w:rFonts w:cs="Arial"/>
          <w:sz w:val="24"/>
          <w:szCs w:val="24"/>
        </w:rPr>
        <w:t xml:space="preserve"> </w:t>
      </w:r>
      <w:r w:rsidR="001D3973">
        <w:rPr>
          <w:rFonts w:cs="Arial"/>
          <w:sz w:val="24"/>
          <w:szCs w:val="24"/>
        </w:rPr>
        <w:t>UCB</w:t>
      </w:r>
      <w:r w:rsidR="00052B46">
        <w:rPr>
          <w:rFonts w:cs="Arial"/>
          <w:sz w:val="24"/>
          <w:szCs w:val="24"/>
        </w:rPr>
        <w:t>'s position</w:t>
      </w:r>
      <w:r w:rsidR="00E45D31">
        <w:rPr>
          <w:rFonts w:cs="Arial"/>
          <w:sz w:val="24"/>
          <w:szCs w:val="24"/>
        </w:rPr>
        <w:t xml:space="preserve"> that </w:t>
      </w:r>
      <w:r w:rsidR="00E33F90">
        <w:rPr>
          <w:rFonts w:cs="Arial"/>
          <w:sz w:val="24"/>
          <w:szCs w:val="24"/>
        </w:rPr>
        <w:t xml:space="preserve">adding </w:t>
      </w:r>
      <w:proofErr w:type="spellStart"/>
      <w:r w:rsidR="00E33F90">
        <w:rPr>
          <w:rFonts w:cs="Arial"/>
          <w:sz w:val="24"/>
          <w:szCs w:val="24"/>
        </w:rPr>
        <w:t>zilucoplan</w:t>
      </w:r>
      <w:proofErr w:type="spellEnd"/>
      <w:r w:rsidR="00E33F90">
        <w:rPr>
          <w:rFonts w:cs="Arial"/>
          <w:sz w:val="24"/>
          <w:szCs w:val="24"/>
        </w:rPr>
        <w:t xml:space="preserve"> (and other new treatments for refractory </w:t>
      </w:r>
      <w:proofErr w:type="spellStart"/>
      <w:r w:rsidR="00E33F90">
        <w:rPr>
          <w:rFonts w:cs="Arial"/>
          <w:sz w:val="24"/>
          <w:szCs w:val="24"/>
        </w:rPr>
        <w:t>gMG</w:t>
      </w:r>
      <w:proofErr w:type="spellEnd"/>
      <w:r w:rsidR="00E33F90">
        <w:rPr>
          <w:rFonts w:cs="Arial"/>
          <w:sz w:val="24"/>
          <w:szCs w:val="24"/>
        </w:rPr>
        <w:t xml:space="preserve">) </w:t>
      </w:r>
      <w:r w:rsidR="00052B46">
        <w:rPr>
          <w:rFonts w:cs="Arial"/>
          <w:sz w:val="24"/>
          <w:szCs w:val="24"/>
        </w:rPr>
        <w:t xml:space="preserve">as a third line to an already costly treatment pathway makes it almost impossible for </w:t>
      </w:r>
      <w:proofErr w:type="spellStart"/>
      <w:r w:rsidR="00052B46">
        <w:rPr>
          <w:rFonts w:cs="Arial"/>
          <w:sz w:val="24"/>
          <w:szCs w:val="24"/>
        </w:rPr>
        <w:t>zilucoplan</w:t>
      </w:r>
      <w:proofErr w:type="spellEnd"/>
      <w:r w:rsidR="00052B46">
        <w:rPr>
          <w:rFonts w:cs="Arial"/>
          <w:sz w:val="24"/>
          <w:szCs w:val="24"/>
        </w:rPr>
        <w:t xml:space="preserve"> to be considered a </w:t>
      </w:r>
      <w:r w:rsidR="005A5D49">
        <w:rPr>
          <w:rFonts w:cs="Arial"/>
          <w:sz w:val="24"/>
          <w:szCs w:val="24"/>
        </w:rPr>
        <w:t>cost-effective</w:t>
      </w:r>
      <w:r w:rsidR="00052B46">
        <w:rPr>
          <w:rFonts w:cs="Arial"/>
          <w:sz w:val="24"/>
          <w:szCs w:val="24"/>
        </w:rPr>
        <w:t xml:space="preserve"> use of NHS resource. </w:t>
      </w:r>
    </w:p>
    <w:p w14:paraId="74864CF0" w14:textId="7A2BEBC5" w:rsidR="00B973EE" w:rsidRDefault="009D5532" w:rsidP="00052B46">
      <w:pPr>
        <w:pStyle w:val="Paragraph"/>
        <w:rPr>
          <w:rFonts w:cs="Arial"/>
          <w:sz w:val="24"/>
          <w:szCs w:val="24"/>
        </w:rPr>
      </w:pPr>
      <w:r>
        <w:rPr>
          <w:rFonts w:cs="Arial"/>
          <w:sz w:val="24"/>
          <w:szCs w:val="24"/>
        </w:rPr>
        <w:t>Adela William</w:t>
      </w:r>
      <w:r w:rsidR="005E6C3D">
        <w:rPr>
          <w:rFonts w:cs="Arial"/>
          <w:sz w:val="24"/>
          <w:szCs w:val="24"/>
        </w:rPr>
        <w:t>s argued t</w:t>
      </w:r>
      <w:r>
        <w:rPr>
          <w:rFonts w:cs="Arial"/>
          <w:sz w:val="24"/>
          <w:szCs w:val="24"/>
        </w:rPr>
        <w:t xml:space="preserve">hat because the change in approach happened after the final committee meeting, there was no opportunity for consultation, consideration of whether this approach reflected NHS practice, or any opportunity for revised economic modelling or clinical expert input on the matter. </w:t>
      </w:r>
    </w:p>
    <w:p w14:paraId="10F0DD1A" w14:textId="3A21A14B" w:rsidR="00463E58" w:rsidRDefault="00463E58" w:rsidP="00052B46">
      <w:pPr>
        <w:pStyle w:val="Paragraph"/>
        <w:rPr>
          <w:rFonts w:cs="Arial"/>
          <w:sz w:val="24"/>
          <w:szCs w:val="24"/>
        </w:rPr>
      </w:pPr>
      <w:r>
        <w:rPr>
          <w:rFonts w:cs="Arial"/>
          <w:sz w:val="24"/>
          <w:szCs w:val="24"/>
        </w:rPr>
        <w:t xml:space="preserve">In comparison with other NICE appraisals where treatment sequencing is required, Adela Williams expressed the view that the committee's approach to </w:t>
      </w:r>
      <w:proofErr w:type="spellStart"/>
      <w:r>
        <w:rPr>
          <w:rFonts w:cs="Arial"/>
          <w:sz w:val="24"/>
          <w:szCs w:val="24"/>
        </w:rPr>
        <w:t>zilucoplan</w:t>
      </w:r>
      <w:proofErr w:type="spellEnd"/>
      <w:r>
        <w:rPr>
          <w:rFonts w:cs="Arial"/>
          <w:sz w:val="24"/>
          <w:szCs w:val="24"/>
        </w:rPr>
        <w:t xml:space="preserve"> differed to the approach in </w:t>
      </w:r>
      <w:r w:rsidR="00CC7259">
        <w:rPr>
          <w:rFonts w:cs="Arial"/>
          <w:sz w:val="24"/>
          <w:szCs w:val="24"/>
        </w:rPr>
        <w:t xml:space="preserve">those </w:t>
      </w:r>
      <w:r>
        <w:rPr>
          <w:rFonts w:cs="Arial"/>
          <w:sz w:val="24"/>
          <w:szCs w:val="24"/>
        </w:rPr>
        <w:t xml:space="preserve">other appraisals (for example, </w:t>
      </w:r>
      <w:proofErr w:type="spellStart"/>
      <w:r w:rsidR="001C6020">
        <w:rPr>
          <w:rFonts w:cs="Arial"/>
          <w:sz w:val="24"/>
          <w:szCs w:val="24"/>
        </w:rPr>
        <w:t>upadacitinib</w:t>
      </w:r>
      <w:proofErr w:type="spellEnd"/>
      <w:r w:rsidR="001C6020">
        <w:rPr>
          <w:rFonts w:cs="Arial"/>
          <w:sz w:val="24"/>
          <w:szCs w:val="24"/>
        </w:rPr>
        <w:t xml:space="preserve"> for treating moderate rheumatoid arthritis (TA744)). </w:t>
      </w:r>
    </w:p>
    <w:p w14:paraId="5792729C" w14:textId="713361E8" w:rsidR="00323293" w:rsidRDefault="00323293" w:rsidP="00052B46">
      <w:pPr>
        <w:pStyle w:val="Paragraph"/>
        <w:rPr>
          <w:rFonts w:cs="Arial"/>
          <w:sz w:val="24"/>
          <w:szCs w:val="24"/>
        </w:rPr>
      </w:pPr>
      <w:r>
        <w:rPr>
          <w:rFonts w:cs="Arial"/>
          <w:sz w:val="24"/>
          <w:szCs w:val="24"/>
        </w:rPr>
        <w:t xml:space="preserve">Emily Crowe, for </w:t>
      </w:r>
      <w:r w:rsidR="0007344F">
        <w:rPr>
          <w:rFonts w:cs="Arial"/>
          <w:sz w:val="24"/>
          <w:szCs w:val="24"/>
        </w:rPr>
        <w:t>NICE</w:t>
      </w:r>
      <w:r>
        <w:rPr>
          <w:rFonts w:cs="Arial"/>
          <w:sz w:val="24"/>
          <w:szCs w:val="24"/>
        </w:rPr>
        <w:t xml:space="preserve">, opened by explaining that it was </w:t>
      </w:r>
      <w:r w:rsidR="00A02917">
        <w:rPr>
          <w:rFonts w:cs="Arial"/>
          <w:sz w:val="24"/>
          <w:szCs w:val="24"/>
        </w:rPr>
        <w:t>necessary</w:t>
      </w:r>
      <w:r>
        <w:rPr>
          <w:rFonts w:cs="Arial"/>
          <w:sz w:val="24"/>
          <w:szCs w:val="24"/>
        </w:rPr>
        <w:t xml:space="preserve"> to distinguish between </w:t>
      </w:r>
      <w:r w:rsidR="00C47CF2">
        <w:rPr>
          <w:rFonts w:cs="Arial"/>
          <w:sz w:val="24"/>
          <w:szCs w:val="24"/>
        </w:rPr>
        <w:t xml:space="preserve">the two functions of </w:t>
      </w:r>
      <w:r>
        <w:rPr>
          <w:rFonts w:cs="Arial"/>
          <w:sz w:val="24"/>
          <w:szCs w:val="24"/>
        </w:rPr>
        <w:t xml:space="preserve">IVIg and PLEX </w:t>
      </w:r>
      <w:r w:rsidR="00C47CF2">
        <w:rPr>
          <w:rFonts w:cs="Arial"/>
          <w:sz w:val="24"/>
          <w:szCs w:val="24"/>
        </w:rPr>
        <w:t>in modelling</w:t>
      </w:r>
      <w:r w:rsidR="005A5D49">
        <w:rPr>
          <w:rFonts w:cs="Arial"/>
          <w:sz w:val="24"/>
          <w:szCs w:val="24"/>
        </w:rPr>
        <w:t>.</w:t>
      </w:r>
      <w:r w:rsidR="00C47CF2">
        <w:rPr>
          <w:rFonts w:cs="Arial"/>
          <w:sz w:val="24"/>
          <w:szCs w:val="24"/>
        </w:rPr>
        <w:t xml:space="preserve"> First, as a comparator to </w:t>
      </w:r>
      <w:proofErr w:type="spellStart"/>
      <w:r w:rsidR="00C47CF2">
        <w:rPr>
          <w:rFonts w:cs="Arial"/>
          <w:sz w:val="24"/>
          <w:szCs w:val="24"/>
        </w:rPr>
        <w:t>zilucoplan</w:t>
      </w:r>
      <w:proofErr w:type="spellEnd"/>
      <w:r w:rsidR="00C47CF2">
        <w:rPr>
          <w:rFonts w:cs="Arial"/>
          <w:sz w:val="24"/>
          <w:szCs w:val="24"/>
        </w:rPr>
        <w:t xml:space="preserve"> (IVIg and PLEX being alternatives to </w:t>
      </w:r>
      <w:proofErr w:type="spellStart"/>
      <w:r w:rsidR="00C47CF2">
        <w:rPr>
          <w:rFonts w:cs="Arial"/>
          <w:sz w:val="24"/>
          <w:szCs w:val="24"/>
        </w:rPr>
        <w:t>zilucoplan</w:t>
      </w:r>
      <w:proofErr w:type="spellEnd"/>
      <w:r w:rsidR="00C47CF2">
        <w:rPr>
          <w:rFonts w:cs="Arial"/>
          <w:sz w:val="24"/>
          <w:szCs w:val="24"/>
        </w:rPr>
        <w:t>) an</w:t>
      </w:r>
      <w:r w:rsidR="00E24AEC">
        <w:rPr>
          <w:rFonts w:cs="Arial"/>
          <w:sz w:val="24"/>
          <w:szCs w:val="24"/>
        </w:rPr>
        <w:t xml:space="preserve">d second as part of the </w:t>
      </w:r>
      <w:proofErr w:type="spellStart"/>
      <w:r w:rsidR="00E24AEC">
        <w:rPr>
          <w:rFonts w:cs="Arial"/>
          <w:sz w:val="24"/>
          <w:szCs w:val="24"/>
        </w:rPr>
        <w:t>zilucoplan</w:t>
      </w:r>
      <w:proofErr w:type="spellEnd"/>
      <w:r w:rsidR="00E24AEC">
        <w:rPr>
          <w:rFonts w:cs="Arial"/>
          <w:sz w:val="24"/>
          <w:szCs w:val="24"/>
        </w:rPr>
        <w:t xml:space="preserve"> treatment pathway </w:t>
      </w:r>
      <w:r w:rsidR="00E24AEC">
        <w:rPr>
          <w:rFonts w:cs="Arial"/>
          <w:sz w:val="24"/>
          <w:szCs w:val="24"/>
        </w:rPr>
        <w:lastRenderedPageBreak/>
        <w:t>(</w:t>
      </w:r>
      <w:r w:rsidR="002569F4">
        <w:rPr>
          <w:rFonts w:cs="Arial"/>
          <w:sz w:val="24"/>
          <w:szCs w:val="24"/>
        </w:rPr>
        <w:t>as subsequent treatment</w:t>
      </w:r>
      <w:r w:rsidR="00CC7259">
        <w:rPr>
          <w:rFonts w:cs="Arial"/>
          <w:sz w:val="24"/>
          <w:szCs w:val="24"/>
        </w:rPr>
        <w:t xml:space="preserve">s </w:t>
      </w:r>
      <w:r w:rsidR="002569F4">
        <w:rPr>
          <w:rFonts w:cs="Arial"/>
          <w:sz w:val="24"/>
          <w:szCs w:val="24"/>
        </w:rPr>
        <w:t xml:space="preserve">following </w:t>
      </w:r>
      <w:proofErr w:type="spellStart"/>
      <w:r w:rsidR="002569F4">
        <w:rPr>
          <w:rFonts w:cs="Arial"/>
          <w:sz w:val="24"/>
          <w:szCs w:val="24"/>
        </w:rPr>
        <w:t>zilucoplan</w:t>
      </w:r>
      <w:proofErr w:type="spellEnd"/>
      <w:r w:rsidR="002569F4">
        <w:rPr>
          <w:rFonts w:cs="Arial"/>
          <w:sz w:val="24"/>
          <w:szCs w:val="24"/>
        </w:rPr>
        <w:t xml:space="preserve">). </w:t>
      </w:r>
      <w:r w:rsidR="00343815">
        <w:rPr>
          <w:rFonts w:cs="Arial"/>
          <w:sz w:val="24"/>
          <w:szCs w:val="24"/>
        </w:rPr>
        <w:t xml:space="preserve">She added that some patients with refractory </w:t>
      </w:r>
      <w:proofErr w:type="spellStart"/>
      <w:r w:rsidR="00343815">
        <w:rPr>
          <w:rFonts w:cs="Arial"/>
          <w:sz w:val="24"/>
          <w:szCs w:val="24"/>
        </w:rPr>
        <w:t>gMG</w:t>
      </w:r>
      <w:proofErr w:type="spellEnd"/>
      <w:r w:rsidR="00343815">
        <w:rPr>
          <w:rFonts w:cs="Arial"/>
          <w:sz w:val="24"/>
          <w:szCs w:val="24"/>
        </w:rPr>
        <w:t xml:space="preserve"> do not have access</w:t>
      </w:r>
      <w:r w:rsidR="00DA6038">
        <w:rPr>
          <w:rFonts w:cs="Arial"/>
          <w:sz w:val="24"/>
          <w:szCs w:val="24"/>
        </w:rPr>
        <w:t xml:space="preserve"> to</w:t>
      </w:r>
      <w:r w:rsidR="002C5B39">
        <w:rPr>
          <w:rFonts w:cs="Arial"/>
          <w:sz w:val="24"/>
          <w:szCs w:val="24"/>
        </w:rPr>
        <w:t xml:space="preserve"> IVIg or PLEX, </w:t>
      </w:r>
      <w:r w:rsidR="005A5D49">
        <w:rPr>
          <w:rFonts w:cs="Arial"/>
          <w:sz w:val="24"/>
          <w:szCs w:val="24"/>
        </w:rPr>
        <w:t>and</w:t>
      </w:r>
      <w:r w:rsidR="002C5B39">
        <w:rPr>
          <w:rFonts w:cs="Arial"/>
          <w:sz w:val="24"/>
          <w:szCs w:val="24"/>
        </w:rPr>
        <w:t xml:space="preserve"> </w:t>
      </w:r>
      <w:r w:rsidR="00520BA3">
        <w:rPr>
          <w:rFonts w:cs="Arial"/>
          <w:sz w:val="24"/>
          <w:szCs w:val="24"/>
        </w:rPr>
        <w:t xml:space="preserve">for </w:t>
      </w:r>
      <w:r w:rsidR="005A5D49">
        <w:rPr>
          <w:rFonts w:cs="Arial"/>
          <w:sz w:val="24"/>
          <w:szCs w:val="24"/>
        </w:rPr>
        <w:t>some</w:t>
      </w:r>
      <w:r w:rsidR="00520BA3">
        <w:rPr>
          <w:rFonts w:cs="Arial"/>
          <w:sz w:val="24"/>
          <w:szCs w:val="24"/>
        </w:rPr>
        <w:t xml:space="preserve"> </w:t>
      </w:r>
      <w:r w:rsidR="002C5B39">
        <w:rPr>
          <w:rFonts w:cs="Arial"/>
          <w:sz w:val="24"/>
          <w:szCs w:val="24"/>
        </w:rPr>
        <w:t>the</w:t>
      </w:r>
      <w:r w:rsidR="008B2287">
        <w:rPr>
          <w:rFonts w:cs="Arial"/>
          <w:sz w:val="24"/>
          <w:szCs w:val="24"/>
        </w:rPr>
        <w:t xml:space="preserve"> </w:t>
      </w:r>
      <w:r w:rsidR="00D2238A">
        <w:rPr>
          <w:rFonts w:cs="Arial"/>
          <w:sz w:val="24"/>
          <w:szCs w:val="24"/>
        </w:rPr>
        <w:t>use of IVIg/PLEX are contraindicated</w:t>
      </w:r>
      <w:r w:rsidR="00091FBC">
        <w:rPr>
          <w:rFonts w:cs="Arial"/>
          <w:sz w:val="24"/>
          <w:szCs w:val="24"/>
        </w:rPr>
        <w:t xml:space="preserve"> – as a result, a basket of standard </w:t>
      </w:r>
      <w:r w:rsidR="00A96D52">
        <w:rPr>
          <w:rFonts w:cs="Arial"/>
          <w:sz w:val="24"/>
          <w:szCs w:val="24"/>
        </w:rPr>
        <w:t xml:space="preserve">of </w:t>
      </w:r>
      <w:r w:rsidR="00091FBC">
        <w:rPr>
          <w:rFonts w:cs="Arial"/>
          <w:sz w:val="24"/>
          <w:szCs w:val="24"/>
        </w:rPr>
        <w:t xml:space="preserve">care was also used to capture the treatment used for those with refractory </w:t>
      </w:r>
      <w:proofErr w:type="spellStart"/>
      <w:r w:rsidR="00091FBC">
        <w:rPr>
          <w:rFonts w:cs="Arial"/>
          <w:sz w:val="24"/>
          <w:szCs w:val="24"/>
        </w:rPr>
        <w:t>gMG</w:t>
      </w:r>
      <w:proofErr w:type="spellEnd"/>
      <w:r w:rsidR="00091FBC">
        <w:rPr>
          <w:rFonts w:cs="Arial"/>
          <w:sz w:val="24"/>
          <w:szCs w:val="24"/>
        </w:rPr>
        <w:t xml:space="preserve"> </w:t>
      </w:r>
      <w:r w:rsidR="00496D80">
        <w:rPr>
          <w:rFonts w:cs="Arial"/>
          <w:sz w:val="24"/>
          <w:szCs w:val="24"/>
        </w:rPr>
        <w:t>who could not have IVIg/PLEX</w:t>
      </w:r>
      <w:r w:rsidR="00CC7259">
        <w:rPr>
          <w:rFonts w:cs="Arial"/>
          <w:sz w:val="24"/>
          <w:szCs w:val="24"/>
        </w:rPr>
        <w:t xml:space="preserve"> (CCS / NSISTs)</w:t>
      </w:r>
      <w:r w:rsidR="00496D80">
        <w:rPr>
          <w:rFonts w:cs="Arial"/>
          <w:sz w:val="24"/>
          <w:szCs w:val="24"/>
        </w:rPr>
        <w:t>.</w:t>
      </w:r>
    </w:p>
    <w:p w14:paraId="234C8BE8" w14:textId="065A69E9" w:rsidR="002835CD" w:rsidRDefault="0007344F" w:rsidP="00052B46">
      <w:pPr>
        <w:pStyle w:val="Paragraph"/>
        <w:rPr>
          <w:rFonts w:cs="Arial"/>
          <w:sz w:val="24"/>
          <w:szCs w:val="24"/>
        </w:rPr>
      </w:pPr>
      <w:r>
        <w:rPr>
          <w:rFonts w:cs="Arial"/>
          <w:sz w:val="24"/>
          <w:szCs w:val="24"/>
        </w:rPr>
        <w:t xml:space="preserve">Emily Crowe </w:t>
      </w:r>
      <w:r w:rsidR="005E6C3D">
        <w:rPr>
          <w:rFonts w:cs="Arial"/>
          <w:sz w:val="24"/>
          <w:szCs w:val="24"/>
        </w:rPr>
        <w:t xml:space="preserve">asserted </w:t>
      </w:r>
      <w:r w:rsidR="005621AD">
        <w:rPr>
          <w:rFonts w:cs="Arial"/>
          <w:sz w:val="24"/>
          <w:szCs w:val="24"/>
        </w:rPr>
        <w:t xml:space="preserve">that the committee's approach on this point had not changed throughout the appraisal. </w:t>
      </w:r>
    </w:p>
    <w:p w14:paraId="6EAD5F40" w14:textId="3D0927E7" w:rsidR="00496D80" w:rsidRDefault="005621AD" w:rsidP="002835CD">
      <w:pPr>
        <w:pStyle w:val="Paragraph"/>
        <w:numPr>
          <w:ilvl w:val="1"/>
          <w:numId w:val="1"/>
        </w:numPr>
        <w:rPr>
          <w:rFonts w:cs="Arial"/>
          <w:sz w:val="24"/>
          <w:szCs w:val="24"/>
        </w:rPr>
      </w:pPr>
      <w:r>
        <w:rPr>
          <w:rFonts w:cs="Arial"/>
          <w:sz w:val="24"/>
          <w:szCs w:val="24"/>
        </w:rPr>
        <w:t>At the firs</w:t>
      </w:r>
      <w:r w:rsidR="009840E1">
        <w:rPr>
          <w:rFonts w:cs="Arial"/>
          <w:sz w:val="24"/>
          <w:szCs w:val="24"/>
        </w:rPr>
        <w:t>t</w:t>
      </w:r>
      <w:r>
        <w:rPr>
          <w:rFonts w:cs="Arial"/>
          <w:sz w:val="24"/>
          <w:szCs w:val="24"/>
        </w:rPr>
        <w:t xml:space="preserve"> committee meeting, UCB's model did not account for any future use of IVIg/PLEX for those stopping </w:t>
      </w:r>
      <w:proofErr w:type="spellStart"/>
      <w:r>
        <w:rPr>
          <w:rFonts w:cs="Arial"/>
          <w:sz w:val="24"/>
          <w:szCs w:val="24"/>
        </w:rPr>
        <w:t>zilucoplan</w:t>
      </w:r>
      <w:proofErr w:type="spellEnd"/>
      <w:r w:rsidR="001F404E">
        <w:rPr>
          <w:rFonts w:cs="Arial"/>
          <w:sz w:val="24"/>
          <w:szCs w:val="24"/>
        </w:rPr>
        <w:t xml:space="preserve">, </w:t>
      </w:r>
      <w:r>
        <w:rPr>
          <w:rFonts w:cs="Arial"/>
          <w:sz w:val="24"/>
          <w:szCs w:val="24"/>
        </w:rPr>
        <w:t>which was contrary to clinical expert input</w:t>
      </w:r>
      <w:r w:rsidR="001F404E">
        <w:rPr>
          <w:rFonts w:cs="Arial"/>
          <w:sz w:val="24"/>
          <w:szCs w:val="24"/>
        </w:rPr>
        <w:t xml:space="preserve"> that those stopping </w:t>
      </w:r>
      <w:proofErr w:type="spellStart"/>
      <w:r w:rsidR="001F404E">
        <w:rPr>
          <w:rFonts w:cs="Arial"/>
          <w:sz w:val="24"/>
          <w:szCs w:val="24"/>
        </w:rPr>
        <w:t>zilucoplan</w:t>
      </w:r>
      <w:proofErr w:type="spellEnd"/>
      <w:r w:rsidR="001F404E">
        <w:rPr>
          <w:rFonts w:cs="Arial"/>
          <w:sz w:val="24"/>
          <w:szCs w:val="24"/>
        </w:rPr>
        <w:t xml:space="preserve"> would move on to IVIg or PLEX, </w:t>
      </w:r>
      <w:r>
        <w:rPr>
          <w:rFonts w:cs="Arial"/>
          <w:sz w:val="24"/>
          <w:szCs w:val="24"/>
        </w:rPr>
        <w:t xml:space="preserve">as illustrated at paragraph 3.10 of the first draft guidance, and 3.14 of the second draft guidance. </w:t>
      </w:r>
    </w:p>
    <w:p w14:paraId="11310E5D" w14:textId="4E7BE44E" w:rsidR="002835CD" w:rsidRDefault="002835CD" w:rsidP="00E10BB8">
      <w:pPr>
        <w:pStyle w:val="Paragraph"/>
        <w:numPr>
          <w:ilvl w:val="1"/>
          <w:numId w:val="1"/>
        </w:numPr>
        <w:rPr>
          <w:rFonts w:cs="Arial"/>
          <w:sz w:val="24"/>
          <w:szCs w:val="24"/>
        </w:rPr>
      </w:pPr>
      <w:r>
        <w:rPr>
          <w:rFonts w:cs="Arial"/>
          <w:sz w:val="24"/>
          <w:szCs w:val="24"/>
        </w:rPr>
        <w:t xml:space="preserve">At the second committee meeting, </w:t>
      </w:r>
      <w:r w:rsidR="00406080">
        <w:rPr>
          <w:rFonts w:cs="Arial"/>
          <w:sz w:val="24"/>
          <w:szCs w:val="24"/>
        </w:rPr>
        <w:t>UCB</w:t>
      </w:r>
      <w:r>
        <w:rPr>
          <w:rFonts w:cs="Arial"/>
          <w:sz w:val="24"/>
          <w:szCs w:val="24"/>
        </w:rPr>
        <w:t xml:space="preserve"> used a pooled group of subsequent treatments after stopping first line treatment. The committee did not consider this to be a plausible solution, on the basis that it only modelled the costs and not the benefits of those subsequent treatments. </w:t>
      </w:r>
      <w:r w:rsidR="00E10BB8">
        <w:rPr>
          <w:rFonts w:cs="Arial"/>
          <w:sz w:val="24"/>
          <w:szCs w:val="24"/>
        </w:rPr>
        <w:t xml:space="preserve">In that model, UCB assumed that IVIg / PLEX if used once, could be used again. This </w:t>
      </w:r>
      <w:r w:rsidR="005A5D49">
        <w:rPr>
          <w:rFonts w:cs="Arial"/>
          <w:sz w:val="24"/>
          <w:szCs w:val="24"/>
        </w:rPr>
        <w:t>demonstrated</w:t>
      </w:r>
      <w:r w:rsidR="00E10BB8">
        <w:rPr>
          <w:rFonts w:cs="Arial"/>
          <w:sz w:val="24"/>
          <w:szCs w:val="24"/>
        </w:rPr>
        <w:t xml:space="preserve">, in the committee's view, implicit acceptance of the fact that subsequent treatment would follow </w:t>
      </w:r>
      <w:proofErr w:type="spellStart"/>
      <w:r w:rsidR="00E10BB8">
        <w:rPr>
          <w:rFonts w:cs="Arial"/>
          <w:sz w:val="24"/>
          <w:szCs w:val="24"/>
        </w:rPr>
        <w:t>zilucoplan</w:t>
      </w:r>
      <w:proofErr w:type="spellEnd"/>
      <w:r w:rsidR="00E10BB8">
        <w:rPr>
          <w:rFonts w:cs="Arial"/>
          <w:sz w:val="24"/>
          <w:szCs w:val="24"/>
        </w:rPr>
        <w:t xml:space="preserve">. This was shown in a diagram on the slides used in the second committee </w:t>
      </w:r>
      <w:proofErr w:type="gramStart"/>
      <w:r w:rsidR="00E10BB8">
        <w:rPr>
          <w:rFonts w:cs="Arial"/>
          <w:sz w:val="24"/>
          <w:szCs w:val="24"/>
        </w:rPr>
        <w:t>meeting</w:t>
      </w:r>
      <w:r w:rsidR="00353EF9">
        <w:rPr>
          <w:rFonts w:cs="Arial"/>
          <w:sz w:val="24"/>
          <w:szCs w:val="24"/>
        </w:rPr>
        <w:t>, and</w:t>
      </w:r>
      <w:proofErr w:type="gramEnd"/>
      <w:r w:rsidR="00353EF9">
        <w:rPr>
          <w:rFonts w:cs="Arial"/>
          <w:sz w:val="24"/>
          <w:szCs w:val="24"/>
        </w:rPr>
        <w:t xml:space="preserve"> is also reflected at paragraph 3.14 of the </w:t>
      </w:r>
      <w:r w:rsidR="00E87235">
        <w:rPr>
          <w:rFonts w:cs="Arial"/>
          <w:sz w:val="24"/>
          <w:szCs w:val="24"/>
        </w:rPr>
        <w:t>Final Draft Guidance (“</w:t>
      </w:r>
      <w:r w:rsidR="00353EF9">
        <w:rPr>
          <w:rFonts w:cs="Arial"/>
          <w:sz w:val="24"/>
          <w:szCs w:val="24"/>
        </w:rPr>
        <w:t>FDG</w:t>
      </w:r>
      <w:r w:rsidR="00E87235">
        <w:rPr>
          <w:rFonts w:cs="Arial"/>
          <w:sz w:val="24"/>
          <w:szCs w:val="24"/>
        </w:rPr>
        <w:t>”)</w:t>
      </w:r>
      <w:r w:rsidR="00353EF9">
        <w:rPr>
          <w:rFonts w:cs="Arial"/>
          <w:sz w:val="24"/>
          <w:szCs w:val="24"/>
        </w:rPr>
        <w:t xml:space="preserve">. </w:t>
      </w:r>
    </w:p>
    <w:p w14:paraId="50A63701" w14:textId="75E53AE1" w:rsidR="00353EF9" w:rsidRPr="00E10BB8" w:rsidRDefault="00353EF9" w:rsidP="00E10BB8">
      <w:pPr>
        <w:pStyle w:val="Paragraph"/>
        <w:numPr>
          <w:ilvl w:val="1"/>
          <w:numId w:val="1"/>
        </w:numPr>
        <w:rPr>
          <w:rFonts w:cs="Arial"/>
          <w:sz w:val="24"/>
          <w:szCs w:val="24"/>
        </w:rPr>
      </w:pPr>
      <w:r>
        <w:rPr>
          <w:rFonts w:cs="Arial"/>
          <w:sz w:val="24"/>
          <w:szCs w:val="24"/>
        </w:rPr>
        <w:t xml:space="preserve">At the third committee meeting, </w:t>
      </w:r>
      <w:r w:rsidR="00E87235">
        <w:rPr>
          <w:rFonts w:cs="Arial"/>
          <w:sz w:val="24"/>
          <w:szCs w:val="24"/>
        </w:rPr>
        <w:t>UCB</w:t>
      </w:r>
      <w:r>
        <w:rPr>
          <w:rFonts w:cs="Arial"/>
          <w:sz w:val="24"/>
          <w:szCs w:val="24"/>
        </w:rPr>
        <w:t xml:space="preserve"> provided a model which accounted for treatment switching. </w:t>
      </w:r>
      <w:r w:rsidR="0099317C">
        <w:rPr>
          <w:rFonts w:cs="Arial"/>
          <w:sz w:val="24"/>
          <w:szCs w:val="24"/>
        </w:rPr>
        <w:t>T</w:t>
      </w:r>
      <w:r>
        <w:rPr>
          <w:rFonts w:cs="Arial"/>
          <w:sz w:val="24"/>
          <w:szCs w:val="24"/>
        </w:rPr>
        <w:t xml:space="preserve">he model was adapted to reflect the need for subsequent treatment. </w:t>
      </w:r>
    </w:p>
    <w:p w14:paraId="4149D7D4" w14:textId="0BEFC772" w:rsidR="005E6EFC" w:rsidRDefault="0075178C" w:rsidP="00052B46">
      <w:pPr>
        <w:pStyle w:val="Paragraph"/>
        <w:rPr>
          <w:rFonts w:cs="Arial"/>
          <w:sz w:val="24"/>
          <w:szCs w:val="24"/>
        </w:rPr>
      </w:pPr>
      <w:r>
        <w:rPr>
          <w:rFonts w:cs="Arial"/>
          <w:sz w:val="24"/>
          <w:szCs w:val="24"/>
        </w:rPr>
        <w:t xml:space="preserve">Taking the procedural history of the appraisal into account, Emily Crowe said that the approach to positioning </w:t>
      </w:r>
      <w:proofErr w:type="spellStart"/>
      <w:r>
        <w:rPr>
          <w:rFonts w:cs="Arial"/>
          <w:sz w:val="24"/>
          <w:szCs w:val="24"/>
        </w:rPr>
        <w:t>zilucoplan</w:t>
      </w:r>
      <w:proofErr w:type="spellEnd"/>
      <w:r>
        <w:rPr>
          <w:rFonts w:cs="Arial"/>
          <w:sz w:val="24"/>
          <w:szCs w:val="24"/>
        </w:rPr>
        <w:t xml:space="preserve"> in the treatment pathway had not changed throughout the appraisal – and </w:t>
      </w:r>
      <w:r>
        <w:rPr>
          <w:rFonts w:cs="Arial"/>
          <w:sz w:val="24"/>
          <w:szCs w:val="24"/>
        </w:rPr>
        <w:lastRenderedPageBreak/>
        <w:t xml:space="preserve">that </w:t>
      </w:r>
      <w:r w:rsidR="003B7EED">
        <w:rPr>
          <w:rFonts w:cs="Arial"/>
          <w:sz w:val="24"/>
          <w:szCs w:val="24"/>
        </w:rPr>
        <w:t>UCB</w:t>
      </w:r>
      <w:r>
        <w:rPr>
          <w:rFonts w:cs="Arial"/>
          <w:sz w:val="24"/>
          <w:szCs w:val="24"/>
        </w:rPr>
        <w:t xml:space="preserve">'s own </w:t>
      </w:r>
      <w:r w:rsidR="00F12CD0">
        <w:rPr>
          <w:rFonts w:cs="Arial"/>
          <w:sz w:val="24"/>
          <w:szCs w:val="24"/>
        </w:rPr>
        <w:t xml:space="preserve">iterative </w:t>
      </w:r>
      <w:r w:rsidR="00532F28">
        <w:rPr>
          <w:rFonts w:cs="Arial"/>
          <w:sz w:val="24"/>
          <w:szCs w:val="24"/>
        </w:rPr>
        <w:t>amend</w:t>
      </w:r>
      <w:r w:rsidR="00AA12BD">
        <w:rPr>
          <w:rFonts w:cs="Arial"/>
          <w:sz w:val="24"/>
          <w:szCs w:val="24"/>
        </w:rPr>
        <w:t>ment</w:t>
      </w:r>
      <w:r w:rsidR="00532F28">
        <w:rPr>
          <w:rFonts w:cs="Arial"/>
          <w:sz w:val="24"/>
          <w:szCs w:val="24"/>
        </w:rPr>
        <w:t xml:space="preserve">s to the model throughout the appraisal demonstrated that </w:t>
      </w:r>
      <w:r w:rsidR="003B7EED">
        <w:rPr>
          <w:rFonts w:cs="Arial"/>
          <w:sz w:val="24"/>
          <w:szCs w:val="24"/>
        </w:rPr>
        <w:t>UCB</w:t>
      </w:r>
      <w:r w:rsidR="00532F28">
        <w:rPr>
          <w:rFonts w:cs="Arial"/>
          <w:sz w:val="24"/>
          <w:szCs w:val="24"/>
        </w:rPr>
        <w:t xml:space="preserve"> understood this. She added that there had been numerous phone calls and email correspondence between NICE and </w:t>
      </w:r>
      <w:r w:rsidR="003B7EED">
        <w:rPr>
          <w:rFonts w:cs="Arial"/>
          <w:sz w:val="24"/>
          <w:szCs w:val="24"/>
        </w:rPr>
        <w:t>UCB</w:t>
      </w:r>
      <w:r w:rsidR="00532F28">
        <w:rPr>
          <w:rFonts w:cs="Arial"/>
          <w:sz w:val="24"/>
          <w:szCs w:val="24"/>
        </w:rPr>
        <w:t xml:space="preserve"> to explore th</w:t>
      </w:r>
      <w:r w:rsidR="00EC6BAD">
        <w:rPr>
          <w:rFonts w:cs="Arial"/>
          <w:sz w:val="24"/>
          <w:szCs w:val="24"/>
        </w:rPr>
        <w:t xml:space="preserve">e positioning of </w:t>
      </w:r>
      <w:proofErr w:type="spellStart"/>
      <w:r w:rsidR="00EC6BAD">
        <w:rPr>
          <w:rFonts w:cs="Arial"/>
          <w:sz w:val="24"/>
          <w:szCs w:val="24"/>
        </w:rPr>
        <w:t>zilucoplan</w:t>
      </w:r>
      <w:proofErr w:type="spellEnd"/>
      <w:r w:rsidR="00EC6BAD">
        <w:rPr>
          <w:rFonts w:cs="Arial"/>
          <w:sz w:val="24"/>
          <w:szCs w:val="24"/>
        </w:rPr>
        <w:t xml:space="preserve"> in the treatment pathway. </w:t>
      </w:r>
    </w:p>
    <w:p w14:paraId="16C4706D" w14:textId="260FCDE5" w:rsidR="00532F28" w:rsidRDefault="00AB5C6E" w:rsidP="00052B46">
      <w:pPr>
        <w:pStyle w:val="Paragraph"/>
        <w:rPr>
          <w:rFonts w:cs="Arial"/>
          <w:sz w:val="24"/>
          <w:szCs w:val="24"/>
        </w:rPr>
      </w:pPr>
      <w:r>
        <w:rPr>
          <w:rFonts w:cs="Arial"/>
          <w:sz w:val="24"/>
          <w:szCs w:val="24"/>
        </w:rPr>
        <w:t xml:space="preserve">The </w:t>
      </w:r>
      <w:r w:rsidR="00464CDA">
        <w:rPr>
          <w:rFonts w:cs="Arial"/>
          <w:sz w:val="24"/>
          <w:szCs w:val="24"/>
        </w:rPr>
        <w:t xml:space="preserve">appeal </w:t>
      </w:r>
      <w:r>
        <w:rPr>
          <w:rFonts w:cs="Arial"/>
          <w:sz w:val="24"/>
          <w:szCs w:val="24"/>
        </w:rPr>
        <w:t xml:space="preserve">panel asked whether it would ever be the case that a patient would be prescribed </w:t>
      </w:r>
      <w:proofErr w:type="spellStart"/>
      <w:r>
        <w:rPr>
          <w:rFonts w:cs="Arial"/>
          <w:sz w:val="24"/>
          <w:szCs w:val="24"/>
        </w:rPr>
        <w:t>zilucoplan</w:t>
      </w:r>
      <w:proofErr w:type="spellEnd"/>
      <w:r>
        <w:rPr>
          <w:rFonts w:cs="Arial"/>
          <w:sz w:val="24"/>
          <w:szCs w:val="24"/>
        </w:rPr>
        <w:t xml:space="preserve"> in combination with </w:t>
      </w:r>
      <w:proofErr w:type="gramStart"/>
      <w:r>
        <w:rPr>
          <w:rFonts w:cs="Arial"/>
          <w:sz w:val="24"/>
          <w:szCs w:val="24"/>
        </w:rPr>
        <w:t>either IVIg</w:t>
      </w:r>
      <w:proofErr w:type="gramEnd"/>
      <w:r>
        <w:rPr>
          <w:rFonts w:cs="Arial"/>
          <w:sz w:val="24"/>
          <w:szCs w:val="24"/>
        </w:rPr>
        <w:t xml:space="preserve">/PLEX. </w:t>
      </w:r>
      <w:r w:rsidR="00787354">
        <w:rPr>
          <w:rFonts w:cs="Arial"/>
          <w:sz w:val="24"/>
          <w:szCs w:val="24"/>
        </w:rPr>
        <w:t>Emily Crowe</w:t>
      </w:r>
      <w:r>
        <w:rPr>
          <w:rFonts w:cs="Arial"/>
          <w:sz w:val="24"/>
          <w:szCs w:val="24"/>
        </w:rPr>
        <w:t xml:space="preserve"> confirmed that</w:t>
      </w:r>
      <w:r w:rsidR="003C1627">
        <w:rPr>
          <w:rFonts w:cs="Arial"/>
          <w:sz w:val="24"/>
          <w:szCs w:val="24"/>
        </w:rPr>
        <w:t xml:space="preserve"> </w:t>
      </w:r>
      <w:proofErr w:type="spellStart"/>
      <w:r w:rsidR="003C1627">
        <w:rPr>
          <w:rFonts w:cs="Arial"/>
          <w:sz w:val="24"/>
          <w:szCs w:val="24"/>
        </w:rPr>
        <w:t>zilucoplan</w:t>
      </w:r>
      <w:proofErr w:type="spellEnd"/>
      <w:r w:rsidR="003C1627">
        <w:rPr>
          <w:rFonts w:cs="Arial"/>
          <w:sz w:val="24"/>
          <w:szCs w:val="24"/>
        </w:rPr>
        <w:t xml:space="preserve"> would never be administered in </w:t>
      </w:r>
      <w:r w:rsidR="005A5D49">
        <w:rPr>
          <w:rFonts w:cs="Arial"/>
          <w:sz w:val="24"/>
          <w:szCs w:val="24"/>
        </w:rPr>
        <w:t>combination with</w:t>
      </w:r>
      <w:r w:rsidR="003C1627">
        <w:rPr>
          <w:rFonts w:cs="Arial"/>
          <w:sz w:val="24"/>
          <w:szCs w:val="24"/>
        </w:rPr>
        <w:t xml:space="preserve"> IVIg/PLEX, and that </w:t>
      </w:r>
      <w:r w:rsidR="005A5D49">
        <w:rPr>
          <w:rFonts w:cs="Arial"/>
          <w:sz w:val="24"/>
          <w:szCs w:val="24"/>
        </w:rPr>
        <w:t>the committee</w:t>
      </w:r>
      <w:r w:rsidR="003C1627">
        <w:rPr>
          <w:rFonts w:cs="Arial"/>
          <w:sz w:val="24"/>
          <w:szCs w:val="24"/>
        </w:rPr>
        <w:t xml:space="preserve"> had never sought modelling of that combination. The marketing authorisation licensed </w:t>
      </w:r>
      <w:proofErr w:type="spellStart"/>
      <w:r w:rsidR="003C1627">
        <w:rPr>
          <w:rFonts w:cs="Arial"/>
          <w:sz w:val="24"/>
          <w:szCs w:val="24"/>
        </w:rPr>
        <w:t>zilucop</w:t>
      </w:r>
      <w:r w:rsidR="00E9297F">
        <w:rPr>
          <w:rFonts w:cs="Arial"/>
          <w:sz w:val="24"/>
          <w:szCs w:val="24"/>
        </w:rPr>
        <w:t>l</w:t>
      </w:r>
      <w:r w:rsidR="003C1627">
        <w:rPr>
          <w:rFonts w:cs="Arial"/>
          <w:sz w:val="24"/>
          <w:szCs w:val="24"/>
        </w:rPr>
        <w:t>an</w:t>
      </w:r>
      <w:proofErr w:type="spellEnd"/>
      <w:r w:rsidR="003C1627">
        <w:rPr>
          <w:rFonts w:cs="Arial"/>
          <w:sz w:val="24"/>
          <w:szCs w:val="24"/>
        </w:rPr>
        <w:t xml:space="preserve"> to be prescribed as an add-on to standard </w:t>
      </w:r>
      <w:r w:rsidR="00A96D52">
        <w:rPr>
          <w:rFonts w:cs="Arial"/>
          <w:sz w:val="24"/>
          <w:szCs w:val="24"/>
        </w:rPr>
        <w:t>treatment</w:t>
      </w:r>
      <w:r w:rsidR="003C1627">
        <w:rPr>
          <w:rFonts w:cs="Arial"/>
          <w:sz w:val="24"/>
          <w:szCs w:val="24"/>
        </w:rPr>
        <w:t xml:space="preserve"> (and not to IVIg/PLEX). </w:t>
      </w:r>
    </w:p>
    <w:p w14:paraId="6CC0E6B3" w14:textId="692DDFB2" w:rsidR="003C1627" w:rsidRDefault="00787354" w:rsidP="00052B46">
      <w:pPr>
        <w:pStyle w:val="Paragraph"/>
        <w:rPr>
          <w:rFonts w:cs="Arial"/>
          <w:sz w:val="24"/>
          <w:szCs w:val="24"/>
        </w:rPr>
      </w:pPr>
      <w:r>
        <w:rPr>
          <w:rFonts w:cs="Arial"/>
          <w:sz w:val="24"/>
          <w:szCs w:val="24"/>
        </w:rPr>
        <w:t xml:space="preserve">Charles Crawley, for </w:t>
      </w:r>
      <w:r w:rsidR="00A31F05">
        <w:rPr>
          <w:rFonts w:cs="Arial"/>
          <w:sz w:val="24"/>
          <w:szCs w:val="24"/>
        </w:rPr>
        <w:t>NICE</w:t>
      </w:r>
      <w:r>
        <w:rPr>
          <w:rFonts w:cs="Arial"/>
          <w:sz w:val="24"/>
          <w:szCs w:val="24"/>
        </w:rPr>
        <w:t xml:space="preserve">, </w:t>
      </w:r>
      <w:r w:rsidR="000731C8">
        <w:rPr>
          <w:rFonts w:cs="Arial"/>
          <w:sz w:val="24"/>
          <w:szCs w:val="24"/>
        </w:rPr>
        <w:t xml:space="preserve">explained that the committee had repeatedly heard evidence that </w:t>
      </w:r>
      <w:proofErr w:type="spellStart"/>
      <w:r w:rsidR="000731C8">
        <w:rPr>
          <w:rFonts w:cs="Arial"/>
          <w:sz w:val="24"/>
          <w:szCs w:val="24"/>
        </w:rPr>
        <w:t>zilucoplan</w:t>
      </w:r>
      <w:proofErr w:type="spellEnd"/>
      <w:r w:rsidR="000731C8">
        <w:rPr>
          <w:rFonts w:cs="Arial"/>
          <w:sz w:val="24"/>
          <w:szCs w:val="24"/>
        </w:rPr>
        <w:t xml:space="preserve"> would displace IVIg and PLEX, but that it would not replace them. </w:t>
      </w:r>
      <w:r w:rsidR="00443C76">
        <w:rPr>
          <w:rFonts w:cs="Arial"/>
          <w:sz w:val="24"/>
          <w:szCs w:val="24"/>
        </w:rPr>
        <w:t xml:space="preserve">Extensive review and discussion took place during committee meetings about the positioning of </w:t>
      </w:r>
      <w:proofErr w:type="spellStart"/>
      <w:r w:rsidR="00443C76">
        <w:rPr>
          <w:rFonts w:cs="Arial"/>
          <w:sz w:val="24"/>
          <w:szCs w:val="24"/>
        </w:rPr>
        <w:t>zilucoplan</w:t>
      </w:r>
      <w:proofErr w:type="spellEnd"/>
      <w:r w:rsidR="00443C76">
        <w:rPr>
          <w:rFonts w:cs="Arial"/>
          <w:sz w:val="24"/>
          <w:szCs w:val="24"/>
        </w:rPr>
        <w:t xml:space="preserve"> in the treatment pathway. </w:t>
      </w:r>
      <w:r w:rsidR="00643BA4">
        <w:rPr>
          <w:rFonts w:cs="Arial"/>
          <w:sz w:val="24"/>
          <w:szCs w:val="24"/>
        </w:rPr>
        <w:t>Slide 20 in the public committee slides, uploaded to the NICE website on 26 June 2025</w:t>
      </w:r>
      <w:r w:rsidR="00B913AF">
        <w:rPr>
          <w:rFonts w:cs="Arial"/>
          <w:sz w:val="24"/>
          <w:szCs w:val="24"/>
        </w:rPr>
        <w:t xml:space="preserve"> </w:t>
      </w:r>
      <w:r w:rsidR="009C393E">
        <w:rPr>
          <w:rFonts w:cs="Arial"/>
          <w:sz w:val="24"/>
          <w:szCs w:val="24"/>
        </w:rPr>
        <w:t>demonstrate</w:t>
      </w:r>
      <w:r w:rsidR="00700EC2">
        <w:rPr>
          <w:rFonts w:cs="Arial"/>
          <w:sz w:val="24"/>
          <w:szCs w:val="24"/>
        </w:rPr>
        <w:t>s</w:t>
      </w:r>
      <w:r w:rsidR="009C393E">
        <w:rPr>
          <w:rFonts w:cs="Arial"/>
          <w:sz w:val="24"/>
          <w:szCs w:val="24"/>
        </w:rPr>
        <w:t xml:space="preserve"> that at the third committee meeting, </w:t>
      </w:r>
      <w:proofErr w:type="gramStart"/>
      <w:r w:rsidR="009C393E">
        <w:rPr>
          <w:rFonts w:cs="Arial"/>
          <w:sz w:val="24"/>
          <w:szCs w:val="24"/>
        </w:rPr>
        <w:t>all of</w:t>
      </w:r>
      <w:proofErr w:type="gramEnd"/>
      <w:r w:rsidR="009C393E">
        <w:rPr>
          <w:rFonts w:cs="Arial"/>
          <w:sz w:val="24"/>
          <w:szCs w:val="24"/>
        </w:rPr>
        <w:t xml:space="preserve"> the subsequent treatments were considered for </w:t>
      </w:r>
      <w:proofErr w:type="spellStart"/>
      <w:r w:rsidR="009C393E">
        <w:rPr>
          <w:rFonts w:cs="Arial"/>
          <w:sz w:val="24"/>
          <w:szCs w:val="24"/>
        </w:rPr>
        <w:t>zilucoplan</w:t>
      </w:r>
      <w:proofErr w:type="spellEnd"/>
      <w:r w:rsidR="009C393E">
        <w:rPr>
          <w:rFonts w:cs="Arial"/>
          <w:sz w:val="24"/>
          <w:szCs w:val="24"/>
        </w:rPr>
        <w:t xml:space="preserve">, IVIg and PLEX. There were two lines of therapy in the comparator arm and three in the </w:t>
      </w:r>
      <w:proofErr w:type="spellStart"/>
      <w:r w:rsidR="009C393E">
        <w:rPr>
          <w:rFonts w:cs="Arial"/>
          <w:sz w:val="24"/>
          <w:szCs w:val="24"/>
        </w:rPr>
        <w:t>zilucoplan</w:t>
      </w:r>
      <w:proofErr w:type="spellEnd"/>
      <w:r w:rsidR="009C393E">
        <w:rPr>
          <w:rFonts w:cs="Arial"/>
          <w:sz w:val="24"/>
          <w:szCs w:val="24"/>
        </w:rPr>
        <w:t xml:space="preserve"> arm of the model</w:t>
      </w:r>
      <w:r w:rsidR="00CA7C8A">
        <w:rPr>
          <w:rFonts w:cs="Arial"/>
          <w:sz w:val="24"/>
          <w:szCs w:val="24"/>
        </w:rPr>
        <w:t xml:space="preserve">. Charles Crawley expressed the committee's view that it was difficult to understand </w:t>
      </w:r>
      <w:r w:rsidR="00226E38">
        <w:rPr>
          <w:rFonts w:cs="Arial"/>
          <w:sz w:val="24"/>
          <w:szCs w:val="24"/>
        </w:rPr>
        <w:t>UCB</w:t>
      </w:r>
      <w:r w:rsidR="00CA7C8A">
        <w:rPr>
          <w:rFonts w:cs="Arial"/>
          <w:sz w:val="24"/>
          <w:szCs w:val="24"/>
        </w:rPr>
        <w:t xml:space="preserve">'s ground of appeal given the extensive evidence and discussion on the positioning of </w:t>
      </w:r>
      <w:proofErr w:type="spellStart"/>
      <w:r w:rsidR="00CA7C8A">
        <w:rPr>
          <w:rFonts w:cs="Arial"/>
          <w:sz w:val="24"/>
          <w:szCs w:val="24"/>
        </w:rPr>
        <w:t>zilucoplan</w:t>
      </w:r>
      <w:proofErr w:type="spellEnd"/>
      <w:r w:rsidR="00CA7C8A">
        <w:rPr>
          <w:rFonts w:cs="Arial"/>
          <w:sz w:val="24"/>
          <w:szCs w:val="24"/>
        </w:rPr>
        <w:t xml:space="preserve"> in the treatment pathway. </w:t>
      </w:r>
    </w:p>
    <w:p w14:paraId="22516D6D" w14:textId="1AACD55D" w:rsidR="00CA7C8A" w:rsidRDefault="0031286B" w:rsidP="00052B46">
      <w:pPr>
        <w:pStyle w:val="Paragraph"/>
        <w:rPr>
          <w:rFonts w:cs="Arial"/>
          <w:sz w:val="24"/>
          <w:szCs w:val="24"/>
        </w:rPr>
      </w:pPr>
      <w:r>
        <w:rPr>
          <w:rFonts w:cs="Arial"/>
          <w:sz w:val="24"/>
          <w:szCs w:val="24"/>
        </w:rPr>
        <w:t xml:space="preserve">The </w:t>
      </w:r>
      <w:r w:rsidR="00423F6B">
        <w:rPr>
          <w:rFonts w:cs="Arial"/>
          <w:sz w:val="24"/>
          <w:szCs w:val="24"/>
        </w:rPr>
        <w:t xml:space="preserve">appeal </w:t>
      </w:r>
      <w:r>
        <w:rPr>
          <w:rFonts w:cs="Arial"/>
          <w:sz w:val="24"/>
          <w:szCs w:val="24"/>
        </w:rPr>
        <w:t xml:space="preserve">panel asked </w:t>
      </w:r>
      <w:r w:rsidR="00A77FC2">
        <w:rPr>
          <w:rFonts w:cs="Arial"/>
          <w:sz w:val="24"/>
          <w:szCs w:val="24"/>
        </w:rPr>
        <w:t>NICE</w:t>
      </w:r>
      <w:r>
        <w:rPr>
          <w:rFonts w:cs="Arial"/>
          <w:sz w:val="24"/>
          <w:szCs w:val="24"/>
        </w:rPr>
        <w:t xml:space="preserve"> whether it understood "add-on" (as in the marketing authorisation) to mean "include in the sequence" rather than "concurrent treatment". Charles Crawley confirmed that </w:t>
      </w:r>
      <w:proofErr w:type="spellStart"/>
      <w:r>
        <w:rPr>
          <w:rFonts w:cs="Arial"/>
          <w:sz w:val="24"/>
          <w:szCs w:val="24"/>
        </w:rPr>
        <w:t>zilucoplan</w:t>
      </w:r>
      <w:proofErr w:type="spellEnd"/>
      <w:r>
        <w:rPr>
          <w:rFonts w:cs="Arial"/>
          <w:sz w:val="24"/>
          <w:szCs w:val="24"/>
        </w:rPr>
        <w:t xml:space="preserve"> was an add-on to standard</w:t>
      </w:r>
      <w:r w:rsidR="00A96D52">
        <w:rPr>
          <w:rFonts w:cs="Arial"/>
          <w:sz w:val="24"/>
          <w:szCs w:val="24"/>
        </w:rPr>
        <w:t xml:space="preserve"> treatment</w:t>
      </w:r>
      <w:r>
        <w:rPr>
          <w:rFonts w:cs="Arial"/>
          <w:sz w:val="24"/>
          <w:szCs w:val="24"/>
        </w:rPr>
        <w:t>, and not IVIg /</w:t>
      </w:r>
      <w:r w:rsidR="00390A50">
        <w:rPr>
          <w:rFonts w:cs="Arial"/>
          <w:sz w:val="24"/>
          <w:szCs w:val="24"/>
        </w:rPr>
        <w:t xml:space="preserve"> PLEX. He explained that several clinical experts had told the committee that they would consider IVIg / PLEX for those stopping </w:t>
      </w:r>
      <w:proofErr w:type="spellStart"/>
      <w:r w:rsidR="00390A50">
        <w:rPr>
          <w:rFonts w:cs="Arial"/>
          <w:sz w:val="24"/>
          <w:szCs w:val="24"/>
        </w:rPr>
        <w:t>zilucoplan</w:t>
      </w:r>
      <w:proofErr w:type="spellEnd"/>
      <w:r w:rsidR="00390A50">
        <w:rPr>
          <w:rFonts w:cs="Arial"/>
          <w:sz w:val="24"/>
          <w:szCs w:val="24"/>
        </w:rPr>
        <w:t xml:space="preserve">, and </w:t>
      </w:r>
      <w:r w:rsidR="00390A50">
        <w:rPr>
          <w:rFonts w:cs="Arial"/>
          <w:sz w:val="24"/>
          <w:szCs w:val="24"/>
        </w:rPr>
        <w:lastRenderedPageBreak/>
        <w:t xml:space="preserve">therefore IVIg / PLEX would not disappear from the pathway once </w:t>
      </w:r>
      <w:proofErr w:type="spellStart"/>
      <w:r w:rsidR="00390A50">
        <w:rPr>
          <w:rFonts w:cs="Arial"/>
          <w:sz w:val="24"/>
          <w:szCs w:val="24"/>
        </w:rPr>
        <w:t>zilucoplan</w:t>
      </w:r>
      <w:proofErr w:type="spellEnd"/>
      <w:r w:rsidR="00390A50">
        <w:rPr>
          <w:rFonts w:cs="Arial"/>
          <w:sz w:val="24"/>
          <w:szCs w:val="24"/>
        </w:rPr>
        <w:t xml:space="preserve"> is introduced. </w:t>
      </w:r>
    </w:p>
    <w:p w14:paraId="07AE0EE4" w14:textId="50703694" w:rsidR="00390A50" w:rsidRDefault="00390A50" w:rsidP="0058586C">
      <w:pPr>
        <w:pStyle w:val="Paragraph"/>
        <w:rPr>
          <w:rFonts w:cs="Arial"/>
          <w:sz w:val="24"/>
          <w:szCs w:val="24"/>
        </w:rPr>
      </w:pPr>
      <w:r>
        <w:rPr>
          <w:rFonts w:cs="Arial"/>
          <w:sz w:val="24"/>
          <w:szCs w:val="24"/>
        </w:rPr>
        <w:t xml:space="preserve">The </w:t>
      </w:r>
      <w:r w:rsidR="00AA5110">
        <w:rPr>
          <w:rFonts w:cs="Arial"/>
          <w:sz w:val="24"/>
          <w:szCs w:val="24"/>
        </w:rPr>
        <w:t xml:space="preserve">appeal </w:t>
      </w:r>
      <w:r>
        <w:rPr>
          <w:rFonts w:cs="Arial"/>
          <w:sz w:val="24"/>
          <w:szCs w:val="24"/>
        </w:rPr>
        <w:t xml:space="preserve">panel asked </w:t>
      </w:r>
      <w:r w:rsidR="007713B0">
        <w:rPr>
          <w:rFonts w:cs="Arial"/>
          <w:sz w:val="24"/>
          <w:szCs w:val="24"/>
        </w:rPr>
        <w:t>NICE</w:t>
      </w:r>
      <w:r>
        <w:rPr>
          <w:rFonts w:cs="Arial"/>
          <w:sz w:val="24"/>
          <w:szCs w:val="24"/>
        </w:rPr>
        <w:t xml:space="preserve"> whether there was any suggestion that </w:t>
      </w:r>
      <w:proofErr w:type="spellStart"/>
      <w:r>
        <w:rPr>
          <w:rFonts w:cs="Arial"/>
          <w:sz w:val="24"/>
          <w:szCs w:val="24"/>
        </w:rPr>
        <w:t>zilucoplan</w:t>
      </w:r>
      <w:proofErr w:type="spellEnd"/>
      <w:r>
        <w:rPr>
          <w:rFonts w:cs="Arial"/>
          <w:sz w:val="24"/>
          <w:szCs w:val="24"/>
        </w:rPr>
        <w:t xml:space="preserve"> had curative </w:t>
      </w:r>
      <w:proofErr w:type="gramStart"/>
      <w:r>
        <w:rPr>
          <w:rFonts w:cs="Arial"/>
          <w:sz w:val="24"/>
          <w:szCs w:val="24"/>
        </w:rPr>
        <w:t>effect, and</w:t>
      </w:r>
      <w:proofErr w:type="gramEnd"/>
      <w:r>
        <w:rPr>
          <w:rFonts w:cs="Arial"/>
          <w:sz w:val="24"/>
          <w:szCs w:val="24"/>
        </w:rPr>
        <w:t xml:space="preserve"> therefore would remove the need for subsequent treatment. Charles Crawley confirmed that the committee </w:t>
      </w:r>
      <w:r w:rsidR="00030944">
        <w:rPr>
          <w:rFonts w:cs="Arial"/>
          <w:sz w:val="24"/>
          <w:szCs w:val="24"/>
        </w:rPr>
        <w:t xml:space="preserve">did not see any evidence suggesting that </w:t>
      </w:r>
      <w:proofErr w:type="spellStart"/>
      <w:r w:rsidR="00030944">
        <w:rPr>
          <w:rFonts w:cs="Arial"/>
          <w:sz w:val="24"/>
          <w:szCs w:val="24"/>
        </w:rPr>
        <w:t>zilucoplan</w:t>
      </w:r>
      <w:proofErr w:type="spellEnd"/>
      <w:r w:rsidR="00030944">
        <w:rPr>
          <w:rFonts w:cs="Arial"/>
          <w:sz w:val="24"/>
          <w:szCs w:val="24"/>
        </w:rPr>
        <w:t xml:space="preserve"> was curativ</w:t>
      </w:r>
      <w:r w:rsidR="00B81B40">
        <w:rPr>
          <w:rFonts w:cs="Arial"/>
          <w:sz w:val="24"/>
          <w:szCs w:val="24"/>
        </w:rPr>
        <w:t>e, and that month-17 data demonstrated that there would be need for rescue therapies</w:t>
      </w:r>
      <w:r w:rsidR="0058586C">
        <w:rPr>
          <w:rFonts w:cs="Arial"/>
          <w:sz w:val="24"/>
          <w:szCs w:val="24"/>
        </w:rPr>
        <w:t xml:space="preserve"> (i.e. IVIg/PLEX). Emily Crowe agreed with Charles Crawley's view, that week-12 data from the RAISE trial did not suggest curative potential</w:t>
      </w:r>
      <w:r w:rsidR="001D7496">
        <w:rPr>
          <w:rFonts w:cs="Arial"/>
          <w:sz w:val="24"/>
          <w:szCs w:val="24"/>
        </w:rPr>
        <w:t xml:space="preserve">. </w:t>
      </w:r>
    </w:p>
    <w:p w14:paraId="41B8EDBD" w14:textId="213EC047" w:rsidR="001D7496" w:rsidRDefault="00E76927">
      <w:pPr>
        <w:pStyle w:val="Paragraph"/>
        <w:rPr>
          <w:rFonts w:cs="Arial"/>
          <w:sz w:val="24"/>
          <w:szCs w:val="24"/>
        </w:rPr>
      </w:pPr>
      <w:r w:rsidRPr="00772C2A">
        <w:rPr>
          <w:rFonts w:cs="Arial"/>
          <w:sz w:val="24"/>
          <w:szCs w:val="24"/>
        </w:rPr>
        <w:t>Jacoline Bouvy</w:t>
      </w:r>
      <w:r w:rsidR="007713B0">
        <w:rPr>
          <w:rFonts w:cs="Arial"/>
          <w:sz w:val="24"/>
          <w:szCs w:val="24"/>
        </w:rPr>
        <w:t>, for NICE</w:t>
      </w:r>
      <w:r w:rsidR="00F560E3">
        <w:rPr>
          <w:rFonts w:cs="Arial"/>
          <w:sz w:val="24"/>
          <w:szCs w:val="24"/>
        </w:rPr>
        <w:t>,</w:t>
      </w:r>
      <w:r w:rsidRPr="00772C2A">
        <w:rPr>
          <w:rFonts w:cs="Arial"/>
          <w:sz w:val="24"/>
          <w:szCs w:val="24"/>
        </w:rPr>
        <w:t xml:space="preserve"> </w:t>
      </w:r>
      <w:r w:rsidR="00074A63" w:rsidRPr="00772C2A">
        <w:rPr>
          <w:rFonts w:cs="Arial"/>
          <w:sz w:val="24"/>
          <w:szCs w:val="24"/>
        </w:rPr>
        <w:t xml:space="preserve">responded to </w:t>
      </w:r>
      <w:r w:rsidR="007713B0">
        <w:rPr>
          <w:rFonts w:cs="Arial"/>
          <w:sz w:val="24"/>
          <w:szCs w:val="24"/>
        </w:rPr>
        <w:t>UCB’</w:t>
      </w:r>
      <w:r w:rsidR="00074A63" w:rsidRPr="00772C2A">
        <w:rPr>
          <w:rFonts w:cs="Arial"/>
          <w:sz w:val="24"/>
          <w:szCs w:val="24"/>
        </w:rPr>
        <w:t xml:space="preserve">s suggestion that it would be almost impossible for </w:t>
      </w:r>
      <w:proofErr w:type="spellStart"/>
      <w:r w:rsidR="00074A63" w:rsidRPr="00772C2A">
        <w:rPr>
          <w:rFonts w:cs="Arial"/>
          <w:sz w:val="24"/>
          <w:szCs w:val="24"/>
        </w:rPr>
        <w:t>zilucoplan</w:t>
      </w:r>
      <w:proofErr w:type="spellEnd"/>
      <w:r w:rsidR="00074A63" w:rsidRPr="00772C2A">
        <w:rPr>
          <w:rFonts w:cs="Arial"/>
          <w:sz w:val="24"/>
          <w:szCs w:val="24"/>
        </w:rPr>
        <w:t xml:space="preserve"> to be considered a </w:t>
      </w:r>
      <w:r w:rsidR="005A5D49" w:rsidRPr="00772C2A">
        <w:rPr>
          <w:rFonts w:cs="Arial"/>
          <w:sz w:val="24"/>
          <w:szCs w:val="24"/>
        </w:rPr>
        <w:t>cost-effective</w:t>
      </w:r>
      <w:r w:rsidR="00074A63" w:rsidRPr="00772C2A">
        <w:rPr>
          <w:rFonts w:cs="Arial"/>
          <w:sz w:val="24"/>
          <w:szCs w:val="24"/>
        </w:rPr>
        <w:t xml:space="preserve"> use of NHS resource when added to the treatment sequence. She </w:t>
      </w:r>
      <w:r w:rsidR="00772C2A" w:rsidRPr="00772C2A">
        <w:rPr>
          <w:rFonts w:cs="Arial"/>
          <w:sz w:val="24"/>
          <w:szCs w:val="24"/>
        </w:rPr>
        <w:t xml:space="preserve">explained that the committee accepts that current NHS practice creates challenges in terms of demonstrating the cost effectiveness of </w:t>
      </w:r>
      <w:proofErr w:type="spellStart"/>
      <w:r w:rsidR="00772C2A" w:rsidRPr="00772C2A">
        <w:rPr>
          <w:rFonts w:cs="Arial"/>
          <w:sz w:val="24"/>
          <w:szCs w:val="24"/>
        </w:rPr>
        <w:t>zilucoplan</w:t>
      </w:r>
      <w:proofErr w:type="spellEnd"/>
      <w:r w:rsidR="00772C2A" w:rsidRPr="00772C2A">
        <w:rPr>
          <w:rFonts w:cs="Arial"/>
          <w:sz w:val="24"/>
          <w:szCs w:val="24"/>
        </w:rPr>
        <w:t xml:space="preserve">, </w:t>
      </w:r>
      <w:r w:rsidR="00772C2A">
        <w:rPr>
          <w:rFonts w:cs="Arial"/>
          <w:sz w:val="24"/>
          <w:szCs w:val="24"/>
        </w:rPr>
        <w:t xml:space="preserve">but that the committee </w:t>
      </w:r>
      <w:r w:rsidR="00772C2A" w:rsidRPr="00772C2A">
        <w:rPr>
          <w:rFonts w:cs="Arial"/>
          <w:sz w:val="24"/>
          <w:szCs w:val="24"/>
        </w:rPr>
        <w:t>d</w:t>
      </w:r>
      <w:r w:rsidR="00772C2A">
        <w:rPr>
          <w:rFonts w:cs="Arial"/>
          <w:sz w:val="24"/>
          <w:szCs w:val="24"/>
        </w:rPr>
        <w:t>id</w:t>
      </w:r>
      <w:r w:rsidR="00772C2A" w:rsidRPr="00772C2A">
        <w:rPr>
          <w:rFonts w:cs="Arial"/>
          <w:sz w:val="24"/>
          <w:szCs w:val="24"/>
        </w:rPr>
        <w:t xml:space="preserve"> not consider this to be an insurmountable </w:t>
      </w:r>
      <w:r w:rsidR="00772C2A">
        <w:rPr>
          <w:rFonts w:cs="Arial"/>
          <w:sz w:val="24"/>
          <w:szCs w:val="24"/>
        </w:rPr>
        <w:t xml:space="preserve">hurdle. Where a new technology reduces the need for subsequent treatment, this will impact the cost-effectiveness of the technology. The modelling in this appraisal, she explained, presented a challenging value proposition for </w:t>
      </w:r>
      <w:proofErr w:type="spellStart"/>
      <w:r w:rsidR="00772C2A">
        <w:rPr>
          <w:rFonts w:cs="Arial"/>
          <w:sz w:val="24"/>
          <w:szCs w:val="24"/>
        </w:rPr>
        <w:t>zilucop</w:t>
      </w:r>
      <w:r w:rsidR="00E9297F">
        <w:rPr>
          <w:rFonts w:cs="Arial"/>
          <w:sz w:val="24"/>
          <w:szCs w:val="24"/>
        </w:rPr>
        <w:t>l</w:t>
      </w:r>
      <w:r w:rsidR="00772C2A">
        <w:rPr>
          <w:rFonts w:cs="Arial"/>
          <w:sz w:val="24"/>
          <w:szCs w:val="24"/>
        </w:rPr>
        <w:t>an</w:t>
      </w:r>
      <w:proofErr w:type="spellEnd"/>
      <w:r w:rsidR="00772C2A">
        <w:rPr>
          <w:rFonts w:cs="Arial"/>
          <w:sz w:val="24"/>
          <w:szCs w:val="24"/>
        </w:rPr>
        <w:t xml:space="preserve">. The committee were aware of that fact and considered it extensively. </w:t>
      </w:r>
    </w:p>
    <w:p w14:paraId="7A23AB91" w14:textId="06D8ADD9" w:rsidR="00863521" w:rsidRDefault="00863521">
      <w:pPr>
        <w:pStyle w:val="Paragraph"/>
        <w:rPr>
          <w:rFonts w:cs="Arial"/>
          <w:sz w:val="24"/>
          <w:szCs w:val="24"/>
        </w:rPr>
      </w:pPr>
      <w:r>
        <w:rPr>
          <w:rFonts w:cs="Arial"/>
          <w:sz w:val="24"/>
          <w:szCs w:val="24"/>
        </w:rPr>
        <w:t xml:space="preserve">In response, Adela Williams explained </w:t>
      </w:r>
      <w:r w:rsidR="000A32A1">
        <w:rPr>
          <w:rFonts w:cs="Arial"/>
          <w:sz w:val="24"/>
          <w:szCs w:val="24"/>
        </w:rPr>
        <w:t>UCB</w:t>
      </w:r>
      <w:r>
        <w:rPr>
          <w:rFonts w:cs="Arial"/>
          <w:sz w:val="24"/>
          <w:szCs w:val="24"/>
        </w:rPr>
        <w:t xml:space="preserve">'s position, that NICE had conflated two things: subsequent treatment and </w:t>
      </w:r>
      <w:proofErr w:type="gramStart"/>
      <w:r>
        <w:rPr>
          <w:rFonts w:cs="Arial"/>
          <w:sz w:val="24"/>
          <w:szCs w:val="24"/>
        </w:rPr>
        <w:t>whether or not</w:t>
      </w:r>
      <w:proofErr w:type="gramEnd"/>
      <w:r>
        <w:rPr>
          <w:rFonts w:cs="Arial"/>
          <w:sz w:val="24"/>
          <w:szCs w:val="24"/>
        </w:rPr>
        <w:t xml:space="preserve"> there should be two or three lines in each arm (comparator v treatment). </w:t>
      </w:r>
      <w:r w:rsidR="000A32A1">
        <w:rPr>
          <w:rFonts w:cs="Arial"/>
          <w:sz w:val="24"/>
          <w:szCs w:val="24"/>
        </w:rPr>
        <w:t>UCB</w:t>
      </w:r>
      <w:r>
        <w:rPr>
          <w:rFonts w:cs="Arial"/>
          <w:sz w:val="24"/>
          <w:szCs w:val="24"/>
        </w:rPr>
        <w:t xml:space="preserve"> agreed that subsequent treatment</w:t>
      </w:r>
      <w:r w:rsidR="00FF2851">
        <w:rPr>
          <w:rFonts w:cs="Arial"/>
          <w:sz w:val="24"/>
          <w:szCs w:val="24"/>
        </w:rPr>
        <w:t>s</w:t>
      </w:r>
      <w:r>
        <w:rPr>
          <w:rFonts w:cs="Arial"/>
          <w:sz w:val="24"/>
          <w:szCs w:val="24"/>
        </w:rPr>
        <w:t xml:space="preserve"> were considered in the modelling, but that </w:t>
      </w:r>
      <w:r w:rsidR="00FF2851">
        <w:rPr>
          <w:rFonts w:cs="Arial"/>
          <w:sz w:val="24"/>
          <w:szCs w:val="24"/>
        </w:rPr>
        <w:t xml:space="preserve">proposition </w:t>
      </w:r>
      <w:r>
        <w:rPr>
          <w:rFonts w:cs="Arial"/>
          <w:sz w:val="24"/>
          <w:szCs w:val="24"/>
        </w:rPr>
        <w:t xml:space="preserve">was materially different to agreeing that there ought to be three lines of treatment in the </w:t>
      </w:r>
      <w:proofErr w:type="spellStart"/>
      <w:r>
        <w:rPr>
          <w:rFonts w:cs="Arial"/>
          <w:sz w:val="24"/>
          <w:szCs w:val="24"/>
        </w:rPr>
        <w:t>zilucoplan</w:t>
      </w:r>
      <w:proofErr w:type="spellEnd"/>
      <w:r>
        <w:rPr>
          <w:rFonts w:cs="Arial"/>
          <w:sz w:val="24"/>
          <w:szCs w:val="24"/>
        </w:rPr>
        <w:t xml:space="preserve"> arm of the model vs two lines of treatment in the comparator arm of the model. </w:t>
      </w:r>
      <w:r w:rsidR="00CC7259">
        <w:rPr>
          <w:rFonts w:cs="Arial"/>
          <w:sz w:val="24"/>
          <w:szCs w:val="24"/>
        </w:rPr>
        <w:t>Adela Williams further</w:t>
      </w:r>
      <w:r w:rsidR="009C13A4">
        <w:rPr>
          <w:rFonts w:cs="Arial"/>
          <w:sz w:val="24"/>
          <w:szCs w:val="24"/>
        </w:rPr>
        <w:t xml:space="preserve"> </w:t>
      </w:r>
      <w:r w:rsidR="005E6C3D">
        <w:rPr>
          <w:rFonts w:cs="Arial"/>
          <w:sz w:val="24"/>
          <w:szCs w:val="24"/>
        </w:rPr>
        <w:t xml:space="preserve">argued </w:t>
      </w:r>
      <w:r w:rsidR="009C13A4">
        <w:rPr>
          <w:rFonts w:cs="Arial"/>
          <w:sz w:val="24"/>
          <w:szCs w:val="24"/>
        </w:rPr>
        <w:t xml:space="preserve">that any treatment, for any condition which requires a sequence of treatments will engage the same issues, and that the committee is therefore obliged to adopt the same approach in relation to </w:t>
      </w:r>
      <w:proofErr w:type="spellStart"/>
      <w:r w:rsidR="009C13A4">
        <w:rPr>
          <w:rFonts w:cs="Arial"/>
          <w:sz w:val="24"/>
          <w:szCs w:val="24"/>
        </w:rPr>
        <w:t>zilucoplan</w:t>
      </w:r>
      <w:proofErr w:type="spellEnd"/>
      <w:r w:rsidR="009C13A4">
        <w:rPr>
          <w:rFonts w:cs="Arial"/>
          <w:sz w:val="24"/>
          <w:szCs w:val="24"/>
        </w:rPr>
        <w:t xml:space="preserve">. </w:t>
      </w:r>
    </w:p>
    <w:p w14:paraId="2C19AA78" w14:textId="06B47300" w:rsidR="00C31562" w:rsidRDefault="00C31562">
      <w:pPr>
        <w:pStyle w:val="Paragraph"/>
        <w:rPr>
          <w:rFonts w:cs="Arial"/>
          <w:sz w:val="24"/>
          <w:szCs w:val="24"/>
        </w:rPr>
      </w:pPr>
      <w:r>
        <w:rPr>
          <w:rFonts w:cs="Arial"/>
          <w:sz w:val="24"/>
          <w:szCs w:val="24"/>
        </w:rPr>
        <w:lastRenderedPageBreak/>
        <w:t xml:space="preserve">Adela Williams reiterated that, in respect of procedural fairness, the disparity between the number of lines in both arms of the model only arose after the third committee </w:t>
      </w:r>
      <w:proofErr w:type="gramStart"/>
      <w:r>
        <w:rPr>
          <w:rFonts w:cs="Arial"/>
          <w:sz w:val="24"/>
          <w:szCs w:val="24"/>
        </w:rPr>
        <w:t>meeting, and</w:t>
      </w:r>
      <w:proofErr w:type="gramEnd"/>
      <w:r>
        <w:rPr>
          <w:rFonts w:cs="Arial"/>
          <w:sz w:val="24"/>
          <w:szCs w:val="24"/>
        </w:rPr>
        <w:t xml:space="preserve"> is mentioned at paragraph 3.16 of the FDG but was not explicitly reference</w:t>
      </w:r>
      <w:r w:rsidR="00336336">
        <w:rPr>
          <w:rFonts w:cs="Arial"/>
          <w:sz w:val="24"/>
          <w:szCs w:val="24"/>
        </w:rPr>
        <w:t>d</w:t>
      </w:r>
      <w:r>
        <w:rPr>
          <w:rFonts w:cs="Arial"/>
          <w:sz w:val="24"/>
          <w:szCs w:val="24"/>
        </w:rPr>
        <w:t xml:space="preserve"> in the first or second draft guidance. </w:t>
      </w:r>
      <w:r w:rsidR="00632F29">
        <w:rPr>
          <w:rFonts w:cs="Arial"/>
          <w:sz w:val="24"/>
          <w:szCs w:val="24"/>
        </w:rPr>
        <w:t xml:space="preserve">She expressed </w:t>
      </w:r>
      <w:r w:rsidR="00226E38">
        <w:rPr>
          <w:rFonts w:cs="Arial"/>
          <w:sz w:val="24"/>
          <w:szCs w:val="24"/>
        </w:rPr>
        <w:t>UCB</w:t>
      </w:r>
      <w:r w:rsidR="00632F29">
        <w:rPr>
          <w:rFonts w:cs="Arial"/>
          <w:sz w:val="24"/>
          <w:szCs w:val="24"/>
        </w:rPr>
        <w:t xml:space="preserve">'s view that this change warranted further consultation. </w:t>
      </w:r>
    </w:p>
    <w:p w14:paraId="3F9E0317" w14:textId="1D8E1DA5" w:rsidR="00632F29" w:rsidRDefault="00632F29">
      <w:pPr>
        <w:pStyle w:val="Paragraph"/>
        <w:rPr>
          <w:rFonts w:cs="Arial"/>
          <w:sz w:val="24"/>
          <w:szCs w:val="24"/>
        </w:rPr>
      </w:pPr>
      <w:r>
        <w:rPr>
          <w:rFonts w:cs="Arial"/>
          <w:sz w:val="24"/>
          <w:szCs w:val="24"/>
        </w:rPr>
        <w:t xml:space="preserve">Charles Crawley </w:t>
      </w:r>
      <w:r w:rsidR="00474AC4">
        <w:rPr>
          <w:rFonts w:cs="Arial"/>
          <w:sz w:val="24"/>
          <w:szCs w:val="24"/>
        </w:rPr>
        <w:t xml:space="preserve">noted the committee's view that </w:t>
      </w:r>
      <w:proofErr w:type="spellStart"/>
      <w:r w:rsidR="00474AC4">
        <w:rPr>
          <w:rFonts w:cs="Arial"/>
          <w:sz w:val="24"/>
          <w:szCs w:val="24"/>
        </w:rPr>
        <w:t>zilucoplan</w:t>
      </w:r>
      <w:proofErr w:type="spellEnd"/>
      <w:r w:rsidR="00474AC4">
        <w:rPr>
          <w:rFonts w:cs="Arial"/>
          <w:sz w:val="24"/>
          <w:szCs w:val="24"/>
        </w:rPr>
        <w:t xml:space="preserve"> is seen as an additiona</w:t>
      </w:r>
      <w:r w:rsidR="00D52D7C">
        <w:rPr>
          <w:rFonts w:cs="Arial"/>
          <w:sz w:val="24"/>
          <w:szCs w:val="24"/>
        </w:rPr>
        <w:t>l</w:t>
      </w:r>
      <w:r w:rsidR="00474AC4">
        <w:rPr>
          <w:rFonts w:cs="Arial"/>
          <w:sz w:val="24"/>
          <w:szCs w:val="24"/>
        </w:rPr>
        <w:t xml:space="preserve"> line of therapy, and so it was rational for there to be an additional line of treatment in the </w:t>
      </w:r>
      <w:proofErr w:type="spellStart"/>
      <w:r w:rsidR="00474AC4">
        <w:rPr>
          <w:rFonts w:cs="Arial"/>
          <w:sz w:val="24"/>
          <w:szCs w:val="24"/>
        </w:rPr>
        <w:t>zilucoplan</w:t>
      </w:r>
      <w:proofErr w:type="spellEnd"/>
      <w:r w:rsidR="00514A3F">
        <w:rPr>
          <w:rFonts w:cs="Arial"/>
          <w:sz w:val="24"/>
          <w:szCs w:val="24"/>
        </w:rPr>
        <w:t xml:space="preserve"> arm of the model.</w:t>
      </w:r>
    </w:p>
    <w:p w14:paraId="0E061805" w14:textId="45DA1B43" w:rsidR="00AD5F42" w:rsidRDefault="00AD5F42" w:rsidP="00AD5F42">
      <w:pPr>
        <w:pStyle w:val="Paragraph"/>
        <w:rPr>
          <w:rFonts w:cs="Arial"/>
          <w:sz w:val="24"/>
          <w:szCs w:val="24"/>
        </w:rPr>
      </w:pPr>
      <w:r>
        <w:rPr>
          <w:rFonts w:cs="Arial"/>
          <w:sz w:val="24"/>
          <w:szCs w:val="24"/>
        </w:rPr>
        <w:t xml:space="preserve">The </w:t>
      </w:r>
      <w:r w:rsidR="00331BAF">
        <w:rPr>
          <w:rFonts w:cs="Arial"/>
          <w:sz w:val="24"/>
          <w:szCs w:val="24"/>
        </w:rPr>
        <w:t xml:space="preserve">appeal </w:t>
      </w:r>
      <w:r>
        <w:rPr>
          <w:rFonts w:cs="Arial"/>
          <w:sz w:val="24"/>
          <w:szCs w:val="24"/>
        </w:rPr>
        <w:t xml:space="preserve">panel asked whether there was any indication that </w:t>
      </w:r>
      <w:proofErr w:type="spellStart"/>
      <w:r>
        <w:rPr>
          <w:rFonts w:cs="Arial"/>
          <w:sz w:val="24"/>
          <w:szCs w:val="24"/>
        </w:rPr>
        <w:t>zilucoplan</w:t>
      </w:r>
      <w:proofErr w:type="spellEnd"/>
      <w:r>
        <w:rPr>
          <w:rFonts w:cs="Arial"/>
          <w:sz w:val="24"/>
          <w:szCs w:val="24"/>
        </w:rPr>
        <w:t xml:space="preserve"> was disease modifying, and whether (as a result) there was any suggestion that IVIg/PLEX would be as effective, </w:t>
      </w:r>
      <w:proofErr w:type="gramStart"/>
      <w:r>
        <w:rPr>
          <w:rFonts w:cs="Arial"/>
          <w:sz w:val="24"/>
          <w:szCs w:val="24"/>
        </w:rPr>
        <w:t>more or less effective</w:t>
      </w:r>
      <w:proofErr w:type="gramEnd"/>
      <w:r>
        <w:rPr>
          <w:rFonts w:cs="Arial"/>
          <w:sz w:val="24"/>
          <w:szCs w:val="24"/>
        </w:rPr>
        <w:t xml:space="preserve"> as a second line treatment than it would be as third line treatment. </w:t>
      </w:r>
    </w:p>
    <w:p w14:paraId="10DB24B9" w14:textId="6631F745" w:rsidR="00AD5F42" w:rsidRPr="00AD5F42" w:rsidRDefault="00C8771C" w:rsidP="00AD5F42">
      <w:pPr>
        <w:pStyle w:val="Paragraph"/>
        <w:rPr>
          <w:rFonts w:cs="Arial"/>
          <w:sz w:val="24"/>
          <w:szCs w:val="24"/>
        </w:rPr>
      </w:pPr>
      <w:r>
        <w:rPr>
          <w:rFonts w:cs="Arial"/>
          <w:sz w:val="24"/>
          <w:szCs w:val="24"/>
        </w:rPr>
        <w:t xml:space="preserve">Maria da Silva Leite, for </w:t>
      </w:r>
      <w:r w:rsidR="004E234E">
        <w:rPr>
          <w:rFonts w:cs="Arial"/>
          <w:sz w:val="24"/>
          <w:szCs w:val="24"/>
        </w:rPr>
        <w:t>UCB</w:t>
      </w:r>
      <w:r w:rsidR="00213A77">
        <w:rPr>
          <w:rFonts w:cs="Arial"/>
          <w:sz w:val="24"/>
          <w:szCs w:val="24"/>
        </w:rPr>
        <w:t xml:space="preserve">, </w:t>
      </w:r>
      <w:r w:rsidR="00336336">
        <w:rPr>
          <w:rFonts w:cs="Arial"/>
          <w:sz w:val="24"/>
          <w:szCs w:val="24"/>
        </w:rPr>
        <w:t xml:space="preserve">said </w:t>
      </w:r>
      <w:r w:rsidR="00213A77">
        <w:rPr>
          <w:rFonts w:cs="Arial"/>
          <w:sz w:val="24"/>
          <w:szCs w:val="24"/>
        </w:rPr>
        <w:t xml:space="preserve">that </w:t>
      </w:r>
      <w:proofErr w:type="spellStart"/>
      <w:r w:rsidR="0010085D">
        <w:rPr>
          <w:rFonts w:cs="Arial"/>
          <w:sz w:val="24"/>
          <w:szCs w:val="24"/>
        </w:rPr>
        <w:t>zilucoplan</w:t>
      </w:r>
      <w:proofErr w:type="spellEnd"/>
      <w:r w:rsidR="0010085D">
        <w:rPr>
          <w:rFonts w:cs="Arial"/>
          <w:sz w:val="24"/>
          <w:szCs w:val="24"/>
        </w:rPr>
        <w:t xml:space="preserve"> was neither curative nor disease modifying, but that it offered a high chance of disease improvement in a sustained and significant way. She explained that patients with refractory </w:t>
      </w:r>
      <w:proofErr w:type="spellStart"/>
      <w:r w:rsidR="0010085D">
        <w:rPr>
          <w:rFonts w:cs="Arial"/>
          <w:sz w:val="24"/>
          <w:szCs w:val="24"/>
        </w:rPr>
        <w:t>gMG</w:t>
      </w:r>
      <w:proofErr w:type="spellEnd"/>
      <w:r w:rsidR="0010085D">
        <w:rPr>
          <w:rFonts w:cs="Arial"/>
          <w:sz w:val="24"/>
          <w:szCs w:val="24"/>
        </w:rPr>
        <w:t xml:space="preserve"> often improve </w:t>
      </w:r>
      <w:r w:rsidR="00730367">
        <w:rPr>
          <w:rFonts w:cs="Arial"/>
          <w:sz w:val="24"/>
          <w:szCs w:val="24"/>
        </w:rPr>
        <w:t>for a short period of time on IVIg/PLEX – but that the effect would not be sustained and</w:t>
      </w:r>
      <w:r w:rsidR="00CC7259">
        <w:rPr>
          <w:rFonts w:cs="Arial"/>
          <w:sz w:val="24"/>
          <w:szCs w:val="24"/>
        </w:rPr>
        <w:t xml:space="preserve"> there would be gradual waning</w:t>
      </w:r>
      <w:r w:rsidR="00730367">
        <w:rPr>
          <w:rFonts w:cs="Arial"/>
          <w:sz w:val="24"/>
          <w:szCs w:val="24"/>
        </w:rPr>
        <w:t xml:space="preserve"> until the next administration of IVIg/PLEX. </w:t>
      </w:r>
    </w:p>
    <w:p w14:paraId="6F04C118" w14:textId="7224A7EF" w:rsidR="0005178D" w:rsidRDefault="004538EE" w:rsidP="0005178D">
      <w:pPr>
        <w:pStyle w:val="Paragraph"/>
        <w:rPr>
          <w:rFonts w:cs="Arial"/>
          <w:sz w:val="24"/>
          <w:szCs w:val="24"/>
        </w:rPr>
      </w:pPr>
      <w:r>
        <w:rPr>
          <w:rFonts w:cs="Arial"/>
          <w:sz w:val="24"/>
          <w:szCs w:val="24"/>
        </w:rPr>
        <w:t xml:space="preserve">The </w:t>
      </w:r>
      <w:r w:rsidR="00A6799D">
        <w:rPr>
          <w:rFonts w:cs="Arial"/>
          <w:sz w:val="24"/>
          <w:szCs w:val="24"/>
        </w:rPr>
        <w:t xml:space="preserve">appeal </w:t>
      </w:r>
      <w:r>
        <w:rPr>
          <w:rFonts w:cs="Arial"/>
          <w:sz w:val="24"/>
          <w:szCs w:val="24"/>
        </w:rPr>
        <w:t xml:space="preserve">panel asked whether there was any evidence </w:t>
      </w:r>
      <w:r w:rsidR="00D41E6E">
        <w:rPr>
          <w:rFonts w:cs="Arial"/>
          <w:sz w:val="24"/>
          <w:szCs w:val="24"/>
        </w:rPr>
        <w:t xml:space="preserve">to suggest differential response to future IVIg/PLEX based on whether </w:t>
      </w:r>
      <w:r w:rsidR="00336336">
        <w:rPr>
          <w:rFonts w:cs="Arial"/>
          <w:sz w:val="24"/>
          <w:szCs w:val="24"/>
        </w:rPr>
        <w:t>a patient</w:t>
      </w:r>
      <w:r w:rsidR="00D41E6E">
        <w:rPr>
          <w:rFonts w:cs="Arial"/>
          <w:sz w:val="24"/>
          <w:szCs w:val="24"/>
        </w:rPr>
        <w:t xml:space="preserve"> had received </w:t>
      </w:r>
      <w:proofErr w:type="spellStart"/>
      <w:r w:rsidR="00D41E6E">
        <w:rPr>
          <w:rFonts w:cs="Arial"/>
          <w:sz w:val="24"/>
          <w:szCs w:val="24"/>
        </w:rPr>
        <w:t>zilucoplan</w:t>
      </w:r>
      <w:proofErr w:type="spellEnd"/>
      <w:r w:rsidR="00D41E6E">
        <w:rPr>
          <w:rFonts w:cs="Arial"/>
          <w:sz w:val="24"/>
          <w:szCs w:val="24"/>
        </w:rPr>
        <w:t xml:space="preserve"> or standard treatment. </w:t>
      </w:r>
      <w:r w:rsidR="00081BA7">
        <w:rPr>
          <w:rFonts w:cs="Arial"/>
          <w:sz w:val="24"/>
          <w:szCs w:val="24"/>
        </w:rPr>
        <w:t xml:space="preserve">Maria da Silva Leite said that there was no such evidence at present, on the basis that many of those receiving </w:t>
      </w:r>
      <w:proofErr w:type="spellStart"/>
      <w:r w:rsidR="00081BA7">
        <w:rPr>
          <w:rFonts w:cs="Arial"/>
          <w:sz w:val="24"/>
          <w:szCs w:val="24"/>
        </w:rPr>
        <w:t>zilucoplan</w:t>
      </w:r>
      <w:proofErr w:type="spellEnd"/>
      <w:r w:rsidR="00081BA7">
        <w:rPr>
          <w:rFonts w:cs="Arial"/>
          <w:sz w:val="24"/>
          <w:szCs w:val="24"/>
        </w:rPr>
        <w:t xml:space="preserve"> in clinical trials remained on </w:t>
      </w:r>
      <w:proofErr w:type="spellStart"/>
      <w:r w:rsidR="00081BA7">
        <w:rPr>
          <w:rFonts w:cs="Arial"/>
          <w:sz w:val="24"/>
          <w:szCs w:val="24"/>
        </w:rPr>
        <w:t>zilucoplan</w:t>
      </w:r>
      <w:proofErr w:type="spellEnd"/>
      <w:r w:rsidR="00081BA7">
        <w:rPr>
          <w:rFonts w:cs="Arial"/>
          <w:sz w:val="24"/>
          <w:szCs w:val="24"/>
        </w:rPr>
        <w:t xml:space="preserve"> at the time of the appeal hearing</w:t>
      </w:r>
      <w:r w:rsidR="0005178D">
        <w:rPr>
          <w:rFonts w:cs="Arial"/>
          <w:sz w:val="24"/>
          <w:szCs w:val="24"/>
        </w:rPr>
        <w:t xml:space="preserve">, and that there was therefore limited clinical experience in comparative efficacy of other rescue treatments before and after </w:t>
      </w:r>
      <w:proofErr w:type="spellStart"/>
      <w:r w:rsidR="0005178D">
        <w:rPr>
          <w:rFonts w:cs="Arial"/>
          <w:sz w:val="24"/>
          <w:szCs w:val="24"/>
        </w:rPr>
        <w:t>zilucoplan</w:t>
      </w:r>
      <w:proofErr w:type="spellEnd"/>
      <w:r w:rsidR="0005178D">
        <w:rPr>
          <w:rFonts w:cs="Arial"/>
          <w:sz w:val="24"/>
          <w:szCs w:val="24"/>
        </w:rPr>
        <w:t xml:space="preserve">. </w:t>
      </w:r>
    </w:p>
    <w:p w14:paraId="78973D82" w14:textId="7DD43151" w:rsidR="0005178D" w:rsidRDefault="00C012BE" w:rsidP="0005178D">
      <w:pPr>
        <w:pStyle w:val="Paragraph"/>
        <w:rPr>
          <w:rFonts w:cs="Arial"/>
          <w:sz w:val="24"/>
          <w:szCs w:val="24"/>
        </w:rPr>
      </w:pPr>
      <w:r>
        <w:rPr>
          <w:rFonts w:cs="Arial"/>
          <w:sz w:val="24"/>
          <w:szCs w:val="24"/>
        </w:rPr>
        <w:t>Matthew Binns, for</w:t>
      </w:r>
      <w:r w:rsidR="00782AD9">
        <w:rPr>
          <w:rFonts w:cs="Arial"/>
          <w:sz w:val="24"/>
          <w:szCs w:val="24"/>
        </w:rPr>
        <w:t xml:space="preserve"> UCB</w:t>
      </w:r>
      <w:r>
        <w:rPr>
          <w:rFonts w:cs="Arial"/>
          <w:sz w:val="24"/>
          <w:szCs w:val="24"/>
        </w:rPr>
        <w:t xml:space="preserve">, said that </w:t>
      </w:r>
      <w:r w:rsidR="00782AD9">
        <w:rPr>
          <w:rFonts w:cs="Arial"/>
          <w:sz w:val="24"/>
          <w:szCs w:val="24"/>
        </w:rPr>
        <w:t>UCB</w:t>
      </w:r>
      <w:r>
        <w:rPr>
          <w:rFonts w:cs="Arial"/>
          <w:sz w:val="24"/>
          <w:szCs w:val="24"/>
        </w:rPr>
        <w:t xml:space="preserve"> had not at any stage modelled three lines of therapy in the treatment arms and two lines in </w:t>
      </w:r>
      <w:r>
        <w:rPr>
          <w:rFonts w:cs="Arial"/>
          <w:sz w:val="24"/>
          <w:szCs w:val="24"/>
        </w:rPr>
        <w:lastRenderedPageBreak/>
        <w:t xml:space="preserve">the comparator arm. He explained that a consequence of the comparator arm modelling as preferred by the committee, was that a significant proportion of patients would be left on standard treatment for the rest of their lives. </w:t>
      </w:r>
    </w:p>
    <w:p w14:paraId="525CC07B" w14:textId="3696112A" w:rsidR="000B5B30" w:rsidRDefault="00E92A12" w:rsidP="0005178D">
      <w:pPr>
        <w:pStyle w:val="Paragraph"/>
        <w:rPr>
          <w:rFonts w:cs="Arial"/>
          <w:sz w:val="24"/>
          <w:szCs w:val="24"/>
        </w:rPr>
      </w:pPr>
      <w:r>
        <w:rPr>
          <w:rFonts w:cs="Arial"/>
          <w:sz w:val="24"/>
          <w:szCs w:val="24"/>
        </w:rPr>
        <w:t xml:space="preserve">Emily Crowe </w:t>
      </w:r>
      <w:r w:rsidR="00704129">
        <w:rPr>
          <w:rFonts w:cs="Arial"/>
          <w:sz w:val="24"/>
          <w:szCs w:val="24"/>
        </w:rPr>
        <w:t xml:space="preserve">described that at the time of the appraisal, there were no </w:t>
      </w:r>
      <w:r w:rsidR="00336336">
        <w:rPr>
          <w:rFonts w:cs="Arial"/>
          <w:sz w:val="24"/>
          <w:szCs w:val="24"/>
        </w:rPr>
        <w:t>long-term</w:t>
      </w:r>
      <w:r w:rsidR="00704129">
        <w:rPr>
          <w:rFonts w:cs="Arial"/>
          <w:sz w:val="24"/>
          <w:szCs w:val="24"/>
        </w:rPr>
        <w:t xml:space="preserve"> data (with the RAISE trial having 12 weeks of data, and RAISE-XT having 84 weeks of data), and so the committee had to rely on clinical expert input to inform the committee's assumptions. She said that </w:t>
      </w:r>
      <w:r w:rsidR="001C7A21">
        <w:rPr>
          <w:rFonts w:cs="Arial"/>
          <w:sz w:val="24"/>
          <w:szCs w:val="24"/>
        </w:rPr>
        <w:t>the clinical expert input was clear</w:t>
      </w:r>
      <w:r w:rsidR="005A372F">
        <w:rPr>
          <w:rFonts w:cs="Arial"/>
          <w:sz w:val="24"/>
          <w:szCs w:val="24"/>
        </w:rPr>
        <w:t xml:space="preserve"> that</w:t>
      </w:r>
      <w:r w:rsidR="001C7A21">
        <w:rPr>
          <w:rFonts w:cs="Arial"/>
          <w:sz w:val="24"/>
          <w:szCs w:val="24"/>
        </w:rPr>
        <w:t xml:space="preserve"> patients would go on to IVIg/PLEX after </w:t>
      </w:r>
      <w:proofErr w:type="spellStart"/>
      <w:r w:rsidR="001C7A21">
        <w:rPr>
          <w:rFonts w:cs="Arial"/>
          <w:sz w:val="24"/>
          <w:szCs w:val="24"/>
        </w:rPr>
        <w:t>zilucoplan</w:t>
      </w:r>
      <w:proofErr w:type="spellEnd"/>
      <w:r w:rsidR="001C7A21">
        <w:rPr>
          <w:rFonts w:cs="Arial"/>
          <w:sz w:val="24"/>
          <w:szCs w:val="24"/>
        </w:rPr>
        <w:t xml:space="preserve">. </w:t>
      </w:r>
      <w:r w:rsidR="005A372F">
        <w:rPr>
          <w:rFonts w:cs="Arial"/>
          <w:sz w:val="24"/>
          <w:szCs w:val="24"/>
        </w:rPr>
        <w:t xml:space="preserve">Charles Crawley, agreeing with Emily Crowe, referred </w:t>
      </w:r>
      <w:r w:rsidR="00A10F4D">
        <w:rPr>
          <w:rFonts w:cs="Arial"/>
          <w:sz w:val="24"/>
          <w:szCs w:val="24"/>
        </w:rPr>
        <w:t xml:space="preserve">to the fact that the committee is required to take the entire sequence of a treatment into account, which is why the committee concluded </w:t>
      </w:r>
      <w:r w:rsidR="000B5B30">
        <w:rPr>
          <w:rFonts w:cs="Arial"/>
          <w:sz w:val="24"/>
          <w:szCs w:val="24"/>
        </w:rPr>
        <w:t xml:space="preserve">that </w:t>
      </w:r>
      <w:proofErr w:type="spellStart"/>
      <w:r w:rsidR="000B5B30">
        <w:rPr>
          <w:rFonts w:cs="Arial"/>
          <w:sz w:val="24"/>
          <w:szCs w:val="24"/>
        </w:rPr>
        <w:t>zilucoplan</w:t>
      </w:r>
      <w:proofErr w:type="spellEnd"/>
      <w:r w:rsidR="000B5B30">
        <w:rPr>
          <w:rFonts w:cs="Arial"/>
          <w:sz w:val="24"/>
          <w:szCs w:val="24"/>
        </w:rPr>
        <w:t xml:space="preserve"> added an additional line to the treatment pathway. </w:t>
      </w:r>
    </w:p>
    <w:p w14:paraId="66F3D1EC" w14:textId="3B66D0C0" w:rsidR="00E92A12" w:rsidRDefault="006B0296" w:rsidP="0005178D">
      <w:pPr>
        <w:pStyle w:val="Paragraph"/>
        <w:rPr>
          <w:rFonts w:cs="Arial"/>
          <w:sz w:val="24"/>
          <w:szCs w:val="24"/>
        </w:rPr>
      </w:pPr>
      <w:r>
        <w:rPr>
          <w:rFonts w:cs="Arial"/>
          <w:sz w:val="24"/>
          <w:szCs w:val="24"/>
        </w:rPr>
        <w:t>Concluding the</w:t>
      </w:r>
      <w:r w:rsidR="00336336">
        <w:rPr>
          <w:rFonts w:cs="Arial"/>
          <w:sz w:val="24"/>
          <w:szCs w:val="24"/>
        </w:rPr>
        <w:t xml:space="preserve"> discussion of the</w:t>
      </w:r>
      <w:r>
        <w:rPr>
          <w:rFonts w:cs="Arial"/>
          <w:sz w:val="24"/>
          <w:szCs w:val="24"/>
        </w:rPr>
        <w:t xml:space="preserve">se two appeal points, Jacoline Bouvy </w:t>
      </w:r>
      <w:r w:rsidR="006C2CC7">
        <w:rPr>
          <w:rFonts w:cs="Arial"/>
          <w:sz w:val="24"/>
          <w:szCs w:val="24"/>
        </w:rPr>
        <w:t xml:space="preserve">said that the perceived inconsistency may lie in the sequencing of treatments, and that a model needs to capture all the differences in treatment over the lifetime of the patient to ensure that all important cost / benefit outcome differences are accounted for. </w:t>
      </w:r>
    </w:p>
    <w:p w14:paraId="66CA19CB" w14:textId="06991F17" w:rsidR="00F26B67" w:rsidRDefault="00F26B67" w:rsidP="0005178D">
      <w:pPr>
        <w:pStyle w:val="Paragraph"/>
        <w:rPr>
          <w:rFonts w:cs="Arial"/>
          <w:sz w:val="24"/>
          <w:szCs w:val="24"/>
        </w:rPr>
      </w:pPr>
      <w:r>
        <w:rPr>
          <w:rFonts w:cs="Arial"/>
          <w:sz w:val="24"/>
          <w:szCs w:val="24"/>
        </w:rPr>
        <w:t xml:space="preserve">Although these appeal points were </w:t>
      </w:r>
      <w:r w:rsidR="00336336">
        <w:rPr>
          <w:rFonts w:cs="Arial"/>
          <w:sz w:val="24"/>
          <w:szCs w:val="24"/>
        </w:rPr>
        <w:t xml:space="preserve">discussed </w:t>
      </w:r>
      <w:r>
        <w:rPr>
          <w:rFonts w:cs="Arial"/>
          <w:sz w:val="24"/>
          <w:szCs w:val="24"/>
        </w:rPr>
        <w:t xml:space="preserve">together </w:t>
      </w:r>
      <w:r w:rsidR="00336336">
        <w:rPr>
          <w:rFonts w:cs="Arial"/>
          <w:sz w:val="24"/>
          <w:szCs w:val="24"/>
        </w:rPr>
        <w:t xml:space="preserve">during </w:t>
      </w:r>
      <w:r>
        <w:rPr>
          <w:rFonts w:cs="Arial"/>
          <w:sz w:val="24"/>
          <w:szCs w:val="24"/>
        </w:rPr>
        <w:t xml:space="preserve">the hearing, the panel arrived at separate decisions </w:t>
      </w:r>
      <w:proofErr w:type="gramStart"/>
      <w:r>
        <w:rPr>
          <w:rFonts w:cs="Arial"/>
          <w:sz w:val="24"/>
          <w:szCs w:val="24"/>
        </w:rPr>
        <w:t>in regard to</w:t>
      </w:r>
      <w:proofErr w:type="gramEnd"/>
      <w:r>
        <w:rPr>
          <w:rFonts w:cs="Arial"/>
          <w:sz w:val="24"/>
          <w:szCs w:val="24"/>
        </w:rPr>
        <w:t xml:space="preserve"> the two different points that related to different grounds for appeal. </w:t>
      </w:r>
    </w:p>
    <w:p w14:paraId="3F1C2A87" w14:textId="4859E6E9" w:rsidR="006C2CC7" w:rsidRDefault="00F26B67" w:rsidP="0005178D">
      <w:pPr>
        <w:pStyle w:val="Paragraph"/>
        <w:rPr>
          <w:rFonts w:cs="Arial"/>
          <w:sz w:val="24"/>
          <w:szCs w:val="24"/>
        </w:rPr>
      </w:pPr>
      <w:r>
        <w:rPr>
          <w:rFonts w:cs="Arial"/>
          <w:sz w:val="24"/>
          <w:szCs w:val="24"/>
        </w:rPr>
        <w:t>In relation to UCB</w:t>
      </w:r>
      <w:r w:rsidR="0029530A">
        <w:rPr>
          <w:rFonts w:cs="Arial"/>
          <w:sz w:val="24"/>
          <w:szCs w:val="24"/>
        </w:rPr>
        <w:t>’s</w:t>
      </w:r>
      <w:r>
        <w:rPr>
          <w:rFonts w:cs="Arial"/>
          <w:sz w:val="24"/>
          <w:szCs w:val="24"/>
        </w:rPr>
        <w:t xml:space="preserve"> </w:t>
      </w:r>
      <w:r w:rsidR="0038368F">
        <w:rPr>
          <w:rFonts w:cs="Arial"/>
          <w:sz w:val="24"/>
          <w:szCs w:val="24"/>
        </w:rPr>
        <w:t>a</w:t>
      </w:r>
      <w:r>
        <w:rPr>
          <w:rFonts w:cs="Arial"/>
          <w:sz w:val="24"/>
          <w:szCs w:val="24"/>
        </w:rPr>
        <w:t xml:space="preserve">ppeal </w:t>
      </w:r>
      <w:r w:rsidR="0038368F">
        <w:rPr>
          <w:rFonts w:cs="Arial"/>
          <w:sz w:val="24"/>
          <w:szCs w:val="24"/>
        </w:rPr>
        <w:t>p</w:t>
      </w:r>
      <w:r w:rsidR="007A45E5">
        <w:rPr>
          <w:rFonts w:cs="Arial"/>
          <w:sz w:val="24"/>
          <w:szCs w:val="24"/>
        </w:rPr>
        <w:t>oint 1(a)1, t</w:t>
      </w:r>
      <w:r w:rsidR="006C2CC7">
        <w:rPr>
          <w:rFonts w:cs="Arial"/>
          <w:sz w:val="24"/>
          <w:szCs w:val="24"/>
        </w:rPr>
        <w:t xml:space="preserve">he </w:t>
      </w:r>
      <w:r w:rsidR="005C1B2F">
        <w:rPr>
          <w:rFonts w:cs="Arial"/>
          <w:sz w:val="24"/>
          <w:szCs w:val="24"/>
        </w:rPr>
        <w:t xml:space="preserve">appeal </w:t>
      </w:r>
      <w:r w:rsidR="006C2CC7">
        <w:rPr>
          <w:rFonts w:cs="Arial"/>
          <w:sz w:val="24"/>
          <w:szCs w:val="24"/>
        </w:rPr>
        <w:t>panel concluded as follows</w:t>
      </w:r>
      <w:r w:rsidR="00CE19CD">
        <w:rPr>
          <w:rFonts w:cs="Arial"/>
          <w:sz w:val="24"/>
          <w:szCs w:val="24"/>
        </w:rPr>
        <w:t>.</w:t>
      </w:r>
      <w:r w:rsidR="006C2CC7">
        <w:rPr>
          <w:rFonts w:cs="Arial"/>
          <w:sz w:val="24"/>
          <w:szCs w:val="24"/>
        </w:rPr>
        <w:t xml:space="preserve"> </w:t>
      </w:r>
      <w:r w:rsidR="007C1818" w:rsidRPr="007C1818">
        <w:rPr>
          <w:rFonts w:cs="Arial"/>
          <w:sz w:val="24"/>
          <w:szCs w:val="24"/>
        </w:rPr>
        <w:t xml:space="preserve">The </w:t>
      </w:r>
      <w:r w:rsidR="00F226EE">
        <w:rPr>
          <w:rFonts w:cs="Arial"/>
          <w:sz w:val="24"/>
          <w:szCs w:val="24"/>
        </w:rPr>
        <w:t xml:space="preserve">appeal </w:t>
      </w:r>
      <w:r w:rsidR="007C1818" w:rsidRPr="007C1818">
        <w:rPr>
          <w:rFonts w:cs="Arial"/>
          <w:sz w:val="24"/>
          <w:szCs w:val="24"/>
        </w:rPr>
        <w:t xml:space="preserve">panel noted that there was acceptance by </w:t>
      </w:r>
      <w:r w:rsidR="003D4295">
        <w:rPr>
          <w:rFonts w:cs="Arial"/>
          <w:sz w:val="24"/>
          <w:szCs w:val="24"/>
        </w:rPr>
        <w:t>UCB</w:t>
      </w:r>
      <w:r w:rsidR="007C1818" w:rsidRPr="007C1818">
        <w:rPr>
          <w:rFonts w:cs="Arial"/>
          <w:sz w:val="24"/>
          <w:szCs w:val="24"/>
        </w:rPr>
        <w:t xml:space="preserve"> that </w:t>
      </w:r>
      <w:proofErr w:type="spellStart"/>
      <w:r w:rsidR="007C1818" w:rsidRPr="007C1818">
        <w:rPr>
          <w:rFonts w:cs="Arial"/>
          <w:sz w:val="24"/>
          <w:szCs w:val="24"/>
        </w:rPr>
        <w:t>g</w:t>
      </w:r>
      <w:r w:rsidR="007C1818">
        <w:rPr>
          <w:rFonts w:cs="Arial"/>
          <w:sz w:val="24"/>
          <w:szCs w:val="24"/>
        </w:rPr>
        <w:t>MG</w:t>
      </w:r>
      <w:proofErr w:type="spellEnd"/>
      <w:r w:rsidR="007C1818">
        <w:rPr>
          <w:rFonts w:cs="Arial"/>
          <w:sz w:val="24"/>
          <w:szCs w:val="24"/>
        </w:rPr>
        <w:t xml:space="preserve"> </w:t>
      </w:r>
      <w:r w:rsidR="007C1818" w:rsidRPr="007C1818">
        <w:rPr>
          <w:rFonts w:cs="Arial"/>
          <w:sz w:val="24"/>
          <w:szCs w:val="24"/>
        </w:rPr>
        <w:t xml:space="preserve">is a lifetime condition and that treatment with </w:t>
      </w:r>
      <w:proofErr w:type="spellStart"/>
      <w:r w:rsidR="007C1818">
        <w:rPr>
          <w:rFonts w:cs="Arial"/>
          <w:sz w:val="24"/>
          <w:szCs w:val="24"/>
        </w:rPr>
        <w:t>z</w:t>
      </w:r>
      <w:r w:rsidR="007C1818" w:rsidRPr="007C1818">
        <w:rPr>
          <w:rFonts w:cs="Arial"/>
          <w:sz w:val="24"/>
          <w:szCs w:val="24"/>
        </w:rPr>
        <w:t>ilucoplan</w:t>
      </w:r>
      <w:proofErr w:type="spellEnd"/>
      <w:r w:rsidR="007C1818" w:rsidRPr="007C1818">
        <w:rPr>
          <w:rFonts w:cs="Arial"/>
          <w:sz w:val="24"/>
          <w:szCs w:val="24"/>
        </w:rPr>
        <w:t xml:space="preserve"> is not regarded as a cure.  Th</w:t>
      </w:r>
      <w:r w:rsidR="00BA3928">
        <w:rPr>
          <w:rFonts w:cs="Arial"/>
          <w:sz w:val="24"/>
          <w:szCs w:val="24"/>
        </w:rPr>
        <w:t xml:space="preserve">e </w:t>
      </w:r>
      <w:r w:rsidR="00F226EE">
        <w:rPr>
          <w:rFonts w:cs="Arial"/>
          <w:sz w:val="24"/>
          <w:szCs w:val="24"/>
        </w:rPr>
        <w:t xml:space="preserve">appeal </w:t>
      </w:r>
      <w:r w:rsidR="00BA3928">
        <w:rPr>
          <w:rFonts w:cs="Arial"/>
          <w:sz w:val="24"/>
          <w:szCs w:val="24"/>
        </w:rPr>
        <w:t>panel al</w:t>
      </w:r>
      <w:r w:rsidR="007C1818" w:rsidRPr="007C1818">
        <w:rPr>
          <w:rFonts w:cs="Arial"/>
          <w:sz w:val="24"/>
          <w:szCs w:val="24"/>
        </w:rPr>
        <w:t xml:space="preserve">so noted that </w:t>
      </w:r>
      <w:r w:rsidR="003D4295">
        <w:rPr>
          <w:rFonts w:cs="Arial"/>
          <w:sz w:val="24"/>
          <w:szCs w:val="24"/>
        </w:rPr>
        <w:t>UCB</w:t>
      </w:r>
      <w:r w:rsidR="007C1818" w:rsidRPr="007C1818">
        <w:rPr>
          <w:rFonts w:cs="Arial"/>
          <w:sz w:val="24"/>
          <w:szCs w:val="24"/>
        </w:rPr>
        <w:t xml:space="preserve"> accepted that when treatment with </w:t>
      </w:r>
      <w:proofErr w:type="spellStart"/>
      <w:r w:rsidR="007C1818">
        <w:rPr>
          <w:rFonts w:cs="Arial"/>
          <w:sz w:val="24"/>
          <w:szCs w:val="24"/>
        </w:rPr>
        <w:t>z</w:t>
      </w:r>
      <w:r w:rsidR="007C1818" w:rsidRPr="007C1818">
        <w:rPr>
          <w:rFonts w:cs="Arial"/>
          <w:sz w:val="24"/>
          <w:szCs w:val="24"/>
        </w:rPr>
        <w:t>ilucoplan</w:t>
      </w:r>
      <w:proofErr w:type="spellEnd"/>
      <w:r w:rsidR="007C1818" w:rsidRPr="007C1818">
        <w:rPr>
          <w:rFonts w:cs="Arial"/>
          <w:sz w:val="24"/>
          <w:szCs w:val="24"/>
        </w:rPr>
        <w:t xml:space="preserve"> is stopped, alternative treatments, including IVIg and PLEX may be required sequentially in addition to standard therapy during the lifetime of a patient.  The </w:t>
      </w:r>
      <w:r w:rsidR="00F226EE">
        <w:rPr>
          <w:rFonts w:cs="Arial"/>
          <w:sz w:val="24"/>
          <w:szCs w:val="24"/>
        </w:rPr>
        <w:t xml:space="preserve">appeal </w:t>
      </w:r>
      <w:r w:rsidR="007C1818" w:rsidRPr="007C1818">
        <w:rPr>
          <w:rFonts w:cs="Arial"/>
          <w:sz w:val="24"/>
          <w:szCs w:val="24"/>
        </w:rPr>
        <w:t xml:space="preserve">panel considered that acceptance of these principles meant that it was implicit that sequential treatment would </w:t>
      </w:r>
      <w:r w:rsidR="007C1818" w:rsidRPr="007C1818">
        <w:rPr>
          <w:rFonts w:cs="Arial"/>
          <w:sz w:val="24"/>
          <w:szCs w:val="24"/>
        </w:rPr>
        <w:lastRenderedPageBreak/>
        <w:t xml:space="preserve">need to </w:t>
      </w:r>
      <w:r w:rsidR="00CE19CD">
        <w:rPr>
          <w:rFonts w:cs="Arial"/>
          <w:sz w:val="24"/>
          <w:szCs w:val="24"/>
        </w:rPr>
        <w:t xml:space="preserve">be </w:t>
      </w:r>
      <w:r w:rsidR="007C1818" w:rsidRPr="007C1818">
        <w:rPr>
          <w:rFonts w:cs="Arial"/>
          <w:sz w:val="24"/>
          <w:szCs w:val="24"/>
        </w:rPr>
        <w:t xml:space="preserve">modelled in the cost effectiveness analysis </w:t>
      </w:r>
      <w:r w:rsidR="00914326">
        <w:rPr>
          <w:rFonts w:cs="Arial"/>
          <w:sz w:val="24"/>
          <w:szCs w:val="24"/>
        </w:rPr>
        <w:t xml:space="preserve">and </w:t>
      </w:r>
      <w:r w:rsidR="007C1818" w:rsidRPr="007C1818">
        <w:rPr>
          <w:rFonts w:cs="Arial"/>
          <w:sz w:val="24"/>
          <w:szCs w:val="24"/>
        </w:rPr>
        <w:t xml:space="preserve">that meant that 3 lines of treatment should be included in the </w:t>
      </w:r>
      <w:proofErr w:type="spellStart"/>
      <w:r w:rsidR="007C1818">
        <w:rPr>
          <w:rFonts w:cs="Arial"/>
          <w:sz w:val="24"/>
          <w:szCs w:val="24"/>
        </w:rPr>
        <w:t>z</w:t>
      </w:r>
      <w:r w:rsidR="007C1818" w:rsidRPr="007C1818">
        <w:rPr>
          <w:rFonts w:cs="Arial"/>
          <w:sz w:val="24"/>
          <w:szCs w:val="24"/>
        </w:rPr>
        <w:t>ilucoplan</w:t>
      </w:r>
      <w:proofErr w:type="spellEnd"/>
      <w:r w:rsidR="007C1818" w:rsidRPr="007C1818">
        <w:rPr>
          <w:rFonts w:cs="Arial"/>
          <w:sz w:val="24"/>
          <w:szCs w:val="24"/>
        </w:rPr>
        <w:t xml:space="preserve"> arm and 2 lines of treatment in the standard care arm.  In this regard, the </w:t>
      </w:r>
      <w:r w:rsidR="00F226EE">
        <w:rPr>
          <w:rFonts w:cs="Arial"/>
          <w:sz w:val="24"/>
          <w:szCs w:val="24"/>
        </w:rPr>
        <w:t xml:space="preserve">appeal </w:t>
      </w:r>
      <w:r w:rsidR="007C1818" w:rsidRPr="007C1818">
        <w:rPr>
          <w:rFonts w:cs="Arial"/>
          <w:sz w:val="24"/>
          <w:szCs w:val="24"/>
        </w:rPr>
        <w:t xml:space="preserve">panel noted consistency with the approach that was taken by the committee in TA1069.  Furthermore, the </w:t>
      </w:r>
      <w:r w:rsidR="00F226EE">
        <w:rPr>
          <w:rFonts w:cs="Arial"/>
          <w:sz w:val="24"/>
          <w:szCs w:val="24"/>
        </w:rPr>
        <w:t xml:space="preserve">appeal </w:t>
      </w:r>
      <w:r w:rsidR="007C1818" w:rsidRPr="007C1818">
        <w:rPr>
          <w:rFonts w:cs="Arial"/>
          <w:sz w:val="24"/>
          <w:szCs w:val="24"/>
        </w:rPr>
        <w:t>panel w</w:t>
      </w:r>
      <w:r w:rsidR="002A7613">
        <w:rPr>
          <w:rFonts w:cs="Arial"/>
          <w:sz w:val="24"/>
          <w:szCs w:val="24"/>
        </w:rPr>
        <w:t>as</w:t>
      </w:r>
      <w:r w:rsidR="007C1818" w:rsidRPr="007C1818">
        <w:rPr>
          <w:rFonts w:cs="Arial"/>
          <w:sz w:val="24"/>
          <w:szCs w:val="24"/>
        </w:rPr>
        <w:t xml:space="preserve"> persuaded that the</w:t>
      </w:r>
      <w:r w:rsidR="00CE19CD">
        <w:rPr>
          <w:rFonts w:cs="Arial"/>
          <w:sz w:val="24"/>
          <w:szCs w:val="24"/>
        </w:rPr>
        <w:t xml:space="preserve"> committee's </w:t>
      </w:r>
      <w:r w:rsidR="007C1818" w:rsidRPr="007C1818">
        <w:rPr>
          <w:rFonts w:cs="Arial"/>
          <w:sz w:val="24"/>
          <w:szCs w:val="24"/>
        </w:rPr>
        <w:t xml:space="preserve">preferred positioning of </w:t>
      </w:r>
      <w:proofErr w:type="spellStart"/>
      <w:r w:rsidR="007C1818">
        <w:rPr>
          <w:rFonts w:cs="Arial"/>
          <w:sz w:val="24"/>
          <w:szCs w:val="24"/>
        </w:rPr>
        <w:t>z</w:t>
      </w:r>
      <w:r w:rsidR="007C1818" w:rsidRPr="007C1818">
        <w:rPr>
          <w:rFonts w:cs="Arial"/>
          <w:sz w:val="24"/>
          <w:szCs w:val="24"/>
        </w:rPr>
        <w:t>ilucoplan</w:t>
      </w:r>
      <w:proofErr w:type="spellEnd"/>
      <w:r w:rsidR="007C1818" w:rsidRPr="007C1818">
        <w:rPr>
          <w:rFonts w:cs="Arial"/>
          <w:sz w:val="24"/>
          <w:szCs w:val="24"/>
        </w:rPr>
        <w:t xml:space="preserve"> in the treatment pathway had not changed throughout the appraisal and that amendments had been made by </w:t>
      </w:r>
      <w:r w:rsidR="003D4295">
        <w:rPr>
          <w:rFonts w:cs="Arial"/>
          <w:sz w:val="24"/>
          <w:szCs w:val="24"/>
        </w:rPr>
        <w:t>UCB</w:t>
      </w:r>
      <w:r w:rsidR="007C1818" w:rsidRPr="007C1818">
        <w:rPr>
          <w:rFonts w:cs="Arial"/>
          <w:sz w:val="24"/>
          <w:szCs w:val="24"/>
        </w:rPr>
        <w:t xml:space="preserve"> in their model </w:t>
      </w:r>
      <w:proofErr w:type="gramStart"/>
      <w:r w:rsidR="007C1818" w:rsidRPr="007C1818">
        <w:rPr>
          <w:rFonts w:cs="Arial"/>
          <w:sz w:val="24"/>
          <w:szCs w:val="24"/>
        </w:rPr>
        <w:t>during the course of</w:t>
      </w:r>
      <w:proofErr w:type="gramEnd"/>
      <w:r w:rsidR="007C1818" w:rsidRPr="007C1818">
        <w:rPr>
          <w:rFonts w:cs="Arial"/>
          <w:sz w:val="24"/>
          <w:szCs w:val="24"/>
        </w:rPr>
        <w:t xml:space="preserve"> the appraisal that </w:t>
      </w:r>
      <w:r w:rsidR="004438FD">
        <w:rPr>
          <w:rFonts w:cs="Arial"/>
          <w:sz w:val="24"/>
          <w:szCs w:val="24"/>
        </w:rPr>
        <w:t>could suggest</w:t>
      </w:r>
      <w:r w:rsidR="007C1818" w:rsidRPr="007C1818">
        <w:rPr>
          <w:rFonts w:cs="Arial"/>
          <w:sz w:val="24"/>
          <w:szCs w:val="24"/>
        </w:rPr>
        <w:t xml:space="preserve"> that they were aware of the preferred approach of the committee.  </w:t>
      </w:r>
      <w:r w:rsidR="004438FD">
        <w:rPr>
          <w:rFonts w:cs="Arial"/>
          <w:sz w:val="24"/>
          <w:szCs w:val="24"/>
        </w:rPr>
        <w:t>Th</w:t>
      </w:r>
      <w:r w:rsidR="007C1818" w:rsidRPr="007C1818">
        <w:rPr>
          <w:rFonts w:cs="Arial"/>
          <w:sz w:val="24"/>
          <w:szCs w:val="24"/>
        </w:rPr>
        <w:t xml:space="preserve">e </w:t>
      </w:r>
      <w:r w:rsidR="00F226EE">
        <w:rPr>
          <w:rFonts w:cs="Arial"/>
          <w:sz w:val="24"/>
          <w:szCs w:val="24"/>
        </w:rPr>
        <w:t xml:space="preserve">appeal </w:t>
      </w:r>
      <w:r w:rsidR="007C1818" w:rsidRPr="007C1818">
        <w:rPr>
          <w:rFonts w:cs="Arial"/>
          <w:sz w:val="24"/>
          <w:szCs w:val="24"/>
        </w:rPr>
        <w:t xml:space="preserve">panel did not consider that </w:t>
      </w:r>
      <w:r w:rsidR="003D4295">
        <w:rPr>
          <w:rFonts w:cs="Arial"/>
          <w:sz w:val="24"/>
          <w:szCs w:val="24"/>
        </w:rPr>
        <w:t>UCB</w:t>
      </w:r>
      <w:r w:rsidR="007C1818" w:rsidRPr="007C1818">
        <w:rPr>
          <w:rFonts w:cs="Arial"/>
          <w:sz w:val="24"/>
          <w:szCs w:val="24"/>
        </w:rPr>
        <w:t xml:space="preserve"> had been deprived </w:t>
      </w:r>
      <w:r w:rsidR="00CE19CD">
        <w:rPr>
          <w:rFonts w:cs="Arial"/>
          <w:sz w:val="24"/>
          <w:szCs w:val="24"/>
        </w:rPr>
        <w:t xml:space="preserve">of </w:t>
      </w:r>
      <w:r w:rsidR="007C1818" w:rsidRPr="007C1818">
        <w:rPr>
          <w:rFonts w:cs="Arial"/>
          <w:sz w:val="24"/>
          <w:szCs w:val="24"/>
        </w:rPr>
        <w:t>ample opportunity to engage and consult with NICE about this issue</w:t>
      </w:r>
      <w:r w:rsidR="00CE19CD">
        <w:rPr>
          <w:rFonts w:cs="Arial"/>
          <w:sz w:val="24"/>
          <w:szCs w:val="24"/>
        </w:rPr>
        <w:t>. The</w:t>
      </w:r>
      <w:r w:rsidR="00F226EE">
        <w:rPr>
          <w:rFonts w:cs="Arial"/>
          <w:sz w:val="24"/>
          <w:szCs w:val="24"/>
        </w:rPr>
        <w:t xml:space="preserve"> appeal</w:t>
      </w:r>
      <w:r w:rsidR="00CE19CD">
        <w:rPr>
          <w:rFonts w:cs="Arial"/>
          <w:sz w:val="24"/>
          <w:szCs w:val="24"/>
        </w:rPr>
        <w:t xml:space="preserve"> panel considered </w:t>
      </w:r>
      <w:r w:rsidR="007C1818" w:rsidRPr="007C1818">
        <w:rPr>
          <w:rFonts w:cs="Arial"/>
          <w:sz w:val="24"/>
          <w:szCs w:val="24"/>
        </w:rPr>
        <w:t xml:space="preserve">that </w:t>
      </w:r>
      <w:r w:rsidR="00CE19CD">
        <w:rPr>
          <w:rFonts w:cs="Arial"/>
          <w:sz w:val="24"/>
          <w:szCs w:val="24"/>
        </w:rPr>
        <w:t>the committee</w:t>
      </w:r>
      <w:r w:rsidR="007C1818" w:rsidRPr="007C1818">
        <w:rPr>
          <w:rFonts w:cs="Arial"/>
          <w:sz w:val="24"/>
          <w:szCs w:val="24"/>
        </w:rPr>
        <w:t xml:space="preserve"> had behaved consistently and fairly during the appraisal in stating that </w:t>
      </w:r>
      <w:proofErr w:type="spellStart"/>
      <w:r w:rsidR="005C1B2F">
        <w:rPr>
          <w:rFonts w:cs="Arial"/>
          <w:sz w:val="24"/>
          <w:szCs w:val="24"/>
        </w:rPr>
        <w:t>z</w:t>
      </w:r>
      <w:r w:rsidR="007C1818" w:rsidRPr="007C1818">
        <w:rPr>
          <w:rFonts w:cs="Arial"/>
          <w:sz w:val="24"/>
          <w:szCs w:val="24"/>
        </w:rPr>
        <w:t>ilucoplan</w:t>
      </w:r>
      <w:proofErr w:type="spellEnd"/>
      <w:r w:rsidR="007C1818" w:rsidRPr="007C1818">
        <w:rPr>
          <w:rFonts w:cs="Arial"/>
          <w:sz w:val="24"/>
          <w:szCs w:val="24"/>
        </w:rPr>
        <w:t xml:space="preserve"> adds an additional line to the treatment pathway.  The </w:t>
      </w:r>
      <w:r w:rsidR="00F226EE">
        <w:rPr>
          <w:rFonts w:cs="Arial"/>
          <w:sz w:val="24"/>
          <w:szCs w:val="24"/>
        </w:rPr>
        <w:t xml:space="preserve">appeal </w:t>
      </w:r>
      <w:r w:rsidR="007C1818" w:rsidRPr="007C1818">
        <w:rPr>
          <w:rFonts w:cs="Arial"/>
          <w:sz w:val="24"/>
          <w:szCs w:val="24"/>
        </w:rPr>
        <w:t>panel therefore dismissed the appeal on this point.</w:t>
      </w:r>
    </w:p>
    <w:p w14:paraId="7EBA3536" w14:textId="2D061E4B" w:rsidR="006C2CC7" w:rsidRDefault="007A45E5" w:rsidP="0005178D">
      <w:pPr>
        <w:pStyle w:val="Paragraph"/>
        <w:rPr>
          <w:rFonts w:cs="Arial"/>
          <w:sz w:val="24"/>
          <w:szCs w:val="24"/>
        </w:rPr>
      </w:pPr>
      <w:r>
        <w:rPr>
          <w:rFonts w:cs="Arial"/>
          <w:sz w:val="24"/>
          <w:szCs w:val="24"/>
        </w:rPr>
        <w:t>In relation to UCB</w:t>
      </w:r>
      <w:r w:rsidR="0029530A">
        <w:rPr>
          <w:rFonts w:cs="Arial"/>
          <w:sz w:val="24"/>
          <w:szCs w:val="24"/>
        </w:rPr>
        <w:t>’s</w:t>
      </w:r>
      <w:r>
        <w:rPr>
          <w:rFonts w:cs="Arial"/>
          <w:sz w:val="24"/>
          <w:szCs w:val="24"/>
        </w:rPr>
        <w:t xml:space="preserve"> </w:t>
      </w:r>
      <w:r w:rsidR="005C1B2F">
        <w:rPr>
          <w:rFonts w:cs="Arial"/>
          <w:sz w:val="24"/>
          <w:szCs w:val="24"/>
        </w:rPr>
        <w:t>a</w:t>
      </w:r>
      <w:r>
        <w:rPr>
          <w:rFonts w:cs="Arial"/>
          <w:sz w:val="24"/>
          <w:szCs w:val="24"/>
        </w:rPr>
        <w:t xml:space="preserve">ppeal </w:t>
      </w:r>
      <w:r w:rsidR="005C1B2F">
        <w:rPr>
          <w:rFonts w:cs="Arial"/>
          <w:sz w:val="24"/>
          <w:szCs w:val="24"/>
        </w:rPr>
        <w:t>p</w:t>
      </w:r>
      <w:r>
        <w:rPr>
          <w:rFonts w:cs="Arial"/>
          <w:sz w:val="24"/>
          <w:szCs w:val="24"/>
        </w:rPr>
        <w:t xml:space="preserve">oint 2.2, the </w:t>
      </w:r>
      <w:r w:rsidR="005C1B2F">
        <w:rPr>
          <w:rFonts w:cs="Arial"/>
          <w:sz w:val="24"/>
          <w:szCs w:val="24"/>
        </w:rPr>
        <w:t xml:space="preserve">appeal </w:t>
      </w:r>
      <w:r>
        <w:rPr>
          <w:rFonts w:cs="Arial"/>
          <w:sz w:val="24"/>
          <w:szCs w:val="24"/>
        </w:rPr>
        <w:t>panel concluded as follows</w:t>
      </w:r>
      <w:r w:rsidR="00CE19CD">
        <w:rPr>
          <w:rFonts w:cs="Arial"/>
          <w:sz w:val="24"/>
          <w:szCs w:val="24"/>
        </w:rPr>
        <w:t>.</w:t>
      </w:r>
      <w:r>
        <w:rPr>
          <w:rFonts w:cs="Arial"/>
          <w:sz w:val="24"/>
          <w:szCs w:val="24"/>
        </w:rPr>
        <w:t xml:space="preserve"> </w:t>
      </w:r>
      <w:r w:rsidR="007C1818" w:rsidRPr="007C1818">
        <w:rPr>
          <w:rFonts w:cs="Arial"/>
          <w:sz w:val="24"/>
          <w:szCs w:val="24"/>
        </w:rPr>
        <w:t xml:space="preserve">The </w:t>
      </w:r>
      <w:r w:rsidR="00F226EE">
        <w:rPr>
          <w:rFonts w:cs="Arial"/>
          <w:sz w:val="24"/>
          <w:szCs w:val="24"/>
        </w:rPr>
        <w:t xml:space="preserve">appeal </w:t>
      </w:r>
      <w:r w:rsidR="007C1818" w:rsidRPr="007C1818">
        <w:rPr>
          <w:rFonts w:cs="Arial"/>
          <w:sz w:val="24"/>
          <w:szCs w:val="24"/>
        </w:rPr>
        <w:t xml:space="preserve">panel noted that there was agreement that </w:t>
      </w:r>
      <w:proofErr w:type="spellStart"/>
      <w:r w:rsidR="005C1B2F">
        <w:rPr>
          <w:rFonts w:cs="Arial"/>
          <w:sz w:val="24"/>
          <w:szCs w:val="24"/>
        </w:rPr>
        <w:t>z</w:t>
      </w:r>
      <w:r w:rsidR="007C1818" w:rsidRPr="007C1818">
        <w:rPr>
          <w:rFonts w:cs="Arial"/>
          <w:sz w:val="24"/>
          <w:szCs w:val="24"/>
        </w:rPr>
        <w:t>ilucoplan</w:t>
      </w:r>
      <w:proofErr w:type="spellEnd"/>
      <w:r w:rsidR="007C1818" w:rsidRPr="007C1818">
        <w:rPr>
          <w:rFonts w:cs="Arial"/>
          <w:sz w:val="24"/>
          <w:szCs w:val="24"/>
        </w:rPr>
        <w:t xml:space="preserve"> would n</w:t>
      </w:r>
      <w:r w:rsidR="004438FD">
        <w:rPr>
          <w:rFonts w:cs="Arial"/>
          <w:sz w:val="24"/>
          <w:szCs w:val="24"/>
        </w:rPr>
        <w:t xml:space="preserve">ot </w:t>
      </w:r>
      <w:r w:rsidR="007C1818" w:rsidRPr="007C1818">
        <w:rPr>
          <w:rFonts w:cs="Arial"/>
          <w:sz w:val="24"/>
          <w:szCs w:val="24"/>
        </w:rPr>
        <w:t xml:space="preserve">be used concurrently with IVIg or PLEX treatments and that its use therefore displaced but did not necessarily replace the need for these alternative treatments during the lifetime of a patient.  The </w:t>
      </w:r>
      <w:r w:rsidR="00F226EE">
        <w:rPr>
          <w:rFonts w:cs="Arial"/>
          <w:sz w:val="24"/>
          <w:szCs w:val="24"/>
        </w:rPr>
        <w:t xml:space="preserve">appeal </w:t>
      </w:r>
      <w:r w:rsidR="007C1818" w:rsidRPr="007C1818">
        <w:rPr>
          <w:rFonts w:cs="Arial"/>
          <w:sz w:val="24"/>
          <w:szCs w:val="24"/>
        </w:rPr>
        <w:t xml:space="preserve">panel were persuaded, therefore, that it was reasonable for the committee to conclude that in the context of a lifelong condition, and considering the additional role of a non-curative treatment such as </w:t>
      </w:r>
      <w:proofErr w:type="spellStart"/>
      <w:r w:rsidR="007C1818" w:rsidRPr="007C1818">
        <w:rPr>
          <w:rFonts w:cs="Arial"/>
          <w:sz w:val="24"/>
          <w:szCs w:val="24"/>
        </w:rPr>
        <w:t>zilucoplan</w:t>
      </w:r>
      <w:proofErr w:type="spellEnd"/>
      <w:r w:rsidR="007C1818" w:rsidRPr="007C1818">
        <w:rPr>
          <w:rFonts w:cs="Arial"/>
          <w:sz w:val="24"/>
          <w:szCs w:val="24"/>
        </w:rPr>
        <w:t xml:space="preserve">, the requirement for an additional line in the sequential treatment pathway as compared with standard therapy was required.  Consequently, the </w:t>
      </w:r>
      <w:r w:rsidR="009A6F8F">
        <w:rPr>
          <w:rFonts w:cs="Arial"/>
          <w:sz w:val="24"/>
          <w:szCs w:val="24"/>
        </w:rPr>
        <w:t xml:space="preserve">appeal </w:t>
      </w:r>
      <w:r w:rsidR="007C1818" w:rsidRPr="007C1818">
        <w:rPr>
          <w:rFonts w:cs="Arial"/>
          <w:sz w:val="24"/>
          <w:szCs w:val="24"/>
        </w:rPr>
        <w:t>panel dismissed the appeal on this point</w:t>
      </w:r>
      <w:r>
        <w:rPr>
          <w:rFonts w:cs="Arial"/>
          <w:sz w:val="24"/>
          <w:szCs w:val="24"/>
        </w:rPr>
        <w:t xml:space="preserve">. </w:t>
      </w:r>
    </w:p>
    <w:p w14:paraId="0BF1121A" w14:textId="5B434152" w:rsidR="007A45E5" w:rsidRPr="00A96D52" w:rsidRDefault="000E7775" w:rsidP="00894289">
      <w:pPr>
        <w:pStyle w:val="Heading3"/>
      </w:pPr>
      <w:r w:rsidRPr="00A96D52">
        <w:lastRenderedPageBreak/>
        <w:t xml:space="preserve">UCB </w:t>
      </w:r>
      <w:r w:rsidR="005C1B2F">
        <w:t>a</w:t>
      </w:r>
      <w:r w:rsidRPr="00A96D52">
        <w:t xml:space="preserve">ppeal </w:t>
      </w:r>
      <w:r w:rsidR="00412B82">
        <w:t>p</w:t>
      </w:r>
      <w:r w:rsidRPr="00A96D52">
        <w:t>oint 1(a)3</w:t>
      </w:r>
      <w:r w:rsidR="009605DE">
        <w:t>:</w:t>
      </w:r>
      <w:r w:rsidR="00112C56" w:rsidRPr="00A96D52">
        <w:t xml:space="preserve"> The </w:t>
      </w:r>
      <w:r w:rsidR="005C1B2F">
        <w:t>c</w:t>
      </w:r>
      <w:r w:rsidR="00112C56" w:rsidRPr="00A96D52">
        <w:t>ommittee's preferred assumption for using the EAG's approach of modelling subsequent treatment lacks transparency</w:t>
      </w:r>
      <w:r w:rsidR="00336336">
        <w:t>.</w:t>
      </w:r>
    </w:p>
    <w:p w14:paraId="3E2942FB" w14:textId="44CFA955" w:rsidR="000E7775" w:rsidRPr="00A96D52" w:rsidRDefault="000E7775" w:rsidP="00894289">
      <w:pPr>
        <w:pStyle w:val="Heading3"/>
      </w:pPr>
      <w:proofErr w:type="spellStart"/>
      <w:r w:rsidRPr="00A96D52">
        <w:t>Myaware</w:t>
      </w:r>
      <w:proofErr w:type="spellEnd"/>
      <w:r w:rsidRPr="00A96D52">
        <w:t xml:space="preserve"> </w:t>
      </w:r>
      <w:r w:rsidR="005C1B2F">
        <w:t>a</w:t>
      </w:r>
      <w:r w:rsidRPr="00A96D52">
        <w:t xml:space="preserve">ppeal </w:t>
      </w:r>
      <w:r w:rsidR="00412B82">
        <w:t>p</w:t>
      </w:r>
      <w:r w:rsidRPr="00A96D52">
        <w:t>oint 2.4</w:t>
      </w:r>
      <w:r w:rsidR="009605DE">
        <w:t xml:space="preserve">: </w:t>
      </w:r>
      <w:r w:rsidR="007753EA" w:rsidRPr="00A96D52">
        <w:t>NICE's conclusion</w:t>
      </w:r>
      <w:r w:rsidR="00336336">
        <w:t>s</w:t>
      </w:r>
      <w:r w:rsidR="007753EA" w:rsidRPr="00A96D52">
        <w:t xml:space="preserve"> in relation to subsequent treatment distributions in the </w:t>
      </w:r>
      <w:proofErr w:type="spellStart"/>
      <w:r w:rsidR="005C1B2F">
        <w:t>z</w:t>
      </w:r>
      <w:r w:rsidR="007753EA" w:rsidRPr="00A96D52">
        <w:t>ilucoplan</w:t>
      </w:r>
      <w:proofErr w:type="spellEnd"/>
      <w:r w:rsidR="007753EA" w:rsidRPr="00A96D52">
        <w:t xml:space="preserve"> arm and comparator arm of the model are opaque but appear to be irrational.</w:t>
      </w:r>
    </w:p>
    <w:p w14:paraId="51B4FA44" w14:textId="0E108421" w:rsidR="006B03AE" w:rsidRPr="00A96D52" w:rsidRDefault="000E7775" w:rsidP="00894289">
      <w:pPr>
        <w:pStyle w:val="Heading3"/>
      </w:pPr>
      <w:r w:rsidRPr="00A96D52">
        <w:t xml:space="preserve">UCB </w:t>
      </w:r>
      <w:r w:rsidR="00412B82">
        <w:t>a</w:t>
      </w:r>
      <w:r w:rsidRPr="00A96D52">
        <w:t xml:space="preserve">ppeal </w:t>
      </w:r>
      <w:r w:rsidR="00412B82">
        <w:t>p</w:t>
      </w:r>
      <w:r w:rsidRPr="00A96D52">
        <w:t>oint 2.3</w:t>
      </w:r>
      <w:r w:rsidR="009605DE">
        <w:t>:</w:t>
      </w:r>
      <w:r w:rsidRPr="00A96D52">
        <w:t xml:space="preserve"> </w:t>
      </w:r>
      <w:r w:rsidR="006B03AE" w:rsidRPr="00A96D52">
        <w:t xml:space="preserve">The </w:t>
      </w:r>
      <w:r w:rsidR="005C1B2F">
        <w:t>c</w:t>
      </w:r>
      <w:r w:rsidR="006B03AE" w:rsidRPr="00A96D52">
        <w:t xml:space="preserve">ommittee's conclusion that the subsequent treatment for the </w:t>
      </w:r>
      <w:proofErr w:type="spellStart"/>
      <w:r w:rsidR="006B03AE" w:rsidRPr="00A96D52">
        <w:t>zilucoplan</w:t>
      </w:r>
      <w:proofErr w:type="spellEnd"/>
      <w:r w:rsidR="006B03AE" w:rsidRPr="00A96D52">
        <w:t xml:space="preserve"> arm in the economic model should be informed by the efgartigimod full EAMS cohort whereas the comparator basket is informed by a different data source is inconsistent and unreasonable.</w:t>
      </w:r>
    </w:p>
    <w:p w14:paraId="3B5CDCC3" w14:textId="6A7EF826" w:rsidR="00B572F4" w:rsidRPr="00A96D52" w:rsidRDefault="00B572F4" w:rsidP="00B572F4">
      <w:pPr>
        <w:pStyle w:val="Paragraph"/>
        <w:rPr>
          <w:rFonts w:cs="Arial"/>
          <w:sz w:val="24"/>
          <w:szCs w:val="24"/>
        </w:rPr>
      </w:pPr>
      <w:r w:rsidRPr="00A96D52">
        <w:rPr>
          <w:rFonts w:cs="Arial"/>
          <w:sz w:val="24"/>
          <w:szCs w:val="24"/>
        </w:rPr>
        <w:t xml:space="preserve">UCB </w:t>
      </w:r>
      <w:r w:rsidR="00281346">
        <w:rPr>
          <w:rFonts w:cs="Arial"/>
          <w:sz w:val="24"/>
          <w:szCs w:val="24"/>
        </w:rPr>
        <w:t>a</w:t>
      </w:r>
      <w:r w:rsidRPr="00A96D52">
        <w:rPr>
          <w:rFonts w:cs="Arial"/>
          <w:sz w:val="24"/>
          <w:szCs w:val="24"/>
        </w:rPr>
        <w:t xml:space="preserve">ppeal </w:t>
      </w:r>
      <w:r w:rsidR="00281346">
        <w:rPr>
          <w:rFonts w:cs="Arial"/>
          <w:sz w:val="24"/>
          <w:szCs w:val="24"/>
        </w:rPr>
        <w:t>p</w:t>
      </w:r>
      <w:r w:rsidRPr="00A96D52">
        <w:rPr>
          <w:rFonts w:cs="Arial"/>
          <w:sz w:val="24"/>
          <w:szCs w:val="24"/>
        </w:rPr>
        <w:t xml:space="preserve">oint 1(a)3, </w:t>
      </w:r>
      <w:proofErr w:type="spellStart"/>
      <w:r w:rsidRPr="00A96D52">
        <w:rPr>
          <w:rFonts w:cs="Arial"/>
          <w:sz w:val="24"/>
          <w:szCs w:val="24"/>
        </w:rPr>
        <w:t>Myaware</w:t>
      </w:r>
      <w:proofErr w:type="spellEnd"/>
      <w:r w:rsidRPr="00A96D52">
        <w:rPr>
          <w:rFonts w:cs="Arial"/>
          <w:sz w:val="24"/>
          <w:szCs w:val="24"/>
        </w:rPr>
        <w:t xml:space="preserve"> </w:t>
      </w:r>
      <w:r w:rsidR="00281346">
        <w:rPr>
          <w:rFonts w:cs="Arial"/>
          <w:sz w:val="24"/>
          <w:szCs w:val="24"/>
        </w:rPr>
        <w:t>a</w:t>
      </w:r>
      <w:r w:rsidRPr="00A96D52">
        <w:rPr>
          <w:rFonts w:cs="Arial"/>
          <w:sz w:val="24"/>
          <w:szCs w:val="24"/>
        </w:rPr>
        <w:t xml:space="preserve">ppeal </w:t>
      </w:r>
      <w:r w:rsidR="00281346">
        <w:rPr>
          <w:rFonts w:cs="Arial"/>
          <w:sz w:val="24"/>
          <w:szCs w:val="24"/>
        </w:rPr>
        <w:t>p</w:t>
      </w:r>
      <w:r w:rsidRPr="00A96D52">
        <w:rPr>
          <w:rFonts w:cs="Arial"/>
          <w:sz w:val="24"/>
          <w:szCs w:val="24"/>
        </w:rPr>
        <w:t xml:space="preserve">oint 2.4 and UCB </w:t>
      </w:r>
      <w:r w:rsidR="00281346">
        <w:rPr>
          <w:rFonts w:cs="Arial"/>
          <w:sz w:val="24"/>
          <w:szCs w:val="24"/>
        </w:rPr>
        <w:t>a</w:t>
      </w:r>
      <w:r w:rsidRPr="00A96D52">
        <w:rPr>
          <w:rFonts w:cs="Arial"/>
          <w:sz w:val="24"/>
          <w:szCs w:val="24"/>
        </w:rPr>
        <w:t xml:space="preserve">ppeal </w:t>
      </w:r>
      <w:r w:rsidR="00281346">
        <w:rPr>
          <w:rFonts w:cs="Arial"/>
          <w:sz w:val="24"/>
          <w:szCs w:val="24"/>
        </w:rPr>
        <w:t>p</w:t>
      </w:r>
      <w:r w:rsidRPr="00A96D52">
        <w:rPr>
          <w:rFonts w:cs="Arial"/>
          <w:sz w:val="24"/>
          <w:szCs w:val="24"/>
        </w:rPr>
        <w:t xml:space="preserve">oint 2.3 all related to </w:t>
      </w:r>
      <w:r w:rsidR="008659BA" w:rsidRPr="00A96D52">
        <w:rPr>
          <w:rFonts w:cs="Arial"/>
          <w:sz w:val="24"/>
          <w:szCs w:val="24"/>
        </w:rPr>
        <w:t>the committee's preferred assumptions (and conclusions) on subsequent treatment</w:t>
      </w:r>
      <w:r w:rsidRPr="00A96D52">
        <w:rPr>
          <w:rFonts w:cs="Arial"/>
          <w:sz w:val="24"/>
          <w:szCs w:val="24"/>
        </w:rPr>
        <w:t xml:space="preserve">. </w:t>
      </w:r>
    </w:p>
    <w:p w14:paraId="728E5206" w14:textId="7ECCA16A" w:rsidR="003C2F92" w:rsidRPr="00A96D52" w:rsidRDefault="004F1EA5" w:rsidP="00B572F4">
      <w:pPr>
        <w:pStyle w:val="Paragraph"/>
        <w:rPr>
          <w:rFonts w:cs="Arial"/>
          <w:sz w:val="24"/>
          <w:szCs w:val="24"/>
        </w:rPr>
      </w:pPr>
      <w:r w:rsidRPr="00A96D52">
        <w:rPr>
          <w:rFonts w:cs="Arial"/>
          <w:sz w:val="24"/>
          <w:szCs w:val="24"/>
        </w:rPr>
        <w:t>Sarah Love</w:t>
      </w:r>
      <w:r w:rsidR="00777BBC">
        <w:rPr>
          <w:rFonts w:cs="Arial"/>
          <w:sz w:val="24"/>
          <w:szCs w:val="24"/>
        </w:rPr>
        <w:t xml:space="preserve">, for </w:t>
      </w:r>
      <w:proofErr w:type="spellStart"/>
      <w:r w:rsidR="00777BBC">
        <w:rPr>
          <w:rFonts w:cs="Arial"/>
          <w:sz w:val="24"/>
          <w:szCs w:val="24"/>
        </w:rPr>
        <w:t>Myaware</w:t>
      </w:r>
      <w:proofErr w:type="spellEnd"/>
      <w:r w:rsidR="00281346">
        <w:rPr>
          <w:rFonts w:cs="Arial"/>
          <w:sz w:val="24"/>
          <w:szCs w:val="24"/>
        </w:rPr>
        <w:t>,</w:t>
      </w:r>
      <w:r w:rsidR="005851EC" w:rsidRPr="00A96D52">
        <w:rPr>
          <w:rFonts w:cs="Arial"/>
          <w:sz w:val="24"/>
          <w:szCs w:val="24"/>
        </w:rPr>
        <w:t xml:space="preserve"> explained </w:t>
      </w:r>
      <w:proofErr w:type="spellStart"/>
      <w:r w:rsidR="005851EC" w:rsidRPr="00A96D52">
        <w:rPr>
          <w:rFonts w:cs="Arial"/>
          <w:sz w:val="24"/>
          <w:szCs w:val="24"/>
        </w:rPr>
        <w:t>Myaware's</w:t>
      </w:r>
      <w:proofErr w:type="spellEnd"/>
      <w:r w:rsidR="005851EC" w:rsidRPr="00A96D52">
        <w:rPr>
          <w:rFonts w:cs="Arial"/>
          <w:sz w:val="24"/>
          <w:szCs w:val="24"/>
        </w:rPr>
        <w:t xml:space="preserve"> view that</w:t>
      </w:r>
      <w:r w:rsidR="00E44A5A" w:rsidRPr="00A96D52">
        <w:rPr>
          <w:rFonts w:cs="Arial"/>
          <w:sz w:val="24"/>
          <w:szCs w:val="24"/>
        </w:rPr>
        <w:t xml:space="preserve"> the</w:t>
      </w:r>
      <w:r w:rsidR="003C2F92" w:rsidRPr="00A96D52">
        <w:rPr>
          <w:rFonts w:cs="Arial"/>
          <w:sz w:val="24"/>
          <w:szCs w:val="24"/>
        </w:rPr>
        <w:t xml:space="preserve"> committee had irrationally preferred</w:t>
      </w:r>
      <w:r w:rsidR="005851EC" w:rsidRPr="00A96D52">
        <w:rPr>
          <w:rFonts w:cs="Arial"/>
          <w:sz w:val="24"/>
          <w:szCs w:val="24"/>
        </w:rPr>
        <w:t xml:space="preserve"> different </w:t>
      </w:r>
      <w:r w:rsidR="003C2F92" w:rsidRPr="00A96D52">
        <w:rPr>
          <w:rFonts w:cs="Arial"/>
          <w:sz w:val="24"/>
          <w:szCs w:val="24"/>
        </w:rPr>
        <w:t>source</w:t>
      </w:r>
      <w:r w:rsidR="005851EC" w:rsidRPr="00A96D52">
        <w:rPr>
          <w:rFonts w:cs="Arial"/>
          <w:sz w:val="24"/>
          <w:szCs w:val="24"/>
        </w:rPr>
        <w:t>s</w:t>
      </w:r>
      <w:r w:rsidR="003C2F92" w:rsidRPr="00A96D52">
        <w:rPr>
          <w:rFonts w:cs="Arial"/>
          <w:sz w:val="24"/>
          <w:szCs w:val="24"/>
        </w:rPr>
        <w:t xml:space="preserve"> of subsequent treatment distribution</w:t>
      </w:r>
      <w:r w:rsidR="005851EC" w:rsidRPr="00A96D52">
        <w:rPr>
          <w:rFonts w:cs="Arial"/>
          <w:sz w:val="24"/>
          <w:szCs w:val="24"/>
        </w:rPr>
        <w:t xml:space="preserve"> for each arm of the model</w:t>
      </w:r>
      <w:r w:rsidR="003C2F92" w:rsidRPr="00A96D52">
        <w:rPr>
          <w:rFonts w:cs="Arial"/>
          <w:sz w:val="24"/>
          <w:szCs w:val="24"/>
        </w:rPr>
        <w:t xml:space="preserve"> as follows: </w:t>
      </w:r>
    </w:p>
    <w:p w14:paraId="4C41EDAE" w14:textId="2F6492C5" w:rsidR="003C2F92" w:rsidRPr="00A96D52" w:rsidRDefault="003C2F92" w:rsidP="003C2F92">
      <w:pPr>
        <w:pStyle w:val="Paragraph"/>
        <w:numPr>
          <w:ilvl w:val="1"/>
          <w:numId w:val="1"/>
        </w:numPr>
        <w:rPr>
          <w:rFonts w:cs="Arial"/>
          <w:sz w:val="24"/>
          <w:szCs w:val="24"/>
        </w:rPr>
      </w:pPr>
      <w:r w:rsidRPr="00A96D52">
        <w:rPr>
          <w:rFonts w:cs="Arial"/>
          <w:sz w:val="24"/>
          <w:szCs w:val="24"/>
        </w:rPr>
        <w:t xml:space="preserve">In the </w:t>
      </w:r>
      <w:proofErr w:type="spellStart"/>
      <w:r w:rsidR="00E44A5A" w:rsidRPr="00A96D52">
        <w:rPr>
          <w:rFonts w:cs="Arial"/>
          <w:sz w:val="24"/>
          <w:szCs w:val="24"/>
        </w:rPr>
        <w:t>zilucoplan</w:t>
      </w:r>
      <w:proofErr w:type="spellEnd"/>
      <w:r w:rsidR="00E44A5A" w:rsidRPr="00A96D52">
        <w:rPr>
          <w:rFonts w:cs="Arial"/>
          <w:sz w:val="24"/>
          <w:szCs w:val="24"/>
        </w:rPr>
        <w:t xml:space="preserve"> arm of the model</w:t>
      </w:r>
      <w:r w:rsidRPr="00A96D52">
        <w:rPr>
          <w:rFonts w:cs="Arial"/>
          <w:sz w:val="24"/>
          <w:szCs w:val="24"/>
        </w:rPr>
        <w:t xml:space="preserve">, the subsequent </w:t>
      </w:r>
      <w:r w:rsidR="00E44A5A" w:rsidRPr="00A96D52">
        <w:rPr>
          <w:rFonts w:cs="Arial"/>
          <w:sz w:val="24"/>
          <w:szCs w:val="24"/>
        </w:rPr>
        <w:t xml:space="preserve">treatment distributions </w:t>
      </w:r>
      <w:r w:rsidR="005851EC" w:rsidRPr="00A96D52">
        <w:rPr>
          <w:rFonts w:cs="Arial"/>
          <w:sz w:val="24"/>
          <w:szCs w:val="24"/>
        </w:rPr>
        <w:t xml:space="preserve">were </w:t>
      </w:r>
      <w:r w:rsidRPr="00A96D52">
        <w:rPr>
          <w:rFonts w:cs="Arial"/>
          <w:sz w:val="24"/>
          <w:szCs w:val="24"/>
        </w:rPr>
        <w:t xml:space="preserve">derived </w:t>
      </w:r>
      <w:r w:rsidR="00E44A5A" w:rsidRPr="00A96D52">
        <w:rPr>
          <w:rFonts w:cs="Arial"/>
          <w:sz w:val="24"/>
          <w:szCs w:val="24"/>
        </w:rPr>
        <w:t>from</w:t>
      </w:r>
      <w:r w:rsidRPr="00A96D52">
        <w:rPr>
          <w:rFonts w:cs="Arial"/>
          <w:sz w:val="24"/>
          <w:szCs w:val="24"/>
        </w:rPr>
        <w:t xml:space="preserve"> the</w:t>
      </w:r>
      <w:r w:rsidR="00E44A5A" w:rsidRPr="00A96D52">
        <w:rPr>
          <w:rFonts w:cs="Arial"/>
          <w:sz w:val="24"/>
          <w:szCs w:val="24"/>
        </w:rPr>
        <w:t xml:space="preserve"> full early access medicines scheme (</w:t>
      </w:r>
      <w:r w:rsidR="00E44A5A" w:rsidRPr="00894289">
        <w:rPr>
          <w:rFonts w:cs="Arial"/>
          <w:sz w:val="24"/>
          <w:szCs w:val="24"/>
        </w:rPr>
        <w:t>"EAMS</w:t>
      </w:r>
      <w:r w:rsidR="00E44A5A" w:rsidRPr="00A96D52">
        <w:rPr>
          <w:rFonts w:cs="Arial"/>
          <w:sz w:val="24"/>
          <w:szCs w:val="24"/>
        </w:rPr>
        <w:t xml:space="preserve">") </w:t>
      </w:r>
      <w:r w:rsidR="009825CF" w:rsidRPr="00A96D52">
        <w:rPr>
          <w:rFonts w:cs="Arial"/>
          <w:sz w:val="24"/>
          <w:szCs w:val="24"/>
        </w:rPr>
        <w:t>cohort.</w:t>
      </w:r>
    </w:p>
    <w:p w14:paraId="63738EF5" w14:textId="5B6E99BD" w:rsidR="004F1EA5" w:rsidRPr="00A96D52" w:rsidRDefault="003C2F92" w:rsidP="003C2F92">
      <w:pPr>
        <w:pStyle w:val="Paragraph"/>
        <w:numPr>
          <w:ilvl w:val="1"/>
          <w:numId w:val="1"/>
        </w:numPr>
        <w:rPr>
          <w:rFonts w:cs="Arial"/>
          <w:sz w:val="24"/>
          <w:szCs w:val="24"/>
        </w:rPr>
      </w:pPr>
      <w:r w:rsidRPr="00A96D52">
        <w:rPr>
          <w:rFonts w:cs="Arial"/>
          <w:sz w:val="24"/>
          <w:szCs w:val="24"/>
        </w:rPr>
        <w:t xml:space="preserve">In the comparator arm of the model, the subsequent treatment distributions were derived </w:t>
      </w:r>
      <w:r w:rsidR="003F7323" w:rsidRPr="00A96D52">
        <w:rPr>
          <w:rFonts w:cs="Arial"/>
          <w:sz w:val="24"/>
          <w:szCs w:val="24"/>
        </w:rPr>
        <w:t>using</w:t>
      </w:r>
      <w:r w:rsidRPr="00A96D52">
        <w:rPr>
          <w:rFonts w:cs="Arial"/>
          <w:sz w:val="24"/>
          <w:szCs w:val="24"/>
        </w:rPr>
        <w:t xml:space="preserve"> the lowest of the estimates pr</w:t>
      </w:r>
      <w:r w:rsidR="003F7323" w:rsidRPr="00A96D52">
        <w:rPr>
          <w:rFonts w:cs="Arial"/>
          <w:sz w:val="24"/>
          <w:szCs w:val="24"/>
        </w:rPr>
        <w:t xml:space="preserve">ovided in UCB's expert elicitation. </w:t>
      </w:r>
    </w:p>
    <w:p w14:paraId="04513989" w14:textId="4519572A" w:rsidR="005B6061" w:rsidRPr="00A96D52" w:rsidRDefault="005B6061" w:rsidP="005B6061">
      <w:pPr>
        <w:pStyle w:val="Paragraph"/>
        <w:rPr>
          <w:rFonts w:cs="Arial"/>
          <w:sz w:val="24"/>
          <w:szCs w:val="24"/>
        </w:rPr>
      </w:pPr>
      <w:r w:rsidRPr="00A96D52">
        <w:rPr>
          <w:rFonts w:cs="Arial"/>
          <w:sz w:val="24"/>
          <w:szCs w:val="24"/>
        </w:rPr>
        <w:t xml:space="preserve">Assuming low proportions of patient </w:t>
      </w:r>
      <w:r w:rsidR="00A34F69" w:rsidRPr="00A96D52">
        <w:rPr>
          <w:rFonts w:cs="Arial"/>
          <w:sz w:val="24"/>
          <w:szCs w:val="24"/>
        </w:rPr>
        <w:t xml:space="preserve">switching, and that patients will not be re-treated with the same treatment option once it has failed, creates a modelling scenario in which patients are moved onto CCS/NSISTs indefinitely – which will make the arm less costly. Sarah Love explained that this was an issue for two reasons: </w:t>
      </w:r>
    </w:p>
    <w:p w14:paraId="25A3A7C7" w14:textId="657B6420" w:rsidR="00A34F69" w:rsidRPr="00A96D52" w:rsidRDefault="00A34F69" w:rsidP="00A34F69">
      <w:pPr>
        <w:pStyle w:val="Paragraph"/>
        <w:numPr>
          <w:ilvl w:val="1"/>
          <w:numId w:val="1"/>
        </w:numPr>
        <w:rPr>
          <w:rFonts w:cs="Arial"/>
          <w:sz w:val="24"/>
          <w:szCs w:val="24"/>
        </w:rPr>
      </w:pPr>
      <w:r w:rsidRPr="00A96D52">
        <w:rPr>
          <w:rFonts w:cs="Arial"/>
          <w:sz w:val="24"/>
          <w:szCs w:val="24"/>
        </w:rPr>
        <w:t xml:space="preserve">It was not a realistic treatment option for the population </w:t>
      </w:r>
      <w:r w:rsidR="00CC7259">
        <w:rPr>
          <w:rFonts w:cs="Arial"/>
          <w:sz w:val="24"/>
          <w:szCs w:val="24"/>
        </w:rPr>
        <w:t xml:space="preserve">for </w:t>
      </w:r>
      <w:r w:rsidRPr="00A96D52">
        <w:rPr>
          <w:rFonts w:cs="Arial"/>
          <w:sz w:val="24"/>
          <w:szCs w:val="24"/>
        </w:rPr>
        <w:t xml:space="preserve">which </w:t>
      </w:r>
      <w:proofErr w:type="spellStart"/>
      <w:r w:rsidR="00CE19CD" w:rsidRPr="00A96D52">
        <w:rPr>
          <w:rFonts w:cs="Arial"/>
          <w:sz w:val="24"/>
          <w:szCs w:val="24"/>
        </w:rPr>
        <w:t>zilucoplan</w:t>
      </w:r>
      <w:proofErr w:type="spellEnd"/>
      <w:r w:rsidRPr="00A96D52">
        <w:rPr>
          <w:rFonts w:cs="Arial"/>
          <w:sz w:val="24"/>
          <w:szCs w:val="24"/>
        </w:rPr>
        <w:t xml:space="preserve"> was indicated. </w:t>
      </w:r>
      <w:r w:rsidR="004E28C7" w:rsidRPr="00A96D52">
        <w:rPr>
          <w:rFonts w:cs="Arial"/>
          <w:sz w:val="24"/>
          <w:szCs w:val="24"/>
        </w:rPr>
        <w:t xml:space="preserve">Suitable treatment options are limited, and it is likely that a patient will need repeated rescue </w:t>
      </w:r>
      <w:r w:rsidR="004E28C7" w:rsidRPr="00A96D52">
        <w:rPr>
          <w:rFonts w:cs="Arial"/>
          <w:sz w:val="24"/>
          <w:szCs w:val="24"/>
        </w:rPr>
        <w:lastRenderedPageBreak/>
        <w:t>treatments.</w:t>
      </w:r>
      <w:r w:rsidR="00963A09" w:rsidRPr="00A96D52">
        <w:rPr>
          <w:rFonts w:cs="Arial"/>
          <w:sz w:val="24"/>
          <w:szCs w:val="24"/>
        </w:rPr>
        <w:t xml:space="preserve"> </w:t>
      </w:r>
      <w:proofErr w:type="spellStart"/>
      <w:r w:rsidR="00963A09" w:rsidRPr="00A96D52">
        <w:rPr>
          <w:rFonts w:cs="Arial"/>
          <w:sz w:val="24"/>
          <w:szCs w:val="24"/>
        </w:rPr>
        <w:t>Myaware's</w:t>
      </w:r>
      <w:proofErr w:type="spellEnd"/>
      <w:r w:rsidR="00963A09" w:rsidRPr="00A96D52">
        <w:rPr>
          <w:rFonts w:cs="Arial"/>
          <w:sz w:val="24"/>
          <w:szCs w:val="24"/>
        </w:rPr>
        <w:t xml:space="preserve"> view is that it is not realistic to model a scenario in which those patients are left only on standard treatment, without rescue therapies, indefinitely. </w:t>
      </w:r>
    </w:p>
    <w:p w14:paraId="26BC9F78" w14:textId="19F87FDA" w:rsidR="00963A09" w:rsidRPr="00A96D52" w:rsidRDefault="007306C9" w:rsidP="00A34F69">
      <w:pPr>
        <w:pStyle w:val="Paragraph"/>
        <w:numPr>
          <w:ilvl w:val="1"/>
          <w:numId w:val="1"/>
        </w:numPr>
        <w:rPr>
          <w:rFonts w:cs="Arial"/>
          <w:sz w:val="24"/>
          <w:szCs w:val="24"/>
        </w:rPr>
      </w:pPr>
      <w:r w:rsidRPr="00A96D52">
        <w:rPr>
          <w:rFonts w:cs="Arial"/>
          <w:sz w:val="24"/>
          <w:szCs w:val="24"/>
        </w:rPr>
        <w:t>The approach to uncertainty i</w:t>
      </w:r>
      <w:r w:rsidR="00242B45" w:rsidRPr="00A96D52">
        <w:rPr>
          <w:rFonts w:cs="Arial"/>
          <w:sz w:val="24"/>
          <w:szCs w:val="24"/>
        </w:rPr>
        <w:t xml:space="preserve">n modelling subsequent treatment for </w:t>
      </w:r>
      <w:proofErr w:type="spellStart"/>
      <w:r w:rsidR="00242B45" w:rsidRPr="00A96D52">
        <w:rPr>
          <w:rFonts w:cs="Arial"/>
          <w:sz w:val="24"/>
          <w:szCs w:val="24"/>
        </w:rPr>
        <w:t>zilucoplan</w:t>
      </w:r>
      <w:proofErr w:type="spellEnd"/>
      <w:r w:rsidR="00242B45" w:rsidRPr="00A96D52">
        <w:rPr>
          <w:rFonts w:cs="Arial"/>
          <w:sz w:val="24"/>
          <w:szCs w:val="24"/>
        </w:rPr>
        <w:t xml:space="preserve"> and efgartigimod differed. </w:t>
      </w:r>
    </w:p>
    <w:p w14:paraId="7E092B13" w14:textId="66106BC8" w:rsidR="00847821" w:rsidRPr="00A96D52" w:rsidRDefault="009C31F4" w:rsidP="00847821">
      <w:pPr>
        <w:pStyle w:val="Paragraph"/>
        <w:rPr>
          <w:rFonts w:cs="Arial"/>
          <w:sz w:val="24"/>
          <w:szCs w:val="24"/>
        </w:rPr>
      </w:pPr>
      <w:r w:rsidRPr="00A96D52">
        <w:rPr>
          <w:rFonts w:cs="Arial"/>
          <w:sz w:val="24"/>
          <w:szCs w:val="24"/>
        </w:rPr>
        <w:t>Matthew Binn</w:t>
      </w:r>
      <w:r w:rsidR="00F911E3" w:rsidRPr="00A96D52">
        <w:rPr>
          <w:rFonts w:cs="Arial"/>
          <w:sz w:val="24"/>
          <w:szCs w:val="24"/>
        </w:rPr>
        <w:t>s</w:t>
      </w:r>
      <w:r w:rsidR="00777BBC">
        <w:rPr>
          <w:rFonts w:cs="Arial"/>
          <w:sz w:val="24"/>
          <w:szCs w:val="24"/>
        </w:rPr>
        <w:t>, for UCB</w:t>
      </w:r>
      <w:r w:rsidR="00320103">
        <w:rPr>
          <w:rFonts w:cs="Arial"/>
          <w:sz w:val="24"/>
          <w:szCs w:val="24"/>
        </w:rPr>
        <w:t>,</w:t>
      </w:r>
      <w:r w:rsidR="00F911E3" w:rsidRPr="00A96D52">
        <w:rPr>
          <w:rFonts w:cs="Arial"/>
          <w:sz w:val="24"/>
          <w:szCs w:val="24"/>
        </w:rPr>
        <w:t xml:space="preserve"> explained the basis of </w:t>
      </w:r>
      <w:r w:rsidR="00777BBC">
        <w:rPr>
          <w:rFonts w:cs="Arial"/>
          <w:sz w:val="24"/>
          <w:szCs w:val="24"/>
        </w:rPr>
        <w:t>UCB</w:t>
      </w:r>
      <w:r w:rsidR="00F911E3" w:rsidRPr="00A96D52">
        <w:rPr>
          <w:rFonts w:cs="Arial"/>
          <w:sz w:val="24"/>
          <w:szCs w:val="24"/>
        </w:rPr>
        <w:t>'s expert elicitation</w:t>
      </w:r>
      <w:r w:rsidR="007C2532" w:rsidRPr="00A96D52">
        <w:rPr>
          <w:rFonts w:cs="Arial"/>
          <w:sz w:val="24"/>
          <w:szCs w:val="24"/>
        </w:rPr>
        <w:t xml:space="preserve">, </w:t>
      </w:r>
      <w:r w:rsidR="00336336">
        <w:rPr>
          <w:rFonts w:cs="Arial"/>
          <w:sz w:val="24"/>
          <w:szCs w:val="24"/>
        </w:rPr>
        <w:t>in which</w:t>
      </w:r>
      <w:r w:rsidR="00336336" w:rsidRPr="00A96D52">
        <w:rPr>
          <w:rFonts w:cs="Arial"/>
          <w:sz w:val="24"/>
          <w:szCs w:val="24"/>
        </w:rPr>
        <w:t xml:space="preserve"> </w:t>
      </w:r>
      <w:r w:rsidR="007C2532" w:rsidRPr="00A96D52">
        <w:rPr>
          <w:rFonts w:cs="Arial"/>
          <w:sz w:val="24"/>
          <w:szCs w:val="24"/>
        </w:rPr>
        <w:t xml:space="preserve">four clinical experts provided estimates of the numbers of patients switching between treatments. </w:t>
      </w:r>
      <w:r w:rsidR="00B30CD7" w:rsidRPr="00A96D52">
        <w:rPr>
          <w:rFonts w:cs="Arial"/>
          <w:sz w:val="24"/>
          <w:szCs w:val="24"/>
        </w:rPr>
        <w:t xml:space="preserve">One of the </w:t>
      </w:r>
      <w:r w:rsidR="00CC7259">
        <w:rPr>
          <w:rFonts w:cs="Arial"/>
          <w:sz w:val="24"/>
          <w:szCs w:val="24"/>
        </w:rPr>
        <w:t xml:space="preserve">four estimates provided by each of the clinical experts was lower </w:t>
      </w:r>
      <w:r w:rsidR="00B30CD7" w:rsidRPr="00A96D52">
        <w:rPr>
          <w:rFonts w:cs="Arial"/>
          <w:sz w:val="24"/>
          <w:szCs w:val="24"/>
        </w:rPr>
        <w:t xml:space="preserve">than the other three. UCB provided a mean number which represented the geographical disparity. </w:t>
      </w:r>
      <w:r w:rsidR="00F20A2D" w:rsidRPr="00A96D52">
        <w:rPr>
          <w:rFonts w:cs="Arial"/>
          <w:sz w:val="24"/>
          <w:szCs w:val="24"/>
        </w:rPr>
        <w:t xml:space="preserve">UCB considered that the external assessment group </w:t>
      </w:r>
      <w:r w:rsidR="00F20A2D" w:rsidRPr="00777BBC">
        <w:rPr>
          <w:rFonts w:cs="Arial"/>
          <w:sz w:val="24"/>
          <w:szCs w:val="24"/>
        </w:rPr>
        <w:t>("</w:t>
      </w:r>
      <w:r w:rsidR="00F20A2D" w:rsidRPr="00894289">
        <w:rPr>
          <w:rFonts w:cs="Arial"/>
          <w:sz w:val="24"/>
          <w:szCs w:val="24"/>
        </w:rPr>
        <w:t>EAG</w:t>
      </w:r>
      <w:r w:rsidR="00F20A2D" w:rsidRPr="00777BBC">
        <w:rPr>
          <w:rFonts w:cs="Arial"/>
          <w:sz w:val="24"/>
          <w:szCs w:val="24"/>
        </w:rPr>
        <w:t>")</w:t>
      </w:r>
      <w:r w:rsidR="00F20A2D" w:rsidRPr="00A96D52">
        <w:rPr>
          <w:rFonts w:cs="Arial"/>
          <w:sz w:val="24"/>
          <w:szCs w:val="24"/>
        </w:rPr>
        <w:t xml:space="preserve"> had relied on the view of</w:t>
      </w:r>
      <w:r w:rsidR="00356560" w:rsidRPr="00A96D52">
        <w:rPr>
          <w:rFonts w:cs="Arial"/>
          <w:sz w:val="24"/>
          <w:szCs w:val="24"/>
        </w:rPr>
        <w:t xml:space="preserve"> only one of the four experts without giving reasons for doing so, and that NHS England</w:t>
      </w:r>
      <w:r w:rsidR="00DD701F" w:rsidRPr="00A96D52">
        <w:rPr>
          <w:rFonts w:cs="Arial"/>
          <w:sz w:val="24"/>
          <w:szCs w:val="24"/>
        </w:rPr>
        <w:t xml:space="preserve"> had failed to provide any sources for or explanation of the data on which it relied </w:t>
      </w:r>
      <w:r w:rsidR="004B3954" w:rsidRPr="00A96D52">
        <w:rPr>
          <w:rFonts w:cs="Arial"/>
          <w:sz w:val="24"/>
          <w:szCs w:val="24"/>
        </w:rPr>
        <w:t xml:space="preserve">in reaching its </w:t>
      </w:r>
      <w:r w:rsidR="00356560" w:rsidRPr="00A96D52">
        <w:rPr>
          <w:rFonts w:cs="Arial"/>
          <w:sz w:val="24"/>
          <w:szCs w:val="24"/>
        </w:rPr>
        <w:t xml:space="preserve">conclusions on switching </w:t>
      </w:r>
      <w:r w:rsidR="00FC4881" w:rsidRPr="00A96D52">
        <w:rPr>
          <w:rFonts w:cs="Arial"/>
          <w:sz w:val="24"/>
          <w:szCs w:val="24"/>
        </w:rPr>
        <w:t>estimates.</w:t>
      </w:r>
      <w:r w:rsidR="004B3954" w:rsidRPr="00A96D52">
        <w:rPr>
          <w:rFonts w:cs="Arial"/>
          <w:sz w:val="24"/>
          <w:szCs w:val="24"/>
        </w:rPr>
        <w:t xml:space="preserve"> He described NHS England's estimates as unstructured and unsuitable for decision making</w:t>
      </w:r>
      <w:r w:rsidR="009E6E2C" w:rsidRPr="00A96D52">
        <w:rPr>
          <w:rFonts w:cs="Arial"/>
          <w:sz w:val="24"/>
          <w:szCs w:val="24"/>
        </w:rPr>
        <w:t>, and that it was unclear whether this was a fair representation of practice in England</w:t>
      </w:r>
      <w:r w:rsidR="004B3954" w:rsidRPr="00A96D52">
        <w:rPr>
          <w:rFonts w:cs="Arial"/>
          <w:sz w:val="24"/>
          <w:szCs w:val="24"/>
        </w:rPr>
        <w:t xml:space="preserve">. </w:t>
      </w:r>
      <w:r w:rsidR="00FC4881" w:rsidRPr="00A96D52">
        <w:rPr>
          <w:rFonts w:cs="Arial"/>
          <w:sz w:val="24"/>
          <w:szCs w:val="24"/>
        </w:rPr>
        <w:t xml:space="preserve"> </w:t>
      </w:r>
    </w:p>
    <w:p w14:paraId="527649B8" w14:textId="263AE3CA" w:rsidR="004527E0" w:rsidRPr="00A96D52" w:rsidRDefault="001B1C47" w:rsidP="00847821">
      <w:pPr>
        <w:pStyle w:val="Paragraph"/>
        <w:rPr>
          <w:rFonts w:cs="Arial"/>
          <w:sz w:val="24"/>
          <w:szCs w:val="24"/>
        </w:rPr>
      </w:pPr>
      <w:r w:rsidRPr="00A96D52">
        <w:rPr>
          <w:rFonts w:cs="Arial"/>
          <w:sz w:val="24"/>
          <w:szCs w:val="24"/>
        </w:rPr>
        <w:t xml:space="preserve">Addressing UCB </w:t>
      </w:r>
      <w:r w:rsidR="0018430A">
        <w:rPr>
          <w:rFonts w:cs="Arial"/>
          <w:sz w:val="24"/>
          <w:szCs w:val="24"/>
        </w:rPr>
        <w:t>a</w:t>
      </w:r>
      <w:r w:rsidRPr="00A96D52">
        <w:rPr>
          <w:rFonts w:cs="Arial"/>
          <w:sz w:val="24"/>
          <w:szCs w:val="24"/>
        </w:rPr>
        <w:t xml:space="preserve">ppeal </w:t>
      </w:r>
      <w:r w:rsidR="0018430A">
        <w:rPr>
          <w:rFonts w:cs="Arial"/>
          <w:sz w:val="24"/>
          <w:szCs w:val="24"/>
        </w:rPr>
        <w:t>p</w:t>
      </w:r>
      <w:r w:rsidRPr="00A96D52">
        <w:rPr>
          <w:rFonts w:cs="Arial"/>
          <w:sz w:val="24"/>
          <w:szCs w:val="24"/>
        </w:rPr>
        <w:t xml:space="preserve">oint 2.3 specifically, Matthew Binns explained </w:t>
      </w:r>
      <w:r w:rsidR="00777BBC">
        <w:rPr>
          <w:rFonts w:cs="Arial"/>
          <w:sz w:val="24"/>
          <w:szCs w:val="24"/>
        </w:rPr>
        <w:t>UCB</w:t>
      </w:r>
      <w:r w:rsidRPr="00A96D52">
        <w:rPr>
          <w:rFonts w:cs="Arial"/>
          <w:sz w:val="24"/>
          <w:szCs w:val="24"/>
        </w:rPr>
        <w:t xml:space="preserve">'s view that it was unreasonable to assume that patients would switch from </w:t>
      </w:r>
      <w:proofErr w:type="spellStart"/>
      <w:r w:rsidRPr="00A96D52">
        <w:rPr>
          <w:rFonts w:cs="Arial"/>
          <w:sz w:val="24"/>
          <w:szCs w:val="24"/>
        </w:rPr>
        <w:t>zilucoplan</w:t>
      </w:r>
      <w:proofErr w:type="spellEnd"/>
      <w:r w:rsidR="008C28A4" w:rsidRPr="00A96D52">
        <w:rPr>
          <w:rFonts w:cs="Arial"/>
          <w:sz w:val="24"/>
          <w:szCs w:val="24"/>
        </w:rPr>
        <w:t xml:space="preserve"> to IVIg/</w:t>
      </w:r>
      <w:proofErr w:type="gramStart"/>
      <w:r w:rsidR="008C28A4" w:rsidRPr="00A96D52">
        <w:rPr>
          <w:rFonts w:cs="Arial"/>
          <w:sz w:val="24"/>
          <w:szCs w:val="24"/>
        </w:rPr>
        <w:t>PLEX</w:t>
      </w:r>
      <w:r w:rsidRPr="00A96D52">
        <w:rPr>
          <w:rFonts w:cs="Arial"/>
          <w:sz w:val="24"/>
          <w:szCs w:val="24"/>
        </w:rPr>
        <w:t>, and</w:t>
      </w:r>
      <w:proofErr w:type="gramEnd"/>
      <w:r w:rsidRPr="00A96D52">
        <w:rPr>
          <w:rFonts w:cs="Arial"/>
          <w:sz w:val="24"/>
          <w:szCs w:val="24"/>
        </w:rPr>
        <w:t xml:space="preserve"> then stay on that treatment for the remainder of their life</w:t>
      </w:r>
      <w:r w:rsidR="00F6311F" w:rsidRPr="00A96D52">
        <w:rPr>
          <w:rFonts w:cs="Arial"/>
          <w:sz w:val="24"/>
          <w:szCs w:val="24"/>
        </w:rPr>
        <w:t xml:space="preserve"> (or alternatively, remain on standard of care for the rest of their lives). This was </w:t>
      </w:r>
      <w:r w:rsidR="00336336">
        <w:rPr>
          <w:rFonts w:cs="Arial"/>
          <w:sz w:val="24"/>
          <w:szCs w:val="24"/>
        </w:rPr>
        <w:t>contrary to the evidence set out in</w:t>
      </w:r>
      <w:r w:rsidR="00336336" w:rsidRPr="00A96D52">
        <w:rPr>
          <w:rFonts w:cs="Arial"/>
          <w:sz w:val="24"/>
          <w:szCs w:val="24"/>
        </w:rPr>
        <w:t xml:space="preserve"> </w:t>
      </w:r>
      <w:r w:rsidR="008D13FA" w:rsidRPr="00A96D52">
        <w:rPr>
          <w:rFonts w:cs="Arial"/>
          <w:sz w:val="24"/>
          <w:szCs w:val="24"/>
        </w:rPr>
        <w:t>UCB's</w:t>
      </w:r>
      <w:r w:rsidR="00F6311F" w:rsidRPr="00A96D52">
        <w:rPr>
          <w:rFonts w:cs="Arial"/>
          <w:sz w:val="24"/>
          <w:szCs w:val="24"/>
        </w:rPr>
        <w:t xml:space="preserve"> expert elicitation, with clinicians saying that patients in this cohort would be re-treated with IVIg / PLEX, as treatment resistant patients would not stay on standard </w:t>
      </w:r>
      <w:r w:rsidR="00A96D52" w:rsidRPr="00A96D52">
        <w:rPr>
          <w:rFonts w:cs="Arial"/>
          <w:sz w:val="24"/>
          <w:szCs w:val="24"/>
        </w:rPr>
        <w:t>treatment</w:t>
      </w:r>
      <w:r w:rsidR="00F6311F" w:rsidRPr="00A96D52">
        <w:rPr>
          <w:rFonts w:cs="Arial"/>
          <w:sz w:val="24"/>
          <w:szCs w:val="24"/>
        </w:rPr>
        <w:t xml:space="preserve"> alone. In </w:t>
      </w:r>
      <w:r w:rsidR="00777BBC">
        <w:rPr>
          <w:rFonts w:cs="Arial"/>
          <w:sz w:val="24"/>
          <w:szCs w:val="24"/>
        </w:rPr>
        <w:t>UCB</w:t>
      </w:r>
      <w:r w:rsidR="00F6311F" w:rsidRPr="00A96D52">
        <w:rPr>
          <w:rFonts w:cs="Arial"/>
          <w:sz w:val="24"/>
          <w:szCs w:val="24"/>
        </w:rPr>
        <w:t xml:space="preserve">'s view, the subsequent treatment basket was inappropriate / </w:t>
      </w:r>
      <w:proofErr w:type="gramStart"/>
      <w:r w:rsidR="00F6311F" w:rsidRPr="00A96D52">
        <w:rPr>
          <w:rFonts w:cs="Arial"/>
          <w:sz w:val="24"/>
          <w:szCs w:val="24"/>
        </w:rPr>
        <w:t>unreasonable, and</w:t>
      </w:r>
      <w:proofErr w:type="gramEnd"/>
      <w:r w:rsidR="00F6311F" w:rsidRPr="00A96D52">
        <w:rPr>
          <w:rFonts w:cs="Arial"/>
          <w:sz w:val="24"/>
          <w:szCs w:val="24"/>
        </w:rPr>
        <w:t xml:space="preserve"> was further inconsistent with </w:t>
      </w:r>
      <w:r w:rsidR="005A5D49">
        <w:rPr>
          <w:rFonts w:cs="Arial"/>
          <w:sz w:val="24"/>
          <w:szCs w:val="24"/>
        </w:rPr>
        <w:t>TA1069</w:t>
      </w:r>
      <w:r w:rsidR="00F6311F" w:rsidRPr="00A96D52">
        <w:rPr>
          <w:rFonts w:cs="Arial"/>
          <w:sz w:val="24"/>
          <w:szCs w:val="24"/>
        </w:rPr>
        <w:t xml:space="preserve">. </w:t>
      </w:r>
    </w:p>
    <w:p w14:paraId="4F97A6C2" w14:textId="402BE4BA" w:rsidR="00F6311F" w:rsidRPr="00A96D52" w:rsidRDefault="00275059" w:rsidP="00847821">
      <w:pPr>
        <w:pStyle w:val="Paragraph"/>
        <w:rPr>
          <w:rFonts w:cs="Arial"/>
          <w:sz w:val="24"/>
          <w:szCs w:val="24"/>
        </w:rPr>
      </w:pPr>
      <w:r w:rsidRPr="00A96D52">
        <w:rPr>
          <w:rFonts w:cs="Arial"/>
          <w:sz w:val="24"/>
          <w:szCs w:val="24"/>
        </w:rPr>
        <w:t>Charles Crawley</w:t>
      </w:r>
      <w:r w:rsidR="00DD279F">
        <w:rPr>
          <w:rFonts w:cs="Arial"/>
          <w:sz w:val="24"/>
          <w:szCs w:val="24"/>
        </w:rPr>
        <w:t>, for NICE</w:t>
      </w:r>
      <w:r w:rsidR="00BD4DC0">
        <w:rPr>
          <w:rFonts w:cs="Arial"/>
          <w:sz w:val="24"/>
          <w:szCs w:val="24"/>
        </w:rPr>
        <w:t>,</w:t>
      </w:r>
      <w:r w:rsidRPr="00A96D52">
        <w:rPr>
          <w:rFonts w:cs="Arial"/>
          <w:sz w:val="24"/>
          <w:szCs w:val="24"/>
        </w:rPr>
        <w:t xml:space="preserve"> </w:t>
      </w:r>
      <w:r w:rsidR="00360774" w:rsidRPr="00A96D52">
        <w:rPr>
          <w:rFonts w:cs="Arial"/>
          <w:sz w:val="24"/>
          <w:szCs w:val="24"/>
        </w:rPr>
        <w:t xml:space="preserve">explained that the committee used the full EAMS cohort to model </w:t>
      </w:r>
      <w:proofErr w:type="spellStart"/>
      <w:r w:rsidR="00360774" w:rsidRPr="00A96D52">
        <w:rPr>
          <w:rFonts w:cs="Arial"/>
          <w:sz w:val="24"/>
          <w:szCs w:val="24"/>
        </w:rPr>
        <w:t>zilucoplan</w:t>
      </w:r>
      <w:proofErr w:type="spellEnd"/>
      <w:r w:rsidR="00360774" w:rsidRPr="00A96D52">
        <w:rPr>
          <w:rFonts w:cs="Arial"/>
          <w:sz w:val="24"/>
          <w:szCs w:val="24"/>
        </w:rPr>
        <w:t xml:space="preserve"> failure, and then a different estimate </w:t>
      </w:r>
      <w:r w:rsidR="00360774" w:rsidRPr="00A96D52">
        <w:rPr>
          <w:rFonts w:cs="Arial"/>
          <w:sz w:val="24"/>
          <w:szCs w:val="24"/>
        </w:rPr>
        <w:lastRenderedPageBreak/>
        <w:t>to model IVIg / PLEX failing (which was not available in EAM</w:t>
      </w:r>
      <w:r w:rsidR="004E7C6A" w:rsidRPr="00A96D52">
        <w:rPr>
          <w:rFonts w:cs="Arial"/>
          <w:sz w:val="24"/>
          <w:szCs w:val="24"/>
        </w:rPr>
        <w:t>S). The basis of the committee's decision</w:t>
      </w:r>
      <w:r w:rsidR="007C08CE" w:rsidRPr="00A96D52">
        <w:rPr>
          <w:rFonts w:cs="Arial"/>
          <w:sz w:val="24"/>
          <w:szCs w:val="24"/>
        </w:rPr>
        <w:t xml:space="preserve"> on subsequent therapies </w:t>
      </w:r>
      <w:r w:rsidR="00336336" w:rsidRPr="00A96D52">
        <w:rPr>
          <w:rFonts w:cs="Arial"/>
          <w:sz w:val="24"/>
          <w:szCs w:val="24"/>
        </w:rPr>
        <w:t>was</w:t>
      </w:r>
      <w:r w:rsidR="007C08CE" w:rsidRPr="00A96D52">
        <w:rPr>
          <w:rFonts w:cs="Arial"/>
          <w:sz w:val="24"/>
          <w:szCs w:val="24"/>
        </w:rPr>
        <w:t xml:space="preserve"> considered at</w:t>
      </w:r>
      <w:r w:rsidR="00586891" w:rsidRPr="00A96D52">
        <w:rPr>
          <w:rFonts w:cs="Arial"/>
          <w:sz w:val="24"/>
          <w:szCs w:val="24"/>
        </w:rPr>
        <w:t xml:space="preserve"> the third committee meeting. He noted that in reaching its conclusion, the committee had </w:t>
      </w:r>
      <w:proofErr w:type="gramStart"/>
      <w:r w:rsidR="00586891" w:rsidRPr="00A96D52">
        <w:rPr>
          <w:rFonts w:cs="Arial"/>
          <w:sz w:val="24"/>
          <w:szCs w:val="24"/>
        </w:rPr>
        <w:t>taken into account</w:t>
      </w:r>
      <w:proofErr w:type="gramEnd"/>
      <w:r w:rsidR="00586891" w:rsidRPr="00A96D52">
        <w:rPr>
          <w:rFonts w:cs="Arial"/>
          <w:sz w:val="24"/>
          <w:szCs w:val="24"/>
        </w:rPr>
        <w:t xml:space="preserve"> </w:t>
      </w:r>
      <w:r w:rsidR="00A27A8E" w:rsidRPr="00A96D52">
        <w:rPr>
          <w:rFonts w:cs="Arial"/>
          <w:sz w:val="24"/>
          <w:szCs w:val="24"/>
        </w:rPr>
        <w:t xml:space="preserve">UCB's expert elicitation, the full EAMS cohort and the revised EAMS cohort. </w:t>
      </w:r>
    </w:p>
    <w:p w14:paraId="5E76530E" w14:textId="16B74827" w:rsidR="00A27A8E" w:rsidRPr="00A96D52" w:rsidRDefault="00271470" w:rsidP="00847821">
      <w:pPr>
        <w:pStyle w:val="Paragraph"/>
        <w:rPr>
          <w:rFonts w:cs="Arial"/>
          <w:sz w:val="24"/>
          <w:szCs w:val="24"/>
        </w:rPr>
      </w:pPr>
      <w:r w:rsidRPr="00A96D52">
        <w:rPr>
          <w:rFonts w:cs="Arial"/>
          <w:sz w:val="24"/>
          <w:szCs w:val="24"/>
        </w:rPr>
        <w:t>Charles Crawley described the considerable uncertainty a</w:t>
      </w:r>
      <w:r w:rsidR="004B7016" w:rsidRPr="00A96D52">
        <w:rPr>
          <w:rFonts w:cs="Arial"/>
          <w:sz w:val="24"/>
          <w:szCs w:val="24"/>
        </w:rPr>
        <w:t xml:space="preserve">ssociated with the switching estimates for IVIg and PLEX in both UCB's expert elicitation and NHS England's estimates. </w:t>
      </w:r>
      <w:r w:rsidR="00BD76B2" w:rsidRPr="00A96D52">
        <w:rPr>
          <w:rFonts w:cs="Arial"/>
          <w:sz w:val="24"/>
          <w:szCs w:val="24"/>
        </w:rPr>
        <w:t xml:space="preserve">As a result, the committee concluded that it should take a mid-point of the estimates </w:t>
      </w:r>
      <w:proofErr w:type="gramStart"/>
      <w:r w:rsidR="00BD76B2" w:rsidRPr="00A96D52">
        <w:rPr>
          <w:rFonts w:cs="Arial"/>
          <w:sz w:val="24"/>
          <w:szCs w:val="24"/>
        </w:rPr>
        <w:t>as a result of</w:t>
      </w:r>
      <w:proofErr w:type="gramEnd"/>
      <w:r w:rsidR="00BD76B2" w:rsidRPr="00A96D52">
        <w:rPr>
          <w:rFonts w:cs="Arial"/>
          <w:sz w:val="24"/>
          <w:szCs w:val="24"/>
        </w:rPr>
        <w:t xml:space="preserve"> the uncertainty. The fact that the mid-point happened to be the same as one of the four experts in UCB's expert elicitation was coincidental</w:t>
      </w:r>
      <w:r w:rsidR="0091394D" w:rsidRPr="00A96D52">
        <w:rPr>
          <w:rFonts w:cs="Arial"/>
          <w:sz w:val="24"/>
          <w:szCs w:val="24"/>
        </w:rPr>
        <w:t xml:space="preserve">. </w:t>
      </w:r>
    </w:p>
    <w:p w14:paraId="0963FE6A" w14:textId="55956112" w:rsidR="004B176E" w:rsidRPr="00A96D52" w:rsidRDefault="004B176E" w:rsidP="00847821">
      <w:pPr>
        <w:pStyle w:val="Paragraph"/>
        <w:rPr>
          <w:rFonts w:cs="Arial"/>
          <w:sz w:val="24"/>
          <w:szCs w:val="24"/>
        </w:rPr>
      </w:pPr>
      <w:r w:rsidRPr="00A96D52">
        <w:rPr>
          <w:rFonts w:cs="Arial"/>
          <w:sz w:val="24"/>
          <w:szCs w:val="24"/>
        </w:rPr>
        <w:t xml:space="preserve">Repeated treatment (i.e. switching from IVIg to IVIg or PLEX to PLEX) was considered as part of UCB's modelling, which was explained in the third committee meeting </w:t>
      </w:r>
      <w:r w:rsidR="00AF599C">
        <w:rPr>
          <w:rFonts w:cs="Arial"/>
          <w:sz w:val="24"/>
          <w:szCs w:val="24"/>
        </w:rPr>
        <w:t>(slide 37 in the public committee slides, uploaded to the NICE website on 26 June 2025)</w:t>
      </w:r>
      <w:r w:rsidRPr="00A96D52">
        <w:rPr>
          <w:rFonts w:cs="Arial"/>
          <w:sz w:val="24"/>
          <w:szCs w:val="24"/>
        </w:rPr>
        <w:t xml:space="preserve">. Charles Crawley said that these data explicitly set out the calculations undertaken to reach the preferred switching proportion. </w:t>
      </w:r>
      <w:r w:rsidR="006A6278" w:rsidRPr="00A96D52">
        <w:rPr>
          <w:rFonts w:cs="Arial"/>
          <w:sz w:val="24"/>
          <w:szCs w:val="24"/>
        </w:rPr>
        <w:t xml:space="preserve">He said that although some patients would be re-treated with the same treatments, the proportions were too small to be </w:t>
      </w:r>
      <w:proofErr w:type="gramStart"/>
      <w:r w:rsidR="006A6278" w:rsidRPr="00A96D52">
        <w:rPr>
          <w:rFonts w:cs="Arial"/>
          <w:sz w:val="24"/>
          <w:szCs w:val="24"/>
        </w:rPr>
        <w:t>taken into account</w:t>
      </w:r>
      <w:proofErr w:type="gramEnd"/>
      <w:r w:rsidR="006A6278" w:rsidRPr="00A96D52">
        <w:rPr>
          <w:rFonts w:cs="Arial"/>
          <w:sz w:val="24"/>
          <w:szCs w:val="24"/>
        </w:rPr>
        <w:t xml:space="preserve"> in the modelling. </w:t>
      </w:r>
      <w:r w:rsidR="00986E5B" w:rsidRPr="00A96D52">
        <w:rPr>
          <w:rFonts w:cs="Arial"/>
          <w:sz w:val="24"/>
          <w:szCs w:val="24"/>
        </w:rPr>
        <w:t xml:space="preserve">He noted that the impact of modelling this would have been small, and so the committee considered the decision risk to be low. </w:t>
      </w:r>
    </w:p>
    <w:p w14:paraId="46E69053" w14:textId="19329151" w:rsidR="003C09A8" w:rsidRPr="00A96D52" w:rsidRDefault="006A5881" w:rsidP="00847821">
      <w:pPr>
        <w:pStyle w:val="Paragraph"/>
        <w:rPr>
          <w:rFonts w:cs="Arial"/>
          <w:sz w:val="24"/>
          <w:szCs w:val="24"/>
        </w:rPr>
      </w:pPr>
      <w:r w:rsidRPr="00A96D52">
        <w:rPr>
          <w:rFonts w:cs="Arial"/>
          <w:sz w:val="24"/>
          <w:szCs w:val="24"/>
        </w:rPr>
        <w:t xml:space="preserve">The </w:t>
      </w:r>
      <w:r w:rsidR="009A6F8F">
        <w:rPr>
          <w:rFonts w:cs="Arial"/>
          <w:sz w:val="24"/>
          <w:szCs w:val="24"/>
        </w:rPr>
        <w:t xml:space="preserve">appeal </w:t>
      </w:r>
      <w:r w:rsidRPr="00A96D52">
        <w:rPr>
          <w:rFonts w:cs="Arial"/>
          <w:sz w:val="24"/>
          <w:szCs w:val="24"/>
        </w:rPr>
        <w:t xml:space="preserve">panel asked </w:t>
      </w:r>
      <w:r w:rsidR="00336CF0" w:rsidRPr="00A96D52">
        <w:rPr>
          <w:rFonts w:cs="Arial"/>
          <w:sz w:val="24"/>
          <w:szCs w:val="24"/>
        </w:rPr>
        <w:t xml:space="preserve">how the committee had sought to scrutinise NHS England's switching estimates, and whether similar levels of interrogation had </w:t>
      </w:r>
      <w:r w:rsidR="003C09A8" w:rsidRPr="00A96D52">
        <w:rPr>
          <w:rFonts w:cs="Arial"/>
          <w:sz w:val="24"/>
          <w:szCs w:val="24"/>
        </w:rPr>
        <w:t xml:space="preserve">been applied to UCB's expert elicitation and NHS England's switching estimates. </w:t>
      </w:r>
    </w:p>
    <w:p w14:paraId="1EB1AAC2" w14:textId="4BA583F7" w:rsidR="00B82A97" w:rsidRPr="00A96D52" w:rsidRDefault="003C09A8" w:rsidP="00847821">
      <w:pPr>
        <w:pStyle w:val="Paragraph"/>
        <w:rPr>
          <w:rFonts w:cs="Arial"/>
          <w:sz w:val="24"/>
          <w:szCs w:val="24"/>
        </w:rPr>
      </w:pPr>
      <w:r w:rsidRPr="00A96D52">
        <w:rPr>
          <w:rFonts w:cs="Arial"/>
          <w:sz w:val="24"/>
          <w:szCs w:val="24"/>
        </w:rPr>
        <w:t xml:space="preserve">Charles Crawley explained that NHS England's data were derived from 2 </w:t>
      </w:r>
      <w:proofErr w:type="gramStart"/>
      <w:r w:rsidRPr="00A96D52">
        <w:rPr>
          <w:rFonts w:cs="Arial"/>
          <w:sz w:val="24"/>
          <w:szCs w:val="24"/>
        </w:rPr>
        <w:t>experts, and</w:t>
      </w:r>
      <w:proofErr w:type="gramEnd"/>
      <w:r w:rsidRPr="00A96D52">
        <w:rPr>
          <w:rFonts w:cs="Arial"/>
          <w:sz w:val="24"/>
          <w:szCs w:val="24"/>
        </w:rPr>
        <w:t xml:space="preserve"> had similar levels of uncertainty to UCB's expert elicitation. He said that the committee had not ascribed a great deal of weight to the NHS England data. He described the significant difference in the range of opinions offered by stakeholders, </w:t>
      </w:r>
      <w:r w:rsidR="00B82A97" w:rsidRPr="00A96D52">
        <w:rPr>
          <w:rFonts w:cs="Arial"/>
          <w:sz w:val="24"/>
          <w:szCs w:val="24"/>
        </w:rPr>
        <w:t xml:space="preserve">and the </w:t>
      </w:r>
      <w:r w:rsidR="00B82A97" w:rsidRPr="00A96D52">
        <w:rPr>
          <w:rFonts w:cs="Arial"/>
          <w:sz w:val="24"/>
          <w:szCs w:val="24"/>
        </w:rPr>
        <w:lastRenderedPageBreak/>
        <w:t>associated uncertainty which led the committee to con</w:t>
      </w:r>
      <w:r w:rsidR="00F85A17" w:rsidRPr="00A96D52">
        <w:rPr>
          <w:rFonts w:cs="Arial"/>
          <w:sz w:val="24"/>
          <w:szCs w:val="24"/>
        </w:rPr>
        <w:t>clude</w:t>
      </w:r>
      <w:r w:rsidR="00B82A97" w:rsidRPr="00A96D52">
        <w:rPr>
          <w:rFonts w:cs="Arial"/>
          <w:sz w:val="24"/>
          <w:szCs w:val="24"/>
        </w:rPr>
        <w:t xml:space="preserve"> that it could not rely exclusively on any one view, which is why the committee opted for a mid-point of the estimates. </w:t>
      </w:r>
    </w:p>
    <w:p w14:paraId="62723558" w14:textId="680CFD27" w:rsidR="006A5881" w:rsidRPr="00A96D52" w:rsidRDefault="00F85A17" w:rsidP="00847821">
      <w:pPr>
        <w:pStyle w:val="Paragraph"/>
        <w:rPr>
          <w:rFonts w:cs="Arial"/>
          <w:sz w:val="24"/>
          <w:szCs w:val="24"/>
        </w:rPr>
      </w:pPr>
      <w:r w:rsidRPr="00A96D52">
        <w:rPr>
          <w:rFonts w:cs="Arial"/>
          <w:sz w:val="24"/>
          <w:szCs w:val="24"/>
        </w:rPr>
        <w:t xml:space="preserve">The </w:t>
      </w:r>
      <w:r w:rsidR="009523AF">
        <w:rPr>
          <w:rFonts w:cs="Arial"/>
          <w:sz w:val="24"/>
          <w:szCs w:val="24"/>
        </w:rPr>
        <w:t xml:space="preserve">appeal </w:t>
      </w:r>
      <w:r w:rsidRPr="00A96D52">
        <w:rPr>
          <w:rFonts w:cs="Arial"/>
          <w:sz w:val="24"/>
          <w:szCs w:val="24"/>
        </w:rPr>
        <w:t xml:space="preserve">panel explicitly asked whether greater weight was placed on NHS England's data compared to the expert elicitation data. Charles Crawley </w:t>
      </w:r>
      <w:r w:rsidR="00336336">
        <w:rPr>
          <w:rFonts w:cs="Arial"/>
          <w:sz w:val="24"/>
          <w:szCs w:val="24"/>
        </w:rPr>
        <w:t>said</w:t>
      </w:r>
      <w:r w:rsidR="00336336" w:rsidRPr="00A96D52">
        <w:rPr>
          <w:rFonts w:cs="Arial"/>
          <w:sz w:val="24"/>
          <w:szCs w:val="24"/>
        </w:rPr>
        <w:t xml:space="preserve"> </w:t>
      </w:r>
      <w:r w:rsidRPr="00A96D52">
        <w:rPr>
          <w:rFonts w:cs="Arial"/>
          <w:sz w:val="24"/>
          <w:szCs w:val="24"/>
        </w:rPr>
        <w:t>that this was not the case</w:t>
      </w:r>
      <w:r w:rsidR="00782241" w:rsidRPr="00A96D52">
        <w:rPr>
          <w:rFonts w:cs="Arial"/>
          <w:sz w:val="24"/>
          <w:szCs w:val="24"/>
        </w:rPr>
        <w:t xml:space="preserve">. </w:t>
      </w:r>
    </w:p>
    <w:p w14:paraId="31CD31F4" w14:textId="3A835255" w:rsidR="00310343" w:rsidRPr="00A96D52" w:rsidRDefault="00782241" w:rsidP="00847821">
      <w:pPr>
        <w:pStyle w:val="Paragraph"/>
        <w:rPr>
          <w:rFonts w:cs="Arial"/>
          <w:sz w:val="24"/>
          <w:szCs w:val="24"/>
        </w:rPr>
      </w:pPr>
      <w:r w:rsidRPr="00A96D52">
        <w:rPr>
          <w:rFonts w:cs="Arial"/>
          <w:sz w:val="24"/>
          <w:szCs w:val="24"/>
        </w:rPr>
        <w:t>The</w:t>
      </w:r>
      <w:r w:rsidR="0078121D">
        <w:rPr>
          <w:rFonts w:cs="Arial"/>
          <w:sz w:val="24"/>
          <w:szCs w:val="24"/>
        </w:rPr>
        <w:t xml:space="preserve"> appeal</w:t>
      </w:r>
      <w:r w:rsidRPr="00A96D52">
        <w:rPr>
          <w:rFonts w:cs="Arial"/>
          <w:sz w:val="24"/>
          <w:szCs w:val="24"/>
        </w:rPr>
        <w:t xml:space="preserve"> panel asked for further information as to the committee's approach to switching proportions </w:t>
      </w:r>
      <w:r w:rsidR="00D65F1F" w:rsidRPr="00A96D52">
        <w:rPr>
          <w:rFonts w:cs="Arial"/>
          <w:sz w:val="24"/>
          <w:szCs w:val="24"/>
        </w:rPr>
        <w:t xml:space="preserve">for those patients being </w:t>
      </w:r>
      <w:r w:rsidRPr="00A96D52">
        <w:rPr>
          <w:rFonts w:cs="Arial"/>
          <w:sz w:val="24"/>
          <w:szCs w:val="24"/>
        </w:rPr>
        <w:t>re-treat</w:t>
      </w:r>
      <w:r w:rsidR="00D65F1F" w:rsidRPr="00A96D52">
        <w:rPr>
          <w:rFonts w:cs="Arial"/>
          <w:sz w:val="24"/>
          <w:szCs w:val="24"/>
        </w:rPr>
        <w:t>ed</w:t>
      </w:r>
      <w:r w:rsidR="00310343" w:rsidRPr="00A96D52">
        <w:rPr>
          <w:rFonts w:cs="Arial"/>
          <w:sz w:val="24"/>
          <w:szCs w:val="24"/>
        </w:rPr>
        <w:t xml:space="preserve"> with IVIg or PLEX</w:t>
      </w:r>
      <w:r w:rsidRPr="00A96D52">
        <w:rPr>
          <w:rFonts w:cs="Arial"/>
          <w:sz w:val="24"/>
          <w:szCs w:val="24"/>
        </w:rPr>
        <w:t>. Charles Crawley reiterated that</w:t>
      </w:r>
      <w:r w:rsidR="00D35FFD" w:rsidRPr="00A96D52">
        <w:rPr>
          <w:rFonts w:cs="Arial"/>
          <w:sz w:val="24"/>
          <w:szCs w:val="24"/>
        </w:rPr>
        <w:t xml:space="preserve"> the number of patients being re-treated </w:t>
      </w:r>
      <w:r w:rsidR="000A5720" w:rsidRPr="00A96D52">
        <w:rPr>
          <w:rFonts w:cs="Arial"/>
          <w:sz w:val="24"/>
          <w:szCs w:val="24"/>
        </w:rPr>
        <w:t>w</w:t>
      </w:r>
      <w:r w:rsidR="000A5720">
        <w:rPr>
          <w:rFonts w:cs="Arial"/>
          <w:sz w:val="24"/>
          <w:szCs w:val="24"/>
        </w:rPr>
        <w:t>as</w:t>
      </w:r>
      <w:r w:rsidR="000A5720" w:rsidRPr="00A96D52">
        <w:rPr>
          <w:rFonts w:cs="Arial"/>
          <w:sz w:val="24"/>
          <w:szCs w:val="24"/>
        </w:rPr>
        <w:t xml:space="preserve"> </w:t>
      </w:r>
      <w:r w:rsidR="00D35FFD" w:rsidRPr="00A96D52">
        <w:rPr>
          <w:rFonts w:cs="Arial"/>
          <w:sz w:val="24"/>
          <w:szCs w:val="24"/>
        </w:rPr>
        <w:t>small</w:t>
      </w:r>
      <w:r w:rsidR="0071273D" w:rsidRPr="00A96D52">
        <w:rPr>
          <w:rFonts w:cs="Arial"/>
          <w:sz w:val="24"/>
          <w:szCs w:val="24"/>
        </w:rPr>
        <w:t>. He said that although the committee could have</w:t>
      </w:r>
      <w:r w:rsidR="00CC7259">
        <w:rPr>
          <w:rFonts w:cs="Arial"/>
          <w:sz w:val="24"/>
          <w:szCs w:val="24"/>
        </w:rPr>
        <w:t xml:space="preserve"> accounted for that quantitatively</w:t>
      </w:r>
      <w:r w:rsidR="0071273D" w:rsidRPr="00A96D52">
        <w:rPr>
          <w:rFonts w:cs="Arial"/>
          <w:sz w:val="24"/>
          <w:szCs w:val="24"/>
        </w:rPr>
        <w:t xml:space="preserve">, the evidence </w:t>
      </w:r>
      <w:r w:rsidR="00310343" w:rsidRPr="00A96D52">
        <w:rPr>
          <w:rFonts w:cs="Arial"/>
          <w:sz w:val="24"/>
          <w:szCs w:val="24"/>
        </w:rPr>
        <w:t xml:space="preserve">available to the committee did not enable it to do so. </w:t>
      </w:r>
    </w:p>
    <w:p w14:paraId="6933D6E6" w14:textId="134EA997" w:rsidR="00782241" w:rsidRPr="00A96D52" w:rsidRDefault="00FE1EEB" w:rsidP="00847821">
      <w:pPr>
        <w:pStyle w:val="Paragraph"/>
        <w:rPr>
          <w:rFonts w:cs="Arial"/>
          <w:sz w:val="24"/>
          <w:szCs w:val="24"/>
        </w:rPr>
      </w:pPr>
      <w:r w:rsidRPr="00A96D52">
        <w:rPr>
          <w:rFonts w:cs="Arial"/>
          <w:sz w:val="24"/>
          <w:szCs w:val="24"/>
        </w:rPr>
        <w:t xml:space="preserve">In response to a question from the </w:t>
      </w:r>
      <w:r w:rsidR="008873A4">
        <w:rPr>
          <w:rFonts w:cs="Arial"/>
          <w:sz w:val="24"/>
          <w:szCs w:val="24"/>
        </w:rPr>
        <w:t xml:space="preserve">appeal </w:t>
      </w:r>
      <w:r w:rsidRPr="00A96D52">
        <w:rPr>
          <w:rFonts w:cs="Arial"/>
          <w:sz w:val="24"/>
          <w:szCs w:val="24"/>
        </w:rPr>
        <w:t>panel, Emily Crowe</w:t>
      </w:r>
      <w:r w:rsidR="001B319F">
        <w:rPr>
          <w:rFonts w:cs="Arial"/>
          <w:sz w:val="24"/>
          <w:szCs w:val="24"/>
        </w:rPr>
        <w:t>, for NICE</w:t>
      </w:r>
      <w:r w:rsidRPr="00A96D52">
        <w:rPr>
          <w:rFonts w:cs="Arial"/>
          <w:sz w:val="24"/>
          <w:szCs w:val="24"/>
        </w:rPr>
        <w:t xml:space="preserve"> explained that the approach to modelling sequential treatment in the </w:t>
      </w:r>
      <w:proofErr w:type="spellStart"/>
      <w:r w:rsidRPr="00A96D52">
        <w:rPr>
          <w:rFonts w:cs="Arial"/>
          <w:sz w:val="24"/>
          <w:szCs w:val="24"/>
        </w:rPr>
        <w:t>zilucoplan</w:t>
      </w:r>
      <w:proofErr w:type="spellEnd"/>
      <w:r w:rsidRPr="00A96D52">
        <w:rPr>
          <w:rFonts w:cs="Arial"/>
          <w:sz w:val="24"/>
          <w:szCs w:val="24"/>
        </w:rPr>
        <w:t xml:space="preserve"> appraisal was consciously consistent with the approach adopted in </w:t>
      </w:r>
      <w:r w:rsidR="005A5D49">
        <w:rPr>
          <w:rFonts w:cs="Arial"/>
          <w:sz w:val="24"/>
          <w:szCs w:val="24"/>
        </w:rPr>
        <w:t>TA1069</w:t>
      </w:r>
      <w:r w:rsidRPr="00A96D52">
        <w:rPr>
          <w:rFonts w:cs="Arial"/>
          <w:sz w:val="24"/>
          <w:szCs w:val="24"/>
        </w:rPr>
        <w:t>. In both appraisals, it was</w:t>
      </w:r>
      <w:r w:rsidR="003C4993" w:rsidRPr="00A96D52">
        <w:rPr>
          <w:rFonts w:cs="Arial"/>
          <w:sz w:val="24"/>
          <w:szCs w:val="24"/>
        </w:rPr>
        <w:t xml:space="preserve"> considered appropriate for subsequent treatment to be applied in the same way to both arms of the model</w:t>
      </w:r>
      <w:r w:rsidR="003E00F1" w:rsidRPr="00A96D52">
        <w:rPr>
          <w:rFonts w:cs="Arial"/>
          <w:sz w:val="24"/>
          <w:szCs w:val="24"/>
        </w:rPr>
        <w:t xml:space="preserve"> (though ultimately PLEX was removed entirely from both arms of the model in </w:t>
      </w:r>
      <w:r w:rsidR="005A5D49">
        <w:rPr>
          <w:rFonts w:cs="Arial"/>
          <w:sz w:val="24"/>
          <w:szCs w:val="24"/>
        </w:rPr>
        <w:t>TA1069</w:t>
      </w:r>
      <w:r w:rsidR="003E00F1" w:rsidRPr="00A96D52">
        <w:rPr>
          <w:rFonts w:cs="Arial"/>
          <w:sz w:val="24"/>
          <w:szCs w:val="24"/>
        </w:rPr>
        <w:t xml:space="preserve"> owing to uncerta</w:t>
      </w:r>
      <w:r w:rsidR="004E2967" w:rsidRPr="00A96D52">
        <w:rPr>
          <w:rFonts w:cs="Arial"/>
          <w:sz w:val="24"/>
          <w:szCs w:val="24"/>
        </w:rPr>
        <w:t>inty in a different evidence base)</w:t>
      </w:r>
      <w:r w:rsidR="003C4993" w:rsidRPr="00A96D52">
        <w:rPr>
          <w:rFonts w:cs="Arial"/>
          <w:sz w:val="24"/>
          <w:szCs w:val="24"/>
        </w:rPr>
        <w:t xml:space="preserve">. </w:t>
      </w:r>
      <w:r w:rsidR="0071273D" w:rsidRPr="00A96D52">
        <w:rPr>
          <w:rFonts w:cs="Arial"/>
          <w:sz w:val="24"/>
          <w:szCs w:val="24"/>
        </w:rPr>
        <w:t xml:space="preserve"> </w:t>
      </w:r>
    </w:p>
    <w:p w14:paraId="20BA489D" w14:textId="39F6B468" w:rsidR="00C178E2" w:rsidRPr="00A96D52" w:rsidRDefault="00F625BF" w:rsidP="00847821">
      <w:pPr>
        <w:pStyle w:val="Paragraph"/>
        <w:rPr>
          <w:rFonts w:cs="Arial"/>
          <w:sz w:val="24"/>
          <w:szCs w:val="24"/>
        </w:rPr>
      </w:pPr>
      <w:r w:rsidRPr="00A96D52">
        <w:rPr>
          <w:rFonts w:cs="Arial"/>
          <w:sz w:val="24"/>
          <w:szCs w:val="24"/>
        </w:rPr>
        <w:t>Addressing the committee's approach to consistency more broadly, Jacoline Bouvy</w:t>
      </w:r>
      <w:r w:rsidR="00255929">
        <w:rPr>
          <w:rFonts w:cs="Arial"/>
          <w:sz w:val="24"/>
          <w:szCs w:val="24"/>
        </w:rPr>
        <w:t>, for NICE</w:t>
      </w:r>
      <w:r w:rsidR="00381D0E">
        <w:rPr>
          <w:rFonts w:cs="Arial"/>
          <w:sz w:val="24"/>
          <w:szCs w:val="24"/>
        </w:rPr>
        <w:t>,</w:t>
      </w:r>
      <w:r w:rsidRPr="00A96D52">
        <w:rPr>
          <w:rFonts w:cs="Arial"/>
          <w:sz w:val="24"/>
          <w:szCs w:val="24"/>
        </w:rPr>
        <w:t xml:space="preserve"> explained that </w:t>
      </w:r>
      <w:r w:rsidR="009368B9" w:rsidRPr="00A96D52">
        <w:rPr>
          <w:rFonts w:cs="Arial"/>
          <w:sz w:val="24"/>
          <w:szCs w:val="24"/>
        </w:rPr>
        <w:t xml:space="preserve">the committee will adopt a consistent approach to previous appraisals unless there is a reason to fundamentally change that approach. </w:t>
      </w:r>
      <w:r w:rsidR="00C178E2" w:rsidRPr="00A96D52">
        <w:rPr>
          <w:rFonts w:cs="Arial"/>
          <w:sz w:val="24"/>
          <w:szCs w:val="24"/>
        </w:rPr>
        <w:t xml:space="preserve">She explained that in the </w:t>
      </w:r>
      <w:proofErr w:type="spellStart"/>
      <w:r w:rsidR="00C178E2" w:rsidRPr="00A96D52">
        <w:rPr>
          <w:rFonts w:cs="Arial"/>
          <w:sz w:val="24"/>
          <w:szCs w:val="24"/>
        </w:rPr>
        <w:t>zilucoplan</w:t>
      </w:r>
      <w:proofErr w:type="spellEnd"/>
      <w:r w:rsidR="00C178E2" w:rsidRPr="00A96D52">
        <w:rPr>
          <w:rFonts w:cs="Arial"/>
          <w:sz w:val="24"/>
          <w:szCs w:val="24"/>
        </w:rPr>
        <w:t xml:space="preserve"> appraisal, there were some instances in which it was appropriate to depart from </w:t>
      </w:r>
      <w:r w:rsidR="005A5D49">
        <w:rPr>
          <w:rFonts w:cs="Arial"/>
          <w:sz w:val="24"/>
          <w:szCs w:val="24"/>
        </w:rPr>
        <w:t>TA1069</w:t>
      </w:r>
      <w:r w:rsidR="00C178E2" w:rsidRPr="00A96D52">
        <w:rPr>
          <w:rFonts w:cs="Arial"/>
          <w:sz w:val="24"/>
          <w:szCs w:val="24"/>
        </w:rPr>
        <w:t xml:space="preserve"> (for example, data in relation to </w:t>
      </w:r>
      <w:r w:rsidR="00C27D55">
        <w:rPr>
          <w:rFonts w:cs="Arial"/>
          <w:sz w:val="24"/>
          <w:szCs w:val="24"/>
        </w:rPr>
        <w:t>Minimal Symptom Expression</w:t>
      </w:r>
      <w:r w:rsidR="00BB3FE7">
        <w:rPr>
          <w:rFonts w:cs="Arial"/>
          <w:sz w:val="24"/>
          <w:szCs w:val="24"/>
        </w:rPr>
        <w:t xml:space="preserve"> </w:t>
      </w:r>
      <w:r w:rsidR="00C27D55">
        <w:rPr>
          <w:rFonts w:cs="Arial"/>
          <w:sz w:val="24"/>
          <w:szCs w:val="24"/>
        </w:rPr>
        <w:t>(</w:t>
      </w:r>
      <w:r w:rsidR="00BB3FE7">
        <w:rPr>
          <w:rFonts w:cs="Arial"/>
          <w:sz w:val="24"/>
          <w:szCs w:val="24"/>
        </w:rPr>
        <w:t>“</w:t>
      </w:r>
      <w:r w:rsidR="00C178E2" w:rsidRPr="00A96D52">
        <w:rPr>
          <w:rFonts w:cs="Arial"/>
          <w:sz w:val="24"/>
          <w:szCs w:val="24"/>
        </w:rPr>
        <w:t>MSE</w:t>
      </w:r>
      <w:r w:rsidR="00C27D55">
        <w:rPr>
          <w:rFonts w:cs="Arial"/>
          <w:sz w:val="24"/>
          <w:szCs w:val="24"/>
        </w:rPr>
        <w:t>”)</w:t>
      </w:r>
      <w:r w:rsidR="00C178E2" w:rsidRPr="00A96D52">
        <w:rPr>
          <w:rFonts w:cs="Arial"/>
          <w:sz w:val="24"/>
          <w:szCs w:val="24"/>
        </w:rPr>
        <w:t xml:space="preserve"> which were not available during </w:t>
      </w:r>
      <w:r w:rsidR="005A5D49">
        <w:rPr>
          <w:rFonts w:cs="Arial"/>
          <w:sz w:val="24"/>
          <w:szCs w:val="24"/>
        </w:rPr>
        <w:t>TA1069</w:t>
      </w:r>
      <w:r w:rsidR="00C178E2" w:rsidRPr="00A96D52">
        <w:rPr>
          <w:rFonts w:cs="Arial"/>
          <w:sz w:val="24"/>
          <w:szCs w:val="24"/>
        </w:rPr>
        <w:t xml:space="preserve"> had become available ahead of the </w:t>
      </w:r>
      <w:proofErr w:type="spellStart"/>
      <w:r w:rsidR="00C178E2" w:rsidRPr="00A96D52">
        <w:rPr>
          <w:rFonts w:cs="Arial"/>
          <w:sz w:val="24"/>
          <w:szCs w:val="24"/>
        </w:rPr>
        <w:t>zilucoplan</w:t>
      </w:r>
      <w:proofErr w:type="spellEnd"/>
      <w:r w:rsidR="00C178E2" w:rsidRPr="00A96D52">
        <w:rPr>
          <w:rFonts w:cs="Arial"/>
          <w:sz w:val="24"/>
          <w:szCs w:val="24"/>
        </w:rPr>
        <w:t xml:space="preserve"> appraisal). </w:t>
      </w:r>
    </w:p>
    <w:p w14:paraId="2F4BDADF" w14:textId="1FB15B99" w:rsidR="00F625BF" w:rsidRPr="00A96D52" w:rsidRDefault="00647C9D" w:rsidP="00847821">
      <w:pPr>
        <w:pStyle w:val="Paragraph"/>
        <w:rPr>
          <w:rFonts w:cs="Arial"/>
          <w:sz w:val="24"/>
          <w:szCs w:val="24"/>
        </w:rPr>
      </w:pPr>
      <w:r w:rsidRPr="00A96D52">
        <w:rPr>
          <w:rFonts w:cs="Arial"/>
          <w:sz w:val="24"/>
          <w:szCs w:val="24"/>
        </w:rPr>
        <w:t xml:space="preserve">Matthew Binns emphasised that UCB's appeal point related to the perceived lack of transparency in the committee's preferred </w:t>
      </w:r>
      <w:r w:rsidRPr="00A96D52">
        <w:rPr>
          <w:rFonts w:cs="Arial"/>
          <w:sz w:val="24"/>
          <w:szCs w:val="24"/>
        </w:rPr>
        <w:lastRenderedPageBreak/>
        <w:t xml:space="preserve">assumptions. </w:t>
      </w:r>
      <w:r w:rsidR="00050459" w:rsidRPr="00A96D52">
        <w:rPr>
          <w:rFonts w:cs="Arial"/>
          <w:sz w:val="24"/>
          <w:szCs w:val="24"/>
        </w:rPr>
        <w:t>I</w:t>
      </w:r>
      <w:r w:rsidR="00601F0E" w:rsidRPr="00A96D52">
        <w:rPr>
          <w:rFonts w:cs="Arial"/>
          <w:sz w:val="24"/>
          <w:szCs w:val="24"/>
        </w:rPr>
        <w:t xml:space="preserve">t was UCB's view that </w:t>
      </w:r>
      <w:proofErr w:type="gramStart"/>
      <w:r w:rsidR="00601F0E" w:rsidRPr="00A96D52">
        <w:rPr>
          <w:rFonts w:cs="Arial"/>
          <w:sz w:val="24"/>
          <w:szCs w:val="24"/>
        </w:rPr>
        <w:t>in light of</w:t>
      </w:r>
      <w:proofErr w:type="gramEnd"/>
      <w:r w:rsidR="00601F0E" w:rsidRPr="00A96D52">
        <w:rPr>
          <w:rFonts w:cs="Arial"/>
          <w:sz w:val="24"/>
          <w:szCs w:val="24"/>
        </w:rPr>
        <w:t xml:space="preserve"> the uncertainty facing the committee, it would have been reasonable for the committee to have preferred the most robust data (which, in UCB's view, was UCB's expert elicitation). </w:t>
      </w:r>
      <w:r w:rsidR="00FF7669" w:rsidRPr="00A96D52">
        <w:rPr>
          <w:rFonts w:cs="Arial"/>
          <w:sz w:val="24"/>
          <w:szCs w:val="24"/>
        </w:rPr>
        <w:t>He added that</w:t>
      </w:r>
      <w:r w:rsidR="00C93E97" w:rsidRPr="00A96D52">
        <w:rPr>
          <w:rFonts w:cs="Arial"/>
          <w:sz w:val="24"/>
          <w:szCs w:val="24"/>
        </w:rPr>
        <w:t xml:space="preserve">, as far as UCB is aware, the experts consulted by NHS England could have been from the same centre, working together. </w:t>
      </w:r>
      <w:r w:rsidR="009C508B" w:rsidRPr="00A96D52">
        <w:rPr>
          <w:rFonts w:cs="Arial"/>
          <w:sz w:val="24"/>
          <w:szCs w:val="24"/>
        </w:rPr>
        <w:t xml:space="preserve">Emily Crowe confirmed that her understanding was that the expert input came from two different centres in London. </w:t>
      </w:r>
    </w:p>
    <w:p w14:paraId="55A0898C" w14:textId="25325462" w:rsidR="00601F0E" w:rsidRPr="00A96D52" w:rsidRDefault="00F17A52" w:rsidP="00847821">
      <w:pPr>
        <w:pStyle w:val="Paragraph"/>
        <w:rPr>
          <w:rFonts w:cs="Arial"/>
          <w:sz w:val="24"/>
          <w:szCs w:val="24"/>
        </w:rPr>
      </w:pPr>
      <w:r w:rsidRPr="00A96D52">
        <w:rPr>
          <w:rFonts w:cs="Arial"/>
          <w:sz w:val="24"/>
          <w:szCs w:val="24"/>
        </w:rPr>
        <w:t>Sarah Love,</w:t>
      </w:r>
      <w:r w:rsidR="000C45F5" w:rsidRPr="00A96D52">
        <w:rPr>
          <w:rFonts w:cs="Arial"/>
          <w:sz w:val="24"/>
          <w:szCs w:val="24"/>
        </w:rPr>
        <w:t xml:space="preserve"> for </w:t>
      </w:r>
      <w:proofErr w:type="spellStart"/>
      <w:r w:rsidR="000C45F5" w:rsidRPr="00A96D52">
        <w:rPr>
          <w:rFonts w:cs="Arial"/>
          <w:sz w:val="24"/>
          <w:szCs w:val="24"/>
        </w:rPr>
        <w:t>Myaware</w:t>
      </w:r>
      <w:proofErr w:type="spellEnd"/>
      <w:r w:rsidR="000C45F5" w:rsidRPr="00A96D52">
        <w:rPr>
          <w:rFonts w:cs="Arial"/>
          <w:sz w:val="24"/>
          <w:szCs w:val="24"/>
        </w:rPr>
        <w:t>, noted that the modelling suggested that</w:t>
      </w:r>
      <w:r w:rsidR="009F0D70" w:rsidRPr="00A96D52">
        <w:rPr>
          <w:rFonts w:cs="Arial"/>
          <w:sz w:val="24"/>
          <w:szCs w:val="24"/>
        </w:rPr>
        <w:t xml:space="preserve"> the switching proportions were low, and that</w:t>
      </w:r>
      <w:r w:rsidR="000C45F5" w:rsidRPr="00A96D52">
        <w:rPr>
          <w:rFonts w:cs="Arial"/>
          <w:sz w:val="24"/>
          <w:szCs w:val="24"/>
        </w:rPr>
        <w:t xml:space="preserve"> a significant number of patients were being left on inadequate treatment, which could lead to myasthenic crisis – and </w:t>
      </w:r>
      <w:r w:rsidR="00573FBC" w:rsidRPr="00A96D52">
        <w:rPr>
          <w:rFonts w:cs="Arial"/>
          <w:sz w:val="24"/>
          <w:szCs w:val="24"/>
        </w:rPr>
        <w:t xml:space="preserve">that this did not appear to be a reasonable clinical outcome. </w:t>
      </w:r>
    </w:p>
    <w:p w14:paraId="19DE149A" w14:textId="2EAD672E" w:rsidR="00573FBC" w:rsidRPr="00A96D52" w:rsidRDefault="008A6778" w:rsidP="00847821">
      <w:pPr>
        <w:pStyle w:val="Paragraph"/>
        <w:rPr>
          <w:rFonts w:cs="Arial"/>
          <w:sz w:val="24"/>
          <w:szCs w:val="24"/>
        </w:rPr>
      </w:pPr>
      <w:r w:rsidRPr="00A96D52">
        <w:rPr>
          <w:rFonts w:cs="Arial"/>
          <w:sz w:val="24"/>
          <w:szCs w:val="24"/>
        </w:rPr>
        <w:t xml:space="preserve">In response to questions from the </w:t>
      </w:r>
      <w:r w:rsidR="00A90A1B">
        <w:rPr>
          <w:rFonts w:cs="Arial"/>
          <w:sz w:val="24"/>
          <w:szCs w:val="24"/>
        </w:rPr>
        <w:t xml:space="preserve">appeal </w:t>
      </w:r>
      <w:r w:rsidRPr="00A96D52">
        <w:rPr>
          <w:rFonts w:cs="Arial"/>
          <w:sz w:val="24"/>
          <w:szCs w:val="24"/>
        </w:rPr>
        <w:t xml:space="preserve">panel, Charles Crawley </w:t>
      </w:r>
      <w:r w:rsidR="009F0D70" w:rsidRPr="00A96D52">
        <w:rPr>
          <w:rFonts w:cs="Arial"/>
          <w:sz w:val="24"/>
          <w:szCs w:val="24"/>
        </w:rPr>
        <w:t>disagreed with Sarah Love's view that the switching proportions were low</w:t>
      </w:r>
      <w:r w:rsidR="00D62AF4" w:rsidRPr="00A96D52">
        <w:rPr>
          <w:rFonts w:cs="Arial"/>
          <w:sz w:val="24"/>
          <w:szCs w:val="24"/>
        </w:rPr>
        <w:t xml:space="preserve">. He </w:t>
      </w:r>
      <w:r w:rsidR="00A61116" w:rsidRPr="00A96D52">
        <w:rPr>
          <w:rFonts w:cs="Arial"/>
          <w:sz w:val="24"/>
          <w:szCs w:val="24"/>
        </w:rPr>
        <w:t xml:space="preserve">clarified that there were low proportions of patients being re-treated with IVIg (i.e. switching from IVIg to IVIg), rather than low proportions of patients being re-treated per se. </w:t>
      </w:r>
    </w:p>
    <w:p w14:paraId="29122D46" w14:textId="3CC9C5DB" w:rsidR="00087339" w:rsidRPr="00A96D52" w:rsidRDefault="008C64C9" w:rsidP="00847821">
      <w:pPr>
        <w:pStyle w:val="Paragraph"/>
        <w:rPr>
          <w:rFonts w:cs="Arial"/>
          <w:sz w:val="24"/>
          <w:szCs w:val="24"/>
        </w:rPr>
      </w:pPr>
      <w:r w:rsidRPr="00A96D52">
        <w:rPr>
          <w:rFonts w:cs="Arial"/>
          <w:sz w:val="24"/>
          <w:szCs w:val="24"/>
        </w:rPr>
        <w:t xml:space="preserve">Channa </w:t>
      </w:r>
      <w:proofErr w:type="spellStart"/>
      <w:r w:rsidRPr="00A96D52">
        <w:rPr>
          <w:rFonts w:cs="Arial"/>
          <w:sz w:val="24"/>
          <w:szCs w:val="24"/>
        </w:rPr>
        <w:t>He</w:t>
      </w:r>
      <w:r w:rsidR="00B26C05" w:rsidRPr="00A96D52">
        <w:rPr>
          <w:rFonts w:cs="Arial"/>
          <w:sz w:val="24"/>
          <w:szCs w:val="24"/>
        </w:rPr>
        <w:t>wamadduma</w:t>
      </w:r>
      <w:proofErr w:type="spellEnd"/>
      <w:r w:rsidR="00B26C05" w:rsidRPr="00A96D52">
        <w:rPr>
          <w:rFonts w:cs="Arial"/>
          <w:sz w:val="24"/>
          <w:szCs w:val="24"/>
        </w:rPr>
        <w:t xml:space="preserve">, for </w:t>
      </w:r>
      <w:proofErr w:type="spellStart"/>
      <w:r w:rsidR="00B26C05" w:rsidRPr="00A96D52">
        <w:rPr>
          <w:rFonts w:cs="Arial"/>
          <w:sz w:val="24"/>
          <w:szCs w:val="24"/>
        </w:rPr>
        <w:t>Myaware</w:t>
      </w:r>
      <w:proofErr w:type="spellEnd"/>
      <w:r w:rsidR="00B26C05" w:rsidRPr="00A96D52">
        <w:rPr>
          <w:rFonts w:cs="Arial"/>
          <w:sz w:val="24"/>
          <w:szCs w:val="24"/>
        </w:rPr>
        <w:t>,</w:t>
      </w:r>
      <w:r w:rsidRPr="00A96D52">
        <w:rPr>
          <w:rFonts w:cs="Arial"/>
          <w:sz w:val="24"/>
          <w:szCs w:val="24"/>
        </w:rPr>
        <w:t xml:space="preserve"> explained that it is highly unlikely that patients who had been treated with IVIg or PLEX would be left on CCS / NSISTs after IVIg or PLEX failed. </w:t>
      </w:r>
      <w:r w:rsidR="00AB6CB6" w:rsidRPr="00A96D52">
        <w:rPr>
          <w:rFonts w:cs="Arial"/>
          <w:sz w:val="24"/>
          <w:szCs w:val="24"/>
        </w:rPr>
        <w:t xml:space="preserve">He described that doing so could leave a patient in intensive </w:t>
      </w:r>
      <w:proofErr w:type="gramStart"/>
      <w:r w:rsidR="00AB6CB6" w:rsidRPr="00A96D52">
        <w:rPr>
          <w:rFonts w:cs="Arial"/>
          <w:sz w:val="24"/>
          <w:szCs w:val="24"/>
        </w:rPr>
        <w:t>care, and</w:t>
      </w:r>
      <w:proofErr w:type="gramEnd"/>
      <w:r w:rsidR="00AB6CB6" w:rsidRPr="00A96D52">
        <w:rPr>
          <w:rFonts w:cs="Arial"/>
          <w:sz w:val="24"/>
          <w:szCs w:val="24"/>
        </w:rPr>
        <w:t xml:space="preserve"> being considered for a bone marrow transplant.</w:t>
      </w:r>
    </w:p>
    <w:p w14:paraId="03409D73" w14:textId="3AAB0EA9" w:rsidR="002E4991" w:rsidRPr="00A96D52" w:rsidRDefault="002E4991" w:rsidP="00847821">
      <w:pPr>
        <w:pStyle w:val="Paragraph"/>
        <w:rPr>
          <w:rFonts w:cs="Arial"/>
          <w:sz w:val="24"/>
          <w:szCs w:val="24"/>
        </w:rPr>
      </w:pPr>
      <w:r w:rsidRPr="00A96D52">
        <w:rPr>
          <w:rFonts w:cs="Arial"/>
          <w:sz w:val="24"/>
          <w:szCs w:val="24"/>
        </w:rPr>
        <w:t xml:space="preserve">In relation to UCB's </w:t>
      </w:r>
      <w:r w:rsidR="00082C0F">
        <w:rPr>
          <w:rFonts w:cs="Arial"/>
          <w:sz w:val="24"/>
          <w:szCs w:val="24"/>
        </w:rPr>
        <w:t>a</w:t>
      </w:r>
      <w:r w:rsidRPr="00A96D52">
        <w:rPr>
          <w:rFonts w:cs="Arial"/>
          <w:sz w:val="24"/>
          <w:szCs w:val="24"/>
        </w:rPr>
        <w:t xml:space="preserve">ppeal </w:t>
      </w:r>
      <w:r w:rsidR="00082C0F">
        <w:rPr>
          <w:rFonts w:cs="Arial"/>
          <w:sz w:val="24"/>
          <w:szCs w:val="24"/>
        </w:rPr>
        <w:t>p</w:t>
      </w:r>
      <w:r w:rsidRPr="00A96D52">
        <w:rPr>
          <w:rFonts w:cs="Arial"/>
          <w:sz w:val="24"/>
          <w:szCs w:val="24"/>
        </w:rPr>
        <w:t xml:space="preserve">oint 1(a)3, the </w:t>
      </w:r>
      <w:r w:rsidR="00082C0F">
        <w:rPr>
          <w:rFonts w:cs="Arial"/>
          <w:sz w:val="24"/>
          <w:szCs w:val="24"/>
        </w:rPr>
        <w:t xml:space="preserve">appeal </w:t>
      </w:r>
      <w:r w:rsidRPr="00A96D52">
        <w:rPr>
          <w:rFonts w:cs="Arial"/>
          <w:sz w:val="24"/>
          <w:szCs w:val="24"/>
        </w:rPr>
        <w:t>panel concluded as follows</w:t>
      </w:r>
      <w:r w:rsidR="00486448">
        <w:rPr>
          <w:rFonts w:cs="Arial"/>
          <w:sz w:val="24"/>
          <w:szCs w:val="24"/>
        </w:rPr>
        <w:t>. I</w:t>
      </w:r>
      <w:r w:rsidR="00486448" w:rsidRPr="00486448">
        <w:rPr>
          <w:rFonts w:cs="Arial"/>
          <w:sz w:val="24"/>
          <w:szCs w:val="24"/>
        </w:rPr>
        <w:t xml:space="preserve">t noted that the committee decision-making as to the appropriate nature and frequency of use of sequential therapies that should be included in the treatment pathway for </w:t>
      </w:r>
      <w:proofErr w:type="spellStart"/>
      <w:r w:rsidR="00486448" w:rsidRPr="00486448">
        <w:rPr>
          <w:rFonts w:cs="Arial"/>
          <w:sz w:val="24"/>
          <w:szCs w:val="24"/>
        </w:rPr>
        <w:t>zilucoplan</w:t>
      </w:r>
      <w:proofErr w:type="spellEnd"/>
      <w:r w:rsidR="00486448" w:rsidRPr="00486448">
        <w:rPr>
          <w:rFonts w:cs="Arial"/>
          <w:sz w:val="24"/>
          <w:szCs w:val="24"/>
        </w:rPr>
        <w:t xml:space="preserve"> and comparator arms in the modelling was informed by data from the EAMS database, </w:t>
      </w:r>
      <w:r w:rsidR="00B94E1D">
        <w:rPr>
          <w:rFonts w:cs="Arial"/>
          <w:sz w:val="24"/>
          <w:szCs w:val="24"/>
        </w:rPr>
        <w:t>UCB</w:t>
      </w:r>
      <w:r w:rsidR="00486448" w:rsidRPr="00486448">
        <w:rPr>
          <w:rFonts w:cs="Arial"/>
          <w:sz w:val="24"/>
          <w:szCs w:val="24"/>
        </w:rPr>
        <w:t>'s expert elicitation report and from an NHS England paper. The</w:t>
      </w:r>
      <w:r w:rsidR="009A6F8F">
        <w:rPr>
          <w:rFonts w:cs="Arial"/>
          <w:sz w:val="24"/>
          <w:szCs w:val="24"/>
        </w:rPr>
        <w:t xml:space="preserve"> appeal</w:t>
      </w:r>
      <w:r w:rsidR="00486448" w:rsidRPr="00486448">
        <w:rPr>
          <w:rFonts w:cs="Arial"/>
          <w:sz w:val="24"/>
          <w:szCs w:val="24"/>
        </w:rPr>
        <w:t xml:space="preserve"> panel were satisfied that these represented an appropriate range of data sources to inform these </w:t>
      </w:r>
      <w:r w:rsidR="00486448" w:rsidRPr="00486448">
        <w:rPr>
          <w:rFonts w:cs="Arial"/>
          <w:sz w:val="24"/>
          <w:szCs w:val="24"/>
        </w:rPr>
        <w:lastRenderedPageBreak/>
        <w:t xml:space="preserve">important decisions but also noted the uncertainty that arose in the minds of the committee </w:t>
      </w:r>
      <w:proofErr w:type="gramStart"/>
      <w:r w:rsidR="00486448" w:rsidRPr="00486448">
        <w:rPr>
          <w:rFonts w:cs="Arial"/>
          <w:sz w:val="24"/>
          <w:szCs w:val="24"/>
        </w:rPr>
        <w:t xml:space="preserve">in </w:t>
      </w:r>
      <w:r w:rsidR="00CE19CD">
        <w:rPr>
          <w:rFonts w:cs="Arial"/>
          <w:sz w:val="24"/>
          <w:szCs w:val="24"/>
        </w:rPr>
        <w:t>light</w:t>
      </w:r>
      <w:r w:rsidR="00CE19CD" w:rsidRPr="00486448">
        <w:rPr>
          <w:rFonts w:cs="Arial"/>
          <w:sz w:val="24"/>
          <w:szCs w:val="24"/>
        </w:rPr>
        <w:t xml:space="preserve"> </w:t>
      </w:r>
      <w:r w:rsidR="00CE19CD">
        <w:rPr>
          <w:rFonts w:cs="Arial"/>
          <w:sz w:val="24"/>
          <w:szCs w:val="24"/>
        </w:rPr>
        <w:t>of</w:t>
      </w:r>
      <w:proofErr w:type="gramEnd"/>
      <w:r w:rsidR="00CE19CD">
        <w:rPr>
          <w:rFonts w:cs="Arial"/>
          <w:sz w:val="24"/>
          <w:szCs w:val="24"/>
        </w:rPr>
        <w:t xml:space="preserve"> </w:t>
      </w:r>
      <w:r w:rsidR="00486448" w:rsidRPr="00486448">
        <w:rPr>
          <w:rFonts w:cs="Arial"/>
          <w:sz w:val="24"/>
          <w:szCs w:val="24"/>
        </w:rPr>
        <w:t xml:space="preserve">a range of views </w:t>
      </w:r>
      <w:proofErr w:type="gramStart"/>
      <w:r w:rsidR="00486448" w:rsidRPr="00486448">
        <w:rPr>
          <w:rFonts w:cs="Arial"/>
          <w:sz w:val="24"/>
          <w:szCs w:val="24"/>
        </w:rPr>
        <w:t>in regard to</w:t>
      </w:r>
      <w:proofErr w:type="gramEnd"/>
      <w:r w:rsidR="00486448" w:rsidRPr="00486448">
        <w:rPr>
          <w:rFonts w:cs="Arial"/>
          <w:sz w:val="24"/>
          <w:szCs w:val="24"/>
        </w:rPr>
        <w:t xml:space="preserve"> treatment switching that was apparent from the expert elicitation report and NHS</w:t>
      </w:r>
      <w:r w:rsidR="005D5CF8">
        <w:rPr>
          <w:rFonts w:cs="Arial"/>
          <w:sz w:val="24"/>
          <w:szCs w:val="24"/>
        </w:rPr>
        <w:t xml:space="preserve"> </w:t>
      </w:r>
      <w:r w:rsidR="00486448" w:rsidRPr="00486448">
        <w:rPr>
          <w:rFonts w:cs="Arial"/>
          <w:sz w:val="24"/>
          <w:szCs w:val="24"/>
        </w:rPr>
        <w:t>E</w:t>
      </w:r>
      <w:r w:rsidR="005D5CF8">
        <w:rPr>
          <w:rFonts w:cs="Arial"/>
          <w:sz w:val="24"/>
          <w:szCs w:val="24"/>
        </w:rPr>
        <w:t>ngland</w:t>
      </w:r>
      <w:r w:rsidR="00486448" w:rsidRPr="00486448">
        <w:rPr>
          <w:rFonts w:cs="Arial"/>
          <w:sz w:val="24"/>
          <w:szCs w:val="24"/>
        </w:rPr>
        <w:t xml:space="preserve"> paper.  While the </w:t>
      </w:r>
      <w:r w:rsidR="009A6F8F">
        <w:rPr>
          <w:rFonts w:cs="Arial"/>
          <w:sz w:val="24"/>
          <w:szCs w:val="24"/>
        </w:rPr>
        <w:t xml:space="preserve">appeal </w:t>
      </w:r>
      <w:r w:rsidR="00486448" w:rsidRPr="00486448">
        <w:rPr>
          <w:rFonts w:cs="Arial"/>
          <w:sz w:val="24"/>
          <w:szCs w:val="24"/>
        </w:rPr>
        <w:t xml:space="preserve">panel were satisfied that both had been considered by the committee, it </w:t>
      </w:r>
      <w:r w:rsidR="00BA3928">
        <w:rPr>
          <w:rFonts w:cs="Arial"/>
          <w:sz w:val="24"/>
          <w:szCs w:val="24"/>
        </w:rPr>
        <w:t>was evident</w:t>
      </w:r>
      <w:r w:rsidR="00486448" w:rsidRPr="00486448">
        <w:rPr>
          <w:rFonts w:cs="Arial"/>
          <w:sz w:val="24"/>
          <w:szCs w:val="24"/>
        </w:rPr>
        <w:t xml:space="preserve"> </w:t>
      </w:r>
      <w:proofErr w:type="gramStart"/>
      <w:r w:rsidR="00486448" w:rsidRPr="00486448">
        <w:rPr>
          <w:rFonts w:cs="Arial"/>
          <w:sz w:val="24"/>
          <w:szCs w:val="24"/>
        </w:rPr>
        <w:t>during the course of</w:t>
      </w:r>
      <w:proofErr w:type="gramEnd"/>
      <w:r w:rsidR="00486448" w:rsidRPr="00486448">
        <w:rPr>
          <w:rFonts w:cs="Arial"/>
          <w:sz w:val="24"/>
          <w:szCs w:val="24"/>
        </w:rPr>
        <w:t xml:space="preserve"> the hearing that the NHS</w:t>
      </w:r>
      <w:r w:rsidR="00486448">
        <w:rPr>
          <w:rFonts w:cs="Arial"/>
          <w:sz w:val="24"/>
          <w:szCs w:val="24"/>
        </w:rPr>
        <w:t xml:space="preserve"> </w:t>
      </w:r>
      <w:r w:rsidR="00486448" w:rsidRPr="00486448">
        <w:rPr>
          <w:rFonts w:cs="Arial"/>
          <w:sz w:val="24"/>
          <w:szCs w:val="24"/>
        </w:rPr>
        <w:t>E</w:t>
      </w:r>
      <w:r w:rsidR="00486448">
        <w:rPr>
          <w:rFonts w:cs="Arial"/>
          <w:sz w:val="24"/>
          <w:szCs w:val="24"/>
        </w:rPr>
        <w:t>ngland</w:t>
      </w:r>
      <w:r w:rsidR="00486448" w:rsidRPr="00486448">
        <w:rPr>
          <w:rFonts w:cs="Arial"/>
          <w:sz w:val="24"/>
          <w:szCs w:val="24"/>
        </w:rPr>
        <w:t xml:space="preserve"> data relied on the opinion of only two consultants from </w:t>
      </w:r>
      <w:r w:rsidR="00CE19CD">
        <w:rPr>
          <w:rFonts w:cs="Arial"/>
          <w:sz w:val="24"/>
          <w:szCs w:val="24"/>
        </w:rPr>
        <w:t>two</w:t>
      </w:r>
      <w:r w:rsidR="00CE19CD" w:rsidRPr="00486448">
        <w:rPr>
          <w:rFonts w:cs="Arial"/>
          <w:sz w:val="24"/>
          <w:szCs w:val="24"/>
        </w:rPr>
        <w:t xml:space="preserve"> </w:t>
      </w:r>
      <w:r w:rsidR="00486448" w:rsidRPr="00486448">
        <w:rPr>
          <w:rFonts w:cs="Arial"/>
          <w:sz w:val="24"/>
          <w:szCs w:val="24"/>
        </w:rPr>
        <w:t xml:space="preserve">different centres in London, facts that had not previously been shared with </w:t>
      </w:r>
      <w:r w:rsidR="005D5CF8">
        <w:rPr>
          <w:rFonts w:cs="Arial"/>
          <w:sz w:val="24"/>
          <w:szCs w:val="24"/>
        </w:rPr>
        <w:t>UCB</w:t>
      </w:r>
      <w:r w:rsidR="00486448" w:rsidRPr="00486448">
        <w:rPr>
          <w:rFonts w:cs="Arial"/>
          <w:sz w:val="24"/>
          <w:szCs w:val="24"/>
        </w:rPr>
        <w:t xml:space="preserve"> and were not clear in the documentation provided. Furthermore, the details of the NHS</w:t>
      </w:r>
      <w:r w:rsidR="00486448">
        <w:rPr>
          <w:rFonts w:cs="Arial"/>
          <w:sz w:val="24"/>
          <w:szCs w:val="24"/>
        </w:rPr>
        <w:t xml:space="preserve"> </w:t>
      </w:r>
      <w:r w:rsidR="00486448" w:rsidRPr="00486448">
        <w:rPr>
          <w:rFonts w:cs="Arial"/>
          <w:sz w:val="24"/>
          <w:szCs w:val="24"/>
        </w:rPr>
        <w:t>E</w:t>
      </w:r>
      <w:r w:rsidR="00486448">
        <w:rPr>
          <w:rFonts w:cs="Arial"/>
          <w:sz w:val="24"/>
          <w:szCs w:val="24"/>
        </w:rPr>
        <w:t>ngland</w:t>
      </w:r>
      <w:r w:rsidR="00486448" w:rsidRPr="00486448">
        <w:rPr>
          <w:rFonts w:cs="Arial"/>
          <w:sz w:val="24"/>
          <w:szCs w:val="24"/>
        </w:rPr>
        <w:t xml:space="preserve"> data appeared to be vague and </w:t>
      </w:r>
      <w:proofErr w:type="gramStart"/>
      <w:r w:rsidR="00486448" w:rsidRPr="00486448">
        <w:rPr>
          <w:rFonts w:cs="Arial"/>
          <w:sz w:val="24"/>
          <w:szCs w:val="24"/>
        </w:rPr>
        <w:t>incomplete</w:t>
      </w:r>
      <w:proofErr w:type="gramEnd"/>
      <w:r w:rsidR="00486448" w:rsidRPr="00486448">
        <w:rPr>
          <w:rFonts w:cs="Arial"/>
          <w:sz w:val="24"/>
          <w:szCs w:val="24"/>
        </w:rPr>
        <w:t xml:space="preserve"> and the </w:t>
      </w:r>
      <w:r w:rsidR="009A6F8F">
        <w:rPr>
          <w:rFonts w:cs="Arial"/>
          <w:sz w:val="24"/>
          <w:szCs w:val="24"/>
        </w:rPr>
        <w:t xml:space="preserve">appeal </w:t>
      </w:r>
      <w:r w:rsidR="00486448" w:rsidRPr="00486448">
        <w:rPr>
          <w:rFonts w:cs="Arial"/>
          <w:sz w:val="24"/>
          <w:szCs w:val="24"/>
        </w:rPr>
        <w:t xml:space="preserve">panel were left with uncertainty as to how exactly they had been used by the committee in their decision making. Consequently, the </w:t>
      </w:r>
      <w:r w:rsidR="009A6F8F">
        <w:rPr>
          <w:rFonts w:cs="Arial"/>
          <w:sz w:val="24"/>
          <w:szCs w:val="24"/>
        </w:rPr>
        <w:t xml:space="preserve">appeal </w:t>
      </w:r>
      <w:r w:rsidR="00486448" w:rsidRPr="00486448">
        <w:rPr>
          <w:rFonts w:cs="Arial"/>
          <w:sz w:val="24"/>
          <w:szCs w:val="24"/>
        </w:rPr>
        <w:t xml:space="preserve">panel concluded that there was indeed a lack of transparency by NICE </w:t>
      </w:r>
      <w:proofErr w:type="gramStart"/>
      <w:r w:rsidR="00486448" w:rsidRPr="00486448">
        <w:rPr>
          <w:rFonts w:cs="Arial"/>
          <w:sz w:val="24"/>
          <w:szCs w:val="24"/>
        </w:rPr>
        <w:t>in regard to</w:t>
      </w:r>
      <w:proofErr w:type="gramEnd"/>
      <w:r w:rsidR="00486448" w:rsidRPr="00486448">
        <w:rPr>
          <w:rFonts w:cs="Arial"/>
          <w:sz w:val="24"/>
          <w:szCs w:val="24"/>
        </w:rPr>
        <w:t xml:space="preserve"> the details and source of the NHS</w:t>
      </w:r>
      <w:r w:rsidR="00F97B6D">
        <w:rPr>
          <w:rFonts w:cs="Arial"/>
          <w:sz w:val="24"/>
          <w:szCs w:val="24"/>
        </w:rPr>
        <w:t xml:space="preserve"> </w:t>
      </w:r>
      <w:r w:rsidR="00486448" w:rsidRPr="00486448">
        <w:rPr>
          <w:rFonts w:cs="Arial"/>
          <w:sz w:val="24"/>
          <w:szCs w:val="24"/>
        </w:rPr>
        <w:t>E</w:t>
      </w:r>
      <w:r w:rsidR="00F97B6D">
        <w:rPr>
          <w:rFonts w:cs="Arial"/>
          <w:sz w:val="24"/>
          <w:szCs w:val="24"/>
        </w:rPr>
        <w:t>ngland</w:t>
      </w:r>
      <w:r w:rsidR="00486448" w:rsidRPr="00486448">
        <w:rPr>
          <w:rFonts w:cs="Arial"/>
          <w:sz w:val="24"/>
          <w:szCs w:val="24"/>
        </w:rPr>
        <w:t xml:space="preserve"> data as well as their use in their decisions around the preferred approach to the modelling of subsequent treatment and that this constituted unfairness.  The </w:t>
      </w:r>
      <w:r w:rsidR="00014485">
        <w:rPr>
          <w:rFonts w:cs="Arial"/>
          <w:sz w:val="24"/>
          <w:szCs w:val="24"/>
        </w:rPr>
        <w:t xml:space="preserve">appeal </w:t>
      </w:r>
      <w:r w:rsidR="00486448" w:rsidRPr="00486448">
        <w:rPr>
          <w:rFonts w:cs="Arial"/>
          <w:sz w:val="24"/>
          <w:szCs w:val="24"/>
        </w:rPr>
        <w:t>panel therefore upheld the appeal on this point.</w:t>
      </w:r>
    </w:p>
    <w:p w14:paraId="736327DE" w14:textId="7AA24F5A" w:rsidR="002E4991" w:rsidRPr="00F97B6D" w:rsidRDefault="002E4991">
      <w:pPr>
        <w:pStyle w:val="Paragraph"/>
        <w:rPr>
          <w:rFonts w:cs="Arial"/>
          <w:sz w:val="24"/>
          <w:szCs w:val="24"/>
        </w:rPr>
      </w:pPr>
      <w:r w:rsidRPr="00F97B6D">
        <w:rPr>
          <w:rFonts w:cs="Arial"/>
          <w:sz w:val="24"/>
          <w:szCs w:val="24"/>
        </w:rPr>
        <w:t xml:space="preserve">In relation to </w:t>
      </w:r>
      <w:proofErr w:type="spellStart"/>
      <w:r w:rsidRPr="00F97B6D">
        <w:rPr>
          <w:rFonts w:cs="Arial"/>
          <w:sz w:val="24"/>
          <w:szCs w:val="24"/>
        </w:rPr>
        <w:t>Myaware's</w:t>
      </w:r>
      <w:proofErr w:type="spellEnd"/>
      <w:r w:rsidRPr="00F97B6D">
        <w:rPr>
          <w:rFonts w:cs="Arial"/>
          <w:sz w:val="24"/>
          <w:szCs w:val="24"/>
        </w:rPr>
        <w:t xml:space="preserve"> </w:t>
      </w:r>
      <w:r w:rsidR="006817D8">
        <w:rPr>
          <w:rFonts w:cs="Arial"/>
          <w:sz w:val="24"/>
          <w:szCs w:val="24"/>
        </w:rPr>
        <w:t>a</w:t>
      </w:r>
      <w:r w:rsidRPr="00F97B6D">
        <w:rPr>
          <w:rFonts w:cs="Arial"/>
          <w:sz w:val="24"/>
          <w:szCs w:val="24"/>
        </w:rPr>
        <w:t xml:space="preserve">ppeal </w:t>
      </w:r>
      <w:r w:rsidR="006817D8">
        <w:rPr>
          <w:rFonts w:cs="Arial"/>
          <w:sz w:val="24"/>
          <w:szCs w:val="24"/>
        </w:rPr>
        <w:t>p</w:t>
      </w:r>
      <w:r w:rsidRPr="00F97B6D">
        <w:rPr>
          <w:rFonts w:cs="Arial"/>
          <w:sz w:val="24"/>
          <w:szCs w:val="24"/>
        </w:rPr>
        <w:t>oint 2.</w:t>
      </w:r>
      <w:r w:rsidR="00FB4780" w:rsidRPr="00F97B6D">
        <w:rPr>
          <w:rFonts w:cs="Arial"/>
          <w:sz w:val="24"/>
          <w:szCs w:val="24"/>
        </w:rPr>
        <w:t>4</w:t>
      </w:r>
      <w:r w:rsidR="00F97B6D">
        <w:rPr>
          <w:rFonts w:cs="Arial"/>
          <w:sz w:val="24"/>
          <w:szCs w:val="24"/>
        </w:rPr>
        <w:t xml:space="preserve"> and </w:t>
      </w:r>
      <w:r w:rsidR="00FB4780" w:rsidRPr="00F97B6D">
        <w:rPr>
          <w:rFonts w:cs="Arial"/>
          <w:sz w:val="24"/>
          <w:szCs w:val="24"/>
        </w:rPr>
        <w:t xml:space="preserve">UCB's </w:t>
      </w:r>
      <w:r w:rsidR="006817D8">
        <w:rPr>
          <w:rFonts w:cs="Arial"/>
          <w:sz w:val="24"/>
          <w:szCs w:val="24"/>
        </w:rPr>
        <w:t>a</w:t>
      </w:r>
      <w:r w:rsidR="00FB4780" w:rsidRPr="00F97B6D">
        <w:rPr>
          <w:rFonts w:cs="Arial"/>
          <w:sz w:val="24"/>
          <w:szCs w:val="24"/>
        </w:rPr>
        <w:t xml:space="preserve">ppeal </w:t>
      </w:r>
      <w:r w:rsidR="006817D8">
        <w:rPr>
          <w:rFonts w:cs="Arial"/>
          <w:sz w:val="24"/>
          <w:szCs w:val="24"/>
        </w:rPr>
        <w:t>p</w:t>
      </w:r>
      <w:r w:rsidR="00FB4780" w:rsidRPr="00F97B6D">
        <w:rPr>
          <w:rFonts w:cs="Arial"/>
          <w:sz w:val="24"/>
          <w:szCs w:val="24"/>
        </w:rPr>
        <w:t xml:space="preserve">oint 2.3, the </w:t>
      </w:r>
      <w:r w:rsidR="006817D8">
        <w:rPr>
          <w:rFonts w:cs="Arial"/>
          <w:sz w:val="24"/>
          <w:szCs w:val="24"/>
        </w:rPr>
        <w:t xml:space="preserve">appeal </w:t>
      </w:r>
      <w:r w:rsidR="00FB4780" w:rsidRPr="00F97B6D">
        <w:rPr>
          <w:rFonts w:cs="Arial"/>
          <w:sz w:val="24"/>
          <w:szCs w:val="24"/>
        </w:rPr>
        <w:t>panel concluded as follows</w:t>
      </w:r>
      <w:r w:rsidR="00F97B6D">
        <w:rPr>
          <w:rFonts w:cs="Arial"/>
          <w:sz w:val="24"/>
          <w:szCs w:val="24"/>
        </w:rPr>
        <w:t>.</w:t>
      </w:r>
      <w:r w:rsidR="00FB4780" w:rsidRPr="00F97B6D">
        <w:rPr>
          <w:rFonts w:cs="Arial"/>
          <w:sz w:val="24"/>
          <w:szCs w:val="24"/>
        </w:rPr>
        <w:t xml:space="preserve"> </w:t>
      </w:r>
      <w:r w:rsidR="00F97B6D">
        <w:rPr>
          <w:rFonts w:cs="Arial"/>
          <w:sz w:val="24"/>
          <w:szCs w:val="24"/>
        </w:rPr>
        <w:t>T</w:t>
      </w:r>
      <w:r w:rsidR="00F97B6D" w:rsidRPr="00F97B6D">
        <w:rPr>
          <w:rFonts w:cs="Arial"/>
          <w:sz w:val="24"/>
          <w:szCs w:val="24"/>
        </w:rPr>
        <w:t xml:space="preserve">he </w:t>
      </w:r>
      <w:r w:rsidR="006817D8">
        <w:rPr>
          <w:rFonts w:cs="Arial"/>
          <w:sz w:val="24"/>
          <w:szCs w:val="24"/>
        </w:rPr>
        <w:t xml:space="preserve">appeal </w:t>
      </w:r>
      <w:r w:rsidR="00F97B6D" w:rsidRPr="00F97B6D">
        <w:rPr>
          <w:rFonts w:cs="Arial"/>
          <w:sz w:val="24"/>
          <w:szCs w:val="24"/>
        </w:rPr>
        <w:t xml:space="preserve">panel accepted the conclusion of the committee that the EAMS database represents the </w:t>
      </w:r>
      <w:r w:rsidR="004438FD">
        <w:rPr>
          <w:rFonts w:cs="Arial"/>
          <w:sz w:val="24"/>
          <w:szCs w:val="24"/>
        </w:rPr>
        <w:t xml:space="preserve">most appropriate </w:t>
      </w:r>
      <w:r w:rsidR="00F97B6D" w:rsidRPr="00F97B6D">
        <w:rPr>
          <w:rFonts w:cs="Arial"/>
          <w:sz w:val="24"/>
          <w:szCs w:val="24"/>
        </w:rPr>
        <w:t xml:space="preserve">source of real-world data available to inform the range and proportions of treatments used in patients with </w:t>
      </w:r>
      <w:proofErr w:type="spellStart"/>
      <w:r w:rsidR="00F97B6D">
        <w:rPr>
          <w:rFonts w:cs="Arial"/>
          <w:sz w:val="24"/>
          <w:szCs w:val="24"/>
        </w:rPr>
        <w:t>gMG</w:t>
      </w:r>
      <w:proofErr w:type="spellEnd"/>
      <w:r w:rsidR="00F97B6D" w:rsidRPr="00F97B6D">
        <w:rPr>
          <w:rFonts w:cs="Arial"/>
          <w:sz w:val="24"/>
          <w:szCs w:val="24"/>
        </w:rPr>
        <w:t xml:space="preserve"> in the NHS and noted the advice that had been received by experts that access to treatments varied throughout the country.  Consequently, the </w:t>
      </w:r>
      <w:r w:rsidR="00193E1E">
        <w:rPr>
          <w:rFonts w:cs="Arial"/>
          <w:sz w:val="24"/>
          <w:szCs w:val="24"/>
        </w:rPr>
        <w:t xml:space="preserve">appeal </w:t>
      </w:r>
      <w:r w:rsidR="00F97B6D" w:rsidRPr="00F97B6D">
        <w:rPr>
          <w:rFonts w:cs="Arial"/>
          <w:sz w:val="24"/>
          <w:szCs w:val="24"/>
        </w:rPr>
        <w:t xml:space="preserve">panel considered that it was reasonable that </w:t>
      </w:r>
      <w:r w:rsidR="009825CF" w:rsidRPr="00F97B6D">
        <w:rPr>
          <w:rFonts w:cs="Arial"/>
          <w:sz w:val="24"/>
          <w:szCs w:val="24"/>
        </w:rPr>
        <w:t>the committee preferred these data</w:t>
      </w:r>
      <w:r w:rsidR="00F97B6D" w:rsidRPr="00F97B6D">
        <w:rPr>
          <w:rFonts w:cs="Arial"/>
          <w:sz w:val="24"/>
          <w:szCs w:val="24"/>
        </w:rPr>
        <w:t xml:space="preserve"> to inform the proportions of treatments in the standard of care </w:t>
      </w:r>
      <w:r w:rsidR="008D5A41">
        <w:rPr>
          <w:rFonts w:cs="Arial"/>
          <w:sz w:val="24"/>
          <w:szCs w:val="24"/>
        </w:rPr>
        <w:t>‘</w:t>
      </w:r>
      <w:r w:rsidR="00F97B6D" w:rsidRPr="00F97B6D">
        <w:rPr>
          <w:rFonts w:cs="Arial"/>
          <w:sz w:val="24"/>
          <w:szCs w:val="24"/>
        </w:rPr>
        <w:t>basket</w:t>
      </w:r>
      <w:r w:rsidR="008D5A41">
        <w:rPr>
          <w:rFonts w:cs="Arial"/>
          <w:sz w:val="24"/>
          <w:szCs w:val="24"/>
        </w:rPr>
        <w:t>’</w:t>
      </w:r>
      <w:r w:rsidR="00F97B6D" w:rsidRPr="00F97B6D">
        <w:rPr>
          <w:rFonts w:cs="Arial"/>
          <w:sz w:val="24"/>
          <w:szCs w:val="24"/>
        </w:rPr>
        <w:t xml:space="preserve"> that was used </w:t>
      </w:r>
      <w:r w:rsidR="008D5A41">
        <w:rPr>
          <w:rFonts w:cs="Arial"/>
          <w:sz w:val="24"/>
          <w:szCs w:val="24"/>
        </w:rPr>
        <w:t xml:space="preserve">in </w:t>
      </w:r>
      <w:r w:rsidR="00F97B6D" w:rsidRPr="00F97B6D">
        <w:rPr>
          <w:rFonts w:cs="Arial"/>
          <w:sz w:val="24"/>
          <w:szCs w:val="24"/>
        </w:rPr>
        <w:t xml:space="preserve">the comparator arm and after stopping treatment with </w:t>
      </w:r>
      <w:proofErr w:type="spellStart"/>
      <w:r w:rsidR="00F97B6D" w:rsidRPr="00F97B6D">
        <w:rPr>
          <w:rFonts w:cs="Arial"/>
          <w:sz w:val="24"/>
          <w:szCs w:val="24"/>
        </w:rPr>
        <w:t>zilucoplan</w:t>
      </w:r>
      <w:proofErr w:type="spellEnd"/>
      <w:r w:rsidR="00F97B6D" w:rsidRPr="00F97B6D">
        <w:rPr>
          <w:rFonts w:cs="Arial"/>
          <w:sz w:val="24"/>
          <w:szCs w:val="24"/>
        </w:rPr>
        <w:t>. I</w:t>
      </w:r>
      <w:r w:rsidR="00EA5234">
        <w:rPr>
          <w:rFonts w:cs="Arial"/>
          <w:sz w:val="24"/>
          <w:szCs w:val="24"/>
        </w:rPr>
        <w:t>n</w:t>
      </w:r>
      <w:r w:rsidR="00F97B6D" w:rsidRPr="00F97B6D">
        <w:rPr>
          <w:rFonts w:cs="Arial"/>
          <w:sz w:val="24"/>
          <w:szCs w:val="24"/>
        </w:rPr>
        <w:t xml:space="preserve"> regard to subsequent treatment switching and noting the uncertainty in the minds of the committee in regard to the range of treatment switching that was evident from the expert elicitation and the NHS</w:t>
      </w:r>
      <w:r w:rsidR="00EA5234">
        <w:rPr>
          <w:rFonts w:cs="Arial"/>
          <w:sz w:val="24"/>
          <w:szCs w:val="24"/>
        </w:rPr>
        <w:t xml:space="preserve"> </w:t>
      </w:r>
      <w:r w:rsidR="00F97B6D" w:rsidRPr="00F97B6D">
        <w:rPr>
          <w:rFonts w:cs="Arial"/>
          <w:sz w:val="24"/>
          <w:szCs w:val="24"/>
        </w:rPr>
        <w:t>E</w:t>
      </w:r>
      <w:r w:rsidR="00EA5234">
        <w:rPr>
          <w:rFonts w:cs="Arial"/>
          <w:sz w:val="24"/>
          <w:szCs w:val="24"/>
        </w:rPr>
        <w:t>ngland</w:t>
      </w:r>
      <w:r w:rsidR="00F97B6D" w:rsidRPr="00F97B6D">
        <w:rPr>
          <w:rFonts w:cs="Arial"/>
          <w:sz w:val="24"/>
          <w:szCs w:val="24"/>
        </w:rPr>
        <w:t xml:space="preserve"> data sources, the </w:t>
      </w:r>
      <w:r w:rsidR="009A6F8F">
        <w:rPr>
          <w:rFonts w:cs="Arial"/>
          <w:sz w:val="24"/>
          <w:szCs w:val="24"/>
        </w:rPr>
        <w:t xml:space="preserve">appeal </w:t>
      </w:r>
      <w:r w:rsidR="00F97B6D" w:rsidRPr="00F97B6D">
        <w:rPr>
          <w:rFonts w:cs="Arial"/>
          <w:sz w:val="24"/>
          <w:szCs w:val="24"/>
        </w:rPr>
        <w:t xml:space="preserve">panel considered that the selection, </w:t>
      </w:r>
      <w:r w:rsidR="00F97B6D" w:rsidRPr="00F97B6D">
        <w:rPr>
          <w:rFonts w:cs="Arial"/>
          <w:sz w:val="24"/>
          <w:szCs w:val="24"/>
        </w:rPr>
        <w:lastRenderedPageBreak/>
        <w:t>by the committee, of a mid-point of the estimates from these data was also reasonable</w:t>
      </w:r>
      <w:r w:rsidR="00324DBD">
        <w:rPr>
          <w:rFonts w:cs="Arial"/>
          <w:sz w:val="24"/>
          <w:szCs w:val="24"/>
        </w:rPr>
        <w:t xml:space="preserve"> in principle. Nonetheless, the additional uncertainty </w:t>
      </w:r>
      <w:proofErr w:type="gramStart"/>
      <w:r w:rsidR="00324DBD">
        <w:rPr>
          <w:rFonts w:cs="Arial"/>
          <w:sz w:val="24"/>
          <w:szCs w:val="24"/>
        </w:rPr>
        <w:t>with regard to</w:t>
      </w:r>
      <w:proofErr w:type="gramEnd"/>
      <w:r w:rsidR="00324DBD">
        <w:rPr>
          <w:rFonts w:cs="Arial"/>
          <w:sz w:val="24"/>
          <w:szCs w:val="24"/>
        </w:rPr>
        <w:t xml:space="preserve"> the NHS England data that </w:t>
      </w:r>
      <w:r w:rsidR="004438FD">
        <w:rPr>
          <w:rFonts w:cs="Arial"/>
          <w:sz w:val="24"/>
          <w:szCs w:val="24"/>
        </w:rPr>
        <w:t>was evident</w:t>
      </w:r>
      <w:r w:rsidR="00324DBD">
        <w:rPr>
          <w:rFonts w:cs="Arial"/>
          <w:sz w:val="24"/>
          <w:szCs w:val="24"/>
        </w:rPr>
        <w:t xml:space="preserve"> during the </w:t>
      </w:r>
      <w:proofErr w:type="gramStart"/>
      <w:r w:rsidR="00324DBD">
        <w:rPr>
          <w:rFonts w:cs="Arial"/>
          <w:sz w:val="24"/>
          <w:szCs w:val="24"/>
        </w:rPr>
        <w:t>hearing</w:t>
      </w:r>
      <w:proofErr w:type="gramEnd"/>
      <w:r w:rsidR="00324DBD">
        <w:rPr>
          <w:rFonts w:cs="Arial"/>
          <w:sz w:val="24"/>
          <w:szCs w:val="24"/>
        </w:rPr>
        <w:t xml:space="preserve"> and which is considered in the panel’s decision to uphold UCB’s </w:t>
      </w:r>
      <w:r w:rsidR="00394BF0">
        <w:rPr>
          <w:rFonts w:cs="Arial"/>
          <w:sz w:val="24"/>
          <w:szCs w:val="24"/>
        </w:rPr>
        <w:t>a</w:t>
      </w:r>
      <w:r w:rsidR="00324DBD">
        <w:rPr>
          <w:rFonts w:cs="Arial"/>
          <w:sz w:val="24"/>
          <w:szCs w:val="24"/>
        </w:rPr>
        <w:t xml:space="preserve">ppeal </w:t>
      </w:r>
      <w:r w:rsidR="00394BF0">
        <w:rPr>
          <w:rFonts w:cs="Arial"/>
          <w:sz w:val="24"/>
          <w:szCs w:val="24"/>
        </w:rPr>
        <w:t>p</w:t>
      </w:r>
      <w:r w:rsidR="00324DBD">
        <w:rPr>
          <w:rFonts w:cs="Arial"/>
          <w:sz w:val="24"/>
          <w:szCs w:val="24"/>
        </w:rPr>
        <w:t xml:space="preserve">oint 1(a)3 was noted by the </w:t>
      </w:r>
      <w:r w:rsidR="00394BF0">
        <w:rPr>
          <w:rFonts w:cs="Arial"/>
          <w:sz w:val="24"/>
          <w:szCs w:val="24"/>
        </w:rPr>
        <w:t xml:space="preserve">appeal </w:t>
      </w:r>
      <w:r w:rsidR="00324DBD">
        <w:rPr>
          <w:rFonts w:cs="Arial"/>
          <w:sz w:val="24"/>
          <w:szCs w:val="24"/>
        </w:rPr>
        <w:t>panel</w:t>
      </w:r>
      <w:r w:rsidR="00F97B6D" w:rsidRPr="00F97B6D">
        <w:rPr>
          <w:rFonts w:cs="Arial"/>
          <w:sz w:val="24"/>
          <w:szCs w:val="24"/>
        </w:rPr>
        <w:t xml:space="preserve">.  The </w:t>
      </w:r>
      <w:r w:rsidR="00011617">
        <w:rPr>
          <w:rFonts w:cs="Arial"/>
          <w:sz w:val="24"/>
          <w:szCs w:val="24"/>
        </w:rPr>
        <w:t xml:space="preserve">appeal </w:t>
      </w:r>
      <w:r w:rsidR="00F97B6D" w:rsidRPr="00F97B6D">
        <w:rPr>
          <w:rFonts w:cs="Arial"/>
          <w:sz w:val="24"/>
          <w:szCs w:val="24"/>
        </w:rPr>
        <w:t xml:space="preserve">panel were persuaded that the application of all these preferred assumptions had been applied consistently across the </w:t>
      </w:r>
      <w:proofErr w:type="spellStart"/>
      <w:r w:rsidR="00F97B6D" w:rsidRPr="00F97B6D">
        <w:rPr>
          <w:rFonts w:cs="Arial"/>
          <w:sz w:val="24"/>
          <w:szCs w:val="24"/>
        </w:rPr>
        <w:t>zilucoplan</w:t>
      </w:r>
      <w:proofErr w:type="spellEnd"/>
      <w:r w:rsidR="00F97B6D" w:rsidRPr="00F97B6D">
        <w:rPr>
          <w:rFonts w:cs="Arial"/>
          <w:sz w:val="24"/>
          <w:szCs w:val="24"/>
        </w:rPr>
        <w:t xml:space="preserve"> and comparator arms at appropriate stages in the treatment sequences and that the</w:t>
      </w:r>
      <w:r w:rsidR="003E4698">
        <w:rPr>
          <w:rFonts w:cs="Arial"/>
          <w:sz w:val="24"/>
          <w:szCs w:val="24"/>
        </w:rPr>
        <w:t>s</w:t>
      </w:r>
      <w:r w:rsidR="00F97B6D" w:rsidRPr="00F97B6D">
        <w:rPr>
          <w:rFonts w:cs="Arial"/>
          <w:sz w:val="24"/>
          <w:szCs w:val="24"/>
        </w:rPr>
        <w:t xml:space="preserve">e had been done consciously as with the previous TA1069 appraisal.  </w:t>
      </w:r>
      <w:r w:rsidR="00324DBD">
        <w:rPr>
          <w:rFonts w:cs="Arial"/>
          <w:sz w:val="24"/>
          <w:szCs w:val="24"/>
        </w:rPr>
        <w:t xml:space="preserve">It considered this desire for consistency across the 2 appraisals also to be reasonable since there appeared to be no fundamental reason in the </w:t>
      </w:r>
      <w:proofErr w:type="spellStart"/>
      <w:r w:rsidR="00324DBD">
        <w:rPr>
          <w:rFonts w:cs="Arial"/>
          <w:sz w:val="24"/>
          <w:szCs w:val="24"/>
        </w:rPr>
        <w:t>zilucoplan</w:t>
      </w:r>
      <w:proofErr w:type="spellEnd"/>
      <w:r w:rsidR="00324DBD">
        <w:rPr>
          <w:rFonts w:cs="Arial"/>
          <w:sz w:val="24"/>
          <w:szCs w:val="24"/>
        </w:rPr>
        <w:t xml:space="preserve"> appraisal to deviate from the approach taken in TA1069 in this regard. </w:t>
      </w:r>
      <w:r w:rsidR="00F97B6D" w:rsidRPr="00F97B6D">
        <w:rPr>
          <w:rFonts w:cs="Arial"/>
          <w:sz w:val="24"/>
          <w:szCs w:val="24"/>
        </w:rPr>
        <w:t xml:space="preserve">The </w:t>
      </w:r>
      <w:r w:rsidR="009A6F8F">
        <w:rPr>
          <w:rFonts w:cs="Arial"/>
          <w:sz w:val="24"/>
          <w:szCs w:val="24"/>
        </w:rPr>
        <w:t xml:space="preserve">appeal </w:t>
      </w:r>
      <w:r w:rsidR="00F97B6D" w:rsidRPr="00F97B6D">
        <w:rPr>
          <w:rFonts w:cs="Arial"/>
          <w:sz w:val="24"/>
          <w:szCs w:val="24"/>
        </w:rPr>
        <w:t>panel therefore concluded that</w:t>
      </w:r>
      <w:r w:rsidR="009320A6">
        <w:rPr>
          <w:rFonts w:cs="Arial"/>
          <w:sz w:val="24"/>
          <w:szCs w:val="24"/>
        </w:rPr>
        <w:t>, while reasonable alternative assumptions could have been made,</w:t>
      </w:r>
      <w:r w:rsidR="00F97B6D" w:rsidRPr="00F97B6D">
        <w:rPr>
          <w:rFonts w:cs="Arial"/>
          <w:sz w:val="24"/>
          <w:szCs w:val="24"/>
        </w:rPr>
        <w:t xml:space="preserve"> the committee's preferred assumptions in relation to the modelling of subsequent treatments in the </w:t>
      </w:r>
      <w:proofErr w:type="spellStart"/>
      <w:r w:rsidR="00F97B6D" w:rsidRPr="00F97B6D">
        <w:rPr>
          <w:rFonts w:cs="Arial"/>
          <w:sz w:val="24"/>
          <w:szCs w:val="24"/>
        </w:rPr>
        <w:t>zilucoplan</w:t>
      </w:r>
      <w:proofErr w:type="spellEnd"/>
      <w:r w:rsidR="00F97B6D" w:rsidRPr="00F97B6D">
        <w:rPr>
          <w:rFonts w:cs="Arial"/>
          <w:sz w:val="24"/>
          <w:szCs w:val="24"/>
        </w:rPr>
        <w:t xml:space="preserve"> and comparator arms </w:t>
      </w:r>
      <w:r w:rsidR="009320A6">
        <w:rPr>
          <w:rFonts w:cs="Arial"/>
          <w:sz w:val="24"/>
          <w:szCs w:val="24"/>
        </w:rPr>
        <w:t>in this case had been</w:t>
      </w:r>
      <w:r w:rsidR="00F97B6D" w:rsidRPr="00F97B6D">
        <w:rPr>
          <w:rFonts w:cs="Arial"/>
          <w:sz w:val="24"/>
          <w:szCs w:val="24"/>
        </w:rPr>
        <w:t xml:space="preserve"> reasonable</w:t>
      </w:r>
      <w:r w:rsidR="007420B6">
        <w:rPr>
          <w:rFonts w:cs="Arial"/>
          <w:sz w:val="24"/>
          <w:szCs w:val="24"/>
        </w:rPr>
        <w:t xml:space="preserve"> </w:t>
      </w:r>
      <w:r w:rsidR="00F97B6D" w:rsidRPr="00F97B6D">
        <w:rPr>
          <w:rFonts w:cs="Arial"/>
          <w:sz w:val="24"/>
          <w:szCs w:val="24"/>
        </w:rPr>
        <w:t>and consistent and it dismissed the appeal on these points.</w:t>
      </w:r>
    </w:p>
    <w:p w14:paraId="245C56E0" w14:textId="57FE7E4F" w:rsidR="00087339" w:rsidRPr="00A96D52" w:rsidRDefault="00980A06" w:rsidP="00894289">
      <w:pPr>
        <w:pStyle w:val="Heading3"/>
      </w:pPr>
      <w:r w:rsidRPr="00A96D52">
        <w:t xml:space="preserve">UCB </w:t>
      </w:r>
      <w:r w:rsidR="002C1F1A">
        <w:t xml:space="preserve">appeal point </w:t>
      </w:r>
      <w:r w:rsidRPr="00A96D52">
        <w:t>2.4</w:t>
      </w:r>
      <w:r w:rsidR="002C1F1A">
        <w:t>:</w:t>
      </w:r>
      <w:r w:rsidRPr="00A96D52">
        <w:t xml:space="preserve"> </w:t>
      </w:r>
      <w:r w:rsidR="002C1F1A">
        <w:t>T</w:t>
      </w:r>
      <w:r w:rsidR="009351DD" w:rsidRPr="00A96D52">
        <w:t xml:space="preserve">he </w:t>
      </w:r>
      <w:r w:rsidR="002C1F1A">
        <w:t>c</w:t>
      </w:r>
      <w:r w:rsidR="00DF479F" w:rsidRPr="00A96D52">
        <w:t>ommittee's conclusion that UCB's expert elicitation had several uncertainties is unreasonable.</w:t>
      </w:r>
    </w:p>
    <w:p w14:paraId="3B2B95B4" w14:textId="5DA33AA8" w:rsidR="00087339" w:rsidRPr="00A96D52" w:rsidRDefault="00C55179" w:rsidP="00441DB5">
      <w:pPr>
        <w:pStyle w:val="Paragraph"/>
        <w:rPr>
          <w:rFonts w:cs="Arial"/>
          <w:sz w:val="24"/>
          <w:szCs w:val="24"/>
        </w:rPr>
      </w:pPr>
      <w:r w:rsidRPr="00A96D52">
        <w:rPr>
          <w:rFonts w:cs="Arial"/>
          <w:sz w:val="24"/>
          <w:szCs w:val="24"/>
        </w:rPr>
        <w:t xml:space="preserve">Matthew Binns introduced this appeal point for </w:t>
      </w:r>
      <w:r w:rsidR="005D14B5">
        <w:rPr>
          <w:rFonts w:cs="Arial"/>
          <w:sz w:val="24"/>
          <w:szCs w:val="24"/>
        </w:rPr>
        <w:t>UCB</w:t>
      </w:r>
      <w:r w:rsidRPr="00A96D52">
        <w:rPr>
          <w:rFonts w:cs="Arial"/>
          <w:sz w:val="24"/>
          <w:szCs w:val="24"/>
        </w:rPr>
        <w:t xml:space="preserve">. </w:t>
      </w:r>
      <w:proofErr w:type="gramStart"/>
      <w:r w:rsidR="00231CED" w:rsidRPr="00A96D52">
        <w:rPr>
          <w:rFonts w:cs="Arial"/>
          <w:sz w:val="24"/>
          <w:szCs w:val="24"/>
        </w:rPr>
        <w:t>Referring back</w:t>
      </w:r>
      <w:proofErr w:type="gramEnd"/>
      <w:r w:rsidR="00231CED" w:rsidRPr="00A96D52">
        <w:rPr>
          <w:rFonts w:cs="Arial"/>
          <w:sz w:val="24"/>
          <w:szCs w:val="24"/>
        </w:rPr>
        <w:t xml:space="preserve"> to the previous appeal points, he said that the </w:t>
      </w:r>
      <w:r w:rsidR="00D97339">
        <w:rPr>
          <w:rFonts w:cs="Arial"/>
          <w:sz w:val="24"/>
          <w:szCs w:val="24"/>
        </w:rPr>
        <w:t xml:space="preserve">appeal </w:t>
      </w:r>
      <w:r w:rsidR="00231CED" w:rsidRPr="00A96D52">
        <w:rPr>
          <w:rFonts w:cs="Arial"/>
          <w:sz w:val="24"/>
          <w:szCs w:val="24"/>
        </w:rPr>
        <w:t xml:space="preserve">panel had </w:t>
      </w:r>
      <w:r w:rsidR="00684F77" w:rsidRPr="00A96D52">
        <w:rPr>
          <w:rFonts w:cs="Arial"/>
          <w:sz w:val="24"/>
          <w:szCs w:val="24"/>
        </w:rPr>
        <w:t>heard from both patient and clinical experts that it was implausible to consider that the patient group in question would stay on</w:t>
      </w:r>
      <w:r w:rsidR="00A96D52" w:rsidRPr="00A96D52">
        <w:rPr>
          <w:rFonts w:cs="Arial"/>
          <w:sz w:val="24"/>
          <w:szCs w:val="24"/>
        </w:rPr>
        <w:t xml:space="preserve"> standard</w:t>
      </w:r>
      <w:r w:rsidR="00684F77" w:rsidRPr="00A96D52">
        <w:rPr>
          <w:rFonts w:cs="Arial"/>
          <w:sz w:val="24"/>
          <w:szCs w:val="24"/>
        </w:rPr>
        <w:t xml:space="preserve"> </w:t>
      </w:r>
      <w:r w:rsidR="00A96D52" w:rsidRPr="00A96D52">
        <w:rPr>
          <w:rFonts w:cs="Arial"/>
          <w:sz w:val="24"/>
          <w:szCs w:val="24"/>
        </w:rPr>
        <w:t>treatment</w:t>
      </w:r>
      <w:r w:rsidR="00684F77" w:rsidRPr="00A96D52">
        <w:rPr>
          <w:rFonts w:cs="Arial"/>
          <w:sz w:val="24"/>
          <w:szCs w:val="24"/>
        </w:rPr>
        <w:t xml:space="preserve"> forever.</w:t>
      </w:r>
      <w:r w:rsidR="00772530" w:rsidRPr="00A96D52">
        <w:rPr>
          <w:rFonts w:cs="Arial"/>
          <w:sz w:val="24"/>
          <w:szCs w:val="24"/>
        </w:rPr>
        <w:t xml:space="preserve"> </w:t>
      </w:r>
      <w:r w:rsidR="00066214" w:rsidRPr="00A96D52">
        <w:rPr>
          <w:rFonts w:cs="Arial"/>
          <w:sz w:val="24"/>
          <w:szCs w:val="24"/>
        </w:rPr>
        <w:t xml:space="preserve">He described the comparator as being inappropriate, unreasonable and inconsistent with </w:t>
      </w:r>
      <w:r w:rsidR="005A5D49">
        <w:rPr>
          <w:rFonts w:cs="Arial"/>
          <w:sz w:val="24"/>
          <w:szCs w:val="24"/>
        </w:rPr>
        <w:t>TA1069</w:t>
      </w:r>
      <w:r w:rsidR="00066214" w:rsidRPr="00A96D52">
        <w:rPr>
          <w:rFonts w:cs="Arial"/>
          <w:sz w:val="24"/>
          <w:szCs w:val="24"/>
        </w:rPr>
        <w:t xml:space="preserve">. </w:t>
      </w:r>
    </w:p>
    <w:p w14:paraId="0AF9B124" w14:textId="4E90B39F" w:rsidR="0045305D" w:rsidRPr="00A96D52" w:rsidRDefault="00A15038">
      <w:pPr>
        <w:pStyle w:val="Paragraph"/>
        <w:rPr>
          <w:rFonts w:cs="Arial"/>
          <w:sz w:val="24"/>
          <w:szCs w:val="24"/>
        </w:rPr>
      </w:pPr>
      <w:r w:rsidRPr="00A96D52">
        <w:rPr>
          <w:rFonts w:cs="Arial"/>
          <w:sz w:val="24"/>
          <w:szCs w:val="24"/>
        </w:rPr>
        <w:t>Charles Crawley</w:t>
      </w:r>
      <w:r w:rsidR="00503E30">
        <w:rPr>
          <w:rFonts w:cs="Arial"/>
          <w:sz w:val="24"/>
          <w:szCs w:val="24"/>
        </w:rPr>
        <w:t>, for NICE</w:t>
      </w:r>
      <w:r w:rsidR="006D61C8">
        <w:rPr>
          <w:rFonts w:cs="Arial"/>
          <w:sz w:val="24"/>
          <w:szCs w:val="24"/>
        </w:rPr>
        <w:t>,</w:t>
      </w:r>
      <w:r w:rsidRPr="00A96D52">
        <w:rPr>
          <w:rFonts w:cs="Arial"/>
          <w:sz w:val="24"/>
          <w:szCs w:val="24"/>
        </w:rPr>
        <w:t xml:space="preserve"> described the EAG's concerns about </w:t>
      </w:r>
      <w:r w:rsidR="00373C67" w:rsidRPr="00A96D52">
        <w:rPr>
          <w:rFonts w:cs="Arial"/>
          <w:sz w:val="24"/>
          <w:szCs w:val="24"/>
        </w:rPr>
        <w:t xml:space="preserve">UCB's expert elicitation prepared by Clarivate. </w:t>
      </w:r>
      <w:r w:rsidR="001B1329" w:rsidRPr="00A96D52">
        <w:rPr>
          <w:rFonts w:cs="Arial"/>
          <w:sz w:val="24"/>
          <w:szCs w:val="24"/>
        </w:rPr>
        <w:t xml:space="preserve">Some results were found to lack accuracy, and clinical experts had found it difficult to answer some of the questions posed. He explained that </w:t>
      </w:r>
      <w:proofErr w:type="gramStart"/>
      <w:r w:rsidR="001B1329" w:rsidRPr="00A96D52">
        <w:rPr>
          <w:rFonts w:cs="Arial"/>
          <w:sz w:val="24"/>
          <w:szCs w:val="24"/>
        </w:rPr>
        <w:t>all of</w:t>
      </w:r>
      <w:proofErr w:type="gramEnd"/>
      <w:r w:rsidR="001B1329" w:rsidRPr="00A96D52">
        <w:rPr>
          <w:rFonts w:cs="Arial"/>
          <w:sz w:val="24"/>
          <w:szCs w:val="24"/>
        </w:rPr>
        <w:t xml:space="preserve"> the EAG's concerns in respect of the Clarivate report were set out at paragraph 3.16 of the FDG, and that the committee were mindful of, </w:t>
      </w:r>
      <w:r w:rsidR="001B1329" w:rsidRPr="00A96D52">
        <w:rPr>
          <w:rFonts w:cs="Arial"/>
          <w:sz w:val="24"/>
          <w:szCs w:val="24"/>
        </w:rPr>
        <w:lastRenderedPageBreak/>
        <w:t xml:space="preserve">and in agreement with some if not </w:t>
      </w:r>
      <w:proofErr w:type="gramStart"/>
      <w:r w:rsidR="001B1329" w:rsidRPr="00A96D52">
        <w:rPr>
          <w:rFonts w:cs="Arial"/>
          <w:sz w:val="24"/>
          <w:szCs w:val="24"/>
        </w:rPr>
        <w:t>all of</w:t>
      </w:r>
      <w:proofErr w:type="gramEnd"/>
      <w:r w:rsidR="001B1329" w:rsidRPr="00A96D52">
        <w:rPr>
          <w:rFonts w:cs="Arial"/>
          <w:sz w:val="24"/>
          <w:szCs w:val="24"/>
        </w:rPr>
        <w:t xml:space="preserve"> those concerns. The committee's main con</w:t>
      </w:r>
      <w:r w:rsidR="002A21BF" w:rsidRPr="00A96D52">
        <w:rPr>
          <w:rFonts w:cs="Arial"/>
          <w:sz w:val="24"/>
          <w:szCs w:val="24"/>
        </w:rPr>
        <w:t>cern w</w:t>
      </w:r>
      <w:r w:rsidR="0075086F" w:rsidRPr="00A96D52">
        <w:rPr>
          <w:rFonts w:cs="Arial"/>
          <w:sz w:val="24"/>
          <w:szCs w:val="24"/>
        </w:rPr>
        <w:t>as</w:t>
      </w:r>
      <w:r w:rsidR="002A21BF" w:rsidRPr="00A96D52">
        <w:rPr>
          <w:rFonts w:cs="Arial"/>
          <w:sz w:val="24"/>
          <w:szCs w:val="24"/>
        </w:rPr>
        <w:t xml:space="preserve"> the broad range of results which suggested significant uncertainty.</w:t>
      </w:r>
      <w:r w:rsidR="0045305D" w:rsidRPr="00A96D52">
        <w:rPr>
          <w:rFonts w:cs="Arial"/>
          <w:sz w:val="24"/>
          <w:szCs w:val="24"/>
        </w:rPr>
        <w:t xml:space="preserve"> The Clarivate report itself suggested that the "results are very uncertain and should be used with caution".</w:t>
      </w:r>
    </w:p>
    <w:p w14:paraId="574C65A1" w14:textId="3E9D4188" w:rsidR="00457ADC" w:rsidRPr="00A96D52" w:rsidRDefault="00AF3CBD">
      <w:pPr>
        <w:pStyle w:val="Paragraph"/>
        <w:rPr>
          <w:rFonts w:cs="Arial"/>
          <w:sz w:val="24"/>
          <w:szCs w:val="24"/>
        </w:rPr>
      </w:pPr>
      <w:r w:rsidRPr="00A96D52">
        <w:rPr>
          <w:rFonts w:cs="Arial"/>
          <w:sz w:val="24"/>
          <w:szCs w:val="24"/>
        </w:rPr>
        <w:t xml:space="preserve">The </w:t>
      </w:r>
      <w:r w:rsidR="00003D87">
        <w:rPr>
          <w:rFonts w:cs="Arial"/>
          <w:sz w:val="24"/>
          <w:szCs w:val="24"/>
        </w:rPr>
        <w:t xml:space="preserve">appeal </w:t>
      </w:r>
      <w:r w:rsidRPr="00A96D52">
        <w:rPr>
          <w:rFonts w:cs="Arial"/>
          <w:sz w:val="24"/>
          <w:szCs w:val="24"/>
        </w:rPr>
        <w:t xml:space="preserve">panel asked whether the committee had disregarded the data in the Clarivate report </w:t>
      </w:r>
      <w:proofErr w:type="gramStart"/>
      <w:r w:rsidRPr="00A96D52">
        <w:rPr>
          <w:rFonts w:cs="Arial"/>
          <w:sz w:val="24"/>
          <w:szCs w:val="24"/>
        </w:rPr>
        <w:t>as a result of</w:t>
      </w:r>
      <w:proofErr w:type="gramEnd"/>
      <w:r w:rsidRPr="00A96D52">
        <w:rPr>
          <w:rFonts w:cs="Arial"/>
          <w:sz w:val="24"/>
          <w:szCs w:val="24"/>
        </w:rPr>
        <w:t xml:space="preserve"> that uncertainty. Charles Crawley confirmed that the committee had not disregarded the data. </w:t>
      </w:r>
      <w:proofErr w:type="gramStart"/>
      <w:r w:rsidRPr="00A96D52">
        <w:rPr>
          <w:rFonts w:cs="Arial"/>
          <w:sz w:val="24"/>
          <w:szCs w:val="24"/>
        </w:rPr>
        <w:t>Instead</w:t>
      </w:r>
      <w:proofErr w:type="gramEnd"/>
      <w:r w:rsidRPr="00A96D52">
        <w:rPr>
          <w:rFonts w:cs="Arial"/>
          <w:sz w:val="24"/>
          <w:szCs w:val="24"/>
        </w:rPr>
        <w:t xml:space="preserve"> the committee considered the data in the Clarivate report and NHS England's data – both of which </w:t>
      </w:r>
      <w:r w:rsidR="00457ADC" w:rsidRPr="00A96D52">
        <w:rPr>
          <w:rFonts w:cs="Arial"/>
          <w:sz w:val="24"/>
          <w:szCs w:val="24"/>
        </w:rPr>
        <w:t xml:space="preserve">containing significant uncertainties </w:t>
      </w:r>
      <w:r w:rsidR="00187D1F" w:rsidRPr="00A96D52">
        <w:rPr>
          <w:rFonts w:cs="Arial"/>
          <w:sz w:val="24"/>
          <w:szCs w:val="24"/>
        </w:rPr>
        <w:t xml:space="preserve">(primary in relation to the data, but there were also secondary concerns about the methodology) </w:t>
      </w:r>
      <w:r w:rsidR="00457ADC" w:rsidRPr="00A96D52">
        <w:rPr>
          <w:rFonts w:cs="Arial"/>
          <w:sz w:val="24"/>
          <w:szCs w:val="24"/>
        </w:rPr>
        <w:t xml:space="preserve">– and as a result opted to </w:t>
      </w:r>
      <w:r w:rsidR="00BC4AB4" w:rsidRPr="00A96D52">
        <w:rPr>
          <w:rFonts w:cs="Arial"/>
          <w:sz w:val="24"/>
          <w:szCs w:val="24"/>
        </w:rPr>
        <w:t>choose</w:t>
      </w:r>
      <w:r w:rsidR="00457ADC" w:rsidRPr="00A96D52">
        <w:rPr>
          <w:rFonts w:cs="Arial"/>
          <w:sz w:val="24"/>
          <w:szCs w:val="24"/>
        </w:rPr>
        <w:t xml:space="preserve"> a midpoint as a pragmatic decision. </w:t>
      </w:r>
    </w:p>
    <w:p w14:paraId="260A4C4D" w14:textId="3652A2D3" w:rsidR="001B1329" w:rsidRPr="00A96D52" w:rsidRDefault="00B951D3">
      <w:pPr>
        <w:pStyle w:val="Paragraph"/>
        <w:rPr>
          <w:rFonts w:cs="Arial"/>
          <w:sz w:val="24"/>
          <w:szCs w:val="24"/>
        </w:rPr>
      </w:pPr>
      <w:r w:rsidRPr="00A96D52">
        <w:rPr>
          <w:rFonts w:cs="Arial"/>
          <w:sz w:val="24"/>
          <w:szCs w:val="24"/>
        </w:rPr>
        <w:t xml:space="preserve">In response to Charles Crawley, </w:t>
      </w:r>
      <w:r w:rsidR="007F5F00" w:rsidRPr="00A96D52">
        <w:rPr>
          <w:rFonts w:cs="Arial"/>
          <w:sz w:val="24"/>
          <w:szCs w:val="24"/>
        </w:rPr>
        <w:t>Adela Williams</w:t>
      </w:r>
      <w:r w:rsidR="003427FA">
        <w:rPr>
          <w:rFonts w:cs="Arial"/>
          <w:sz w:val="24"/>
          <w:szCs w:val="24"/>
        </w:rPr>
        <w:t>, for UCB</w:t>
      </w:r>
      <w:r w:rsidR="007F5F00" w:rsidRPr="00A96D52">
        <w:rPr>
          <w:rFonts w:cs="Arial"/>
          <w:sz w:val="24"/>
          <w:szCs w:val="24"/>
        </w:rPr>
        <w:t xml:space="preserve"> </w:t>
      </w:r>
      <w:r w:rsidR="000079BF" w:rsidRPr="00A96D52">
        <w:rPr>
          <w:rFonts w:cs="Arial"/>
          <w:sz w:val="24"/>
          <w:szCs w:val="24"/>
        </w:rPr>
        <w:t xml:space="preserve">noted that the principal concerns of the committee are those in the FDG, which primarily focus on methodological concerns. She stated that only one of these concerns are considered valid by </w:t>
      </w:r>
      <w:r w:rsidR="003427FA">
        <w:rPr>
          <w:rFonts w:cs="Arial"/>
          <w:sz w:val="24"/>
          <w:szCs w:val="24"/>
        </w:rPr>
        <w:t>UCB</w:t>
      </w:r>
      <w:r w:rsidR="000079BF" w:rsidRPr="00A96D52">
        <w:rPr>
          <w:rFonts w:cs="Arial"/>
          <w:sz w:val="24"/>
          <w:szCs w:val="24"/>
        </w:rPr>
        <w:t xml:space="preserve"> (in relation to the lack of clarity about any conflicts of interest that the experts may </w:t>
      </w:r>
      <w:r w:rsidR="0056348F" w:rsidRPr="00A96D52">
        <w:rPr>
          <w:rFonts w:cs="Arial"/>
          <w:sz w:val="24"/>
          <w:szCs w:val="24"/>
        </w:rPr>
        <w:t>have)</w:t>
      </w:r>
      <w:r w:rsidR="002D605B" w:rsidRPr="00A96D52">
        <w:rPr>
          <w:rFonts w:cs="Arial"/>
          <w:sz w:val="24"/>
          <w:szCs w:val="24"/>
        </w:rPr>
        <w:t>. She summarised UCB's app</w:t>
      </w:r>
      <w:r w:rsidR="007F5C75" w:rsidRPr="00A96D52">
        <w:rPr>
          <w:rFonts w:cs="Arial"/>
          <w:sz w:val="24"/>
          <w:szCs w:val="24"/>
        </w:rPr>
        <w:t xml:space="preserve">eal point as concern that the committee had attributed equal weight to data from NHS England </w:t>
      </w:r>
      <w:r w:rsidR="009C0C3D" w:rsidRPr="00A96D52">
        <w:rPr>
          <w:rFonts w:cs="Arial"/>
          <w:sz w:val="24"/>
          <w:szCs w:val="24"/>
        </w:rPr>
        <w:t xml:space="preserve">(which UCB considered to be lacking in explanation or backing) and UCB's data (which UCB considered to be robust and transparent). </w:t>
      </w:r>
    </w:p>
    <w:p w14:paraId="7DA82C4C" w14:textId="7FC04C42" w:rsidR="00667397" w:rsidRPr="00A96D52" w:rsidRDefault="005A3E1B">
      <w:pPr>
        <w:pStyle w:val="Paragraph"/>
        <w:rPr>
          <w:rFonts w:cs="Arial"/>
          <w:sz w:val="24"/>
          <w:szCs w:val="24"/>
        </w:rPr>
      </w:pPr>
      <w:r w:rsidRPr="00A96D52">
        <w:rPr>
          <w:rFonts w:cs="Arial"/>
          <w:sz w:val="24"/>
          <w:szCs w:val="24"/>
        </w:rPr>
        <w:t xml:space="preserve">Matthew Binns noted that, as far as </w:t>
      </w:r>
      <w:r w:rsidR="00575AD9">
        <w:rPr>
          <w:rFonts w:cs="Arial"/>
          <w:sz w:val="24"/>
          <w:szCs w:val="24"/>
        </w:rPr>
        <w:t>UCB</w:t>
      </w:r>
      <w:r w:rsidR="000551DA">
        <w:rPr>
          <w:rFonts w:cs="Arial"/>
          <w:sz w:val="24"/>
          <w:szCs w:val="24"/>
        </w:rPr>
        <w:t xml:space="preserve"> </w:t>
      </w:r>
      <w:r w:rsidRPr="00A96D52">
        <w:rPr>
          <w:rFonts w:cs="Arial"/>
          <w:sz w:val="24"/>
          <w:szCs w:val="24"/>
        </w:rPr>
        <w:t xml:space="preserve">is aware, no figures were provided in NHS England's estimate and therefore it was unclear how a midpoint estimate could be made. </w:t>
      </w:r>
    </w:p>
    <w:p w14:paraId="1A164F77" w14:textId="7CDDDBD9" w:rsidR="005A3E1B" w:rsidRPr="00A96D52" w:rsidRDefault="000322C1">
      <w:pPr>
        <w:pStyle w:val="Paragraph"/>
        <w:rPr>
          <w:rFonts w:cs="Arial"/>
          <w:sz w:val="24"/>
          <w:szCs w:val="24"/>
        </w:rPr>
      </w:pPr>
      <w:r>
        <w:rPr>
          <w:rFonts w:cs="Arial"/>
          <w:sz w:val="24"/>
          <w:szCs w:val="24"/>
        </w:rPr>
        <w:t>In relation to UCB</w:t>
      </w:r>
      <w:r w:rsidR="0089444C">
        <w:rPr>
          <w:rFonts w:cs="Arial"/>
          <w:sz w:val="24"/>
          <w:szCs w:val="24"/>
        </w:rPr>
        <w:t>’s</w:t>
      </w:r>
      <w:r>
        <w:rPr>
          <w:rFonts w:cs="Arial"/>
          <w:sz w:val="24"/>
          <w:szCs w:val="24"/>
        </w:rPr>
        <w:t xml:space="preserve"> </w:t>
      </w:r>
      <w:r w:rsidR="00BD46E5">
        <w:rPr>
          <w:rFonts w:cs="Arial"/>
          <w:sz w:val="24"/>
          <w:szCs w:val="24"/>
        </w:rPr>
        <w:t>a</w:t>
      </w:r>
      <w:r>
        <w:rPr>
          <w:rFonts w:cs="Arial"/>
          <w:sz w:val="24"/>
          <w:szCs w:val="24"/>
        </w:rPr>
        <w:t xml:space="preserve">ppeal </w:t>
      </w:r>
      <w:r w:rsidR="00BD46E5">
        <w:rPr>
          <w:rFonts w:cs="Arial"/>
          <w:sz w:val="24"/>
          <w:szCs w:val="24"/>
        </w:rPr>
        <w:t>p</w:t>
      </w:r>
      <w:r>
        <w:rPr>
          <w:rFonts w:cs="Arial"/>
          <w:sz w:val="24"/>
          <w:szCs w:val="24"/>
        </w:rPr>
        <w:t>oint 2.4, t</w:t>
      </w:r>
      <w:r w:rsidR="00C1760A" w:rsidRPr="00A96D52">
        <w:rPr>
          <w:rFonts w:cs="Arial"/>
          <w:sz w:val="24"/>
          <w:szCs w:val="24"/>
        </w:rPr>
        <w:t xml:space="preserve">he </w:t>
      </w:r>
      <w:r w:rsidR="00BD46E5">
        <w:rPr>
          <w:rFonts w:cs="Arial"/>
          <w:sz w:val="24"/>
          <w:szCs w:val="24"/>
        </w:rPr>
        <w:t xml:space="preserve">appeal </w:t>
      </w:r>
      <w:r w:rsidR="00C1760A" w:rsidRPr="00A96D52">
        <w:rPr>
          <w:rFonts w:cs="Arial"/>
          <w:sz w:val="24"/>
          <w:szCs w:val="24"/>
        </w:rPr>
        <w:t>panel concluded as follows</w:t>
      </w:r>
      <w:r w:rsidR="00EA5234">
        <w:rPr>
          <w:rFonts w:cs="Arial"/>
          <w:sz w:val="24"/>
          <w:szCs w:val="24"/>
        </w:rPr>
        <w:t>. T</w:t>
      </w:r>
      <w:r w:rsidR="00EA5234" w:rsidRPr="00EA5234">
        <w:rPr>
          <w:rFonts w:cs="Arial"/>
          <w:sz w:val="24"/>
          <w:szCs w:val="24"/>
        </w:rPr>
        <w:t xml:space="preserve">he </w:t>
      </w:r>
      <w:r w:rsidR="00BD46E5">
        <w:rPr>
          <w:rFonts w:cs="Arial"/>
          <w:sz w:val="24"/>
          <w:szCs w:val="24"/>
        </w:rPr>
        <w:t xml:space="preserve">appeal </w:t>
      </w:r>
      <w:r w:rsidR="00EA5234" w:rsidRPr="00EA5234">
        <w:rPr>
          <w:rFonts w:cs="Arial"/>
          <w:sz w:val="24"/>
          <w:szCs w:val="24"/>
        </w:rPr>
        <w:t xml:space="preserve">panel were persuaded that the committee had considered the results of the Clarivate expert elicitation report carefully and had not dismissed the data in their deliberations.  It noted that </w:t>
      </w:r>
      <w:proofErr w:type="gramStart"/>
      <w:r w:rsidR="00EA5234" w:rsidRPr="00EA5234">
        <w:rPr>
          <w:rFonts w:cs="Arial"/>
          <w:sz w:val="24"/>
          <w:szCs w:val="24"/>
        </w:rPr>
        <w:t>a number of</w:t>
      </w:r>
      <w:proofErr w:type="gramEnd"/>
      <w:r w:rsidR="00EA5234" w:rsidRPr="00EA5234">
        <w:rPr>
          <w:rFonts w:cs="Arial"/>
          <w:sz w:val="24"/>
          <w:szCs w:val="24"/>
        </w:rPr>
        <w:t xml:space="preserve"> uncertainties and concerns had been expressed by the EAG about the report and that the committee had </w:t>
      </w:r>
      <w:r w:rsidR="00EA5234" w:rsidRPr="00EA5234">
        <w:rPr>
          <w:rFonts w:cs="Arial"/>
          <w:sz w:val="24"/>
          <w:szCs w:val="24"/>
        </w:rPr>
        <w:lastRenderedPageBreak/>
        <w:t xml:space="preserve">agreed with at least some of these, as described in section 3.16 of the FDG.  It was persuaded that uncertainty arose in the minds of the committee because of the broad range of results that experts had provided in the report and that this was the committee's main concern.  Nonetheless, others were noted including the absence of information provided by the participants </w:t>
      </w:r>
      <w:proofErr w:type="gramStart"/>
      <w:r w:rsidR="00EA5234" w:rsidRPr="00EA5234">
        <w:rPr>
          <w:rFonts w:cs="Arial"/>
          <w:sz w:val="24"/>
          <w:szCs w:val="24"/>
        </w:rPr>
        <w:t>in regard to</w:t>
      </w:r>
      <w:proofErr w:type="gramEnd"/>
      <w:r w:rsidR="00EA5234" w:rsidRPr="00EA5234">
        <w:rPr>
          <w:rFonts w:cs="Arial"/>
          <w:sz w:val="24"/>
          <w:szCs w:val="24"/>
        </w:rPr>
        <w:t xml:space="preserve"> their conflicts of interest as well as the difficulty that they had had in accurately answering some of the questions.  The </w:t>
      </w:r>
      <w:r w:rsidR="00752605">
        <w:rPr>
          <w:rFonts w:cs="Arial"/>
          <w:sz w:val="24"/>
          <w:szCs w:val="24"/>
        </w:rPr>
        <w:t xml:space="preserve">appeal </w:t>
      </w:r>
      <w:r w:rsidR="00EA5234" w:rsidRPr="00EA5234">
        <w:rPr>
          <w:rFonts w:cs="Arial"/>
          <w:sz w:val="24"/>
          <w:szCs w:val="24"/>
        </w:rPr>
        <w:t xml:space="preserve">panel also </w:t>
      </w:r>
      <w:r w:rsidR="008D111A">
        <w:rPr>
          <w:rFonts w:cs="Arial"/>
          <w:sz w:val="24"/>
          <w:szCs w:val="24"/>
        </w:rPr>
        <w:t>recalled that the committee chair had drawn their attention to the fact</w:t>
      </w:r>
      <w:r w:rsidR="00EA5234" w:rsidRPr="00EA5234">
        <w:rPr>
          <w:rFonts w:cs="Arial"/>
          <w:sz w:val="24"/>
          <w:szCs w:val="24"/>
        </w:rPr>
        <w:t xml:space="preserve"> that the Clarivate report itself had suggested that the results were uncertain and should be used with caution. Overall, the </w:t>
      </w:r>
      <w:r w:rsidR="00685383">
        <w:rPr>
          <w:rFonts w:cs="Arial"/>
          <w:sz w:val="24"/>
          <w:szCs w:val="24"/>
        </w:rPr>
        <w:t xml:space="preserve">appeal </w:t>
      </w:r>
      <w:r w:rsidR="00EA5234" w:rsidRPr="00EA5234">
        <w:rPr>
          <w:rFonts w:cs="Arial"/>
          <w:sz w:val="24"/>
          <w:szCs w:val="24"/>
        </w:rPr>
        <w:t xml:space="preserve">panel concluded that it was reasonable for the committee to have several uncertainties about the results of the expert elicitation </w:t>
      </w:r>
      <w:proofErr w:type="gramStart"/>
      <w:r w:rsidR="00EA5234" w:rsidRPr="00EA5234">
        <w:rPr>
          <w:rFonts w:cs="Arial"/>
          <w:sz w:val="24"/>
          <w:szCs w:val="24"/>
        </w:rPr>
        <w:t>report</w:t>
      </w:r>
      <w:proofErr w:type="gramEnd"/>
      <w:r w:rsidR="00EA5234" w:rsidRPr="00EA5234">
        <w:rPr>
          <w:rFonts w:cs="Arial"/>
          <w:sz w:val="24"/>
          <w:szCs w:val="24"/>
        </w:rPr>
        <w:t xml:space="preserve"> and they dismissed the appeal on this point.</w:t>
      </w:r>
    </w:p>
    <w:p w14:paraId="302BD65E" w14:textId="7569EDCE" w:rsidR="00EA51BE" w:rsidRPr="00A96D52" w:rsidRDefault="00EA51BE" w:rsidP="00894289">
      <w:pPr>
        <w:pStyle w:val="Heading3"/>
      </w:pPr>
      <w:r w:rsidRPr="00A96D52">
        <w:t xml:space="preserve">MDUK </w:t>
      </w:r>
      <w:r w:rsidR="00AE2495">
        <w:t xml:space="preserve">appeal point </w:t>
      </w:r>
      <w:r w:rsidRPr="00A96D52">
        <w:t>1(a)1</w:t>
      </w:r>
      <w:r w:rsidR="00AE2495">
        <w:t xml:space="preserve">: </w:t>
      </w:r>
      <w:r w:rsidRPr="00A96D52">
        <w:t xml:space="preserve">The assessment of </w:t>
      </w:r>
      <w:proofErr w:type="spellStart"/>
      <w:r w:rsidRPr="00A96D52">
        <w:t>zilucoplan</w:t>
      </w:r>
      <w:proofErr w:type="spellEnd"/>
      <w:r w:rsidRPr="00A96D52">
        <w:t xml:space="preserve"> was inconsistent with the appraisal of comparable treatments for </w:t>
      </w:r>
      <w:proofErr w:type="spellStart"/>
      <w:r w:rsidRPr="00A96D52">
        <w:t>gMG</w:t>
      </w:r>
      <w:proofErr w:type="spellEnd"/>
      <w:r w:rsidRPr="00A96D52">
        <w:t>, undermining fairness and transparency (</w:t>
      </w:r>
      <w:proofErr w:type="spellStart"/>
      <w:r w:rsidRPr="00A96D52">
        <w:t>i</w:t>
      </w:r>
      <w:proofErr w:type="spellEnd"/>
      <w:r w:rsidRPr="00A96D52">
        <w:t>) inconsistent treatment of subsequent treatment modelling; and (ii) inconsistencies in how real-world NHS use was interpreted.</w:t>
      </w:r>
    </w:p>
    <w:p w14:paraId="1D9BA092" w14:textId="487C13D0" w:rsidR="0075086F" w:rsidRPr="00A96D52" w:rsidRDefault="00FA748E">
      <w:pPr>
        <w:pStyle w:val="Paragraph"/>
        <w:rPr>
          <w:rFonts w:cs="Arial"/>
          <w:sz w:val="24"/>
          <w:szCs w:val="24"/>
        </w:rPr>
      </w:pPr>
      <w:r w:rsidRPr="00A96D52">
        <w:rPr>
          <w:rFonts w:cs="Arial"/>
          <w:sz w:val="24"/>
          <w:szCs w:val="24"/>
        </w:rPr>
        <w:t>Charlotte Roy</w:t>
      </w:r>
      <w:r w:rsidR="00E90502" w:rsidRPr="00A96D52">
        <w:rPr>
          <w:rFonts w:cs="Arial"/>
          <w:sz w:val="24"/>
          <w:szCs w:val="24"/>
        </w:rPr>
        <w:t xml:space="preserve"> introduced this appeal point for MDUK. </w:t>
      </w:r>
      <w:r w:rsidR="001671A3" w:rsidRPr="00A96D52">
        <w:rPr>
          <w:rFonts w:cs="Arial"/>
          <w:sz w:val="24"/>
          <w:szCs w:val="24"/>
        </w:rPr>
        <w:t xml:space="preserve">She described uncertainty as being inherent in NICE appraisals, and that there was uncertainty present in both the </w:t>
      </w:r>
      <w:proofErr w:type="spellStart"/>
      <w:r w:rsidR="001671A3" w:rsidRPr="00A96D52">
        <w:rPr>
          <w:rFonts w:cs="Arial"/>
          <w:sz w:val="24"/>
          <w:szCs w:val="24"/>
        </w:rPr>
        <w:t>zilucoplan</w:t>
      </w:r>
      <w:proofErr w:type="spellEnd"/>
      <w:r w:rsidR="001671A3" w:rsidRPr="00A96D52">
        <w:rPr>
          <w:rFonts w:cs="Arial"/>
          <w:sz w:val="24"/>
          <w:szCs w:val="24"/>
        </w:rPr>
        <w:t xml:space="preserve"> and efgartigimod appraisals. </w:t>
      </w:r>
      <w:r w:rsidR="007144ED" w:rsidRPr="00A96D52">
        <w:rPr>
          <w:rFonts w:cs="Arial"/>
          <w:sz w:val="24"/>
          <w:szCs w:val="24"/>
        </w:rPr>
        <w:t xml:space="preserve">In the face of that uncertainty, Charlotte Roy re-iterated the importance of NICE's decisions being consistent and transparent. </w:t>
      </w:r>
    </w:p>
    <w:p w14:paraId="32A90455" w14:textId="34A58B57" w:rsidR="007144ED" w:rsidRPr="00A96D52" w:rsidRDefault="00664850">
      <w:pPr>
        <w:pStyle w:val="Paragraph"/>
        <w:rPr>
          <w:rFonts w:cs="Arial"/>
          <w:sz w:val="24"/>
          <w:szCs w:val="24"/>
        </w:rPr>
      </w:pPr>
      <w:r w:rsidRPr="00A96D52">
        <w:rPr>
          <w:rFonts w:cs="Arial"/>
          <w:sz w:val="24"/>
          <w:szCs w:val="24"/>
        </w:rPr>
        <w:t>Emily Crowe</w:t>
      </w:r>
      <w:r w:rsidR="00575AD9">
        <w:rPr>
          <w:rFonts w:cs="Arial"/>
          <w:sz w:val="24"/>
          <w:szCs w:val="24"/>
        </w:rPr>
        <w:t>, for NICE</w:t>
      </w:r>
      <w:r w:rsidR="009705F1">
        <w:rPr>
          <w:rFonts w:cs="Arial"/>
          <w:sz w:val="24"/>
          <w:szCs w:val="24"/>
        </w:rPr>
        <w:t>,</w:t>
      </w:r>
      <w:r w:rsidRPr="00A96D52">
        <w:rPr>
          <w:rFonts w:cs="Arial"/>
          <w:sz w:val="24"/>
          <w:szCs w:val="24"/>
        </w:rPr>
        <w:t xml:space="preserve"> </w:t>
      </w:r>
      <w:r w:rsidR="00850432" w:rsidRPr="00A96D52">
        <w:rPr>
          <w:rFonts w:cs="Arial"/>
          <w:sz w:val="24"/>
          <w:szCs w:val="24"/>
        </w:rPr>
        <w:t>referred to section 6.2.2</w:t>
      </w:r>
      <w:r w:rsidR="00D54011" w:rsidRPr="00A96D52">
        <w:rPr>
          <w:rFonts w:cs="Arial"/>
          <w:sz w:val="24"/>
          <w:szCs w:val="24"/>
        </w:rPr>
        <w:t>6</w:t>
      </w:r>
      <w:r w:rsidR="00850432" w:rsidRPr="00A96D52">
        <w:rPr>
          <w:rFonts w:cs="Arial"/>
          <w:sz w:val="24"/>
          <w:szCs w:val="24"/>
        </w:rPr>
        <w:t xml:space="preserve"> of the </w:t>
      </w:r>
      <w:r w:rsidR="002B5C75" w:rsidRPr="0061705B">
        <w:rPr>
          <w:sz w:val="24"/>
          <w:szCs w:val="24"/>
        </w:rPr>
        <w:t>Health Technology Evaluations Manual</w:t>
      </w:r>
      <w:r w:rsidR="002B5C75">
        <w:rPr>
          <w:sz w:val="24"/>
          <w:szCs w:val="24"/>
        </w:rPr>
        <w:t xml:space="preserve"> (“the Manual”)</w:t>
      </w:r>
      <w:r w:rsidR="00850432" w:rsidRPr="00A96D52">
        <w:rPr>
          <w:rFonts w:cs="Arial"/>
          <w:sz w:val="24"/>
          <w:szCs w:val="24"/>
        </w:rPr>
        <w:t xml:space="preserve">, </w:t>
      </w:r>
      <w:r w:rsidR="00D54011" w:rsidRPr="00A96D52">
        <w:rPr>
          <w:rFonts w:cs="Arial"/>
          <w:sz w:val="24"/>
          <w:szCs w:val="24"/>
        </w:rPr>
        <w:t>which provides that "</w:t>
      </w:r>
      <w:r w:rsidR="00D54011" w:rsidRPr="00A96D52">
        <w:rPr>
          <w:rFonts w:cs="Arial"/>
          <w:i/>
          <w:iCs/>
          <w:sz w:val="24"/>
          <w:szCs w:val="24"/>
        </w:rPr>
        <w:t xml:space="preserve">as far as possible, the committee will make sure </w:t>
      </w:r>
      <w:r w:rsidR="00D33FBD" w:rsidRPr="00A96D52">
        <w:rPr>
          <w:rFonts w:cs="Arial"/>
          <w:i/>
          <w:iCs/>
          <w:sz w:val="24"/>
          <w:szCs w:val="24"/>
        </w:rPr>
        <w:t xml:space="preserve">that decisions about what constitutes good value for money are consistently applied between evaluations". </w:t>
      </w:r>
      <w:r w:rsidR="00823E22" w:rsidRPr="00A96D52">
        <w:rPr>
          <w:rFonts w:cs="Arial"/>
          <w:sz w:val="24"/>
          <w:szCs w:val="24"/>
        </w:rPr>
        <w:t xml:space="preserve">At section 6.2.27, the Manual goes on to list the factors that the committee will take into consideration in its decisions on cost effectiveness or cost savings. </w:t>
      </w:r>
      <w:r w:rsidR="0001132C" w:rsidRPr="00A96D52">
        <w:rPr>
          <w:rFonts w:cs="Arial"/>
          <w:sz w:val="24"/>
          <w:szCs w:val="24"/>
        </w:rPr>
        <w:t xml:space="preserve">Emily Crowe highlighted that there were three appraisals running at approximately the same time for treatments for </w:t>
      </w:r>
      <w:proofErr w:type="spellStart"/>
      <w:r w:rsidR="0001132C" w:rsidRPr="00A96D52">
        <w:rPr>
          <w:rFonts w:cs="Arial"/>
          <w:sz w:val="24"/>
          <w:szCs w:val="24"/>
        </w:rPr>
        <w:t>gMG</w:t>
      </w:r>
      <w:proofErr w:type="spellEnd"/>
      <w:r w:rsidR="0001132C" w:rsidRPr="00A96D52">
        <w:rPr>
          <w:rFonts w:cs="Arial"/>
          <w:sz w:val="24"/>
          <w:szCs w:val="24"/>
        </w:rPr>
        <w:t xml:space="preserve"> (</w:t>
      </w:r>
      <w:r w:rsidR="00B73B2E">
        <w:rPr>
          <w:rFonts w:cs="Arial"/>
          <w:sz w:val="24"/>
          <w:szCs w:val="24"/>
        </w:rPr>
        <w:t xml:space="preserve">the current evaluation of </w:t>
      </w:r>
      <w:proofErr w:type="spellStart"/>
      <w:r w:rsidR="0001132C" w:rsidRPr="00A96D52">
        <w:rPr>
          <w:rFonts w:cs="Arial"/>
          <w:sz w:val="24"/>
          <w:szCs w:val="24"/>
        </w:rPr>
        <w:lastRenderedPageBreak/>
        <w:t>zilucoplan</w:t>
      </w:r>
      <w:proofErr w:type="spellEnd"/>
      <w:r w:rsidR="0001132C" w:rsidRPr="00A96D52">
        <w:rPr>
          <w:rFonts w:cs="Arial"/>
          <w:sz w:val="24"/>
          <w:szCs w:val="24"/>
        </w:rPr>
        <w:t>, efgartigimod</w:t>
      </w:r>
      <w:r w:rsidR="000551DA">
        <w:rPr>
          <w:rFonts w:cs="Arial"/>
          <w:sz w:val="24"/>
          <w:szCs w:val="24"/>
        </w:rPr>
        <w:t xml:space="preserve"> (TA1069)</w:t>
      </w:r>
      <w:r w:rsidR="0001132C" w:rsidRPr="00A96D52">
        <w:rPr>
          <w:rFonts w:cs="Arial"/>
          <w:sz w:val="24"/>
          <w:szCs w:val="24"/>
        </w:rPr>
        <w:t xml:space="preserve"> and </w:t>
      </w:r>
      <w:proofErr w:type="spellStart"/>
      <w:r w:rsidR="00C972BF" w:rsidRPr="00A96D52">
        <w:rPr>
          <w:rFonts w:cs="Arial"/>
          <w:sz w:val="24"/>
          <w:szCs w:val="24"/>
        </w:rPr>
        <w:t>rozanolixizumab</w:t>
      </w:r>
      <w:proofErr w:type="spellEnd"/>
      <w:r w:rsidR="000551DA">
        <w:rPr>
          <w:rFonts w:cs="Arial"/>
          <w:sz w:val="24"/>
          <w:szCs w:val="24"/>
        </w:rPr>
        <w:t xml:space="preserve"> (ID5092)</w:t>
      </w:r>
      <w:r w:rsidR="00C972BF" w:rsidRPr="00A96D52">
        <w:rPr>
          <w:rFonts w:cs="Arial"/>
          <w:sz w:val="24"/>
          <w:szCs w:val="24"/>
        </w:rPr>
        <w:t>)</w:t>
      </w:r>
      <w:r w:rsidR="00E148E5" w:rsidRPr="00A96D52">
        <w:rPr>
          <w:rFonts w:cs="Arial"/>
          <w:sz w:val="24"/>
          <w:szCs w:val="24"/>
        </w:rPr>
        <w:t xml:space="preserve">, and that the committee was </w:t>
      </w:r>
      <w:r w:rsidR="00CC7259">
        <w:rPr>
          <w:rFonts w:cs="Arial"/>
          <w:sz w:val="24"/>
          <w:szCs w:val="24"/>
        </w:rPr>
        <w:t xml:space="preserve">alive to the </w:t>
      </w:r>
      <w:r w:rsidR="00E148E5" w:rsidRPr="00A96D52">
        <w:rPr>
          <w:rFonts w:cs="Arial"/>
          <w:sz w:val="24"/>
          <w:szCs w:val="24"/>
        </w:rPr>
        <w:t xml:space="preserve">expectation </w:t>
      </w:r>
      <w:r w:rsidR="00CC7259">
        <w:rPr>
          <w:rFonts w:cs="Arial"/>
          <w:sz w:val="24"/>
          <w:szCs w:val="24"/>
        </w:rPr>
        <w:t>of</w:t>
      </w:r>
      <w:r w:rsidR="00E148E5" w:rsidRPr="00A96D52">
        <w:rPr>
          <w:rFonts w:cs="Arial"/>
          <w:sz w:val="24"/>
          <w:szCs w:val="24"/>
        </w:rPr>
        <w:t xml:space="preserve"> consistency between the three</w:t>
      </w:r>
      <w:r w:rsidR="009D5F5D" w:rsidRPr="00A96D52">
        <w:rPr>
          <w:rFonts w:cs="Arial"/>
          <w:sz w:val="24"/>
          <w:szCs w:val="24"/>
        </w:rPr>
        <w:t>.</w:t>
      </w:r>
    </w:p>
    <w:p w14:paraId="18DCE984" w14:textId="265FFD77" w:rsidR="009D5F5D" w:rsidRPr="00A96D52" w:rsidRDefault="009D5F5D">
      <w:pPr>
        <w:pStyle w:val="Paragraph"/>
        <w:rPr>
          <w:rFonts w:cs="Arial"/>
          <w:sz w:val="24"/>
          <w:szCs w:val="24"/>
        </w:rPr>
      </w:pPr>
      <w:r w:rsidRPr="00A96D52">
        <w:rPr>
          <w:rFonts w:cs="Arial"/>
          <w:sz w:val="24"/>
          <w:szCs w:val="24"/>
        </w:rPr>
        <w:t xml:space="preserve">Emily Crowe listed the factors </w:t>
      </w:r>
      <w:r w:rsidR="00B73B2E">
        <w:rPr>
          <w:rFonts w:cs="Arial"/>
          <w:sz w:val="24"/>
          <w:szCs w:val="24"/>
        </w:rPr>
        <w:t>that</w:t>
      </w:r>
      <w:r w:rsidR="00B73B2E" w:rsidRPr="00A96D52">
        <w:rPr>
          <w:rFonts w:cs="Arial"/>
          <w:sz w:val="24"/>
          <w:szCs w:val="24"/>
        </w:rPr>
        <w:t xml:space="preserve"> </w:t>
      </w:r>
      <w:r w:rsidRPr="00A96D52">
        <w:rPr>
          <w:rFonts w:cs="Arial"/>
          <w:sz w:val="24"/>
          <w:szCs w:val="24"/>
        </w:rPr>
        <w:t xml:space="preserve">the committee considered to have been consistent between the three appraisals: </w:t>
      </w:r>
    </w:p>
    <w:p w14:paraId="0A3E86A8" w14:textId="238BD3C2" w:rsidR="009D5F5D" w:rsidRPr="00A96D52" w:rsidRDefault="009D5F5D" w:rsidP="009D5F5D">
      <w:pPr>
        <w:pStyle w:val="Paragraph"/>
        <w:numPr>
          <w:ilvl w:val="1"/>
          <w:numId w:val="1"/>
        </w:numPr>
        <w:rPr>
          <w:rFonts w:cs="Arial"/>
          <w:sz w:val="24"/>
          <w:szCs w:val="24"/>
        </w:rPr>
      </w:pPr>
      <w:r w:rsidRPr="00A96D52">
        <w:rPr>
          <w:rFonts w:cs="Arial"/>
          <w:sz w:val="24"/>
          <w:szCs w:val="24"/>
        </w:rPr>
        <w:t xml:space="preserve">Composition of </w:t>
      </w:r>
      <w:r w:rsidR="00A96D52" w:rsidRPr="00A96D52">
        <w:rPr>
          <w:rFonts w:cs="Arial"/>
          <w:sz w:val="24"/>
          <w:szCs w:val="24"/>
        </w:rPr>
        <w:t>s</w:t>
      </w:r>
      <w:r w:rsidRPr="00A96D52">
        <w:rPr>
          <w:rFonts w:cs="Arial"/>
          <w:sz w:val="24"/>
          <w:szCs w:val="24"/>
        </w:rPr>
        <w:t xml:space="preserve">tandard of care </w:t>
      </w:r>
    </w:p>
    <w:p w14:paraId="0097D7DB" w14:textId="5BDF6A13" w:rsidR="009D5F5D" w:rsidRPr="00A96D52" w:rsidRDefault="00871770" w:rsidP="009D5F5D">
      <w:pPr>
        <w:pStyle w:val="Paragraph"/>
        <w:numPr>
          <w:ilvl w:val="1"/>
          <w:numId w:val="1"/>
        </w:numPr>
        <w:rPr>
          <w:rFonts w:cs="Arial"/>
          <w:sz w:val="24"/>
          <w:szCs w:val="24"/>
        </w:rPr>
      </w:pPr>
      <w:r w:rsidRPr="00A96D52">
        <w:rPr>
          <w:rFonts w:cs="Arial"/>
          <w:sz w:val="24"/>
          <w:szCs w:val="24"/>
        </w:rPr>
        <w:t>Target population (refractory and aligned closely with the EAMS inclusion criteria)</w:t>
      </w:r>
    </w:p>
    <w:p w14:paraId="7045540D" w14:textId="6962D653" w:rsidR="00871770" w:rsidRPr="00A96D52" w:rsidRDefault="00871770" w:rsidP="009D5F5D">
      <w:pPr>
        <w:pStyle w:val="Paragraph"/>
        <w:numPr>
          <w:ilvl w:val="1"/>
          <w:numId w:val="1"/>
        </w:numPr>
        <w:rPr>
          <w:rFonts w:cs="Arial"/>
          <w:sz w:val="24"/>
          <w:szCs w:val="24"/>
        </w:rPr>
      </w:pPr>
      <w:r w:rsidRPr="00A96D52">
        <w:rPr>
          <w:rFonts w:cs="Arial"/>
          <w:sz w:val="24"/>
          <w:szCs w:val="24"/>
        </w:rPr>
        <w:t xml:space="preserve">Using the full EAMS cohort (rather than the revised cohort) </w:t>
      </w:r>
    </w:p>
    <w:p w14:paraId="16AD977B" w14:textId="28BE4DA7" w:rsidR="00871770" w:rsidRPr="00A96D52" w:rsidRDefault="00871770" w:rsidP="009D5F5D">
      <w:pPr>
        <w:pStyle w:val="Paragraph"/>
        <w:numPr>
          <w:ilvl w:val="1"/>
          <w:numId w:val="1"/>
        </w:numPr>
        <w:rPr>
          <w:rFonts w:cs="Arial"/>
          <w:sz w:val="24"/>
          <w:szCs w:val="24"/>
        </w:rPr>
      </w:pPr>
      <w:r w:rsidRPr="00A96D52">
        <w:rPr>
          <w:rFonts w:cs="Arial"/>
          <w:sz w:val="24"/>
          <w:szCs w:val="24"/>
        </w:rPr>
        <w:t xml:space="preserve">Aligned on subsequent treatments in the </w:t>
      </w:r>
      <w:r w:rsidR="009825CF" w:rsidRPr="00A96D52">
        <w:rPr>
          <w:rFonts w:cs="Arial"/>
          <w:sz w:val="24"/>
          <w:szCs w:val="24"/>
        </w:rPr>
        <w:t>model</w:t>
      </w:r>
    </w:p>
    <w:p w14:paraId="3522DBD8" w14:textId="471C6C46" w:rsidR="00871770" w:rsidRPr="00A96D52" w:rsidRDefault="00871770" w:rsidP="009D5F5D">
      <w:pPr>
        <w:pStyle w:val="Paragraph"/>
        <w:numPr>
          <w:ilvl w:val="1"/>
          <w:numId w:val="1"/>
        </w:numPr>
        <w:rPr>
          <w:rFonts w:cs="Arial"/>
          <w:sz w:val="24"/>
          <w:szCs w:val="24"/>
        </w:rPr>
      </w:pPr>
      <w:r w:rsidRPr="00A96D52">
        <w:rPr>
          <w:rFonts w:cs="Arial"/>
          <w:sz w:val="24"/>
          <w:szCs w:val="24"/>
        </w:rPr>
        <w:t xml:space="preserve">Consistent application of the same basket of care </w:t>
      </w:r>
    </w:p>
    <w:p w14:paraId="4F4EE6D0" w14:textId="3B3821C0" w:rsidR="00871770" w:rsidRPr="00A96D52" w:rsidRDefault="00871770" w:rsidP="009D5F5D">
      <w:pPr>
        <w:pStyle w:val="Paragraph"/>
        <w:numPr>
          <w:ilvl w:val="1"/>
          <w:numId w:val="1"/>
        </w:numPr>
        <w:rPr>
          <w:rFonts w:cs="Arial"/>
          <w:sz w:val="24"/>
          <w:szCs w:val="24"/>
        </w:rPr>
      </w:pPr>
      <w:r w:rsidRPr="00A96D52">
        <w:rPr>
          <w:rFonts w:cs="Arial"/>
          <w:sz w:val="24"/>
          <w:szCs w:val="24"/>
        </w:rPr>
        <w:t>Rejection of unequal modelling of the basket of care</w:t>
      </w:r>
    </w:p>
    <w:p w14:paraId="35569E03" w14:textId="02493D69" w:rsidR="00871770" w:rsidRPr="00A96D52" w:rsidRDefault="00871770" w:rsidP="009D5F5D">
      <w:pPr>
        <w:pStyle w:val="Paragraph"/>
        <w:numPr>
          <w:ilvl w:val="1"/>
          <w:numId w:val="1"/>
        </w:numPr>
        <w:rPr>
          <w:rFonts w:cs="Arial"/>
          <w:sz w:val="24"/>
          <w:szCs w:val="24"/>
        </w:rPr>
      </w:pPr>
      <w:r w:rsidRPr="00A96D52">
        <w:rPr>
          <w:rFonts w:cs="Arial"/>
          <w:sz w:val="24"/>
          <w:szCs w:val="24"/>
        </w:rPr>
        <w:t xml:space="preserve">Approach to carer utilities; and </w:t>
      </w:r>
    </w:p>
    <w:p w14:paraId="0D0CC27C" w14:textId="6C3B6A30" w:rsidR="00871770" w:rsidRPr="00A96D52" w:rsidRDefault="00871770" w:rsidP="009D5F5D">
      <w:pPr>
        <w:pStyle w:val="Paragraph"/>
        <w:numPr>
          <w:ilvl w:val="1"/>
          <w:numId w:val="1"/>
        </w:numPr>
        <w:rPr>
          <w:rFonts w:cs="Arial"/>
          <w:sz w:val="24"/>
          <w:szCs w:val="24"/>
        </w:rPr>
      </w:pPr>
      <w:r w:rsidRPr="00A96D52">
        <w:rPr>
          <w:rFonts w:cs="Arial"/>
          <w:sz w:val="24"/>
          <w:szCs w:val="24"/>
        </w:rPr>
        <w:t xml:space="preserve">Using </w:t>
      </w:r>
      <w:r w:rsidRPr="00A96D52">
        <w:rPr>
          <w:rFonts w:cs="Arial"/>
          <w:i/>
          <w:iCs/>
          <w:sz w:val="24"/>
          <w:szCs w:val="24"/>
        </w:rPr>
        <w:t xml:space="preserve">Lee et al </w:t>
      </w:r>
      <w:r w:rsidRPr="00A96D52">
        <w:rPr>
          <w:rFonts w:cs="Arial"/>
          <w:sz w:val="24"/>
          <w:szCs w:val="24"/>
        </w:rPr>
        <w:t xml:space="preserve">to model CCS costs. </w:t>
      </w:r>
    </w:p>
    <w:p w14:paraId="5EAF2C11" w14:textId="32B91136" w:rsidR="00871770" w:rsidRPr="00A96D52" w:rsidRDefault="00871770" w:rsidP="00871770">
      <w:pPr>
        <w:pStyle w:val="Paragraph"/>
        <w:rPr>
          <w:rFonts w:cs="Arial"/>
          <w:sz w:val="24"/>
          <w:szCs w:val="24"/>
        </w:rPr>
      </w:pPr>
      <w:r w:rsidRPr="00A96D52">
        <w:rPr>
          <w:rFonts w:cs="Arial"/>
          <w:sz w:val="24"/>
          <w:szCs w:val="24"/>
        </w:rPr>
        <w:t>Emily Crowe described that</w:t>
      </w:r>
      <w:r w:rsidR="0017120B" w:rsidRPr="00A96D52">
        <w:rPr>
          <w:rFonts w:cs="Arial"/>
          <w:sz w:val="24"/>
          <w:szCs w:val="24"/>
        </w:rPr>
        <w:t xml:space="preserve"> </w:t>
      </w:r>
      <w:r w:rsidR="00B73B2E">
        <w:rPr>
          <w:rFonts w:cs="Arial"/>
          <w:sz w:val="24"/>
          <w:szCs w:val="24"/>
        </w:rPr>
        <w:t>t</w:t>
      </w:r>
      <w:r w:rsidR="00B73B2E" w:rsidRPr="00A96D52">
        <w:rPr>
          <w:rFonts w:cs="Arial"/>
          <w:sz w:val="24"/>
          <w:szCs w:val="24"/>
        </w:rPr>
        <w:t xml:space="preserve">his was not accidental. </w:t>
      </w:r>
      <w:r w:rsidR="00B73B2E">
        <w:rPr>
          <w:rFonts w:cs="Arial"/>
          <w:sz w:val="24"/>
          <w:szCs w:val="24"/>
        </w:rPr>
        <w:t>T</w:t>
      </w:r>
      <w:r w:rsidR="0017120B" w:rsidRPr="00A96D52">
        <w:rPr>
          <w:rFonts w:cs="Arial"/>
          <w:sz w:val="24"/>
          <w:szCs w:val="24"/>
        </w:rPr>
        <w:t xml:space="preserve">he committee had considered the different sets of assumptions side by side in the committee meetings. </w:t>
      </w:r>
    </w:p>
    <w:p w14:paraId="1B44A700" w14:textId="2BA11797" w:rsidR="000B66FC" w:rsidRPr="00A96D52" w:rsidRDefault="000B66FC" w:rsidP="00871770">
      <w:pPr>
        <w:pStyle w:val="Paragraph"/>
        <w:rPr>
          <w:rFonts w:cs="Arial"/>
          <w:sz w:val="24"/>
          <w:szCs w:val="24"/>
        </w:rPr>
      </w:pPr>
      <w:r w:rsidRPr="00A96D52">
        <w:rPr>
          <w:rFonts w:cs="Arial"/>
          <w:sz w:val="24"/>
          <w:szCs w:val="24"/>
        </w:rPr>
        <w:t xml:space="preserve">The </w:t>
      </w:r>
      <w:r w:rsidR="009A6F8F">
        <w:rPr>
          <w:rFonts w:cs="Arial"/>
          <w:sz w:val="24"/>
          <w:szCs w:val="24"/>
        </w:rPr>
        <w:t xml:space="preserve">appeal </w:t>
      </w:r>
      <w:r w:rsidRPr="00A96D52">
        <w:rPr>
          <w:rFonts w:cs="Arial"/>
          <w:sz w:val="24"/>
          <w:szCs w:val="24"/>
        </w:rPr>
        <w:t xml:space="preserve">panel asked how the committee </w:t>
      </w:r>
      <w:r w:rsidR="00327EF7" w:rsidRPr="00A96D52">
        <w:rPr>
          <w:rFonts w:cs="Arial"/>
          <w:sz w:val="24"/>
          <w:szCs w:val="24"/>
        </w:rPr>
        <w:t>balances</w:t>
      </w:r>
      <w:r w:rsidRPr="00A96D52">
        <w:rPr>
          <w:rFonts w:cs="Arial"/>
          <w:sz w:val="24"/>
          <w:szCs w:val="24"/>
        </w:rPr>
        <w:t xml:space="preserve"> the need for consistency against the need to ensure that the appraisal is carried out </w:t>
      </w:r>
      <w:r w:rsidR="00A609C2" w:rsidRPr="00A96D52">
        <w:rPr>
          <w:rFonts w:cs="Arial"/>
          <w:sz w:val="24"/>
          <w:szCs w:val="24"/>
        </w:rPr>
        <w:t>using</w:t>
      </w:r>
      <w:r w:rsidRPr="00A96D52">
        <w:rPr>
          <w:rFonts w:cs="Arial"/>
          <w:sz w:val="24"/>
          <w:szCs w:val="24"/>
        </w:rPr>
        <w:t xml:space="preserve"> the information available to it at that time</w:t>
      </w:r>
      <w:r w:rsidR="00327EF7" w:rsidRPr="00A96D52">
        <w:rPr>
          <w:rFonts w:cs="Arial"/>
          <w:sz w:val="24"/>
          <w:szCs w:val="24"/>
        </w:rPr>
        <w:t>. Charles Crawley</w:t>
      </w:r>
      <w:r w:rsidR="00575AD9">
        <w:rPr>
          <w:rFonts w:cs="Arial"/>
          <w:sz w:val="24"/>
          <w:szCs w:val="24"/>
        </w:rPr>
        <w:t>, for NICE</w:t>
      </w:r>
      <w:r w:rsidR="00327EF7" w:rsidRPr="00A96D52">
        <w:rPr>
          <w:rFonts w:cs="Arial"/>
          <w:sz w:val="24"/>
          <w:szCs w:val="24"/>
        </w:rPr>
        <w:t xml:space="preserve"> explained that </w:t>
      </w:r>
      <w:r w:rsidR="00D27EE3" w:rsidRPr="00A96D52">
        <w:rPr>
          <w:rFonts w:cs="Arial"/>
          <w:sz w:val="24"/>
          <w:szCs w:val="24"/>
        </w:rPr>
        <w:t xml:space="preserve">if the committee were reaching different conclusions to </w:t>
      </w:r>
      <w:r w:rsidR="005A5D49">
        <w:rPr>
          <w:rFonts w:cs="Arial"/>
          <w:sz w:val="24"/>
          <w:szCs w:val="24"/>
        </w:rPr>
        <w:t>TA1069</w:t>
      </w:r>
      <w:r w:rsidR="00D27EE3" w:rsidRPr="00A96D52">
        <w:rPr>
          <w:rFonts w:cs="Arial"/>
          <w:sz w:val="24"/>
          <w:szCs w:val="24"/>
        </w:rPr>
        <w:t>, th</w:t>
      </w:r>
      <w:r w:rsidR="000220DD" w:rsidRPr="00A96D52">
        <w:rPr>
          <w:rFonts w:cs="Arial"/>
          <w:sz w:val="24"/>
          <w:szCs w:val="24"/>
        </w:rPr>
        <w:t xml:space="preserve">ey would consider why that was the case and whether the departure was justified </w:t>
      </w:r>
      <w:proofErr w:type="gramStart"/>
      <w:r w:rsidR="000220DD" w:rsidRPr="00A96D52">
        <w:rPr>
          <w:rFonts w:cs="Arial"/>
          <w:sz w:val="24"/>
          <w:szCs w:val="24"/>
        </w:rPr>
        <w:t>in light of</w:t>
      </w:r>
      <w:proofErr w:type="gramEnd"/>
      <w:r w:rsidR="000220DD" w:rsidRPr="00A96D52">
        <w:rPr>
          <w:rFonts w:cs="Arial"/>
          <w:sz w:val="24"/>
          <w:szCs w:val="24"/>
        </w:rPr>
        <w:t xml:space="preserve"> the evidence before the committee. </w:t>
      </w:r>
      <w:r w:rsidR="00081D53" w:rsidRPr="00A96D52">
        <w:rPr>
          <w:rFonts w:cs="Arial"/>
          <w:sz w:val="24"/>
          <w:szCs w:val="24"/>
        </w:rPr>
        <w:t xml:space="preserve">One example of that consistency was in relation to using the full EAMS cohort (rather than the revised cohort). </w:t>
      </w:r>
    </w:p>
    <w:p w14:paraId="35C18EB0" w14:textId="3FBA1C18" w:rsidR="00884BDF" w:rsidRPr="00A96D52" w:rsidRDefault="00884BDF" w:rsidP="00871770">
      <w:pPr>
        <w:pStyle w:val="Paragraph"/>
        <w:rPr>
          <w:rFonts w:cs="Arial"/>
          <w:sz w:val="24"/>
          <w:szCs w:val="24"/>
        </w:rPr>
      </w:pPr>
      <w:r w:rsidRPr="00A96D52">
        <w:rPr>
          <w:rFonts w:cs="Arial"/>
          <w:sz w:val="24"/>
          <w:szCs w:val="24"/>
        </w:rPr>
        <w:t xml:space="preserve">Jennifer Spillane, for MDUK, explained that entry into the EAMS cohort was less restrictive than the patient cohort in which </w:t>
      </w:r>
      <w:proofErr w:type="spellStart"/>
      <w:r w:rsidRPr="00A96D52">
        <w:rPr>
          <w:rFonts w:cs="Arial"/>
          <w:sz w:val="24"/>
          <w:szCs w:val="24"/>
        </w:rPr>
        <w:t>zilucoplan</w:t>
      </w:r>
      <w:proofErr w:type="spellEnd"/>
      <w:r w:rsidRPr="00A96D52">
        <w:rPr>
          <w:rFonts w:cs="Arial"/>
          <w:sz w:val="24"/>
          <w:szCs w:val="24"/>
        </w:rPr>
        <w:t xml:space="preserve"> </w:t>
      </w:r>
      <w:r w:rsidRPr="00A96D52">
        <w:rPr>
          <w:rFonts w:cs="Arial"/>
          <w:sz w:val="24"/>
          <w:szCs w:val="24"/>
        </w:rPr>
        <w:lastRenderedPageBreak/>
        <w:t>w</w:t>
      </w:r>
      <w:r w:rsidR="00CC7259">
        <w:rPr>
          <w:rFonts w:cs="Arial"/>
          <w:sz w:val="24"/>
          <w:szCs w:val="24"/>
        </w:rPr>
        <w:t xml:space="preserve">ould be </w:t>
      </w:r>
      <w:r w:rsidRPr="00A96D52">
        <w:rPr>
          <w:rFonts w:cs="Arial"/>
          <w:sz w:val="24"/>
          <w:szCs w:val="24"/>
        </w:rPr>
        <w:t xml:space="preserve">offered, and that </w:t>
      </w:r>
      <w:r w:rsidR="004C5A4F" w:rsidRPr="00A96D52">
        <w:rPr>
          <w:rFonts w:cs="Arial"/>
          <w:sz w:val="24"/>
          <w:szCs w:val="24"/>
        </w:rPr>
        <w:t>consequently, it was not plausible to use the whole EAMS cohort. She noted that not all those in the full EAMS cohort would be considered refractory</w:t>
      </w:r>
      <w:r w:rsidR="00B66676" w:rsidRPr="00A96D52">
        <w:rPr>
          <w:rFonts w:cs="Arial"/>
          <w:sz w:val="24"/>
          <w:szCs w:val="24"/>
        </w:rPr>
        <w:t xml:space="preserve"> insofar as eligibility for </w:t>
      </w:r>
      <w:proofErr w:type="spellStart"/>
      <w:r w:rsidR="00B66676" w:rsidRPr="00A96D52">
        <w:rPr>
          <w:rFonts w:cs="Arial"/>
          <w:sz w:val="24"/>
          <w:szCs w:val="24"/>
        </w:rPr>
        <w:t>zilucoplan</w:t>
      </w:r>
      <w:proofErr w:type="spellEnd"/>
      <w:r w:rsidR="00B66676" w:rsidRPr="00A96D52">
        <w:rPr>
          <w:rFonts w:cs="Arial"/>
          <w:sz w:val="24"/>
          <w:szCs w:val="24"/>
        </w:rPr>
        <w:t xml:space="preserve"> is concerned.</w:t>
      </w:r>
    </w:p>
    <w:p w14:paraId="543566AF" w14:textId="64AB70A1" w:rsidR="006922C0" w:rsidRPr="00A96D52" w:rsidRDefault="006922C0" w:rsidP="00871770">
      <w:pPr>
        <w:pStyle w:val="Paragraph"/>
        <w:rPr>
          <w:rFonts w:cs="Arial"/>
          <w:sz w:val="24"/>
          <w:szCs w:val="24"/>
        </w:rPr>
      </w:pPr>
      <w:r w:rsidRPr="00A96D52">
        <w:rPr>
          <w:rFonts w:cs="Arial"/>
          <w:sz w:val="24"/>
          <w:szCs w:val="24"/>
        </w:rPr>
        <w:t>Charlotte Roy noted that as a patient organisation, the full modelling is not accessible to MDUK, which underscores the importance of comprehensive and transparent discussion of the material issues in the FDG</w:t>
      </w:r>
      <w:r w:rsidR="0099270D" w:rsidRPr="00A96D52">
        <w:rPr>
          <w:rFonts w:cs="Arial"/>
          <w:sz w:val="24"/>
          <w:szCs w:val="24"/>
        </w:rPr>
        <w:t xml:space="preserve">. Emily Crowe noted that it is not practicable for the FDG to be a verbatim account of every factor </w:t>
      </w:r>
      <w:proofErr w:type="gramStart"/>
      <w:r w:rsidR="0099270D" w:rsidRPr="00A96D52">
        <w:rPr>
          <w:rFonts w:cs="Arial"/>
          <w:sz w:val="24"/>
          <w:szCs w:val="24"/>
        </w:rPr>
        <w:t>taken into account</w:t>
      </w:r>
      <w:proofErr w:type="gramEnd"/>
      <w:r w:rsidR="0099270D" w:rsidRPr="00A96D52">
        <w:rPr>
          <w:rFonts w:cs="Arial"/>
          <w:sz w:val="24"/>
          <w:szCs w:val="24"/>
        </w:rPr>
        <w:t xml:space="preserve"> by the committee in reaching its decision, and that there is a need to balance brevity with transparency as NICE guidance must be usable in the NHS. </w:t>
      </w:r>
    </w:p>
    <w:p w14:paraId="786167A8" w14:textId="42318CA3" w:rsidR="00EB0159" w:rsidRPr="00A96D52" w:rsidRDefault="000322C1" w:rsidP="00871770">
      <w:pPr>
        <w:pStyle w:val="Paragraph"/>
        <w:rPr>
          <w:rFonts w:cs="Arial"/>
          <w:sz w:val="24"/>
          <w:szCs w:val="24"/>
        </w:rPr>
      </w:pPr>
      <w:r>
        <w:rPr>
          <w:rFonts w:cs="Arial"/>
          <w:sz w:val="24"/>
          <w:szCs w:val="24"/>
        </w:rPr>
        <w:t>In relation to MDUK</w:t>
      </w:r>
      <w:r w:rsidR="0089444C">
        <w:rPr>
          <w:rFonts w:cs="Arial"/>
          <w:sz w:val="24"/>
          <w:szCs w:val="24"/>
        </w:rPr>
        <w:t>’s</w:t>
      </w:r>
      <w:r>
        <w:rPr>
          <w:rFonts w:cs="Arial"/>
          <w:sz w:val="24"/>
          <w:szCs w:val="24"/>
        </w:rPr>
        <w:t xml:space="preserve"> </w:t>
      </w:r>
      <w:r w:rsidR="00773877">
        <w:rPr>
          <w:rFonts w:cs="Arial"/>
          <w:sz w:val="24"/>
          <w:szCs w:val="24"/>
        </w:rPr>
        <w:t>a</w:t>
      </w:r>
      <w:r>
        <w:rPr>
          <w:rFonts w:cs="Arial"/>
          <w:sz w:val="24"/>
          <w:szCs w:val="24"/>
        </w:rPr>
        <w:t xml:space="preserve">ppeal </w:t>
      </w:r>
      <w:r w:rsidR="00773877">
        <w:rPr>
          <w:rFonts w:cs="Arial"/>
          <w:sz w:val="24"/>
          <w:szCs w:val="24"/>
        </w:rPr>
        <w:t>p</w:t>
      </w:r>
      <w:r>
        <w:rPr>
          <w:rFonts w:cs="Arial"/>
          <w:sz w:val="24"/>
          <w:szCs w:val="24"/>
        </w:rPr>
        <w:t>oint 1(a)1, t</w:t>
      </w:r>
      <w:r w:rsidR="00EB0159" w:rsidRPr="00A96D52">
        <w:rPr>
          <w:rFonts w:cs="Arial"/>
          <w:sz w:val="24"/>
          <w:szCs w:val="24"/>
        </w:rPr>
        <w:t xml:space="preserve">he </w:t>
      </w:r>
      <w:r w:rsidR="00773877">
        <w:rPr>
          <w:rFonts w:cs="Arial"/>
          <w:sz w:val="24"/>
          <w:szCs w:val="24"/>
        </w:rPr>
        <w:t xml:space="preserve">appeal </w:t>
      </w:r>
      <w:r w:rsidR="00EB0159" w:rsidRPr="00A96D52">
        <w:rPr>
          <w:rFonts w:cs="Arial"/>
          <w:sz w:val="24"/>
          <w:szCs w:val="24"/>
        </w:rPr>
        <w:t>panel concluded as follows</w:t>
      </w:r>
      <w:r w:rsidR="00862491">
        <w:rPr>
          <w:rFonts w:cs="Arial"/>
          <w:sz w:val="24"/>
          <w:szCs w:val="24"/>
        </w:rPr>
        <w:t>. T</w:t>
      </w:r>
      <w:r w:rsidR="00862491" w:rsidRPr="00862491">
        <w:rPr>
          <w:rFonts w:cs="Arial"/>
          <w:sz w:val="24"/>
          <w:szCs w:val="24"/>
        </w:rPr>
        <w:t>he</w:t>
      </w:r>
      <w:r w:rsidR="009146C2">
        <w:rPr>
          <w:rFonts w:cs="Arial"/>
          <w:sz w:val="24"/>
          <w:szCs w:val="24"/>
        </w:rPr>
        <w:t xml:space="preserve"> appeal</w:t>
      </w:r>
      <w:r w:rsidR="00862491" w:rsidRPr="00862491">
        <w:rPr>
          <w:rFonts w:cs="Arial"/>
          <w:sz w:val="24"/>
          <w:szCs w:val="24"/>
        </w:rPr>
        <w:t xml:space="preserve"> panel were persuaded that the committee were fully aware of other appraisals that were active at the same time as their consideration of </w:t>
      </w:r>
      <w:proofErr w:type="spellStart"/>
      <w:r w:rsidR="00862491" w:rsidRPr="00862491">
        <w:rPr>
          <w:rFonts w:cs="Arial"/>
          <w:sz w:val="24"/>
          <w:szCs w:val="24"/>
        </w:rPr>
        <w:t>zilucoplan</w:t>
      </w:r>
      <w:proofErr w:type="spellEnd"/>
      <w:r w:rsidR="00862491" w:rsidRPr="00862491">
        <w:rPr>
          <w:rFonts w:cs="Arial"/>
          <w:sz w:val="24"/>
          <w:szCs w:val="24"/>
        </w:rPr>
        <w:t xml:space="preserve"> for the treatment of the same condition, namely generalised myasthenia gravis.  It noted that the committee had considered the different sets of assumptions that were preferred in the current appraisal side by side with those arrived at in the other appraisals and had sought to achieve consistency where </w:t>
      </w:r>
      <w:r w:rsidR="004438FD">
        <w:rPr>
          <w:rFonts w:cs="Arial"/>
          <w:sz w:val="24"/>
          <w:szCs w:val="24"/>
        </w:rPr>
        <w:t>relevant</w:t>
      </w:r>
      <w:r w:rsidR="00406228">
        <w:rPr>
          <w:rFonts w:cs="Arial"/>
          <w:sz w:val="24"/>
          <w:szCs w:val="24"/>
        </w:rPr>
        <w:t xml:space="preserve">. </w:t>
      </w:r>
      <w:r w:rsidR="00862491" w:rsidRPr="00862491">
        <w:rPr>
          <w:rFonts w:cs="Arial"/>
          <w:sz w:val="24"/>
          <w:szCs w:val="24"/>
        </w:rPr>
        <w:t xml:space="preserve">In doing so, the </w:t>
      </w:r>
      <w:r w:rsidR="009146C2">
        <w:rPr>
          <w:rFonts w:cs="Arial"/>
          <w:sz w:val="24"/>
          <w:szCs w:val="24"/>
        </w:rPr>
        <w:t xml:space="preserve">appeal </w:t>
      </w:r>
      <w:r w:rsidR="00862491" w:rsidRPr="00862491">
        <w:rPr>
          <w:rFonts w:cs="Arial"/>
          <w:sz w:val="24"/>
          <w:szCs w:val="24"/>
        </w:rPr>
        <w:t xml:space="preserve">panel were satisfied that the committee were aware of their responsibilities to ensure the need for consistency to be fairly and appropriately balanced with an approach in the preferred modelling that accurately reflected the individual circumstances of the </w:t>
      </w:r>
      <w:proofErr w:type="spellStart"/>
      <w:r w:rsidR="00862491" w:rsidRPr="00862491">
        <w:rPr>
          <w:rFonts w:cs="Arial"/>
          <w:sz w:val="24"/>
          <w:szCs w:val="24"/>
        </w:rPr>
        <w:t>zilucoplan</w:t>
      </w:r>
      <w:proofErr w:type="spellEnd"/>
      <w:r w:rsidR="00862491" w:rsidRPr="00862491">
        <w:rPr>
          <w:rFonts w:cs="Arial"/>
          <w:sz w:val="24"/>
          <w:szCs w:val="24"/>
        </w:rPr>
        <w:t xml:space="preserve"> appraisal and the evidence that was available to them. The </w:t>
      </w:r>
      <w:r w:rsidR="007A5083">
        <w:rPr>
          <w:rFonts w:cs="Arial"/>
          <w:sz w:val="24"/>
          <w:szCs w:val="24"/>
        </w:rPr>
        <w:t xml:space="preserve">appeal </w:t>
      </w:r>
      <w:r w:rsidR="00862491" w:rsidRPr="00862491">
        <w:rPr>
          <w:rFonts w:cs="Arial"/>
          <w:sz w:val="24"/>
          <w:szCs w:val="24"/>
        </w:rPr>
        <w:t>panel noted, therefore, that while there were differences in the details of the modelling across the appraisals, there was alignment on a consistent application across the treatment and comparator arms of subsequent treatments.  Furthermore, the use of the full rather than the revised EAMS data in the 3 appraisals appeared, in the minds of the</w:t>
      </w:r>
      <w:r w:rsidR="00F812D2">
        <w:rPr>
          <w:rFonts w:cs="Arial"/>
          <w:sz w:val="24"/>
          <w:szCs w:val="24"/>
        </w:rPr>
        <w:t xml:space="preserve"> appeal</w:t>
      </w:r>
      <w:r w:rsidR="00862491" w:rsidRPr="00862491">
        <w:rPr>
          <w:rFonts w:cs="Arial"/>
          <w:sz w:val="24"/>
          <w:szCs w:val="24"/>
        </w:rPr>
        <w:t xml:space="preserve"> panel, to indicate a fair approach to consistency in reflecting how real-world NHS data had been </w:t>
      </w:r>
      <w:r w:rsidR="00862491" w:rsidRPr="00862491">
        <w:rPr>
          <w:rFonts w:cs="Arial"/>
          <w:sz w:val="24"/>
          <w:szCs w:val="24"/>
        </w:rPr>
        <w:lastRenderedPageBreak/>
        <w:t xml:space="preserve">applied.  The </w:t>
      </w:r>
      <w:r w:rsidR="00F812D2">
        <w:rPr>
          <w:rFonts w:cs="Arial"/>
          <w:sz w:val="24"/>
          <w:szCs w:val="24"/>
        </w:rPr>
        <w:t xml:space="preserve">appeal </w:t>
      </w:r>
      <w:r w:rsidR="00862491" w:rsidRPr="00862491">
        <w:rPr>
          <w:rFonts w:cs="Arial"/>
          <w:sz w:val="24"/>
          <w:szCs w:val="24"/>
        </w:rPr>
        <w:t xml:space="preserve">panel concluded that the committee's preferred assumptions on the modelling of subsequent treatments and the use of the full EAMS database to inform these were clearly described in the FDG and, consequently, the </w:t>
      </w:r>
      <w:r w:rsidR="00F812D2">
        <w:rPr>
          <w:rFonts w:cs="Arial"/>
          <w:sz w:val="24"/>
          <w:szCs w:val="24"/>
        </w:rPr>
        <w:t xml:space="preserve">appeal </w:t>
      </w:r>
      <w:r w:rsidR="00862491" w:rsidRPr="00862491">
        <w:rPr>
          <w:rFonts w:cs="Arial"/>
          <w:sz w:val="24"/>
          <w:szCs w:val="24"/>
        </w:rPr>
        <w:t>panel considered that the committee had been consistent, transparent and fair in these regards and dismissed the appeal on this point.</w:t>
      </w:r>
    </w:p>
    <w:p w14:paraId="21FF7945" w14:textId="42BB93E3" w:rsidR="00EB0159" w:rsidRPr="00A96D52" w:rsidRDefault="00EB0159" w:rsidP="00894289">
      <w:pPr>
        <w:pStyle w:val="Heading3"/>
      </w:pPr>
      <w:proofErr w:type="spellStart"/>
      <w:r w:rsidRPr="00A96D52">
        <w:t>Myaware</w:t>
      </w:r>
      <w:proofErr w:type="spellEnd"/>
      <w:r w:rsidRPr="00A96D52">
        <w:t xml:space="preserve"> </w:t>
      </w:r>
      <w:r w:rsidR="002B3A94">
        <w:t xml:space="preserve">appeal point </w:t>
      </w:r>
      <w:r w:rsidRPr="00A96D52">
        <w:t>2.1</w:t>
      </w:r>
      <w:r w:rsidR="002B3A94">
        <w:t xml:space="preserve">: </w:t>
      </w:r>
      <w:r w:rsidRPr="00A96D52">
        <w:t xml:space="preserve">NICE's conclusion that the appropriate comparator is a "basket" of standard care, with some people having IVIg, some having PLEX, and some having neither, is unreasonable. </w:t>
      </w:r>
    </w:p>
    <w:p w14:paraId="60DC06A9" w14:textId="361F3699" w:rsidR="00EB0159" w:rsidRPr="00A96D52" w:rsidRDefault="00EB0159" w:rsidP="00894289">
      <w:pPr>
        <w:pStyle w:val="Heading3"/>
      </w:pPr>
      <w:r w:rsidRPr="00A96D52">
        <w:t xml:space="preserve">UCB </w:t>
      </w:r>
      <w:r w:rsidR="00545374">
        <w:t xml:space="preserve">appeal point </w:t>
      </w:r>
      <w:r w:rsidRPr="00A96D52">
        <w:t>2.1</w:t>
      </w:r>
      <w:r w:rsidR="00545374">
        <w:t xml:space="preserve">: </w:t>
      </w:r>
      <w:r w:rsidRPr="00A96D52">
        <w:t xml:space="preserve">The </w:t>
      </w:r>
      <w:r w:rsidR="00545374">
        <w:t>c</w:t>
      </w:r>
      <w:r w:rsidRPr="00A96D52">
        <w:t xml:space="preserve">ommittee's preferred comparator of a "basket of standard care" is unreasonable in view of the target population for </w:t>
      </w:r>
      <w:proofErr w:type="spellStart"/>
      <w:r w:rsidRPr="00A96D52">
        <w:t>zilucoplan</w:t>
      </w:r>
      <w:proofErr w:type="spellEnd"/>
      <w:r w:rsidRPr="00A96D52">
        <w:t xml:space="preserve"> and its proposed position in the treatment </w:t>
      </w:r>
      <w:r w:rsidR="009825CF" w:rsidRPr="00A96D52">
        <w:t>pathway.</w:t>
      </w:r>
    </w:p>
    <w:p w14:paraId="150CAAC1" w14:textId="0209F82E" w:rsidR="00EB0159" w:rsidRPr="00A96D52" w:rsidRDefault="005F6DC1" w:rsidP="00845318">
      <w:pPr>
        <w:pStyle w:val="Paragraph"/>
        <w:rPr>
          <w:rFonts w:cs="Arial"/>
          <w:sz w:val="24"/>
          <w:szCs w:val="24"/>
        </w:rPr>
      </w:pPr>
      <w:r w:rsidRPr="00A96D52">
        <w:rPr>
          <w:rFonts w:cs="Arial"/>
          <w:sz w:val="24"/>
          <w:szCs w:val="24"/>
        </w:rPr>
        <w:t xml:space="preserve">Channa </w:t>
      </w:r>
      <w:proofErr w:type="spellStart"/>
      <w:r w:rsidRPr="00A96D52">
        <w:rPr>
          <w:rFonts w:cs="Arial"/>
          <w:sz w:val="24"/>
          <w:szCs w:val="24"/>
        </w:rPr>
        <w:t>Hewamad</w:t>
      </w:r>
      <w:r w:rsidR="00727B8E">
        <w:rPr>
          <w:rFonts w:cs="Arial"/>
          <w:sz w:val="24"/>
          <w:szCs w:val="24"/>
        </w:rPr>
        <w:t>d</w:t>
      </w:r>
      <w:r w:rsidRPr="00A96D52">
        <w:rPr>
          <w:rFonts w:cs="Arial"/>
          <w:sz w:val="24"/>
          <w:szCs w:val="24"/>
        </w:rPr>
        <w:t>uma</w:t>
      </w:r>
      <w:proofErr w:type="spellEnd"/>
      <w:r w:rsidRPr="00A96D52">
        <w:rPr>
          <w:rFonts w:cs="Arial"/>
          <w:sz w:val="24"/>
          <w:szCs w:val="24"/>
        </w:rPr>
        <w:t xml:space="preserve"> introduced this appeal point for </w:t>
      </w:r>
      <w:proofErr w:type="spellStart"/>
      <w:r w:rsidRPr="00A96D52">
        <w:rPr>
          <w:rFonts w:cs="Arial"/>
          <w:sz w:val="24"/>
          <w:szCs w:val="24"/>
        </w:rPr>
        <w:t>Myaware</w:t>
      </w:r>
      <w:proofErr w:type="spellEnd"/>
      <w:r w:rsidRPr="00A96D52">
        <w:rPr>
          <w:rFonts w:cs="Arial"/>
          <w:sz w:val="24"/>
          <w:szCs w:val="24"/>
        </w:rPr>
        <w:t>. He explained</w:t>
      </w:r>
      <w:r w:rsidR="00727B8E">
        <w:rPr>
          <w:rFonts w:cs="Arial"/>
          <w:sz w:val="24"/>
          <w:szCs w:val="24"/>
        </w:rPr>
        <w:t xml:space="preserve"> his understanding of</w:t>
      </w:r>
      <w:r w:rsidRPr="00A96D52">
        <w:rPr>
          <w:rFonts w:cs="Arial"/>
          <w:sz w:val="24"/>
          <w:szCs w:val="24"/>
        </w:rPr>
        <w:t xml:space="preserve"> </w:t>
      </w:r>
      <w:r w:rsidR="00226E38">
        <w:rPr>
          <w:rFonts w:cs="Arial"/>
          <w:sz w:val="24"/>
          <w:szCs w:val="24"/>
        </w:rPr>
        <w:t>UCB</w:t>
      </w:r>
      <w:r w:rsidRPr="00A96D52">
        <w:rPr>
          <w:rFonts w:cs="Arial"/>
          <w:sz w:val="24"/>
          <w:szCs w:val="24"/>
        </w:rPr>
        <w:t xml:space="preserve">'s approach to narrowing the patient cohort – </w:t>
      </w:r>
      <w:proofErr w:type="gramStart"/>
      <w:r w:rsidRPr="00A96D52">
        <w:rPr>
          <w:rFonts w:cs="Arial"/>
          <w:sz w:val="24"/>
          <w:szCs w:val="24"/>
        </w:rPr>
        <w:t>in particular so</w:t>
      </w:r>
      <w:proofErr w:type="gramEnd"/>
      <w:r w:rsidRPr="00A96D52">
        <w:rPr>
          <w:rFonts w:cs="Arial"/>
          <w:sz w:val="24"/>
          <w:szCs w:val="24"/>
        </w:rPr>
        <w:t xml:space="preserve"> that it includes only those who are already receiving IVIg/PLEX or are being considered for IVIg/PLEX. </w:t>
      </w:r>
    </w:p>
    <w:p w14:paraId="1C2E196E" w14:textId="515B3DEB" w:rsidR="00D0678B" w:rsidRPr="00A96D52" w:rsidRDefault="00D0678B" w:rsidP="00845318">
      <w:pPr>
        <w:pStyle w:val="Paragraph"/>
        <w:rPr>
          <w:rFonts w:cs="Arial"/>
          <w:sz w:val="24"/>
          <w:szCs w:val="24"/>
        </w:rPr>
      </w:pPr>
      <w:r w:rsidRPr="00A96D52">
        <w:rPr>
          <w:rFonts w:cs="Arial"/>
          <w:sz w:val="24"/>
          <w:szCs w:val="24"/>
        </w:rPr>
        <w:t>Adela Williams</w:t>
      </w:r>
      <w:r w:rsidR="00431118">
        <w:rPr>
          <w:rFonts w:cs="Arial"/>
          <w:sz w:val="24"/>
          <w:szCs w:val="24"/>
        </w:rPr>
        <w:t>, for UCB</w:t>
      </w:r>
      <w:r w:rsidR="003B7183">
        <w:rPr>
          <w:rFonts w:cs="Arial"/>
          <w:sz w:val="24"/>
          <w:szCs w:val="24"/>
        </w:rPr>
        <w:t>,</w:t>
      </w:r>
      <w:r w:rsidRPr="00A96D52">
        <w:rPr>
          <w:rFonts w:cs="Arial"/>
          <w:sz w:val="24"/>
          <w:szCs w:val="24"/>
        </w:rPr>
        <w:t xml:space="preserve"> explained that </w:t>
      </w:r>
      <w:r w:rsidR="00431118">
        <w:rPr>
          <w:rFonts w:cs="Arial"/>
          <w:sz w:val="24"/>
          <w:szCs w:val="24"/>
        </w:rPr>
        <w:t>UCB</w:t>
      </w:r>
      <w:r w:rsidR="00431118" w:rsidRPr="00A96D52">
        <w:rPr>
          <w:rFonts w:cs="Arial"/>
          <w:sz w:val="24"/>
          <w:szCs w:val="24"/>
        </w:rPr>
        <w:t xml:space="preserve">'s </w:t>
      </w:r>
      <w:r w:rsidRPr="00A96D52">
        <w:rPr>
          <w:rFonts w:cs="Arial"/>
          <w:sz w:val="24"/>
          <w:szCs w:val="24"/>
        </w:rPr>
        <w:t xml:space="preserve">appeal point related to the appropriate comparators used in this appraisal, and the decision to rely on a comparison of </w:t>
      </w:r>
      <w:proofErr w:type="spellStart"/>
      <w:r w:rsidRPr="00A96D52">
        <w:rPr>
          <w:rFonts w:cs="Arial"/>
          <w:sz w:val="24"/>
          <w:szCs w:val="24"/>
        </w:rPr>
        <w:t>zilucoplan</w:t>
      </w:r>
      <w:proofErr w:type="spellEnd"/>
      <w:r w:rsidRPr="00A96D52">
        <w:rPr>
          <w:rFonts w:cs="Arial"/>
          <w:sz w:val="24"/>
          <w:szCs w:val="24"/>
        </w:rPr>
        <w:t xml:space="preserve"> against a basket of care, rather than accepting a pairwise comparison. </w:t>
      </w:r>
      <w:r w:rsidR="00500D91" w:rsidRPr="00A96D52">
        <w:rPr>
          <w:rFonts w:cs="Arial"/>
          <w:sz w:val="24"/>
          <w:szCs w:val="24"/>
        </w:rPr>
        <w:t xml:space="preserve">The committee preferred the basket of standard care (i.e. some people having IVIg, some having PLEX and some having neither) </w:t>
      </w:r>
      <w:r w:rsidR="00D95164">
        <w:rPr>
          <w:rFonts w:cs="Arial"/>
          <w:sz w:val="24"/>
          <w:szCs w:val="24"/>
        </w:rPr>
        <w:t xml:space="preserve">on the basis that it </w:t>
      </w:r>
      <w:r w:rsidR="00500D91" w:rsidRPr="00A96D52">
        <w:rPr>
          <w:rFonts w:cs="Arial"/>
          <w:sz w:val="24"/>
          <w:szCs w:val="24"/>
        </w:rPr>
        <w:t xml:space="preserve">was consistent with the scope and a better reflection of NHS practice. It was </w:t>
      </w:r>
      <w:r w:rsidR="00431118">
        <w:rPr>
          <w:rFonts w:cs="Arial"/>
          <w:sz w:val="24"/>
          <w:szCs w:val="24"/>
        </w:rPr>
        <w:t>UCB</w:t>
      </w:r>
      <w:r w:rsidR="00500D91" w:rsidRPr="00A96D52">
        <w:rPr>
          <w:rFonts w:cs="Arial"/>
          <w:sz w:val="24"/>
          <w:szCs w:val="24"/>
        </w:rPr>
        <w:t>'s position that comparison with standard treatment</w:t>
      </w:r>
      <w:r w:rsidR="00CE19CD">
        <w:rPr>
          <w:rFonts w:cs="Arial"/>
          <w:sz w:val="24"/>
          <w:szCs w:val="24"/>
        </w:rPr>
        <w:t xml:space="preserve"> </w:t>
      </w:r>
      <w:r w:rsidR="00500D91" w:rsidRPr="00A96D52">
        <w:rPr>
          <w:rFonts w:cs="Arial"/>
          <w:sz w:val="24"/>
          <w:szCs w:val="24"/>
        </w:rPr>
        <w:t xml:space="preserve">alone was </w:t>
      </w:r>
      <w:proofErr w:type="gramStart"/>
      <w:r w:rsidR="00500D91" w:rsidRPr="00A96D52">
        <w:rPr>
          <w:rFonts w:cs="Arial"/>
          <w:sz w:val="24"/>
          <w:szCs w:val="24"/>
        </w:rPr>
        <w:t>unreasonable, and</w:t>
      </w:r>
      <w:proofErr w:type="gramEnd"/>
      <w:r w:rsidR="00500D91" w:rsidRPr="00A96D52">
        <w:rPr>
          <w:rFonts w:cs="Arial"/>
          <w:sz w:val="24"/>
          <w:szCs w:val="24"/>
        </w:rPr>
        <w:t xml:space="preserve"> </w:t>
      </w:r>
      <w:r w:rsidR="00F9532B" w:rsidRPr="00A96D52">
        <w:rPr>
          <w:rFonts w:cs="Arial"/>
          <w:sz w:val="24"/>
          <w:szCs w:val="24"/>
        </w:rPr>
        <w:t>does not reflect NHS practice.</w:t>
      </w:r>
      <w:r w:rsidR="005C47C3" w:rsidRPr="00A96D52">
        <w:rPr>
          <w:rFonts w:cs="Arial"/>
          <w:sz w:val="24"/>
          <w:szCs w:val="24"/>
        </w:rPr>
        <w:t xml:space="preserve"> </w:t>
      </w:r>
      <w:r w:rsidR="00CC7259">
        <w:rPr>
          <w:rFonts w:cs="Arial"/>
          <w:sz w:val="24"/>
          <w:szCs w:val="24"/>
        </w:rPr>
        <w:t xml:space="preserve">Adela Williams </w:t>
      </w:r>
      <w:r w:rsidR="005C47C3" w:rsidRPr="00A96D52">
        <w:rPr>
          <w:rFonts w:cs="Arial"/>
          <w:sz w:val="24"/>
          <w:szCs w:val="24"/>
        </w:rPr>
        <w:t xml:space="preserve">added that investment in NHS access to IVIg/PLEX (and geographical disparities created as a result) do not justify a modelling approach which is leveraged on the non-availability. </w:t>
      </w:r>
    </w:p>
    <w:p w14:paraId="72431138" w14:textId="7E57268F" w:rsidR="00F9532B" w:rsidRPr="00A96D52" w:rsidRDefault="004F3B6A" w:rsidP="00845318">
      <w:pPr>
        <w:pStyle w:val="Paragraph"/>
        <w:rPr>
          <w:rFonts w:cs="Arial"/>
          <w:sz w:val="24"/>
          <w:szCs w:val="24"/>
        </w:rPr>
      </w:pPr>
      <w:r w:rsidRPr="00A96D52">
        <w:rPr>
          <w:rFonts w:cs="Arial"/>
          <w:sz w:val="24"/>
          <w:szCs w:val="24"/>
        </w:rPr>
        <w:t>Peter Wheatley-Price</w:t>
      </w:r>
      <w:r w:rsidR="00431118">
        <w:rPr>
          <w:rFonts w:cs="Arial"/>
          <w:sz w:val="24"/>
          <w:szCs w:val="24"/>
        </w:rPr>
        <w:t>, for NICE</w:t>
      </w:r>
      <w:r w:rsidR="00FE5FDF">
        <w:rPr>
          <w:rFonts w:cs="Arial"/>
          <w:sz w:val="24"/>
          <w:szCs w:val="24"/>
        </w:rPr>
        <w:t>,</w:t>
      </w:r>
      <w:r w:rsidRPr="00A96D52">
        <w:rPr>
          <w:rFonts w:cs="Arial"/>
          <w:sz w:val="24"/>
          <w:szCs w:val="24"/>
        </w:rPr>
        <w:t xml:space="preserve"> highlighted that section 6.2.3 </w:t>
      </w:r>
      <w:r w:rsidR="00105841">
        <w:rPr>
          <w:rFonts w:cs="Arial"/>
          <w:sz w:val="24"/>
          <w:szCs w:val="24"/>
        </w:rPr>
        <w:t xml:space="preserve">of the Manual </w:t>
      </w:r>
      <w:r w:rsidRPr="00A96D52">
        <w:rPr>
          <w:rFonts w:cs="Arial"/>
          <w:sz w:val="24"/>
          <w:szCs w:val="24"/>
        </w:rPr>
        <w:t>provides that "</w:t>
      </w:r>
      <w:r w:rsidRPr="00A96D52">
        <w:rPr>
          <w:rFonts w:cs="Arial"/>
          <w:i/>
          <w:iCs/>
          <w:sz w:val="24"/>
          <w:szCs w:val="24"/>
        </w:rPr>
        <w:t xml:space="preserve">the committee will normally be guided by established practice in the NHS when identifying appropriate </w:t>
      </w:r>
      <w:r w:rsidRPr="00A96D52">
        <w:rPr>
          <w:rFonts w:cs="Arial"/>
          <w:i/>
          <w:iCs/>
          <w:sz w:val="24"/>
          <w:szCs w:val="24"/>
        </w:rPr>
        <w:lastRenderedPageBreak/>
        <w:t>comparators"</w:t>
      </w:r>
      <w:r w:rsidR="00F721D5" w:rsidRPr="00A96D52">
        <w:rPr>
          <w:rFonts w:cs="Arial"/>
          <w:sz w:val="24"/>
          <w:szCs w:val="24"/>
        </w:rPr>
        <w:t xml:space="preserve">. He explained that during the committee meetings, it became clear that there is no real standardised definition of "refractory" </w:t>
      </w:r>
      <w:proofErr w:type="spellStart"/>
      <w:r w:rsidR="00F721D5" w:rsidRPr="00A96D52">
        <w:rPr>
          <w:rFonts w:cs="Arial"/>
          <w:sz w:val="24"/>
          <w:szCs w:val="24"/>
        </w:rPr>
        <w:t>gMG</w:t>
      </w:r>
      <w:proofErr w:type="spellEnd"/>
      <w:r w:rsidR="00F721D5" w:rsidRPr="00A96D52">
        <w:rPr>
          <w:rFonts w:cs="Arial"/>
          <w:sz w:val="24"/>
          <w:szCs w:val="24"/>
        </w:rPr>
        <w:t xml:space="preserve">, and to seek to define it would be </w:t>
      </w:r>
      <w:proofErr w:type="spellStart"/>
      <w:r w:rsidR="00F721D5" w:rsidRPr="00A96D52">
        <w:rPr>
          <w:rFonts w:cs="Arial"/>
          <w:sz w:val="24"/>
          <w:szCs w:val="24"/>
        </w:rPr>
        <w:t>outwith</w:t>
      </w:r>
      <w:proofErr w:type="spellEnd"/>
      <w:r w:rsidR="00F721D5" w:rsidRPr="00A96D52">
        <w:rPr>
          <w:rFonts w:cs="Arial"/>
          <w:sz w:val="24"/>
          <w:szCs w:val="24"/>
        </w:rPr>
        <w:t xml:space="preserve"> the committee's remit. </w:t>
      </w:r>
      <w:r w:rsidR="0054494E" w:rsidRPr="00A96D52">
        <w:rPr>
          <w:rFonts w:cs="Arial"/>
          <w:sz w:val="24"/>
          <w:szCs w:val="24"/>
        </w:rPr>
        <w:t xml:space="preserve">Explaining why the committee had preferred the EAMS cohort, Peter Wheatley-Price explained that this was the best available </w:t>
      </w:r>
      <w:r w:rsidR="00A053D5" w:rsidRPr="00A96D52">
        <w:rPr>
          <w:rFonts w:cs="Arial"/>
          <w:sz w:val="24"/>
          <w:szCs w:val="24"/>
        </w:rPr>
        <w:t>real-world</w:t>
      </w:r>
      <w:r w:rsidR="0054494E" w:rsidRPr="00A96D52">
        <w:rPr>
          <w:rFonts w:cs="Arial"/>
          <w:sz w:val="24"/>
          <w:szCs w:val="24"/>
        </w:rPr>
        <w:t xml:space="preserve"> evidence, as the </w:t>
      </w:r>
      <w:r w:rsidR="00CC7259">
        <w:rPr>
          <w:rFonts w:cs="Arial"/>
          <w:sz w:val="24"/>
          <w:szCs w:val="24"/>
        </w:rPr>
        <w:t>disparity</w:t>
      </w:r>
      <w:r w:rsidR="0054494E" w:rsidRPr="00A96D52">
        <w:rPr>
          <w:rFonts w:cs="Arial"/>
          <w:sz w:val="24"/>
          <w:szCs w:val="24"/>
        </w:rPr>
        <w:t xml:space="preserve"> in access to CCS/NSISTs and IVIg/PLEX reflected the heterogeneity in practice. </w:t>
      </w:r>
      <w:r w:rsidR="00953DED" w:rsidRPr="00A96D52">
        <w:rPr>
          <w:rFonts w:cs="Arial"/>
          <w:sz w:val="24"/>
          <w:szCs w:val="24"/>
        </w:rPr>
        <w:t xml:space="preserve">The committee considered that adopting a basket of standard of care and comparator best accounted for the heterogeneity and avoided bias. </w:t>
      </w:r>
    </w:p>
    <w:p w14:paraId="6704D93F" w14:textId="594DDF7F" w:rsidR="009B560A" w:rsidRPr="00A96D52" w:rsidRDefault="009B560A" w:rsidP="00845318">
      <w:pPr>
        <w:pStyle w:val="Paragraph"/>
        <w:rPr>
          <w:rFonts w:cs="Arial"/>
          <w:sz w:val="24"/>
          <w:szCs w:val="24"/>
        </w:rPr>
      </w:pPr>
      <w:r w:rsidRPr="00A96D52">
        <w:rPr>
          <w:rFonts w:cs="Arial"/>
          <w:sz w:val="24"/>
          <w:szCs w:val="24"/>
        </w:rPr>
        <w:t>Jacoline Bouvy</w:t>
      </w:r>
      <w:r w:rsidR="00552FD5">
        <w:rPr>
          <w:rFonts w:cs="Arial"/>
          <w:sz w:val="24"/>
          <w:szCs w:val="24"/>
        </w:rPr>
        <w:t>, for NICE</w:t>
      </w:r>
      <w:r w:rsidR="008568B1">
        <w:rPr>
          <w:rFonts w:cs="Arial"/>
          <w:sz w:val="24"/>
          <w:szCs w:val="24"/>
        </w:rPr>
        <w:t>,</w:t>
      </w:r>
      <w:r w:rsidRPr="00A96D52">
        <w:rPr>
          <w:rFonts w:cs="Arial"/>
          <w:sz w:val="24"/>
          <w:szCs w:val="24"/>
        </w:rPr>
        <w:t xml:space="preserve"> agreed with Peter-Wheatley Price, that</w:t>
      </w:r>
      <w:r w:rsidR="00AF056B" w:rsidRPr="00A96D52">
        <w:rPr>
          <w:rFonts w:cs="Arial"/>
          <w:sz w:val="24"/>
          <w:szCs w:val="24"/>
        </w:rPr>
        <w:t xml:space="preserve"> the scoping exercise identifies comparators, </w:t>
      </w:r>
      <w:r w:rsidR="00A053D5">
        <w:rPr>
          <w:rFonts w:cs="Arial"/>
          <w:sz w:val="24"/>
          <w:szCs w:val="24"/>
        </w:rPr>
        <w:t>and</w:t>
      </w:r>
      <w:r w:rsidR="00A053D5" w:rsidRPr="00A96D52">
        <w:rPr>
          <w:rFonts w:cs="Arial"/>
          <w:sz w:val="24"/>
          <w:szCs w:val="24"/>
        </w:rPr>
        <w:t xml:space="preserve"> </w:t>
      </w:r>
      <w:r w:rsidR="00AF056B" w:rsidRPr="00A96D52">
        <w:rPr>
          <w:rFonts w:cs="Arial"/>
          <w:sz w:val="24"/>
          <w:szCs w:val="24"/>
        </w:rPr>
        <w:t xml:space="preserve">that during the </w:t>
      </w:r>
      <w:r w:rsidR="00A053D5">
        <w:rPr>
          <w:rFonts w:cs="Arial"/>
          <w:sz w:val="24"/>
          <w:szCs w:val="24"/>
        </w:rPr>
        <w:t>evaluation</w:t>
      </w:r>
      <w:r w:rsidR="00A053D5" w:rsidRPr="00A96D52">
        <w:rPr>
          <w:rFonts w:cs="Arial"/>
          <w:sz w:val="24"/>
          <w:szCs w:val="24"/>
        </w:rPr>
        <w:t xml:space="preserve"> </w:t>
      </w:r>
      <w:r w:rsidR="00AF056B" w:rsidRPr="00A96D52">
        <w:rPr>
          <w:rFonts w:cs="Arial"/>
          <w:sz w:val="24"/>
          <w:szCs w:val="24"/>
        </w:rPr>
        <w:t xml:space="preserve">process the committee will consider what is established practice in the NHS. </w:t>
      </w:r>
      <w:r w:rsidR="0066785C" w:rsidRPr="00A96D52">
        <w:rPr>
          <w:rFonts w:cs="Arial"/>
          <w:sz w:val="24"/>
          <w:szCs w:val="24"/>
        </w:rPr>
        <w:t xml:space="preserve">For example, if the committee learns during the </w:t>
      </w:r>
      <w:r w:rsidR="00A053D5">
        <w:rPr>
          <w:rFonts w:cs="Arial"/>
          <w:sz w:val="24"/>
          <w:szCs w:val="24"/>
        </w:rPr>
        <w:t>evaluation</w:t>
      </w:r>
      <w:r w:rsidR="00A053D5" w:rsidRPr="00A96D52">
        <w:rPr>
          <w:rFonts w:cs="Arial"/>
          <w:sz w:val="24"/>
          <w:szCs w:val="24"/>
        </w:rPr>
        <w:t xml:space="preserve"> </w:t>
      </w:r>
      <w:r w:rsidR="0066785C" w:rsidRPr="00A96D52">
        <w:rPr>
          <w:rFonts w:cs="Arial"/>
          <w:sz w:val="24"/>
          <w:szCs w:val="24"/>
        </w:rPr>
        <w:t xml:space="preserve">that a licensed treatment for the condition in question is not being used in clinical practice, then it would not be considered a relevant comparator. Similarly, if there is off-label use of another treatment, which is part of established practice, that would be considered a comparator. </w:t>
      </w:r>
    </w:p>
    <w:p w14:paraId="4AC2DC17" w14:textId="6D176A5A" w:rsidR="0066785C" w:rsidRPr="00A96D52" w:rsidRDefault="008D758D" w:rsidP="00845318">
      <w:pPr>
        <w:pStyle w:val="Paragraph"/>
        <w:rPr>
          <w:rFonts w:cs="Arial"/>
          <w:sz w:val="24"/>
          <w:szCs w:val="24"/>
        </w:rPr>
      </w:pPr>
      <w:r w:rsidRPr="00A96D52">
        <w:rPr>
          <w:rFonts w:cs="Arial"/>
          <w:sz w:val="24"/>
          <w:szCs w:val="24"/>
        </w:rPr>
        <w:t xml:space="preserve">Jacoline Bouvy also explained that </w:t>
      </w:r>
      <w:r w:rsidR="002C50D4" w:rsidRPr="00A96D52">
        <w:rPr>
          <w:rFonts w:cs="Arial"/>
          <w:sz w:val="24"/>
          <w:szCs w:val="24"/>
        </w:rPr>
        <w:t>modelling the subsequent treatments as a basket of standard care allowed for modelling subsequent treatment where there is a need for treatment for the remainder of a patient's life. The committee considered in this appraisal that treatme</w:t>
      </w:r>
      <w:r w:rsidR="006D1517" w:rsidRPr="00A96D52">
        <w:rPr>
          <w:rFonts w:cs="Arial"/>
          <w:sz w:val="24"/>
          <w:szCs w:val="24"/>
        </w:rPr>
        <w:t xml:space="preserve">nt forming part of the basket of standard of care would also represent the treatments that would be offered once </w:t>
      </w:r>
      <w:proofErr w:type="spellStart"/>
      <w:r w:rsidR="006D1517" w:rsidRPr="00A96D52">
        <w:rPr>
          <w:rFonts w:cs="Arial"/>
          <w:sz w:val="24"/>
          <w:szCs w:val="24"/>
        </w:rPr>
        <w:t>zilucoplan</w:t>
      </w:r>
      <w:proofErr w:type="spellEnd"/>
      <w:r w:rsidR="006D1517" w:rsidRPr="00A96D52">
        <w:rPr>
          <w:rFonts w:cs="Arial"/>
          <w:sz w:val="24"/>
          <w:szCs w:val="24"/>
        </w:rPr>
        <w:t xml:space="preserve"> is stopped. </w:t>
      </w:r>
    </w:p>
    <w:p w14:paraId="6839968B" w14:textId="3F260AD3" w:rsidR="006D1517" w:rsidRPr="00A96D52" w:rsidRDefault="005000A1" w:rsidP="00845318">
      <w:pPr>
        <w:pStyle w:val="Paragraph"/>
        <w:rPr>
          <w:rFonts w:cs="Arial"/>
          <w:sz w:val="24"/>
          <w:szCs w:val="24"/>
        </w:rPr>
      </w:pPr>
      <w:r w:rsidRPr="00A96D52">
        <w:rPr>
          <w:rFonts w:cs="Arial"/>
          <w:sz w:val="24"/>
          <w:szCs w:val="24"/>
        </w:rPr>
        <w:t xml:space="preserve">Channa </w:t>
      </w:r>
      <w:proofErr w:type="spellStart"/>
      <w:r w:rsidRPr="00A96D52">
        <w:rPr>
          <w:rFonts w:cs="Arial"/>
          <w:sz w:val="24"/>
          <w:szCs w:val="24"/>
        </w:rPr>
        <w:t>Hewamadduma</w:t>
      </w:r>
      <w:proofErr w:type="spellEnd"/>
      <w:r w:rsidRPr="00A96D52">
        <w:rPr>
          <w:rFonts w:cs="Arial"/>
          <w:sz w:val="24"/>
          <w:szCs w:val="24"/>
        </w:rPr>
        <w:t xml:space="preserve"> reiterated that in practice, this cohort of patients with refractory </w:t>
      </w:r>
      <w:proofErr w:type="spellStart"/>
      <w:r w:rsidRPr="00A96D52">
        <w:rPr>
          <w:rFonts w:cs="Arial"/>
          <w:sz w:val="24"/>
          <w:szCs w:val="24"/>
        </w:rPr>
        <w:t>gMG</w:t>
      </w:r>
      <w:proofErr w:type="spellEnd"/>
      <w:r w:rsidRPr="00A96D52">
        <w:rPr>
          <w:rFonts w:cs="Arial"/>
          <w:sz w:val="24"/>
          <w:szCs w:val="24"/>
        </w:rPr>
        <w:t xml:space="preserve"> would not be left on CCS/NSISTs </w:t>
      </w:r>
      <w:proofErr w:type="gramStart"/>
      <w:r w:rsidRPr="00A96D52">
        <w:rPr>
          <w:rFonts w:cs="Arial"/>
          <w:sz w:val="24"/>
          <w:szCs w:val="24"/>
        </w:rPr>
        <w:t>only, and</w:t>
      </w:r>
      <w:proofErr w:type="gramEnd"/>
      <w:r w:rsidRPr="00A96D52">
        <w:rPr>
          <w:rFonts w:cs="Arial"/>
          <w:sz w:val="24"/>
          <w:szCs w:val="24"/>
        </w:rPr>
        <w:t xml:space="preserve"> therefore considered it unreasonable to be comparing CCS/NSISTs with </w:t>
      </w:r>
      <w:proofErr w:type="spellStart"/>
      <w:r w:rsidRPr="00A96D52">
        <w:rPr>
          <w:rFonts w:cs="Arial"/>
          <w:sz w:val="24"/>
          <w:szCs w:val="24"/>
        </w:rPr>
        <w:t>zilucoplan</w:t>
      </w:r>
      <w:proofErr w:type="spellEnd"/>
      <w:r w:rsidRPr="00A96D52">
        <w:rPr>
          <w:rFonts w:cs="Arial"/>
          <w:sz w:val="24"/>
          <w:szCs w:val="24"/>
        </w:rPr>
        <w:t xml:space="preserve">. </w:t>
      </w:r>
    </w:p>
    <w:p w14:paraId="74A34F38" w14:textId="4BD2637A" w:rsidR="0040348A" w:rsidRPr="00A96D52" w:rsidRDefault="002D656F" w:rsidP="00845318">
      <w:pPr>
        <w:pStyle w:val="Paragraph"/>
        <w:rPr>
          <w:rFonts w:cs="Arial"/>
          <w:sz w:val="24"/>
          <w:szCs w:val="24"/>
        </w:rPr>
      </w:pPr>
      <w:r w:rsidRPr="76C95618">
        <w:rPr>
          <w:rFonts w:cs="Arial"/>
          <w:sz w:val="24"/>
          <w:szCs w:val="24"/>
        </w:rPr>
        <w:lastRenderedPageBreak/>
        <w:t xml:space="preserve">The </w:t>
      </w:r>
      <w:r w:rsidR="004C6804" w:rsidRPr="76C95618">
        <w:rPr>
          <w:rFonts w:cs="Arial"/>
          <w:sz w:val="24"/>
          <w:szCs w:val="24"/>
        </w:rPr>
        <w:t xml:space="preserve">appeal </w:t>
      </w:r>
      <w:r w:rsidRPr="76C95618">
        <w:rPr>
          <w:rFonts w:cs="Arial"/>
          <w:sz w:val="24"/>
          <w:szCs w:val="24"/>
        </w:rPr>
        <w:t xml:space="preserve">panel asked whether, </w:t>
      </w:r>
      <w:proofErr w:type="gramStart"/>
      <w:r w:rsidRPr="76C95618">
        <w:rPr>
          <w:rFonts w:cs="Arial"/>
          <w:sz w:val="24"/>
          <w:szCs w:val="24"/>
        </w:rPr>
        <w:t>as a result of</w:t>
      </w:r>
      <w:proofErr w:type="gramEnd"/>
      <w:r w:rsidRPr="76C95618">
        <w:rPr>
          <w:rFonts w:cs="Arial"/>
          <w:sz w:val="24"/>
          <w:szCs w:val="24"/>
        </w:rPr>
        <w:t xml:space="preserve"> the disparity of access to IVIg/PLEX, it was the case that some patients were being left on CCS/NSISTs (despite a need for IVIg/PLEX). Channa </w:t>
      </w:r>
      <w:proofErr w:type="spellStart"/>
      <w:r w:rsidRPr="76C95618">
        <w:rPr>
          <w:rFonts w:cs="Arial"/>
          <w:sz w:val="24"/>
          <w:szCs w:val="24"/>
        </w:rPr>
        <w:t>Hewamad</w:t>
      </w:r>
      <w:r w:rsidR="00727B8E" w:rsidRPr="76C95618">
        <w:rPr>
          <w:rFonts w:cs="Arial"/>
          <w:sz w:val="24"/>
          <w:szCs w:val="24"/>
        </w:rPr>
        <w:t>d</w:t>
      </w:r>
      <w:r w:rsidRPr="76C95618">
        <w:rPr>
          <w:rFonts w:cs="Arial"/>
          <w:sz w:val="24"/>
          <w:szCs w:val="24"/>
        </w:rPr>
        <w:t>uma</w:t>
      </w:r>
      <w:proofErr w:type="spellEnd"/>
      <w:r w:rsidRPr="76C95618">
        <w:rPr>
          <w:rFonts w:cs="Arial"/>
          <w:sz w:val="24"/>
          <w:szCs w:val="24"/>
        </w:rPr>
        <w:t xml:space="preserve"> </w:t>
      </w:r>
      <w:r w:rsidR="00C1796F" w:rsidRPr="76C95618">
        <w:rPr>
          <w:rFonts w:cs="Arial"/>
          <w:sz w:val="24"/>
          <w:szCs w:val="24"/>
        </w:rPr>
        <w:t xml:space="preserve">explained that in his view, those patients would not stay on CCS/NSISTs for too long before needing to move on to IVIg/PLEX, and that CCS/NSISTs would constitute sub-standard care. </w:t>
      </w:r>
      <w:r w:rsidR="00783F50" w:rsidRPr="76C95618">
        <w:rPr>
          <w:rFonts w:cs="Arial"/>
          <w:sz w:val="24"/>
          <w:szCs w:val="24"/>
        </w:rPr>
        <w:t>Emily Crowe</w:t>
      </w:r>
      <w:r w:rsidR="00A255B1" w:rsidRPr="76C95618">
        <w:rPr>
          <w:rFonts w:cs="Arial"/>
          <w:sz w:val="24"/>
          <w:szCs w:val="24"/>
        </w:rPr>
        <w:t>, for NICE</w:t>
      </w:r>
      <w:r w:rsidR="001F56E9" w:rsidRPr="76C95618">
        <w:rPr>
          <w:rFonts w:cs="Arial"/>
          <w:sz w:val="24"/>
          <w:szCs w:val="24"/>
        </w:rPr>
        <w:t>,</w:t>
      </w:r>
      <w:r w:rsidR="00783F50" w:rsidRPr="76C95618">
        <w:rPr>
          <w:rFonts w:cs="Arial"/>
          <w:sz w:val="24"/>
          <w:szCs w:val="24"/>
        </w:rPr>
        <w:t xml:space="preserve"> noted that one such patient had contributed to one of the committee meetings, who had contraindications to </w:t>
      </w:r>
      <w:r w:rsidR="00727B8E" w:rsidRPr="76C95618">
        <w:rPr>
          <w:rFonts w:cs="Arial"/>
          <w:sz w:val="24"/>
          <w:szCs w:val="24"/>
        </w:rPr>
        <w:t xml:space="preserve">IVIg/PLEX </w:t>
      </w:r>
      <w:r w:rsidR="00783F50" w:rsidRPr="76C95618">
        <w:rPr>
          <w:rFonts w:cs="Arial"/>
          <w:sz w:val="24"/>
          <w:szCs w:val="24"/>
        </w:rPr>
        <w:t xml:space="preserve">and so was treated with CCS/NSISTs. In </w:t>
      </w:r>
      <w:r w:rsidR="00BD63AD" w:rsidRPr="76C95618">
        <w:rPr>
          <w:rFonts w:cs="Arial"/>
          <w:sz w:val="24"/>
          <w:szCs w:val="24"/>
        </w:rPr>
        <w:t>E</w:t>
      </w:r>
      <w:r w:rsidR="00F87B85" w:rsidRPr="76C95618">
        <w:rPr>
          <w:rFonts w:cs="Arial"/>
          <w:sz w:val="24"/>
          <w:szCs w:val="24"/>
        </w:rPr>
        <w:t>m</w:t>
      </w:r>
      <w:r w:rsidR="00BD63AD" w:rsidRPr="76C95618">
        <w:rPr>
          <w:rFonts w:cs="Arial"/>
          <w:sz w:val="24"/>
          <w:szCs w:val="24"/>
        </w:rPr>
        <w:t>ily</w:t>
      </w:r>
      <w:r w:rsidR="00F87B85" w:rsidRPr="76C95618">
        <w:rPr>
          <w:rFonts w:cs="Arial"/>
          <w:sz w:val="24"/>
          <w:szCs w:val="24"/>
        </w:rPr>
        <w:t xml:space="preserve"> Crowe’s</w:t>
      </w:r>
      <w:r w:rsidR="00BD63AD" w:rsidRPr="76C95618">
        <w:rPr>
          <w:rFonts w:cs="Arial"/>
          <w:sz w:val="24"/>
          <w:szCs w:val="24"/>
        </w:rPr>
        <w:t xml:space="preserve"> </w:t>
      </w:r>
      <w:r w:rsidR="00783F50" w:rsidRPr="76C95618">
        <w:rPr>
          <w:rFonts w:cs="Arial"/>
          <w:sz w:val="24"/>
          <w:szCs w:val="24"/>
        </w:rPr>
        <w:t xml:space="preserve">view, this underscored the need for the basket of standard care comparator to include CCS/NSISTs. </w:t>
      </w:r>
    </w:p>
    <w:p w14:paraId="3734D03E" w14:textId="75034936" w:rsidR="00783F50" w:rsidRPr="00A96D52" w:rsidRDefault="001C49EE" w:rsidP="00845318">
      <w:pPr>
        <w:pStyle w:val="Paragraph"/>
        <w:rPr>
          <w:rFonts w:cs="Arial"/>
          <w:sz w:val="24"/>
          <w:szCs w:val="24"/>
        </w:rPr>
      </w:pPr>
      <w:r w:rsidRPr="00A96D52">
        <w:rPr>
          <w:rFonts w:cs="Arial"/>
          <w:sz w:val="24"/>
          <w:szCs w:val="24"/>
        </w:rPr>
        <w:t xml:space="preserve">The </w:t>
      </w:r>
      <w:r w:rsidR="00F87B85">
        <w:rPr>
          <w:rFonts w:cs="Arial"/>
          <w:sz w:val="24"/>
          <w:szCs w:val="24"/>
        </w:rPr>
        <w:t xml:space="preserve">appeal </w:t>
      </w:r>
      <w:r w:rsidRPr="00A96D52">
        <w:rPr>
          <w:rFonts w:cs="Arial"/>
          <w:sz w:val="24"/>
          <w:szCs w:val="24"/>
        </w:rPr>
        <w:t xml:space="preserve">panel asked whether, by </w:t>
      </w:r>
      <w:r w:rsidR="0094307E" w:rsidRPr="00A96D52">
        <w:rPr>
          <w:rFonts w:cs="Arial"/>
          <w:sz w:val="24"/>
          <w:szCs w:val="24"/>
        </w:rPr>
        <w:t>including CCS</w:t>
      </w:r>
      <w:r w:rsidR="00A053D5">
        <w:rPr>
          <w:rFonts w:cs="Arial"/>
          <w:sz w:val="24"/>
          <w:szCs w:val="24"/>
        </w:rPr>
        <w:t xml:space="preserve">, </w:t>
      </w:r>
      <w:r w:rsidR="0094307E" w:rsidRPr="00A96D52">
        <w:rPr>
          <w:rFonts w:cs="Arial"/>
          <w:sz w:val="24"/>
          <w:szCs w:val="24"/>
        </w:rPr>
        <w:t>NSISTs</w:t>
      </w:r>
      <w:r w:rsidR="00A053D5">
        <w:rPr>
          <w:rFonts w:cs="Arial"/>
          <w:sz w:val="24"/>
          <w:szCs w:val="24"/>
        </w:rPr>
        <w:t xml:space="preserve">, </w:t>
      </w:r>
      <w:r w:rsidR="0094307E" w:rsidRPr="00A96D52">
        <w:rPr>
          <w:rFonts w:cs="Arial"/>
          <w:sz w:val="24"/>
          <w:szCs w:val="24"/>
        </w:rPr>
        <w:t xml:space="preserve">IVIg and PLEX in a basket of standard care, the committee lost the ability to compare each treatment separately against </w:t>
      </w:r>
      <w:proofErr w:type="spellStart"/>
      <w:r w:rsidR="0094307E" w:rsidRPr="00A96D52">
        <w:rPr>
          <w:rFonts w:cs="Arial"/>
          <w:sz w:val="24"/>
          <w:szCs w:val="24"/>
        </w:rPr>
        <w:t>zilucoplan</w:t>
      </w:r>
      <w:proofErr w:type="spellEnd"/>
      <w:r w:rsidR="0094307E" w:rsidRPr="00A96D52">
        <w:rPr>
          <w:rFonts w:cs="Arial"/>
          <w:sz w:val="24"/>
          <w:szCs w:val="24"/>
        </w:rPr>
        <w:t xml:space="preserve"> (with </w:t>
      </w:r>
      <w:proofErr w:type="gramStart"/>
      <w:r w:rsidR="0094307E" w:rsidRPr="00A96D52">
        <w:rPr>
          <w:rFonts w:cs="Arial"/>
          <w:sz w:val="24"/>
          <w:szCs w:val="24"/>
        </w:rPr>
        <w:t>particular reference</w:t>
      </w:r>
      <w:proofErr w:type="gramEnd"/>
      <w:r w:rsidR="0094307E" w:rsidRPr="00A96D52">
        <w:rPr>
          <w:rFonts w:cs="Arial"/>
          <w:sz w:val="24"/>
          <w:szCs w:val="24"/>
        </w:rPr>
        <w:t xml:space="preserve"> to the comparison between </w:t>
      </w:r>
      <w:proofErr w:type="spellStart"/>
      <w:r w:rsidR="0094307E" w:rsidRPr="00A96D52">
        <w:rPr>
          <w:rFonts w:cs="Arial"/>
          <w:sz w:val="24"/>
          <w:szCs w:val="24"/>
        </w:rPr>
        <w:t>zilucoplan</w:t>
      </w:r>
      <w:proofErr w:type="spellEnd"/>
      <w:r w:rsidR="0094307E" w:rsidRPr="00A96D52">
        <w:rPr>
          <w:rFonts w:cs="Arial"/>
          <w:sz w:val="24"/>
          <w:szCs w:val="24"/>
        </w:rPr>
        <w:t xml:space="preserve"> and IVIg, and </w:t>
      </w:r>
      <w:proofErr w:type="spellStart"/>
      <w:r w:rsidR="0094307E" w:rsidRPr="00A96D52">
        <w:rPr>
          <w:rFonts w:cs="Arial"/>
          <w:sz w:val="24"/>
          <w:szCs w:val="24"/>
        </w:rPr>
        <w:t>zilucoplan</w:t>
      </w:r>
      <w:proofErr w:type="spellEnd"/>
      <w:r w:rsidR="0094307E" w:rsidRPr="00A96D52">
        <w:rPr>
          <w:rFonts w:cs="Arial"/>
          <w:sz w:val="24"/>
          <w:szCs w:val="24"/>
        </w:rPr>
        <w:t xml:space="preserve"> and PLEX). </w:t>
      </w:r>
    </w:p>
    <w:p w14:paraId="39B2D151" w14:textId="24E050EB" w:rsidR="0056623D" w:rsidRPr="00A96D52" w:rsidRDefault="0056623D" w:rsidP="00D05323">
      <w:pPr>
        <w:pStyle w:val="Paragraph"/>
        <w:rPr>
          <w:rFonts w:cs="Arial"/>
          <w:sz w:val="24"/>
          <w:szCs w:val="24"/>
        </w:rPr>
      </w:pPr>
      <w:r w:rsidRPr="00A96D52">
        <w:rPr>
          <w:rFonts w:cs="Arial"/>
          <w:sz w:val="24"/>
          <w:szCs w:val="24"/>
        </w:rPr>
        <w:t xml:space="preserve">Jacoline Bouvy explained that there was greater uncertainty in comparing each individual treatment against </w:t>
      </w:r>
      <w:proofErr w:type="spellStart"/>
      <w:r w:rsidRPr="00A96D52">
        <w:rPr>
          <w:rFonts w:cs="Arial"/>
          <w:sz w:val="24"/>
          <w:szCs w:val="24"/>
        </w:rPr>
        <w:t>zilucoplan</w:t>
      </w:r>
      <w:proofErr w:type="spellEnd"/>
      <w:r w:rsidRPr="00A96D52">
        <w:rPr>
          <w:rFonts w:cs="Arial"/>
          <w:sz w:val="24"/>
          <w:szCs w:val="24"/>
        </w:rPr>
        <w:t>, as the evidence base was not strong enough.</w:t>
      </w:r>
      <w:r w:rsidR="00D05323" w:rsidRPr="00A96D52">
        <w:rPr>
          <w:rFonts w:cs="Arial"/>
          <w:sz w:val="24"/>
          <w:szCs w:val="24"/>
        </w:rPr>
        <w:t xml:space="preserve"> Matthew Binns</w:t>
      </w:r>
      <w:r w:rsidR="00EB22C7">
        <w:rPr>
          <w:rFonts w:cs="Arial"/>
          <w:sz w:val="24"/>
          <w:szCs w:val="24"/>
        </w:rPr>
        <w:t>, for UCB</w:t>
      </w:r>
      <w:r w:rsidR="007B78F5">
        <w:rPr>
          <w:rFonts w:cs="Arial"/>
          <w:sz w:val="24"/>
          <w:szCs w:val="24"/>
        </w:rPr>
        <w:t>,</w:t>
      </w:r>
      <w:r w:rsidR="00D05323" w:rsidRPr="00A96D52">
        <w:rPr>
          <w:rFonts w:cs="Arial"/>
          <w:sz w:val="24"/>
          <w:szCs w:val="24"/>
        </w:rPr>
        <w:t xml:space="preserve"> said that UCB had provided a model comparing </w:t>
      </w:r>
      <w:proofErr w:type="spellStart"/>
      <w:r w:rsidR="00D05323" w:rsidRPr="00A96D52">
        <w:rPr>
          <w:rFonts w:cs="Arial"/>
          <w:sz w:val="24"/>
          <w:szCs w:val="24"/>
        </w:rPr>
        <w:t>zilucoplan</w:t>
      </w:r>
      <w:proofErr w:type="spellEnd"/>
      <w:r w:rsidR="00D05323" w:rsidRPr="00A96D52">
        <w:rPr>
          <w:rFonts w:cs="Arial"/>
          <w:sz w:val="24"/>
          <w:szCs w:val="24"/>
        </w:rPr>
        <w:t xml:space="preserve"> to PLEX which demonstrated </w:t>
      </w:r>
      <w:proofErr w:type="spellStart"/>
      <w:r w:rsidR="00D05323" w:rsidRPr="00A96D52">
        <w:rPr>
          <w:rFonts w:cs="Arial"/>
          <w:sz w:val="24"/>
          <w:szCs w:val="24"/>
        </w:rPr>
        <w:t>zilucoplan</w:t>
      </w:r>
      <w:proofErr w:type="spellEnd"/>
      <w:r w:rsidR="00D05323" w:rsidRPr="00A96D52">
        <w:rPr>
          <w:rFonts w:cs="Arial"/>
          <w:sz w:val="24"/>
          <w:szCs w:val="24"/>
        </w:rPr>
        <w:t xml:space="preserve"> to be both more effective and cheaper than PLEX. </w:t>
      </w:r>
      <w:r w:rsidR="00343309" w:rsidRPr="00A96D52">
        <w:rPr>
          <w:rFonts w:cs="Arial"/>
          <w:sz w:val="24"/>
          <w:szCs w:val="24"/>
        </w:rPr>
        <w:t xml:space="preserve">He also reiterated that UCB's original base case was a </w:t>
      </w:r>
      <w:r w:rsidR="00A053D5" w:rsidRPr="00A96D52">
        <w:rPr>
          <w:rFonts w:cs="Arial"/>
          <w:sz w:val="24"/>
          <w:szCs w:val="24"/>
        </w:rPr>
        <w:t>pairwise</w:t>
      </w:r>
      <w:r w:rsidR="00343309" w:rsidRPr="00A96D52">
        <w:rPr>
          <w:rFonts w:cs="Arial"/>
          <w:sz w:val="24"/>
          <w:szCs w:val="24"/>
        </w:rPr>
        <w:t xml:space="preserve"> comparison between IVIg/PLEX, and not a basket of standard care. </w:t>
      </w:r>
    </w:p>
    <w:p w14:paraId="192300B5" w14:textId="2BF1FD33" w:rsidR="00862491" w:rsidRDefault="00FF74A4" w:rsidP="00862491">
      <w:pPr>
        <w:pStyle w:val="Paragraph"/>
        <w:rPr>
          <w:rFonts w:cs="Arial"/>
          <w:sz w:val="24"/>
          <w:szCs w:val="24"/>
        </w:rPr>
      </w:pPr>
      <w:r w:rsidRPr="00A96D52">
        <w:rPr>
          <w:rFonts w:cs="Arial"/>
          <w:sz w:val="24"/>
          <w:szCs w:val="24"/>
        </w:rPr>
        <w:t>Sarah Love</w:t>
      </w:r>
      <w:r w:rsidR="00357724">
        <w:rPr>
          <w:rFonts w:cs="Arial"/>
          <w:sz w:val="24"/>
          <w:szCs w:val="24"/>
        </w:rPr>
        <w:t xml:space="preserve">, for </w:t>
      </w:r>
      <w:proofErr w:type="spellStart"/>
      <w:r w:rsidR="00357724">
        <w:rPr>
          <w:rFonts w:cs="Arial"/>
          <w:sz w:val="24"/>
          <w:szCs w:val="24"/>
        </w:rPr>
        <w:t>Myaware</w:t>
      </w:r>
      <w:proofErr w:type="spellEnd"/>
      <w:r w:rsidR="000D31EB">
        <w:rPr>
          <w:rFonts w:cs="Arial"/>
          <w:sz w:val="24"/>
          <w:szCs w:val="24"/>
        </w:rPr>
        <w:t>,</w:t>
      </w:r>
      <w:r w:rsidRPr="00A96D52">
        <w:rPr>
          <w:rFonts w:cs="Arial"/>
          <w:sz w:val="24"/>
          <w:szCs w:val="24"/>
        </w:rPr>
        <w:t xml:space="preserve"> </w:t>
      </w:r>
      <w:r w:rsidR="00F85AB7" w:rsidRPr="00A96D52">
        <w:rPr>
          <w:rFonts w:cs="Arial"/>
          <w:sz w:val="24"/>
          <w:szCs w:val="24"/>
        </w:rPr>
        <w:t xml:space="preserve">noted that the FDG does not suggest that there was disagreement as to the eligible cohort of </w:t>
      </w:r>
      <w:r w:rsidR="008653CF" w:rsidRPr="00A96D52">
        <w:rPr>
          <w:rFonts w:cs="Arial"/>
          <w:sz w:val="24"/>
          <w:szCs w:val="24"/>
        </w:rPr>
        <w:t>patients</w:t>
      </w:r>
      <w:r w:rsidR="00F85AB7" w:rsidRPr="00A96D52">
        <w:rPr>
          <w:rFonts w:cs="Arial"/>
          <w:sz w:val="24"/>
          <w:szCs w:val="24"/>
        </w:rPr>
        <w:t>, with the EAG, clinical and patient experts all agreeing th</w:t>
      </w:r>
      <w:r w:rsidR="008653CF" w:rsidRPr="00A96D52">
        <w:rPr>
          <w:rFonts w:cs="Arial"/>
          <w:sz w:val="24"/>
          <w:szCs w:val="24"/>
        </w:rPr>
        <w:t xml:space="preserve">at those being considered for IVIg/PLEX would fall within the eligible cohort for </w:t>
      </w:r>
      <w:proofErr w:type="spellStart"/>
      <w:r w:rsidR="008653CF" w:rsidRPr="00A96D52">
        <w:rPr>
          <w:rFonts w:cs="Arial"/>
          <w:sz w:val="24"/>
          <w:szCs w:val="24"/>
        </w:rPr>
        <w:t>zilucoplan</w:t>
      </w:r>
      <w:proofErr w:type="spellEnd"/>
      <w:r w:rsidR="008653CF" w:rsidRPr="00A96D52">
        <w:rPr>
          <w:rFonts w:cs="Arial"/>
          <w:sz w:val="24"/>
          <w:szCs w:val="24"/>
        </w:rPr>
        <w:t>.</w:t>
      </w:r>
    </w:p>
    <w:p w14:paraId="5797F6B6" w14:textId="5CB6C984" w:rsidR="00862491" w:rsidRPr="00862491" w:rsidRDefault="00862491" w:rsidP="00862491">
      <w:pPr>
        <w:pStyle w:val="Paragraph"/>
        <w:rPr>
          <w:rFonts w:cs="Arial"/>
          <w:sz w:val="24"/>
          <w:szCs w:val="24"/>
        </w:rPr>
      </w:pPr>
      <w:proofErr w:type="gramStart"/>
      <w:r w:rsidRPr="00862491">
        <w:rPr>
          <w:rFonts w:cs="Arial"/>
          <w:sz w:val="24"/>
          <w:szCs w:val="24"/>
        </w:rPr>
        <w:t>In regard to</w:t>
      </w:r>
      <w:proofErr w:type="gramEnd"/>
      <w:r w:rsidRPr="00862491">
        <w:rPr>
          <w:rFonts w:cs="Arial"/>
          <w:sz w:val="24"/>
          <w:szCs w:val="24"/>
        </w:rPr>
        <w:t xml:space="preserve"> </w:t>
      </w:r>
      <w:proofErr w:type="spellStart"/>
      <w:r w:rsidRPr="00862491">
        <w:rPr>
          <w:rFonts w:cs="Arial"/>
          <w:sz w:val="24"/>
          <w:szCs w:val="24"/>
        </w:rPr>
        <w:t>Myaware</w:t>
      </w:r>
      <w:r w:rsidR="0089444C">
        <w:rPr>
          <w:rFonts w:cs="Arial"/>
          <w:sz w:val="24"/>
          <w:szCs w:val="24"/>
        </w:rPr>
        <w:t>’s</w:t>
      </w:r>
      <w:proofErr w:type="spellEnd"/>
      <w:r w:rsidRPr="00862491">
        <w:rPr>
          <w:rFonts w:cs="Arial"/>
          <w:sz w:val="24"/>
          <w:szCs w:val="24"/>
        </w:rPr>
        <w:t xml:space="preserve"> </w:t>
      </w:r>
      <w:r w:rsidR="000F2967">
        <w:rPr>
          <w:rFonts w:cs="Arial"/>
          <w:sz w:val="24"/>
          <w:szCs w:val="24"/>
        </w:rPr>
        <w:t>a</w:t>
      </w:r>
      <w:r w:rsidRPr="00862491">
        <w:rPr>
          <w:rFonts w:cs="Arial"/>
          <w:sz w:val="24"/>
          <w:szCs w:val="24"/>
        </w:rPr>
        <w:t xml:space="preserve">ppeal </w:t>
      </w:r>
      <w:r w:rsidR="000F2967">
        <w:rPr>
          <w:rFonts w:cs="Arial"/>
          <w:sz w:val="24"/>
          <w:szCs w:val="24"/>
        </w:rPr>
        <w:t>p</w:t>
      </w:r>
      <w:r w:rsidRPr="00862491">
        <w:rPr>
          <w:rFonts w:cs="Arial"/>
          <w:sz w:val="24"/>
          <w:szCs w:val="24"/>
        </w:rPr>
        <w:t>oint 2.1 and UCB</w:t>
      </w:r>
      <w:r w:rsidR="0089444C">
        <w:rPr>
          <w:rFonts w:cs="Arial"/>
          <w:sz w:val="24"/>
          <w:szCs w:val="24"/>
        </w:rPr>
        <w:t>’s</w:t>
      </w:r>
      <w:r w:rsidRPr="00862491">
        <w:rPr>
          <w:rFonts w:cs="Arial"/>
          <w:sz w:val="24"/>
          <w:szCs w:val="24"/>
        </w:rPr>
        <w:t xml:space="preserve"> </w:t>
      </w:r>
      <w:r w:rsidR="000F2967">
        <w:rPr>
          <w:rFonts w:cs="Arial"/>
          <w:sz w:val="24"/>
          <w:szCs w:val="24"/>
        </w:rPr>
        <w:t>a</w:t>
      </w:r>
      <w:r w:rsidRPr="00862491">
        <w:rPr>
          <w:rFonts w:cs="Arial"/>
          <w:sz w:val="24"/>
          <w:szCs w:val="24"/>
        </w:rPr>
        <w:t xml:space="preserve">ppeal </w:t>
      </w:r>
      <w:r w:rsidR="000F2967">
        <w:rPr>
          <w:rFonts w:cs="Arial"/>
          <w:sz w:val="24"/>
          <w:szCs w:val="24"/>
        </w:rPr>
        <w:t>p</w:t>
      </w:r>
      <w:r w:rsidRPr="00862491">
        <w:rPr>
          <w:rFonts w:cs="Arial"/>
          <w:sz w:val="24"/>
          <w:szCs w:val="24"/>
        </w:rPr>
        <w:t>oint 2.1, the</w:t>
      </w:r>
      <w:r w:rsidR="000F2967">
        <w:rPr>
          <w:rFonts w:cs="Arial"/>
          <w:sz w:val="24"/>
          <w:szCs w:val="24"/>
        </w:rPr>
        <w:t xml:space="preserve"> appeal</w:t>
      </w:r>
      <w:r w:rsidRPr="00862491">
        <w:rPr>
          <w:rFonts w:cs="Arial"/>
          <w:sz w:val="24"/>
          <w:szCs w:val="24"/>
        </w:rPr>
        <w:t xml:space="preserve"> panel concluded as follows</w:t>
      </w:r>
      <w:r w:rsidR="00FD79FA">
        <w:rPr>
          <w:rFonts w:cs="Arial"/>
          <w:sz w:val="24"/>
          <w:szCs w:val="24"/>
        </w:rPr>
        <w:t>. T</w:t>
      </w:r>
      <w:r w:rsidRPr="00862491">
        <w:rPr>
          <w:rFonts w:cs="Arial"/>
          <w:sz w:val="24"/>
          <w:szCs w:val="24"/>
        </w:rPr>
        <w:t xml:space="preserve">he </w:t>
      </w:r>
      <w:r w:rsidR="000F2967">
        <w:rPr>
          <w:rFonts w:cs="Arial"/>
          <w:sz w:val="24"/>
          <w:szCs w:val="24"/>
        </w:rPr>
        <w:t xml:space="preserve">appeal </w:t>
      </w:r>
      <w:r w:rsidRPr="00862491">
        <w:rPr>
          <w:rFonts w:cs="Arial"/>
          <w:sz w:val="24"/>
          <w:szCs w:val="24"/>
        </w:rPr>
        <w:t xml:space="preserve">panel were </w:t>
      </w:r>
      <w:r w:rsidRPr="00862491">
        <w:rPr>
          <w:rFonts w:cs="Arial"/>
          <w:sz w:val="24"/>
          <w:szCs w:val="24"/>
        </w:rPr>
        <w:lastRenderedPageBreak/>
        <w:t xml:space="preserve">satisfied that there was an understanding by the committee that the definition, in the scope, of comparator treatment should reflect established NHS practice.  In this regard, it was persuaded that the comparator arm should reflect the treatments that may be received by patients in the NHS acknowledging the evidence from experts that access to the range of treatments for generalised myasthenia gravis across the country </w:t>
      </w:r>
      <w:r w:rsidR="004438FD">
        <w:rPr>
          <w:rFonts w:cs="Arial"/>
          <w:sz w:val="24"/>
          <w:szCs w:val="24"/>
        </w:rPr>
        <w:t>can vary</w:t>
      </w:r>
      <w:r w:rsidRPr="00862491">
        <w:rPr>
          <w:rFonts w:cs="Arial"/>
          <w:sz w:val="24"/>
          <w:szCs w:val="24"/>
        </w:rPr>
        <w:t>.  The</w:t>
      </w:r>
      <w:r w:rsidR="00D77BFF">
        <w:rPr>
          <w:rFonts w:cs="Arial"/>
          <w:sz w:val="24"/>
          <w:szCs w:val="24"/>
        </w:rPr>
        <w:t xml:space="preserve"> appeal</w:t>
      </w:r>
      <w:r w:rsidRPr="00862491">
        <w:rPr>
          <w:rFonts w:cs="Arial"/>
          <w:sz w:val="24"/>
          <w:szCs w:val="24"/>
        </w:rPr>
        <w:t xml:space="preserve"> panel were satisfied that the selection of a 'basket' of standard care as a comparator, as a means of reflecting this range of NHS practice, is therefore </w:t>
      </w:r>
      <w:r w:rsidR="004438FD">
        <w:rPr>
          <w:rFonts w:cs="Arial"/>
          <w:sz w:val="24"/>
          <w:szCs w:val="24"/>
        </w:rPr>
        <w:t>reasonable.</w:t>
      </w:r>
      <w:r w:rsidRPr="00862491">
        <w:rPr>
          <w:rFonts w:cs="Arial"/>
          <w:sz w:val="24"/>
          <w:szCs w:val="24"/>
        </w:rPr>
        <w:t xml:space="preserve">  The </w:t>
      </w:r>
      <w:r w:rsidR="00D77BFF">
        <w:rPr>
          <w:rFonts w:cs="Arial"/>
          <w:sz w:val="24"/>
          <w:szCs w:val="24"/>
        </w:rPr>
        <w:t xml:space="preserve">appeal </w:t>
      </w:r>
      <w:r w:rsidRPr="00862491">
        <w:rPr>
          <w:rFonts w:cs="Arial"/>
          <w:sz w:val="24"/>
          <w:szCs w:val="24"/>
        </w:rPr>
        <w:t xml:space="preserve">panel noted that the EAMS data indicates that some patients in the NHS with refractory generalised myasthenia gravis are treated with CCS/NSISTs alone.  Even accepting the opinion of a clinical expert in the hearing that they would regard this treatment approach to be sub-optimal, the </w:t>
      </w:r>
      <w:r w:rsidR="00D77BFF">
        <w:rPr>
          <w:rFonts w:cs="Arial"/>
          <w:sz w:val="24"/>
          <w:szCs w:val="24"/>
        </w:rPr>
        <w:t xml:space="preserve">appeal </w:t>
      </w:r>
      <w:r w:rsidRPr="00862491">
        <w:rPr>
          <w:rFonts w:cs="Arial"/>
          <w:sz w:val="24"/>
          <w:szCs w:val="24"/>
        </w:rPr>
        <w:t xml:space="preserve">panel reminded itself that the EAMS database was the only source of real-world data reflecting the breadth of clinical practice that was available to the committee in arriving at its preferred assumptions.  Consequently, the </w:t>
      </w:r>
      <w:r w:rsidR="00D77BFF">
        <w:rPr>
          <w:rFonts w:cs="Arial"/>
          <w:sz w:val="24"/>
          <w:szCs w:val="24"/>
        </w:rPr>
        <w:t xml:space="preserve">appeal </w:t>
      </w:r>
      <w:r w:rsidRPr="00862491">
        <w:rPr>
          <w:rFonts w:cs="Arial"/>
          <w:sz w:val="24"/>
          <w:szCs w:val="24"/>
        </w:rPr>
        <w:t>panel concluded that the inclusion of all treatment options in the 'basket' of standard care and its application as a comparator in this appraisal were reasonable.  The</w:t>
      </w:r>
      <w:r w:rsidR="00D77BFF">
        <w:rPr>
          <w:rFonts w:cs="Arial"/>
          <w:sz w:val="24"/>
          <w:szCs w:val="24"/>
        </w:rPr>
        <w:t xml:space="preserve"> appeal</w:t>
      </w:r>
      <w:r w:rsidRPr="00862491">
        <w:rPr>
          <w:rFonts w:cs="Arial"/>
          <w:sz w:val="24"/>
          <w:szCs w:val="24"/>
        </w:rPr>
        <w:t xml:space="preserve"> panel therefore dismissed the appeal on these points.</w:t>
      </w:r>
    </w:p>
    <w:p w14:paraId="4E9FAA20" w14:textId="5BE655A0" w:rsidR="00C94A77" w:rsidRPr="00A96D52" w:rsidRDefault="00C94A77" w:rsidP="00894289">
      <w:pPr>
        <w:pStyle w:val="Heading3"/>
      </w:pPr>
      <w:proofErr w:type="spellStart"/>
      <w:r w:rsidRPr="00A96D52">
        <w:t>Myaware</w:t>
      </w:r>
      <w:proofErr w:type="spellEnd"/>
      <w:r w:rsidRPr="00A96D52">
        <w:t xml:space="preserve"> </w:t>
      </w:r>
      <w:r w:rsidR="00B212A6">
        <w:t xml:space="preserve">appeal point </w:t>
      </w:r>
      <w:r w:rsidRPr="00A96D52">
        <w:t>2.2</w:t>
      </w:r>
      <w:r w:rsidR="00B212A6">
        <w:t xml:space="preserve">: </w:t>
      </w:r>
      <w:r w:rsidRPr="00A96D52">
        <w:t xml:space="preserve">NICE's conclusion that the overall EAMS cohort (n=48) was appropriate to inform the proportion of people on treatment in the "basket" of standard care is unreasonable. </w:t>
      </w:r>
    </w:p>
    <w:p w14:paraId="5E4E5D0C" w14:textId="7DE3CEF1" w:rsidR="00C94A77" w:rsidRPr="00A96D52" w:rsidRDefault="00C94A77" w:rsidP="00894289">
      <w:pPr>
        <w:pStyle w:val="Heading3"/>
      </w:pPr>
      <w:r w:rsidRPr="00A96D52">
        <w:t>UCB</w:t>
      </w:r>
      <w:r w:rsidR="00DB14F8">
        <w:t xml:space="preserve"> appeal point</w:t>
      </w:r>
      <w:r w:rsidRPr="00A96D52">
        <w:t xml:space="preserve"> 2.6</w:t>
      </w:r>
      <w:r w:rsidR="00DB14F8">
        <w:t xml:space="preserve">: </w:t>
      </w:r>
      <w:r w:rsidRPr="00A96D52">
        <w:t xml:space="preserve">The use of the overall EAMS cohort to determine the proportion of people on treatments in the "standard of care basket" disregards the views of the authors of the published paper, expert opinion and is inconsistent with the target population for </w:t>
      </w:r>
      <w:proofErr w:type="spellStart"/>
      <w:r w:rsidRPr="00A96D52">
        <w:t>zilucoplan</w:t>
      </w:r>
      <w:proofErr w:type="spellEnd"/>
      <w:r w:rsidRPr="00A96D52">
        <w:t xml:space="preserve"> and its position in the treatment pathway.</w:t>
      </w:r>
    </w:p>
    <w:p w14:paraId="3E945447" w14:textId="3D61FF24" w:rsidR="006B1BD4" w:rsidRPr="00A96D52" w:rsidRDefault="003C5055" w:rsidP="004023C8">
      <w:pPr>
        <w:pStyle w:val="Paragraph"/>
        <w:rPr>
          <w:rFonts w:cs="Arial"/>
          <w:sz w:val="24"/>
          <w:szCs w:val="24"/>
        </w:rPr>
      </w:pPr>
      <w:r w:rsidRPr="00A96D52">
        <w:rPr>
          <w:rFonts w:cs="Arial"/>
          <w:sz w:val="24"/>
          <w:szCs w:val="24"/>
        </w:rPr>
        <w:t xml:space="preserve">Matthew Binns introduced this appeal point for </w:t>
      </w:r>
      <w:r w:rsidR="00F03B89">
        <w:rPr>
          <w:rFonts w:cs="Arial"/>
          <w:sz w:val="24"/>
          <w:szCs w:val="24"/>
        </w:rPr>
        <w:t>UCB</w:t>
      </w:r>
      <w:r w:rsidRPr="00A96D52">
        <w:rPr>
          <w:rFonts w:cs="Arial"/>
          <w:sz w:val="24"/>
          <w:szCs w:val="24"/>
        </w:rPr>
        <w:t xml:space="preserve">. With reference to the entirety of the procedural history of the appraisal, he explained that </w:t>
      </w:r>
      <w:r w:rsidR="00F03B89">
        <w:rPr>
          <w:rFonts w:cs="Arial"/>
          <w:sz w:val="24"/>
          <w:szCs w:val="24"/>
        </w:rPr>
        <w:t>UCB</w:t>
      </w:r>
      <w:r w:rsidRPr="00A96D52">
        <w:rPr>
          <w:rFonts w:cs="Arial"/>
          <w:sz w:val="24"/>
          <w:szCs w:val="24"/>
        </w:rPr>
        <w:t xml:space="preserve"> had objected throughout to the use of a basket of standard of care and the use of the full EAMS cohort. </w:t>
      </w:r>
      <w:r w:rsidR="00B60A7C" w:rsidRPr="00A96D52">
        <w:rPr>
          <w:rFonts w:cs="Arial"/>
          <w:sz w:val="24"/>
          <w:szCs w:val="24"/>
        </w:rPr>
        <w:t xml:space="preserve">He distinguished the </w:t>
      </w:r>
      <w:proofErr w:type="spellStart"/>
      <w:r w:rsidR="00B60A7C" w:rsidRPr="00A96D52">
        <w:rPr>
          <w:rFonts w:cs="Arial"/>
          <w:sz w:val="24"/>
          <w:szCs w:val="24"/>
        </w:rPr>
        <w:t>zilucoplan</w:t>
      </w:r>
      <w:proofErr w:type="spellEnd"/>
      <w:r w:rsidR="00B60A7C" w:rsidRPr="00A96D52">
        <w:rPr>
          <w:rFonts w:cs="Arial"/>
          <w:sz w:val="24"/>
          <w:szCs w:val="24"/>
        </w:rPr>
        <w:t xml:space="preserve"> appraisal from </w:t>
      </w:r>
      <w:r w:rsidR="005A5D49">
        <w:rPr>
          <w:rFonts w:cs="Arial"/>
          <w:sz w:val="24"/>
          <w:szCs w:val="24"/>
        </w:rPr>
        <w:t>TA1069</w:t>
      </w:r>
      <w:r w:rsidR="00B60A7C" w:rsidRPr="00A96D52">
        <w:rPr>
          <w:rFonts w:cs="Arial"/>
          <w:sz w:val="24"/>
          <w:szCs w:val="24"/>
        </w:rPr>
        <w:t xml:space="preserve"> – noting</w:t>
      </w:r>
      <w:r w:rsidR="006B1BD4" w:rsidRPr="00A96D52">
        <w:rPr>
          <w:rFonts w:cs="Arial"/>
          <w:sz w:val="24"/>
          <w:szCs w:val="24"/>
        </w:rPr>
        <w:t xml:space="preserve"> that the cohort eligible for </w:t>
      </w:r>
      <w:r w:rsidR="006B1BD4" w:rsidRPr="00A96D52">
        <w:rPr>
          <w:rFonts w:cs="Arial"/>
          <w:sz w:val="24"/>
          <w:szCs w:val="24"/>
        </w:rPr>
        <w:lastRenderedPageBreak/>
        <w:t xml:space="preserve">efgartigimod (i.e. the full EAMS cohort) did not directly correlate with the eligible population for </w:t>
      </w:r>
      <w:proofErr w:type="spellStart"/>
      <w:r w:rsidR="006B1BD4" w:rsidRPr="00A96D52">
        <w:rPr>
          <w:rFonts w:cs="Arial"/>
          <w:sz w:val="24"/>
          <w:szCs w:val="24"/>
        </w:rPr>
        <w:t>zilucoplan</w:t>
      </w:r>
      <w:proofErr w:type="spellEnd"/>
      <w:r w:rsidR="006B1BD4" w:rsidRPr="00A96D52">
        <w:rPr>
          <w:rFonts w:cs="Arial"/>
          <w:sz w:val="24"/>
          <w:szCs w:val="24"/>
        </w:rPr>
        <w:t>.</w:t>
      </w:r>
      <w:r w:rsidR="004023C8" w:rsidRPr="00A96D52">
        <w:rPr>
          <w:rFonts w:cs="Arial"/>
          <w:sz w:val="24"/>
          <w:szCs w:val="24"/>
        </w:rPr>
        <w:t xml:space="preserve"> He described the committee's preference to use the full EAMS cohort as disregarding the </w:t>
      </w:r>
      <w:proofErr w:type="spellStart"/>
      <w:r w:rsidR="004023C8" w:rsidRPr="00A96D52">
        <w:rPr>
          <w:rFonts w:cs="Arial"/>
          <w:sz w:val="24"/>
          <w:szCs w:val="24"/>
        </w:rPr>
        <w:t>zilucoplan</w:t>
      </w:r>
      <w:proofErr w:type="spellEnd"/>
      <w:r w:rsidR="004023C8" w:rsidRPr="00A96D52">
        <w:rPr>
          <w:rFonts w:cs="Arial"/>
          <w:sz w:val="24"/>
          <w:szCs w:val="24"/>
        </w:rPr>
        <w:t xml:space="preserve"> eligibility </w:t>
      </w:r>
      <w:r w:rsidR="00A053D5" w:rsidRPr="00A96D52">
        <w:rPr>
          <w:rFonts w:cs="Arial"/>
          <w:sz w:val="24"/>
          <w:szCs w:val="24"/>
        </w:rPr>
        <w:t>criteria</w:t>
      </w:r>
      <w:r w:rsidR="004023C8" w:rsidRPr="00A96D52">
        <w:rPr>
          <w:rFonts w:cs="Arial"/>
          <w:sz w:val="24"/>
          <w:szCs w:val="24"/>
        </w:rPr>
        <w:t xml:space="preserve">. </w:t>
      </w:r>
    </w:p>
    <w:p w14:paraId="367298EE" w14:textId="46443836" w:rsidR="00076E4A" w:rsidRPr="00A96D52" w:rsidRDefault="00076E4A" w:rsidP="004023C8">
      <w:pPr>
        <w:pStyle w:val="Paragraph"/>
        <w:rPr>
          <w:rFonts w:cs="Arial"/>
          <w:sz w:val="24"/>
          <w:szCs w:val="24"/>
        </w:rPr>
      </w:pPr>
      <w:r w:rsidRPr="00A96D52">
        <w:rPr>
          <w:rFonts w:cs="Arial"/>
          <w:sz w:val="24"/>
          <w:szCs w:val="24"/>
        </w:rPr>
        <w:t xml:space="preserve">Channa </w:t>
      </w:r>
      <w:proofErr w:type="spellStart"/>
      <w:r w:rsidRPr="00A96D52">
        <w:rPr>
          <w:rFonts w:cs="Arial"/>
          <w:sz w:val="24"/>
          <w:szCs w:val="24"/>
        </w:rPr>
        <w:t>Hewamadduma</w:t>
      </w:r>
      <w:proofErr w:type="spellEnd"/>
      <w:r w:rsidR="00F03B89">
        <w:rPr>
          <w:rFonts w:cs="Arial"/>
          <w:sz w:val="24"/>
          <w:szCs w:val="24"/>
        </w:rPr>
        <w:t xml:space="preserve">, for </w:t>
      </w:r>
      <w:proofErr w:type="spellStart"/>
      <w:r w:rsidR="00F03B89">
        <w:rPr>
          <w:rFonts w:cs="Arial"/>
          <w:sz w:val="24"/>
          <w:szCs w:val="24"/>
        </w:rPr>
        <w:t>Myaware</w:t>
      </w:r>
      <w:proofErr w:type="spellEnd"/>
      <w:r w:rsidR="009E47F6">
        <w:rPr>
          <w:rFonts w:cs="Arial"/>
          <w:sz w:val="24"/>
          <w:szCs w:val="24"/>
        </w:rPr>
        <w:t>,</w:t>
      </w:r>
      <w:r w:rsidRPr="00A96D52">
        <w:rPr>
          <w:rFonts w:cs="Arial"/>
          <w:sz w:val="24"/>
          <w:szCs w:val="24"/>
        </w:rPr>
        <w:t xml:space="preserve"> agreed with Matthew Binns' introduction of the appeal point. He described the EAMS cohort as being broad</w:t>
      </w:r>
      <w:r w:rsidR="00F53676" w:rsidRPr="00A96D52">
        <w:rPr>
          <w:rFonts w:cs="Arial"/>
          <w:sz w:val="24"/>
          <w:szCs w:val="24"/>
        </w:rPr>
        <w:t xml:space="preserve"> with variable needs</w:t>
      </w:r>
      <w:r w:rsidRPr="00A96D52">
        <w:rPr>
          <w:rFonts w:cs="Arial"/>
          <w:sz w:val="24"/>
          <w:szCs w:val="24"/>
        </w:rPr>
        <w:t xml:space="preserve">, and representative of a pragmatic approach taken by clinicians treating </w:t>
      </w:r>
      <w:proofErr w:type="spellStart"/>
      <w:r w:rsidR="00FD79FA" w:rsidRPr="00A96D52">
        <w:rPr>
          <w:rFonts w:cs="Arial"/>
          <w:sz w:val="24"/>
          <w:szCs w:val="24"/>
        </w:rPr>
        <w:t>gMG</w:t>
      </w:r>
      <w:proofErr w:type="spellEnd"/>
      <w:r w:rsidR="00FD79FA" w:rsidRPr="00A96D52">
        <w:rPr>
          <w:rFonts w:cs="Arial"/>
          <w:sz w:val="24"/>
          <w:szCs w:val="24"/>
        </w:rPr>
        <w:t>.</w:t>
      </w:r>
      <w:r w:rsidR="00F53676" w:rsidRPr="00A96D52">
        <w:rPr>
          <w:rFonts w:cs="Arial"/>
          <w:sz w:val="24"/>
          <w:szCs w:val="24"/>
        </w:rPr>
        <w:t xml:space="preserve"> He considered that the true refractory </w:t>
      </w:r>
      <w:proofErr w:type="spellStart"/>
      <w:r w:rsidR="00F53676" w:rsidRPr="00A96D52">
        <w:rPr>
          <w:rFonts w:cs="Arial"/>
          <w:sz w:val="24"/>
          <w:szCs w:val="24"/>
        </w:rPr>
        <w:t>gMG</w:t>
      </w:r>
      <w:proofErr w:type="spellEnd"/>
      <w:r w:rsidR="00F53676" w:rsidRPr="00A96D52">
        <w:rPr>
          <w:rFonts w:cs="Arial"/>
          <w:sz w:val="24"/>
          <w:szCs w:val="24"/>
        </w:rPr>
        <w:t xml:space="preserve"> patient group within the full EAMS cohort to be c.77%. He noted that he had explained this distinction in the third committee meeting, and that there was no rationale for diluting the eligible group in favour of a broader patient pool. </w:t>
      </w:r>
    </w:p>
    <w:p w14:paraId="079D581A" w14:textId="01E2E607" w:rsidR="00DC46A6" w:rsidRPr="00A96D52" w:rsidRDefault="00DC46A6" w:rsidP="004023C8">
      <w:pPr>
        <w:pStyle w:val="Paragraph"/>
        <w:rPr>
          <w:rFonts w:cs="Arial"/>
          <w:sz w:val="24"/>
          <w:szCs w:val="24"/>
        </w:rPr>
      </w:pPr>
      <w:r w:rsidRPr="00A96D52">
        <w:rPr>
          <w:rFonts w:cs="Arial"/>
          <w:sz w:val="24"/>
          <w:szCs w:val="24"/>
        </w:rPr>
        <w:t>Peter Wheatley-Price</w:t>
      </w:r>
      <w:r w:rsidR="00F82695">
        <w:rPr>
          <w:rFonts w:cs="Arial"/>
          <w:sz w:val="24"/>
          <w:szCs w:val="24"/>
        </w:rPr>
        <w:t>, for NICE</w:t>
      </w:r>
      <w:r w:rsidR="002E7450">
        <w:rPr>
          <w:rFonts w:cs="Arial"/>
          <w:sz w:val="24"/>
          <w:szCs w:val="24"/>
        </w:rPr>
        <w:t>,</w:t>
      </w:r>
      <w:r w:rsidRPr="00A96D52">
        <w:rPr>
          <w:rFonts w:cs="Arial"/>
          <w:sz w:val="24"/>
          <w:szCs w:val="24"/>
        </w:rPr>
        <w:t xml:space="preserve"> described the full EAMS cohort as being the best </w:t>
      </w:r>
      <w:r w:rsidR="00BA21F5" w:rsidRPr="00A96D52">
        <w:rPr>
          <w:rFonts w:cs="Arial"/>
          <w:sz w:val="24"/>
          <w:szCs w:val="24"/>
        </w:rPr>
        <w:t xml:space="preserve">evidence available to the committee to rely on in its decision making. In a relatively small patient population, this was the most generalisable cohort (and reflected the heterogeneity in access to treatment). Absent standardised definition of refractory </w:t>
      </w:r>
      <w:proofErr w:type="spellStart"/>
      <w:r w:rsidR="00BA21F5" w:rsidRPr="00A96D52">
        <w:rPr>
          <w:rFonts w:cs="Arial"/>
          <w:sz w:val="24"/>
          <w:szCs w:val="24"/>
        </w:rPr>
        <w:t>gMG</w:t>
      </w:r>
      <w:proofErr w:type="spellEnd"/>
      <w:r w:rsidR="00BA21F5" w:rsidRPr="00A96D52">
        <w:rPr>
          <w:rFonts w:cs="Arial"/>
          <w:sz w:val="24"/>
          <w:szCs w:val="24"/>
        </w:rPr>
        <w:t>, the committee had sought to adop</w:t>
      </w:r>
      <w:r w:rsidR="00454464" w:rsidRPr="00A96D52">
        <w:rPr>
          <w:rFonts w:cs="Arial"/>
          <w:sz w:val="24"/>
          <w:szCs w:val="24"/>
        </w:rPr>
        <w:t xml:space="preserve">t a consistent approach to </w:t>
      </w:r>
      <w:proofErr w:type="gramStart"/>
      <w:r w:rsidR="005A5D49">
        <w:rPr>
          <w:rFonts w:cs="Arial"/>
          <w:sz w:val="24"/>
          <w:szCs w:val="24"/>
        </w:rPr>
        <w:t>TA1069</w:t>
      </w:r>
      <w:r w:rsidR="00454464" w:rsidRPr="00A96D52">
        <w:rPr>
          <w:rFonts w:cs="Arial"/>
          <w:sz w:val="24"/>
          <w:szCs w:val="24"/>
        </w:rPr>
        <w:t>, and</w:t>
      </w:r>
      <w:proofErr w:type="gramEnd"/>
      <w:r w:rsidR="00454464" w:rsidRPr="00A96D52">
        <w:rPr>
          <w:rFonts w:cs="Arial"/>
          <w:sz w:val="24"/>
          <w:szCs w:val="24"/>
        </w:rPr>
        <w:t xml:space="preserve"> had set out its full rationale for preferring the full EAMS cohort at paragraph 3.5 of the FDG. </w:t>
      </w:r>
    </w:p>
    <w:p w14:paraId="570C7764" w14:textId="7801571C" w:rsidR="00454464" w:rsidRPr="00A96D52" w:rsidRDefault="007615EC" w:rsidP="004023C8">
      <w:pPr>
        <w:pStyle w:val="Paragraph"/>
        <w:rPr>
          <w:rFonts w:cs="Arial"/>
          <w:sz w:val="24"/>
          <w:szCs w:val="24"/>
        </w:rPr>
      </w:pPr>
      <w:r w:rsidRPr="00A96D52">
        <w:rPr>
          <w:rFonts w:cs="Arial"/>
          <w:sz w:val="24"/>
          <w:szCs w:val="24"/>
        </w:rPr>
        <w:t xml:space="preserve">Further to Peter Wheatley-Price's comments on the difficulty facing the committee in the absence of a standardised definition of refractory </w:t>
      </w:r>
      <w:proofErr w:type="spellStart"/>
      <w:r w:rsidRPr="00A96D52">
        <w:rPr>
          <w:rFonts w:cs="Arial"/>
          <w:sz w:val="24"/>
          <w:szCs w:val="24"/>
        </w:rPr>
        <w:t>gMG</w:t>
      </w:r>
      <w:proofErr w:type="spellEnd"/>
      <w:r w:rsidRPr="00A96D52">
        <w:rPr>
          <w:rFonts w:cs="Arial"/>
          <w:sz w:val="24"/>
          <w:szCs w:val="24"/>
        </w:rPr>
        <w:t>, Charles Crawley</w:t>
      </w:r>
      <w:r w:rsidR="00F82695">
        <w:rPr>
          <w:rFonts w:cs="Arial"/>
          <w:sz w:val="24"/>
          <w:szCs w:val="24"/>
        </w:rPr>
        <w:t>, for NICE</w:t>
      </w:r>
      <w:r w:rsidR="00CD33D4">
        <w:rPr>
          <w:rFonts w:cs="Arial"/>
          <w:sz w:val="24"/>
          <w:szCs w:val="24"/>
        </w:rPr>
        <w:t>,</w:t>
      </w:r>
      <w:r w:rsidRPr="00A96D52">
        <w:rPr>
          <w:rFonts w:cs="Arial"/>
          <w:sz w:val="24"/>
          <w:szCs w:val="24"/>
        </w:rPr>
        <w:t xml:space="preserve"> explained that there were around 6 or 7 different definitions of refractory </w:t>
      </w:r>
      <w:proofErr w:type="spellStart"/>
      <w:r w:rsidRPr="00A96D52">
        <w:rPr>
          <w:rFonts w:cs="Arial"/>
          <w:sz w:val="24"/>
          <w:szCs w:val="24"/>
        </w:rPr>
        <w:t>gMG</w:t>
      </w:r>
      <w:proofErr w:type="spellEnd"/>
      <w:r w:rsidRPr="00A96D52">
        <w:rPr>
          <w:rFonts w:cs="Arial"/>
          <w:sz w:val="24"/>
          <w:szCs w:val="24"/>
        </w:rPr>
        <w:t xml:space="preserve"> before the committee as at the end of the third committee meeting. </w:t>
      </w:r>
      <w:r w:rsidR="0049578D" w:rsidRPr="00A96D52">
        <w:rPr>
          <w:rFonts w:cs="Arial"/>
          <w:sz w:val="24"/>
          <w:szCs w:val="24"/>
        </w:rPr>
        <w:t xml:space="preserve">In the </w:t>
      </w:r>
      <w:r w:rsidR="0049578D" w:rsidRPr="00A96D52">
        <w:rPr>
          <w:rFonts w:cs="Arial"/>
          <w:i/>
          <w:iCs/>
          <w:sz w:val="24"/>
          <w:szCs w:val="24"/>
        </w:rPr>
        <w:t>Dionisio</w:t>
      </w:r>
      <w:r w:rsidR="00CC7259">
        <w:rPr>
          <w:rFonts w:cs="Arial"/>
          <w:i/>
          <w:iCs/>
          <w:sz w:val="24"/>
          <w:szCs w:val="24"/>
        </w:rPr>
        <w:t xml:space="preserve"> et al 2024</w:t>
      </w:r>
      <w:r w:rsidR="0049578D" w:rsidRPr="00A96D52">
        <w:rPr>
          <w:rFonts w:cs="Arial"/>
          <w:i/>
          <w:iCs/>
          <w:sz w:val="24"/>
          <w:szCs w:val="24"/>
        </w:rPr>
        <w:t xml:space="preserve"> </w:t>
      </w:r>
      <w:r w:rsidR="0049578D" w:rsidRPr="00A96D52">
        <w:rPr>
          <w:rFonts w:cs="Arial"/>
          <w:sz w:val="24"/>
          <w:szCs w:val="24"/>
        </w:rPr>
        <w:t>study, the basic entry criteria did follow one of the definitions of refractory disease available to the committee</w:t>
      </w:r>
      <w:r w:rsidR="00315060" w:rsidRPr="00A96D52">
        <w:rPr>
          <w:rFonts w:cs="Arial"/>
          <w:sz w:val="24"/>
          <w:szCs w:val="24"/>
        </w:rPr>
        <w:t xml:space="preserve">. </w:t>
      </w:r>
    </w:p>
    <w:p w14:paraId="713BB69D" w14:textId="6B10442F" w:rsidR="00315060" w:rsidRPr="00A96D52" w:rsidRDefault="00315060" w:rsidP="004023C8">
      <w:pPr>
        <w:pStyle w:val="Paragraph"/>
        <w:rPr>
          <w:rFonts w:cs="Arial"/>
          <w:sz w:val="24"/>
          <w:szCs w:val="24"/>
        </w:rPr>
      </w:pPr>
      <w:r w:rsidRPr="00A96D52">
        <w:rPr>
          <w:rFonts w:cs="Arial"/>
          <w:sz w:val="24"/>
          <w:szCs w:val="24"/>
        </w:rPr>
        <w:t xml:space="preserve">On the other hand, </w:t>
      </w:r>
      <w:r w:rsidR="00B13F70">
        <w:rPr>
          <w:rFonts w:cs="Arial"/>
          <w:sz w:val="24"/>
          <w:szCs w:val="24"/>
        </w:rPr>
        <w:t>UCB</w:t>
      </w:r>
      <w:r w:rsidRPr="00A96D52">
        <w:rPr>
          <w:rFonts w:cs="Arial"/>
          <w:sz w:val="24"/>
          <w:szCs w:val="24"/>
        </w:rPr>
        <w:t>'s approach of revising the full EAMS cohort down to capture only the c.77% that it considered tru</w:t>
      </w:r>
      <w:r w:rsidR="00A053D5">
        <w:rPr>
          <w:rFonts w:cs="Arial"/>
          <w:sz w:val="24"/>
          <w:szCs w:val="24"/>
        </w:rPr>
        <w:t>ly</w:t>
      </w:r>
      <w:r w:rsidRPr="00A96D52">
        <w:rPr>
          <w:rFonts w:cs="Arial"/>
          <w:sz w:val="24"/>
          <w:szCs w:val="24"/>
        </w:rPr>
        <w:t xml:space="preserve"> refractory appeared to the committee to be </w:t>
      </w:r>
      <w:proofErr w:type="gramStart"/>
      <w:r w:rsidRPr="00A96D52">
        <w:rPr>
          <w:rFonts w:cs="Arial"/>
          <w:sz w:val="24"/>
          <w:szCs w:val="24"/>
        </w:rPr>
        <w:t>arbitrary, and</w:t>
      </w:r>
      <w:proofErr w:type="gramEnd"/>
      <w:r w:rsidRPr="00A96D52">
        <w:rPr>
          <w:rFonts w:cs="Arial"/>
          <w:sz w:val="24"/>
          <w:szCs w:val="24"/>
        </w:rPr>
        <w:t xml:space="preserve"> reached on a series of assumptions which the committee did not consider to be plausible </w:t>
      </w:r>
      <w:r w:rsidRPr="00A96D52">
        <w:rPr>
          <w:rFonts w:cs="Arial"/>
          <w:sz w:val="24"/>
          <w:szCs w:val="24"/>
        </w:rPr>
        <w:lastRenderedPageBreak/>
        <w:t xml:space="preserve">(including removing from the cohort those receiving only CCS). </w:t>
      </w:r>
      <w:r w:rsidR="007308C5" w:rsidRPr="00A96D52">
        <w:rPr>
          <w:rFonts w:cs="Arial"/>
          <w:sz w:val="24"/>
          <w:szCs w:val="24"/>
        </w:rPr>
        <w:t xml:space="preserve">As a result, the committee preferred the full EAMS cohort on the basis that entry to the EAMS was based on the patient's clinician deeming the patient to have refractory </w:t>
      </w:r>
      <w:proofErr w:type="spellStart"/>
      <w:r w:rsidR="007308C5" w:rsidRPr="00A96D52">
        <w:rPr>
          <w:rFonts w:cs="Arial"/>
          <w:sz w:val="24"/>
          <w:szCs w:val="24"/>
        </w:rPr>
        <w:t>gMG</w:t>
      </w:r>
      <w:proofErr w:type="spellEnd"/>
      <w:r w:rsidR="007308C5" w:rsidRPr="00A96D52">
        <w:rPr>
          <w:rFonts w:cs="Arial"/>
          <w:sz w:val="24"/>
          <w:szCs w:val="24"/>
        </w:rPr>
        <w:t xml:space="preserve">. </w:t>
      </w:r>
    </w:p>
    <w:p w14:paraId="4E254615" w14:textId="5B3C41A9" w:rsidR="00DB5B34" w:rsidRPr="00A96D52" w:rsidRDefault="007308C5" w:rsidP="007D7935">
      <w:pPr>
        <w:pStyle w:val="Paragraph"/>
        <w:rPr>
          <w:rFonts w:cs="Arial"/>
          <w:sz w:val="24"/>
          <w:szCs w:val="24"/>
        </w:rPr>
      </w:pPr>
      <w:r w:rsidRPr="00A96D52">
        <w:rPr>
          <w:rFonts w:cs="Arial"/>
          <w:sz w:val="24"/>
          <w:szCs w:val="24"/>
        </w:rPr>
        <w:t xml:space="preserve">The </w:t>
      </w:r>
      <w:r w:rsidR="00B15E15">
        <w:rPr>
          <w:rFonts w:cs="Arial"/>
          <w:sz w:val="24"/>
          <w:szCs w:val="24"/>
        </w:rPr>
        <w:t xml:space="preserve">appeal </w:t>
      </w:r>
      <w:r w:rsidRPr="00A96D52">
        <w:rPr>
          <w:rFonts w:cs="Arial"/>
          <w:sz w:val="24"/>
          <w:szCs w:val="24"/>
        </w:rPr>
        <w:t xml:space="preserve">panel asked about the extent to which the committee had </w:t>
      </w:r>
      <w:proofErr w:type="gramStart"/>
      <w:r w:rsidRPr="00A96D52">
        <w:rPr>
          <w:rFonts w:cs="Arial"/>
          <w:sz w:val="24"/>
          <w:szCs w:val="24"/>
        </w:rPr>
        <w:t>taken into account</w:t>
      </w:r>
      <w:proofErr w:type="gramEnd"/>
      <w:r w:rsidRPr="00A96D52">
        <w:rPr>
          <w:rFonts w:cs="Arial"/>
          <w:sz w:val="24"/>
          <w:szCs w:val="24"/>
        </w:rPr>
        <w:t xml:space="preserve"> the views of patient and clinical experts</w:t>
      </w:r>
      <w:r w:rsidR="004438FD">
        <w:rPr>
          <w:rFonts w:cs="Arial"/>
          <w:sz w:val="24"/>
          <w:szCs w:val="24"/>
        </w:rPr>
        <w:t xml:space="preserve"> in </w:t>
      </w:r>
      <w:r w:rsidR="007F4172">
        <w:rPr>
          <w:rFonts w:cs="Arial"/>
          <w:sz w:val="24"/>
          <w:szCs w:val="24"/>
        </w:rPr>
        <w:t>interpreting</w:t>
      </w:r>
      <w:r w:rsidR="004438FD">
        <w:rPr>
          <w:rFonts w:cs="Arial"/>
          <w:sz w:val="24"/>
          <w:szCs w:val="24"/>
        </w:rPr>
        <w:t xml:space="preserve"> the meaning of treatment refractoriness</w:t>
      </w:r>
      <w:r w:rsidRPr="00A96D52">
        <w:rPr>
          <w:rFonts w:cs="Arial"/>
          <w:sz w:val="24"/>
          <w:szCs w:val="24"/>
        </w:rPr>
        <w:t xml:space="preserve">. </w:t>
      </w:r>
      <w:r w:rsidR="00DB5B34" w:rsidRPr="00A96D52">
        <w:rPr>
          <w:rFonts w:cs="Arial"/>
          <w:sz w:val="24"/>
          <w:szCs w:val="24"/>
        </w:rPr>
        <w:t xml:space="preserve">Charles Crawley reiterated earlier comments that the committee did not consider that it was its role to seek to define refractory </w:t>
      </w:r>
      <w:proofErr w:type="spellStart"/>
      <w:r w:rsidR="00DB5B34" w:rsidRPr="00A96D52">
        <w:rPr>
          <w:rFonts w:cs="Arial"/>
          <w:sz w:val="24"/>
          <w:szCs w:val="24"/>
        </w:rPr>
        <w:t>gMG</w:t>
      </w:r>
      <w:proofErr w:type="spellEnd"/>
      <w:r w:rsidR="00DB5B34" w:rsidRPr="00A96D52">
        <w:rPr>
          <w:rFonts w:cs="Arial"/>
          <w:sz w:val="24"/>
          <w:szCs w:val="24"/>
        </w:rPr>
        <w:t>, and so a broader definition of refractory (i.e. the full EAMS cohort) appeared appropriate</w:t>
      </w:r>
      <w:r w:rsidR="007D7935" w:rsidRPr="00A96D52">
        <w:rPr>
          <w:rFonts w:cs="Arial"/>
          <w:sz w:val="24"/>
          <w:szCs w:val="24"/>
        </w:rPr>
        <w:t xml:space="preserve"> as it would reflect the variability of the definition of refractory in NHS practice if recommended. </w:t>
      </w:r>
    </w:p>
    <w:p w14:paraId="22FDFDBD" w14:textId="3BF06D97" w:rsidR="00E4004F" w:rsidRPr="00A96D52" w:rsidRDefault="00F10086" w:rsidP="007D7935">
      <w:pPr>
        <w:pStyle w:val="Paragraph"/>
        <w:rPr>
          <w:rFonts w:cs="Arial"/>
          <w:sz w:val="24"/>
          <w:szCs w:val="24"/>
        </w:rPr>
      </w:pPr>
      <w:r w:rsidRPr="00A96D52">
        <w:rPr>
          <w:rFonts w:cs="Arial"/>
          <w:sz w:val="24"/>
          <w:szCs w:val="24"/>
        </w:rPr>
        <w:t xml:space="preserve">The </w:t>
      </w:r>
      <w:r w:rsidR="00B15E15">
        <w:rPr>
          <w:rFonts w:cs="Arial"/>
          <w:sz w:val="24"/>
          <w:szCs w:val="24"/>
        </w:rPr>
        <w:t xml:space="preserve">appeal </w:t>
      </w:r>
      <w:r w:rsidRPr="00A96D52">
        <w:rPr>
          <w:rFonts w:cs="Arial"/>
          <w:sz w:val="24"/>
          <w:szCs w:val="24"/>
        </w:rPr>
        <w:t xml:space="preserve">panel asked what impact </w:t>
      </w:r>
      <w:r w:rsidR="005119D8" w:rsidRPr="00A96D52">
        <w:rPr>
          <w:rFonts w:cs="Arial"/>
          <w:sz w:val="24"/>
          <w:szCs w:val="24"/>
        </w:rPr>
        <w:t xml:space="preserve">using </w:t>
      </w:r>
      <w:r w:rsidR="00B13F70">
        <w:rPr>
          <w:rFonts w:cs="Arial"/>
          <w:sz w:val="24"/>
          <w:szCs w:val="24"/>
        </w:rPr>
        <w:t>UCB</w:t>
      </w:r>
      <w:r w:rsidR="005119D8" w:rsidRPr="00A96D52">
        <w:rPr>
          <w:rFonts w:cs="Arial"/>
          <w:sz w:val="24"/>
          <w:szCs w:val="24"/>
        </w:rPr>
        <w:t xml:space="preserve">'s revised EAMS cohort would have had and the cost effectiveness of </w:t>
      </w:r>
      <w:proofErr w:type="spellStart"/>
      <w:r w:rsidR="005119D8" w:rsidRPr="00A96D52">
        <w:rPr>
          <w:rFonts w:cs="Arial"/>
          <w:sz w:val="24"/>
          <w:szCs w:val="24"/>
        </w:rPr>
        <w:t>zilucoplan</w:t>
      </w:r>
      <w:proofErr w:type="spellEnd"/>
      <w:r w:rsidR="005119D8" w:rsidRPr="00A96D52">
        <w:rPr>
          <w:rFonts w:cs="Arial"/>
          <w:sz w:val="24"/>
          <w:szCs w:val="24"/>
        </w:rPr>
        <w:t xml:space="preserve">. Charles Crawley explained that shifting the basket towards a more expensive range of treatments (i.e. more patients on IVIg/PLEX than CCS and NSISTs) </w:t>
      </w:r>
      <w:r w:rsidR="00E4004F" w:rsidRPr="00A96D52">
        <w:rPr>
          <w:rFonts w:cs="Arial"/>
          <w:sz w:val="24"/>
          <w:szCs w:val="24"/>
        </w:rPr>
        <w:t xml:space="preserve">would have made it harder for </w:t>
      </w:r>
      <w:proofErr w:type="spellStart"/>
      <w:r w:rsidR="00E4004F" w:rsidRPr="00A96D52">
        <w:rPr>
          <w:rFonts w:cs="Arial"/>
          <w:sz w:val="24"/>
          <w:szCs w:val="24"/>
        </w:rPr>
        <w:t>zilucoplan</w:t>
      </w:r>
      <w:proofErr w:type="spellEnd"/>
      <w:r w:rsidR="00E4004F" w:rsidRPr="00A96D52">
        <w:rPr>
          <w:rFonts w:cs="Arial"/>
          <w:sz w:val="24"/>
          <w:szCs w:val="24"/>
        </w:rPr>
        <w:t xml:space="preserve"> to be considered cost effective. </w:t>
      </w:r>
    </w:p>
    <w:p w14:paraId="0C8D9EE3" w14:textId="2964C8F8" w:rsidR="007D7935" w:rsidRPr="00A96D52" w:rsidRDefault="0066086E" w:rsidP="007D7935">
      <w:pPr>
        <w:pStyle w:val="Paragraph"/>
        <w:rPr>
          <w:rFonts w:cs="Arial"/>
          <w:sz w:val="24"/>
          <w:szCs w:val="24"/>
        </w:rPr>
      </w:pPr>
      <w:r w:rsidRPr="00A96D52">
        <w:rPr>
          <w:rFonts w:cs="Arial"/>
          <w:sz w:val="24"/>
          <w:szCs w:val="24"/>
        </w:rPr>
        <w:t xml:space="preserve">The </w:t>
      </w:r>
      <w:r w:rsidR="00B15E15">
        <w:rPr>
          <w:rFonts w:cs="Arial"/>
          <w:sz w:val="24"/>
          <w:szCs w:val="24"/>
        </w:rPr>
        <w:t xml:space="preserve">appeal </w:t>
      </w:r>
      <w:r w:rsidRPr="00A96D52">
        <w:rPr>
          <w:rFonts w:cs="Arial"/>
          <w:sz w:val="24"/>
          <w:szCs w:val="24"/>
        </w:rPr>
        <w:t>panel ask</w:t>
      </w:r>
      <w:r w:rsidR="00F63211" w:rsidRPr="00A96D52">
        <w:rPr>
          <w:rFonts w:cs="Arial"/>
          <w:sz w:val="24"/>
          <w:szCs w:val="24"/>
        </w:rPr>
        <w:t xml:space="preserve">ed whether </w:t>
      </w:r>
      <w:r w:rsidR="00B13F70">
        <w:rPr>
          <w:rFonts w:cs="Arial"/>
          <w:sz w:val="24"/>
          <w:szCs w:val="24"/>
        </w:rPr>
        <w:t>UCB</w:t>
      </w:r>
      <w:r w:rsidR="00065229" w:rsidRPr="00A96D52">
        <w:rPr>
          <w:rFonts w:cs="Arial"/>
          <w:sz w:val="24"/>
          <w:szCs w:val="24"/>
        </w:rPr>
        <w:t xml:space="preserve">'s revised EAMS cohort would act to restrict the group of patients who may otherwise have been considered eligible for </w:t>
      </w:r>
      <w:proofErr w:type="spellStart"/>
      <w:r w:rsidR="00065229" w:rsidRPr="00A96D52">
        <w:rPr>
          <w:rFonts w:cs="Arial"/>
          <w:sz w:val="24"/>
          <w:szCs w:val="24"/>
        </w:rPr>
        <w:t>zilucoplan</w:t>
      </w:r>
      <w:proofErr w:type="spellEnd"/>
      <w:r w:rsidR="00065229" w:rsidRPr="00A96D52">
        <w:rPr>
          <w:rFonts w:cs="Arial"/>
          <w:sz w:val="24"/>
          <w:szCs w:val="24"/>
        </w:rPr>
        <w:t xml:space="preserve">. Channa </w:t>
      </w:r>
      <w:proofErr w:type="spellStart"/>
      <w:r w:rsidR="00065229" w:rsidRPr="00A96D52">
        <w:rPr>
          <w:rFonts w:cs="Arial"/>
          <w:sz w:val="24"/>
          <w:szCs w:val="24"/>
        </w:rPr>
        <w:t>Hewamadduma</w:t>
      </w:r>
      <w:proofErr w:type="spellEnd"/>
      <w:r w:rsidR="00065229" w:rsidRPr="00A96D52">
        <w:rPr>
          <w:rFonts w:cs="Arial"/>
          <w:sz w:val="24"/>
          <w:szCs w:val="24"/>
        </w:rPr>
        <w:t xml:space="preserve"> explained that </w:t>
      </w:r>
      <w:r w:rsidR="001F7BAF">
        <w:rPr>
          <w:rFonts w:cs="Arial"/>
          <w:sz w:val="24"/>
          <w:szCs w:val="24"/>
        </w:rPr>
        <w:t>UCB</w:t>
      </w:r>
      <w:r w:rsidR="00065229" w:rsidRPr="00A96D52">
        <w:rPr>
          <w:rFonts w:cs="Arial"/>
          <w:sz w:val="24"/>
          <w:szCs w:val="24"/>
        </w:rPr>
        <w:t xml:space="preserve">'s decision to position </w:t>
      </w:r>
      <w:proofErr w:type="spellStart"/>
      <w:r w:rsidR="00065229" w:rsidRPr="00A96D52">
        <w:rPr>
          <w:rFonts w:cs="Arial"/>
          <w:sz w:val="24"/>
          <w:szCs w:val="24"/>
        </w:rPr>
        <w:t>zilucoplan</w:t>
      </w:r>
      <w:proofErr w:type="spellEnd"/>
      <w:r w:rsidR="00065229" w:rsidRPr="00A96D52">
        <w:rPr>
          <w:rFonts w:cs="Arial"/>
          <w:sz w:val="24"/>
          <w:szCs w:val="24"/>
        </w:rPr>
        <w:t xml:space="preserve"> to a sub-group of patients reflected the fact that this was the group with the greatest unmet need.</w:t>
      </w:r>
      <w:r w:rsidR="001E4FBA" w:rsidRPr="00A96D52">
        <w:rPr>
          <w:rFonts w:cs="Arial"/>
          <w:sz w:val="24"/>
          <w:szCs w:val="24"/>
        </w:rPr>
        <w:t xml:space="preserve"> He considered that preferring a larger patient population, not all of whom would be considered to have truly refractory </w:t>
      </w:r>
      <w:proofErr w:type="spellStart"/>
      <w:r w:rsidR="001E4FBA" w:rsidRPr="00A96D52">
        <w:rPr>
          <w:rFonts w:cs="Arial"/>
          <w:sz w:val="24"/>
          <w:szCs w:val="24"/>
        </w:rPr>
        <w:t>gMG</w:t>
      </w:r>
      <w:proofErr w:type="spellEnd"/>
      <w:r w:rsidR="001E4FBA" w:rsidRPr="00A96D52">
        <w:rPr>
          <w:rFonts w:cs="Arial"/>
          <w:sz w:val="24"/>
          <w:szCs w:val="24"/>
        </w:rPr>
        <w:t>,</w:t>
      </w:r>
      <w:r w:rsidR="005C54AE" w:rsidRPr="00A96D52">
        <w:rPr>
          <w:rFonts w:cs="Arial"/>
          <w:sz w:val="24"/>
          <w:szCs w:val="24"/>
        </w:rPr>
        <w:t xml:space="preserve"> increased the uncertainty. </w:t>
      </w:r>
    </w:p>
    <w:p w14:paraId="15147715" w14:textId="6D4A7979" w:rsidR="005C54AE" w:rsidRPr="00A96D52" w:rsidRDefault="005C54AE" w:rsidP="007D7935">
      <w:pPr>
        <w:pStyle w:val="Paragraph"/>
        <w:rPr>
          <w:rFonts w:cs="Arial"/>
          <w:sz w:val="24"/>
          <w:szCs w:val="24"/>
        </w:rPr>
      </w:pPr>
      <w:r w:rsidRPr="00A96D52">
        <w:rPr>
          <w:rFonts w:cs="Arial"/>
          <w:sz w:val="24"/>
          <w:szCs w:val="24"/>
        </w:rPr>
        <w:t>Sarah Love</w:t>
      </w:r>
      <w:r w:rsidR="00267CBD">
        <w:rPr>
          <w:rFonts w:cs="Arial"/>
          <w:sz w:val="24"/>
          <w:szCs w:val="24"/>
        </w:rPr>
        <w:t xml:space="preserve">, for </w:t>
      </w:r>
      <w:proofErr w:type="spellStart"/>
      <w:r w:rsidR="00267CBD">
        <w:rPr>
          <w:rFonts w:cs="Arial"/>
          <w:sz w:val="24"/>
          <w:szCs w:val="24"/>
        </w:rPr>
        <w:t>Myaware</w:t>
      </w:r>
      <w:proofErr w:type="spellEnd"/>
      <w:r w:rsidR="00267CBD">
        <w:rPr>
          <w:rFonts w:cs="Arial"/>
          <w:sz w:val="24"/>
          <w:szCs w:val="24"/>
        </w:rPr>
        <w:t>,</w:t>
      </w:r>
      <w:r w:rsidRPr="00A96D52">
        <w:rPr>
          <w:rFonts w:cs="Arial"/>
          <w:sz w:val="24"/>
          <w:szCs w:val="24"/>
        </w:rPr>
        <w:t xml:space="preserve"> highlighted two key concerns that </w:t>
      </w:r>
      <w:proofErr w:type="spellStart"/>
      <w:r w:rsidRPr="00A96D52">
        <w:rPr>
          <w:rFonts w:cs="Arial"/>
          <w:sz w:val="24"/>
          <w:szCs w:val="24"/>
        </w:rPr>
        <w:t>Myaware</w:t>
      </w:r>
      <w:proofErr w:type="spellEnd"/>
      <w:r w:rsidRPr="00A96D52">
        <w:rPr>
          <w:rFonts w:cs="Arial"/>
          <w:sz w:val="24"/>
          <w:szCs w:val="24"/>
        </w:rPr>
        <w:t xml:space="preserve"> held in relation to using the full EAMS cohort</w:t>
      </w:r>
      <w:r w:rsidR="00433147" w:rsidRPr="00A96D52">
        <w:rPr>
          <w:rFonts w:cs="Arial"/>
          <w:sz w:val="24"/>
          <w:szCs w:val="24"/>
        </w:rPr>
        <w:t xml:space="preserve"> – sample size and consensus about the target population</w:t>
      </w:r>
      <w:r w:rsidR="005D44A6" w:rsidRPr="00A96D52">
        <w:rPr>
          <w:rFonts w:cs="Arial"/>
          <w:sz w:val="24"/>
          <w:szCs w:val="24"/>
        </w:rPr>
        <w:t xml:space="preserve">. </w:t>
      </w:r>
      <w:r w:rsidR="00C965A2" w:rsidRPr="00A96D52">
        <w:rPr>
          <w:rFonts w:cs="Arial"/>
          <w:sz w:val="24"/>
          <w:szCs w:val="24"/>
        </w:rPr>
        <w:t xml:space="preserve">She noted that a clinical expert at the committee meeting had confirmed that the revised EAMS </w:t>
      </w:r>
      <w:r w:rsidR="00AC4E08" w:rsidRPr="00A96D52">
        <w:rPr>
          <w:rFonts w:cs="Arial"/>
          <w:sz w:val="24"/>
          <w:szCs w:val="24"/>
        </w:rPr>
        <w:t xml:space="preserve">cohort aligned with the target population. Accepting the </w:t>
      </w:r>
      <w:r w:rsidR="00AC4E08" w:rsidRPr="00A96D52">
        <w:rPr>
          <w:rFonts w:cs="Arial"/>
          <w:sz w:val="24"/>
          <w:szCs w:val="24"/>
        </w:rPr>
        <w:lastRenderedPageBreak/>
        <w:t xml:space="preserve">general desire for a larger sample size – the patient population was not </w:t>
      </w:r>
      <w:r w:rsidR="000034E2" w:rsidRPr="00A96D52">
        <w:rPr>
          <w:rFonts w:cs="Arial"/>
          <w:sz w:val="24"/>
          <w:szCs w:val="24"/>
        </w:rPr>
        <w:t xml:space="preserve">representative of the cohort eligible for </w:t>
      </w:r>
      <w:proofErr w:type="spellStart"/>
      <w:r w:rsidR="000034E2" w:rsidRPr="00A96D52">
        <w:rPr>
          <w:rFonts w:cs="Arial"/>
          <w:sz w:val="24"/>
          <w:szCs w:val="24"/>
        </w:rPr>
        <w:t>zilucoplan</w:t>
      </w:r>
      <w:proofErr w:type="spellEnd"/>
      <w:r w:rsidR="000034E2" w:rsidRPr="00A96D52">
        <w:rPr>
          <w:rFonts w:cs="Arial"/>
          <w:sz w:val="24"/>
          <w:szCs w:val="24"/>
        </w:rPr>
        <w:t xml:space="preserve">. She highlighted three patients in the full EAMS cohort who were not on any treatment whatsoever, which she considered to be clear demonstration that the full EAMS cohort was not appropriate. The question for the </w:t>
      </w:r>
      <w:r w:rsidR="00076427">
        <w:rPr>
          <w:rFonts w:cs="Arial"/>
          <w:sz w:val="24"/>
          <w:szCs w:val="24"/>
        </w:rPr>
        <w:t xml:space="preserve">appeal </w:t>
      </w:r>
      <w:r w:rsidR="000034E2" w:rsidRPr="00A96D52">
        <w:rPr>
          <w:rFonts w:cs="Arial"/>
          <w:sz w:val="24"/>
          <w:szCs w:val="24"/>
        </w:rPr>
        <w:t xml:space="preserve">panel, Sarah Love explained, was whether for an individual with relevant knowledge of the matters, the decision appeared rational. </w:t>
      </w:r>
      <w:proofErr w:type="gramStart"/>
      <w:r w:rsidR="000034E2" w:rsidRPr="00A96D52">
        <w:rPr>
          <w:rFonts w:cs="Arial"/>
          <w:sz w:val="24"/>
          <w:szCs w:val="24"/>
        </w:rPr>
        <w:t>All of</w:t>
      </w:r>
      <w:proofErr w:type="gramEnd"/>
      <w:r w:rsidR="000034E2" w:rsidRPr="00A96D52">
        <w:rPr>
          <w:rFonts w:cs="Arial"/>
          <w:sz w:val="24"/>
          <w:szCs w:val="24"/>
        </w:rPr>
        <w:t xml:space="preserve"> the authors of the EAMS paper who were present at committee meetings / the appeal did not consider using the full EAMS cohort to be a rational approach. </w:t>
      </w:r>
    </w:p>
    <w:p w14:paraId="5797FDC8" w14:textId="339E1EBD" w:rsidR="00D04812" w:rsidRPr="00A96D52" w:rsidRDefault="00D4221C" w:rsidP="007D7935">
      <w:pPr>
        <w:pStyle w:val="Paragraph"/>
        <w:rPr>
          <w:rFonts w:cs="Arial"/>
          <w:sz w:val="24"/>
          <w:szCs w:val="24"/>
        </w:rPr>
      </w:pPr>
      <w:r w:rsidRPr="00A96D52">
        <w:rPr>
          <w:rFonts w:cs="Arial"/>
          <w:sz w:val="24"/>
          <w:szCs w:val="24"/>
        </w:rPr>
        <w:t>Jacoline Bouvy</w:t>
      </w:r>
      <w:r w:rsidR="005A751C">
        <w:rPr>
          <w:rFonts w:cs="Arial"/>
          <w:sz w:val="24"/>
          <w:szCs w:val="24"/>
        </w:rPr>
        <w:t>, for NICE</w:t>
      </w:r>
      <w:r w:rsidR="00076427">
        <w:rPr>
          <w:rFonts w:cs="Arial"/>
          <w:sz w:val="24"/>
          <w:szCs w:val="24"/>
        </w:rPr>
        <w:t>,</w:t>
      </w:r>
      <w:r w:rsidRPr="00A96D52">
        <w:rPr>
          <w:rFonts w:cs="Arial"/>
          <w:sz w:val="24"/>
          <w:szCs w:val="24"/>
        </w:rPr>
        <w:t xml:space="preserve"> </w:t>
      </w:r>
      <w:r w:rsidR="00B772DB" w:rsidRPr="00A96D52">
        <w:rPr>
          <w:rFonts w:cs="Arial"/>
          <w:sz w:val="24"/>
          <w:szCs w:val="24"/>
        </w:rPr>
        <w:t xml:space="preserve">explained that the committee had </w:t>
      </w:r>
      <w:proofErr w:type="gramStart"/>
      <w:r w:rsidR="00B772DB" w:rsidRPr="00A96D52">
        <w:rPr>
          <w:rFonts w:cs="Arial"/>
          <w:sz w:val="24"/>
          <w:szCs w:val="24"/>
        </w:rPr>
        <w:t>taken into account</w:t>
      </w:r>
      <w:proofErr w:type="gramEnd"/>
      <w:r w:rsidR="00B772DB" w:rsidRPr="00A96D52">
        <w:rPr>
          <w:rFonts w:cs="Arial"/>
          <w:sz w:val="24"/>
          <w:szCs w:val="24"/>
        </w:rPr>
        <w:t xml:space="preserve"> </w:t>
      </w:r>
      <w:r w:rsidR="005A751C">
        <w:rPr>
          <w:rFonts w:cs="Arial"/>
          <w:sz w:val="24"/>
          <w:szCs w:val="24"/>
        </w:rPr>
        <w:t>UCB</w:t>
      </w:r>
      <w:r w:rsidR="00B772DB" w:rsidRPr="00A96D52">
        <w:rPr>
          <w:rFonts w:cs="Arial"/>
          <w:sz w:val="24"/>
          <w:szCs w:val="24"/>
        </w:rPr>
        <w:t xml:space="preserve">'s reasoning for condensing the EAMS cohort by subset. She described this as a relevant consideration for the committee which was </w:t>
      </w:r>
      <w:proofErr w:type="gramStart"/>
      <w:r w:rsidR="00B772DB" w:rsidRPr="00A96D52">
        <w:rPr>
          <w:rFonts w:cs="Arial"/>
          <w:sz w:val="24"/>
          <w:szCs w:val="24"/>
        </w:rPr>
        <w:t>taken into account</w:t>
      </w:r>
      <w:proofErr w:type="gramEnd"/>
      <w:r w:rsidR="00B772DB" w:rsidRPr="00A96D52">
        <w:rPr>
          <w:rFonts w:cs="Arial"/>
          <w:sz w:val="24"/>
          <w:szCs w:val="24"/>
        </w:rPr>
        <w:t xml:space="preserve">. Another factor taken into consideration was the committee's concern that preferring the revised EAMS cohort would unfairly restrict the number of patients who would then have access to </w:t>
      </w:r>
      <w:proofErr w:type="spellStart"/>
      <w:r w:rsidR="00B772DB" w:rsidRPr="00A96D52">
        <w:rPr>
          <w:rFonts w:cs="Arial"/>
          <w:sz w:val="24"/>
          <w:szCs w:val="24"/>
        </w:rPr>
        <w:t>zilucoplan</w:t>
      </w:r>
      <w:proofErr w:type="spellEnd"/>
      <w:r w:rsidR="00B772DB" w:rsidRPr="00A96D52">
        <w:rPr>
          <w:rFonts w:cs="Arial"/>
          <w:sz w:val="24"/>
          <w:szCs w:val="24"/>
        </w:rPr>
        <w:t xml:space="preserve">. </w:t>
      </w:r>
      <w:r w:rsidR="00986B2F" w:rsidRPr="00A96D52">
        <w:rPr>
          <w:rFonts w:cs="Arial"/>
          <w:sz w:val="24"/>
          <w:szCs w:val="24"/>
        </w:rPr>
        <w:t>Yelan Guo</w:t>
      </w:r>
      <w:r w:rsidR="005A751C">
        <w:rPr>
          <w:rFonts w:cs="Arial"/>
          <w:sz w:val="24"/>
          <w:szCs w:val="24"/>
        </w:rPr>
        <w:t>, for NICE</w:t>
      </w:r>
      <w:r w:rsidR="009E300C">
        <w:rPr>
          <w:rFonts w:cs="Arial"/>
          <w:sz w:val="24"/>
          <w:szCs w:val="24"/>
        </w:rPr>
        <w:t>,</w:t>
      </w:r>
      <w:r w:rsidR="00986B2F" w:rsidRPr="00A96D52">
        <w:rPr>
          <w:rFonts w:cs="Arial"/>
          <w:sz w:val="24"/>
          <w:szCs w:val="24"/>
        </w:rPr>
        <w:t xml:space="preserve"> agreed with Jacoline Bouvy, and noted that the committee considered the range of definitions of refractory observed in the full EAMS cohort was a fair reflection of the range of definitions used in real-world NHS practice. </w:t>
      </w:r>
    </w:p>
    <w:p w14:paraId="4D57EAC3" w14:textId="3C91276B" w:rsidR="00E815BD" w:rsidRDefault="00D94A61" w:rsidP="00E815BD">
      <w:pPr>
        <w:pStyle w:val="Paragraph"/>
        <w:rPr>
          <w:rFonts w:cs="Arial"/>
          <w:sz w:val="24"/>
          <w:szCs w:val="24"/>
        </w:rPr>
      </w:pPr>
      <w:r w:rsidRPr="00A96D52">
        <w:rPr>
          <w:rFonts w:cs="Arial"/>
          <w:sz w:val="24"/>
          <w:szCs w:val="24"/>
        </w:rPr>
        <w:t>M</w:t>
      </w:r>
      <w:r w:rsidR="008A4056" w:rsidRPr="00A96D52">
        <w:rPr>
          <w:rFonts w:cs="Arial"/>
          <w:sz w:val="24"/>
          <w:szCs w:val="24"/>
        </w:rPr>
        <w:t xml:space="preserve">atthew Binns highlighted that the EAG had considered </w:t>
      </w:r>
      <w:r w:rsidR="00264CC3">
        <w:rPr>
          <w:rFonts w:cs="Arial"/>
          <w:sz w:val="24"/>
          <w:szCs w:val="24"/>
        </w:rPr>
        <w:t>UCB</w:t>
      </w:r>
      <w:r w:rsidR="008A4056" w:rsidRPr="00A96D52">
        <w:rPr>
          <w:rFonts w:cs="Arial"/>
          <w:sz w:val="24"/>
          <w:szCs w:val="24"/>
        </w:rPr>
        <w:t xml:space="preserve">'s revised EAMS cohort to be appropriate for decision making. </w:t>
      </w:r>
    </w:p>
    <w:p w14:paraId="16CA1DB4" w14:textId="68202210" w:rsidR="00E815BD" w:rsidRDefault="00E815BD" w:rsidP="00E815BD">
      <w:pPr>
        <w:pStyle w:val="Paragraph"/>
        <w:rPr>
          <w:rFonts w:cs="Arial"/>
          <w:sz w:val="24"/>
          <w:szCs w:val="24"/>
        </w:rPr>
      </w:pPr>
      <w:proofErr w:type="gramStart"/>
      <w:r w:rsidRPr="00E815BD">
        <w:rPr>
          <w:rFonts w:cs="Arial"/>
          <w:sz w:val="24"/>
          <w:szCs w:val="24"/>
        </w:rPr>
        <w:t>In regard to</w:t>
      </w:r>
      <w:proofErr w:type="gramEnd"/>
      <w:r w:rsidRPr="00E815BD">
        <w:rPr>
          <w:rFonts w:cs="Arial"/>
          <w:sz w:val="24"/>
          <w:szCs w:val="24"/>
        </w:rPr>
        <w:t xml:space="preserve"> </w:t>
      </w:r>
      <w:proofErr w:type="spellStart"/>
      <w:r w:rsidRPr="00E815BD">
        <w:rPr>
          <w:rFonts w:cs="Arial"/>
          <w:sz w:val="24"/>
          <w:szCs w:val="24"/>
        </w:rPr>
        <w:t>Myaware</w:t>
      </w:r>
      <w:r w:rsidR="0089444C">
        <w:rPr>
          <w:rFonts w:cs="Arial"/>
          <w:sz w:val="24"/>
          <w:szCs w:val="24"/>
        </w:rPr>
        <w:t>’s</w:t>
      </w:r>
      <w:proofErr w:type="spellEnd"/>
      <w:r w:rsidRPr="00E815BD">
        <w:rPr>
          <w:rFonts w:cs="Arial"/>
          <w:sz w:val="24"/>
          <w:szCs w:val="24"/>
        </w:rPr>
        <w:t xml:space="preserve"> </w:t>
      </w:r>
      <w:r w:rsidR="009E300C">
        <w:rPr>
          <w:rFonts w:cs="Arial"/>
          <w:sz w:val="24"/>
          <w:szCs w:val="24"/>
        </w:rPr>
        <w:t>a</w:t>
      </w:r>
      <w:r w:rsidRPr="00E815BD">
        <w:rPr>
          <w:rFonts w:cs="Arial"/>
          <w:sz w:val="24"/>
          <w:szCs w:val="24"/>
        </w:rPr>
        <w:t xml:space="preserve">ppeal </w:t>
      </w:r>
      <w:r w:rsidR="009E300C">
        <w:rPr>
          <w:rFonts w:cs="Arial"/>
          <w:sz w:val="24"/>
          <w:szCs w:val="24"/>
        </w:rPr>
        <w:t>p</w:t>
      </w:r>
      <w:r w:rsidRPr="00E815BD">
        <w:rPr>
          <w:rFonts w:cs="Arial"/>
          <w:sz w:val="24"/>
          <w:szCs w:val="24"/>
        </w:rPr>
        <w:t>oint 2.2 and UCB</w:t>
      </w:r>
      <w:r w:rsidR="0089444C">
        <w:rPr>
          <w:rFonts w:cs="Arial"/>
          <w:sz w:val="24"/>
          <w:szCs w:val="24"/>
        </w:rPr>
        <w:t>’s</w:t>
      </w:r>
      <w:r w:rsidRPr="00E815BD">
        <w:rPr>
          <w:rFonts w:cs="Arial"/>
          <w:sz w:val="24"/>
          <w:szCs w:val="24"/>
        </w:rPr>
        <w:t xml:space="preserve"> </w:t>
      </w:r>
      <w:r w:rsidR="009E300C">
        <w:rPr>
          <w:rFonts w:cs="Arial"/>
          <w:sz w:val="24"/>
          <w:szCs w:val="24"/>
        </w:rPr>
        <w:t>a</w:t>
      </w:r>
      <w:r w:rsidRPr="00E815BD">
        <w:rPr>
          <w:rFonts w:cs="Arial"/>
          <w:sz w:val="24"/>
          <w:szCs w:val="24"/>
        </w:rPr>
        <w:t xml:space="preserve">ppeal </w:t>
      </w:r>
      <w:r w:rsidR="009E300C">
        <w:rPr>
          <w:rFonts w:cs="Arial"/>
          <w:sz w:val="24"/>
          <w:szCs w:val="24"/>
        </w:rPr>
        <w:t>p</w:t>
      </w:r>
      <w:r w:rsidRPr="00E815BD">
        <w:rPr>
          <w:rFonts w:cs="Arial"/>
          <w:sz w:val="24"/>
          <w:szCs w:val="24"/>
        </w:rPr>
        <w:t xml:space="preserve">oint 2.6, the </w:t>
      </w:r>
      <w:r w:rsidR="00CA6A91">
        <w:rPr>
          <w:rFonts w:cs="Arial"/>
          <w:sz w:val="24"/>
          <w:szCs w:val="24"/>
        </w:rPr>
        <w:t xml:space="preserve">appeal </w:t>
      </w:r>
      <w:r w:rsidRPr="00E815BD">
        <w:rPr>
          <w:rFonts w:cs="Arial"/>
          <w:sz w:val="24"/>
          <w:szCs w:val="24"/>
        </w:rPr>
        <w:t>panel concluded as follows</w:t>
      </w:r>
      <w:r w:rsidR="00FD79FA">
        <w:rPr>
          <w:rFonts w:cs="Arial"/>
          <w:sz w:val="24"/>
          <w:szCs w:val="24"/>
        </w:rPr>
        <w:t>. T</w:t>
      </w:r>
      <w:r w:rsidRPr="00E815BD">
        <w:rPr>
          <w:rFonts w:cs="Arial"/>
          <w:sz w:val="24"/>
          <w:szCs w:val="24"/>
        </w:rPr>
        <w:t xml:space="preserve">he </w:t>
      </w:r>
      <w:r w:rsidR="00CA6A91">
        <w:rPr>
          <w:rFonts w:cs="Arial"/>
          <w:sz w:val="24"/>
          <w:szCs w:val="24"/>
        </w:rPr>
        <w:t xml:space="preserve">appeal </w:t>
      </w:r>
      <w:r w:rsidRPr="00E815BD">
        <w:rPr>
          <w:rFonts w:cs="Arial"/>
          <w:sz w:val="24"/>
          <w:szCs w:val="24"/>
        </w:rPr>
        <w:t>panel were satisfied that the committee had considered carefully which of the full or revised EAMS datasets was most appropriate to inform the proportions of patients receiving the range of different treatments in the 'basket' of standard care.  In doing so</w:t>
      </w:r>
      <w:r w:rsidR="00923649">
        <w:rPr>
          <w:rFonts w:cs="Arial"/>
          <w:sz w:val="24"/>
          <w:szCs w:val="24"/>
        </w:rPr>
        <w:t>,</w:t>
      </w:r>
      <w:r w:rsidRPr="00E815BD">
        <w:rPr>
          <w:rFonts w:cs="Arial"/>
          <w:sz w:val="24"/>
          <w:szCs w:val="24"/>
        </w:rPr>
        <w:t xml:space="preserve"> </w:t>
      </w:r>
      <w:r w:rsidR="00FD79FA">
        <w:rPr>
          <w:rFonts w:cs="Arial"/>
          <w:sz w:val="24"/>
          <w:szCs w:val="24"/>
        </w:rPr>
        <w:t xml:space="preserve">the </w:t>
      </w:r>
      <w:r w:rsidR="00893156">
        <w:rPr>
          <w:rFonts w:cs="Arial"/>
          <w:sz w:val="24"/>
          <w:szCs w:val="24"/>
        </w:rPr>
        <w:t xml:space="preserve">appeal </w:t>
      </w:r>
      <w:r w:rsidR="00FD79FA">
        <w:rPr>
          <w:rFonts w:cs="Arial"/>
          <w:sz w:val="24"/>
          <w:szCs w:val="24"/>
        </w:rPr>
        <w:t>panel were</w:t>
      </w:r>
      <w:r w:rsidRPr="00E815BD">
        <w:rPr>
          <w:rFonts w:cs="Arial"/>
          <w:sz w:val="24"/>
          <w:szCs w:val="24"/>
        </w:rPr>
        <w:t xml:space="preserve"> content that evidence from clinical experts and published data had been taken into consideration and were incorporated into a </w:t>
      </w:r>
      <w:r w:rsidR="00923649">
        <w:rPr>
          <w:rFonts w:cs="Arial"/>
          <w:sz w:val="24"/>
          <w:szCs w:val="24"/>
        </w:rPr>
        <w:t xml:space="preserve">balanced assessment by the committee </w:t>
      </w:r>
      <w:r w:rsidRPr="00E815BD">
        <w:rPr>
          <w:rFonts w:cs="Arial"/>
          <w:sz w:val="24"/>
          <w:szCs w:val="24"/>
        </w:rPr>
        <w:t xml:space="preserve">of the advantages and disadvantages of adopting either cohort.  It </w:t>
      </w:r>
      <w:r w:rsidR="00AB5846">
        <w:rPr>
          <w:rFonts w:cs="Arial"/>
          <w:sz w:val="24"/>
          <w:szCs w:val="24"/>
        </w:rPr>
        <w:t xml:space="preserve">accepted </w:t>
      </w:r>
      <w:r w:rsidRPr="00E815BD">
        <w:rPr>
          <w:rFonts w:cs="Arial"/>
          <w:sz w:val="24"/>
          <w:szCs w:val="24"/>
        </w:rPr>
        <w:t xml:space="preserve">that the definition of </w:t>
      </w:r>
      <w:r w:rsidRPr="00E815BD">
        <w:rPr>
          <w:rFonts w:cs="Arial"/>
          <w:sz w:val="24"/>
          <w:szCs w:val="24"/>
        </w:rPr>
        <w:lastRenderedPageBreak/>
        <w:t xml:space="preserve">refractoriness to standard treatment is non-standardised in NHS clinical practice and that this added unavoidable uncertainty to the decisions that were made by the committee. While acknowledging the concerns of the appellants that the full EAMS database may not entirely represent the cohort of patients that would receive </w:t>
      </w:r>
      <w:proofErr w:type="spellStart"/>
      <w:r w:rsidRPr="00E815BD">
        <w:rPr>
          <w:rFonts w:cs="Arial"/>
          <w:sz w:val="24"/>
          <w:szCs w:val="24"/>
        </w:rPr>
        <w:t>zilucoplan</w:t>
      </w:r>
      <w:proofErr w:type="spellEnd"/>
      <w:r w:rsidRPr="00E815BD">
        <w:rPr>
          <w:rFonts w:cs="Arial"/>
          <w:sz w:val="24"/>
          <w:szCs w:val="24"/>
        </w:rPr>
        <w:t xml:space="preserve"> if it were recommended for use, the </w:t>
      </w:r>
      <w:r w:rsidR="00C025AD">
        <w:rPr>
          <w:rFonts w:cs="Arial"/>
          <w:sz w:val="24"/>
          <w:szCs w:val="24"/>
        </w:rPr>
        <w:t xml:space="preserve">appeal </w:t>
      </w:r>
      <w:r w:rsidRPr="00E815BD">
        <w:rPr>
          <w:rFonts w:cs="Arial"/>
          <w:sz w:val="24"/>
          <w:szCs w:val="24"/>
        </w:rPr>
        <w:t xml:space="preserve">panel also noted the desire of the committee to ensure that the proportions of patients receiving different treatments in the 'basket' of standard care were representative of the heterogeneity of NHS practice.  In addition, the </w:t>
      </w:r>
      <w:r w:rsidR="006B0523">
        <w:rPr>
          <w:rFonts w:cs="Arial"/>
          <w:sz w:val="24"/>
          <w:szCs w:val="24"/>
        </w:rPr>
        <w:t xml:space="preserve">appeal </w:t>
      </w:r>
      <w:r w:rsidRPr="00E815BD">
        <w:rPr>
          <w:rFonts w:cs="Arial"/>
          <w:sz w:val="24"/>
          <w:szCs w:val="24"/>
        </w:rPr>
        <w:t>panel were persuaded that the committee sought</w:t>
      </w:r>
      <w:r w:rsidR="00923649">
        <w:rPr>
          <w:rFonts w:cs="Arial"/>
          <w:sz w:val="24"/>
          <w:szCs w:val="24"/>
        </w:rPr>
        <w:t xml:space="preserve"> </w:t>
      </w:r>
      <w:r w:rsidRPr="00E815BD">
        <w:rPr>
          <w:rFonts w:cs="Arial"/>
          <w:sz w:val="24"/>
          <w:szCs w:val="24"/>
        </w:rPr>
        <w:t>to adopt an approach that was consistent with that of TA1069</w:t>
      </w:r>
      <w:r w:rsidR="00923649">
        <w:rPr>
          <w:rFonts w:cs="Arial"/>
          <w:sz w:val="24"/>
          <w:szCs w:val="24"/>
        </w:rPr>
        <w:t xml:space="preserve"> and that it was appropriate and reasonable for it to do so in this regard. </w:t>
      </w:r>
      <w:r w:rsidRPr="00E815BD">
        <w:rPr>
          <w:rFonts w:cs="Arial"/>
          <w:sz w:val="24"/>
          <w:szCs w:val="24"/>
        </w:rPr>
        <w:t xml:space="preserve">The </w:t>
      </w:r>
      <w:r w:rsidR="00532F29">
        <w:rPr>
          <w:rFonts w:cs="Arial"/>
          <w:sz w:val="24"/>
          <w:szCs w:val="24"/>
        </w:rPr>
        <w:t xml:space="preserve">appeal </w:t>
      </w:r>
      <w:r w:rsidRPr="00E815BD">
        <w:rPr>
          <w:rFonts w:cs="Arial"/>
          <w:sz w:val="24"/>
          <w:szCs w:val="24"/>
        </w:rPr>
        <w:t xml:space="preserve">panel also noted the concerns of the committee that the exclusion of selected patients from the full EAMS database to arrive at the restricted cohort involved a series of assumptions about their absence of treatment refractoriness that was unsupported by definitive evidence and that this exercise restricted the numbers of the patients in the cohort sample.  Overall, the </w:t>
      </w:r>
      <w:r w:rsidR="004962D9">
        <w:rPr>
          <w:rFonts w:cs="Arial"/>
          <w:sz w:val="24"/>
          <w:szCs w:val="24"/>
        </w:rPr>
        <w:t xml:space="preserve">appeal </w:t>
      </w:r>
      <w:r w:rsidRPr="00E815BD">
        <w:rPr>
          <w:rFonts w:cs="Arial"/>
          <w:sz w:val="24"/>
          <w:szCs w:val="24"/>
        </w:rPr>
        <w:t>panel concluded that the committee had taken a balanced approach in reasonably select</w:t>
      </w:r>
      <w:r w:rsidR="00FD79FA">
        <w:rPr>
          <w:rFonts w:cs="Arial"/>
          <w:sz w:val="24"/>
          <w:szCs w:val="24"/>
        </w:rPr>
        <w:t>ing</w:t>
      </w:r>
      <w:r w:rsidRPr="00E815BD">
        <w:rPr>
          <w:rFonts w:cs="Arial"/>
          <w:sz w:val="24"/>
          <w:szCs w:val="24"/>
        </w:rPr>
        <w:t xml:space="preserve"> the full EAMS database to inform the proportions of patients receiving the range of treatments in the 'basket' of standard care.  It therefore dismissed the appeal on these points.</w:t>
      </w:r>
    </w:p>
    <w:p w14:paraId="22011EEE" w14:textId="6C938FE2" w:rsidR="00EF237F" w:rsidRPr="00E815BD" w:rsidRDefault="00EF237F" w:rsidP="00894289">
      <w:pPr>
        <w:pStyle w:val="Heading3"/>
        <w:keepNext w:val="0"/>
        <w:widowControl w:val="0"/>
      </w:pPr>
      <w:r w:rsidRPr="00E815BD">
        <w:t xml:space="preserve">ABN </w:t>
      </w:r>
      <w:r w:rsidR="00F406BB">
        <w:t xml:space="preserve">appeal </w:t>
      </w:r>
      <w:proofErr w:type="gramStart"/>
      <w:r w:rsidR="00F406BB">
        <w:t>point</w:t>
      </w:r>
      <w:proofErr w:type="gramEnd"/>
      <w:r w:rsidR="00F406BB">
        <w:t xml:space="preserve"> </w:t>
      </w:r>
      <w:r w:rsidRPr="00E815BD">
        <w:t>2.3</w:t>
      </w:r>
      <w:r w:rsidR="00F406BB">
        <w:t xml:space="preserve">: </w:t>
      </w:r>
      <w:r w:rsidRPr="00E815BD">
        <w:t xml:space="preserve">The ability of </w:t>
      </w:r>
      <w:proofErr w:type="spellStart"/>
      <w:r w:rsidRPr="00E815BD">
        <w:t>Zilucoplan</w:t>
      </w:r>
      <w:proofErr w:type="spellEnd"/>
      <w:r w:rsidRPr="00E815BD">
        <w:t xml:space="preserve"> to achieve minimal symptom expression has not been adequately considered</w:t>
      </w:r>
      <w:r w:rsidR="002F75D6">
        <w:t>.</w:t>
      </w:r>
    </w:p>
    <w:p w14:paraId="200C66C8" w14:textId="0B41D878" w:rsidR="00EF237F" w:rsidRPr="00A96D52" w:rsidRDefault="00EF237F" w:rsidP="00894289">
      <w:pPr>
        <w:pStyle w:val="Heading3"/>
        <w:keepNext w:val="0"/>
        <w:widowControl w:val="0"/>
      </w:pPr>
      <w:r w:rsidRPr="00A96D52">
        <w:t xml:space="preserve">MDUK </w:t>
      </w:r>
      <w:r w:rsidR="002F75D6">
        <w:t xml:space="preserve">appeal point </w:t>
      </w:r>
      <w:r w:rsidRPr="00A96D52">
        <w:t>2.3</w:t>
      </w:r>
      <w:r w:rsidR="002F75D6">
        <w:t xml:space="preserve">: </w:t>
      </w:r>
      <w:r w:rsidRPr="00A96D52">
        <w:t>It was unreasonable to overlook the value of minimal symptom expression as a meaningful clinical outcome, particularly when it reflects a state of disease control that is highly valued by patients</w:t>
      </w:r>
      <w:r w:rsidR="002F75D6">
        <w:t>.</w:t>
      </w:r>
    </w:p>
    <w:p w14:paraId="16CFC3BA" w14:textId="6780FE96" w:rsidR="00EF237F" w:rsidRPr="00A96D52" w:rsidRDefault="00EF237F" w:rsidP="00894289">
      <w:pPr>
        <w:pStyle w:val="Heading3"/>
        <w:keepNext w:val="0"/>
        <w:widowControl w:val="0"/>
      </w:pPr>
      <w:proofErr w:type="spellStart"/>
      <w:r w:rsidRPr="00A96D52">
        <w:t>Myaware</w:t>
      </w:r>
      <w:proofErr w:type="spellEnd"/>
      <w:r w:rsidR="002F75D6">
        <w:t xml:space="preserve"> appeal point</w:t>
      </w:r>
      <w:r w:rsidRPr="00A96D52">
        <w:t xml:space="preserve"> 2.3</w:t>
      </w:r>
      <w:r w:rsidR="002F75D6">
        <w:t xml:space="preserve">: </w:t>
      </w:r>
      <w:r w:rsidRPr="00A96D52">
        <w:t xml:space="preserve">NICE's conclusion that </w:t>
      </w:r>
      <w:r w:rsidR="00720058">
        <w:t>m</w:t>
      </w:r>
      <w:r w:rsidRPr="00A96D52">
        <w:t xml:space="preserve">inimal </w:t>
      </w:r>
      <w:r w:rsidR="00720058">
        <w:t>s</w:t>
      </w:r>
      <w:r w:rsidRPr="00A96D52">
        <w:t xml:space="preserve">ymptom </w:t>
      </w:r>
      <w:proofErr w:type="gramStart"/>
      <w:r w:rsidR="00720058">
        <w:t>e</w:t>
      </w:r>
      <w:r w:rsidRPr="00A96D52">
        <w:t>xpression  should</w:t>
      </w:r>
      <w:proofErr w:type="gramEnd"/>
      <w:r w:rsidRPr="00A96D52">
        <w:t xml:space="preserve"> be removed from the model is unreasonable.</w:t>
      </w:r>
    </w:p>
    <w:p w14:paraId="75AF0D44" w14:textId="5187BCBD" w:rsidR="008A4056" w:rsidRPr="00A96D52" w:rsidRDefault="00EF237F" w:rsidP="00894289">
      <w:pPr>
        <w:pStyle w:val="Heading3"/>
        <w:keepNext w:val="0"/>
        <w:widowControl w:val="0"/>
      </w:pPr>
      <w:r w:rsidRPr="00A96D52">
        <w:t xml:space="preserve">UCB </w:t>
      </w:r>
      <w:r w:rsidR="002F75D6">
        <w:t xml:space="preserve">appeal point </w:t>
      </w:r>
      <w:r w:rsidRPr="00A96D52">
        <w:t>2.5</w:t>
      </w:r>
      <w:r w:rsidR="002F75D6">
        <w:t xml:space="preserve">: </w:t>
      </w:r>
      <w:r w:rsidRPr="00A96D52">
        <w:t>The exclusion of minimal symptom expression is unreasonable in the light of the clinical trial data and expert elicitation submitted</w:t>
      </w:r>
      <w:r w:rsidR="002F75D6">
        <w:t xml:space="preserve">. </w:t>
      </w:r>
    </w:p>
    <w:p w14:paraId="02DBE743" w14:textId="69E2B895" w:rsidR="00B772DB" w:rsidRPr="00A96D52" w:rsidRDefault="008A67FB" w:rsidP="007D7935">
      <w:pPr>
        <w:pStyle w:val="Paragraph"/>
        <w:rPr>
          <w:rFonts w:cs="Arial"/>
          <w:sz w:val="24"/>
          <w:szCs w:val="24"/>
        </w:rPr>
      </w:pPr>
      <w:r w:rsidRPr="00A96D52">
        <w:rPr>
          <w:rFonts w:cs="Arial"/>
          <w:sz w:val="24"/>
          <w:szCs w:val="24"/>
        </w:rPr>
        <w:lastRenderedPageBreak/>
        <w:t xml:space="preserve">Katherine Dodd, for ABN, described ABN's view that it was unreasonable for the committee to have removed Minimal Symptom Expression ("MSE") from the model. </w:t>
      </w:r>
    </w:p>
    <w:p w14:paraId="7D90009B" w14:textId="57AEE5A3" w:rsidR="008A67FB" w:rsidRPr="00A96D52" w:rsidRDefault="008A67FB" w:rsidP="007D7935">
      <w:pPr>
        <w:pStyle w:val="Paragraph"/>
        <w:rPr>
          <w:rFonts w:cs="Arial"/>
          <w:sz w:val="24"/>
          <w:szCs w:val="24"/>
        </w:rPr>
      </w:pPr>
      <w:bookmarkStart w:id="0" w:name="_Hlk216167472"/>
      <w:r w:rsidRPr="00A96D52">
        <w:rPr>
          <w:rFonts w:cs="Arial"/>
          <w:sz w:val="24"/>
          <w:szCs w:val="24"/>
        </w:rPr>
        <w:t xml:space="preserve">Abby Mabil, for </w:t>
      </w:r>
      <w:proofErr w:type="spellStart"/>
      <w:r w:rsidRPr="00A96D52">
        <w:rPr>
          <w:rFonts w:cs="Arial"/>
          <w:sz w:val="24"/>
          <w:szCs w:val="24"/>
        </w:rPr>
        <w:t>Myaware</w:t>
      </w:r>
      <w:proofErr w:type="spellEnd"/>
      <w:r w:rsidRPr="00A96D52">
        <w:rPr>
          <w:rFonts w:cs="Arial"/>
          <w:sz w:val="24"/>
          <w:szCs w:val="24"/>
        </w:rPr>
        <w:t>, movingly described her lived experience of the differen</w:t>
      </w:r>
      <w:r w:rsidR="00A053D5">
        <w:rPr>
          <w:rFonts w:cs="Arial"/>
          <w:sz w:val="24"/>
          <w:szCs w:val="24"/>
        </w:rPr>
        <w:t>ce</w:t>
      </w:r>
      <w:r w:rsidRPr="00A96D52">
        <w:rPr>
          <w:rFonts w:cs="Arial"/>
          <w:sz w:val="24"/>
          <w:szCs w:val="24"/>
        </w:rPr>
        <w:t xml:space="preserve"> in quality of life between a </w:t>
      </w:r>
      <w:r w:rsidR="00661E66">
        <w:rPr>
          <w:rFonts w:cs="Arial"/>
          <w:sz w:val="24"/>
          <w:szCs w:val="24"/>
        </w:rPr>
        <w:t>Myasthenia Gravis Activities of Daily Living (“</w:t>
      </w:r>
      <w:r w:rsidRPr="00A96D52">
        <w:rPr>
          <w:rFonts w:cs="Arial"/>
          <w:sz w:val="24"/>
          <w:szCs w:val="24"/>
        </w:rPr>
        <w:t>MG-ADL</w:t>
      </w:r>
      <w:r w:rsidR="00661E66">
        <w:rPr>
          <w:rFonts w:cs="Arial"/>
          <w:sz w:val="24"/>
          <w:szCs w:val="24"/>
        </w:rPr>
        <w:t>”)</w:t>
      </w:r>
      <w:r w:rsidRPr="00A96D52">
        <w:rPr>
          <w:rFonts w:cs="Arial"/>
          <w:sz w:val="24"/>
          <w:szCs w:val="24"/>
        </w:rPr>
        <w:t xml:space="preserve"> score of 0 and 1. She explained that prior to </w:t>
      </w:r>
      <w:proofErr w:type="spellStart"/>
      <w:r w:rsidRPr="00A96D52">
        <w:rPr>
          <w:rFonts w:cs="Arial"/>
          <w:sz w:val="24"/>
          <w:szCs w:val="24"/>
        </w:rPr>
        <w:t>zilucoplan</w:t>
      </w:r>
      <w:proofErr w:type="spellEnd"/>
      <w:r w:rsidRPr="00A96D52">
        <w:rPr>
          <w:rFonts w:cs="Arial"/>
          <w:sz w:val="24"/>
          <w:szCs w:val="24"/>
        </w:rPr>
        <w:t xml:space="preserve">, she would always experience remnants of the disease. She described the significance of the difference between an MG-ADL score of 0-1 on her life. </w:t>
      </w:r>
    </w:p>
    <w:bookmarkEnd w:id="0"/>
    <w:p w14:paraId="6F6BE072" w14:textId="152F52E2" w:rsidR="008A67FB" w:rsidRPr="00A96D52" w:rsidRDefault="008A67FB" w:rsidP="007D7935">
      <w:pPr>
        <w:pStyle w:val="Paragraph"/>
        <w:rPr>
          <w:rFonts w:cs="Arial"/>
          <w:sz w:val="24"/>
          <w:szCs w:val="24"/>
        </w:rPr>
      </w:pPr>
      <w:r w:rsidRPr="00A96D52">
        <w:rPr>
          <w:rFonts w:cs="Arial"/>
          <w:sz w:val="24"/>
          <w:szCs w:val="24"/>
        </w:rPr>
        <w:t xml:space="preserve">Kate Adcock, for MDUK, recounted another patient's experience of the transformative effect of </w:t>
      </w:r>
      <w:proofErr w:type="spellStart"/>
      <w:r w:rsidRPr="00A96D52">
        <w:rPr>
          <w:rFonts w:cs="Arial"/>
          <w:sz w:val="24"/>
          <w:szCs w:val="24"/>
        </w:rPr>
        <w:t>zilucoplan</w:t>
      </w:r>
      <w:proofErr w:type="spellEnd"/>
      <w:r w:rsidRPr="00A96D52">
        <w:rPr>
          <w:rFonts w:cs="Arial"/>
          <w:sz w:val="24"/>
          <w:szCs w:val="24"/>
        </w:rPr>
        <w:t xml:space="preserve"> on </w:t>
      </w:r>
      <w:r w:rsidR="00CC7259">
        <w:rPr>
          <w:rFonts w:cs="Arial"/>
          <w:sz w:val="24"/>
          <w:szCs w:val="24"/>
        </w:rPr>
        <w:t>their</w:t>
      </w:r>
      <w:r w:rsidRPr="00A96D52">
        <w:rPr>
          <w:rFonts w:cs="Arial"/>
          <w:sz w:val="24"/>
          <w:szCs w:val="24"/>
        </w:rPr>
        <w:t xml:space="preserve"> life. She considered that the committee had misinterpreted MSE on the grounds that </w:t>
      </w:r>
      <w:proofErr w:type="spellStart"/>
      <w:r w:rsidRPr="00A96D52">
        <w:rPr>
          <w:rFonts w:cs="Arial"/>
          <w:sz w:val="24"/>
          <w:szCs w:val="24"/>
        </w:rPr>
        <w:t>zilucoplan</w:t>
      </w:r>
      <w:proofErr w:type="spellEnd"/>
      <w:r w:rsidRPr="00A96D52">
        <w:rPr>
          <w:rFonts w:cs="Arial"/>
          <w:sz w:val="24"/>
          <w:szCs w:val="24"/>
        </w:rPr>
        <w:t xml:space="preserve"> is not curative. </w:t>
      </w:r>
    </w:p>
    <w:p w14:paraId="29FD1FA0" w14:textId="6A95CB45" w:rsidR="00EC3FF7" w:rsidRPr="00A96D52" w:rsidRDefault="008A67FB" w:rsidP="00EC3FF7">
      <w:pPr>
        <w:pStyle w:val="Paragraph"/>
        <w:rPr>
          <w:rFonts w:cs="Arial"/>
          <w:sz w:val="24"/>
          <w:szCs w:val="24"/>
        </w:rPr>
      </w:pPr>
      <w:r w:rsidRPr="00A96D52">
        <w:rPr>
          <w:rFonts w:cs="Arial"/>
          <w:sz w:val="24"/>
          <w:szCs w:val="24"/>
        </w:rPr>
        <w:t>Adela Williams</w:t>
      </w:r>
      <w:r w:rsidR="009E2FFB">
        <w:rPr>
          <w:rFonts w:cs="Arial"/>
          <w:sz w:val="24"/>
          <w:szCs w:val="24"/>
        </w:rPr>
        <w:t>, for UCB</w:t>
      </w:r>
      <w:r w:rsidR="00E0219C">
        <w:rPr>
          <w:rFonts w:cs="Arial"/>
          <w:sz w:val="24"/>
          <w:szCs w:val="24"/>
        </w:rPr>
        <w:t>,</w:t>
      </w:r>
      <w:r w:rsidR="00402D95" w:rsidRPr="00A96D52">
        <w:rPr>
          <w:rFonts w:cs="Arial"/>
          <w:sz w:val="24"/>
          <w:szCs w:val="24"/>
        </w:rPr>
        <w:t xml:space="preserve"> summarised UCB's appeal point by explaining that, given that MSE is highly clinically relevant (as heard during the appeal hearing and during committee meetings) – it was unreasonable for the committee to have preferred to exclude it entirely </w:t>
      </w:r>
      <w:r w:rsidR="00EC3FF7" w:rsidRPr="00A96D52">
        <w:rPr>
          <w:rFonts w:cs="Arial"/>
          <w:sz w:val="24"/>
          <w:szCs w:val="24"/>
        </w:rPr>
        <w:t xml:space="preserve">from the model. The committee's preferred approach to modelling did not reflect the real-world experience of patients who had explained during the appraisal the significance of MSE to their </w:t>
      </w:r>
      <w:r w:rsidR="00324743">
        <w:rPr>
          <w:rFonts w:cs="Arial"/>
          <w:sz w:val="24"/>
          <w:szCs w:val="24"/>
        </w:rPr>
        <w:t>health-related quality of life (“</w:t>
      </w:r>
      <w:proofErr w:type="spellStart"/>
      <w:r w:rsidR="00EC3FF7" w:rsidRPr="00A96D52">
        <w:rPr>
          <w:rFonts w:cs="Arial"/>
          <w:sz w:val="24"/>
          <w:szCs w:val="24"/>
        </w:rPr>
        <w:t>HRQoL</w:t>
      </w:r>
      <w:proofErr w:type="spellEnd"/>
      <w:r w:rsidR="00324743">
        <w:rPr>
          <w:rFonts w:cs="Arial"/>
          <w:sz w:val="24"/>
          <w:szCs w:val="24"/>
        </w:rPr>
        <w:t>”)</w:t>
      </w:r>
      <w:r w:rsidR="00EC3FF7" w:rsidRPr="00A96D52">
        <w:rPr>
          <w:rFonts w:cs="Arial"/>
          <w:sz w:val="24"/>
          <w:szCs w:val="24"/>
        </w:rPr>
        <w:t xml:space="preserve">. Adela Williams added that the reasons given in the FDG for disregarding MSE from the model are not supported by </w:t>
      </w:r>
      <w:proofErr w:type="gramStart"/>
      <w:r w:rsidR="00EC3FF7" w:rsidRPr="00A96D52">
        <w:rPr>
          <w:rFonts w:cs="Arial"/>
          <w:sz w:val="24"/>
          <w:szCs w:val="24"/>
        </w:rPr>
        <w:t>evidence, and</w:t>
      </w:r>
      <w:proofErr w:type="gramEnd"/>
      <w:r w:rsidR="00EC3FF7" w:rsidRPr="00A96D52">
        <w:rPr>
          <w:rFonts w:cs="Arial"/>
          <w:sz w:val="24"/>
          <w:szCs w:val="24"/>
        </w:rPr>
        <w:t xml:space="preserve"> are in some cases incorrect. Maria da Silva Leite</w:t>
      </w:r>
      <w:r w:rsidR="00AA41D5">
        <w:rPr>
          <w:rFonts w:cs="Arial"/>
          <w:sz w:val="24"/>
          <w:szCs w:val="24"/>
        </w:rPr>
        <w:t>, for UCB</w:t>
      </w:r>
      <w:r w:rsidR="001C02B3">
        <w:rPr>
          <w:rFonts w:cs="Arial"/>
          <w:sz w:val="24"/>
          <w:szCs w:val="24"/>
        </w:rPr>
        <w:t>,</w:t>
      </w:r>
      <w:r w:rsidR="00EC3FF7" w:rsidRPr="00A96D52">
        <w:rPr>
          <w:rFonts w:cs="Arial"/>
          <w:sz w:val="24"/>
          <w:szCs w:val="24"/>
        </w:rPr>
        <w:t xml:space="preserve"> added that over 60% of patients in the RAISE-XT trial achieved MSE which was sustained over years – which was an important outcome for patients. </w:t>
      </w:r>
    </w:p>
    <w:p w14:paraId="6D381FB3" w14:textId="3222D373" w:rsidR="00EC3FF7" w:rsidRPr="00A96D52" w:rsidRDefault="00EC3FF7" w:rsidP="00EC3FF7">
      <w:pPr>
        <w:pStyle w:val="Paragraph"/>
        <w:rPr>
          <w:rFonts w:cs="Arial"/>
          <w:sz w:val="24"/>
          <w:szCs w:val="24"/>
        </w:rPr>
      </w:pPr>
      <w:r w:rsidRPr="76C95618">
        <w:rPr>
          <w:rFonts w:cs="Arial"/>
          <w:sz w:val="24"/>
          <w:szCs w:val="24"/>
        </w:rPr>
        <w:t>Charles Crawley</w:t>
      </w:r>
      <w:r w:rsidR="00AA41D5" w:rsidRPr="76C95618">
        <w:rPr>
          <w:rFonts w:cs="Arial"/>
          <w:sz w:val="24"/>
          <w:szCs w:val="24"/>
        </w:rPr>
        <w:t>, for NICE</w:t>
      </w:r>
      <w:r w:rsidR="001C02B3" w:rsidRPr="76C95618">
        <w:rPr>
          <w:rFonts w:cs="Arial"/>
          <w:sz w:val="24"/>
          <w:szCs w:val="24"/>
        </w:rPr>
        <w:t>,</w:t>
      </w:r>
      <w:r w:rsidRPr="76C95618">
        <w:rPr>
          <w:rFonts w:cs="Arial"/>
          <w:sz w:val="24"/>
          <w:szCs w:val="24"/>
        </w:rPr>
        <w:t xml:space="preserve"> explained that the committee had heard that achieving the best possible remission control was very important. The committee had heard testimony about the value of achieving an MG-ADL score of 0-1. Not all domains of MG-ADL scoring are equal (the score associated with breathing difficulties will be very different to </w:t>
      </w:r>
      <w:r w:rsidRPr="76C95618">
        <w:rPr>
          <w:rFonts w:cs="Arial"/>
          <w:sz w:val="24"/>
          <w:szCs w:val="24"/>
        </w:rPr>
        <w:lastRenderedPageBreak/>
        <w:t xml:space="preserve">scores associated with ocular difficulties). In </w:t>
      </w:r>
      <w:r w:rsidR="005A5D49" w:rsidRPr="76C95618">
        <w:rPr>
          <w:rFonts w:cs="Arial"/>
          <w:sz w:val="24"/>
          <w:szCs w:val="24"/>
        </w:rPr>
        <w:t>TA1069</w:t>
      </w:r>
      <w:r w:rsidRPr="76C95618">
        <w:rPr>
          <w:rFonts w:cs="Arial"/>
          <w:sz w:val="24"/>
          <w:szCs w:val="24"/>
        </w:rPr>
        <w:t xml:space="preserve"> the committee had considered an MG-ADL score below 5 to be the best health state. The committee therefore recognised that there was clinical importance in capturing this. </w:t>
      </w:r>
    </w:p>
    <w:p w14:paraId="254BB95D" w14:textId="40D3C635" w:rsidR="00EC3FF7" w:rsidRPr="00A96D52" w:rsidRDefault="00EC3FF7" w:rsidP="00EC3FF7">
      <w:pPr>
        <w:pStyle w:val="Paragraph"/>
        <w:rPr>
          <w:rFonts w:cs="Arial"/>
          <w:sz w:val="24"/>
          <w:szCs w:val="24"/>
        </w:rPr>
      </w:pPr>
      <w:r w:rsidRPr="00A96D52">
        <w:rPr>
          <w:rFonts w:cs="Arial"/>
          <w:sz w:val="24"/>
          <w:szCs w:val="24"/>
        </w:rPr>
        <w:t xml:space="preserve">At the second committee meeting, UCB introduced MSE as an uncaptured benefit. Charles Crawley explained that the committee's main concern was about how MSE was modelled, rather than it being a desirable clinical end </w:t>
      </w:r>
      <w:proofErr w:type="gramStart"/>
      <w:r w:rsidRPr="00A96D52">
        <w:rPr>
          <w:rFonts w:cs="Arial"/>
          <w:sz w:val="24"/>
          <w:szCs w:val="24"/>
        </w:rPr>
        <w:t>point in its own right</w:t>
      </w:r>
      <w:proofErr w:type="gramEnd"/>
      <w:r w:rsidRPr="00A96D52">
        <w:rPr>
          <w:rFonts w:cs="Arial"/>
          <w:sz w:val="24"/>
          <w:szCs w:val="24"/>
        </w:rPr>
        <w:t xml:space="preserve">. He explained that the concern related </w:t>
      </w:r>
      <w:proofErr w:type="gramStart"/>
      <w:r w:rsidRPr="00A96D52">
        <w:rPr>
          <w:rFonts w:cs="Arial"/>
          <w:sz w:val="24"/>
          <w:szCs w:val="24"/>
        </w:rPr>
        <w:t>in particular to</w:t>
      </w:r>
      <w:proofErr w:type="gramEnd"/>
      <w:r w:rsidRPr="00A96D52">
        <w:rPr>
          <w:rFonts w:cs="Arial"/>
          <w:sz w:val="24"/>
          <w:szCs w:val="24"/>
        </w:rPr>
        <w:t xml:space="preserve"> the modelling of MSE as a continuous health state for the lifetime of the model once received. He noted that achieving MSE does not reduce the chance of myasthenic crisis according to the model.</w:t>
      </w:r>
    </w:p>
    <w:p w14:paraId="00DB8367" w14:textId="5B95410B" w:rsidR="00EC3FF7" w:rsidRPr="00A96D52" w:rsidRDefault="00EC3FF7" w:rsidP="00EC3FF7">
      <w:pPr>
        <w:pStyle w:val="Paragraph"/>
        <w:rPr>
          <w:rFonts w:cs="Arial"/>
          <w:sz w:val="24"/>
          <w:szCs w:val="24"/>
        </w:rPr>
      </w:pPr>
      <w:r w:rsidRPr="00A96D52">
        <w:rPr>
          <w:rFonts w:cs="Arial"/>
          <w:sz w:val="24"/>
          <w:szCs w:val="24"/>
        </w:rPr>
        <w:t xml:space="preserve">The data relied on to model MSE was derived from expert elicitation, and although the responses rates for </w:t>
      </w:r>
      <w:proofErr w:type="spellStart"/>
      <w:r w:rsidRPr="00A96D52">
        <w:rPr>
          <w:rFonts w:cs="Arial"/>
          <w:sz w:val="24"/>
          <w:szCs w:val="24"/>
        </w:rPr>
        <w:t>zilucoplan</w:t>
      </w:r>
      <w:proofErr w:type="spellEnd"/>
      <w:r w:rsidRPr="00A96D52">
        <w:rPr>
          <w:rFonts w:cs="Arial"/>
          <w:sz w:val="24"/>
          <w:szCs w:val="24"/>
        </w:rPr>
        <w:t>, IVIg and PLEX were similar (on a network-</w:t>
      </w:r>
      <w:proofErr w:type="gramStart"/>
      <w:r w:rsidRPr="00A96D52">
        <w:rPr>
          <w:rFonts w:cs="Arial"/>
          <w:sz w:val="24"/>
          <w:szCs w:val="24"/>
        </w:rPr>
        <w:t>meta analys</w:t>
      </w:r>
      <w:r w:rsidR="00B46BAE" w:rsidRPr="00A96D52">
        <w:rPr>
          <w:rFonts w:cs="Arial"/>
          <w:sz w:val="24"/>
          <w:szCs w:val="24"/>
        </w:rPr>
        <w:t>i</w:t>
      </w:r>
      <w:r w:rsidRPr="00A96D52">
        <w:rPr>
          <w:rFonts w:cs="Arial"/>
          <w:sz w:val="24"/>
          <w:szCs w:val="24"/>
        </w:rPr>
        <w:t>s</w:t>
      </w:r>
      <w:proofErr w:type="gramEnd"/>
      <w:r w:rsidRPr="00A96D52">
        <w:rPr>
          <w:rFonts w:cs="Arial"/>
          <w:sz w:val="24"/>
          <w:szCs w:val="24"/>
        </w:rPr>
        <w:t xml:space="preserve">), the rate of MSE achievement was </w:t>
      </w:r>
      <w:r w:rsidR="00B46BAE" w:rsidRPr="00A96D52">
        <w:rPr>
          <w:rFonts w:cs="Arial"/>
          <w:sz w:val="24"/>
          <w:szCs w:val="24"/>
        </w:rPr>
        <w:t xml:space="preserve">far greater for </w:t>
      </w:r>
      <w:proofErr w:type="spellStart"/>
      <w:r w:rsidR="002B4EE0">
        <w:rPr>
          <w:rFonts w:cs="Arial"/>
          <w:sz w:val="24"/>
          <w:szCs w:val="24"/>
        </w:rPr>
        <w:t>zilucoplan</w:t>
      </w:r>
      <w:proofErr w:type="spellEnd"/>
      <w:r w:rsidR="002B4EE0">
        <w:rPr>
          <w:rFonts w:cs="Arial"/>
          <w:sz w:val="24"/>
          <w:szCs w:val="24"/>
        </w:rPr>
        <w:t>.</w:t>
      </w:r>
    </w:p>
    <w:p w14:paraId="1F63627F" w14:textId="2B12BD4D" w:rsidR="00B46BAE" w:rsidRPr="00A96D52" w:rsidRDefault="00B46BAE" w:rsidP="00EC3FF7">
      <w:pPr>
        <w:pStyle w:val="Paragraph"/>
        <w:rPr>
          <w:rFonts w:cs="Arial"/>
          <w:sz w:val="24"/>
          <w:szCs w:val="24"/>
        </w:rPr>
      </w:pPr>
      <w:r w:rsidRPr="00A96D52">
        <w:rPr>
          <w:rFonts w:cs="Arial"/>
          <w:sz w:val="24"/>
          <w:szCs w:val="24"/>
        </w:rPr>
        <w:t>The other factor that the committee considered difficult to reconcile in the mode</w:t>
      </w:r>
      <w:r w:rsidR="00AB5846">
        <w:rPr>
          <w:rFonts w:cs="Arial"/>
          <w:sz w:val="24"/>
          <w:szCs w:val="24"/>
        </w:rPr>
        <w:t>l</w:t>
      </w:r>
      <w:r w:rsidRPr="00A96D52">
        <w:rPr>
          <w:rFonts w:cs="Arial"/>
          <w:sz w:val="24"/>
          <w:szCs w:val="24"/>
        </w:rPr>
        <w:t xml:space="preserve">, was that the transition probabilities and time-on-treatment modelled were the same, notwithstanding the much greater benefit associated with MSE. It remained a real concern for the committee that the modelling was not justified. Charles Crawley explained that, for those reasons, the committee was unable to accept the modelling of MSE despite acknowledging its clinical relevance. </w:t>
      </w:r>
    </w:p>
    <w:p w14:paraId="5EE5FF71" w14:textId="7246408D" w:rsidR="00B46BAE" w:rsidRPr="00A96D52" w:rsidRDefault="00B823A8" w:rsidP="00EC3FF7">
      <w:pPr>
        <w:pStyle w:val="Paragraph"/>
        <w:rPr>
          <w:rFonts w:cs="Arial"/>
          <w:sz w:val="24"/>
          <w:szCs w:val="24"/>
        </w:rPr>
      </w:pPr>
      <w:r w:rsidRPr="00A96D52">
        <w:rPr>
          <w:rFonts w:cs="Arial"/>
          <w:sz w:val="24"/>
          <w:szCs w:val="24"/>
        </w:rPr>
        <w:t xml:space="preserve">The </w:t>
      </w:r>
      <w:r w:rsidR="00841AE2">
        <w:rPr>
          <w:rFonts w:cs="Arial"/>
          <w:sz w:val="24"/>
          <w:szCs w:val="24"/>
        </w:rPr>
        <w:t xml:space="preserve">appeal </w:t>
      </w:r>
      <w:r w:rsidRPr="00A96D52">
        <w:rPr>
          <w:rFonts w:cs="Arial"/>
          <w:sz w:val="24"/>
          <w:szCs w:val="24"/>
        </w:rPr>
        <w:t xml:space="preserve">panel asked whether the committee would accept the statement in UCB's appeal point 2.5 that it was incorrect for the committee to have concluded at paragraph 3.13 of the FDG that MSE informed transition probabilities (vs the distribution of patients in the "response" state, "continued response", "stable response" and "loss of response" states). </w:t>
      </w:r>
    </w:p>
    <w:p w14:paraId="42372CA7" w14:textId="0E9B25A4" w:rsidR="00B823A8" w:rsidRPr="00A96D52" w:rsidRDefault="00B823A8" w:rsidP="00EC3FF7">
      <w:pPr>
        <w:pStyle w:val="Paragraph"/>
        <w:rPr>
          <w:rFonts w:cs="Arial"/>
          <w:sz w:val="24"/>
          <w:szCs w:val="24"/>
        </w:rPr>
      </w:pPr>
      <w:r w:rsidRPr="00A96D52">
        <w:rPr>
          <w:rFonts w:cs="Arial"/>
          <w:sz w:val="24"/>
          <w:szCs w:val="24"/>
        </w:rPr>
        <w:t xml:space="preserve">Charles Crawley explained that it was an irreconcilable problem with the model that you could not transition from one health state into </w:t>
      </w:r>
      <w:r w:rsidRPr="00A96D52">
        <w:rPr>
          <w:rFonts w:cs="Arial"/>
          <w:sz w:val="24"/>
          <w:szCs w:val="24"/>
        </w:rPr>
        <w:lastRenderedPageBreak/>
        <w:t xml:space="preserve">another. He recognised that the language in the FDG may not have been entirely clear as to the difference between transition probabilities and transition proportions assigned. </w:t>
      </w:r>
    </w:p>
    <w:p w14:paraId="1FABE716" w14:textId="14483B9F" w:rsidR="00B823A8" w:rsidRPr="00A96D52" w:rsidRDefault="00B823A8" w:rsidP="00EC3FF7">
      <w:pPr>
        <w:pStyle w:val="Paragraph"/>
        <w:rPr>
          <w:rFonts w:cs="Arial"/>
          <w:sz w:val="24"/>
          <w:szCs w:val="24"/>
        </w:rPr>
      </w:pPr>
      <w:r w:rsidRPr="00A96D52">
        <w:rPr>
          <w:rFonts w:cs="Arial"/>
          <w:sz w:val="24"/>
          <w:szCs w:val="24"/>
        </w:rPr>
        <w:t xml:space="preserve">The </w:t>
      </w:r>
      <w:r w:rsidR="007C5A2D">
        <w:rPr>
          <w:rFonts w:cs="Arial"/>
          <w:sz w:val="24"/>
          <w:szCs w:val="24"/>
        </w:rPr>
        <w:t xml:space="preserve">appeal </w:t>
      </w:r>
      <w:r w:rsidRPr="00A96D52">
        <w:rPr>
          <w:rFonts w:cs="Arial"/>
          <w:sz w:val="24"/>
          <w:szCs w:val="24"/>
        </w:rPr>
        <w:t>panel asked whether the omission of MSE as an explicit uncaptured benefit at paragraph 3.31 of the FDG was intentional. Charles Crawley explained that the committee had already devoted a significant amount of the FDG</w:t>
      </w:r>
      <w:r w:rsidR="00CC7259">
        <w:rPr>
          <w:rFonts w:cs="Arial"/>
          <w:sz w:val="24"/>
          <w:szCs w:val="24"/>
        </w:rPr>
        <w:t xml:space="preserve"> to</w:t>
      </w:r>
      <w:r w:rsidRPr="00A96D52">
        <w:rPr>
          <w:rFonts w:cs="Arial"/>
          <w:sz w:val="24"/>
          <w:szCs w:val="24"/>
        </w:rPr>
        <w:t xml:space="preserve"> discussing MSE. He confirmed that the committee had taken MSE into account as an uncaptured </w:t>
      </w:r>
      <w:proofErr w:type="gramStart"/>
      <w:r w:rsidRPr="00A96D52">
        <w:rPr>
          <w:rFonts w:cs="Arial"/>
          <w:sz w:val="24"/>
          <w:szCs w:val="24"/>
        </w:rPr>
        <w:t>benefit, but</w:t>
      </w:r>
      <w:proofErr w:type="gramEnd"/>
      <w:r w:rsidRPr="00A96D52">
        <w:rPr>
          <w:rFonts w:cs="Arial"/>
          <w:sz w:val="24"/>
          <w:szCs w:val="24"/>
        </w:rPr>
        <w:t xml:space="preserve"> did not consider that it needed to be explicitly listed at paragraph 3.31 given the lengthy consideration of it elsewhere. He acknowledged that doing so may have aided </w:t>
      </w:r>
      <w:proofErr w:type="gramStart"/>
      <w:r w:rsidRPr="00A96D52">
        <w:rPr>
          <w:rFonts w:cs="Arial"/>
          <w:sz w:val="24"/>
          <w:szCs w:val="24"/>
        </w:rPr>
        <w:t>clarity, but</w:t>
      </w:r>
      <w:proofErr w:type="gramEnd"/>
      <w:r w:rsidRPr="00A96D52">
        <w:rPr>
          <w:rFonts w:cs="Arial"/>
          <w:sz w:val="24"/>
          <w:szCs w:val="24"/>
        </w:rPr>
        <w:t xml:space="preserve"> was comfortable with the committee's rationale for not explicitly referring to it at the time. </w:t>
      </w:r>
    </w:p>
    <w:p w14:paraId="6641C412" w14:textId="0CC21535" w:rsidR="00F24C86" w:rsidRPr="00A96D52" w:rsidRDefault="00F24C86" w:rsidP="00EC3FF7">
      <w:pPr>
        <w:pStyle w:val="Paragraph"/>
        <w:rPr>
          <w:rFonts w:cs="Arial"/>
          <w:sz w:val="24"/>
          <w:szCs w:val="24"/>
        </w:rPr>
      </w:pPr>
      <w:r w:rsidRPr="00A96D52">
        <w:rPr>
          <w:rFonts w:cs="Arial"/>
          <w:sz w:val="24"/>
          <w:szCs w:val="24"/>
        </w:rPr>
        <w:t>Emily Crowe</w:t>
      </w:r>
      <w:r w:rsidR="00700AF4">
        <w:rPr>
          <w:rFonts w:cs="Arial"/>
          <w:sz w:val="24"/>
          <w:szCs w:val="24"/>
        </w:rPr>
        <w:t>, for NICE</w:t>
      </w:r>
      <w:r w:rsidR="00DC34BA">
        <w:rPr>
          <w:rFonts w:cs="Arial"/>
          <w:sz w:val="24"/>
          <w:szCs w:val="24"/>
        </w:rPr>
        <w:t>,</w:t>
      </w:r>
      <w:r w:rsidRPr="00A96D52">
        <w:rPr>
          <w:rFonts w:cs="Arial"/>
          <w:sz w:val="24"/>
          <w:szCs w:val="24"/>
        </w:rPr>
        <w:t xml:space="preserve"> explained that the concern in the committee's mind was that the model appeared to suggest that </w:t>
      </w:r>
      <w:r w:rsidR="00F37AE7">
        <w:rPr>
          <w:rFonts w:cs="Arial"/>
          <w:sz w:val="24"/>
          <w:szCs w:val="24"/>
        </w:rPr>
        <w:t>if</w:t>
      </w:r>
      <w:r w:rsidR="00F37AE7" w:rsidRPr="00A96D52">
        <w:rPr>
          <w:rFonts w:cs="Arial"/>
          <w:sz w:val="24"/>
          <w:szCs w:val="24"/>
        </w:rPr>
        <w:t xml:space="preserve"> </w:t>
      </w:r>
      <w:r w:rsidRPr="00A96D52">
        <w:rPr>
          <w:rFonts w:cs="Arial"/>
          <w:sz w:val="24"/>
          <w:szCs w:val="24"/>
        </w:rPr>
        <w:t>a patient achieve</w:t>
      </w:r>
      <w:r w:rsidR="00F37AE7">
        <w:rPr>
          <w:rFonts w:cs="Arial"/>
          <w:sz w:val="24"/>
          <w:szCs w:val="24"/>
        </w:rPr>
        <w:t>d</w:t>
      </w:r>
      <w:r w:rsidRPr="00A96D52">
        <w:rPr>
          <w:rFonts w:cs="Arial"/>
          <w:sz w:val="24"/>
          <w:szCs w:val="24"/>
        </w:rPr>
        <w:t xml:space="preserve"> MSE, they would then stay in that state for the lifetime of the model. She explained that although this may be plausible, the committee did not have the data to support that conclusion. If that was correct, she explained, it is not plausible for the time-on-treatment for those achieving MSE on </w:t>
      </w:r>
      <w:proofErr w:type="spellStart"/>
      <w:r w:rsidR="00FD79FA" w:rsidRPr="00A96D52">
        <w:rPr>
          <w:rFonts w:cs="Arial"/>
          <w:sz w:val="24"/>
          <w:szCs w:val="24"/>
        </w:rPr>
        <w:t>zilucoplan</w:t>
      </w:r>
      <w:proofErr w:type="spellEnd"/>
      <w:r w:rsidRPr="00A96D52">
        <w:rPr>
          <w:rFonts w:cs="Arial"/>
          <w:sz w:val="24"/>
          <w:szCs w:val="24"/>
        </w:rPr>
        <w:t xml:space="preserve"> to be the same</w:t>
      </w:r>
      <w:r w:rsidR="00F37AE7">
        <w:rPr>
          <w:rFonts w:cs="Arial"/>
          <w:sz w:val="24"/>
          <w:szCs w:val="24"/>
        </w:rPr>
        <w:t xml:space="preserve"> as others</w:t>
      </w:r>
      <w:r w:rsidRPr="00A96D52">
        <w:rPr>
          <w:rFonts w:cs="Arial"/>
          <w:sz w:val="24"/>
          <w:szCs w:val="24"/>
        </w:rPr>
        <w:t xml:space="preserve"> (on the basis that you would not stop a treatment which was working well and resulting in MSE). Because the time-on-treatment was short, this had a material impact on the costs in the model. Emily Crowe echoed Charles Crawley's earlier comments – that there was no doubt in the committee's mind that this was a clinically important factor, but the modelling available to the committee did not make sense, and so it was safer in terms of decision risk to remove MSE from the model. </w:t>
      </w:r>
    </w:p>
    <w:p w14:paraId="0D6DA56F" w14:textId="1A05BD83" w:rsidR="00F24C86" w:rsidRPr="00A96D52" w:rsidRDefault="00F24C86" w:rsidP="00EC3FF7">
      <w:pPr>
        <w:pStyle w:val="Paragraph"/>
        <w:rPr>
          <w:rFonts w:cs="Arial"/>
          <w:sz w:val="24"/>
          <w:szCs w:val="24"/>
        </w:rPr>
      </w:pPr>
      <w:r w:rsidRPr="00A96D52">
        <w:rPr>
          <w:rFonts w:cs="Arial"/>
          <w:sz w:val="24"/>
          <w:szCs w:val="24"/>
        </w:rPr>
        <w:t>Matthew Binns</w:t>
      </w:r>
      <w:r w:rsidR="00D324EF">
        <w:rPr>
          <w:rFonts w:cs="Arial"/>
          <w:sz w:val="24"/>
          <w:szCs w:val="24"/>
        </w:rPr>
        <w:t>, for UCB</w:t>
      </w:r>
      <w:r w:rsidR="009A73B8">
        <w:rPr>
          <w:rFonts w:cs="Arial"/>
          <w:sz w:val="24"/>
          <w:szCs w:val="24"/>
        </w:rPr>
        <w:t>,</w:t>
      </w:r>
      <w:r w:rsidRPr="00A96D52">
        <w:rPr>
          <w:rFonts w:cs="Arial"/>
          <w:sz w:val="24"/>
          <w:szCs w:val="24"/>
        </w:rPr>
        <w:t xml:space="preserve"> explained that the data were derived from expert elicitation as there were no other data available for MSE in IVIg/PLEX. Time-on-treatment, on the other hand, was informed by overall response rate and not by MSE (which was modelled as an average). </w:t>
      </w:r>
    </w:p>
    <w:p w14:paraId="76C55E95" w14:textId="0E8F5E6D" w:rsidR="00F24C86" w:rsidRPr="00A96D52" w:rsidRDefault="00F24C86" w:rsidP="00EC3FF7">
      <w:pPr>
        <w:pStyle w:val="Paragraph"/>
        <w:rPr>
          <w:rFonts w:cs="Arial"/>
          <w:sz w:val="24"/>
          <w:szCs w:val="24"/>
        </w:rPr>
      </w:pPr>
      <w:r w:rsidRPr="00A96D52">
        <w:rPr>
          <w:rFonts w:cs="Arial"/>
          <w:sz w:val="24"/>
          <w:szCs w:val="24"/>
        </w:rPr>
        <w:lastRenderedPageBreak/>
        <w:t>Adela Williams</w:t>
      </w:r>
      <w:r w:rsidR="00D324EF">
        <w:rPr>
          <w:rFonts w:cs="Arial"/>
          <w:sz w:val="24"/>
          <w:szCs w:val="24"/>
        </w:rPr>
        <w:t>, for UCB</w:t>
      </w:r>
      <w:r w:rsidR="008F60C5">
        <w:rPr>
          <w:rFonts w:cs="Arial"/>
          <w:sz w:val="24"/>
          <w:szCs w:val="24"/>
        </w:rPr>
        <w:t>,</w:t>
      </w:r>
      <w:r w:rsidRPr="00A96D52">
        <w:rPr>
          <w:rFonts w:cs="Arial"/>
          <w:sz w:val="24"/>
          <w:szCs w:val="24"/>
        </w:rPr>
        <w:t xml:space="preserve"> noted that the evidence available does not indicate that the duration of MSE is time limited. </w:t>
      </w:r>
    </w:p>
    <w:p w14:paraId="67843398" w14:textId="67408022" w:rsidR="000C7954" w:rsidRPr="00A96D52" w:rsidRDefault="000C7954" w:rsidP="000C7954">
      <w:pPr>
        <w:pStyle w:val="Paragraph"/>
        <w:rPr>
          <w:rFonts w:cs="Arial"/>
          <w:sz w:val="24"/>
          <w:szCs w:val="24"/>
        </w:rPr>
      </w:pPr>
      <w:r w:rsidRPr="00A96D52">
        <w:rPr>
          <w:rFonts w:cs="Arial"/>
          <w:sz w:val="24"/>
          <w:szCs w:val="24"/>
        </w:rPr>
        <w:t xml:space="preserve">Katherine Dodd questioned the committee's concern that the only way to come out of MSE was myasthenic crisis, as this reflected clinical practice. Charles Crawley explained that the concern was related to the fact that the model did not allow for any deterioration (for example from MG-ADL 1 to 2) short of full myasthenic crisis. The transition rate was fixed. </w:t>
      </w:r>
    </w:p>
    <w:p w14:paraId="173CC907" w14:textId="77777777" w:rsidR="00E815BD" w:rsidRDefault="000C7954" w:rsidP="00E815BD">
      <w:pPr>
        <w:pStyle w:val="Paragraph"/>
        <w:rPr>
          <w:rFonts w:cs="Arial"/>
          <w:sz w:val="24"/>
          <w:szCs w:val="24"/>
        </w:rPr>
      </w:pPr>
      <w:r w:rsidRPr="00A96D52">
        <w:rPr>
          <w:rFonts w:cs="Arial"/>
          <w:sz w:val="24"/>
          <w:szCs w:val="24"/>
        </w:rPr>
        <w:t xml:space="preserve">Kate Adcock considered that the FDG failed to acknowledge the importance of MSE in the same manner that the committee had done so during the appeal hearing. </w:t>
      </w:r>
    </w:p>
    <w:p w14:paraId="3968F250" w14:textId="42D06424" w:rsidR="00E815BD" w:rsidRDefault="00E815BD" w:rsidP="00E815BD">
      <w:pPr>
        <w:pStyle w:val="Paragraph"/>
        <w:rPr>
          <w:rFonts w:cs="Arial"/>
          <w:sz w:val="24"/>
          <w:szCs w:val="24"/>
        </w:rPr>
      </w:pPr>
      <w:proofErr w:type="gramStart"/>
      <w:r w:rsidRPr="00E815BD">
        <w:rPr>
          <w:rFonts w:cs="Arial"/>
          <w:sz w:val="24"/>
          <w:szCs w:val="24"/>
        </w:rPr>
        <w:t>In regard to</w:t>
      </w:r>
      <w:proofErr w:type="gramEnd"/>
      <w:r w:rsidRPr="00E815BD">
        <w:rPr>
          <w:rFonts w:cs="Arial"/>
          <w:sz w:val="24"/>
          <w:szCs w:val="24"/>
        </w:rPr>
        <w:t xml:space="preserve"> ABN</w:t>
      </w:r>
      <w:r w:rsidR="0089444C">
        <w:rPr>
          <w:rFonts w:cs="Arial"/>
          <w:sz w:val="24"/>
          <w:szCs w:val="24"/>
        </w:rPr>
        <w:t>’s</w:t>
      </w:r>
      <w:r w:rsidRPr="00E815BD">
        <w:rPr>
          <w:rFonts w:cs="Arial"/>
          <w:sz w:val="24"/>
          <w:szCs w:val="24"/>
        </w:rPr>
        <w:t xml:space="preserve"> </w:t>
      </w:r>
      <w:r w:rsidR="00556BBB">
        <w:rPr>
          <w:rFonts w:cs="Arial"/>
          <w:sz w:val="24"/>
          <w:szCs w:val="24"/>
        </w:rPr>
        <w:t>a</w:t>
      </w:r>
      <w:r w:rsidRPr="00E815BD">
        <w:rPr>
          <w:rFonts w:cs="Arial"/>
          <w:sz w:val="24"/>
          <w:szCs w:val="24"/>
        </w:rPr>
        <w:t xml:space="preserve">ppeal </w:t>
      </w:r>
      <w:r w:rsidR="00556BBB">
        <w:rPr>
          <w:rFonts w:cs="Arial"/>
          <w:sz w:val="24"/>
          <w:szCs w:val="24"/>
        </w:rPr>
        <w:t>p</w:t>
      </w:r>
      <w:r w:rsidRPr="00E815BD">
        <w:rPr>
          <w:rFonts w:cs="Arial"/>
          <w:sz w:val="24"/>
          <w:szCs w:val="24"/>
        </w:rPr>
        <w:t>oint 2.3, MDUK</w:t>
      </w:r>
      <w:r w:rsidR="0089444C">
        <w:rPr>
          <w:rFonts w:cs="Arial"/>
          <w:sz w:val="24"/>
          <w:szCs w:val="24"/>
        </w:rPr>
        <w:t>’s</w:t>
      </w:r>
      <w:r w:rsidRPr="00E815BD">
        <w:rPr>
          <w:rFonts w:cs="Arial"/>
          <w:sz w:val="24"/>
          <w:szCs w:val="24"/>
        </w:rPr>
        <w:t xml:space="preserve"> </w:t>
      </w:r>
      <w:r w:rsidR="00556BBB">
        <w:rPr>
          <w:rFonts w:cs="Arial"/>
          <w:sz w:val="24"/>
          <w:szCs w:val="24"/>
        </w:rPr>
        <w:t>a</w:t>
      </w:r>
      <w:r w:rsidRPr="00E815BD">
        <w:rPr>
          <w:rFonts w:cs="Arial"/>
          <w:sz w:val="24"/>
          <w:szCs w:val="24"/>
        </w:rPr>
        <w:t xml:space="preserve">ppeal </w:t>
      </w:r>
      <w:r w:rsidR="00556BBB">
        <w:rPr>
          <w:rFonts w:cs="Arial"/>
          <w:sz w:val="24"/>
          <w:szCs w:val="24"/>
        </w:rPr>
        <w:t>p</w:t>
      </w:r>
      <w:r w:rsidRPr="00E815BD">
        <w:rPr>
          <w:rFonts w:cs="Arial"/>
          <w:sz w:val="24"/>
          <w:szCs w:val="24"/>
        </w:rPr>
        <w:t xml:space="preserve">oint 2.3, </w:t>
      </w:r>
      <w:proofErr w:type="spellStart"/>
      <w:r w:rsidRPr="00E815BD">
        <w:rPr>
          <w:rFonts w:cs="Arial"/>
          <w:sz w:val="24"/>
          <w:szCs w:val="24"/>
        </w:rPr>
        <w:t>Myaware</w:t>
      </w:r>
      <w:r w:rsidR="0089444C">
        <w:rPr>
          <w:rFonts w:cs="Arial"/>
          <w:sz w:val="24"/>
          <w:szCs w:val="24"/>
        </w:rPr>
        <w:t>’s</w:t>
      </w:r>
      <w:proofErr w:type="spellEnd"/>
      <w:r w:rsidRPr="00E815BD">
        <w:rPr>
          <w:rFonts w:cs="Arial"/>
          <w:sz w:val="24"/>
          <w:szCs w:val="24"/>
        </w:rPr>
        <w:t xml:space="preserve"> </w:t>
      </w:r>
      <w:r w:rsidR="00556BBB">
        <w:rPr>
          <w:rFonts w:cs="Arial"/>
          <w:sz w:val="24"/>
          <w:szCs w:val="24"/>
        </w:rPr>
        <w:t>a</w:t>
      </w:r>
      <w:r w:rsidRPr="00E815BD">
        <w:rPr>
          <w:rFonts w:cs="Arial"/>
          <w:sz w:val="24"/>
          <w:szCs w:val="24"/>
        </w:rPr>
        <w:t xml:space="preserve">ppeal </w:t>
      </w:r>
      <w:r w:rsidR="00556BBB">
        <w:rPr>
          <w:rFonts w:cs="Arial"/>
          <w:sz w:val="24"/>
          <w:szCs w:val="24"/>
        </w:rPr>
        <w:t>p</w:t>
      </w:r>
      <w:r w:rsidRPr="00E815BD">
        <w:rPr>
          <w:rFonts w:cs="Arial"/>
          <w:sz w:val="24"/>
          <w:szCs w:val="24"/>
        </w:rPr>
        <w:t>oint 2.3 and UCB</w:t>
      </w:r>
      <w:r w:rsidR="0089444C">
        <w:rPr>
          <w:rFonts w:cs="Arial"/>
          <w:sz w:val="24"/>
          <w:szCs w:val="24"/>
        </w:rPr>
        <w:t>’s</w:t>
      </w:r>
      <w:r w:rsidRPr="00E815BD">
        <w:rPr>
          <w:rFonts w:cs="Arial"/>
          <w:sz w:val="24"/>
          <w:szCs w:val="24"/>
        </w:rPr>
        <w:t xml:space="preserve"> </w:t>
      </w:r>
      <w:r w:rsidR="00556BBB">
        <w:rPr>
          <w:rFonts w:cs="Arial"/>
          <w:sz w:val="24"/>
          <w:szCs w:val="24"/>
        </w:rPr>
        <w:t>a</w:t>
      </w:r>
      <w:r w:rsidRPr="00E815BD">
        <w:rPr>
          <w:rFonts w:cs="Arial"/>
          <w:sz w:val="24"/>
          <w:szCs w:val="24"/>
        </w:rPr>
        <w:t xml:space="preserve">ppeal </w:t>
      </w:r>
      <w:r w:rsidR="00556BBB">
        <w:rPr>
          <w:rFonts w:cs="Arial"/>
          <w:sz w:val="24"/>
          <w:szCs w:val="24"/>
        </w:rPr>
        <w:t>p</w:t>
      </w:r>
      <w:r w:rsidRPr="00E815BD">
        <w:rPr>
          <w:rFonts w:cs="Arial"/>
          <w:sz w:val="24"/>
          <w:szCs w:val="24"/>
        </w:rPr>
        <w:t xml:space="preserve">oint 2.5, the </w:t>
      </w:r>
      <w:r w:rsidR="00556BBB">
        <w:rPr>
          <w:rFonts w:cs="Arial"/>
          <w:sz w:val="24"/>
          <w:szCs w:val="24"/>
        </w:rPr>
        <w:t xml:space="preserve">appeal </w:t>
      </w:r>
      <w:r w:rsidRPr="00E815BD">
        <w:rPr>
          <w:rFonts w:cs="Arial"/>
          <w:sz w:val="24"/>
          <w:szCs w:val="24"/>
        </w:rPr>
        <w:t>panel concluded as follows</w:t>
      </w:r>
      <w:r w:rsidR="00FD79FA">
        <w:rPr>
          <w:rFonts w:cs="Arial"/>
          <w:sz w:val="24"/>
          <w:szCs w:val="24"/>
        </w:rPr>
        <w:t>. T</w:t>
      </w:r>
      <w:r w:rsidRPr="00E815BD">
        <w:rPr>
          <w:rFonts w:cs="Arial"/>
          <w:sz w:val="24"/>
          <w:szCs w:val="24"/>
        </w:rPr>
        <w:t>he</w:t>
      </w:r>
      <w:r w:rsidR="00556BBB">
        <w:rPr>
          <w:rFonts w:cs="Arial"/>
          <w:sz w:val="24"/>
          <w:szCs w:val="24"/>
        </w:rPr>
        <w:t xml:space="preserve"> appeal</w:t>
      </w:r>
      <w:r w:rsidRPr="00E815BD">
        <w:rPr>
          <w:rFonts w:cs="Arial"/>
          <w:sz w:val="24"/>
          <w:szCs w:val="24"/>
        </w:rPr>
        <w:t xml:space="preserve"> panel were satisfied that MSE and its implications for patients and the modelling of cost effectiveness had been carefully considered by the committee in their decision-making.  In particular, the </w:t>
      </w:r>
      <w:r w:rsidR="00556BBB">
        <w:rPr>
          <w:rFonts w:cs="Arial"/>
          <w:sz w:val="24"/>
          <w:szCs w:val="24"/>
        </w:rPr>
        <w:t xml:space="preserve">appeal </w:t>
      </w:r>
      <w:r w:rsidRPr="00E815BD">
        <w:rPr>
          <w:rFonts w:cs="Arial"/>
          <w:sz w:val="24"/>
          <w:szCs w:val="24"/>
        </w:rPr>
        <w:t xml:space="preserve">panel were persuaded that the committee had recognised that MSE is an important clinical objective for patients and clinicians when treatment is started and that their decision to omit MSE from the model had not been driven by an intention to marginalise its relevance.  Rather, the </w:t>
      </w:r>
      <w:r w:rsidR="003A7F7B">
        <w:rPr>
          <w:rFonts w:cs="Arial"/>
          <w:sz w:val="24"/>
          <w:szCs w:val="24"/>
        </w:rPr>
        <w:t xml:space="preserve">appeal </w:t>
      </w:r>
      <w:r w:rsidRPr="00E815BD">
        <w:rPr>
          <w:rFonts w:cs="Arial"/>
          <w:sz w:val="24"/>
          <w:szCs w:val="24"/>
        </w:rPr>
        <w:t xml:space="preserve">panel recognised the concerns of the committee </w:t>
      </w:r>
      <w:proofErr w:type="gramStart"/>
      <w:r w:rsidRPr="00E815BD">
        <w:rPr>
          <w:rFonts w:cs="Arial"/>
          <w:sz w:val="24"/>
          <w:szCs w:val="24"/>
        </w:rPr>
        <w:t>in regard to</w:t>
      </w:r>
      <w:proofErr w:type="gramEnd"/>
      <w:r w:rsidRPr="00E815BD">
        <w:rPr>
          <w:rFonts w:cs="Arial"/>
          <w:sz w:val="24"/>
          <w:szCs w:val="24"/>
        </w:rPr>
        <w:t xml:space="preserve"> the consequences of the </w:t>
      </w:r>
      <w:proofErr w:type="gramStart"/>
      <w:r w:rsidRPr="00E815BD">
        <w:rPr>
          <w:rFonts w:cs="Arial"/>
          <w:sz w:val="24"/>
          <w:szCs w:val="24"/>
        </w:rPr>
        <w:t>manner in which</w:t>
      </w:r>
      <w:proofErr w:type="gramEnd"/>
      <w:r w:rsidRPr="00E815BD">
        <w:rPr>
          <w:rFonts w:cs="Arial"/>
          <w:sz w:val="24"/>
          <w:szCs w:val="24"/>
        </w:rPr>
        <w:t xml:space="preserve"> MSE had been applied by </w:t>
      </w:r>
      <w:r w:rsidR="00CA5FD6">
        <w:rPr>
          <w:rFonts w:cs="Arial"/>
          <w:sz w:val="24"/>
          <w:szCs w:val="24"/>
        </w:rPr>
        <w:t>UCB</w:t>
      </w:r>
      <w:r w:rsidRPr="00E815BD">
        <w:rPr>
          <w:rFonts w:cs="Arial"/>
          <w:sz w:val="24"/>
          <w:szCs w:val="24"/>
        </w:rPr>
        <w:t xml:space="preserve"> in the model and the implausibility of some of the resulting outputs. In view of the agreed importance of MSE, the </w:t>
      </w:r>
      <w:r w:rsidR="003A7F7B">
        <w:rPr>
          <w:rFonts w:cs="Arial"/>
          <w:sz w:val="24"/>
          <w:szCs w:val="24"/>
        </w:rPr>
        <w:t xml:space="preserve">appeal </w:t>
      </w:r>
      <w:r w:rsidRPr="00E815BD">
        <w:rPr>
          <w:rFonts w:cs="Arial"/>
          <w:sz w:val="24"/>
          <w:szCs w:val="24"/>
        </w:rPr>
        <w:t xml:space="preserve">panel sought evidence that the committee had gone to sufficient lengths to facilitate a means by which MSE could have been incorporated into its decision-making both quantitatively and qualitatively.  The </w:t>
      </w:r>
      <w:r w:rsidR="003A7F7B">
        <w:rPr>
          <w:rFonts w:cs="Arial"/>
          <w:sz w:val="24"/>
          <w:szCs w:val="24"/>
        </w:rPr>
        <w:t xml:space="preserve">appeal </w:t>
      </w:r>
      <w:r w:rsidRPr="00E815BD">
        <w:rPr>
          <w:rFonts w:cs="Arial"/>
          <w:sz w:val="24"/>
          <w:szCs w:val="24"/>
        </w:rPr>
        <w:t xml:space="preserve">panel noted that FDG section 3.13 outlined how the committee expressed concern that they had seen insufficient evidence on how MSE had been implemented in the model and had sought more evidence from </w:t>
      </w:r>
      <w:r w:rsidR="009505AB">
        <w:rPr>
          <w:rFonts w:cs="Arial"/>
          <w:sz w:val="24"/>
          <w:szCs w:val="24"/>
        </w:rPr>
        <w:t>UCB</w:t>
      </w:r>
      <w:r w:rsidRPr="00E815BD">
        <w:rPr>
          <w:rFonts w:cs="Arial"/>
          <w:sz w:val="24"/>
          <w:szCs w:val="24"/>
        </w:rPr>
        <w:t xml:space="preserve"> on how transition probabilities were affected by </w:t>
      </w:r>
      <w:r w:rsidRPr="00E815BD">
        <w:rPr>
          <w:rFonts w:cs="Arial"/>
          <w:sz w:val="24"/>
          <w:szCs w:val="24"/>
        </w:rPr>
        <w:lastRenderedPageBreak/>
        <w:t xml:space="preserve">MSE as well as the proportions achieving MSE with treatments included in the 'basket' of standard therapies as well as </w:t>
      </w:r>
      <w:proofErr w:type="spellStart"/>
      <w:r w:rsidRPr="00E815BD">
        <w:rPr>
          <w:rFonts w:cs="Arial"/>
          <w:sz w:val="24"/>
          <w:szCs w:val="24"/>
        </w:rPr>
        <w:t>zilucoplan</w:t>
      </w:r>
      <w:proofErr w:type="spellEnd"/>
      <w:r w:rsidRPr="00E815BD">
        <w:rPr>
          <w:rFonts w:cs="Arial"/>
          <w:sz w:val="24"/>
          <w:szCs w:val="24"/>
        </w:rPr>
        <w:t xml:space="preserve">. On the other hand, the </w:t>
      </w:r>
      <w:r w:rsidR="008D17A5">
        <w:rPr>
          <w:rFonts w:cs="Arial"/>
          <w:sz w:val="24"/>
          <w:szCs w:val="24"/>
        </w:rPr>
        <w:t xml:space="preserve">appeal </w:t>
      </w:r>
      <w:r w:rsidRPr="00E815BD">
        <w:rPr>
          <w:rFonts w:cs="Arial"/>
          <w:sz w:val="24"/>
          <w:szCs w:val="24"/>
        </w:rPr>
        <w:t xml:space="preserve">panel were disappointed not to have been presented with evidence that the committee had been explicit in its suggestions after the second committee meeting as to how </w:t>
      </w:r>
      <w:r w:rsidR="00CA5FD6">
        <w:rPr>
          <w:rFonts w:cs="Arial"/>
          <w:sz w:val="24"/>
          <w:szCs w:val="24"/>
        </w:rPr>
        <w:t>UCB</w:t>
      </w:r>
      <w:r w:rsidRPr="00E815BD">
        <w:rPr>
          <w:rFonts w:cs="Arial"/>
          <w:sz w:val="24"/>
          <w:szCs w:val="24"/>
        </w:rPr>
        <w:t xml:space="preserve"> might better approach the incorporation of MSE into the modelling to arrive at more plausible outcomes.  Furthermore, the </w:t>
      </w:r>
      <w:r w:rsidR="00FD669D">
        <w:rPr>
          <w:rFonts w:cs="Arial"/>
          <w:sz w:val="24"/>
          <w:szCs w:val="24"/>
        </w:rPr>
        <w:t xml:space="preserve">appeal </w:t>
      </w:r>
      <w:r w:rsidRPr="00E815BD">
        <w:rPr>
          <w:rFonts w:cs="Arial"/>
          <w:sz w:val="24"/>
          <w:szCs w:val="24"/>
        </w:rPr>
        <w:t xml:space="preserve">panel noted that although MSE had been considered by the committee in the context of modelling, and that its preferred assumption had been to exclude it, there had not been explicit reference to its inclusion as an uncaptured benefit in section 3.3. While the </w:t>
      </w:r>
      <w:r w:rsidR="00FD669D">
        <w:rPr>
          <w:rFonts w:cs="Arial"/>
          <w:sz w:val="24"/>
          <w:szCs w:val="24"/>
        </w:rPr>
        <w:t xml:space="preserve">appeal </w:t>
      </w:r>
      <w:r w:rsidRPr="00E815BD">
        <w:rPr>
          <w:rFonts w:cs="Arial"/>
          <w:sz w:val="24"/>
          <w:szCs w:val="24"/>
        </w:rPr>
        <w:t xml:space="preserve">panel accepted that </w:t>
      </w:r>
      <w:r w:rsidR="00BC1E6A">
        <w:rPr>
          <w:rFonts w:cs="Arial"/>
          <w:sz w:val="24"/>
          <w:szCs w:val="24"/>
        </w:rPr>
        <w:t xml:space="preserve">it </w:t>
      </w:r>
      <w:r w:rsidRPr="00E815BD">
        <w:rPr>
          <w:rFonts w:cs="Arial"/>
          <w:sz w:val="24"/>
          <w:szCs w:val="24"/>
        </w:rPr>
        <w:t xml:space="preserve">was reasonable to assume that the response to </w:t>
      </w:r>
      <w:proofErr w:type="spellStart"/>
      <w:r w:rsidR="00FD669D">
        <w:rPr>
          <w:rFonts w:cs="Arial"/>
          <w:sz w:val="24"/>
          <w:szCs w:val="24"/>
        </w:rPr>
        <w:t>z</w:t>
      </w:r>
      <w:r w:rsidR="00FD669D" w:rsidRPr="00E815BD">
        <w:rPr>
          <w:rFonts w:cs="Arial"/>
          <w:sz w:val="24"/>
          <w:szCs w:val="24"/>
        </w:rPr>
        <w:t>ilucoplan</w:t>
      </w:r>
      <w:proofErr w:type="spellEnd"/>
      <w:r w:rsidR="00FD669D" w:rsidRPr="00E815BD">
        <w:rPr>
          <w:rFonts w:cs="Arial"/>
          <w:sz w:val="24"/>
          <w:szCs w:val="24"/>
        </w:rPr>
        <w:t xml:space="preserve"> </w:t>
      </w:r>
      <w:r w:rsidR="00AB5846">
        <w:rPr>
          <w:rFonts w:cs="Arial"/>
          <w:sz w:val="24"/>
          <w:szCs w:val="24"/>
        </w:rPr>
        <w:t>may</w:t>
      </w:r>
      <w:r w:rsidRPr="00E815BD">
        <w:rPr>
          <w:rFonts w:cs="Arial"/>
          <w:sz w:val="24"/>
          <w:szCs w:val="24"/>
        </w:rPr>
        <w:t xml:space="preserve"> be time limited and that MSE was unlikely to be indefinite, the</w:t>
      </w:r>
      <w:r w:rsidR="00FD669D">
        <w:rPr>
          <w:rFonts w:cs="Arial"/>
          <w:sz w:val="24"/>
          <w:szCs w:val="24"/>
        </w:rPr>
        <w:t xml:space="preserve"> appeal</w:t>
      </w:r>
      <w:r w:rsidRPr="00E815BD">
        <w:rPr>
          <w:rFonts w:cs="Arial"/>
          <w:sz w:val="24"/>
          <w:szCs w:val="24"/>
        </w:rPr>
        <w:t xml:space="preserve"> panel considered that</w:t>
      </w:r>
      <w:r w:rsidR="00AB5846">
        <w:rPr>
          <w:rFonts w:cs="Arial"/>
          <w:sz w:val="24"/>
          <w:szCs w:val="24"/>
        </w:rPr>
        <w:t xml:space="preserve"> omitting MSE from the model could substantially undervalue the benefits of </w:t>
      </w:r>
      <w:proofErr w:type="spellStart"/>
      <w:r w:rsidR="00AB5846">
        <w:rPr>
          <w:rFonts w:cs="Arial"/>
          <w:sz w:val="24"/>
          <w:szCs w:val="24"/>
        </w:rPr>
        <w:t>zilucoplan</w:t>
      </w:r>
      <w:proofErr w:type="spellEnd"/>
      <w:r w:rsidR="00AB5846">
        <w:rPr>
          <w:rFonts w:cs="Arial"/>
          <w:sz w:val="24"/>
          <w:szCs w:val="24"/>
        </w:rPr>
        <w:t xml:space="preserve"> and t</w:t>
      </w:r>
      <w:r w:rsidRPr="00E815BD">
        <w:rPr>
          <w:rFonts w:cs="Arial"/>
          <w:sz w:val="24"/>
          <w:szCs w:val="24"/>
        </w:rPr>
        <w:t>he committee’s decision to exclude such an important clinical outcome without fully exploring alternative approach</w:t>
      </w:r>
      <w:r w:rsidR="00BC1E6A">
        <w:rPr>
          <w:rFonts w:cs="Arial"/>
          <w:sz w:val="24"/>
          <w:szCs w:val="24"/>
        </w:rPr>
        <w:t>es</w:t>
      </w:r>
      <w:r w:rsidRPr="00E815BD">
        <w:rPr>
          <w:rFonts w:cs="Arial"/>
          <w:sz w:val="24"/>
          <w:szCs w:val="24"/>
        </w:rPr>
        <w:t xml:space="preserve"> with </w:t>
      </w:r>
      <w:r w:rsidR="00CA5FD6">
        <w:rPr>
          <w:rFonts w:cs="Arial"/>
          <w:sz w:val="24"/>
          <w:szCs w:val="24"/>
        </w:rPr>
        <w:t>UCB</w:t>
      </w:r>
      <w:r w:rsidRPr="00E815BD">
        <w:rPr>
          <w:rFonts w:cs="Arial"/>
          <w:sz w:val="24"/>
          <w:szCs w:val="24"/>
        </w:rPr>
        <w:t xml:space="preserve"> was </w:t>
      </w:r>
      <w:r w:rsidR="00AB5846">
        <w:rPr>
          <w:rFonts w:cs="Arial"/>
          <w:sz w:val="24"/>
          <w:szCs w:val="24"/>
        </w:rPr>
        <w:t xml:space="preserve">therefore </w:t>
      </w:r>
      <w:r w:rsidRPr="00E815BD">
        <w:rPr>
          <w:rFonts w:cs="Arial"/>
          <w:sz w:val="24"/>
          <w:szCs w:val="24"/>
        </w:rPr>
        <w:t xml:space="preserve">unreasonable. The </w:t>
      </w:r>
      <w:r w:rsidR="00FD669D">
        <w:rPr>
          <w:rFonts w:cs="Arial"/>
          <w:sz w:val="24"/>
          <w:szCs w:val="24"/>
        </w:rPr>
        <w:t xml:space="preserve">appeal </w:t>
      </w:r>
      <w:r w:rsidRPr="00E815BD">
        <w:rPr>
          <w:rFonts w:cs="Arial"/>
          <w:sz w:val="24"/>
          <w:szCs w:val="24"/>
        </w:rPr>
        <w:t>panel therefore upheld the appeal on these points.</w:t>
      </w:r>
    </w:p>
    <w:p w14:paraId="015F6734" w14:textId="4948054C" w:rsidR="000C7954" w:rsidRPr="00E815BD" w:rsidRDefault="000C7954" w:rsidP="00894289">
      <w:pPr>
        <w:pStyle w:val="Heading3"/>
      </w:pPr>
      <w:r w:rsidRPr="00E815BD">
        <w:t xml:space="preserve">UCB </w:t>
      </w:r>
      <w:r w:rsidR="003848DC">
        <w:t xml:space="preserve">appeal point </w:t>
      </w:r>
      <w:r w:rsidRPr="00E815BD">
        <w:t>2.7</w:t>
      </w:r>
      <w:r w:rsidR="003848DC">
        <w:t xml:space="preserve">: </w:t>
      </w:r>
      <w:r w:rsidRPr="00E815BD">
        <w:t xml:space="preserve">It is unreasonable to use Lee et al to estimate the cost of corticosteroid use for the CEM for </w:t>
      </w:r>
      <w:proofErr w:type="spellStart"/>
      <w:r w:rsidRPr="00E815BD">
        <w:t>zilucoplan</w:t>
      </w:r>
      <w:proofErr w:type="spellEnd"/>
      <w:r w:rsidRPr="00E815BD">
        <w:t>.</w:t>
      </w:r>
    </w:p>
    <w:p w14:paraId="4406E76B" w14:textId="19C83A99" w:rsidR="000C7954" w:rsidRPr="00A96D52" w:rsidRDefault="000C7954" w:rsidP="00894289">
      <w:pPr>
        <w:pStyle w:val="Heading3"/>
      </w:pPr>
      <w:r w:rsidRPr="00A96D52">
        <w:t xml:space="preserve">MDUK </w:t>
      </w:r>
      <w:r w:rsidR="003848DC">
        <w:t xml:space="preserve">appeal point </w:t>
      </w:r>
      <w:r w:rsidRPr="00A96D52">
        <w:t>2.1</w:t>
      </w:r>
      <w:r w:rsidR="003848DC">
        <w:t>:</w:t>
      </w:r>
      <w:r w:rsidRPr="00A96D52">
        <w:t xml:space="preserve"> It was unreasonable to use Lee et al to estimate the cost of corticosteroid use for the CEM for </w:t>
      </w:r>
      <w:proofErr w:type="spellStart"/>
      <w:r w:rsidR="003848DC">
        <w:t>z</w:t>
      </w:r>
      <w:r w:rsidRPr="00A96D52">
        <w:t>ilucoplan</w:t>
      </w:r>
      <w:proofErr w:type="spellEnd"/>
      <w:r w:rsidR="003848DC">
        <w:t>.</w:t>
      </w:r>
    </w:p>
    <w:p w14:paraId="21F5ADFB" w14:textId="1C8D1C1F" w:rsidR="00C345B4" w:rsidRPr="00A96D52" w:rsidRDefault="002B003E" w:rsidP="000C7954">
      <w:pPr>
        <w:pStyle w:val="Paragraph"/>
        <w:rPr>
          <w:rFonts w:cs="Arial"/>
          <w:sz w:val="24"/>
          <w:szCs w:val="24"/>
        </w:rPr>
      </w:pPr>
      <w:r>
        <w:rPr>
          <w:rFonts w:cs="Arial"/>
          <w:sz w:val="24"/>
          <w:szCs w:val="24"/>
        </w:rPr>
        <w:t>UCB</w:t>
      </w:r>
      <w:r w:rsidR="00C345B4" w:rsidRPr="00A96D52">
        <w:rPr>
          <w:rFonts w:cs="Arial"/>
          <w:sz w:val="24"/>
          <w:szCs w:val="24"/>
        </w:rPr>
        <w:t xml:space="preserve"> had used costs for CCS use in systemic lupus erythematosus as a proxy condition (</w:t>
      </w:r>
      <w:proofErr w:type="spellStart"/>
      <w:r w:rsidR="00C345B4" w:rsidRPr="00A96D52">
        <w:rPr>
          <w:rFonts w:cs="Arial"/>
          <w:i/>
          <w:iCs/>
          <w:sz w:val="24"/>
          <w:szCs w:val="24"/>
        </w:rPr>
        <w:t>Stirnadel</w:t>
      </w:r>
      <w:proofErr w:type="spellEnd"/>
      <w:r w:rsidR="00C345B4" w:rsidRPr="00A96D52">
        <w:rPr>
          <w:rFonts w:cs="Arial"/>
          <w:i/>
          <w:iCs/>
          <w:sz w:val="24"/>
          <w:szCs w:val="24"/>
        </w:rPr>
        <w:t>-Farrant et al (2023))</w:t>
      </w:r>
      <w:r w:rsidR="00C345B4" w:rsidRPr="00A96D52">
        <w:rPr>
          <w:rFonts w:cs="Arial"/>
          <w:sz w:val="24"/>
          <w:szCs w:val="24"/>
        </w:rPr>
        <w:t xml:space="preserve">. The committee's preferred source was </w:t>
      </w:r>
      <w:r w:rsidR="00C345B4" w:rsidRPr="00A96D52">
        <w:rPr>
          <w:rFonts w:cs="Arial"/>
          <w:i/>
          <w:iCs/>
          <w:sz w:val="24"/>
          <w:szCs w:val="24"/>
        </w:rPr>
        <w:t xml:space="preserve">Lee et al (2018) </w:t>
      </w:r>
      <w:r w:rsidR="00C345B4" w:rsidRPr="00A96D52">
        <w:rPr>
          <w:rFonts w:cs="Arial"/>
          <w:sz w:val="24"/>
          <w:szCs w:val="24"/>
        </w:rPr>
        <w:t xml:space="preserve">to estimate CCS costs. </w:t>
      </w:r>
    </w:p>
    <w:p w14:paraId="6848FD46" w14:textId="760E57ED" w:rsidR="00C345B4" w:rsidRPr="00A96D52" w:rsidRDefault="000C7954" w:rsidP="00C345B4">
      <w:pPr>
        <w:pStyle w:val="Paragraph"/>
        <w:rPr>
          <w:rFonts w:cs="Arial"/>
          <w:sz w:val="24"/>
          <w:szCs w:val="24"/>
        </w:rPr>
      </w:pPr>
      <w:r w:rsidRPr="00A96D52">
        <w:rPr>
          <w:rFonts w:cs="Arial"/>
          <w:sz w:val="24"/>
          <w:szCs w:val="24"/>
        </w:rPr>
        <w:t xml:space="preserve">Charlotte Roy introduced this appeal </w:t>
      </w:r>
      <w:r w:rsidR="00887B67" w:rsidRPr="00A96D52">
        <w:rPr>
          <w:rFonts w:cs="Arial"/>
          <w:sz w:val="24"/>
          <w:szCs w:val="24"/>
        </w:rPr>
        <w:t>p</w:t>
      </w:r>
      <w:r w:rsidR="00887B67">
        <w:rPr>
          <w:rFonts w:cs="Arial"/>
          <w:sz w:val="24"/>
          <w:szCs w:val="24"/>
        </w:rPr>
        <w:t>oint</w:t>
      </w:r>
      <w:r w:rsidR="00887B67" w:rsidRPr="00A96D52">
        <w:rPr>
          <w:rFonts w:cs="Arial"/>
          <w:sz w:val="24"/>
          <w:szCs w:val="24"/>
        </w:rPr>
        <w:t xml:space="preserve"> </w:t>
      </w:r>
      <w:r w:rsidRPr="00A96D52">
        <w:rPr>
          <w:rFonts w:cs="Arial"/>
          <w:sz w:val="24"/>
          <w:szCs w:val="24"/>
        </w:rPr>
        <w:t xml:space="preserve">for MDUK. She expressed MDUK's view that </w:t>
      </w:r>
      <w:r w:rsidRPr="00A96D52">
        <w:rPr>
          <w:rFonts w:cs="Arial"/>
          <w:i/>
          <w:iCs/>
          <w:sz w:val="24"/>
          <w:szCs w:val="24"/>
        </w:rPr>
        <w:t>Lee et al</w:t>
      </w:r>
      <w:r w:rsidRPr="00A96D52">
        <w:rPr>
          <w:rFonts w:cs="Arial"/>
          <w:sz w:val="24"/>
          <w:szCs w:val="24"/>
        </w:rPr>
        <w:t xml:space="preserve"> lacked the structure needed to facilitate robust modelling as it was subjective and had limitations. Despite this, the committee had preferred </w:t>
      </w:r>
      <w:r w:rsidRPr="00A96D52">
        <w:rPr>
          <w:rFonts w:cs="Arial"/>
          <w:i/>
          <w:iCs/>
          <w:sz w:val="24"/>
          <w:szCs w:val="24"/>
        </w:rPr>
        <w:t xml:space="preserve">Lee et al </w:t>
      </w:r>
      <w:r w:rsidRPr="00A96D52">
        <w:rPr>
          <w:rFonts w:cs="Arial"/>
          <w:sz w:val="24"/>
          <w:szCs w:val="24"/>
        </w:rPr>
        <w:t xml:space="preserve">to estimate CCS costs. Doing so failed to take sufficient account of the physiological / psychological disbenefits caused by CCS. </w:t>
      </w:r>
    </w:p>
    <w:p w14:paraId="471E2B82" w14:textId="415868F3" w:rsidR="00C345B4" w:rsidRPr="00A96D52" w:rsidRDefault="00C345B4" w:rsidP="000C7954">
      <w:pPr>
        <w:pStyle w:val="Paragraph"/>
        <w:rPr>
          <w:rFonts w:cs="Arial"/>
          <w:sz w:val="24"/>
          <w:szCs w:val="24"/>
        </w:rPr>
      </w:pPr>
      <w:r w:rsidRPr="00A96D52">
        <w:rPr>
          <w:rFonts w:cs="Arial"/>
          <w:sz w:val="24"/>
          <w:szCs w:val="24"/>
        </w:rPr>
        <w:lastRenderedPageBreak/>
        <w:t>Matthew Binns</w:t>
      </w:r>
      <w:r w:rsidR="002B003E">
        <w:rPr>
          <w:rFonts w:cs="Arial"/>
          <w:sz w:val="24"/>
          <w:szCs w:val="24"/>
        </w:rPr>
        <w:t>, for UCB</w:t>
      </w:r>
      <w:r w:rsidR="00B97AFD">
        <w:rPr>
          <w:rFonts w:cs="Arial"/>
          <w:sz w:val="24"/>
          <w:szCs w:val="24"/>
        </w:rPr>
        <w:t>,</w:t>
      </w:r>
      <w:r w:rsidRPr="00A96D52">
        <w:rPr>
          <w:rFonts w:cs="Arial"/>
          <w:sz w:val="24"/>
          <w:szCs w:val="24"/>
        </w:rPr>
        <w:t xml:space="preserve"> considered that the committee's reliance on </w:t>
      </w:r>
      <w:r w:rsidRPr="00A96D52">
        <w:rPr>
          <w:rFonts w:cs="Arial"/>
          <w:i/>
          <w:iCs/>
          <w:sz w:val="24"/>
          <w:szCs w:val="24"/>
        </w:rPr>
        <w:t xml:space="preserve">Lee et al </w:t>
      </w:r>
      <w:r w:rsidRPr="00A96D52">
        <w:rPr>
          <w:rFonts w:cs="Arial"/>
          <w:sz w:val="24"/>
          <w:szCs w:val="24"/>
        </w:rPr>
        <w:t xml:space="preserve">was unreasonable given the availability of </w:t>
      </w:r>
      <w:proofErr w:type="spellStart"/>
      <w:r w:rsidRPr="00A96D52">
        <w:rPr>
          <w:rFonts w:cs="Arial"/>
          <w:i/>
          <w:iCs/>
          <w:sz w:val="24"/>
          <w:szCs w:val="24"/>
        </w:rPr>
        <w:t>Stirnadel</w:t>
      </w:r>
      <w:proofErr w:type="spellEnd"/>
      <w:r w:rsidRPr="00A96D52">
        <w:rPr>
          <w:rFonts w:cs="Arial"/>
          <w:i/>
          <w:iCs/>
          <w:sz w:val="24"/>
          <w:szCs w:val="24"/>
        </w:rPr>
        <w:t>-Farrant et al</w:t>
      </w:r>
      <w:r w:rsidRPr="00A96D52">
        <w:rPr>
          <w:rFonts w:cs="Arial"/>
          <w:sz w:val="24"/>
          <w:szCs w:val="24"/>
        </w:rPr>
        <w:t xml:space="preserve">. He explained that </w:t>
      </w:r>
      <w:r w:rsidR="002B003E">
        <w:rPr>
          <w:rFonts w:cs="Arial"/>
          <w:sz w:val="24"/>
          <w:szCs w:val="24"/>
        </w:rPr>
        <w:t>UCB</w:t>
      </w:r>
      <w:r w:rsidRPr="00A96D52">
        <w:rPr>
          <w:rFonts w:cs="Arial"/>
          <w:sz w:val="24"/>
          <w:szCs w:val="24"/>
        </w:rPr>
        <w:t xml:space="preserve">'s concerns about the sources from </w:t>
      </w:r>
      <w:r w:rsidRPr="00A96D52">
        <w:rPr>
          <w:rFonts w:cs="Arial"/>
          <w:i/>
          <w:iCs/>
          <w:sz w:val="24"/>
          <w:szCs w:val="24"/>
        </w:rPr>
        <w:t>Lee et al</w:t>
      </w:r>
      <w:r w:rsidRPr="00A96D52">
        <w:rPr>
          <w:rFonts w:cs="Arial"/>
          <w:sz w:val="24"/>
          <w:szCs w:val="24"/>
        </w:rPr>
        <w:t xml:space="preserve"> included that there </w:t>
      </w:r>
      <w:r w:rsidR="00F37AE7" w:rsidRPr="00A96D52">
        <w:rPr>
          <w:rFonts w:cs="Arial"/>
          <w:sz w:val="24"/>
          <w:szCs w:val="24"/>
        </w:rPr>
        <w:t>was</w:t>
      </w:r>
      <w:r w:rsidRPr="00A96D52">
        <w:rPr>
          <w:rFonts w:cs="Arial"/>
          <w:sz w:val="24"/>
          <w:szCs w:val="24"/>
        </w:rPr>
        <w:t xml:space="preserve"> no differentiation between low and high doses of steroids, and </w:t>
      </w:r>
      <w:r w:rsidR="00F37AE7">
        <w:rPr>
          <w:rFonts w:cs="Arial"/>
          <w:sz w:val="24"/>
          <w:szCs w:val="24"/>
        </w:rPr>
        <w:t xml:space="preserve">that it </w:t>
      </w:r>
      <w:r w:rsidRPr="00A96D52">
        <w:rPr>
          <w:rFonts w:cs="Arial"/>
          <w:sz w:val="24"/>
          <w:szCs w:val="24"/>
        </w:rPr>
        <w:t xml:space="preserve">was unclear whether health impacts were </w:t>
      </w:r>
      <w:proofErr w:type="gramStart"/>
      <w:r w:rsidRPr="00A96D52">
        <w:rPr>
          <w:rFonts w:cs="Arial"/>
          <w:sz w:val="24"/>
          <w:szCs w:val="24"/>
        </w:rPr>
        <w:t>as a result of</w:t>
      </w:r>
      <w:proofErr w:type="gramEnd"/>
      <w:r w:rsidRPr="00A96D52">
        <w:rPr>
          <w:rFonts w:cs="Arial"/>
          <w:sz w:val="24"/>
          <w:szCs w:val="24"/>
        </w:rPr>
        <w:t xml:space="preserve"> the underlying condition or the steroid use. </w:t>
      </w:r>
    </w:p>
    <w:p w14:paraId="70D68813" w14:textId="05C71127" w:rsidR="00C345B4" w:rsidRPr="00A96D52" w:rsidRDefault="00C345B4" w:rsidP="000C7954">
      <w:pPr>
        <w:pStyle w:val="Paragraph"/>
        <w:rPr>
          <w:rFonts w:cs="Arial"/>
          <w:sz w:val="24"/>
          <w:szCs w:val="24"/>
        </w:rPr>
      </w:pPr>
      <w:r w:rsidRPr="00A96D52">
        <w:rPr>
          <w:rFonts w:cs="Arial"/>
          <w:sz w:val="24"/>
          <w:szCs w:val="24"/>
        </w:rPr>
        <w:t>Yelan Guo</w:t>
      </w:r>
      <w:r w:rsidR="002B003E">
        <w:rPr>
          <w:rFonts w:cs="Arial"/>
          <w:sz w:val="24"/>
          <w:szCs w:val="24"/>
        </w:rPr>
        <w:t>, for NICE</w:t>
      </w:r>
      <w:r w:rsidR="00754604">
        <w:rPr>
          <w:rFonts w:cs="Arial"/>
          <w:sz w:val="24"/>
          <w:szCs w:val="24"/>
        </w:rPr>
        <w:t>,</w:t>
      </w:r>
      <w:r w:rsidRPr="00A96D52">
        <w:rPr>
          <w:rFonts w:cs="Arial"/>
          <w:sz w:val="24"/>
          <w:szCs w:val="24"/>
        </w:rPr>
        <w:t xml:space="preserve"> explained that the committee preferred </w:t>
      </w:r>
      <w:r w:rsidRPr="00A96D52">
        <w:rPr>
          <w:rFonts w:cs="Arial"/>
          <w:i/>
          <w:iCs/>
          <w:sz w:val="24"/>
          <w:szCs w:val="24"/>
        </w:rPr>
        <w:t>Lee et al</w:t>
      </w:r>
      <w:r w:rsidRPr="00A96D52">
        <w:rPr>
          <w:rFonts w:cs="Arial"/>
          <w:sz w:val="24"/>
          <w:szCs w:val="24"/>
        </w:rPr>
        <w:t xml:space="preserve"> as it was a data set specific to </w:t>
      </w:r>
      <w:proofErr w:type="spellStart"/>
      <w:r w:rsidRPr="00A96D52">
        <w:rPr>
          <w:rFonts w:cs="Arial"/>
          <w:sz w:val="24"/>
          <w:szCs w:val="24"/>
        </w:rPr>
        <w:t>gMG</w:t>
      </w:r>
      <w:proofErr w:type="spellEnd"/>
      <w:r w:rsidRPr="00A96D52">
        <w:rPr>
          <w:rFonts w:cs="Arial"/>
          <w:sz w:val="24"/>
          <w:szCs w:val="24"/>
        </w:rPr>
        <w:t xml:space="preserve"> and is therefore directly relevant. </w:t>
      </w:r>
      <w:proofErr w:type="spellStart"/>
      <w:r w:rsidRPr="00A96D52">
        <w:rPr>
          <w:rFonts w:cs="Arial"/>
          <w:i/>
          <w:iCs/>
          <w:sz w:val="24"/>
          <w:szCs w:val="24"/>
        </w:rPr>
        <w:t>Stirnadel</w:t>
      </w:r>
      <w:proofErr w:type="spellEnd"/>
      <w:r w:rsidRPr="00A96D52">
        <w:rPr>
          <w:rFonts w:cs="Arial"/>
          <w:i/>
          <w:iCs/>
          <w:sz w:val="24"/>
          <w:szCs w:val="24"/>
        </w:rPr>
        <w:t xml:space="preserve">-Farrant et al </w:t>
      </w:r>
      <w:r w:rsidRPr="00A96D52">
        <w:rPr>
          <w:rFonts w:cs="Arial"/>
          <w:sz w:val="24"/>
          <w:szCs w:val="24"/>
        </w:rPr>
        <w:t xml:space="preserve">related to a multi-organ autoimmune condition with different patterns of dosing and type of steroid. </w:t>
      </w:r>
      <w:r w:rsidR="00A40B9A" w:rsidRPr="00A96D52">
        <w:rPr>
          <w:rFonts w:cs="Arial"/>
          <w:sz w:val="24"/>
          <w:szCs w:val="24"/>
        </w:rPr>
        <w:t xml:space="preserve">The decision to prefer </w:t>
      </w:r>
      <w:r w:rsidR="00A40B9A" w:rsidRPr="00A96D52">
        <w:rPr>
          <w:rFonts w:cs="Arial"/>
          <w:i/>
          <w:iCs/>
          <w:sz w:val="24"/>
          <w:szCs w:val="24"/>
        </w:rPr>
        <w:t xml:space="preserve">Lee et al </w:t>
      </w:r>
      <w:r w:rsidR="00A40B9A" w:rsidRPr="00A96D52">
        <w:rPr>
          <w:rFonts w:cs="Arial"/>
          <w:sz w:val="24"/>
          <w:szCs w:val="24"/>
        </w:rPr>
        <w:t xml:space="preserve">was also consistent with </w:t>
      </w:r>
      <w:r w:rsidR="005A5D49">
        <w:rPr>
          <w:rFonts w:cs="Arial"/>
          <w:sz w:val="24"/>
          <w:szCs w:val="24"/>
        </w:rPr>
        <w:t>TA1069</w:t>
      </w:r>
      <w:r w:rsidR="00A40B9A" w:rsidRPr="00A96D52">
        <w:rPr>
          <w:rFonts w:cs="Arial"/>
          <w:sz w:val="24"/>
          <w:szCs w:val="24"/>
        </w:rPr>
        <w:t xml:space="preserve">. Using the same source of data ensures consistency and avoids unnecessarily relying on a proxy condition. </w:t>
      </w:r>
    </w:p>
    <w:p w14:paraId="1F0562DD" w14:textId="7336A3EA" w:rsidR="00A40B9A" w:rsidRPr="00A96D52" w:rsidRDefault="00A40B9A" w:rsidP="00A40B9A">
      <w:pPr>
        <w:pStyle w:val="Paragraph"/>
        <w:rPr>
          <w:rFonts w:cs="Arial"/>
          <w:sz w:val="24"/>
          <w:szCs w:val="24"/>
        </w:rPr>
      </w:pPr>
      <w:r w:rsidRPr="00A96D52">
        <w:rPr>
          <w:rFonts w:cs="Arial"/>
          <w:sz w:val="24"/>
          <w:szCs w:val="24"/>
        </w:rPr>
        <w:t xml:space="preserve">The </w:t>
      </w:r>
      <w:r w:rsidR="004448B5">
        <w:rPr>
          <w:rFonts w:cs="Arial"/>
          <w:sz w:val="24"/>
          <w:szCs w:val="24"/>
        </w:rPr>
        <w:t xml:space="preserve">appeal </w:t>
      </w:r>
      <w:r w:rsidRPr="00A96D52">
        <w:rPr>
          <w:rFonts w:cs="Arial"/>
          <w:sz w:val="24"/>
          <w:szCs w:val="24"/>
        </w:rPr>
        <w:t>panel asked whether patient and clinical experts were consulted on which was the best source of evidence to inform CCS costs. Charles Crawley</w:t>
      </w:r>
      <w:r w:rsidR="002B003E">
        <w:rPr>
          <w:rFonts w:cs="Arial"/>
          <w:sz w:val="24"/>
          <w:szCs w:val="24"/>
        </w:rPr>
        <w:t>, for NICE</w:t>
      </w:r>
      <w:r w:rsidR="00FF09D9">
        <w:rPr>
          <w:rFonts w:cs="Arial"/>
          <w:sz w:val="24"/>
          <w:szCs w:val="24"/>
        </w:rPr>
        <w:t>,</w:t>
      </w:r>
      <w:r w:rsidRPr="00A96D52">
        <w:rPr>
          <w:rFonts w:cs="Arial"/>
          <w:sz w:val="24"/>
          <w:szCs w:val="24"/>
        </w:rPr>
        <w:t xml:space="preserve"> confirmed that this was considered in the first committee meeting, but that there was no clear consensus around the preferred approach. Although </w:t>
      </w:r>
      <w:proofErr w:type="spellStart"/>
      <w:r w:rsidRPr="00A96D52">
        <w:rPr>
          <w:rFonts w:cs="Arial"/>
          <w:i/>
          <w:iCs/>
          <w:sz w:val="24"/>
          <w:szCs w:val="24"/>
        </w:rPr>
        <w:t>Stirnadel</w:t>
      </w:r>
      <w:proofErr w:type="spellEnd"/>
      <w:r w:rsidRPr="00A96D52">
        <w:rPr>
          <w:rFonts w:cs="Arial"/>
          <w:i/>
          <w:iCs/>
          <w:sz w:val="24"/>
          <w:szCs w:val="24"/>
        </w:rPr>
        <w:t xml:space="preserve">-Farrant et al </w:t>
      </w:r>
      <w:r w:rsidRPr="00A96D52">
        <w:rPr>
          <w:rFonts w:cs="Arial"/>
          <w:sz w:val="24"/>
          <w:szCs w:val="24"/>
        </w:rPr>
        <w:t xml:space="preserve">was more favourable to </w:t>
      </w:r>
      <w:proofErr w:type="spellStart"/>
      <w:r w:rsidRPr="00A96D52">
        <w:rPr>
          <w:rFonts w:cs="Arial"/>
          <w:sz w:val="24"/>
          <w:szCs w:val="24"/>
        </w:rPr>
        <w:t>zilucoplan</w:t>
      </w:r>
      <w:proofErr w:type="spellEnd"/>
      <w:r w:rsidRPr="00A96D52">
        <w:rPr>
          <w:rFonts w:cs="Arial"/>
          <w:sz w:val="24"/>
          <w:szCs w:val="24"/>
        </w:rPr>
        <w:t>, the impact on the I</w:t>
      </w:r>
      <w:r w:rsidR="005A7AE8">
        <w:rPr>
          <w:rFonts w:cs="Arial"/>
          <w:sz w:val="24"/>
          <w:szCs w:val="24"/>
        </w:rPr>
        <w:t xml:space="preserve">ncremental </w:t>
      </w:r>
      <w:r w:rsidRPr="00A96D52">
        <w:rPr>
          <w:rFonts w:cs="Arial"/>
          <w:sz w:val="24"/>
          <w:szCs w:val="24"/>
        </w:rPr>
        <w:t>C</w:t>
      </w:r>
      <w:r w:rsidR="005A7AE8">
        <w:rPr>
          <w:rFonts w:cs="Arial"/>
          <w:sz w:val="24"/>
          <w:szCs w:val="24"/>
        </w:rPr>
        <w:t xml:space="preserve">ost </w:t>
      </w:r>
      <w:r w:rsidRPr="00A96D52">
        <w:rPr>
          <w:rFonts w:cs="Arial"/>
          <w:sz w:val="24"/>
          <w:szCs w:val="24"/>
        </w:rPr>
        <w:t>E</w:t>
      </w:r>
      <w:r w:rsidR="005A7AE8">
        <w:rPr>
          <w:rFonts w:cs="Arial"/>
          <w:sz w:val="24"/>
          <w:szCs w:val="24"/>
        </w:rPr>
        <w:t xml:space="preserve">ffectiveness </w:t>
      </w:r>
      <w:r w:rsidRPr="00A96D52">
        <w:rPr>
          <w:rFonts w:cs="Arial"/>
          <w:sz w:val="24"/>
          <w:szCs w:val="24"/>
        </w:rPr>
        <w:t>R</w:t>
      </w:r>
      <w:r w:rsidR="005A7AE8">
        <w:rPr>
          <w:rFonts w:cs="Arial"/>
          <w:sz w:val="24"/>
          <w:szCs w:val="24"/>
        </w:rPr>
        <w:t>atio (“ICER”)</w:t>
      </w:r>
      <w:r w:rsidRPr="00A96D52">
        <w:rPr>
          <w:rFonts w:cs="Arial"/>
          <w:sz w:val="24"/>
          <w:szCs w:val="24"/>
        </w:rPr>
        <w:t xml:space="preserve"> was relatively small.</w:t>
      </w:r>
    </w:p>
    <w:p w14:paraId="320B3152" w14:textId="484A04CF" w:rsidR="00A40B9A" w:rsidRPr="00A96D52" w:rsidRDefault="00A40B9A" w:rsidP="00A40B9A">
      <w:pPr>
        <w:pStyle w:val="Paragraph"/>
        <w:rPr>
          <w:rFonts w:cs="Arial"/>
          <w:sz w:val="24"/>
          <w:szCs w:val="24"/>
        </w:rPr>
      </w:pPr>
      <w:r w:rsidRPr="00A96D52">
        <w:rPr>
          <w:rFonts w:cs="Arial"/>
          <w:sz w:val="24"/>
          <w:szCs w:val="24"/>
        </w:rPr>
        <w:t xml:space="preserve">Charlotte Roy noted that although the impact on the ICER may have been small, it was imperative that the committee's preferred assumptions reflected </w:t>
      </w:r>
      <w:proofErr w:type="gramStart"/>
      <w:r w:rsidRPr="00A96D52">
        <w:rPr>
          <w:rFonts w:cs="Arial"/>
          <w:sz w:val="24"/>
          <w:szCs w:val="24"/>
        </w:rPr>
        <w:t>patients'</w:t>
      </w:r>
      <w:proofErr w:type="gramEnd"/>
      <w:r w:rsidRPr="00A96D52">
        <w:rPr>
          <w:rFonts w:cs="Arial"/>
          <w:sz w:val="24"/>
          <w:szCs w:val="24"/>
        </w:rPr>
        <w:t xml:space="preserve"> lived experience. </w:t>
      </w:r>
      <w:r w:rsidR="00F75C4E" w:rsidRPr="00A96D52">
        <w:rPr>
          <w:rFonts w:cs="Arial"/>
          <w:sz w:val="24"/>
          <w:szCs w:val="24"/>
        </w:rPr>
        <w:t xml:space="preserve">She reiterated that </w:t>
      </w:r>
      <w:r w:rsidR="00CC7259">
        <w:rPr>
          <w:rFonts w:cs="Arial"/>
          <w:sz w:val="24"/>
          <w:szCs w:val="24"/>
        </w:rPr>
        <w:t xml:space="preserve">the source relied on for </w:t>
      </w:r>
      <w:r w:rsidR="00F75C4E" w:rsidRPr="00A96D52">
        <w:rPr>
          <w:rFonts w:cs="Arial"/>
          <w:sz w:val="24"/>
          <w:szCs w:val="24"/>
        </w:rPr>
        <w:t xml:space="preserve">estimating CCS costs should reflect dose and duration (as the biggest driver of side effects) of CCS rather than focussing on the condition for which </w:t>
      </w:r>
      <w:proofErr w:type="gramStart"/>
      <w:r w:rsidR="00F75C4E" w:rsidRPr="00A96D52">
        <w:rPr>
          <w:rFonts w:cs="Arial"/>
          <w:sz w:val="24"/>
          <w:szCs w:val="24"/>
        </w:rPr>
        <w:t>CCS'</w:t>
      </w:r>
      <w:proofErr w:type="gramEnd"/>
      <w:r w:rsidR="00F75C4E" w:rsidRPr="00A96D52">
        <w:rPr>
          <w:rFonts w:cs="Arial"/>
          <w:sz w:val="24"/>
          <w:szCs w:val="24"/>
        </w:rPr>
        <w:t xml:space="preserve"> are being administered. </w:t>
      </w:r>
    </w:p>
    <w:p w14:paraId="54705B74" w14:textId="2274F09B" w:rsidR="00C345B4" w:rsidRPr="00A96D52" w:rsidRDefault="001E0A57" w:rsidP="000C7954">
      <w:pPr>
        <w:pStyle w:val="Paragraph"/>
        <w:rPr>
          <w:rFonts w:cs="Arial"/>
          <w:sz w:val="24"/>
          <w:szCs w:val="24"/>
        </w:rPr>
      </w:pPr>
      <w:r>
        <w:rPr>
          <w:rFonts w:cs="Arial"/>
          <w:sz w:val="24"/>
          <w:szCs w:val="24"/>
        </w:rPr>
        <w:t>Emily Crowe</w:t>
      </w:r>
      <w:r w:rsidR="00311A9F">
        <w:rPr>
          <w:rFonts w:cs="Arial"/>
          <w:sz w:val="24"/>
          <w:szCs w:val="24"/>
        </w:rPr>
        <w:t>, for NICE</w:t>
      </w:r>
      <w:r w:rsidR="002C592A">
        <w:rPr>
          <w:rFonts w:cs="Arial"/>
          <w:sz w:val="24"/>
          <w:szCs w:val="24"/>
        </w:rPr>
        <w:t>,</w:t>
      </w:r>
      <w:r>
        <w:rPr>
          <w:rFonts w:cs="Arial"/>
          <w:sz w:val="24"/>
          <w:szCs w:val="24"/>
        </w:rPr>
        <w:t xml:space="preserve"> explained that t</w:t>
      </w:r>
      <w:r w:rsidR="00A40B9A" w:rsidRPr="00A96D52">
        <w:rPr>
          <w:rFonts w:cs="Arial"/>
          <w:sz w:val="24"/>
          <w:szCs w:val="24"/>
        </w:rPr>
        <w:t xml:space="preserve">he committee did not consider there to be a good reason to depart from the approach in </w:t>
      </w:r>
      <w:r w:rsidR="005A5D49">
        <w:rPr>
          <w:rFonts w:cs="Arial"/>
          <w:sz w:val="24"/>
          <w:szCs w:val="24"/>
        </w:rPr>
        <w:t>TA1069</w:t>
      </w:r>
      <w:r w:rsidR="00A40B9A" w:rsidRPr="00A96D52">
        <w:rPr>
          <w:rFonts w:cs="Arial"/>
          <w:sz w:val="24"/>
          <w:szCs w:val="24"/>
        </w:rPr>
        <w:t xml:space="preserve">. Although there is need to consider surrogate data when data for the condition in question is not available, that was not the case here – </w:t>
      </w:r>
      <w:r w:rsidR="00A40B9A" w:rsidRPr="00A96D52">
        <w:rPr>
          <w:rFonts w:cs="Arial"/>
          <w:sz w:val="24"/>
          <w:szCs w:val="24"/>
        </w:rPr>
        <w:lastRenderedPageBreak/>
        <w:t xml:space="preserve">and the committee needed a good reason to dismiss data relevant to the condition in question in favour of surrogate data. </w:t>
      </w:r>
    </w:p>
    <w:p w14:paraId="70D00DF1" w14:textId="53FC5C5B" w:rsidR="00A40B9A" w:rsidRPr="00A96D52" w:rsidRDefault="00A40B9A" w:rsidP="00A40B9A">
      <w:pPr>
        <w:pStyle w:val="Paragraph"/>
        <w:rPr>
          <w:rFonts w:cs="Arial"/>
          <w:sz w:val="24"/>
          <w:szCs w:val="24"/>
        </w:rPr>
      </w:pPr>
      <w:r w:rsidRPr="00A96D52">
        <w:rPr>
          <w:rFonts w:cs="Arial"/>
          <w:sz w:val="24"/>
          <w:szCs w:val="24"/>
        </w:rPr>
        <w:t>Matthew Binns added</w:t>
      </w:r>
      <w:r w:rsidRPr="00A96D52">
        <w:rPr>
          <w:rFonts w:cs="Arial"/>
          <w:i/>
          <w:iCs/>
          <w:sz w:val="24"/>
          <w:szCs w:val="24"/>
        </w:rPr>
        <w:t xml:space="preserve"> </w:t>
      </w:r>
      <w:proofErr w:type="spellStart"/>
      <w:r w:rsidRPr="00A96D52">
        <w:rPr>
          <w:rFonts w:cs="Arial"/>
          <w:i/>
          <w:iCs/>
          <w:sz w:val="24"/>
          <w:szCs w:val="24"/>
        </w:rPr>
        <w:t>Stirnadel</w:t>
      </w:r>
      <w:proofErr w:type="spellEnd"/>
      <w:r w:rsidRPr="00A96D52">
        <w:rPr>
          <w:rFonts w:cs="Arial"/>
          <w:i/>
          <w:iCs/>
          <w:sz w:val="24"/>
          <w:szCs w:val="24"/>
        </w:rPr>
        <w:t>-Farrant et al</w:t>
      </w:r>
      <w:r w:rsidRPr="00A96D52">
        <w:rPr>
          <w:rFonts w:cs="Arial"/>
          <w:sz w:val="24"/>
          <w:szCs w:val="24"/>
        </w:rPr>
        <w:t xml:space="preserve"> was not available to the committee appraising efga</w:t>
      </w:r>
      <w:r w:rsidR="00F75C4E" w:rsidRPr="00A96D52">
        <w:rPr>
          <w:rFonts w:cs="Arial"/>
          <w:sz w:val="24"/>
          <w:szCs w:val="24"/>
        </w:rPr>
        <w:t xml:space="preserve">rtigimod. Further, </w:t>
      </w:r>
      <w:r w:rsidR="00F75C4E" w:rsidRPr="00A96D52">
        <w:rPr>
          <w:rFonts w:cs="Arial"/>
          <w:i/>
          <w:iCs/>
          <w:sz w:val="24"/>
          <w:szCs w:val="24"/>
        </w:rPr>
        <w:t xml:space="preserve">Lee et al </w:t>
      </w:r>
      <w:r w:rsidR="00F75C4E" w:rsidRPr="00A96D52">
        <w:rPr>
          <w:rFonts w:cs="Arial"/>
          <w:sz w:val="24"/>
          <w:szCs w:val="24"/>
        </w:rPr>
        <w:t xml:space="preserve">did not fit the economic model put forward by </w:t>
      </w:r>
      <w:r w:rsidR="00311A9F">
        <w:rPr>
          <w:rFonts w:cs="Arial"/>
          <w:sz w:val="24"/>
          <w:szCs w:val="24"/>
        </w:rPr>
        <w:t>UCB</w:t>
      </w:r>
      <w:r w:rsidR="00F75C4E" w:rsidRPr="00A96D52">
        <w:rPr>
          <w:rFonts w:cs="Arial"/>
          <w:sz w:val="24"/>
          <w:szCs w:val="24"/>
        </w:rPr>
        <w:t xml:space="preserve">. </w:t>
      </w:r>
    </w:p>
    <w:p w14:paraId="04AA7FA2" w14:textId="77777777" w:rsidR="00E815BD" w:rsidRDefault="00F75C4E" w:rsidP="00E815BD">
      <w:pPr>
        <w:pStyle w:val="Paragraph"/>
        <w:rPr>
          <w:rFonts w:cs="Arial"/>
          <w:sz w:val="24"/>
          <w:szCs w:val="24"/>
        </w:rPr>
      </w:pPr>
      <w:r w:rsidRPr="00A96D52">
        <w:rPr>
          <w:rFonts w:cs="Arial"/>
          <w:sz w:val="24"/>
          <w:szCs w:val="24"/>
        </w:rPr>
        <w:t xml:space="preserve">Emily Crowe emphasised that the committee considered that using data from the patient population in question was a reasonable assumption to have preferred. </w:t>
      </w:r>
    </w:p>
    <w:p w14:paraId="3E285DFE" w14:textId="3BAD1FA9" w:rsidR="00E815BD" w:rsidRDefault="00E815BD" w:rsidP="00E815BD">
      <w:pPr>
        <w:pStyle w:val="Paragraph"/>
        <w:rPr>
          <w:rFonts w:cs="Arial"/>
          <w:sz w:val="24"/>
          <w:szCs w:val="24"/>
        </w:rPr>
      </w:pPr>
      <w:proofErr w:type="gramStart"/>
      <w:r w:rsidRPr="00E815BD">
        <w:rPr>
          <w:rFonts w:cs="Arial"/>
          <w:sz w:val="24"/>
          <w:szCs w:val="24"/>
        </w:rPr>
        <w:t>In regard to</w:t>
      </w:r>
      <w:proofErr w:type="gramEnd"/>
      <w:r w:rsidRPr="00E815BD">
        <w:rPr>
          <w:rFonts w:cs="Arial"/>
          <w:sz w:val="24"/>
          <w:szCs w:val="24"/>
        </w:rPr>
        <w:t xml:space="preserve"> </w:t>
      </w:r>
      <w:r w:rsidR="007506AF">
        <w:rPr>
          <w:rFonts w:cs="Arial"/>
          <w:sz w:val="24"/>
          <w:szCs w:val="24"/>
        </w:rPr>
        <w:t xml:space="preserve">UCB’s </w:t>
      </w:r>
      <w:r w:rsidR="00AE57DD">
        <w:rPr>
          <w:rFonts w:cs="Arial"/>
          <w:sz w:val="24"/>
          <w:szCs w:val="24"/>
        </w:rPr>
        <w:t>a</w:t>
      </w:r>
      <w:r w:rsidRPr="00E815BD">
        <w:rPr>
          <w:rFonts w:cs="Arial"/>
          <w:sz w:val="24"/>
          <w:szCs w:val="24"/>
        </w:rPr>
        <w:t xml:space="preserve">ppeal </w:t>
      </w:r>
      <w:r w:rsidR="00AE57DD">
        <w:rPr>
          <w:rFonts w:cs="Arial"/>
          <w:sz w:val="24"/>
          <w:szCs w:val="24"/>
        </w:rPr>
        <w:t>p</w:t>
      </w:r>
      <w:r w:rsidRPr="00E815BD">
        <w:rPr>
          <w:rFonts w:cs="Arial"/>
          <w:sz w:val="24"/>
          <w:szCs w:val="24"/>
        </w:rPr>
        <w:t>oint 2.7 and MDUK</w:t>
      </w:r>
      <w:r w:rsidR="007506AF">
        <w:rPr>
          <w:rFonts w:cs="Arial"/>
          <w:sz w:val="24"/>
          <w:szCs w:val="24"/>
        </w:rPr>
        <w:t>’s appeal point</w:t>
      </w:r>
      <w:r w:rsidRPr="00E815BD">
        <w:rPr>
          <w:rFonts w:cs="Arial"/>
          <w:sz w:val="24"/>
          <w:szCs w:val="24"/>
        </w:rPr>
        <w:t xml:space="preserve"> 2.1, the</w:t>
      </w:r>
      <w:r w:rsidR="00AE57DD">
        <w:rPr>
          <w:rFonts w:cs="Arial"/>
          <w:sz w:val="24"/>
          <w:szCs w:val="24"/>
        </w:rPr>
        <w:t xml:space="preserve"> appeal</w:t>
      </w:r>
      <w:r w:rsidRPr="00E815BD">
        <w:rPr>
          <w:rFonts w:cs="Arial"/>
          <w:sz w:val="24"/>
          <w:szCs w:val="24"/>
        </w:rPr>
        <w:t xml:space="preserve"> panel concluded as follows</w:t>
      </w:r>
      <w:r w:rsidR="00BC1E6A">
        <w:rPr>
          <w:rFonts w:cs="Arial"/>
          <w:sz w:val="24"/>
          <w:szCs w:val="24"/>
        </w:rPr>
        <w:t>. T</w:t>
      </w:r>
      <w:r w:rsidRPr="00E815BD">
        <w:rPr>
          <w:rFonts w:cs="Arial"/>
          <w:sz w:val="24"/>
          <w:szCs w:val="24"/>
        </w:rPr>
        <w:t xml:space="preserve">he </w:t>
      </w:r>
      <w:r w:rsidR="00AE57DD">
        <w:rPr>
          <w:rFonts w:cs="Arial"/>
          <w:sz w:val="24"/>
          <w:szCs w:val="24"/>
        </w:rPr>
        <w:t xml:space="preserve">appeal </w:t>
      </w:r>
      <w:r w:rsidRPr="00E815BD">
        <w:rPr>
          <w:rFonts w:cs="Arial"/>
          <w:sz w:val="24"/>
          <w:szCs w:val="24"/>
        </w:rPr>
        <w:t>panel were satisfied that the committee had carefully considered the advantages and disadvantages of using 2 different sources of data to inform the costs of steroid use in the modelling and that expert input had been sought to inform their decision. The</w:t>
      </w:r>
      <w:r w:rsidR="00AE57DD">
        <w:rPr>
          <w:rFonts w:cs="Arial"/>
          <w:sz w:val="24"/>
          <w:szCs w:val="24"/>
        </w:rPr>
        <w:t xml:space="preserve"> appeal</w:t>
      </w:r>
      <w:r w:rsidRPr="00E815BD">
        <w:rPr>
          <w:rFonts w:cs="Arial"/>
          <w:sz w:val="24"/>
          <w:szCs w:val="24"/>
        </w:rPr>
        <w:t xml:space="preserve"> panel understood that the committee's preference for using data from </w:t>
      </w:r>
      <w:r w:rsidRPr="00894289">
        <w:rPr>
          <w:rFonts w:cs="Arial"/>
          <w:i/>
          <w:iCs/>
          <w:sz w:val="24"/>
          <w:szCs w:val="24"/>
        </w:rPr>
        <w:t>Lee et al</w:t>
      </w:r>
      <w:r w:rsidRPr="00E815BD">
        <w:rPr>
          <w:rFonts w:cs="Arial"/>
          <w:sz w:val="24"/>
          <w:szCs w:val="24"/>
        </w:rPr>
        <w:t xml:space="preserve"> was based on their desire to use a reference cohort of patients who were receiving steroids as treatment for </w:t>
      </w:r>
      <w:proofErr w:type="spellStart"/>
      <w:r w:rsidRPr="00E815BD">
        <w:rPr>
          <w:rFonts w:cs="Arial"/>
          <w:sz w:val="24"/>
          <w:szCs w:val="24"/>
        </w:rPr>
        <w:t>gMG</w:t>
      </w:r>
      <w:proofErr w:type="spellEnd"/>
      <w:r w:rsidRPr="00E815BD">
        <w:rPr>
          <w:rFonts w:cs="Arial"/>
          <w:sz w:val="24"/>
          <w:szCs w:val="24"/>
        </w:rPr>
        <w:t xml:space="preserve"> rather than a surrogate cohort who were taking steroids to treat systemic lupus erythematosus</w:t>
      </w:r>
      <w:r w:rsidR="00A53924">
        <w:rPr>
          <w:rFonts w:cs="Arial"/>
          <w:sz w:val="24"/>
          <w:szCs w:val="24"/>
        </w:rPr>
        <w:t>,</w:t>
      </w:r>
      <w:r w:rsidRPr="00E815BD">
        <w:rPr>
          <w:rFonts w:cs="Arial"/>
          <w:sz w:val="24"/>
          <w:szCs w:val="24"/>
        </w:rPr>
        <w:t xml:space="preserve"> as well as their intention to achieve consistency with the approach adopted in TA1069. The </w:t>
      </w:r>
      <w:r w:rsidR="00954525">
        <w:rPr>
          <w:rFonts w:cs="Arial"/>
          <w:sz w:val="24"/>
          <w:szCs w:val="24"/>
        </w:rPr>
        <w:t xml:space="preserve">appeal </w:t>
      </w:r>
      <w:r w:rsidRPr="00E815BD">
        <w:rPr>
          <w:rFonts w:cs="Arial"/>
          <w:sz w:val="24"/>
          <w:szCs w:val="24"/>
        </w:rPr>
        <w:t xml:space="preserve">panel also noted that the choice of which of the 2 sources should be used had a relatively small impact on the ICERs.  Overall, the </w:t>
      </w:r>
      <w:r w:rsidR="00954525">
        <w:rPr>
          <w:rFonts w:cs="Arial"/>
          <w:sz w:val="24"/>
          <w:szCs w:val="24"/>
        </w:rPr>
        <w:t xml:space="preserve">appeal </w:t>
      </w:r>
      <w:r w:rsidRPr="00E815BD">
        <w:rPr>
          <w:rFonts w:cs="Arial"/>
          <w:sz w:val="24"/>
          <w:szCs w:val="24"/>
        </w:rPr>
        <w:t xml:space="preserve">panel concluded that this decision was reasonable and therefore dismissed the appeal on these points.  </w:t>
      </w:r>
    </w:p>
    <w:p w14:paraId="3B23D1FD" w14:textId="560DBD3C" w:rsidR="00F75C4E" w:rsidRPr="00954525" w:rsidRDefault="00F75C4E" w:rsidP="00894289">
      <w:pPr>
        <w:pStyle w:val="Heading3"/>
      </w:pPr>
      <w:r w:rsidRPr="00894289">
        <w:t xml:space="preserve">UCB </w:t>
      </w:r>
      <w:r w:rsidR="00954525" w:rsidRPr="00894289">
        <w:t xml:space="preserve">appeal point </w:t>
      </w:r>
      <w:r w:rsidRPr="00894289">
        <w:t>1(a)5</w:t>
      </w:r>
      <w:r w:rsidR="00954525" w:rsidRPr="00894289">
        <w:t xml:space="preserve">: </w:t>
      </w:r>
      <w:r w:rsidRPr="00954525">
        <w:t xml:space="preserve">The </w:t>
      </w:r>
      <w:r w:rsidR="00954525" w:rsidRPr="00954525">
        <w:t>c</w:t>
      </w:r>
      <w:r w:rsidRPr="00954525">
        <w:t>ommittee's approach to consideration of uncaptured benefits lacks transparency and appears incomplete</w:t>
      </w:r>
      <w:r w:rsidR="00954525" w:rsidRPr="00954525">
        <w:t>.</w:t>
      </w:r>
    </w:p>
    <w:p w14:paraId="6B7D93EA" w14:textId="6FD55A84" w:rsidR="0061148D" w:rsidRPr="00A96D52" w:rsidRDefault="0061148D" w:rsidP="0061148D">
      <w:pPr>
        <w:pStyle w:val="Paragraph"/>
        <w:rPr>
          <w:rFonts w:cs="Arial"/>
          <w:sz w:val="24"/>
          <w:szCs w:val="24"/>
        </w:rPr>
      </w:pPr>
      <w:r w:rsidRPr="00A96D52">
        <w:rPr>
          <w:rFonts w:cs="Arial"/>
          <w:sz w:val="24"/>
          <w:szCs w:val="24"/>
        </w:rPr>
        <w:t xml:space="preserve">This appeal </w:t>
      </w:r>
      <w:proofErr w:type="gramStart"/>
      <w:r w:rsidRPr="00A96D52">
        <w:rPr>
          <w:rFonts w:cs="Arial"/>
          <w:sz w:val="24"/>
          <w:szCs w:val="24"/>
        </w:rPr>
        <w:t>point</w:t>
      </w:r>
      <w:proofErr w:type="gramEnd"/>
      <w:r w:rsidRPr="00A96D52">
        <w:rPr>
          <w:rFonts w:cs="Arial"/>
          <w:sz w:val="24"/>
          <w:szCs w:val="24"/>
        </w:rPr>
        <w:t xml:space="preserve"> related to the committee's approach to uncaptured benefits. Adela Williams explained </w:t>
      </w:r>
      <w:r w:rsidR="008F0777">
        <w:rPr>
          <w:rFonts w:cs="Arial"/>
          <w:sz w:val="24"/>
          <w:szCs w:val="24"/>
        </w:rPr>
        <w:t>UCB</w:t>
      </w:r>
      <w:r w:rsidRPr="00A96D52">
        <w:rPr>
          <w:rFonts w:cs="Arial"/>
          <w:sz w:val="24"/>
          <w:szCs w:val="24"/>
        </w:rPr>
        <w:t xml:space="preserve">'s view – that the assessment of uncaptured benefits lacked transparency and appears incomplete on the face of the FDG. There is no explanation in the FDG as to how these factors were qualitatively accounted. In the absence of such explanation, said Adela Williams, stakeholders do not have sufficient </w:t>
      </w:r>
      <w:r w:rsidRPr="00A96D52">
        <w:rPr>
          <w:rFonts w:cs="Arial"/>
          <w:sz w:val="24"/>
          <w:szCs w:val="24"/>
        </w:rPr>
        <w:lastRenderedPageBreak/>
        <w:t xml:space="preserve">confidence that these factors have in fact been </w:t>
      </w:r>
      <w:proofErr w:type="gramStart"/>
      <w:r w:rsidRPr="00A96D52">
        <w:rPr>
          <w:rFonts w:cs="Arial"/>
          <w:sz w:val="24"/>
          <w:szCs w:val="24"/>
        </w:rPr>
        <w:t>taken into account</w:t>
      </w:r>
      <w:proofErr w:type="gramEnd"/>
      <w:r w:rsidRPr="00A96D52">
        <w:rPr>
          <w:rFonts w:cs="Arial"/>
          <w:sz w:val="24"/>
          <w:szCs w:val="24"/>
        </w:rPr>
        <w:t xml:space="preserve">. As referred to previously, the list of uncaptured benefits also omitted reference to MSE. </w:t>
      </w:r>
    </w:p>
    <w:p w14:paraId="2F08C944" w14:textId="57F7842B" w:rsidR="0061148D" w:rsidRPr="00A96D52" w:rsidRDefault="0061148D" w:rsidP="0061148D">
      <w:pPr>
        <w:pStyle w:val="Paragraph"/>
        <w:rPr>
          <w:rFonts w:cs="Arial"/>
          <w:sz w:val="24"/>
          <w:szCs w:val="24"/>
        </w:rPr>
      </w:pPr>
      <w:r w:rsidRPr="00A96D52">
        <w:rPr>
          <w:rFonts w:cs="Arial"/>
          <w:sz w:val="24"/>
          <w:szCs w:val="24"/>
        </w:rPr>
        <w:t>Emily Crowe</w:t>
      </w:r>
      <w:r w:rsidR="008D2D50">
        <w:rPr>
          <w:rFonts w:cs="Arial"/>
          <w:sz w:val="24"/>
          <w:szCs w:val="24"/>
        </w:rPr>
        <w:t>, for NICE</w:t>
      </w:r>
      <w:r w:rsidR="002217C2">
        <w:rPr>
          <w:rFonts w:cs="Arial"/>
          <w:sz w:val="24"/>
          <w:szCs w:val="24"/>
        </w:rPr>
        <w:t>,</w:t>
      </w:r>
      <w:r w:rsidRPr="00A96D52">
        <w:rPr>
          <w:rFonts w:cs="Arial"/>
          <w:sz w:val="24"/>
          <w:szCs w:val="24"/>
        </w:rPr>
        <w:t xml:space="preserve"> explained that it is not possible or appropriate for the FDG to present a verbatim account of all the committee's discussions and conclusions. It must be </w:t>
      </w:r>
      <w:r w:rsidR="00AB5846">
        <w:rPr>
          <w:rFonts w:cs="Arial"/>
          <w:sz w:val="24"/>
          <w:szCs w:val="24"/>
        </w:rPr>
        <w:t xml:space="preserve">brief and concise enough to be </w:t>
      </w:r>
      <w:r w:rsidRPr="00A96D52">
        <w:rPr>
          <w:rFonts w:cs="Arial"/>
          <w:sz w:val="24"/>
          <w:szCs w:val="24"/>
        </w:rPr>
        <w:t xml:space="preserve">usable in the </w:t>
      </w:r>
      <w:r w:rsidR="00CC7259">
        <w:rPr>
          <w:rFonts w:cs="Arial"/>
          <w:sz w:val="24"/>
          <w:szCs w:val="24"/>
        </w:rPr>
        <w:t>NHS</w:t>
      </w:r>
      <w:r w:rsidRPr="00A96D52">
        <w:rPr>
          <w:rFonts w:cs="Arial"/>
          <w:sz w:val="24"/>
          <w:szCs w:val="24"/>
        </w:rPr>
        <w:t xml:space="preserve">. In addition to the list of uncaptured benefits at section 3.31 of the FDG, Emily Crowe drew the </w:t>
      </w:r>
      <w:r w:rsidR="0041522F">
        <w:rPr>
          <w:rFonts w:cs="Arial"/>
          <w:sz w:val="24"/>
          <w:szCs w:val="24"/>
        </w:rPr>
        <w:t xml:space="preserve">appeal </w:t>
      </w:r>
      <w:r w:rsidRPr="00A96D52">
        <w:rPr>
          <w:rFonts w:cs="Arial"/>
          <w:sz w:val="24"/>
          <w:szCs w:val="24"/>
        </w:rPr>
        <w:t>pane</w:t>
      </w:r>
      <w:r w:rsidR="003064CA">
        <w:rPr>
          <w:rFonts w:cs="Arial"/>
          <w:sz w:val="24"/>
          <w:szCs w:val="24"/>
        </w:rPr>
        <w:t>l</w:t>
      </w:r>
      <w:r w:rsidRPr="00A96D52">
        <w:rPr>
          <w:rFonts w:cs="Arial"/>
          <w:sz w:val="24"/>
          <w:szCs w:val="24"/>
        </w:rPr>
        <w:t>'</w:t>
      </w:r>
      <w:r w:rsidR="003064CA">
        <w:rPr>
          <w:rFonts w:cs="Arial"/>
          <w:sz w:val="24"/>
          <w:szCs w:val="24"/>
        </w:rPr>
        <w:t>s</w:t>
      </w:r>
      <w:r w:rsidRPr="00A96D52">
        <w:rPr>
          <w:rFonts w:cs="Arial"/>
          <w:sz w:val="24"/>
          <w:szCs w:val="24"/>
        </w:rPr>
        <w:t xml:space="preserve"> attention to section 3.29 of the FDG, where the committee state</w:t>
      </w:r>
      <w:r w:rsidR="00FB7888">
        <w:rPr>
          <w:rFonts w:cs="Arial"/>
          <w:sz w:val="24"/>
          <w:szCs w:val="24"/>
        </w:rPr>
        <w:t>s</w:t>
      </w:r>
      <w:r w:rsidR="006E3224" w:rsidRPr="00A96D52">
        <w:rPr>
          <w:rFonts w:cs="Arial"/>
          <w:sz w:val="24"/>
          <w:szCs w:val="24"/>
        </w:rPr>
        <w:t xml:space="preserve"> in relation to the acceptable ICER</w:t>
      </w:r>
      <w:r w:rsidRPr="00A96D52">
        <w:rPr>
          <w:rFonts w:cs="Arial"/>
          <w:sz w:val="24"/>
          <w:szCs w:val="24"/>
        </w:rPr>
        <w:t xml:space="preserve"> that "</w:t>
      </w:r>
      <w:r w:rsidRPr="00A96D52">
        <w:rPr>
          <w:rFonts w:cs="Arial"/>
          <w:i/>
          <w:iCs/>
          <w:sz w:val="24"/>
          <w:szCs w:val="24"/>
        </w:rPr>
        <w:t xml:space="preserve">there may be uncaptured benefits associated with </w:t>
      </w:r>
      <w:proofErr w:type="spellStart"/>
      <w:r w:rsidRPr="00A96D52">
        <w:rPr>
          <w:rFonts w:cs="Arial"/>
          <w:i/>
          <w:iCs/>
          <w:sz w:val="24"/>
          <w:szCs w:val="24"/>
        </w:rPr>
        <w:t>zilucoplan</w:t>
      </w:r>
      <w:proofErr w:type="spellEnd"/>
      <w:r w:rsidRPr="00A96D52">
        <w:rPr>
          <w:rFonts w:cs="Arial"/>
          <w:i/>
          <w:iCs/>
          <w:sz w:val="24"/>
          <w:szCs w:val="24"/>
        </w:rPr>
        <w:t xml:space="preserve"> in reducing CCS use and carer </w:t>
      </w:r>
      <w:proofErr w:type="spellStart"/>
      <w:r w:rsidRPr="00A96D52">
        <w:rPr>
          <w:rFonts w:cs="Arial"/>
          <w:i/>
          <w:iCs/>
          <w:sz w:val="24"/>
          <w:szCs w:val="24"/>
        </w:rPr>
        <w:t>disutilities</w:t>
      </w:r>
      <w:proofErr w:type="spellEnd"/>
      <w:r w:rsidRPr="00A96D52">
        <w:rPr>
          <w:rFonts w:cs="Arial"/>
          <w:i/>
          <w:iCs/>
          <w:sz w:val="24"/>
          <w:szCs w:val="24"/>
        </w:rPr>
        <w:t xml:space="preserve">". </w:t>
      </w:r>
      <w:proofErr w:type="gramStart"/>
      <w:r w:rsidR="006E3224" w:rsidRPr="00A96D52">
        <w:rPr>
          <w:rFonts w:cs="Arial"/>
          <w:sz w:val="24"/>
          <w:szCs w:val="24"/>
        </w:rPr>
        <w:t>In light of</w:t>
      </w:r>
      <w:proofErr w:type="gramEnd"/>
      <w:r w:rsidR="006E3224" w:rsidRPr="00A96D52">
        <w:rPr>
          <w:rFonts w:cs="Arial"/>
          <w:sz w:val="24"/>
          <w:szCs w:val="24"/>
        </w:rPr>
        <w:t xml:space="preserve"> that, and that a substantial proportion of the FDG is dedicated to discussing MSE</w:t>
      </w:r>
      <w:r w:rsidR="0041522F">
        <w:rPr>
          <w:rFonts w:cs="Arial"/>
          <w:sz w:val="24"/>
          <w:szCs w:val="24"/>
        </w:rPr>
        <w:t>,</w:t>
      </w:r>
      <w:r w:rsidR="006E3224" w:rsidRPr="00A96D52">
        <w:rPr>
          <w:rFonts w:cs="Arial"/>
          <w:sz w:val="24"/>
          <w:szCs w:val="24"/>
        </w:rPr>
        <w:t xml:space="preserve"> Emily Crowe did not consider the committee's approach to amount to procedural unfairness. </w:t>
      </w:r>
    </w:p>
    <w:p w14:paraId="680AAA3C" w14:textId="6355DDC7" w:rsidR="006E3224" w:rsidRPr="00A96D52" w:rsidRDefault="006E3224" w:rsidP="0061148D">
      <w:pPr>
        <w:pStyle w:val="Paragraph"/>
        <w:rPr>
          <w:rFonts w:cs="Arial"/>
          <w:sz w:val="24"/>
          <w:szCs w:val="24"/>
        </w:rPr>
      </w:pPr>
      <w:r w:rsidRPr="00A96D52">
        <w:rPr>
          <w:rFonts w:cs="Arial"/>
          <w:sz w:val="24"/>
          <w:szCs w:val="24"/>
        </w:rPr>
        <w:t xml:space="preserve">The committee had recognised uncaptured benefits by stating that it would consider an ICER at the very top of the threshold to be acceptable. Charles </w:t>
      </w:r>
      <w:r w:rsidR="00FB7888" w:rsidRPr="00A96D52">
        <w:rPr>
          <w:rFonts w:cs="Arial"/>
          <w:sz w:val="24"/>
          <w:szCs w:val="24"/>
        </w:rPr>
        <w:t>Crawley</w:t>
      </w:r>
      <w:r w:rsidR="008D2D50">
        <w:rPr>
          <w:rFonts w:cs="Arial"/>
          <w:sz w:val="24"/>
          <w:szCs w:val="24"/>
        </w:rPr>
        <w:t>, for NICE</w:t>
      </w:r>
      <w:r w:rsidR="0041522F">
        <w:rPr>
          <w:rFonts w:cs="Arial"/>
          <w:sz w:val="24"/>
          <w:szCs w:val="24"/>
        </w:rPr>
        <w:t>,</w:t>
      </w:r>
      <w:r w:rsidRPr="00A96D52">
        <w:rPr>
          <w:rFonts w:cs="Arial"/>
          <w:sz w:val="24"/>
          <w:szCs w:val="24"/>
        </w:rPr>
        <w:t xml:space="preserve"> said that the committee had disregarded almost all uncertainty in settling on that high threshold, and that it was difficult to </w:t>
      </w:r>
      <w:r w:rsidR="00CC7259">
        <w:rPr>
          <w:rFonts w:cs="Arial"/>
          <w:sz w:val="24"/>
          <w:szCs w:val="24"/>
        </w:rPr>
        <w:t xml:space="preserve">envisage </w:t>
      </w:r>
      <w:r w:rsidRPr="00A96D52">
        <w:rPr>
          <w:rFonts w:cs="Arial"/>
          <w:sz w:val="24"/>
          <w:szCs w:val="24"/>
        </w:rPr>
        <w:t xml:space="preserve">what else the committee could have done. </w:t>
      </w:r>
    </w:p>
    <w:p w14:paraId="1C79C5F0" w14:textId="6632B495" w:rsidR="006E3224" w:rsidRPr="00A96D52" w:rsidRDefault="006E3224" w:rsidP="0061148D">
      <w:pPr>
        <w:pStyle w:val="Paragraph"/>
        <w:rPr>
          <w:rFonts w:cs="Arial"/>
          <w:sz w:val="24"/>
          <w:szCs w:val="24"/>
        </w:rPr>
      </w:pPr>
      <w:r w:rsidRPr="00A96D52">
        <w:rPr>
          <w:rFonts w:cs="Arial"/>
          <w:sz w:val="24"/>
          <w:szCs w:val="24"/>
        </w:rPr>
        <w:t>Jacoline Bouvy</w:t>
      </w:r>
      <w:r w:rsidR="008D2D50">
        <w:rPr>
          <w:rFonts w:cs="Arial"/>
          <w:sz w:val="24"/>
          <w:szCs w:val="24"/>
        </w:rPr>
        <w:t>, for NICE</w:t>
      </w:r>
      <w:r w:rsidR="003B37DF">
        <w:rPr>
          <w:rFonts w:cs="Arial"/>
          <w:sz w:val="24"/>
          <w:szCs w:val="24"/>
        </w:rPr>
        <w:t>,</w:t>
      </w:r>
      <w:r w:rsidRPr="00A96D52">
        <w:rPr>
          <w:rFonts w:cs="Arial"/>
          <w:sz w:val="24"/>
          <w:szCs w:val="24"/>
        </w:rPr>
        <w:t xml:space="preserve"> explained that NICE give detailed consideration to how qualitative accounting of uncaptured benefits are explained in the FDG, particularly as they are necessarily difficult to quantify and are considered as part of a deliberative approach. </w:t>
      </w:r>
    </w:p>
    <w:p w14:paraId="6AFEFBBD" w14:textId="63BB44F8" w:rsidR="006E3224" w:rsidRPr="00A96D52" w:rsidRDefault="006E3224" w:rsidP="0061148D">
      <w:pPr>
        <w:pStyle w:val="Paragraph"/>
        <w:rPr>
          <w:rFonts w:cs="Arial"/>
          <w:sz w:val="24"/>
          <w:szCs w:val="24"/>
        </w:rPr>
      </w:pPr>
      <w:r w:rsidRPr="00A96D52">
        <w:rPr>
          <w:rFonts w:cs="Arial"/>
          <w:sz w:val="24"/>
          <w:szCs w:val="24"/>
        </w:rPr>
        <w:t xml:space="preserve">Adela Williams highlighted again that the FDG does not at any stage state that MSE </w:t>
      </w:r>
      <w:r w:rsidR="00AB5846">
        <w:rPr>
          <w:rFonts w:cs="Arial"/>
          <w:sz w:val="24"/>
          <w:szCs w:val="24"/>
        </w:rPr>
        <w:t>has been</w:t>
      </w:r>
      <w:r w:rsidRPr="00A96D52">
        <w:rPr>
          <w:rFonts w:cs="Arial"/>
          <w:sz w:val="24"/>
          <w:szCs w:val="24"/>
        </w:rPr>
        <w:t xml:space="preserve"> </w:t>
      </w:r>
      <w:proofErr w:type="gramStart"/>
      <w:r w:rsidRPr="00A96D52">
        <w:rPr>
          <w:rFonts w:cs="Arial"/>
          <w:sz w:val="24"/>
          <w:szCs w:val="24"/>
        </w:rPr>
        <w:t>taken into account</w:t>
      </w:r>
      <w:proofErr w:type="gramEnd"/>
      <w:r w:rsidRPr="00A96D52">
        <w:rPr>
          <w:rFonts w:cs="Arial"/>
          <w:sz w:val="24"/>
          <w:szCs w:val="24"/>
        </w:rPr>
        <w:t xml:space="preserve"> in decision making. She said that explicit recognition of a higher ICER threshold </w:t>
      </w:r>
      <w:proofErr w:type="gramStart"/>
      <w:r w:rsidRPr="00A96D52">
        <w:rPr>
          <w:rFonts w:cs="Arial"/>
          <w:sz w:val="24"/>
          <w:szCs w:val="24"/>
        </w:rPr>
        <w:t>in light of</w:t>
      </w:r>
      <w:proofErr w:type="gramEnd"/>
      <w:r w:rsidRPr="00A96D52">
        <w:rPr>
          <w:rFonts w:cs="Arial"/>
          <w:sz w:val="24"/>
          <w:szCs w:val="24"/>
        </w:rPr>
        <w:t xml:space="preserve"> the uncaptured benefits should be in the FDG. </w:t>
      </w:r>
    </w:p>
    <w:p w14:paraId="096B0CAF" w14:textId="348EA574" w:rsidR="006E3224" w:rsidRPr="00A96D52" w:rsidRDefault="000322C1" w:rsidP="006E3224">
      <w:pPr>
        <w:pStyle w:val="Paragraph"/>
        <w:rPr>
          <w:rFonts w:cs="Arial"/>
          <w:sz w:val="24"/>
          <w:szCs w:val="24"/>
        </w:rPr>
      </w:pPr>
      <w:r>
        <w:rPr>
          <w:rFonts w:cs="Arial"/>
          <w:sz w:val="24"/>
          <w:szCs w:val="24"/>
        </w:rPr>
        <w:t>In relation to UCB</w:t>
      </w:r>
      <w:r w:rsidR="007506AF">
        <w:rPr>
          <w:rFonts w:cs="Arial"/>
          <w:sz w:val="24"/>
          <w:szCs w:val="24"/>
        </w:rPr>
        <w:t>’s</w:t>
      </w:r>
      <w:r>
        <w:rPr>
          <w:rFonts w:cs="Arial"/>
          <w:sz w:val="24"/>
          <w:szCs w:val="24"/>
        </w:rPr>
        <w:t xml:space="preserve"> </w:t>
      </w:r>
      <w:r w:rsidR="00F26618">
        <w:rPr>
          <w:rFonts w:cs="Arial"/>
          <w:sz w:val="24"/>
          <w:szCs w:val="24"/>
        </w:rPr>
        <w:t>a</w:t>
      </w:r>
      <w:r>
        <w:rPr>
          <w:rFonts w:cs="Arial"/>
          <w:sz w:val="24"/>
          <w:szCs w:val="24"/>
        </w:rPr>
        <w:t xml:space="preserve">ppeal </w:t>
      </w:r>
      <w:r w:rsidR="00F26618">
        <w:rPr>
          <w:rFonts w:cs="Arial"/>
          <w:sz w:val="24"/>
          <w:szCs w:val="24"/>
        </w:rPr>
        <w:t>p</w:t>
      </w:r>
      <w:r>
        <w:rPr>
          <w:rFonts w:cs="Arial"/>
          <w:sz w:val="24"/>
          <w:szCs w:val="24"/>
        </w:rPr>
        <w:t>oint 1(a)5, t</w:t>
      </w:r>
      <w:r w:rsidR="006E3224" w:rsidRPr="00A96D52">
        <w:rPr>
          <w:rFonts w:cs="Arial"/>
          <w:sz w:val="24"/>
          <w:szCs w:val="24"/>
        </w:rPr>
        <w:t xml:space="preserve">he </w:t>
      </w:r>
      <w:r w:rsidR="00F26618">
        <w:rPr>
          <w:rFonts w:cs="Arial"/>
          <w:sz w:val="24"/>
          <w:szCs w:val="24"/>
        </w:rPr>
        <w:t xml:space="preserve">appeal </w:t>
      </w:r>
      <w:r w:rsidR="006E3224" w:rsidRPr="00A96D52">
        <w:rPr>
          <w:rFonts w:cs="Arial"/>
          <w:sz w:val="24"/>
          <w:szCs w:val="24"/>
        </w:rPr>
        <w:t>panel concluded as follows</w:t>
      </w:r>
      <w:r w:rsidR="00E815BD">
        <w:rPr>
          <w:rFonts w:cs="Arial"/>
          <w:sz w:val="24"/>
          <w:szCs w:val="24"/>
        </w:rPr>
        <w:t xml:space="preserve">. </w:t>
      </w:r>
      <w:r w:rsidR="00BC1E6A">
        <w:rPr>
          <w:rFonts w:cs="Arial"/>
          <w:sz w:val="24"/>
          <w:szCs w:val="24"/>
        </w:rPr>
        <w:t>T</w:t>
      </w:r>
      <w:r w:rsidR="00E815BD" w:rsidRPr="00E815BD">
        <w:rPr>
          <w:rFonts w:cs="Arial"/>
          <w:sz w:val="24"/>
          <w:szCs w:val="24"/>
        </w:rPr>
        <w:t xml:space="preserve">he </w:t>
      </w:r>
      <w:r w:rsidR="00F26618">
        <w:rPr>
          <w:rFonts w:cs="Arial"/>
          <w:sz w:val="24"/>
          <w:szCs w:val="24"/>
        </w:rPr>
        <w:t xml:space="preserve">appeal </w:t>
      </w:r>
      <w:r w:rsidR="00E815BD" w:rsidRPr="00E815BD">
        <w:rPr>
          <w:rFonts w:cs="Arial"/>
          <w:sz w:val="24"/>
          <w:szCs w:val="24"/>
        </w:rPr>
        <w:t xml:space="preserve">panel were satisfied that uncaptured benefits had been considered by the committee as part of its deliberations and </w:t>
      </w:r>
      <w:r w:rsidR="00E815BD" w:rsidRPr="00E815BD">
        <w:rPr>
          <w:rFonts w:cs="Arial"/>
          <w:sz w:val="24"/>
          <w:szCs w:val="24"/>
        </w:rPr>
        <w:lastRenderedPageBreak/>
        <w:t xml:space="preserve">conclusions as to the relative cost effectiveness of </w:t>
      </w:r>
      <w:proofErr w:type="spellStart"/>
      <w:r w:rsidR="00E815BD" w:rsidRPr="00E815BD">
        <w:rPr>
          <w:rFonts w:cs="Arial"/>
          <w:sz w:val="24"/>
          <w:szCs w:val="24"/>
        </w:rPr>
        <w:t>zilucoplan</w:t>
      </w:r>
      <w:proofErr w:type="spellEnd"/>
      <w:r w:rsidR="00E815BD" w:rsidRPr="00E815BD">
        <w:rPr>
          <w:rFonts w:cs="Arial"/>
          <w:sz w:val="24"/>
          <w:szCs w:val="24"/>
        </w:rPr>
        <w:t xml:space="preserve">, as described in sections 3.29 and 3.32 of the FDG. In this appraisal, the </w:t>
      </w:r>
      <w:r w:rsidR="00F26618">
        <w:rPr>
          <w:rFonts w:cs="Arial"/>
          <w:sz w:val="24"/>
          <w:szCs w:val="24"/>
        </w:rPr>
        <w:t xml:space="preserve">appeal </w:t>
      </w:r>
      <w:r w:rsidR="00E815BD" w:rsidRPr="00E815BD">
        <w:rPr>
          <w:rFonts w:cs="Arial"/>
          <w:sz w:val="24"/>
          <w:szCs w:val="24"/>
        </w:rPr>
        <w:t>panel were persuaded that the committee</w:t>
      </w:r>
      <w:r w:rsidR="00AB5846">
        <w:rPr>
          <w:rFonts w:cs="Arial"/>
          <w:sz w:val="24"/>
          <w:szCs w:val="24"/>
        </w:rPr>
        <w:t xml:space="preserve"> believed it</w:t>
      </w:r>
      <w:r w:rsidR="00E815BD" w:rsidRPr="00E815BD">
        <w:rPr>
          <w:rFonts w:cs="Arial"/>
          <w:sz w:val="24"/>
          <w:szCs w:val="24"/>
        </w:rPr>
        <w:t xml:space="preserve"> had applied as much flexibility as they were able in defining an acceptable range of ICERs but that they had concluded that the identified uncaptured benefits could not sufficiently offset the degree to which the modelled ICERs exceeded this acceptable range.  Furthermore, the </w:t>
      </w:r>
      <w:r w:rsidR="00351AFC">
        <w:rPr>
          <w:rFonts w:cs="Arial"/>
          <w:sz w:val="24"/>
          <w:szCs w:val="24"/>
        </w:rPr>
        <w:t xml:space="preserve">appeal </w:t>
      </w:r>
      <w:r w:rsidR="00E815BD" w:rsidRPr="00E815BD">
        <w:rPr>
          <w:rFonts w:cs="Arial"/>
          <w:sz w:val="24"/>
          <w:szCs w:val="24"/>
        </w:rPr>
        <w:t xml:space="preserve">panel were persuaded that while the committee explained that their detailed consideration of MSE in the modelling (see sections </w:t>
      </w:r>
      <w:r w:rsidR="00E815BD">
        <w:rPr>
          <w:rFonts w:cs="Arial"/>
          <w:sz w:val="24"/>
          <w:szCs w:val="24"/>
        </w:rPr>
        <w:t>3.13 to 3.14 of the FDG</w:t>
      </w:r>
      <w:r w:rsidR="00E815BD" w:rsidRPr="00E815BD">
        <w:rPr>
          <w:rFonts w:cs="Arial"/>
          <w:sz w:val="24"/>
          <w:szCs w:val="24"/>
        </w:rPr>
        <w:t xml:space="preserve">) led them to omit it quantitatively they had indeed included it in their minds as an uncaptured benefit in this appraisal.  The </w:t>
      </w:r>
      <w:r w:rsidR="00351AFC">
        <w:rPr>
          <w:rFonts w:cs="Arial"/>
          <w:sz w:val="24"/>
          <w:szCs w:val="24"/>
        </w:rPr>
        <w:t xml:space="preserve">appeal </w:t>
      </w:r>
      <w:r w:rsidR="00E815BD" w:rsidRPr="00E815BD">
        <w:rPr>
          <w:rFonts w:cs="Arial"/>
          <w:sz w:val="24"/>
          <w:szCs w:val="24"/>
        </w:rPr>
        <w:t xml:space="preserve">panel considered this to be implicit in the detailed explanation that was provided in the FDG as to the dilemmas that the committee faced with addressing the MSE modelling.  The </w:t>
      </w:r>
      <w:r w:rsidR="00351AFC">
        <w:rPr>
          <w:rFonts w:cs="Arial"/>
          <w:sz w:val="24"/>
          <w:szCs w:val="24"/>
        </w:rPr>
        <w:t xml:space="preserve">appeal </w:t>
      </w:r>
      <w:r w:rsidR="00E815BD" w:rsidRPr="00E815BD">
        <w:rPr>
          <w:rFonts w:cs="Arial"/>
          <w:sz w:val="24"/>
          <w:szCs w:val="24"/>
        </w:rPr>
        <w:t xml:space="preserve">panel accepted the committee's explanation that in the context of this detailed description in the FDG, and the inclusion of MSE in section 3.29 referring to concerns about matters of uncertainty,  the absence of its explicit inclusion in the list of uncaptured benefits in 3.31 did not preclude its impact in the minds of the committee on its decision-making </w:t>
      </w:r>
      <w:r w:rsidR="00A53924">
        <w:rPr>
          <w:rFonts w:cs="Arial"/>
          <w:sz w:val="24"/>
          <w:szCs w:val="24"/>
        </w:rPr>
        <w:t xml:space="preserve">regarding uncaptured benefits </w:t>
      </w:r>
      <w:r w:rsidR="00E815BD" w:rsidRPr="00E815BD">
        <w:rPr>
          <w:rFonts w:cs="Arial"/>
          <w:sz w:val="24"/>
          <w:szCs w:val="24"/>
        </w:rPr>
        <w:t xml:space="preserve">and amount to procedural unfairness. </w:t>
      </w:r>
      <w:r w:rsidR="00AB5846">
        <w:rPr>
          <w:rFonts w:cs="Arial"/>
          <w:sz w:val="24"/>
          <w:szCs w:val="24"/>
        </w:rPr>
        <w:t xml:space="preserve">Consequently, </w:t>
      </w:r>
      <w:r w:rsidR="00E815BD" w:rsidRPr="00E815BD">
        <w:rPr>
          <w:rFonts w:cs="Arial"/>
          <w:sz w:val="24"/>
          <w:szCs w:val="24"/>
        </w:rPr>
        <w:t xml:space="preserve">the appeal was dismissed on this point. </w:t>
      </w:r>
      <w:r w:rsidR="006E3224" w:rsidRPr="00A96D52">
        <w:rPr>
          <w:rFonts w:cs="Arial"/>
          <w:sz w:val="24"/>
          <w:szCs w:val="24"/>
        </w:rPr>
        <w:t xml:space="preserve"> </w:t>
      </w:r>
    </w:p>
    <w:p w14:paraId="7C8CADBE" w14:textId="6F994679" w:rsidR="006E3224" w:rsidRPr="00A96D52" w:rsidRDefault="006E3224" w:rsidP="00894289">
      <w:pPr>
        <w:pStyle w:val="Heading3"/>
      </w:pPr>
      <w:r w:rsidRPr="00A96D52">
        <w:t xml:space="preserve">ABN </w:t>
      </w:r>
      <w:r w:rsidR="009D3EDE">
        <w:t xml:space="preserve">appeal </w:t>
      </w:r>
      <w:proofErr w:type="gramStart"/>
      <w:r w:rsidR="009D3EDE">
        <w:t>point</w:t>
      </w:r>
      <w:proofErr w:type="gramEnd"/>
      <w:r w:rsidR="009D3EDE">
        <w:t xml:space="preserve"> </w:t>
      </w:r>
      <w:r w:rsidRPr="00A96D52">
        <w:t>2.4</w:t>
      </w:r>
      <w:r w:rsidR="009D3EDE">
        <w:t xml:space="preserve">: </w:t>
      </w:r>
      <w:r w:rsidRPr="00A96D52">
        <w:t xml:space="preserve">The committee did not place sufficient weight on patient and clinical expert evidence concerning the value of a self-administered therapy, and the potential for this to improve equity of access to treatment. </w:t>
      </w:r>
    </w:p>
    <w:p w14:paraId="08BB5780" w14:textId="0570176E" w:rsidR="006E3224" w:rsidRPr="00A96D52" w:rsidRDefault="006E3224" w:rsidP="00894289">
      <w:pPr>
        <w:pStyle w:val="Heading3"/>
      </w:pPr>
      <w:r w:rsidRPr="00A96D52">
        <w:t xml:space="preserve">MDUK </w:t>
      </w:r>
      <w:r w:rsidR="009D3EDE">
        <w:t xml:space="preserve">appeal point </w:t>
      </w:r>
      <w:r w:rsidRPr="00A96D52">
        <w:t>2.2</w:t>
      </w:r>
      <w:r w:rsidR="009D3EDE">
        <w:t xml:space="preserve">: </w:t>
      </w:r>
      <w:r w:rsidRPr="00A96D52">
        <w:t xml:space="preserve">It was unreasonable to dismiss the benefits of home administration with </w:t>
      </w:r>
      <w:proofErr w:type="spellStart"/>
      <w:r w:rsidRPr="00A96D52">
        <w:t>zilucoplan</w:t>
      </w:r>
      <w:proofErr w:type="spellEnd"/>
      <w:r w:rsidRPr="00A96D52">
        <w:t>, despite clear evidence of its potential to improve quality of life and reduce treatment burden for patients</w:t>
      </w:r>
      <w:r w:rsidR="009D3EDE">
        <w:t>.</w:t>
      </w:r>
    </w:p>
    <w:p w14:paraId="3DBE9326" w14:textId="3605BD7A" w:rsidR="006E3224" w:rsidRPr="00A96D52" w:rsidRDefault="006E3224" w:rsidP="006E3224">
      <w:pPr>
        <w:pStyle w:val="Paragraph"/>
        <w:rPr>
          <w:rFonts w:cs="Arial"/>
          <w:sz w:val="24"/>
          <w:szCs w:val="24"/>
        </w:rPr>
      </w:pPr>
      <w:r w:rsidRPr="00A96D52">
        <w:rPr>
          <w:rFonts w:cs="Arial"/>
          <w:sz w:val="24"/>
          <w:szCs w:val="24"/>
        </w:rPr>
        <w:t xml:space="preserve">Katherine Dodd introduced this appeal point for ABN. She explained that ABN does not consider that the committee properly considered and attributed sufficient weight to the value of equity of access, and how the home administration of </w:t>
      </w:r>
      <w:proofErr w:type="spellStart"/>
      <w:r w:rsidRPr="00A96D52">
        <w:rPr>
          <w:rFonts w:cs="Arial"/>
          <w:sz w:val="24"/>
          <w:szCs w:val="24"/>
        </w:rPr>
        <w:t>zilucoplan</w:t>
      </w:r>
      <w:proofErr w:type="spellEnd"/>
      <w:r w:rsidRPr="00A96D52">
        <w:rPr>
          <w:rFonts w:cs="Arial"/>
          <w:sz w:val="24"/>
          <w:szCs w:val="24"/>
        </w:rPr>
        <w:t xml:space="preserve"> could have countered that. </w:t>
      </w:r>
    </w:p>
    <w:p w14:paraId="39B00E80" w14:textId="5966C905" w:rsidR="000C79F5" w:rsidRPr="00A96D52" w:rsidRDefault="006E3224" w:rsidP="000C79F5">
      <w:pPr>
        <w:pStyle w:val="Paragraph"/>
        <w:rPr>
          <w:rFonts w:cs="Arial"/>
          <w:sz w:val="24"/>
          <w:szCs w:val="24"/>
        </w:rPr>
      </w:pPr>
      <w:r w:rsidRPr="00A96D52">
        <w:rPr>
          <w:rFonts w:cs="Arial"/>
          <w:sz w:val="24"/>
          <w:szCs w:val="24"/>
        </w:rPr>
        <w:lastRenderedPageBreak/>
        <w:t>Kate Adcock</w:t>
      </w:r>
      <w:r w:rsidR="006F1C0F">
        <w:rPr>
          <w:rFonts w:cs="Arial"/>
          <w:sz w:val="24"/>
          <w:szCs w:val="24"/>
        </w:rPr>
        <w:t>, for MDUK</w:t>
      </w:r>
      <w:r w:rsidR="007A1AA2">
        <w:rPr>
          <w:rFonts w:cs="Arial"/>
          <w:sz w:val="24"/>
          <w:szCs w:val="24"/>
        </w:rPr>
        <w:t>,</w:t>
      </w:r>
      <w:r w:rsidRPr="00A96D52">
        <w:rPr>
          <w:rFonts w:cs="Arial"/>
          <w:sz w:val="24"/>
          <w:szCs w:val="24"/>
        </w:rPr>
        <w:t xml:space="preserve"> distinguished between the venue of administration and the mode of administration being two </w:t>
      </w:r>
      <w:r w:rsidR="000C79F5" w:rsidRPr="00A96D52">
        <w:rPr>
          <w:rFonts w:cs="Arial"/>
          <w:sz w:val="24"/>
          <w:szCs w:val="24"/>
        </w:rPr>
        <w:t xml:space="preserve">separate </w:t>
      </w:r>
      <w:r w:rsidRPr="00A96D52">
        <w:rPr>
          <w:rFonts w:cs="Arial"/>
          <w:sz w:val="24"/>
          <w:szCs w:val="24"/>
        </w:rPr>
        <w:t xml:space="preserve">categories of utility that </w:t>
      </w:r>
      <w:r w:rsidR="000C79F5" w:rsidRPr="00A96D52">
        <w:rPr>
          <w:rFonts w:cs="Arial"/>
          <w:sz w:val="24"/>
          <w:szCs w:val="24"/>
        </w:rPr>
        <w:t xml:space="preserve">should have been </w:t>
      </w:r>
      <w:proofErr w:type="gramStart"/>
      <w:r w:rsidR="000C79F5" w:rsidRPr="00A96D52">
        <w:rPr>
          <w:rFonts w:cs="Arial"/>
          <w:sz w:val="24"/>
          <w:szCs w:val="24"/>
        </w:rPr>
        <w:t>taken into account</w:t>
      </w:r>
      <w:proofErr w:type="gramEnd"/>
      <w:r w:rsidR="000C79F5" w:rsidRPr="00A96D52">
        <w:rPr>
          <w:rFonts w:cs="Arial"/>
          <w:sz w:val="24"/>
          <w:szCs w:val="24"/>
        </w:rPr>
        <w:t xml:space="preserve"> by the committee. Administration of </w:t>
      </w:r>
      <w:proofErr w:type="spellStart"/>
      <w:r w:rsidR="000C79F5" w:rsidRPr="00A96D52">
        <w:rPr>
          <w:rFonts w:cs="Arial"/>
          <w:sz w:val="24"/>
          <w:szCs w:val="24"/>
        </w:rPr>
        <w:t>zilucopla</w:t>
      </w:r>
      <w:r w:rsidR="00A96D52" w:rsidRPr="00A96D52">
        <w:rPr>
          <w:rFonts w:cs="Arial"/>
          <w:sz w:val="24"/>
          <w:szCs w:val="24"/>
        </w:rPr>
        <w:t>n</w:t>
      </w:r>
      <w:proofErr w:type="spellEnd"/>
      <w:r w:rsidR="000C79F5" w:rsidRPr="00A96D52">
        <w:rPr>
          <w:rFonts w:cs="Arial"/>
          <w:sz w:val="24"/>
          <w:szCs w:val="24"/>
        </w:rPr>
        <w:t xml:space="preserve"> at home enables patients to restore </w:t>
      </w:r>
      <w:proofErr w:type="gramStart"/>
      <w:r w:rsidR="000C79F5" w:rsidRPr="00A96D52">
        <w:rPr>
          <w:rFonts w:cs="Arial"/>
          <w:sz w:val="24"/>
          <w:szCs w:val="24"/>
        </w:rPr>
        <w:t>independence, and</w:t>
      </w:r>
      <w:proofErr w:type="gramEnd"/>
      <w:r w:rsidR="000C79F5" w:rsidRPr="00A96D52">
        <w:rPr>
          <w:rFonts w:cs="Arial"/>
          <w:sz w:val="24"/>
          <w:szCs w:val="24"/>
        </w:rPr>
        <w:t xml:space="preserve"> allows them to maintain a routine. </w:t>
      </w:r>
    </w:p>
    <w:p w14:paraId="3C01F6D4" w14:textId="7DD76A68" w:rsidR="000C79F5" w:rsidRPr="00A96D52" w:rsidRDefault="000C79F5" w:rsidP="000C79F5">
      <w:pPr>
        <w:pStyle w:val="Paragraph"/>
        <w:rPr>
          <w:rFonts w:cs="Arial"/>
          <w:sz w:val="24"/>
          <w:szCs w:val="24"/>
        </w:rPr>
      </w:pPr>
      <w:r w:rsidRPr="00A96D52">
        <w:rPr>
          <w:rFonts w:cs="Arial"/>
          <w:sz w:val="24"/>
          <w:szCs w:val="24"/>
        </w:rPr>
        <w:t>Emily Crowe</w:t>
      </w:r>
      <w:r w:rsidR="006F1C0F">
        <w:rPr>
          <w:rFonts w:cs="Arial"/>
          <w:sz w:val="24"/>
          <w:szCs w:val="24"/>
        </w:rPr>
        <w:t>, for NICE</w:t>
      </w:r>
      <w:r w:rsidR="00020472">
        <w:rPr>
          <w:rFonts w:cs="Arial"/>
          <w:sz w:val="24"/>
          <w:szCs w:val="24"/>
        </w:rPr>
        <w:t>,</w:t>
      </w:r>
      <w:r w:rsidRPr="00A96D52">
        <w:rPr>
          <w:rFonts w:cs="Arial"/>
          <w:sz w:val="24"/>
          <w:szCs w:val="24"/>
        </w:rPr>
        <w:t xml:space="preserve"> suggested that the appeal points misunderstood how the committee had taken this factor into account in its decision making. The committee did not dismiss the benefit of home administration. It had concluded that those benefits </w:t>
      </w:r>
      <w:r w:rsidR="00FB7888">
        <w:rPr>
          <w:rFonts w:cs="Arial"/>
          <w:sz w:val="24"/>
          <w:szCs w:val="24"/>
        </w:rPr>
        <w:t xml:space="preserve">should </w:t>
      </w:r>
      <w:r w:rsidRPr="00A96D52">
        <w:rPr>
          <w:rFonts w:cs="Arial"/>
          <w:sz w:val="24"/>
          <w:szCs w:val="24"/>
        </w:rPr>
        <w:t xml:space="preserve">be reflected quantitatively in the economic model – but the way in which the committee preferred to do so differed from </w:t>
      </w:r>
      <w:r w:rsidR="006F1C0F">
        <w:rPr>
          <w:rFonts w:cs="Arial"/>
          <w:sz w:val="24"/>
          <w:szCs w:val="24"/>
        </w:rPr>
        <w:t>UCB</w:t>
      </w:r>
      <w:r w:rsidRPr="00A96D52">
        <w:rPr>
          <w:rFonts w:cs="Arial"/>
          <w:sz w:val="24"/>
          <w:szCs w:val="24"/>
        </w:rPr>
        <w:t xml:space="preserve">'s preferred approach. Whereas </w:t>
      </w:r>
      <w:r w:rsidR="006F1C0F">
        <w:rPr>
          <w:rFonts w:cs="Arial"/>
          <w:sz w:val="24"/>
          <w:szCs w:val="24"/>
        </w:rPr>
        <w:t>UCB</w:t>
      </w:r>
      <w:r w:rsidRPr="00A96D52">
        <w:rPr>
          <w:rFonts w:cs="Arial"/>
          <w:sz w:val="24"/>
          <w:szCs w:val="24"/>
        </w:rPr>
        <w:t xml:space="preserve"> preferred to model a utility increment in the </w:t>
      </w:r>
      <w:proofErr w:type="spellStart"/>
      <w:r w:rsidRPr="00A96D52">
        <w:rPr>
          <w:rFonts w:cs="Arial"/>
          <w:sz w:val="24"/>
          <w:szCs w:val="24"/>
        </w:rPr>
        <w:t>zilucoplan</w:t>
      </w:r>
      <w:proofErr w:type="spellEnd"/>
      <w:r w:rsidRPr="00A96D52">
        <w:rPr>
          <w:rFonts w:cs="Arial"/>
          <w:sz w:val="24"/>
          <w:szCs w:val="24"/>
        </w:rPr>
        <w:t xml:space="preserve"> arm of the model, the committee preferred to model a utility decrement in the IVIg/PLEX arm of the model. That is because the data informing </w:t>
      </w:r>
      <w:r w:rsidR="006F1C0F">
        <w:rPr>
          <w:rFonts w:cs="Arial"/>
          <w:sz w:val="24"/>
          <w:szCs w:val="24"/>
        </w:rPr>
        <w:t>UCB</w:t>
      </w:r>
      <w:r w:rsidRPr="00A96D52">
        <w:rPr>
          <w:rFonts w:cs="Arial"/>
          <w:sz w:val="24"/>
          <w:szCs w:val="24"/>
        </w:rPr>
        <w:t>'s utility increment were based on unrelated conditions, and so the committee did not consider this to be an appropriate increment to adopt.</w:t>
      </w:r>
    </w:p>
    <w:p w14:paraId="2F0FDE3D" w14:textId="4D7C7BE2" w:rsidR="000C79F5" w:rsidRPr="00A96D52" w:rsidRDefault="00FB7888" w:rsidP="000C79F5">
      <w:pPr>
        <w:pStyle w:val="Paragraph"/>
        <w:rPr>
          <w:rFonts w:cs="Arial"/>
          <w:sz w:val="24"/>
          <w:szCs w:val="24"/>
        </w:rPr>
      </w:pPr>
      <w:r>
        <w:rPr>
          <w:rFonts w:cs="Arial"/>
          <w:sz w:val="24"/>
          <w:szCs w:val="24"/>
        </w:rPr>
        <w:t>A</w:t>
      </w:r>
      <w:r w:rsidR="000C79F5" w:rsidRPr="00A96D52">
        <w:rPr>
          <w:rFonts w:cs="Arial"/>
          <w:sz w:val="24"/>
          <w:szCs w:val="24"/>
        </w:rPr>
        <w:t xml:space="preserve">pplying both a utility increment to one arm </w:t>
      </w:r>
      <w:r w:rsidR="000C79F5" w:rsidRPr="001E0A57">
        <w:rPr>
          <w:rFonts w:cs="Arial"/>
          <w:sz w:val="24"/>
          <w:szCs w:val="24"/>
        </w:rPr>
        <w:t>and</w:t>
      </w:r>
      <w:r w:rsidR="000C79F5" w:rsidRPr="00A96D52">
        <w:rPr>
          <w:rFonts w:cs="Arial"/>
          <w:sz w:val="24"/>
          <w:szCs w:val="24"/>
        </w:rPr>
        <w:t xml:space="preserve"> a utility decrement to the other arm to model one benefit would amount to </w:t>
      </w:r>
      <w:proofErr w:type="gramStart"/>
      <w:r w:rsidR="000C79F5" w:rsidRPr="00A96D52">
        <w:rPr>
          <w:rFonts w:cs="Arial"/>
          <w:sz w:val="24"/>
          <w:szCs w:val="24"/>
        </w:rPr>
        <w:t>double</w:t>
      </w:r>
      <w:r>
        <w:rPr>
          <w:rFonts w:cs="Arial"/>
          <w:sz w:val="24"/>
          <w:szCs w:val="24"/>
        </w:rPr>
        <w:t>-</w:t>
      </w:r>
      <w:r w:rsidR="000C79F5" w:rsidRPr="00A96D52">
        <w:rPr>
          <w:rFonts w:cs="Arial"/>
          <w:sz w:val="24"/>
          <w:szCs w:val="24"/>
        </w:rPr>
        <w:t>counting</w:t>
      </w:r>
      <w:proofErr w:type="gramEnd"/>
      <w:r w:rsidR="000C79F5" w:rsidRPr="00A96D52">
        <w:rPr>
          <w:rFonts w:cs="Arial"/>
          <w:sz w:val="24"/>
          <w:szCs w:val="24"/>
        </w:rPr>
        <w:t xml:space="preserve">. The approach taken by the committee in preferring a decrement to the IVIg/PLEX arm was consistent with the approach of the committee in </w:t>
      </w:r>
      <w:r w:rsidR="005A5D49">
        <w:rPr>
          <w:rFonts w:cs="Arial"/>
          <w:sz w:val="24"/>
          <w:szCs w:val="24"/>
        </w:rPr>
        <w:t>TA1069</w:t>
      </w:r>
      <w:r w:rsidR="000C79F5" w:rsidRPr="00A96D52">
        <w:rPr>
          <w:rFonts w:cs="Arial"/>
          <w:sz w:val="24"/>
          <w:szCs w:val="24"/>
        </w:rPr>
        <w:t xml:space="preserve">. </w:t>
      </w:r>
    </w:p>
    <w:p w14:paraId="3D36FF8A" w14:textId="5461AD15" w:rsidR="000C79F5" w:rsidRPr="00A96D52" w:rsidRDefault="000C79F5" w:rsidP="000C79F5">
      <w:pPr>
        <w:pStyle w:val="Paragraph"/>
        <w:rPr>
          <w:rFonts w:cs="Arial"/>
          <w:sz w:val="24"/>
          <w:szCs w:val="24"/>
        </w:rPr>
      </w:pPr>
      <w:r w:rsidRPr="00A96D52">
        <w:rPr>
          <w:rFonts w:cs="Arial"/>
          <w:sz w:val="24"/>
          <w:szCs w:val="24"/>
        </w:rPr>
        <w:t xml:space="preserve">The </w:t>
      </w:r>
      <w:r w:rsidR="00840288">
        <w:rPr>
          <w:rFonts w:cs="Arial"/>
          <w:sz w:val="24"/>
          <w:szCs w:val="24"/>
        </w:rPr>
        <w:t xml:space="preserve">appeal </w:t>
      </w:r>
      <w:r w:rsidRPr="00A96D52">
        <w:rPr>
          <w:rFonts w:cs="Arial"/>
          <w:sz w:val="24"/>
          <w:szCs w:val="24"/>
        </w:rPr>
        <w:t xml:space="preserve">panel asked whether the committee considered that home administration offered important </w:t>
      </w:r>
      <w:proofErr w:type="spellStart"/>
      <w:r w:rsidRPr="00A96D52">
        <w:rPr>
          <w:rFonts w:cs="Arial"/>
          <w:sz w:val="24"/>
          <w:szCs w:val="24"/>
        </w:rPr>
        <w:t>HRQoL</w:t>
      </w:r>
      <w:proofErr w:type="spellEnd"/>
      <w:r w:rsidRPr="00A96D52">
        <w:rPr>
          <w:rFonts w:cs="Arial"/>
          <w:sz w:val="24"/>
          <w:szCs w:val="24"/>
        </w:rPr>
        <w:t xml:space="preserve"> benefits to patients. Charles Crawley</w:t>
      </w:r>
      <w:r w:rsidR="003E324B">
        <w:rPr>
          <w:rFonts w:cs="Arial"/>
          <w:sz w:val="24"/>
          <w:szCs w:val="24"/>
        </w:rPr>
        <w:t>, for NICE</w:t>
      </w:r>
      <w:r w:rsidR="00840288">
        <w:rPr>
          <w:rFonts w:cs="Arial"/>
          <w:sz w:val="24"/>
          <w:szCs w:val="24"/>
        </w:rPr>
        <w:t>,</w:t>
      </w:r>
      <w:r w:rsidRPr="00A96D52">
        <w:rPr>
          <w:rFonts w:cs="Arial"/>
          <w:sz w:val="24"/>
          <w:szCs w:val="24"/>
        </w:rPr>
        <w:t xml:space="preserve"> confirmed that the committee had discussed those benefits, but w</w:t>
      </w:r>
      <w:r w:rsidR="00FB7888">
        <w:rPr>
          <w:rFonts w:cs="Arial"/>
          <w:sz w:val="24"/>
          <w:szCs w:val="24"/>
        </w:rPr>
        <w:t>as</w:t>
      </w:r>
      <w:r w:rsidRPr="00A96D52">
        <w:rPr>
          <w:rFonts w:cs="Arial"/>
          <w:sz w:val="24"/>
          <w:szCs w:val="24"/>
        </w:rPr>
        <w:t xml:space="preserve"> concerned to apply one differential rather than double counting the benefit by applying both differentials. Applying a decrement to the IVIg/PLEX arm also enabled the disutility to be modelled on a per model cycle (i.e. a decrement every two weeks, as rescue treatment is needed). </w:t>
      </w:r>
    </w:p>
    <w:p w14:paraId="3DAFFBC1" w14:textId="61004D0D" w:rsidR="000C79F5" w:rsidRPr="00A96D52" w:rsidRDefault="000C79F5" w:rsidP="000C79F5">
      <w:pPr>
        <w:pStyle w:val="Paragraph"/>
        <w:rPr>
          <w:rFonts w:cs="Arial"/>
          <w:sz w:val="24"/>
          <w:szCs w:val="24"/>
        </w:rPr>
      </w:pPr>
      <w:r w:rsidRPr="00A96D52">
        <w:rPr>
          <w:rFonts w:cs="Arial"/>
          <w:sz w:val="24"/>
          <w:szCs w:val="24"/>
        </w:rPr>
        <w:lastRenderedPageBreak/>
        <w:t xml:space="preserve">The </w:t>
      </w:r>
      <w:r w:rsidR="00C77107">
        <w:rPr>
          <w:rFonts w:cs="Arial"/>
          <w:sz w:val="24"/>
          <w:szCs w:val="24"/>
        </w:rPr>
        <w:t xml:space="preserve">appeal </w:t>
      </w:r>
      <w:r w:rsidRPr="00A96D52">
        <w:rPr>
          <w:rFonts w:cs="Arial"/>
          <w:sz w:val="24"/>
          <w:szCs w:val="24"/>
        </w:rPr>
        <w:t xml:space="preserve">panel asked whether there was any hierarchy for preferring utility decrement vs utility increment in economic modelling. Charles Crawley </w:t>
      </w:r>
      <w:r w:rsidR="00FB7888">
        <w:rPr>
          <w:rFonts w:cs="Arial"/>
          <w:sz w:val="24"/>
          <w:szCs w:val="24"/>
        </w:rPr>
        <w:t>said</w:t>
      </w:r>
      <w:r w:rsidR="00FB7888" w:rsidRPr="00A96D52">
        <w:rPr>
          <w:rFonts w:cs="Arial"/>
          <w:sz w:val="24"/>
          <w:szCs w:val="24"/>
        </w:rPr>
        <w:t xml:space="preserve"> </w:t>
      </w:r>
      <w:r w:rsidRPr="00A96D52">
        <w:rPr>
          <w:rFonts w:cs="Arial"/>
          <w:sz w:val="24"/>
          <w:szCs w:val="24"/>
        </w:rPr>
        <w:t xml:space="preserve">that it does not make a material difference in principle. The committee considered modelling the decrement to be preferable to modelling the increment, on the basis that "being at home" may be considered the status quo in the </w:t>
      </w:r>
      <w:proofErr w:type="gramStart"/>
      <w:r w:rsidRPr="00A96D52">
        <w:rPr>
          <w:rFonts w:cs="Arial"/>
          <w:sz w:val="24"/>
          <w:szCs w:val="24"/>
        </w:rPr>
        <w:t>modelling, and</w:t>
      </w:r>
      <w:proofErr w:type="gramEnd"/>
      <w:r w:rsidRPr="00A96D52">
        <w:rPr>
          <w:rFonts w:cs="Arial"/>
          <w:sz w:val="24"/>
          <w:szCs w:val="24"/>
        </w:rPr>
        <w:t xml:space="preserve"> so might not be seen as an improvement to normal (which may underestimate the benefit). Comparing both options, Charles Crawley noted that the difference was small, and that either approach would not have improved the cost-effectiveness enough to constitute an acceptable ICER. </w:t>
      </w:r>
    </w:p>
    <w:p w14:paraId="2FA907D5" w14:textId="4BE2F1A4" w:rsidR="00FE7CD2" w:rsidRPr="00A96D52" w:rsidRDefault="00FE7CD2" w:rsidP="00FE7CD2">
      <w:pPr>
        <w:pStyle w:val="Paragraph"/>
        <w:rPr>
          <w:rFonts w:cs="Arial"/>
          <w:sz w:val="24"/>
          <w:szCs w:val="24"/>
        </w:rPr>
      </w:pPr>
      <w:r w:rsidRPr="00A96D52">
        <w:rPr>
          <w:rFonts w:cs="Arial"/>
          <w:sz w:val="24"/>
          <w:szCs w:val="24"/>
        </w:rPr>
        <w:t>Katherine Dodd and Jennifer Spillane</w:t>
      </w:r>
      <w:r w:rsidR="00E80F32">
        <w:rPr>
          <w:rFonts w:cs="Arial"/>
          <w:sz w:val="24"/>
          <w:szCs w:val="24"/>
        </w:rPr>
        <w:t>, for MDUK</w:t>
      </w:r>
      <w:r w:rsidR="00EA186E">
        <w:rPr>
          <w:rFonts w:cs="Arial"/>
          <w:sz w:val="24"/>
          <w:szCs w:val="24"/>
        </w:rPr>
        <w:t>,</w:t>
      </w:r>
      <w:r w:rsidRPr="00A96D52">
        <w:rPr>
          <w:rFonts w:cs="Arial"/>
          <w:sz w:val="24"/>
          <w:szCs w:val="24"/>
        </w:rPr>
        <w:t xml:space="preserve"> both emphasised that there is a difference between location of administration and mode of administration. Being in hospital introduces infection risk, inequity of access for immobile patients, geographic disparity etc.</w:t>
      </w:r>
    </w:p>
    <w:p w14:paraId="5F497294" w14:textId="77777777" w:rsidR="00454E35" w:rsidRDefault="00FE7CD2" w:rsidP="00A96D52">
      <w:pPr>
        <w:pStyle w:val="Paragraph"/>
        <w:rPr>
          <w:rFonts w:cs="Arial"/>
          <w:sz w:val="24"/>
          <w:szCs w:val="24"/>
        </w:rPr>
      </w:pPr>
      <w:r w:rsidRPr="00A96D52">
        <w:rPr>
          <w:rFonts w:cs="Arial"/>
          <w:sz w:val="24"/>
          <w:szCs w:val="24"/>
        </w:rPr>
        <w:t xml:space="preserve">Charles Crawley explained that the committee did not have the data available to it that would have enabled the disaggregation of location and mode of administration. </w:t>
      </w:r>
      <w:r w:rsidR="00A96D52" w:rsidRPr="00A96D52">
        <w:rPr>
          <w:rFonts w:cs="Arial"/>
          <w:sz w:val="24"/>
          <w:szCs w:val="24"/>
        </w:rPr>
        <w:t xml:space="preserve">He concluded that the committee had increased the ICER threshold to account for the uncertainty and uncaptured benefits, but that ultimately the plausible ICER did not constitute a </w:t>
      </w:r>
      <w:r w:rsidR="00FB7888" w:rsidRPr="00A96D52">
        <w:rPr>
          <w:rFonts w:cs="Arial"/>
          <w:sz w:val="24"/>
          <w:szCs w:val="24"/>
        </w:rPr>
        <w:t>cost-effective</w:t>
      </w:r>
      <w:r w:rsidR="00A96D52" w:rsidRPr="00A96D52">
        <w:rPr>
          <w:rFonts w:cs="Arial"/>
          <w:sz w:val="24"/>
          <w:szCs w:val="24"/>
        </w:rPr>
        <w:t xml:space="preserve"> use of NHS resources </w:t>
      </w:r>
    </w:p>
    <w:p w14:paraId="06BF9CE8" w14:textId="1AA1C0D9" w:rsidR="00454E35" w:rsidRPr="00454E35" w:rsidRDefault="00454E35" w:rsidP="00A96D52">
      <w:pPr>
        <w:pStyle w:val="Paragraph"/>
        <w:rPr>
          <w:rFonts w:cs="Arial"/>
          <w:sz w:val="24"/>
          <w:szCs w:val="24"/>
        </w:rPr>
      </w:pPr>
      <w:proofErr w:type="gramStart"/>
      <w:r w:rsidRPr="00454E35">
        <w:rPr>
          <w:rFonts w:cs="Arial"/>
          <w:sz w:val="24"/>
          <w:szCs w:val="24"/>
        </w:rPr>
        <w:t>In regard to</w:t>
      </w:r>
      <w:proofErr w:type="gramEnd"/>
      <w:r w:rsidRPr="00454E35">
        <w:rPr>
          <w:rFonts w:cs="Arial"/>
          <w:sz w:val="24"/>
          <w:szCs w:val="24"/>
        </w:rPr>
        <w:t xml:space="preserve"> </w:t>
      </w:r>
      <w:r w:rsidR="007506AF">
        <w:rPr>
          <w:rFonts w:cs="Arial"/>
          <w:sz w:val="24"/>
          <w:szCs w:val="24"/>
        </w:rPr>
        <w:t>ABN’</w:t>
      </w:r>
      <w:r w:rsidR="0029530A">
        <w:rPr>
          <w:rFonts w:cs="Arial"/>
          <w:sz w:val="24"/>
          <w:szCs w:val="24"/>
        </w:rPr>
        <w:t xml:space="preserve">s </w:t>
      </w:r>
      <w:r w:rsidR="00EA186E">
        <w:rPr>
          <w:rFonts w:cs="Arial"/>
          <w:sz w:val="24"/>
          <w:szCs w:val="24"/>
        </w:rPr>
        <w:t>a</w:t>
      </w:r>
      <w:r w:rsidRPr="00454E35">
        <w:rPr>
          <w:rFonts w:cs="Arial"/>
          <w:sz w:val="24"/>
          <w:szCs w:val="24"/>
        </w:rPr>
        <w:t xml:space="preserve">ppeal </w:t>
      </w:r>
      <w:r w:rsidR="00EA186E">
        <w:rPr>
          <w:rFonts w:cs="Arial"/>
          <w:sz w:val="24"/>
          <w:szCs w:val="24"/>
        </w:rPr>
        <w:t>p</w:t>
      </w:r>
      <w:r w:rsidRPr="00454E35">
        <w:rPr>
          <w:rFonts w:cs="Arial"/>
          <w:sz w:val="24"/>
          <w:szCs w:val="24"/>
        </w:rPr>
        <w:t>oint 2.4 and MDUK</w:t>
      </w:r>
      <w:r w:rsidR="0029530A">
        <w:rPr>
          <w:rFonts w:cs="Arial"/>
          <w:sz w:val="24"/>
          <w:szCs w:val="24"/>
        </w:rPr>
        <w:t>’s appeal point</w:t>
      </w:r>
      <w:r w:rsidRPr="00454E35">
        <w:rPr>
          <w:rFonts w:cs="Arial"/>
          <w:sz w:val="24"/>
          <w:szCs w:val="24"/>
        </w:rPr>
        <w:t xml:space="preserve"> 2.2, the </w:t>
      </w:r>
      <w:r w:rsidR="00EA186E">
        <w:rPr>
          <w:rFonts w:cs="Arial"/>
          <w:sz w:val="24"/>
          <w:szCs w:val="24"/>
        </w:rPr>
        <w:t xml:space="preserve">appeal </w:t>
      </w:r>
      <w:r w:rsidRPr="00454E35">
        <w:rPr>
          <w:rFonts w:cs="Arial"/>
          <w:sz w:val="24"/>
          <w:szCs w:val="24"/>
        </w:rPr>
        <w:t>panel concluded as follows</w:t>
      </w:r>
      <w:r w:rsidR="00BC1E6A">
        <w:rPr>
          <w:rFonts w:cs="Arial"/>
          <w:sz w:val="24"/>
          <w:szCs w:val="24"/>
        </w:rPr>
        <w:t>. T</w:t>
      </w:r>
      <w:r w:rsidRPr="00454E35">
        <w:rPr>
          <w:rFonts w:cs="Arial"/>
          <w:sz w:val="24"/>
          <w:szCs w:val="24"/>
        </w:rPr>
        <w:t>he</w:t>
      </w:r>
      <w:r w:rsidR="00EA186E">
        <w:rPr>
          <w:rFonts w:cs="Arial"/>
          <w:sz w:val="24"/>
          <w:szCs w:val="24"/>
        </w:rPr>
        <w:t xml:space="preserve"> appeal</w:t>
      </w:r>
      <w:r w:rsidRPr="00454E35">
        <w:rPr>
          <w:rFonts w:cs="Arial"/>
          <w:sz w:val="24"/>
          <w:szCs w:val="24"/>
        </w:rPr>
        <w:t xml:space="preserve"> panel were satisfied that the committee had considered the potential benefits of home administration with </w:t>
      </w:r>
      <w:proofErr w:type="spellStart"/>
      <w:r w:rsidRPr="00454E35">
        <w:rPr>
          <w:rFonts w:cs="Arial"/>
          <w:sz w:val="24"/>
          <w:szCs w:val="24"/>
        </w:rPr>
        <w:t>zilucoplan</w:t>
      </w:r>
      <w:proofErr w:type="spellEnd"/>
      <w:r w:rsidRPr="00454E35">
        <w:rPr>
          <w:rFonts w:cs="Arial"/>
          <w:sz w:val="24"/>
          <w:szCs w:val="24"/>
        </w:rPr>
        <w:t xml:space="preserve"> in this appraisal as described in section 3.21 of the FDG and that the input of experts had been sought in their decision-making. In this regard, the </w:t>
      </w:r>
      <w:r w:rsidR="00EA186E">
        <w:rPr>
          <w:rFonts w:cs="Arial"/>
          <w:sz w:val="24"/>
          <w:szCs w:val="24"/>
        </w:rPr>
        <w:t xml:space="preserve">appeal </w:t>
      </w:r>
      <w:r w:rsidRPr="00454E35">
        <w:rPr>
          <w:rFonts w:cs="Arial"/>
          <w:sz w:val="24"/>
          <w:szCs w:val="24"/>
        </w:rPr>
        <w:t xml:space="preserve">panel understood that the committee had weighed up the alternatives of either applying a utility increment to the </w:t>
      </w:r>
      <w:proofErr w:type="spellStart"/>
      <w:r w:rsidRPr="00454E35">
        <w:rPr>
          <w:rFonts w:cs="Arial"/>
          <w:sz w:val="24"/>
          <w:szCs w:val="24"/>
        </w:rPr>
        <w:t>zilucoplan</w:t>
      </w:r>
      <w:proofErr w:type="spellEnd"/>
      <w:r w:rsidRPr="00454E35">
        <w:rPr>
          <w:rFonts w:cs="Arial"/>
          <w:sz w:val="24"/>
          <w:szCs w:val="24"/>
        </w:rPr>
        <w:t xml:space="preserve"> arm or alternatively applying a utility decrement per cycle to the standard treatment arm to account for the additional treatment burden associated with receiving hospital treatment with IVIg or PLEX.  In deciding on the latter, the </w:t>
      </w:r>
      <w:r w:rsidR="003C214B">
        <w:rPr>
          <w:rFonts w:cs="Arial"/>
          <w:sz w:val="24"/>
          <w:szCs w:val="24"/>
        </w:rPr>
        <w:t xml:space="preserve">appeal </w:t>
      </w:r>
      <w:r w:rsidRPr="00454E35">
        <w:rPr>
          <w:rFonts w:cs="Arial"/>
          <w:sz w:val="24"/>
          <w:szCs w:val="24"/>
        </w:rPr>
        <w:lastRenderedPageBreak/>
        <w:t xml:space="preserve">panel noted that the committee's approach was consistent with that adopted in TA1069.  The </w:t>
      </w:r>
      <w:r w:rsidR="003C214B">
        <w:rPr>
          <w:rFonts w:cs="Arial"/>
          <w:sz w:val="24"/>
          <w:szCs w:val="24"/>
        </w:rPr>
        <w:t xml:space="preserve">appeal </w:t>
      </w:r>
      <w:r w:rsidRPr="00454E35">
        <w:rPr>
          <w:rFonts w:cs="Arial"/>
          <w:sz w:val="24"/>
          <w:szCs w:val="24"/>
        </w:rPr>
        <w:t xml:space="preserve">panel </w:t>
      </w:r>
      <w:r w:rsidR="00BB0511">
        <w:rPr>
          <w:rFonts w:cs="Arial"/>
          <w:sz w:val="24"/>
          <w:szCs w:val="24"/>
        </w:rPr>
        <w:t>noted</w:t>
      </w:r>
      <w:r w:rsidRPr="00454E35">
        <w:rPr>
          <w:rFonts w:cs="Arial"/>
          <w:sz w:val="24"/>
          <w:szCs w:val="24"/>
        </w:rPr>
        <w:t xml:space="preserve"> the concerns about the source of the utility increment data from a surrogate population and the positive impact of a disutility being applied per modelled cycle. The </w:t>
      </w:r>
      <w:r w:rsidR="001170CF">
        <w:rPr>
          <w:rFonts w:cs="Arial"/>
          <w:sz w:val="24"/>
          <w:szCs w:val="24"/>
        </w:rPr>
        <w:t xml:space="preserve">appeal </w:t>
      </w:r>
      <w:r w:rsidRPr="00454E35">
        <w:rPr>
          <w:rFonts w:cs="Arial"/>
          <w:sz w:val="24"/>
          <w:szCs w:val="24"/>
        </w:rPr>
        <w:t xml:space="preserve">panel were also persuaded that the inclusion of a utility increment in one arm and a disutility in the other at the same time would have amounted to </w:t>
      </w:r>
      <w:proofErr w:type="gramStart"/>
      <w:r w:rsidRPr="00454E35">
        <w:rPr>
          <w:rFonts w:cs="Arial"/>
          <w:sz w:val="24"/>
          <w:szCs w:val="24"/>
        </w:rPr>
        <w:t>double-counting</w:t>
      </w:r>
      <w:proofErr w:type="gramEnd"/>
      <w:r w:rsidRPr="00454E35">
        <w:rPr>
          <w:rFonts w:cs="Arial"/>
          <w:sz w:val="24"/>
          <w:szCs w:val="24"/>
        </w:rPr>
        <w:t xml:space="preserve">. Although the </w:t>
      </w:r>
      <w:r w:rsidR="003C214B">
        <w:rPr>
          <w:rFonts w:cs="Arial"/>
          <w:sz w:val="24"/>
          <w:szCs w:val="24"/>
        </w:rPr>
        <w:t xml:space="preserve">appeal </w:t>
      </w:r>
      <w:r w:rsidRPr="00454E35">
        <w:rPr>
          <w:rFonts w:cs="Arial"/>
          <w:sz w:val="24"/>
          <w:szCs w:val="24"/>
        </w:rPr>
        <w:t xml:space="preserve">panel </w:t>
      </w:r>
      <w:r w:rsidR="00E73D4C">
        <w:rPr>
          <w:rFonts w:cs="Arial"/>
          <w:sz w:val="24"/>
          <w:szCs w:val="24"/>
        </w:rPr>
        <w:t xml:space="preserve">recognised </w:t>
      </w:r>
      <w:r w:rsidRPr="00454E35">
        <w:rPr>
          <w:rFonts w:cs="Arial"/>
          <w:sz w:val="24"/>
          <w:szCs w:val="24"/>
        </w:rPr>
        <w:t xml:space="preserve">the important distinction between considering the location and mode of administration, it was </w:t>
      </w:r>
      <w:r w:rsidR="00BB0511">
        <w:rPr>
          <w:rFonts w:cs="Arial"/>
          <w:sz w:val="24"/>
          <w:szCs w:val="24"/>
        </w:rPr>
        <w:t>satisfi</w:t>
      </w:r>
      <w:r w:rsidRPr="00454E35">
        <w:rPr>
          <w:rFonts w:cs="Arial"/>
          <w:sz w:val="24"/>
          <w:szCs w:val="24"/>
        </w:rPr>
        <w:t xml:space="preserve">ed that evidence was lacking in this appraisal to allow the committee to disaggregate these in its deliberations.  </w:t>
      </w:r>
      <w:r w:rsidR="00E73D4C">
        <w:rPr>
          <w:rFonts w:cs="Arial"/>
          <w:sz w:val="24"/>
          <w:szCs w:val="24"/>
        </w:rPr>
        <w:t xml:space="preserve">In regard to the question of equity of access to treatment, the </w:t>
      </w:r>
      <w:r w:rsidR="003C214B">
        <w:rPr>
          <w:rFonts w:cs="Arial"/>
          <w:sz w:val="24"/>
          <w:szCs w:val="24"/>
        </w:rPr>
        <w:t xml:space="preserve">appeal </w:t>
      </w:r>
      <w:r w:rsidR="00E73D4C">
        <w:rPr>
          <w:rFonts w:cs="Arial"/>
          <w:sz w:val="24"/>
          <w:szCs w:val="24"/>
        </w:rPr>
        <w:t xml:space="preserve">panel noted that the committee had considered that access to specialist centres is an implementation issue that cannot be addressed by a NICE Technology Appraisal recommendation, as referred to in section 3.30 of the FDG, and so had felt limited in the extent to which this could be specifically addressed. </w:t>
      </w:r>
      <w:r w:rsidRPr="00454E35">
        <w:rPr>
          <w:rFonts w:cs="Arial"/>
          <w:sz w:val="24"/>
          <w:szCs w:val="24"/>
        </w:rPr>
        <w:t xml:space="preserve">Overall, the </w:t>
      </w:r>
      <w:r w:rsidR="003C214B">
        <w:rPr>
          <w:rFonts w:cs="Arial"/>
          <w:sz w:val="24"/>
          <w:szCs w:val="24"/>
        </w:rPr>
        <w:t xml:space="preserve">appeal </w:t>
      </w:r>
      <w:r w:rsidRPr="00454E35">
        <w:rPr>
          <w:rFonts w:cs="Arial"/>
          <w:sz w:val="24"/>
          <w:szCs w:val="24"/>
        </w:rPr>
        <w:t xml:space="preserve">panel concluded that the committee's approach to the consideration of the benefits of the home administration of </w:t>
      </w:r>
      <w:proofErr w:type="spellStart"/>
      <w:r w:rsidRPr="00454E35">
        <w:rPr>
          <w:rFonts w:cs="Arial"/>
          <w:sz w:val="24"/>
          <w:szCs w:val="24"/>
        </w:rPr>
        <w:t>zilucoplan</w:t>
      </w:r>
      <w:proofErr w:type="spellEnd"/>
      <w:r w:rsidRPr="00454E35">
        <w:rPr>
          <w:rFonts w:cs="Arial"/>
          <w:sz w:val="24"/>
          <w:szCs w:val="24"/>
        </w:rPr>
        <w:t xml:space="preserve"> was reasonable and had placed sufficient weight on patient and expert evidence.  It therefore dismissed the appeal on these points.   </w:t>
      </w:r>
    </w:p>
    <w:p w14:paraId="536AFB6B" w14:textId="27586FA4" w:rsidR="00CC79EF" w:rsidRPr="00A96D52" w:rsidRDefault="00CC79EF" w:rsidP="00A96D52">
      <w:pPr>
        <w:pStyle w:val="Heading2"/>
        <w:rPr>
          <w:rFonts w:cs="Arial"/>
          <w:sz w:val="24"/>
          <w:szCs w:val="24"/>
        </w:rPr>
      </w:pPr>
      <w:r w:rsidRPr="00A96D52">
        <w:rPr>
          <w:rFonts w:cs="Arial"/>
          <w:sz w:val="24"/>
          <w:szCs w:val="24"/>
        </w:rPr>
        <w:t>Conclusion and effect of the appeal panel’s decisi</w:t>
      </w:r>
      <w:r w:rsidR="00B93E19" w:rsidRPr="00A96D52">
        <w:rPr>
          <w:rFonts w:cs="Arial"/>
          <w:sz w:val="24"/>
          <w:szCs w:val="24"/>
        </w:rPr>
        <w:t>on</w:t>
      </w:r>
    </w:p>
    <w:p w14:paraId="25054966" w14:textId="3FC5D463" w:rsidR="00CC79EF" w:rsidRPr="002B4EE0" w:rsidRDefault="00CC79EF" w:rsidP="00B93E19">
      <w:pPr>
        <w:pStyle w:val="Paragraph"/>
        <w:rPr>
          <w:rFonts w:cs="Arial"/>
          <w:sz w:val="24"/>
          <w:szCs w:val="24"/>
        </w:rPr>
      </w:pPr>
      <w:r w:rsidRPr="002B4EE0">
        <w:rPr>
          <w:rFonts w:cs="Arial"/>
          <w:sz w:val="24"/>
          <w:szCs w:val="24"/>
        </w:rPr>
        <w:t xml:space="preserve">The appeal </w:t>
      </w:r>
      <w:r w:rsidR="00454E35" w:rsidRPr="002B4EE0">
        <w:rPr>
          <w:rFonts w:cs="Arial"/>
          <w:sz w:val="24"/>
          <w:szCs w:val="24"/>
        </w:rPr>
        <w:t>panel therefore upheld the appeal on UCB</w:t>
      </w:r>
      <w:r w:rsidR="0029530A">
        <w:rPr>
          <w:rFonts w:cs="Arial"/>
          <w:sz w:val="24"/>
          <w:szCs w:val="24"/>
        </w:rPr>
        <w:t>’s</w:t>
      </w:r>
      <w:r w:rsidR="00454E35" w:rsidRPr="002B4EE0">
        <w:rPr>
          <w:rFonts w:cs="Arial"/>
          <w:sz w:val="24"/>
          <w:szCs w:val="24"/>
        </w:rPr>
        <w:t xml:space="preserve"> </w:t>
      </w:r>
      <w:r w:rsidR="003C214B">
        <w:rPr>
          <w:rFonts w:cs="Arial"/>
          <w:sz w:val="24"/>
          <w:szCs w:val="24"/>
        </w:rPr>
        <w:t>a</w:t>
      </w:r>
      <w:r w:rsidR="00454E35" w:rsidRPr="002B4EE0">
        <w:rPr>
          <w:rFonts w:cs="Arial"/>
          <w:sz w:val="24"/>
          <w:szCs w:val="24"/>
        </w:rPr>
        <w:t xml:space="preserve">ppeal </w:t>
      </w:r>
      <w:r w:rsidR="003C214B">
        <w:rPr>
          <w:rFonts w:cs="Arial"/>
          <w:sz w:val="24"/>
          <w:szCs w:val="24"/>
        </w:rPr>
        <w:t>p</w:t>
      </w:r>
      <w:r w:rsidR="00454E35" w:rsidRPr="002B4EE0">
        <w:rPr>
          <w:rFonts w:cs="Arial"/>
          <w:sz w:val="24"/>
          <w:szCs w:val="24"/>
        </w:rPr>
        <w:t>oint 1(a)3, ABN</w:t>
      </w:r>
      <w:r w:rsidR="0029530A">
        <w:rPr>
          <w:rFonts w:cs="Arial"/>
          <w:sz w:val="24"/>
          <w:szCs w:val="24"/>
        </w:rPr>
        <w:t>’s</w:t>
      </w:r>
      <w:r w:rsidR="00454E35" w:rsidRPr="002B4EE0">
        <w:rPr>
          <w:rFonts w:cs="Arial"/>
          <w:sz w:val="24"/>
          <w:szCs w:val="24"/>
        </w:rPr>
        <w:t xml:space="preserve"> </w:t>
      </w:r>
      <w:r w:rsidR="003C214B">
        <w:rPr>
          <w:rFonts w:cs="Arial"/>
          <w:sz w:val="24"/>
          <w:szCs w:val="24"/>
        </w:rPr>
        <w:t>a</w:t>
      </w:r>
      <w:r w:rsidR="00454E35" w:rsidRPr="002B4EE0">
        <w:rPr>
          <w:rFonts w:cs="Arial"/>
          <w:sz w:val="24"/>
          <w:szCs w:val="24"/>
        </w:rPr>
        <w:t xml:space="preserve">ppeal </w:t>
      </w:r>
      <w:proofErr w:type="gramStart"/>
      <w:r w:rsidR="003C214B">
        <w:rPr>
          <w:rFonts w:cs="Arial"/>
          <w:sz w:val="24"/>
          <w:szCs w:val="24"/>
        </w:rPr>
        <w:t>p</w:t>
      </w:r>
      <w:r w:rsidR="00454E35" w:rsidRPr="002B4EE0">
        <w:rPr>
          <w:rFonts w:cs="Arial"/>
          <w:sz w:val="24"/>
          <w:szCs w:val="24"/>
        </w:rPr>
        <w:t>oint</w:t>
      </w:r>
      <w:proofErr w:type="gramEnd"/>
      <w:r w:rsidR="00454E35" w:rsidRPr="002B4EE0">
        <w:rPr>
          <w:rFonts w:cs="Arial"/>
          <w:sz w:val="24"/>
          <w:szCs w:val="24"/>
        </w:rPr>
        <w:t xml:space="preserve"> 2.3, MDUK</w:t>
      </w:r>
      <w:r w:rsidR="0029530A">
        <w:rPr>
          <w:rFonts w:cs="Arial"/>
          <w:sz w:val="24"/>
          <w:szCs w:val="24"/>
        </w:rPr>
        <w:t>’s</w:t>
      </w:r>
      <w:r w:rsidR="00454E35" w:rsidRPr="002B4EE0">
        <w:rPr>
          <w:rFonts w:cs="Arial"/>
          <w:sz w:val="24"/>
          <w:szCs w:val="24"/>
        </w:rPr>
        <w:t xml:space="preserve"> </w:t>
      </w:r>
      <w:r w:rsidR="003C214B">
        <w:rPr>
          <w:rFonts w:cs="Arial"/>
          <w:sz w:val="24"/>
          <w:szCs w:val="24"/>
        </w:rPr>
        <w:t>a</w:t>
      </w:r>
      <w:r w:rsidR="00454E35" w:rsidRPr="002B4EE0">
        <w:rPr>
          <w:rFonts w:cs="Arial"/>
          <w:sz w:val="24"/>
          <w:szCs w:val="24"/>
        </w:rPr>
        <w:t xml:space="preserve">ppeal </w:t>
      </w:r>
      <w:r w:rsidR="003C214B">
        <w:rPr>
          <w:rFonts w:cs="Arial"/>
          <w:sz w:val="24"/>
          <w:szCs w:val="24"/>
        </w:rPr>
        <w:t>p</w:t>
      </w:r>
      <w:r w:rsidR="00454E35" w:rsidRPr="002B4EE0">
        <w:rPr>
          <w:rFonts w:cs="Arial"/>
          <w:sz w:val="24"/>
          <w:szCs w:val="24"/>
        </w:rPr>
        <w:t xml:space="preserve">oint 2.3, </w:t>
      </w:r>
      <w:proofErr w:type="spellStart"/>
      <w:r w:rsidR="00454E35" w:rsidRPr="002B4EE0">
        <w:rPr>
          <w:rFonts w:cs="Arial"/>
          <w:sz w:val="24"/>
          <w:szCs w:val="24"/>
        </w:rPr>
        <w:t>Myaware</w:t>
      </w:r>
      <w:r w:rsidR="0029530A">
        <w:rPr>
          <w:rFonts w:cs="Arial"/>
          <w:sz w:val="24"/>
          <w:szCs w:val="24"/>
        </w:rPr>
        <w:t>’s</w:t>
      </w:r>
      <w:proofErr w:type="spellEnd"/>
      <w:r w:rsidR="00454E35" w:rsidRPr="002B4EE0">
        <w:rPr>
          <w:rFonts w:cs="Arial"/>
          <w:sz w:val="24"/>
          <w:szCs w:val="24"/>
        </w:rPr>
        <w:t xml:space="preserve"> </w:t>
      </w:r>
      <w:r w:rsidR="003C214B">
        <w:rPr>
          <w:rFonts w:cs="Arial"/>
          <w:sz w:val="24"/>
          <w:szCs w:val="24"/>
        </w:rPr>
        <w:t>a</w:t>
      </w:r>
      <w:r w:rsidR="00454E35" w:rsidRPr="002B4EE0">
        <w:rPr>
          <w:rFonts w:cs="Arial"/>
          <w:sz w:val="24"/>
          <w:szCs w:val="24"/>
        </w:rPr>
        <w:t xml:space="preserve">ppeal </w:t>
      </w:r>
      <w:r w:rsidR="003C214B">
        <w:rPr>
          <w:rFonts w:cs="Arial"/>
          <w:sz w:val="24"/>
          <w:szCs w:val="24"/>
        </w:rPr>
        <w:t>p</w:t>
      </w:r>
      <w:r w:rsidR="00454E35" w:rsidRPr="002B4EE0">
        <w:rPr>
          <w:rFonts w:cs="Arial"/>
          <w:sz w:val="24"/>
          <w:szCs w:val="24"/>
        </w:rPr>
        <w:t>oint 2.3 and UCB</w:t>
      </w:r>
      <w:r w:rsidR="0029530A">
        <w:rPr>
          <w:rFonts w:cs="Arial"/>
          <w:sz w:val="24"/>
          <w:szCs w:val="24"/>
        </w:rPr>
        <w:t>’s</w:t>
      </w:r>
      <w:r w:rsidR="00454E35" w:rsidRPr="002B4EE0">
        <w:rPr>
          <w:rFonts w:cs="Arial"/>
          <w:sz w:val="24"/>
          <w:szCs w:val="24"/>
        </w:rPr>
        <w:t xml:space="preserve"> </w:t>
      </w:r>
      <w:r w:rsidR="003C214B">
        <w:rPr>
          <w:rFonts w:cs="Arial"/>
          <w:sz w:val="24"/>
          <w:szCs w:val="24"/>
        </w:rPr>
        <w:t>a</w:t>
      </w:r>
      <w:r w:rsidR="00454E35" w:rsidRPr="002B4EE0">
        <w:rPr>
          <w:rFonts w:cs="Arial"/>
          <w:sz w:val="24"/>
          <w:szCs w:val="24"/>
        </w:rPr>
        <w:t xml:space="preserve">ppeal </w:t>
      </w:r>
      <w:r w:rsidR="003C214B">
        <w:rPr>
          <w:rFonts w:cs="Arial"/>
          <w:sz w:val="24"/>
          <w:szCs w:val="24"/>
        </w:rPr>
        <w:t>p</w:t>
      </w:r>
      <w:r w:rsidR="00454E35" w:rsidRPr="002B4EE0">
        <w:rPr>
          <w:rFonts w:cs="Arial"/>
          <w:sz w:val="24"/>
          <w:szCs w:val="24"/>
        </w:rPr>
        <w:t>oint 2.5.</w:t>
      </w:r>
    </w:p>
    <w:p w14:paraId="59C30840" w14:textId="64187E0A" w:rsidR="000322C1" w:rsidRPr="002B4EE0" w:rsidRDefault="000322C1" w:rsidP="000322C1">
      <w:pPr>
        <w:pStyle w:val="Paragraph"/>
        <w:rPr>
          <w:rFonts w:cs="Arial"/>
          <w:sz w:val="24"/>
          <w:szCs w:val="24"/>
        </w:rPr>
      </w:pPr>
      <w:r w:rsidRPr="002B4EE0">
        <w:rPr>
          <w:rFonts w:cs="Arial"/>
          <w:sz w:val="24"/>
          <w:szCs w:val="24"/>
        </w:rPr>
        <w:t xml:space="preserve">The appraisal is remitted to the appraisal committee who must now take all reasonable steps to </w:t>
      </w:r>
      <w:r w:rsidR="00BB0511" w:rsidRPr="002B4EE0">
        <w:rPr>
          <w:rFonts w:cs="Arial"/>
          <w:sz w:val="24"/>
          <w:szCs w:val="24"/>
        </w:rPr>
        <w:t xml:space="preserve">share further details of the NHS England paper regarding treatment switching rates with </w:t>
      </w:r>
      <w:r w:rsidR="00CD353B">
        <w:rPr>
          <w:rFonts w:cs="Arial"/>
          <w:sz w:val="24"/>
          <w:szCs w:val="24"/>
        </w:rPr>
        <w:t>UCB</w:t>
      </w:r>
      <w:r w:rsidR="00BB0511" w:rsidRPr="002B4EE0">
        <w:rPr>
          <w:rFonts w:cs="Arial"/>
          <w:sz w:val="24"/>
          <w:szCs w:val="24"/>
        </w:rPr>
        <w:t xml:space="preserve"> as well as further details as to how these were integrated with the data in the Clarivate expert elicitation report to arrive at its preferred assumptions about treatment switching rates to be applied in the model; re-consider </w:t>
      </w:r>
      <w:r w:rsidR="00477EC4" w:rsidRPr="002B4EE0">
        <w:rPr>
          <w:rFonts w:cs="Arial"/>
          <w:sz w:val="24"/>
          <w:szCs w:val="24"/>
        </w:rPr>
        <w:t>approaches to the</w:t>
      </w:r>
      <w:r w:rsidR="00BB0511" w:rsidRPr="002B4EE0">
        <w:rPr>
          <w:rFonts w:cs="Arial"/>
          <w:sz w:val="24"/>
          <w:szCs w:val="24"/>
        </w:rPr>
        <w:t xml:space="preserve"> inclusion of MSE in the modelling </w:t>
      </w:r>
      <w:r w:rsidR="00477EC4" w:rsidRPr="002B4EE0">
        <w:rPr>
          <w:rFonts w:cs="Arial"/>
          <w:sz w:val="24"/>
          <w:szCs w:val="24"/>
        </w:rPr>
        <w:t xml:space="preserve">and </w:t>
      </w:r>
      <w:r w:rsidR="00BB0511" w:rsidRPr="002B4EE0">
        <w:rPr>
          <w:rFonts w:cs="Arial"/>
          <w:sz w:val="24"/>
          <w:szCs w:val="24"/>
        </w:rPr>
        <w:t xml:space="preserve">provide </w:t>
      </w:r>
      <w:r w:rsidR="00CD353B">
        <w:rPr>
          <w:rFonts w:cs="Arial"/>
          <w:sz w:val="24"/>
          <w:szCs w:val="24"/>
        </w:rPr>
        <w:t>UCB</w:t>
      </w:r>
      <w:r w:rsidR="00BB0511" w:rsidRPr="002B4EE0">
        <w:rPr>
          <w:rFonts w:cs="Arial"/>
          <w:sz w:val="24"/>
          <w:szCs w:val="24"/>
        </w:rPr>
        <w:t xml:space="preserve"> </w:t>
      </w:r>
      <w:r w:rsidR="00BB0511" w:rsidRPr="002B4EE0">
        <w:rPr>
          <w:rFonts w:cs="Arial"/>
          <w:sz w:val="24"/>
          <w:szCs w:val="24"/>
        </w:rPr>
        <w:lastRenderedPageBreak/>
        <w:t xml:space="preserve">with explicit recommendations as to how </w:t>
      </w:r>
      <w:r w:rsidR="00477EC4" w:rsidRPr="002B4EE0">
        <w:rPr>
          <w:rFonts w:cs="Arial"/>
          <w:sz w:val="24"/>
          <w:szCs w:val="24"/>
        </w:rPr>
        <w:t>it may do this in order to achieve more plausible outcomes; and reconsider the results of the modelling in light of the inclusion of MSE</w:t>
      </w:r>
      <w:r w:rsidR="00694CA4" w:rsidRPr="002B4EE0">
        <w:rPr>
          <w:rFonts w:cs="Arial"/>
          <w:sz w:val="24"/>
          <w:szCs w:val="24"/>
        </w:rPr>
        <w:t>.</w:t>
      </w:r>
      <w:r w:rsidR="00694CA4" w:rsidRPr="002B4EE0" w:rsidDel="00694CA4">
        <w:rPr>
          <w:rStyle w:val="CommentReference"/>
          <w:rFonts w:cs="Arial"/>
          <w:sz w:val="24"/>
          <w:szCs w:val="24"/>
        </w:rPr>
        <w:t xml:space="preserve"> </w:t>
      </w:r>
    </w:p>
    <w:p w14:paraId="56DD8D5E" w14:textId="77777777" w:rsidR="00CC79EF" w:rsidRPr="00A96D52" w:rsidRDefault="00CC79EF" w:rsidP="00B93E19">
      <w:pPr>
        <w:pStyle w:val="Paragraph"/>
        <w:rPr>
          <w:rFonts w:cs="Arial"/>
          <w:sz w:val="24"/>
          <w:szCs w:val="24"/>
        </w:rPr>
      </w:pPr>
      <w:r w:rsidRPr="00A96D52">
        <w:rPr>
          <w:rFonts w:cs="Arial"/>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p w14:paraId="04AF3D12" w14:textId="77777777" w:rsidR="008814FB" w:rsidRPr="00A96D52" w:rsidRDefault="008814FB" w:rsidP="008814FB">
      <w:pPr>
        <w:pStyle w:val="Title"/>
        <w:rPr>
          <w:rFonts w:cs="Arial"/>
          <w:sz w:val="24"/>
          <w:szCs w:val="24"/>
        </w:rPr>
      </w:pPr>
    </w:p>
    <w:sectPr w:rsidR="008814FB" w:rsidRPr="00A96D52" w:rsidSect="001E0A57">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B8F0" w14:textId="77777777" w:rsidR="004D6B1F" w:rsidRDefault="004D6B1F" w:rsidP="00446BEE">
      <w:r>
        <w:separator/>
      </w:r>
    </w:p>
  </w:endnote>
  <w:endnote w:type="continuationSeparator" w:id="0">
    <w:p w14:paraId="53348991" w14:textId="77777777" w:rsidR="004D6B1F" w:rsidRDefault="004D6B1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B38B" w14:textId="2E69BBC7" w:rsidR="00446BEE" w:rsidRDefault="00D02BCC" w:rsidP="00EA0FA2">
    <w:pPr>
      <w:pStyle w:val="Footer"/>
    </w:pPr>
    <w:r>
      <w:t xml:space="preserve">Appeal decision: </w:t>
    </w:r>
    <w:proofErr w:type="spellStart"/>
    <w:r w:rsidR="00F40673">
      <w:t>Zilucoplan</w:t>
    </w:r>
    <w:proofErr w:type="spellEnd"/>
    <w:r w:rsidR="00FD1A77">
      <w:t xml:space="preserve"> for treating generalised Myasthenia Gravis [ID400</w:t>
    </w:r>
    <w:r w:rsidR="00F40673">
      <w:t>8</w:t>
    </w:r>
    <w:r w:rsidR="00FD1A77">
      <w: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40673">
      <w:fldChar w:fldCharType="begin"/>
    </w:r>
    <w:r w:rsidR="00F40673">
      <w:instrText>NUMPAGES</w:instrText>
    </w:r>
    <w:r w:rsidR="00F40673">
      <w:fldChar w:fldCharType="separate"/>
    </w:r>
    <w:r w:rsidR="00FA2C5A">
      <w:rPr>
        <w:noProof/>
      </w:rPr>
      <w:t>1</w:t>
    </w:r>
    <w:r w:rsidR="00F406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CF3F" w14:textId="77777777" w:rsidR="004D6B1F" w:rsidRDefault="004D6B1F" w:rsidP="00446BEE">
      <w:r>
        <w:separator/>
      </w:r>
    </w:p>
  </w:footnote>
  <w:footnote w:type="continuationSeparator" w:id="0">
    <w:p w14:paraId="0C719EE7" w14:textId="77777777" w:rsidR="004D6B1F" w:rsidRDefault="004D6B1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029D6"/>
    <w:multiLevelType w:val="hybridMultilevel"/>
    <w:tmpl w:val="6C8C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507A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C35552"/>
    <w:multiLevelType w:val="hybridMultilevel"/>
    <w:tmpl w:val="04CC5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5426D2"/>
    <w:multiLevelType w:val="hybridMultilevel"/>
    <w:tmpl w:val="E3C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6EAD"/>
    <w:multiLevelType w:val="hybridMultilevel"/>
    <w:tmpl w:val="436867D0"/>
    <w:lvl w:ilvl="0" w:tplc="3252BCA2">
      <w:start w:val="1"/>
      <w:numFmt w:val="bullet"/>
      <w:lvlText w:val=""/>
      <w:lvlJc w:val="left"/>
      <w:pPr>
        <w:ind w:left="720" w:hanging="360"/>
      </w:pPr>
      <w:rPr>
        <w:rFonts w:ascii="Symbol" w:hAnsi="Symbol" w:hint="default"/>
      </w:rPr>
    </w:lvl>
    <w:lvl w:ilvl="1" w:tplc="18C0C954">
      <w:start w:val="1"/>
      <w:numFmt w:val="bullet"/>
      <w:lvlText w:val="o"/>
      <w:lvlJc w:val="left"/>
      <w:pPr>
        <w:ind w:left="1440" w:hanging="360"/>
      </w:pPr>
      <w:rPr>
        <w:rFonts w:ascii="Courier New" w:hAnsi="Courier New" w:cs="Times New Roman" w:hint="default"/>
      </w:rPr>
    </w:lvl>
    <w:lvl w:ilvl="2" w:tplc="2334FC5E">
      <w:start w:val="1"/>
      <w:numFmt w:val="bullet"/>
      <w:lvlText w:val=""/>
      <w:lvlJc w:val="left"/>
      <w:pPr>
        <w:ind w:left="2160" w:hanging="360"/>
      </w:pPr>
      <w:rPr>
        <w:rFonts w:ascii="Wingdings" w:hAnsi="Wingdings" w:hint="default"/>
      </w:rPr>
    </w:lvl>
    <w:lvl w:ilvl="3" w:tplc="4BC072BE">
      <w:start w:val="1"/>
      <w:numFmt w:val="bullet"/>
      <w:lvlText w:val=""/>
      <w:lvlJc w:val="left"/>
      <w:pPr>
        <w:ind w:left="2880" w:hanging="360"/>
      </w:pPr>
      <w:rPr>
        <w:rFonts w:ascii="Symbol" w:hAnsi="Symbol" w:hint="default"/>
      </w:rPr>
    </w:lvl>
    <w:lvl w:ilvl="4" w:tplc="652602F0">
      <w:start w:val="1"/>
      <w:numFmt w:val="bullet"/>
      <w:lvlText w:val="o"/>
      <w:lvlJc w:val="left"/>
      <w:pPr>
        <w:ind w:left="3600" w:hanging="360"/>
      </w:pPr>
      <w:rPr>
        <w:rFonts w:ascii="Courier New" w:hAnsi="Courier New" w:cs="Times New Roman" w:hint="default"/>
      </w:rPr>
    </w:lvl>
    <w:lvl w:ilvl="5" w:tplc="0936C3EA">
      <w:start w:val="1"/>
      <w:numFmt w:val="bullet"/>
      <w:lvlText w:val=""/>
      <w:lvlJc w:val="left"/>
      <w:pPr>
        <w:ind w:left="4320" w:hanging="360"/>
      </w:pPr>
      <w:rPr>
        <w:rFonts w:ascii="Wingdings" w:hAnsi="Wingdings" w:hint="default"/>
      </w:rPr>
    </w:lvl>
    <w:lvl w:ilvl="6" w:tplc="600AFBEC">
      <w:start w:val="1"/>
      <w:numFmt w:val="bullet"/>
      <w:lvlText w:val=""/>
      <w:lvlJc w:val="left"/>
      <w:pPr>
        <w:ind w:left="5040" w:hanging="360"/>
      </w:pPr>
      <w:rPr>
        <w:rFonts w:ascii="Symbol" w:hAnsi="Symbol" w:hint="default"/>
      </w:rPr>
    </w:lvl>
    <w:lvl w:ilvl="7" w:tplc="1ADE08A8">
      <w:start w:val="1"/>
      <w:numFmt w:val="bullet"/>
      <w:lvlText w:val="o"/>
      <w:lvlJc w:val="left"/>
      <w:pPr>
        <w:ind w:left="5760" w:hanging="360"/>
      </w:pPr>
      <w:rPr>
        <w:rFonts w:ascii="Courier New" w:hAnsi="Courier New" w:cs="Times New Roman" w:hint="default"/>
      </w:rPr>
    </w:lvl>
    <w:lvl w:ilvl="8" w:tplc="8BF017AC">
      <w:start w:val="1"/>
      <w:numFmt w:val="bullet"/>
      <w:lvlText w:val=""/>
      <w:lvlJc w:val="left"/>
      <w:pPr>
        <w:ind w:left="6480" w:hanging="360"/>
      </w:pPr>
      <w:rPr>
        <w:rFonts w:ascii="Wingdings" w:hAnsi="Wingdings" w:hint="default"/>
      </w:rPr>
    </w:lvl>
  </w:abstractNum>
  <w:abstractNum w:abstractNumId="18"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4F4CA314"/>
    <w:lvl w:ilvl="0" w:tplc="E24060C6">
      <w:start w:val="1"/>
      <w:numFmt w:val="bullet"/>
      <w:pStyle w:val="Bullets"/>
      <w:lvlText w:val=""/>
      <w:lvlJc w:val="left"/>
      <w:pPr>
        <w:ind w:left="1305" w:hanging="454"/>
      </w:pPr>
      <w:rPr>
        <w:rFonts w:ascii="Symbol" w:hAnsi="Symbol" w:hint="default"/>
        <w:color w:val="auto"/>
      </w:rPr>
    </w:lvl>
    <w:lvl w:ilvl="1" w:tplc="08090003">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603564764">
    <w:abstractNumId w:val="20"/>
  </w:num>
  <w:num w:numId="2" w16cid:durableId="1215968135">
    <w:abstractNumId w:val="21"/>
  </w:num>
  <w:num w:numId="3" w16cid:durableId="1123036315">
    <w:abstractNumId w:val="21"/>
    <w:lvlOverride w:ilvl="0">
      <w:startOverride w:val="1"/>
    </w:lvlOverride>
  </w:num>
  <w:num w:numId="4" w16cid:durableId="1962029493">
    <w:abstractNumId w:val="21"/>
    <w:lvlOverride w:ilvl="0">
      <w:startOverride w:val="1"/>
    </w:lvlOverride>
  </w:num>
  <w:num w:numId="5" w16cid:durableId="828594966">
    <w:abstractNumId w:val="21"/>
    <w:lvlOverride w:ilvl="0">
      <w:startOverride w:val="1"/>
    </w:lvlOverride>
  </w:num>
  <w:num w:numId="6" w16cid:durableId="2062551872">
    <w:abstractNumId w:val="21"/>
    <w:lvlOverride w:ilvl="0">
      <w:startOverride w:val="1"/>
    </w:lvlOverride>
  </w:num>
  <w:num w:numId="7" w16cid:durableId="1750080115">
    <w:abstractNumId w:val="21"/>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3"/>
  </w:num>
  <w:num w:numId="19" w16cid:durableId="1245459062">
    <w:abstractNumId w:val="13"/>
    <w:lvlOverride w:ilvl="0">
      <w:startOverride w:val="1"/>
    </w:lvlOverride>
  </w:num>
  <w:num w:numId="20" w16cid:durableId="1577279352">
    <w:abstractNumId w:val="14"/>
  </w:num>
  <w:num w:numId="21" w16cid:durableId="676737510">
    <w:abstractNumId w:val="18"/>
  </w:num>
  <w:num w:numId="22" w16cid:durableId="693307393">
    <w:abstractNumId w:val="16"/>
  </w:num>
  <w:num w:numId="23" w16cid:durableId="989477544">
    <w:abstractNumId w:val="19"/>
  </w:num>
  <w:num w:numId="24" w16cid:durableId="1195575870">
    <w:abstractNumId w:val="21"/>
  </w:num>
  <w:num w:numId="25" w16cid:durableId="197086159">
    <w:abstractNumId w:val="10"/>
  </w:num>
  <w:num w:numId="26" w16cid:durableId="280184804">
    <w:abstractNumId w:val="15"/>
  </w:num>
  <w:num w:numId="27" w16cid:durableId="921765174">
    <w:abstractNumId w:val="17"/>
  </w:num>
  <w:num w:numId="28" w16cid:durableId="1396930594">
    <w:abstractNumId w:val="20"/>
  </w:num>
  <w:num w:numId="29" w16cid:durableId="149176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653553">
    <w:abstractNumId w:val="12"/>
  </w:num>
  <w:num w:numId="31" w16cid:durableId="1055003399">
    <w:abstractNumId w:val="20"/>
  </w:num>
  <w:num w:numId="32" w16cid:durableId="763961876">
    <w:abstractNumId w:val="20"/>
  </w:num>
  <w:num w:numId="33" w16cid:durableId="652297820">
    <w:abstractNumId w:val="20"/>
  </w:num>
  <w:num w:numId="34" w16cid:durableId="1269773172">
    <w:abstractNumId w:val="20"/>
  </w:num>
  <w:num w:numId="35" w16cid:durableId="1103957764">
    <w:abstractNumId w:val="20"/>
  </w:num>
  <w:num w:numId="36" w16cid:durableId="371031788">
    <w:abstractNumId w:val="20"/>
  </w:num>
  <w:num w:numId="37" w16cid:durableId="1106461297">
    <w:abstractNumId w:val="20"/>
  </w:num>
  <w:num w:numId="38" w16cid:durableId="724178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090A"/>
    <w:rsid w:val="00000F96"/>
    <w:rsid w:val="00001CC1"/>
    <w:rsid w:val="000034E2"/>
    <w:rsid w:val="00003D87"/>
    <w:rsid w:val="000053F8"/>
    <w:rsid w:val="000079BF"/>
    <w:rsid w:val="000100AF"/>
    <w:rsid w:val="0001132C"/>
    <w:rsid w:val="00011617"/>
    <w:rsid w:val="00014485"/>
    <w:rsid w:val="00014AF2"/>
    <w:rsid w:val="0002023D"/>
    <w:rsid w:val="00020472"/>
    <w:rsid w:val="000220DD"/>
    <w:rsid w:val="0002293C"/>
    <w:rsid w:val="00024D0A"/>
    <w:rsid w:val="0002594A"/>
    <w:rsid w:val="0002706C"/>
    <w:rsid w:val="00030944"/>
    <w:rsid w:val="000322C1"/>
    <w:rsid w:val="00035D89"/>
    <w:rsid w:val="00036710"/>
    <w:rsid w:val="000406C8"/>
    <w:rsid w:val="00041107"/>
    <w:rsid w:val="00042383"/>
    <w:rsid w:val="00045B5B"/>
    <w:rsid w:val="00046C54"/>
    <w:rsid w:val="00050459"/>
    <w:rsid w:val="0005178D"/>
    <w:rsid w:val="00052B46"/>
    <w:rsid w:val="0005491F"/>
    <w:rsid w:val="000551DA"/>
    <w:rsid w:val="00055DA1"/>
    <w:rsid w:val="00056D91"/>
    <w:rsid w:val="00057BB7"/>
    <w:rsid w:val="00064F03"/>
    <w:rsid w:val="00065229"/>
    <w:rsid w:val="00066214"/>
    <w:rsid w:val="00070065"/>
    <w:rsid w:val="000731C8"/>
    <w:rsid w:val="0007344F"/>
    <w:rsid w:val="00074A63"/>
    <w:rsid w:val="00076427"/>
    <w:rsid w:val="00076E4A"/>
    <w:rsid w:val="00081BA7"/>
    <w:rsid w:val="00081CD4"/>
    <w:rsid w:val="00081D53"/>
    <w:rsid w:val="00082189"/>
    <w:rsid w:val="00082C0F"/>
    <w:rsid w:val="00084590"/>
    <w:rsid w:val="00087339"/>
    <w:rsid w:val="000916ED"/>
    <w:rsid w:val="00091FBC"/>
    <w:rsid w:val="00096D26"/>
    <w:rsid w:val="000A1006"/>
    <w:rsid w:val="000A32A1"/>
    <w:rsid w:val="000A4FEE"/>
    <w:rsid w:val="000A5720"/>
    <w:rsid w:val="000A67F0"/>
    <w:rsid w:val="000B4987"/>
    <w:rsid w:val="000B5939"/>
    <w:rsid w:val="000B5B30"/>
    <w:rsid w:val="000B66FC"/>
    <w:rsid w:val="000C45F5"/>
    <w:rsid w:val="000C6855"/>
    <w:rsid w:val="000C7954"/>
    <w:rsid w:val="000C79F5"/>
    <w:rsid w:val="000D31EB"/>
    <w:rsid w:val="000D4FE0"/>
    <w:rsid w:val="000D61E7"/>
    <w:rsid w:val="000E1537"/>
    <w:rsid w:val="000E7775"/>
    <w:rsid w:val="000F2967"/>
    <w:rsid w:val="000F69EF"/>
    <w:rsid w:val="000F7543"/>
    <w:rsid w:val="00100262"/>
    <w:rsid w:val="0010085D"/>
    <w:rsid w:val="0010305D"/>
    <w:rsid w:val="00105841"/>
    <w:rsid w:val="00112C56"/>
    <w:rsid w:val="001134E7"/>
    <w:rsid w:val="001159E1"/>
    <w:rsid w:val="001170CF"/>
    <w:rsid w:val="0012526E"/>
    <w:rsid w:val="00146B64"/>
    <w:rsid w:val="00147340"/>
    <w:rsid w:val="00151A13"/>
    <w:rsid w:val="00155496"/>
    <w:rsid w:val="001573CD"/>
    <w:rsid w:val="0016386C"/>
    <w:rsid w:val="001671A3"/>
    <w:rsid w:val="0017120B"/>
    <w:rsid w:val="0017169E"/>
    <w:rsid w:val="00177BAA"/>
    <w:rsid w:val="0018352D"/>
    <w:rsid w:val="0018430A"/>
    <w:rsid w:val="001868DC"/>
    <w:rsid w:val="00187D1F"/>
    <w:rsid w:val="0019232D"/>
    <w:rsid w:val="00192DDA"/>
    <w:rsid w:val="00193E1E"/>
    <w:rsid w:val="0019435E"/>
    <w:rsid w:val="001A02DD"/>
    <w:rsid w:val="001A19BC"/>
    <w:rsid w:val="001A3470"/>
    <w:rsid w:val="001A7073"/>
    <w:rsid w:val="001B0EE9"/>
    <w:rsid w:val="001B1329"/>
    <w:rsid w:val="001B17CE"/>
    <w:rsid w:val="001B1C47"/>
    <w:rsid w:val="001B27BA"/>
    <w:rsid w:val="001B319F"/>
    <w:rsid w:val="001B3341"/>
    <w:rsid w:val="001B65B3"/>
    <w:rsid w:val="001C02B3"/>
    <w:rsid w:val="001C13BE"/>
    <w:rsid w:val="001C3A71"/>
    <w:rsid w:val="001C49EE"/>
    <w:rsid w:val="001C6020"/>
    <w:rsid w:val="001C7A21"/>
    <w:rsid w:val="001D289A"/>
    <w:rsid w:val="001D34EE"/>
    <w:rsid w:val="001D3973"/>
    <w:rsid w:val="001D7496"/>
    <w:rsid w:val="001E0A57"/>
    <w:rsid w:val="001E4FBA"/>
    <w:rsid w:val="001E6394"/>
    <w:rsid w:val="001F1265"/>
    <w:rsid w:val="001F404E"/>
    <w:rsid w:val="001F56E9"/>
    <w:rsid w:val="001F6AC5"/>
    <w:rsid w:val="001F7BAF"/>
    <w:rsid w:val="00200967"/>
    <w:rsid w:val="00202F84"/>
    <w:rsid w:val="00206CB6"/>
    <w:rsid w:val="00207CA3"/>
    <w:rsid w:val="00211CA0"/>
    <w:rsid w:val="00213528"/>
    <w:rsid w:val="00213A77"/>
    <w:rsid w:val="00217B0B"/>
    <w:rsid w:val="002217C2"/>
    <w:rsid w:val="00222A9C"/>
    <w:rsid w:val="00225848"/>
    <w:rsid w:val="00226E38"/>
    <w:rsid w:val="00227525"/>
    <w:rsid w:val="00230C95"/>
    <w:rsid w:val="00231CED"/>
    <w:rsid w:val="00234145"/>
    <w:rsid w:val="00235BA1"/>
    <w:rsid w:val="00237B2B"/>
    <w:rsid w:val="00240821"/>
    <w:rsid w:val="002408EA"/>
    <w:rsid w:val="00242B45"/>
    <w:rsid w:val="00245B11"/>
    <w:rsid w:val="0025033D"/>
    <w:rsid w:val="002553E8"/>
    <w:rsid w:val="00255929"/>
    <w:rsid w:val="002569F4"/>
    <w:rsid w:val="0026365E"/>
    <w:rsid w:val="002645D4"/>
    <w:rsid w:val="00264CC3"/>
    <w:rsid w:val="00267077"/>
    <w:rsid w:val="00267CBD"/>
    <w:rsid w:val="00270191"/>
    <w:rsid w:val="00271470"/>
    <w:rsid w:val="00271962"/>
    <w:rsid w:val="00273D83"/>
    <w:rsid w:val="00275059"/>
    <w:rsid w:val="0027737F"/>
    <w:rsid w:val="00281346"/>
    <w:rsid w:val="002819D7"/>
    <w:rsid w:val="002835CD"/>
    <w:rsid w:val="0028558B"/>
    <w:rsid w:val="00285C89"/>
    <w:rsid w:val="0029530A"/>
    <w:rsid w:val="002A21BF"/>
    <w:rsid w:val="002A298F"/>
    <w:rsid w:val="002A2E38"/>
    <w:rsid w:val="002A3D8E"/>
    <w:rsid w:val="002A42F0"/>
    <w:rsid w:val="002A7613"/>
    <w:rsid w:val="002A7DB3"/>
    <w:rsid w:val="002B003E"/>
    <w:rsid w:val="002B0DAA"/>
    <w:rsid w:val="002B1418"/>
    <w:rsid w:val="002B3A94"/>
    <w:rsid w:val="002B3B95"/>
    <w:rsid w:val="002B4162"/>
    <w:rsid w:val="002B4EE0"/>
    <w:rsid w:val="002B5C75"/>
    <w:rsid w:val="002B723D"/>
    <w:rsid w:val="002C1A7E"/>
    <w:rsid w:val="002C1F1A"/>
    <w:rsid w:val="002C3E0B"/>
    <w:rsid w:val="002C50D4"/>
    <w:rsid w:val="002C592A"/>
    <w:rsid w:val="002C5B39"/>
    <w:rsid w:val="002D1A0A"/>
    <w:rsid w:val="002D3376"/>
    <w:rsid w:val="002D4430"/>
    <w:rsid w:val="002D4573"/>
    <w:rsid w:val="002D45DB"/>
    <w:rsid w:val="002D605B"/>
    <w:rsid w:val="002D656F"/>
    <w:rsid w:val="002D687C"/>
    <w:rsid w:val="002D761A"/>
    <w:rsid w:val="002E0303"/>
    <w:rsid w:val="002E19FD"/>
    <w:rsid w:val="002E4991"/>
    <w:rsid w:val="002E518C"/>
    <w:rsid w:val="002E7450"/>
    <w:rsid w:val="002F0EC8"/>
    <w:rsid w:val="002F4547"/>
    <w:rsid w:val="002F7231"/>
    <w:rsid w:val="002F75D6"/>
    <w:rsid w:val="003032DE"/>
    <w:rsid w:val="00303703"/>
    <w:rsid w:val="003050DC"/>
    <w:rsid w:val="003062D7"/>
    <w:rsid w:val="003064CA"/>
    <w:rsid w:val="00310343"/>
    <w:rsid w:val="00311A9F"/>
    <w:rsid w:val="00311ED0"/>
    <w:rsid w:val="0031286B"/>
    <w:rsid w:val="00315060"/>
    <w:rsid w:val="003156F4"/>
    <w:rsid w:val="00320103"/>
    <w:rsid w:val="00321346"/>
    <w:rsid w:val="00322637"/>
    <w:rsid w:val="00323293"/>
    <w:rsid w:val="00324743"/>
    <w:rsid w:val="00324DBD"/>
    <w:rsid w:val="00327EF7"/>
    <w:rsid w:val="003313F9"/>
    <w:rsid w:val="00331BAF"/>
    <w:rsid w:val="00332206"/>
    <w:rsid w:val="00336336"/>
    <w:rsid w:val="00336CF0"/>
    <w:rsid w:val="00342354"/>
    <w:rsid w:val="003427FA"/>
    <w:rsid w:val="0034327F"/>
    <w:rsid w:val="00343309"/>
    <w:rsid w:val="00343815"/>
    <w:rsid w:val="003512BD"/>
    <w:rsid w:val="00351AFC"/>
    <w:rsid w:val="00352B63"/>
    <w:rsid w:val="00353EF9"/>
    <w:rsid w:val="00356560"/>
    <w:rsid w:val="00357724"/>
    <w:rsid w:val="00360774"/>
    <w:rsid w:val="003648C5"/>
    <w:rsid w:val="003649E7"/>
    <w:rsid w:val="0036717E"/>
    <w:rsid w:val="00367BE4"/>
    <w:rsid w:val="00372274"/>
    <w:rsid w:val="003722FA"/>
    <w:rsid w:val="00373C67"/>
    <w:rsid w:val="00381D0E"/>
    <w:rsid w:val="003831F1"/>
    <w:rsid w:val="0038368F"/>
    <w:rsid w:val="00383CCA"/>
    <w:rsid w:val="003841D9"/>
    <w:rsid w:val="003848DC"/>
    <w:rsid w:val="00390A50"/>
    <w:rsid w:val="00394BF0"/>
    <w:rsid w:val="003961FA"/>
    <w:rsid w:val="00397AA9"/>
    <w:rsid w:val="003A1811"/>
    <w:rsid w:val="003A2096"/>
    <w:rsid w:val="003A273D"/>
    <w:rsid w:val="003A413E"/>
    <w:rsid w:val="003A4206"/>
    <w:rsid w:val="003A6D29"/>
    <w:rsid w:val="003A7F7B"/>
    <w:rsid w:val="003B37DF"/>
    <w:rsid w:val="003B62E7"/>
    <w:rsid w:val="003B671D"/>
    <w:rsid w:val="003B7183"/>
    <w:rsid w:val="003B7EED"/>
    <w:rsid w:val="003C0917"/>
    <w:rsid w:val="003C09A8"/>
    <w:rsid w:val="003C1627"/>
    <w:rsid w:val="003C214B"/>
    <w:rsid w:val="003C2F92"/>
    <w:rsid w:val="003C3522"/>
    <w:rsid w:val="003C3886"/>
    <w:rsid w:val="003C3E5F"/>
    <w:rsid w:val="003C4993"/>
    <w:rsid w:val="003C5055"/>
    <w:rsid w:val="003C6B68"/>
    <w:rsid w:val="003C7AAF"/>
    <w:rsid w:val="003D05D7"/>
    <w:rsid w:val="003D4295"/>
    <w:rsid w:val="003D4378"/>
    <w:rsid w:val="003E00F1"/>
    <w:rsid w:val="003E17DA"/>
    <w:rsid w:val="003E31E1"/>
    <w:rsid w:val="003E324B"/>
    <w:rsid w:val="003E4698"/>
    <w:rsid w:val="003F2614"/>
    <w:rsid w:val="003F4880"/>
    <w:rsid w:val="003F5404"/>
    <w:rsid w:val="003F7323"/>
    <w:rsid w:val="003F761F"/>
    <w:rsid w:val="004018D1"/>
    <w:rsid w:val="004023C8"/>
    <w:rsid w:val="00402D95"/>
    <w:rsid w:val="0040348A"/>
    <w:rsid w:val="00403CFB"/>
    <w:rsid w:val="00406080"/>
    <w:rsid w:val="00406228"/>
    <w:rsid w:val="004063F1"/>
    <w:rsid w:val="004075B6"/>
    <w:rsid w:val="004105A1"/>
    <w:rsid w:val="0041185E"/>
    <w:rsid w:val="00412B82"/>
    <w:rsid w:val="0041348C"/>
    <w:rsid w:val="0041522F"/>
    <w:rsid w:val="00420952"/>
    <w:rsid w:val="00423F6B"/>
    <w:rsid w:val="00431118"/>
    <w:rsid w:val="004313BF"/>
    <w:rsid w:val="00432772"/>
    <w:rsid w:val="00433147"/>
    <w:rsid w:val="004354DB"/>
    <w:rsid w:val="004360EF"/>
    <w:rsid w:val="004413FA"/>
    <w:rsid w:val="004418FD"/>
    <w:rsid w:val="00441DB5"/>
    <w:rsid w:val="004429A0"/>
    <w:rsid w:val="004438FD"/>
    <w:rsid w:val="00443C76"/>
    <w:rsid w:val="004448B5"/>
    <w:rsid w:val="00444CB8"/>
    <w:rsid w:val="0044503E"/>
    <w:rsid w:val="00446BEE"/>
    <w:rsid w:val="00450454"/>
    <w:rsid w:val="004527E0"/>
    <w:rsid w:val="00452BE5"/>
    <w:rsid w:val="0045305D"/>
    <w:rsid w:val="004538EE"/>
    <w:rsid w:val="00454464"/>
    <w:rsid w:val="004544F0"/>
    <w:rsid w:val="00454E35"/>
    <w:rsid w:val="00454FEE"/>
    <w:rsid w:val="00457ADC"/>
    <w:rsid w:val="00460782"/>
    <w:rsid w:val="00461B7C"/>
    <w:rsid w:val="00463E58"/>
    <w:rsid w:val="00464CDA"/>
    <w:rsid w:val="00470EE7"/>
    <w:rsid w:val="004723D7"/>
    <w:rsid w:val="00474AC4"/>
    <w:rsid w:val="00475366"/>
    <w:rsid w:val="00477EC4"/>
    <w:rsid w:val="00483A0C"/>
    <w:rsid w:val="0048424D"/>
    <w:rsid w:val="004854CF"/>
    <w:rsid w:val="00485F91"/>
    <w:rsid w:val="00486448"/>
    <w:rsid w:val="00492970"/>
    <w:rsid w:val="00494FF7"/>
    <w:rsid w:val="0049578D"/>
    <w:rsid w:val="004962D9"/>
    <w:rsid w:val="00496D80"/>
    <w:rsid w:val="004A04B6"/>
    <w:rsid w:val="004A1594"/>
    <w:rsid w:val="004A3C31"/>
    <w:rsid w:val="004B176E"/>
    <w:rsid w:val="004B3954"/>
    <w:rsid w:val="004B524B"/>
    <w:rsid w:val="004B5318"/>
    <w:rsid w:val="004B7016"/>
    <w:rsid w:val="004C0FF5"/>
    <w:rsid w:val="004C3A10"/>
    <w:rsid w:val="004C5A4F"/>
    <w:rsid w:val="004C6804"/>
    <w:rsid w:val="004D1E2D"/>
    <w:rsid w:val="004D3D91"/>
    <w:rsid w:val="004D6B1F"/>
    <w:rsid w:val="004D6FDA"/>
    <w:rsid w:val="004D7F19"/>
    <w:rsid w:val="004E037C"/>
    <w:rsid w:val="004E1836"/>
    <w:rsid w:val="004E234E"/>
    <w:rsid w:val="004E28C7"/>
    <w:rsid w:val="004E28E2"/>
    <w:rsid w:val="004E2967"/>
    <w:rsid w:val="004E2EAB"/>
    <w:rsid w:val="004E7C6A"/>
    <w:rsid w:val="004F1EA5"/>
    <w:rsid w:val="004F23EA"/>
    <w:rsid w:val="004F3B6A"/>
    <w:rsid w:val="004F5ED3"/>
    <w:rsid w:val="004F75EB"/>
    <w:rsid w:val="005000A1"/>
    <w:rsid w:val="00500D91"/>
    <w:rsid w:val="0050147B"/>
    <w:rsid w:val="005025A1"/>
    <w:rsid w:val="00502A40"/>
    <w:rsid w:val="00503E30"/>
    <w:rsid w:val="00504EDA"/>
    <w:rsid w:val="005119D8"/>
    <w:rsid w:val="00513F55"/>
    <w:rsid w:val="00514A3F"/>
    <w:rsid w:val="00514E76"/>
    <w:rsid w:val="0051501B"/>
    <w:rsid w:val="00515B15"/>
    <w:rsid w:val="00520BA3"/>
    <w:rsid w:val="005269C5"/>
    <w:rsid w:val="00527F27"/>
    <w:rsid w:val="00531B63"/>
    <w:rsid w:val="0053275D"/>
    <w:rsid w:val="00532F28"/>
    <w:rsid w:val="00532F29"/>
    <w:rsid w:val="005330BE"/>
    <w:rsid w:val="00534955"/>
    <w:rsid w:val="005411DA"/>
    <w:rsid w:val="0054179A"/>
    <w:rsid w:val="00542720"/>
    <w:rsid w:val="00544068"/>
    <w:rsid w:val="0054494E"/>
    <w:rsid w:val="00544F21"/>
    <w:rsid w:val="00545374"/>
    <w:rsid w:val="00546D55"/>
    <w:rsid w:val="005501A2"/>
    <w:rsid w:val="00552FD5"/>
    <w:rsid w:val="0055527A"/>
    <w:rsid w:val="00555CF9"/>
    <w:rsid w:val="00555D13"/>
    <w:rsid w:val="00556BBB"/>
    <w:rsid w:val="00557228"/>
    <w:rsid w:val="005621AD"/>
    <w:rsid w:val="0056348F"/>
    <w:rsid w:val="00564D59"/>
    <w:rsid w:val="0056623D"/>
    <w:rsid w:val="005663A1"/>
    <w:rsid w:val="0056721F"/>
    <w:rsid w:val="00573FBC"/>
    <w:rsid w:val="00575AD9"/>
    <w:rsid w:val="0058098E"/>
    <w:rsid w:val="00582450"/>
    <w:rsid w:val="005851EC"/>
    <w:rsid w:val="0058586C"/>
    <w:rsid w:val="00586891"/>
    <w:rsid w:val="00587170"/>
    <w:rsid w:val="005A10C5"/>
    <w:rsid w:val="005A23F8"/>
    <w:rsid w:val="005A372F"/>
    <w:rsid w:val="005A3E1B"/>
    <w:rsid w:val="005A447D"/>
    <w:rsid w:val="005A4806"/>
    <w:rsid w:val="005A5D49"/>
    <w:rsid w:val="005A751C"/>
    <w:rsid w:val="005A7AE8"/>
    <w:rsid w:val="005B09CA"/>
    <w:rsid w:val="005B0EE8"/>
    <w:rsid w:val="005B6061"/>
    <w:rsid w:val="005B71B3"/>
    <w:rsid w:val="005C116B"/>
    <w:rsid w:val="005C1B2F"/>
    <w:rsid w:val="005C4122"/>
    <w:rsid w:val="005C47C3"/>
    <w:rsid w:val="005C4DAF"/>
    <w:rsid w:val="005C54AE"/>
    <w:rsid w:val="005C557D"/>
    <w:rsid w:val="005C6753"/>
    <w:rsid w:val="005C71E8"/>
    <w:rsid w:val="005D14B5"/>
    <w:rsid w:val="005D44A6"/>
    <w:rsid w:val="005D5CF8"/>
    <w:rsid w:val="005E6107"/>
    <w:rsid w:val="005E6C3D"/>
    <w:rsid w:val="005E6EFC"/>
    <w:rsid w:val="005F1D37"/>
    <w:rsid w:val="005F5A6A"/>
    <w:rsid w:val="005F6DC1"/>
    <w:rsid w:val="006006A3"/>
    <w:rsid w:val="00601F0E"/>
    <w:rsid w:val="0060323C"/>
    <w:rsid w:val="00604C52"/>
    <w:rsid w:val="006063A9"/>
    <w:rsid w:val="00606E76"/>
    <w:rsid w:val="0061148D"/>
    <w:rsid w:val="00615359"/>
    <w:rsid w:val="0061659E"/>
    <w:rsid w:val="00622DE4"/>
    <w:rsid w:val="00623AA9"/>
    <w:rsid w:val="00624A07"/>
    <w:rsid w:val="00624BB8"/>
    <w:rsid w:val="00624D82"/>
    <w:rsid w:val="006250C5"/>
    <w:rsid w:val="00631D73"/>
    <w:rsid w:val="00632E47"/>
    <w:rsid w:val="00632F29"/>
    <w:rsid w:val="006409AB"/>
    <w:rsid w:val="00643BA4"/>
    <w:rsid w:val="00647C9D"/>
    <w:rsid w:val="00650A50"/>
    <w:rsid w:val="0066047E"/>
    <w:rsid w:val="00660834"/>
    <w:rsid w:val="0066086E"/>
    <w:rsid w:val="006617A4"/>
    <w:rsid w:val="00661E66"/>
    <w:rsid w:val="00663D76"/>
    <w:rsid w:val="00664850"/>
    <w:rsid w:val="00667397"/>
    <w:rsid w:val="0066785C"/>
    <w:rsid w:val="00674A95"/>
    <w:rsid w:val="006763B7"/>
    <w:rsid w:val="006817D8"/>
    <w:rsid w:val="0068223E"/>
    <w:rsid w:val="00684F77"/>
    <w:rsid w:val="00685383"/>
    <w:rsid w:val="006921E1"/>
    <w:rsid w:val="006922C0"/>
    <w:rsid w:val="006946A5"/>
    <w:rsid w:val="00694CA4"/>
    <w:rsid w:val="00695822"/>
    <w:rsid w:val="00697DE0"/>
    <w:rsid w:val="006A3064"/>
    <w:rsid w:val="006A5881"/>
    <w:rsid w:val="006A6278"/>
    <w:rsid w:val="006A773E"/>
    <w:rsid w:val="006B0296"/>
    <w:rsid w:val="006B03AE"/>
    <w:rsid w:val="006B04BC"/>
    <w:rsid w:val="006B0523"/>
    <w:rsid w:val="006B0B5E"/>
    <w:rsid w:val="006B16A4"/>
    <w:rsid w:val="006B1BD4"/>
    <w:rsid w:val="006B3441"/>
    <w:rsid w:val="006C2CC7"/>
    <w:rsid w:val="006C3127"/>
    <w:rsid w:val="006D1419"/>
    <w:rsid w:val="006D1517"/>
    <w:rsid w:val="006D61C8"/>
    <w:rsid w:val="006E01C0"/>
    <w:rsid w:val="006E1402"/>
    <w:rsid w:val="006E3224"/>
    <w:rsid w:val="006E3E09"/>
    <w:rsid w:val="006E4613"/>
    <w:rsid w:val="006E5321"/>
    <w:rsid w:val="006F0054"/>
    <w:rsid w:val="006F1C0F"/>
    <w:rsid w:val="006F292F"/>
    <w:rsid w:val="006F31FF"/>
    <w:rsid w:val="006F3E71"/>
    <w:rsid w:val="006F4B48"/>
    <w:rsid w:val="00700AF4"/>
    <w:rsid w:val="00700EC2"/>
    <w:rsid w:val="0070370C"/>
    <w:rsid w:val="00704129"/>
    <w:rsid w:val="00707CA7"/>
    <w:rsid w:val="007104DA"/>
    <w:rsid w:val="00711B54"/>
    <w:rsid w:val="0071273D"/>
    <w:rsid w:val="007144ED"/>
    <w:rsid w:val="00720058"/>
    <w:rsid w:val="007217E1"/>
    <w:rsid w:val="00723DDB"/>
    <w:rsid w:val="00727B8E"/>
    <w:rsid w:val="00730367"/>
    <w:rsid w:val="007306C9"/>
    <w:rsid w:val="007308C5"/>
    <w:rsid w:val="00732CC2"/>
    <w:rsid w:val="007347C4"/>
    <w:rsid w:val="00735D4F"/>
    <w:rsid w:val="00736348"/>
    <w:rsid w:val="007420B6"/>
    <w:rsid w:val="0074228C"/>
    <w:rsid w:val="00743612"/>
    <w:rsid w:val="0074561B"/>
    <w:rsid w:val="007506AF"/>
    <w:rsid w:val="0075086F"/>
    <w:rsid w:val="007508B4"/>
    <w:rsid w:val="0075178C"/>
    <w:rsid w:val="00752605"/>
    <w:rsid w:val="00753550"/>
    <w:rsid w:val="00754604"/>
    <w:rsid w:val="00756935"/>
    <w:rsid w:val="007601F6"/>
    <w:rsid w:val="007615EC"/>
    <w:rsid w:val="00762482"/>
    <w:rsid w:val="00763890"/>
    <w:rsid w:val="007642A1"/>
    <w:rsid w:val="007668CE"/>
    <w:rsid w:val="00770EFB"/>
    <w:rsid w:val="007713B0"/>
    <w:rsid w:val="00772530"/>
    <w:rsid w:val="00772C2A"/>
    <w:rsid w:val="00773877"/>
    <w:rsid w:val="00773BEB"/>
    <w:rsid w:val="00773CD8"/>
    <w:rsid w:val="0077527A"/>
    <w:rsid w:val="007753EA"/>
    <w:rsid w:val="00777BBC"/>
    <w:rsid w:val="00780C51"/>
    <w:rsid w:val="0078121D"/>
    <w:rsid w:val="00782241"/>
    <w:rsid w:val="00782AD9"/>
    <w:rsid w:val="00783F50"/>
    <w:rsid w:val="0078400F"/>
    <w:rsid w:val="0078410A"/>
    <w:rsid w:val="007862CC"/>
    <w:rsid w:val="00787354"/>
    <w:rsid w:val="007909FD"/>
    <w:rsid w:val="00793FF4"/>
    <w:rsid w:val="007940B3"/>
    <w:rsid w:val="0079437B"/>
    <w:rsid w:val="00796AF5"/>
    <w:rsid w:val="007A09F5"/>
    <w:rsid w:val="007A1AA2"/>
    <w:rsid w:val="007A3E07"/>
    <w:rsid w:val="007A45E5"/>
    <w:rsid w:val="007A5083"/>
    <w:rsid w:val="007A718A"/>
    <w:rsid w:val="007A7732"/>
    <w:rsid w:val="007B42D3"/>
    <w:rsid w:val="007B4C7C"/>
    <w:rsid w:val="007B78F5"/>
    <w:rsid w:val="007C08CE"/>
    <w:rsid w:val="007C1818"/>
    <w:rsid w:val="007C20A6"/>
    <w:rsid w:val="007C2532"/>
    <w:rsid w:val="007C46C8"/>
    <w:rsid w:val="007C5A2D"/>
    <w:rsid w:val="007D3BB2"/>
    <w:rsid w:val="007D5053"/>
    <w:rsid w:val="007D7935"/>
    <w:rsid w:val="007E1B60"/>
    <w:rsid w:val="007E634E"/>
    <w:rsid w:val="007F4172"/>
    <w:rsid w:val="007F5C75"/>
    <w:rsid w:val="007F5F00"/>
    <w:rsid w:val="00803384"/>
    <w:rsid w:val="00805C3D"/>
    <w:rsid w:val="00815034"/>
    <w:rsid w:val="00815A54"/>
    <w:rsid w:val="00823E21"/>
    <w:rsid w:val="00823E22"/>
    <w:rsid w:val="00824C33"/>
    <w:rsid w:val="00824E47"/>
    <w:rsid w:val="00831895"/>
    <w:rsid w:val="00833B7E"/>
    <w:rsid w:val="00836EB0"/>
    <w:rsid w:val="00840288"/>
    <w:rsid w:val="00841AE2"/>
    <w:rsid w:val="0084341F"/>
    <w:rsid w:val="0084360D"/>
    <w:rsid w:val="00845318"/>
    <w:rsid w:val="00845BA3"/>
    <w:rsid w:val="00847821"/>
    <w:rsid w:val="0085023A"/>
    <w:rsid w:val="00850432"/>
    <w:rsid w:val="008523B8"/>
    <w:rsid w:val="008568B1"/>
    <w:rsid w:val="00861B92"/>
    <w:rsid w:val="00862491"/>
    <w:rsid w:val="00863521"/>
    <w:rsid w:val="008653CF"/>
    <w:rsid w:val="00865511"/>
    <w:rsid w:val="008657B9"/>
    <w:rsid w:val="008659BA"/>
    <w:rsid w:val="00871770"/>
    <w:rsid w:val="008814FB"/>
    <w:rsid w:val="00881656"/>
    <w:rsid w:val="0088441D"/>
    <w:rsid w:val="00884BDF"/>
    <w:rsid w:val="008873A4"/>
    <w:rsid w:val="00887B67"/>
    <w:rsid w:val="00891661"/>
    <w:rsid w:val="008921B1"/>
    <w:rsid w:val="00893156"/>
    <w:rsid w:val="00894289"/>
    <w:rsid w:val="0089444C"/>
    <w:rsid w:val="008A15FF"/>
    <w:rsid w:val="008A329C"/>
    <w:rsid w:val="008A4056"/>
    <w:rsid w:val="008A56BB"/>
    <w:rsid w:val="008A6778"/>
    <w:rsid w:val="008A67FB"/>
    <w:rsid w:val="008B2287"/>
    <w:rsid w:val="008B25DD"/>
    <w:rsid w:val="008B28C8"/>
    <w:rsid w:val="008C28A4"/>
    <w:rsid w:val="008C43E2"/>
    <w:rsid w:val="008C64C9"/>
    <w:rsid w:val="008C7318"/>
    <w:rsid w:val="008D111A"/>
    <w:rsid w:val="008D13FA"/>
    <w:rsid w:val="008D17A5"/>
    <w:rsid w:val="008D2D50"/>
    <w:rsid w:val="008D323E"/>
    <w:rsid w:val="008D4FF5"/>
    <w:rsid w:val="008D5A41"/>
    <w:rsid w:val="008D758D"/>
    <w:rsid w:val="008E36EF"/>
    <w:rsid w:val="008F0777"/>
    <w:rsid w:val="008F27B4"/>
    <w:rsid w:val="008F5E30"/>
    <w:rsid w:val="008F60C5"/>
    <w:rsid w:val="008F7663"/>
    <w:rsid w:val="008F7DEA"/>
    <w:rsid w:val="00905764"/>
    <w:rsid w:val="00907C3A"/>
    <w:rsid w:val="00912C3B"/>
    <w:rsid w:val="0091394D"/>
    <w:rsid w:val="00914326"/>
    <w:rsid w:val="009146C2"/>
    <w:rsid w:val="00914D7F"/>
    <w:rsid w:val="00915CCB"/>
    <w:rsid w:val="00921CBF"/>
    <w:rsid w:val="00923649"/>
    <w:rsid w:val="009304E9"/>
    <w:rsid w:val="009320A6"/>
    <w:rsid w:val="00932AF6"/>
    <w:rsid w:val="009351DD"/>
    <w:rsid w:val="009366E1"/>
    <w:rsid w:val="009368B9"/>
    <w:rsid w:val="0094307E"/>
    <w:rsid w:val="00943733"/>
    <w:rsid w:val="009440E4"/>
    <w:rsid w:val="009505AB"/>
    <w:rsid w:val="00951577"/>
    <w:rsid w:val="009523AF"/>
    <w:rsid w:val="0095370E"/>
    <w:rsid w:val="00953DED"/>
    <w:rsid w:val="00954525"/>
    <w:rsid w:val="0095629B"/>
    <w:rsid w:val="009562AC"/>
    <w:rsid w:val="009605DE"/>
    <w:rsid w:val="009624A5"/>
    <w:rsid w:val="00963A09"/>
    <w:rsid w:val="00964B51"/>
    <w:rsid w:val="00966820"/>
    <w:rsid w:val="009705F1"/>
    <w:rsid w:val="0097490D"/>
    <w:rsid w:val="00976D3C"/>
    <w:rsid w:val="00977256"/>
    <w:rsid w:val="00980A06"/>
    <w:rsid w:val="009825CF"/>
    <w:rsid w:val="009840E1"/>
    <w:rsid w:val="00986B2F"/>
    <w:rsid w:val="00986E5B"/>
    <w:rsid w:val="00990952"/>
    <w:rsid w:val="0099270D"/>
    <w:rsid w:val="0099317C"/>
    <w:rsid w:val="0099557D"/>
    <w:rsid w:val="009A0FE4"/>
    <w:rsid w:val="009A4314"/>
    <w:rsid w:val="009A6F8F"/>
    <w:rsid w:val="009A73B8"/>
    <w:rsid w:val="009B560A"/>
    <w:rsid w:val="009C066E"/>
    <w:rsid w:val="009C0C3D"/>
    <w:rsid w:val="009C13A4"/>
    <w:rsid w:val="009C31F4"/>
    <w:rsid w:val="009C393E"/>
    <w:rsid w:val="009C508B"/>
    <w:rsid w:val="009D2914"/>
    <w:rsid w:val="009D3C4A"/>
    <w:rsid w:val="009D3EDE"/>
    <w:rsid w:val="009D5532"/>
    <w:rsid w:val="009D5F5D"/>
    <w:rsid w:val="009E2AEC"/>
    <w:rsid w:val="009E2FFB"/>
    <w:rsid w:val="009E300C"/>
    <w:rsid w:val="009E341F"/>
    <w:rsid w:val="009E47F6"/>
    <w:rsid w:val="009E4ECB"/>
    <w:rsid w:val="009E55BA"/>
    <w:rsid w:val="009E680B"/>
    <w:rsid w:val="009E6E2C"/>
    <w:rsid w:val="009F0D70"/>
    <w:rsid w:val="009F30BE"/>
    <w:rsid w:val="009F4C5C"/>
    <w:rsid w:val="009F6796"/>
    <w:rsid w:val="009F74B2"/>
    <w:rsid w:val="00A02917"/>
    <w:rsid w:val="00A02D24"/>
    <w:rsid w:val="00A032B0"/>
    <w:rsid w:val="00A053D5"/>
    <w:rsid w:val="00A075AA"/>
    <w:rsid w:val="00A10F4D"/>
    <w:rsid w:val="00A15038"/>
    <w:rsid w:val="00A15A1F"/>
    <w:rsid w:val="00A164DD"/>
    <w:rsid w:val="00A20202"/>
    <w:rsid w:val="00A23C2D"/>
    <w:rsid w:val="00A255B1"/>
    <w:rsid w:val="00A27A8E"/>
    <w:rsid w:val="00A31F05"/>
    <w:rsid w:val="00A3325A"/>
    <w:rsid w:val="00A34C99"/>
    <w:rsid w:val="00A34F69"/>
    <w:rsid w:val="00A35DC3"/>
    <w:rsid w:val="00A37B6D"/>
    <w:rsid w:val="00A40B9A"/>
    <w:rsid w:val="00A41F72"/>
    <w:rsid w:val="00A43013"/>
    <w:rsid w:val="00A51C6B"/>
    <w:rsid w:val="00A52DC9"/>
    <w:rsid w:val="00A53924"/>
    <w:rsid w:val="00A557BA"/>
    <w:rsid w:val="00A571DA"/>
    <w:rsid w:val="00A5739D"/>
    <w:rsid w:val="00A57CF1"/>
    <w:rsid w:val="00A57D52"/>
    <w:rsid w:val="00A609C2"/>
    <w:rsid w:val="00A61116"/>
    <w:rsid w:val="00A616B9"/>
    <w:rsid w:val="00A61C0A"/>
    <w:rsid w:val="00A63249"/>
    <w:rsid w:val="00A662CE"/>
    <w:rsid w:val="00A6799D"/>
    <w:rsid w:val="00A708D8"/>
    <w:rsid w:val="00A71B4E"/>
    <w:rsid w:val="00A73BD3"/>
    <w:rsid w:val="00A763E0"/>
    <w:rsid w:val="00A77FC2"/>
    <w:rsid w:val="00A829C3"/>
    <w:rsid w:val="00A90A1B"/>
    <w:rsid w:val="00A92708"/>
    <w:rsid w:val="00A939C0"/>
    <w:rsid w:val="00A94EB3"/>
    <w:rsid w:val="00A959F6"/>
    <w:rsid w:val="00A96C49"/>
    <w:rsid w:val="00A96D52"/>
    <w:rsid w:val="00A97A59"/>
    <w:rsid w:val="00AA12BD"/>
    <w:rsid w:val="00AA41D5"/>
    <w:rsid w:val="00AA5110"/>
    <w:rsid w:val="00AA6981"/>
    <w:rsid w:val="00AB2BDC"/>
    <w:rsid w:val="00AB42E1"/>
    <w:rsid w:val="00AB4E9D"/>
    <w:rsid w:val="00AB5780"/>
    <w:rsid w:val="00AB5846"/>
    <w:rsid w:val="00AB5C6E"/>
    <w:rsid w:val="00AB6CB6"/>
    <w:rsid w:val="00AB7ADB"/>
    <w:rsid w:val="00AC0E88"/>
    <w:rsid w:val="00AC1AF9"/>
    <w:rsid w:val="00AC4E08"/>
    <w:rsid w:val="00AC76E5"/>
    <w:rsid w:val="00AD08DA"/>
    <w:rsid w:val="00AD5F42"/>
    <w:rsid w:val="00AE2495"/>
    <w:rsid w:val="00AE2A9B"/>
    <w:rsid w:val="00AE4660"/>
    <w:rsid w:val="00AE57DD"/>
    <w:rsid w:val="00AE5D3F"/>
    <w:rsid w:val="00AF056B"/>
    <w:rsid w:val="00AF108A"/>
    <w:rsid w:val="00AF2C79"/>
    <w:rsid w:val="00AF3CBD"/>
    <w:rsid w:val="00AF4154"/>
    <w:rsid w:val="00AF599C"/>
    <w:rsid w:val="00B00A27"/>
    <w:rsid w:val="00B01C80"/>
    <w:rsid w:val="00B02E55"/>
    <w:rsid w:val="00B036C1"/>
    <w:rsid w:val="00B07046"/>
    <w:rsid w:val="00B11544"/>
    <w:rsid w:val="00B13F70"/>
    <w:rsid w:val="00B15E15"/>
    <w:rsid w:val="00B17BDA"/>
    <w:rsid w:val="00B20635"/>
    <w:rsid w:val="00B212A6"/>
    <w:rsid w:val="00B25F45"/>
    <w:rsid w:val="00B26C05"/>
    <w:rsid w:val="00B274DA"/>
    <w:rsid w:val="00B30CD7"/>
    <w:rsid w:val="00B330D1"/>
    <w:rsid w:val="00B34752"/>
    <w:rsid w:val="00B3519A"/>
    <w:rsid w:val="00B35BBE"/>
    <w:rsid w:val="00B37E80"/>
    <w:rsid w:val="00B41146"/>
    <w:rsid w:val="00B416C0"/>
    <w:rsid w:val="00B46BAE"/>
    <w:rsid w:val="00B50781"/>
    <w:rsid w:val="00B52A12"/>
    <w:rsid w:val="00B5431F"/>
    <w:rsid w:val="00B56459"/>
    <w:rsid w:val="00B572F4"/>
    <w:rsid w:val="00B60A7C"/>
    <w:rsid w:val="00B66197"/>
    <w:rsid w:val="00B66676"/>
    <w:rsid w:val="00B66DC5"/>
    <w:rsid w:val="00B716E3"/>
    <w:rsid w:val="00B7173B"/>
    <w:rsid w:val="00B72E50"/>
    <w:rsid w:val="00B73B2E"/>
    <w:rsid w:val="00B73BC6"/>
    <w:rsid w:val="00B772DB"/>
    <w:rsid w:val="00B81B40"/>
    <w:rsid w:val="00B823A8"/>
    <w:rsid w:val="00B82A97"/>
    <w:rsid w:val="00B90D99"/>
    <w:rsid w:val="00B913AF"/>
    <w:rsid w:val="00B93E19"/>
    <w:rsid w:val="00B94E1D"/>
    <w:rsid w:val="00B951D3"/>
    <w:rsid w:val="00B9608B"/>
    <w:rsid w:val="00B973EE"/>
    <w:rsid w:val="00B97AFD"/>
    <w:rsid w:val="00BA21F5"/>
    <w:rsid w:val="00BA3928"/>
    <w:rsid w:val="00BA7B64"/>
    <w:rsid w:val="00BB0511"/>
    <w:rsid w:val="00BB0DE2"/>
    <w:rsid w:val="00BB2131"/>
    <w:rsid w:val="00BB3FE7"/>
    <w:rsid w:val="00BB64FE"/>
    <w:rsid w:val="00BB6D56"/>
    <w:rsid w:val="00BC1E6A"/>
    <w:rsid w:val="00BC4AB4"/>
    <w:rsid w:val="00BC4E6F"/>
    <w:rsid w:val="00BC6210"/>
    <w:rsid w:val="00BD46E5"/>
    <w:rsid w:val="00BD4DC0"/>
    <w:rsid w:val="00BD63AD"/>
    <w:rsid w:val="00BD76B2"/>
    <w:rsid w:val="00BE0E53"/>
    <w:rsid w:val="00BE47E9"/>
    <w:rsid w:val="00BE4921"/>
    <w:rsid w:val="00BE5407"/>
    <w:rsid w:val="00BE734D"/>
    <w:rsid w:val="00BF7951"/>
    <w:rsid w:val="00BF7FE0"/>
    <w:rsid w:val="00C012BE"/>
    <w:rsid w:val="00C02593"/>
    <w:rsid w:val="00C025AD"/>
    <w:rsid w:val="00C0269A"/>
    <w:rsid w:val="00C02833"/>
    <w:rsid w:val="00C05E53"/>
    <w:rsid w:val="00C05FBE"/>
    <w:rsid w:val="00C13965"/>
    <w:rsid w:val="00C15F39"/>
    <w:rsid w:val="00C1760A"/>
    <w:rsid w:val="00C178E2"/>
    <w:rsid w:val="00C1796F"/>
    <w:rsid w:val="00C275C8"/>
    <w:rsid w:val="00C27D55"/>
    <w:rsid w:val="00C30FF1"/>
    <w:rsid w:val="00C31562"/>
    <w:rsid w:val="00C345B4"/>
    <w:rsid w:val="00C34DB5"/>
    <w:rsid w:val="00C35CDB"/>
    <w:rsid w:val="00C361A1"/>
    <w:rsid w:val="00C3635C"/>
    <w:rsid w:val="00C45022"/>
    <w:rsid w:val="00C45267"/>
    <w:rsid w:val="00C453DB"/>
    <w:rsid w:val="00C47CF2"/>
    <w:rsid w:val="00C55179"/>
    <w:rsid w:val="00C572BA"/>
    <w:rsid w:val="00C57910"/>
    <w:rsid w:val="00C63274"/>
    <w:rsid w:val="00C63278"/>
    <w:rsid w:val="00C72542"/>
    <w:rsid w:val="00C74E74"/>
    <w:rsid w:val="00C75489"/>
    <w:rsid w:val="00C77107"/>
    <w:rsid w:val="00C80E53"/>
    <w:rsid w:val="00C8771C"/>
    <w:rsid w:val="00C90DAE"/>
    <w:rsid w:val="00C93E97"/>
    <w:rsid w:val="00C94A77"/>
    <w:rsid w:val="00C962A1"/>
    <w:rsid w:val="00C96411"/>
    <w:rsid w:val="00C965A2"/>
    <w:rsid w:val="00C972BF"/>
    <w:rsid w:val="00CA2931"/>
    <w:rsid w:val="00CA31F6"/>
    <w:rsid w:val="00CA3741"/>
    <w:rsid w:val="00CA5FD6"/>
    <w:rsid w:val="00CA6A91"/>
    <w:rsid w:val="00CA6E74"/>
    <w:rsid w:val="00CA7C8A"/>
    <w:rsid w:val="00CB1467"/>
    <w:rsid w:val="00CB3F3C"/>
    <w:rsid w:val="00CB7422"/>
    <w:rsid w:val="00CC0068"/>
    <w:rsid w:val="00CC0B99"/>
    <w:rsid w:val="00CC7259"/>
    <w:rsid w:val="00CC79EF"/>
    <w:rsid w:val="00CD33D4"/>
    <w:rsid w:val="00CD353B"/>
    <w:rsid w:val="00CD68F1"/>
    <w:rsid w:val="00CE0514"/>
    <w:rsid w:val="00CE19CD"/>
    <w:rsid w:val="00CE5419"/>
    <w:rsid w:val="00CE6DA6"/>
    <w:rsid w:val="00CF1947"/>
    <w:rsid w:val="00CF58B7"/>
    <w:rsid w:val="00D02BCC"/>
    <w:rsid w:val="00D032B4"/>
    <w:rsid w:val="00D04812"/>
    <w:rsid w:val="00D04A18"/>
    <w:rsid w:val="00D05323"/>
    <w:rsid w:val="00D0678B"/>
    <w:rsid w:val="00D105FB"/>
    <w:rsid w:val="00D1211A"/>
    <w:rsid w:val="00D1384A"/>
    <w:rsid w:val="00D2238A"/>
    <w:rsid w:val="00D27EE3"/>
    <w:rsid w:val="00D30233"/>
    <w:rsid w:val="00D30EE5"/>
    <w:rsid w:val="00D324EF"/>
    <w:rsid w:val="00D33FBD"/>
    <w:rsid w:val="00D3453E"/>
    <w:rsid w:val="00D35124"/>
    <w:rsid w:val="00D351C1"/>
    <w:rsid w:val="00D35EFB"/>
    <w:rsid w:val="00D35FFD"/>
    <w:rsid w:val="00D372A3"/>
    <w:rsid w:val="00D373FE"/>
    <w:rsid w:val="00D41E6E"/>
    <w:rsid w:val="00D4221C"/>
    <w:rsid w:val="00D444F4"/>
    <w:rsid w:val="00D44D40"/>
    <w:rsid w:val="00D46D76"/>
    <w:rsid w:val="00D504B3"/>
    <w:rsid w:val="00D50538"/>
    <w:rsid w:val="00D52534"/>
    <w:rsid w:val="00D52D7C"/>
    <w:rsid w:val="00D54011"/>
    <w:rsid w:val="00D57223"/>
    <w:rsid w:val="00D62AF4"/>
    <w:rsid w:val="00D65F1F"/>
    <w:rsid w:val="00D729F9"/>
    <w:rsid w:val="00D73D61"/>
    <w:rsid w:val="00D746B6"/>
    <w:rsid w:val="00D758C5"/>
    <w:rsid w:val="00D767B4"/>
    <w:rsid w:val="00D77BFF"/>
    <w:rsid w:val="00D83F29"/>
    <w:rsid w:val="00D859E5"/>
    <w:rsid w:val="00D8649D"/>
    <w:rsid w:val="00D86BF0"/>
    <w:rsid w:val="00D8724F"/>
    <w:rsid w:val="00D87A89"/>
    <w:rsid w:val="00D91199"/>
    <w:rsid w:val="00D94A61"/>
    <w:rsid w:val="00D95164"/>
    <w:rsid w:val="00D97339"/>
    <w:rsid w:val="00D97368"/>
    <w:rsid w:val="00DA4F9F"/>
    <w:rsid w:val="00DA6038"/>
    <w:rsid w:val="00DA6986"/>
    <w:rsid w:val="00DB14F8"/>
    <w:rsid w:val="00DB4F12"/>
    <w:rsid w:val="00DB5391"/>
    <w:rsid w:val="00DB5881"/>
    <w:rsid w:val="00DB5B34"/>
    <w:rsid w:val="00DC078C"/>
    <w:rsid w:val="00DC3149"/>
    <w:rsid w:val="00DC34BA"/>
    <w:rsid w:val="00DC46A6"/>
    <w:rsid w:val="00DD241B"/>
    <w:rsid w:val="00DD279F"/>
    <w:rsid w:val="00DD701F"/>
    <w:rsid w:val="00DE0543"/>
    <w:rsid w:val="00DE117C"/>
    <w:rsid w:val="00DE6FA1"/>
    <w:rsid w:val="00DF0C78"/>
    <w:rsid w:val="00DF23BE"/>
    <w:rsid w:val="00DF479F"/>
    <w:rsid w:val="00DF61E6"/>
    <w:rsid w:val="00DF6AC3"/>
    <w:rsid w:val="00DF7DA0"/>
    <w:rsid w:val="00E0219C"/>
    <w:rsid w:val="00E05C25"/>
    <w:rsid w:val="00E10B81"/>
    <w:rsid w:val="00E10BB8"/>
    <w:rsid w:val="00E13F51"/>
    <w:rsid w:val="00E148E5"/>
    <w:rsid w:val="00E1749C"/>
    <w:rsid w:val="00E24104"/>
    <w:rsid w:val="00E24AEC"/>
    <w:rsid w:val="00E25BEA"/>
    <w:rsid w:val="00E27175"/>
    <w:rsid w:val="00E30C81"/>
    <w:rsid w:val="00E33F90"/>
    <w:rsid w:val="00E34CF8"/>
    <w:rsid w:val="00E378C0"/>
    <w:rsid w:val="00E4004F"/>
    <w:rsid w:val="00E40A86"/>
    <w:rsid w:val="00E43BF1"/>
    <w:rsid w:val="00E44A5A"/>
    <w:rsid w:val="00E459A3"/>
    <w:rsid w:val="00E45D31"/>
    <w:rsid w:val="00E45FED"/>
    <w:rsid w:val="00E51920"/>
    <w:rsid w:val="00E526A0"/>
    <w:rsid w:val="00E5628E"/>
    <w:rsid w:val="00E63A2C"/>
    <w:rsid w:val="00E64120"/>
    <w:rsid w:val="00E660A1"/>
    <w:rsid w:val="00E66E34"/>
    <w:rsid w:val="00E670E8"/>
    <w:rsid w:val="00E7282A"/>
    <w:rsid w:val="00E73D4C"/>
    <w:rsid w:val="00E7523B"/>
    <w:rsid w:val="00E7529D"/>
    <w:rsid w:val="00E76309"/>
    <w:rsid w:val="00E76927"/>
    <w:rsid w:val="00E774B2"/>
    <w:rsid w:val="00E80F32"/>
    <w:rsid w:val="00E815BD"/>
    <w:rsid w:val="00E84782"/>
    <w:rsid w:val="00E87235"/>
    <w:rsid w:val="00E901BA"/>
    <w:rsid w:val="00E90502"/>
    <w:rsid w:val="00E92863"/>
    <w:rsid w:val="00E9297F"/>
    <w:rsid w:val="00E92A12"/>
    <w:rsid w:val="00E931F8"/>
    <w:rsid w:val="00E9363A"/>
    <w:rsid w:val="00E936FC"/>
    <w:rsid w:val="00E96D4F"/>
    <w:rsid w:val="00E96F52"/>
    <w:rsid w:val="00EA0138"/>
    <w:rsid w:val="00EA0FA2"/>
    <w:rsid w:val="00EA186E"/>
    <w:rsid w:val="00EA1CD6"/>
    <w:rsid w:val="00EA2A5E"/>
    <w:rsid w:val="00EA4211"/>
    <w:rsid w:val="00EA51BE"/>
    <w:rsid w:val="00EA5234"/>
    <w:rsid w:val="00EB0159"/>
    <w:rsid w:val="00EB22C7"/>
    <w:rsid w:val="00EB5BFC"/>
    <w:rsid w:val="00EC06B4"/>
    <w:rsid w:val="00EC16DB"/>
    <w:rsid w:val="00EC21E1"/>
    <w:rsid w:val="00EC36C0"/>
    <w:rsid w:val="00EC3FF7"/>
    <w:rsid w:val="00EC6BAD"/>
    <w:rsid w:val="00ED32E0"/>
    <w:rsid w:val="00ED4D52"/>
    <w:rsid w:val="00ED7658"/>
    <w:rsid w:val="00EE12AA"/>
    <w:rsid w:val="00EE39DA"/>
    <w:rsid w:val="00EF048B"/>
    <w:rsid w:val="00EF09FA"/>
    <w:rsid w:val="00EF237F"/>
    <w:rsid w:val="00EF7A18"/>
    <w:rsid w:val="00F00B52"/>
    <w:rsid w:val="00F03B89"/>
    <w:rsid w:val="00F055F1"/>
    <w:rsid w:val="00F063C4"/>
    <w:rsid w:val="00F10086"/>
    <w:rsid w:val="00F10D8C"/>
    <w:rsid w:val="00F115A5"/>
    <w:rsid w:val="00F124B0"/>
    <w:rsid w:val="00F12CD0"/>
    <w:rsid w:val="00F14285"/>
    <w:rsid w:val="00F17A52"/>
    <w:rsid w:val="00F20A2D"/>
    <w:rsid w:val="00F226EE"/>
    <w:rsid w:val="00F237A3"/>
    <w:rsid w:val="00F24C86"/>
    <w:rsid w:val="00F25D39"/>
    <w:rsid w:val="00F26618"/>
    <w:rsid w:val="00F26B67"/>
    <w:rsid w:val="00F368BD"/>
    <w:rsid w:val="00F37AE7"/>
    <w:rsid w:val="00F40531"/>
    <w:rsid w:val="00F40673"/>
    <w:rsid w:val="00F406BB"/>
    <w:rsid w:val="00F41286"/>
    <w:rsid w:val="00F41DFC"/>
    <w:rsid w:val="00F442E0"/>
    <w:rsid w:val="00F452EC"/>
    <w:rsid w:val="00F45720"/>
    <w:rsid w:val="00F5041E"/>
    <w:rsid w:val="00F511FF"/>
    <w:rsid w:val="00F518C3"/>
    <w:rsid w:val="00F535A8"/>
    <w:rsid w:val="00F53676"/>
    <w:rsid w:val="00F560E3"/>
    <w:rsid w:val="00F610AF"/>
    <w:rsid w:val="00F625BF"/>
    <w:rsid w:val="00F6311F"/>
    <w:rsid w:val="00F63211"/>
    <w:rsid w:val="00F651BD"/>
    <w:rsid w:val="00F715ED"/>
    <w:rsid w:val="00F721D5"/>
    <w:rsid w:val="00F73629"/>
    <w:rsid w:val="00F73F3A"/>
    <w:rsid w:val="00F75525"/>
    <w:rsid w:val="00F75C4E"/>
    <w:rsid w:val="00F762BB"/>
    <w:rsid w:val="00F812D2"/>
    <w:rsid w:val="00F81FF0"/>
    <w:rsid w:val="00F824A9"/>
    <w:rsid w:val="00F82695"/>
    <w:rsid w:val="00F82EA9"/>
    <w:rsid w:val="00F85A17"/>
    <w:rsid w:val="00F85AB7"/>
    <w:rsid w:val="00F86B25"/>
    <w:rsid w:val="00F87B85"/>
    <w:rsid w:val="00F911E3"/>
    <w:rsid w:val="00F9190C"/>
    <w:rsid w:val="00F9532B"/>
    <w:rsid w:val="00F97B6D"/>
    <w:rsid w:val="00FA0075"/>
    <w:rsid w:val="00FA0D94"/>
    <w:rsid w:val="00FA1CC3"/>
    <w:rsid w:val="00FA2C5A"/>
    <w:rsid w:val="00FA2D60"/>
    <w:rsid w:val="00FA3743"/>
    <w:rsid w:val="00FA748E"/>
    <w:rsid w:val="00FA7B06"/>
    <w:rsid w:val="00FA7D1F"/>
    <w:rsid w:val="00FB10E7"/>
    <w:rsid w:val="00FB4780"/>
    <w:rsid w:val="00FB7888"/>
    <w:rsid w:val="00FC07FB"/>
    <w:rsid w:val="00FC20E3"/>
    <w:rsid w:val="00FC276B"/>
    <w:rsid w:val="00FC2D11"/>
    <w:rsid w:val="00FC380C"/>
    <w:rsid w:val="00FC4881"/>
    <w:rsid w:val="00FC6230"/>
    <w:rsid w:val="00FC70C4"/>
    <w:rsid w:val="00FD110C"/>
    <w:rsid w:val="00FD1A77"/>
    <w:rsid w:val="00FD2DEA"/>
    <w:rsid w:val="00FD4769"/>
    <w:rsid w:val="00FD669D"/>
    <w:rsid w:val="00FD79FA"/>
    <w:rsid w:val="00FE1EEB"/>
    <w:rsid w:val="00FE5FDF"/>
    <w:rsid w:val="00FE7109"/>
    <w:rsid w:val="00FE7CD2"/>
    <w:rsid w:val="00FF09D9"/>
    <w:rsid w:val="00FF2851"/>
    <w:rsid w:val="00FF2D9E"/>
    <w:rsid w:val="00FF43BF"/>
    <w:rsid w:val="00FF61E7"/>
    <w:rsid w:val="00FF74A4"/>
    <w:rsid w:val="00FF7669"/>
    <w:rsid w:val="1684E140"/>
    <w:rsid w:val="76C95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BC9B0"/>
  <w15:chartTrackingRefBased/>
  <w15:docId w15:val="{B67D05E8-CB3E-4383-BE0F-B7344016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BE734D"/>
    <w:pPr>
      <w:keepNext/>
      <w:spacing w:before="240" w:after="60"/>
      <w:outlineLvl w:val="2"/>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BE734D"/>
    <w:rPr>
      <w:rFonts w:ascii="Arial" w:eastAsia="Calibri" w:hAnsi="Arial"/>
      <w:b/>
      <w:bCs/>
      <w:sz w:val="24"/>
      <w:szCs w:val="24"/>
      <w:lang w:eastAsia="en-US"/>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CommentSubject">
    <w:name w:val="annotation subject"/>
    <w:basedOn w:val="CommentText"/>
    <w:next w:val="CommentText"/>
    <w:link w:val="CommentSubjectChar"/>
    <w:semiHidden/>
    <w:rsid w:val="004018D1"/>
    <w:rPr>
      <w:b/>
      <w:bCs/>
    </w:rPr>
  </w:style>
  <w:style w:type="character" w:customStyle="1" w:styleId="CommentSubjectChar">
    <w:name w:val="Comment Subject Char"/>
    <w:basedOn w:val="CommentTextChar"/>
    <w:link w:val="CommentSubject"/>
    <w:semiHidden/>
    <w:rsid w:val="004018D1"/>
    <w:rPr>
      <w:rFonts w:ascii="Calibri" w:eastAsia="Calibri" w:hAnsi="Calibri"/>
      <w:b/>
      <w:bCs/>
      <w:lang w:eastAsia="en-US"/>
    </w:rPr>
  </w:style>
  <w:style w:type="paragraph" w:styleId="Revision">
    <w:name w:val="Revision"/>
    <w:hidden/>
    <w:uiPriority w:val="99"/>
    <w:semiHidden/>
    <w:rsid w:val="00FC70C4"/>
    <w:rPr>
      <w:rFonts w:ascii="Calibri" w:eastAsia="Calibri" w:hAnsi="Calibri"/>
      <w:sz w:val="22"/>
      <w:szCs w:val="22"/>
      <w:lang w:eastAsia="en-US"/>
    </w:rPr>
  </w:style>
  <w:style w:type="paragraph" w:styleId="BodyText">
    <w:name w:val="Body Text"/>
    <w:basedOn w:val="Normal"/>
    <w:link w:val="BodyTextChar"/>
    <w:rsid w:val="006B03AE"/>
    <w:pPr>
      <w:widowControl w:val="0"/>
      <w:spacing w:after="120" w:line="240" w:lineRule="auto"/>
      <w:jc w:val="both"/>
    </w:pPr>
    <w:rPr>
      <w:rFonts w:ascii="Arial" w:eastAsia="Times New Roman" w:hAnsi="Arial"/>
      <w:kern w:val="2"/>
      <w:sz w:val="20"/>
      <w:szCs w:val="20"/>
      <w:lang w:eastAsia="en-GB"/>
      <w14:ligatures w14:val="standardContextual"/>
    </w:rPr>
  </w:style>
  <w:style w:type="character" w:customStyle="1" w:styleId="BodyTextChar">
    <w:name w:val="Body Text Char"/>
    <w:basedOn w:val="DefaultParagraphFont"/>
    <w:link w:val="BodyText"/>
    <w:rsid w:val="006B03AE"/>
    <w:rPr>
      <w:rFonts w:ascii="Arial" w:hAnsi="Arial"/>
      <w:kern w:val="2"/>
      <w14:ligatures w14:val="standardContextual"/>
    </w:rPr>
  </w:style>
  <w:style w:type="paragraph" w:customStyle="1" w:styleId="Body1">
    <w:name w:val="Body1"/>
    <w:basedOn w:val="Normal"/>
    <w:rsid w:val="00EF237F"/>
    <w:pPr>
      <w:widowControl w:val="0"/>
      <w:spacing w:before="200" w:after="60" w:line="240" w:lineRule="auto"/>
      <w:ind w:left="714"/>
      <w:jc w:val="both"/>
    </w:pPr>
    <w:rPr>
      <w:rFonts w:ascii="Arial" w:eastAsia="Times New Roman" w:hAnsi="Arial"/>
      <w:kern w:val="2"/>
      <w:sz w:val="20"/>
      <w:szCs w:val="20"/>
      <w:lang w:eastAsia="en-GB"/>
      <w14:ligatures w14:val="standardContextual"/>
    </w:rPr>
  </w:style>
  <w:style w:type="character" w:styleId="Mention">
    <w:name w:val="Mention"/>
    <w:basedOn w:val="DefaultParagraphFont"/>
    <w:uiPriority w:val="99"/>
    <w:unhideWhenUsed/>
    <w:rsid w:val="008F27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67136">
      <w:bodyDiv w:val="1"/>
      <w:marLeft w:val="0"/>
      <w:marRight w:val="0"/>
      <w:marTop w:val="0"/>
      <w:marBottom w:val="0"/>
      <w:divBdr>
        <w:top w:val="none" w:sz="0" w:space="0" w:color="auto"/>
        <w:left w:val="none" w:sz="0" w:space="0" w:color="auto"/>
        <w:bottom w:val="none" w:sz="0" w:space="0" w:color="auto"/>
        <w:right w:val="none" w:sz="0" w:space="0" w:color="auto"/>
      </w:divBdr>
    </w:div>
    <w:div w:id="705444445">
      <w:bodyDiv w:val="1"/>
      <w:marLeft w:val="0"/>
      <w:marRight w:val="0"/>
      <w:marTop w:val="0"/>
      <w:marBottom w:val="0"/>
      <w:divBdr>
        <w:top w:val="none" w:sz="0" w:space="0" w:color="auto"/>
        <w:left w:val="none" w:sz="0" w:space="0" w:color="auto"/>
        <w:bottom w:val="none" w:sz="0" w:space="0" w:color="auto"/>
        <w:right w:val="none" w:sz="0" w:space="0" w:color="auto"/>
      </w:divBdr>
    </w:div>
    <w:div w:id="862748219">
      <w:bodyDiv w:val="1"/>
      <w:marLeft w:val="0"/>
      <w:marRight w:val="0"/>
      <w:marTop w:val="0"/>
      <w:marBottom w:val="0"/>
      <w:divBdr>
        <w:top w:val="none" w:sz="0" w:space="0" w:color="auto"/>
        <w:left w:val="none" w:sz="0" w:space="0" w:color="auto"/>
        <w:bottom w:val="none" w:sz="0" w:space="0" w:color="auto"/>
        <w:right w:val="none" w:sz="0" w:space="0" w:color="auto"/>
      </w:divBdr>
    </w:div>
    <w:div w:id="905459995">
      <w:bodyDiv w:val="1"/>
      <w:marLeft w:val="0"/>
      <w:marRight w:val="0"/>
      <w:marTop w:val="0"/>
      <w:marBottom w:val="0"/>
      <w:divBdr>
        <w:top w:val="none" w:sz="0" w:space="0" w:color="auto"/>
        <w:left w:val="none" w:sz="0" w:space="0" w:color="auto"/>
        <w:bottom w:val="none" w:sz="0" w:space="0" w:color="auto"/>
        <w:right w:val="none" w:sz="0" w:space="0" w:color="auto"/>
      </w:divBdr>
    </w:div>
    <w:div w:id="911355191">
      <w:bodyDiv w:val="1"/>
      <w:marLeft w:val="0"/>
      <w:marRight w:val="0"/>
      <w:marTop w:val="0"/>
      <w:marBottom w:val="0"/>
      <w:divBdr>
        <w:top w:val="none" w:sz="0" w:space="0" w:color="auto"/>
        <w:left w:val="none" w:sz="0" w:space="0" w:color="auto"/>
        <w:bottom w:val="none" w:sz="0" w:space="0" w:color="auto"/>
        <w:right w:val="none" w:sz="0" w:space="0" w:color="auto"/>
      </w:divBdr>
    </w:div>
    <w:div w:id="917053157">
      <w:bodyDiv w:val="1"/>
      <w:marLeft w:val="0"/>
      <w:marRight w:val="0"/>
      <w:marTop w:val="0"/>
      <w:marBottom w:val="0"/>
      <w:divBdr>
        <w:top w:val="none" w:sz="0" w:space="0" w:color="auto"/>
        <w:left w:val="none" w:sz="0" w:space="0" w:color="auto"/>
        <w:bottom w:val="none" w:sz="0" w:space="0" w:color="auto"/>
        <w:right w:val="none" w:sz="0" w:space="0" w:color="auto"/>
      </w:divBdr>
    </w:div>
    <w:div w:id="1068724625">
      <w:bodyDiv w:val="1"/>
      <w:marLeft w:val="0"/>
      <w:marRight w:val="0"/>
      <w:marTop w:val="0"/>
      <w:marBottom w:val="0"/>
      <w:divBdr>
        <w:top w:val="none" w:sz="0" w:space="0" w:color="auto"/>
        <w:left w:val="none" w:sz="0" w:space="0" w:color="auto"/>
        <w:bottom w:val="none" w:sz="0" w:space="0" w:color="auto"/>
        <w:right w:val="none" w:sz="0" w:space="0" w:color="auto"/>
      </w:divBdr>
    </w:div>
    <w:div w:id="1543861933">
      <w:bodyDiv w:val="1"/>
      <w:marLeft w:val="0"/>
      <w:marRight w:val="0"/>
      <w:marTop w:val="0"/>
      <w:marBottom w:val="0"/>
      <w:divBdr>
        <w:top w:val="none" w:sz="0" w:space="0" w:color="auto"/>
        <w:left w:val="none" w:sz="0" w:space="0" w:color="auto"/>
        <w:bottom w:val="none" w:sz="0" w:space="0" w:color="auto"/>
        <w:right w:val="none" w:sz="0" w:space="0" w:color="auto"/>
      </w:divBdr>
    </w:div>
    <w:div w:id="1650358200">
      <w:bodyDiv w:val="1"/>
      <w:marLeft w:val="0"/>
      <w:marRight w:val="0"/>
      <w:marTop w:val="0"/>
      <w:marBottom w:val="0"/>
      <w:divBdr>
        <w:top w:val="none" w:sz="0" w:space="0" w:color="auto"/>
        <w:left w:val="none" w:sz="0" w:space="0" w:color="auto"/>
        <w:bottom w:val="none" w:sz="0" w:space="0" w:color="auto"/>
        <w:right w:val="none" w:sz="0" w:space="0" w:color="auto"/>
      </w:divBdr>
    </w:div>
    <w:div w:id="1717698997">
      <w:bodyDiv w:val="1"/>
      <w:marLeft w:val="0"/>
      <w:marRight w:val="0"/>
      <w:marTop w:val="0"/>
      <w:marBottom w:val="0"/>
      <w:divBdr>
        <w:top w:val="none" w:sz="0" w:space="0" w:color="auto"/>
        <w:left w:val="none" w:sz="0" w:space="0" w:color="auto"/>
        <w:bottom w:val="none" w:sz="0" w:space="0" w:color="auto"/>
        <w:right w:val="none" w:sz="0" w:space="0" w:color="auto"/>
      </w:divBdr>
    </w:div>
    <w:div w:id="1765147489">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21176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Active1!164982291.3</documentid>
  <senderid>AWNE</senderid>
  <senderemail>AEDWARDS@DACBEACHCROFT.COM</senderemail>
  <lastmodified>2025-12-03T14:31:00.0000000+00:00</lastmodified>
  <database>Active1</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6C9B4B-BE0C-4AD0-B674-CABDDF015606}">
  <ds:schemaRefs>
    <ds:schemaRef ds:uri="http://www.imanage.com/work/xmlschema"/>
  </ds:schemaRefs>
</ds:datastoreItem>
</file>

<file path=customXml/itemProps2.xml><?xml version="1.0" encoding="utf-8"?>
<ds:datastoreItem xmlns:ds="http://schemas.openxmlformats.org/officeDocument/2006/customXml" ds:itemID="{EBD19E30-D51C-4572-8855-E7BA1FCD195F}">
  <ds:schemaRefs>
    <ds:schemaRef ds:uri="http://schemas.microsoft.com/sharepoint/v3/contenttype/forms"/>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2AA7A089-088F-4EF1-8BA9-1B118573ACC6}"/>
</file>

<file path=customXml/itemProps5.xml><?xml version="1.0" encoding="utf-8"?>
<ds:datastoreItem xmlns:ds="http://schemas.openxmlformats.org/officeDocument/2006/customXml" ds:itemID="{AD5EBF50-BA78-49DB-BBB3-FE3766EC4511}">
  <ds:schemaRefs>
    <ds:schemaRef ds:uri="http://purl.org/dc/dcmitype/"/>
    <ds:schemaRef ds:uri="http://schemas.microsoft.com/office/2006/documentManagement/types"/>
    <ds:schemaRef ds:uri="http://schemas.openxmlformats.org/package/2006/metadata/core-properties"/>
    <ds:schemaRef ds:uri="68f19371-ebe6-4483-8e72-73d36cd7064e"/>
    <ds:schemaRef ds:uri="http://www.w3.org/XML/1998/namespace"/>
    <ds:schemaRef ds:uri="0eb656aa-4e79-4e95-9076-bc119a23e0cc"/>
    <ds:schemaRef ds:uri="http://purl.org/dc/elements/1.1/"/>
    <ds:schemaRef ds:uri="http://schemas.microsoft.com/office/infopath/2007/PartnerControls"/>
    <ds:schemaRef ds:uri="http://schemas.microsoft.com/office/2006/metadata/properties"/>
    <ds:schemaRef ds:uri="465a54fe-435b-4423-8fe2-c9a3626b31f7"/>
    <ds:schemaRef ds:uri="http://purl.org/dc/terms/"/>
  </ds:schemaRefs>
</ds:datastoreItem>
</file>

<file path=docMetadata/LabelInfo.xml><?xml version="1.0" encoding="utf-8"?>
<clbl:labelList xmlns:clbl="http://schemas.microsoft.com/office/2020/mipLabelMetadata">
  <clbl:label id="{b88d31b9-5fac-4985-8421-e7693d976ac6}" enabled="0" method="" siteId="{b88d31b9-5fac-4985-8421-e7693d976ac6}" removed="1"/>
</clbl:labelList>
</file>

<file path=docProps/app.xml><?xml version="1.0" encoding="utf-8"?>
<Properties xmlns="http://schemas.openxmlformats.org/officeDocument/2006/extended-properties" xmlns:vt="http://schemas.openxmlformats.org/officeDocument/2006/docPropsVTypes">
  <Template>Normal</Template>
  <TotalTime>24</TotalTime>
  <Pages>44</Pages>
  <Words>12886</Words>
  <Characters>68330</Characters>
  <Application>Microsoft Office Word</Application>
  <DocSecurity>0</DocSecurity>
  <Lines>1335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356</cp:revision>
  <cp:lastPrinted>2025-11-29T01:04:00Z</cp:lastPrinted>
  <dcterms:created xsi:type="dcterms:W3CDTF">2025-12-04T14:05:00Z</dcterms:created>
  <dcterms:modified xsi:type="dcterms:W3CDTF">2025-12-09T11:30:00Z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2025-12-01T16:50:12Z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6353c048-3b67-4796-87ab-5a32d0bae6ec</vt:lpwstr>
  </property>
  <property fmtid="{D5CDD505-2E9C-101B-9397-08002B2CF9AE}" pid="8" name="MSIP_Label_c69d85d5-6d9e-4305-a294-1f636ec0f2d6_ContentBits">
    <vt:lpwstr>0</vt:lpwstr>
  </property>
  <property fmtid="{D5CDD505-2E9C-101B-9397-08002B2CF9AE}" pid="9" name="MSIP_Label_c69d85d5-6d9e-4305-a294-1f636ec0f2d6_Tag">
    <vt:lpwstr>10, 3, 0, 2</vt:lpwstr>
  </property>
  <property fmtid="{D5CDD505-2E9C-101B-9397-08002B2CF9AE}" pid="10" name="ContentTypeId">
    <vt:lpwstr>0x0101003300E5E64B980D458C754FFE05DEE26D</vt:lpwstr>
  </property>
  <property fmtid="{D5CDD505-2E9C-101B-9397-08002B2CF9AE}" pid="11" name="MediaServiceImageTags">
    <vt:lpwstr/>
  </property>
</Properties>
</file>