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7EE" w:rsidP="008F0D86" w:rsidRDefault="005678E7" w14:paraId="4B1BF0B9" w14:textId="6142CFD0">
      <w:pPr>
        <w:spacing w:after="0" w:line="276" w:lineRule="auto"/>
        <w:contextualSpacing/>
        <w:jc w:val="both"/>
      </w:pPr>
      <w:r>
        <w:t>10</w:t>
      </w:r>
      <w:r w:rsidRPr="00F11AC3" w:rsidR="00F11AC3">
        <w:rPr>
          <w:vertAlign w:val="superscript"/>
        </w:rPr>
        <w:t>th</w:t>
      </w:r>
      <w:r w:rsidR="00BB17EE">
        <w:t xml:space="preserve"> July 2024</w:t>
      </w:r>
    </w:p>
    <w:p w:rsidR="00BB17EE" w:rsidP="008F0D86" w:rsidRDefault="00BB17EE" w14:paraId="7E124EC4" w14:textId="77777777">
      <w:pPr>
        <w:spacing w:after="0" w:line="276" w:lineRule="auto"/>
        <w:contextualSpacing/>
        <w:jc w:val="both"/>
      </w:pPr>
    </w:p>
    <w:p w:rsidR="00BB17EE" w:rsidP="008F0D86" w:rsidRDefault="00BB17EE" w14:paraId="743CF7C9" w14:textId="5219019E">
      <w:pPr>
        <w:spacing w:after="0" w:line="276" w:lineRule="auto"/>
        <w:contextualSpacing/>
        <w:jc w:val="both"/>
      </w:pPr>
      <w:r>
        <w:t xml:space="preserve">Dr </w:t>
      </w:r>
      <w:r w:rsidRPr="005678E7">
        <w:t>Mark Chakravarty</w:t>
      </w:r>
    </w:p>
    <w:p w:rsidR="00BB17EE" w:rsidP="008F0D86" w:rsidRDefault="00BB17EE" w14:paraId="6EAF7898" w14:textId="1B9605F3">
      <w:pPr>
        <w:spacing w:after="0" w:line="276" w:lineRule="auto"/>
        <w:contextualSpacing/>
        <w:jc w:val="both"/>
      </w:pPr>
      <w:r>
        <w:t xml:space="preserve">Lead non-executive director for appeals </w:t>
      </w:r>
    </w:p>
    <w:p w:rsidR="00BB17EE" w:rsidP="008F0D86" w:rsidRDefault="00BB17EE" w14:paraId="51232A52" w14:textId="77777777">
      <w:pPr>
        <w:spacing w:after="0" w:line="276" w:lineRule="auto"/>
        <w:contextualSpacing/>
        <w:jc w:val="both"/>
      </w:pPr>
      <w:r>
        <w:t>National Institute for Health and Care Excellence</w:t>
      </w:r>
    </w:p>
    <w:p w:rsidR="00BB17EE" w:rsidP="008F0D86" w:rsidRDefault="00BB17EE" w14:paraId="3EFE46D8" w14:textId="77777777">
      <w:pPr>
        <w:spacing w:after="0" w:line="276" w:lineRule="auto"/>
        <w:contextualSpacing/>
        <w:jc w:val="both"/>
      </w:pPr>
    </w:p>
    <w:p w:rsidR="00BB17EE" w:rsidP="008F0D86" w:rsidRDefault="00BB17EE" w14:paraId="4D1B7091" w14:textId="77777777">
      <w:pPr>
        <w:spacing w:after="0" w:line="276" w:lineRule="auto"/>
        <w:contextualSpacing/>
        <w:jc w:val="both"/>
      </w:pPr>
      <w:r>
        <w:t>2nd Floor</w:t>
      </w:r>
    </w:p>
    <w:p w:rsidR="00BB17EE" w:rsidP="008F0D86" w:rsidRDefault="00BB17EE" w14:paraId="30BA5048" w14:textId="77777777">
      <w:pPr>
        <w:spacing w:after="0" w:line="276" w:lineRule="auto"/>
        <w:contextualSpacing/>
        <w:jc w:val="both"/>
      </w:pPr>
      <w:r>
        <w:t>2 Redman Place</w:t>
      </w:r>
    </w:p>
    <w:p w:rsidR="00BB17EE" w:rsidP="008F0D86" w:rsidRDefault="00BB17EE" w14:paraId="76A69951" w14:textId="77777777">
      <w:pPr>
        <w:spacing w:after="0" w:line="276" w:lineRule="auto"/>
        <w:contextualSpacing/>
        <w:jc w:val="both"/>
      </w:pPr>
      <w:r>
        <w:t>London E20 1JQ</w:t>
      </w:r>
    </w:p>
    <w:p w:rsidR="00BB17EE" w:rsidP="008F0D86" w:rsidRDefault="00BB17EE" w14:paraId="7054BD59" w14:textId="77777777">
      <w:pPr>
        <w:spacing w:after="0" w:line="276" w:lineRule="auto"/>
        <w:contextualSpacing/>
        <w:jc w:val="both"/>
      </w:pPr>
    </w:p>
    <w:p w:rsidR="00BB17EE" w:rsidP="008F0D86" w:rsidRDefault="00BB17EE" w14:paraId="7DF0E229" w14:textId="61744431">
      <w:pPr>
        <w:spacing w:after="0" w:line="276" w:lineRule="auto"/>
        <w:contextualSpacing/>
        <w:jc w:val="both"/>
      </w:pPr>
      <w:r>
        <w:t xml:space="preserve">Dear Dr </w:t>
      </w:r>
      <w:r w:rsidRPr="005678E7">
        <w:t>Chakravarty</w:t>
      </w:r>
      <w:r>
        <w:t>,</w:t>
      </w:r>
    </w:p>
    <w:p w:rsidR="00BB17EE" w:rsidP="008F0D86" w:rsidRDefault="00BB17EE" w14:paraId="1D212F37" w14:textId="77777777">
      <w:pPr>
        <w:spacing w:after="0" w:line="276" w:lineRule="auto"/>
        <w:contextualSpacing/>
        <w:jc w:val="both"/>
      </w:pPr>
    </w:p>
    <w:p w:rsidR="00BB17EE" w:rsidP="008F0D86" w:rsidRDefault="00BB17EE" w14:paraId="792EEBB4" w14:textId="656EFC03">
      <w:pPr>
        <w:spacing w:after="0" w:line="276" w:lineRule="auto"/>
        <w:contextualSpacing/>
        <w:jc w:val="both"/>
        <w:rPr>
          <w:b/>
          <w:bCs/>
          <w:u w:val="single"/>
        </w:rPr>
      </w:pPr>
      <w:r w:rsidRPr="00BB17EE">
        <w:rPr>
          <w:b/>
          <w:bCs/>
          <w:u w:val="single"/>
        </w:rPr>
        <w:t>Appeal against the final draft guidance for Zilucoplan for treating antibody-positive generalised myasthenia gravis [ID4008]</w:t>
      </w:r>
    </w:p>
    <w:p w:rsidR="00BB17EE" w:rsidP="008F0D86" w:rsidRDefault="00BB17EE" w14:paraId="77CF8951" w14:textId="77777777">
      <w:pPr>
        <w:spacing w:after="0" w:line="276" w:lineRule="auto"/>
        <w:contextualSpacing/>
        <w:jc w:val="both"/>
        <w:rPr>
          <w:b/>
          <w:bCs/>
          <w:u w:val="single"/>
        </w:rPr>
      </w:pPr>
    </w:p>
    <w:p w:rsidR="00BB17EE" w:rsidP="008F0D86" w:rsidRDefault="00BB17EE" w14:paraId="2BDBA4EA" w14:textId="7FDD9429">
      <w:pPr>
        <w:spacing w:after="0" w:line="276" w:lineRule="auto"/>
        <w:contextualSpacing/>
        <w:jc w:val="both"/>
        <w:rPr>
          <w:b/>
          <w:bCs/>
        </w:rPr>
      </w:pPr>
      <w:r w:rsidRPr="00BB17EE">
        <w:rPr>
          <w:b/>
          <w:bCs/>
        </w:rPr>
        <w:t>Introduction</w:t>
      </w:r>
    </w:p>
    <w:p w:rsidR="00BB17EE" w:rsidP="008F0D86" w:rsidRDefault="00BB17EE" w14:paraId="2F80F8AD" w14:textId="77777777">
      <w:pPr>
        <w:spacing w:after="0" w:line="276" w:lineRule="auto"/>
        <w:contextualSpacing/>
        <w:jc w:val="both"/>
        <w:rPr>
          <w:b/>
          <w:bCs/>
        </w:rPr>
      </w:pPr>
    </w:p>
    <w:p w:rsidR="00BB17EE" w:rsidP="008F0D86" w:rsidRDefault="00F66C0F" w14:paraId="424FB664" w14:textId="2DEB5317">
      <w:pPr>
        <w:pStyle w:val="ListParagraph"/>
        <w:numPr>
          <w:ilvl w:val="0"/>
          <w:numId w:val="1"/>
        </w:numPr>
        <w:spacing w:after="0" w:line="276" w:lineRule="auto"/>
        <w:jc w:val="both"/>
      </w:pPr>
      <w:r>
        <w:t>Myaware is</w:t>
      </w:r>
      <w:r w:rsidRPr="00BB17EE" w:rsidR="00BB17EE">
        <w:t xml:space="preserve"> appealing against the recent decision by the National Institute for Health and Care Excellence (</w:t>
      </w:r>
      <w:r w:rsidR="00BB17EE">
        <w:t>“</w:t>
      </w:r>
      <w:r w:rsidRPr="00BB17EE" w:rsidR="00BB17EE">
        <w:rPr>
          <w:b/>
          <w:bCs/>
        </w:rPr>
        <w:t>NICE</w:t>
      </w:r>
      <w:r w:rsidR="00BB17EE">
        <w:t>”</w:t>
      </w:r>
      <w:r w:rsidRPr="00BB17EE" w:rsidR="00BB17EE">
        <w:t>) not to recommend Zilucoplan, within its marketing authorisation, as an add-on to standard treatment for generalised myasthenia gravis (“</w:t>
      </w:r>
      <w:r w:rsidRPr="00BB17EE" w:rsidR="00BB17EE">
        <w:rPr>
          <w:b/>
          <w:bCs/>
        </w:rPr>
        <w:t>gMG</w:t>
      </w:r>
      <w:r w:rsidRPr="00BB17EE" w:rsidR="00BB17EE">
        <w:t>”) in adults who test positive for anti-acetylcholine receptor antibodies (“</w:t>
      </w:r>
      <w:r w:rsidRPr="00BB17EE" w:rsidR="00BB17EE">
        <w:rPr>
          <w:b/>
          <w:bCs/>
        </w:rPr>
        <w:t>AChR</w:t>
      </w:r>
      <w:r w:rsidRPr="00BB17EE" w:rsidR="00BB17EE">
        <w:t>”), as set out in the Final Draft Guidance document ID4008 (“</w:t>
      </w:r>
      <w:r w:rsidRPr="00BB17EE" w:rsidR="00BB17EE">
        <w:rPr>
          <w:b/>
          <w:bCs/>
        </w:rPr>
        <w:t>the Draft Guidance</w:t>
      </w:r>
      <w:r w:rsidRPr="00BB17EE" w:rsidR="00BB17EE">
        <w:t>” or “</w:t>
      </w:r>
      <w:r w:rsidRPr="00BB17EE" w:rsidR="00BB17EE">
        <w:rPr>
          <w:b/>
          <w:bCs/>
        </w:rPr>
        <w:t>FDG</w:t>
      </w:r>
      <w:r w:rsidRPr="00BB17EE" w:rsidR="00BB17EE">
        <w:t>”).</w:t>
      </w:r>
    </w:p>
    <w:p w:rsidR="00BB17EE" w:rsidP="008F0D86" w:rsidRDefault="00BB17EE" w14:paraId="75F3296D" w14:textId="77777777">
      <w:pPr>
        <w:pStyle w:val="ListParagraph"/>
        <w:spacing w:after="0" w:line="276" w:lineRule="auto"/>
        <w:ind w:left="1080"/>
        <w:jc w:val="both"/>
      </w:pPr>
    </w:p>
    <w:p w:rsidR="00BB17EE" w:rsidP="008F0D86" w:rsidRDefault="00BB17EE" w14:paraId="4A57797B" w14:textId="7C823548">
      <w:pPr>
        <w:pStyle w:val="ListParagraph"/>
        <w:numPr>
          <w:ilvl w:val="0"/>
          <w:numId w:val="1"/>
        </w:numPr>
        <w:spacing w:after="0" w:line="276" w:lineRule="auto"/>
        <w:jc w:val="both"/>
      </w:pPr>
      <w:r w:rsidRPr="00BB17EE">
        <w:t>We are appealing this decision because it is procedurally unfair and irrational and will lead to</w:t>
      </w:r>
      <w:r w:rsidR="005678E7">
        <w:t xml:space="preserve"> </w:t>
      </w:r>
      <w:r w:rsidRPr="00BB17EE">
        <w:t xml:space="preserve">hundreds of gMG patients missing out on this highly effective, well-tolerated treatment which improves quality of life for patients and carers. </w:t>
      </w:r>
      <w:r w:rsidR="006A0716">
        <w:t>It will have the effect of further isolating patients with gMG, particularly those who do not respond to the other treatment options discussed below, leaving them with fewer alternatives and worsening their quality of life.</w:t>
      </w:r>
    </w:p>
    <w:p w:rsidRPr="00BB17EE" w:rsidR="00BB17EE" w:rsidP="008F0D86" w:rsidRDefault="00BB17EE" w14:paraId="7A05B2F2" w14:textId="77777777">
      <w:pPr>
        <w:pStyle w:val="ListParagraph"/>
        <w:spacing w:after="0" w:line="276" w:lineRule="auto"/>
        <w:ind w:left="1080"/>
        <w:jc w:val="both"/>
      </w:pPr>
    </w:p>
    <w:p w:rsidR="00BB17EE" w:rsidP="008F0D86" w:rsidRDefault="00BB17EE" w14:paraId="23126818" w14:textId="57A3AC3C">
      <w:pPr>
        <w:pStyle w:val="ListParagraph"/>
        <w:numPr>
          <w:ilvl w:val="0"/>
          <w:numId w:val="1"/>
        </w:numPr>
        <w:spacing w:after="0" w:line="276" w:lineRule="auto"/>
        <w:jc w:val="both"/>
      </w:pPr>
      <w:r w:rsidRPr="00BB17EE">
        <w:t>Generalised myasthenia gravis is a rare and debilitating autoimmune condition. Typical symptoms include muscle weakness, fatigue, and problems with breathing, speaking, seeing and concentrating. This has a substantial impact on patients’ daily activities and their ability to work, and results in many patients regularly needing a high level of care. The condition is incurable, and current treatments are associated with side effects, particularly when multiple treatments are tried simultaneously. For patients whose condition does not improve with standard treatment (“</w:t>
      </w:r>
      <w:r w:rsidRPr="00BB17EE">
        <w:rPr>
          <w:b/>
          <w:bCs/>
        </w:rPr>
        <w:t>refractory gMG</w:t>
      </w:r>
      <w:r w:rsidRPr="00BB17EE">
        <w:t>”), there are limited options available. Such patients will typically have intravenous immunoglobulin (“</w:t>
      </w:r>
      <w:r w:rsidRPr="00BB17EE">
        <w:rPr>
          <w:b/>
          <w:bCs/>
        </w:rPr>
        <w:t>IVIg</w:t>
      </w:r>
      <w:r w:rsidRPr="00BB17EE">
        <w:t>”) or plasma exchange (“</w:t>
      </w:r>
      <w:r w:rsidRPr="00BB17EE">
        <w:rPr>
          <w:b/>
          <w:bCs/>
        </w:rPr>
        <w:t>PLEX</w:t>
      </w:r>
      <w:r w:rsidRPr="00BB17EE">
        <w:t>”), both of which require regular hospital visits and result in a high treatment burden.</w:t>
      </w:r>
    </w:p>
    <w:p w:rsidR="008C0260" w:rsidP="008F0D86" w:rsidRDefault="008C0260" w14:paraId="22FAA8FD" w14:textId="77777777">
      <w:pPr>
        <w:pStyle w:val="ListParagraph"/>
        <w:spacing w:after="0" w:line="276" w:lineRule="auto"/>
        <w:jc w:val="both"/>
      </w:pPr>
    </w:p>
    <w:p w:rsidR="008C0260" w:rsidP="008F0D86" w:rsidRDefault="008C0260" w14:paraId="57423BBD" w14:textId="763A8D6D">
      <w:pPr>
        <w:pStyle w:val="ListParagraph"/>
        <w:numPr>
          <w:ilvl w:val="0"/>
          <w:numId w:val="1"/>
        </w:numPr>
        <w:spacing w:after="0" w:line="276" w:lineRule="auto"/>
        <w:jc w:val="both"/>
      </w:pPr>
      <w:r>
        <w:t xml:space="preserve">Zilucoplan is a self-administered treatment </w:t>
      </w:r>
      <w:r w:rsidR="00A766C4">
        <w:t>which, if recommended, would be used only for patients with severe refractory gMG, a</w:t>
      </w:r>
      <w:r w:rsidR="0094285C">
        <w:t>s an add-on treatment for patients who are considered for, or on long-term use of, IVIg or PLEX.</w:t>
      </w:r>
      <w:r w:rsidR="00C358E3">
        <w:rPr>
          <w:rStyle w:val="FootnoteReference"/>
        </w:rPr>
        <w:footnoteReference w:id="1"/>
      </w:r>
      <w:r w:rsidR="0094285C">
        <w:t xml:space="preserve"> It offers a clinically meaningful advance in care by:</w:t>
      </w:r>
    </w:p>
    <w:p w:rsidR="006C5C11" w:rsidP="008F0D86" w:rsidRDefault="006C5C11" w14:paraId="50C98E98" w14:textId="77777777">
      <w:pPr>
        <w:pStyle w:val="ListParagraph"/>
        <w:spacing w:after="0" w:line="276" w:lineRule="auto"/>
        <w:jc w:val="both"/>
      </w:pPr>
    </w:p>
    <w:p w:rsidR="006C5C11" w:rsidP="008F0D86" w:rsidRDefault="009405C3" w14:paraId="1AB299F8" w14:textId="3E77F94B">
      <w:pPr>
        <w:pStyle w:val="ListParagraph"/>
        <w:numPr>
          <w:ilvl w:val="1"/>
          <w:numId w:val="1"/>
        </w:numPr>
        <w:spacing w:after="0" w:line="276" w:lineRule="auto"/>
        <w:jc w:val="both"/>
      </w:pPr>
      <w:r>
        <w:t xml:space="preserve">Improving symptoms and patients’ ability to carry out their normal activities compared with standard treatment alone. </w:t>
      </w:r>
    </w:p>
    <w:p w:rsidR="00953416" w:rsidP="008F0D86" w:rsidRDefault="00953416" w14:paraId="662B2A89" w14:textId="77777777">
      <w:pPr>
        <w:pStyle w:val="ListParagraph"/>
        <w:spacing w:after="0" w:line="276" w:lineRule="auto"/>
        <w:ind w:left="1440"/>
        <w:jc w:val="both"/>
      </w:pPr>
    </w:p>
    <w:p w:rsidR="00953416" w:rsidP="008F0D86" w:rsidRDefault="00953416" w14:paraId="55685215" w14:textId="321E06DE">
      <w:pPr>
        <w:pStyle w:val="ListParagraph"/>
        <w:numPr>
          <w:ilvl w:val="1"/>
          <w:numId w:val="1"/>
        </w:numPr>
        <w:spacing w:after="0" w:line="276" w:lineRule="auto"/>
        <w:jc w:val="both"/>
      </w:pPr>
      <w:r>
        <w:t>Reducing reliance on hospital-based treatments such as IVIg and PLEX.</w:t>
      </w:r>
    </w:p>
    <w:p w:rsidR="00953416" w:rsidP="008F0D86" w:rsidRDefault="00953416" w14:paraId="5ACEF875" w14:textId="77777777">
      <w:pPr>
        <w:pStyle w:val="ListParagraph"/>
        <w:spacing w:after="0" w:line="276" w:lineRule="auto"/>
        <w:ind w:left="1440"/>
        <w:jc w:val="both"/>
      </w:pPr>
    </w:p>
    <w:p w:rsidR="00953416" w:rsidP="008F0D86" w:rsidRDefault="00953416" w14:paraId="1E21D9CE" w14:textId="754D6E14">
      <w:pPr>
        <w:pStyle w:val="ListParagraph"/>
        <w:numPr>
          <w:ilvl w:val="1"/>
          <w:numId w:val="1"/>
        </w:numPr>
        <w:spacing w:after="0" w:line="276" w:lineRule="auto"/>
        <w:jc w:val="both"/>
      </w:pPr>
      <w:r>
        <w:t>Enabling corticosteroid tapering and reducing their associated harms.</w:t>
      </w:r>
    </w:p>
    <w:p w:rsidR="00CC2C09" w:rsidP="008F0D86" w:rsidRDefault="00CC2C09" w14:paraId="1ADF9FA9" w14:textId="77777777">
      <w:pPr>
        <w:pStyle w:val="ListParagraph"/>
        <w:spacing w:after="0" w:line="276" w:lineRule="auto"/>
        <w:jc w:val="both"/>
      </w:pPr>
    </w:p>
    <w:p w:rsidR="00CC2C09" w:rsidP="008F0D86" w:rsidRDefault="00CC2C09" w14:paraId="1039F7AF" w14:textId="2A05A556">
      <w:pPr>
        <w:pStyle w:val="ListParagraph"/>
        <w:numPr>
          <w:ilvl w:val="1"/>
          <w:numId w:val="1"/>
        </w:numPr>
        <w:spacing w:after="0" w:line="276" w:lineRule="auto"/>
        <w:jc w:val="both"/>
      </w:pPr>
      <w:r>
        <w:t>Improving quality of life for carers</w:t>
      </w:r>
      <w:r w:rsidR="006971C7">
        <w:t>.</w:t>
      </w:r>
    </w:p>
    <w:p w:rsidR="00953416" w:rsidP="008F0D86" w:rsidRDefault="00953416" w14:paraId="504F94DA" w14:textId="77777777">
      <w:pPr>
        <w:pStyle w:val="ListParagraph"/>
        <w:spacing w:after="0" w:line="276" w:lineRule="auto"/>
        <w:ind w:left="1440"/>
        <w:jc w:val="both"/>
      </w:pPr>
    </w:p>
    <w:p w:rsidR="00953416" w:rsidP="008F0D86" w:rsidRDefault="00953416" w14:paraId="00978043" w14:textId="77777777">
      <w:pPr>
        <w:pStyle w:val="ListParagraph"/>
        <w:numPr>
          <w:ilvl w:val="1"/>
          <w:numId w:val="1"/>
        </w:numPr>
        <w:spacing w:after="0" w:line="276" w:lineRule="auto"/>
        <w:jc w:val="both"/>
      </w:pPr>
      <w:r>
        <w:t>Addressing a high unmet need in a rare, severely disabling condition.</w:t>
      </w:r>
    </w:p>
    <w:p w:rsidR="00953416" w:rsidP="008F0D86" w:rsidRDefault="00953416" w14:paraId="1EAB9E84" w14:textId="77777777">
      <w:pPr>
        <w:pStyle w:val="ListParagraph"/>
        <w:spacing w:after="0" w:line="276" w:lineRule="auto"/>
        <w:jc w:val="both"/>
      </w:pPr>
    </w:p>
    <w:p w:rsidR="00953416" w:rsidP="008F0D86" w:rsidRDefault="00D33B7A" w14:paraId="638C7684" w14:textId="22906E1B">
      <w:pPr>
        <w:spacing w:after="0" w:line="276" w:lineRule="auto"/>
        <w:contextualSpacing/>
        <w:jc w:val="both"/>
        <w:rPr>
          <w:b/>
          <w:bCs/>
        </w:rPr>
      </w:pPr>
      <w:r>
        <w:rPr>
          <w:b/>
          <w:bCs/>
        </w:rPr>
        <w:t xml:space="preserve">Appeal Points </w:t>
      </w:r>
    </w:p>
    <w:p w:rsidR="00D33B7A" w:rsidP="008F0D86" w:rsidRDefault="00D33B7A" w14:paraId="478A507F" w14:textId="77777777">
      <w:pPr>
        <w:spacing w:after="0" w:line="276" w:lineRule="auto"/>
        <w:contextualSpacing/>
        <w:jc w:val="both"/>
        <w:rPr>
          <w:b/>
          <w:bCs/>
        </w:rPr>
      </w:pPr>
    </w:p>
    <w:p w:rsidR="00D33B7A" w:rsidP="008F0D86" w:rsidRDefault="00207AA8" w14:paraId="29239D83" w14:textId="60CECEDC">
      <w:pPr>
        <w:pStyle w:val="ListParagraph"/>
        <w:numPr>
          <w:ilvl w:val="0"/>
          <w:numId w:val="1"/>
        </w:numPr>
        <w:spacing w:after="0" w:line="276" w:lineRule="auto"/>
        <w:jc w:val="both"/>
      </w:pPr>
      <w:r w:rsidRPr="00207AA8">
        <w:t>There are several points on which we base this appeal, covering the following grounds:</w:t>
      </w:r>
    </w:p>
    <w:p w:rsidR="004A013E" w:rsidP="00705175" w:rsidRDefault="004A013E" w14:paraId="470085D5" w14:textId="77777777">
      <w:pPr>
        <w:spacing w:after="0" w:line="276" w:lineRule="auto"/>
        <w:jc w:val="both"/>
      </w:pPr>
    </w:p>
    <w:p w:rsidR="004A013E" w:rsidP="008F0D86" w:rsidRDefault="004A013E" w14:paraId="59F877B8" w14:textId="77777777">
      <w:pPr>
        <w:pStyle w:val="ListParagraph"/>
        <w:numPr>
          <w:ilvl w:val="1"/>
          <w:numId w:val="1"/>
        </w:numPr>
        <w:spacing w:after="0" w:line="276" w:lineRule="auto"/>
        <w:jc w:val="both"/>
      </w:pPr>
      <w:r>
        <w:t>Ground 2 – The recommendation is unreasonable in light of the evidence submitted.</w:t>
      </w:r>
    </w:p>
    <w:p w:rsidR="004A013E" w:rsidP="008F0D86" w:rsidRDefault="004A013E" w14:paraId="798412CB" w14:textId="77777777">
      <w:pPr>
        <w:pStyle w:val="ListParagraph"/>
        <w:spacing w:after="0" w:line="276" w:lineRule="auto"/>
        <w:ind w:left="1440"/>
        <w:jc w:val="both"/>
      </w:pPr>
    </w:p>
    <w:p w:rsidR="004A013E" w:rsidP="008F0D86" w:rsidRDefault="004A013E" w14:paraId="0F7D0AB7" w14:textId="100FFA88">
      <w:pPr>
        <w:pStyle w:val="ListParagraph"/>
        <w:numPr>
          <w:ilvl w:val="0"/>
          <w:numId w:val="1"/>
        </w:numPr>
        <w:spacing w:after="0" w:line="276" w:lineRule="auto"/>
        <w:jc w:val="both"/>
      </w:pPr>
      <w:r>
        <w:t>Each ground is examined below in further detail.</w:t>
      </w:r>
    </w:p>
    <w:p w:rsidR="004A013E" w:rsidP="008F0D86" w:rsidRDefault="004A013E" w14:paraId="4EBDECF6" w14:textId="77777777">
      <w:pPr>
        <w:spacing w:after="0" w:line="276" w:lineRule="auto"/>
        <w:contextualSpacing/>
        <w:jc w:val="both"/>
      </w:pPr>
    </w:p>
    <w:p w:rsidR="00A5737F" w:rsidP="008F0D86" w:rsidRDefault="001A1043" w14:paraId="2A3D165E" w14:textId="06EB6182">
      <w:pPr>
        <w:spacing w:after="0" w:line="276" w:lineRule="auto"/>
        <w:contextualSpacing/>
        <w:jc w:val="both"/>
        <w:rPr>
          <w:b/>
          <w:bCs/>
        </w:rPr>
      </w:pPr>
      <w:r w:rsidRPr="004B6127">
        <w:rPr>
          <w:b/>
          <w:bCs/>
        </w:rPr>
        <w:t>Ground 2: The recommendation is unreasonable in light of the evidence submitted.</w:t>
      </w:r>
    </w:p>
    <w:p w:rsidR="004B6127" w:rsidP="008F0D86" w:rsidRDefault="004B6127" w14:paraId="2F76CC46" w14:textId="77777777">
      <w:pPr>
        <w:spacing w:after="0" w:line="276" w:lineRule="auto"/>
        <w:contextualSpacing/>
        <w:jc w:val="both"/>
      </w:pPr>
    </w:p>
    <w:p w:rsidR="00120E9D" w:rsidP="008F0D86" w:rsidRDefault="00AF6323" w14:paraId="76261B2B" w14:textId="702F118C">
      <w:pPr>
        <w:pStyle w:val="ListParagraph"/>
        <w:numPr>
          <w:ilvl w:val="0"/>
          <w:numId w:val="1"/>
        </w:numPr>
        <w:spacing w:after="0" w:line="276" w:lineRule="auto"/>
        <w:jc w:val="both"/>
      </w:pPr>
      <w:r>
        <w:t>NICE did not recommend Zilucoplan because</w:t>
      </w:r>
      <w:r w:rsidR="00D21676">
        <w:t>, in its view, the “</w:t>
      </w:r>
      <w:r w:rsidRPr="00636089" w:rsidR="00D21676">
        <w:rPr>
          <w:i/>
          <w:iCs/>
        </w:rPr>
        <w:t>most likely cost-effectiveness estimates are substantially above the range NICE considers an acceptable use of NHS resources</w:t>
      </w:r>
      <w:r w:rsidR="00D21676">
        <w:t>”.</w:t>
      </w:r>
      <w:r w:rsidR="00636089">
        <w:t xml:space="preserve"> The assumptions underpinning NICE’s economic model</w:t>
      </w:r>
      <w:r w:rsidR="00B8418C">
        <w:t xml:space="preserve">, which informed the conclusion that the ICER for Zilucoplan was outside the acceptable range, are set out in §3.27 of the FDG. </w:t>
      </w:r>
      <w:r w:rsidR="00184072">
        <w:t>Each of the assumptions challenged below on the ground of irrationality</w:t>
      </w:r>
      <w:r w:rsidR="00F66C0F">
        <w:t xml:space="preserve"> therefore</w:t>
      </w:r>
      <w:r w:rsidR="00184072">
        <w:t xml:space="preserve"> f</w:t>
      </w:r>
      <w:r w:rsidR="005262A1">
        <w:t xml:space="preserve">ormed a material part of the cost-effectiveness modelling and </w:t>
      </w:r>
      <w:r w:rsidR="00F66C0F">
        <w:t>will have</w:t>
      </w:r>
      <w:r w:rsidR="005262A1">
        <w:t xml:space="preserve"> impacted upon </w:t>
      </w:r>
      <w:r w:rsidR="0015324E">
        <w:t>NICE’s</w:t>
      </w:r>
      <w:r w:rsidR="005262A1">
        <w:t xml:space="preserve"> decision not to recommend Zilucoplan for gMG patients.</w:t>
      </w:r>
    </w:p>
    <w:p w:rsidR="00120E9D" w:rsidP="008F0D86" w:rsidRDefault="00120E9D" w14:paraId="5B89D6AE" w14:textId="77777777">
      <w:pPr>
        <w:spacing w:after="0" w:line="276" w:lineRule="auto"/>
        <w:contextualSpacing/>
        <w:jc w:val="both"/>
      </w:pPr>
    </w:p>
    <w:p w:rsidR="00D7336E" w:rsidP="008F0D86" w:rsidRDefault="00D7336E" w14:paraId="5483C203" w14:textId="653B0F7B">
      <w:pPr>
        <w:spacing w:after="0" w:line="276" w:lineRule="auto"/>
        <w:contextualSpacing/>
        <w:jc w:val="both"/>
        <w:rPr>
          <w:b/>
          <w:bCs/>
        </w:rPr>
      </w:pPr>
      <w:r w:rsidRPr="00004CF1">
        <w:rPr>
          <w:b/>
          <w:bCs/>
        </w:rPr>
        <w:t xml:space="preserve">2.1 NICE’s conclusion that </w:t>
      </w:r>
      <w:r>
        <w:rPr>
          <w:b/>
          <w:bCs/>
        </w:rPr>
        <w:t xml:space="preserve">the appropriate comparator is a </w:t>
      </w:r>
      <w:r w:rsidRPr="00D7336E">
        <w:rPr>
          <w:b/>
          <w:bCs/>
        </w:rPr>
        <w:t>‘basket’ of standard care, with some</w:t>
      </w:r>
      <w:r>
        <w:rPr>
          <w:b/>
          <w:bCs/>
        </w:rPr>
        <w:t xml:space="preserve"> </w:t>
      </w:r>
      <w:r w:rsidRPr="00D7336E">
        <w:rPr>
          <w:b/>
          <w:bCs/>
        </w:rPr>
        <w:t>people having IVIg, some having PLEX, and some having neither</w:t>
      </w:r>
      <w:r>
        <w:rPr>
          <w:b/>
          <w:bCs/>
        </w:rPr>
        <w:t xml:space="preserve">, </w:t>
      </w:r>
      <w:r w:rsidRPr="00004CF1">
        <w:rPr>
          <w:b/>
          <w:bCs/>
        </w:rPr>
        <w:t xml:space="preserve">is unreasonable. </w:t>
      </w:r>
    </w:p>
    <w:p w:rsidR="00D7336E" w:rsidP="008F0D86" w:rsidRDefault="00D7336E" w14:paraId="17F44D53" w14:textId="77777777">
      <w:pPr>
        <w:spacing w:after="0" w:line="276" w:lineRule="auto"/>
        <w:contextualSpacing/>
        <w:jc w:val="both"/>
      </w:pPr>
    </w:p>
    <w:p w:rsidR="00D7336E" w:rsidP="008F0D86" w:rsidRDefault="00D7336E" w14:paraId="12472DDD" w14:textId="4B6BB2C8">
      <w:pPr>
        <w:pStyle w:val="ListParagraph"/>
        <w:numPr>
          <w:ilvl w:val="0"/>
          <w:numId w:val="1"/>
        </w:numPr>
        <w:spacing w:after="0" w:line="276" w:lineRule="auto"/>
        <w:jc w:val="both"/>
      </w:pPr>
      <w:r>
        <w:t xml:space="preserve">This preferred assumption is listed in </w:t>
      </w:r>
      <w:r w:rsidRPr="00F66C0F">
        <w:rPr>
          <w:b/>
          <w:bCs/>
        </w:rPr>
        <w:t xml:space="preserve">the </w:t>
      </w:r>
      <w:r>
        <w:rPr>
          <w:b/>
          <w:bCs/>
        </w:rPr>
        <w:t>second</w:t>
      </w:r>
      <w:r w:rsidRPr="00F66C0F">
        <w:rPr>
          <w:b/>
          <w:bCs/>
        </w:rPr>
        <w:t xml:space="preserve"> bullet point of §3.27</w:t>
      </w:r>
      <w:r>
        <w:t xml:space="preserve"> and considered in §3.4 of the FDG. </w:t>
      </w:r>
    </w:p>
    <w:p w:rsidR="00D7336E" w:rsidP="008F0D86" w:rsidRDefault="00D7336E" w14:paraId="4FB7406A" w14:textId="77777777">
      <w:pPr>
        <w:pStyle w:val="ListParagraph"/>
        <w:spacing w:after="0" w:line="276" w:lineRule="auto"/>
        <w:jc w:val="both"/>
      </w:pPr>
    </w:p>
    <w:p w:rsidR="00E559A1" w:rsidP="008F0D86" w:rsidRDefault="00D7336E" w14:paraId="577EAC4C" w14:textId="27AAA4BD">
      <w:pPr>
        <w:pStyle w:val="ListParagraph"/>
        <w:numPr>
          <w:ilvl w:val="0"/>
          <w:numId w:val="1"/>
        </w:numPr>
        <w:spacing w:after="0" w:line="276" w:lineRule="auto"/>
        <w:jc w:val="both"/>
      </w:pPr>
      <w:r>
        <w:t xml:space="preserve">The </w:t>
      </w:r>
      <w:r w:rsidR="00E559A1">
        <w:t xml:space="preserve">choice of comparator for Zilucoplan was critical to the modelling of its cost-effectiveness. </w:t>
      </w:r>
      <w:r>
        <w:t>UCB Pharma (“</w:t>
      </w:r>
      <w:r w:rsidRPr="00E559A1">
        <w:rPr>
          <w:b/>
          <w:bCs/>
        </w:rPr>
        <w:t>the company</w:t>
      </w:r>
      <w:r>
        <w:t xml:space="preserve">”) </w:t>
      </w:r>
      <w:r w:rsidR="00E559A1">
        <w:t>proposed at ACM1 the use of IVIg and PLEX as comparators, excluding corticosteroids and</w:t>
      </w:r>
      <w:r w:rsidRPr="00E559A1" w:rsidR="00E559A1">
        <w:t xml:space="preserve"> non-steroidal immunosuppressant treatments</w:t>
      </w:r>
      <w:r w:rsidR="00E559A1">
        <w:t xml:space="preserve"> (“</w:t>
      </w:r>
      <w:r w:rsidRPr="00E559A1" w:rsidR="00E559A1">
        <w:rPr>
          <w:b/>
          <w:bCs/>
        </w:rPr>
        <w:t>NSISTs</w:t>
      </w:r>
      <w:r w:rsidR="00E559A1">
        <w:t>”).</w:t>
      </w:r>
      <w:r w:rsidR="00E559A1">
        <w:rPr>
          <w:rStyle w:val="FootnoteReference"/>
        </w:rPr>
        <w:footnoteReference w:id="2"/>
      </w:r>
      <w:r w:rsidR="00E559A1">
        <w:t xml:space="preserve"> But the Committee decided instead to use a ‘basket’ of standard care as the comparator, including corticosteroids and NSISTs in both arms of the model. </w:t>
      </w:r>
    </w:p>
    <w:p w:rsidR="00E559A1" w:rsidP="00920937" w:rsidRDefault="00E559A1" w14:paraId="1ECD7647" w14:textId="77777777">
      <w:pPr>
        <w:pStyle w:val="ListParagraph"/>
        <w:jc w:val="both"/>
      </w:pPr>
    </w:p>
    <w:p w:rsidR="00D7336E" w:rsidP="008F0D86" w:rsidRDefault="00E559A1" w14:paraId="442F0723" w14:textId="5D0778D7">
      <w:pPr>
        <w:pStyle w:val="ListParagraph"/>
        <w:numPr>
          <w:ilvl w:val="0"/>
          <w:numId w:val="1"/>
        </w:numPr>
        <w:spacing w:after="0" w:line="276" w:lineRule="auto"/>
        <w:jc w:val="both"/>
      </w:pPr>
      <w:r>
        <w:t>The Committee’s conclusion was irrational, for the following reasons:</w:t>
      </w:r>
    </w:p>
    <w:p w:rsidR="00E559A1" w:rsidP="00920937" w:rsidRDefault="00E559A1" w14:paraId="69225205" w14:textId="77777777">
      <w:pPr>
        <w:pStyle w:val="ListParagraph"/>
        <w:jc w:val="both"/>
      </w:pPr>
    </w:p>
    <w:p w:rsidR="00E559A1" w:rsidP="008F0D86" w:rsidRDefault="00206E3A" w14:paraId="453A502B" w14:textId="5AE752D8">
      <w:pPr>
        <w:pStyle w:val="ListParagraph"/>
        <w:numPr>
          <w:ilvl w:val="0"/>
          <w:numId w:val="7"/>
        </w:numPr>
        <w:spacing w:after="0" w:line="276" w:lineRule="auto"/>
        <w:ind w:left="1701" w:hanging="567"/>
        <w:jc w:val="both"/>
      </w:pPr>
      <w:r>
        <w:t>As the company explained in response to the first draft guidance consultation,</w:t>
      </w:r>
      <w:r>
        <w:rPr>
          <w:rStyle w:val="FootnoteReference"/>
        </w:rPr>
        <w:footnoteReference w:id="3"/>
      </w:r>
      <w:r>
        <w:t xml:space="preserve"> Zilucoplan is not a therapy that is taken in combination with others but, rather, is likely to displace IVIg and PLEX for people with gMG. </w:t>
      </w:r>
    </w:p>
    <w:p w:rsidR="00206E3A" w:rsidP="008F0D86" w:rsidRDefault="00206E3A" w14:paraId="4C7BED87" w14:textId="77777777">
      <w:pPr>
        <w:spacing w:after="0" w:line="276" w:lineRule="auto"/>
        <w:jc w:val="both"/>
      </w:pPr>
    </w:p>
    <w:p w:rsidRPr="00EC56D9" w:rsidR="00206E3A" w:rsidP="008F0D86" w:rsidRDefault="00206E3A" w14:paraId="06D418CE" w14:textId="2A5CBD88">
      <w:pPr>
        <w:pStyle w:val="ListParagraph"/>
        <w:numPr>
          <w:ilvl w:val="0"/>
          <w:numId w:val="7"/>
        </w:numPr>
        <w:spacing w:after="0" w:line="276" w:lineRule="auto"/>
        <w:ind w:left="1701" w:hanging="567"/>
        <w:jc w:val="both"/>
      </w:pPr>
      <w:r>
        <w:t>Insofar as the Committee relied, in support of this decision, on clinical experts’ commentary about varying access to IVIg and PLEX across the NHS,</w:t>
      </w:r>
      <w:r>
        <w:rPr>
          <w:rStyle w:val="FootnoteReference"/>
        </w:rPr>
        <w:footnoteReference w:id="4"/>
      </w:r>
      <w:r>
        <w:t xml:space="preserve"> it was unreasonable to do so. As comments from clinical experts on the draft guidance document following ACM2 </w:t>
      </w:r>
      <w:r w:rsidR="008F0D86">
        <w:t xml:space="preserve">(see, eg, </w:t>
      </w:r>
      <w:r w:rsidR="008F0D86">
        <w:rPr>
          <w:b/>
          <w:bCs/>
        </w:rPr>
        <w:t xml:space="preserve">p.83 and p.93 of the Committee Papers </w:t>
      </w:r>
      <w:r w:rsidRPr="008F0D86" w:rsidR="008F0D86">
        <w:rPr>
          <w:b/>
          <w:bCs/>
        </w:rPr>
        <w:t>for ACM3</w:t>
      </w:r>
      <w:r w:rsidR="008F0D86">
        <w:rPr>
          <w:b/>
          <w:bCs/>
        </w:rPr>
        <w:t xml:space="preserve"> </w:t>
      </w:r>
      <w:r w:rsidR="008F0D86">
        <w:t xml:space="preserve">as well as Myaware’s response on </w:t>
      </w:r>
      <w:r w:rsidR="008F0D86">
        <w:rPr>
          <w:b/>
          <w:bCs/>
        </w:rPr>
        <w:t>p.88</w:t>
      </w:r>
      <w:r w:rsidR="008F0D86">
        <w:t xml:space="preserve">) </w:t>
      </w:r>
      <w:r w:rsidRPr="008F0D86">
        <w:t>made</w:t>
      </w:r>
      <w:r>
        <w:t xml:space="preserve"> clear, the majority of patients who take Zilucoplan are likely already to be on regular IVIg and/or PLEX: they will be a refractory population</w:t>
      </w:r>
      <w:r w:rsidR="00AE5B72">
        <w:t xml:space="preserve"> with very limited options</w:t>
      </w:r>
      <w:r>
        <w:t>, most of whom either do not respond to ‘rescue therapies’ such as PLEX or IVIg or who are unable to provide vascular access for such therapies.</w:t>
      </w:r>
      <w:r w:rsidR="00AE5B72">
        <w:t xml:space="preserve"> To put it simply: a central question in choosing a comparator is what Zilucoplan is most </w:t>
      </w:r>
      <w:r w:rsidRPr="00EC56D9" w:rsidR="00AE5B72">
        <w:t>likely to be displacing, and Myaware agrees with the company that on this issue, the appropriate treatments are PLEX and IVIg.</w:t>
      </w:r>
    </w:p>
    <w:p w:rsidRPr="00EC56D9" w:rsidR="00AE5B72" w:rsidP="00920937" w:rsidRDefault="00AE5B72" w14:paraId="0E759B96" w14:textId="77777777">
      <w:pPr>
        <w:pStyle w:val="ListParagraph"/>
        <w:jc w:val="both"/>
      </w:pPr>
    </w:p>
    <w:p w:rsidRPr="00920937" w:rsidR="00AE5B72" w:rsidP="008F0D86" w:rsidRDefault="00AE5B72" w14:paraId="284C340D" w14:textId="66AA79A2">
      <w:pPr>
        <w:pStyle w:val="ListParagraph"/>
        <w:numPr>
          <w:ilvl w:val="0"/>
          <w:numId w:val="7"/>
        </w:numPr>
        <w:spacing w:after="0" w:line="276" w:lineRule="auto"/>
        <w:ind w:left="1701" w:hanging="567"/>
        <w:jc w:val="both"/>
      </w:pPr>
      <w:r w:rsidRPr="00EC56D9">
        <w:t xml:space="preserve">Myaware would also add that Zilucoplan is a treatment that is taken after patients no longer respond to their current treatment options. The very decision to compare it to a ‘basket’ of standard care is inherently problematic, given the heterogeneous patient population and the likely cohort, and risks understating the treatment’s benefits. </w:t>
      </w:r>
      <w:r w:rsidRPr="00920937" w:rsidR="00E561D1">
        <w:t xml:space="preserve">This is </w:t>
      </w:r>
      <w:r w:rsidRPr="00920937" w:rsidR="008F0D86">
        <w:t xml:space="preserve">a point that was </w:t>
      </w:r>
      <w:r w:rsidRPr="00920937" w:rsidR="00E561D1">
        <w:t>highlighted</w:t>
      </w:r>
      <w:r w:rsidRPr="00920937" w:rsidR="008F0D86">
        <w:t xml:space="preserve"> to the Committee at different stages of the appeal: see, for example,</w:t>
      </w:r>
      <w:r w:rsidRPr="00920937" w:rsidR="00E561D1">
        <w:t xml:space="preserve"> </w:t>
      </w:r>
      <w:r w:rsidRPr="00920937" w:rsidR="00E561D1">
        <w:rPr>
          <w:b/>
          <w:bCs/>
        </w:rPr>
        <w:t>p</w:t>
      </w:r>
      <w:r w:rsidRPr="00920937" w:rsidR="008F0D86">
        <w:rPr>
          <w:b/>
          <w:bCs/>
        </w:rPr>
        <w:t>.</w:t>
      </w:r>
      <w:r w:rsidRPr="00920937" w:rsidR="00E561D1">
        <w:rPr>
          <w:b/>
          <w:bCs/>
        </w:rPr>
        <w:t xml:space="preserve">54 of </w:t>
      </w:r>
      <w:r w:rsidRPr="00920937" w:rsidR="008F0D86">
        <w:rPr>
          <w:b/>
          <w:bCs/>
        </w:rPr>
        <w:t>the Committee Papers for ACM</w:t>
      </w:r>
      <w:r w:rsidRPr="00920937" w:rsidR="00E561D1">
        <w:rPr>
          <w:b/>
          <w:bCs/>
        </w:rPr>
        <w:t>3</w:t>
      </w:r>
      <w:r w:rsidRPr="00920937" w:rsidR="00E561D1">
        <w:t>, which identifies this subset of refractory patient</w:t>
      </w:r>
      <w:r w:rsidRPr="00920937" w:rsidR="008F0D86">
        <w:t>, and also t</w:t>
      </w:r>
      <w:r w:rsidRPr="00920937" w:rsidR="00E561D1">
        <w:t xml:space="preserve">he patient testimony provided </w:t>
      </w:r>
      <w:r w:rsidRPr="00920937" w:rsidR="008F0D86">
        <w:t xml:space="preserve">at </w:t>
      </w:r>
      <w:r w:rsidRPr="00920937" w:rsidR="008F0D86">
        <w:rPr>
          <w:b/>
          <w:bCs/>
        </w:rPr>
        <w:t>pp.</w:t>
      </w:r>
      <w:r w:rsidRPr="00920937" w:rsidR="00E561D1">
        <w:rPr>
          <w:b/>
          <w:bCs/>
        </w:rPr>
        <w:t>288-305</w:t>
      </w:r>
      <w:r w:rsidRPr="00920937" w:rsidR="00E561D1">
        <w:t xml:space="preserve"> </w:t>
      </w:r>
      <w:r w:rsidRPr="00920937" w:rsidR="00E561D1">
        <w:rPr>
          <w:b/>
          <w:bCs/>
        </w:rPr>
        <w:t xml:space="preserve">of the </w:t>
      </w:r>
      <w:r w:rsidRPr="00920937" w:rsidR="008F0D86">
        <w:rPr>
          <w:b/>
          <w:bCs/>
        </w:rPr>
        <w:t>C</w:t>
      </w:r>
      <w:r w:rsidRPr="00920937" w:rsidR="00E561D1">
        <w:rPr>
          <w:b/>
          <w:bCs/>
        </w:rPr>
        <w:t xml:space="preserve">ommittee </w:t>
      </w:r>
      <w:r w:rsidRPr="00920937" w:rsidR="008F0D86">
        <w:rPr>
          <w:b/>
          <w:bCs/>
        </w:rPr>
        <w:t>P</w:t>
      </w:r>
      <w:r w:rsidRPr="00920937" w:rsidR="00E561D1">
        <w:rPr>
          <w:b/>
          <w:bCs/>
        </w:rPr>
        <w:t>apers</w:t>
      </w:r>
      <w:r w:rsidRPr="00920937" w:rsidR="008F0D86">
        <w:rPr>
          <w:b/>
          <w:bCs/>
        </w:rPr>
        <w:t xml:space="preserve"> for ACM1</w:t>
      </w:r>
      <w:r w:rsidRPr="00920937" w:rsidR="008F0D86">
        <w:t>, which identify</w:t>
      </w:r>
      <w:r w:rsidRPr="00920937" w:rsidR="00E561D1">
        <w:t xml:space="preserve"> two experiences of minimal symptom control on </w:t>
      </w:r>
      <w:r w:rsidRPr="00920937" w:rsidR="008F0D86">
        <w:t>‘standard of care</w:t>
      </w:r>
      <w:r w:rsidRPr="00920937" w:rsidR="00EC56D9">
        <w:t>’</w:t>
      </w:r>
      <w:r w:rsidRPr="00920937" w:rsidR="008F0D86">
        <w:t xml:space="preserve"> (“</w:t>
      </w:r>
      <w:r w:rsidRPr="00920937" w:rsidR="00E561D1">
        <w:rPr>
          <w:b/>
          <w:bCs/>
        </w:rPr>
        <w:t>SoC</w:t>
      </w:r>
      <w:r w:rsidRPr="00920937" w:rsidR="008F0D86">
        <w:t>”)</w:t>
      </w:r>
      <w:r w:rsidRPr="00920937" w:rsidR="00E561D1">
        <w:t xml:space="preserve"> and fleeting control on IVIg and PLEX treatment, as well as the significant burden both options provide.</w:t>
      </w:r>
    </w:p>
    <w:p w:rsidRPr="00EC56D9" w:rsidR="00D7336E" w:rsidP="008F0D86" w:rsidRDefault="00D7336E" w14:paraId="3436934E" w14:textId="77777777">
      <w:pPr>
        <w:spacing w:after="0" w:line="276" w:lineRule="auto"/>
        <w:contextualSpacing/>
        <w:jc w:val="both"/>
        <w:rPr>
          <w:b/>
          <w:bCs/>
        </w:rPr>
      </w:pPr>
    </w:p>
    <w:p w:rsidR="004B6127" w:rsidP="008F0D86" w:rsidRDefault="00007CA3" w14:paraId="145E46C3" w14:textId="30A7BFA2">
      <w:pPr>
        <w:spacing w:after="0" w:line="276" w:lineRule="auto"/>
        <w:contextualSpacing/>
        <w:jc w:val="both"/>
        <w:rPr>
          <w:b/>
          <w:bCs/>
        </w:rPr>
      </w:pPr>
      <w:r w:rsidRPr="00EC56D9">
        <w:rPr>
          <w:b/>
          <w:bCs/>
        </w:rPr>
        <w:t>2.</w:t>
      </w:r>
      <w:r w:rsidRPr="00EC56D9" w:rsidR="00D7336E">
        <w:rPr>
          <w:b/>
          <w:bCs/>
        </w:rPr>
        <w:t>2</w:t>
      </w:r>
      <w:r w:rsidRPr="00EC56D9" w:rsidR="00C1161B">
        <w:rPr>
          <w:b/>
          <w:bCs/>
        </w:rPr>
        <w:t xml:space="preserve"> NICE’s conclusion that the overall EAMS</w:t>
      </w:r>
      <w:r w:rsidRPr="00004CF1" w:rsidR="00C1161B">
        <w:rPr>
          <w:b/>
          <w:bCs/>
        </w:rPr>
        <w:t xml:space="preserve"> cohort (n=48) </w:t>
      </w:r>
      <w:r w:rsidRPr="00004CF1" w:rsidR="00A55DC6">
        <w:rPr>
          <w:b/>
          <w:bCs/>
        </w:rPr>
        <w:t xml:space="preserve">was appropriate to inform the proportion of people on treatment in the ‘basket’ of standard care </w:t>
      </w:r>
      <w:r w:rsidRPr="00004CF1" w:rsidR="00004CF1">
        <w:rPr>
          <w:b/>
          <w:bCs/>
        </w:rPr>
        <w:t xml:space="preserve">is unreasonable. </w:t>
      </w:r>
    </w:p>
    <w:p w:rsidRPr="00F17444" w:rsidR="00CC2EEE" w:rsidP="008F0D86" w:rsidRDefault="00CC2EEE" w14:paraId="4688AF6B" w14:textId="77777777">
      <w:pPr>
        <w:spacing w:after="0" w:line="276" w:lineRule="auto"/>
        <w:contextualSpacing/>
        <w:jc w:val="both"/>
      </w:pPr>
    </w:p>
    <w:p w:rsidR="00F66C0F" w:rsidP="008F0D86" w:rsidRDefault="00752742" w14:paraId="02DD7A26" w14:textId="77777777">
      <w:pPr>
        <w:pStyle w:val="ListParagraph"/>
        <w:numPr>
          <w:ilvl w:val="0"/>
          <w:numId w:val="1"/>
        </w:numPr>
        <w:spacing w:after="0" w:line="276" w:lineRule="auto"/>
        <w:jc w:val="both"/>
      </w:pPr>
      <w:r>
        <w:t xml:space="preserve">This </w:t>
      </w:r>
      <w:r w:rsidR="004F6377">
        <w:t xml:space="preserve">preferred </w:t>
      </w:r>
      <w:r>
        <w:t xml:space="preserve">assumption </w:t>
      </w:r>
      <w:r w:rsidR="004F6377">
        <w:t xml:space="preserve">is </w:t>
      </w:r>
      <w:r w:rsidR="0015324E">
        <w:t>listed</w:t>
      </w:r>
      <w:r w:rsidR="004F6377">
        <w:t xml:space="preserve"> in </w:t>
      </w:r>
      <w:r w:rsidRPr="00F66C0F" w:rsidR="004F6377">
        <w:rPr>
          <w:b/>
          <w:bCs/>
        </w:rPr>
        <w:t>the third bullet point of §3.27</w:t>
      </w:r>
      <w:r w:rsidR="004F6377">
        <w:t xml:space="preserve"> and considered in §</w:t>
      </w:r>
      <w:r w:rsidR="00DC6F41">
        <w:t>3.5</w:t>
      </w:r>
      <w:r w:rsidR="00A13006">
        <w:t xml:space="preserve"> of the FDG.</w:t>
      </w:r>
      <w:r w:rsidR="00A26554">
        <w:t xml:space="preserve"> </w:t>
      </w:r>
    </w:p>
    <w:p w:rsidR="00F66C0F" w:rsidP="008F0D86" w:rsidRDefault="00F66C0F" w14:paraId="05A3C598" w14:textId="77777777">
      <w:pPr>
        <w:pStyle w:val="ListParagraph"/>
        <w:spacing w:after="0" w:line="276" w:lineRule="auto"/>
        <w:jc w:val="both"/>
      </w:pPr>
    </w:p>
    <w:p w:rsidR="00CC2EEE" w:rsidP="008F0D86" w:rsidRDefault="00521FC6" w14:paraId="1A5D514A" w14:textId="0E043EA0">
      <w:pPr>
        <w:pStyle w:val="ListParagraph"/>
        <w:numPr>
          <w:ilvl w:val="0"/>
          <w:numId w:val="1"/>
        </w:numPr>
        <w:spacing w:after="0" w:line="276" w:lineRule="auto"/>
        <w:jc w:val="both"/>
      </w:pPr>
      <w:r>
        <w:t>T</w:t>
      </w:r>
      <w:r w:rsidR="0027737B">
        <w:t>he proportion of people on treatment in the ‘basket’ of standard care</w:t>
      </w:r>
      <w:r>
        <w:t xml:space="preserve"> was determined by reference to the cohort of patients that </w:t>
      </w:r>
      <w:r w:rsidR="00A12DE2">
        <w:t>the Committee</w:t>
      </w:r>
      <w:r>
        <w:t xml:space="preserve"> considered appropriate. </w:t>
      </w:r>
      <w:r w:rsidR="00AE5B72">
        <w:t>The company</w:t>
      </w:r>
      <w:r>
        <w:t xml:space="preserve"> preferred to use a revised cohort from the efgartigimod Early Access to Medicines Scheme (“</w:t>
      </w:r>
      <w:r w:rsidRPr="00521FC6">
        <w:rPr>
          <w:b/>
          <w:bCs/>
        </w:rPr>
        <w:t>EAMS</w:t>
      </w:r>
      <w:r>
        <w:t xml:space="preserve">”) </w:t>
      </w:r>
      <w:r w:rsidRPr="00A25356">
        <w:t>(n=37</w:t>
      </w:r>
      <w:r>
        <w:t>) which was</w:t>
      </w:r>
      <w:r w:rsidRPr="00A25356">
        <w:t xml:space="preserve"> filtered to include </w:t>
      </w:r>
      <w:r w:rsidRPr="00521FC6">
        <w:rPr>
          <w:u w:val="single"/>
        </w:rPr>
        <w:t>only</w:t>
      </w:r>
      <w:r w:rsidRPr="00A25356">
        <w:t xml:space="preserve"> </w:t>
      </w:r>
      <w:r>
        <w:t xml:space="preserve">those EAMS </w:t>
      </w:r>
      <w:r w:rsidRPr="00A25356">
        <w:t xml:space="preserve">patients whose condition </w:t>
      </w:r>
      <w:r>
        <w:t xml:space="preserve">met the definition of refractory gMG which aligned with its target population for Zilucoplan. By contrast, </w:t>
      </w:r>
      <w:r w:rsidR="00A12DE2">
        <w:t xml:space="preserve">the Committee </w:t>
      </w:r>
      <w:r w:rsidR="0051418B">
        <w:t xml:space="preserve">considered that the identification of refractory gMG in the overall EAMS cohort (n=48) more closely reflected the identification of refractory gMG for treatment with Zilucoplan in the NHS. </w:t>
      </w:r>
    </w:p>
    <w:p w:rsidR="00F4393B" w:rsidP="008F0D86" w:rsidRDefault="00F4393B" w14:paraId="25BBCC54" w14:textId="77777777">
      <w:pPr>
        <w:pStyle w:val="ListParagraph"/>
        <w:spacing w:after="0" w:line="276" w:lineRule="auto"/>
        <w:ind w:left="1080"/>
        <w:jc w:val="both"/>
      </w:pPr>
    </w:p>
    <w:p w:rsidR="00432214" w:rsidP="008F0D86" w:rsidRDefault="00A12DE2" w14:paraId="3771E726" w14:textId="5DD26248">
      <w:pPr>
        <w:pStyle w:val="ListParagraph"/>
        <w:numPr>
          <w:ilvl w:val="0"/>
          <w:numId w:val="1"/>
        </w:numPr>
        <w:spacing w:after="0" w:line="276" w:lineRule="auto"/>
        <w:jc w:val="both"/>
      </w:pPr>
      <w:r>
        <w:t>The Committee’s</w:t>
      </w:r>
      <w:r w:rsidR="00285ACD">
        <w:t xml:space="preserve"> </w:t>
      </w:r>
      <w:r w:rsidR="001F6629">
        <w:t>conclusion was irrational</w:t>
      </w:r>
      <w:r w:rsidR="00F66C0F">
        <w:t>, for the following reasons:</w:t>
      </w:r>
    </w:p>
    <w:p w:rsidR="00F66C0F" w:rsidP="008F0D86" w:rsidRDefault="00F66C0F" w14:paraId="3DE924DC" w14:textId="77777777">
      <w:pPr>
        <w:spacing w:after="0" w:line="276" w:lineRule="auto"/>
        <w:contextualSpacing/>
        <w:jc w:val="both"/>
      </w:pPr>
    </w:p>
    <w:p w:rsidR="00432214" w:rsidP="008F0D86" w:rsidRDefault="00A12DE2" w14:paraId="641C944B" w14:textId="5C861446">
      <w:pPr>
        <w:pStyle w:val="ListParagraph"/>
        <w:numPr>
          <w:ilvl w:val="1"/>
          <w:numId w:val="5"/>
        </w:numPr>
        <w:spacing w:after="0" w:line="276" w:lineRule="auto"/>
        <w:ind w:left="1701" w:hanging="567"/>
        <w:jc w:val="both"/>
      </w:pPr>
      <w:r>
        <w:t>The Committee</w:t>
      </w:r>
      <w:r w:rsidR="00432214">
        <w:t xml:space="preserve"> accepted that there is no standardised </w:t>
      </w:r>
      <w:r w:rsidR="00B9052A">
        <w:t xml:space="preserve">set of </w:t>
      </w:r>
      <w:r w:rsidR="00432214">
        <w:t>criteria or mandatory definition of refractory gMG in practice</w:t>
      </w:r>
      <w:r w:rsidR="00521FC6">
        <w:t>, and also that it was unclear how refractory gMG was defined for the EAMS</w:t>
      </w:r>
      <w:r w:rsidR="00521FC6">
        <w:rPr>
          <w:rStyle w:val="FootnoteReference"/>
        </w:rPr>
        <w:t xml:space="preserve"> </w:t>
      </w:r>
      <w:r w:rsidR="00521FC6">
        <w:t>.</w:t>
      </w:r>
      <w:r w:rsidR="00E71C82">
        <w:rPr>
          <w:rStyle w:val="FootnoteReference"/>
        </w:rPr>
        <w:footnoteReference w:id="5"/>
      </w:r>
      <w:r w:rsidR="00432214">
        <w:t xml:space="preserve"> </w:t>
      </w:r>
    </w:p>
    <w:p w:rsidR="00432214" w:rsidP="008F0D86" w:rsidRDefault="00432214" w14:paraId="69976415" w14:textId="77777777">
      <w:pPr>
        <w:pStyle w:val="ListParagraph"/>
        <w:spacing w:after="0" w:line="276" w:lineRule="auto"/>
        <w:ind w:left="1701" w:hanging="567"/>
        <w:jc w:val="both"/>
      </w:pPr>
    </w:p>
    <w:p w:rsidRPr="00300E7D" w:rsidR="00432214" w:rsidP="008F0D86" w:rsidRDefault="006A25D1" w14:paraId="1BD889AD" w14:textId="56049A94">
      <w:pPr>
        <w:pStyle w:val="ListParagraph"/>
        <w:numPr>
          <w:ilvl w:val="1"/>
          <w:numId w:val="5"/>
        </w:numPr>
        <w:spacing w:after="0" w:line="276" w:lineRule="auto"/>
        <w:ind w:left="1701" w:hanging="567"/>
        <w:jc w:val="both"/>
      </w:pPr>
      <w:r w:rsidRPr="006A25D1">
        <w:t xml:space="preserve">The </w:t>
      </w:r>
      <w:r w:rsidR="00B86F53">
        <w:t xml:space="preserve">company and </w:t>
      </w:r>
      <w:r w:rsidRPr="006A25D1">
        <w:t xml:space="preserve">EAG </w:t>
      </w:r>
      <w:r w:rsidR="00B86F53">
        <w:t xml:space="preserve">agreed </w:t>
      </w:r>
      <w:r w:rsidRPr="006A25D1">
        <w:t>that not all people in the EAMS cohort would necessarily meet the criteria for refractory gMG as defined by the EAMS cohort’s inclusion criteria</w:t>
      </w:r>
      <w:r w:rsidR="00B86F53">
        <w:rPr>
          <w:rStyle w:val="FootnoteReference"/>
        </w:rPr>
        <w:footnoteReference w:id="6"/>
      </w:r>
      <w:r w:rsidR="00AE211E">
        <w:t xml:space="preserve"> and t</w:t>
      </w:r>
      <w:r w:rsidRPr="00300E7D" w:rsidR="00300E7D">
        <w:t>he clinical experts explained that the definition of refractory gMG was less severe in the EAMS cohort than the RAISE refractory population and those who would have Zilucoplan in the NHS</w:t>
      </w:r>
      <w:r w:rsidR="000E3170">
        <w:t>.</w:t>
      </w:r>
      <w:r w:rsidR="000E3170">
        <w:rPr>
          <w:rStyle w:val="FootnoteReference"/>
        </w:rPr>
        <w:footnoteReference w:id="7"/>
      </w:r>
    </w:p>
    <w:p w:rsidR="00670AEA" w:rsidP="008F0D86" w:rsidRDefault="00670AEA" w14:paraId="4554AF02" w14:textId="77777777">
      <w:pPr>
        <w:pStyle w:val="ListParagraph"/>
        <w:spacing w:after="0" w:line="276" w:lineRule="auto"/>
        <w:ind w:left="1701" w:hanging="567"/>
        <w:jc w:val="both"/>
      </w:pPr>
    </w:p>
    <w:p w:rsidR="006A25D1" w:rsidP="008F0D86" w:rsidRDefault="00CF41BA" w14:paraId="3DC66B1C" w14:textId="1E136992">
      <w:pPr>
        <w:pStyle w:val="ListParagraph"/>
        <w:numPr>
          <w:ilvl w:val="1"/>
          <w:numId w:val="5"/>
        </w:numPr>
        <w:spacing w:after="0" w:line="276" w:lineRule="auto"/>
        <w:ind w:left="1701" w:hanging="567"/>
        <w:jc w:val="both"/>
      </w:pPr>
      <w:r>
        <w:t>In light of these points</w:t>
      </w:r>
      <w:r w:rsidRPr="000167B5" w:rsidR="000167B5">
        <w:t xml:space="preserve">, </w:t>
      </w:r>
      <w:r w:rsidR="00521FC6">
        <w:t xml:space="preserve">at ACM3 </w:t>
      </w:r>
      <w:r w:rsidRPr="000167B5" w:rsidR="000167B5">
        <w:t xml:space="preserve">the company revised the proportions of people having IVIg, PLEX, and corticosteroids and NSISTs in </w:t>
      </w:r>
      <w:r w:rsidR="00487AA3">
        <w:t>its</w:t>
      </w:r>
      <w:r w:rsidRPr="000167B5" w:rsidR="000167B5">
        <w:t xml:space="preserve"> economic model. It did this by removing people from the EAMS cohort whose condition was not considered refractory, who had no treatment (</w:t>
      </w:r>
      <w:r w:rsidR="007E36BC">
        <w:t>and thus</w:t>
      </w:r>
      <w:r w:rsidRPr="000167B5" w:rsidR="000167B5">
        <w:t xml:space="preserve"> would not be eligible for </w:t>
      </w:r>
      <w:r w:rsidRPr="000167B5" w:rsidR="00487AA3">
        <w:t>Zilucoplan</w:t>
      </w:r>
      <w:r w:rsidRPr="000167B5" w:rsidR="000167B5">
        <w:t xml:space="preserve"> because it is licensed as an add-on treatment), and who were on corticosteroids only (who would likely try an</w:t>
      </w:r>
      <w:r w:rsidR="006A25D1">
        <w:t xml:space="preserve"> </w:t>
      </w:r>
      <w:r w:rsidRPr="00487AA3" w:rsidR="00487AA3">
        <w:t>NSIST before starting Zilucoplan). The company’s revised EAMS cohort included a smaller population (n=37) than the overall EAMS cohort (n=48)</w:t>
      </w:r>
      <w:r w:rsidR="001067C6">
        <w:t xml:space="preserve">. This was because </w:t>
      </w:r>
      <w:r w:rsidRPr="00461667" w:rsidR="00461667">
        <w:t>3 people in EAMS were not having any treatment and 10 people were on corticosteroids only, which meant these 13 people did not have refractory gMG.</w:t>
      </w:r>
      <w:r w:rsidR="00AE4A90">
        <w:rPr>
          <w:rStyle w:val="FootnoteReference"/>
        </w:rPr>
        <w:footnoteReference w:id="8"/>
      </w:r>
    </w:p>
    <w:p w:rsidR="00461667" w:rsidP="008F0D86" w:rsidRDefault="00461667" w14:paraId="26A46F34" w14:textId="77777777">
      <w:pPr>
        <w:pStyle w:val="ListParagraph"/>
        <w:spacing w:after="0" w:line="276" w:lineRule="auto"/>
        <w:ind w:left="1701" w:hanging="567"/>
        <w:jc w:val="both"/>
      </w:pPr>
    </w:p>
    <w:p w:rsidR="00E7383A" w:rsidP="008F0D86" w:rsidRDefault="00AE211E" w14:paraId="7B6D8962" w14:textId="75143E16">
      <w:pPr>
        <w:pStyle w:val="ListParagraph"/>
        <w:numPr>
          <w:ilvl w:val="1"/>
          <w:numId w:val="5"/>
        </w:numPr>
        <w:spacing w:after="0" w:line="276" w:lineRule="auto"/>
        <w:ind w:left="1701" w:hanging="567"/>
        <w:jc w:val="both"/>
      </w:pPr>
      <w:r>
        <w:t>However,</w:t>
      </w:r>
      <w:r w:rsidR="00521FC6">
        <w:t xml:space="preserve"> </w:t>
      </w:r>
      <w:r w:rsidR="00A12DE2">
        <w:t>the Committee</w:t>
      </w:r>
      <w:r>
        <w:t xml:space="preserve"> then</w:t>
      </w:r>
      <w:r w:rsidR="00834F9D">
        <w:t xml:space="preserve"> </w:t>
      </w:r>
      <w:r w:rsidR="00B3391C">
        <w:t xml:space="preserve">found that it was </w:t>
      </w:r>
      <w:r w:rsidRPr="00564913" w:rsidR="00B3391C">
        <w:rPr>
          <w:u w:val="single"/>
        </w:rPr>
        <w:t>not</w:t>
      </w:r>
      <w:r w:rsidR="00B3391C">
        <w:t xml:space="preserve"> appropriate to remove people </w:t>
      </w:r>
      <w:r w:rsidRPr="003A7FD3" w:rsidR="003A7FD3">
        <w:t>having corticosteroids only from the EAMS cohort study</w:t>
      </w:r>
      <w:r w:rsidR="003A7FD3">
        <w:t xml:space="preserve"> “</w:t>
      </w:r>
      <w:r w:rsidRPr="00873588" w:rsidR="003A7FD3">
        <w:rPr>
          <w:i/>
          <w:iCs/>
        </w:rPr>
        <w:t>because these people could have had refractory gMG if they had previously stopped other treatments for refractory gMG based on loss of response</w:t>
      </w:r>
      <w:r w:rsidR="003A7FD3">
        <w:t>”</w:t>
      </w:r>
      <w:r w:rsidR="00521FC6">
        <w:rPr>
          <w:rStyle w:val="FootnoteReference"/>
        </w:rPr>
        <w:footnoteReference w:id="9"/>
      </w:r>
      <w:r w:rsidR="003A7FD3">
        <w:t xml:space="preserve"> </w:t>
      </w:r>
      <w:r>
        <w:t>and decided to use the full EAMS cohort – in effect, assuming</w:t>
      </w:r>
      <w:r w:rsidR="00DE11B2">
        <w:t xml:space="preserve"> that all 10 people </w:t>
      </w:r>
      <w:r w:rsidR="004E029E">
        <w:t>fell into this category of having previously stopped other treatments</w:t>
      </w:r>
      <w:r w:rsidR="006424AE">
        <w:t xml:space="preserve"> without </w:t>
      </w:r>
      <w:r w:rsidR="0071404A">
        <w:t>a clear</w:t>
      </w:r>
      <w:r w:rsidR="006424AE">
        <w:t xml:space="preserve"> evidential basis to support that conclusion</w:t>
      </w:r>
      <w:r w:rsidR="004E029E">
        <w:t xml:space="preserve">. </w:t>
      </w:r>
    </w:p>
    <w:p w:rsidR="00A302B5" w:rsidP="00920937" w:rsidRDefault="00A302B5" w14:paraId="7B32DC44" w14:textId="77777777">
      <w:pPr>
        <w:pStyle w:val="ListParagraph"/>
        <w:ind w:left="1701" w:hanging="567"/>
        <w:jc w:val="both"/>
      </w:pPr>
    </w:p>
    <w:p w:rsidR="00A302B5" w:rsidP="008F0D86" w:rsidRDefault="00AE5B72" w14:paraId="5538B2DE" w14:textId="6CC73F65">
      <w:pPr>
        <w:pStyle w:val="ListParagraph"/>
        <w:numPr>
          <w:ilvl w:val="1"/>
          <w:numId w:val="5"/>
        </w:numPr>
        <w:spacing w:after="0" w:line="276" w:lineRule="auto"/>
        <w:ind w:left="1701" w:hanging="567"/>
        <w:jc w:val="both"/>
      </w:pPr>
      <w:r>
        <w:t>As noted above (ground 2.1), the</w:t>
      </w:r>
      <w:r w:rsidR="00C55A23">
        <w:t xml:space="preserve"> decision to compar</w:t>
      </w:r>
      <w:r w:rsidR="00EB2253">
        <w:t xml:space="preserve">e </w:t>
      </w:r>
      <w:r>
        <w:t>Zilucoplan</w:t>
      </w:r>
      <w:r w:rsidR="00EB2253">
        <w:t xml:space="preserve"> to a ‘basket’ of standard care is already problematic</w:t>
      </w:r>
      <w:r w:rsidR="007E613C">
        <w:t xml:space="preserve"> given the heterogeneous patient population, and risks understating the trea</w:t>
      </w:r>
      <w:r w:rsidR="00FD7614">
        <w:t>t</w:t>
      </w:r>
      <w:r w:rsidR="007E613C">
        <w:t>ment’s benefits. T</w:t>
      </w:r>
      <w:r w:rsidR="00EB2253">
        <w:t>o define the cohort over-broadly</w:t>
      </w:r>
      <w:r>
        <w:t>,</w:t>
      </w:r>
      <w:r w:rsidR="00EB2253">
        <w:t xml:space="preserve"> and therefore distort the </w:t>
      </w:r>
      <w:r w:rsidR="00435BF9">
        <w:t>proportions</w:t>
      </w:r>
      <w:r>
        <w:t xml:space="preserve"> on treatment</w:t>
      </w:r>
      <w:r w:rsidR="00435BF9">
        <w:t xml:space="preserve"> in the comparator arm</w:t>
      </w:r>
      <w:r>
        <w:t>,</w:t>
      </w:r>
      <w:r w:rsidR="007E613C">
        <w:t xml:space="preserve"> compounds this problem.</w:t>
      </w:r>
    </w:p>
    <w:p w:rsidR="00E7383A" w:rsidP="008F0D86" w:rsidRDefault="00E7383A" w14:paraId="343C7D32" w14:textId="77777777">
      <w:pPr>
        <w:pStyle w:val="ListParagraph"/>
        <w:spacing w:after="0" w:line="276" w:lineRule="auto"/>
        <w:jc w:val="both"/>
      </w:pPr>
    </w:p>
    <w:p w:rsidRPr="00160688" w:rsidR="00160688" w:rsidP="008F0D86" w:rsidRDefault="00F66C0F" w14:paraId="7B9F0D0F" w14:textId="6A89A870">
      <w:pPr>
        <w:pStyle w:val="ListParagraph"/>
        <w:numPr>
          <w:ilvl w:val="0"/>
          <w:numId w:val="1"/>
        </w:numPr>
        <w:spacing w:after="0" w:line="276" w:lineRule="auto"/>
        <w:jc w:val="both"/>
      </w:pPr>
      <w:r>
        <w:t xml:space="preserve">It was unreasonable for </w:t>
      </w:r>
      <w:r w:rsidR="00A12DE2">
        <w:t>the Committee</w:t>
      </w:r>
      <w:r>
        <w:t xml:space="preserve"> to (on the one hand)</w:t>
      </w:r>
      <w:r w:rsidRPr="00327759" w:rsidR="00327759">
        <w:t xml:space="preserve"> accept that </w:t>
      </w:r>
      <w:r w:rsidR="0081777E">
        <w:t>there is definitional uncertainty</w:t>
      </w:r>
      <w:r w:rsidR="007B559F">
        <w:t>,</w:t>
      </w:r>
      <w:r w:rsidR="0081777E">
        <w:t xml:space="preserve"> </w:t>
      </w:r>
      <w:r>
        <w:t xml:space="preserve">and </w:t>
      </w:r>
      <w:r w:rsidR="0081777E">
        <w:t xml:space="preserve">that </w:t>
      </w:r>
      <w:r w:rsidRPr="00327759" w:rsidR="00327759">
        <w:t xml:space="preserve">a material portion of the </w:t>
      </w:r>
      <w:r w:rsidR="007B559F">
        <w:t xml:space="preserve">EAMS </w:t>
      </w:r>
      <w:r w:rsidRPr="00327759" w:rsidR="00327759">
        <w:t xml:space="preserve">cohort may be ineligible </w:t>
      </w:r>
      <w:r w:rsidR="007B559F">
        <w:t>for Zilucoplan</w:t>
      </w:r>
      <w:r>
        <w:t>,</w:t>
      </w:r>
      <w:r w:rsidR="007B559F">
        <w:t xml:space="preserve"> </w:t>
      </w:r>
      <w:r w:rsidRPr="00327759" w:rsidR="00327759">
        <w:t>and yet</w:t>
      </w:r>
      <w:r>
        <w:t xml:space="preserve"> (on the other hand)</w:t>
      </w:r>
      <w:r w:rsidRPr="00327759" w:rsidR="00327759">
        <w:t xml:space="preserve"> use the entire </w:t>
      </w:r>
      <w:r w:rsidR="007B559F">
        <w:t xml:space="preserve">EAMS </w:t>
      </w:r>
      <w:r w:rsidRPr="00327759" w:rsidR="00327759">
        <w:t>cohort to generate precise quantitative estimates</w:t>
      </w:r>
      <w:r w:rsidR="006B3E47">
        <w:t xml:space="preserve"> </w:t>
      </w:r>
      <w:r w:rsidRPr="006B3E47" w:rsidR="006B3E47">
        <w:t xml:space="preserve">of treatment distribution for </w:t>
      </w:r>
      <w:r w:rsidR="00F2304A">
        <w:t xml:space="preserve">economic </w:t>
      </w:r>
      <w:r w:rsidRPr="006B3E47" w:rsidR="006B3E47">
        <w:t>modelling purposes.</w:t>
      </w:r>
      <w:r w:rsidR="00160688">
        <w:t xml:space="preserve"> </w:t>
      </w:r>
      <w:r w:rsidR="00AE211E">
        <w:t xml:space="preserve">Moreover, in taking this approach, </w:t>
      </w:r>
      <w:r w:rsidR="00A12DE2">
        <w:t>the Committee</w:t>
      </w:r>
      <w:r w:rsidR="00AE211E">
        <w:t xml:space="preserve"> did not give </w:t>
      </w:r>
      <w:r w:rsidR="00A10CE9">
        <w:t>due</w:t>
      </w:r>
      <w:r w:rsidR="00AE211E">
        <w:t xml:space="preserve"> consideration to the views of the clinical experts in relation to the appropriate cohort who would have Zilucoplan in the NHS</w:t>
      </w:r>
      <w:r w:rsidR="00457026">
        <w:t>.</w:t>
      </w:r>
    </w:p>
    <w:p w:rsidRPr="006B3E47" w:rsidR="006B3E47" w:rsidP="008F0D86" w:rsidRDefault="006B3E47" w14:paraId="37B2038B" w14:textId="1FC4F2BC">
      <w:pPr>
        <w:pStyle w:val="ListParagraph"/>
        <w:spacing w:after="0" w:line="276" w:lineRule="auto"/>
        <w:ind w:left="1080"/>
        <w:jc w:val="both"/>
      </w:pPr>
    </w:p>
    <w:p w:rsidR="000C5E3B" w:rsidP="008F0D86" w:rsidRDefault="00A12DE2" w14:paraId="14404577" w14:textId="453EEAB7">
      <w:pPr>
        <w:pStyle w:val="ListParagraph"/>
        <w:numPr>
          <w:ilvl w:val="0"/>
          <w:numId w:val="1"/>
        </w:numPr>
        <w:spacing w:after="0" w:line="276" w:lineRule="auto"/>
        <w:jc w:val="both"/>
        <w:rPr>
          <w:rFonts w:eastAsia="Times New Roman" w:cs="Times New Roman"/>
          <w:kern w:val="0"/>
          <w:lang w:eastAsia="en-GB"/>
          <w14:ligatures w14:val="none"/>
        </w:rPr>
      </w:pPr>
      <w:r>
        <w:t>The Committee</w:t>
      </w:r>
      <w:r w:rsidR="00670AEA">
        <w:t xml:space="preserve"> </w:t>
      </w:r>
      <w:r w:rsidR="00B64DCC">
        <w:t xml:space="preserve">justified its decision on the basis that </w:t>
      </w:r>
      <w:r w:rsidRPr="00B64DCC" w:rsidR="00B64DCC">
        <w:t>the broader cohort may better reflect NHS variability.</w:t>
      </w:r>
      <w:r w:rsidR="00B64DCC">
        <w:t xml:space="preserve"> It </w:t>
      </w:r>
      <w:r w:rsidR="00670AEA">
        <w:t xml:space="preserve">noted in its reasoning that </w:t>
      </w:r>
      <w:r w:rsidR="00B0304D">
        <w:t xml:space="preserve">the company’s revised EAMS cohort reduced the </w:t>
      </w:r>
      <w:r w:rsidR="001A2A70">
        <w:t>already small sample size to just 37 people</w:t>
      </w:r>
      <w:r w:rsidR="00B64DCC">
        <w:t xml:space="preserve"> and </w:t>
      </w:r>
      <w:r w:rsidR="001A2A70">
        <w:t>considered that a “</w:t>
      </w:r>
      <w:r w:rsidRPr="00AE211E" w:rsidR="001A2A70">
        <w:rPr>
          <w:i/>
          <w:iCs/>
        </w:rPr>
        <w:t>relatively larger sample size of the overall cohort may be more representative of how refractory gMG would be classified in practice</w:t>
      </w:r>
      <w:r w:rsidRPr="00AE211E" w:rsidR="002A2039">
        <w:rPr>
          <w:i/>
          <w:iCs/>
        </w:rPr>
        <w:t>, having in mind that there is no standardised criteria or mandatory definition of refractory gMG</w:t>
      </w:r>
      <w:r w:rsidR="001A2A70">
        <w:t>”.</w:t>
      </w:r>
      <w:r w:rsidR="00AE211E">
        <w:rPr>
          <w:rStyle w:val="FootnoteReference"/>
        </w:rPr>
        <w:footnoteReference w:id="10"/>
      </w:r>
      <w:r w:rsidR="001A2A70">
        <w:t xml:space="preserve"> </w:t>
      </w:r>
      <w:r w:rsidR="00AE211E">
        <w:t>But this made no sense, in circumstances where</w:t>
      </w:r>
      <w:r w:rsidRPr="00C9524B" w:rsidR="00C9524B">
        <w:t xml:space="preserve"> the company's subset was more rigorously aligned to the target population </w:t>
      </w:r>
      <w:r w:rsidR="00C9524B">
        <w:t xml:space="preserve">for Zilucoplan </w:t>
      </w:r>
      <w:r w:rsidRPr="00C9524B" w:rsidR="00C9524B">
        <w:t xml:space="preserve">and </w:t>
      </w:r>
      <w:r w:rsidR="00AE211E">
        <w:t>aligned with the views of clinical experts</w:t>
      </w:r>
      <w:r w:rsidR="00C9524B">
        <w:t>.</w:t>
      </w:r>
      <w:r w:rsidR="00AE211E">
        <w:rPr>
          <w:rStyle w:val="FootnoteReference"/>
        </w:rPr>
        <w:footnoteReference w:id="11"/>
      </w:r>
      <w:r w:rsidR="00C9524B">
        <w:t xml:space="preserve"> </w:t>
      </w:r>
      <w:r w:rsidRPr="00AE211E" w:rsidR="000C5E3B">
        <w:rPr>
          <w:rFonts w:eastAsia="Times New Roman" w:cs="Times New Roman"/>
          <w:kern w:val="0"/>
          <w:lang w:eastAsia="en-GB"/>
          <w14:ligatures w14:val="none"/>
        </w:rPr>
        <w:t xml:space="preserve">The </w:t>
      </w:r>
      <w:r w:rsidRPr="00AE211E" w:rsidR="00416645">
        <w:rPr>
          <w:rFonts w:eastAsia="Times New Roman" w:cs="Times New Roman"/>
          <w:kern w:val="0"/>
          <w:lang w:eastAsia="en-GB"/>
          <w14:ligatures w14:val="none"/>
        </w:rPr>
        <w:t xml:space="preserve">effect of </w:t>
      </w:r>
      <w:r>
        <w:rPr>
          <w:rFonts w:eastAsia="Times New Roman" w:cs="Times New Roman"/>
          <w:kern w:val="0"/>
          <w:lang w:eastAsia="en-GB"/>
          <w14:ligatures w14:val="none"/>
        </w:rPr>
        <w:t>the Committee’s</w:t>
      </w:r>
      <w:r w:rsidRPr="00AE211E" w:rsidR="00416645">
        <w:rPr>
          <w:rFonts w:eastAsia="Times New Roman" w:cs="Times New Roman"/>
          <w:kern w:val="0"/>
          <w:lang w:eastAsia="en-GB"/>
          <w14:ligatures w14:val="none"/>
        </w:rPr>
        <w:t xml:space="preserve"> use of </w:t>
      </w:r>
      <w:r w:rsidRPr="00AE211E" w:rsidR="000C5E3B">
        <w:rPr>
          <w:rFonts w:eastAsia="Times New Roman" w:cs="Times New Roman"/>
          <w:kern w:val="0"/>
          <w:lang w:eastAsia="en-GB"/>
          <w14:ligatures w14:val="none"/>
        </w:rPr>
        <w:t xml:space="preserve">the full EAMS cohort </w:t>
      </w:r>
      <w:r w:rsidRPr="003224D9" w:rsidR="003224D9">
        <w:t>to inform the proportion of people on treatment in the ‘basket’ of standard care</w:t>
      </w:r>
      <w:r w:rsidRPr="00AE211E" w:rsidR="003224D9">
        <w:rPr>
          <w:b/>
          <w:bCs/>
        </w:rPr>
        <w:t xml:space="preserve"> </w:t>
      </w:r>
      <w:r w:rsidRPr="00AE211E" w:rsidR="003224D9">
        <w:rPr>
          <w:rFonts w:eastAsia="Times New Roman" w:cs="Times New Roman"/>
          <w:kern w:val="0"/>
          <w:lang w:eastAsia="en-GB"/>
          <w14:ligatures w14:val="none"/>
        </w:rPr>
        <w:t xml:space="preserve">is that it </w:t>
      </w:r>
      <w:r w:rsidRPr="00AE211E" w:rsidR="000C5E3B">
        <w:rPr>
          <w:rFonts w:eastAsia="Times New Roman" w:cs="Times New Roman"/>
          <w:kern w:val="0"/>
          <w:lang w:eastAsia="en-GB"/>
          <w14:ligatures w14:val="none"/>
        </w:rPr>
        <w:t xml:space="preserve">understates the use of IVIg/PLEX in the comparator arm and </w:t>
      </w:r>
      <w:r w:rsidRPr="00AE211E" w:rsidR="003224D9">
        <w:rPr>
          <w:rFonts w:eastAsia="Times New Roman" w:cs="Times New Roman"/>
          <w:kern w:val="0"/>
          <w:lang w:eastAsia="en-GB"/>
          <w14:ligatures w14:val="none"/>
        </w:rPr>
        <w:t xml:space="preserve">therefore </w:t>
      </w:r>
      <w:r w:rsidRPr="00AE211E" w:rsidR="000C5E3B">
        <w:rPr>
          <w:rFonts w:eastAsia="Times New Roman" w:cs="Times New Roman"/>
          <w:kern w:val="0"/>
          <w:lang w:eastAsia="en-GB"/>
          <w14:ligatures w14:val="none"/>
        </w:rPr>
        <w:t xml:space="preserve">inflates the incremental cost of </w:t>
      </w:r>
      <w:r w:rsidRPr="00AE211E" w:rsidR="003224D9">
        <w:rPr>
          <w:rFonts w:eastAsia="Times New Roman" w:cs="Times New Roman"/>
          <w:kern w:val="0"/>
          <w:lang w:eastAsia="en-GB"/>
          <w14:ligatures w14:val="none"/>
        </w:rPr>
        <w:t>Zilucoplan</w:t>
      </w:r>
      <w:r w:rsidRPr="00AE211E" w:rsidR="000C5E3B">
        <w:rPr>
          <w:rFonts w:eastAsia="Times New Roman" w:cs="Times New Roman"/>
          <w:kern w:val="0"/>
          <w:lang w:eastAsia="en-GB"/>
          <w14:ligatures w14:val="none"/>
        </w:rPr>
        <w:t xml:space="preserve">, </w:t>
      </w:r>
      <w:r w:rsidRPr="00AE211E" w:rsidR="003224D9">
        <w:rPr>
          <w:rFonts w:eastAsia="Times New Roman" w:cs="Times New Roman"/>
          <w:kern w:val="0"/>
          <w:lang w:eastAsia="en-GB"/>
          <w14:ligatures w14:val="none"/>
        </w:rPr>
        <w:t>which in turn biases</w:t>
      </w:r>
      <w:r w:rsidRPr="00AE211E" w:rsidR="000C5E3B">
        <w:rPr>
          <w:rFonts w:eastAsia="Times New Roman" w:cs="Times New Roman"/>
          <w:kern w:val="0"/>
          <w:lang w:eastAsia="en-GB"/>
          <w14:ligatures w14:val="none"/>
        </w:rPr>
        <w:t xml:space="preserve"> the ICER.</w:t>
      </w:r>
    </w:p>
    <w:p w:rsidRPr="00564913" w:rsidR="00564913" w:rsidP="008F0D86" w:rsidRDefault="00564913" w14:paraId="4FC9733F" w14:textId="77777777">
      <w:pPr>
        <w:pStyle w:val="ListParagraph"/>
        <w:spacing w:after="0" w:line="276" w:lineRule="auto"/>
        <w:jc w:val="both"/>
        <w:rPr>
          <w:rFonts w:eastAsia="Times New Roman" w:cs="Times New Roman"/>
          <w:kern w:val="0"/>
          <w:lang w:eastAsia="en-GB"/>
          <w14:ligatures w14:val="none"/>
        </w:rPr>
      </w:pPr>
    </w:p>
    <w:p w:rsidRPr="00AE211E" w:rsidR="00564913" w:rsidP="008F0D86" w:rsidRDefault="00564913" w14:paraId="4C78C279" w14:textId="3F56F870">
      <w:pPr>
        <w:pStyle w:val="ListParagraph"/>
        <w:numPr>
          <w:ilvl w:val="0"/>
          <w:numId w:val="1"/>
        </w:numPr>
        <w:spacing w:after="0" w:line="276" w:lineRule="auto"/>
        <w:jc w:val="both"/>
        <w:rPr>
          <w:rFonts w:eastAsia="Times New Roman" w:cs="Times New Roman"/>
          <w:kern w:val="0"/>
          <w:lang w:eastAsia="en-GB"/>
          <w14:ligatures w14:val="none"/>
        </w:rPr>
      </w:pPr>
      <w:r>
        <w:rPr>
          <w:rFonts w:eastAsia="Times New Roman" w:cs="Times New Roman"/>
          <w:kern w:val="0"/>
          <w:lang w:eastAsia="en-GB"/>
          <w14:ligatures w14:val="none"/>
        </w:rPr>
        <w:t>To be clear, in raising this point, Myaware is not endorsing a narrower definition of “refractory gMG”: as noted in §3.3 of the FDG (p.6), it is not appropriate to (for example) set a time limit when defining refractory gMG. Myaware’s concern is that the company presented a narrower cohort that better reflected the target population but NICE did not accept this for reasons that are illogical.</w:t>
      </w:r>
    </w:p>
    <w:p w:rsidRPr="00A12DE2" w:rsidR="00937687" w:rsidP="008F0D86" w:rsidRDefault="00937687" w14:paraId="0749F884" w14:textId="77777777">
      <w:pPr>
        <w:spacing w:after="0" w:line="276" w:lineRule="auto"/>
        <w:contextualSpacing/>
        <w:jc w:val="both"/>
      </w:pPr>
    </w:p>
    <w:p w:rsidR="00561945" w:rsidP="008F0D86" w:rsidRDefault="00561945" w14:paraId="7A985104" w14:textId="06B473A2">
      <w:pPr>
        <w:spacing w:after="0" w:line="276" w:lineRule="auto"/>
        <w:contextualSpacing/>
        <w:jc w:val="both"/>
        <w:rPr>
          <w:b/>
          <w:bCs/>
        </w:rPr>
      </w:pPr>
      <w:r w:rsidRPr="00004CF1">
        <w:rPr>
          <w:b/>
          <w:bCs/>
        </w:rPr>
        <w:t>2.</w:t>
      </w:r>
      <w:r w:rsidR="00D7336E">
        <w:rPr>
          <w:b/>
          <w:bCs/>
        </w:rPr>
        <w:t>3</w:t>
      </w:r>
      <w:r w:rsidRPr="00004CF1">
        <w:rPr>
          <w:b/>
          <w:bCs/>
        </w:rPr>
        <w:t xml:space="preserve"> NICE’s conclusion that </w:t>
      </w:r>
      <w:r w:rsidR="00B34B84">
        <w:rPr>
          <w:b/>
          <w:bCs/>
        </w:rPr>
        <w:t>Minimal Symptom Expression (“MSE”) should be removed from the model</w:t>
      </w:r>
      <w:r w:rsidRPr="00004CF1">
        <w:rPr>
          <w:b/>
          <w:bCs/>
        </w:rPr>
        <w:t xml:space="preserve"> is unreasonable. </w:t>
      </w:r>
    </w:p>
    <w:p w:rsidR="00B2084B" w:rsidP="008F0D86" w:rsidRDefault="00B2084B" w14:paraId="2AD3562C" w14:textId="77777777">
      <w:pPr>
        <w:spacing w:after="0" w:line="276" w:lineRule="auto"/>
        <w:contextualSpacing/>
        <w:jc w:val="both"/>
        <w:rPr>
          <w:b/>
          <w:bCs/>
        </w:rPr>
      </w:pPr>
    </w:p>
    <w:p w:rsidR="00564913" w:rsidP="008F0D86" w:rsidRDefault="00B52EE8" w14:paraId="520CCD54" w14:textId="0F9CDB8A">
      <w:pPr>
        <w:pStyle w:val="ListParagraph"/>
        <w:numPr>
          <w:ilvl w:val="0"/>
          <w:numId w:val="1"/>
        </w:numPr>
        <w:spacing w:after="0" w:line="276" w:lineRule="auto"/>
        <w:jc w:val="both"/>
      </w:pPr>
      <w:r>
        <w:t xml:space="preserve">This preferred assumption is listed in </w:t>
      </w:r>
      <w:r w:rsidRPr="00564913">
        <w:rPr>
          <w:b/>
          <w:bCs/>
        </w:rPr>
        <w:t>the sixth bullet point of §3.27</w:t>
      </w:r>
      <w:r>
        <w:t xml:space="preserve"> and considered in §</w:t>
      </w:r>
      <w:r w:rsidR="002D42D9">
        <w:t>§</w:t>
      </w:r>
      <w:r>
        <w:t>3.</w:t>
      </w:r>
      <w:r w:rsidR="002D42D9">
        <w:t>13-3.14</w:t>
      </w:r>
      <w:r>
        <w:t xml:space="preserve"> of the FDG.</w:t>
      </w:r>
      <w:r w:rsidR="002D42D9">
        <w:t xml:space="preserve"> </w:t>
      </w:r>
    </w:p>
    <w:p w:rsidR="00564913" w:rsidP="008F0D86" w:rsidRDefault="00564913" w14:paraId="0D18F154" w14:textId="77777777">
      <w:pPr>
        <w:spacing w:after="0" w:line="276" w:lineRule="auto"/>
        <w:contextualSpacing/>
        <w:jc w:val="both"/>
      </w:pPr>
    </w:p>
    <w:p w:rsidR="00DE5360" w:rsidP="008F0D86" w:rsidRDefault="002D42D9" w14:paraId="3E506E42" w14:textId="56358BA3">
      <w:pPr>
        <w:pStyle w:val="ListParagraph"/>
        <w:numPr>
          <w:ilvl w:val="0"/>
          <w:numId w:val="1"/>
        </w:numPr>
        <w:spacing w:after="0" w:line="276" w:lineRule="auto"/>
        <w:jc w:val="both"/>
      </w:pPr>
      <w:r>
        <w:t xml:space="preserve">In its economic model, </w:t>
      </w:r>
      <w:r w:rsidRPr="00AA3BAE" w:rsidR="00AA3BAE">
        <w:t>the company assumed a proportion of people in the ‘continued response’ health state reached minimal symptom expression (</w:t>
      </w:r>
      <w:r w:rsidR="00AA3BAE">
        <w:t>“</w:t>
      </w:r>
      <w:r w:rsidRPr="00AA3BAE" w:rsidR="00AA3BAE">
        <w:rPr>
          <w:b/>
          <w:bCs/>
        </w:rPr>
        <w:t>MSE</w:t>
      </w:r>
      <w:r w:rsidR="00AA3BAE">
        <w:t>”</w:t>
      </w:r>
      <w:r w:rsidRPr="00AA3BAE" w:rsidR="00AA3BAE">
        <w:t xml:space="preserve">), </w:t>
      </w:r>
    </w:p>
    <w:p w:rsidR="000C5E3B" w:rsidP="008F0D86" w:rsidRDefault="00AA3BAE" w14:paraId="529C90D5" w14:textId="28C7AF6B">
      <w:pPr>
        <w:pStyle w:val="ListParagraph"/>
        <w:spacing w:after="0" w:line="276" w:lineRule="auto"/>
        <w:ind w:left="1080"/>
        <w:jc w:val="both"/>
      </w:pPr>
      <w:r w:rsidRPr="00AA3BAE">
        <w:t>defined as an MG-ADL score of 0 or 1</w:t>
      </w:r>
      <w:r>
        <w:t>.</w:t>
      </w:r>
      <w:r w:rsidR="00ED0C15">
        <w:t xml:space="preserve"> </w:t>
      </w:r>
      <w:r w:rsidRPr="00ED0C15" w:rsidR="00ED0C15">
        <w:t>The company also assumed that people reaching MSE remain in the ‘continued response’ health state for the lifetime horizon of the economic model.</w:t>
      </w:r>
    </w:p>
    <w:p w:rsidR="00533F2C" w:rsidP="008F0D86" w:rsidRDefault="00533F2C" w14:paraId="57CEFC08" w14:textId="77777777">
      <w:pPr>
        <w:pStyle w:val="ListParagraph"/>
        <w:spacing w:after="0" w:line="276" w:lineRule="auto"/>
        <w:ind w:left="1080"/>
        <w:jc w:val="both"/>
      </w:pPr>
    </w:p>
    <w:p w:rsidRPr="00EC56D9" w:rsidR="00564913" w:rsidP="008F0D86" w:rsidRDefault="00A12DE2" w14:paraId="0EC865C1" w14:textId="07840058">
      <w:pPr>
        <w:pStyle w:val="ListParagraph"/>
        <w:numPr>
          <w:ilvl w:val="0"/>
          <w:numId w:val="1"/>
        </w:numPr>
        <w:spacing w:after="0" w:line="276" w:lineRule="auto"/>
        <w:jc w:val="both"/>
      </w:pPr>
      <w:r>
        <w:t>The Committee</w:t>
      </w:r>
      <w:r w:rsidR="00533F2C">
        <w:t xml:space="preserve"> considered that</w:t>
      </w:r>
      <w:r w:rsidR="001D5779">
        <w:t xml:space="preserve"> there were uncertainties </w:t>
      </w:r>
      <w:r w:rsidR="00392FE5">
        <w:t xml:space="preserve">in the evidence relating to the proportion of people who </w:t>
      </w:r>
      <w:r w:rsidR="008B79B0">
        <w:t xml:space="preserve">reached MSE and the assumption that people would remain in </w:t>
      </w:r>
      <w:r w:rsidRPr="00EC56D9" w:rsidR="008B79B0">
        <w:t xml:space="preserve">this state for the lifetime horizon of the economic model. However, </w:t>
      </w:r>
      <w:r w:rsidRPr="00EC56D9">
        <w:t>the Committee</w:t>
      </w:r>
      <w:r w:rsidRPr="00EC56D9" w:rsidR="008B79B0">
        <w:t xml:space="preserve"> concluded that </w:t>
      </w:r>
      <w:r w:rsidRPr="00EC56D9" w:rsidR="00564913">
        <w:t xml:space="preserve">this should be addressed by removing </w:t>
      </w:r>
      <w:r w:rsidRPr="00EC56D9" w:rsidR="008B79B0">
        <w:t>MSE from the model entirely</w:t>
      </w:r>
      <w:r w:rsidRPr="00EC56D9" w:rsidR="00D94DA9">
        <w:t xml:space="preserve">, rather than </w:t>
      </w:r>
      <w:r w:rsidRPr="00EC56D9" w:rsidR="00EB084B">
        <w:t xml:space="preserve">adjusting the parameters of the model based on its evaluation of the evidence. </w:t>
      </w:r>
    </w:p>
    <w:p w:rsidRPr="00EC56D9" w:rsidR="00564913" w:rsidP="008F0D86" w:rsidRDefault="00564913" w14:paraId="38F4444D" w14:textId="77777777">
      <w:pPr>
        <w:pStyle w:val="ListParagraph"/>
        <w:spacing w:after="0" w:line="276" w:lineRule="auto"/>
        <w:jc w:val="both"/>
      </w:pPr>
    </w:p>
    <w:p w:rsidRPr="00EC56D9" w:rsidR="0038313F" w:rsidP="008F0D86" w:rsidRDefault="00EB084B" w14:paraId="0E87C50D" w14:textId="4F1AA8C3">
      <w:pPr>
        <w:pStyle w:val="ListParagraph"/>
        <w:numPr>
          <w:ilvl w:val="0"/>
          <w:numId w:val="1"/>
        </w:numPr>
        <w:spacing w:after="0" w:line="276" w:lineRule="auto"/>
        <w:jc w:val="both"/>
      </w:pPr>
      <w:r w:rsidRPr="00EC56D9">
        <w:t>T</w:t>
      </w:r>
      <w:r w:rsidRPr="00EC56D9" w:rsidR="0038313F">
        <w:t>his was irrational</w:t>
      </w:r>
      <w:r w:rsidRPr="00EC56D9" w:rsidR="00564913">
        <w:t>,</w:t>
      </w:r>
      <w:r w:rsidRPr="00EC56D9" w:rsidR="0038313F">
        <w:t xml:space="preserve"> for </w:t>
      </w:r>
      <w:r w:rsidRPr="00EC56D9" w:rsidR="002B3352">
        <w:t>five</w:t>
      </w:r>
      <w:r w:rsidRPr="00EC56D9" w:rsidR="0038313F">
        <w:t xml:space="preserve"> reasons. </w:t>
      </w:r>
    </w:p>
    <w:p w:rsidRPr="00EC56D9" w:rsidR="0038313F" w:rsidP="008F0D86" w:rsidRDefault="0038313F" w14:paraId="099F4A4F" w14:textId="77777777">
      <w:pPr>
        <w:pStyle w:val="ListParagraph"/>
        <w:spacing w:after="0" w:line="276" w:lineRule="auto"/>
        <w:jc w:val="both"/>
      </w:pPr>
    </w:p>
    <w:p w:rsidRPr="00920937" w:rsidR="00AB35BC" w:rsidP="008F0D86" w:rsidRDefault="00B9052A" w14:paraId="5E11F3BF" w14:textId="69731BC5">
      <w:pPr>
        <w:pStyle w:val="ListParagraph"/>
        <w:numPr>
          <w:ilvl w:val="0"/>
          <w:numId w:val="8"/>
        </w:numPr>
        <w:spacing w:after="0" w:line="276" w:lineRule="auto"/>
        <w:ind w:left="1701" w:hanging="567"/>
        <w:jc w:val="both"/>
      </w:pPr>
      <w:r w:rsidRPr="00EC56D9">
        <w:t>The</w:t>
      </w:r>
      <w:r w:rsidRPr="00EC56D9" w:rsidR="00A12DE2">
        <w:t xml:space="preserve"> Committee</w:t>
      </w:r>
      <w:r w:rsidRPr="00EC56D9" w:rsidR="0038313F">
        <w:t xml:space="preserve"> simply rejected the modelling of MSE</w:t>
      </w:r>
      <w:r w:rsidRPr="00EC56D9" w:rsidR="00172F1C">
        <w:t xml:space="preserve"> despite the fact that </w:t>
      </w:r>
      <w:r w:rsidRPr="00EC56D9" w:rsidR="0038313F">
        <w:t xml:space="preserve">the </w:t>
      </w:r>
      <w:r w:rsidRPr="00EC56D9" w:rsidR="00AB35BC">
        <w:t xml:space="preserve">clinical expert </w:t>
      </w:r>
      <w:r w:rsidRPr="00EC56D9" w:rsidR="0038313F">
        <w:t xml:space="preserve">had </w:t>
      </w:r>
      <w:r w:rsidRPr="00EC56D9" w:rsidR="00AB35BC">
        <w:t>explained that MSE is a “</w:t>
      </w:r>
      <w:r w:rsidRPr="00EC56D9" w:rsidR="00AB35BC">
        <w:rPr>
          <w:i/>
          <w:iCs/>
        </w:rPr>
        <w:t>clinically relevant outcome</w:t>
      </w:r>
      <w:r w:rsidRPr="00EC56D9" w:rsidR="00AB35BC">
        <w:t>”</w:t>
      </w:r>
      <w:r w:rsidRPr="00EC56D9" w:rsidR="00564913">
        <w:rPr>
          <w:rStyle w:val="FootnoteReference"/>
        </w:rPr>
        <w:footnoteReference w:id="12"/>
      </w:r>
      <w:r w:rsidRPr="00EC56D9" w:rsidR="00AB35BC">
        <w:t xml:space="preserve"> </w:t>
      </w:r>
      <w:r w:rsidRPr="00EC56D9" w:rsidR="00564913">
        <w:t>(</w:t>
      </w:r>
      <w:r w:rsidRPr="00EC56D9" w:rsidR="00AB35BC">
        <w:t xml:space="preserve">and </w:t>
      </w:r>
      <w:r w:rsidRPr="00EC56D9" w:rsidR="00564913">
        <w:t xml:space="preserve">indeed, </w:t>
      </w:r>
      <w:r w:rsidRPr="00EC56D9" w:rsidR="00AB35BC">
        <w:t xml:space="preserve">the EAG </w:t>
      </w:r>
      <w:r w:rsidRPr="00EC56D9" w:rsidR="0038313F">
        <w:t xml:space="preserve">had </w:t>
      </w:r>
      <w:r w:rsidRPr="00EC56D9" w:rsidR="00AB35BC">
        <w:t>found that MSE “</w:t>
      </w:r>
      <w:r w:rsidRPr="00EC56D9" w:rsidR="00AB35BC">
        <w:rPr>
          <w:i/>
          <w:iCs/>
        </w:rPr>
        <w:t>is intuitively clinically relevant because it reflects the health state with minimal symptoms</w:t>
      </w:r>
      <w:r w:rsidRPr="00EC56D9" w:rsidR="00AB35BC">
        <w:t>”</w:t>
      </w:r>
      <w:r w:rsidRPr="00EC56D9" w:rsidR="00564913">
        <w:rPr>
          <w:rStyle w:val="FootnoteReference"/>
        </w:rPr>
        <w:footnoteReference w:id="13"/>
      </w:r>
      <w:r w:rsidRPr="00EC56D9" w:rsidR="00564913">
        <w:t>)</w:t>
      </w:r>
      <w:r w:rsidRPr="00EC56D9" w:rsidR="00AB35BC">
        <w:t xml:space="preserve">. </w:t>
      </w:r>
      <w:r w:rsidRPr="00EC56D9" w:rsidR="00BA4865">
        <w:t xml:space="preserve">Myaware’s own experience of learning from patients who have achieved MSE through Zilucoplan treatment has been profound and most welcome. </w:t>
      </w:r>
      <w:r w:rsidRPr="00920937" w:rsidR="00BA4865">
        <w:t xml:space="preserve">It is noted that MSE has not only greatly improved patient quality of life, but in some cases saved it, as reported on the online commenting from one patient on </w:t>
      </w:r>
      <w:r w:rsidRPr="00920937" w:rsidR="008F0D86">
        <w:rPr>
          <w:b/>
          <w:bCs/>
        </w:rPr>
        <w:t>p.</w:t>
      </w:r>
      <w:r w:rsidRPr="00920937" w:rsidR="00BA4865">
        <w:rPr>
          <w:b/>
          <w:bCs/>
        </w:rPr>
        <w:t xml:space="preserve">141 of </w:t>
      </w:r>
      <w:r w:rsidRPr="00920937" w:rsidR="008F0D86">
        <w:rPr>
          <w:b/>
          <w:bCs/>
        </w:rPr>
        <w:t>the Committee Papers for ACM</w:t>
      </w:r>
      <w:r w:rsidRPr="00920937" w:rsidR="00BA4865">
        <w:rPr>
          <w:b/>
          <w:bCs/>
        </w:rPr>
        <w:t>2</w:t>
      </w:r>
      <w:r w:rsidRPr="00920937" w:rsidR="00BA4865">
        <w:t xml:space="preserve">. In addition, the patient expert testimony for this appraisal provided on </w:t>
      </w:r>
      <w:r w:rsidRPr="00920937" w:rsidR="008F0D86">
        <w:rPr>
          <w:b/>
          <w:bCs/>
        </w:rPr>
        <w:t xml:space="preserve">p. </w:t>
      </w:r>
      <w:r w:rsidRPr="00920937" w:rsidR="00BA4865">
        <w:rPr>
          <w:b/>
          <w:bCs/>
        </w:rPr>
        <w:t xml:space="preserve">303 of the </w:t>
      </w:r>
      <w:r w:rsidRPr="00920937" w:rsidR="008F0D86">
        <w:rPr>
          <w:b/>
          <w:bCs/>
        </w:rPr>
        <w:t>Committee Papers for ACM1</w:t>
      </w:r>
      <w:r w:rsidRPr="00920937" w:rsidR="00BA4865">
        <w:t xml:space="preserve"> emphasises the benefit of this outcome.</w:t>
      </w:r>
    </w:p>
    <w:p w:rsidRPr="00EC56D9" w:rsidR="00DA1844" w:rsidP="008F0D86" w:rsidRDefault="00DA1844" w14:paraId="6DC6C953" w14:textId="77777777">
      <w:pPr>
        <w:pStyle w:val="ListParagraph"/>
        <w:spacing w:after="0" w:line="276" w:lineRule="auto"/>
        <w:ind w:left="1701" w:hanging="567"/>
        <w:jc w:val="both"/>
      </w:pPr>
    </w:p>
    <w:p w:rsidR="00DC0D79" w:rsidP="008F0D86" w:rsidRDefault="00B9052A" w14:paraId="76450616" w14:textId="4C0FA392">
      <w:pPr>
        <w:pStyle w:val="ListParagraph"/>
        <w:numPr>
          <w:ilvl w:val="0"/>
          <w:numId w:val="8"/>
        </w:numPr>
        <w:spacing w:after="0" w:line="276" w:lineRule="auto"/>
        <w:ind w:left="1701" w:hanging="567"/>
        <w:jc w:val="both"/>
      </w:pPr>
      <w:r w:rsidRPr="00EC56D9">
        <w:t>The</w:t>
      </w:r>
      <w:r w:rsidRPr="00EC56D9" w:rsidR="00DC0D79">
        <w:t xml:space="preserve"> proportion of peo</w:t>
      </w:r>
      <w:r w:rsidRPr="00DC0D79" w:rsidR="00DC0D79">
        <w:t>ple reaching MSE on Zilucoplan was based on RAISE-XT data</w:t>
      </w:r>
      <w:r w:rsidR="00564913">
        <w:t>. It was</w:t>
      </w:r>
      <w:r w:rsidRPr="00DC0D79" w:rsidR="00DC0D79">
        <w:t xml:space="preserve"> not merely assumption. </w:t>
      </w:r>
      <w:r w:rsidR="00564913">
        <w:t>Indeed</w:t>
      </w:r>
      <w:r w:rsidRPr="00DC0D79" w:rsidR="00DC0D79">
        <w:t xml:space="preserve">, during </w:t>
      </w:r>
      <w:r w:rsidR="00564913">
        <w:t>ACM3</w:t>
      </w:r>
      <w:r w:rsidRPr="00DC0D79" w:rsidR="00DC0D79">
        <w:t>, “</w:t>
      </w:r>
      <w:r w:rsidRPr="00842DCD" w:rsidR="00DC0D79">
        <w:rPr>
          <w:i/>
          <w:iCs/>
        </w:rPr>
        <w:t>one clinical expert explained that [the company’s assumption in its model] matches their experience with people with refractory gMG in the past 5 years</w:t>
      </w:r>
      <w:r w:rsidRPr="00DC0D79" w:rsidR="00DC0D79">
        <w:t>”.</w:t>
      </w:r>
      <w:r w:rsidR="00564913">
        <w:rPr>
          <w:rStyle w:val="FootnoteReference"/>
        </w:rPr>
        <w:footnoteReference w:id="14"/>
      </w:r>
      <w:r w:rsidRPr="00DC0D79" w:rsidR="00DC0D79">
        <w:t xml:space="preserve"> The company also provided clinical expert-elicited estimates of MSE rates for IVIg, PLEX, and standard care (excluding IVIg and PLEX). Accordingly, the inputs were grounded in data, and expert opinion was used where data was lacking – a standard NICE practice</w:t>
      </w:r>
      <w:r w:rsidR="00D94DA9">
        <w:t>.</w:t>
      </w:r>
      <w:r w:rsidR="00842DCD">
        <w:t xml:space="preserve"> </w:t>
      </w:r>
    </w:p>
    <w:p w:rsidRPr="00DC0D79" w:rsidR="00DC0D79" w:rsidP="008F0D86" w:rsidRDefault="00DC0D79" w14:paraId="21E4D558" w14:textId="77777777">
      <w:pPr>
        <w:pStyle w:val="ListParagraph"/>
        <w:spacing w:after="0" w:line="276" w:lineRule="auto"/>
        <w:ind w:left="1701" w:hanging="567"/>
        <w:jc w:val="both"/>
      </w:pPr>
    </w:p>
    <w:p w:rsidR="00755F8C" w:rsidP="00920937" w:rsidRDefault="00B9052A" w14:paraId="7D70480F" w14:textId="26F6F72D">
      <w:pPr>
        <w:pStyle w:val="ListParagraph"/>
        <w:numPr>
          <w:ilvl w:val="0"/>
          <w:numId w:val="8"/>
        </w:numPr>
        <w:spacing w:after="0" w:line="276" w:lineRule="auto"/>
        <w:ind w:left="1701" w:hanging="567"/>
        <w:jc w:val="both"/>
      </w:pPr>
      <w:r>
        <w:t>The</w:t>
      </w:r>
      <w:r w:rsidR="00A12DE2">
        <w:t xml:space="preserve"> Committee</w:t>
      </w:r>
      <w:r w:rsidRPr="005F6311" w:rsidR="00C56388">
        <w:t xml:space="preserve"> </w:t>
      </w:r>
      <w:r w:rsidR="00C56388">
        <w:t>“</w:t>
      </w:r>
      <w:r w:rsidRPr="001E6C9D" w:rsidR="00C56388">
        <w:rPr>
          <w:i/>
          <w:iCs/>
        </w:rPr>
        <w:t>questioned the validity of the company’s assumption that people who reached MSE were considered to be in the ‘continued response’ health state in the economic model for the entire time horizon of the model. This assumption was questionable because gMG is a condition characterised by relapse and remission and there was no evidence that zilucoplan or other treatments available for gMG can be considered curative</w:t>
      </w:r>
      <w:r w:rsidRPr="005F6311" w:rsidR="00C56388">
        <w:t>.</w:t>
      </w:r>
      <w:r w:rsidR="00C56388">
        <w:t>” However, the company defined MSE as an MG-A</w:t>
      </w:r>
      <w:r w:rsidR="00FB5E74">
        <w:t>D</w:t>
      </w:r>
      <w:r w:rsidR="00C56388">
        <w:t xml:space="preserve">L score of 0 or 1, and the company’s clinical expert elicitation report included the caveat that MSE </w:t>
      </w:r>
      <w:r w:rsidRPr="001B0EB4" w:rsidR="00C56388">
        <w:t>does not necessarily imply the absence of symptoms. This is because an MG-ADL score of 1 could be associated with symptoms that impact patients’ quality of life.</w:t>
      </w:r>
      <w:r w:rsidR="00C56388">
        <w:t xml:space="preserve"> Accordingly, the Committee’s criticism of lifelong MSE based on the fact that Zilucoplan is not considered “</w:t>
      </w:r>
      <w:r w:rsidRPr="001E6C9D" w:rsidR="00C56388">
        <w:rPr>
          <w:i/>
          <w:iCs/>
        </w:rPr>
        <w:t>curative</w:t>
      </w:r>
      <w:r w:rsidR="00C56388">
        <w:t>” does not reflect how the company defined MSE.</w:t>
      </w:r>
      <w:r w:rsidR="00564913">
        <w:rPr>
          <w:rStyle w:val="FootnoteReference"/>
        </w:rPr>
        <w:footnoteReference w:id="15"/>
      </w:r>
    </w:p>
    <w:p w:rsidR="00755F8C" w:rsidP="008F0D86" w:rsidRDefault="00755F8C" w14:paraId="57895AD6" w14:textId="77777777">
      <w:pPr>
        <w:pStyle w:val="ListParagraph"/>
        <w:spacing w:after="0" w:line="276" w:lineRule="auto"/>
        <w:ind w:left="1701" w:hanging="567"/>
        <w:jc w:val="both"/>
      </w:pPr>
    </w:p>
    <w:p w:rsidR="00D7336E" w:rsidP="008F0D86" w:rsidRDefault="00B9052A" w14:paraId="0D60FD25" w14:textId="77777777">
      <w:pPr>
        <w:pStyle w:val="ListParagraph"/>
        <w:numPr>
          <w:ilvl w:val="0"/>
          <w:numId w:val="8"/>
        </w:numPr>
        <w:spacing w:after="0" w:line="276" w:lineRule="auto"/>
        <w:ind w:left="1701" w:hanging="567"/>
        <w:jc w:val="both"/>
      </w:pPr>
      <w:r>
        <w:t>The</w:t>
      </w:r>
      <w:r w:rsidR="00755F8C">
        <w:t xml:space="preserve"> Committee highlighted issues in relation to the company’s expert elicitation. But at §3.16, the Committee again highlighted the uncertainties arising from the company’s use of expert elicitation in relation to proportion switching from IVIg to PLEX, but nevertheless relied upon it in concluding that the EAG’s preferred estimate should be adopted. </w:t>
      </w:r>
      <w:r w:rsidRPr="00AE5742" w:rsidR="00755F8C">
        <w:t xml:space="preserve">It is </w:t>
      </w:r>
      <w:r w:rsidR="00564913">
        <w:t>inconsistent</w:t>
      </w:r>
      <w:r w:rsidRPr="00AE5742" w:rsidR="00755F8C">
        <w:t xml:space="preserve"> to reject MSE data because of elicitation flaws while relying on the same elicitation elsewhere in the model</w:t>
      </w:r>
      <w:r w:rsidR="00755F8C">
        <w:t>.</w:t>
      </w:r>
    </w:p>
    <w:p w:rsidR="00D7336E" w:rsidP="00920937" w:rsidRDefault="00D7336E" w14:paraId="5CDC39F9" w14:textId="77777777">
      <w:pPr>
        <w:pStyle w:val="ListParagraph"/>
        <w:ind w:left="1701" w:hanging="567"/>
        <w:jc w:val="both"/>
      </w:pPr>
    </w:p>
    <w:p w:rsidR="00CB65DD" w:rsidP="008F0D86" w:rsidRDefault="00B9052A" w14:paraId="4213A756" w14:textId="079DA5AE">
      <w:pPr>
        <w:pStyle w:val="ListParagraph"/>
        <w:numPr>
          <w:ilvl w:val="0"/>
          <w:numId w:val="8"/>
        </w:numPr>
        <w:spacing w:after="0" w:line="276" w:lineRule="auto"/>
        <w:ind w:left="1701" w:hanging="567"/>
        <w:jc w:val="both"/>
      </w:pPr>
      <w:r>
        <w:t>The</w:t>
      </w:r>
      <w:r w:rsidR="00A12DE2">
        <w:t xml:space="preserve"> Committee</w:t>
      </w:r>
      <w:r w:rsidR="003E2636">
        <w:t xml:space="preserve"> criticised the company’s assumption that no people on refractory standard treatment reached MSE in its base case </w:t>
      </w:r>
      <w:r w:rsidR="0037699E">
        <w:t>given that</w:t>
      </w:r>
      <w:r w:rsidR="003E2636">
        <w:t xml:space="preserve"> 5% of people in the RAISE placebo arm reached MSE at week 12.</w:t>
      </w:r>
      <w:r w:rsidR="009E78E0">
        <w:t xml:space="preserve"> However, this </w:t>
      </w:r>
      <w:r w:rsidR="00A10CE9">
        <w:t>might</w:t>
      </w:r>
      <w:r w:rsidR="00564913">
        <w:t xml:space="preserve"> be a reason to </w:t>
      </w:r>
      <w:r w:rsidR="00A10CE9">
        <w:t>consider adjusting</w:t>
      </w:r>
      <w:r w:rsidR="00564913">
        <w:t xml:space="preserve"> the</w:t>
      </w:r>
      <w:r w:rsidR="009E78E0">
        <w:t xml:space="preserve"> numbers </w:t>
      </w:r>
      <w:r w:rsidR="00A10CE9">
        <w:t>to use in</w:t>
      </w:r>
      <w:r w:rsidR="009E78E0">
        <w:t xml:space="preserve"> the model</w:t>
      </w:r>
      <w:r w:rsidR="00564913">
        <w:t>, not to discard</w:t>
      </w:r>
      <w:r w:rsidR="005E05DE">
        <w:t xml:space="preserve"> MSE altogether. It is irrational to </w:t>
      </w:r>
      <w:r w:rsidR="00A12DE2">
        <w:t>address concerns about</w:t>
      </w:r>
      <w:r w:rsidR="003F08CE">
        <w:t xml:space="preserve"> </w:t>
      </w:r>
      <w:r>
        <w:t>this detail</w:t>
      </w:r>
      <w:r w:rsidR="003F08CE">
        <w:t xml:space="preserve"> </w:t>
      </w:r>
      <w:r w:rsidR="00A12DE2">
        <w:t>by discarding</w:t>
      </w:r>
      <w:r w:rsidR="00C819F9">
        <w:t xml:space="preserve"> a clinically important health state entirely.</w:t>
      </w:r>
    </w:p>
    <w:p w:rsidR="00F654E1" w:rsidP="008F0D86" w:rsidRDefault="00F654E1" w14:paraId="3C8640C8" w14:textId="77777777">
      <w:pPr>
        <w:spacing w:after="0" w:line="276" w:lineRule="auto"/>
        <w:contextualSpacing/>
        <w:jc w:val="both"/>
      </w:pPr>
    </w:p>
    <w:p w:rsidRPr="005B510F" w:rsidR="00AD66E9" w:rsidP="008F0D86" w:rsidRDefault="00AD66E9" w14:paraId="6DE8D88D" w14:textId="271A653C">
      <w:pPr>
        <w:spacing w:after="0" w:line="276" w:lineRule="auto"/>
        <w:contextualSpacing/>
        <w:jc w:val="both"/>
        <w:rPr>
          <w:b/>
          <w:bCs/>
        </w:rPr>
      </w:pPr>
      <w:r w:rsidRPr="00004CF1">
        <w:rPr>
          <w:b/>
          <w:bCs/>
        </w:rPr>
        <w:t>2.</w:t>
      </w:r>
      <w:r w:rsidR="00A10CE9">
        <w:rPr>
          <w:b/>
          <w:bCs/>
        </w:rPr>
        <w:t>4</w:t>
      </w:r>
      <w:r w:rsidRPr="00004CF1">
        <w:rPr>
          <w:b/>
          <w:bCs/>
        </w:rPr>
        <w:t xml:space="preserve"> NICE’s conclusion</w:t>
      </w:r>
      <w:r w:rsidR="00A10CE9">
        <w:rPr>
          <w:b/>
          <w:bCs/>
        </w:rPr>
        <w:t>s in relation to</w:t>
      </w:r>
      <w:r w:rsidRPr="00004CF1">
        <w:rPr>
          <w:b/>
          <w:bCs/>
        </w:rPr>
        <w:t xml:space="preserve"> </w:t>
      </w:r>
      <w:r w:rsidRPr="005B510F" w:rsidR="005B510F">
        <w:rPr>
          <w:b/>
          <w:bCs/>
        </w:rPr>
        <w:t xml:space="preserve">subsequent treatment distributions in the Zilucoplan arm </w:t>
      </w:r>
      <w:r w:rsidR="00A10CE9">
        <w:rPr>
          <w:b/>
          <w:bCs/>
        </w:rPr>
        <w:t>and</w:t>
      </w:r>
      <w:r w:rsidRPr="005B510F" w:rsidR="005B510F">
        <w:rPr>
          <w:b/>
          <w:bCs/>
        </w:rPr>
        <w:t xml:space="preserve"> comparator arm</w:t>
      </w:r>
      <w:r w:rsidR="00A10CE9">
        <w:rPr>
          <w:b/>
          <w:bCs/>
        </w:rPr>
        <w:t xml:space="preserve"> of the model are opaque but appear to be</w:t>
      </w:r>
      <w:r w:rsidR="005B510F">
        <w:rPr>
          <w:b/>
          <w:bCs/>
        </w:rPr>
        <w:t xml:space="preserve"> irrational.</w:t>
      </w:r>
    </w:p>
    <w:p w:rsidR="00F654E1" w:rsidP="008F0D86" w:rsidRDefault="00F654E1" w14:paraId="374326A8" w14:textId="77777777">
      <w:pPr>
        <w:spacing w:after="0" w:line="276" w:lineRule="auto"/>
        <w:contextualSpacing/>
        <w:jc w:val="both"/>
      </w:pPr>
    </w:p>
    <w:p w:rsidR="00A12DE2" w:rsidP="008F0D86" w:rsidRDefault="007C4DA5" w14:paraId="461764F4" w14:textId="3BCB7DCF">
      <w:pPr>
        <w:pStyle w:val="ListParagraph"/>
        <w:numPr>
          <w:ilvl w:val="0"/>
          <w:numId w:val="1"/>
        </w:numPr>
        <w:spacing w:after="0" w:line="276" w:lineRule="auto"/>
        <w:jc w:val="both"/>
      </w:pPr>
      <w:r>
        <w:t xml:space="preserve">This preferred assumption is listed in </w:t>
      </w:r>
      <w:r w:rsidRPr="00A12DE2">
        <w:rPr>
          <w:b/>
          <w:bCs/>
        </w:rPr>
        <w:t>the eighth bullet point of §3.27</w:t>
      </w:r>
      <w:r>
        <w:t xml:space="preserve"> and considered in §§3.15-3.16 of the FDG.</w:t>
      </w:r>
      <w:r w:rsidR="005B510F">
        <w:t xml:space="preserve"> </w:t>
      </w:r>
    </w:p>
    <w:p w:rsidR="00A12DE2" w:rsidP="008F0D86" w:rsidRDefault="00A12DE2" w14:paraId="3D9B285A" w14:textId="77777777">
      <w:pPr>
        <w:spacing w:after="0" w:line="276" w:lineRule="auto"/>
        <w:jc w:val="both"/>
      </w:pPr>
    </w:p>
    <w:p w:rsidRPr="00416296" w:rsidR="00416296" w:rsidP="00920937" w:rsidRDefault="00416296" w14:paraId="552F029B" w14:textId="77777777">
      <w:pPr>
        <w:pStyle w:val="ListParagraph"/>
        <w:numPr>
          <w:ilvl w:val="0"/>
          <w:numId w:val="1"/>
        </w:numPr>
        <w:jc w:val="both"/>
      </w:pPr>
      <w:r w:rsidRPr="00416296">
        <w:t>The Committee concluded that the EAG’s approach was appropriate to model subsequent treatment, specifically that the “</w:t>
      </w:r>
      <w:r w:rsidRPr="00416296">
        <w:rPr>
          <w:i/>
          <w:iCs/>
        </w:rPr>
        <w:t>‘basket’ of standard care arm should be applied consistently in both arms: the proportion of people on subsequent IVIg, PLEX, and corticosteroids and or NSISTs only in the zilucoplan arm should be the same as the proportion of people initially having IVIg and PLEX in the ‘basket’ of standard care arm</w:t>
      </w:r>
      <w:r w:rsidRPr="00416296">
        <w:t>.” However, the Committee also apparently endorsed the view of the EAG that, for the ‘basket’ of standard care arm, “</w:t>
      </w:r>
      <w:r w:rsidRPr="00416296">
        <w:rPr>
          <w:i/>
          <w:iCs/>
        </w:rPr>
        <w:t>the company’s clinical experts generally agreed that they would not re-treat with the same initial treatment</w:t>
      </w:r>
      <w:r w:rsidRPr="00416296">
        <w:t>”</w:t>
      </w:r>
      <w:r w:rsidRPr="00416296">
        <w:rPr>
          <w:vertAlign w:val="superscript"/>
        </w:rPr>
        <w:footnoteReference w:id="16"/>
      </w:r>
      <w:r w:rsidRPr="00416296">
        <w:t xml:space="preserve"> and ultimately endorsed the EAG’s approach that “</w:t>
      </w:r>
      <w:r w:rsidRPr="00416296">
        <w:rPr>
          <w:i/>
          <w:iCs/>
        </w:rPr>
        <w:t>[i]f used once, the same treatment would not be used again as subsequent treatment</w:t>
      </w:r>
      <w:r w:rsidRPr="00416296">
        <w:t>”.</w:t>
      </w:r>
      <w:r w:rsidRPr="00416296">
        <w:rPr>
          <w:vertAlign w:val="superscript"/>
        </w:rPr>
        <w:footnoteReference w:id="17"/>
      </w:r>
      <w:r w:rsidRPr="00416296">
        <w:t xml:space="preserve"> The Committee also decided to use the EAG’s approach, for the ‘basket’ of standard care arm, to estimating the proportion of people switching from IVIg to PLEX and vice versa (which, as noted in §21(d) above, was based on the company’s expert elicitation).</w:t>
      </w:r>
    </w:p>
    <w:p w:rsidR="00CA1F6B" w:rsidP="008F0D86" w:rsidRDefault="00CA1F6B" w14:paraId="66A206DC" w14:textId="77777777">
      <w:pPr>
        <w:pStyle w:val="ListParagraph"/>
        <w:spacing w:after="0" w:line="276" w:lineRule="auto"/>
        <w:ind w:left="1080"/>
        <w:jc w:val="both"/>
      </w:pPr>
    </w:p>
    <w:p w:rsidRPr="00C706CB" w:rsidR="00C706CB" w:rsidP="00920937" w:rsidRDefault="00C706CB" w14:paraId="564CEA90" w14:textId="4685AF4B">
      <w:pPr>
        <w:pStyle w:val="ListParagraph"/>
        <w:numPr>
          <w:ilvl w:val="0"/>
          <w:numId w:val="1"/>
        </w:numPr>
        <w:jc w:val="both"/>
      </w:pPr>
      <w:r w:rsidRPr="00C706CB">
        <w:t xml:space="preserve">It is unclear to Myaware what exactly this means in terms of the approach that was taken to modelling, and Myaware reserves the right to address this further if the position is clarified. But it seems that the Committee has decided to assume that: (i) the proportion of patients receiving subsequent IVIg, PLEX, corticosteroids and NSISTs should, for the Zilucoplan arm of the model, reflect the proportion of patients initially receiving IVIg and PLEX in the comparator arm; but (ii) the expert elicitation estimate for switching from IVIg and PLEX should be used for the comparator, ie, the ‘basket’ </w:t>
      </w:r>
      <w:r w:rsidR="00EC56D9">
        <w:t>of standard care</w:t>
      </w:r>
      <w:r w:rsidRPr="00C706CB">
        <w:t xml:space="preserve"> arm (although apparently not for the Zilucoplan arm); and (iii) at least in the comparator arm, people treated with IVIg and/or PLEX would not be re-treated with the same treatment again.</w:t>
      </w:r>
    </w:p>
    <w:p w:rsidR="003B6479" w:rsidP="00920937" w:rsidRDefault="003B6479" w14:paraId="5AB3285D" w14:textId="77777777">
      <w:pPr>
        <w:pStyle w:val="ListParagraph"/>
        <w:jc w:val="both"/>
      </w:pPr>
    </w:p>
    <w:p w:rsidRPr="00FD2AB1" w:rsidR="00FD2AB1" w:rsidP="00920937" w:rsidRDefault="00FD2AB1" w14:paraId="7FDA7591" w14:textId="77777777">
      <w:pPr>
        <w:pStyle w:val="ListParagraph"/>
        <w:numPr>
          <w:ilvl w:val="0"/>
          <w:numId w:val="1"/>
        </w:numPr>
        <w:jc w:val="both"/>
      </w:pPr>
      <w:r w:rsidRPr="00FD2AB1">
        <w:t>If so, the Committee’s approach did not have a sound basis and was inconsistent with the approach taken in the Efgartigimod appraisal (TA1069):</w:t>
      </w:r>
    </w:p>
    <w:p w:rsidRPr="00FD2AB1" w:rsidR="00FD2AB1" w:rsidP="00920937" w:rsidRDefault="00FD2AB1" w14:paraId="7ADD4132" w14:textId="77777777">
      <w:pPr>
        <w:pStyle w:val="ListParagraph"/>
        <w:jc w:val="both"/>
      </w:pPr>
    </w:p>
    <w:p w:rsidRPr="00EC56D9" w:rsidR="00FD2AB1" w:rsidP="00920937" w:rsidRDefault="00FD2AB1" w14:paraId="151B0F61" w14:textId="77777777">
      <w:pPr>
        <w:pStyle w:val="ListParagraph"/>
        <w:numPr>
          <w:ilvl w:val="1"/>
          <w:numId w:val="3"/>
        </w:numPr>
        <w:ind w:left="1701" w:hanging="567"/>
        <w:jc w:val="both"/>
      </w:pPr>
      <w:r w:rsidRPr="00FD2AB1">
        <w:t>The Committee “</w:t>
      </w:r>
      <w:r w:rsidRPr="00FD2AB1">
        <w:rPr>
          <w:i/>
          <w:iCs/>
        </w:rPr>
        <w:t>noted there may be variations in subsequent treatment in practice and acknowledged the difficulties in modelling. It also noted that, if zilucoplan is recommended, the sequence of subsequent treatment for people who have had zilucoplan might differ from those who have only had IVIg, PLEX, or corticosteroids and NSISTs for their refractory gMG</w:t>
      </w:r>
      <w:r w:rsidRPr="00FD2AB1">
        <w:t>”.</w:t>
      </w:r>
      <w:r w:rsidRPr="00FD2AB1">
        <w:rPr>
          <w:vertAlign w:val="superscript"/>
        </w:rPr>
        <w:footnoteReference w:id="18"/>
      </w:r>
      <w:r w:rsidRPr="00FD2AB1">
        <w:t xml:space="preserve"> But in the Efgartigimod appraisal, the Committee decided that “</w:t>
      </w:r>
      <w:r w:rsidRPr="00FD2AB1">
        <w:rPr>
          <w:i/>
          <w:iCs/>
        </w:rPr>
        <w:t>the most reasonable approach would model the same proportions of people having plasma exchange and IVIg in both arms. That would mean that people who stop efgartigimod would have the same sequence of IVIg and plasma exchange as the comparator arm.</w:t>
      </w:r>
      <w:r w:rsidRPr="00FD2AB1">
        <w:t>”</w:t>
      </w:r>
      <w:r w:rsidRPr="00FD2AB1">
        <w:rPr>
          <w:vertAlign w:val="superscript"/>
        </w:rPr>
        <w:footnoteReference w:id="19"/>
      </w:r>
      <w:r w:rsidRPr="00FD2AB1">
        <w:t xml:space="preserve"> In other words, the Committee in the Efgartigimod appraisal resolved the uncertainty around subsequent treatments by making a simplifying assumption. While, to be clear, Myaware does not agree with the modelling of </w:t>
      </w:r>
      <w:r w:rsidRPr="00EC56D9">
        <w:t>the treatment pathway in the Efgartigimod appraisal, that simplifying assumption at least avoided different costs of subsequent treatments across the arms of the economic model.</w:t>
      </w:r>
    </w:p>
    <w:p w:rsidRPr="00EC56D9" w:rsidR="00FD2AB1" w:rsidP="00920937" w:rsidRDefault="00FD2AB1" w14:paraId="4A29CB96" w14:textId="77777777">
      <w:pPr>
        <w:pStyle w:val="ListParagraph"/>
        <w:ind w:left="1701" w:hanging="567"/>
        <w:jc w:val="both"/>
      </w:pPr>
      <w:r w:rsidRPr="00EC56D9">
        <w:t xml:space="preserve">  </w:t>
      </w:r>
    </w:p>
    <w:p w:rsidRPr="00920937" w:rsidR="00FD2AB1" w:rsidP="00920937" w:rsidRDefault="00FD2AB1" w14:paraId="4074210B" w14:textId="51EB7BFF">
      <w:pPr>
        <w:pStyle w:val="ListParagraph"/>
        <w:numPr>
          <w:ilvl w:val="1"/>
          <w:numId w:val="3"/>
        </w:numPr>
        <w:ind w:left="1701" w:hanging="567"/>
        <w:jc w:val="both"/>
      </w:pPr>
      <w:r w:rsidRPr="00EC56D9">
        <w:t xml:space="preserve">By contrast, the approach taken in this appraisal suggests that there may be different subsequent treatment costs across the arms for reasons that are not based on trial data or clinical expert views but, rather, are driven by different uses of source data and assumptions on switching for the Zilucoplan arm and the ‘basket’ of standard care arm. In addition, it appears that the Committee has decided to model a situation in which, at least in the comparator arm, a significant proportion of people initially treated with IVIg and/or PLEX people might be left only with </w:t>
      </w:r>
      <w:r w:rsidR="00EC56D9">
        <w:t>SoC</w:t>
      </w:r>
      <w:r w:rsidRPr="00EC56D9">
        <w:t xml:space="preserve"> treatment (corticosteroids and/or NSISTs) instead of being re-treated. Given the heterogeneity of this cohort of refractory gMG patients and the severity of their symptoms, this makes no sense. </w:t>
      </w:r>
      <w:r w:rsidRPr="00920937">
        <w:t xml:space="preserve">This is exemplified on </w:t>
      </w:r>
      <w:r w:rsidRPr="00920937" w:rsidR="008F0D86">
        <w:rPr>
          <w:b/>
          <w:bCs/>
        </w:rPr>
        <w:t>p.</w:t>
      </w:r>
      <w:r w:rsidRPr="00920937">
        <w:rPr>
          <w:b/>
          <w:bCs/>
        </w:rPr>
        <w:t xml:space="preserve">111 of </w:t>
      </w:r>
      <w:r w:rsidRPr="00920937" w:rsidR="008F0D86">
        <w:rPr>
          <w:b/>
          <w:bCs/>
        </w:rPr>
        <w:t>the Committee Papers for ACM2</w:t>
      </w:r>
      <w:r w:rsidRPr="00920937">
        <w:t>.</w:t>
      </w:r>
    </w:p>
    <w:p w:rsidRPr="00EC56D9" w:rsidR="00BB33F9" w:rsidP="00920937" w:rsidRDefault="00BB33F9" w14:paraId="226B0D23" w14:textId="77777777">
      <w:pPr>
        <w:pStyle w:val="ListParagraph"/>
        <w:jc w:val="both"/>
      </w:pPr>
    </w:p>
    <w:p w:rsidRPr="00EC56D9" w:rsidR="00976816" w:rsidP="00920937" w:rsidRDefault="00976816" w14:paraId="44B2FCF8" w14:textId="77777777">
      <w:pPr>
        <w:pStyle w:val="ListParagraph"/>
        <w:numPr>
          <w:ilvl w:val="0"/>
          <w:numId w:val="1"/>
        </w:numPr>
        <w:jc w:val="both"/>
      </w:pPr>
      <w:r w:rsidRPr="00EC56D9">
        <w:t>In short, the Committee has taken an approach that appears (i) to be inconsistent with that taken in another recent appraisal of a treatment for gMG, for reasons that are unclear (indeed, unexplained), and (ii) not to reflect the realities of the limited treatment options for the relevant cohort.</w:t>
      </w:r>
    </w:p>
    <w:p w:rsidR="007134F6" w:rsidP="008F0D86" w:rsidRDefault="007134F6" w14:paraId="00C5CB73" w14:textId="77777777">
      <w:pPr>
        <w:pStyle w:val="ListParagraph"/>
        <w:spacing w:after="0" w:line="276" w:lineRule="auto"/>
        <w:ind w:left="1080"/>
        <w:jc w:val="both"/>
      </w:pPr>
    </w:p>
    <w:p w:rsidRPr="005B510F" w:rsidR="009034CD" w:rsidP="008F0D86" w:rsidRDefault="009034CD" w14:paraId="648557BB" w14:textId="35DC455A">
      <w:pPr>
        <w:spacing w:after="0" w:line="276" w:lineRule="auto"/>
        <w:contextualSpacing/>
        <w:jc w:val="both"/>
        <w:rPr>
          <w:b/>
          <w:bCs/>
        </w:rPr>
      </w:pPr>
      <w:r w:rsidRPr="00004CF1">
        <w:rPr>
          <w:b/>
          <w:bCs/>
        </w:rPr>
        <w:t>2.</w:t>
      </w:r>
      <w:r w:rsidR="00A10CE9">
        <w:rPr>
          <w:b/>
          <w:bCs/>
        </w:rPr>
        <w:t>5</w:t>
      </w:r>
      <w:r w:rsidRPr="00004CF1">
        <w:rPr>
          <w:b/>
          <w:bCs/>
        </w:rPr>
        <w:t xml:space="preserve"> NICE’s conclusion that </w:t>
      </w:r>
      <w:r w:rsidR="004339A6">
        <w:rPr>
          <w:b/>
          <w:bCs/>
        </w:rPr>
        <w:t xml:space="preserve">it would consider the </w:t>
      </w:r>
      <w:r w:rsidRPr="004339A6" w:rsidR="004339A6">
        <w:rPr>
          <w:b/>
          <w:bCs/>
        </w:rPr>
        <w:t>utility decrement associated with corticosteroid use qualitatively in its decision making</w:t>
      </w:r>
      <w:r w:rsidR="004339A6">
        <w:rPr>
          <w:b/>
          <w:bCs/>
        </w:rPr>
        <w:t xml:space="preserve"> is irrational.</w:t>
      </w:r>
    </w:p>
    <w:p w:rsidR="009034CD" w:rsidP="008F0D86" w:rsidRDefault="009034CD" w14:paraId="4309A82B" w14:textId="77777777">
      <w:pPr>
        <w:spacing w:after="0" w:line="276" w:lineRule="auto"/>
        <w:ind w:left="360"/>
        <w:contextualSpacing/>
        <w:jc w:val="both"/>
      </w:pPr>
    </w:p>
    <w:p w:rsidRPr="00A63B11" w:rsidR="00DE5360" w:rsidP="008F0D86" w:rsidRDefault="00DE5360" w14:paraId="08EB6A83" w14:textId="77777777">
      <w:pPr>
        <w:spacing w:after="0" w:line="276" w:lineRule="auto"/>
        <w:ind w:left="360"/>
        <w:contextualSpacing/>
        <w:jc w:val="both"/>
      </w:pPr>
    </w:p>
    <w:p w:rsidRPr="00EC56D9" w:rsidR="003B2D00" w:rsidP="008F0D86" w:rsidRDefault="003905D3" w14:paraId="33734359" w14:textId="77777777">
      <w:pPr>
        <w:pStyle w:val="ListParagraph"/>
        <w:numPr>
          <w:ilvl w:val="0"/>
          <w:numId w:val="1"/>
        </w:numPr>
        <w:spacing w:after="0" w:line="276" w:lineRule="auto"/>
        <w:jc w:val="both"/>
      </w:pPr>
      <w:r>
        <w:t xml:space="preserve">This preferred </w:t>
      </w:r>
      <w:r w:rsidRPr="00EC56D9">
        <w:t xml:space="preserve">assumption is listed in </w:t>
      </w:r>
      <w:r w:rsidRPr="00EC56D9">
        <w:rPr>
          <w:b/>
          <w:bCs/>
        </w:rPr>
        <w:t>the tenth bullet point of §3.27</w:t>
      </w:r>
      <w:r w:rsidRPr="00EC56D9">
        <w:t xml:space="preserve"> and considered in §3.20 of the FDG.</w:t>
      </w:r>
      <w:r w:rsidRPr="00EC56D9" w:rsidR="006E3ADF">
        <w:t xml:space="preserve"> </w:t>
      </w:r>
    </w:p>
    <w:p w:rsidRPr="00EC56D9" w:rsidR="003B2D00" w:rsidP="008F0D86" w:rsidRDefault="003B2D00" w14:paraId="67EB830C" w14:textId="77777777">
      <w:pPr>
        <w:pStyle w:val="ListParagraph"/>
        <w:jc w:val="both"/>
      </w:pPr>
    </w:p>
    <w:p w:rsidRPr="00920937" w:rsidR="0043717F" w:rsidP="008F0D86" w:rsidRDefault="006E3ADF" w14:paraId="5CD8A22B" w14:textId="5A167BE5">
      <w:pPr>
        <w:pStyle w:val="ListParagraph"/>
        <w:numPr>
          <w:ilvl w:val="0"/>
          <w:numId w:val="1"/>
        </w:numPr>
        <w:spacing w:after="0" w:line="276" w:lineRule="auto"/>
        <w:jc w:val="both"/>
      </w:pPr>
      <w:r w:rsidRPr="00EC56D9">
        <w:t xml:space="preserve">In its economic model, the company accounted </w:t>
      </w:r>
      <w:r w:rsidRPr="00EC56D9" w:rsidR="00732E4D">
        <w:t xml:space="preserve">for the uncaptured benefits arising from the fact that patients on Zilucoplan can reduce or stop their use of corticosteroids </w:t>
      </w:r>
      <w:r w:rsidRPr="00EC56D9" w:rsidR="004D7558">
        <w:t>which have</w:t>
      </w:r>
      <w:r w:rsidR="004D7558">
        <w:t xml:space="preserve"> a substantial impact on quality of life and can lead to severe complicati</w:t>
      </w:r>
      <w:r w:rsidRPr="00EC56D9" w:rsidR="004D7558">
        <w:t xml:space="preserve">ons such as </w:t>
      </w:r>
      <w:r w:rsidRPr="00EC56D9" w:rsidR="00D33FEE">
        <w:t>diabetes, osteoporosis, depression and infection.</w:t>
      </w:r>
      <w:r w:rsidRPr="00EC56D9" w:rsidR="00B9052A">
        <w:t xml:space="preserve"> </w:t>
      </w:r>
      <w:r w:rsidRPr="00920937" w:rsidR="0043717F">
        <w:t xml:space="preserve">This is supported by the RAISE clinical trial data discussed on </w:t>
      </w:r>
      <w:r w:rsidRPr="00920937" w:rsidR="008F0D86">
        <w:rPr>
          <w:b/>
          <w:bCs/>
        </w:rPr>
        <w:t>p.</w:t>
      </w:r>
      <w:r w:rsidRPr="00920937" w:rsidR="0043717F">
        <w:rPr>
          <w:b/>
          <w:bCs/>
        </w:rPr>
        <w:t xml:space="preserve">23 of </w:t>
      </w:r>
      <w:r w:rsidRPr="00920937" w:rsidR="008F0D86">
        <w:rPr>
          <w:b/>
          <w:bCs/>
        </w:rPr>
        <w:t>the C</w:t>
      </w:r>
      <w:r w:rsidRPr="00920937" w:rsidR="0043717F">
        <w:rPr>
          <w:b/>
          <w:bCs/>
        </w:rPr>
        <w:t xml:space="preserve">ommittee </w:t>
      </w:r>
      <w:r w:rsidRPr="00920937" w:rsidR="008F0D86">
        <w:rPr>
          <w:b/>
          <w:bCs/>
        </w:rPr>
        <w:t>P</w:t>
      </w:r>
      <w:r w:rsidRPr="00920937" w:rsidR="0043717F">
        <w:rPr>
          <w:b/>
          <w:bCs/>
        </w:rPr>
        <w:t xml:space="preserve">apers </w:t>
      </w:r>
      <w:r w:rsidRPr="00920937" w:rsidR="008F0D86">
        <w:rPr>
          <w:b/>
          <w:bCs/>
        </w:rPr>
        <w:t>for ACM</w:t>
      </w:r>
      <w:r w:rsidRPr="00920937" w:rsidR="0043717F">
        <w:rPr>
          <w:b/>
          <w:bCs/>
        </w:rPr>
        <w:t>2</w:t>
      </w:r>
      <w:r w:rsidRPr="00920937" w:rsidR="00BA4865">
        <w:t xml:space="preserve">, online commenting from a patient treated with </w:t>
      </w:r>
      <w:r w:rsidRPr="00920937" w:rsidR="008F0D86">
        <w:t>Z</w:t>
      </w:r>
      <w:r w:rsidRPr="00920937" w:rsidR="00BA4865">
        <w:t xml:space="preserve">ilucoplan on </w:t>
      </w:r>
      <w:r w:rsidRPr="00920937" w:rsidR="008F0D86">
        <w:rPr>
          <w:b/>
          <w:bCs/>
        </w:rPr>
        <w:t>p.</w:t>
      </w:r>
      <w:r w:rsidRPr="00920937" w:rsidR="00BA4865">
        <w:rPr>
          <w:b/>
          <w:bCs/>
        </w:rPr>
        <w:t xml:space="preserve">140 of </w:t>
      </w:r>
      <w:r w:rsidRPr="00920937" w:rsidR="008F0D86">
        <w:rPr>
          <w:b/>
          <w:bCs/>
        </w:rPr>
        <w:t>the Committee Papers for ACM2</w:t>
      </w:r>
      <w:r w:rsidRPr="00920937" w:rsidR="00BA4865">
        <w:t>,</w:t>
      </w:r>
      <w:r w:rsidRPr="00920937" w:rsidR="0043717F">
        <w:t xml:space="preserve"> and the patient testimony provided by </w:t>
      </w:r>
      <w:r w:rsidRPr="00920937" w:rsidR="008F0D86">
        <w:t>M</w:t>
      </w:r>
      <w:r w:rsidRPr="00920937" w:rsidR="0043717F">
        <w:t>yaware</w:t>
      </w:r>
      <w:r w:rsidRPr="00920937" w:rsidR="008F0D86">
        <w:t xml:space="preserve"> in it</w:t>
      </w:r>
      <w:r w:rsidRPr="00920937" w:rsidR="0043717F">
        <w:t xml:space="preserve">s submission on </w:t>
      </w:r>
      <w:r w:rsidRPr="00920937" w:rsidR="008F0D86">
        <w:rPr>
          <w:b/>
          <w:bCs/>
        </w:rPr>
        <w:t>p.</w:t>
      </w:r>
      <w:r w:rsidRPr="00920937" w:rsidR="0043717F">
        <w:rPr>
          <w:b/>
          <w:bCs/>
        </w:rPr>
        <w:t xml:space="preserve">267 of the </w:t>
      </w:r>
      <w:r w:rsidRPr="00920937" w:rsidR="008F0D86">
        <w:rPr>
          <w:b/>
          <w:bCs/>
        </w:rPr>
        <w:t>Committee Papers for ACM1</w:t>
      </w:r>
      <w:r w:rsidRPr="00920937" w:rsidR="008F0685">
        <w:rPr>
          <w:b/>
          <w:bCs/>
        </w:rPr>
        <w:t>:</w:t>
      </w:r>
    </w:p>
    <w:p w:rsidRPr="00920937" w:rsidR="0043717F" w:rsidP="00920937" w:rsidRDefault="0043717F" w14:paraId="7DD24527" w14:textId="77777777">
      <w:pPr>
        <w:pStyle w:val="ListParagraph"/>
        <w:jc w:val="both"/>
      </w:pPr>
    </w:p>
    <w:p w:rsidRPr="00EC56D9" w:rsidR="008B79B0" w:rsidP="008F0D86" w:rsidRDefault="0043717F" w14:paraId="5C100EED" w14:textId="0078D2E9">
      <w:pPr>
        <w:pStyle w:val="ListParagraph"/>
        <w:spacing w:after="0" w:line="276" w:lineRule="auto"/>
        <w:ind w:left="1080"/>
        <w:jc w:val="both"/>
      </w:pPr>
      <w:r w:rsidRPr="00920937">
        <w:t>“</w:t>
      </w:r>
      <w:r w:rsidRPr="00920937" w:rsidR="008F0685">
        <w:rPr>
          <w:i/>
          <w:iCs/>
        </w:rPr>
        <w:t>I was diagnosed with myasthenia gravis towards the end of 2002. Post a thymectomy in early 2003 I completely crashed and ended up on a ventilator under anaesthetic for 11 days. It took four months to leave hospital and a further two before they removed the tracheotomy. I was told I had brittle myasthenia. It was advised I should receive regular IVIg as I kept crashing in the months that followed. I was also given a cocktail of other drugs to keep me stable. Fast forward to 2015 and I crashed really badly. Drugs were changed and I had to take steroids again where I put on a staggering 50kg. Today, after being on the trial for two years the only myasthenia drug I have is zilucoplan. I have been feeling so much better and I have lost 30kg so far thanks to finally coming of steroids in January this year. Zilucoplan has changed my life. I’m so so grateful for the opportunity to test this drug.</w:t>
      </w:r>
      <w:r w:rsidRPr="00920937" w:rsidR="008F0685">
        <w:t>”</w:t>
      </w:r>
      <w:r w:rsidRPr="00EC56D9" w:rsidR="008F0685">
        <w:t xml:space="preserve"> </w:t>
      </w:r>
      <w:r w:rsidRPr="00EC56D9" w:rsidR="00B9052A">
        <w:t xml:space="preserve">  </w:t>
      </w:r>
    </w:p>
    <w:p w:rsidRPr="00EC56D9" w:rsidR="00D33FEE" w:rsidP="008F0D86" w:rsidRDefault="00D33FEE" w14:paraId="27794C60" w14:textId="77777777">
      <w:pPr>
        <w:pStyle w:val="ListParagraph"/>
        <w:spacing w:after="0" w:line="276" w:lineRule="auto"/>
        <w:ind w:left="1080"/>
        <w:jc w:val="both"/>
      </w:pPr>
    </w:p>
    <w:p w:rsidR="00D33FEE" w:rsidP="008F0D86" w:rsidRDefault="002B3352" w14:paraId="34683162" w14:textId="25B47B75">
      <w:pPr>
        <w:pStyle w:val="ListParagraph"/>
        <w:numPr>
          <w:ilvl w:val="0"/>
          <w:numId w:val="1"/>
        </w:numPr>
        <w:spacing w:after="0" w:line="276" w:lineRule="auto"/>
        <w:jc w:val="both"/>
      </w:pPr>
      <w:r w:rsidRPr="00EC56D9">
        <w:t xml:space="preserve">In the FDG, </w:t>
      </w:r>
      <w:r w:rsidRPr="00EC56D9" w:rsidR="003B2D00">
        <w:t>the Committee</w:t>
      </w:r>
      <w:r w:rsidRPr="00EC56D9">
        <w:t xml:space="preserve"> acknowledged the real-world clinical and human impact of corticosteroid</w:t>
      </w:r>
      <w:r w:rsidRPr="002B3352">
        <w:t xml:space="preserve"> use </w:t>
      </w:r>
      <w:r>
        <w:t>but nevertheless</w:t>
      </w:r>
      <w:r w:rsidRPr="002B3352">
        <w:t xml:space="preserve"> went on to exclude the quantification of corticosteroid use in the model because of limitations in the data sources.</w:t>
      </w:r>
      <w:r>
        <w:t xml:space="preserve"> </w:t>
      </w:r>
      <w:r w:rsidR="006D1251">
        <w:t xml:space="preserve">Instead, </w:t>
      </w:r>
      <w:r w:rsidR="003B2D00">
        <w:t>the Committee</w:t>
      </w:r>
      <w:r w:rsidR="006D1251">
        <w:t xml:space="preserve"> stated that it would take this factor into account qualitatively. </w:t>
      </w:r>
      <w:r>
        <w:t xml:space="preserve">This was irrational for </w:t>
      </w:r>
      <w:r w:rsidR="00B26E65">
        <w:t>three</w:t>
      </w:r>
      <w:r>
        <w:t xml:space="preserve"> reasons</w:t>
      </w:r>
      <w:r w:rsidR="003B2D00">
        <w:t>:</w:t>
      </w:r>
    </w:p>
    <w:p w:rsidR="002B3352" w:rsidP="008F0D86" w:rsidRDefault="002B3352" w14:paraId="3A92340E" w14:textId="77777777">
      <w:pPr>
        <w:pStyle w:val="ListParagraph"/>
        <w:spacing w:after="0" w:line="276" w:lineRule="auto"/>
        <w:jc w:val="both"/>
      </w:pPr>
    </w:p>
    <w:p w:rsidR="006A0716" w:rsidP="008F0D86" w:rsidRDefault="00B9052A" w14:paraId="4F092DAF" w14:textId="0D2CF98B">
      <w:pPr>
        <w:pStyle w:val="ListParagraph"/>
        <w:numPr>
          <w:ilvl w:val="0"/>
          <w:numId w:val="9"/>
        </w:numPr>
        <w:spacing w:after="0" w:line="276" w:lineRule="auto"/>
        <w:ind w:left="1701" w:hanging="567"/>
        <w:jc w:val="both"/>
      </w:pPr>
      <w:r>
        <w:t>Th</w:t>
      </w:r>
      <w:r w:rsidR="006A0716">
        <w:t>e Committee accepted</w:t>
      </w:r>
      <w:r w:rsidRPr="004B5004" w:rsidR="006A0716">
        <w:t xml:space="preserve"> that Zilucoplan can reduce corticosteroid use, based on RAISE and RAISE-XT data</w:t>
      </w:r>
      <w:r w:rsidR="006A0716">
        <w:t xml:space="preserve">, and accepted </w:t>
      </w:r>
      <w:r w:rsidRPr="00620281" w:rsidR="006A0716">
        <w:t>that EQ-5D may not capture all utility decrements</w:t>
      </w:r>
      <w:r w:rsidR="006A0716">
        <w:t>. Accordingly, there was a clear basis for taking this factor into account (as the Committee implicitly accepts by stating that it would be taken into account qualitatively).</w:t>
      </w:r>
    </w:p>
    <w:p w:rsidR="006A0716" w:rsidP="008F0D86" w:rsidRDefault="006A0716" w14:paraId="2CB90E3E" w14:textId="77777777">
      <w:pPr>
        <w:spacing w:after="0" w:line="276" w:lineRule="auto"/>
        <w:ind w:left="1701" w:hanging="567"/>
        <w:jc w:val="both"/>
      </w:pPr>
    </w:p>
    <w:p w:rsidR="006A0716" w:rsidP="008F0D86" w:rsidRDefault="00B9052A" w14:paraId="22A7F951" w14:textId="50A3EC6C">
      <w:pPr>
        <w:pStyle w:val="ListParagraph"/>
        <w:numPr>
          <w:ilvl w:val="0"/>
          <w:numId w:val="9"/>
        </w:numPr>
        <w:spacing w:after="0" w:line="276" w:lineRule="auto"/>
        <w:ind w:left="1701" w:hanging="567"/>
        <w:jc w:val="both"/>
      </w:pPr>
      <w:r>
        <w:t>The</w:t>
      </w:r>
      <w:r w:rsidR="006A0716">
        <w:t xml:space="preserve"> company put forward specific figures reflecting the utility decrement associated with corticosteroid use using data derived from systemic lupus literature – namely, </w:t>
      </w:r>
      <w:r w:rsidRPr="00F02B28" w:rsidR="006A0716">
        <w:t>a utility decrement of 0.18 to the ‘uncontrolled’ health state for people on a high dose of corticosteroids (10 mg/day or more), and a utility decrement of 0.07 to the ‘stable’ health state for people on a low dose of corticosteroids (below 10 mg/day).</w:t>
      </w:r>
      <w:r w:rsidRPr="005A02D5" w:rsidR="006A0716">
        <w:t xml:space="preserve"> </w:t>
      </w:r>
      <w:r w:rsidR="006A0716">
        <w:t>The Committee rejected these figures in view of uncertainty about EQ-5D and the company’s estimates having been based on a different condition (ie, the use of proxy data).</w:t>
      </w:r>
      <w:r w:rsidR="006A0716">
        <w:rPr>
          <w:rStyle w:val="FootnoteReference"/>
        </w:rPr>
        <w:footnoteReference w:id="20"/>
      </w:r>
      <w:r w:rsidR="006A0716">
        <w:t xml:space="preserve"> But these may have been reasons to adjust the figures – not to discount the data altogether.</w:t>
      </w:r>
      <w:r w:rsidR="006A0716">
        <w:rPr>
          <w:rStyle w:val="FootnoteReference"/>
        </w:rPr>
        <w:footnoteReference w:id="21"/>
      </w:r>
    </w:p>
    <w:p w:rsidR="006A0716" w:rsidP="008F0D86" w:rsidRDefault="006A0716" w14:paraId="21145BDD" w14:textId="77777777">
      <w:pPr>
        <w:pStyle w:val="ListParagraph"/>
        <w:ind w:left="1701" w:hanging="567"/>
        <w:jc w:val="both"/>
      </w:pPr>
    </w:p>
    <w:p w:rsidR="00466DF9" w:rsidP="008F0D86" w:rsidRDefault="00B9052A" w14:paraId="0448CD12" w14:textId="63E8B5DB">
      <w:pPr>
        <w:pStyle w:val="ListParagraph"/>
        <w:numPr>
          <w:ilvl w:val="0"/>
          <w:numId w:val="9"/>
        </w:numPr>
        <w:spacing w:after="0" w:line="276" w:lineRule="auto"/>
        <w:ind w:left="1701" w:hanging="567"/>
        <w:jc w:val="both"/>
      </w:pPr>
      <w:bookmarkStart w:name="_Ref202903303" w:id="0"/>
      <w:r>
        <w:t>The</w:t>
      </w:r>
      <w:r w:rsidR="00A43D33">
        <w:t xml:space="preserve"> qualitative way in which </w:t>
      </w:r>
      <w:r w:rsidR="003B2D00">
        <w:t>the Committee</w:t>
      </w:r>
      <w:r w:rsidR="004339A6">
        <w:t xml:space="preserve"> took the utility decrement into account was in </w:t>
      </w:r>
      <w:r>
        <w:t>deciding</w:t>
      </w:r>
      <w:r w:rsidRPr="00A03AC3" w:rsidR="00A03AC3">
        <w:t xml:space="preserve"> that the maximum acceptable ICER would be at the upper end of the range that NICE considers a cost-effective use of NHS resources.</w:t>
      </w:r>
      <w:r w:rsidR="003B2D00">
        <w:rPr>
          <w:rStyle w:val="FootnoteReference"/>
        </w:rPr>
        <w:footnoteReference w:id="22"/>
      </w:r>
      <w:r w:rsidRPr="00A03AC3" w:rsidR="00A03AC3">
        <w:t xml:space="preserve"> </w:t>
      </w:r>
      <w:r w:rsidR="003B2D00">
        <w:t>But even</w:t>
      </w:r>
      <w:r w:rsidR="00A03AC3">
        <w:t xml:space="preserve"> in the absence of this factor, </w:t>
      </w:r>
      <w:r w:rsidR="003B2D00">
        <w:t>the Committee</w:t>
      </w:r>
      <w:r w:rsidRPr="00A03AC3" w:rsidR="00A03AC3">
        <w:t xml:space="preserve"> </w:t>
      </w:r>
      <w:r w:rsidR="00A03AC3">
        <w:t xml:space="preserve">ought to have reached this conclusion in any event </w:t>
      </w:r>
      <w:r w:rsidRPr="00A03AC3" w:rsidR="00A03AC3">
        <w:t xml:space="preserve">given that </w:t>
      </w:r>
      <w:r w:rsidR="003B2D00">
        <w:t>(</w:t>
      </w:r>
      <w:r w:rsidRPr="00A03AC3" w:rsidR="00A03AC3">
        <w:t xml:space="preserve">as </w:t>
      </w:r>
      <w:r w:rsidR="003B2D00">
        <w:t>was rightly</w:t>
      </w:r>
      <w:r w:rsidRPr="00A03AC3" w:rsidR="00A03AC3">
        <w:t xml:space="preserve"> acknowledged</w:t>
      </w:r>
      <w:r w:rsidR="003B2D00">
        <w:t>)</w:t>
      </w:r>
      <w:r w:rsidRPr="00A03AC3" w:rsidR="00A03AC3">
        <w:t xml:space="preserve"> gMG is a rare </w:t>
      </w:r>
      <w:r w:rsidR="00A03AC3">
        <w:t xml:space="preserve">and severely debilitating lifelong </w:t>
      </w:r>
      <w:r w:rsidRPr="00A03AC3" w:rsidR="00A03AC3">
        <w:t>condition with high unmet need</w:t>
      </w:r>
      <w:r w:rsidR="00A03AC3">
        <w:t xml:space="preserve">. </w:t>
      </w:r>
      <w:r w:rsidR="006A0716">
        <w:t>(Indeed</w:t>
      </w:r>
      <w:r w:rsidR="00A03AC3">
        <w:t>,</w:t>
      </w:r>
      <w:r w:rsidRPr="00A03AC3" w:rsidR="00A03AC3">
        <w:t xml:space="preserve"> the uncertainties in the evidence were a product of this rarity.</w:t>
      </w:r>
      <w:r w:rsidR="006A0716">
        <w:t xml:space="preserve">) </w:t>
      </w:r>
      <w:r>
        <w:t>So</w:t>
      </w:r>
      <w:r w:rsidR="00643240">
        <w:t xml:space="preserve"> </w:t>
      </w:r>
      <w:r w:rsidR="003B2D00">
        <w:t>in practical terms, the utility decrement associated with corticosteroid use did not make any difference to the outcome when it should have done</w:t>
      </w:r>
      <w:r w:rsidR="00643240">
        <w:t>.</w:t>
      </w:r>
      <w:bookmarkEnd w:id="0"/>
    </w:p>
    <w:p w:rsidR="00466DF9" w:rsidP="008F0D86" w:rsidRDefault="00466DF9" w14:paraId="0DF469D2" w14:textId="77777777">
      <w:pPr>
        <w:pStyle w:val="ListParagraph"/>
        <w:spacing w:after="0" w:line="276" w:lineRule="auto"/>
        <w:jc w:val="both"/>
      </w:pPr>
    </w:p>
    <w:p w:rsidR="00466DF9" w:rsidP="008F0D86" w:rsidRDefault="002E4FBE" w14:paraId="74D441FC" w14:textId="2ABAC223">
      <w:pPr>
        <w:pStyle w:val="ListParagraph"/>
        <w:numPr>
          <w:ilvl w:val="0"/>
          <w:numId w:val="1"/>
        </w:numPr>
        <w:spacing w:after="0" w:line="276" w:lineRule="auto"/>
        <w:jc w:val="both"/>
      </w:pPr>
      <w:r>
        <w:t>B</w:t>
      </w:r>
      <w:r w:rsidR="004E23DB">
        <w:t xml:space="preserve">y </w:t>
      </w:r>
      <w:r w:rsidR="006A0716">
        <w:t>not taking</w:t>
      </w:r>
      <w:r w:rsidR="004E23DB">
        <w:t xml:space="preserve"> utility decrement into account quantitatively because of the uncertain evidence, the </w:t>
      </w:r>
      <w:r w:rsidR="006A0716">
        <w:t>FDG effectively penalises</w:t>
      </w:r>
      <w:r w:rsidR="004E23DB">
        <w:t xml:space="preserve"> gMG patients for the rarity of their condition, which has resulted in less available data compared against other more common conditions. </w:t>
      </w:r>
      <w:r w:rsidR="006A0716">
        <w:t>Where</w:t>
      </w:r>
      <w:r w:rsidRPr="009F6055" w:rsidR="009F6055">
        <w:t xml:space="preserve"> </w:t>
      </w:r>
      <w:r w:rsidR="009F6055">
        <w:t xml:space="preserve">a factor such as </w:t>
      </w:r>
      <w:r w:rsidR="003C51B1">
        <w:t xml:space="preserve">reduced corticosteroid use has huge clinical importance, the </w:t>
      </w:r>
      <w:r w:rsidRPr="009F6055" w:rsidR="009F6055">
        <w:t xml:space="preserve">direction of effect is clear, and no better data is available, total exclusion is irrational. The appropriate response </w:t>
      </w:r>
      <w:r w:rsidR="003C51B1">
        <w:t xml:space="preserve">would have been for </w:t>
      </w:r>
      <w:r w:rsidR="006A0716">
        <w:t>the Committee</w:t>
      </w:r>
      <w:r w:rsidR="003C51B1">
        <w:t xml:space="preserve"> to do the best it can on the evidence available</w:t>
      </w:r>
      <w:r w:rsidRPr="009F6055" w:rsidR="009F6055">
        <w:t>.</w:t>
      </w:r>
    </w:p>
    <w:p w:rsidR="008B3020" w:rsidP="008F0D86" w:rsidRDefault="008B3020" w14:paraId="45954B91" w14:textId="77777777">
      <w:pPr>
        <w:pStyle w:val="ListParagraph"/>
        <w:spacing w:after="0" w:line="276" w:lineRule="auto"/>
        <w:jc w:val="both"/>
      </w:pPr>
    </w:p>
    <w:p w:rsidRPr="00B26E65" w:rsidR="00B26E65" w:rsidP="008F0D86" w:rsidRDefault="00B26E65" w14:paraId="554B01D9" w14:textId="3F9EECD9">
      <w:pPr>
        <w:keepNext/>
        <w:spacing w:after="0" w:line="276" w:lineRule="auto"/>
        <w:ind w:left="360"/>
        <w:contextualSpacing/>
        <w:jc w:val="both"/>
        <w:rPr>
          <w:b/>
          <w:bCs/>
        </w:rPr>
      </w:pPr>
      <w:r w:rsidRPr="00B26E65">
        <w:rPr>
          <w:b/>
          <w:bCs/>
        </w:rPr>
        <w:t>2.</w:t>
      </w:r>
      <w:r w:rsidR="00A10CE9">
        <w:rPr>
          <w:b/>
          <w:bCs/>
        </w:rPr>
        <w:t>6</w:t>
      </w:r>
      <w:r w:rsidRPr="00B26E65">
        <w:rPr>
          <w:b/>
          <w:bCs/>
        </w:rPr>
        <w:t xml:space="preserve"> NICE’s conclusion that it would consider the </w:t>
      </w:r>
      <w:r w:rsidR="00D20719">
        <w:rPr>
          <w:b/>
          <w:bCs/>
        </w:rPr>
        <w:t xml:space="preserve">impact of Zilucoplan on carers </w:t>
      </w:r>
      <w:r w:rsidRPr="00B26E65">
        <w:rPr>
          <w:b/>
          <w:bCs/>
        </w:rPr>
        <w:t>qualitatively in its decision making is irrational.</w:t>
      </w:r>
    </w:p>
    <w:p w:rsidR="00B26E65" w:rsidP="008F0D86" w:rsidRDefault="00B26E65" w14:paraId="1E1ACA17" w14:textId="77777777">
      <w:pPr>
        <w:pStyle w:val="ListParagraph"/>
        <w:keepNext/>
        <w:spacing w:after="0" w:line="276" w:lineRule="auto"/>
        <w:jc w:val="both"/>
      </w:pPr>
    </w:p>
    <w:p w:rsidR="00B9052A" w:rsidP="008F0D86" w:rsidRDefault="002711EA" w14:paraId="05747268" w14:textId="77777777">
      <w:pPr>
        <w:pStyle w:val="ListParagraph"/>
        <w:numPr>
          <w:ilvl w:val="0"/>
          <w:numId w:val="1"/>
        </w:numPr>
        <w:spacing w:after="0" w:line="276" w:lineRule="auto"/>
        <w:jc w:val="both"/>
      </w:pPr>
      <w:r>
        <w:t xml:space="preserve">This preferred assumption is listed in </w:t>
      </w:r>
      <w:r w:rsidRPr="00B9052A">
        <w:rPr>
          <w:b/>
          <w:bCs/>
        </w:rPr>
        <w:t>the twelfth bullet point of §3.27</w:t>
      </w:r>
      <w:r>
        <w:t xml:space="preserve"> and considered in §3.22 of the FDG.</w:t>
      </w:r>
      <w:r w:rsidR="009A5B2A">
        <w:t xml:space="preserve"> </w:t>
      </w:r>
    </w:p>
    <w:p w:rsidR="00B9052A" w:rsidP="008F0D86" w:rsidRDefault="00B9052A" w14:paraId="76DBD05C" w14:textId="77777777">
      <w:pPr>
        <w:spacing w:after="0" w:line="276" w:lineRule="auto"/>
        <w:jc w:val="both"/>
      </w:pPr>
    </w:p>
    <w:p w:rsidR="003D0613" w:rsidP="008F0D86" w:rsidRDefault="00B9052A" w14:paraId="2EA2805F" w14:textId="43270BF2">
      <w:pPr>
        <w:pStyle w:val="ListParagraph"/>
        <w:numPr>
          <w:ilvl w:val="0"/>
          <w:numId w:val="1"/>
        </w:numPr>
        <w:spacing w:after="0" w:line="276" w:lineRule="auto"/>
        <w:jc w:val="both"/>
      </w:pPr>
      <w:r>
        <w:t>The Committee</w:t>
      </w:r>
      <w:r w:rsidR="00387023">
        <w:t xml:space="preserve"> </w:t>
      </w:r>
      <w:r w:rsidRPr="003D0613" w:rsidR="003D0613">
        <w:t xml:space="preserve">considered it appropriate to take into account the impact of </w:t>
      </w:r>
      <w:r w:rsidR="00ED1E21">
        <w:t>Z</w:t>
      </w:r>
      <w:r w:rsidRPr="003D0613" w:rsidR="003D0613">
        <w:t>ilucoplan on carers qualitatively in its decision making</w:t>
      </w:r>
      <w:r w:rsidR="003D0613">
        <w:t xml:space="preserve"> rather than factoring it into its economic modelling. This was irrational</w:t>
      </w:r>
      <w:r w:rsidR="00EB03C0">
        <w:t>:</w:t>
      </w:r>
    </w:p>
    <w:p w:rsidRPr="003D0613" w:rsidR="003D0613" w:rsidP="008F0D86" w:rsidRDefault="003D0613" w14:paraId="33FC0305" w14:textId="77777777">
      <w:pPr>
        <w:pStyle w:val="ListParagraph"/>
        <w:spacing w:after="0" w:line="276" w:lineRule="auto"/>
        <w:ind w:left="1080"/>
        <w:jc w:val="both"/>
      </w:pPr>
    </w:p>
    <w:p w:rsidR="00B26E65" w:rsidP="008F0D86" w:rsidRDefault="003D0613" w14:paraId="3496F3FC" w14:textId="1B2F1EEA">
      <w:pPr>
        <w:pStyle w:val="ListParagraph"/>
        <w:numPr>
          <w:ilvl w:val="0"/>
          <w:numId w:val="10"/>
        </w:numPr>
        <w:spacing w:after="0" w:line="276" w:lineRule="auto"/>
        <w:ind w:left="1701" w:hanging="567"/>
        <w:jc w:val="both"/>
      </w:pPr>
      <w:r>
        <w:t>§</w:t>
      </w:r>
      <w:r w:rsidR="00EC56D9">
        <w:t>29(</w:t>
      </w:r>
      <w:r w:rsidR="00EB03C0">
        <w:fldChar w:fldCharType="begin"/>
      </w:r>
      <w:r w:rsidR="00EB03C0">
        <w:instrText xml:space="preserve"> REF _Ref202903303 \r \h </w:instrText>
      </w:r>
      <w:r w:rsidR="008F0D86">
        <w:instrText xml:space="preserve"> \* MERGEFORMAT </w:instrText>
      </w:r>
      <w:r w:rsidR="00EB03C0">
        <w:fldChar w:fldCharType="separate"/>
      </w:r>
      <w:r w:rsidR="00BA4865">
        <w:t>c</w:t>
      </w:r>
      <w:r w:rsidR="00EB03C0">
        <w:fldChar w:fldCharType="end"/>
      </w:r>
      <w:r w:rsidR="00EC56D9">
        <w:t>)</w:t>
      </w:r>
      <w:r>
        <w:t xml:space="preserve"> above is repeated </w:t>
      </w:r>
      <w:r w:rsidR="00A41CC8">
        <w:t>–</w:t>
      </w:r>
      <w:r>
        <w:t xml:space="preserve"> </w:t>
      </w:r>
      <w:r w:rsidR="00EB03C0">
        <w:t>the Committee</w:t>
      </w:r>
      <w:r w:rsidR="00A41CC8">
        <w:t xml:space="preserve"> should have concluded </w:t>
      </w:r>
      <w:r w:rsidRPr="00A03AC3" w:rsidR="00A41CC8">
        <w:t>that the maximum acceptable ICER would be at the upper end of the range that NICE considers a cost-effective use of NHS resources</w:t>
      </w:r>
      <w:r w:rsidR="00A41CC8">
        <w:t xml:space="preserve"> even in the absence of this factor. Accordingly, it was effectively not taken into account at all</w:t>
      </w:r>
      <w:r w:rsidR="00BB1954">
        <w:t>, in the sense that it made no difference to the outcome</w:t>
      </w:r>
      <w:r w:rsidR="00A41CC8">
        <w:t>.</w:t>
      </w:r>
    </w:p>
    <w:p w:rsidR="00A41CC8" w:rsidP="008F0D86" w:rsidRDefault="00A41CC8" w14:paraId="50A44D66" w14:textId="77777777">
      <w:pPr>
        <w:pStyle w:val="ListParagraph"/>
        <w:spacing w:after="0" w:line="276" w:lineRule="auto"/>
        <w:ind w:left="1701" w:hanging="567"/>
        <w:jc w:val="both"/>
      </w:pPr>
    </w:p>
    <w:p w:rsidR="00FD6AA9" w:rsidP="008F0D86" w:rsidRDefault="00EB03C0" w14:paraId="262C6984" w14:textId="7AC5C9BA">
      <w:pPr>
        <w:pStyle w:val="ListParagraph"/>
        <w:numPr>
          <w:ilvl w:val="0"/>
          <w:numId w:val="10"/>
        </w:numPr>
        <w:spacing w:after="0" w:line="276" w:lineRule="auto"/>
        <w:ind w:left="1701" w:hanging="567"/>
        <w:jc w:val="both"/>
      </w:pPr>
      <w:r>
        <w:t>The Committee</w:t>
      </w:r>
      <w:r w:rsidR="00DD0F26">
        <w:t xml:space="preserve"> </w:t>
      </w:r>
      <w:r w:rsidRPr="00DD0F26" w:rsidR="00DD0F26">
        <w:t>based its decision on the approach which was taken in the efgartigimod appraisal</w:t>
      </w:r>
      <w:r w:rsidR="00DD0F26">
        <w:t xml:space="preserve"> (</w:t>
      </w:r>
      <w:r w:rsidR="00A017C1">
        <w:t>TA1069)</w:t>
      </w:r>
      <w:r w:rsidRPr="00DD0F26" w:rsidR="00DD0F26">
        <w:t>. In that appraisal, the Committee dealt with carer quality of life at §3.17-§3.18. It found that “</w:t>
      </w:r>
      <w:r w:rsidRPr="00EC56D9" w:rsidR="00DD0F26">
        <w:rPr>
          <w:i/>
          <w:iCs/>
        </w:rPr>
        <w:t>depending on the severity of the condition, gMG can have a substantial impact on carers' lives</w:t>
      </w:r>
      <w:r w:rsidRPr="00EC56D9" w:rsidR="00DD0F26">
        <w:t>” but decided to take this into account qualitatively because of limitations with the evidence.</w:t>
      </w:r>
      <w:r w:rsidRPr="00EC56D9" w:rsidR="00F65B0C">
        <w:t xml:space="preserve"> </w:t>
      </w:r>
      <w:r w:rsidRPr="00EC56D9">
        <w:t>Myaware objected to this in the efgartigimod appraisal</w:t>
      </w:r>
      <w:r w:rsidRPr="00EC56D9" w:rsidR="008F0685">
        <w:t xml:space="preserve"> </w:t>
      </w:r>
      <w:r w:rsidRPr="00920937" w:rsidR="008F0685">
        <w:t xml:space="preserve">(please see </w:t>
      </w:r>
      <w:r w:rsidRPr="00920937" w:rsidR="008F0D86">
        <w:rPr>
          <w:b/>
          <w:bCs/>
        </w:rPr>
        <w:t>p.</w:t>
      </w:r>
      <w:r w:rsidRPr="00920937" w:rsidR="008F0685">
        <w:rPr>
          <w:b/>
          <w:bCs/>
        </w:rPr>
        <w:t xml:space="preserve">120 of </w:t>
      </w:r>
      <w:r w:rsidRPr="00920937" w:rsidR="008F0D86">
        <w:rPr>
          <w:b/>
          <w:bCs/>
        </w:rPr>
        <w:t>the Committee Papers for ACM</w:t>
      </w:r>
      <w:r w:rsidRPr="00920937" w:rsidR="008F0685">
        <w:rPr>
          <w:b/>
          <w:bCs/>
        </w:rPr>
        <w:t xml:space="preserve">3 of the </w:t>
      </w:r>
      <w:r w:rsidRPr="00920937" w:rsidR="008F0D86">
        <w:rPr>
          <w:b/>
          <w:bCs/>
        </w:rPr>
        <w:t>E</w:t>
      </w:r>
      <w:r w:rsidRPr="00920937" w:rsidR="008F0685">
        <w:rPr>
          <w:b/>
          <w:bCs/>
        </w:rPr>
        <w:t>fgartigimod appraisal</w:t>
      </w:r>
      <w:r w:rsidRPr="00920937" w:rsidR="0020761E">
        <w:t>)</w:t>
      </w:r>
      <w:r w:rsidRPr="00EC56D9" w:rsidR="0020761E">
        <w:t xml:space="preserve"> and</w:t>
      </w:r>
      <w:r w:rsidRPr="00EC56D9">
        <w:t xml:space="preserve"> maintains that carer disutility should have been given more weight in the appraisal process. To do the same in the Zilucoplan</w:t>
      </w:r>
      <w:r w:rsidRPr="0020761E">
        <w:t xml:space="preserve"> appraisal</w:t>
      </w:r>
      <w:r w:rsidRPr="0020761E" w:rsidR="00757ABB">
        <w:t xml:space="preserve"> </w:t>
      </w:r>
      <w:r w:rsidRPr="0020761E">
        <w:t>repeats the same, unfair, error.</w:t>
      </w:r>
      <w:r>
        <w:t xml:space="preserve"> Carer</w:t>
      </w:r>
      <w:r w:rsidR="006178D7">
        <w:t xml:space="preserve"> disutility is particularly important in relation to Zilucoplan given tha</w:t>
      </w:r>
      <w:r w:rsidR="00F26185">
        <w:t xml:space="preserve">t it </w:t>
      </w:r>
      <w:r w:rsidR="006178D7">
        <w:t xml:space="preserve">would be used </w:t>
      </w:r>
      <w:r w:rsidR="00FD6AA9">
        <w:t>“</w:t>
      </w:r>
      <w:r w:rsidRPr="00EB03C0" w:rsidR="00FD6AA9">
        <w:rPr>
          <w:i/>
          <w:iCs/>
        </w:rPr>
        <w:t>only for people with severe refractory gMG, as an add-on treatment for people who are considered for, or on long-term use of IVIg or PLEX</w:t>
      </w:r>
      <w:r w:rsidR="00FD6AA9">
        <w:t>”.</w:t>
      </w:r>
    </w:p>
    <w:p w:rsidR="00E66863" w:rsidP="008F0D86" w:rsidRDefault="00E66863" w14:paraId="3E003A78" w14:textId="77777777">
      <w:pPr>
        <w:pStyle w:val="ListParagraph"/>
        <w:spacing w:after="0" w:line="276" w:lineRule="auto"/>
        <w:ind w:left="1080"/>
        <w:jc w:val="both"/>
      </w:pPr>
    </w:p>
    <w:p w:rsidR="00004CF1" w:rsidP="008F0D86" w:rsidRDefault="001C5638" w14:paraId="68C416A5" w14:textId="06A07139">
      <w:pPr>
        <w:spacing w:after="0" w:line="276" w:lineRule="auto"/>
        <w:contextualSpacing/>
        <w:jc w:val="both"/>
        <w:rPr>
          <w:b/>
          <w:bCs/>
        </w:rPr>
      </w:pPr>
      <w:r w:rsidRPr="001C5638">
        <w:rPr>
          <w:b/>
          <w:bCs/>
        </w:rPr>
        <w:t>Conclusion</w:t>
      </w:r>
    </w:p>
    <w:p w:rsidR="001C5638" w:rsidP="008F0D86" w:rsidRDefault="001C5638" w14:paraId="11424648" w14:textId="77777777">
      <w:pPr>
        <w:spacing w:after="0" w:line="276" w:lineRule="auto"/>
        <w:contextualSpacing/>
        <w:jc w:val="both"/>
        <w:rPr>
          <w:b/>
          <w:bCs/>
        </w:rPr>
      </w:pPr>
    </w:p>
    <w:p w:rsidR="001C5638" w:rsidP="008F0D86" w:rsidRDefault="00544E7A" w14:paraId="24D86D2E" w14:textId="72CA8E6C">
      <w:pPr>
        <w:pStyle w:val="ListParagraph"/>
        <w:numPr>
          <w:ilvl w:val="0"/>
          <w:numId w:val="1"/>
        </w:numPr>
        <w:spacing w:after="0" w:line="276" w:lineRule="auto"/>
        <w:jc w:val="both"/>
      </w:pPr>
      <w:r>
        <w:t>NICE’s d</w:t>
      </w:r>
      <w:r w:rsidRPr="00544E7A">
        <w:t xml:space="preserve">ecision is based on assumptions and exclusions that are internally inconsistent and irrational. It reflects an overly conservative approach to uncertainty in a rare disease context, resulting in a model that </w:t>
      </w:r>
      <w:r w:rsidR="00F7337B">
        <w:t xml:space="preserve">biases in favour of the status quo and </w:t>
      </w:r>
      <w:r w:rsidRPr="00544E7A">
        <w:t xml:space="preserve">underestimates the benefits and cost savings associated with </w:t>
      </w:r>
      <w:r w:rsidRPr="00544E7A" w:rsidR="00F7337B">
        <w:t>Zilucoplan</w:t>
      </w:r>
      <w:r w:rsidRPr="00544E7A">
        <w:t>.</w:t>
      </w:r>
      <w:r w:rsidR="00EB03C0">
        <w:t xml:space="preserve"> </w:t>
      </w:r>
      <w:r w:rsidR="00927F75">
        <w:t xml:space="preserve">It does not reflect the input </w:t>
      </w:r>
      <w:r w:rsidR="00377CCF">
        <w:t xml:space="preserve">or experience </w:t>
      </w:r>
      <w:r w:rsidR="00927F75">
        <w:t xml:space="preserve">of clinical experts or Myaware. </w:t>
      </w:r>
    </w:p>
    <w:p w:rsidR="00F7337B" w:rsidP="008F0D86" w:rsidRDefault="00F7337B" w14:paraId="1ABAEA09" w14:textId="77777777">
      <w:pPr>
        <w:pStyle w:val="ListParagraph"/>
        <w:spacing w:after="0" w:line="276" w:lineRule="auto"/>
        <w:ind w:left="1080"/>
        <w:jc w:val="both"/>
      </w:pPr>
    </w:p>
    <w:p w:rsidR="00F83844" w:rsidP="008F0D86" w:rsidRDefault="00F7337B" w14:paraId="4EB569D1" w14:textId="525DA026">
      <w:pPr>
        <w:pStyle w:val="ListParagraph"/>
        <w:numPr>
          <w:ilvl w:val="0"/>
          <w:numId w:val="1"/>
        </w:numPr>
        <w:spacing w:after="0" w:line="276" w:lineRule="auto"/>
        <w:jc w:val="both"/>
      </w:pPr>
      <w:r>
        <w:t xml:space="preserve">We respectfully request </w:t>
      </w:r>
      <w:r w:rsidR="00E8671D">
        <w:t>the appeal points above be discussed at an oral hearing.</w:t>
      </w:r>
      <w:r w:rsidR="006F76B0">
        <w:t xml:space="preserve"> </w:t>
      </w:r>
    </w:p>
    <w:p w:rsidR="00A10CE9" w:rsidP="00920937" w:rsidRDefault="00A10CE9" w14:paraId="7CF9AA95" w14:textId="77777777">
      <w:pPr>
        <w:pStyle w:val="ListParagraph"/>
        <w:jc w:val="both"/>
      </w:pPr>
    </w:p>
    <w:p w:rsidR="00F83844" w:rsidP="008F0D86" w:rsidRDefault="00F83844" w14:paraId="3E549A6F" w14:textId="0AD2D501">
      <w:pPr>
        <w:pStyle w:val="ListParagraph"/>
        <w:numPr>
          <w:ilvl w:val="0"/>
          <w:numId w:val="1"/>
        </w:numPr>
        <w:spacing w:after="0" w:line="276" w:lineRule="auto"/>
        <w:jc w:val="both"/>
      </w:pPr>
      <w:r w:rsidRPr="00F83844">
        <w:t xml:space="preserve">People with refractory gMG face severe limitations in function, independence, and quality of life. Zilucoplan offers a treatment that addresses this unmet need and should be evaluated </w:t>
      </w:r>
      <w:r w:rsidR="00EB03C0">
        <w:t>fairly, doing the best possible with the evidence available</w:t>
      </w:r>
      <w:r w:rsidRPr="00F83844">
        <w:t>.</w:t>
      </w:r>
      <w:r w:rsidR="00772679">
        <w:t xml:space="preserve"> As is explained above, the effect </w:t>
      </w:r>
      <w:r w:rsidR="00CF278E">
        <w:t>of the FDG is</w:t>
      </w:r>
      <w:r w:rsidR="00772679">
        <w:t xml:space="preserve"> to further isolate a cohort of patients with refractory gMG, worsening their (and their carers’) quality of life.</w:t>
      </w:r>
    </w:p>
    <w:p w:rsidR="00772679" w:rsidP="008F0D86" w:rsidRDefault="00772679" w14:paraId="60A7EE75" w14:textId="77777777">
      <w:pPr>
        <w:spacing w:after="0" w:line="276" w:lineRule="auto"/>
        <w:jc w:val="both"/>
      </w:pPr>
    </w:p>
    <w:p w:rsidR="00E8671D" w:rsidP="008F0D86" w:rsidRDefault="00E8671D" w14:paraId="40C32C8E" w14:textId="4CE6AA5C">
      <w:pPr>
        <w:spacing w:after="0" w:line="276" w:lineRule="auto"/>
        <w:jc w:val="both"/>
      </w:pPr>
      <w:r>
        <w:t>Yours Sincerely,</w:t>
      </w:r>
    </w:p>
    <w:p w:rsidR="00E8671D" w:rsidP="008F0D86" w:rsidRDefault="00E8671D" w14:paraId="4E3DA80F" w14:textId="77338B46">
      <w:pPr>
        <w:spacing w:after="0" w:line="276" w:lineRule="auto"/>
        <w:jc w:val="both"/>
      </w:pPr>
    </w:p>
    <w:p w:rsidR="2B471CB4" w:rsidP="2B471CB4" w:rsidRDefault="2B471CB4" w14:paraId="4515474E" w14:textId="6474CC4A">
      <w:pPr>
        <w:spacing w:after="0" w:line="276" w:lineRule="auto"/>
        <w:jc w:val="both"/>
      </w:pPr>
    </w:p>
    <w:p w:rsidR="10C509FA" w:rsidP="2B471CB4" w:rsidRDefault="10C509FA" w14:paraId="01787AEC" w14:textId="4614C039">
      <w:pPr>
        <w:spacing w:after="0" w:line="276" w:lineRule="auto"/>
        <w:jc w:val="both"/>
        <w:rPr>
          <w:highlight w:val="black"/>
        </w:rPr>
      </w:pPr>
      <w:r w:rsidRPr="2B471CB4" w:rsidR="10C509FA">
        <w:rPr>
          <w:highlight w:val="black"/>
        </w:rPr>
        <w:t>XXXXXXXXXXXXXX</w:t>
      </w:r>
    </w:p>
    <w:p w:rsidR="2B471CB4" w:rsidP="2B471CB4" w:rsidRDefault="2B471CB4" w14:paraId="207018E7" w14:textId="5828393B">
      <w:pPr>
        <w:spacing w:after="0" w:line="276" w:lineRule="auto"/>
        <w:jc w:val="both"/>
      </w:pPr>
    </w:p>
    <w:p w:rsidRPr="001C5638" w:rsidR="00E8671D" w:rsidP="008F0D86" w:rsidRDefault="00E8671D" w14:paraId="18F5B279" w14:textId="42212D86">
      <w:pPr>
        <w:spacing w:after="0" w:line="276" w:lineRule="auto"/>
        <w:jc w:val="both"/>
      </w:pPr>
      <w:r w:rsidRPr="2B471CB4" w:rsidR="10C509FA">
        <w:rPr>
          <w:highlight w:val="black"/>
        </w:rPr>
        <w:t>XXXXXXXXXXXXX</w:t>
      </w:r>
      <w:r w:rsidR="00E8671D">
        <w:rPr/>
        <w:t xml:space="preserve"> Research and Partnerships Manager of </w:t>
      </w:r>
      <w:r w:rsidR="00E8671D">
        <w:rPr/>
        <w:t>Myaware</w:t>
      </w:r>
    </w:p>
    <w:sectPr w:rsidRPr="001C5638" w:rsidR="00E8671D">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216" w:rsidP="00C358E3" w:rsidRDefault="007F5216" w14:paraId="33CFEE14" w14:textId="77777777">
      <w:pPr>
        <w:spacing w:after="0" w:line="240" w:lineRule="auto"/>
      </w:pPr>
      <w:r>
        <w:separator/>
      </w:r>
    </w:p>
  </w:endnote>
  <w:endnote w:type="continuationSeparator" w:id="0">
    <w:p w:rsidR="007F5216" w:rsidP="00C358E3" w:rsidRDefault="007F5216" w14:paraId="0C7696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EF8" w:rsidRDefault="00794EF8" w14:paraId="3FD943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324541"/>
      <w:docPartObj>
        <w:docPartGallery w:val="Page Numbers (Bottom of Page)"/>
        <w:docPartUnique/>
      </w:docPartObj>
    </w:sdtPr>
    <w:sdtEndPr>
      <w:rPr>
        <w:noProof/>
      </w:rPr>
    </w:sdtEndPr>
    <w:sdtContent>
      <w:p w:rsidR="00B07802" w:rsidRDefault="00B07802" w14:paraId="443267A1" w14:textId="5B56B6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07802" w:rsidRDefault="00B07802" w14:paraId="28AA25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EF8" w:rsidRDefault="00794EF8" w14:paraId="578F10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216" w:rsidP="00C358E3" w:rsidRDefault="007F5216" w14:paraId="6C721765" w14:textId="77777777">
      <w:pPr>
        <w:spacing w:after="0" w:line="240" w:lineRule="auto"/>
      </w:pPr>
      <w:r>
        <w:separator/>
      </w:r>
    </w:p>
  </w:footnote>
  <w:footnote w:type="continuationSeparator" w:id="0">
    <w:p w:rsidR="007F5216" w:rsidP="00C358E3" w:rsidRDefault="007F5216" w14:paraId="26510200" w14:textId="77777777">
      <w:pPr>
        <w:spacing w:after="0" w:line="240" w:lineRule="auto"/>
      </w:pPr>
      <w:r>
        <w:continuationSeparator/>
      </w:r>
    </w:p>
  </w:footnote>
  <w:footnote w:id="1">
    <w:p w:rsidRPr="00BB1954" w:rsidR="00C358E3" w:rsidP="00D04809" w:rsidRDefault="00C358E3" w14:paraId="3F50947F" w14:textId="7EC3CC1F">
      <w:pPr>
        <w:pStyle w:val="FootnoteText"/>
        <w:jc w:val="both"/>
      </w:pPr>
      <w:r w:rsidRPr="00BB1954">
        <w:rPr>
          <w:rStyle w:val="FootnoteReference"/>
        </w:rPr>
        <w:footnoteRef/>
      </w:r>
      <w:r w:rsidRPr="00BB1954">
        <w:t xml:space="preserve"> </w:t>
      </w:r>
      <w:r w:rsidRPr="00BB1954" w:rsidR="0082742A">
        <w:t xml:space="preserve">See FDG </w:t>
      </w:r>
      <w:r w:rsidRPr="00BB1954" w:rsidR="005D701D">
        <w:t xml:space="preserve">§3.3 for the precise criteria </w:t>
      </w:r>
      <w:r w:rsidRPr="00BB1954" w:rsidR="00602691">
        <w:t>for Zilucoplan eligibility</w:t>
      </w:r>
      <w:r w:rsidRPr="00BB1954" w:rsidR="00440773">
        <w:t xml:space="preserve"> which the Committee accepted.</w:t>
      </w:r>
      <w:r w:rsidRPr="00BB1954" w:rsidR="0082742A">
        <w:t xml:space="preserve"> </w:t>
      </w:r>
    </w:p>
  </w:footnote>
  <w:footnote w:id="2">
    <w:p w:rsidRPr="00BB1954" w:rsidR="00E559A1" w:rsidP="00920937" w:rsidRDefault="00E559A1" w14:paraId="19F98C64" w14:textId="213EB4FC">
      <w:pPr>
        <w:pStyle w:val="FootnoteText"/>
        <w:jc w:val="both"/>
      </w:pPr>
      <w:r w:rsidRPr="00BB1954">
        <w:rPr>
          <w:rStyle w:val="FootnoteReference"/>
        </w:rPr>
        <w:footnoteRef/>
      </w:r>
      <w:r w:rsidRPr="00BB1954">
        <w:t xml:space="preserve"> See §3.4, p.8. Efgartigimod was also proposed but was not included as NICE’s evaluation of it was ongoing.</w:t>
      </w:r>
    </w:p>
  </w:footnote>
  <w:footnote w:id="3">
    <w:p w:rsidRPr="00BB1954" w:rsidR="00206E3A" w:rsidP="00920937" w:rsidRDefault="00206E3A" w14:paraId="5CEB0839" w14:textId="641A6432">
      <w:pPr>
        <w:pStyle w:val="FootnoteText"/>
        <w:jc w:val="both"/>
      </w:pPr>
      <w:r w:rsidRPr="00BB1954">
        <w:rPr>
          <w:rStyle w:val="FootnoteReference"/>
        </w:rPr>
        <w:footnoteRef/>
      </w:r>
      <w:r w:rsidRPr="00BB1954">
        <w:t xml:space="preserve"> See §3.5, p.9.</w:t>
      </w:r>
    </w:p>
  </w:footnote>
  <w:footnote w:id="4">
    <w:p w:rsidRPr="00BB1954" w:rsidR="00206E3A" w:rsidP="00920937" w:rsidRDefault="00206E3A" w14:paraId="08DD20D1" w14:textId="71D7F263">
      <w:pPr>
        <w:pStyle w:val="FootnoteText"/>
        <w:jc w:val="both"/>
      </w:pPr>
      <w:r w:rsidRPr="00BB1954">
        <w:rPr>
          <w:rStyle w:val="FootnoteReference"/>
        </w:rPr>
        <w:footnoteRef/>
      </w:r>
      <w:r w:rsidRPr="00BB1954">
        <w:t xml:space="preserve"> See §3.4, p.8.</w:t>
      </w:r>
    </w:p>
  </w:footnote>
  <w:footnote w:id="5">
    <w:p w:rsidRPr="00BB1954" w:rsidR="00E71C82" w:rsidP="00D04809" w:rsidRDefault="00E71C82" w14:paraId="650EAFB4" w14:textId="71F35965">
      <w:pPr>
        <w:pStyle w:val="FootnoteText"/>
        <w:jc w:val="both"/>
      </w:pPr>
      <w:r w:rsidRPr="00BB1954">
        <w:rPr>
          <w:rStyle w:val="FootnoteReference"/>
        </w:rPr>
        <w:footnoteRef/>
      </w:r>
      <w:r w:rsidRPr="00BB1954">
        <w:t xml:space="preserve"> See §3.5</w:t>
      </w:r>
      <w:r w:rsidRPr="00BB1954" w:rsidR="00521FC6">
        <w:t>, p.12</w:t>
      </w:r>
      <w:r w:rsidRPr="00BB1954">
        <w:t>: “there is no standardised criteria or mandatory definition of refractory gMG in clinical practice or guidelines”.</w:t>
      </w:r>
    </w:p>
  </w:footnote>
  <w:footnote w:id="6">
    <w:p w:rsidRPr="00BB1954" w:rsidR="00B86F53" w:rsidP="00D04809" w:rsidRDefault="00B86F53" w14:paraId="305C4844" w14:textId="41602FE6">
      <w:pPr>
        <w:pStyle w:val="FootnoteText"/>
        <w:jc w:val="both"/>
      </w:pPr>
      <w:r w:rsidRPr="00BB1954">
        <w:rPr>
          <w:rStyle w:val="FootnoteReference"/>
        </w:rPr>
        <w:footnoteRef/>
      </w:r>
      <w:r w:rsidRPr="00BB1954">
        <w:t xml:space="preserve"> See §3.5</w:t>
      </w:r>
      <w:r w:rsidRPr="00BB1954" w:rsidR="00AE211E">
        <w:t>, p.11</w:t>
      </w:r>
      <w:r w:rsidRPr="00BB1954">
        <w:t>: “</w:t>
      </w:r>
      <w:r w:rsidRPr="00BB1954" w:rsidR="00BC1288">
        <w:t>not all people in the cohort met the inclusion criteria” and “The EAG stated that not all people in the EAMS cohort would necessarily meet the criteria for refractory gMG”.</w:t>
      </w:r>
    </w:p>
  </w:footnote>
  <w:footnote w:id="7">
    <w:p w:rsidRPr="00BB1954" w:rsidR="000E3170" w:rsidP="00D04809" w:rsidRDefault="000E3170" w14:paraId="1E4B1B8F" w14:textId="6335D208">
      <w:pPr>
        <w:pStyle w:val="FootnoteText"/>
        <w:jc w:val="both"/>
      </w:pPr>
      <w:r w:rsidRPr="00BB1954">
        <w:rPr>
          <w:rStyle w:val="FootnoteReference"/>
        </w:rPr>
        <w:footnoteRef/>
      </w:r>
      <w:r w:rsidRPr="00BB1954">
        <w:t xml:space="preserve"> See §3.5</w:t>
      </w:r>
      <w:r w:rsidRPr="00BB1954" w:rsidR="00AE211E">
        <w:t>, p.10</w:t>
      </w:r>
      <w:r w:rsidRPr="00BB1954">
        <w:t>: “They explained that it was less severe in the EAMS cohort than the RAISE refractory population and those who would have zilucoplan in the NHS.”</w:t>
      </w:r>
    </w:p>
  </w:footnote>
  <w:footnote w:id="8">
    <w:p w:rsidRPr="00BB1954" w:rsidR="00AE4A90" w:rsidP="00D04809" w:rsidRDefault="00AE4A90" w14:paraId="6F091EED" w14:textId="484F0F8B">
      <w:pPr>
        <w:pStyle w:val="FootnoteText"/>
        <w:jc w:val="both"/>
      </w:pPr>
      <w:r w:rsidRPr="00BB1954">
        <w:rPr>
          <w:rStyle w:val="FootnoteReference"/>
        </w:rPr>
        <w:footnoteRef/>
      </w:r>
      <w:r w:rsidRPr="00BB1954">
        <w:t xml:space="preserve"> The company then added a further two persons to the revised EAMS cohort </w:t>
      </w:r>
      <w:r w:rsidRPr="00BB1954" w:rsidR="00F44812">
        <w:t>resulting in a total cohort of 37</w:t>
      </w:r>
      <w:r w:rsidRPr="00BB1954">
        <w:t>, as explained in §</w:t>
      </w:r>
      <w:r w:rsidRPr="00BB1954" w:rsidR="00500933">
        <w:t>13</w:t>
      </w:r>
      <w:r w:rsidRPr="00BB1954">
        <w:t xml:space="preserve"> below.</w:t>
      </w:r>
    </w:p>
  </w:footnote>
  <w:footnote w:id="9">
    <w:p w:rsidRPr="00BB1954" w:rsidR="00521FC6" w:rsidP="00D04809" w:rsidRDefault="00521FC6" w14:paraId="00B0F37E" w14:textId="404AA083">
      <w:pPr>
        <w:pStyle w:val="FootnoteText"/>
        <w:jc w:val="both"/>
      </w:pPr>
      <w:r w:rsidRPr="00BB1954">
        <w:rPr>
          <w:rStyle w:val="FootnoteReference"/>
        </w:rPr>
        <w:footnoteRef/>
      </w:r>
      <w:r w:rsidRPr="00BB1954">
        <w:t xml:space="preserve"> </w:t>
      </w:r>
      <w:r w:rsidRPr="00BB1954" w:rsidR="00AE211E">
        <w:t>See</w:t>
      </w:r>
      <w:r w:rsidRPr="00BB1954">
        <w:t xml:space="preserve"> §3.5, p.12.</w:t>
      </w:r>
    </w:p>
  </w:footnote>
  <w:footnote w:id="10">
    <w:p w:rsidRPr="00BB1954" w:rsidR="00AE211E" w:rsidP="00D04809" w:rsidRDefault="00AE211E" w14:paraId="4872777F" w14:textId="1A8366FF">
      <w:pPr>
        <w:pStyle w:val="FootnoteText"/>
        <w:jc w:val="both"/>
      </w:pPr>
      <w:r w:rsidRPr="00BB1954">
        <w:rPr>
          <w:rStyle w:val="FootnoteReference"/>
        </w:rPr>
        <w:footnoteRef/>
      </w:r>
      <w:r w:rsidRPr="00BB1954">
        <w:t xml:space="preserve"> See §3.5, p.12.</w:t>
      </w:r>
    </w:p>
  </w:footnote>
  <w:footnote w:id="11">
    <w:p w:rsidRPr="00BB1954" w:rsidR="00AE211E" w:rsidP="00D04809" w:rsidRDefault="00AE211E" w14:paraId="784B0D90" w14:textId="53208B63">
      <w:pPr>
        <w:pStyle w:val="FootnoteText"/>
        <w:jc w:val="both"/>
      </w:pPr>
      <w:r w:rsidRPr="00BB1954">
        <w:rPr>
          <w:rStyle w:val="FootnoteReference"/>
        </w:rPr>
        <w:footnoteRef/>
      </w:r>
      <w:r w:rsidRPr="00BB1954">
        <w:t xml:space="preserve"> </w:t>
      </w:r>
      <w:r w:rsidRPr="00BB1954" w:rsidR="008F0D86">
        <w:t xml:space="preserve">The Committee </w:t>
      </w:r>
      <w:r w:rsidRPr="00BB1954">
        <w:t>also noted that the company “</w:t>
      </w:r>
      <w:r w:rsidRPr="00920937">
        <w:t>included 2 people on corticosteroids only as having refractory gMG to reflect those who might have previously had NSISTS</w:t>
      </w:r>
      <w:r w:rsidRPr="00BB1954">
        <w:t>” which therefore led to the company’s total cohort of 37, commenting that “</w:t>
      </w:r>
      <w:r w:rsidRPr="00920937">
        <w:t>the EAG commented that the company’s rationale for classifying 2 people on corticosteroids only as having refractory gMG was self-contradictory</w:t>
      </w:r>
      <w:r w:rsidRPr="00BB1954">
        <w:t>.” (§3.5, p.12) But this criticism by the EAG made no sense</w:t>
      </w:r>
      <w:r w:rsidRPr="00BB1954" w:rsidR="008F0D86">
        <w:t xml:space="preserve"> as a basis for the Committee’s approach</w:t>
      </w:r>
      <w:r w:rsidRPr="00BB1954">
        <w:t xml:space="preserve">: the company had effectively factored in the risk that some patients previous had </w:t>
      </w:r>
      <w:r w:rsidRPr="00BB1954" w:rsidR="008F0D86">
        <w:t>NSISTs</w:t>
      </w:r>
      <w:r w:rsidRPr="00BB1954">
        <w:t xml:space="preserve"> (and presumably stopped because of loss of response) by increasing its cohort by 2. The answer is not to increase the cohort further still – in effect (as noted above), assuming that all 10 patients have previously stopped other treatments. </w:t>
      </w:r>
    </w:p>
  </w:footnote>
  <w:footnote w:id="12">
    <w:p w:rsidRPr="00BB1954" w:rsidR="00564913" w:rsidP="00920937" w:rsidRDefault="00564913" w14:paraId="5BC92318" w14:textId="6653FE72">
      <w:pPr>
        <w:pStyle w:val="FootnoteText"/>
        <w:jc w:val="both"/>
      </w:pPr>
      <w:r w:rsidRPr="00BB1954">
        <w:rPr>
          <w:rStyle w:val="FootnoteReference"/>
        </w:rPr>
        <w:footnoteRef/>
      </w:r>
      <w:r w:rsidRPr="00BB1954">
        <w:t xml:space="preserve"> See §3.13, p.19.</w:t>
      </w:r>
    </w:p>
  </w:footnote>
  <w:footnote w:id="13">
    <w:p w:rsidRPr="00BB1954" w:rsidR="00564913" w:rsidP="00920937" w:rsidRDefault="00564913" w14:paraId="6D332FE5" w14:textId="7D7906CD">
      <w:pPr>
        <w:pStyle w:val="FootnoteText"/>
        <w:jc w:val="both"/>
      </w:pPr>
      <w:r w:rsidRPr="00BB1954">
        <w:rPr>
          <w:rStyle w:val="FootnoteReference"/>
        </w:rPr>
        <w:footnoteRef/>
      </w:r>
      <w:r w:rsidRPr="00BB1954">
        <w:t xml:space="preserve"> See §3.14, p.21.</w:t>
      </w:r>
    </w:p>
  </w:footnote>
  <w:footnote w:id="14">
    <w:p w:rsidRPr="00BB1954" w:rsidR="00564913" w:rsidP="00920937" w:rsidRDefault="00564913" w14:paraId="4901BF32" w14:textId="252473CD">
      <w:pPr>
        <w:pStyle w:val="FootnoteText"/>
        <w:jc w:val="both"/>
      </w:pPr>
      <w:r w:rsidRPr="00BB1954">
        <w:rPr>
          <w:rStyle w:val="FootnoteReference"/>
        </w:rPr>
        <w:footnoteRef/>
      </w:r>
      <w:r w:rsidRPr="00BB1954">
        <w:t xml:space="preserve"> See §3.14, p.21.</w:t>
      </w:r>
    </w:p>
  </w:footnote>
  <w:footnote w:id="15">
    <w:p w:rsidRPr="00BB1954" w:rsidR="00564913" w:rsidP="00920937" w:rsidRDefault="00564913" w14:paraId="37C639FB" w14:textId="2E4C88CE">
      <w:pPr>
        <w:pStyle w:val="FootnoteText"/>
        <w:jc w:val="both"/>
      </w:pPr>
      <w:r w:rsidRPr="00BB1954">
        <w:rPr>
          <w:rStyle w:val="FootnoteReference"/>
        </w:rPr>
        <w:footnoteRef/>
      </w:r>
      <w:r w:rsidRPr="00BB1954">
        <w:t xml:space="preserve"> Nor</w:t>
      </w:r>
      <w:r w:rsidRPr="00BB1954" w:rsidR="00A12DE2">
        <w:t xml:space="preserve"> is it clear why the company’s approach of assuming that MSE would last for the lifetime of the model in view of the fact that it does not necessarily (on the company’s definition) imply the absence of symptoms should have been the subject of concern by the Committee (see §3.14, p.22) at all.</w:t>
      </w:r>
    </w:p>
  </w:footnote>
  <w:footnote w:id="16">
    <w:p w:rsidRPr="00BB1954" w:rsidR="00416296" w:rsidP="00920937" w:rsidRDefault="00416296" w14:paraId="0783E3A8" w14:textId="77777777">
      <w:pPr>
        <w:pStyle w:val="FootnoteText"/>
        <w:jc w:val="both"/>
      </w:pPr>
      <w:r w:rsidRPr="00BB1954">
        <w:rPr>
          <w:rStyle w:val="FootnoteReference"/>
        </w:rPr>
        <w:footnoteRef/>
      </w:r>
      <w:r w:rsidRPr="00BB1954">
        <w:t xml:space="preserve"> See §3.16, p.25.</w:t>
      </w:r>
    </w:p>
  </w:footnote>
  <w:footnote w:id="17">
    <w:p w:rsidRPr="00BB1954" w:rsidR="00416296" w:rsidP="00920937" w:rsidRDefault="00416296" w14:paraId="69C1545C" w14:textId="77777777">
      <w:pPr>
        <w:pStyle w:val="FootnoteText"/>
        <w:jc w:val="both"/>
      </w:pPr>
      <w:r w:rsidRPr="00BB1954">
        <w:rPr>
          <w:rStyle w:val="FootnoteReference"/>
        </w:rPr>
        <w:footnoteRef/>
      </w:r>
      <w:r w:rsidRPr="00BB1954">
        <w:t xml:space="preserve"> See §3.16, p.27.</w:t>
      </w:r>
    </w:p>
  </w:footnote>
  <w:footnote w:id="18">
    <w:p w:rsidRPr="00BB1954" w:rsidR="00FD2AB1" w:rsidP="00920937" w:rsidRDefault="00FD2AB1" w14:paraId="42247DE2" w14:textId="77777777">
      <w:pPr>
        <w:pStyle w:val="FootnoteText"/>
        <w:jc w:val="both"/>
      </w:pPr>
      <w:r w:rsidRPr="00BB1954">
        <w:rPr>
          <w:rStyle w:val="FootnoteReference"/>
        </w:rPr>
        <w:footnoteRef/>
      </w:r>
      <w:r w:rsidRPr="00BB1954">
        <w:t xml:space="preserve"> See §3.15, p.24.</w:t>
      </w:r>
    </w:p>
  </w:footnote>
  <w:footnote w:id="19">
    <w:p w:rsidRPr="00BB1954" w:rsidR="00FD2AB1" w:rsidP="00920937" w:rsidRDefault="00FD2AB1" w14:paraId="0CFE2D9B" w14:textId="77777777">
      <w:pPr>
        <w:pStyle w:val="FootnoteText"/>
        <w:jc w:val="both"/>
      </w:pPr>
      <w:r w:rsidRPr="00BB1954">
        <w:rPr>
          <w:rStyle w:val="FootnoteReference"/>
        </w:rPr>
        <w:footnoteRef/>
      </w:r>
      <w:r w:rsidRPr="00BB1954">
        <w:t xml:space="preserve"> TA1069 FDG, §3.15.</w:t>
      </w:r>
    </w:p>
  </w:footnote>
  <w:footnote w:id="20">
    <w:p w:rsidRPr="00BB1954" w:rsidR="006A0716" w:rsidP="00920937" w:rsidRDefault="006A0716" w14:paraId="21726E73" w14:textId="1D217C24">
      <w:pPr>
        <w:pStyle w:val="FootnoteText"/>
        <w:jc w:val="both"/>
      </w:pPr>
      <w:r w:rsidRPr="00BB1954">
        <w:rPr>
          <w:rStyle w:val="FootnoteReference"/>
        </w:rPr>
        <w:footnoteRef/>
      </w:r>
      <w:r w:rsidRPr="00BB1954">
        <w:t xml:space="preserve"> See §3.20, pp.31-32.</w:t>
      </w:r>
    </w:p>
  </w:footnote>
  <w:footnote w:id="21">
    <w:p w:rsidRPr="00BB1954" w:rsidR="006A0716" w:rsidP="00920937" w:rsidRDefault="006A0716" w14:paraId="721ECBD4" w14:textId="30D91D03">
      <w:pPr>
        <w:pStyle w:val="FootnoteText"/>
        <w:jc w:val="both"/>
      </w:pPr>
      <w:r w:rsidRPr="00BB1954">
        <w:rPr>
          <w:rStyle w:val="FootnoteReference"/>
        </w:rPr>
        <w:footnoteRef/>
      </w:r>
      <w:r w:rsidRPr="00BB1954">
        <w:t xml:space="preserve"> It may be noted that, following the second draft guidance consultation, the EAG “</w:t>
      </w:r>
      <w:r w:rsidRPr="00920937">
        <w:t>did not comment further on the company’s response but excluded corticosteroids disutility from its base case</w:t>
      </w:r>
      <w:r w:rsidRPr="00BB1954">
        <w:t>”. In other words, the EAG did not suggest any alternative.</w:t>
      </w:r>
    </w:p>
  </w:footnote>
  <w:footnote w:id="22">
    <w:p w:rsidRPr="00BB1954" w:rsidR="003B2D00" w:rsidP="00920937" w:rsidRDefault="003B2D00" w14:paraId="5B5F589A" w14:textId="5FF7765F">
      <w:pPr>
        <w:pStyle w:val="FootnoteText"/>
        <w:jc w:val="both"/>
      </w:pPr>
      <w:r w:rsidRPr="00BB1954">
        <w:rPr>
          <w:rStyle w:val="FootnoteReference"/>
        </w:rPr>
        <w:footnoteRef/>
      </w:r>
      <w:r w:rsidRPr="00BB1954">
        <w:t xml:space="preserve"> See §3.29, p.39.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EF8" w:rsidRDefault="00794EF8" w14:paraId="14F78F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15FBA" w:rsidP="0020761E" w:rsidRDefault="0020761E" w14:paraId="71419E32" w14:textId="54177EB7">
    <w:pPr>
      <w:pStyle w:val="Header"/>
      <w:jc w:val="right"/>
    </w:pPr>
    <w:r>
      <w:t xml:space="preserve">                     </w:t>
    </w:r>
    <w:r>
      <w:rPr>
        <w:noProof/>
      </w:rPr>
      <w:drawing>
        <wp:inline distT="0" distB="0" distL="0" distR="0" wp14:anchorId="423AC827" wp14:editId="325FCA50">
          <wp:extent cx="2147329" cy="721803"/>
          <wp:effectExtent l="0" t="0" r="5715" b="2540"/>
          <wp:docPr id="788686231" name="Picture 1" descr="A white background with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86231" name="Picture 1" descr="A white background with grey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1415" cy="736622"/>
                  </a:xfrm>
                  <a:prstGeom prst="rect">
                    <a:avLst/>
                  </a:prstGeom>
                </pic:spPr>
              </pic:pic>
            </a:graphicData>
          </a:graphic>
        </wp:inline>
      </w:drawing>
    </w:r>
  </w:p>
  <w:p w:rsidR="00084812" w:rsidP="00315FBA" w:rsidRDefault="00315FBA" w14:paraId="7EB408A0" w14:textId="20D4D591">
    <w:pPr>
      <w:pStyle w:val="Header"/>
      <w:tabs>
        <w:tab w:val="clear" w:pos="4513"/>
        <w:tab w:val="clear" w:pos="9026"/>
        <w:tab w:val="left" w:pos="769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EF8" w:rsidRDefault="00794EF8" w14:paraId="196171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580B"/>
    <w:multiLevelType w:val="hybridMultilevel"/>
    <w:tmpl w:val="BE009DA4"/>
    <w:lvl w:ilvl="0" w:tplc="FFFFFFFF">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6809B7"/>
    <w:multiLevelType w:val="hybridMultilevel"/>
    <w:tmpl w:val="8846500A"/>
    <w:lvl w:ilvl="0" w:tplc="939E85D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5818D6"/>
    <w:multiLevelType w:val="hybridMultilevel"/>
    <w:tmpl w:val="23526BCE"/>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5A84BE9"/>
    <w:multiLevelType w:val="hybridMultilevel"/>
    <w:tmpl w:val="2030499A"/>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5EC132E"/>
    <w:multiLevelType w:val="hybridMultilevel"/>
    <w:tmpl w:val="CE701B8A"/>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29629F"/>
    <w:multiLevelType w:val="hybridMultilevel"/>
    <w:tmpl w:val="7B169B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68779D"/>
    <w:multiLevelType w:val="hybridMultilevel"/>
    <w:tmpl w:val="1226B72E"/>
    <w:lvl w:ilvl="0" w:tplc="FFFFFFFF">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6904905"/>
    <w:multiLevelType w:val="hybridMultilevel"/>
    <w:tmpl w:val="9B268D54"/>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3B220E"/>
    <w:multiLevelType w:val="hybridMultilevel"/>
    <w:tmpl w:val="2E60A314"/>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B847B40"/>
    <w:multiLevelType w:val="hybridMultilevel"/>
    <w:tmpl w:val="2E60A314"/>
    <w:lvl w:ilvl="0" w:tplc="FFFFFFFF">
      <w:start w:val="1"/>
      <w:numFmt w:val="lowerLetter"/>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383330878">
    <w:abstractNumId w:val="1"/>
  </w:num>
  <w:num w:numId="2" w16cid:durableId="985281076">
    <w:abstractNumId w:val="5"/>
  </w:num>
  <w:num w:numId="3" w16cid:durableId="470027746">
    <w:abstractNumId w:val="7"/>
  </w:num>
  <w:num w:numId="4" w16cid:durableId="1809544611">
    <w:abstractNumId w:val="6"/>
  </w:num>
  <w:num w:numId="5" w16cid:durableId="1987473025">
    <w:abstractNumId w:val="4"/>
  </w:num>
  <w:num w:numId="6" w16cid:durableId="1406680084">
    <w:abstractNumId w:val="0"/>
  </w:num>
  <w:num w:numId="7" w16cid:durableId="872228619">
    <w:abstractNumId w:val="8"/>
  </w:num>
  <w:num w:numId="8" w16cid:durableId="183910867">
    <w:abstractNumId w:val="9"/>
  </w:num>
  <w:num w:numId="9" w16cid:durableId="1992441316">
    <w:abstractNumId w:val="3"/>
  </w:num>
  <w:num w:numId="10" w16cid:durableId="1843546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Logon" w:val="SLE"/>
    <w:docVar w:name="FSAuthorName" w:val="Sarah Ellson"/>
    <w:docVar w:name="FSClientName" w:val="Myaware"/>
    <w:docVar w:name="FSClientNumber" w:val="UK01-2022519"/>
    <w:docVar w:name="FSDocClass" w:val="DOC"/>
    <w:docVar w:name="FSDocNumber" w:val="130433466"/>
    <w:docVar w:name="FSDocVersion" w:val="5"/>
    <w:docVar w:name="FSMatterDesc" w:val="Zilucoplan appeal"/>
    <w:docVar w:name="FSMatterNumber" w:val="00003"/>
    <w:docVar w:name="FSTypist" w:val="CW29"/>
    <w:docVar w:name="FSTypistLogon" w:val="CW29"/>
    <w:docVar w:name="FSTypistName" w:val="Chloe Williams"/>
  </w:docVars>
  <w:rsids>
    <w:rsidRoot w:val="00BB17EE"/>
    <w:rsid w:val="00004CF1"/>
    <w:rsid w:val="00007CA3"/>
    <w:rsid w:val="000161D4"/>
    <w:rsid w:val="000167B5"/>
    <w:rsid w:val="00023768"/>
    <w:rsid w:val="00046AAF"/>
    <w:rsid w:val="00054AAA"/>
    <w:rsid w:val="00057240"/>
    <w:rsid w:val="0006762B"/>
    <w:rsid w:val="0007356B"/>
    <w:rsid w:val="00084812"/>
    <w:rsid w:val="0009369F"/>
    <w:rsid w:val="000A5EEC"/>
    <w:rsid w:val="000B4E33"/>
    <w:rsid w:val="000C038B"/>
    <w:rsid w:val="000C5DE0"/>
    <w:rsid w:val="000C5E3B"/>
    <w:rsid w:val="000D0D57"/>
    <w:rsid w:val="000D4785"/>
    <w:rsid w:val="000D6E20"/>
    <w:rsid w:val="000D7A2A"/>
    <w:rsid w:val="000E041C"/>
    <w:rsid w:val="000E3170"/>
    <w:rsid w:val="000E7B9F"/>
    <w:rsid w:val="001067C6"/>
    <w:rsid w:val="00120E9D"/>
    <w:rsid w:val="0015324E"/>
    <w:rsid w:val="00160688"/>
    <w:rsid w:val="00160989"/>
    <w:rsid w:val="00172F1C"/>
    <w:rsid w:val="001803DF"/>
    <w:rsid w:val="00184072"/>
    <w:rsid w:val="00190024"/>
    <w:rsid w:val="001971E5"/>
    <w:rsid w:val="001A1043"/>
    <w:rsid w:val="001A2A70"/>
    <w:rsid w:val="001B2C65"/>
    <w:rsid w:val="001B418D"/>
    <w:rsid w:val="001C5638"/>
    <w:rsid w:val="001D51F6"/>
    <w:rsid w:val="001D5779"/>
    <w:rsid w:val="001D7381"/>
    <w:rsid w:val="001E6C9D"/>
    <w:rsid w:val="001F6629"/>
    <w:rsid w:val="00204CDC"/>
    <w:rsid w:val="00206E3A"/>
    <w:rsid w:val="0020761E"/>
    <w:rsid w:val="00207AA8"/>
    <w:rsid w:val="0024724C"/>
    <w:rsid w:val="002478E6"/>
    <w:rsid w:val="00251BC0"/>
    <w:rsid w:val="002711EA"/>
    <w:rsid w:val="00271F3C"/>
    <w:rsid w:val="0027737B"/>
    <w:rsid w:val="00285ACD"/>
    <w:rsid w:val="002A2039"/>
    <w:rsid w:val="002B3352"/>
    <w:rsid w:val="002D2923"/>
    <w:rsid w:val="002D3B2B"/>
    <w:rsid w:val="002D42D9"/>
    <w:rsid w:val="002D7235"/>
    <w:rsid w:val="002E4FBE"/>
    <w:rsid w:val="00300E7D"/>
    <w:rsid w:val="00315FBA"/>
    <w:rsid w:val="00320F71"/>
    <w:rsid w:val="003224D9"/>
    <w:rsid w:val="00327759"/>
    <w:rsid w:val="0033160A"/>
    <w:rsid w:val="00335B49"/>
    <w:rsid w:val="003613F1"/>
    <w:rsid w:val="00363ECB"/>
    <w:rsid w:val="0037699E"/>
    <w:rsid w:val="00377CCF"/>
    <w:rsid w:val="0038313F"/>
    <w:rsid w:val="0038526E"/>
    <w:rsid w:val="0038686E"/>
    <w:rsid w:val="00387023"/>
    <w:rsid w:val="003905D3"/>
    <w:rsid w:val="00391DBD"/>
    <w:rsid w:val="00392FE5"/>
    <w:rsid w:val="00395E3B"/>
    <w:rsid w:val="003A7FD3"/>
    <w:rsid w:val="003B2D00"/>
    <w:rsid w:val="003B6479"/>
    <w:rsid w:val="003C51B1"/>
    <w:rsid w:val="003D0613"/>
    <w:rsid w:val="003D4EC8"/>
    <w:rsid w:val="003E2636"/>
    <w:rsid w:val="003F08CE"/>
    <w:rsid w:val="00410501"/>
    <w:rsid w:val="00412679"/>
    <w:rsid w:val="00416296"/>
    <w:rsid w:val="00416645"/>
    <w:rsid w:val="00432214"/>
    <w:rsid w:val="004339A6"/>
    <w:rsid w:val="00433B71"/>
    <w:rsid w:val="00435BF9"/>
    <w:rsid w:val="0043717F"/>
    <w:rsid w:val="00440773"/>
    <w:rsid w:val="00453C34"/>
    <w:rsid w:val="00457026"/>
    <w:rsid w:val="00461667"/>
    <w:rsid w:val="00466DF9"/>
    <w:rsid w:val="00487AA3"/>
    <w:rsid w:val="004A013E"/>
    <w:rsid w:val="004B5004"/>
    <w:rsid w:val="004B6127"/>
    <w:rsid w:val="004C2A0C"/>
    <w:rsid w:val="004D7558"/>
    <w:rsid w:val="004E029E"/>
    <w:rsid w:val="004E107A"/>
    <w:rsid w:val="004E23DB"/>
    <w:rsid w:val="004F0588"/>
    <w:rsid w:val="004F6377"/>
    <w:rsid w:val="00500933"/>
    <w:rsid w:val="005009C4"/>
    <w:rsid w:val="00512356"/>
    <w:rsid w:val="0051418B"/>
    <w:rsid w:val="00521FC6"/>
    <w:rsid w:val="005262A1"/>
    <w:rsid w:val="00530761"/>
    <w:rsid w:val="00533F2C"/>
    <w:rsid w:val="00544E7A"/>
    <w:rsid w:val="00546167"/>
    <w:rsid w:val="00551554"/>
    <w:rsid w:val="0055739C"/>
    <w:rsid w:val="00561945"/>
    <w:rsid w:val="00564913"/>
    <w:rsid w:val="005678E7"/>
    <w:rsid w:val="00584C82"/>
    <w:rsid w:val="005A02D5"/>
    <w:rsid w:val="005B165E"/>
    <w:rsid w:val="005B4527"/>
    <w:rsid w:val="005B510F"/>
    <w:rsid w:val="005C664C"/>
    <w:rsid w:val="005C7388"/>
    <w:rsid w:val="005D4364"/>
    <w:rsid w:val="005D701D"/>
    <w:rsid w:val="005E05DE"/>
    <w:rsid w:val="005F3FF5"/>
    <w:rsid w:val="005F7C6E"/>
    <w:rsid w:val="00602691"/>
    <w:rsid w:val="006178D7"/>
    <w:rsid w:val="00620281"/>
    <w:rsid w:val="006322D0"/>
    <w:rsid w:val="006339CB"/>
    <w:rsid w:val="00636089"/>
    <w:rsid w:val="00641915"/>
    <w:rsid w:val="006424AE"/>
    <w:rsid w:val="00643240"/>
    <w:rsid w:val="0064656B"/>
    <w:rsid w:val="006544A0"/>
    <w:rsid w:val="00670AEA"/>
    <w:rsid w:val="006745AC"/>
    <w:rsid w:val="00677FB3"/>
    <w:rsid w:val="00680355"/>
    <w:rsid w:val="006971C7"/>
    <w:rsid w:val="006A0716"/>
    <w:rsid w:val="006A25D1"/>
    <w:rsid w:val="006B2E4D"/>
    <w:rsid w:val="006B3E47"/>
    <w:rsid w:val="006B5D4D"/>
    <w:rsid w:val="006C5C11"/>
    <w:rsid w:val="006D1251"/>
    <w:rsid w:val="006E0CCF"/>
    <w:rsid w:val="006E3ADF"/>
    <w:rsid w:val="006F76B0"/>
    <w:rsid w:val="00702AAE"/>
    <w:rsid w:val="00705175"/>
    <w:rsid w:val="00706F81"/>
    <w:rsid w:val="007134F6"/>
    <w:rsid w:val="0071404A"/>
    <w:rsid w:val="00732E4D"/>
    <w:rsid w:val="00737626"/>
    <w:rsid w:val="00740659"/>
    <w:rsid w:val="00741400"/>
    <w:rsid w:val="00752742"/>
    <w:rsid w:val="00755F8C"/>
    <w:rsid w:val="00757ABB"/>
    <w:rsid w:val="00761D3F"/>
    <w:rsid w:val="00765F4D"/>
    <w:rsid w:val="00772679"/>
    <w:rsid w:val="0078750B"/>
    <w:rsid w:val="00794EF8"/>
    <w:rsid w:val="007B3358"/>
    <w:rsid w:val="007B559F"/>
    <w:rsid w:val="007C4257"/>
    <w:rsid w:val="007C4DA5"/>
    <w:rsid w:val="007D4770"/>
    <w:rsid w:val="007D7211"/>
    <w:rsid w:val="007E36BC"/>
    <w:rsid w:val="007E613C"/>
    <w:rsid w:val="007F5216"/>
    <w:rsid w:val="0081777E"/>
    <w:rsid w:val="0082742A"/>
    <w:rsid w:val="00834F9D"/>
    <w:rsid w:val="008354D2"/>
    <w:rsid w:val="00842DCD"/>
    <w:rsid w:val="00846BCA"/>
    <w:rsid w:val="00855D8B"/>
    <w:rsid w:val="00873588"/>
    <w:rsid w:val="00896861"/>
    <w:rsid w:val="008A42D5"/>
    <w:rsid w:val="008B3020"/>
    <w:rsid w:val="008B79B0"/>
    <w:rsid w:val="008C0260"/>
    <w:rsid w:val="008C7F75"/>
    <w:rsid w:val="008F058B"/>
    <w:rsid w:val="008F0685"/>
    <w:rsid w:val="008F0D86"/>
    <w:rsid w:val="009014A9"/>
    <w:rsid w:val="009034CD"/>
    <w:rsid w:val="00905F78"/>
    <w:rsid w:val="00912001"/>
    <w:rsid w:val="00913036"/>
    <w:rsid w:val="00920937"/>
    <w:rsid w:val="00927F75"/>
    <w:rsid w:val="009370AF"/>
    <w:rsid w:val="00937687"/>
    <w:rsid w:val="009405C3"/>
    <w:rsid w:val="00941067"/>
    <w:rsid w:val="0094285C"/>
    <w:rsid w:val="00943762"/>
    <w:rsid w:val="00945165"/>
    <w:rsid w:val="00950979"/>
    <w:rsid w:val="00953416"/>
    <w:rsid w:val="009621C5"/>
    <w:rsid w:val="0096498B"/>
    <w:rsid w:val="00964BBF"/>
    <w:rsid w:val="00976816"/>
    <w:rsid w:val="0098083B"/>
    <w:rsid w:val="00980D22"/>
    <w:rsid w:val="009A5B2A"/>
    <w:rsid w:val="009E78E0"/>
    <w:rsid w:val="009F6055"/>
    <w:rsid w:val="00A017C1"/>
    <w:rsid w:val="00A036D5"/>
    <w:rsid w:val="00A03AC3"/>
    <w:rsid w:val="00A10CE9"/>
    <w:rsid w:val="00A12DE2"/>
    <w:rsid w:val="00A13006"/>
    <w:rsid w:val="00A15E09"/>
    <w:rsid w:val="00A20C49"/>
    <w:rsid w:val="00A25356"/>
    <w:rsid w:val="00A26554"/>
    <w:rsid w:val="00A302B5"/>
    <w:rsid w:val="00A41CC8"/>
    <w:rsid w:val="00A43D33"/>
    <w:rsid w:val="00A47FBE"/>
    <w:rsid w:val="00A54669"/>
    <w:rsid w:val="00A55DC6"/>
    <w:rsid w:val="00A5737F"/>
    <w:rsid w:val="00A766C4"/>
    <w:rsid w:val="00A84AFB"/>
    <w:rsid w:val="00AA3BAE"/>
    <w:rsid w:val="00AB35BC"/>
    <w:rsid w:val="00AB7AF4"/>
    <w:rsid w:val="00AC4BD6"/>
    <w:rsid w:val="00AD66E9"/>
    <w:rsid w:val="00AE211E"/>
    <w:rsid w:val="00AE4A90"/>
    <w:rsid w:val="00AE5B72"/>
    <w:rsid w:val="00AF6323"/>
    <w:rsid w:val="00B0304D"/>
    <w:rsid w:val="00B07802"/>
    <w:rsid w:val="00B2084B"/>
    <w:rsid w:val="00B2442C"/>
    <w:rsid w:val="00B26E65"/>
    <w:rsid w:val="00B3391C"/>
    <w:rsid w:val="00B34B84"/>
    <w:rsid w:val="00B52EE8"/>
    <w:rsid w:val="00B54693"/>
    <w:rsid w:val="00B604A8"/>
    <w:rsid w:val="00B64DCC"/>
    <w:rsid w:val="00B75910"/>
    <w:rsid w:val="00B8418C"/>
    <w:rsid w:val="00B86F53"/>
    <w:rsid w:val="00B9052A"/>
    <w:rsid w:val="00B97E77"/>
    <w:rsid w:val="00BA4865"/>
    <w:rsid w:val="00BB17EE"/>
    <w:rsid w:val="00BB1954"/>
    <w:rsid w:val="00BB2454"/>
    <w:rsid w:val="00BB33F9"/>
    <w:rsid w:val="00BC1288"/>
    <w:rsid w:val="00BE28CF"/>
    <w:rsid w:val="00BE2A76"/>
    <w:rsid w:val="00BE5956"/>
    <w:rsid w:val="00C008C7"/>
    <w:rsid w:val="00C1161B"/>
    <w:rsid w:val="00C32D8F"/>
    <w:rsid w:val="00C358E3"/>
    <w:rsid w:val="00C371B5"/>
    <w:rsid w:val="00C42D3C"/>
    <w:rsid w:val="00C55A23"/>
    <w:rsid w:val="00C56388"/>
    <w:rsid w:val="00C62E12"/>
    <w:rsid w:val="00C6315F"/>
    <w:rsid w:val="00C706CB"/>
    <w:rsid w:val="00C756C9"/>
    <w:rsid w:val="00C819F9"/>
    <w:rsid w:val="00C9017F"/>
    <w:rsid w:val="00C9524B"/>
    <w:rsid w:val="00CA070B"/>
    <w:rsid w:val="00CA1F6B"/>
    <w:rsid w:val="00CA3B34"/>
    <w:rsid w:val="00CB2601"/>
    <w:rsid w:val="00CB65DD"/>
    <w:rsid w:val="00CC2C09"/>
    <w:rsid w:val="00CC2EEE"/>
    <w:rsid w:val="00CF03EE"/>
    <w:rsid w:val="00CF278E"/>
    <w:rsid w:val="00CF41BA"/>
    <w:rsid w:val="00CF7B1A"/>
    <w:rsid w:val="00CF7BCF"/>
    <w:rsid w:val="00D00365"/>
    <w:rsid w:val="00D04809"/>
    <w:rsid w:val="00D103AF"/>
    <w:rsid w:val="00D113FF"/>
    <w:rsid w:val="00D169C9"/>
    <w:rsid w:val="00D20719"/>
    <w:rsid w:val="00D21676"/>
    <w:rsid w:val="00D2209C"/>
    <w:rsid w:val="00D25A45"/>
    <w:rsid w:val="00D33B7A"/>
    <w:rsid w:val="00D33FEE"/>
    <w:rsid w:val="00D52A32"/>
    <w:rsid w:val="00D64404"/>
    <w:rsid w:val="00D7336E"/>
    <w:rsid w:val="00D8712C"/>
    <w:rsid w:val="00D94DA9"/>
    <w:rsid w:val="00D975C2"/>
    <w:rsid w:val="00DA1844"/>
    <w:rsid w:val="00DC0D79"/>
    <w:rsid w:val="00DC6F41"/>
    <w:rsid w:val="00DD0F26"/>
    <w:rsid w:val="00DD5376"/>
    <w:rsid w:val="00DE11B2"/>
    <w:rsid w:val="00DE5360"/>
    <w:rsid w:val="00E21D61"/>
    <w:rsid w:val="00E307B1"/>
    <w:rsid w:val="00E559A1"/>
    <w:rsid w:val="00E561D1"/>
    <w:rsid w:val="00E66863"/>
    <w:rsid w:val="00E71C82"/>
    <w:rsid w:val="00E7383A"/>
    <w:rsid w:val="00E819AA"/>
    <w:rsid w:val="00E8671D"/>
    <w:rsid w:val="00E87633"/>
    <w:rsid w:val="00E87EEA"/>
    <w:rsid w:val="00E90D4E"/>
    <w:rsid w:val="00EA6B1A"/>
    <w:rsid w:val="00EB03C0"/>
    <w:rsid w:val="00EB084B"/>
    <w:rsid w:val="00EB1466"/>
    <w:rsid w:val="00EB2253"/>
    <w:rsid w:val="00EC2935"/>
    <w:rsid w:val="00EC56D9"/>
    <w:rsid w:val="00ED0C15"/>
    <w:rsid w:val="00ED1E21"/>
    <w:rsid w:val="00ED1EBE"/>
    <w:rsid w:val="00ED7AC5"/>
    <w:rsid w:val="00F02B28"/>
    <w:rsid w:val="00F11AC3"/>
    <w:rsid w:val="00F17444"/>
    <w:rsid w:val="00F2304A"/>
    <w:rsid w:val="00F26185"/>
    <w:rsid w:val="00F346F2"/>
    <w:rsid w:val="00F3620A"/>
    <w:rsid w:val="00F37EF0"/>
    <w:rsid w:val="00F4393B"/>
    <w:rsid w:val="00F43F41"/>
    <w:rsid w:val="00F44812"/>
    <w:rsid w:val="00F5578D"/>
    <w:rsid w:val="00F6137F"/>
    <w:rsid w:val="00F614EE"/>
    <w:rsid w:val="00F62DEC"/>
    <w:rsid w:val="00F654E1"/>
    <w:rsid w:val="00F65B0C"/>
    <w:rsid w:val="00F66C0F"/>
    <w:rsid w:val="00F7337B"/>
    <w:rsid w:val="00F83844"/>
    <w:rsid w:val="00F83D93"/>
    <w:rsid w:val="00F855F9"/>
    <w:rsid w:val="00FA7D2F"/>
    <w:rsid w:val="00FB5E74"/>
    <w:rsid w:val="00FD2AB1"/>
    <w:rsid w:val="00FD6AA9"/>
    <w:rsid w:val="00FD7614"/>
    <w:rsid w:val="00FE0EE4"/>
    <w:rsid w:val="00FF4791"/>
    <w:rsid w:val="10C509FA"/>
    <w:rsid w:val="2B471CB4"/>
    <w:rsid w:val="4CA33BBB"/>
    <w:rsid w:val="5AEF9F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2FD85"/>
  <w15:chartTrackingRefBased/>
  <w15:docId w15:val="{51566D92-154F-4679-B3D4-EACE0B29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B17E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7E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7EE"/>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7EE"/>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7E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7EE"/>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7EE"/>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7EE"/>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7EE"/>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17E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B17E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B17EE"/>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B17EE"/>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B17EE"/>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B17EE"/>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B17EE"/>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B17EE"/>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B17EE"/>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BB17E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B17E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B17EE"/>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B17EE"/>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7EE"/>
    <w:pPr>
      <w:spacing w:before="160"/>
      <w:jc w:val="center"/>
    </w:pPr>
    <w:rPr>
      <w:i/>
      <w:iCs/>
      <w:color w:val="404040" w:themeColor="text1" w:themeTint="BF"/>
    </w:rPr>
  </w:style>
  <w:style w:type="character" w:styleId="QuoteChar" w:customStyle="1">
    <w:name w:val="Quote Char"/>
    <w:basedOn w:val="DefaultParagraphFont"/>
    <w:link w:val="Quote"/>
    <w:uiPriority w:val="29"/>
    <w:rsid w:val="00BB17EE"/>
    <w:rPr>
      <w:i/>
      <w:iCs/>
      <w:color w:val="404040" w:themeColor="text1" w:themeTint="BF"/>
    </w:rPr>
  </w:style>
  <w:style w:type="paragraph" w:styleId="ListParagraph">
    <w:name w:val="List Paragraph"/>
    <w:basedOn w:val="Normal"/>
    <w:uiPriority w:val="34"/>
    <w:qFormat/>
    <w:rsid w:val="00BB17EE"/>
    <w:pPr>
      <w:ind w:left="720"/>
      <w:contextualSpacing/>
    </w:pPr>
  </w:style>
  <w:style w:type="character" w:styleId="IntenseEmphasis">
    <w:name w:val="Intense Emphasis"/>
    <w:basedOn w:val="DefaultParagraphFont"/>
    <w:uiPriority w:val="21"/>
    <w:qFormat/>
    <w:rsid w:val="00BB17EE"/>
    <w:rPr>
      <w:i/>
      <w:iCs/>
      <w:color w:val="0F4761" w:themeColor="accent1" w:themeShade="BF"/>
    </w:rPr>
  </w:style>
  <w:style w:type="paragraph" w:styleId="IntenseQuote">
    <w:name w:val="Intense Quote"/>
    <w:basedOn w:val="Normal"/>
    <w:next w:val="Normal"/>
    <w:link w:val="IntenseQuoteChar"/>
    <w:uiPriority w:val="30"/>
    <w:qFormat/>
    <w:rsid w:val="00BB17E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B17EE"/>
    <w:rPr>
      <w:i/>
      <w:iCs/>
      <w:color w:val="0F4761" w:themeColor="accent1" w:themeShade="BF"/>
    </w:rPr>
  </w:style>
  <w:style w:type="character" w:styleId="IntenseReference">
    <w:name w:val="Intense Reference"/>
    <w:basedOn w:val="DefaultParagraphFont"/>
    <w:uiPriority w:val="32"/>
    <w:qFormat/>
    <w:rsid w:val="00BB17EE"/>
    <w:rPr>
      <w:b/>
      <w:bCs/>
      <w:smallCaps/>
      <w:color w:val="0F4761" w:themeColor="accent1" w:themeShade="BF"/>
      <w:spacing w:val="5"/>
    </w:rPr>
  </w:style>
  <w:style w:type="paragraph" w:styleId="FootnoteText">
    <w:name w:val="footnote text"/>
    <w:basedOn w:val="Normal"/>
    <w:link w:val="FootnoteTextChar"/>
    <w:uiPriority w:val="99"/>
    <w:semiHidden/>
    <w:unhideWhenUsed/>
    <w:rsid w:val="00C358E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358E3"/>
    <w:rPr>
      <w:sz w:val="20"/>
      <w:szCs w:val="20"/>
    </w:rPr>
  </w:style>
  <w:style w:type="character" w:styleId="FootnoteReference">
    <w:name w:val="footnote reference"/>
    <w:basedOn w:val="DefaultParagraphFont"/>
    <w:uiPriority w:val="99"/>
    <w:semiHidden/>
    <w:unhideWhenUsed/>
    <w:rsid w:val="00C358E3"/>
    <w:rPr>
      <w:vertAlign w:val="superscript"/>
    </w:rPr>
  </w:style>
  <w:style w:type="paragraph" w:styleId="Header">
    <w:name w:val="header"/>
    <w:basedOn w:val="Normal"/>
    <w:link w:val="HeaderChar"/>
    <w:uiPriority w:val="99"/>
    <w:unhideWhenUsed/>
    <w:rsid w:val="00B078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7802"/>
  </w:style>
  <w:style w:type="paragraph" w:styleId="Footer">
    <w:name w:val="footer"/>
    <w:basedOn w:val="Normal"/>
    <w:link w:val="FooterChar"/>
    <w:uiPriority w:val="99"/>
    <w:unhideWhenUsed/>
    <w:rsid w:val="00B078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7802"/>
  </w:style>
  <w:style w:type="paragraph" w:styleId="NormalWeb">
    <w:name w:val="Normal (Web)"/>
    <w:basedOn w:val="Normal"/>
    <w:uiPriority w:val="99"/>
    <w:semiHidden/>
    <w:unhideWhenUsed/>
    <w:rsid w:val="00B64DCC"/>
    <w:rPr>
      <w:rFonts w:cs="Times New Roman"/>
    </w:rPr>
  </w:style>
  <w:style w:type="character" w:styleId="Strong">
    <w:name w:val="Strong"/>
    <w:basedOn w:val="DefaultParagraphFont"/>
    <w:uiPriority w:val="22"/>
    <w:qFormat/>
    <w:rsid w:val="000C5E3B"/>
    <w:rPr>
      <w:b/>
      <w:bCs/>
    </w:rPr>
  </w:style>
  <w:style w:type="character" w:styleId="CommentReference">
    <w:name w:val="annotation reference"/>
    <w:basedOn w:val="DefaultParagraphFont"/>
    <w:uiPriority w:val="99"/>
    <w:semiHidden/>
    <w:unhideWhenUsed/>
    <w:rsid w:val="0078750B"/>
    <w:rPr>
      <w:sz w:val="16"/>
      <w:szCs w:val="16"/>
    </w:rPr>
  </w:style>
  <w:style w:type="paragraph" w:styleId="CommentText">
    <w:name w:val="annotation text"/>
    <w:basedOn w:val="Normal"/>
    <w:link w:val="CommentTextChar"/>
    <w:uiPriority w:val="99"/>
    <w:unhideWhenUsed/>
    <w:rsid w:val="0078750B"/>
    <w:pPr>
      <w:spacing w:line="240" w:lineRule="auto"/>
    </w:pPr>
    <w:rPr>
      <w:sz w:val="20"/>
      <w:szCs w:val="20"/>
    </w:rPr>
  </w:style>
  <w:style w:type="character" w:styleId="CommentTextChar" w:customStyle="1">
    <w:name w:val="Comment Text Char"/>
    <w:basedOn w:val="DefaultParagraphFont"/>
    <w:link w:val="CommentText"/>
    <w:uiPriority w:val="99"/>
    <w:rsid w:val="0078750B"/>
    <w:rPr>
      <w:sz w:val="20"/>
      <w:szCs w:val="20"/>
    </w:rPr>
  </w:style>
  <w:style w:type="paragraph" w:styleId="CommentSubject">
    <w:name w:val="annotation subject"/>
    <w:basedOn w:val="CommentText"/>
    <w:next w:val="CommentText"/>
    <w:link w:val="CommentSubjectChar"/>
    <w:uiPriority w:val="99"/>
    <w:semiHidden/>
    <w:unhideWhenUsed/>
    <w:rsid w:val="0078750B"/>
    <w:rPr>
      <w:b/>
      <w:bCs/>
    </w:rPr>
  </w:style>
  <w:style w:type="character" w:styleId="CommentSubjectChar" w:customStyle="1">
    <w:name w:val="Comment Subject Char"/>
    <w:basedOn w:val="CommentTextChar"/>
    <w:link w:val="CommentSubject"/>
    <w:uiPriority w:val="99"/>
    <w:semiHidden/>
    <w:rsid w:val="0078750B"/>
    <w:rPr>
      <w:b/>
      <w:bCs/>
      <w:sz w:val="20"/>
      <w:szCs w:val="20"/>
    </w:rPr>
  </w:style>
  <w:style w:type="character" w:styleId="Hyperlink">
    <w:name w:val="Hyperlink"/>
    <w:basedOn w:val="DefaultParagraphFont"/>
    <w:uiPriority w:val="99"/>
    <w:unhideWhenUsed/>
    <w:rsid w:val="00AE5B72"/>
    <w:rPr>
      <w:color w:val="467886" w:themeColor="hyperlink"/>
      <w:u w:val="single"/>
    </w:rPr>
  </w:style>
  <w:style w:type="character" w:styleId="UnresolvedMention">
    <w:name w:val="Unresolved Mention"/>
    <w:basedOn w:val="DefaultParagraphFont"/>
    <w:uiPriority w:val="99"/>
    <w:semiHidden/>
    <w:unhideWhenUsed/>
    <w:rsid w:val="00AE5B72"/>
    <w:rPr>
      <w:color w:val="605E5C"/>
      <w:shd w:val="clear" w:color="auto" w:fill="E1DFDD"/>
    </w:rPr>
  </w:style>
  <w:style w:type="paragraph" w:styleId="Revision">
    <w:name w:val="Revision"/>
    <w:hidden/>
    <w:uiPriority w:val="99"/>
    <w:semiHidden/>
    <w:rsid w:val="006E0C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129962">
      <w:bodyDiv w:val="1"/>
      <w:marLeft w:val="0"/>
      <w:marRight w:val="0"/>
      <w:marTop w:val="0"/>
      <w:marBottom w:val="0"/>
      <w:divBdr>
        <w:top w:val="none" w:sz="0" w:space="0" w:color="auto"/>
        <w:left w:val="none" w:sz="0" w:space="0" w:color="auto"/>
        <w:bottom w:val="none" w:sz="0" w:space="0" w:color="auto"/>
        <w:right w:val="none" w:sz="0" w:space="0" w:color="auto"/>
      </w:divBdr>
    </w:div>
    <w:div w:id="938677659">
      <w:bodyDiv w:val="1"/>
      <w:marLeft w:val="0"/>
      <w:marRight w:val="0"/>
      <w:marTop w:val="0"/>
      <w:marBottom w:val="0"/>
      <w:divBdr>
        <w:top w:val="none" w:sz="0" w:space="0" w:color="auto"/>
        <w:left w:val="none" w:sz="0" w:space="0" w:color="auto"/>
        <w:bottom w:val="none" w:sz="0" w:space="0" w:color="auto"/>
        <w:right w:val="none" w:sz="0" w:space="0" w:color="auto"/>
      </w:divBdr>
    </w:div>
    <w:div w:id="1031371302">
      <w:bodyDiv w:val="1"/>
      <w:marLeft w:val="0"/>
      <w:marRight w:val="0"/>
      <w:marTop w:val="0"/>
      <w:marBottom w:val="0"/>
      <w:divBdr>
        <w:top w:val="none" w:sz="0" w:space="0" w:color="auto"/>
        <w:left w:val="none" w:sz="0" w:space="0" w:color="auto"/>
        <w:bottom w:val="none" w:sz="0" w:space="0" w:color="auto"/>
        <w:right w:val="none" w:sz="0" w:space="0" w:color="auto"/>
      </w:divBdr>
    </w:div>
    <w:div w:id="1158233069">
      <w:bodyDiv w:val="1"/>
      <w:marLeft w:val="0"/>
      <w:marRight w:val="0"/>
      <w:marTop w:val="0"/>
      <w:marBottom w:val="0"/>
      <w:divBdr>
        <w:top w:val="none" w:sz="0" w:space="0" w:color="auto"/>
        <w:left w:val="none" w:sz="0" w:space="0" w:color="auto"/>
        <w:bottom w:val="none" w:sz="0" w:space="0" w:color="auto"/>
        <w:right w:val="none" w:sz="0" w:space="0" w:color="auto"/>
      </w:divBdr>
    </w:div>
    <w:div w:id="1288580884">
      <w:bodyDiv w:val="1"/>
      <w:marLeft w:val="0"/>
      <w:marRight w:val="0"/>
      <w:marTop w:val="0"/>
      <w:marBottom w:val="0"/>
      <w:divBdr>
        <w:top w:val="none" w:sz="0" w:space="0" w:color="auto"/>
        <w:left w:val="none" w:sz="0" w:space="0" w:color="auto"/>
        <w:bottom w:val="none" w:sz="0" w:space="0" w:color="auto"/>
        <w:right w:val="none" w:sz="0" w:space="0" w:color="auto"/>
      </w:divBdr>
    </w:div>
    <w:div w:id="1540506462">
      <w:bodyDiv w:val="1"/>
      <w:marLeft w:val="0"/>
      <w:marRight w:val="0"/>
      <w:marTop w:val="0"/>
      <w:marBottom w:val="0"/>
      <w:divBdr>
        <w:top w:val="none" w:sz="0" w:space="0" w:color="auto"/>
        <w:left w:val="none" w:sz="0" w:space="0" w:color="auto"/>
        <w:bottom w:val="none" w:sz="0" w:space="0" w:color="auto"/>
        <w:right w:val="none" w:sz="0" w:space="0" w:color="auto"/>
      </w:divBdr>
    </w:div>
    <w:div w:id="20489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5.xml><?xml version="1.0" encoding="utf-8"?>
<properties xmlns="http://www.imanage.com/work/xmlschema">
  <documentid>DOCS!130433466.5</documentid>
  <senderid>CW29</senderid>
  <senderemail>CHLOE.WILLIAMS@FIELDFISHER.COM</senderemail>
  <lastmodified>2025-07-10T15:54:00.0000000+01:00</lastmodified>
  <database>DOCS</database>
</properties>
</file>

<file path=customXml/itemProps1.xml><?xml version="1.0" encoding="utf-8"?>
<ds:datastoreItem xmlns:ds="http://schemas.openxmlformats.org/officeDocument/2006/customXml" ds:itemID="{E3272EE4-B5E5-4742-A9A3-B699A643F925}">
  <ds:schemaRefs>
    <ds:schemaRef ds:uri="http://schemas.microsoft.com/sharepoint/v3/contenttype/forms"/>
  </ds:schemaRefs>
</ds:datastoreItem>
</file>

<file path=customXml/itemProps2.xml><?xml version="1.0" encoding="utf-8"?>
<ds:datastoreItem xmlns:ds="http://schemas.openxmlformats.org/officeDocument/2006/customXml" ds:itemID="{CBE25D65-E25B-4D50-AB6D-575FA2581D33}"/>
</file>

<file path=customXml/itemProps3.xml><?xml version="1.0" encoding="utf-8"?>
<ds:datastoreItem xmlns:ds="http://schemas.openxmlformats.org/officeDocument/2006/customXml" ds:itemID="{25AB9601-70DF-4D1E-BC67-0EEC9D8B4B4F}">
  <ds:schemaRefs>
    <ds:schemaRef ds:uri="http://schemas.openxmlformats.org/officeDocument/2006/bibliography"/>
  </ds:schemaRefs>
</ds:datastoreItem>
</file>

<file path=customXml/itemProps4.xml><?xml version="1.0" encoding="utf-8"?>
<ds:datastoreItem xmlns:ds="http://schemas.openxmlformats.org/officeDocument/2006/customXml" ds:itemID="{469E320B-9AFC-446F-A760-9A7382D189EA}">
  <ds:schemaRefs>
    <ds:schemaRef ds:uri="http://schemas.microsoft.com/office/2006/metadata/properties"/>
    <ds:schemaRef ds:uri="http://schemas.microsoft.com/office/infopath/2007/PartnerControls"/>
    <ds:schemaRef ds:uri="638cd6c9-b19c-4b21-b72e-d41d0ffaa4aa"/>
    <ds:schemaRef ds:uri="4f271dff-b4a7-468c-aaa1-8c90a5f1edef"/>
  </ds:schemaRefs>
</ds:datastoreItem>
</file>

<file path=customXml/itemProps5.xml><?xml version="1.0" encoding="utf-8"?>
<ds:datastoreItem xmlns:ds="http://schemas.openxmlformats.org/officeDocument/2006/customXml" ds:itemID="{B4D2852E-C828-4693-B7D8-D1D26F84D330}">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Campbell</dc:creator>
  <cp:keywords/>
  <cp:lastModifiedBy>Lyn Davies</cp:lastModifiedBy>
  <cp:revision>5</cp:revision>
  <dcterms:created xsi:type="dcterms:W3CDTF">2025-07-11T06:59:00Z</dcterms:created>
  <dcterms:modified xsi:type="dcterms:W3CDTF">2025-11-06T16:02:54Z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ediaServiceImageTags">
    <vt:lpwstr/>
  </property>
  <property fmtid="{D5CDD505-2E9C-101B-9397-08002B2CF9AE}" pid="4" name="WSFooter">
    <vt:lpwstr>DOCS\130433466\5</vt:lpwstr>
  </property>
  <property fmtid="{D5CDD505-2E9C-101B-9397-08002B2CF9AE}" pid="5" name="MSIP_Label_c69d85d5-6d9e-4305-a294-1f636ec0f2d6_Enabled">
    <vt:lpwstr>true</vt:lpwstr>
  </property>
  <property fmtid="{D5CDD505-2E9C-101B-9397-08002B2CF9AE}" pid="6" name="MSIP_Label_c69d85d5-6d9e-4305-a294-1f636ec0f2d6_SetDate">
    <vt:lpwstr>2025-07-11T06:59:52Z</vt:lpwstr>
  </property>
  <property fmtid="{D5CDD505-2E9C-101B-9397-08002B2CF9AE}" pid="7" name="MSIP_Label_c69d85d5-6d9e-4305-a294-1f636ec0f2d6_Method">
    <vt:lpwstr>Standard</vt:lpwstr>
  </property>
  <property fmtid="{D5CDD505-2E9C-101B-9397-08002B2CF9AE}" pid="8" name="MSIP_Label_c69d85d5-6d9e-4305-a294-1f636ec0f2d6_Name">
    <vt:lpwstr>OFFICIAL</vt:lpwstr>
  </property>
  <property fmtid="{D5CDD505-2E9C-101B-9397-08002B2CF9AE}" pid="9" name="MSIP_Label_c69d85d5-6d9e-4305-a294-1f636ec0f2d6_SiteId">
    <vt:lpwstr>6030f479-b342-472d-a5dd-740ff7538de9</vt:lpwstr>
  </property>
  <property fmtid="{D5CDD505-2E9C-101B-9397-08002B2CF9AE}" pid="10" name="MSIP_Label_c69d85d5-6d9e-4305-a294-1f636ec0f2d6_ActionId">
    <vt:lpwstr>d5590487-9b9d-428d-ab4e-ab7b64d8d115</vt:lpwstr>
  </property>
  <property fmtid="{D5CDD505-2E9C-101B-9397-08002B2CF9AE}" pid="11" name="MSIP_Label_c69d85d5-6d9e-4305-a294-1f636ec0f2d6_ContentBits">
    <vt:lpwstr>0</vt:lpwstr>
  </property>
  <property fmtid="{D5CDD505-2E9C-101B-9397-08002B2CF9AE}" pid="12" name="MSIP_Label_c69d85d5-6d9e-4305-a294-1f636ec0f2d6_Tag">
    <vt:lpwstr>10, 3, 0, 2</vt:lpwstr>
  </property>
</Properties>
</file>