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3022B" w:rsidR="00593F3D" w:rsidP="5736E5F2" w:rsidRDefault="00593F3D" w14:paraId="1B1C7D24" w14:noSpellErr="1" w14:textId="05DFC47B">
      <w:pPr>
        <w:rPr>
          <w:rFonts w:ascii="Arial" w:hAnsi="Arial" w:cs="Arial"/>
          <w:sz w:val="20"/>
          <w:szCs w:val="20"/>
        </w:rPr>
      </w:pPr>
      <w:r w:rsidRPr="5736E5F2" w:rsidR="00593F3D">
        <w:rPr>
          <w:rFonts w:ascii="Arial" w:hAnsi="Arial" w:cs="Arial"/>
          <w:sz w:val="20"/>
          <w:szCs w:val="20"/>
        </w:rPr>
        <w:t xml:space="preserve">Sent by e-mail only: </w:t>
      </w:r>
      <w:r w:rsidRPr="5736E5F2" w:rsidR="57C22BFB">
        <w:rPr>
          <w:rFonts w:ascii="Arial" w:hAnsi="Arial" w:cs="Arial"/>
          <w:sz w:val="20"/>
          <w:szCs w:val="20"/>
          <w:highlight w:val="black"/>
        </w:rPr>
        <w:t>XXXXXXXXXXXXXXXXXXXX</w:t>
      </w:r>
    </w:p>
    <w:p w:rsidRPr="00BB16DB" w:rsidR="00BB16DB" w:rsidP="00B7582D" w:rsidRDefault="00BB16DB" w14:paraId="6FE7B91D" w14:noSpellErr="1" w14:textId="55FCE25F">
      <w:pPr>
        <w:spacing w:after="0" w:line="240" w:lineRule="auto"/>
        <w:jc w:val="both"/>
        <w:rPr>
          <w:rFonts w:ascii="Arial" w:hAnsi="Arial" w:cs="Arial"/>
          <w:sz w:val="20"/>
          <w:szCs w:val="20"/>
        </w:rPr>
      </w:pPr>
      <w:r w:rsidRPr="5736E5F2" w:rsidR="00BB16DB">
        <w:rPr>
          <w:rFonts w:ascii="Arial" w:hAnsi="Arial" w:cs="Arial"/>
          <w:sz w:val="20"/>
          <w:szCs w:val="20"/>
        </w:rPr>
        <w:t xml:space="preserve">FAO </w:t>
      </w:r>
      <w:r w:rsidRPr="5736E5F2" w:rsidR="18852413">
        <w:rPr>
          <w:rFonts w:ascii="Arial" w:hAnsi="Arial" w:cs="Arial"/>
          <w:sz w:val="20"/>
          <w:szCs w:val="20"/>
          <w:highlight w:val="black"/>
        </w:rPr>
        <w:t>XXXXXXXXXXXXXXXXXXX</w:t>
      </w:r>
    </w:p>
    <w:p w:rsidRPr="0043022B" w:rsidR="00F24B1D" w:rsidRDefault="00F24B1D" w14:paraId="799D8680" w14:textId="77777777">
      <w:pPr>
        <w:rPr>
          <w:rFonts w:ascii="Arial" w:hAnsi="Arial" w:cs="Arial"/>
          <w:sz w:val="20"/>
          <w:szCs w:val="20"/>
        </w:rPr>
      </w:pPr>
    </w:p>
    <w:p w:rsidRPr="0043022B" w:rsidR="00F24B1D" w:rsidRDefault="00F24B1D" w14:paraId="1F256B99" w14:textId="77777777">
      <w:pPr>
        <w:rPr>
          <w:rFonts w:ascii="Arial" w:hAnsi="Arial" w:cs="Arial"/>
          <w:sz w:val="20"/>
          <w:szCs w:val="20"/>
        </w:rPr>
      </w:pPr>
    </w:p>
    <w:p w:rsidRPr="0043022B" w:rsidR="00B737D4" w:rsidP="00B737D4" w:rsidRDefault="00B7582D" w14:paraId="04E6623B" w14:textId="2218D345">
      <w:pPr>
        <w:rPr>
          <w:rFonts w:ascii="Arial" w:hAnsi="Arial" w:cs="Arial"/>
          <w:sz w:val="20"/>
          <w:szCs w:val="20"/>
        </w:rPr>
      </w:pPr>
      <w:r>
        <w:rPr>
          <w:rFonts w:ascii="Arial" w:hAnsi="Arial" w:cs="Arial"/>
          <w:sz w:val="20"/>
          <w:szCs w:val="20"/>
        </w:rPr>
        <w:t>11 August 2025</w:t>
      </w:r>
    </w:p>
    <w:p w:rsidRPr="0043022B" w:rsidR="00B737D4" w:rsidP="00B737D4" w:rsidRDefault="00B737D4" w14:paraId="15532A62" w14:textId="77777777">
      <w:pPr>
        <w:rPr>
          <w:rStyle w:val="Hyperlink"/>
          <w:rFonts w:ascii="Arial" w:hAnsi="Arial" w:cs="Arial"/>
          <w:sz w:val="20"/>
          <w:szCs w:val="20"/>
        </w:rPr>
      </w:pPr>
    </w:p>
    <w:p w:rsidRPr="0043022B" w:rsidR="00F24B1D" w:rsidP="5736E5F2" w:rsidRDefault="00F24B1D" w14:paraId="47BE397A" w14:noSpellErr="1" w14:textId="1849E7BD">
      <w:pPr>
        <w:ind w:left="426" w:right="468" w:hanging="426"/>
        <w:jc w:val="both"/>
        <w:rPr>
          <w:rFonts w:ascii="Arial" w:hAnsi="Arial" w:cs="Arial"/>
          <w:noProof/>
          <w:spacing w:val="-3"/>
          <w:sz w:val="20"/>
          <w:szCs w:val="20"/>
          <w:lang w:eastAsia="en-GB"/>
        </w:rPr>
      </w:pPr>
      <w:bookmarkStart w:name="deartext" w:id="0"/>
      <w:r w:rsidRPr="5736E5F2" w:rsidR="00F24B1D">
        <w:rPr>
          <w:rFonts w:ascii="Arial" w:hAnsi="Arial" w:cs="Arial"/>
          <w:sz w:val="20"/>
          <w:szCs w:val="20"/>
        </w:rPr>
        <w:t>Dear</w:t>
      </w:r>
      <w:bookmarkEnd w:id="0"/>
      <w:r w:rsidRPr="5736E5F2" w:rsidR="00F24B1D">
        <w:rPr>
          <w:rFonts w:ascii="Arial" w:hAnsi="Arial" w:cs="Arial"/>
          <w:sz w:val="20"/>
          <w:szCs w:val="20"/>
        </w:rPr>
        <w:t xml:space="preserve"> </w:t>
      </w:r>
      <w:r w:rsidRPr="5736E5F2" w:rsidR="17794EBC">
        <w:rPr>
          <w:rFonts w:ascii="Arial" w:hAnsi="Arial" w:cs="Arial"/>
          <w:sz w:val="20"/>
          <w:szCs w:val="20"/>
          <w:highlight w:val="black"/>
        </w:rPr>
        <w:t>XXXXXXXXXXXXXXXX</w:t>
      </w:r>
      <w:bookmarkStart w:name="Sal" w:id="1"/>
      <w:bookmarkEnd w:id="1"/>
    </w:p>
    <w:p w:rsidRPr="0043022B" w:rsidR="00B7582D" w:rsidP="00B7582D" w:rsidRDefault="00B7582D" w14:paraId="0A74975A" w14:textId="77777777">
      <w:pPr>
        <w:ind w:left="426" w:right="468" w:hanging="426"/>
        <w:jc w:val="both"/>
        <w:rPr>
          <w:rFonts w:ascii="Arial" w:hAnsi="Arial" w:cs="Arial"/>
          <w:b/>
          <w:sz w:val="20"/>
          <w:szCs w:val="20"/>
        </w:rPr>
      </w:pPr>
      <w:r w:rsidRPr="0043022B">
        <w:rPr>
          <w:rFonts w:ascii="Arial" w:hAnsi="Arial" w:cs="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47B3F48E" wp14:editId="5DB9C07A">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C17BA9">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6E602950">
                <o:lock v:ext="edit" shapetype="f"/>
              </v:line>
            </w:pict>
          </mc:Fallback>
        </mc:AlternateContent>
      </w:r>
      <w:r w:rsidRPr="0043022B">
        <w:rPr>
          <w:rFonts w:ascii="Arial" w:hAnsi="Arial" w:cs="Arial"/>
          <w:b/>
          <w:spacing w:val="-3"/>
          <w:sz w:val="20"/>
          <w:szCs w:val="20"/>
        </w:rPr>
        <w:t xml:space="preserve">Re: </w:t>
      </w:r>
      <w:r w:rsidRPr="0043022B">
        <w:rPr>
          <w:rFonts w:ascii="Arial" w:hAnsi="Arial" w:cs="Arial"/>
          <w:b/>
          <w:sz w:val="20"/>
          <w:szCs w:val="20"/>
        </w:rPr>
        <w:t>Fina</w:t>
      </w:r>
      <w:r>
        <w:rPr>
          <w:rFonts w:ascii="Arial" w:hAnsi="Arial" w:cs="Arial"/>
          <w:b/>
          <w:sz w:val="20"/>
          <w:szCs w:val="20"/>
        </w:rPr>
        <w:t xml:space="preserve">l Draft Guidance for </w:t>
      </w:r>
      <w:proofErr w:type="spellStart"/>
      <w:r>
        <w:rPr>
          <w:rFonts w:ascii="Arial" w:hAnsi="Arial" w:cs="Arial"/>
          <w:b/>
          <w:sz w:val="20"/>
          <w:szCs w:val="20"/>
        </w:rPr>
        <w:t>zilucoplan</w:t>
      </w:r>
      <w:proofErr w:type="spellEnd"/>
      <w:r>
        <w:rPr>
          <w:rFonts w:ascii="Arial" w:hAnsi="Arial" w:cs="Arial"/>
          <w:b/>
          <w:sz w:val="20"/>
          <w:szCs w:val="20"/>
        </w:rPr>
        <w:t xml:space="preserve"> for treating antibody positive generalised myasthenia gravis [ID4008]</w:t>
      </w:r>
    </w:p>
    <w:p w:rsidR="00B7582D" w:rsidP="00B7582D" w:rsidRDefault="00B7582D" w14:paraId="235896A0" w14:textId="77777777">
      <w:pPr>
        <w:spacing w:before="240" w:after="240"/>
        <w:jc w:val="both"/>
        <w:rPr>
          <w:rFonts w:ascii="Arial" w:hAnsi="Arial" w:eastAsia="Times New Roman" w:cs="Arial"/>
          <w:sz w:val="20"/>
          <w:szCs w:val="20"/>
        </w:rPr>
      </w:pPr>
      <w:r w:rsidRPr="00DB178D">
        <w:rPr>
          <w:rFonts w:ascii="Arial" w:hAnsi="Arial" w:eastAsia="Times New Roman" w:cs="Arial"/>
          <w:sz w:val="20"/>
          <w:szCs w:val="20"/>
        </w:rPr>
        <w:t xml:space="preserve">Thank you for your letter of </w:t>
      </w:r>
      <w:r>
        <w:rPr>
          <w:rFonts w:ascii="Arial" w:hAnsi="Arial" w:eastAsia="Times New Roman" w:cs="Arial"/>
          <w:sz w:val="20"/>
          <w:szCs w:val="20"/>
        </w:rPr>
        <w:t>4 August 2025</w:t>
      </w:r>
      <w:r w:rsidRPr="00DB178D">
        <w:rPr>
          <w:rFonts w:ascii="Arial" w:hAnsi="Arial" w:eastAsia="Times New Roman" w:cs="Arial"/>
          <w:sz w:val="20"/>
          <w:szCs w:val="20"/>
        </w:rPr>
        <w:t xml:space="preserve"> responding to my initial scrutiny views.  This is my final decision on initial scrutiny </w:t>
      </w:r>
    </w:p>
    <w:p w:rsidRPr="00DB178D" w:rsidR="00DB178D" w:rsidP="00B7582D" w:rsidRDefault="00DB178D" w14:paraId="55B1D5E2" w14:textId="605B22F2">
      <w:pPr>
        <w:spacing w:before="240" w:after="240"/>
        <w:jc w:val="both"/>
        <w:rPr>
          <w:rFonts w:ascii="Arial" w:hAnsi="Arial" w:eastAsia="Times New Roman" w:cs="Arial"/>
          <w:sz w:val="20"/>
          <w:szCs w:val="20"/>
        </w:rPr>
      </w:pPr>
      <w:r w:rsidRPr="00DB178D">
        <w:rPr>
          <w:rFonts w:ascii="Arial" w:hAnsi="Arial" w:eastAsia="Times New Roman" w:cs="Arial"/>
          <w:sz w:val="20"/>
          <w:szCs w:val="20"/>
        </w:rPr>
        <w:t xml:space="preserve">I </w:t>
      </w:r>
      <w:r w:rsidR="00BB16DB">
        <w:rPr>
          <w:rFonts w:ascii="Arial" w:hAnsi="Arial" w:eastAsia="Times New Roman" w:cs="Arial"/>
          <w:sz w:val="20"/>
          <w:szCs w:val="20"/>
        </w:rPr>
        <w:t>assess each of your points in turn.</w:t>
      </w:r>
    </w:p>
    <w:p w:rsidRPr="00B7582D" w:rsidR="00DB178D" w:rsidP="00DB178D" w:rsidRDefault="00DB178D" w14:paraId="4710A553" w14:textId="308FE8CA">
      <w:pPr>
        <w:pStyle w:val="Paragraph"/>
        <w:numPr>
          <w:ilvl w:val="0"/>
          <w:numId w:val="0"/>
        </w:numPr>
        <w:spacing w:before="120"/>
        <w:jc w:val="both"/>
        <w:rPr>
          <w:rFonts w:cs="Arial"/>
          <w:b/>
          <w:i/>
          <w:sz w:val="20"/>
          <w:szCs w:val="20"/>
        </w:rPr>
      </w:pPr>
      <w:r w:rsidRPr="00B7582D">
        <w:rPr>
          <w:rFonts w:cs="Arial"/>
          <w:b/>
          <w:i/>
          <w:sz w:val="20"/>
          <w:szCs w:val="20"/>
        </w:rPr>
        <w:t>Ground 2:</w:t>
      </w:r>
      <w:r w:rsidRPr="00B7582D">
        <w:rPr>
          <w:rFonts w:cs="Arial"/>
          <w:i/>
          <w:sz w:val="20"/>
          <w:szCs w:val="20"/>
        </w:rPr>
        <w:t xml:space="preserve"> </w:t>
      </w:r>
      <w:r w:rsidRPr="00B7582D">
        <w:rPr>
          <w:rFonts w:cs="Arial"/>
          <w:b/>
          <w:i/>
          <w:sz w:val="20"/>
          <w:szCs w:val="20"/>
        </w:rPr>
        <w:t>the recommendation is unreasonable in the light of the evidence submitted to NICE</w:t>
      </w:r>
    </w:p>
    <w:p w:rsidRPr="00B7582D" w:rsidR="00B7582D" w:rsidP="00B7582D" w:rsidRDefault="00B7582D" w14:paraId="493C38BE" w14:textId="77777777">
      <w:pPr>
        <w:spacing w:after="0"/>
        <w:contextualSpacing/>
        <w:jc w:val="both"/>
        <w:rPr>
          <w:rFonts w:ascii="Arial" w:hAnsi="Arial" w:cs="Arial"/>
          <w:b/>
          <w:bCs/>
          <w:color w:val="000000" w:themeColor="text1"/>
          <w:sz w:val="20"/>
          <w:szCs w:val="20"/>
        </w:rPr>
      </w:pPr>
      <w:r w:rsidRPr="00B7582D">
        <w:rPr>
          <w:rFonts w:ascii="Arial" w:hAnsi="Arial" w:cs="Arial"/>
          <w:b/>
          <w:color w:val="000000" w:themeColor="text1"/>
          <w:sz w:val="20"/>
          <w:szCs w:val="20"/>
          <w:u w:val="single"/>
        </w:rPr>
        <w:t xml:space="preserve">Appeal </w:t>
      </w:r>
      <w:proofErr w:type="gramStart"/>
      <w:r w:rsidRPr="00B7582D">
        <w:rPr>
          <w:rFonts w:ascii="Arial" w:hAnsi="Arial" w:cs="Arial"/>
          <w:b/>
          <w:color w:val="000000" w:themeColor="text1"/>
          <w:sz w:val="20"/>
          <w:szCs w:val="20"/>
          <w:u w:val="single"/>
        </w:rPr>
        <w:t>point</w:t>
      </w:r>
      <w:proofErr w:type="gramEnd"/>
      <w:r w:rsidRPr="00B7582D">
        <w:rPr>
          <w:rFonts w:ascii="Arial" w:hAnsi="Arial" w:cs="Arial"/>
          <w:b/>
          <w:color w:val="000000" w:themeColor="text1"/>
          <w:sz w:val="20"/>
          <w:szCs w:val="20"/>
          <w:u w:val="single"/>
        </w:rPr>
        <w:t xml:space="preserve"> 2.1: </w:t>
      </w:r>
      <w:r w:rsidRPr="00B7582D">
        <w:rPr>
          <w:rFonts w:ascii="Arial" w:hAnsi="Arial" w:cs="Arial"/>
          <w:b/>
          <w:bCs/>
          <w:color w:val="000000" w:themeColor="text1"/>
          <w:sz w:val="20"/>
          <w:szCs w:val="20"/>
        </w:rPr>
        <w:t>NICE’s conclusion that the appropriate comparator is a ‘basket’ of standard care, with some people having IVIg, some having PLEX, and some having neither, is unreasonable.</w:t>
      </w:r>
    </w:p>
    <w:p w:rsidRPr="00B7582D" w:rsidR="00B7582D" w:rsidP="00B7582D" w:rsidRDefault="00B7582D" w14:paraId="2659A53F" w14:textId="77777777">
      <w:pPr>
        <w:spacing w:after="0"/>
        <w:contextualSpacing/>
        <w:jc w:val="both"/>
        <w:rPr>
          <w:rFonts w:ascii="Arial" w:hAnsi="Arial" w:cs="Arial"/>
          <w:b/>
          <w:bCs/>
          <w:color w:val="000000" w:themeColor="text1"/>
          <w:sz w:val="20"/>
          <w:szCs w:val="20"/>
        </w:rPr>
      </w:pPr>
    </w:p>
    <w:p w:rsidRPr="00B7582D" w:rsidR="00B7582D" w:rsidP="00B7582D" w:rsidRDefault="00B7582D" w14:paraId="58251BA8" w14:textId="59509D1E">
      <w:pPr>
        <w:spacing w:after="0"/>
        <w:contextualSpacing/>
        <w:jc w:val="both"/>
        <w:rPr>
          <w:rFonts w:ascii="Arial" w:hAnsi="Arial" w:cs="Arial"/>
          <w:color w:val="000000" w:themeColor="text1"/>
          <w:sz w:val="20"/>
          <w:szCs w:val="20"/>
        </w:rPr>
      </w:pPr>
      <w:r w:rsidRPr="00B7582D">
        <w:rPr>
          <w:rFonts w:ascii="Arial" w:hAnsi="Arial" w:cs="Arial"/>
          <w:color w:val="000000" w:themeColor="text1"/>
          <w:sz w:val="20"/>
          <w:szCs w:val="20"/>
        </w:rPr>
        <w:t xml:space="preserve">I </w:t>
      </w:r>
      <w:r>
        <w:rPr>
          <w:rFonts w:ascii="Arial" w:hAnsi="Arial" w:cs="Arial"/>
          <w:color w:val="000000" w:themeColor="text1"/>
          <w:sz w:val="20"/>
          <w:szCs w:val="20"/>
        </w:rPr>
        <w:t>confirm my decision</w:t>
      </w:r>
      <w:r w:rsidRPr="00B7582D">
        <w:rPr>
          <w:rFonts w:ascii="Arial" w:hAnsi="Arial" w:cs="Arial"/>
          <w:color w:val="000000" w:themeColor="text1"/>
          <w:sz w:val="20"/>
          <w:szCs w:val="20"/>
        </w:rPr>
        <w:t xml:space="preserve"> to refer this appeal point to the Appeal Panel.  </w:t>
      </w:r>
    </w:p>
    <w:p w:rsidRPr="00B7582D" w:rsidR="00B7582D" w:rsidP="00B7582D" w:rsidRDefault="00B7582D" w14:paraId="22A2D799" w14:textId="77777777">
      <w:pPr>
        <w:pStyle w:val="Paragraph"/>
        <w:numPr>
          <w:ilvl w:val="0"/>
          <w:numId w:val="0"/>
        </w:numPr>
        <w:jc w:val="both"/>
        <w:rPr>
          <w:rFonts w:cs="Arial"/>
          <w:b/>
          <w:sz w:val="20"/>
          <w:szCs w:val="20"/>
          <w:u w:val="single"/>
        </w:rPr>
      </w:pPr>
      <w:r w:rsidRPr="00B7582D">
        <w:rPr>
          <w:rFonts w:cs="Arial"/>
          <w:b/>
          <w:sz w:val="20"/>
          <w:szCs w:val="20"/>
          <w:u w:val="single"/>
        </w:rPr>
        <w:t xml:space="preserve">Appeal </w:t>
      </w:r>
      <w:proofErr w:type="gramStart"/>
      <w:r w:rsidRPr="00B7582D">
        <w:rPr>
          <w:rFonts w:cs="Arial"/>
          <w:b/>
          <w:sz w:val="20"/>
          <w:szCs w:val="20"/>
          <w:u w:val="single"/>
        </w:rPr>
        <w:t>point</w:t>
      </w:r>
      <w:proofErr w:type="gramEnd"/>
      <w:r w:rsidRPr="00B7582D">
        <w:rPr>
          <w:rFonts w:cs="Arial"/>
          <w:b/>
          <w:sz w:val="20"/>
          <w:szCs w:val="20"/>
          <w:u w:val="single"/>
        </w:rPr>
        <w:t xml:space="preserve"> 2.2: </w:t>
      </w:r>
      <w:r w:rsidRPr="00B7582D">
        <w:rPr>
          <w:rFonts w:cs="Arial"/>
          <w:b/>
          <w:bCs/>
          <w:sz w:val="20"/>
          <w:szCs w:val="20"/>
          <w:u w:val="single"/>
        </w:rPr>
        <w:t>NICE’s conclusion that the overall EAMS cohort (n=48) was appropriate to inform the proportion of people on treatment in the ‘basket’ of standard care is unreasonable</w:t>
      </w:r>
    </w:p>
    <w:p w:rsidRPr="00B7582D" w:rsidR="00B7582D" w:rsidP="00B7582D" w:rsidRDefault="00B7582D" w14:paraId="667A7403" w14:textId="77777777">
      <w:pPr>
        <w:spacing w:after="0"/>
        <w:contextualSpacing/>
        <w:jc w:val="both"/>
        <w:rPr>
          <w:rFonts w:ascii="Arial" w:hAnsi="Arial" w:cs="Arial"/>
          <w:color w:val="000000" w:themeColor="text1"/>
          <w:sz w:val="20"/>
          <w:szCs w:val="20"/>
        </w:rPr>
      </w:pPr>
      <w:r w:rsidRPr="00B7582D">
        <w:rPr>
          <w:rFonts w:ascii="Arial" w:hAnsi="Arial" w:cs="Arial"/>
          <w:color w:val="000000" w:themeColor="text1"/>
          <w:sz w:val="20"/>
          <w:szCs w:val="20"/>
        </w:rPr>
        <w:t xml:space="preserve">I </w:t>
      </w:r>
      <w:r>
        <w:rPr>
          <w:rFonts w:ascii="Arial" w:hAnsi="Arial" w:cs="Arial"/>
          <w:color w:val="000000" w:themeColor="text1"/>
          <w:sz w:val="20"/>
          <w:szCs w:val="20"/>
        </w:rPr>
        <w:t>confirm my decision</w:t>
      </w:r>
      <w:r w:rsidRPr="00B7582D">
        <w:rPr>
          <w:rFonts w:ascii="Arial" w:hAnsi="Arial" w:cs="Arial"/>
          <w:color w:val="000000" w:themeColor="text1"/>
          <w:sz w:val="20"/>
          <w:szCs w:val="20"/>
        </w:rPr>
        <w:t xml:space="preserve"> to refer this appeal point to the Appeal Panel.  </w:t>
      </w:r>
    </w:p>
    <w:p w:rsidRPr="00B7582D" w:rsidR="00B7582D" w:rsidP="00B7582D" w:rsidRDefault="00B7582D" w14:paraId="14489F74" w14:textId="77777777">
      <w:pPr>
        <w:pStyle w:val="Paragraph"/>
        <w:numPr>
          <w:ilvl w:val="0"/>
          <w:numId w:val="0"/>
        </w:numPr>
        <w:jc w:val="both"/>
        <w:rPr>
          <w:rFonts w:cs="Arial"/>
          <w:b/>
          <w:sz w:val="20"/>
          <w:szCs w:val="20"/>
          <w:u w:val="single"/>
        </w:rPr>
      </w:pPr>
      <w:r w:rsidRPr="00B7582D">
        <w:rPr>
          <w:rFonts w:cs="Arial"/>
          <w:b/>
          <w:sz w:val="20"/>
          <w:szCs w:val="20"/>
          <w:u w:val="single"/>
        </w:rPr>
        <w:t xml:space="preserve">Appeal </w:t>
      </w:r>
      <w:proofErr w:type="gramStart"/>
      <w:r w:rsidRPr="00B7582D">
        <w:rPr>
          <w:rFonts w:cs="Arial"/>
          <w:b/>
          <w:sz w:val="20"/>
          <w:szCs w:val="20"/>
          <w:u w:val="single"/>
        </w:rPr>
        <w:t>point</w:t>
      </w:r>
      <w:proofErr w:type="gramEnd"/>
      <w:r w:rsidRPr="00B7582D">
        <w:rPr>
          <w:rFonts w:cs="Arial"/>
          <w:b/>
          <w:sz w:val="20"/>
          <w:szCs w:val="20"/>
          <w:u w:val="single"/>
        </w:rPr>
        <w:t xml:space="preserve"> 2.3: NICE’s conclusion that Minimal Symptom Expression (“MSE”) should be removed from the model is unreasonable</w:t>
      </w:r>
      <w:r w:rsidRPr="00B7582D">
        <w:rPr>
          <w:rFonts w:cs="Arial"/>
          <w:sz w:val="20"/>
          <w:szCs w:val="20"/>
        </w:rPr>
        <w:t xml:space="preserve">. </w:t>
      </w:r>
    </w:p>
    <w:p w:rsidRPr="00B7582D" w:rsidR="00B7582D" w:rsidP="00B7582D" w:rsidRDefault="00B7582D" w14:paraId="02C1932D" w14:textId="77777777">
      <w:pPr>
        <w:spacing w:after="0"/>
        <w:contextualSpacing/>
        <w:jc w:val="both"/>
        <w:rPr>
          <w:rFonts w:ascii="Arial" w:hAnsi="Arial" w:cs="Arial"/>
          <w:color w:val="000000" w:themeColor="text1"/>
          <w:sz w:val="20"/>
          <w:szCs w:val="20"/>
        </w:rPr>
      </w:pPr>
      <w:r w:rsidRPr="00B7582D">
        <w:rPr>
          <w:rFonts w:ascii="Arial" w:hAnsi="Arial" w:cs="Arial"/>
          <w:color w:val="000000" w:themeColor="text1"/>
          <w:sz w:val="20"/>
          <w:szCs w:val="20"/>
        </w:rPr>
        <w:t xml:space="preserve">I </w:t>
      </w:r>
      <w:r>
        <w:rPr>
          <w:rFonts w:ascii="Arial" w:hAnsi="Arial" w:cs="Arial"/>
          <w:color w:val="000000" w:themeColor="text1"/>
          <w:sz w:val="20"/>
          <w:szCs w:val="20"/>
        </w:rPr>
        <w:t>confirm my decision</w:t>
      </w:r>
      <w:r w:rsidRPr="00B7582D">
        <w:rPr>
          <w:rFonts w:ascii="Arial" w:hAnsi="Arial" w:cs="Arial"/>
          <w:color w:val="000000" w:themeColor="text1"/>
          <w:sz w:val="20"/>
          <w:szCs w:val="20"/>
        </w:rPr>
        <w:t xml:space="preserve"> to refer this appeal point to the Appeal Panel.  </w:t>
      </w:r>
    </w:p>
    <w:p w:rsidRPr="00B7582D" w:rsidR="00B7582D" w:rsidP="00B7582D" w:rsidRDefault="00B7582D" w14:paraId="1724FC3F" w14:textId="77777777">
      <w:pPr>
        <w:pStyle w:val="Paragraph"/>
        <w:numPr>
          <w:ilvl w:val="0"/>
          <w:numId w:val="0"/>
        </w:numPr>
        <w:jc w:val="both"/>
        <w:rPr>
          <w:rFonts w:cs="Arial"/>
          <w:b/>
          <w:bCs/>
          <w:sz w:val="20"/>
          <w:szCs w:val="20"/>
          <w:u w:val="single"/>
        </w:rPr>
      </w:pPr>
      <w:r w:rsidRPr="00B7582D">
        <w:rPr>
          <w:rFonts w:cs="Arial"/>
          <w:b/>
          <w:sz w:val="20"/>
          <w:szCs w:val="20"/>
          <w:u w:val="single"/>
        </w:rPr>
        <w:t xml:space="preserve">Appeal </w:t>
      </w:r>
      <w:proofErr w:type="gramStart"/>
      <w:r w:rsidRPr="00B7582D">
        <w:rPr>
          <w:rFonts w:cs="Arial"/>
          <w:b/>
          <w:sz w:val="20"/>
          <w:szCs w:val="20"/>
          <w:u w:val="single"/>
        </w:rPr>
        <w:t>point</w:t>
      </w:r>
      <w:proofErr w:type="gramEnd"/>
      <w:r w:rsidRPr="00B7582D">
        <w:rPr>
          <w:rFonts w:cs="Arial"/>
          <w:b/>
          <w:sz w:val="20"/>
          <w:szCs w:val="20"/>
          <w:u w:val="single"/>
        </w:rPr>
        <w:t xml:space="preserve"> 2.4: </w:t>
      </w:r>
      <w:r w:rsidRPr="00B7582D">
        <w:rPr>
          <w:rFonts w:cs="Arial"/>
          <w:b/>
          <w:bCs/>
          <w:sz w:val="20"/>
          <w:szCs w:val="20"/>
          <w:u w:val="single"/>
        </w:rPr>
        <w:t xml:space="preserve">NICE’s conclusions in relation to subsequent treatment distributions in the </w:t>
      </w:r>
      <w:proofErr w:type="spellStart"/>
      <w:r w:rsidRPr="00B7582D">
        <w:rPr>
          <w:rFonts w:cs="Arial"/>
          <w:b/>
          <w:bCs/>
          <w:sz w:val="20"/>
          <w:szCs w:val="20"/>
          <w:u w:val="single"/>
        </w:rPr>
        <w:t>Zilucoplan</w:t>
      </w:r>
      <w:proofErr w:type="spellEnd"/>
      <w:r w:rsidRPr="00B7582D">
        <w:rPr>
          <w:rFonts w:cs="Arial"/>
          <w:b/>
          <w:bCs/>
          <w:sz w:val="20"/>
          <w:szCs w:val="20"/>
          <w:u w:val="single"/>
        </w:rPr>
        <w:t xml:space="preserve"> arm and comparator arm of the model are opaque but appear to be irrational </w:t>
      </w:r>
    </w:p>
    <w:p w:rsidRPr="00B7582D" w:rsidR="00B7582D" w:rsidP="00B7582D" w:rsidRDefault="00B7582D" w14:paraId="5737D108" w14:textId="77777777">
      <w:pPr>
        <w:spacing w:after="0"/>
        <w:contextualSpacing/>
        <w:jc w:val="both"/>
        <w:rPr>
          <w:rFonts w:ascii="Arial" w:hAnsi="Arial" w:cs="Arial"/>
          <w:color w:val="000000" w:themeColor="text1"/>
          <w:sz w:val="20"/>
          <w:szCs w:val="20"/>
        </w:rPr>
      </w:pPr>
      <w:r w:rsidRPr="00B7582D">
        <w:rPr>
          <w:rFonts w:ascii="Arial" w:hAnsi="Arial" w:cs="Arial"/>
          <w:color w:val="000000" w:themeColor="text1"/>
          <w:sz w:val="20"/>
          <w:szCs w:val="20"/>
        </w:rPr>
        <w:t xml:space="preserve">I </w:t>
      </w:r>
      <w:r>
        <w:rPr>
          <w:rFonts w:ascii="Arial" w:hAnsi="Arial" w:cs="Arial"/>
          <w:color w:val="000000" w:themeColor="text1"/>
          <w:sz w:val="20"/>
          <w:szCs w:val="20"/>
        </w:rPr>
        <w:t>confirm my decision</w:t>
      </w:r>
      <w:r w:rsidRPr="00B7582D">
        <w:rPr>
          <w:rFonts w:ascii="Arial" w:hAnsi="Arial" w:cs="Arial"/>
          <w:color w:val="000000" w:themeColor="text1"/>
          <w:sz w:val="20"/>
          <w:szCs w:val="20"/>
        </w:rPr>
        <w:t xml:space="preserve"> to refer this appeal point to the Appeal Panel.  </w:t>
      </w:r>
    </w:p>
    <w:p w:rsidRPr="00B7582D" w:rsidR="00B7582D" w:rsidP="00B7582D" w:rsidRDefault="00B7582D" w14:paraId="3B375E93" w14:textId="77777777">
      <w:pPr>
        <w:pStyle w:val="Paragraph"/>
        <w:numPr>
          <w:ilvl w:val="0"/>
          <w:numId w:val="0"/>
        </w:numPr>
        <w:jc w:val="both"/>
        <w:rPr>
          <w:rFonts w:cs="Arial"/>
          <w:b/>
          <w:sz w:val="20"/>
          <w:szCs w:val="20"/>
          <w:u w:val="single"/>
        </w:rPr>
      </w:pPr>
      <w:r w:rsidRPr="00B7582D">
        <w:rPr>
          <w:rFonts w:cs="Arial"/>
          <w:b/>
          <w:sz w:val="20"/>
          <w:szCs w:val="20"/>
          <w:u w:val="single"/>
        </w:rPr>
        <w:t xml:space="preserve">Appeal </w:t>
      </w:r>
      <w:proofErr w:type="gramStart"/>
      <w:r w:rsidRPr="00B7582D">
        <w:rPr>
          <w:rFonts w:cs="Arial"/>
          <w:b/>
          <w:sz w:val="20"/>
          <w:szCs w:val="20"/>
          <w:u w:val="single"/>
        </w:rPr>
        <w:t>point</w:t>
      </w:r>
      <w:proofErr w:type="gramEnd"/>
      <w:r w:rsidRPr="00B7582D">
        <w:rPr>
          <w:rFonts w:cs="Arial"/>
          <w:b/>
          <w:sz w:val="20"/>
          <w:szCs w:val="20"/>
          <w:u w:val="single"/>
        </w:rPr>
        <w:t xml:space="preserve"> 2.5: </w:t>
      </w:r>
      <w:r w:rsidRPr="00B7582D">
        <w:rPr>
          <w:rFonts w:cs="Arial"/>
          <w:b/>
          <w:bCs/>
          <w:sz w:val="20"/>
          <w:szCs w:val="20"/>
          <w:u w:val="single"/>
        </w:rPr>
        <w:t>NICE’s conclusion that it would consider the utility decrement associated with corticosteroid use qualitatively in its decision making is irrational</w:t>
      </w:r>
    </w:p>
    <w:p w:rsidRPr="00B7582D" w:rsidR="00B7582D" w:rsidP="00B7582D" w:rsidRDefault="00B7582D" w14:paraId="3FE955B6" w14:textId="39380C8C">
      <w:pPr>
        <w:pStyle w:val="BodyText"/>
        <w:jc w:val="both"/>
        <w:rPr>
          <w:rFonts w:cs="Arial"/>
          <w:color w:val="auto"/>
        </w:rPr>
      </w:pPr>
      <w:r>
        <w:rPr>
          <w:rFonts w:cs="Arial"/>
          <w:color w:val="auto"/>
        </w:rPr>
        <w:t>I remain of the view that i</w:t>
      </w:r>
      <w:r w:rsidRPr="00B7582D">
        <w:rPr>
          <w:rFonts w:cs="Arial"/>
          <w:color w:val="auto"/>
        </w:rPr>
        <w:t xml:space="preserve">n the absence of any robust evidence that would have enabled the Committee to quantitatively account for utility decrement associated with corticosteroid use (over and above that already captured in the EQ-5D responses), I consider the Committee's conclusion to exclude this from </w:t>
      </w:r>
      <w:r w:rsidRPr="00B7582D">
        <w:rPr>
          <w:rFonts w:cs="Arial"/>
          <w:color w:val="auto"/>
        </w:rPr>
        <w:t xml:space="preserve">the economic model is not arguably unreasonable. </w:t>
      </w:r>
      <w:r>
        <w:rPr>
          <w:rFonts w:cs="Arial"/>
          <w:color w:val="auto"/>
        </w:rPr>
        <w:t xml:space="preserve">As a result, I confirm my decision not to refer this appeal point to the Appeal Panel. </w:t>
      </w:r>
    </w:p>
    <w:p w:rsidRPr="00B7582D" w:rsidR="00B7582D" w:rsidP="00B7582D" w:rsidRDefault="00B7582D" w14:paraId="7589F8B6" w14:textId="77777777">
      <w:pPr>
        <w:pStyle w:val="Paragraph"/>
        <w:numPr>
          <w:ilvl w:val="0"/>
          <w:numId w:val="0"/>
        </w:numPr>
        <w:jc w:val="both"/>
        <w:rPr>
          <w:rFonts w:cs="Arial"/>
          <w:b/>
          <w:sz w:val="20"/>
          <w:szCs w:val="20"/>
          <w:u w:val="single"/>
        </w:rPr>
      </w:pPr>
      <w:r w:rsidRPr="00B7582D">
        <w:rPr>
          <w:rFonts w:cs="Arial"/>
          <w:b/>
          <w:sz w:val="20"/>
          <w:szCs w:val="20"/>
          <w:u w:val="single"/>
        </w:rPr>
        <w:t xml:space="preserve">Appeal </w:t>
      </w:r>
      <w:proofErr w:type="gramStart"/>
      <w:r w:rsidRPr="00B7582D">
        <w:rPr>
          <w:rFonts w:cs="Arial"/>
          <w:b/>
          <w:sz w:val="20"/>
          <w:szCs w:val="20"/>
          <w:u w:val="single"/>
        </w:rPr>
        <w:t>point</w:t>
      </w:r>
      <w:proofErr w:type="gramEnd"/>
      <w:r w:rsidRPr="00B7582D">
        <w:rPr>
          <w:rFonts w:cs="Arial"/>
          <w:b/>
          <w:sz w:val="20"/>
          <w:szCs w:val="20"/>
          <w:u w:val="single"/>
        </w:rPr>
        <w:t xml:space="preserve"> 2.6: </w:t>
      </w:r>
      <w:r w:rsidRPr="00B7582D">
        <w:rPr>
          <w:rFonts w:cs="Arial"/>
          <w:b/>
          <w:bCs/>
          <w:sz w:val="20"/>
          <w:szCs w:val="20"/>
          <w:u w:val="single"/>
        </w:rPr>
        <w:t xml:space="preserve">NICE’s conclusion that it would consider the impact of </w:t>
      </w:r>
      <w:proofErr w:type="spellStart"/>
      <w:r w:rsidRPr="00B7582D">
        <w:rPr>
          <w:rFonts w:cs="Arial"/>
          <w:b/>
          <w:bCs/>
          <w:sz w:val="20"/>
          <w:szCs w:val="20"/>
          <w:u w:val="single"/>
        </w:rPr>
        <w:t>Zilucoplan</w:t>
      </w:r>
      <w:proofErr w:type="spellEnd"/>
      <w:r w:rsidRPr="00B7582D">
        <w:rPr>
          <w:rFonts w:cs="Arial"/>
          <w:b/>
          <w:bCs/>
          <w:sz w:val="20"/>
          <w:szCs w:val="20"/>
          <w:u w:val="single"/>
        </w:rPr>
        <w:t xml:space="preserve"> on carers qualitatively in its decision making is irrational</w:t>
      </w:r>
    </w:p>
    <w:p w:rsidRPr="00B7582D" w:rsidR="00B7582D" w:rsidP="00B7582D" w:rsidRDefault="00B7582D" w14:paraId="1F6DAE44" w14:textId="29242127">
      <w:pPr>
        <w:pStyle w:val="BodyText"/>
        <w:jc w:val="both"/>
        <w:rPr>
          <w:rFonts w:cs="Arial"/>
          <w:color w:val="auto"/>
        </w:rPr>
      </w:pPr>
      <w:r>
        <w:rPr>
          <w:rFonts w:cs="Arial"/>
          <w:color w:val="auto"/>
        </w:rPr>
        <w:t>Having considered your additional explanation in response to my views on initial scrutiny, I remain persuaded by</w:t>
      </w:r>
      <w:r w:rsidRPr="00B7582D">
        <w:rPr>
          <w:rFonts w:cs="Arial"/>
          <w:color w:val="auto"/>
        </w:rPr>
        <w:t xml:space="preserve"> paragraph 3.22 of the FDG</w:t>
      </w:r>
      <w:r>
        <w:rPr>
          <w:rFonts w:cs="Arial"/>
          <w:color w:val="auto"/>
        </w:rPr>
        <w:t xml:space="preserve">. The </w:t>
      </w:r>
      <w:r w:rsidRPr="00B7582D">
        <w:rPr>
          <w:rFonts w:cs="Arial"/>
          <w:color w:val="auto"/>
        </w:rPr>
        <w:t>Committee agree</w:t>
      </w:r>
      <w:r>
        <w:rPr>
          <w:rFonts w:cs="Arial"/>
          <w:color w:val="auto"/>
        </w:rPr>
        <w:t>d</w:t>
      </w:r>
      <w:r w:rsidRPr="00B7582D">
        <w:rPr>
          <w:rFonts w:cs="Arial"/>
          <w:color w:val="auto"/>
        </w:rPr>
        <w:t xml:space="preserve"> with the EAG's position that it had not seen evidence that multiple sclerosis is a suitable proxy for </w:t>
      </w:r>
      <w:proofErr w:type="spellStart"/>
      <w:r w:rsidRPr="00B7582D">
        <w:rPr>
          <w:rFonts w:cs="Arial"/>
          <w:color w:val="auto"/>
        </w:rPr>
        <w:t>gMG</w:t>
      </w:r>
      <w:proofErr w:type="spellEnd"/>
      <w:r w:rsidRPr="00B7582D">
        <w:rPr>
          <w:rFonts w:cs="Arial"/>
          <w:color w:val="auto"/>
        </w:rPr>
        <w:t xml:space="preserve">, and so (in line with the appraisal for efgartigimod for treating </w:t>
      </w:r>
      <w:proofErr w:type="spellStart"/>
      <w:r w:rsidRPr="00B7582D">
        <w:rPr>
          <w:rFonts w:cs="Arial"/>
          <w:color w:val="auto"/>
        </w:rPr>
        <w:t>gMG</w:t>
      </w:r>
      <w:proofErr w:type="spellEnd"/>
      <w:r w:rsidRPr="00B7582D">
        <w:rPr>
          <w:rFonts w:cs="Arial"/>
          <w:color w:val="auto"/>
        </w:rPr>
        <w:t xml:space="preserve">) concluded that carer utility decrements should be excluded from the economic model. As a </w:t>
      </w:r>
      <w:proofErr w:type="gramStart"/>
      <w:r w:rsidRPr="00B7582D">
        <w:rPr>
          <w:rFonts w:cs="Arial"/>
          <w:color w:val="auto"/>
        </w:rPr>
        <w:t>result</w:t>
      </w:r>
      <w:proofErr w:type="gramEnd"/>
      <w:r w:rsidRPr="00B7582D">
        <w:rPr>
          <w:rFonts w:cs="Arial"/>
          <w:color w:val="auto"/>
        </w:rPr>
        <w:t xml:space="preserve"> the Committee </w:t>
      </w:r>
      <w:proofErr w:type="gramStart"/>
      <w:r w:rsidRPr="00B7582D">
        <w:rPr>
          <w:rFonts w:cs="Arial"/>
          <w:color w:val="auto"/>
        </w:rPr>
        <w:t>took into account</w:t>
      </w:r>
      <w:proofErr w:type="gramEnd"/>
      <w:r w:rsidRPr="00B7582D">
        <w:rPr>
          <w:rFonts w:cs="Arial"/>
          <w:color w:val="auto"/>
        </w:rPr>
        <w:t xml:space="preserve"> the impact of </w:t>
      </w:r>
      <w:proofErr w:type="spellStart"/>
      <w:r w:rsidRPr="00B7582D">
        <w:rPr>
          <w:rFonts w:cs="Arial"/>
          <w:color w:val="auto"/>
        </w:rPr>
        <w:t>zilucoplan</w:t>
      </w:r>
      <w:proofErr w:type="spellEnd"/>
      <w:r w:rsidRPr="00B7582D">
        <w:rPr>
          <w:rFonts w:cs="Arial"/>
          <w:color w:val="auto"/>
        </w:rPr>
        <w:t xml:space="preserve"> on carers qualitatively in its decision making. </w:t>
      </w:r>
    </w:p>
    <w:p w:rsidRPr="00B7582D" w:rsidR="00B7582D" w:rsidP="00B7582D" w:rsidRDefault="00B7582D" w14:paraId="4DC33215" w14:textId="2EF6D43B">
      <w:pPr>
        <w:pStyle w:val="BodyText"/>
        <w:jc w:val="both"/>
        <w:rPr>
          <w:rFonts w:cs="Arial"/>
          <w:color w:val="auto"/>
        </w:rPr>
      </w:pPr>
      <w:r w:rsidRPr="00B7582D">
        <w:rPr>
          <w:rFonts w:cs="Arial"/>
          <w:color w:val="auto"/>
        </w:rPr>
        <w:t xml:space="preserve">I consider that the Committee's conclusion was reached in accordance with the provisions of the manual, absent evidence to show that the technology affects carers, and was not arguably unreasonable. Consequently, I </w:t>
      </w:r>
      <w:r>
        <w:rPr>
          <w:rFonts w:cs="Arial"/>
          <w:color w:val="auto"/>
        </w:rPr>
        <w:t xml:space="preserve">confirm my decision </w:t>
      </w:r>
      <w:r w:rsidRPr="00B7582D">
        <w:rPr>
          <w:rFonts w:cs="Arial"/>
          <w:color w:val="auto"/>
        </w:rPr>
        <w:t xml:space="preserve">not minded </w:t>
      </w:r>
      <w:proofErr w:type="gramStart"/>
      <w:r w:rsidRPr="00B7582D">
        <w:rPr>
          <w:rFonts w:cs="Arial"/>
          <w:color w:val="auto"/>
        </w:rPr>
        <w:t>to refer</w:t>
      </w:r>
      <w:proofErr w:type="gramEnd"/>
      <w:r w:rsidRPr="00B7582D">
        <w:rPr>
          <w:rFonts w:cs="Arial"/>
          <w:color w:val="auto"/>
        </w:rPr>
        <w:t xml:space="preserve"> this appeal point to the Appeal Panel. </w:t>
      </w:r>
    </w:p>
    <w:p w:rsidRPr="00771051" w:rsidR="005A7A7D" w:rsidP="005A7A7D" w:rsidRDefault="005A7A7D" w14:paraId="2AADAF28" w14:textId="77777777">
      <w:pPr>
        <w:spacing w:before="120" w:after="240"/>
        <w:jc w:val="both"/>
        <w:rPr>
          <w:rFonts w:ascii="Arial" w:hAnsi="Arial" w:eastAsia="Times New Roman" w:cs="Arial"/>
          <w:sz w:val="20"/>
          <w:szCs w:val="20"/>
          <w:u w:val="single"/>
        </w:rPr>
      </w:pPr>
      <w:r w:rsidRPr="00771051">
        <w:rPr>
          <w:rFonts w:ascii="Arial" w:hAnsi="Arial" w:eastAsia="Times New Roman" w:cs="Arial"/>
          <w:sz w:val="20"/>
          <w:szCs w:val="20"/>
          <w:u w:val="single"/>
        </w:rPr>
        <w:t>Conclusion</w:t>
      </w:r>
    </w:p>
    <w:p w:rsidRPr="00771051" w:rsidR="005A7A7D" w:rsidP="005A7A7D" w:rsidRDefault="005A7A7D" w14:paraId="64256DC4" w14:textId="77777777">
      <w:pPr>
        <w:spacing w:before="120" w:after="240"/>
        <w:jc w:val="both"/>
        <w:rPr>
          <w:rFonts w:ascii="Arial" w:hAnsi="Arial" w:eastAsia="Times New Roman" w:cs="Arial"/>
          <w:sz w:val="20"/>
          <w:szCs w:val="20"/>
        </w:rPr>
      </w:pPr>
      <w:proofErr w:type="gramStart"/>
      <w:r w:rsidRPr="00771051">
        <w:rPr>
          <w:rFonts w:ascii="Arial" w:hAnsi="Arial" w:eastAsia="Times New Roman" w:cs="Arial"/>
          <w:sz w:val="20"/>
          <w:szCs w:val="20"/>
        </w:rPr>
        <w:t>Therefore</w:t>
      </w:r>
      <w:proofErr w:type="gramEnd"/>
      <w:r w:rsidRPr="00771051">
        <w:rPr>
          <w:rFonts w:ascii="Arial" w:hAnsi="Arial" w:eastAsia="Times New Roman" w:cs="Arial"/>
          <w:sz w:val="20"/>
          <w:szCs w:val="20"/>
        </w:rPr>
        <w:t xml:space="preserve"> the valid appeal points are:</w:t>
      </w:r>
    </w:p>
    <w:p w:rsidRPr="00B7582D" w:rsidR="00B7582D" w:rsidP="00B7582D" w:rsidRDefault="00B7582D" w14:paraId="5C0A3C95" w14:textId="58EDEBDD">
      <w:pPr>
        <w:pStyle w:val="ListParagraph"/>
        <w:numPr>
          <w:ilvl w:val="0"/>
          <w:numId w:val="10"/>
        </w:numPr>
        <w:jc w:val="both"/>
        <w:rPr>
          <w:rFonts w:cs="Arial"/>
          <w:bCs/>
          <w:color w:val="000000" w:themeColor="text1"/>
        </w:rPr>
      </w:pPr>
      <w:r w:rsidRPr="00B7582D">
        <w:rPr>
          <w:rFonts w:cs="Arial"/>
          <w:b/>
          <w:color w:val="000000" w:themeColor="text1"/>
        </w:rPr>
        <w:t>2.1 -</w:t>
      </w:r>
      <w:r w:rsidRPr="00B7582D">
        <w:rPr>
          <w:rFonts w:cs="Arial"/>
          <w:bCs/>
          <w:color w:val="000000" w:themeColor="text1"/>
        </w:rPr>
        <w:t xml:space="preserve"> NICE’s conclusion that the appropriate comparator is a ‘basket’ of standard care, with some people having IVIg, some having PLEX, and some having neither, is unreasonable.</w:t>
      </w:r>
    </w:p>
    <w:p w:rsidRPr="00B7582D" w:rsidR="00B7582D" w:rsidP="00B7582D" w:rsidRDefault="00B7582D" w14:paraId="64C53909" w14:textId="38B59CB3">
      <w:pPr>
        <w:pStyle w:val="Paragraph"/>
        <w:numPr>
          <w:ilvl w:val="0"/>
          <w:numId w:val="10"/>
        </w:numPr>
        <w:jc w:val="both"/>
        <w:rPr>
          <w:rFonts w:cs="Arial"/>
          <w:bCs/>
          <w:sz w:val="20"/>
          <w:szCs w:val="20"/>
        </w:rPr>
      </w:pPr>
      <w:r w:rsidRPr="00B7582D">
        <w:rPr>
          <w:rFonts w:cs="Arial"/>
          <w:b/>
          <w:sz w:val="20"/>
          <w:szCs w:val="20"/>
        </w:rPr>
        <w:t>2.2 -</w:t>
      </w:r>
      <w:r w:rsidRPr="00B7582D">
        <w:rPr>
          <w:rFonts w:cs="Arial"/>
          <w:bCs/>
          <w:sz w:val="20"/>
          <w:szCs w:val="20"/>
        </w:rPr>
        <w:t xml:space="preserve"> NICE’s conclusion that the overall EAMS cohort (n=48) was appropriate to inform the proportion of people on treatment in the ‘basket’ of standard care is unreasonable</w:t>
      </w:r>
      <w:r w:rsidR="00A42796">
        <w:rPr>
          <w:rFonts w:cs="Arial"/>
          <w:bCs/>
          <w:sz w:val="20"/>
          <w:szCs w:val="20"/>
        </w:rPr>
        <w:t>.</w:t>
      </w:r>
    </w:p>
    <w:p w:rsidRPr="00B7582D" w:rsidR="00B7582D" w:rsidP="00B7582D" w:rsidRDefault="00B7582D" w14:paraId="7D2A0A7F" w14:textId="5B78F326">
      <w:pPr>
        <w:pStyle w:val="Paragraph"/>
        <w:numPr>
          <w:ilvl w:val="0"/>
          <w:numId w:val="10"/>
        </w:numPr>
        <w:jc w:val="both"/>
        <w:rPr>
          <w:rFonts w:cs="Arial"/>
          <w:bCs/>
          <w:sz w:val="20"/>
          <w:szCs w:val="20"/>
        </w:rPr>
      </w:pPr>
      <w:r w:rsidRPr="00B7582D">
        <w:rPr>
          <w:rFonts w:cs="Arial"/>
          <w:b/>
          <w:sz w:val="20"/>
          <w:szCs w:val="20"/>
        </w:rPr>
        <w:t>2.3</w:t>
      </w:r>
      <w:r>
        <w:rPr>
          <w:rFonts w:cs="Arial"/>
          <w:bCs/>
          <w:sz w:val="20"/>
          <w:szCs w:val="20"/>
        </w:rPr>
        <w:t xml:space="preserve"> -</w:t>
      </w:r>
      <w:r w:rsidRPr="00B7582D">
        <w:rPr>
          <w:rFonts w:cs="Arial"/>
          <w:bCs/>
          <w:sz w:val="20"/>
          <w:szCs w:val="20"/>
        </w:rPr>
        <w:t xml:space="preserve"> NICE’s conclusion that Minimal Symptom Expression (“MSE”) should be removed from the model is unreasonable. </w:t>
      </w:r>
    </w:p>
    <w:p w:rsidRPr="00B7582D" w:rsidR="00B7582D" w:rsidP="00B7582D" w:rsidRDefault="00B7582D" w14:paraId="7D3C52BE" w14:textId="668FE0F2">
      <w:pPr>
        <w:pStyle w:val="Paragraph"/>
        <w:numPr>
          <w:ilvl w:val="0"/>
          <w:numId w:val="10"/>
        </w:numPr>
        <w:jc w:val="both"/>
        <w:rPr>
          <w:rFonts w:cs="Arial"/>
          <w:bCs/>
          <w:sz w:val="20"/>
          <w:szCs w:val="20"/>
        </w:rPr>
      </w:pPr>
      <w:r w:rsidRPr="00B7582D">
        <w:rPr>
          <w:rFonts w:cs="Arial"/>
          <w:b/>
          <w:sz w:val="20"/>
          <w:szCs w:val="20"/>
        </w:rPr>
        <w:t>2.4 -</w:t>
      </w:r>
      <w:r>
        <w:rPr>
          <w:rFonts w:cs="Arial"/>
          <w:bCs/>
          <w:sz w:val="20"/>
          <w:szCs w:val="20"/>
        </w:rPr>
        <w:t xml:space="preserve"> </w:t>
      </w:r>
      <w:r w:rsidRPr="00B7582D">
        <w:rPr>
          <w:rFonts w:cs="Arial"/>
          <w:bCs/>
          <w:sz w:val="20"/>
          <w:szCs w:val="20"/>
        </w:rPr>
        <w:t xml:space="preserve">NICE’s conclusions in relation to subsequent treatment distributions in the </w:t>
      </w:r>
      <w:proofErr w:type="spellStart"/>
      <w:r w:rsidRPr="00B7582D">
        <w:rPr>
          <w:rFonts w:cs="Arial"/>
          <w:bCs/>
          <w:sz w:val="20"/>
          <w:szCs w:val="20"/>
        </w:rPr>
        <w:t>Zilucoplan</w:t>
      </w:r>
      <w:proofErr w:type="spellEnd"/>
      <w:r w:rsidRPr="00B7582D">
        <w:rPr>
          <w:rFonts w:cs="Arial"/>
          <w:bCs/>
          <w:sz w:val="20"/>
          <w:szCs w:val="20"/>
        </w:rPr>
        <w:t xml:space="preserve"> arm and comparator arm of the model are opaque but appear to be irrational</w:t>
      </w:r>
      <w:r w:rsidR="00A42796">
        <w:rPr>
          <w:rFonts w:cs="Arial"/>
          <w:bCs/>
          <w:sz w:val="20"/>
          <w:szCs w:val="20"/>
        </w:rPr>
        <w:t>.</w:t>
      </w:r>
      <w:r w:rsidRPr="00B7582D">
        <w:rPr>
          <w:rFonts w:cs="Arial"/>
          <w:bCs/>
          <w:sz w:val="20"/>
          <w:szCs w:val="20"/>
        </w:rPr>
        <w:t xml:space="preserve"> </w:t>
      </w:r>
    </w:p>
    <w:p w:rsidRPr="00771051" w:rsidR="005A7A7D" w:rsidP="005A7A7D" w:rsidRDefault="005A7A7D" w14:paraId="6599EABC" w14:textId="33F6F8B9">
      <w:pPr>
        <w:spacing w:before="120" w:after="240"/>
        <w:jc w:val="both"/>
        <w:rPr>
          <w:rFonts w:ascii="Arial" w:hAnsi="Arial" w:eastAsia="Times New Roman" w:cs="Arial"/>
          <w:sz w:val="20"/>
          <w:szCs w:val="20"/>
        </w:rPr>
      </w:pPr>
      <w:r w:rsidRPr="00771051">
        <w:rPr>
          <w:rFonts w:ascii="Arial" w:hAnsi="Arial" w:eastAsia="Times New Roman" w:cs="Arial"/>
          <w:sz w:val="20"/>
          <w:szCs w:val="20"/>
        </w:rPr>
        <w:t xml:space="preserve">NICE shares the valid appeal grounds of each appellant with the other appellants to assist with preparation for the hearing.  </w:t>
      </w:r>
    </w:p>
    <w:p w:rsidR="005A7A7D" w:rsidP="005A7A7D" w:rsidRDefault="005A7A7D" w14:paraId="5CCF2CB3"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 xml:space="preserve">NICE will be in contact with you regarding the administration of the appeal, which will be held orally. </w:t>
      </w:r>
    </w:p>
    <w:p w:rsidRPr="00355A99" w:rsidR="00355A99" w:rsidP="005A7A7D" w:rsidRDefault="00355A99" w14:paraId="27A1A8F0" w14:textId="77777777">
      <w:pPr>
        <w:spacing w:before="120" w:after="240"/>
        <w:jc w:val="both"/>
        <w:rPr>
          <w:rFonts w:ascii="Arial" w:hAnsi="Arial" w:eastAsia="Times New Roman" w:cs="Arial"/>
          <w:sz w:val="20"/>
          <w:szCs w:val="20"/>
        </w:rPr>
      </w:pPr>
    </w:p>
    <w:p w:rsidRPr="00771051" w:rsidR="005A7A7D" w:rsidP="005A7A7D" w:rsidRDefault="005A7A7D" w14:paraId="04BAA200"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Yours sincerely</w:t>
      </w:r>
    </w:p>
    <w:p w:rsidR="00B7582D" w:rsidP="5736E5F2" w:rsidRDefault="001062AB" w14:paraId="2003A606" w14:noSpellErr="1" w14:textId="3ED2ED77">
      <w:pPr>
        <w:spacing w:before="120" w:after="240"/>
        <w:jc w:val="both"/>
        <w:rPr>
          <w:highlight w:val="black"/>
        </w:rPr>
      </w:pPr>
      <w:r w:rsidRPr="5736E5F2" w:rsidR="51C81435">
        <w:rPr>
          <w:highlight w:val="black"/>
        </w:rPr>
        <w:t>XXXXXXXXXXXXXXXXXXXXXX</w:t>
      </w:r>
    </w:p>
    <w:p w:rsidR="00B7582D" w:rsidP="005A7A7D" w:rsidRDefault="00B7582D" w14:paraId="10853571" w14:textId="77777777">
      <w:pPr>
        <w:spacing w:before="120" w:after="240"/>
        <w:jc w:val="both"/>
        <w:rPr>
          <w:rFonts w:ascii="Arial" w:hAnsi="Arial" w:eastAsia="Times New Roman" w:cs="Arial"/>
          <w:sz w:val="20"/>
          <w:szCs w:val="20"/>
        </w:rPr>
      </w:pPr>
      <w:r>
        <w:rPr>
          <w:rFonts w:ascii="Arial" w:hAnsi="Arial" w:eastAsia="Times New Roman" w:cs="Arial"/>
          <w:sz w:val="20"/>
          <w:szCs w:val="20"/>
        </w:rPr>
        <w:t>Dr Mark Chakravarty</w:t>
      </w:r>
    </w:p>
    <w:p w:rsidR="00B7582D" w:rsidP="005A7A7D" w:rsidRDefault="00B7582D" w14:paraId="30D3988D" w14:textId="5F83D6E7">
      <w:pPr>
        <w:spacing w:before="120" w:after="240"/>
        <w:jc w:val="both"/>
        <w:rPr>
          <w:rFonts w:ascii="Arial" w:hAnsi="Arial" w:eastAsia="Times New Roman" w:cs="Arial"/>
          <w:sz w:val="20"/>
          <w:szCs w:val="20"/>
        </w:rPr>
      </w:pPr>
      <w:r>
        <w:rPr>
          <w:rFonts w:ascii="Arial" w:hAnsi="Arial" w:eastAsia="Times New Roman" w:cs="Arial"/>
          <w:sz w:val="20"/>
          <w:szCs w:val="20"/>
        </w:rPr>
        <w:t xml:space="preserve">Lead Non-Executive Director for Appeals </w:t>
      </w:r>
    </w:p>
    <w:p w:rsidRPr="00771051" w:rsidR="005A7A7D" w:rsidP="005A7A7D" w:rsidRDefault="005A7A7D" w14:paraId="40B9BBC0"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National Institute for Health and Care Excellence</w:t>
      </w:r>
    </w:p>
    <w:p w:rsidRPr="0043022B" w:rsidR="000B36E1" w:rsidP="002B6A0D" w:rsidRDefault="000B36E1" w14:paraId="03E7BAFA" w14:textId="4811D299">
      <w:pPr>
        <w:spacing w:line="360" w:lineRule="auto"/>
        <w:rPr>
          <w:rFonts w:ascii="Arial" w:hAnsi="Arial" w:cs="Arial"/>
          <w:sz w:val="20"/>
          <w:szCs w:val="20"/>
        </w:rPr>
      </w:pPr>
    </w:p>
    <w:sectPr w:rsidRPr="0043022B" w:rsidR="000B36E1" w:rsidSect="000B36E1">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C5C" w:rsidP="000B352B" w:rsidRDefault="00D43C5C" w14:paraId="3471B2D4" w14:textId="77777777">
      <w:pPr>
        <w:spacing w:after="0" w:line="240" w:lineRule="auto"/>
      </w:pPr>
      <w:r>
        <w:separator/>
      </w:r>
    </w:p>
  </w:endnote>
  <w:endnote w:type="continuationSeparator" w:id="0">
    <w:p w:rsidR="00D43C5C" w:rsidP="000B352B" w:rsidRDefault="00D43C5C" w14:paraId="05F8C6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118258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6E1" w:rsidP="000B36E1" w:rsidRDefault="000B36E1" w14:paraId="5D4D323D" w14:textId="1CEBF2EA">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4B5AA96B" w14:textId="77777777">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RDefault="000B36E1" w14:paraId="7283D9E9" w14:textId="65FFA284">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C5C" w:rsidP="000B352B" w:rsidRDefault="00D43C5C" w14:paraId="50A3907F" w14:textId="77777777">
      <w:pPr>
        <w:spacing w:after="0" w:line="240" w:lineRule="auto"/>
      </w:pPr>
      <w:r>
        <w:separator/>
      </w:r>
    </w:p>
  </w:footnote>
  <w:footnote w:type="continuationSeparator" w:id="0">
    <w:p w:rsidR="00D43C5C" w:rsidP="000B352B" w:rsidRDefault="00D43C5C" w14:paraId="31E0A1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DB" w:rsidRDefault="00BB16DB" w14:paraId="6ADB81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0434" w:rsidR="009E2F15" w:rsidP="003A79BD" w:rsidRDefault="009E2F15" w14:paraId="18A30C4B" w14:textId="45456900">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E1" w:rsidP="000B36E1" w:rsidRDefault="000B36E1" w14:paraId="7E317012" w14:textId="503FBB8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3809122A" w14:textId="119E090B">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49A5672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69737D36" w14:textId="720B211D">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0E97815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6549E90E"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17F30120" w14:textId="7A0D7C0A">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5D75BB6C" w14:textId="09F7B04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7" w15:restartNumberingAfterBreak="0">
    <w:nsid w:val="71CF6084"/>
    <w:multiLevelType w:val="hybridMultilevel"/>
    <w:tmpl w:val="EFC893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1"/>
  </w:num>
  <w:num w:numId="2" w16cid:durableId="1239897750">
    <w:abstractNumId w:val="5"/>
  </w:num>
  <w:num w:numId="3" w16cid:durableId="724110161">
    <w:abstractNumId w:val="2"/>
  </w:num>
  <w:num w:numId="4" w16cid:durableId="99180155">
    <w:abstractNumId w:val="6"/>
  </w:num>
  <w:num w:numId="5" w16cid:durableId="1481845086">
    <w:abstractNumId w:val="0"/>
  </w:num>
  <w:num w:numId="6" w16cid:durableId="423919277">
    <w:abstractNumId w:val="3"/>
  </w:num>
  <w:num w:numId="7" w16cid:durableId="2008357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4"/>
  </w:num>
  <w:num w:numId="9" w16cid:durableId="1504122631">
    <w:abstractNumId w:val="8"/>
  </w:num>
  <w:num w:numId="10" w16cid:durableId="160518932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0869"/>
    <w:rsid w:val="0003729F"/>
    <w:rsid w:val="000468DC"/>
    <w:rsid w:val="000641E7"/>
    <w:rsid w:val="00085181"/>
    <w:rsid w:val="000B104A"/>
    <w:rsid w:val="000B352B"/>
    <w:rsid w:val="000B36E1"/>
    <w:rsid w:val="001062AB"/>
    <w:rsid w:val="00144F73"/>
    <w:rsid w:val="0014732A"/>
    <w:rsid w:val="00176AA4"/>
    <w:rsid w:val="001D5BD2"/>
    <w:rsid w:val="001E0317"/>
    <w:rsid w:val="001F3962"/>
    <w:rsid w:val="002035FD"/>
    <w:rsid w:val="0022689E"/>
    <w:rsid w:val="002B6A0D"/>
    <w:rsid w:val="00320722"/>
    <w:rsid w:val="00321B75"/>
    <w:rsid w:val="00355A99"/>
    <w:rsid w:val="00371B99"/>
    <w:rsid w:val="003936B7"/>
    <w:rsid w:val="003A3E2E"/>
    <w:rsid w:val="003A79BD"/>
    <w:rsid w:val="003B2535"/>
    <w:rsid w:val="003D614E"/>
    <w:rsid w:val="0040409D"/>
    <w:rsid w:val="004215D9"/>
    <w:rsid w:val="00427E93"/>
    <w:rsid w:val="0043022B"/>
    <w:rsid w:val="00453738"/>
    <w:rsid w:val="00453774"/>
    <w:rsid w:val="00480405"/>
    <w:rsid w:val="00490CDB"/>
    <w:rsid w:val="00493D2F"/>
    <w:rsid w:val="004C2D22"/>
    <w:rsid w:val="004E4493"/>
    <w:rsid w:val="004F29D7"/>
    <w:rsid w:val="004F3400"/>
    <w:rsid w:val="004F39B0"/>
    <w:rsid w:val="00545445"/>
    <w:rsid w:val="00593F3D"/>
    <w:rsid w:val="005A42E5"/>
    <w:rsid w:val="005A7A7D"/>
    <w:rsid w:val="005B078B"/>
    <w:rsid w:val="005C388B"/>
    <w:rsid w:val="005C7480"/>
    <w:rsid w:val="005E0434"/>
    <w:rsid w:val="005E2A58"/>
    <w:rsid w:val="00641CEB"/>
    <w:rsid w:val="006628FF"/>
    <w:rsid w:val="00671EF3"/>
    <w:rsid w:val="0069376C"/>
    <w:rsid w:val="006D0C62"/>
    <w:rsid w:val="006F031D"/>
    <w:rsid w:val="0072577F"/>
    <w:rsid w:val="00732227"/>
    <w:rsid w:val="0079326E"/>
    <w:rsid w:val="007B36FA"/>
    <w:rsid w:val="007C64C6"/>
    <w:rsid w:val="007D4914"/>
    <w:rsid w:val="00866617"/>
    <w:rsid w:val="008C081A"/>
    <w:rsid w:val="008E4AE4"/>
    <w:rsid w:val="00917BB6"/>
    <w:rsid w:val="00961369"/>
    <w:rsid w:val="009A01FD"/>
    <w:rsid w:val="009E2F15"/>
    <w:rsid w:val="009E5151"/>
    <w:rsid w:val="009F0476"/>
    <w:rsid w:val="00A0226C"/>
    <w:rsid w:val="00A42796"/>
    <w:rsid w:val="00A84AF4"/>
    <w:rsid w:val="00AD3112"/>
    <w:rsid w:val="00AD7658"/>
    <w:rsid w:val="00AE303D"/>
    <w:rsid w:val="00AE670F"/>
    <w:rsid w:val="00B24360"/>
    <w:rsid w:val="00B32B71"/>
    <w:rsid w:val="00B737D4"/>
    <w:rsid w:val="00B7582D"/>
    <w:rsid w:val="00BB16DB"/>
    <w:rsid w:val="00BC7BE7"/>
    <w:rsid w:val="00C34F29"/>
    <w:rsid w:val="00C85906"/>
    <w:rsid w:val="00C96687"/>
    <w:rsid w:val="00CB4563"/>
    <w:rsid w:val="00CE085C"/>
    <w:rsid w:val="00D22D3F"/>
    <w:rsid w:val="00D37DEC"/>
    <w:rsid w:val="00D43C5C"/>
    <w:rsid w:val="00D755E3"/>
    <w:rsid w:val="00D770E0"/>
    <w:rsid w:val="00DB178D"/>
    <w:rsid w:val="00DD43C2"/>
    <w:rsid w:val="00E03263"/>
    <w:rsid w:val="00E467E2"/>
    <w:rsid w:val="00E60FCF"/>
    <w:rsid w:val="00E622D7"/>
    <w:rsid w:val="00E67BD1"/>
    <w:rsid w:val="00E70F23"/>
    <w:rsid w:val="00E7772A"/>
    <w:rsid w:val="00EA3919"/>
    <w:rsid w:val="00EE6553"/>
    <w:rsid w:val="00F04994"/>
    <w:rsid w:val="00F1265E"/>
    <w:rsid w:val="00F233EA"/>
    <w:rsid w:val="00F24B1D"/>
    <w:rsid w:val="00F47A04"/>
    <w:rsid w:val="00F70A40"/>
    <w:rsid w:val="00FB225B"/>
    <w:rsid w:val="00FC0EF1"/>
    <w:rsid w:val="00FE1661"/>
    <w:rsid w:val="00FE3296"/>
    <w:rsid w:val="17794EBC"/>
    <w:rsid w:val="18852413"/>
    <w:rsid w:val="431DD23B"/>
    <w:rsid w:val="51C81435"/>
    <w:rsid w:val="5736E5F2"/>
    <w:rsid w:val="57C2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A30C3A"/>
  <w15:docId w15:val="{5E5192C4-7C1C-460D-BFA5-1A9E65B2B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8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2A248B-0518-44A9-AE48-8D71987873BC}"/>
</file>

<file path=customXml/itemProps2.xml><?xml version="1.0" encoding="utf-8"?>
<ds:datastoreItem xmlns:ds="http://schemas.openxmlformats.org/officeDocument/2006/customXml" ds:itemID="{93EA40A2-05A3-4704-BBB4-3B723219F6F2}"/>
</file>

<file path=customXml/itemProps3.xml><?xml version="1.0" encoding="utf-8"?>
<ds:datastoreItem xmlns:ds="http://schemas.openxmlformats.org/officeDocument/2006/customXml" ds:itemID="{10F45A52-F47B-421C-ACB4-761B272723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3</cp:revision>
  <cp:lastPrinted>1900-01-01T00:00:00Z</cp:lastPrinted>
  <dcterms:created xsi:type="dcterms:W3CDTF">2025-08-11T10:35:00Z</dcterms:created>
  <dcterms:modified xsi:type="dcterms:W3CDTF">2025-11-06T16:04:26Z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2025-08-11T10:35:42Z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2371af1c-cc26-4780-918a-89966ab102cd</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