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43022B" w:rsidR="00593F3D" w:rsidP="5B8F832E" w:rsidRDefault="00593F3D" w14:paraId="1B1C7D24" w14:noSpellErr="1" w14:textId="02C000ED">
      <w:pPr>
        <w:rPr>
          <w:rFonts w:ascii="Arial" w:hAnsi="Arial" w:cs="Arial"/>
          <w:sz w:val="20"/>
          <w:szCs w:val="20"/>
        </w:rPr>
      </w:pPr>
      <w:r w:rsidRPr="5B8F832E" w:rsidR="00593F3D">
        <w:rPr>
          <w:rFonts w:ascii="Arial" w:hAnsi="Arial" w:cs="Arial"/>
          <w:sz w:val="20"/>
          <w:szCs w:val="20"/>
        </w:rPr>
        <w:t>Sent by e-mail only</w:t>
      </w:r>
      <w:r w:rsidRPr="5B8F832E" w:rsidR="1DD763FC">
        <w:rPr>
          <w:rFonts w:ascii="Arial" w:hAnsi="Arial" w:cs="Arial"/>
          <w:sz w:val="20"/>
          <w:szCs w:val="20"/>
        </w:rPr>
        <w:t xml:space="preserve"> </w:t>
      </w:r>
      <w:r w:rsidRPr="5B8F832E" w:rsidR="1DD763FC">
        <w:rPr>
          <w:rFonts w:ascii="Arial" w:hAnsi="Arial" w:cs="Arial"/>
          <w:sz w:val="20"/>
          <w:szCs w:val="20"/>
          <w:highlight w:val="black"/>
        </w:rPr>
        <w:t>XXXXXXXXXXXXXXXXXXXXXXXXXXXX</w:t>
      </w:r>
    </w:p>
    <w:p w:rsidR="0095504C" w:rsidP="5B8F832E" w:rsidRDefault="0095504C" w14:paraId="6A78C50E" w14:noSpellErr="1" w14:textId="384F7365">
      <w:pPr>
        <w:spacing w:line="240" w:lineRule="auto"/>
        <w:rPr>
          <w:rFonts w:ascii="Arial" w:hAnsi="Arial" w:cs="Arial"/>
          <w:sz w:val="20"/>
          <w:szCs w:val="20"/>
          <w:highlight w:val="black"/>
        </w:rPr>
      </w:pPr>
      <w:r w:rsidRPr="5B8F832E" w:rsidR="0095504C">
        <w:rPr>
          <w:rFonts w:ascii="Arial" w:hAnsi="Arial" w:cs="Arial"/>
          <w:sz w:val="20"/>
          <w:szCs w:val="20"/>
        </w:rPr>
        <w:t xml:space="preserve">FAO </w:t>
      </w:r>
      <w:r w:rsidRPr="5B8F832E" w:rsidR="50CB4D55">
        <w:rPr>
          <w:rFonts w:ascii="Arial" w:hAnsi="Arial" w:cs="Arial"/>
          <w:sz w:val="20"/>
          <w:szCs w:val="20"/>
          <w:highlight w:val="black"/>
        </w:rPr>
        <w:t>XXXXXXXXXXXXX</w:t>
      </w:r>
    </w:p>
    <w:p w:rsidR="0095504C" w:rsidP="0063635F" w:rsidRDefault="0095504C" w14:paraId="386A623D" w14:textId="5E019FC7">
      <w:pPr>
        <w:spacing w:line="240" w:lineRule="auto"/>
        <w:rPr>
          <w:rFonts w:ascii="Arial" w:hAnsi="Arial" w:cs="Arial"/>
          <w:sz w:val="20"/>
          <w:szCs w:val="20"/>
        </w:rPr>
      </w:pPr>
      <w:r>
        <w:rPr>
          <w:rFonts w:ascii="Arial" w:hAnsi="Arial" w:cs="Arial"/>
          <w:sz w:val="20"/>
          <w:szCs w:val="20"/>
        </w:rPr>
        <w:t xml:space="preserve">UCB Pharma Ltd </w:t>
      </w:r>
    </w:p>
    <w:p w:rsidR="0095504C" w:rsidP="0063635F" w:rsidRDefault="0095504C" w14:paraId="74529F89" w14:textId="69C20ACA">
      <w:pPr>
        <w:spacing w:line="240" w:lineRule="auto"/>
        <w:rPr>
          <w:rFonts w:ascii="Arial" w:hAnsi="Arial" w:cs="Arial"/>
          <w:sz w:val="20"/>
          <w:szCs w:val="20"/>
        </w:rPr>
      </w:pPr>
      <w:r>
        <w:rPr>
          <w:rFonts w:ascii="Arial" w:hAnsi="Arial" w:cs="Arial"/>
          <w:sz w:val="20"/>
          <w:szCs w:val="20"/>
        </w:rPr>
        <w:t>208 Bath Road</w:t>
      </w:r>
    </w:p>
    <w:p w:rsidR="0095504C" w:rsidP="0063635F" w:rsidRDefault="0095504C" w14:paraId="2445D4A7" w14:textId="77104FDA">
      <w:pPr>
        <w:spacing w:line="240" w:lineRule="auto"/>
        <w:rPr>
          <w:rFonts w:ascii="Arial" w:hAnsi="Arial" w:cs="Arial"/>
          <w:sz w:val="20"/>
          <w:szCs w:val="20"/>
        </w:rPr>
      </w:pPr>
      <w:r>
        <w:rPr>
          <w:rFonts w:ascii="Arial" w:hAnsi="Arial" w:cs="Arial"/>
          <w:sz w:val="20"/>
          <w:szCs w:val="20"/>
        </w:rPr>
        <w:t xml:space="preserve">Slough </w:t>
      </w:r>
    </w:p>
    <w:p w:rsidR="0095504C" w:rsidP="0063635F" w:rsidRDefault="0095504C" w14:paraId="38EE641C" w14:textId="529CBC78">
      <w:pPr>
        <w:spacing w:line="240" w:lineRule="auto"/>
        <w:rPr>
          <w:rFonts w:ascii="Arial" w:hAnsi="Arial" w:cs="Arial"/>
          <w:sz w:val="20"/>
          <w:szCs w:val="20"/>
        </w:rPr>
      </w:pPr>
      <w:r>
        <w:rPr>
          <w:rFonts w:ascii="Arial" w:hAnsi="Arial" w:cs="Arial"/>
          <w:sz w:val="20"/>
          <w:szCs w:val="20"/>
        </w:rPr>
        <w:t>Berkshire</w:t>
      </w:r>
    </w:p>
    <w:p w:rsidRPr="00BB16DB" w:rsidR="0095504C" w:rsidP="0063635F" w:rsidRDefault="0095504C" w14:paraId="6240202F" w14:textId="2F4665AE">
      <w:pPr>
        <w:spacing w:line="240" w:lineRule="auto"/>
        <w:rPr>
          <w:rFonts w:ascii="Arial" w:hAnsi="Arial" w:cs="Arial"/>
          <w:sz w:val="20"/>
          <w:szCs w:val="20"/>
        </w:rPr>
      </w:pPr>
      <w:r>
        <w:rPr>
          <w:rFonts w:ascii="Arial" w:hAnsi="Arial" w:cs="Arial"/>
          <w:sz w:val="20"/>
          <w:szCs w:val="20"/>
        </w:rPr>
        <w:t xml:space="preserve">SL1 3WE </w:t>
      </w:r>
    </w:p>
    <w:p w:rsidRPr="0043022B" w:rsidR="00F24B1D" w:rsidRDefault="00F24B1D" w14:paraId="799D8680" w14:textId="77777777">
      <w:pPr>
        <w:rPr>
          <w:rFonts w:ascii="Arial" w:hAnsi="Arial" w:cs="Arial"/>
          <w:sz w:val="20"/>
          <w:szCs w:val="20"/>
        </w:rPr>
      </w:pPr>
    </w:p>
    <w:p w:rsidRPr="0043022B" w:rsidR="00F24B1D" w:rsidRDefault="00F24B1D" w14:paraId="1F256B99" w14:textId="77777777">
      <w:pPr>
        <w:rPr>
          <w:rFonts w:ascii="Arial" w:hAnsi="Arial" w:cs="Arial"/>
          <w:sz w:val="20"/>
          <w:szCs w:val="20"/>
        </w:rPr>
      </w:pPr>
    </w:p>
    <w:p w:rsidRPr="0043022B" w:rsidR="00B737D4" w:rsidP="00B737D4" w:rsidRDefault="0095504C" w14:paraId="04E6623B" w14:textId="2EC128D6">
      <w:pPr>
        <w:rPr>
          <w:rFonts w:ascii="Arial" w:hAnsi="Arial" w:cs="Arial"/>
          <w:sz w:val="20"/>
          <w:szCs w:val="20"/>
        </w:rPr>
      </w:pPr>
      <w:r>
        <w:rPr>
          <w:rFonts w:ascii="Arial" w:hAnsi="Arial" w:cs="Arial"/>
          <w:sz w:val="20"/>
          <w:szCs w:val="20"/>
        </w:rPr>
        <w:t>11 August 2025</w:t>
      </w:r>
    </w:p>
    <w:p w:rsidRPr="0043022B" w:rsidR="00B737D4" w:rsidP="00B737D4" w:rsidRDefault="00B737D4" w14:paraId="15532A62" w14:textId="77777777">
      <w:pPr>
        <w:rPr>
          <w:rStyle w:val="Hyperlink"/>
          <w:rFonts w:ascii="Arial" w:hAnsi="Arial" w:cs="Arial"/>
          <w:sz w:val="20"/>
          <w:szCs w:val="20"/>
        </w:rPr>
      </w:pPr>
    </w:p>
    <w:p w:rsidRPr="0043022B" w:rsidR="00F24B1D" w:rsidP="5B8F832E" w:rsidRDefault="00F24B1D" w14:paraId="47BE397A" w14:noSpellErr="1" w14:textId="00C70C80">
      <w:pPr>
        <w:ind w:left="426" w:right="468" w:hanging="426"/>
        <w:jc w:val="both"/>
        <w:rPr>
          <w:rFonts w:ascii="Arial" w:hAnsi="Arial" w:cs="Arial"/>
          <w:noProof/>
          <w:spacing w:val="-3"/>
          <w:sz w:val="20"/>
          <w:szCs w:val="20"/>
          <w:highlight w:val="black"/>
          <w:lang w:eastAsia="en-GB"/>
        </w:rPr>
      </w:pPr>
      <w:bookmarkStart w:name="deartext" w:id="0"/>
      <w:r w:rsidRPr="5B8F832E" w:rsidR="00F24B1D">
        <w:rPr>
          <w:rFonts w:ascii="Arial" w:hAnsi="Arial" w:cs="Arial"/>
          <w:sz w:val="20"/>
          <w:szCs w:val="20"/>
        </w:rPr>
        <w:t>Dear</w:t>
      </w:r>
      <w:bookmarkEnd w:id="0"/>
      <w:r w:rsidRPr="5B8F832E" w:rsidR="00F24B1D">
        <w:rPr>
          <w:rFonts w:ascii="Arial" w:hAnsi="Arial" w:cs="Arial"/>
          <w:sz w:val="20"/>
          <w:szCs w:val="20"/>
        </w:rPr>
        <w:t xml:space="preserve"> </w:t>
      </w:r>
      <w:r w:rsidRPr="5B8F832E" w:rsidR="06B82537">
        <w:rPr>
          <w:rFonts w:ascii="Arial" w:hAnsi="Arial" w:cs="Arial"/>
          <w:sz w:val="20"/>
          <w:szCs w:val="20"/>
          <w:highlight w:val="black"/>
        </w:rPr>
        <w:t>XXXXXXXXXXXX</w:t>
      </w:r>
    </w:p>
    <w:p w:rsidRPr="0043022B" w:rsidR="00F24B1D" w:rsidP="00F24B1D" w:rsidRDefault="00F24B1D" w14:paraId="67AFD44F" w14:textId="39D770D7">
      <w:pPr>
        <w:ind w:left="426" w:right="468" w:hanging="426"/>
        <w:jc w:val="both"/>
        <w:rPr>
          <w:rFonts w:ascii="Arial" w:hAnsi="Arial" w:cs="Arial"/>
          <w:b/>
          <w:sz w:val="20"/>
          <w:szCs w:val="20"/>
        </w:rPr>
      </w:pPr>
      <w:r w:rsidRPr="0043022B">
        <w:rPr>
          <w:rFonts w:ascii="Arial" w:hAnsi="Arial" w:cs="Arial"/>
          <w:noProof/>
          <w:color w:val="333333"/>
          <w:sz w:val="20"/>
          <w:szCs w:val="20"/>
          <w:lang w:eastAsia="en-GB"/>
        </w:rPr>
        <mc:AlternateContent>
          <mc:Choice Requires="wps">
            <w:drawing>
              <wp:anchor distT="4294967294" distB="4294967294" distL="114300" distR="114300" simplePos="0" relativeHeight="251659264" behindDoc="0" locked="0" layoutInCell="1" allowOverlap="1" wp14:anchorId="0D351047" wp14:editId="64D85384">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0422B7C">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u/ygEAAIEDAAAOAAAAZHJzL2Uyb0RvYy54bWysU01vEzEQvSPxHyzfySZBhbLKpodE5VJB&#10;pAL3idfetfCXZkw2+feMnTRt4YbQStbYM/s8783z6u7onThoJBtDJxezuRQ6qNjbMHTy+7f7d7dS&#10;UIbQg4tBd/KkSd6t375ZTanVyzhG12sUDBKonVInx5xT2zSkRu2BZjHpwEkT0UPmLQ5NjzAxunfN&#10;cj7/0EwR+4RRaSI+3Z6Tcl3xjdEqfzWGdBauk9xbrivWdV/WZr2CdkBIo1WXNuAfuvBgA196hdpC&#10;BvEL7V9Q3iqMFE2eqeibaIxVunJgNov5H2weR0i6cmFxKF1lov8Hq74cdihs38mlFAE8j+gxI9hh&#10;zGITQ2ABI4pl0WlK1HL5JuywMFXH8JgeovpJnGteJcuG0rnsaNAL42z6wfaoEjFpcawTOF0noI9Z&#10;KD68XXxa3EihnjINtAWg3JeQ8mcdvShBJ50NRRpo4fBAubTwXFKOQ7y3ztXxuiCmTr5ffCzIwCYz&#10;DjKHPjFtCoMU4AZ2r8pYESk625e/Cw7hsN84FAdgB93My1fE4NtelZWmtkDjua6mLmUuFBhdvXjp&#10;9FmfEu1jf9rhk4g854p+8WQx0ss9xy9fzvo3AAAA//8DAFBLAwQUAAYACAAAACEA2X1V2eAAAAAL&#10;AQAADwAAAGRycy9kb3ducmV2LnhtbEyPwUrDQBCG74LvsIzgLd0klKAxmyKioB60toX2uM2OSWh2&#10;Nuxu2/j2jnjQ48x8/PP91WKygzihD70jBdksBYHUONNTq2CzfkpuQISoyejBESr4wgCL+vKi0qVx&#10;Z/rA0yq2gkMolFpBF+NYShmaDq0OMzci8e3Teasjj76Vxuszh9tB5mlaSKt74g+dHvGhw+awOloF&#10;b6+7x/fG2UPhafmyzfvlevfcKnV9Nd3fgYg4xT8YfvRZHWp22rsjmSAGBUmWF7fMKpinOQgmkiyb&#10;c73970bWlfzfof4GAAD//wMAUEsBAi0AFAAGAAgAAAAhALaDOJL+AAAA4QEAABMAAAAAAAAAAAAA&#10;AAAAAAAAAFtDb250ZW50X1R5cGVzXS54bWxQSwECLQAUAAYACAAAACEAOP0h/9YAAACUAQAACwAA&#10;AAAAAAAAAAAAAAAvAQAAX3JlbHMvLnJlbHNQSwECLQAUAAYACAAAACEABLpbv8oBAACBAwAADgAA&#10;AAAAAAAAAAAAAAAuAgAAZHJzL2Uyb0RvYy54bWxQSwECLQAUAAYACAAAACEA2X1V2eAAAAALAQAA&#10;DwAAAAAAAAAAAAAAAAAkBAAAZHJzL2Rvd25yZXYueG1sUEsFBgAAAAAEAAQA8wAAADEFAAAAAA==&#10;" w14:anchorId="432FF0ED">
                <o:lock v:ext="edit" shapetype="f"/>
              </v:line>
            </w:pict>
          </mc:Fallback>
        </mc:AlternateContent>
      </w:r>
      <w:r w:rsidRPr="0043022B">
        <w:rPr>
          <w:rFonts w:ascii="Arial" w:hAnsi="Arial" w:cs="Arial"/>
          <w:b/>
          <w:spacing w:val="-3"/>
          <w:sz w:val="20"/>
          <w:szCs w:val="20"/>
        </w:rPr>
        <w:t xml:space="preserve">Re: </w:t>
      </w:r>
      <w:r w:rsidRPr="0043022B">
        <w:rPr>
          <w:rFonts w:ascii="Arial" w:hAnsi="Arial" w:cs="Arial"/>
          <w:b/>
          <w:sz w:val="20"/>
          <w:szCs w:val="20"/>
        </w:rPr>
        <w:t>Fina</w:t>
      </w:r>
      <w:r w:rsidR="0095504C">
        <w:rPr>
          <w:rFonts w:ascii="Arial" w:hAnsi="Arial" w:cs="Arial"/>
          <w:b/>
          <w:sz w:val="20"/>
          <w:szCs w:val="20"/>
        </w:rPr>
        <w:t>l Draft Guidance for zilucoplan for treating antibody positive generalised myasthenia gravis [ID4008]</w:t>
      </w:r>
    </w:p>
    <w:p w:rsidRPr="003B6BDC" w:rsidR="00DB178D" w:rsidP="00DB178D" w:rsidRDefault="00DB178D" w14:paraId="645F333C" w14:textId="43E7D13E">
      <w:pPr>
        <w:spacing w:before="240" w:after="240"/>
        <w:jc w:val="both"/>
        <w:rPr>
          <w:rFonts w:ascii="Arial" w:hAnsi="Arial" w:eastAsia="Times New Roman" w:cs="Arial"/>
          <w:sz w:val="20"/>
          <w:szCs w:val="20"/>
        </w:rPr>
      </w:pPr>
      <w:r w:rsidRPr="003B6BDC">
        <w:rPr>
          <w:rFonts w:ascii="Arial" w:hAnsi="Arial" w:eastAsia="Times New Roman" w:cs="Arial"/>
          <w:sz w:val="20"/>
          <w:szCs w:val="20"/>
        </w:rPr>
        <w:t xml:space="preserve">Thank you for your letter of </w:t>
      </w:r>
      <w:r w:rsidRPr="003B6BDC" w:rsidR="0095504C">
        <w:rPr>
          <w:rFonts w:ascii="Arial" w:hAnsi="Arial" w:eastAsia="Times New Roman" w:cs="Arial"/>
          <w:sz w:val="20"/>
          <w:szCs w:val="20"/>
        </w:rPr>
        <w:t>4 August 2025</w:t>
      </w:r>
      <w:r w:rsidRPr="003B6BDC">
        <w:rPr>
          <w:rFonts w:ascii="Arial" w:hAnsi="Arial" w:eastAsia="Times New Roman" w:cs="Arial"/>
          <w:sz w:val="20"/>
          <w:szCs w:val="20"/>
        </w:rPr>
        <w:t xml:space="preserve"> responding to my initial scrutiny views.  This is my final decision on initial scrutiny.</w:t>
      </w:r>
    </w:p>
    <w:p w:rsidRPr="003B6BDC" w:rsidR="00DB178D" w:rsidP="00DB178D" w:rsidRDefault="00DB178D" w14:paraId="55B1D5E2" w14:textId="28FD5E0E">
      <w:pPr>
        <w:spacing w:before="240" w:after="240"/>
        <w:jc w:val="both"/>
        <w:rPr>
          <w:rFonts w:ascii="Arial" w:hAnsi="Arial" w:eastAsia="Times New Roman" w:cs="Arial"/>
          <w:sz w:val="20"/>
          <w:szCs w:val="20"/>
        </w:rPr>
      </w:pPr>
      <w:r w:rsidRPr="003B6BDC">
        <w:rPr>
          <w:rFonts w:ascii="Arial" w:hAnsi="Arial" w:eastAsia="Times New Roman" w:cs="Arial"/>
          <w:sz w:val="20"/>
          <w:szCs w:val="20"/>
        </w:rPr>
        <w:t xml:space="preserve">I </w:t>
      </w:r>
      <w:r w:rsidRPr="003B6BDC" w:rsidR="00BB16DB">
        <w:rPr>
          <w:rFonts w:ascii="Arial" w:hAnsi="Arial" w:eastAsia="Times New Roman" w:cs="Arial"/>
          <w:sz w:val="20"/>
          <w:szCs w:val="20"/>
        </w:rPr>
        <w:t>assess each of your points in turn.</w:t>
      </w:r>
    </w:p>
    <w:p w:rsidRPr="003B6BDC" w:rsidR="0095504C" w:rsidP="0095504C" w:rsidRDefault="0095504C" w14:paraId="1C5F9D8E" w14:textId="77777777">
      <w:pPr>
        <w:spacing w:before="120" w:after="0" w:line="240" w:lineRule="auto"/>
        <w:rPr>
          <w:rFonts w:ascii="Arial" w:hAnsi="Arial" w:eastAsia="Times New Roman" w:cs="Arial"/>
          <w:b/>
          <w:i/>
          <w:sz w:val="20"/>
          <w:szCs w:val="20"/>
          <w:lang w:eastAsia="en-GB"/>
        </w:rPr>
      </w:pPr>
      <w:r w:rsidRPr="003B6BDC">
        <w:rPr>
          <w:rFonts w:ascii="Arial" w:hAnsi="Arial" w:eastAsia="Times New Roman" w:cs="Arial"/>
          <w:b/>
          <w:i/>
          <w:sz w:val="20"/>
          <w:szCs w:val="20"/>
          <w:lang w:eastAsia="en-GB"/>
        </w:rPr>
        <w:t>Ground 1(a): In making the assessment that preceded the recommendation, NICE has failed to act fairly</w:t>
      </w:r>
    </w:p>
    <w:p w:rsidRPr="0095504C" w:rsidR="0095504C" w:rsidP="0095504C" w:rsidRDefault="0095504C" w14:paraId="1B2C0484" w14:textId="77777777">
      <w:pPr>
        <w:spacing w:before="240" w:after="240"/>
        <w:jc w:val="both"/>
        <w:rPr>
          <w:rFonts w:ascii="Arial" w:hAnsi="Arial" w:eastAsia="Times New Roman" w:cs="Arial"/>
          <w:b/>
          <w:sz w:val="20"/>
          <w:szCs w:val="20"/>
          <w:u w:val="single"/>
        </w:rPr>
      </w:pPr>
      <w:r w:rsidRPr="0095504C">
        <w:rPr>
          <w:rFonts w:ascii="Arial" w:hAnsi="Arial" w:eastAsia="Times New Roman" w:cs="Arial"/>
          <w:b/>
          <w:sz w:val="20"/>
          <w:szCs w:val="20"/>
          <w:u w:val="single"/>
        </w:rPr>
        <w:t xml:space="preserve">Appeal </w:t>
      </w:r>
      <w:proofErr w:type="gramStart"/>
      <w:r w:rsidRPr="0095504C">
        <w:rPr>
          <w:rFonts w:ascii="Arial" w:hAnsi="Arial" w:eastAsia="Times New Roman" w:cs="Arial"/>
          <w:b/>
          <w:sz w:val="20"/>
          <w:szCs w:val="20"/>
          <w:u w:val="single"/>
        </w:rPr>
        <w:t>point</w:t>
      </w:r>
      <w:proofErr w:type="gramEnd"/>
      <w:r w:rsidRPr="0095504C">
        <w:rPr>
          <w:rFonts w:ascii="Arial" w:hAnsi="Arial" w:eastAsia="Times New Roman" w:cs="Arial"/>
          <w:b/>
          <w:sz w:val="20"/>
          <w:szCs w:val="20"/>
          <w:u w:val="single"/>
        </w:rPr>
        <w:t xml:space="preserve"> 1(a).1: The Committee's conclusion that zilucoplan adds an additional line to the treatment pathway was raised by the Committee only after ACM3, with the result that there was no opportunity for consultation on this key issue. </w:t>
      </w:r>
    </w:p>
    <w:p w:rsidR="00DC59DE" w:rsidP="0095504C" w:rsidRDefault="00D25C89" w14:paraId="65C9B9FA" w14:textId="77777777">
      <w:pPr>
        <w:spacing w:line="288" w:lineRule="auto"/>
        <w:jc w:val="both"/>
        <w:rPr>
          <w:rFonts w:ascii="Arial" w:hAnsi="Arial" w:eastAsia="Times New Roman" w:cs="Arial"/>
          <w:sz w:val="20"/>
          <w:szCs w:val="20"/>
        </w:rPr>
      </w:pPr>
      <w:r>
        <w:rPr>
          <w:rFonts w:ascii="Arial" w:hAnsi="Arial" w:eastAsia="Times New Roman" w:cs="Arial"/>
          <w:sz w:val="20"/>
          <w:szCs w:val="20"/>
        </w:rPr>
        <w:t xml:space="preserve">Having considered the additional arguments made in your response to my initial scrutiny views, I consider this to be an arguable appeal point and confirm my decision to refer this to the Appeal Panel. </w:t>
      </w:r>
    </w:p>
    <w:p w:rsidRPr="0095504C" w:rsidR="0095504C" w:rsidP="0095504C" w:rsidRDefault="00C458CE" w14:paraId="02B5EAB6" w14:textId="7CC34F40">
      <w:pPr>
        <w:spacing w:line="288" w:lineRule="auto"/>
        <w:jc w:val="both"/>
        <w:rPr>
          <w:rFonts w:ascii="Arial" w:hAnsi="Arial" w:eastAsia="Times New Roman" w:cs="Arial"/>
          <w:sz w:val="20"/>
          <w:szCs w:val="20"/>
        </w:rPr>
      </w:pPr>
      <w:r>
        <w:rPr>
          <w:rFonts w:ascii="Arial" w:hAnsi="Arial" w:eastAsia="Times New Roman" w:cs="Arial"/>
          <w:sz w:val="20"/>
          <w:szCs w:val="20"/>
        </w:rPr>
        <w:t xml:space="preserve">In my initial scrutiny letter </w:t>
      </w:r>
      <w:r w:rsidR="004135E7">
        <w:rPr>
          <w:rFonts w:ascii="Arial" w:hAnsi="Arial" w:eastAsia="Times New Roman" w:cs="Arial"/>
          <w:sz w:val="20"/>
          <w:szCs w:val="20"/>
        </w:rPr>
        <w:t>I explained that I was not minded to refer this point to the Appeal Panel, on the basis that it is ostensibly similar to an appeal point considered in the recent appeal relating to TA1069, in which the appeal panel in that case concluded that the committee's preferred place of efgartigimod in the treatment pathway was consistently linked to t</w:t>
      </w:r>
      <w:r w:rsidR="00E240CA">
        <w:rPr>
          <w:rFonts w:ascii="Arial" w:hAnsi="Arial" w:eastAsia="Times New Roman" w:cs="Arial"/>
          <w:sz w:val="20"/>
          <w:szCs w:val="20"/>
        </w:rPr>
        <w:t>h</w:t>
      </w:r>
      <w:r w:rsidR="004135E7">
        <w:rPr>
          <w:rFonts w:ascii="Arial" w:hAnsi="Arial" w:eastAsia="Times New Roman" w:cs="Arial"/>
          <w:sz w:val="20"/>
          <w:szCs w:val="20"/>
        </w:rPr>
        <w:t xml:space="preserve">e positioning of 'rescue' treatment, in a sequential manner, and that there was no convincing evidence that NICE had itself introduced a procedurally unfair late change in its approach in this regard.  </w:t>
      </w:r>
      <w:r w:rsidR="00E240CA">
        <w:rPr>
          <w:rFonts w:ascii="Arial" w:hAnsi="Arial" w:eastAsia="Times New Roman" w:cs="Arial"/>
          <w:sz w:val="20"/>
          <w:szCs w:val="20"/>
        </w:rPr>
        <w:t xml:space="preserve">I am persuaded by your response to my initial scrutiny letter that the position is arguably different in this </w:t>
      </w:r>
      <w:proofErr w:type="gramStart"/>
      <w:r w:rsidR="00E240CA">
        <w:rPr>
          <w:rFonts w:ascii="Arial" w:hAnsi="Arial" w:eastAsia="Times New Roman" w:cs="Arial"/>
          <w:sz w:val="20"/>
          <w:szCs w:val="20"/>
        </w:rPr>
        <w:t>case, and</w:t>
      </w:r>
      <w:proofErr w:type="gramEnd"/>
      <w:r w:rsidR="00E240CA">
        <w:rPr>
          <w:rFonts w:ascii="Arial" w:hAnsi="Arial" w:eastAsia="Times New Roman" w:cs="Arial"/>
          <w:sz w:val="20"/>
          <w:szCs w:val="20"/>
        </w:rPr>
        <w:t xml:space="preserve"> anticipate that the Appeal Panel will wish to explore in further detail whether the Committee did in fact "shift its position on a key issue" before considering the fairness or otherwise of any such change in position. </w:t>
      </w:r>
    </w:p>
    <w:p w:rsidRPr="0095504C" w:rsidR="0095504C" w:rsidP="0095504C" w:rsidRDefault="0095504C" w14:paraId="06C67B8F" w14:textId="77777777">
      <w:pPr>
        <w:spacing w:before="240" w:after="240"/>
        <w:jc w:val="both"/>
        <w:rPr>
          <w:rFonts w:ascii="Arial" w:hAnsi="Arial" w:eastAsia="Times New Roman" w:cs="Arial"/>
          <w:b/>
          <w:sz w:val="20"/>
          <w:szCs w:val="20"/>
          <w:u w:val="single"/>
        </w:rPr>
      </w:pPr>
      <w:r w:rsidRPr="0095504C">
        <w:rPr>
          <w:rFonts w:ascii="Arial" w:hAnsi="Arial" w:eastAsia="Times New Roman" w:cs="Arial"/>
          <w:b/>
          <w:sz w:val="20"/>
          <w:szCs w:val="20"/>
          <w:u w:val="single"/>
        </w:rPr>
        <w:t xml:space="preserve">Appeal </w:t>
      </w:r>
      <w:proofErr w:type="gramStart"/>
      <w:r w:rsidRPr="0095504C">
        <w:rPr>
          <w:rFonts w:ascii="Arial" w:hAnsi="Arial" w:eastAsia="Times New Roman" w:cs="Arial"/>
          <w:b/>
          <w:sz w:val="20"/>
          <w:szCs w:val="20"/>
          <w:u w:val="single"/>
        </w:rPr>
        <w:t>point</w:t>
      </w:r>
      <w:proofErr w:type="gramEnd"/>
      <w:r w:rsidRPr="0095504C">
        <w:rPr>
          <w:rFonts w:ascii="Arial" w:hAnsi="Arial" w:eastAsia="Times New Roman" w:cs="Arial"/>
          <w:b/>
          <w:sz w:val="20"/>
          <w:szCs w:val="20"/>
          <w:u w:val="single"/>
        </w:rPr>
        <w:t xml:space="preserve"> 1(a).2: NICE’s refusal of UCB’s request for technical engagement before the first meeting of the Appraisal Committee was procedurally unfair and has prejudiced the conduct of the appraisal. </w:t>
      </w:r>
    </w:p>
    <w:p w:rsidR="00FB7462" w:rsidP="0095504C" w:rsidRDefault="00DC59DE" w14:paraId="1B1ACF4B" w14:textId="464387EC">
      <w:pPr>
        <w:spacing w:line="288" w:lineRule="auto"/>
        <w:jc w:val="both"/>
        <w:rPr>
          <w:rFonts w:ascii="Arial" w:hAnsi="Arial" w:eastAsia="Times New Roman" w:cs="Arial"/>
          <w:sz w:val="20"/>
          <w:szCs w:val="20"/>
        </w:rPr>
      </w:pPr>
      <w:r>
        <w:rPr>
          <w:rFonts w:ascii="Arial" w:hAnsi="Arial" w:eastAsia="Times New Roman" w:cs="Arial"/>
          <w:sz w:val="20"/>
          <w:szCs w:val="20"/>
        </w:rPr>
        <w:t xml:space="preserve">I have considered the arguments made in response to my initial scrutiny views, and in particular Annex C. </w:t>
      </w:r>
      <w:r w:rsidR="00FB7462">
        <w:rPr>
          <w:rFonts w:ascii="Arial" w:hAnsi="Arial" w:eastAsia="Times New Roman" w:cs="Arial"/>
          <w:sz w:val="20"/>
          <w:szCs w:val="20"/>
        </w:rPr>
        <w:t>There, you set out the issues raised by UCB</w:t>
      </w:r>
      <w:r w:rsidR="003B6BDC">
        <w:rPr>
          <w:rFonts w:ascii="Arial" w:hAnsi="Arial" w:eastAsia="Times New Roman" w:cs="Arial"/>
          <w:sz w:val="20"/>
          <w:szCs w:val="20"/>
        </w:rPr>
        <w:t xml:space="preserve"> which you consider could have been resolved by</w:t>
      </w:r>
      <w:r w:rsidR="00FB7462">
        <w:rPr>
          <w:rFonts w:ascii="Arial" w:hAnsi="Arial" w:eastAsia="Times New Roman" w:cs="Arial"/>
          <w:sz w:val="20"/>
          <w:szCs w:val="20"/>
        </w:rPr>
        <w:t xml:space="preserve"> technical engagement, and NICE's response to those issues. </w:t>
      </w:r>
    </w:p>
    <w:p w:rsidR="00FB7462" w:rsidP="0095504C" w:rsidRDefault="00FB7462" w14:paraId="68D00C71" w14:textId="7A714DDB">
      <w:pPr>
        <w:spacing w:line="288" w:lineRule="auto"/>
        <w:jc w:val="both"/>
        <w:rPr>
          <w:rFonts w:ascii="Arial" w:hAnsi="Arial" w:eastAsia="Times New Roman" w:cs="Arial"/>
          <w:sz w:val="20"/>
          <w:szCs w:val="20"/>
        </w:rPr>
      </w:pPr>
      <w:r>
        <w:rPr>
          <w:rFonts w:ascii="Arial" w:hAnsi="Arial" w:eastAsia="Times New Roman" w:cs="Arial"/>
          <w:sz w:val="20"/>
          <w:szCs w:val="20"/>
        </w:rPr>
        <w:t xml:space="preserve">I note that the issues which you consider required technical engagement in the body of your letter (i.e. the modelling of comparators, the decision rule and approach to subsequent treatments) do not appear to </w:t>
      </w:r>
      <w:r w:rsidR="00E240CA">
        <w:rPr>
          <w:rFonts w:ascii="Arial" w:hAnsi="Arial" w:eastAsia="Times New Roman" w:cs="Arial"/>
          <w:sz w:val="20"/>
          <w:szCs w:val="20"/>
        </w:rPr>
        <w:t>be included in the list in Annex C of those</w:t>
      </w:r>
      <w:r>
        <w:rPr>
          <w:rFonts w:ascii="Arial" w:hAnsi="Arial" w:eastAsia="Times New Roman" w:cs="Arial"/>
          <w:sz w:val="20"/>
          <w:szCs w:val="20"/>
        </w:rPr>
        <w:t xml:space="preserve"> raised with NICE during the appraisal process. </w:t>
      </w:r>
    </w:p>
    <w:p w:rsidR="003B6BDC" w:rsidP="0095504C" w:rsidRDefault="00FB7462" w14:paraId="4F6E682C" w14:textId="72A22728">
      <w:pPr>
        <w:spacing w:line="288" w:lineRule="auto"/>
        <w:jc w:val="both"/>
        <w:rPr>
          <w:rFonts w:ascii="Arial" w:hAnsi="Arial" w:eastAsia="Times New Roman" w:cs="Arial"/>
          <w:sz w:val="20"/>
          <w:szCs w:val="20"/>
        </w:rPr>
      </w:pPr>
      <w:r>
        <w:rPr>
          <w:rFonts w:ascii="Arial" w:hAnsi="Arial" w:eastAsia="Times New Roman" w:cs="Arial"/>
          <w:sz w:val="20"/>
          <w:szCs w:val="20"/>
        </w:rPr>
        <w:t xml:space="preserve">Annex C </w:t>
      </w:r>
      <w:r w:rsidR="00E240CA">
        <w:rPr>
          <w:rFonts w:ascii="Arial" w:hAnsi="Arial" w:eastAsia="Times New Roman" w:cs="Arial"/>
          <w:sz w:val="20"/>
          <w:szCs w:val="20"/>
        </w:rPr>
        <w:t xml:space="preserve">does record </w:t>
      </w:r>
      <w:r>
        <w:rPr>
          <w:rFonts w:ascii="Arial" w:hAnsi="Arial" w:eastAsia="Times New Roman" w:cs="Arial"/>
          <w:sz w:val="20"/>
          <w:szCs w:val="20"/>
        </w:rPr>
        <w:t>that NICE t</w:t>
      </w:r>
      <w:r w:rsidR="00E240CA">
        <w:rPr>
          <w:rFonts w:ascii="Arial" w:hAnsi="Arial" w:eastAsia="Times New Roman" w:cs="Arial"/>
          <w:sz w:val="20"/>
          <w:szCs w:val="20"/>
        </w:rPr>
        <w:t>ook</w:t>
      </w:r>
      <w:r>
        <w:rPr>
          <w:rFonts w:ascii="Arial" w:hAnsi="Arial" w:eastAsia="Times New Roman" w:cs="Arial"/>
          <w:sz w:val="20"/>
          <w:szCs w:val="20"/>
        </w:rPr>
        <w:t xml:space="preserve"> account </w:t>
      </w:r>
      <w:r w:rsidR="00E240CA">
        <w:rPr>
          <w:rFonts w:ascii="Arial" w:hAnsi="Arial" w:eastAsia="Times New Roman" w:cs="Arial"/>
          <w:sz w:val="20"/>
          <w:szCs w:val="20"/>
        </w:rPr>
        <w:t xml:space="preserve">of </w:t>
      </w:r>
      <w:r>
        <w:rPr>
          <w:rFonts w:ascii="Arial" w:hAnsi="Arial" w:eastAsia="Times New Roman" w:cs="Arial"/>
          <w:sz w:val="20"/>
          <w:szCs w:val="20"/>
        </w:rPr>
        <w:t xml:space="preserve">the issues </w:t>
      </w:r>
      <w:r w:rsidR="00152160">
        <w:rPr>
          <w:rFonts w:ascii="Arial" w:hAnsi="Arial" w:eastAsia="Times New Roman" w:cs="Arial"/>
          <w:sz w:val="20"/>
          <w:szCs w:val="20"/>
        </w:rPr>
        <w:t xml:space="preserve">recorded there </w:t>
      </w:r>
      <w:r>
        <w:rPr>
          <w:rFonts w:ascii="Arial" w:hAnsi="Arial" w:eastAsia="Times New Roman" w:cs="Arial"/>
          <w:sz w:val="20"/>
          <w:szCs w:val="20"/>
        </w:rPr>
        <w:t xml:space="preserve">which you considered capable of resolution through technical </w:t>
      </w:r>
      <w:proofErr w:type="gramStart"/>
      <w:r>
        <w:rPr>
          <w:rFonts w:ascii="Arial" w:hAnsi="Arial" w:eastAsia="Times New Roman" w:cs="Arial"/>
          <w:sz w:val="20"/>
          <w:szCs w:val="20"/>
        </w:rPr>
        <w:t>engagement, but</w:t>
      </w:r>
      <w:proofErr w:type="gramEnd"/>
      <w:r>
        <w:rPr>
          <w:rFonts w:ascii="Arial" w:hAnsi="Arial" w:eastAsia="Times New Roman" w:cs="Arial"/>
          <w:sz w:val="20"/>
          <w:szCs w:val="20"/>
        </w:rPr>
        <w:t xml:space="preserve"> disagreed with your view that technical engagement w</w:t>
      </w:r>
      <w:r w:rsidR="003B6BDC">
        <w:rPr>
          <w:rFonts w:ascii="Arial" w:hAnsi="Arial" w:eastAsia="Times New Roman" w:cs="Arial"/>
          <w:sz w:val="20"/>
          <w:szCs w:val="20"/>
        </w:rPr>
        <w:t xml:space="preserve">as the appropriate forum to resolve those issues. </w:t>
      </w:r>
    </w:p>
    <w:p w:rsidR="003B6BDC" w:rsidP="0095504C" w:rsidRDefault="003B6BDC" w14:paraId="4B5212A5" w14:textId="4F932842">
      <w:pPr>
        <w:spacing w:line="288" w:lineRule="auto"/>
        <w:jc w:val="both"/>
        <w:rPr>
          <w:rFonts w:ascii="Arial" w:hAnsi="Arial" w:eastAsia="Times New Roman" w:cs="Arial"/>
          <w:sz w:val="20"/>
          <w:szCs w:val="20"/>
        </w:rPr>
      </w:pPr>
      <w:r>
        <w:rPr>
          <w:rFonts w:ascii="Arial" w:hAnsi="Arial" w:eastAsia="Times New Roman" w:cs="Arial"/>
          <w:sz w:val="20"/>
          <w:szCs w:val="20"/>
        </w:rPr>
        <w:t>As I explained in my previous letter, technical engagement will only be included "</w:t>
      </w:r>
      <w:r w:rsidRPr="003B6BDC">
        <w:rPr>
          <w:rFonts w:ascii="Arial" w:hAnsi="Arial" w:eastAsia="Times New Roman" w:cs="Arial"/>
          <w:i/>
          <w:iCs/>
          <w:sz w:val="20"/>
          <w:szCs w:val="20"/>
        </w:rPr>
        <w:t>if NICE considers that it is appropriate, helpful and proportionate, taking into account whether the technical engagement process is likely to resolve key issues before the committee meeting</w:t>
      </w:r>
      <w:r>
        <w:rPr>
          <w:rFonts w:ascii="Arial" w:hAnsi="Arial" w:eastAsia="Times New Roman" w:cs="Arial"/>
          <w:sz w:val="20"/>
          <w:szCs w:val="20"/>
        </w:rPr>
        <w:t xml:space="preserve">". Incorporating technical engagement into the appraisal process is at NICE's discretion, and in this instance, </w:t>
      </w:r>
      <w:proofErr w:type="gramStart"/>
      <w:r>
        <w:rPr>
          <w:rFonts w:ascii="Arial" w:hAnsi="Arial" w:eastAsia="Times New Roman" w:cs="Arial"/>
          <w:sz w:val="20"/>
          <w:szCs w:val="20"/>
        </w:rPr>
        <w:t>it is clear that NICE</w:t>
      </w:r>
      <w:proofErr w:type="gramEnd"/>
      <w:r>
        <w:rPr>
          <w:rFonts w:ascii="Arial" w:hAnsi="Arial" w:eastAsia="Times New Roman" w:cs="Arial"/>
          <w:sz w:val="20"/>
          <w:szCs w:val="20"/>
        </w:rPr>
        <w:t xml:space="preserve"> did not consider technical engagement to be appropriate, helpful or proportionate. </w:t>
      </w:r>
    </w:p>
    <w:p w:rsidR="00FB7462" w:rsidP="0095504C" w:rsidRDefault="003B6BDC" w14:paraId="254938B6" w14:textId="599F321B">
      <w:pPr>
        <w:spacing w:line="288" w:lineRule="auto"/>
        <w:jc w:val="both"/>
        <w:rPr>
          <w:rFonts w:ascii="Arial" w:hAnsi="Arial" w:eastAsia="Times New Roman" w:cs="Arial"/>
          <w:sz w:val="20"/>
          <w:szCs w:val="20"/>
        </w:rPr>
      </w:pPr>
      <w:r>
        <w:rPr>
          <w:rFonts w:ascii="Arial" w:hAnsi="Arial" w:eastAsia="Times New Roman" w:cs="Arial"/>
          <w:sz w:val="20"/>
          <w:szCs w:val="20"/>
        </w:rPr>
        <w:t xml:space="preserve">I consider </w:t>
      </w:r>
      <w:r w:rsidR="00FB7462">
        <w:rPr>
          <w:rFonts w:ascii="Arial" w:hAnsi="Arial" w:eastAsia="Times New Roman" w:cs="Arial"/>
          <w:sz w:val="20"/>
          <w:szCs w:val="20"/>
        </w:rPr>
        <w:t xml:space="preserve">this to be in accordance with the provisions of the Manual, and do not consider there to be procedural unfairness. </w:t>
      </w:r>
    </w:p>
    <w:p w:rsidRPr="0095504C" w:rsidR="0095504C" w:rsidP="00FB7462" w:rsidRDefault="00FB7462" w14:paraId="30F18932" w14:textId="0E0D87B1">
      <w:pPr>
        <w:spacing w:line="288" w:lineRule="auto"/>
        <w:jc w:val="both"/>
        <w:rPr>
          <w:rFonts w:ascii="Arial" w:hAnsi="Arial" w:eastAsia="Times New Roman" w:cs="Arial"/>
          <w:sz w:val="20"/>
          <w:szCs w:val="20"/>
        </w:rPr>
      </w:pPr>
      <w:r w:rsidRPr="00A660C3">
        <w:rPr>
          <w:rFonts w:ascii="Arial" w:hAnsi="Arial" w:eastAsia="Times New Roman" w:cs="Arial"/>
          <w:sz w:val="20"/>
          <w:szCs w:val="20"/>
        </w:rPr>
        <w:t xml:space="preserve">For that reason, I confirm my view at initial scrutiny not to refer this appeal point to the Appeal Panel. </w:t>
      </w:r>
    </w:p>
    <w:p w:rsidRPr="0095504C" w:rsidR="0095504C" w:rsidP="0095504C" w:rsidRDefault="0095504C" w14:paraId="3D29161C" w14:textId="77777777">
      <w:pPr>
        <w:spacing w:before="240" w:after="240"/>
        <w:jc w:val="both"/>
        <w:rPr>
          <w:rFonts w:ascii="Arial" w:hAnsi="Arial" w:eastAsia="Times New Roman" w:cs="Arial"/>
          <w:b/>
          <w:sz w:val="20"/>
          <w:szCs w:val="20"/>
          <w:u w:val="single"/>
        </w:rPr>
      </w:pPr>
      <w:r w:rsidRPr="0095504C">
        <w:rPr>
          <w:rFonts w:ascii="Arial" w:hAnsi="Arial" w:eastAsia="Times New Roman" w:cs="Arial"/>
          <w:b/>
          <w:sz w:val="20"/>
          <w:szCs w:val="20"/>
          <w:u w:val="single"/>
        </w:rPr>
        <w:t xml:space="preserve">Appeal </w:t>
      </w:r>
      <w:proofErr w:type="gramStart"/>
      <w:r w:rsidRPr="0095504C">
        <w:rPr>
          <w:rFonts w:ascii="Arial" w:hAnsi="Arial" w:eastAsia="Times New Roman" w:cs="Arial"/>
          <w:b/>
          <w:sz w:val="20"/>
          <w:szCs w:val="20"/>
          <w:u w:val="single"/>
        </w:rPr>
        <w:t>point</w:t>
      </w:r>
      <w:proofErr w:type="gramEnd"/>
      <w:r w:rsidRPr="0095504C">
        <w:rPr>
          <w:rFonts w:ascii="Arial" w:hAnsi="Arial" w:eastAsia="Times New Roman" w:cs="Arial"/>
          <w:b/>
          <w:sz w:val="20"/>
          <w:szCs w:val="20"/>
          <w:u w:val="single"/>
        </w:rPr>
        <w:t xml:space="preserve"> 1(a).3: The Committee’s decision-making in relation to subsequent treatment in refractory generalised myasthenia gravis lacks transparency and disregards the evidence available to the Committee. </w:t>
      </w:r>
    </w:p>
    <w:p w:rsidR="002A50E3" w:rsidP="0095504C" w:rsidRDefault="002A50E3" w14:paraId="6FC47299" w14:textId="4E852857">
      <w:pPr>
        <w:spacing w:line="288" w:lineRule="auto"/>
        <w:jc w:val="both"/>
        <w:rPr>
          <w:rFonts w:ascii="Arial" w:hAnsi="Arial" w:eastAsia="Times New Roman" w:cs="Arial"/>
          <w:sz w:val="20"/>
          <w:szCs w:val="20"/>
        </w:rPr>
      </w:pPr>
      <w:r>
        <w:rPr>
          <w:rFonts w:ascii="Arial" w:hAnsi="Arial" w:eastAsia="Times New Roman" w:cs="Arial"/>
          <w:sz w:val="20"/>
          <w:szCs w:val="20"/>
        </w:rPr>
        <w:t xml:space="preserve">At initial scrutiny, I was not minded </w:t>
      </w:r>
      <w:proofErr w:type="gramStart"/>
      <w:r>
        <w:rPr>
          <w:rFonts w:ascii="Arial" w:hAnsi="Arial" w:eastAsia="Times New Roman" w:cs="Arial"/>
          <w:sz w:val="20"/>
          <w:szCs w:val="20"/>
        </w:rPr>
        <w:t>to refer</w:t>
      </w:r>
      <w:proofErr w:type="gramEnd"/>
      <w:r>
        <w:rPr>
          <w:rFonts w:ascii="Arial" w:hAnsi="Arial" w:eastAsia="Times New Roman" w:cs="Arial"/>
          <w:sz w:val="20"/>
          <w:szCs w:val="20"/>
        </w:rPr>
        <w:t xml:space="preserve"> this appeal </w:t>
      </w:r>
      <w:proofErr w:type="gramStart"/>
      <w:r>
        <w:rPr>
          <w:rFonts w:ascii="Arial" w:hAnsi="Arial" w:eastAsia="Times New Roman" w:cs="Arial"/>
          <w:sz w:val="20"/>
          <w:szCs w:val="20"/>
        </w:rPr>
        <w:t>point</w:t>
      </w:r>
      <w:proofErr w:type="gramEnd"/>
      <w:r>
        <w:rPr>
          <w:rFonts w:ascii="Arial" w:hAnsi="Arial" w:eastAsia="Times New Roman" w:cs="Arial"/>
          <w:sz w:val="20"/>
          <w:szCs w:val="20"/>
        </w:rPr>
        <w:t xml:space="preserve"> to the Appeal Panel on the basis that I did not accept the characterisation that the Committee preferred the EAG's estimation "</w:t>
      </w:r>
      <w:r w:rsidRPr="008E12A8">
        <w:rPr>
          <w:rFonts w:ascii="Arial" w:hAnsi="Arial" w:eastAsia="Times New Roman" w:cs="Arial"/>
          <w:i/>
          <w:iCs/>
          <w:sz w:val="20"/>
          <w:szCs w:val="20"/>
        </w:rPr>
        <w:t>solely on the basis that this is "in between NHSE's and the Company's</w:t>
      </w:r>
      <w:r w:rsidR="008E12A8">
        <w:rPr>
          <w:rFonts w:ascii="Arial" w:hAnsi="Arial" w:eastAsia="Times New Roman" w:cs="Arial"/>
          <w:sz w:val="20"/>
          <w:szCs w:val="20"/>
        </w:rPr>
        <w:t xml:space="preserve">". </w:t>
      </w:r>
    </w:p>
    <w:p w:rsidR="00C4763A" w:rsidP="0095504C" w:rsidRDefault="00C4763A" w14:paraId="19CA14E3" w14:textId="0D75C5FC">
      <w:pPr>
        <w:spacing w:line="288" w:lineRule="auto"/>
        <w:jc w:val="both"/>
        <w:rPr>
          <w:rFonts w:ascii="Arial" w:hAnsi="Arial" w:eastAsia="Times New Roman" w:cs="Arial"/>
          <w:i/>
          <w:iCs/>
          <w:sz w:val="20"/>
          <w:szCs w:val="20"/>
        </w:rPr>
      </w:pPr>
      <w:r>
        <w:rPr>
          <w:rFonts w:ascii="Arial" w:hAnsi="Arial" w:eastAsia="Times New Roman" w:cs="Arial"/>
          <w:sz w:val="20"/>
          <w:szCs w:val="20"/>
        </w:rPr>
        <w:t xml:space="preserve">In considering whether this is an arguable appeal point, I have been assisted by the Company's </w:t>
      </w:r>
      <w:r w:rsidR="00A660C3">
        <w:rPr>
          <w:rFonts w:ascii="Arial" w:hAnsi="Arial" w:eastAsia="Times New Roman" w:cs="Arial"/>
          <w:sz w:val="20"/>
          <w:szCs w:val="20"/>
        </w:rPr>
        <w:t>position</w:t>
      </w:r>
      <w:r>
        <w:rPr>
          <w:rFonts w:ascii="Arial" w:hAnsi="Arial" w:eastAsia="Times New Roman" w:cs="Arial"/>
          <w:sz w:val="20"/>
          <w:szCs w:val="20"/>
        </w:rPr>
        <w:t xml:space="preserve"> that "</w:t>
      </w:r>
      <w:r>
        <w:rPr>
          <w:rFonts w:ascii="Arial" w:hAnsi="Arial" w:eastAsia="Times New Roman" w:cs="Arial"/>
          <w:i/>
          <w:iCs/>
          <w:sz w:val="20"/>
          <w:szCs w:val="20"/>
        </w:rPr>
        <w:t xml:space="preserve">the Committee relied upon unsupported assertion by the EAG and NHS England to challenge the transparent data produced by UCB and supported by Professor Leite, a clinical expert to this appraisal". </w:t>
      </w:r>
    </w:p>
    <w:p w:rsidR="002A50E3" w:rsidP="0095504C" w:rsidRDefault="00C4763A" w14:paraId="3D6EAF83" w14:textId="52B4524F">
      <w:pPr>
        <w:spacing w:line="288" w:lineRule="auto"/>
        <w:jc w:val="both"/>
        <w:rPr>
          <w:rFonts w:ascii="Arial" w:hAnsi="Arial" w:eastAsia="Times New Roman" w:cs="Arial"/>
          <w:sz w:val="20"/>
          <w:szCs w:val="20"/>
        </w:rPr>
      </w:pPr>
      <w:r>
        <w:rPr>
          <w:rFonts w:ascii="Arial" w:hAnsi="Arial" w:eastAsia="Times New Roman" w:cs="Arial"/>
          <w:sz w:val="20"/>
          <w:szCs w:val="20"/>
        </w:rPr>
        <w:t xml:space="preserve">Although I do not consider it arguable that the Committee disregarded the evidence available to it, </w:t>
      </w:r>
      <w:r w:rsidR="005F14A7">
        <w:rPr>
          <w:rFonts w:ascii="Arial" w:hAnsi="Arial" w:eastAsia="Times New Roman" w:cs="Arial"/>
          <w:sz w:val="20"/>
          <w:szCs w:val="20"/>
        </w:rPr>
        <w:t>I</w:t>
      </w:r>
      <w:r w:rsidR="002A50E3">
        <w:rPr>
          <w:rFonts w:ascii="Arial" w:hAnsi="Arial" w:eastAsia="Times New Roman" w:cs="Arial"/>
          <w:sz w:val="20"/>
          <w:szCs w:val="20"/>
        </w:rPr>
        <w:t xml:space="preserve"> accept that it would be arguably procedurally unfair for the Committee to apply different standards to evidence it is prepared to accept from different stakeholders. </w:t>
      </w:r>
    </w:p>
    <w:p w:rsidR="005F14A7" w:rsidP="0095504C" w:rsidRDefault="005F14A7" w14:paraId="491093AE" w14:textId="21AF9C3D">
      <w:pPr>
        <w:spacing w:line="288" w:lineRule="auto"/>
        <w:jc w:val="both"/>
        <w:rPr>
          <w:rFonts w:ascii="Arial" w:hAnsi="Arial" w:eastAsia="Times New Roman" w:cs="Arial"/>
          <w:sz w:val="20"/>
          <w:szCs w:val="20"/>
        </w:rPr>
      </w:pPr>
      <w:r>
        <w:rPr>
          <w:rFonts w:ascii="Arial" w:hAnsi="Arial" w:eastAsia="Times New Roman" w:cs="Arial"/>
          <w:sz w:val="20"/>
          <w:szCs w:val="20"/>
        </w:rPr>
        <w:t xml:space="preserve">I therefore refer this appeal point 1(a)3 to the Appeal Panel as follows: </w:t>
      </w:r>
    </w:p>
    <w:p w:rsidRPr="005F14A7" w:rsidR="005F14A7" w:rsidP="005F14A7" w:rsidRDefault="005F14A7" w14:paraId="313A7EB6" w14:textId="263C096B">
      <w:pPr>
        <w:spacing w:line="288" w:lineRule="auto"/>
        <w:ind w:left="720"/>
        <w:jc w:val="both"/>
        <w:rPr>
          <w:rFonts w:ascii="Arial" w:hAnsi="Arial" w:eastAsia="Times New Roman" w:cs="Arial"/>
          <w:i/>
          <w:iCs/>
          <w:sz w:val="20"/>
          <w:szCs w:val="20"/>
        </w:rPr>
      </w:pPr>
      <w:r>
        <w:rPr>
          <w:rFonts w:ascii="Arial" w:hAnsi="Arial" w:eastAsia="Times New Roman" w:cs="Arial"/>
          <w:sz w:val="20"/>
          <w:szCs w:val="20"/>
        </w:rPr>
        <w:t>"</w:t>
      </w:r>
      <w:r>
        <w:rPr>
          <w:rFonts w:ascii="Arial" w:hAnsi="Arial" w:eastAsia="Times New Roman" w:cs="Arial"/>
          <w:i/>
          <w:iCs/>
          <w:sz w:val="20"/>
          <w:szCs w:val="20"/>
        </w:rPr>
        <w:t xml:space="preserve">The Committee's preferred assumption for using the EAG's approach of modelling subsequent </w:t>
      </w:r>
      <w:r w:rsidR="00152160">
        <w:rPr>
          <w:rFonts w:ascii="Arial" w:hAnsi="Arial" w:eastAsia="Times New Roman" w:cs="Arial"/>
          <w:i/>
          <w:iCs/>
          <w:sz w:val="20"/>
          <w:szCs w:val="20"/>
        </w:rPr>
        <w:t xml:space="preserve">treatment </w:t>
      </w:r>
      <w:r>
        <w:rPr>
          <w:rFonts w:ascii="Arial" w:hAnsi="Arial" w:eastAsia="Times New Roman" w:cs="Arial"/>
          <w:i/>
          <w:iCs/>
          <w:sz w:val="20"/>
          <w:szCs w:val="20"/>
        </w:rPr>
        <w:t>lacks transparency"</w:t>
      </w:r>
    </w:p>
    <w:p w:rsidRPr="002E28E4" w:rsidR="00A660C3" w:rsidP="002E28E4" w:rsidRDefault="0095504C" w14:paraId="79CD3626" w14:textId="6D164BD5">
      <w:pPr>
        <w:spacing w:before="240" w:after="240"/>
        <w:jc w:val="both"/>
        <w:rPr>
          <w:rFonts w:ascii="Arial" w:hAnsi="Arial" w:eastAsia="Times New Roman" w:cs="Arial"/>
          <w:b/>
          <w:sz w:val="20"/>
          <w:szCs w:val="20"/>
          <w:u w:val="single"/>
        </w:rPr>
      </w:pPr>
      <w:r w:rsidRPr="0095504C">
        <w:rPr>
          <w:rFonts w:ascii="Arial" w:hAnsi="Arial" w:eastAsia="Times New Roman" w:cs="Arial"/>
          <w:b/>
          <w:sz w:val="20"/>
          <w:szCs w:val="20"/>
          <w:u w:val="single"/>
        </w:rPr>
        <w:t xml:space="preserve">Appeal </w:t>
      </w:r>
      <w:proofErr w:type="gramStart"/>
      <w:r w:rsidRPr="0095504C">
        <w:rPr>
          <w:rFonts w:ascii="Arial" w:hAnsi="Arial" w:eastAsia="Times New Roman" w:cs="Arial"/>
          <w:b/>
          <w:sz w:val="20"/>
          <w:szCs w:val="20"/>
          <w:u w:val="single"/>
        </w:rPr>
        <w:t>point</w:t>
      </w:r>
      <w:proofErr w:type="gramEnd"/>
      <w:r w:rsidRPr="0095504C">
        <w:rPr>
          <w:rFonts w:ascii="Arial" w:hAnsi="Arial" w:eastAsia="Times New Roman" w:cs="Arial"/>
          <w:b/>
          <w:sz w:val="20"/>
          <w:szCs w:val="20"/>
          <w:u w:val="single"/>
        </w:rPr>
        <w:t xml:space="preserve"> 1(a).4: In referring to uncertainties, the Committee has failed to </w:t>
      </w:r>
      <w:proofErr w:type="gramStart"/>
      <w:r w:rsidRPr="0095504C">
        <w:rPr>
          <w:rFonts w:ascii="Arial" w:hAnsi="Arial" w:eastAsia="Times New Roman" w:cs="Arial"/>
          <w:b/>
          <w:sz w:val="20"/>
          <w:szCs w:val="20"/>
          <w:u w:val="single"/>
        </w:rPr>
        <w:t>take into account</w:t>
      </w:r>
      <w:proofErr w:type="gramEnd"/>
      <w:r w:rsidRPr="0095504C">
        <w:rPr>
          <w:rFonts w:ascii="Arial" w:hAnsi="Arial" w:eastAsia="Times New Roman" w:cs="Arial"/>
          <w:b/>
          <w:sz w:val="20"/>
          <w:szCs w:val="20"/>
          <w:u w:val="single"/>
        </w:rPr>
        <w:t xml:space="preserve"> the fact that IVIg and PLEX are not licensed for the treatment of </w:t>
      </w:r>
      <w:proofErr w:type="spellStart"/>
      <w:r w:rsidRPr="0095504C">
        <w:rPr>
          <w:rFonts w:ascii="Arial" w:hAnsi="Arial" w:eastAsia="Times New Roman" w:cs="Arial"/>
          <w:b/>
          <w:sz w:val="20"/>
          <w:szCs w:val="20"/>
          <w:u w:val="single"/>
        </w:rPr>
        <w:t>gMG</w:t>
      </w:r>
      <w:proofErr w:type="spellEnd"/>
      <w:r w:rsidRPr="0095504C">
        <w:rPr>
          <w:rFonts w:ascii="Arial" w:hAnsi="Arial" w:eastAsia="Times New Roman" w:cs="Arial"/>
          <w:b/>
          <w:sz w:val="20"/>
          <w:szCs w:val="20"/>
          <w:u w:val="single"/>
        </w:rPr>
        <w:t xml:space="preserve"> and that data for their use in this indication </w:t>
      </w:r>
      <w:proofErr w:type="gramStart"/>
      <w:r w:rsidRPr="0095504C">
        <w:rPr>
          <w:rFonts w:ascii="Arial" w:hAnsi="Arial" w:eastAsia="Times New Roman" w:cs="Arial"/>
          <w:b/>
          <w:sz w:val="20"/>
          <w:szCs w:val="20"/>
          <w:u w:val="single"/>
        </w:rPr>
        <w:t>are</w:t>
      </w:r>
      <w:proofErr w:type="gramEnd"/>
      <w:r w:rsidRPr="0095504C">
        <w:rPr>
          <w:rFonts w:ascii="Arial" w:hAnsi="Arial" w:eastAsia="Times New Roman" w:cs="Arial"/>
          <w:b/>
          <w:sz w:val="20"/>
          <w:szCs w:val="20"/>
          <w:u w:val="single"/>
        </w:rPr>
        <w:t xml:space="preserve"> very limited together with the perverse implications of negative guidance for zilucoplan</w:t>
      </w:r>
    </w:p>
    <w:p w:rsidR="00B40993" w:rsidP="0095504C" w:rsidRDefault="002E28E4" w14:paraId="0B5DE454" w14:textId="6AC678E3">
      <w:pPr>
        <w:spacing w:line="288" w:lineRule="auto"/>
        <w:jc w:val="both"/>
        <w:rPr>
          <w:rFonts w:ascii="Arial" w:hAnsi="Arial" w:eastAsia="Times New Roman" w:cs="Arial"/>
          <w:sz w:val="20"/>
          <w:szCs w:val="20"/>
        </w:rPr>
      </w:pPr>
      <w:r>
        <w:rPr>
          <w:rFonts w:ascii="Arial" w:hAnsi="Arial" w:eastAsia="Times New Roman" w:cs="Arial"/>
          <w:sz w:val="20"/>
          <w:szCs w:val="20"/>
        </w:rPr>
        <w:t xml:space="preserve">Having considered your additional arguments in response to my initial scrutiny view, I remain of the view that it is not </w:t>
      </w:r>
      <w:r w:rsidRPr="0095504C" w:rsidR="0095504C">
        <w:rPr>
          <w:rFonts w:ascii="Arial" w:hAnsi="Arial" w:eastAsia="Times New Roman" w:cs="Arial"/>
          <w:sz w:val="20"/>
          <w:szCs w:val="20"/>
        </w:rPr>
        <w:t xml:space="preserve">arguable that the Committee failed to </w:t>
      </w:r>
      <w:proofErr w:type="gramStart"/>
      <w:r w:rsidRPr="0095504C" w:rsidR="0095504C">
        <w:rPr>
          <w:rFonts w:ascii="Arial" w:hAnsi="Arial" w:eastAsia="Times New Roman" w:cs="Arial"/>
          <w:sz w:val="20"/>
          <w:szCs w:val="20"/>
        </w:rPr>
        <w:t>take into account</w:t>
      </w:r>
      <w:proofErr w:type="gramEnd"/>
      <w:r w:rsidRPr="0095504C" w:rsidR="0095504C">
        <w:rPr>
          <w:rFonts w:ascii="Arial" w:hAnsi="Arial" w:eastAsia="Times New Roman" w:cs="Arial"/>
          <w:sz w:val="20"/>
          <w:szCs w:val="20"/>
        </w:rPr>
        <w:t xml:space="preserve"> the fact that IVIg and PLEX are </w:t>
      </w:r>
      <w:r>
        <w:rPr>
          <w:rFonts w:ascii="Arial" w:hAnsi="Arial" w:eastAsia="Times New Roman" w:cs="Arial"/>
          <w:sz w:val="20"/>
          <w:szCs w:val="20"/>
        </w:rPr>
        <w:t>un</w:t>
      </w:r>
      <w:r w:rsidRPr="0095504C" w:rsidR="0095504C">
        <w:rPr>
          <w:rFonts w:ascii="Arial" w:hAnsi="Arial" w:eastAsia="Times New Roman" w:cs="Arial"/>
          <w:sz w:val="20"/>
          <w:szCs w:val="20"/>
        </w:rPr>
        <w:t xml:space="preserve">licensed for treatment of </w:t>
      </w:r>
      <w:proofErr w:type="spellStart"/>
      <w:r w:rsidRPr="0095504C" w:rsidR="0095504C">
        <w:rPr>
          <w:rFonts w:ascii="Arial" w:hAnsi="Arial" w:eastAsia="Times New Roman" w:cs="Arial"/>
          <w:sz w:val="20"/>
          <w:szCs w:val="20"/>
        </w:rPr>
        <w:t>gMG</w:t>
      </w:r>
      <w:proofErr w:type="spellEnd"/>
      <w:r w:rsidRPr="0095504C" w:rsidR="0095504C">
        <w:rPr>
          <w:rFonts w:ascii="Arial" w:hAnsi="Arial" w:eastAsia="Times New Roman" w:cs="Arial"/>
          <w:sz w:val="20"/>
          <w:szCs w:val="20"/>
        </w:rPr>
        <w:t xml:space="preserve"> and that the data for their use in this indication are limited.</w:t>
      </w:r>
      <w:r w:rsidR="000A32A8">
        <w:rPr>
          <w:rFonts w:ascii="Arial" w:hAnsi="Arial" w:eastAsia="Times New Roman" w:cs="Arial"/>
          <w:sz w:val="20"/>
          <w:szCs w:val="20"/>
        </w:rPr>
        <w:t xml:space="preserve"> That is because of the examples</w:t>
      </w:r>
      <w:r w:rsidR="003B6BDC">
        <w:rPr>
          <w:rFonts w:ascii="Arial" w:hAnsi="Arial" w:eastAsia="Times New Roman" w:cs="Arial"/>
          <w:sz w:val="20"/>
          <w:szCs w:val="20"/>
        </w:rPr>
        <w:t xml:space="preserve"> drawn </w:t>
      </w:r>
      <w:r w:rsidR="000A32A8">
        <w:rPr>
          <w:rFonts w:ascii="Arial" w:hAnsi="Arial" w:eastAsia="Times New Roman" w:cs="Arial"/>
          <w:sz w:val="20"/>
          <w:szCs w:val="20"/>
        </w:rPr>
        <w:t xml:space="preserve">from the FDG in my initial scrutiny letter, and </w:t>
      </w:r>
      <w:proofErr w:type="gramStart"/>
      <w:r w:rsidR="000A32A8">
        <w:rPr>
          <w:rFonts w:ascii="Arial" w:hAnsi="Arial" w:eastAsia="Times New Roman" w:cs="Arial"/>
          <w:sz w:val="20"/>
          <w:szCs w:val="20"/>
        </w:rPr>
        <w:t>in particular that</w:t>
      </w:r>
      <w:proofErr w:type="gramEnd"/>
      <w:r w:rsidR="000A32A8">
        <w:rPr>
          <w:rFonts w:ascii="Arial" w:hAnsi="Arial" w:eastAsia="Times New Roman" w:cs="Arial"/>
          <w:sz w:val="20"/>
          <w:szCs w:val="20"/>
        </w:rPr>
        <w:t xml:space="preserve"> the Committee was acting within the confines of the Manual </w:t>
      </w:r>
      <w:r w:rsidRPr="0095504C" w:rsidR="000A32A8">
        <w:rPr>
          <w:rFonts w:ascii="Arial" w:hAnsi="Arial" w:eastAsia="Times New Roman" w:cs="Arial"/>
          <w:color w:val="333333"/>
          <w:sz w:val="20"/>
          <w:szCs w:val="20"/>
        </w:rPr>
        <w:t>in considering the appropriate comparator</w:t>
      </w:r>
      <w:r w:rsidR="000A32A8">
        <w:rPr>
          <w:rFonts w:ascii="Arial" w:hAnsi="Arial" w:eastAsia="Times New Roman" w:cs="Arial"/>
          <w:color w:val="333333"/>
          <w:sz w:val="20"/>
          <w:szCs w:val="20"/>
        </w:rPr>
        <w:t xml:space="preserve">, guided by </w:t>
      </w:r>
      <w:r w:rsidRPr="0095504C" w:rsidR="000A32A8">
        <w:rPr>
          <w:rFonts w:ascii="Arial" w:hAnsi="Arial" w:eastAsia="Times New Roman" w:cs="Arial"/>
          <w:color w:val="333333"/>
          <w:sz w:val="20"/>
          <w:szCs w:val="20"/>
        </w:rPr>
        <w:t>established practice in the NHS</w:t>
      </w:r>
      <w:r w:rsidR="000A32A8">
        <w:rPr>
          <w:rFonts w:ascii="Arial" w:hAnsi="Arial" w:eastAsia="Times New Roman" w:cs="Arial"/>
          <w:color w:val="333333"/>
          <w:sz w:val="20"/>
          <w:szCs w:val="20"/>
        </w:rPr>
        <w:t>.</w:t>
      </w:r>
    </w:p>
    <w:p w:rsidRPr="0095504C" w:rsidR="000A32A8" w:rsidP="0095504C" w:rsidRDefault="000A32A8" w14:paraId="612FE77E" w14:textId="2880E11D">
      <w:pPr>
        <w:spacing w:line="288" w:lineRule="auto"/>
        <w:jc w:val="both"/>
        <w:rPr>
          <w:rFonts w:ascii="Arial" w:hAnsi="Arial" w:eastAsia="Times New Roman" w:cs="Arial"/>
          <w:sz w:val="20"/>
          <w:szCs w:val="20"/>
        </w:rPr>
      </w:pPr>
      <w:r>
        <w:rPr>
          <w:rFonts w:ascii="Arial" w:hAnsi="Arial" w:eastAsia="Times New Roman" w:cs="Arial"/>
          <w:sz w:val="20"/>
          <w:szCs w:val="20"/>
        </w:rPr>
        <w:t xml:space="preserve">For that reason, I confirm my view at initial scrutiny and will not refer this point to the appeal panel. </w:t>
      </w:r>
    </w:p>
    <w:p w:rsidRPr="0095504C" w:rsidR="0095504C" w:rsidP="0095504C" w:rsidRDefault="0095504C" w14:paraId="139A56EA" w14:textId="77777777">
      <w:pPr>
        <w:spacing w:before="240" w:after="240"/>
        <w:jc w:val="both"/>
        <w:rPr>
          <w:rFonts w:ascii="Arial" w:hAnsi="Arial" w:eastAsia="Times New Roman" w:cs="Arial"/>
          <w:b/>
          <w:sz w:val="20"/>
          <w:szCs w:val="20"/>
          <w:u w:val="single"/>
        </w:rPr>
      </w:pPr>
      <w:r w:rsidRPr="0095504C">
        <w:rPr>
          <w:rFonts w:ascii="Arial" w:hAnsi="Arial" w:eastAsia="Times New Roman" w:cs="Arial"/>
          <w:b/>
          <w:sz w:val="20"/>
          <w:szCs w:val="20"/>
          <w:u w:val="single"/>
        </w:rPr>
        <w:t xml:space="preserve">Appeal </w:t>
      </w:r>
      <w:proofErr w:type="gramStart"/>
      <w:r w:rsidRPr="0095504C">
        <w:rPr>
          <w:rFonts w:ascii="Arial" w:hAnsi="Arial" w:eastAsia="Times New Roman" w:cs="Arial"/>
          <w:b/>
          <w:sz w:val="20"/>
          <w:szCs w:val="20"/>
          <w:u w:val="single"/>
        </w:rPr>
        <w:t>point</w:t>
      </w:r>
      <w:proofErr w:type="gramEnd"/>
      <w:r w:rsidRPr="0095504C">
        <w:rPr>
          <w:rFonts w:ascii="Arial" w:hAnsi="Arial" w:eastAsia="Times New Roman" w:cs="Arial"/>
          <w:b/>
          <w:sz w:val="20"/>
          <w:szCs w:val="20"/>
          <w:u w:val="single"/>
        </w:rPr>
        <w:t xml:space="preserve"> 1(a).5: The Committee’s approach to consideration of uncaptured benefits lacks transparency and appears incomplete</w:t>
      </w:r>
    </w:p>
    <w:p w:rsidR="005F11B3" w:rsidP="0095504C" w:rsidRDefault="000A32A8" w14:paraId="570138C2" w14:textId="7AEE404E">
      <w:pPr>
        <w:spacing w:line="288" w:lineRule="auto"/>
        <w:jc w:val="both"/>
        <w:rPr>
          <w:rFonts w:ascii="Arial" w:hAnsi="Arial" w:eastAsia="Times New Roman" w:cs="Arial"/>
          <w:color w:val="333333"/>
          <w:sz w:val="20"/>
          <w:szCs w:val="20"/>
        </w:rPr>
      </w:pPr>
      <w:r>
        <w:rPr>
          <w:rFonts w:ascii="Arial" w:hAnsi="Arial" w:eastAsia="Times New Roman" w:cs="Arial"/>
          <w:color w:val="333333"/>
          <w:sz w:val="20"/>
          <w:szCs w:val="20"/>
        </w:rPr>
        <w:t>I am assisted by your example of the Committee's approach to the achievement of minimal symptom expression ("</w:t>
      </w:r>
      <w:r w:rsidRPr="000A32A8">
        <w:rPr>
          <w:rFonts w:ascii="Arial" w:hAnsi="Arial" w:eastAsia="Times New Roman" w:cs="Arial"/>
          <w:b/>
          <w:bCs/>
          <w:color w:val="333333"/>
          <w:sz w:val="20"/>
          <w:szCs w:val="20"/>
        </w:rPr>
        <w:t>MSE</w:t>
      </w:r>
      <w:r>
        <w:rPr>
          <w:rFonts w:ascii="Arial" w:hAnsi="Arial" w:eastAsia="Times New Roman" w:cs="Arial"/>
          <w:color w:val="333333"/>
          <w:sz w:val="20"/>
          <w:szCs w:val="20"/>
        </w:rPr>
        <w:t xml:space="preserve">") in the economic modelling. You explain in your letter that the Committee preferred to remove MSE from the economic modelling, </w:t>
      </w:r>
      <w:r w:rsidR="000A6DF7">
        <w:rPr>
          <w:rFonts w:ascii="Arial" w:hAnsi="Arial" w:eastAsia="Times New Roman" w:cs="Arial"/>
          <w:color w:val="333333"/>
          <w:sz w:val="20"/>
          <w:szCs w:val="20"/>
        </w:rPr>
        <w:t xml:space="preserve">whilst acknowledging that it may be clinically relevant, </w:t>
      </w:r>
      <w:r>
        <w:rPr>
          <w:rFonts w:ascii="Arial" w:hAnsi="Arial" w:eastAsia="Times New Roman" w:cs="Arial"/>
          <w:color w:val="333333"/>
          <w:sz w:val="20"/>
          <w:szCs w:val="20"/>
        </w:rPr>
        <w:t>but then did not take this into account as an uncaptured benefit</w:t>
      </w:r>
      <w:r w:rsidR="005F11B3">
        <w:rPr>
          <w:rFonts w:ascii="Arial" w:hAnsi="Arial" w:eastAsia="Times New Roman" w:cs="Arial"/>
          <w:color w:val="333333"/>
          <w:sz w:val="20"/>
          <w:szCs w:val="20"/>
        </w:rPr>
        <w:t>.</w:t>
      </w:r>
    </w:p>
    <w:p w:rsidR="000A32A8" w:rsidP="0095504C" w:rsidRDefault="000A32A8" w14:paraId="72469D0A" w14:textId="7397D1E7">
      <w:pPr>
        <w:spacing w:line="288" w:lineRule="auto"/>
        <w:jc w:val="both"/>
        <w:rPr>
          <w:rFonts w:ascii="Arial" w:hAnsi="Arial" w:eastAsia="Times New Roman" w:cs="Arial"/>
          <w:color w:val="333333"/>
          <w:sz w:val="20"/>
          <w:szCs w:val="20"/>
        </w:rPr>
      </w:pPr>
      <w:r>
        <w:rPr>
          <w:rFonts w:ascii="Arial" w:hAnsi="Arial" w:eastAsia="Times New Roman" w:cs="Arial"/>
          <w:color w:val="333333"/>
          <w:sz w:val="20"/>
          <w:szCs w:val="20"/>
        </w:rPr>
        <w:t>I</w:t>
      </w:r>
      <w:r w:rsidR="005F11B3">
        <w:rPr>
          <w:rFonts w:ascii="Arial" w:hAnsi="Arial" w:eastAsia="Times New Roman" w:cs="Arial"/>
          <w:color w:val="333333"/>
          <w:sz w:val="20"/>
          <w:szCs w:val="20"/>
        </w:rPr>
        <w:t xml:space="preserve"> accept that it is arguably procedurally unfair for the Committee to exclude quantitative evidence</w:t>
      </w:r>
      <w:r w:rsidR="000A6DF7">
        <w:rPr>
          <w:rFonts w:ascii="Arial" w:hAnsi="Arial" w:eastAsia="Times New Roman" w:cs="Arial"/>
          <w:color w:val="333333"/>
          <w:sz w:val="20"/>
          <w:szCs w:val="20"/>
        </w:rPr>
        <w:t>, acknowledge its relevance.</w:t>
      </w:r>
      <w:r w:rsidR="005F11B3">
        <w:rPr>
          <w:rFonts w:ascii="Arial" w:hAnsi="Arial" w:eastAsia="Times New Roman" w:cs="Arial"/>
          <w:color w:val="333333"/>
          <w:sz w:val="20"/>
          <w:szCs w:val="20"/>
        </w:rPr>
        <w:t xml:space="preserve"> and fail to address it as an uncaptured </w:t>
      </w:r>
      <w:proofErr w:type="gramStart"/>
      <w:r w:rsidR="005F11B3">
        <w:rPr>
          <w:rFonts w:ascii="Arial" w:hAnsi="Arial" w:eastAsia="Times New Roman" w:cs="Arial"/>
          <w:color w:val="333333"/>
          <w:sz w:val="20"/>
          <w:szCs w:val="20"/>
        </w:rPr>
        <w:t>benefit, and</w:t>
      </w:r>
      <w:proofErr w:type="gramEnd"/>
      <w:r w:rsidR="005F11B3">
        <w:rPr>
          <w:rFonts w:ascii="Arial" w:hAnsi="Arial" w:eastAsia="Times New Roman" w:cs="Arial"/>
          <w:color w:val="333333"/>
          <w:sz w:val="20"/>
          <w:szCs w:val="20"/>
        </w:rPr>
        <w:t xml:space="preserve"> will refer this point to the appeal panel. </w:t>
      </w:r>
    </w:p>
    <w:p w:rsidRPr="0095504C" w:rsidR="0095504C" w:rsidP="0095504C" w:rsidRDefault="0095504C" w14:paraId="7B50E6FB" w14:textId="77777777">
      <w:pPr>
        <w:spacing w:before="240" w:after="240"/>
        <w:jc w:val="both"/>
        <w:rPr>
          <w:rFonts w:ascii="Arial" w:hAnsi="Arial" w:eastAsia="Times New Roman" w:cs="Arial"/>
          <w:b/>
          <w:i/>
          <w:sz w:val="20"/>
          <w:szCs w:val="20"/>
        </w:rPr>
      </w:pPr>
      <w:r w:rsidRPr="0095504C">
        <w:rPr>
          <w:rFonts w:ascii="Arial" w:hAnsi="Arial" w:eastAsia="Times New Roman" w:cs="Arial"/>
          <w:b/>
          <w:i/>
          <w:sz w:val="20"/>
          <w:szCs w:val="20"/>
        </w:rPr>
        <w:t>Ground 2: the recommendation is unreasonable in the light of the evidence submitted to NIC</w:t>
      </w:r>
    </w:p>
    <w:p w:rsidRPr="0095504C" w:rsidR="0095504C" w:rsidP="0095504C" w:rsidRDefault="0095504C" w14:paraId="69BA31C1" w14:textId="77777777">
      <w:pPr>
        <w:spacing w:before="240" w:after="240"/>
        <w:jc w:val="both"/>
        <w:rPr>
          <w:rFonts w:ascii="Arial" w:hAnsi="Arial" w:eastAsia="Times New Roman" w:cs="Arial"/>
          <w:b/>
          <w:sz w:val="20"/>
          <w:szCs w:val="20"/>
          <w:u w:val="single"/>
          <w:lang w:eastAsia="en-GB"/>
        </w:rPr>
      </w:pPr>
      <w:r w:rsidRPr="0095504C">
        <w:rPr>
          <w:rFonts w:ascii="Arial" w:hAnsi="Arial" w:eastAsia="Times New Roman" w:cs="Arial"/>
          <w:b/>
          <w:sz w:val="20"/>
          <w:szCs w:val="20"/>
          <w:u w:val="single"/>
          <w:lang w:eastAsia="en-GB"/>
        </w:rPr>
        <w:t xml:space="preserve">Appeal </w:t>
      </w:r>
      <w:proofErr w:type="gramStart"/>
      <w:r w:rsidRPr="0095504C">
        <w:rPr>
          <w:rFonts w:ascii="Arial" w:hAnsi="Arial" w:eastAsia="Times New Roman" w:cs="Arial"/>
          <w:b/>
          <w:sz w:val="20"/>
          <w:szCs w:val="20"/>
          <w:u w:val="single"/>
          <w:lang w:eastAsia="en-GB"/>
        </w:rPr>
        <w:t>point</w:t>
      </w:r>
      <w:proofErr w:type="gramEnd"/>
      <w:r w:rsidRPr="0095504C">
        <w:rPr>
          <w:rFonts w:ascii="Arial" w:hAnsi="Arial" w:eastAsia="Times New Roman" w:cs="Arial"/>
          <w:b/>
          <w:sz w:val="20"/>
          <w:szCs w:val="20"/>
          <w:u w:val="single"/>
          <w:lang w:eastAsia="en-GB"/>
        </w:rPr>
        <w:t xml:space="preserve"> 2.1: </w:t>
      </w:r>
      <w:r w:rsidRPr="0095504C">
        <w:rPr>
          <w:rFonts w:ascii="Arial" w:hAnsi="Arial" w:eastAsia="Times New Roman" w:cs="Arial"/>
          <w:b/>
          <w:bCs/>
          <w:sz w:val="20"/>
          <w:szCs w:val="20"/>
          <w:u w:val="single"/>
          <w:lang w:eastAsia="en-GB"/>
        </w:rPr>
        <w:t>The Committee’s preferred comparator of a ‘basket of standard care’ is unreasonable in view of the target population for zilucoplan and its proposed position in the treatment pathway</w:t>
      </w:r>
    </w:p>
    <w:p w:rsidRPr="0095504C" w:rsidR="0095504C" w:rsidP="0095504C" w:rsidRDefault="0095504C" w14:paraId="27139BA5" w14:textId="3F1BF4A0">
      <w:pPr>
        <w:spacing w:line="288" w:lineRule="auto"/>
        <w:jc w:val="both"/>
        <w:rPr>
          <w:rFonts w:ascii="Arial" w:hAnsi="Arial" w:eastAsia="Times New Roman" w:cs="Arial"/>
          <w:color w:val="333333"/>
          <w:sz w:val="20"/>
          <w:szCs w:val="20"/>
        </w:rPr>
      </w:pPr>
      <w:r w:rsidRPr="0095504C">
        <w:rPr>
          <w:rFonts w:ascii="Arial" w:hAnsi="Arial" w:eastAsia="Times New Roman" w:cs="Arial"/>
          <w:sz w:val="20"/>
          <w:szCs w:val="20"/>
        </w:rPr>
        <w:t xml:space="preserve">I </w:t>
      </w:r>
      <w:r>
        <w:rPr>
          <w:rFonts w:ascii="Arial" w:hAnsi="Arial" w:eastAsia="Times New Roman" w:cs="Arial"/>
          <w:sz w:val="20"/>
          <w:szCs w:val="20"/>
        </w:rPr>
        <w:t xml:space="preserve">confirm my decision to refer this appeal point to the Appeal Panel. </w:t>
      </w:r>
      <w:r w:rsidRPr="0095504C">
        <w:rPr>
          <w:rFonts w:ascii="Arial" w:hAnsi="Arial" w:eastAsia="Times New Roman" w:cs="Arial"/>
          <w:sz w:val="20"/>
          <w:szCs w:val="20"/>
        </w:rPr>
        <w:t xml:space="preserve">  </w:t>
      </w:r>
    </w:p>
    <w:p w:rsidRPr="0095504C" w:rsidR="0095504C" w:rsidP="0095504C" w:rsidRDefault="0095504C" w14:paraId="3646DD50" w14:textId="77777777">
      <w:pPr>
        <w:spacing w:before="240" w:after="240"/>
        <w:jc w:val="both"/>
        <w:rPr>
          <w:rFonts w:ascii="Arial" w:hAnsi="Arial" w:eastAsia="Times New Roman" w:cs="Arial"/>
          <w:b/>
          <w:sz w:val="20"/>
          <w:szCs w:val="20"/>
          <w:u w:val="single"/>
          <w:lang w:eastAsia="en-GB"/>
        </w:rPr>
      </w:pPr>
      <w:r w:rsidRPr="0095504C">
        <w:rPr>
          <w:rFonts w:ascii="Arial" w:hAnsi="Arial" w:eastAsia="Times New Roman" w:cs="Arial"/>
          <w:b/>
          <w:sz w:val="20"/>
          <w:szCs w:val="20"/>
          <w:u w:val="single"/>
          <w:lang w:eastAsia="en-GB"/>
        </w:rPr>
        <w:t xml:space="preserve">Appeal </w:t>
      </w:r>
      <w:proofErr w:type="gramStart"/>
      <w:r w:rsidRPr="0095504C">
        <w:rPr>
          <w:rFonts w:ascii="Arial" w:hAnsi="Arial" w:eastAsia="Times New Roman" w:cs="Arial"/>
          <w:b/>
          <w:sz w:val="20"/>
          <w:szCs w:val="20"/>
          <w:u w:val="single"/>
          <w:lang w:eastAsia="en-GB"/>
        </w:rPr>
        <w:t>point</w:t>
      </w:r>
      <w:proofErr w:type="gramEnd"/>
      <w:r w:rsidRPr="0095504C">
        <w:rPr>
          <w:rFonts w:ascii="Arial" w:hAnsi="Arial" w:eastAsia="Times New Roman" w:cs="Arial"/>
          <w:b/>
          <w:sz w:val="20"/>
          <w:szCs w:val="20"/>
          <w:u w:val="single"/>
          <w:lang w:eastAsia="en-GB"/>
        </w:rPr>
        <w:t xml:space="preserve"> 2.2: </w:t>
      </w:r>
      <w:r w:rsidRPr="0095504C">
        <w:rPr>
          <w:rFonts w:ascii="Arial" w:hAnsi="Arial" w:eastAsia="Times New Roman" w:cs="Arial"/>
          <w:b/>
          <w:bCs/>
          <w:sz w:val="20"/>
          <w:szCs w:val="20"/>
          <w:u w:val="single"/>
          <w:lang w:eastAsia="en-GB"/>
        </w:rPr>
        <w:t>The Committee’s conclusion that zilucoplan adds an additional line of therapy to the treatment pathway for generalised myasthenia gravis is unreasonable</w:t>
      </w:r>
    </w:p>
    <w:p w:rsidRPr="0095504C" w:rsidR="00D25C89" w:rsidP="00D25C89" w:rsidRDefault="00D25C89" w14:paraId="384DB392" w14:textId="77777777">
      <w:pPr>
        <w:spacing w:line="288" w:lineRule="auto"/>
        <w:jc w:val="both"/>
        <w:rPr>
          <w:rFonts w:ascii="Arial" w:hAnsi="Arial" w:eastAsia="Times New Roman" w:cs="Arial"/>
          <w:color w:val="333333"/>
          <w:sz w:val="20"/>
          <w:szCs w:val="20"/>
        </w:rPr>
      </w:pPr>
      <w:r w:rsidRPr="0095504C">
        <w:rPr>
          <w:rFonts w:ascii="Arial" w:hAnsi="Arial" w:eastAsia="Times New Roman" w:cs="Arial"/>
          <w:sz w:val="20"/>
          <w:szCs w:val="20"/>
        </w:rPr>
        <w:t xml:space="preserve">I </w:t>
      </w:r>
      <w:r>
        <w:rPr>
          <w:rFonts w:ascii="Arial" w:hAnsi="Arial" w:eastAsia="Times New Roman" w:cs="Arial"/>
          <w:sz w:val="20"/>
          <w:szCs w:val="20"/>
        </w:rPr>
        <w:t xml:space="preserve">confirm my decision to refer this appeal point to the Appeal Panel. </w:t>
      </w:r>
      <w:r w:rsidRPr="0095504C">
        <w:rPr>
          <w:rFonts w:ascii="Arial" w:hAnsi="Arial" w:eastAsia="Times New Roman" w:cs="Arial"/>
          <w:sz w:val="20"/>
          <w:szCs w:val="20"/>
        </w:rPr>
        <w:t xml:space="preserve">  </w:t>
      </w:r>
    </w:p>
    <w:p w:rsidRPr="0095504C" w:rsidR="0095504C" w:rsidP="0095504C" w:rsidRDefault="0095504C" w14:paraId="20D10AB5" w14:textId="77777777">
      <w:pPr>
        <w:spacing w:before="240" w:after="240"/>
        <w:jc w:val="both"/>
        <w:rPr>
          <w:rFonts w:ascii="Arial" w:hAnsi="Arial" w:eastAsia="Times New Roman" w:cs="Arial"/>
          <w:b/>
          <w:sz w:val="20"/>
          <w:szCs w:val="20"/>
          <w:u w:val="single"/>
          <w:lang w:eastAsia="en-GB"/>
        </w:rPr>
      </w:pPr>
      <w:r w:rsidRPr="0095504C">
        <w:rPr>
          <w:rFonts w:ascii="Arial" w:hAnsi="Arial" w:eastAsia="Times New Roman" w:cs="Arial"/>
          <w:b/>
          <w:sz w:val="20"/>
          <w:szCs w:val="20"/>
          <w:u w:val="single"/>
          <w:lang w:eastAsia="en-GB"/>
        </w:rPr>
        <w:t xml:space="preserve">Appeal </w:t>
      </w:r>
      <w:proofErr w:type="gramStart"/>
      <w:r w:rsidRPr="0095504C">
        <w:rPr>
          <w:rFonts w:ascii="Arial" w:hAnsi="Arial" w:eastAsia="Times New Roman" w:cs="Arial"/>
          <w:b/>
          <w:sz w:val="20"/>
          <w:szCs w:val="20"/>
          <w:u w:val="single"/>
          <w:lang w:eastAsia="en-GB"/>
        </w:rPr>
        <w:t>point</w:t>
      </w:r>
      <w:proofErr w:type="gramEnd"/>
      <w:r w:rsidRPr="0095504C">
        <w:rPr>
          <w:rFonts w:ascii="Arial" w:hAnsi="Arial" w:eastAsia="Times New Roman" w:cs="Arial"/>
          <w:b/>
          <w:sz w:val="20"/>
          <w:szCs w:val="20"/>
          <w:u w:val="single"/>
          <w:lang w:eastAsia="en-GB"/>
        </w:rPr>
        <w:t xml:space="preserve"> 2.3: The Committee’s conclusion that the subsequent treatments for the zilucoplan arm in the economic model should be informed by the efgartigimod full EAMS cohort whereas the comparator basket is informed by a different data source is inconsistent and unreasonable</w:t>
      </w:r>
    </w:p>
    <w:p w:rsidRPr="0095504C" w:rsidR="00D25C89" w:rsidP="00D25C89" w:rsidRDefault="00D25C89" w14:paraId="152C0B93" w14:textId="77777777">
      <w:pPr>
        <w:spacing w:line="288" w:lineRule="auto"/>
        <w:jc w:val="both"/>
        <w:rPr>
          <w:rFonts w:ascii="Arial" w:hAnsi="Arial" w:eastAsia="Times New Roman" w:cs="Arial"/>
          <w:color w:val="333333"/>
          <w:sz w:val="20"/>
          <w:szCs w:val="20"/>
        </w:rPr>
      </w:pPr>
      <w:r w:rsidRPr="0095504C">
        <w:rPr>
          <w:rFonts w:ascii="Arial" w:hAnsi="Arial" w:eastAsia="Times New Roman" w:cs="Arial"/>
          <w:sz w:val="20"/>
          <w:szCs w:val="20"/>
        </w:rPr>
        <w:t xml:space="preserve">I </w:t>
      </w:r>
      <w:r>
        <w:rPr>
          <w:rFonts w:ascii="Arial" w:hAnsi="Arial" w:eastAsia="Times New Roman" w:cs="Arial"/>
          <w:sz w:val="20"/>
          <w:szCs w:val="20"/>
        </w:rPr>
        <w:t xml:space="preserve">confirm my decision to refer this appeal point to the Appeal Panel. </w:t>
      </w:r>
      <w:r w:rsidRPr="0095504C">
        <w:rPr>
          <w:rFonts w:ascii="Arial" w:hAnsi="Arial" w:eastAsia="Times New Roman" w:cs="Arial"/>
          <w:sz w:val="20"/>
          <w:szCs w:val="20"/>
        </w:rPr>
        <w:t xml:space="preserve">  </w:t>
      </w:r>
    </w:p>
    <w:p w:rsidRPr="0095504C" w:rsidR="0095504C" w:rsidP="0095504C" w:rsidRDefault="0095504C" w14:paraId="18454C65" w14:textId="77777777">
      <w:pPr>
        <w:spacing w:before="240" w:after="240"/>
        <w:jc w:val="both"/>
        <w:rPr>
          <w:rFonts w:ascii="Arial" w:hAnsi="Arial" w:eastAsia="Times New Roman" w:cs="Arial"/>
          <w:b/>
          <w:sz w:val="20"/>
          <w:szCs w:val="20"/>
          <w:u w:val="single"/>
          <w:lang w:eastAsia="en-GB"/>
        </w:rPr>
      </w:pPr>
      <w:r w:rsidRPr="0095504C">
        <w:rPr>
          <w:rFonts w:ascii="Arial" w:hAnsi="Arial" w:eastAsia="Times New Roman" w:cs="Arial"/>
          <w:b/>
          <w:sz w:val="20"/>
          <w:szCs w:val="20"/>
          <w:u w:val="single"/>
          <w:lang w:eastAsia="en-GB"/>
        </w:rPr>
        <w:t xml:space="preserve">Appeal </w:t>
      </w:r>
      <w:proofErr w:type="gramStart"/>
      <w:r w:rsidRPr="0095504C">
        <w:rPr>
          <w:rFonts w:ascii="Arial" w:hAnsi="Arial" w:eastAsia="Times New Roman" w:cs="Arial"/>
          <w:b/>
          <w:sz w:val="20"/>
          <w:szCs w:val="20"/>
          <w:u w:val="single"/>
          <w:lang w:eastAsia="en-GB"/>
        </w:rPr>
        <w:t>point</w:t>
      </w:r>
      <w:proofErr w:type="gramEnd"/>
      <w:r w:rsidRPr="0095504C">
        <w:rPr>
          <w:rFonts w:ascii="Arial" w:hAnsi="Arial" w:eastAsia="Times New Roman" w:cs="Arial"/>
          <w:b/>
          <w:sz w:val="20"/>
          <w:szCs w:val="20"/>
          <w:u w:val="single"/>
          <w:lang w:eastAsia="en-GB"/>
        </w:rPr>
        <w:t xml:space="preserve"> 2.4: </w:t>
      </w:r>
      <w:r w:rsidRPr="0095504C">
        <w:rPr>
          <w:rFonts w:ascii="Arial" w:hAnsi="Arial" w:eastAsia="Times New Roman" w:cs="Arial"/>
          <w:b/>
          <w:bCs/>
          <w:sz w:val="20"/>
          <w:szCs w:val="20"/>
          <w:u w:val="single"/>
          <w:lang w:eastAsia="en-GB"/>
        </w:rPr>
        <w:t>The Committee’s conclusion that UCB’s expert elicitation had several uncertainties is unreasonable</w:t>
      </w:r>
    </w:p>
    <w:p w:rsidRPr="0095504C" w:rsidR="00D25C89" w:rsidP="00D25C89" w:rsidRDefault="00D25C89" w14:paraId="55C4C8DD" w14:textId="77777777">
      <w:pPr>
        <w:spacing w:line="288" w:lineRule="auto"/>
        <w:jc w:val="both"/>
        <w:rPr>
          <w:rFonts w:ascii="Arial" w:hAnsi="Arial" w:eastAsia="Times New Roman" w:cs="Arial"/>
          <w:color w:val="333333"/>
          <w:sz w:val="20"/>
          <w:szCs w:val="20"/>
        </w:rPr>
      </w:pPr>
      <w:r w:rsidRPr="0095504C">
        <w:rPr>
          <w:rFonts w:ascii="Arial" w:hAnsi="Arial" w:eastAsia="Times New Roman" w:cs="Arial"/>
          <w:sz w:val="20"/>
          <w:szCs w:val="20"/>
        </w:rPr>
        <w:t xml:space="preserve">I </w:t>
      </w:r>
      <w:r>
        <w:rPr>
          <w:rFonts w:ascii="Arial" w:hAnsi="Arial" w:eastAsia="Times New Roman" w:cs="Arial"/>
          <w:sz w:val="20"/>
          <w:szCs w:val="20"/>
        </w:rPr>
        <w:t xml:space="preserve">confirm my decision to refer this appeal point to the Appeal Panel. </w:t>
      </w:r>
      <w:r w:rsidRPr="0095504C">
        <w:rPr>
          <w:rFonts w:ascii="Arial" w:hAnsi="Arial" w:eastAsia="Times New Roman" w:cs="Arial"/>
          <w:sz w:val="20"/>
          <w:szCs w:val="20"/>
        </w:rPr>
        <w:t xml:space="preserve">  </w:t>
      </w:r>
    </w:p>
    <w:p w:rsidRPr="0095504C" w:rsidR="0095504C" w:rsidP="0095504C" w:rsidRDefault="0095504C" w14:paraId="1EF92E6D" w14:textId="77777777">
      <w:pPr>
        <w:spacing w:before="240" w:after="240"/>
        <w:jc w:val="both"/>
        <w:rPr>
          <w:rFonts w:ascii="Arial" w:hAnsi="Arial" w:eastAsia="Times New Roman" w:cs="Arial"/>
          <w:b/>
          <w:sz w:val="20"/>
          <w:szCs w:val="20"/>
          <w:u w:val="single"/>
          <w:lang w:eastAsia="en-GB"/>
        </w:rPr>
      </w:pPr>
      <w:r w:rsidRPr="0095504C">
        <w:rPr>
          <w:rFonts w:ascii="Arial" w:hAnsi="Arial" w:eastAsia="Times New Roman" w:cs="Arial"/>
          <w:b/>
          <w:sz w:val="20"/>
          <w:szCs w:val="20"/>
          <w:u w:val="single"/>
          <w:lang w:eastAsia="en-GB"/>
        </w:rPr>
        <w:t xml:space="preserve">Appeal </w:t>
      </w:r>
      <w:proofErr w:type="gramStart"/>
      <w:r w:rsidRPr="0095504C">
        <w:rPr>
          <w:rFonts w:ascii="Arial" w:hAnsi="Arial" w:eastAsia="Times New Roman" w:cs="Arial"/>
          <w:b/>
          <w:sz w:val="20"/>
          <w:szCs w:val="20"/>
          <w:u w:val="single"/>
          <w:lang w:eastAsia="en-GB"/>
        </w:rPr>
        <w:t>point</w:t>
      </w:r>
      <w:proofErr w:type="gramEnd"/>
      <w:r w:rsidRPr="0095504C">
        <w:rPr>
          <w:rFonts w:ascii="Arial" w:hAnsi="Arial" w:eastAsia="Times New Roman" w:cs="Arial"/>
          <w:b/>
          <w:sz w:val="20"/>
          <w:szCs w:val="20"/>
          <w:u w:val="single"/>
          <w:lang w:eastAsia="en-GB"/>
        </w:rPr>
        <w:t xml:space="preserve"> 2.5: </w:t>
      </w:r>
      <w:r w:rsidRPr="0095504C">
        <w:rPr>
          <w:rFonts w:ascii="Arial" w:hAnsi="Arial" w:eastAsia="Times New Roman" w:cs="Arial"/>
          <w:b/>
          <w:bCs/>
          <w:sz w:val="20"/>
          <w:szCs w:val="20"/>
          <w:u w:val="single"/>
          <w:lang w:eastAsia="en-GB"/>
        </w:rPr>
        <w:t>The exclusion of minimal symptom expression is unreasonable in the light of the clinical trial data and expert elicitation submitted</w:t>
      </w:r>
    </w:p>
    <w:p w:rsidRPr="0095504C" w:rsidR="00D25C89" w:rsidP="00D25C89" w:rsidRDefault="00D25C89" w14:paraId="795AA48B" w14:textId="77777777">
      <w:pPr>
        <w:spacing w:line="288" w:lineRule="auto"/>
        <w:jc w:val="both"/>
        <w:rPr>
          <w:rFonts w:ascii="Arial" w:hAnsi="Arial" w:eastAsia="Times New Roman" w:cs="Arial"/>
          <w:color w:val="333333"/>
          <w:sz w:val="20"/>
          <w:szCs w:val="20"/>
        </w:rPr>
      </w:pPr>
      <w:r w:rsidRPr="0095504C">
        <w:rPr>
          <w:rFonts w:ascii="Arial" w:hAnsi="Arial" w:eastAsia="Times New Roman" w:cs="Arial"/>
          <w:sz w:val="20"/>
          <w:szCs w:val="20"/>
        </w:rPr>
        <w:t xml:space="preserve">I </w:t>
      </w:r>
      <w:r>
        <w:rPr>
          <w:rFonts w:ascii="Arial" w:hAnsi="Arial" w:eastAsia="Times New Roman" w:cs="Arial"/>
          <w:sz w:val="20"/>
          <w:szCs w:val="20"/>
        </w:rPr>
        <w:t xml:space="preserve">confirm my decision to refer this appeal point to the Appeal Panel. </w:t>
      </w:r>
      <w:r w:rsidRPr="0095504C">
        <w:rPr>
          <w:rFonts w:ascii="Arial" w:hAnsi="Arial" w:eastAsia="Times New Roman" w:cs="Arial"/>
          <w:sz w:val="20"/>
          <w:szCs w:val="20"/>
        </w:rPr>
        <w:t xml:space="preserve">  </w:t>
      </w:r>
    </w:p>
    <w:p w:rsidRPr="0095504C" w:rsidR="0095504C" w:rsidP="0095504C" w:rsidRDefault="0095504C" w14:paraId="61F40663" w14:textId="77777777">
      <w:pPr>
        <w:spacing w:before="240" w:after="240"/>
        <w:jc w:val="both"/>
        <w:rPr>
          <w:rFonts w:ascii="Arial" w:hAnsi="Arial" w:eastAsia="Times New Roman" w:cs="Arial"/>
          <w:b/>
          <w:sz w:val="20"/>
          <w:szCs w:val="20"/>
          <w:u w:val="single"/>
          <w:lang w:eastAsia="en-GB"/>
        </w:rPr>
      </w:pPr>
      <w:r w:rsidRPr="0095504C">
        <w:rPr>
          <w:rFonts w:ascii="Arial" w:hAnsi="Arial" w:eastAsia="Times New Roman" w:cs="Arial"/>
          <w:b/>
          <w:sz w:val="20"/>
          <w:szCs w:val="20"/>
          <w:u w:val="single"/>
          <w:lang w:eastAsia="en-GB"/>
        </w:rPr>
        <w:t xml:space="preserve">Appeal </w:t>
      </w:r>
      <w:proofErr w:type="gramStart"/>
      <w:r w:rsidRPr="0095504C">
        <w:rPr>
          <w:rFonts w:ascii="Arial" w:hAnsi="Arial" w:eastAsia="Times New Roman" w:cs="Arial"/>
          <w:b/>
          <w:sz w:val="20"/>
          <w:szCs w:val="20"/>
          <w:u w:val="single"/>
          <w:lang w:eastAsia="en-GB"/>
        </w:rPr>
        <w:t>point</w:t>
      </w:r>
      <w:proofErr w:type="gramEnd"/>
      <w:r w:rsidRPr="0095504C">
        <w:rPr>
          <w:rFonts w:ascii="Arial" w:hAnsi="Arial" w:eastAsia="Times New Roman" w:cs="Arial"/>
          <w:b/>
          <w:sz w:val="20"/>
          <w:szCs w:val="20"/>
          <w:u w:val="single"/>
          <w:lang w:eastAsia="en-GB"/>
        </w:rPr>
        <w:t xml:space="preserve"> 2.6: </w:t>
      </w:r>
      <w:r w:rsidRPr="0095504C">
        <w:rPr>
          <w:rFonts w:ascii="Arial" w:hAnsi="Arial" w:eastAsia="Times New Roman" w:cs="Arial"/>
          <w:b/>
          <w:bCs/>
          <w:sz w:val="20"/>
          <w:szCs w:val="20"/>
          <w:u w:val="single"/>
          <w:lang w:eastAsia="en-GB"/>
        </w:rPr>
        <w:t xml:space="preserve">The use of the overall EAMS cohort to determine the proportion of people on treatments in the “standard of care </w:t>
      </w:r>
      <w:proofErr w:type="gramStart"/>
      <w:r w:rsidRPr="0095504C">
        <w:rPr>
          <w:rFonts w:ascii="Arial" w:hAnsi="Arial" w:eastAsia="Times New Roman" w:cs="Arial"/>
          <w:b/>
          <w:bCs/>
          <w:sz w:val="20"/>
          <w:szCs w:val="20"/>
          <w:u w:val="single"/>
          <w:lang w:eastAsia="en-GB"/>
        </w:rPr>
        <w:t>basket ”</w:t>
      </w:r>
      <w:proofErr w:type="gramEnd"/>
      <w:r w:rsidRPr="0095504C">
        <w:rPr>
          <w:rFonts w:ascii="Arial" w:hAnsi="Arial" w:eastAsia="Times New Roman" w:cs="Arial"/>
          <w:b/>
          <w:bCs/>
          <w:sz w:val="20"/>
          <w:szCs w:val="20"/>
          <w:u w:val="single"/>
          <w:lang w:eastAsia="en-GB"/>
        </w:rPr>
        <w:t xml:space="preserve"> disregards the views of the authors of the published </w:t>
      </w:r>
      <w:r w:rsidRPr="0095504C">
        <w:rPr>
          <w:rFonts w:ascii="Arial" w:hAnsi="Arial" w:eastAsia="Times New Roman" w:cs="Arial"/>
          <w:b/>
          <w:bCs/>
          <w:sz w:val="20"/>
          <w:szCs w:val="20"/>
          <w:u w:val="single"/>
          <w:lang w:eastAsia="en-GB"/>
        </w:rPr>
        <w:t>paper, expert opinion and is inconsistent with the target population for zilucoplan and its position in the treatment pathway</w:t>
      </w:r>
    </w:p>
    <w:p w:rsidRPr="0095504C" w:rsidR="00D25C89" w:rsidP="00D25C89" w:rsidRDefault="00D25C89" w14:paraId="256755AB" w14:textId="77777777">
      <w:pPr>
        <w:spacing w:line="288" w:lineRule="auto"/>
        <w:jc w:val="both"/>
        <w:rPr>
          <w:rFonts w:ascii="Arial" w:hAnsi="Arial" w:eastAsia="Times New Roman" w:cs="Arial"/>
          <w:color w:val="333333"/>
          <w:sz w:val="20"/>
          <w:szCs w:val="20"/>
        </w:rPr>
      </w:pPr>
      <w:r w:rsidRPr="0095504C">
        <w:rPr>
          <w:rFonts w:ascii="Arial" w:hAnsi="Arial" w:eastAsia="Times New Roman" w:cs="Arial"/>
          <w:sz w:val="20"/>
          <w:szCs w:val="20"/>
        </w:rPr>
        <w:t xml:space="preserve">I </w:t>
      </w:r>
      <w:r>
        <w:rPr>
          <w:rFonts w:ascii="Arial" w:hAnsi="Arial" w:eastAsia="Times New Roman" w:cs="Arial"/>
          <w:sz w:val="20"/>
          <w:szCs w:val="20"/>
        </w:rPr>
        <w:t xml:space="preserve">confirm my decision to refer this appeal point to the Appeal Panel. </w:t>
      </w:r>
      <w:r w:rsidRPr="0095504C">
        <w:rPr>
          <w:rFonts w:ascii="Arial" w:hAnsi="Arial" w:eastAsia="Times New Roman" w:cs="Arial"/>
          <w:sz w:val="20"/>
          <w:szCs w:val="20"/>
        </w:rPr>
        <w:t xml:space="preserve">  </w:t>
      </w:r>
    </w:p>
    <w:p w:rsidRPr="0095504C" w:rsidR="0095504C" w:rsidP="0095504C" w:rsidRDefault="0095504C" w14:paraId="1DC1BC69" w14:textId="77777777">
      <w:pPr>
        <w:spacing w:before="240" w:after="240"/>
        <w:jc w:val="both"/>
        <w:rPr>
          <w:rFonts w:ascii="Arial" w:hAnsi="Arial" w:eastAsia="Times New Roman" w:cs="Arial"/>
          <w:b/>
          <w:sz w:val="20"/>
          <w:szCs w:val="20"/>
          <w:u w:val="single"/>
          <w:lang w:eastAsia="en-GB"/>
        </w:rPr>
      </w:pPr>
      <w:r w:rsidRPr="0095504C">
        <w:rPr>
          <w:rFonts w:ascii="Arial" w:hAnsi="Arial" w:eastAsia="Times New Roman" w:cs="Arial"/>
          <w:b/>
          <w:sz w:val="20"/>
          <w:szCs w:val="20"/>
          <w:u w:val="single"/>
          <w:lang w:eastAsia="en-GB"/>
        </w:rPr>
        <w:t xml:space="preserve">Appeal </w:t>
      </w:r>
      <w:proofErr w:type="gramStart"/>
      <w:r w:rsidRPr="0095504C">
        <w:rPr>
          <w:rFonts w:ascii="Arial" w:hAnsi="Arial" w:eastAsia="Times New Roman" w:cs="Arial"/>
          <w:b/>
          <w:sz w:val="20"/>
          <w:szCs w:val="20"/>
          <w:u w:val="single"/>
          <w:lang w:eastAsia="en-GB"/>
        </w:rPr>
        <w:t>point</w:t>
      </w:r>
      <w:proofErr w:type="gramEnd"/>
      <w:r w:rsidRPr="0095504C">
        <w:rPr>
          <w:rFonts w:ascii="Arial" w:hAnsi="Arial" w:eastAsia="Times New Roman" w:cs="Arial"/>
          <w:b/>
          <w:sz w:val="20"/>
          <w:szCs w:val="20"/>
          <w:u w:val="single"/>
          <w:lang w:eastAsia="en-GB"/>
        </w:rPr>
        <w:t xml:space="preserve"> 2.7: </w:t>
      </w:r>
      <w:r w:rsidRPr="0095504C">
        <w:rPr>
          <w:rFonts w:ascii="Arial" w:hAnsi="Arial" w:eastAsia="Times New Roman" w:cs="Arial"/>
          <w:b/>
          <w:bCs/>
          <w:sz w:val="20"/>
          <w:szCs w:val="20"/>
          <w:u w:val="single"/>
          <w:lang w:eastAsia="en-GB"/>
        </w:rPr>
        <w:t>It is unreasonable to use Lee et al to estimate the cost of corticosteroid use for the CEM for zilucoplan</w:t>
      </w:r>
    </w:p>
    <w:p w:rsidRPr="0095504C" w:rsidR="00D25C89" w:rsidP="00D25C89" w:rsidRDefault="00D25C89" w14:paraId="084E4DA0" w14:textId="77777777">
      <w:pPr>
        <w:spacing w:line="288" w:lineRule="auto"/>
        <w:jc w:val="both"/>
        <w:rPr>
          <w:rFonts w:ascii="Arial" w:hAnsi="Arial" w:eastAsia="Times New Roman" w:cs="Arial"/>
          <w:color w:val="333333"/>
          <w:sz w:val="20"/>
          <w:szCs w:val="20"/>
        </w:rPr>
      </w:pPr>
      <w:r w:rsidRPr="0095504C">
        <w:rPr>
          <w:rFonts w:ascii="Arial" w:hAnsi="Arial" w:eastAsia="Times New Roman" w:cs="Arial"/>
          <w:sz w:val="20"/>
          <w:szCs w:val="20"/>
        </w:rPr>
        <w:t xml:space="preserve">I </w:t>
      </w:r>
      <w:r>
        <w:rPr>
          <w:rFonts w:ascii="Arial" w:hAnsi="Arial" w:eastAsia="Times New Roman" w:cs="Arial"/>
          <w:sz w:val="20"/>
          <w:szCs w:val="20"/>
        </w:rPr>
        <w:t xml:space="preserve">confirm my decision to refer this appeal point to the Appeal Panel. </w:t>
      </w:r>
      <w:r w:rsidRPr="0095504C">
        <w:rPr>
          <w:rFonts w:ascii="Arial" w:hAnsi="Arial" w:eastAsia="Times New Roman" w:cs="Arial"/>
          <w:sz w:val="20"/>
          <w:szCs w:val="20"/>
        </w:rPr>
        <w:t xml:space="preserve">  </w:t>
      </w:r>
    </w:p>
    <w:p w:rsidRPr="0095504C" w:rsidR="0095504C" w:rsidP="0095504C" w:rsidRDefault="0095504C" w14:paraId="5A8FFE3F" w14:textId="77777777">
      <w:pPr>
        <w:spacing w:before="240" w:after="240"/>
        <w:jc w:val="both"/>
        <w:rPr>
          <w:rFonts w:ascii="Arial" w:hAnsi="Arial" w:eastAsia="Times New Roman" w:cs="Arial"/>
          <w:b/>
          <w:sz w:val="20"/>
          <w:szCs w:val="20"/>
          <w:u w:val="single"/>
          <w:lang w:eastAsia="en-GB"/>
        </w:rPr>
      </w:pPr>
      <w:r w:rsidRPr="0095504C">
        <w:rPr>
          <w:rFonts w:ascii="Arial" w:hAnsi="Arial" w:eastAsia="Times New Roman" w:cs="Arial"/>
          <w:b/>
          <w:sz w:val="20"/>
          <w:szCs w:val="20"/>
          <w:u w:val="single"/>
          <w:lang w:eastAsia="en-GB"/>
        </w:rPr>
        <w:t xml:space="preserve">Appeal </w:t>
      </w:r>
      <w:proofErr w:type="gramStart"/>
      <w:r w:rsidRPr="0095504C">
        <w:rPr>
          <w:rFonts w:ascii="Arial" w:hAnsi="Arial" w:eastAsia="Times New Roman" w:cs="Arial"/>
          <w:b/>
          <w:sz w:val="20"/>
          <w:szCs w:val="20"/>
          <w:u w:val="single"/>
          <w:lang w:eastAsia="en-GB"/>
        </w:rPr>
        <w:t>point</w:t>
      </w:r>
      <w:proofErr w:type="gramEnd"/>
      <w:r w:rsidRPr="0095504C">
        <w:rPr>
          <w:rFonts w:ascii="Arial" w:hAnsi="Arial" w:eastAsia="Times New Roman" w:cs="Arial"/>
          <w:b/>
          <w:sz w:val="20"/>
          <w:szCs w:val="20"/>
          <w:u w:val="single"/>
          <w:lang w:eastAsia="en-GB"/>
        </w:rPr>
        <w:t xml:space="preserve"> 2.8: It is unreasonable to exclude a utility increment for the self-administration of zilucoplan (a self- administered treatment away from the hospital setting).</w:t>
      </w:r>
    </w:p>
    <w:p w:rsidR="0095504C" w:rsidP="0095504C" w:rsidRDefault="005F11B3" w14:paraId="527FF41D" w14:textId="3B30B482">
      <w:pPr>
        <w:spacing w:before="240" w:after="240"/>
        <w:jc w:val="both"/>
        <w:rPr>
          <w:rFonts w:ascii="Arial" w:hAnsi="Arial" w:eastAsia="Times New Roman" w:cs="Arial"/>
          <w:sz w:val="20"/>
          <w:szCs w:val="20"/>
          <w:lang w:eastAsia="en-GB"/>
        </w:rPr>
      </w:pPr>
      <w:r>
        <w:rPr>
          <w:rFonts w:ascii="Arial" w:hAnsi="Arial" w:eastAsia="Times New Roman" w:cs="Arial"/>
          <w:sz w:val="20"/>
          <w:szCs w:val="20"/>
          <w:lang w:eastAsia="en-GB"/>
        </w:rPr>
        <w:t>In your response to my views at initial scrutiny, you describe that "</w:t>
      </w:r>
      <w:r w:rsidRPr="005F11B3">
        <w:rPr>
          <w:rFonts w:ascii="Arial" w:hAnsi="Arial" w:eastAsia="Times New Roman" w:cs="Arial"/>
          <w:i/>
          <w:iCs/>
          <w:sz w:val="20"/>
          <w:szCs w:val="20"/>
          <w:lang w:eastAsia="en-GB"/>
        </w:rPr>
        <w:t>it is logical to attribute a utility increment to the therapy that benefits patients by deviating from the default position and the impact of the displaced treatment</w:t>
      </w:r>
      <w:r>
        <w:rPr>
          <w:rFonts w:ascii="Arial" w:hAnsi="Arial" w:eastAsia="Times New Roman" w:cs="Arial"/>
          <w:sz w:val="20"/>
          <w:szCs w:val="20"/>
          <w:lang w:eastAsia="en-GB"/>
        </w:rPr>
        <w:t xml:space="preserve">".  You have not provided detail as to the impact which attributing </w:t>
      </w:r>
      <w:proofErr w:type="gramStart"/>
      <w:r>
        <w:rPr>
          <w:rFonts w:ascii="Arial" w:hAnsi="Arial" w:eastAsia="Times New Roman" w:cs="Arial"/>
          <w:sz w:val="20"/>
          <w:szCs w:val="20"/>
          <w:lang w:eastAsia="en-GB"/>
        </w:rPr>
        <w:t>an</w:t>
      </w:r>
      <w:proofErr w:type="gramEnd"/>
      <w:r>
        <w:rPr>
          <w:rFonts w:ascii="Arial" w:hAnsi="Arial" w:eastAsia="Times New Roman" w:cs="Arial"/>
          <w:sz w:val="20"/>
          <w:szCs w:val="20"/>
          <w:lang w:eastAsia="en-GB"/>
        </w:rPr>
        <w:t xml:space="preserve"> utility decrement to IVIg and PLEX instead of a utility increment of zilucoplan had on the cost-effectiveness of the technology. </w:t>
      </w:r>
    </w:p>
    <w:p w:rsidR="00AA7DBF" w:rsidP="0095504C" w:rsidRDefault="00AA7DBF" w14:paraId="64A1A7D4" w14:textId="77777777">
      <w:pPr>
        <w:spacing w:before="240" w:after="240"/>
        <w:jc w:val="both"/>
        <w:rPr>
          <w:rFonts w:ascii="Arial" w:hAnsi="Arial" w:eastAsia="Times New Roman" w:cs="Arial"/>
          <w:sz w:val="20"/>
          <w:szCs w:val="20"/>
          <w:lang w:eastAsia="en-GB"/>
        </w:rPr>
      </w:pPr>
      <w:r>
        <w:rPr>
          <w:rFonts w:ascii="Arial" w:hAnsi="Arial" w:eastAsia="Times New Roman" w:cs="Arial"/>
          <w:sz w:val="20"/>
          <w:szCs w:val="20"/>
          <w:lang w:eastAsia="en-GB"/>
        </w:rPr>
        <w:t>I am reminded of the definition of Ground 2 at paragraph 4.3 of NICE's "Guide to the technology appraisal and highly specialised technologies appeal process", that guidance will be unreasonable where it is "</w:t>
      </w:r>
      <w:r>
        <w:rPr>
          <w:rFonts w:ascii="Arial" w:hAnsi="Arial" w:eastAsia="Times New Roman" w:cs="Arial"/>
          <w:i/>
          <w:iCs/>
          <w:sz w:val="20"/>
          <w:szCs w:val="20"/>
          <w:lang w:eastAsia="en-GB"/>
        </w:rPr>
        <w:t xml:space="preserve">obviously and unarguably wrong, illogical or "does not add up". </w:t>
      </w:r>
      <w:r>
        <w:rPr>
          <w:rFonts w:ascii="Arial" w:hAnsi="Arial" w:eastAsia="Times New Roman" w:cs="Arial"/>
          <w:sz w:val="20"/>
          <w:szCs w:val="20"/>
          <w:lang w:eastAsia="en-GB"/>
        </w:rPr>
        <w:t xml:space="preserve">It is not unreasonable for the Committee to prefer assumptions with which the Company disagrees per se. </w:t>
      </w:r>
    </w:p>
    <w:p w:rsidR="003B6BDC" w:rsidP="0095504C" w:rsidRDefault="00AA7DBF" w14:paraId="652DDB31" w14:textId="479075D1">
      <w:pPr>
        <w:spacing w:before="240" w:after="240"/>
        <w:jc w:val="both"/>
        <w:rPr>
          <w:rFonts w:ascii="Arial" w:hAnsi="Arial" w:eastAsia="Times New Roman" w:cs="Arial"/>
          <w:sz w:val="20"/>
          <w:szCs w:val="20"/>
          <w:lang w:eastAsia="en-GB"/>
        </w:rPr>
      </w:pPr>
      <w:r>
        <w:rPr>
          <w:rFonts w:ascii="Arial" w:hAnsi="Arial" w:eastAsia="Times New Roman" w:cs="Arial"/>
          <w:sz w:val="20"/>
          <w:szCs w:val="20"/>
          <w:lang w:eastAsia="en-GB"/>
        </w:rPr>
        <w:t xml:space="preserve">Although the Company might have preferred a utility increment for the self-administration of zilucoplan rather than the utility decrement associated with IVIg and PLEX, I have not been presented with any evidence to suggest that the Committee's preference was </w:t>
      </w:r>
      <w:r w:rsidR="000A6DF7">
        <w:rPr>
          <w:rFonts w:ascii="Arial" w:hAnsi="Arial" w:eastAsia="Times New Roman" w:cs="Arial"/>
          <w:sz w:val="20"/>
          <w:szCs w:val="20"/>
          <w:lang w:eastAsia="en-GB"/>
        </w:rPr>
        <w:t xml:space="preserve">arguably </w:t>
      </w:r>
      <w:r>
        <w:rPr>
          <w:rFonts w:ascii="Arial" w:hAnsi="Arial" w:eastAsia="Times New Roman" w:cs="Arial"/>
          <w:sz w:val="20"/>
          <w:szCs w:val="20"/>
          <w:lang w:eastAsia="en-GB"/>
        </w:rPr>
        <w:t xml:space="preserve">unreasonable. </w:t>
      </w:r>
    </w:p>
    <w:p w:rsidRPr="0095504C" w:rsidR="00AA7DBF" w:rsidP="0095504C" w:rsidRDefault="00AA7DBF" w14:paraId="5C0DF116" w14:textId="399A07E6">
      <w:pPr>
        <w:spacing w:before="240" w:after="240"/>
        <w:jc w:val="both"/>
        <w:rPr>
          <w:rFonts w:ascii="Arial" w:hAnsi="Arial" w:eastAsia="Times New Roman" w:cs="Arial"/>
          <w:sz w:val="20"/>
          <w:szCs w:val="20"/>
          <w:lang w:eastAsia="en-GB"/>
        </w:rPr>
      </w:pPr>
      <w:r>
        <w:rPr>
          <w:rFonts w:ascii="Arial" w:hAnsi="Arial" w:eastAsia="Times New Roman" w:cs="Arial"/>
          <w:sz w:val="20"/>
          <w:szCs w:val="20"/>
          <w:lang w:eastAsia="en-GB"/>
        </w:rPr>
        <w:t xml:space="preserve">Consequently, I will not refer this appeal point to the appeal panel. </w:t>
      </w:r>
    </w:p>
    <w:p w:rsidRPr="00771051" w:rsidR="005A7A7D" w:rsidP="005A7A7D" w:rsidRDefault="005A7A7D" w14:paraId="2AADAF28" w14:textId="77777777">
      <w:pPr>
        <w:spacing w:before="120" w:after="240"/>
        <w:jc w:val="both"/>
        <w:rPr>
          <w:rFonts w:ascii="Arial" w:hAnsi="Arial" w:eastAsia="Times New Roman" w:cs="Arial"/>
          <w:sz w:val="20"/>
          <w:szCs w:val="20"/>
          <w:u w:val="single"/>
        </w:rPr>
      </w:pPr>
      <w:r w:rsidRPr="00771051">
        <w:rPr>
          <w:rFonts w:ascii="Arial" w:hAnsi="Arial" w:eastAsia="Times New Roman" w:cs="Arial"/>
          <w:sz w:val="20"/>
          <w:szCs w:val="20"/>
          <w:u w:val="single"/>
        </w:rPr>
        <w:t>Conclusion</w:t>
      </w:r>
    </w:p>
    <w:p w:rsidRPr="00AA7DBF" w:rsidR="005A7A7D" w:rsidP="005A7A7D" w:rsidRDefault="005A7A7D" w14:paraId="64256DC4" w14:textId="77777777">
      <w:pPr>
        <w:spacing w:before="120" w:after="240"/>
        <w:jc w:val="both"/>
        <w:rPr>
          <w:rFonts w:ascii="Arial" w:hAnsi="Arial" w:eastAsia="Times New Roman" w:cs="Arial"/>
          <w:sz w:val="20"/>
          <w:szCs w:val="20"/>
        </w:rPr>
      </w:pPr>
      <w:proofErr w:type="gramStart"/>
      <w:r w:rsidRPr="00AA7DBF">
        <w:rPr>
          <w:rFonts w:ascii="Arial" w:hAnsi="Arial" w:eastAsia="Times New Roman" w:cs="Arial"/>
          <w:sz w:val="20"/>
          <w:szCs w:val="20"/>
        </w:rPr>
        <w:t>Therefore</w:t>
      </w:r>
      <w:proofErr w:type="gramEnd"/>
      <w:r w:rsidRPr="00AA7DBF">
        <w:rPr>
          <w:rFonts w:ascii="Arial" w:hAnsi="Arial" w:eastAsia="Times New Roman" w:cs="Arial"/>
          <w:sz w:val="20"/>
          <w:szCs w:val="20"/>
        </w:rPr>
        <w:t xml:space="preserve"> the valid appeal points are:</w:t>
      </w:r>
    </w:p>
    <w:p w:rsidRPr="00AA7DBF" w:rsidR="005A7A7D" w:rsidP="006439BA" w:rsidRDefault="00AA7DBF" w14:paraId="0AF0E90C" w14:textId="5C357CD6">
      <w:pPr>
        <w:pStyle w:val="ListParagraph"/>
        <w:numPr>
          <w:ilvl w:val="0"/>
          <w:numId w:val="14"/>
        </w:numPr>
        <w:spacing w:before="240" w:after="240" w:line="360" w:lineRule="auto"/>
        <w:ind w:left="1077"/>
        <w:contextualSpacing w:val="0"/>
        <w:jc w:val="both"/>
        <w:rPr>
          <w:rFonts w:cs="Arial"/>
        </w:rPr>
      </w:pPr>
      <w:r w:rsidRPr="00AA7DBF">
        <w:rPr>
          <w:rFonts w:cs="Arial"/>
          <w:b/>
          <w:bCs/>
        </w:rPr>
        <w:t>1(a)1 –</w:t>
      </w:r>
      <w:r w:rsidRPr="00AA7DBF">
        <w:rPr>
          <w:rFonts w:cs="Arial"/>
        </w:rPr>
        <w:t xml:space="preserve"> The Committee's conclusion that zilucoplan adds an additional line to the treatment pathway was raised by the Committee only after ACM3, with the result that there was no opportunity for consultation on this key issue.</w:t>
      </w:r>
    </w:p>
    <w:p w:rsidRPr="00AA7DBF" w:rsidR="005A7A7D" w:rsidP="006439BA" w:rsidRDefault="00AA7DBF" w14:paraId="572939F7" w14:textId="696DC8E8">
      <w:pPr>
        <w:pStyle w:val="ListParagraph"/>
        <w:numPr>
          <w:ilvl w:val="0"/>
          <w:numId w:val="14"/>
        </w:numPr>
        <w:spacing w:before="240" w:after="240" w:line="360" w:lineRule="auto"/>
        <w:ind w:left="1077"/>
        <w:contextualSpacing w:val="0"/>
        <w:jc w:val="both"/>
        <w:rPr>
          <w:rFonts w:cs="Arial"/>
          <w:i/>
          <w:iCs/>
        </w:rPr>
      </w:pPr>
      <w:r w:rsidRPr="00AA7DBF">
        <w:rPr>
          <w:rFonts w:cs="Arial"/>
          <w:b/>
          <w:bCs/>
        </w:rPr>
        <w:t>1(a)3</w:t>
      </w:r>
      <w:r w:rsidR="006439BA">
        <w:rPr>
          <w:rFonts w:cs="Arial"/>
          <w:b/>
          <w:bCs/>
        </w:rPr>
        <w:t xml:space="preserve"> </w:t>
      </w:r>
      <w:r w:rsidRPr="006439BA">
        <w:rPr>
          <w:rFonts w:cs="Arial"/>
        </w:rPr>
        <w:t xml:space="preserve">The Committee's preferred assumption for using the EAG's approach of modelling subsequent </w:t>
      </w:r>
      <w:r w:rsidR="000A6DF7">
        <w:rPr>
          <w:rFonts w:cs="Arial"/>
        </w:rPr>
        <w:t xml:space="preserve">treatment </w:t>
      </w:r>
      <w:r w:rsidRPr="006439BA">
        <w:rPr>
          <w:rFonts w:cs="Arial"/>
        </w:rPr>
        <w:t>lacks transparency</w:t>
      </w:r>
    </w:p>
    <w:p w:rsidRPr="00AA7DBF" w:rsidR="00AA7DBF" w:rsidP="006439BA" w:rsidRDefault="00AA7DBF" w14:paraId="07AE19B8" w14:textId="0F21EB71">
      <w:pPr>
        <w:pStyle w:val="ListParagraph"/>
        <w:numPr>
          <w:ilvl w:val="0"/>
          <w:numId w:val="14"/>
        </w:numPr>
        <w:spacing w:before="240" w:after="240" w:line="360" w:lineRule="auto"/>
        <w:ind w:left="1077"/>
        <w:contextualSpacing w:val="0"/>
        <w:jc w:val="both"/>
        <w:rPr>
          <w:rFonts w:cs="Arial"/>
        </w:rPr>
      </w:pPr>
      <w:r w:rsidRPr="00AA7DBF">
        <w:rPr>
          <w:rFonts w:cs="Arial"/>
          <w:b/>
          <w:bCs/>
        </w:rPr>
        <w:t>1(a)5</w:t>
      </w:r>
      <w:r w:rsidRPr="00AA7DBF">
        <w:rPr>
          <w:rFonts w:cs="Arial"/>
        </w:rPr>
        <w:t xml:space="preserve"> – The Committee's approach to consideration of uncaptured benefits lacks transparency and appears incomplete.</w:t>
      </w:r>
    </w:p>
    <w:p w:rsidRPr="00AA7DBF" w:rsidR="00AA7DBF" w:rsidP="006439BA" w:rsidRDefault="00AA7DBF" w14:paraId="7C6E2648" w14:textId="0776C4FB">
      <w:pPr>
        <w:pStyle w:val="ListParagraph"/>
        <w:numPr>
          <w:ilvl w:val="0"/>
          <w:numId w:val="14"/>
        </w:numPr>
        <w:spacing w:before="240" w:after="240" w:line="360" w:lineRule="auto"/>
        <w:ind w:left="1077"/>
        <w:contextualSpacing w:val="0"/>
        <w:jc w:val="both"/>
        <w:rPr>
          <w:rFonts w:cs="Arial"/>
        </w:rPr>
      </w:pPr>
      <w:r w:rsidRPr="00AA7DBF">
        <w:rPr>
          <w:rFonts w:cs="Arial"/>
          <w:b/>
          <w:bCs/>
        </w:rPr>
        <w:t>2.1</w:t>
      </w:r>
      <w:r w:rsidRPr="00AA7DBF">
        <w:rPr>
          <w:rFonts w:cs="Arial"/>
        </w:rPr>
        <w:t xml:space="preserve"> </w:t>
      </w:r>
      <w:r>
        <w:rPr>
          <w:rFonts w:cs="Arial"/>
        </w:rPr>
        <w:t xml:space="preserve">- </w:t>
      </w:r>
      <w:r w:rsidRPr="00AA7DBF">
        <w:rPr>
          <w:rFonts w:cs="Arial"/>
        </w:rPr>
        <w:t xml:space="preserve">The Committee's preferred comparator of a "basket of standard care" is unreasonable in view of the target population for zilucoplan and its proposed position in the treatment pathway. </w:t>
      </w:r>
    </w:p>
    <w:p w:rsidRPr="00AA7DBF" w:rsidR="00AA7DBF" w:rsidP="006439BA" w:rsidRDefault="00AA7DBF" w14:paraId="28BF9510" w14:textId="4FBB4035">
      <w:pPr>
        <w:pStyle w:val="ListParagraph"/>
        <w:numPr>
          <w:ilvl w:val="0"/>
          <w:numId w:val="14"/>
        </w:numPr>
        <w:spacing w:before="240" w:after="240" w:line="360" w:lineRule="auto"/>
        <w:ind w:left="1077"/>
        <w:contextualSpacing w:val="0"/>
        <w:jc w:val="both"/>
        <w:rPr>
          <w:rFonts w:cs="Arial"/>
        </w:rPr>
      </w:pPr>
      <w:r w:rsidRPr="00AA7DBF">
        <w:rPr>
          <w:rFonts w:cs="Arial"/>
          <w:b/>
          <w:bCs/>
        </w:rPr>
        <w:t>2.2 -</w:t>
      </w:r>
      <w:r w:rsidRPr="00AA7DBF">
        <w:rPr>
          <w:rFonts w:cs="Arial"/>
        </w:rPr>
        <w:t xml:space="preserve"> The Committee's conclusion that zilucoplan adds an additional line of therapy to the treatment pathway for generalised myasthenia gravis is unreasonable</w:t>
      </w:r>
      <w:r w:rsidR="00E144BD">
        <w:rPr>
          <w:rFonts w:cs="Arial"/>
        </w:rPr>
        <w:t>.</w:t>
      </w:r>
      <w:r w:rsidRPr="00AA7DBF">
        <w:rPr>
          <w:rFonts w:cs="Arial"/>
        </w:rPr>
        <w:t xml:space="preserve"> </w:t>
      </w:r>
    </w:p>
    <w:p w:rsidRPr="00AA7DBF" w:rsidR="00AA7DBF" w:rsidP="006439BA" w:rsidRDefault="00AA7DBF" w14:paraId="58C658DC" w14:textId="2A56A43A">
      <w:pPr>
        <w:pStyle w:val="ListParagraph"/>
        <w:numPr>
          <w:ilvl w:val="0"/>
          <w:numId w:val="14"/>
        </w:numPr>
        <w:spacing w:before="240" w:after="240" w:line="360" w:lineRule="auto"/>
        <w:ind w:left="1077"/>
        <w:contextualSpacing w:val="0"/>
        <w:jc w:val="both"/>
        <w:rPr>
          <w:rFonts w:cs="Arial"/>
        </w:rPr>
      </w:pPr>
      <w:r w:rsidRPr="00AA7DBF">
        <w:rPr>
          <w:rFonts w:cs="Arial"/>
          <w:b/>
          <w:bCs/>
        </w:rPr>
        <w:t>2.3 -</w:t>
      </w:r>
      <w:r>
        <w:rPr>
          <w:rFonts w:cs="Arial"/>
        </w:rPr>
        <w:t xml:space="preserve"> </w:t>
      </w:r>
      <w:r w:rsidRPr="00AA7DBF">
        <w:rPr>
          <w:rFonts w:cs="Arial"/>
        </w:rPr>
        <w:t xml:space="preserve">The Committee's conclusion that the subsequent treatment for the zilucoplan arm in the economic model should be informed by the efgartigimod full EAMS cohort whereas the comparator basket is informed by a different data source is inconsistent and unreasonable. </w:t>
      </w:r>
    </w:p>
    <w:p w:rsidRPr="00AA7DBF" w:rsidR="00AA7DBF" w:rsidP="006439BA" w:rsidRDefault="00AA7DBF" w14:paraId="4C4BC5CA" w14:textId="1C195D3F">
      <w:pPr>
        <w:pStyle w:val="ListParagraph"/>
        <w:numPr>
          <w:ilvl w:val="0"/>
          <w:numId w:val="14"/>
        </w:numPr>
        <w:spacing w:before="240" w:after="240" w:line="360" w:lineRule="auto"/>
        <w:ind w:left="1077"/>
        <w:contextualSpacing w:val="0"/>
        <w:jc w:val="both"/>
        <w:rPr>
          <w:rFonts w:cs="Arial"/>
        </w:rPr>
      </w:pPr>
      <w:r w:rsidRPr="00AA7DBF">
        <w:rPr>
          <w:rFonts w:cs="Arial"/>
          <w:b/>
          <w:bCs/>
        </w:rPr>
        <w:t>2.4 -</w:t>
      </w:r>
      <w:r>
        <w:rPr>
          <w:rFonts w:cs="Arial"/>
        </w:rPr>
        <w:t xml:space="preserve"> </w:t>
      </w:r>
      <w:r w:rsidRPr="00AA7DBF">
        <w:rPr>
          <w:rFonts w:cs="Arial"/>
        </w:rPr>
        <w:t>The Committee's conclusion that UCB's expert elicitation had several uncertainties is unreasonable</w:t>
      </w:r>
      <w:r w:rsidR="00E144BD">
        <w:rPr>
          <w:rFonts w:cs="Arial"/>
        </w:rPr>
        <w:t>.</w:t>
      </w:r>
    </w:p>
    <w:p w:rsidRPr="00AA7DBF" w:rsidR="00AA7DBF" w:rsidP="006439BA" w:rsidRDefault="00AA7DBF" w14:paraId="11EFB65E" w14:textId="74920B7F">
      <w:pPr>
        <w:pStyle w:val="ListParagraph"/>
        <w:numPr>
          <w:ilvl w:val="0"/>
          <w:numId w:val="14"/>
        </w:numPr>
        <w:spacing w:before="240" w:after="240" w:line="360" w:lineRule="auto"/>
        <w:ind w:left="1077"/>
        <w:contextualSpacing w:val="0"/>
        <w:jc w:val="both"/>
        <w:rPr>
          <w:rFonts w:cs="Arial"/>
        </w:rPr>
      </w:pPr>
      <w:r w:rsidRPr="00AA7DBF">
        <w:rPr>
          <w:rFonts w:cs="Arial"/>
          <w:b/>
          <w:bCs/>
        </w:rPr>
        <w:t>2.5 -</w:t>
      </w:r>
      <w:r>
        <w:rPr>
          <w:rFonts w:cs="Arial"/>
        </w:rPr>
        <w:t xml:space="preserve"> </w:t>
      </w:r>
      <w:r w:rsidRPr="00AA7DBF">
        <w:rPr>
          <w:rFonts w:cs="Arial"/>
        </w:rPr>
        <w:t>The exclusion of minimal symptom expression is unreasonable in the light of the clinical trial data and expert elicitation submitted</w:t>
      </w:r>
      <w:r w:rsidR="00E144BD">
        <w:rPr>
          <w:rFonts w:cs="Arial"/>
        </w:rPr>
        <w:t>.</w:t>
      </w:r>
      <w:r w:rsidRPr="00AA7DBF">
        <w:rPr>
          <w:rFonts w:cs="Arial"/>
        </w:rPr>
        <w:t xml:space="preserve"> </w:t>
      </w:r>
    </w:p>
    <w:p w:rsidRPr="00AA7DBF" w:rsidR="00AA7DBF" w:rsidP="006439BA" w:rsidRDefault="00AA7DBF" w14:paraId="343401C6" w14:textId="559BCAB3">
      <w:pPr>
        <w:pStyle w:val="ListParagraph"/>
        <w:numPr>
          <w:ilvl w:val="0"/>
          <w:numId w:val="14"/>
        </w:numPr>
        <w:spacing w:before="240" w:after="240" w:line="360" w:lineRule="auto"/>
        <w:ind w:left="1077"/>
        <w:contextualSpacing w:val="0"/>
        <w:jc w:val="both"/>
        <w:rPr>
          <w:rFonts w:cs="Arial"/>
        </w:rPr>
      </w:pPr>
      <w:r w:rsidRPr="00AA7DBF">
        <w:rPr>
          <w:rFonts w:cs="Arial"/>
          <w:b/>
          <w:bCs/>
        </w:rPr>
        <w:t>2.6 -</w:t>
      </w:r>
      <w:r>
        <w:rPr>
          <w:rFonts w:cs="Arial"/>
        </w:rPr>
        <w:t xml:space="preserve"> </w:t>
      </w:r>
      <w:r w:rsidRPr="00AA7DBF">
        <w:rPr>
          <w:rFonts w:cs="Arial"/>
        </w:rPr>
        <w:t>The use of the overall EAMS cohort to determine the proportion of people on treatments in the "standard of care basket" disregards the views of the authors of the published paper, expert opinion and is inconsistent with the target population for zilucoplan and its position in the treatment pathway</w:t>
      </w:r>
      <w:r w:rsidR="00E144BD">
        <w:rPr>
          <w:rFonts w:cs="Arial"/>
        </w:rPr>
        <w:t>.</w:t>
      </w:r>
      <w:r w:rsidRPr="00AA7DBF">
        <w:rPr>
          <w:rFonts w:cs="Arial"/>
        </w:rPr>
        <w:t xml:space="preserve"> </w:t>
      </w:r>
    </w:p>
    <w:p w:rsidRPr="00AA7DBF" w:rsidR="00AA7DBF" w:rsidP="006439BA" w:rsidRDefault="00AA7DBF" w14:paraId="1AC7CEF5" w14:textId="0898080B">
      <w:pPr>
        <w:pStyle w:val="ListParagraph"/>
        <w:numPr>
          <w:ilvl w:val="0"/>
          <w:numId w:val="14"/>
        </w:numPr>
        <w:spacing w:before="240" w:after="240" w:line="360" w:lineRule="auto"/>
        <w:ind w:left="1077"/>
        <w:contextualSpacing w:val="0"/>
        <w:jc w:val="both"/>
        <w:rPr>
          <w:rFonts w:cs="Arial"/>
        </w:rPr>
      </w:pPr>
      <w:r w:rsidRPr="00AA7DBF">
        <w:rPr>
          <w:rFonts w:cs="Arial"/>
          <w:b/>
          <w:bCs/>
        </w:rPr>
        <w:t>2.7</w:t>
      </w:r>
      <w:r w:rsidRPr="00AA7DBF">
        <w:rPr>
          <w:rFonts w:cs="Arial"/>
        </w:rPr>
        <w:t xml:space="preserve"> - It is unreasonable to use Lee et al to estimate the cost of corticosteroid use for the CEM for zilucoplan</w:t>
      </w:r>
      <w:r w:rsidR="00E144BD">
        <w:rPr>
          <w:rFonts w:cs="Arial"/>
        </w:rPr>
        <w:t>.</w:t>
      </w:r>
    </w:p>
    <w:p w:rsidRPr="00771051" w:rsidR="005A7A7D" w:rsidP="005A7A7D" w:rsidRDefault="005A7A7D" w14:paraId="6599EABC" w14:textId="6610EA3A">
      <w:pPr>
        <w:spacing w:before="120" w:after="240"/>
        <w:jc w:val="both"/>
        <w:rPr>
          <w:rFonts w:ascii="Arial" w:hAnsi="Arial" w:eastAsia="Times New Roman" w:cs="Arial"/>
          <w:sz w:val="20"/>
          <w:szCs w:val="20"/>
        </w:rPr>
      </w:pPr>
      <w:r w:rsidRPr="00771051">
        <w:rPr>
          <w:rFonts w:ascii="Arial" w:hAnsi="Arial" w:eastAsia="Times New Roman" w:cs="Arial"/>
          <w:sz w:val="20"/>
          <w:szCs w:val="20"/>
        </w:rPr>
        <w:t>NICE shares the valid appeal grounds of each appellant with the other appellants to assist with preparation for the hearing</w:t>
      </w:r>
      <w:r w:rsidR="00E02AB4">
        <w:rPr>
          <w:rFonts w:ascii="Arial" w:hAnsi="Arial" w:eastAsia="Times New Roman" w:cs="Arial"/>
          <w:sz w:val="20"/>
          <w:szCs w:val="20"/>
        </w:rPr>
        <w:t>.</w:t>
      </w:r>
    </w:p>
    <w:p w:rsidRPr="00771051" w:rsidR="00355A99" w:rsidP="005A7A7D" w:rsidRDefault="005A7A7D" w14:paraId="20FF8B88" w14:textId="1B3F7D88">
      <w:pPr>
        <w:spacing w:before="120" w:after="240"/>
        <w:jc w:val="both"/>
        <w:rPr>
          <w:rFonts w:ascii="Arial" w:hAnsi="Arial" w:eastAsia="Times New Roman" w:cs="Arial"/>
          <w:sz w:val="20"/>
          <w:szCs w:val="20"/>
        </w:rPr>
      </w:pPr>
      <w:r w:rsidRPr="00771051">
        <w:rPr>
          <w:rFonts w:ascii="Arial" w:hAnsi="Arial" w:eastAsia="Times New Roman" w:cs="Arial"/>
          <w:sz w:val="20"/>
          <w:szCs w:val="20"/>
        </w:rPr>
        <w:t xml:space="preserve">NICE will be in contact with you regarding the administration of the appeal, which will be held orally. </w:t>
      </w:r>
    </w:p>
    <w:p w:rsidR="00AA7DBF" w:rsidP="005A7A7D" w:rsidRDefault="00AA7DBF" w14:paraId="65BA7F5E" w14:textId="77777777">
      <w:pPr>
        <w:spacing w:before="120" w:after="240"/>
        <w:jc w:val="both"/>
        <w:rPr>
          <w:rFonts w:ascii="Arial" w:hAnsi="Arial" w:eastAsia="Times New Roman" w:cs="Arial"/>
          <w:sz w:val="20"/>
          <w:szCs w:val="20"/>
        </w:rPr>
      </w:pPr>
    </w:p>
    <w:p w:rsidR="005A7A7D" w:rsidP="005A7A7D" w:rsidRDefault="005A7A7D" w14:paraId="04BAA200" w14:textId="6DBF7A0F">
      <w:pPr>
        <w:spacing w:before="120" w:after="240"/>
        <w:jc w:val="both"/>
        <w:rPr>
          <w:rFonts w:ascii="Arial" w:hAnsi="Arial" w:eastAsia="Times New Roman" w:cs="Arial"/>
          <w:sz w:val="20"/>
          <w:szCs w:val="20"/>
        </w:rPr>
      </w:pPr>
      <w:r w:rsidRPr="00771051">
        <w:rPr>
          <w:rFonts w:ascii="Arial" w:hAnsi="Arial" w:eastAsia="Times New Roman" w:cs="Arial"/>
          <w:sz w:val="20"/>
          <w:szCs w:val="20"/>
        </w:rPr>
        <w:t>Yours sincerely</w:t>
      </w:r>
    </w:p>
    <w:p w:rsidR="00AA7DBF" w:rsidP="5B8F832E" w:rsidRDefault="00E02AB4" w14:paraId="30E7A06E" w14:noSpellErr="1" w14:textId="72FC866A">
      <w:pPr>
        <w:spacing w:before="120" w:after="240"/>
        <w:jc w:val="both"/>
        <w:rPr>
          <w:highlight w:val="black"/>
        </w:rPr>
      </w:pPr>
      <w:r w:rsidRPr="5B8F832E" w:rsidR="5F19E5DF">
        <w:rPr>
          <w:highlight w:val="black"/>
        </w:rPr>
        <w:t>XXXXXXXXXXXXXXXXXXXX</w:t>
      </w:r>
    </w:p>
    <w:p w:rsidRPr="00771051" w:rsidR="00AA7DBF" w:rsidP="005A7A7D" w:rsidRDefault="00AA7DBF" w14:paraId="1564271C" w14:textId="77777777">
      <w:pPr>
        <w:spacing w:before="120" w:after="240"/>
        <w:jc w:val="both"/>
        <w:rPr>
          <w:rFonts w:ascii="Arial" w:hAnsi="Arial" w:eastAsia="Times New Roman" w:cs="Arial"/>
          <w:sz w:val="20"/>
          <w:szCs w:val="20"/>
        </w:rPr>
      </w:pPr>
    </w:p>
    <w:p w:rsidRPr="00771051" w:rsidR="005A7A7D" w:rsidP="005A7A7D" w:rsidRDefault="00AA7DBF" w14:paraId="06E59F3D" w14:textId="4DAC2486">
      <w:pPr>
        <w:spacing w:before="120" w:after="240"/>
        <w:jc w:val="both"/>
        <w:rPr>
          <w:rFonts w:ascii="Arial" w:hAnsi="Arial" w:eastAsia="Times New Roman" w:cs="Arial"/>
          <w:sz w:val="20"/>
          <w:szCs w:val="20"/>
        </w:rPr>
      </w:pPr>
      <w:r>
        <w:rPr>
          <w:rFonts w:ascii="Arial" w:hAnsi="Arial" w:eastAsia="Times New Roman" w:cs="Arial"/>
          <w:sz w:val="20"/>
          <w:szCs w:val="20"/>
        </w:rPr>
        <w:t>Dr Mark Chakravarty</w:t>
      </w:r>
    </w:p>
    <w:p w:rsidRPr="00771051" w:rsidR="005A7A7D" w:rsidP="005A7A7D" w:rsidRDefault="00AA7DBF" w14:paraId="321A9458" w14:textId="1F1F3831">
      <w:pPr>
        <w:spacing w:before="120" w:after="240"/>
        <w:jc w:val="both"/>
        <w:rPr>
          <w:rFonts w:ascii="Arial" w:hAnsi="Arial" w:eastAsia="Times New Roman" w:cs="Arial"/>
          <w:sz w:val="20"/>
          <w:szCs w:val="20"/>
        </w:rPr>
      </w:pPr>
      <w:r>
        <w:rPr>
          <w:rFonts w:ascii="Arial" w:hAnsi="Arial" w:eastAsia="Times New Roman" w:cs="Arial"/>
          <w:sz w:val="20"/>
          <w:szCs w:val="20"/>
        </w:rPr>
        <w:t>Lead Non-Executive Director for Appeals</w:t>
      </w:r>
    </w:p>
    <w:p w:rsidRPr="00771051" w:rsidR="005A7A7D" w:rsidP="005A7A7D" w:rsidRDefault="005A7A7D" w14:paraId="40B9BBC0" w14:textId="77777777">
      <w:pPr>
        <w:spacing w:before="120" w:after="240"/>
        <w:jc w:val="both"/>
        <w:rPr>
          <w:rFonts w:ascii="Arial" w:hAnsi="Arial" w:eastAsia="Times New Roman" w:cs="Arial"/>
          <w:sz w:val="20"/>
          <w:szCs w:val="20"/>
        </w:rPr>
      </w:pPr>
      <w:r w:rsidRPr="00771051">
        <w:rPr>
          <w:rFonts w:ascii="Arial" w:hAnsi="Arial" w:eastAsia="Times New Roman" w:cs="Arial"/>
          <w:sz w:val="20"/>
          <w:szCs w:val="20"/>
        </w:rPr>
        <w:t>National Institute for Health and Care Excellence</w:t>
      </w:r>
    </w:p>
    <w:p w:rsidRPr="0043022B" w:rsidR="000B36E1" w:rsidP="002B6A0D" w:rsidRDefault="000B36E1" w14:paraId="03E7BAFA" w14:textId="4811D299">
      <w:pPr>
        <w:spacing w:line="360" w:lineRule="auto"/>
        <w:rPr>
          <w:rFonts w:ascii="Arial" w:hAnsi="Arial" w:cs="Arial"/>
          <w:sz w:val="20"/>
          <w:szCs w:val="20"/>
        </w:rPr>
      </w:pPr>
    </w:p>
    <w:sectPr w:rsidRPr="0043022B" w:rsidR="000B36E1" w:rsidSect="00CE3AA0">
      <w:headerReference w:type="even" r:id="rId9"/>
      <w:headerReference w:type="default" r:id="rId10"/>
      <w:footerReference w:type="even" r:id="rId11"/>
      <w:footerReference w:type="default" r:id="rId12"/>
      <w:headerReference w:type="first" r:id="rId13"/>
      <w:footerReference w:type="first" r:id="rId14"/>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3C5C" w:rsidP="000B352B" w:rsidRDefault="00D43C5C" w14:paraId="3471B2D4" w14:textId="77777777">
      <w:pPr>
        <w:spacing w:after="0" w:line="240" w:lineRule="auto"/>
      </w:pPr>
      <w:r>
        <w:separator/>
      </w:r>
    </w:p>
  </w:endnote>
  <w:endnote w:type="continuationSeparator" w:id="0">
    <w:p w:rsidR="00D43C5C" w:rsidP="000B352B" w:rsidRDefault="00D43C5C" w14:paraId="05F8C6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6DB" w:rsidRDefault="00BB16DB" w14:paraId="118258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6E1" w:rsidP="000B36E1" w:rsidRDefault="000B36E1" w14:paraId="5D4D323D" w14:textId="1CEBF2EA">
    <w:pPr>
      <w:pStyle w:val="Footer"/>
      <w:tabs>
        <w:tab w:val="clear" w:pos="4513"/>
        <w:tab w:val="clear" w:pos="9026"/>
        <w:tab w:val="left" w:pos="1758"/>
      </w:tabs>
      <w:rPr>
        <w:noProof/>
      </w:rPr>
    </w:pPr>
    <w:r>
      <w:tab/>
    </w:r>
    <w:r>
      <w:t xml:space="preserve">                                                                                                                                 Page | </w:t>
    </w:r>
    <w:r>
      <w:fldChar w:fldCharType="begin"/>
    </w:r>
    <w:r>
      <w:instrText xml:space="preserve"> PAGE   \* MERGEFORMAT </w:instrText>
    </w:r>
    <w:r>
      <w:fldChar w:fldCharType="separate"/>
    </w:r>
    <w:r w:rsidR="002B6A0D">
      <w:rPr>
        <w:noProof/>
      </w:rPr>
      <w:t>2</w:t>
    </w:r>
    <w:r>
      <w:rPr>
        <w:noProof/>
      </w:rPr>
      <w:fldChar w:fldCharType="end"/>
    </w:r>
  </w:p>
  <w:p w:rsidR="000B36E1" w:rsidP="000B36E1" w:rsidRDefault="000B36E1" w14:paraId="4B5AA96B" w14:textId="77777777">
    <w:pPr>
      <w:pStyle w:val="Footer"/>
      <w:tabs>
        <w:tab w:val="clear" w:pos="4513"/>
        <w:tab w:val="clear" w:pos="9026"/>
        <w:tab w:val="left" w:pos="175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36E1" w:rsidRDefault="000B36E1" w14:paraId="7283D9E9" w14:textId="65FFA284">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3C5C" w:rsidP="000B352B" w:rsidRDefault="00D43C5C" w14:paraId="50A3907F" w14:textId="77777777">
      <w:pPr>
        <w:spacing w:after="0" w:line="240" w:lineRule="auto"/>
      </w:pPr>
      <w:r>
        <w:separator/>
      </w:r>
    </w:p>
  </w:footnote>
  <w:footnote w:type="continuationSeparator" w:id="0">
    <w:p w:rsidR="00D43C5C" w:rsidP="000B352B" w:rsidRDefault="00D43C5C" w14:paraId="31E0A16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6DB" w:rsidRDefault="00BB16DB" w14:paraId="6ADB81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E0434" w:rsidR="009E2F15" w:rsidP="003A79BD" w:rsidRDefault="009E2F15" w14:paraId="18A30C4B" w14:textId="45456900">
    <w:pPr>
      <w:pStyle w:val="Header"/>
      <w:ind w:right="-1"/>
      <w:rPr>
        <w:rFonts w:ascii="Arial" w:hAnsi="Arial" w:cs="Arial"/>
        <w:color w:val="0E0E0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36E1" w:rsidP="000B36E1" w:rsidRDefault="000B36E1" w14:paraId="7E317012" w14:textId="503FBB8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Pr="0003729F" w:rsid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rsidRPr="005E0434" w:rsidR="0003729F" w:rsidP="000B36E1" w:rsidRDefault="0003729F" w14:paraId="3809122A" w14:textId="119E090B">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rsidRPr="005E0434" w:rsidR="000B36E1" w:rsidP="000B36E1" w:rsidRDefault="000B36E1" w14:paraId="49A56729" w14:textId="77777777">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rsidRPr="005E0434" w:rsidR="000B36E1" w:rsidP="000B36E1" w:rsidRDefault="0003729F" w14:paraId="69737D36" w14:textId="720B211D">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rsidRPr="005E0434" w:rsidR="000B36E1" w:rsidP="000B36E1" w:rsidRDefault="000B36E1" w14:paraId="0E978159" w14:textId="77777777">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rsidRPr="005E0434" w:rsidR="000B36E1" w:rsidP="000B36E1" w:rsidRDefault="000B36E1" w14:paraId="6549E90E" w14:textId="77777777">
    <w:pPr>
      <w:pStyle w:val="Header"/>
      <w:tabs>
        <w:tab w:val="clear" w:pos="9026"/>
        <w:tab w:val="right" w:pos="10065"/>
      </w:tabs>
      <w:ind w:right="-1039"/>
      <w:jc w:val="right"/>
      <w:rPr>
        <w:rFonts w:ascii="Arial" w:hAnsi="Arial" w:cs="Arial"/>
        <w:color w:val="0E0E0E"/>
        <w:sz w:val="20"/>
        <w:szCs w:val="20"/>
      </w:rPr>
    </w:pPr>
  </w:p>
  <w:p w:rsidRPr="003A3E2E" w:rsidR="000B36E1" w:rsidP="003A3E2E" w:rsidRDefault="003A3E2E" w14:paraId="17F30120" w14:textId="7A0D7C0A">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rsidR="000B36E1" w:rsidP="000B36E1" w:rsidRDefault="000B36E1" w14:paraId="5D75BB6C" w14:textId="09F7B04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99737A"/>
    <w:multiLevelType w:val="multilevel"/>
    <w:tmpl w:val="1FE27C5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C41087"/>
    <w:multiLevelType w:val="hybridMultilevel"/>
    <w:tmpl w:val="D2ACA6B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1807313"/>
    <w:multiLevelType w:val="hybridMultilevel"/>
    <w:tmpl w:val="99BAE5FA"/>
    <w:lvl w:ilvl="0" w:tplc="247C01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5" w15:restartNumberingAfterBreak="0">
    <w:nsid w:val="22974431"/>
    <w:multiLevelType w:val="hybridMultilevel"/>
    <w:tmpl w:val="BE86AE90"/>
    <w:lvl w:ilvl="0" w:tplc="7D0EE0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1C58F7"/>
    <w:multiLevelType w:val="hybridMultilevel"/>
    <w:tmpl w:val="7A90857A"/>
    <w:lvl w:ilvl="0" w:tplc="A86A9E3C">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42F1D0C"/>
    <w:multiLevelType w:val="hybridMultilevel"/>
    <w:tmpl w:val="79C26A16"/>
    <w:lvl w:ilvl="0" w:tplc="B0DA353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2E42DB3"/>
    <w:multiLevelType w:val="hybridMultilevel"/>
    <w:tmpl w:val="4538C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1A545E2"/>
    <w:multiLevelType w:val="hybridMultilevel"/>
    <w:tmpl w:val="9028B44C"/>
    <w:lvl w:ilvl="0" w:tplc="A6907310">
      <w:start w:val="1"/>
      <w:numFmt w:val="lowerRoman"/>
      <w:lvlText w:val="(%1)"/>
      <w:lvlJc w:val="left"/>
      <w:pPr>
        <w:ind w:left="330" w:hanging="720"/>
      </w:pPr>
      <w:rPr>
        <w:rFonts w:hint="default"/>
      </w:rPr>
    </w:lvl>
    <w:lvl w:ilvl="1" w:tplc="08090019" w:tentative="1">
      <w:start w:val="1"/>
      <w:numFmt w:val="lowerLetter"/>
      <w:lvlText w:val="%2."/>
      <w:lvlJc w:val="left"/>
      <w:pPr>
        <w:ind w:left="690" w:hanging="360"/>
      </w:pPr>
    </w:lvl>
    <w:lvl w:ilvl="2" w:tplc="0809001B" w:tentative="1">
      <w:start w:val="1"/>
      <w:numFmt w:val="lowerRoman"/>
      <w:lvlText w:val="%3."/>
      <w:lvlJc w:val="right"/>
      <w:pPr>
        <w:ind w:left="1410" w:hanging="180"/>
      </w:pPr>
    </w:lvl>
    <w:lvl w:ilvl="3" w:tplc="0809000F" w:tentative="1">
      <w:start w:val="1"/>
      <w:numFmt w:val="decimal"/>
      <w:lvlText w:val="%4."/>
      <w:lvlJc w:val="left"/>
      <w:pPr>
        <w:ind w:left="2130" w:hanging="360"/>
      </w:pPr>
    </w:lvl>
    <w:lvl w:ilvl="4" w:tplc="08090019" w:tentative="1">
      <w:start w:val="1"/>
      <w:numFmt w:val="lowerLetter"/>
      <w:lvlText w:val="%5."/>
      <w:lvlJc w:val="left"/>
      <w:pPr>
        <w:ind w:left="2850" w:hanging="360"/>
      </w:pPr>
    </w:lvl>
    <w:lvl w:ilvl="5" w:tplc="0809001B" w:tentative="1">
      <w:start w:val="1"/>
      <w:numFmt w:val="lowerRoman"/>
      <w:lvlText w:val="%6."/>
      <w:lvlJc w:val="right"/>
      <w:pPr>
        <w:ind w:left="3570" w:hanging="180"/>
      </w:pPr>
    </w:lvl>
    <w:lvl w:ilvl="6" w:tplc="0809000F" w:tentative="1">
      <w:start w:val="1"/>
      <w:numFmt w:val="decimal"/>
      <w:lvlText w:val="%7."/>
      <w:lvlJc w:val="left"/>
      <w:pPr>
        <w:ind w:left="4290" w:hanging="360"/>
      </w:pPr>
    </w:lvl>
    <w:lvl w:ilvl="7" w:tplc="08090019" w:tentative="1">
      <w:start w:val="1"/>
      <w:numFmt w:val="lowerLetter"/>
      <w:lvlText w:val="%8."/>
      <w:lvlJc w:val="left"/>
      <w:pPr>
        <w:ind w:left="5010" w:hanging="360"/>
      </w:pPr>
    </w:lvl>
    <w:lvl w:ilvl="8" w:tplc="0809001B" w:tentative="1">
      <w:start w:val="1"/>
      <w:numFmt w:val="lowerRoman"/>
      <w:lvlText w:val="%9."/>
      <w:lvlJc w:val="right"/>
      <w:pPr>
        <w:ind w:left="5730" w:hanging="180"/>
      </w:pPr>
    </w:lvl>
  </w:abstractNum>
  <w:abstractNum w:abstractNumId="11" w15:restartNumberingAfterBreak="0">
    <w:nsid w:val="742D3DD1"/>
    <w:multiLevelType w:val="hybridMultilevel"/>
    <w:tmpl w:val="896A2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BE0EA0"/>
    <w:multiLevelType w:val="hybridMultilevel"/>
    <w:tmpl w:val="D2209602"/>
    <w:lvl w:ilvl="0" w:tplc="A86A9E3C">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14081330">
    <w:abstractNumId w:val="2"/>
  </w:num>
  <w:num w:numId="2" w16cid:durableId="1239897750">
    <w:abstractNumId w:val="9"/>
  </w:num>
  <w:num w:numId="3" w16cid:durableId="724110161">
    <w:abstractNumId w:val="4"/>
  </w:num>
  <w:num w:numId="4" w16cid:durableId="99180155">
    <w:abstractNumId w:val="10"/>
  </w:num>
  <w:num w:numId="5" w16cid:durableId="1481845086">
    <w:abstractNumId w:val="0"/>
  </w:num>
  <w:num w:numId="6" w16cid:durableId="423919277">
    <w:abstractNumId w:val="7"/>
  </w:num>
  <w:num w:numId="7" w16cid:durableId="20083576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738768">
    <w:abstractNumId w:val="8"/>
  </w:num>
  <w:num w:numId="9" w16cid:durableId="1504122631">
    <w:abstractNumId w:val="11"/>
  </w:num>
  <w:num w:numId="10" w16cid:durableId="936062982">
    <w:abstractNumId w:val="3"/>
  </w:num>
  <w:num w:numId="11" w16cid:durableId="916287850">
    <w:abstractNumId w:val="5"/>
  </w:num>
  <w:num w:numId="12" w16cid:durableId="800422546">
    <w:abstractNumId w:val="1"/>
  </w:num>
  <w:num w:numId="13" w16cid:durableId="780418427">
    <w:abstractNumId w:val="12"/>
  </w:num>
  <w:num w:numId="14" w16cid:durableId="2008972307">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3729F"/>
    <w:rsid w:val="000468DC"/>
    <w:rsid w:val="000641E7"/>
    <w:rsid w:val="00085181"/>
    <w:rsid w:val="000A32A8"/>
    <w:rsid w:val="000A6DF7"/>
    <w:rsid w:val="000B104A"/>
    <w:rsid w:val="000B352B"/>
    <w:rsid w:val="000B36E1"/>
    <w:rsid w:val="000C0E27"/>
    <w:rsid w:val="00144F73"/>
    <w:rsid w:val="0014732A"/>
    <w:rsid w:val="00152160"/>
    <w:rsid w:val="00176AA4"/>
    <w:rsid w:val="001D5BD2"/>
    <w:rsid w:val="001E0317"/>
    <w:rsid w:val="001F3962"/>
    <w:rsid w:val="002035FD"/>
    <w:rsid w:val="0022689E"/>
    <w:rsid w:val="002A50E3"/>
    <w:rsid w:val="002B6A0D"/>
    <w:rsid w:val="002E28E4"/>
    <w:rsid w:val="00320722"/>
    <w:rsid w:val="00321B75"/>
    <w:rsid w:val="00355A99"/>
    <w:rsid w:val="00371B99"/>
    <w:rsid w:val="003936B7"/>
    <w:rsid w:val="003A3E2E"/>
    <w:rsid w:val="003A79BD"/>
    <w:rsid w:val="003B2535"/>
    <w:rsid w:val="003B6BDC"/>
    <w:rsid w:val="003D614E"/>
    <w:rsid w:val="0040409D"/>
    <w:rsid w:val="004135E7"/>
    <w:rsid w:val="004215D9"/>
    <w:rsid w:val="00427E93"/>
    <w:rsid w:val="0043022B"/>
    <w:rsid w:val="00453738"/>
    <w:rsid w:val="00453774"/>
    <w:rsid w:val="00455E4B"/>
    <w:rsid w:val="00480405"/>
    <w:rsid w:val="00490CDB"/>
    <w:rsid w:val="00493D2F"/>
    <w:rsid w:val="004C1114"/>
    <w:rsid w:val="004C2D22"/>
    <w:rsid w:val="004E4493"/>
    <w:rsid w:val="004F29D7"/>
    <w:rsid w:val="004F39B0"/>
    <w:rsid w:val="00545445"/>
    <w:rsid w:val="00593F3D"/>
    <w:rsid w:val="005A42E5"/>
    <w:rsid w:val="005A7A7D"/>
    <w:rsid w:val="005B078B"/>
    <w:rsid w:val="005C388B"/>
    <w:rsid w:val="005C7480"/>
    <w:rsid w:val="005E0434"/>
    <w:rsid w:val="005E2A58"/>
    <w:rsid w:val="005F11B3"/>
    <w:rsid w:val="005F14A7"/>
    <w:rsid w:val="0063635F"/>
    <w:rsid w:val="00641CEB"/>
    <w:rsid w:val="00642346"/>
    <w:rsid w:val="006439BA"/>
    <w:rsid w:val="006628FF"/>
    <w:rsid w:val="00671EF3"/>
    <w:rsid w:val="0069376C"/>
    <w:rsid w:val="006D0C62"/>
    <w:rsid w:val="006F031D"/>
    <w:rsid w:val="0072577F"/>
    <w:rsid w:val="00732227"/>
    <w:rsid w:val="0079326E"/>
    <w:rsid w:val="007B36FA"/>
    <w:rsid w:val="007C64C6"/>
    <w:rsid w:val="007D4914"/>
    <w:rsid w:val="007E6052"/>
    <w:rsid w:val="00866617"/>
    <w:rsid w:val="008C081A"/>
    <w:rsid w:val="008E12A8"/>
    <w:rsid w:val="008E4AE4"/>
    <w:rsid w:val="00917BB6"/>
    <w:rsid w:val="0095504C"/>
    <w:rsid w:val="00961369"/>
    <w:rsid w:val="009A01FD"/>
    <w:rsid w:val="009E2F15"/>
    <w:rsid w:val="009E5151"/>
    <w:rsid w:val="009F0476"/>
    <w:rsid w:val="00A0226C"/>
    <w:rsid w:val="00A660C3"/>
    <w:rsid w:val="00A84AF4"/>
    <w:rsid w:val="00AA7DBF"/>
    <w:rsid w:val="00AD3112"/>
    <w:rsid w:val="00AD7658"/>
    <w:rsid w:val="00AE303D"/>
    <w:rsid w:val="00AE670F"/>
    <w:rsid w:val="00B24360"/>
    <w:rsid w:val="00B32B71"/>
    <w:rsid w:val="00B40993"/>
    <w:rsid w:val="00B737D4"/>
    <w:rsid w:val="00BB16DB"/>
    <w:rsid w:val="00BC7BE7"/>
    <w:rsid w:val="00C34F29"/>
    <w:rsid w:val="00C458CE"/>
    <w:rsid w:val="00C4763A"/>
    <w:rsid w:val="00C62340"/>
    <w:rsid w:val="00C85906"/>
    <w:rsid w:val="00C96687"/>
    <w:rsid w:val="00CB4563"/>
    <w:rsid w:val="00CE085C"/>
    <w:rsid w:val="00CE3AA0"/>
    <w:rsid w:val="00D22D3F"/>
    <w:rsid w:val="00D25C89"/>
    <w:rsid w:val="00D37DEC"/>
    <w:rsid w:val="00D43C5C"/>
    <w:rsid w:val="00D755E3"/>
    <w:rsid w:val="00D770E0"/>
    <w:rsid w:val="00DB178D"/>
    <w:rsid w:val="00DC59DE"/>
    <w:rsid w:val="00DD43C2"/>
    <w:rsid w:val="00E02AB4"/>
    <w:rsid w:val="00E03263"/>
    <w:rsid w:val="00E144BD"/>
    <w:rsid w:val="00E240CA"/>
    <w:rsid w:val="00E467E2"/>
    <w:rsid w:val="00E60FCF"/>
    <w:rsid w:val="00E622D7"/>
    <w:rsid w:val="00E67BD1"/>
    <w:rsid w:val="00E70F23"/>
    <w:rsid w:val="00E7772A"/>
    <w:rsid w:val="00EA3919"/>
    <w:rsid w:val="00EE6553"/>
    <w:rsid w:val="00F04994"/>
    <w:rsid w:val="00F1265E"/>
    <w:rsid w:val="00F233EA"/>
    <w:rsid w:val="00F24B1D"/>
    <w:rsid w:val="00F47A04"/>
    <w:rsid w:val="00F70A40"/>
    <w:rsid w:val="00F948B8"/>
    <w:rsid w:val="00FB225B"/>
    <w:rsid w:val="00FB7462"/>
    <w:rsid w:val="00FC0EF1"/>
    <w:rsid w:val="00FE3296"/>
    <w:rsid w:val="06B82537"/>
    <w:rsid w:val="1DD763FC"/>
    <w:rsid w:val="50CB4D55"/>
    <w:rsid w:val="56F4A696"/>
    <w:rsid w:val="58709CED"/>
    <w:rsid w:val="5B8F832E"/>
    <w:rsid w:val="5F19E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8A30C3A"/>
  <w15:docId w15:val="{5E5192C4-7C1C-460D-BFA5-1A9E65B2B1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68DC"/>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styleId="HeaderChar" w:customStyle="1">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styleId="FooterChar" w:customStyle="1">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0B352B"/>
    <w:rPr>
      <w:rFonts w:ascii="Tahoma" w:hAnsi="Tahoma" w:cs="Tahoma"/>
      <w:sz w:val="16"/>
      <w:szCs w:val="16"/>
    </w:rPr>
  </w:style>
  <w:style w:type="paragraph" w:styleId="Paragraph" w:customStyle="1">
    <w:name w:val="Paragraph"/>
    <w:basedOn w:val="Normal"/>
    <w:uiPriority w:val="4"/>
    <w:qFormat/>
    <w:rsid w:val="009A01FD"/>
    <w:pPr>
      <w:numPr>
        <w:numId w:val="2"/>
      </w:numPr>
      <w:spacing w:before="240" w:after="240"/>
    </w:pPr>
    <w:rPr>
      <w:rFonts w:ascii="Arial" w:hAnsi="Arial" w:eastAsia="Times New Roman"/>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styleId="UnresolvedMention1" w:customStyle="1">
    <w:name w:val="Unresolved Mention1"/>
    <w:basedOn w:val="DefaultParagraphFont"/>
    <w:uiPriority w:val="99"/>
    <w:semiHidden/>
    <w:unhideWhenUsed/>
    <w:rsid w:val="009A01FD"/>
    <w:rPr>
      <w:color w:val="605E5C"/>
      <w:shd w:val="clear" w:color="auto" w:fill="E1DFDD"/>
    </w:rPr>
  </w:style>
  <w:style w:type="paragraph" w:styleId="ListParagraph">
    <w:name w:val="List Paragraph"/>
    <w:basedOn w:val="Normal"/>
    <w:uiPriority w:val="34"/>
    <w:qFormat/>
    <w:rsid w:val="00B737D4"/>
    <w:pPr>
      <w:spacing w:after="0" w:line="288" w:lineRule="auto"/>
      <w:ind w:left="720"/>
      <w:contextualSpacing/>
    </w:pPr>
    <w:rPr>
      <w:rFonts w:ascii="Arial" w:hAnsi="Arial" w:eastAsia="Times New Roman"/>
      <w:sz w:val="20"/>
      <w:szCs w:val="20"/>
    </w:rPr>
  </w:style>
  <w:style w:type="character" w:styleId="CommentReference">
    <w:name w:val="annotation reference"/>
    <w:basedOn w:val="DefaultParagraphFont"/>
    <w:uiPriority w:val="99"/>
    <w:semiHidden/>
    <w:unhideWhenUsed/>
    <w:rsid w:val="00E467E2"/>
    <w:rPr>
      <w:sz w:val="16"/>
      <w:szCs w:val="16"/>
    </w:rPr>
  </w:style>
  <w:style w:type="paragraph" w:styleId="CommentText">
    <w:name w:val="annotation text"/>
    <w:basedOn w:val="Normal"/>
    <w:link w:val="CommentTextChar"/>
    <w:uiPriority w:val="99"/>
    <w:unhideWhenUsed/>
    <w:rsid w:val="00E467E2"/>
    <w:pPr>
      <w:spacing w:line="240" w:lineRule="auto"/>
    </w:pPr>
    <w:rPr>
      <w:sz w:val="20"/>
      <w:szCs w:val="20"/>
    </w:rPr>
  </w:style>
  <w:style w:type="character" w:styleId="CommentTextChar" w:customStyle="1">
    <w:name w:val="Comment Text Char"/>
    <w:basedOn w:val="DefaultParagraphFont"/>
    <w:link w:val="CommentText"/>
    <w:uiPriority w:val="99"/>
    <w:rsid w:val="00E467E2"/>
    <w:rPr>
      <w:lang w:eastAsia="en-US"/>
    </w:rPr>
  </w:style>
  <w:style w:type="paragraph" w:styleId="CommentSubject">
    <w:name w:val="annotation subject"/>
    <w:basedOn w:val="CommentText"/>
    <w:next w:val="CommentText"/>
    <w:link w:val="CommentSubjectChar"/>
    <w:uiPriority w:val="99"/>
    <w:semiHidden/>
    <w:unhideWhenUsed/>
    <w:rsid w:val="00E467E2"/>
    <w:rPr>
      <w:b/>
      <w:bCs/>
    </w:rPr>
  </w:style>
  <w:style w:type="character" w:styleId="CommentSubjectChar" w:customStyle="1">
    <w:name w:val="Comment Subject Char"/>
    <w:basedOn w:val="CommentTextChar"/>
    <w:link w:val="CommentSubject"/>
    <w:uiPriority w:val="99"/>
    <w:semiHidden/>
    <w:rsid w:val="00E467E2"/>
    <w:rPr>
      <w:b/>
      <w:bCs/>
      <w:lang w:eastAsia="en-US"/>
    </w:rPr>
  </w:style>
  <w:style w:type="paragraph" w:styleId="Revision">
    <w:name w:val="Revision"/>
    <w:hidden/>
    <w:uiPriority w:val="99"/>
    <w:semiHidden/>
    <w:rsid w:val="00F70A40"/>
    <w:rPr>
      <w:sz w:val="22"/>
      <w:szCs w:val="22"/>
      <w:lang w:eastAsia="en-US"/>
    </w:rPr>
  </w:style>
  <w:style w:type="paragraph" w:styleId="BodyText">
    <w:name w:val="Body Text"/>
    <w:basedOn w:val="Normal"/>
    <w:link w:val="BodyTextChar"/>
    <w:rsid w:val="00671EF3"/>
    <w:pPr>
      <w:spacing w:line="288" w:lineRule="auto"/>
    </w:pPr>
    <w:rPr>
      <w:rFonts w:ascii="Arial" w:hAnsi="Arial" w:eastAsia="Times New Roman"/>
      <w:color w:val="333333"/>
      <w:sz w:val="20"/>
      <w:szCs w:val="20"/>
    </w:rPr>
  </w:style>
  <w:style w:type="character" w:styleId="BodyTextChar" w:customStyle="1">
    <w:name w:val="Body Text Char"/>
    <w:basedOn w:val="DefaultParagraphFont"/>
    <w:link w:val="BodyText"/>
    <w:rsid w:val="00671EF3"/>
    <w:rPr>
      <w:rFonts w:ascii="Arial" w:hAnsi="Arial" w:eastAsia="Times New Roman"/>
      <w:color w:val="333333"/>
      <w:lang w:eastAsia="en-US"/>
    </w:rPr>
  </w:style>
  <w:style w:type="character" w:styleId="UnresolvedMention">
    <w:name w:val="Unresolved Mention"/>
    <w:basedOn w:val="DefaultParagraphFont"/>
    <w:uiPriority w:val="99"/>
    <w:semiHidden/>
    <w:unhideWhenUsed/>
    <w:rsid w:val="00E02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7571">
      <w:bodyDiv w:val="1"/>
      <w:marLeft w:val="0"/>
      <w:marRight w:val="0"/>
      <w:marTop w:val="0"/>
      <w:marBottom w:val="0"/>
      <w:divBdr>
        <w:top w:val="none" w:sz="0" w:space="0" w:color="auto"/>
        <w:left w:val="none" w:sz="0" w:space="0" w:color="auto"/>
        <w:bottom w:val="none" w:sz="0" w:space="0" w:color="auto"/>
        <w:right w:val="none" w:sz="0" w:space="0" w:color="auto"/>
      </w:divBdr>
    </w:div>
    <w:div w:id="429393891">
      <w:bodyDiv w:val="1"/>
      <w:marLeft w:val="0"/>
      <w:marRight w:val="0"/>
      <w:marTop w:val="0"/>
      <w:marBottom w:val="0"/>
      <w:divBdr>
        <w:top w:val="none" w:sz="0" w:space="0" w:color="auto"/>
        <w:left w:val="none" w:sz="0" w:space="0" w:color="auto"/>
        <w:bottom w:val="none" w:sz="0" w:space="0" w:color="auto"/>
        <w:right w:val="none" w:sz="0" w:space="0" w:color="auto"/>
      </w:divBdr>
    </w:div>
    <w:div w:id="862284590">
      <w:bodyDiv w:val="1"/>
      <w:marLeft w:val="0"/>
      <w:marRight w:val="0"/>
      <w:marTop w:val="0"/>
      <w:marBottom w:val="0"/>
      <w:divBdr>
        <w:top w:val="none" w:sz="0" w:space="0" w:color="auto"/>
        <w:left w:val="none" w:sz="0" w:space="0" w:color="auto"/>
        <w:bottom w:val="none" w:sz="0" w:space="0" w:color="auto"/>
        <w:right w:val="none" w:sz="0" w:space="0" w:color="auto"/>
      </w:divBdr>
    </w:div>
    <w:div w:id="1069428360">
      <w:bodyDiv w:val="1"/>
      <w:marLeft w:val="0"/>
      <w:marRight w:val="0"/>
      <w:marTop w:val="0"/>
      <w:marBottom w:val="0"/>
      <w:divBdr>
        <w:top w:val="none" w:sz="0" w:space="0" w:color="auto"/>
        <w:left w:val="none" w:sz="0" w:space="0" w:color="auto"/>
        <w:bottom w:val="none" w:sz="0" w:space="0" w:color="auto"/>
        <w:right w:val="none" w:sz="0" w:space="0" w:color="auto"/>
      </w:divBdr>
    </w:div>
    <w:div w:id="1076708101">
      <w:bodyDiv w:val="1"/>
      <w:marLeft w:val="0"/>
      <w:marRight w:val="0"/>
      <w:marTop w:val="0"/>
      <w:marBottom w:val="0"/>
      <w:divBdr>
        <w:top w:val="none" w:sz="0" w:space="0" w:color="auto"/>
        <w:left w:val="none" w:sz="0" w:space="0" w:color="auto"/>
        <w:bottom w:val="none" w:sz="0" w:space="0" w:color="auto"/>
        <w:right w:val="none" w:sz="0" w:space="0" w:color="auto"/>
      </w:divBdr>
    </w:div>
    <w:div w:id="1169326003">
      <w:bodyDiv w:val="1"/>
      <w:marLeft w:val="0"/>
      <w:marRight w:val="0"/>
      <w:marTop w:val="0"/>
      <w:marBottom w:val="0"/>
      <w:divBdr>
        <w:top w:val="none" w:sz="0" w:space="0" w:color="auto"/>
        <w:left w:val="none" w:sz="0" w:space="0" w:color="auto"/>
        <w:bottom w:val="none" w:sz="0" w:space="0" w:color="auto"/>
        <w:right w:val="none" w:sz="0" w:space="0" w:color="auto"/>
      </w:divBdr>
    </w:div>
    <w:div w:id="1740320705">
      <w:bodyDiv w:val="1"/>
      <w:marLeft w:val="0"/>
      <w:marRight w:val="0"/>
      <w:marTop w:val="0"/>
      <w:marBottom w:val="0"/>
      <w:divBdr>
        <w:top w:val="none" w:sz="0" w:space="0" w:color="auto"/>
        <w:left w:val="none" w:sz="0" w:space="0" w:color="auto"/>
        <w:bottom w:val="none" w:sz="0" w:space="0" w:color="auto"/>
        <w:right w:val="none" w:sz="0" w:space="0" w:color="auto"/>
      </w:divBdr>
    </w:div>
    <w:div w:id="213051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footer" Target="footer2.xml"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728ec610e5ae5b6dd53e05eaba2b713f">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6b95492fdec4d137835758420a921f71"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C286EF-7F4F-4846-8D8D-37268E34C5DB}"/>
</file>

<file path=customXml/itemProps2.xml><?xml version="1.0" encoding="utf-8"?>
<ds:datastoreItem xmlns:ds="http://schemas.openxmlformats.org/officeDocument/2006/customXml" ds:itemID="{ED658C35-761F-44DC-8485-BC1EA0D97140}"/>
</file>

<file path=customXml/itemProps3.xml><?xml version="1.0" encoding="utf-8"?>
<ds:datastoreItem xmlns:ds="http://schemas.openxmlformats.org/officeDocument/2006/customXml" ds:itemID="{F69E69F3-F1AB-4AD4-9CED-2FAFE7E0D43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Dawn Abbott</cp:lastModifiedBy>
  <cp:revision>3</cp:revision>
  <cp:lastPrinted>1900-01-01T00:00:00Z</cp:lastPrinted>
  <dcterms:created xsi:type="dcterms:W3CDTF">2025-08-11T10:28:00Z</dcterms:created>
  <dcterms:modified xsi:type="dcterms:W3CDTF">2025-11-07T15:54:27Z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2025-08-11T10:28:22Z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f66ded5b-f4f8-4179-97a8-89c29268cd97</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y fmtid="{D5CDD505-2E9C-101B-9397-08002B2CF9AE}" pid="10" name="ContentTypeId">
    <vt:lpwstr>0x0101003300E5E64B980D458C754FFE05DEE26D</vt:lpwstr>
  </property>
  <property fmtid="{D5CDD505-2E9C-101B-9397-08002B2CF9AE}" pid="11" name="MediaServiceImageTags">
    <vt:lpwstr/>
  </property>
</Properties>
</file>