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AEDD" w14:textId="3C691BCD" w:rsidR="00DF12FF" w:rsidRPr="00DF12FF" w:rsidRDefault="00DF12FF" w:rsidP="00DF12FF">
      <w:pPr>
        <w:spacing w:before="240" w:after="240" w:line="276" w:lineRule="auto"/>
        <w:jc w:val="both"/>
        <w:rPr>
          <w:rFonts w:cs="Arial"/>
          <w:bCs/>
          <w:iCs/>
          <w:color w:val="auto"/>
        </w:rPr>
      </w:pPr>
      <w:r w:rsidRPr="00DF12FF">
        <w:rPr>
          <w:rFonts w:cs="Arial"/>
          <w:bCs/>
          <w:iCs/>
          <w:color w:val="auto"/>
        </w:rPr>
        <w:t>Dear Dr Chakravarty</w:t>
      </w:r>
    </w:p>
    <w:p w14:paraId="4898031D" w14:textId="77777777" w:rsidR="00DF12FF" w:rsidRPr="00DF12FF" w:rsidRDefault="00DF12FF" w:rsidP="00DF12FF">
      <w:pPr>
        <w:spacing w:before="240" w:after="240" w:line="276" w:lineRule="auto"/>
        <w:jc w:val="both"/>
        <w:rPr>
          <w:rFonts w:cs="Arial"/>
          <w:bCs/>
          <w:iCs/>
          <w:color w:val="auto"/>
        </w:rPr>
      </w:pPr>
      <w:r w:rsidRPr="00DF12FF">
        <w:rPr>
          <w:rFonts w:cs="Arial"/>
          <w:bCs/>
          <w:iCs/>
          <w:color w:val="auto"/>
        </w:rPr>
        <w:t>Thank you for your initial scrutiny response to our appeal letter.  We have set out our reply on each point below.</w:t>
      </w:r>
    </w:p>
    <w:p w14:paraId="68023FA8" w14:textId="124A20AF" w:rsidR="00001A47" w:rsidRPr="00C31456" w:rsidRDefault="00001A47" w:rsidP="00001A47">
      <w:pPr>
        <w:spacing w:before="240" w:after="240" w:line="276" w:lineRule="auto"/>
        <w:jc w:val="both"/>
        <w:rPr>
          <w:rFonts w:cs="Arial"/>
          <w:b/>
          <w:i/>
          <w:color w:val="auto"/>
        </w:rPr>
      </w:pPr>
      <w:r w:rsidRPr="00C31456">
        <w:rPr>
          <w:rFonts w:cs="Arial"/>
          <w:b/>
          <w:i/>
          <w:color w:val="auto"/>
        </w:rPr>
        <w:t>Ground 2: the recommendation is unreasonable in the light of the evidence submitted to NIC</w:t>
      </w:r>
    </w:p>
    <w:p w14:paraId="3950FB41" w14:textId="77777777" w:rsidR="00001A47" w:rsidRPr="00E06E83" w:rsidRDefault="00001A47" w:rsidP="00001A47">
      <w:pPr>
        <w:pStyle w:val="Paragraph"/>
        <w:numPr>
          <w:ilvl w:val="0"/>
          <w:numId w:val="0"/>
        </w:numPr>
        <w:jc w:val="both"/>
        <w:rPr>
          <w:rFonts w:cs="Arial"/>
          <w:b/>
          <w:sz w:val="20"/>
          <w:szCs w:val="20"/>
          <w:u w:val="single"/>
        </w:rPr>
      </w:pPr>
      <w:r w:rsidRPr="00C31456">
        <w:rPr>
          <w:rFonts w:cs="Arial"/>
          <w:b/>
          <w:sz w:val="20"/>
          <w:szCs w:val="20"/>
          <w:u w:val="single"/>
        </w:rPr>
        <w:t xml:space="preserve">Appeal point 2.1: </w:t>
      </w:r>
      <w:r w:rsidRPr="00037316">
        <w:rPr>
          <w:rFonts w:cs="Arial"/>
          <w:b/>
          <w:bCs/>
          <w:sz w:val="20"/>
          <w:szCs w:val="20"/>
          <w:u w:val="single"/>
        </w:rPr>
        <w:t>The opinion of the contributing clinical experts was not considered with sufficient weight by the committee regarding the definition of refractory MG.</w:t>
      </w:r>
    </w:p>
    <w:p w14:paraId="72C3C3AD" w14:textId="77777777" w:rsidR="00001A47" w:rsidRDefault="00001A47" w:rsidP="00001A47">
      <w:pPr>
        <w:pStyle w:val="BodyText"/>
        <w:jc w:val="both"/>
        <w:rPr>
          <w:rFonts w:cs="Arial"/>
        </w:rPr>
      </w:pPr>
      <w:r>
        <w:rPr>
          <w:rFonts w:cs="Arial"/>
        </w:rPr>
        <w:t xml:space="preserve">I am not currently minded to refer this appeal point to the Appeal Panel. I understand your appeal point to be, in essence, that the Committee should have had regard to the contents of the revised ABN guidelines.  You say that they were referred to by experts throughout the consultation, but it is not clear to me on the face of your appeal letter, whether the revised ABN guidelines themselves were provided to the Committee. Although the FDG recognises at paragraph 3.2 that the guidelines were being updated at the time of the appraisal, it is unclear whether those revised guidelines were shared with the Committee academic in confidence or at all. </w:t>
      </w:r>
    </w:p>
    <w:p w14:paraId="5B36C699" w14:textId="77777777" w:rsidR="00001A47" w:rsidRDefault="00001A47" w:rsidP="00001A47">
      <w:pPr>
        <w:pStyle w:val="BodyText"/>
        <w:jc w:val="both"/>
        <w:rPr>
          <w:rFonts w:cs="Arial"/>
        </w:rPr>
      </w:pPr>
      <w:r>
        <w:rPr>
          <w:rFonts w:cs="Arial"/>
        </w:rPr>
        <w:t xml:space="preserve">I note that in the appraisal of efgartigimod for treating </w:t>
      </w:r>
      <w:proofErr w:type="spellStart"/>
      <w:r>
        <w:rPr>
          <w:rFonts w:cs="Arial"/>
        </w:rPr>
        <w:t>gMG</w:t>
      </w:r>
      <w:proofErr w:type="spellEnd"/>
      <w:r>
        <w:rPr>
          <w:rFonts w:cs="Arial"/>
        </w:rPr>
        <w:t xml:space="preserve">, the draft revised ABN guidelines were shared with the Committee academic in confidence, and it was established in the appeal that the Committee did consider the draft revised ABN guidelines, but had not referred to them expressly in the FDG because of their academic in confidence status. </w:t>
      </w:r>
    </w:p>
    <w:p w14:paraId="5F6DB412" w14:textId="77777777" w:rsidR="00001A47" w:rsidRDefault="00001A47" w:rsidP="00001A47">
      <w:pPr>
        <w:pStyle w:val="BodyText"/>
        <w:jc w:val="both"/>
        <w:rPr>
          <w:rFonts w:cs="Arial"/>
        </w:rPr>
      </w:pPr>
      <w:r>
        <w:rPr>
          <w:rFonts w:cs="Arial"/>
        </w:rPr>
        <w:t xml:space="preserve">If you are minded to pursue this appeal point I would invite ABN to explain (1) whether the updated guidelines were shared with the Committee; and (2) if not, details of how the content of the guidelines were put to the Committee, for example by experts in committee meetings. </w:t>
      </w:r>
    </w:p>
    <w:p w14:paraId="58167B70" w14:textId="1FBB1D8E" w:rsidR="00001A47" w:rsidRPr="00001A47" w:rsidRDefault="00001A47" w:rsidP="00001A47">
      <w:pPr>
        <w:pStyle w:val="BodyText"/>
        <w:numPr>
          <w:ilvl w:val="0"/>
          <w:numId w:val="2"/>
        </w:numPr>
        <w:jc w:val="both"/>
        <w:rPr>
          <w:rFonts w:cs="Arial"/>
          <w:i/>
          <w:iCs/>
        </w:rPr>
      </w:pPr>
      <w:r w:rsidRPr="00001A47">
        <w:rPr>
          <w:rFonts w:cs="Arial"/>
          <w:i/>
          <w:iCs/>
        </w:rPr>
        <w:t>Thank you for your careful consideration of this point. I am compiling th</w:t>
      </w:r>
      <w:r>
        <w:rPr>
          <w:rFonts w:cs="Arial"/>
          <w:i/>
          <w:iCs/>
        </w:rPr>
        <w:t>is</w:t>
      </w:r>
      <w:r w:rsidRPr="00001A47">
        <w:rPr>
          <w:rFonts w:cs="Arial"/>
          <w:i/>
          <w:iCs/>
        </w:rPr>
        <w:t xml:space="preserve"> response on behalf of the ABN neuromuscular advisory group and representing the ABN myasthenia gravis specialist interest group (SIG). The experts involved in the consultation are members of the ABN MG SIG. Having consulted directly with the experts involved I understand that only a limited part of the revised ABN guidelines (the proposed treatment algorithm) was shared with the committee during the consultation. This appeal point was focused on the delineation of ‘refractory MG’ detailed within the text of the guideline which was not available to share at the time. Therefore, we accept your decision not to refer this appeal point to the Appeal Panel. </w:t>
      </w:r>
    </w:p>
    <w:p w14:paraId="0EA2043D" w14:textId="77777777" w:rsidR="00001A47" w:rsidRPr="00E06E83" w:rsidRDefault="00001A47" w:rsidP="00001A47">
      <w:pPr>
        <w:pStyle w:val="Paragraph"/>
        <w:numPr>
          <w:ilvl w:val="0"/>
          <w:numId w:val="0"/>
        </w:numPr>
        <w:jc w:val="both"/>
        <w:rPr>
          <w:rFonts w:cs="Arial"/>
          <w:b/>
          <w:sz w:val="20"/>
          <w:szCs w:val="20"/>
          <w:u w:val="single"/>
        </w:rPr>
      </w:pPr>
      <w:r w:rsidRPr="00E06E83">
        <w:rPr>
          <w:rFonts w:cs="Arial"/>
          <w:b/>
          <w:sz w:val="20"/>
          <w:szCs w:val="20"/>
          <w:u w:val="single"/>
        </w:rPr>
        <w:t xml:space="preserve">Appeal point 2.2: </w:t>
      </w:r>
      <w:r w:rsidRPr="00037316">
        <w:rPr>
          <w:rFonts w:cs="Arial"/>
          <w:b/>
          <w:bCs/>
          <w:sz w:val="20"/>
          <w:szCs w:val="20"/>
          <w:u w:val="single"/>
        </w:rPr>
        <w:t>The real-world evidence for Efgartigimod that was published in 2024 has been misinterpreted.</w:t>
      </w:r>
    </w:p>
    <w:p w14:paraId="788948A3" w14:textId="77777777" w:rsidR="00001A47" w:rsidRDefault="00001A47" w:rsidP="00001A47">
      <w:pPr>
        <w:pStyle w:val="Paragraph"/>
        <w:numPr>
          <w:ilvl w:val="0"/>
          <w:numId w:val="0"/>
        </w:numPr>
        <w:jc w:val="both"/>
        <w:rPr>
          <w:rFonts w:cs="Arial"/>
          <w:bCs/>
          <w:sz w:val="20"/>
          <w:szCs w:val="20"/>
        </w:rPr>
      </w:pPr>
      <w:r>
        <w:rPr>
          <w:rFonts w:cs="Arial"/>
          <w:bCs/>
          <w:sz w:val="20"/>
          <w:szCs w:val="20"/>
        </w:rPr>
        <w:t>I am not currently minded to refer this appeal point to the Appeal Panel. I understand your appeal point to disagree with the Company's position that "</w:t>
      </w:r>
      <w:r w:rsidRPr="00E94F75">
        <w:rPr>
          <w:rFonts w:cs="Arial"/>
          <w:bCs/>
          <w:i/>
          <w:iCs/>
          <w:sz w:val="20"/>
          <w:szCs w:val="20"/>
        </w:rPr>
        <w:t>the inclusion criteria for EAMS were designed specifically for efgartigimod, and based on a broader population that included some people whose condition would not be considered refractory in practice</w:t>
      </w:r>
      <w:r>
        <w:rPr>
          <w:rFonts w:cs="Arial"/>
          <w:bCs/>
          <w:sz w:val="20"/>
          <w:szCs w:val="20"/>
        </w:rPr>
        <w:t xml:space="preserve">" (paragraph 3.5 of the FDG). I note that this is the Company's view, not the Committee's view. </w:t>
      </w:r>
    </w:p>
    <w:p w14:paraId="45B4830F" w14:textId="77777777" w:rsidR="00001A47" w:rsidRDefault="00001A47" w:rsidP="00001A47">
      <w:pPr>
        <w:pStyle w:val="Paragraph"/>
        <w:numPr>
          <w:ilvl w:val="0"/>
          <w:numId w:val="0"/>
        </w:numPr>
        <w:jc w:val="both"/>
        <w:rPr>
          <w:rFonts w:cs="Arial"/>
          <w:bCs/>
          <w:sz w:val="20"/>
          <w:szCs w:val="20"/>
        </w:rPr>
      </w:pPr>
      <w:r>
        <w:rPr>
          <w:rFonts w:cs="Arial"/>
          <w:bCs/>
          <w:sz w:val="20"/>
          <w:szCs w:val="20"/>
        </w:rPr>
        <w:t xml:space="preserve">My understanding is that the Committee did not consider it appropriate to remove people having corticosteroids only from the EAMS cohort study. That is because these people could have had refractory </w:t>
      </w:r>
      <w:proofErr w:type="spellStart"/>
      <w:r>
        <w:rPr>
          <w:rFonts w:cs="Arial"/>
          <w:bCs/>
          <w:sz w:val="20"/>
          <w:szCs w:val="20"/>
        </w:rPr>
        <w:t>gMG</w:t>
      </w:r>
      <w:proofErr w:type="spellEnd"/>
      <w:r>
        <w:rPr>
          <w:rFonts w:cs="Arial"/>
          <w:bCs/>
          <w:sz w:val="20"/>
          <w:szCs w:val="20"/>
        </w:rPr>
        <w:t xml:space="preserve"> if they had previously stopped other treatments for refractory </w:t>
      </w:r>
      <w:proofErr w:type="spellStart"/>
      <w:r>
        <w:rPr>
          <w:rFonts w:cs="Arial"/>
          <w:bCs/>
          <w:sz w:val="20"/>
          <w:szCs w:val="20"/>
        </w:rPr>
        <w:t>gMG</w:t>
      </w:r>
      <w:proofErr w:type="spellEnd"/>
      <w:r>
        <w:rPr>
          <w:rFonts w:cs="Arial"/>
          <w:bCs/>
          <w:sz w:val="20"/>
          <w:szCs w:val="20"/>
        </w:rPr>
        <w:t xml:space="preserve"> based on loss of response. Having taken the totality of the evidence into account, the Committee goes on to conclude that the overall EAMS cohort (n=48) is appropriate to inform the proportion of people on treatment in "basket" of standard care. </w:t>
      </w:r>
    </w:p>
    <w:p w14:paraId="3914BB61" w14:textId="77777777" w:rsidR="00001A47" w:rsidRDefault="00001A47" w:rsidP="00001A47">
      <w:pPr>
        <w:pStyle w:val="Paragraph"/>
        <w:numPr>
          <w:ilvl w:val="0"/>
          <w:numId w:val="0"/>
        </w:numPr>
        <w:jc w:val="both"/>
        <w:rPr>
          <w:rFonts w:cs="Arial"/>
          <w:bCs/>
          <w:sz w:val="20"/>
          <w:szCs w:val="20"/>
        </w:rPr>
      </w:pPr>
      <w:r>
        <w:rPr>
          <w:rFonts w:cs="Arial"/>
          <w:bCs/>
          <w:sz w:val="20"/>
          <w:szCs w:val="20"/>
        </w:rPr>
        <w:t>Consequently, I do not currently consider it arguable that the Company's position on this point impacted the Committee's decision-making, on the basis that the Committee preferred the entirety of the EAMS cohort in its decision-making, not the revised cohort (n=37) which the Company considered to be refractory. That being the case, my current view is that this appeal point raises an academic issue that could not have any impact on the outcome of the appraisal.</w:t>
      </w:r>
    </w:p>
    <w:p w14:paraId="6B654569" w14:textId="77777777" w:rsidR="00001A47" w:rsidRDefault="00001A47" w:rsidP="00001A47">
      <w:pPr>
        <w:pStyle w:val="Paragraph"/>
        <w:numPr>
          <w:ilvl w:val="0"/>
          <w:numId w:val="0"/>
        </w:numPr>
        <w:jc w:val="both"/>
        <w:rPr>
          <w:rFonts w:cs="Arial"/>
          <w:bCs/>
          <w:sz w:val="20"/>
          <w:szCs w:val="20"/>
        </w:rPr>
      </w:pPr>
      <w:r>
        <w:rPr>
          <w:rFonts w:cs="Arial"/>
          <w:bCs/>
          <w:sz w:val="20"/>
          <w:szCs w:val="20"/>
        </w:rPr>
        <w:t>If you are minded to pursue this appeal point I would invite ABN to explain how it considers any misinterpretation to have materially impacted the Committee's decision-making and/or conclusions.</w:t>
      </w:r>
    </w:p>
    <w:p w14:paraId="35FE88D3" w14:textId="16B5D893" w:rsidR="00001A47" w:rsidRDefault="00001A47" w:rsidP="00001A47">
      <w:pPr>
        <w:pStyle w:val="Paragraph"/>
        <w:numPr>
          <w:ilvl w:val="0"/>
          <w:numId w:val="2"/>
        </w:numPr>
        <w:jc w:val="both"/>
        <w:rPr>
          <w:rFonts w:cs="Arial"/>
          <w:bCs/>
          <w:i/>
          <w:iCs/>
          <w:sz w:val="20"/>
          <w:szCs w:val="20"/>
        </w:rPr>
      </w:pPr>
      <w:r w:rsidRPr="00DC324B">
        <w:rPr>
          <w:rFonts w:cs="Arial"/>
          <w:bCs/>
          <w:i/>
          <w:iCs/>
          <w:sz w:val="20"/>
          <w:szCs w:val="20"/>
        </w:rPr>
        <w:t>Thank you, if you feel that this point is unlikely to impact on the committee decision making then we are happy for this point not</w:t>
      </w:r>
      <w:r w:rsidR="00DC324B" w:rsidRPr="00DC324B">
        <w:rPr>
          <w:rFonts w:cs="Arial"/>
          <w:bCs/>
          <w:i/>
          <w:iCs/>
          <w:sz w:val="20"/>
          <w:szCs w:val="20"/>
        </w:rPr>
        <w:t xml:space="preserve"> to be referred to the Appeal Panel. A point we were suggesting should have been considered was the cost of managing unstable and therefore refractory MG cases in the previous 12 month (considering number of admissions to hospital. IVIg or PLEX rescue treatments) required in those patients who were on steroids only but had very unstable disease. This meets criteria for refractory MG but the comparator costings were not appropriately considered. </w:t>
      </w:r>
    </w:p>
    <w:p w14:paraId="5DA23813" w14:textId="2E49D5C5" w:rsidR="00DC324B" w:rsidRPr="00DC324B" w:rsidRDefault="00DC324B" w:rsidP="00DC324B">
      <w:pPr>
        <w:pStyle w:val="Paragraph"/>
        <w:numPr>
          <w:ilvl w:val="1"/>
          <w:numId w:val="2"/>
        </w:numPr>
        <w:jc w:val="both"/>
        <w:rPr>
          <w:rFonts w:cs="Arial"/>
          <w:bCs/>
          <w:i/>
          <w:iCs/>
          <w:sz w:val="20"/>
          <w:szCs w:val="20"/>
        </w:rPr>
      </w:pPr>
      <w:r>
        <w:rPr>
          <w:rFonts w:cs="Arial"/>
          <w:bCs/>
          <w:i/>
          <w:iCs/>
          <w:sz w:val="20"/>
          <w:szCs w:val="20"/>
        </w:rPr>
        <w:t>“</w:t>
      </w:r>
      <w:r w:rsidRPr="00DC324B">
        <w:rPr>
          <w:rFonts w:cs="Arial"/>
          <w:bCs/>
          <w:i/>
          <w:iCs/>
          <w:sz w:val="20"/>
          <w:szCs w:val="20"/>
        </w:rPr>
        <w:t>However, these patients were clinically defined as having highly active disease and had already been treated with a variety of standard of care treatments that had been stopped either because of lack of adequate response or because of severe and occasionally life-threatening side effects. Their burden of disease and frequent need for emergency rescue treatment (typically with IVIg or PLEX alongside hospital admission for supportive care) was not acknowledged. It is unreasonable to categorise a patient has not having refractory MG because they and their clinician had made a decision to stop an ineffective and potentially harmful treatment. The cost saving of preventing multiple emergency admissions was not appropriately accounted for.</w:t>
      </w:r>
      <w:r>
        <w:rPr>
          <w:rFonts w:cs="Arial"/>
          <w:bCs/>
          <w:i/>
          <w:iCs/>
          <w:sz w:val="20"/>
          <w:szCs w:val="20"/>
        </w:rPr>
        <w:t>”</w:t>
      </w:r>
    </w:p>
    <w:p w14:paraId="2724D0CC" w14:textId="77777777" w:rsidR="00001A47" w:rsidRPr="00C31456" w:rsidRDefault="00001A47" w:rsidP="00001A47">
      <w:pPr>
        <w:pStyle w:val="Paragraph"/>
        <w:numPr>
          <w:ilvl w:val="0"/>
          <w:numId w:val="0"/>
        </w:numPr>
        <w:jc w:val="both"/>
        <w:rPr>
          <w:rFonts w:cs="Arial"/>
          <w:b/>
          <w:sz w:val="20"/>
          <w:szCs w:val="20"/>
          <w:u w:val="single"/>
        </w:rPr>
      </w:pPr>
      <w:r w:rsidRPr="00C31456">
        <w:rPr>
          <w:rFonts w:cs="Arial"/>
          <w:b/>
          <w:sz w:val="20"/>
          <w:szCs w:val="20"/>
          <w:u w:val="single"/>
        </w:rPr>
        <w:t xml:space="preserve">Appeal point 2.3: </w:t>
      </w:r>
      <w:r w:rsidRPr="00037316">
        <w:rPr>
          <w:rFonts w:cs="Arial"/>
          <w:b/>
          <w:sz w:val="20"/>
          <w:szCs w:val="20"/>
          <w:u w:val="single"/>
        </w:rPr>
        <w:t xml:space="preserve">The ability of </w:t>
      </w:r>
      <w:proofErr w:type="spellStart"/>
      <w:r w:rsidRPr="00037316">
        <w:rPr>
          <w:rFonts w:cs="Arial"/>
          <w:b/>
          <w:sz w:val="20"/>
          <w:szCs w:val="20"/>
          <w:u w:val="single"/>
        </w:rPr>
        <w:t>Zilucoplan</w:t>
      </w:r>
      <w:proofErr w:type="spellEnd"/>
      <w:r w:rsidRPr="00037316">
        <w:rPr>
          <w:rFonts w:cs="Arial"/>
          <w:b/>
          <w:sz w:val="20"/>
          <w:szCs w:val="20"/>
          <w:u w:val="single"/>
        </w:rPr>
        <w:t xml:space="preserve"> to achieve minimal symptom expression (MSE) has not been adequately considered</w:t>
      </w:r>
    </w:p>
    <w:p w14:paraId="4A6ADB21" w14:textId="77777777" w:rsidR="00001A47" w:rsidRDefault="00001A47" w:rsidP="00001A47">
      <w:pPr>
        <w:pStyle w:val="Paragraph"/>
        <w:numPr>
          <w:ilvl w:val="0"/>
          <w:numId w:val="0"/>
        </w:numPr>
        <w:jc w:val="both"/>
        <w:rPr>
          <w:rFonts w:cs="Arial"/>
          <w:sz w:val="20"/>
          <w:szCs w:val="20"/>
        </w:rPr>
      </w:pPr>
      <w:r w:rsidRPr="00405ACE">
        <w:rPr>
          <w:rFonts w:cs="Arial"/>
          <w:sz w:val="20"/>
          <w:szCs w:val="20"/>
        </w:rPr>
        <w:t>I am minded</w:t>
      </w:r>
      <w:r w:rsidRPr="00C31456">
        <w:rPr>
          <w:rFonts w:cs="Arial"/>
          <w:sz w:val="20"/>
          <w:szCs w:val="20"/>
        </w:rPr>
        <w:t xml:space="preserve"> to refer this appeal point to the Appeal Panel</w:t>
      </w:r>
      <w:r>
        <w:rPr>
          <w:rFonts w:cs="Arial"/>
          <w:sz w:val="20"/>
          <w:szCs w:val="20"/>
        </w:rPr>
        <w:t>.</w:t>
      </w:r>
    </w:p>
    <w:p w14:paraId="5BC3721E" w14:textId="557E52B1" w:rsidR="00DC324B" w:rsidRPr="00DC324B" w:rsidRDefault="00DC324B" w:rsidP="00DC324B">
      <w:pPr>
        <w:pStyle w:val="Paragraph"/>
        <w:numPr>
          <w:ilvl w:val="0"/>
          <w:numId w:val="2"/>
        </w:numPr>
        <w:jc w:val="both"/>
        <w:rPr>
          <w:rFonts w:cs="Arial"/>
          <w:i/>
          <w:iCs/>
          <w:sz w:val="20"/>
          <w:szCs w:val="20"/>
        </w:rPr>
      </w:pPr>
      <w:r w:rsidRPr="00DC324B">
        <w:rPr>
          <w:rFonts w:cs="Arial"/>
          <w:i/>
          <w:iCs/>
          <w:sz w:val="20"/>
          <w:szCs w:val="20"/>
        </w:rPr>
        <w:t xml:space="preserve">Thank you, we look forward to the outcome. </w:t>
      </w:r>
    </w:p>
    <w:p w14:paraId="00656399" w14:textId="77777777" w:rsidR="00001A47" w:rsidRPr="00C31456" w:rsidRDefault="00001A47" w:rsidP="00001A47">
      <w:pPr>
        <w:pStyle w:val="Paragraph"/>
        <w:numPr>
          <w:ilvl w:val="0"/>
          <w:numId w:val="0"/>
        </w:numPr>
        <w:jc w:val="both"/>
        <w:rPr>
          <w:rFonts w:cs="Arial"/>
          <w:b/>
          <w:sz w:val="20"/>
          <w:szCs w:val="20"/>
          <w:u w:val="single"/>
        </w:rPr>
      </w:pPr>
      <w:r w:rsidRPr="00C31456">
        <w:rPr>
          <w:rFonts w:cs="Arial"/>
          <w:b/>
          <w:sz w:val="20"/>
          <w:szCs w:val="20"/>
          <w:u w:val="single"/>
        </w:rPr>
        <w:t xml:space="preserve">Appeal point 2.4: </w:t>
      </w:r>
      <w:r w:rsidRPr="00037316">
        <w:rPr>
          <w:rFonts w:cs="Arial"/>
          <w:b/>
          <w:bCs/>
          <w:sz w:val="20"/>
          <w:szCs w:val="20"/>
          <w:u w:val="single"/>
        </w:rPr>
        <w:t>The committee did not place sufficient weight on patient and clinical expert evidence concerning the value of a self-administered therapy, and the potential for this to improve equity of access to treatment</w:t>
      </w:r>
    </w:p>
    <w:p w14:paraId="4CAA998E" w14:textId="77777777" w:rsidR="00001A47" w:rsidRDefault="00001A47" w:rsidP="00001A47">
      <w:pPr>
        <w:pStyle w:val="BodyText"/>
        <w:jc w:val="both"/>
        <w:rPr>
          <w:rFonts w:cs="Arial"/>
          <w:color w:val="auto"/>
        </w:rPr>
      </w:pPr>
      <w:r w:rsidRPr="00405ACE">
        <w:rPr>
          <w:rFonts w:cs="Arial"/>
          <w:color w:val="auto"/>
        </w:rPr>
        <w:t>I am minded</w:t>
      </w:r>
      <w:r w:rsidRPr="00C31456">
        <w:rPr>
          <w:rFonts w:cs="Arial"/>
          <w:color w:val="auto"/>
        </w:rPr>
        <w:t xml:space="preserve"> to refer this appeal point to the Appeal Panel</w:t>
      </w:r>
      <w:r>
        <w:rPr>
          <w:rFonts w:cs="Arial"/>
          <w:color w:val="auto"/>
        </w:rPr>
        <w:t xml:space="preserve">. </w:t>
      </w:r>
    </w:p>
    <w:p w14:paraId="6EEF730F" w14:textId="77777777" w:rsidR="00DC324B" w:rsidRPr="00DC324B" w:rsidRDefault="00DC324B" w:rsidP="00DC324B">
      <w:pPr>
        <w:pStyle w:val="Paragraph"/>
        <w:numPr>
          <w:ilvl w:val="0"/>
          <w:numId w:val="2"/>
        </w:numPr>
        <w:jc w:val="both"/>
        <w:rPr>
          <w:rFonts w:cs="Arial"/>
          <w:i/>
          <w:iCs/>
          <w:sz w:val="20"/>
          <w:szCs w:val="20"/>
        </w:rPr>
      </w:pPr>
      <w:r w:rsidRPr="00DC324B">
        <w:rPr>
          <w:rFonts w:cs="Arial"/>
          <w:i/>
          <w:iCs/>
          <w:sz w:val="20"/>
          <w:szCs w:val="20"/>
        </w:rPr>
        <w:t xml:space="preserve">Thank you, we look forward to the outcome. </w:t>
      </w:r>
    </w:p>
    <w:p w14:paraId="7384BFB1" w14:textId="77777777" w:rsidR="00572D7B" w:rsidRDefault="00572D7B"/>
    <w:sectPr w:rsidR="00572D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F1E146F"/>
    <w:multiLevelType w:val="hybridMultilevel"/>
    <w:tmpl w:val="B76AF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437817">
    <w:abstractNumId w:val="0"/>
  </w:num>
  <w:num w:numId="2" w16cid:durableId="1411778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47"/>
    <w:rsid w:val="00001A47"/>
    <w:rsid w:val="000C6CF5"/>
    <w:rsid w:val="003666AF"/>
    <w:rsid w:val="00572D7B"/>
    <w:rsid w:val="007F0F87"/>
    <w:rsid w:val="00DC324B"/>
    <w:rsid w:val="00DF12FF"/>
    <w:rsid w:val="1FF2B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EAA7"/>
  <w15:chartTrackingRefBased/>
  <w15:docId w15:val="{DCFA6827-1190-477E-ACDD-E081939A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47"/>
    <w:pPr>
      <w:spacing w:after="200" w:line="288" w:lineRule="auto"/>
    </w:pPr>
    <w:rPr>
      <w:rFonts w:ascii="Arial" w:eastAsia="Times New Roman" w:hAnsi="Arial" w:cs="Times New Roman"/>
      <w:color w:val="333333"/>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1A47"/>
  </w:style>
  <w:style w:type="character" w:customStyle="1" w:styleId="BodyTextChar">
    <w:name w:val="Body Text Char"/>
    <w:basedOn w:val="DefaultParagraphFont"/>
    <w:link w:val="BodyText"/>
    <w:rsid w:val="00001A47"/>
    <w:rPr>
      <w:rFonts w:ascii="Arial" w:eastAsia="Times New Roman" w:hAnsi="Arial" w:cs="Times New Roman"/>
      <w:color w:val="333333"/>
      <w:kern w:val="0"/>
      <w:sz w:val="20"/>
      <w:szCs w:val="20"/>
      <w14:ligatures w14:val="none"/>
    </w:rPr>
  </w:style>
  <w:style w:type="paragraph" w:customStyle="1" w:styleId="Paragraph">
    <w:name w:val="Paragraph"/>
    <w:basedOn w:val="Normal"/>
    <w:uiPriority w:val="4"/>
    <w:qFormat/>
    <w:rsid w:val="00001A47"/>
    <w:pPr>
      <w:numPr>
        <w:numId w:val="1"/>
      </w:numPr>
      <w:spacing w:before="240" w:after="240" w:line="276" w:lineRule="auto"/>
    </w:pPr>
    <w:rPr>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15A07D-1365-4293-88C2-572EE5B458D1}">
  <ds:schemaRefs>
    <ds:schemaRef ds:uri="http://schemas.microsoft.com/sharepoint/v3/contenttype/forms"/>
  </ds:schemaRefs>
</ds:datastoreItem>
</file>

<file path=customXml/itemProps2.xml><?xml version="1.0" encoding="utf-8"?>
<ds:datastoreItem xmlns:ds="http://schemas.openxmlformats.org/officeDocument/2006/customXml" ds:itemID="{AB57A49C-5CA2-4B2F-8C96-8D090F8748AE}"/>
</file>

<file path=customXml/itemProps3.xml><?xml version="1.0" encoding="utf-8"?>
<ds:datastoreItem xmlns:ds="http://schemas.openxmlformats.org/officeDocument/2006/customXml" ds:itemID="{BF698AA1-407A-43B7-AFC9-EA8AF154D12D}">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Aisling (UNIVERSITY COLLEGE LONDON HOSPITALS NHS FOUNDATION TRUST)</dc:creator>
  <cp:keywords/>
  <dc:description/>
  <cp:lastModifiedBy>Lyn Davies</cp:lastModifiedBy>
  <cp:revision>3</cp:revision>
  <dcterms:created xsi:type="dcterms:W3CDTF">2025-11-05T11:02:00Z</dcterms:created>
  <dcterms:modified xsi:type="dcterms:W3CDTF">2025-11-05T11:02:00Z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2025-11-05T11:02:30Z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ab9ae277-c0db-44b0-895e-735f15b5892d</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y fmtid="{D5CDD505-2E9C-101B-9397-08002B2CF9AE}" pid="11" name="MediaServiceImageTags">
    <vt:lpwstr/>
  </property>
</Properties>
</file>