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706B" w:rsidR="00713F78" w:rsidP="00713F78" w:rsidRDefault="00713F78" w14:paraId="48EB5E3A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>Dr Mark Chakravarty</w:t>
      </w:r>
    </w:p>
    <w:p w:rsidRPr="0016706B" w:rsidR="00713F78" w:rsidP="00713F78" w:rsidRDefault="00713F78" w14:paraId="088AA839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 xml:space="preserve">Lead non-executive director for appeals </w:t>
      </w:r>
    </w:p>
    <w:p w:rsidRPr="0016706B" w:rsidR="00713F78" w:rsidP="00713F78" w:rsidRDefault="00713F78" w14:paraId="4A643B51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>National Institute for Health and Care Excellence</w:t>
      </w:r>
    </w:p>
    <w:p w:rsidRPr="0016706B" w:rsidR="00713F78" w:rsidP="00713F78" w:rsidRDefault="00713F78" w14:paraId="02447D81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:rsidRPr="0016706B" w:rsidR="00713F78" w:rsidP="00713F78" w:rsidRDefault="00713F78" w14:paraId="188F60A2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>2nd Floor</w:t>
      </w:r>
    </w:p>
    <w:p w:rsidRPr="0016706B" w:rsidR="00713F78" w:rsidP="00713F78" w:rsidRDefault="00713F78" w14:paraId="4F7AE51E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>2 Redman Place</w:t>
      </w:r>
    </w:p>
    <w:p w:rsidRPr="0016706B" w:rsidR="00713F78" w:rsidP="00713F78" w:rsidRDefault="00713F78" w14:paraId="38B49E91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>London E20 1JQ</w:t>
      </w:r>
    </w:p>
    <w:p w:rsidRPr="0016706B" w:rsidR="00713F78" w:rsidP="00713F78" w:rsidRDefault="00713F78" w14:paraId="04340562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:rsidRPr="0016706B" w:rsidR="00713F78" w:rsidP="00713F78" w:rsidRDefault="00713F78" w14:paraId="5ABF38DF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>Dear Dr Chakravarty,</w:t>
      </w:r>
    </w:p>
    <w:p w:rsidRPr="0016706B" w:rsidR="00713F78" w:rsidP="00713F78" w:rsidRDefault="00713F78" w14:paraId="40BD9A6E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:rsidRPr="0016706B" w:rsidR="00D40662" w:rsidP="00713F78" w:rsidRDefault="00D40662" w14:paraId="79831ADA" w14:textId="4FCAADF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 xml:space="preserve">Thank you for your letter </w:t>
      </w:r>
      <w:r w:rsidRPr="0016706B" w:rsidR="003746A3">
        <w:rPr>
          <w:rFonts w:ascii="Times New Roman" w:hAnsi="Times New Roman" w:cs="Times New Roman"/>
        </w:rPr>
        <w:t>on the 21</w:t>
      </w:r>
      <w:r w:rsidRPr="0016706B" w:rsidR="003746A3">
        <w:rPr>
          <w:rFonts w:ascii="Times New Roman" w:hAnsi="Times New Roman" w:cs="Times New Roman"/>
          <w:vertAlign w:val="superscript"/>
        </w:rPr>
        <w:t>st</w:t>
      </w:r>
      <w:r w:rsidRPr="0016706B" w:rsidR="003746A3">
        <w:rPr>
          <w:rFonts w:ascii="Times New Roman" w:hAnsi="Times New Roman" w:cs="Times New Roman"/>
        </w:rPr>
        <w:t xml:space="preserve"> of July</w:t>
      </w:r>
      <w:r w:rsidRPr="0016706B" w:rsidR="00226988">
        <w:rPr>
          <w:rFonts w:ascii="Times New Roman" w:hAnsi="Times New Roman" w:cs="Times New Roman"/>
        </w:rPr>
        <w:t xml:space="preserve"> 2025</w:t>
      </w:r>
      <w:r w:rsidRPr="0016706B" w:rsidR="003746A3">
        <w:rPr>
          <w:rFonts w:ascii="Times New Roman" w:hAnsi="Times New Roman" w:cs="Times New Roman"/>
        </w:rPr>
        <w:t xml:space="preserve"> with regards to Myaware’s appeal letter from </w:t>
      </w:r>
      <w:r w:rsidRPr="0016706B" w:rsidR="00226988">
        <w:rPr>
          <w:rFonts w:ascii="Times New Roman" w:hAnsi="Times New Roman" w:cs="Times New Roman"/>
        </w:rPr>
        <w:t>the 10</w:t>
      </w:r>
      <w:r w:rsidRPr="0016706B" w:rsidR="00226988">
        <w:rPr>
          <w:rFonts w:ascii="Times New Roman" w:hAnsi="Times New Roman" w:cs="Times New Roman"/>
          <w:vertAlign w:val="superscript"/>
        </w:rPr>
        <w:t>th</w:t>
      </w:r>
      <w:r w:rsidRPr="0016706B" w:rsidR="00226988">
        <w:rPr>
          <w:rFonts w:ascii="Times New Roman" w:hAnsi="Times New Roman" w:cs="Times New Roman"/>
        </w:rPr>
        <w:t xml:space="preserve"> of July 2025.</w:t>
      </w:r>
      <w:r w:rsidR="00274FE2">
        <w:rPr>
          <w:rFonts w:ascii="Times New Roman" w:hAnsi="Times New Roman" w:cs="Times New Roman"/>
        </w:rPr>
        <w:t xml:space="preserve"> I am grateful for your consideration of appeal points 2.1-2.4 of Myaware’s letter and glad that you agree that these raise grounds of appeal that merit a referral to the Appeal Panel.</w:t>
      </w:r>
    </w:p>
    <w:p w:rsidRPr="0016706B" w:rsidR="00D40662" w:rsidP="00713F78" w:rsidRDefault="00D40662" w14:paraId="568D8DF6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:rsidRPr="0016706B" w:rsidR="004D689F" w:rsidP="00713F78" w:rsidRDefault="004D689F" w14:paraId="0D416F66" w14:textId="5123E46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>I</w:t>
      </w:r>
      <w:r w:rsidR="00274FE2">
        <w:rPr>
          <w:rFonts w:ascii="Times New Roman" w:hAnsi="Times New Roman" w:cs="Times New Roman"/>
        </w:rPr>
        <w:t xml:space="preserve"> am also grateful for your consideration of, and response to, appeal points 2.5 and 2.6 but respectfully disagree with your decision not to refer these points to the Appeal Panel. I</w:t>
      </w:r>
      <w:r w:rsidRPr="0016706B">
        <w:rPr>
          <w:rFonts w:ascii="Times New Roman" w:hAnsi="Times New Roman" w:cs="Times New Roman"/>
        </w:rPr>
        <w:t xml:space="preserve">n response </w:t>
      </w:r>
      <w:r w:rsidR="00274FE2">
        <w:rPr>
          <w:rFonts w:ascii="Times New Roman" w:hAnsi="Times New Roman" w:cs="Times New Roman"/>
        </w:rPr>
        <w:t xml:space="preserve">to your comments, </w:t>
      </w:r>
      <w:r w:rsidRPr="0016706B">
        <w:rPr>
          <w:rFonts w:ascii="Times New Roman" w:hAnsi="Times New Roman" w:cs="Times New Roman"/>
        </w:rPr>
        <w:t>I would like to make the following points</w:t>
      </w:r>
      <w:r w:rsidR="00274FE2">
        <w:rPr>
          <w:rFonts w:ascii="Times New Roman" w:hAnsi="Times New Roman" w:cs="Times New Roman"/>
        </w:rPr>
        <w:t xml:space="preserve"> on these two grounds</w:t>
      </w:r>
      <w:r w:rsidRPr="0016706B">
        <w:rPr>
          <w:rFonts w:ascii="Times New Roman" w:hAnsi="Times New Roman" w:cs="Times New Roman"/>
        </w:rPr>
        <w:t>:</w:t>
      </w:r>
    </w:p>
    <w:p w:rsidRPr="0016706B" w:rsidR="001D099F" w:rsidP="00713F78" w:rsidRDefault="001D099F" w14:paraId="24B84850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:rsidRPr="0016706B" w:rsidR="001D099F" w:rsidP="001D099F" w:rsidRDefault="001D099F" w14:paraId="22E0337D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16706B">
        <w:rPr>
          <w:rFonts w:ascii="Times New Roman" w:hAnsi="Times New Roman" w:cs="Times New Roman"/>
          <w:b/>
          <w:u w:val="single"/>
        </w:rPr>
        <w:t xml:space="preserve">Appeal point 2.5: </w:t>
      </w:r>
      <w:r w:rsidRPr="0016706B">
        <w:rPr>
          <w:rFonts w:ascii="Times New Roman" w:hAnsi="Times New Roman" w:cs="Times New Roman"/>
          <w:b/>
          <w:bCs/>
          <w:u w:val="single"/>
        </w:rPr>
        <w:t>NICE’s conclusion that it would consider the utility decrement associated with corticosteroid use qualitatively in its decision making is irrational</w:t>
      </w:r>
    </w:p>
    <w:p w:rsidRPr="0016706B" w:rsidR="001D099F" w:rsidP="001D099F" w:rsidRDefault="001D099F" w14:paraId="0D7F4D3E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:rsidRPr="0016706B" w:rsidR="00DD4957" w:rsidP="005E473D" w:rsidRDefault="000A6463" w14:paraId="2CC6CB4D" w14:textId="112E7EB2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 xml:space="preserve">This appeal point, alongside </w:t>
      </w:r>
      <w:r w:rsidRPr="0016706B">
        <w:rPr>
          <w:rFonts w:ascii="Times New Roman" w:hAnsi="Times New Roman" w:cs="Times New Roman"/>
          <w:b/>
          <w:bCs/>
        </w:rPr>
        <w:t>Appeal point 2.6</w:t>
      </w:r>
      <w:r w:rsidRPr="0016706B">
        <w:rPr>
          <w:rFonts w:ascii="Times New Roman" w:hAnsi="Times New Roman" w:cs="Times New Roman"/>
        </w:rPr>
        <w:t xml:space="preserve">, </w:t>
      </w:r>
      <w:r w:rsidR="00045782">
        <w:rPr>
          <w:rFonts w:ascii="Times New Roman" w:hAnsi="Times New Roman" w:cs="Times New Roman"/>
        </w:rPr>
        <w:t xml:space="preserve">both </w:t>
      </w:r>
      <w:r w:rsidR="00FC0F0B">
        <w:rPr>
          <w:rFonts w:ascii="Times New Roman" w:hAnsi="Times New Roman" w:cs="Times New Roman"/>
        </w:rPr>
        <w:t>stem from</w:t>
      </w:r>
      <w:r w:rsidRPr="0016706B" w:rsidR="00C772A0">
        <w:rPr>
          <w:rFonts w:ascii="Times New Roman" w:hAnsi="Times New Roman" w:cs="Times New Roman"/>
        </w:rPr>
        <w:t xml:space="preserve"> the same </w:t>
      </w:r>
      <w:r w:rsidR="00274FE2">
        <w:rPr>
          <w:rFonts w:ascii="Times New Roman" w:hAnsi="Times New Roman" w:cs="Times New Roman"/>
        </w:rPr>
        <w:t>underlying problem</w:t>
      </w:r>
      <w:r w:rsidRPr="0016706B" w:rsidR="00274FE2">
        <w:rPr>
          <w:rFonts w:ascii="Times New Roman" w:hAnsi="Times New Roman" w:cs="Times New Roman"/>
        </w:rPr>
        <w:t xml:space="preserve"> </w:t>
      </w:r>
      <w:r w:rsidRPr="0016706B" w:rsidR="00C35869">
        <w:rPr>
          <w:rFonts w:ascii="Times New Roman" w:hAnsi="Times New Roman" w:cs="Times New Roman"/>
        </w:rPr>
        <w:t xml:space="preserve">– </w:t>
      </w:r>
      <w:r w:rsidR="00274FE2">
        <w:rPr>
          <w:rFonts w:ascii="Times New Roman" w:hAnsi="Times New Roman" w:cs="Times New Roman"/>
        </w:rPr>
        <w:t>namely, the</w:t>
      </w:r>
      <w:r w:rsidRPr="0016706B" w:rsidR="00C35869">
        <w:rPr>
          <w:rFonts w:ascii="Times New Roman" w:hAnsi="Times New Roman" w:cs="Times New Roman"/>
        </w:rPr>
        <w:t xml:space="preserve"> difficult</w:t>
      </w:r>
      <w:r w:rsidR="00274FE2">
        <w:rPr>
          <w:rFonts w:ascii="Times New Roman" w:hAnsi="Times New Roman" w:cs="Times New Roman"/>
        </w:rPr>
        <w:t>y</w:t>
      </w:r>
      <w:r w:rsidRPr="0016706B" w:rsidR="00C35869">
        <w:rPr>
          <w:rFonts w:ascii="Times New Roman" w:hAnsi="Times New Roman" w:cs="Times New Roman"/>
        </w:rPr>
        <w:t xml:space="preserve"> </w:t>
      </w:r>
      <w:r w:rsidR="00274FE2">
        <w:rPr>
          <w:rFonts w:ascii="Times New Roman" w:hAnsi="Times New Roman" w:cs="Times New Roman"/>
        </w:rPr>
        <w:t>of</w:t>
      </w:r>
      <w:r w:rsidRPr="0016706B" w:rsidR="00C35869">
        <w:rPr>
          <w:rFonts w:ascii="Times New Roman" w:hAnsi="Times New Roman" w:cs="Times New Roman"/>
        </w:rPr>
        <w:t xml:space="preserve"> captur</w:t>
      </w:r>
      <w:r w:rsidR="00274FE2">
        <w:rPr>
          <w:rFonts w:ascii="Times New Roman" w:hAnsi="Times New Roman" w:cs="Times New Roman"/>
        </w:rPr>
        <w:t>ing</w:t>
      </w:r>
      <w:r w:rsidRPr="0016706B" w:rsidR="00C35869">
        <w:rPr>
          <w:rFonts w:ascii="Times New Roman" w:hAnsi="Times New Roman" w:cs="Times New Roman"/>
        </w:rPr>
        <w:t xml:space="preserve"> </w:t>
      </w:r>
      <w:r w:rsidRPr="0016706B" w:rsidR="00962760">
        <w:rPr>
          <w:rFonts w:ascii="Times New Roman" w:hAnsi="Times New Roman" w:cs="Times New Roman"/>
        </w:rPr>
        <w:t xml:space="preserve">robust quantitative data </w:t>
      </w:r>
      <w:r w:rsidR="00517E60">
        <w:rPr>
          <w:rFonts w:ascii="Times New Roman" w:hAnsi="Times New Roman" w:cs="Times New Roman"/>
        </w:rPr>
        <w:t>to</w:t>
      </w:r>
      <w:r w:rsidR="00274FE2">
        <w:rPr>
          <w:rFonts w:ascii="Times New Roman" w:hAnsi="Times New Roman" w:cs="Times New Roman"/>
        </w:rPr>
        <w:t xml:space="preserve"> reflect the full burden of</w:t>
      </w:r>
      <w:r w:rsidRPr="0016706B" w:rsidR="00D21A82">
        <w:rPr>
          <w:rFonts w:ascii="Times New Roman" w:hAnsi="Times New Roman" w:cs="Times New Roman"/>
        </w:rPr>
        <w:t xml:space="preserve"> rare diseases</w:t>
      </w:r>
      <w:r w:rsidR="00274FE2">
        <w:rPr>
          <w:rFonts w:ascii="Times New Roman" w:hAnsi="Times New Roman" w:cs="Times New Roman"/>
        </w:rPr>
        <w:t xml:space="preserve"> such as </w:t>
      </w:r>
      <w:proofErr w:type="spellStart"/>
      <w:r w:rsidR="00274FE2">
        <w:rPr>
          <w:rFonts w:ascii="Times New Roman" w:hAnsi="Times New Roman" w:cs="Times New Roman"/>
        </w:rPr>
        <w:t>gMG</w:t>
      </w:r>
      <w:proofErr w:type="spellEnd"/>
      <w:r w:rsidR="00274FE2">
        <w:rPr>
          <w:rFonts w:ascii="Times New Roman" w:hAnsi="Times New Roman" w:cs="Times New Roman"/>
        </w:rPr>
        <w:t xml:space="preserve"> (including the burden on patients’ families and carers) and the consequent potential benefits of treatments</w:t>
      </w:r>
      <w:r w:rsidRPr="0016706B" w:rsidR="00D21A82">
        <w:rPr>
          <w:rFonts w:ascii="Times New Roman" w:hAnsi="Times New Roman" w:cs="Times New Roman"/>
        </w:rPr>
        <w:t>.</w:t>
      </w:r>
      <w:r w:rsidRPr="0016706B" w:rsidR="00E97B16">
        <w:rPr>
          <w:rFonts w:ascii="Times New Roman" w:hAnsi="Times New Roman" w:cs="Times New Roman"/>
        </w:rPr>
        <w:t xml:space="preserve"> </w:t>
      </w:r>
      <w:r w:rsidRPr="0016706B" w:rsidR="00D21A82">
        <w:rPr>
          <w:rFonts w:ascii="Times New Roman" w:hAnsi="Times New Roman" w:cs="Times New Roman"/>
        </w:rPr>
        <w:t>This is</w:t>
      </w:r>
      <w:r w:rsidRPr="0016706B" w:rsidR="00A11EA0">
        <w:rPr>
          <w:rFonts w:ascii="Times New Roman" w:hAnsi="Times New Roman" w:cs="Times New Roman"/>
        </w:rPr>
        <w:t xml:space="preserve"> primarily</w:t>
      </w:r>
      <w:r w:rsidRPr="0016706B" w:rsidR="00D21A82">
        <w:rPr>
          <w:rFonts w:ascii="Times New Roman" w:hAnsi="Times New Roman" w:cs="Times New Roman"/>
        </w:rPr>
        <w:t xml:space="preserve"> due to the </w:t>
      </w:r>
      <w:r w:rsidRPr="0016706B" w:rsidR="00E403CC">
        <w:rPr>
          <w:rFonts w:ascii="Times New Roman" w:hAnsi="Times New Roman" w:cs="Times New Roman"/>
        </w:rPr>
        <w:t>challenge of performing properly sized</w:t>
      </w:r>
      <w:r w:rsidRPr="0016706B" w:rsidR="00C63324">
        <w:rPr>
          <w:rFonts w:ascii="Times New Roman" w:hAnsi="Times New Roman" w:cs="Times New Roman"/>
        </w:rPr>
        <w:t xml:space="preserve"> and powered</w:t>
      </w:r>
      <w:r w:rsidRPr="0016706B" w:rsidR="00E403CC">
        <w:rPr>
          <w:rFonts w:ascii="Times New Roman" w:hAnsi="Times New Roman" w:cs="Times New Roman"/>
        </w:rPr>
        <w:t xml:space="preserve"> studies that are absent of bias</w:t>
      </w:r>
      <w:r w:rsidRPr="0016706B" w:rsidR="00EB54E0">
        <w:rPr>
          <w:rFonts w:ascii="Times New Roman" w:hAnsi="Times New Roman" w:cs="Times New Roman"/>
        </w:rPr>
        <w:t xml:space="preserve"> when the patient population is low</w:t>
      </w:r>
      <w:r w:rsidRPr="0016706B" w:rsidR="00C63324">
        <w:rPr>
          <w:rFonts w:ascii="Times New Roman" w:hAnsi="Times New Roman" w:cs="Times New Roman"/>
        </w:rPr>
        <w:t xml:space="preserve">, creating hurdles in </w:t>
      </w:r>
      <w:r w:rsidRPr="0016706B" w:rsidR="00672858">
        <w:rPr>
          <w:rFonts w:ascii="Times New Roman" w:hAnsi="Times New Roman" w:cs="Times New Roman"/>
        </w:rPr>
        <w:t>participant recruitment</w:t>
      </w:r>
      <w:r w:rsidRPr="0016706B" w:rsidR="00EB54E0">
        <w:rPr>
          <w:rFonts w:ascii="Times New Roman" w:hAnsi="Times New Roman" w:cs="Times New Roman"/>
        </w:rPr>
        <w:t xml:space="preserve">. </w:t>
      </w:r>
      <w:r w:rsidR="00517E60">
        <w:rPr>
          <w:rFonts w:ascii="Times New Roman" w:hAnsi="Times New Roman" w:cs="Times New Roman"/>
        </w:rPr>
        <w:t>It is also compounded by</w:t>
      </w:r>
      <w:r w:rsidRPr="0016706B" w:rsidR="00EB54E0">
        <w:rPr>
          <w:rFonts w:ascii="Times New Roman" w:hAnsi="Times New Roman" w:cs="Times New Roman"/>
        </w:rPr>
        <w:t xml:space="preserve"> </w:t>
      </w:r>
      <w:r w:rsidRPr="0016706B" w:rsidR="007E43E2">
        <w:rPr>
          <w:rFonts w:ascii="Times New Roman" w:hAnsi="Times New Roman" w:cs="Times New Roman"/>
        </w:rPr>
        <w:t>the heterogeneous nature of rare disease patients</w:t>
      </w:r>
      <w:r w:rsidR="00517E60">
        <w:rPr>
          <w:rFonts w:ascii="Times New Roman" w:hAnsi="Times New Roman" w:cs="Times New Roman"/>
        </w:rPr>
        <w:t xml:space="preserve"> (such as the target population of refractory </w:t>
      </w:r>
      <w:proofErr w:type="spellStart"/>
      <w:r w:rsidR="00517E60">
        <w:rPr>
          <w:rFonts w:ascii="Times New Roman" w:hAnsi="Times New Roman" w:cs="Times New Roman"/>
        </w:rPr>
        <w:t>gMG</w:t>
      </w:r>
      <w:proofErr w:type="spellEnd"/>
      <w:r w:rsidR="00517E60">
        <w:rPr>
          <w:rFonts w:ascii="Times New Roman" w:hAnsi="Times New Roman" w:cs="Times New Roman"/>
        </w:rPr>
        <w:t xml:space="preserve"> patients in this case)</w:t>
      </w:r>
      <w:r w:rsidRPr="0016706B" w:rsidR="007E43E2">
        <w:rPr>
          <w:rFonts w:ascii="Times New Roman" w:hAnsi="Times New Roman" w:cs="Times New Roman"/>
        </w:rPr>
        <w:t>, who can widely differ in baseline characteristics, comparators, and interventions</w:t>
      </w:r>
      <w:r w:rsidRPr="0016706B" w:rsidR="00500DA0">
        <w:rPr>
          <w:rFonts w:ascii="Times New Roman" w:hAnsi="Times New Roman" w:cs="Times New Roman"/>
        </w:rPr>
        <w:t>,</w:t>
      </w:r>
      <w:r w:rsidR="00517E60">
        <w:rPr>
          <w:rFonts w:ascii="Times New Roman" w:hAnsi="Times New Roman" w:cs="Times New Roman"/>
        </w:rPr>
        <w:t xml:space="preserve"> which</w:t>
      </w:r>
      <w:r w:rsidRPr="0016706B" w:rsidR="00500DA0">
        <w:rPr>
          <w:rFonts w:ascii="Times New Roman" w:hAnsi="Times New Roman" w:cs="Times New Roman"/>
        </w:rPr>
        <w:t xml:space="preserve"> </w:t>
      </w:r>
      <w:r w:rsidRPr="0016706B" w:rsidR="006E7BFF">
        <w:rPr>
          <w:rFonts w:ascii="Times New Roman" w:hAnsi="Times New Roman" w:cs="Times New Roman"/>
        </w:rPr>
        <w:t>mak</w:t>
      </w:r>
      <w:r w:rsidR="0016706B">
        <w:rPr>
          <w:rFonts w:ascii="Times New Roman" w:hAnsi="Times New Roman" w:cs="Times New Roman"/>
        </w:rPr>
        <w:t>es</w:t>
      </w:r>
      <w:r w:rsidRPr="0016706B" w:rsidR="006E7BFF">
        <w:rPr>
          <w:rFonts w:ascii="Times New Roman" w:hAnsi="Times New Roman" w:cs="Times New Roman"/>
        </w:rPr>
        <w:t xml:space="preserve"> the aggregation of data difficult.</w:t>
      </w:r>
      <w:r w:rsidRPr="0016706B" w:rsidR="00067D31">
        <w:rPr>
          <w:rFonts w:ascii="Times New Roman" w:hAnsi="Times New Roman" w:cs="Times New Roman"/>
        </w:rPr>
        <w:t xml:space="preserve"> </w:t>
      </w:r>
      <w:r w:rsidRPr="0016706B" w:rsidR="00203381">
        <w:rPr>
          <w:rFonts w:ascii="Times New Roman" w:hAnsi="Times New Roman" w:cs="Times New Roman"/>
        </w:rPr>
        <w:t>I am concerned that</w:t>
      </w:r>
      <w:r w:rsidR="00274FE2">
        <w:rPr>
          <w:rFonts w:ascii="Times New Roman" w:hAnsi="Times New Roman" w:cs="Times New Roman"/>
        </w:rPr>
        <w:t xml:space="preserve"> if</w:t>
      </w:r>
      <w:r w:rsidRPr="0016706B" w:rsidR="00203381">
        <w:rPr>
          <w:rFonts w:ascii="Times New Roman" w:hAnsi="Times New Roman" w:cs="Times New Roman"/>
        </w:rPr>
        <w:t xml:space="preserve"> this difficulty </w:t>
      </w:r>
      <w:r w:rsidR="00274FE2">
        <w:rPr>
          <w:rFonts w:ascii="Times New Roman" w:hAnsi="Times New Roman" w:cs="Times New Roman"/>
        </w:rPr>
        <w:t xml:space="preserve">is not taken into account adequately by the Committee in its decision making, the </w:t>
      </w:r>
      <w:r w:rsidR="0025708D">
        <w:rPr>
          <w:rFonts w:ascii="Times New Roman" w:hAnsi="Times New Roman" w:cs="Times New Roman"/>
        </w:rPr>
        <w:t>consequence</w:t>
      </w:r>
      <w:r w:rsidR="00274FE2">
        <w:rPr>
          <w:rFonts w:ascii="Times New Roman" w:hAnsi="Times New Roman" w:cs="Times New Roman"/>
        </w:rPr>
        <w:t xml:space="preserve"> will be to </w:t>
      </w:r>
      <w:r w:rsidRPr="0016706B" w:rsidR="00203381">
        <w:rPr>
          <w:rFonts w:ascii="Times New Roman" w:hAnsi="Times New Roman" w:cs="Times New Roman"/>
        </w:rPr>
        <w:t xml:space="preserve">punish patients </w:t>
      </w:r>
      <w:r w:rsidR="00274FE2">
        <w:rPr>
          <w:rFonts w:ascii="Times New Roman" w:hAnsi="Times New Roman" w:cs="Times New Roman"/>
        </w:rPr>
        <w:t xml:space="preserve">with severe refractory </w:t>
      </w:r>
      <w:proofErr w:type="spellStart"/>
      <w:r w:rsidR="00274FE2">
        <w:rPr>
          <w:rFonts w:ascii="Times New Roman" w:hAnsi="Times New Roman" w:cs="Times New Roman"/>
        </w:rPr>
        <w:t>gMG</w:t>
      </w:r>
      <w:proofErr w:type="spellEnd"/>
      <w:r w:rsidR="00274FE2">
        <w:rPr>
          <w:rFonts w:ascii="Times New Roman" w:hAnsi="Times New Roman" w:cs="Times New Roman"/>
        </w:rPr>
        <w:t xml:space="preserve"> </w:t>
      </w:r>
      <w:r w:rsidRPr="0016706B" w:rsidR="00203381">
        <w:rPr>
          <w:rFonts w:ascii="Times New Roman" w:hAnsi="Times New Roman" w:cs="Times New Roman"/>
        </w:rPr>
        <w:t xml:space="preserve">for </w:t>
      </w:r>
      <w:r w:rsidR="00E7030B">
        <w:rPr>
          <w:rFonts w:ascii="Times New Roman" w:hAnsi="Times New Roman" w:cs="Times New Roman"/>
        </w:rPr>
        <w:t>elements</w:t>
      </w:r>
      <w:r w:rsidRPr="0016706B" w:rsidR="00203381">
        <w:rPr>
          <w:rFonts w:ascii="Times New Roman" w:hAnsi="Times New Roman" w:cs="Times New Roman"/>
        </w:rPr>
        <w:t xml:space="preserve"> of their rare</w:t>
      </w:r>
      <w:r w:rsidR="00517E60">
        <w:rPr>
          <w:rFonts w:ascii="Times New Roman" w:hAnsi="Times New Roman" w:cs="Times New Roman"/>
        </w:rPr>
        <w:t xml:space="preserve"> </w:t>
      </w:r>
      <w:r w:rsidRPr="0016706B" w:rsidR="00203381">
        <w:rPr>
          <w:rFonts w:ascii="Times New Roman" w:hAnsi="Times New Roman" w:cs="Times New Roman"/>
        </w:rPr>
        <w:t xml:space="preserve">disease which </w:t>
      </w:r>
      <w:r w:rsidR="00E7030B">
        <w:rPr>
          <w:rFonts w:ascii="Times New Roman" w:hAnsi="Times New Roman" w:cs="Times New Roman"/>
        </w:rPr>
        <w:t>are</w:t>
      </w:r>
      <w:r w:rsidRPr="0016706B" w:rsidR="00203381">
        <w:rPr>
          <w:rFonts w:ascii="Times New Roman" w:hAnsi="Times New Roman" w:cs="Times New Roman"/>
        </w:rPr>
        <w:t xml:space="preserve"> beyond their control</w:t>
      </w:r>
      <w:r w:rsidR="00274FE2">
        <w:rPr>
          <w:rFonts w:ascii="Times New Roman" w:hAnsi="Times New Roman" w:cs="Times New Roman"/>
        </w:rPr>
        <w:t xml:space="preserve">, by understating the potential benefits to them of novel treatments such as </w:t>
      </w:r>
      <w:r w:rsidR="00517E60">
        <w:rPr>
          <w:rFonts w:ascii="Times New Roman" w:hAnsi="Times New Roman" w:cs="Times New Roman"/>
        </w:rPr>
        <w:t>Z</w:t>
      </w:r>
      <w:r w:rsidR="00274FE2">
        <w:rPr>
          <w:rFonts w:ascii="Times New Roman" w:hAnsi="Times New Roman" w:cs="Times New Roman"/>
        </w:rPr>
        <w:t>ilucoplan</w:t>
      </w:r>
      <w:r w:rsidRPr="0016706B" w:rsidR="00203381">
        <w:rPr>
          <w:rFonts w:ascii="Times New Roman" w:hAnsi="Times New Roman" w:cs="Times New Roman"/>
        </w:rPr>
        <w:t>.</w:t>
      </w:r>
      <w:r w:rsidR="005E473D">
        <w:rPr>
          <w:rFonts w:ascii="Times New Roman" w:hAnsi="Times New Roman" w:cs="Times New Roman"/>
        </w:rPr>
        <w:t xml:space="preserve"> This will compound their isolation and mean that their high unmet needs remain unaddressed.</w:t>
      </w:r>
    </w:p>
    <w:p w:rsidRPr="0016706B" w:rsidR="0049695A" w:rsidP="005E473D" w:rsidRDefault="0049695A" w14:paraId="112D473F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:rsidRPr="0016706B" w:rsidR="00642F3F" w:rsidP="005E473D" w:rsidRDefault="00322C88" w14:paraId="2814BD48" w14:textId="2935CC69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cannot be controversial that there is a utility decrement associated with corticosteroid use: while</w:t>
      </w:r>
      <w:r w:rsidRPr="0016706B">
        <w:rPr>
          <w:rFonts w:ascii="Times New Roman" w:hAnsi="Times New Roman" w:cs="Times New Roman"/>
        </w:rPr>
        <w:t xml:space="preserve"> there may not </w:t>
      </w:r>
      <w:r>
        <w:rPr>
          <w:rFonts w:ascii="Times New Roman" w:hAnsi="Times New Roman" w:cs="Times New Roman"/>
        </w:rPr>
        <w:t xml:space="preserve">have </w:t>
      </w:r>
      <w:r w:rsidRPr="0016706B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>en before to the Committee</w:t>
      </w:r>
      <w:r w:rsidRPr="0016706B">
        <w:rPr>
          <w:rFonts w:ascii="Times New Roman" w:hAnsi="Times New Roman" w:cs="Times New Roman"/>
        </w:rPr>
        <w:t xml:space="preserve"> robust evidence </w:t>
      </w:r>
      <w:r>
        <w:rPr>
          <w:rFonts w:ascii="Times New Roman" w:hAnsi="Times New Roman" w:cs="Times New Roman"/>
        </w:rPr>
        <w:t xml:space="preserve">quantifying this decrement </w:t>
      </w:r>
      <w:r w:rsidRPr="00322C88">
        <w:rPr>
          <w:rFonts w:ascii="Times New Roman" w:hAnsi="Times New Roman" w:cs="Times New Roman"/>
          <w:i/>
          <w:iCs/>
        </w:rPr>
        <w:t>specifically</w:t>
      </w:r>
      <w:r w:rsidRPr="0016706B">
        <w:rPr>
          <w:rFonts w:ascii="Times New Roman" w:hAnsi="Times New Roman" w:cs="Times New Roman"/>
        </w:rPr>
        <w:t xml:space="preserve"> for </w:t>
      </w:r>
      <w:proofErr w:type="spellStart"/>
      <w:r>
        <w:rPr>
          <w:rFonts w:ascii="Times New Roman" w:hAnsi="Times New Roman" w:cs="Times New Roman"/>
        </w:rPr>
        <w:t>g</w:t>
      </w:r>
      <w:r w:rsidRPr="0016706B">
        <w:rPr>
          <w:rFonts w:ascii="Times New Roman" w:hAnsi="Times New Roman" w:cs="Times New Roman"/>
        </w:rPr>
        <w:t>MG</w:t>
      </w:r>
      <w:proofErr w:type="spellEnd"/>
      <w:r w:rsidRPr="0016706B">
        <w:rPr>
          <w:rFonts w:ascii="Times New Roman" w:hAnsi="Times New Roman" w:cs="Times New Roman"/>
        </w:rPr>
        <w:t xml:space="preserve"> patients, the reports of osteoporosis, hospital admissions, and severe weight gain are well characterised as side effects of steroids. </w:t>
      </w:r>
      <w:r>
        <w:rPr>
          <w:rFonts w:ascii="Times New Roman" w:hAnsi="Times New Roman" w:cs="Times New Roman"/>
        </w:rPr>
        <w:t xml:space="preserve"> </w:t>
      </w:r>
      <w:r w:rsidR="00517E60">
        <w:rPr>
          <w:rFonts w:ascii="Times New Roman" w:hAnsi="Times New Roman" w:cs="Times New Roman"/>
        </w:rPr>
        <w:t>However</w:t>
      </w:r>
      <w:r>
        <w:rPr>
          <w:rFonts w:ascii="Times New Roman" w:hAnsi="Times New Roman" w:cs="Times New Roman"/>
        </w:rPr>
        <w:t>, a</w:t>
      </w:r>
      <w:r w:rsidR="0025708D">
        <w:rPr>
          <w:rFonts w:ascii="Times New Roman" w:hAnsi="Times New Roman" w:cs="Times New Roman"/>
        </w:rPr>
        <w:t xml:space="preserve">s explained in Myaware’s appeal letter, the practical effect of </w:t>
      </w:r>
      <w:r>
        <w:rPr>
          <w:rFonts w:ascii="Times New Roman" w:hAnsi="Times New Roman" w:cs="Times New Roman"/>
        </w:rPr>
        <w:t xml:space="preserve">the Committee </w:t>
      </w:r>
      <w:r w:rsidRPr="0016706B" w:rsidR="00025A38">
        <w:rPr>
          <w:rFonts w:ascii="Times New Roman" w:hAnsi="Times New Roman" w:cs="Times New Roman"/>
        </w:rPr>
        <w:t xml:space="preserve">taking </w:t>
      </w:r>
      <w:r w:rsidRPr="0016706B" w:rsidR="00E7789D">
        <w:rPr>
          <w:rFonts w:ascii="Times New Roman" w:hAnsi="Times New Roman" w:cs="Times New Roman"/>
        </w:rPr>
        <w:t xml:space="preserve">the utility decrement associated with corticosteroid use </w:t>
      </w:r>
      <w:r w:rsidRPr="0016706B" w:rsidR="003F56E2">
        <w:rPr>
          <w:rFonts w:ascii="Times New Roman" w:hAnsi="Times New Roman" w:cs="Times New Roman"/>
        </w:rPr>
        <w:t>qualitatively</w:t>
      </w:r>
      <w:r w:rsidRPr="0016706B" w:rsidR="00E7789D">
        <w:rPr>
          <w:rFonts w:ascii="Times New Roman" w:hAnsi="Times New Roman" w:cs="Times New Roman"/>
        </w:rPr>
        <w:t xml:space="preserve"> into its decision making </w:t>
      </w:r>
      <w:r w:rsidR="0025708D">
        <w:rPr>
          <w:rFonts w:ascii="Times New Roman" w:hAnsi="Times New Roman" w:cs="Times New Roman"/>
        </w:rPr>
        <w:t xml:space="preserve">was that </w:t>
      </w:r>
      <w:r w:rsidRPr="0016706B" w:rsidR="00E7789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utility decrement made no difference to the outcome. The </w:t>
      </w:r>
      <w:r w:rsidR="0025708D">
        <w:rPr>
          <w:rFonts w:ascii="Times New Roman" w:hAnsi="Times New Roman" w:cs="Times New Roman"/>
        </w:rPr>
        <w:t>C</w:t>
      </w:r>
      <w:r w:rsidRPr="0016706B" w:rsidR="00E7789D">
        <w:rPr>
          <w:rFonts w:ascii="Times New Roman" w:hAnsi="Times New Roman" w:cs="Times New Roman"/>
        </w:rPr>
        <w:t xml:space="preserve">ommittee </w:t>
      </w:r>
      <w:r w:rsidRPr="0016706B" w:rsidR="00175F06">
        <w:rPr>
          <w:rFonts w:ascii="Times New Roman" w:hAnsi="Times New Roman" w:cs="Times New Roman"/>
        </w:rPr>
        <w:t xml:space="preserve">failed to capture the true burden of steroids and what </w:t>
      </w:r>
      <w:r w:rsidRPr="0016706B" w:rsidR="003F56E2">
        <w:rPr>
          <w:rFonts w:ascii="Times New Roman" w:hAnsi="Times New Roman" w:cs="Times New Roman"/>
        </w:rPr>
        <w:t xml:space="preserve">impact </w:t>
      </w:r>
      <w:r w:rsidRPr="0016706B" w:rsidR="00175F06">
        <w:rPr>
          <w:rFonts w:ascii="Times New Roman" w:hAnsi="Times New Roman" w:cs="Times New Roman"/>
        </w:rPr>
        <w:t xml:space="preserve">the reduction of </w:t>
      </w:r>
      <w:r w:rsidRPr="0016706B" w:rsidR="003F56E2">
        <w:rPr>
          <w:rFonts w:ascii="Times New Roman" w:hAnsi="Times New Roman" w:cs="Times New Roman"/>
        </w:rPr>
        <w:t xml:space="preserve">corticosteroid dosage could provide a patient with </w:t>
      </w:r>
      <w:proofErr w:type="spellStart"/>
      <w:r w:rsidR="0025708D">
        <w:rPr>
          <w:rFonts w:ascii="Times New Roman" w:hAnsi="Times New Roman" w:cs="Times New Roman"/>
        </w:rPr>
        <w:t>g</w:t>
      </w:r>
      <w:r w:rsidRPr="0016706B" w:rsidR="003F56E2">
        <w:rPr>
          <w:rFonts w:ascii="Times New Roman" w:hAnsi="Times New Roman" w:cs="Times New Roman"/>
        </w:rPr>
        <w:t>MG</w:t>
      </w:r>
      <w:proofErr w:type="spellEnd"/>
      <w:r w:rsidRPr="0016706B" w:rsidR="003F56E2">
        <w:rPr>
          <w:rFonts w:ascii="Times New Roman" w:hAnsi="Times New Roman" w:cs="Times New Roman"/>
        </w:rPr>
        <w:t>.</w:t>
      </w:r>
      <w:r w:rsidRPr="0016706B" w:rsidR="009D1047">
        <w:rPr>
          <w:rFonts w:ascii="Times New Roman" w:hAnsi="Times New Roman" w:cs="Times New Roman"/>
        </w:rPr>
        <w:t xml:space="preserve"> </w:t>
      </w:r>
      <w:r w:rsidR="00517E60">
        <w:rPr>
          <w:rFonts w:ascii="Times New Roman" w:hAnsi="Times New Roman" w:cs="Times New Roman"/>
        </w:rPr>
        <w:t>In Myaware’s submission, that decision (to prefer complete exclusion over acceptance of data with uncertainties) was irrational. T</w:t>
      </w:r>
      <w:r w:rsidRPr="0016706B" w:rsidR="001A7B00">
        <w:rPr>
          <w:rFonts w:ascii="Times New Roman" w:hAnsi="Times New Roman" w:cs="Times New Roman"/>
        </w:rPr>
        <w:t xml:space="preserve">he </w:t>
      </w:r>
      <w:r w:rsidR="00517E60">
        <w:rPr>
          <w:rFonts w:ascii="Times New Roman" w:hAnsi="Times New Roman" w:cs="Times New Roman"/>
        </w:rPr>
        <w:t>C</w:t>
      </w:r>
      <w:r w:rsidRPr="0016706B" w:rsidR="001A7B00">
        <w:rPr>
          <w:rFonts w:ascii="Times New Roman" w:hAnsi="Times New Roman" w:cs="Times New Roman"/>
        </w:rPr>
        <w:t xml:space="preserve">ommittee </w:t>
      </w:r>
      <w:r w:rsidR="00517E60">
        <w:rPr>
          <w:rFonts w:ascii="Times New Roman" w:hAnsi="Times New Roman" w:cs="Times New Roman"/>
        </w:rPr>
        <w:t>should have</w:t>
      </w:r>
      <w:r w:rsidRPr="0016706B" w:rsidR="001A7B00">
        <w:rPr>
          <w:rFonts w:ascii="Times New Roman" w:hAnsi="Times New Roman" w:cs="Times New Roman"/>
        </w:rPr>
        <w:t xml:space="preserve"> allow</w:t>
      </w:r>
      <w:r w:rsidR="00517E60">
        <w:rPr>
          <w:rFonts w:ascii="Times New Roman" w:hAnsi="Times New Roman" w:cs="Times New Roman"/>
        </w:rPr>
        <w:t>ed</w:t>
      </w:r>
      <w:r w:rsidRPr="0016706B" w:rsidR="001A7B00">
        <w:rPr>
          <w:rFonts w:ascii="Times New Roman" w:hAnsi="Times New Roman" w:cs="Times New Roman"/>
        </w:rPr>
        <w:t xml:space="preserve"> comparisons with other diseases that </w:t>
      </w:r>
      <w:r w:rsidRPr="00F6466A" w:rsidR="001A7B00">
        <w:rPr>
          <w:rFonts w:ascii="Times New Roman" w:hAnsi="Times New Roman" w:cs="Times New Roman"/>
        </w:rPr>
        <w:t>do</w:t>
      </w:r>
      <w:r w:rsidRPr="0016706B" w:rsidR="001A7B00">
        <w:rPr>
          <w:rFonts w:ascii="Times New Roman" w:hAnsi="Times New Roman" w:cs="Times New Roman"/>
        </w:rPr>
        <w:t xml:space="preserve"> have the backing of robust data</w:t>
      </w:r>
      <w:r w:rsidR="00517E60">
        <w:rPr>
          <w:rFonts w:ascii="Times New Roman" w:hAnsi="Times New Roman" w:cs="Times New Roman"/>
        </w:rPr>
        <w:t xml:space="preserve"> or</w:t>
      </w:r>
      <w:r w:rsidRPr="0016706B" w:rsidR="001A7B00">
        <w:rPr>
          <w:rFonts w:ascii="Times New Roman" w:hAnsi="Times New Roman" w:cs="Times New Roman"/>
        </w:rPr>
        <w:t xml:space="preserve"> be</w:t>
      </w:r>
      <w:r w:rsidR="00517E60">
        <w:rPr>
          <w:rFonts w:ascii="Times New Roman" w:hAnsi="Times New Roman" w:cs="Times New Roman"/>
        </w:rPr>
        <w:t>en</w:t>
      </w:r>
      <w:r w:rsidRPr="0016706B" w:rsidR="001A7B00">
        <w:rPr>
          <w:rFonts w:ascii="Times New Roman" w:hAnsi="Times New Roman" w:cs="Times New Roman"/>
        </w:rPr>
        <w:t xml:space="preserve"> more flexib</w:t>
      </w:r>
      <w:r w:rsidR="00517E60">
        <w:rPr>
          <w:rFonts w:ascii="Times New Roman" w:hAnsi="Times New Roman" w:cs="Times New Roman"/>
        </w:rPr>
        <w:t>le</w:t>
      </w:r>
      <w:r w:rsidRPr="0016706B" w:rsidR="001A7B00">
        <w:rPr>
          <w:rFonts w:ascii="Times New Roman" w:hAnsi="Times New Roman" w:cs="Times New Roman"/>
        </w:rPr>
        <w:t xml:space="preserve"> in </w:t>
      </w:r>
      <w:r w:rsidRPr="0016706B" w:rsidR="00260AD9">
        <w:rPr>
          <w:rFonts w:ascii="Times New Roman" w:hAnsi="Times New Roman" w:cs="Times New Roman"/>
        </w:rPr>
        <w:t>accepting uncertainties</w:t>
      </w:r>
      <w:r w:rsidR="0003109A">
        <w:rPr>
          <w:rFonts w:ascii="Times New Roman" w:hAnsi="Times New Roman" w:cs="Times New Roman"/>
        </w:rPr>
        <w:t xml:space="preserve"> in the quantitative data</w:t>
      </w:r>
      <w:r w:rsidRPr="0016706B" w:rsidR="00260AD9">
        <w:rPr>
          <w:rFonts w:ascii="Times New Roman" w:hAnsi="Times New Roman" w:cs="Times New Roman"/>
        </w:rPr>
        <w:t xml:space="preserve">. </w:t>
      </w:r>
    </w:p>
    <w:p w:rsidRPr="0016706B" w:rsidR="00642F3F" w:rsidP="005E473D" w:rsidRDefault="00642F3F" w14:paraId="3B8295B6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:rsidRPr="0016706B" w:rsidR="00EC0BDD" w:rsidP="005E473D" w:rsidRDefault="00304C47" w14:paraId="65C9A073" w14:textId="7E0AFFA1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 xml:space="preserve">Considering the harms of corticosteroids only qualitatively has ultimately </w:t>
      </w:r>
      <w:r w:rsidR="00517E60">
        <w:rPr>
          <w:rFonts w:ascii="Times New Roman" w:hAnsi="Times New Roman" w:cs="Times New Roman"/>
        </w:rPr>
        <w:t>resulted in</w:t>
      </w:r>
      <w:r w:rsidRPr="0016706B" w:rsidR="00517E60">
        <w:rPr>
          <w:rFonts w:ascii="Times New Roman" w:hAnsi="Times New Roman" w:cs="Times New Roman"/>
        </w:rPr>
        <w:t xml:space="preserve"> </w:t>
      </w:r>
      <w:r w:rsidRPr="0016706B">
        <w:rPr>
          <w:rFonts w:ascii="Times New Roman" w:hAnsi="Times New Roman" w:cs="Times New Roman"/>
        </w:rPr>
        <w:t xml:space="preserve">what is a significant burden for </w:t>
      </w:r>
      <w:proofErr w:type="spellStart"/>
      <w:r w:rsidR="00517E60">
        <w:rPr>
          <w:rFonts w:ascii="Times New Roman" w:hAnsi="Times New Roman" w:cs="Times New Roman"/>
        </w:rPr>
        <w:t>g</w:t>
      </w:r>
      <w:r w:rsidRPr="0016706B">
        <w:rPr>
          <w:rFonts w:ascii="Times New Roman" w:hAnsi="Times New Roman" w:cs="Times New Roman"/>
        </w:rPr>
        <w:t>MG</w:t>
      </w:r>
      <w:proofErr w:type="spellEnd"/>
      <w:r w:rsidRPr="0016706B">
        <w:rPr>
          <w:rFonts w:ascii="Times New Roman" w:hAnsi="Times New Roman" w:cs="Times New Roman"/>
        </w:rPr>
        <w:t xml:space="preserve"> patients</w:t>
      </w:r>
      <w:r w:rsidRPr="0016706B" w:rsidR="00242997">
        <w:rPr>
          <w:rFonts w:ascii="Times New Roman" w:hAnsi="Times New Roman" w:cs="Times New Roman"/>
        </w:rPr>
        <w:t xml:space="preserve"> </w:t>
      </w:r>
      <w:r w:rsidR="00517E60">
        <w:rPr>
          <w:rFonts w:ascii="Times New Roman" w:hAnsi="Times New Roman" w:cs="Times New Roman"/>
        </w:rPr>
        <w:t>being completely left out of the Committee’s modelling.</w:t>
      </w:r>
      <w:r w:rsidRPr="0016706B" w:rsidR="00242997">
        <w:rPr>
          <w:rFonts w:ascii="Times New Roman" w:hAnsi="Times New Roman" w:cs="Times New Roman"/>
        </w:rPr>
        <w:t xml:space="preserve"> I </w:t>
      </w:r>
      <w:r w:rsidR="00517E60">
        <w:rPr>
          <w:rFonts w:ascii="Times New Roman" w:hAnsi="Times New Roman" w:cs="Times New Roman"/>
        </w:rPr>
        <w:t>consider that this important, and unreasonable,</w:t>
      </w:r>
      <w:r w:rsidRPr="0016706B" w:rsidR="00517E60">
        <w:rPr>
          <w:rFonts w:ascii="Times New Roman" w:hAnsi="Times New Roman" w:cs="Times New Roman"/>
        </w:rPr>
        <w:t xml:space="preserve"> </w:t>
      </w:r>
      <w:r w:rsidR="00517E60">
        <w:rPr>
          <w:rFonts w:ascii="Times New Roman" w:hAnsi="Times New Roman" w:cs="Times New Roman"/>
        </w:rPr>
        <w:t>decision merits consideration by the Appeal Panel at the planned oral hearing</w:t>
      </w:r>
      <w:r w:rsidRPr="0016706B" w:rsidR="00242997">
        <w:rPr>
          <w:rFonts w:ascii="Times New Roman" w:hAnsi="Times New Roman" w:cs="Times New Roman"/>
        </w:rPr>
        <w:t>.</w:t>
      </w:r>
    </w:p>
    <w:p w:rsidRPr="0016706B" w:rsidR="001D099F" w:rsidP="005E473D" w:rsidRDefault="001D099F" w14:paraId="3DA46B82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Pr="0016706B" w:rsidR="001D099F" w:rsidP="005E473D" w:rsidRDefault="001D099F" w14:paraId="0E241A14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16706B">
        <w:rPr>
          <w:rFonts w:ascii="Times New Roman" w:hAnsi="Times New Roman" w:cs="Times New Roman"/>
          <w:b/>
          <w:u w:val="single"/>
        </w:rPr>
        <w:t xml:space="preserve">Appeal point 2.6: </w:t>
      </w:r>
      <w:r w:rsidRPr="0016706B">
        <w:rPr>
          <w:rFonts w:ascii="Times New Roman" w:hAnsi="Times New Roman" w:cs="Times New Roman"/>
          <w:b/>
          <w:bCs/>
          <w:u w:val="single"/>
        </w:rPr>
        <w:t>NICE’s conclusion that it would consider the impact of Zilucoplan on carers qualitatively in its decision making is irrational</w:t>
      </w:r>
    </w:p>
    <w:p w:rsidRPr="0016706B" w:rsidR="001D099F" w:rsidP="005E473D" w:rsidRDefault="001D099F" w14:paraId="3BB24286" w14:textId="7777777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:rsidRPr="0016706B" w:rsidR="00676EA9" w:rsidP="005B12FC" w:rsidRDefault="008C2664" w14:paraId="6A49F9D2" w14:textId="6892CF53">
      <w:pPr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>As mentioned in the discussion above</w:t>
      </w:r>
      <w:r w:rsidR="00517E60">
        <w:rPr>
          <w:rFonts w:ascii="Times New Roman" w:hAnsi="Times New Roman" w:cs="Times New Roman"/>
        </w:rPr>
        <w:t xml:space="preserve"> of </w:t>
      </w:r>
      <w:r w:rsidR="00517E60">
        <w:rPr>
          <w:rFonts w:ascii="Times New Roman" w:hAnsi="Times New Roman" w:cs="Times New Roman"/>
          <w:b/>
          <w:bCs/>
        </w:rPr>
        <w:t>Appeal point 2.5</w:t>
      </w:r>
      <w:r w:rsidRPr="0016706B">
        <w:rPr>
          <w:rFonts w:ascii="Times New Roman" w:hAnsi="Times New Roman" w:cs="Times New Roman"/>
        </w:rPr>
        <w:t xml:space="preserve">, </w:t>
      </w:r>
      <w:r w:rsidR="00517E60">
        <w:rPr>
          <w:rFonts w:ascii="Times New Roman" w:hAnsi="Times New Roman" w:cs="Times New Roman"/>
        </w:rPr>
        <w:t xml:space="preserve">the Committee’s decision to address this topic (like the burden of corticosteroid use) in </w:t>
      </w:r>
      <w:r w:rsidRPr="0016706B" w:rsidR="008149EE">
        <w:rPr>
          <w:rFonts w:ascii="Times New Roman" w:hAnsi="Times New Roman" w:cs="Times New Roman"/>
        </w:rPr>
        <w:t xml:space="preserve">solely qualitative </w:t>
      </w:r>
      <w:r w:rsidR="00517E60">
        <w:rPr>
          <w:rFonts w:ascii="Times New Roman" w:hAnsi="Times New Roman" w:cs="Times New Roman"/>
        </w:rPr>
        <w:t xml:space="preserve">terms </w:t>
      </w:r>
      <w:r w:rsidRPr="0016706B" w:rsidR="00F706B7">
        <w:rPr>
          <w:rFonts w:ascii="Times New Roman" w:hAnsi="Times New Roman" w:cs="Times New Roman"/>
        </w:rPr>
        <w:t>downplay</w:t>
      </w:r>
      <w:r w:rsidR="005E473D">
        <w:rPr>
          <w:rFonts w:ascii="Times New Roman" w:hAnsi="Times New Roman" w:cs="Times New Roman"/>
        </w:rPr>
        <w:t>s</w:t>
      </w:r>
      <w:r w:rsidRPr="0016706B" w:rsidR="00F706B7">
        <w:rPr>
          <w:rFonts w:ascii="Times New Roman" w:hAnsi="Times New Roman" w:cs="Times New Roman"/>
        </w:rPr>
        <w:t xml:space="preserve"> the reality lived by </w:t>
      </w:r>
      <w:proofErr w:type="spellStart"/>
      <w:r w:rsidR="00517E60">
        <w:rPr>
          <w:rFonts w:ascii="Times New Roman" w:hAnsi="Times New Roman" w:cs="Times New Roman"/>
        </w:rPr>
        <w:t>g</w:t>
      </w:r>
      <w:r w:rsidRPr="0016706B" w:rsidR="00F706B7">
        <w:rPr>
          <w:rFonts w:ascii="Times New Roman" w:hAnsi="Times New Roman" w:cs="Times New Roman"/>
        </w:rPr>
        <w:t>MG</w:t>
      </w:r>
      <w:proofErr w:type="spellEnd"/>
      <w:r w:rsidRPr="0016706B" w:rsidR="00F706B7">
        <w:rPr>
          <w:rFonts w:ascii="Times New Roman" w:hAnsi="Times New Roman" w:cs="Times New Roman"/>
        </w:rPr>
        <w:t xml:space="preserve"> patients and the burden of the</w:t>
      </w:r>
      <w:r w:rsidR="005E473D">
        <w:rPr>
          <w:rFonts w:ascii="Times New Roman" w:hAnsi="Times New Roman" w:cs="Times New Roman"/>
        </w:rPr>
        <w:t>ir (lifelong)</w:t>
      </w:r>
      <w:r w:rsidRPr="0016706B" w:rsidR="00F706B7">
        <w:rPr>
          <w:rFonts w:ascii="Times New Roman" w:hAnsi="Times New Roman" w:cs="Times New Roman"/>
        </w:rPr>
        <w:t xml:space="preserve"> disease. </w:t>
      </w:r>
      <w:r w:rsidRPr="0016706B" w:rsidR="000B2B3D">
        <w:rPr>
          <w:rFonts w:ascii="Times New Roman" w:hAnsi="Times New Roman" w:cs="Times New Roman"/>
        </w:rPr>
        <w:t xml:space="preserve">As such, the true impact of the technology is not being </w:t>
      </w:r>
      <w:r w:rsidRPr="0016706B" w:rsidR="0071734E">
        <w:rPr>
          <w:rFonts w:ascii="Times New Roman" w:hAnsi="Times New Roman" w:cs="Times New Roman"/>
        </w:rPr>
        <w:t>assessed.</w:t>
      </w:r>
    </w:p>
    <w:p w:rsidRPr="0016706B" w:rsidR="0071734E" w:rsidP="005B12FC" w:rsidRDefault="00150A40" w14:paraId="649D850A" w14:textId="399FB9D1">
      <w:pPr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 xml:space="preserve">The </w:t>
      </w:r>
      <w:r w:rsidR="005E473D">
        <w:rPr>
          <w:rFonts w:ascii="Times New Roman" w:hAnsi="Times New Roman" w:cs="Times New Roman"/>
        </w:rPr>
        <w:t>C</w:t>
      </w:r>
      <w:r w:rsidRPr="0016706B">
        <w:rPr>
          <w:rFonts w:ascii="Times New Roman" w:hAnsi="Times New Roman" w:cs="Times New Roman"/>
        </w:rPr>
        <w:t xml:space="preserve">ommittee </w:t>
      </w:r>
      <w:r w:rsidRPr="0016706B" w:rsidR="00721F90">
        <w:rPr>
          <w:rFonts w:ascii="Times New Roman" w:hAnsi="Times New Roman" w:cs="Times New Roman"/>
        </w:rPr>
        <w:t>had the opportunity to hear first</w:t>
      </w:r>
      <w:r w:rsidR="005E473D">
        <w:rPr>
          <w:rFonts w:ascii="Times New Roman" w:hAnsi="Times New Roman" w:cs="Times New Roman"/>
        </w:rPr>
        <w:t>-</w:t>
      </w:r>
      <w:r w:rsidRPr="0016706B" w:rsidR="00721F90">
        <w:rPr>
          <w:rFonts w:ascii="Times New Roman" w:hAnsi="Times New Roman" w:cs="Times New Roman"/>
        </w:rPr>
        <w:t xml:space="preserve">hand from </w:t>
      </w:r>
      <w:r w:rsidRPr="0016706B" w:rsidR="00BB14AD">
        <w:rPr>
          <w:rFonts w:ascii="Times New Roman" w:hAnsi="Times New Roman" w:cs="Times New Roman"/>
        </w:rPr>
        <w:t xml:space="preserve">patients whose carers (in some cases, their young children) were positively impacted by </w:t>
      </w:r>
      <w:r w:rsidRPr="0016706B" w:rsidR="001B583E">
        <w:rPr>
          <w:rFonts w:ascii="Times New Roman" w:hAnsi="Times New Roman" w:cs="Times New Roman"/>
        </w:rPr>
        <w:t xml:space="preserve">Zilucoplan. They heard that these carers were able to return to work or education as their responsibilities had lessened. </w:t>
      </w:r>
      <w:r w:rsidR="005E473D">
        <w:rPr>
          <w:rFonts w:ascii="Times New Roman" w:hAnsi="Times New Roman" w:cs="Times New Roman"/>
        </w:rPr>
        <w:t xml:space="preserve">The implication of such evidence of carer impacts is that Zilucoplan </w:t>
      </w:r>
      <w:r w:rsidRPr="005B12FC" w:rsidR="005E473D">
        <w:rPr>
          <w:rFonts w:ascii="Times New Roman" w:hAnsi="Times New Roman" w:cs="Times New Roman"/>
          <w:i/>
          <w:iCs/>
        </w:rPr>
        <w:t>does</w:t>
      </w:r>
      <w:r w:rsidR="005E473D">
        <w:rPr>
          <w:rFonts w:ascii="Times New Roman" w:hAnsi="Times New Roman" w:cs="Times New Roman"/>
        </w:rPr>
        <w:t xml:space="preserve"> provide a quantitative benefit. However, as in relation to corticosteroid use</w:t>
      </w:r>
      <w:r w:rsidRPr="0016706B" w:rsidR="0089735F">
        <w:rPr>
          <w:rFonts w:ascii="Times New Roman" w:hAnsi="Times New Roman" w:cs="Times New Roman"/>
        </w:rPr>
        <w:t xml:space="preserve">, </w:t>
      </w:r>
      <w:r w:rsidR="005E473D">
        <w:rPr>
          <w:rFonts w:ascii="Times New Roman" w:hAnsi="Times New Roman" w:cs="Times New Roman"/>
        </w:rPr>
        <w:t>the Committee declined to allow the use of quantitative data drawn from</w:t>
      </w:r>
      <w:r w:rsidRPr="0016706B" w:rsidR="005B23C6">
        <w:rPr>
          <w:rFonts w:ascii="Times New Roman" w:hAnsi="Times New Roman" w:cs="Times New Roman"/>
        </w:rPr>
        <w:t xml:space="preserve"> another disease</w:t>
      </w:r>
      <w:r w:rsidR="005E473D">
        <w:rPr>
          <w:rFonts w:ascii="Times New Roman" w:hAnsi="Times New Roman" w:cs="Times New Roman"/>
        </w:rPr>
        <w:t xml:space="preserve"> as a suitable proxy and gave no consideration to alternative ways </w:t>
      </w:r>
      <w:r w:rsidR="005B12FC">
        <w:rPr>
          <w:rFonts w:ascii="Times New Roman" w:hAnsi="Times New Roman" w:cs="Times New Roman"/>
        </w:rPr>
        <w:t>to allow flexibility so as to</w:t>
      </w:r>
      <w:r w:rsidR="005E473D">
        <w:rPr>
          <w:rFonts w:ascii="Times New Roman" w:hAnsi="Times New Roman" w:cs="Times New Roman"/>
        </w:rPr>
        <w:t xml:space="preserve"> captur</w:t>
      </w:r>
      <w:r w:rsidR="005B12FC">
        <w:rPr>
          <w:rFonts w:ascii="Times New Roman" w:hAnsi="Times New Roman" w:cs="Times New Roman"/>
        </w:rPr>
        <w:t>e</w:t>
      </w:r>
      <w:r w:rsidR="005E473D">
        <w:rPr>
          <w:rFonts w:ascii="Times New Roman" w:hAnsi="Times New Roman" w:cs="Times New Roman"/>
        </w:rPr>
        <w:t xml:space="preserve"> quantitatively this important potential benefit</w:t>
      </w:r>
      <w:r w:rsidRPr="0016706B" w:rsidR="00273E14">
        <w:rPr>
          <w:rFonts w:ascii="Times New Roman" w:hAnsi="Times New Roman" w:cs="Times New Roman"/>
        </w:rPr>
        <w:t xml:space="preserve">. </w:t>
      </w:r>
    </w:p>
    <w:p w:rsidR="007C175B" w:rsidP="005B12FC" w:rsidRDefault="005E473D" w14:paraId="00C49D8A" w14:textId="06FDA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Consequently</w:t>
      </w:r>
      <w:r w:rsidRPr="0016706B" w:rsidR="00634AB3">
        <w:rPr>
          <w:rFonts w:ascii="Times New Roman" w:hAnsi="Times New Roman" w:cs="Times New Roman"/>
        </w:rPr>
        <w:t>, there is no indication that th</w:t>
      </w:r>
      <w:r>
        <w:rPr>
          <w:rFonts w:ascii="Times New Roman" w:hAnsi="Times New Roman" w:cs="Times New Roman"/>
        </w:rPr>
        <w:t>e</w:t>
      </w:r>
      <w:r w:rsidRPr="0016706B" w:rsidR="00634AB3">
        <w:rPr>
          <w:rFonts w:ascii="Times New Roman" w:hAnsi="Times New Roman" w:cs="Times New Roman"/>
        </w:rPr>
        <w:t xml:space="preserve"> benefit </w:t>
      </w:r>
      <w:r>
        <w:rPr>
          <w:rFonts w:ascii="Times New Roman" w:hAnsi="Times New Roman" w:cs="Times New Roman"/>
        </w:rPr>
        <w:t>of Zilucoplan in terms of carer utility</w:t>
      </w:r>
      <w:r w:rsidRPr="0016706B" w:rsidR="00634AB3">
        <w:rPr>
          <w:rFonts w:ascii="Times New Roman" w:hAnsi="Times New Roman" w:cs="Times New Roman"/>
        </w:rPr>
        <w:t xml:space="preserve"> has had an</w:t>
      </w:r>
      <w:r>
        <w:rPr>
          <w:rFonts w:ascii="Times New Roman" w:hAnsi="Times New Roman" w:cs="Times New Roman"/>
        </w:rPr>
        <w:t>y</w:t>
      </w:r>
      <w:r w:rsidRPr="0016706B" w:rsidR="00634AB3">
        <w:rPr>
          <w:rFonts w:ascii="Times New Roman" w:hAnsi="Times New Roman" w:cs="Times New Roman"/>
        </w:rPr>
        <w:t xml:space="preserve"> impact on the </w:t>
      </w:r>
      <w:r>
        <w:rPr>
          <w:rFonts w:ascii="Times New Roman" w:hAnsi="Times New Roman" w:cs="Times New Roman"/>
        </w:rPr>
        <w:t>C</w:t>
      </w:r>
      <w:r w:rsidRPr="0016706B" w:rsidR="00634AB3">
        <w:rPr>
          <w:rFonts w:ascii="Times New Roman" w:hAnsi="Times New Roman" w:cs="Times New Roman"/>
        </w:rPr>
        <w:t xml:space="preserve">ommittee’s decision making. </w:t>
      </w:r>
      <w:r w:rsidRPr="0016706B" w:rsidR="008E3DA6">
        <w:rPr>
          <w:rFonts w:ascii="Times New Roman" w:hAnsi="Times New Roman" w:cs="Times New Roman"/>
        </w:rPr>
        <w:t xml:space="preserve">Again, the patient community is being punished because of difficulties in evidence generation which are not the fault </w:t>
      </w:r>
      <w:r w:rsidRPr="0016706B" w:rsidR="00B15B6B">
        <w:rPr>
          <w:rFonts w:ascii="Times New Roman" w:hAnsi="Times New Roman" w:cs="Times New Roman"/>
        </w:rPr>
        <w:t xml:space="preserve">of those most affected. It is the responsibility of the </w:t>
      </w:r>
      <w:r>
        <w:rPr>
          <w:rFonts w:ascii="Times New Roman" w:hAnsi="Times New Roman" w:cs="Times New Roman"/>
        </w:rPr>
        <w:t>C</w:t>
      </w:r>
      <w:r w:rsidRPr="0016706B" w:rsidR="00B15B6B">
        <w:rPr>
          <w:rFonts w:ascii="Times New Roman" w:hAnsi="Times New Roman" w:cs="Times New Roman"/>
        </w:rPr>
        <w:t xml:space="preserve">ommittee to ensure an accurate representation of the disease is </w:t>
      </w:r>
      <w:r w:rsidRPr="0016706B" w:rsidR="00A17E1B">
        <w:rPr>
          <w:rFonts w:ascii="Times New Roman" w:hAnsi="Times New Roman" w:cs="Times New Roman"/>
        </w:rPr>
        <w:t>considered</w:t>
      </w:r>
      <w:r w:rsidRPr="0016706B" w:rsidR="00B15B6B">
        <w:rPr>
          <w:rFonts w:ascii="Times New Roman" w:hAnsi="Times New Roman" w:cs="Times New Roman"/>
        </w:rPr>
        <w:t xml:space="preserve"> when making these decisions</w:t>
      </w:r>
      <w:r>
        <w:rPr>
          <w:rFonts w:ascii="Times New Roman" w:hAnsi="Times New Roman" w:cs="Times New Roman"/>
        </w:rPr>
        <w:t>.</w:t>
      </w:r>
      <w:r w:rsidRPr="0016706B" w:rsidR="00B15B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16706B" w:rsidR="00B15B6B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rejecting any proxies drawn from other diseases </w:t>
      </w:r>
      <w:r w:rsidRPr="005B12FC">
        <w:rPr>
          <w:rFonts w:ascii="Times New Roman" w:hAnsi="Times New Roman" w:cs="Times New Roman"/>
          <w:i/>
          <w:iCs/>
        </w:rPr>
        <w:t>and</w:t>
      </w:r>
      <w:r>
        <w:rPr>
          <w:rFonts w:ascii="Times New Roman" w:hAnsi="Times New Roman" w:cs="Times New Roman"/>
        </w:rPr>
        <w:t xml:space="preserve"> </w:t>
      </w:r>
      <w:r w:rsidRPr="0016706B" w:rsidR="00B15B6B">
        <w:rPr>
          <w:rFonts w:ascii="Times New Roman" w:hAnsi="Times New Roman" w:cs="Times New Roman"/>
        </w:rPr>
        <w:t xml:space="preserve">not </w:t>
      </w:r>
      <w:r>
        <w:rPr>
          <w:rFonts w:ascii="Times New Roman" w:hAnsi="Times New Roman" w:cs="Times New Roman"/>
        </w:rPr>
        <w:t xml:space="preserve">considering any other way to </w:t>
      </w:r>
      <w:r w:rsidRPr="0016706B" w:rsidR="00B15B6B">
        <w:rPr>
          <w:rFonts w:ascii="Times New Roman" w:hAnsi="Times New Roman" w:cs="Times New Roman"/>
        </w:rPr>
        <w:t>allow flexibility in cases</w:t>
      </w:r>
      <w:r>
        <w:rPr>
          <w:rFonts w:ascii="Times New Roman" w:hAnsi="Times New Roman" w:cs="Times New Roman"/>
        </w:rPr>
        <w:t xml:space="preserve"> such as this</w:t>
      </w:r>
      <w:r w:rsidRPr="0016706B" w:rsidR="00B15B6B">
        <w:rPr>
          <w:rFonts w:ascii="Times New Roman" w:hAnsi="Times New Roman" w:cs="Times New Roman"/>
        </w:rPr>
        <w:t xml:space="preserve">, </w:t>
      </w:r>
      <w:r w:rsidRPr="0016706B" w:rsidR="000658B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result is that the burden of the disease (and potential benefits of treatment) will be understated. The </w:t>
      </w:r>
      <w:r w:rsidRPr="0016706B" w:rsidR="000658B9">
        <w:rPr>
          <w:rFonts w:ascii="Times New Roman" w:hAnsi="Times New Roman" w:cs="Times New Roman"/>
        </w:rPr>
        <w:t>testimony of patients and carers becomes an afterthought</w:t>
      </w:r>
      <w:r w:rsidRPr="0016706B" w:rsidR="00CC1E6B">
        <w:rPr>
          <w:rFonts w:ascii="Times New Roman" w:hAnsi="Times New Roman" w:cs="Times New Roman"/>
        </w:rPr>
        <w:t xml:space="preserve"> in the process.</w:t>
      </w:r>
    </w:p>
    <w:p w:rsidRPr="0016706B" w:rsidR="00BA4F9D" w:rsidP="005B12FC" w:rsidRDefault="00BA4F9D" w14:paraId="36DACB6D" w14:textId="77777777">
      <w:pPr>
        <w:jc w:val="both"/>
        <w:rPr>
          <w:rFonts w:ascii="Times New Roman" w:hAnsi="Times New Roman" w:cs="Times New Roman"/>
        </w:rPr>
      </w:pPr>
    </w:p>
    <w:p w:rsidRPr="0016706B" w:rsidR="007C175B" w:rsidP="005B12FC" w:rsidRDefault="007C175B" w14:paraId="68325A1F" w14:textId="2B5494EA">
      <w:pPr>
        <w:jc w:val="both"/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 xml:space="preserve">Thank you for </w:t>
      </w:r>
      <w:r w:rsidRPr="0016706B" w:rsidR="008378A1">
        <w:rPr>
          <w:rFonts w:ascii="Times New Roman" w:hAnsi="Times New Roman" w:cs="Times New Roman"/>
        </w:rPr>
        <w:t xml:space="preserve">considering the further points that I have made above, which I hope </w:t>
      </w:r>
      <w:r w:rsidR="005E473D">
        <w:rPr>
          <w:rFonts w:ascii="Times New Roman" w:hAnsi="Times New Roman" w:cs="Times New Roman"/>
        </w:rPr>
        <w:t>demonstrate that these appeal points, too, should be referred</w:t>
      </w:r>
      <w:r w:rsidRPr="0016706B" w:rsidR="008378A1">
        <w:rPr>
          <w:rFonts w:ascii="Times New Roman" w:hAnsi="Times New Roman" w:cs="Times New Roman"/>
        </w:rPr>
        <w:t xml:space="preserve"> to the </w:t>
      </w:r>
      <w:r w:rsidR="005E473D">
        <w:rPr>
          <w:rFonts w:ascii="Times New Roman" w:hAnsi="Times New Roman" w:cs="Times New Roman"/>
        </w:rPr>
        <w:t>A</w:t>
      </w:r>
      <w:r w:rsidRPr="0016706B" w:rsidR="008378A1">
        <w:rPr>
          <w:rFonts w:ascii="Times New Roman" w:hAnsi="Times New Roman" w:cs="Times New Roman"/>
        </w:rPr>
        <w:t xml:space="preserve">ppeal </w:t>
      </w:r>
      <w:r w:rsidR="005E473D">
        <w:rPr>
          <w:rFonts w:ascii="Times New Roman" w:hAnsi="Times New Roman" w:cs="Times New Roman"/>
        </w:rPr>
        <w:t>P</w:t>
      </w:r>
      <w:r w:rsidRPr="0016706B" w:rsidR="008378A1">
        <w:rPr>
          <w:rFonts w:ascii="Times New Roman" w:hAnsi="Times New Roman" w:cs="Times New Roman"/>
        </w:rPr>
        <w:t xml:space="preserve">anel. I look forward to hearing from you in due course. </w:t>
      </w:r>
    </w:p>
    <w:p w:rsidRPr="0016706B" w:rsidR="008378A1" w:rsidP="00642F3F" w:rsidRDefault="008378A1" w14:paraId="7211327B" w14:textId="77777777">
      <w:pPr>
        <w:rPr>
          <w:rFonts w:ascii="Times New Roman" w:hAnsi="Times New Roman" w:cs="Times New Roman"/>
        </w:rPr>
      </w:pPr>
    </w:p>
    <w:p w:rsidRPr="0016706B" w:rsidR="008378A1" w:rsidP="00642F3F" w:rsidRDefault="008378A1" w14:paraId="2B363DCE" w14:textId="6055707A">
      <w:pPr>
        <w:rPr>
          <w:rFonts w:ascii="Times New Roman" w:hAnsi="Times New Roman" w:cs="Times New Roman"/>
        </w:rPr>
      </w:pPr>
      <w:r w:rsidRPr="0016706B">
        <w:rPr>
          <w:rFonts w:ascii="Times New Roman" w:hAnsi="Times New Roman" w:cs="Times New Roman"/>
        </w:rPr>
        <w:t>Yours sincerely,</w:t>
      </w:r>
    </w:p>
    <w:p w:rsidRPr="0016706B" w:rsidR="008378A1" w:rsidP="7D24E6DA" w:rsidRDefault="008378A1" w14:paraId="5FE4CA82" w14:noSpellErr="1" w14:textId="49ECEBE8">
      <w:pPr>
        <w:rPr>
          <w:highlight w:val="black"/>
        </w:rPr>
      </w:pPr>
      <w:r w:rsidRPr="7D24E6DA" w:rsidR="439E250B">
        <w:rPr>
          <w:highlight w:val="black"/>
        </w:rPr>
        <w:t>XXXXXXXXXXXXXXXXXXXXX</w:t>
      </w:r>
    </w:p>
    <w:p w:rsidRPr="0016706B" w:rsidR="008378A1" w:rsidP="00642F3F" w:rsidRDefault="008378A1" w14:paraId="7D20D2D5" w14:noSpellErr="1" w14:textId="499BF3FB">
      <w:pPr>
        <w:rPr>
          <w:rFonts w:ascii="Times New Roman" w:hAnsi="Times New Roman" w:cs="Times New Roman"/>
        </w:rPr>
      </w:pPr>
      <w:r w:rsidRPr="12184A0A" w:rsidR="779F5CDB">
        <w:rPr>
          <w:rFonts w:ascii="Times New Roman" w:hAnsi="Times New Roman" w:cs="Times New Roman"/>
          <w:color w:val="auto"/>
          <w:highlight w:val="black"/>
        </w:rPr>
        <w:t>XXXXXXXXXXX</w:t>
      </w:r>
      <w:r w:rsidRPr="12184A0A" w:rsidR="008378A1">
        <w:rPr>
          <w:rFonts w:ascii="Times New Roman" w:hAnsi="Times New Roman" w:cs="Times New Roman"/>
        </w:rPr>
        <w:t xml:space="preserve">, </w:t>
      </w:r>
      <w:r w:rsidRPr="12184A0A" w:rsidR="008378A1">
        <w:rPr>
          <w:rFonts w:ascii="Times New Roman" w:hAnsi="Times New Roman" w:cs="Times New Roman"/>
        </w:rPr>
        <w:t>myaware</w:t>
      </w:r>
    </w:p>
    <w:sectPr w:rsidRPr="0016706B" w:rsidR="008378A1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8D3" w:rsidP="00746B95" w:rsidRDefault="001658D3" w14:paraId="6E86FB4B" w14:textId="77777777">
      <w:pPr>
        <w:spacing w:after="0" w:line="240" w:lineRule="auto"/>
      </w:pPr>
      <w:r>
        <w:separator/>
      </w:r>
    </w:p>
  </w:endnote>
  <w:endnote w:type="continuationSeparator" w:id="0">
    <w:p w:rsidR="001658D3" w:rsidP="00746B95" w:rsidRDefault="001658D3" w14:paraId="3F0AF7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8D3" w:rsidP="00746B95" w:rsidRDefault="001658D3" w14:paraId="5540F056" w14:textId="77777777">
      <w:pPr>
        <w:spacing w:after="0" w:line="240" w:lineRule="auto"/>
      </w:pPr>
      <w:r>
        <w:separator/>
      </w:r>
    </w:p>
  </w:footnote>
  <w:footnote w:type="continuationSeparator" w:id="0">
    <w:p w:rsidR="001658D3" w:rsidP="00746B95" w:rsidRDefault="001658D3" w14:paraId="36FD2C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82261" w:rsidP="00C82261" w:rsidRDefault="00C82261" w14:paraId="5A003806" w14:textId="35C560A0">
    <w:pPr>
      <w:pStyle w:val="Header"/>
      <w:jc w:val="right"/>
    </w:pPr>
    <w:r>
      <w:rPr>
        <w:noProof/>
      </w:rPr>
      <w:drawing>
        <wp:inline distT="0" distB="0" distL="0" distR="0" wp14:anchorId="7018A2F4" wp14:editId="15A92522">
          <wp:extent cx="1897439" cy="637805"/>
          <wp:effectExtent l="0" t="0" r="7620" b="0"/>
          <wp:docPr id="392624819" name="Picture 1" descr="A white background with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624819" name="Picture 1" descr="A white background with grey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6" cy="653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6B95" w:rsidRDefault="00746B95" w14:paraId="6742BB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A3C67"/>
    <w:multiLevelType w:val="hybridMultilevel"/>
    <w:tmpl w:val="F226213E"/>
    <w:lvl w:ilvl="0" w:tplc="1AF0EFC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699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SAuthorLogon" w:val="CW29"/>
    <w:docVar w:name="FSAuthorName" w:val="Chloe Williams"/>
    <w:docVar w:name="FSClientName" w:val="Myaware"/>
    <w:docVar w:name="FSClientNumber" w:val="UK01-2022519"/>
    <w:docVar w:name="FSDocClass" w:val="DOC"/>
    <w:docVar w:name="FSDocNumber" w:val="131023801"/>
    <w:docVar w:name="FSDocVersion" w:val="3"/>
    <w:docVar w:name="FSMatterDesc" w:val="Zilucoplan appeal"/>
    <w:docVar w:name="FSMatterNumber" w:val="00003"/>
    <w:docVar w:name="FSTypist" w:val="CW29"/>
    <w:docVar w:name="FSTypistLogon" w:val="CW29"/>
    <w:docVar w:name="FSTypistName" w:val="Chloe Williams"/>
  </w:docVars>
  <w:rsids>
    <w:rsidRoot w:val="00676EA9"/>
    <w:rsid w:val="00025A38"/>
    <w:rsid w:val="0003109A"/>
    <w:rsid w:val="00045782"/>
    <w:rsid w:val="000658B9"/>
    <w:rsid w:val="00067D31"/>
    <w:rsid w:val="000A6463"/>
    <w:rsid w:val="000B2B3D"/>
    <w:rsid w:val="000E2207"/>
    <w:rsid w:val="001225FD"/>
    <w:rsid w:val="0012448F"/>
    <w:rsid w:val="00150A40"/>
    <w:rsid w:val="001658D3"/>
    <w:rsid w:val="0016706B"/>
    <w:rsid w:val="00175F06"/>
    <w:rsid w:val="001A7B00"/>
    <w:rsid w:val="001B583E"/>
    <w:rsid w:val="001D099F"/>
    <w:rsid w:val="001E53FF"/>
    <w:rsid w:val="00203381"/>
    <w:rsid w:val="00224C8E"/>
    <w:rsid w:val="00226988"/>
    <w:rsid w:val="00242997"/>
    <w:rsid w:val="0024402B"/>
    <w:rsid w:val="00251928"/>
    <w:rsid w:val="002558E3"/>
    <w:rsid w:val="0025708D"/>
    <w:rsid w:val="00260AD9"/>
    <w:rsid w:val="00273E14"/>
    <w:rsid w:val="00274FE2"/>
    <w:rsid w:val="002A7181"/>
    <w:rsid w:val="00304C47"/>
    <w:rsid w:val="00322C88"/>
    <w:rsid w:val="003746A3"/>
    <w:rsid w:val="003746CB"/>
    <w:rsid w:val="003C3FD3"/>
    <w:rsid w:val="003F56E2"/>
    <w:rsid w:val="0049695A"/>
    <w:rsid w:val="004D0223"/>
    <w:rsid w:val="004D689F"/>
    <w:rsid w:val="004E7905"/>
    <w:rsid w:val="00500DA0"/>
    <w:rsid w:val="00517E60"/>
    <w:rsid w:val="005B12FC"/>
    <w:rsid w:val="005B23C6"/>
    <w:rsid w:val="005E473D"/>
    <w:rsid w:val="005F21D8"/>
    <w:rsid w:val="00634AB3"/>
    <w:rsid w:val="00634E46"/>
    <w:rsid w:val="00642F3F"/>
    <w:rsid w:val="00672858"/>
    <w:rsid w:val="00676EA9"/>
    <w:rsid w:val="006835BC"/>
    <w:rsid w:val="006978C5"/>
    <w:rsid w:val="006E7BFF"/>
    <w:rsid w:val="00713F78"/>
    <w:rsid w:val="0071734E"/>
    <w:rsid w:val="00721F90"/>
    <w:rsid w:val="00746B95"/>
    <w:rsid w:val="007C175B"/>
    <w:rsid w:val="007E43E2"/>
    <w:rsid w:val="007F061F"/>
    <w:rsid w:val="008149EE"/>
    <w:rsid w:val="008378A1"/>
    <w:rsid w:val="0089735F"/>
    <w:rsid w:val="008C2664"/>
    <w:rsid w:val="008E3DA6"/>
    <w:rsid w:val="00947BE5"/>
    <w:rsid w:val="00962760"/>
    <w:rsid w:val="009D1047"/>
    <w:rsid w:val="009F3A87"/>
    <w:rsid w:val="00A11EA0"/>
    <w:rsid w:val="00A17E1B"/>
    <w:rsid w:val="00B15B6B"/>
    <w:rsid w:val="00B553B2"/>
    <w:rsid w:val="00BA4F9D"/>
    <w:rsid w:val="00BB14AD"/>
    <w:rsid w:val="00BB1EC1"/>
    <w:rsid w:val="00C13BC4"/>
    <w:rsid w:val="00C35869"/>
    <w:rsid w:val="00C60367"/>
    <w:rsid w:val="00C63324"/>
    <w:rsid w:val="00C772A0"/>
    <w:rsid w:val="00C82261"/>
    <w:rsid w:val="00CC1E6B"/>
    <w:rsid w:val="00D21A82"/>
    <w:rsid w:val="00D40662"/>
    <w:rsid w:val="00DD4957"/>
    <w:rsid w:val="00E01BE8"/>
    <w:rsid w:val="00E403CC"/>
    <w:rsid w:val="00E7030B"/>
    <w:rsid w:val="00E7789D"/>
    <w:rsid w:val="00E97B16"/>
    <w:rsid w:val="00EB54E0"/>
    <w:rsid w:val="00EC05C7"/>
    <w:rsid w:val="00EC0BDD"/>
    <w:rsid w:val="00ED5FE0"/>
    <w:rsid w:val="00F44D26"/>
    <w:rsid w:val="00F6466A"/>
    <w:rsid w:val="00F706B7"/>
    <w:rsid w:val="00FC0F0B"/>
    <w:rsid w:val="12184A0A"/>
    <w:rsid w:val="1ED28823"/>
    <w:rsid w:val="439E250B"/>
    <w:rsid w:val="73EFA90B"/>
    <w:rsid w:val="779F5CDB"/>
    <w:rsid w:val="7D24E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95BAD"/>
  <w15:chartTrackingRefBased/>
  <w15:docId w15:val="{82E465D2-D04A-4728-AB88-7EC4BFEC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E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E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EA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EA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EA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EA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EA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EA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EA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6E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6E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6EA9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6EA9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6EA9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6EA9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6EA9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6EA9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6EA9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EA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76E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EA9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76EA9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EA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76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E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6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EA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74F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6B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6B95"/>
  </w:style>
  <w:style w:type="paragraph" w:styleId="Footer">
    <w:name w:val="footer"/>
    <w:basedOn w:val="Normal"/>
    <w:link w:val="FooterChar"/>
    <w:uiPriority w:val="99"/>
    <w:unhideWhenUsed/>
    <w:rsid w:val="00746B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4" ma:contentTypeDescription="Create a new document." ma:contentTypeScope="" ma:versionID="728ec610e5ae5b6dd53e05eaba2b713f">
  <xsd:schema xmlns:xsd="http://www.w3.org/2001/XMLSchema" xmlns:xs="http://www.w3.org/2001/XMLSchema" xmlns:p="http://schemas.microsoft.com/office/2006/metadata/properties" xmlns:ns2="465a54fe-435b-4423-8fe2-c9a3626b31f7" xmlns:ns3="68f19371-ebe6-4483-8e72-73d36cd7064e" xmlns:ns4="0eb656aa-4e79-4e95-9076-bc119a23e0cc" targetNamespace="http://schemas.microsoft.com/office/2006/metadata/properties" ma:root="true" ma:fieldsID="6b95492fdec4d137835758420a921f71" ns2:_="" ns3:_="" ns4:_="">
    <xsd:import namespace="465a54fe-435b-4423-8fe2-c9a3626b31f7"/>
    <xsd:import namespace="68f19371-ebe6-4483-8e72-73d36cd7064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d61abc-4cd0-41d5-925d-20cb28cbf0f5}" ma:internalName="TaxCatchAll" ma:showField="CatchAllData" ma:web="68f19371-ebe6-4483-8e72-73d36cd70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465a54fe-435b-4423-8fe2-c9a3626b31f7">
      <Terms xmlns="http://schemas.microsoft.com/office/infopath/2007/PartnerControls"/>
    </lcf76f155ced4ddcb4097134ff3c332f>
  </documentManagement>
</p:properties>
</file>

<file path=customXml/item4.xml><?xml version="1.0" encoding="utf-8"?>
<properties xmlns="http://www.imanage.com/work/xmlschema">
  <documentid>DOCS!131023801.3</documentid>
  <senderid>CW29</senderid>
  <senderemail>CHLOE.WILLIAMS@FIELDFISHER.COM</senderemail>
  <lastmodified>2025-08-01T12:32:00.0000000+01:00</lastmodified>
  <database>DOCS</database>
</properties>
</file>

<file path=customXml/itemProps1.xml><?xml version="1.0" encoding="utf-8"?>
<ds:datastoreItem xmlns:ds="http://schemas.openxmlformats.org/officeDocument/2006/customXml" ds:itemID="{8EAA5FC6-2B74-42E7-A262-41EDB8BB9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00552-4E2E-431A-BA2F-79A5909EC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DECE1-5ABD-4BCF-B856-E4A842FD33B5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465a54fe-435b-4423-8fe2-c9a3626b31f7"/>
  </ds:schemaRefs>
</ds:datastoreItem>
</file>

<file path=customXml/itemProps4.xml><?xml version="1.0" encoding="utf-8"?>
<ds:datastoreItem xmlns:ds="http://schemas.openxmlformats.org/officeDocument/2006/customXml" ds:itemID="{1C073A33-5F1D-48BC-B88F-64BCBC6BC8ED}">
  <ds:schemaRefs>
    <ds:schemaRef ds:uri="http://www.imanage.com/work/xmlschem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Campbell</dc:creator>
  <cp:keywords/>
  <cp:lastModifiedBy>Lyn Davies</cp:lastModifiedBy>
  <cp:revision>5</cp:revision>
  <dcterms:created xsi:type="dcterms:W3CDTF">2025-11-05T11:10:00Z</dcterms:created>
  <dcterms:modified xsi:type="dcterms:W3CDTF">2025-11-10T14:46:52Z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0x0101003300E5E64B980D458C754FFE05DEE26D</vt:lpwstr>
  </property>
  <property fmtid="{D5CDD505-2E9C-101B-9397-08002B2CF9AE}" pid="3" name="MediaServiceImageTags">
    <vt:lpwstr/>
  </property>
  <property fmtid="{D5CDD505-2E9C-101B-9397-08002B2CF9AE}" pid="4" name="WSFooter">
    <vt:lpwstr>DOCS\131023801\3</vt:lpwstr>
  </property>
  <property fmtid="{D5CDD505-2E9C-101B-9397-08002B2CF9AE}" pid="5" name="MSIP_Label_c69d85d5-6d9e-4305-a294-1f636ec0f2d6_Enabled">
    <vt:lpwstr>true</vt:lpwstr>
  </property>
  <property fmtid="{D5CDD505-2E9C-101B-9397-08002B2CF9AE}" pid="6" name="MSIP_Label_c69d85d5-6d9e-4305-a294-1f636ec0f2d6_SetDate">
    <vt:lpwstr>2025-11-05T11:10:41Z</vt:lpwstr>
  </property>
  <property fmtid="{D5CDD505-2E9C-101B-9397-08002B2CF9AE}" pid="7" name="MSIP_Label_c69d85d5-6d9e-4305-a294-1f636ec0f2d6_Method">
    <vt:lpwstr>Standard</vt:lpwstr>
  </property>
  <property fmtid="{D5CDD505-2E9C-101B-9397-08002B2CF9AE}" pid="8" name="MSIP_Label_c69d85d5-6d9e-4305-a294-1f636ec0f2d6_Name">
    <vt:lpwstr>OFFICIAL</vt:lpwstr>
  </property>
  <property fmtid="{D5CDD505-2E9C-101B-9397-08002B2CF9AE}" pid="9" name="MSIP_Label_c69d85d5-6d9e-4305-a294-1f636ec0f2d6_SiteId">
    <vt:lpwstr>6030f479-b342-472d-a5dd-740ff7538de9</vt:lpwstr>
  </property>
  <property fmtid="{D5CDD505-2E9C-101B-9397-08002B2CF9AE}" pid="10" name="MSIP_Label_c69d85d5-6d9e-4305-a294-1f636ec0f2d6_ActionId">
    <vt:lpwstr>fd40d15d-5d41-48e3-8ead-2e4260a965af</vt:lpwstr>
  </property>
  <property fmtid="{D5CDD505-2E9C-101B-9397-08002B2CF9AE}" pid="11" name="MSIP_Label_c69d85d5-6d9e-4305-a294-1f636ec0f2d6_ContentBits">
    <vt:lpwstr>0</vt:lpwstr>
  </property>
  <property fmtid="{D5CDD505-2E9C-101B-9397-08002B2CF9AE}" pid="12" name="MSIP_Label_c69d85d5-6d9e-4305-a294-1f636ec0f2d6_Tag">
    <vt:lpwstr>10, 3, 0, 2</vt:lpwstr>
  </property>
</Properties>
</file>