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43022B" w:rsidR="0004302C" w:rsidP="26D46DB9" w:rsidRDefault="0004302C" w14:paraId="5F36C1A4" w14:textId="60313E7A">
      <w:pPr>
        <w:rPr>
          <w:rFonts w:cs="Arial"/>
          <w:highlight w:val="black"/>
        </w:rPr>
      </w:pPr>
      <w:r w:rsidRPr="22B63751" w:rsidR="0004302C">
        <w:rPr>
          <w:rFonts w:cs="Arial"/>
        </w:rPr>
        <w:t xml:space="preserve">Sent by e-mail only: </w:t>
      </w:r>
      <w:r w:rsidRPr="22B63751" w:rsidR="09C3BA1D">
        <w:rPr>
          <w:rFonts w:cs="Arial"/>
          <w:color w:val="auto"/>
          <w:highlight w:val="black"/>
        </w:rPr>
        <w:t>XXXXXXXXXXXXXXXXXXXXXXXXXXXXXX</w:t>
      </w:r>
    </w:p>
    <w:p w:rsidRPr="0043022B" w:rsidR="0004302C" w:rsidP="26D46DB9" w:rsidRDefault="0004302C" w14:paraId="52AF9A60" w14:textId="2C9D44D6">
      <w:pPr>
        <w:spacing w:after="0" w:line="240" w:lineRule="auto"/>
        <w:jc w:val="both"/>
        <w:rPr>
          <w:rFonts w:cs="Arial"/>
          <w:highlight w:val="black"/>
        </w:rPr>
      </w:pPr>
      <w:r w:rsidRPr="22B63751" w:rsidR="0004302C">
        <w:rPr>
          <w:rFonts w:cs="Arial"/>
        </w:rPr>
        <w:t xml:space="preserve">FAO </w:t>
      </w:r>
      <w:r w:rsidRPr="22B63751" w:rsidR="005D2A55">
        <w:rPr>
          <w:rFonts w:cs="Arial"/>
        </w:rPr>
        <w:t xml:space="preserve">Dr </w:t>
      </w:r>
      <w:r w:rsidRPr="22B63751" w:rsidR="510156A7">
        <w:rPr>
          <w:rFonts w:cs="Arial"/>
          <w:color w:val="auto"/>
          <w:highlight w:val="black"/>
        </w:rPr>
        <w:t>XXXXXXXXXXX</w:t>
      </w:r>
    </w:p>
    <w:p w:rsidR="005D2A55" w:rsidP="0004302C" w:rsidRDefault="005D2A55" w14:paraId="256E5A36" w14:textId="2080EBEE">
      <w:pPr>
        <w:spacing w:after="0" w:line="240" w:lineRule="auto"/>
        <w:jc w:val="both"/>
        <w:rPr>
          <w:rFonts w:cs="Arial"/>
        </w:rPr>
      </w:pPr>
      <w:r>
        <w:rPr>
          <w:rFonts w:cs="Arial"/>
        </w:rPr>
        <w:t>Muscular Dystrophy UK</w:t>
      </w:r>
    </w:p>
    <w:p w:rsidR="005D2A55" w:rsidP="0004302C" w:rsidRDefault="005D2A55" w14:paraId="310BB794" w14:textId="1FD14419">
      <w:pPr>
        <w:spacing w:after="0" w:line="240" w:lineRule="auto"/>
        <w:jc w:val="both"/>
        <w:rPr>
          <w:rFonts w:cs="Arial"/>
        </w:rPr>
      </w:pPr>
      <w:r>
        <w:rPr>
          <w:rFonts w:cs="Arial"/>
        </w:rPr>
        <w:t>32 Ufford Street</w:t>
      </w:r>
    </w:p>
    <w:p w:rsidR="005D2A55" w:rsidP="0004302C" w:rsidRDefault="005D2A55" w14:paraId="1C8C13F2" w14:textId="516EBBD7">
      <w:pPr>
        <w:spacing w:after="0" w:line="240" w:lineRule="auto"/>
        <w:jc w:val="both"/>
        <w:rPr>
          <w:rFonts w:cs="Arial"/>
        </w:rPr>
      </w:pPr>
      <w:r>
        <w:rPr>
          <w:rFonts w:cs="Arial"/>
        </w:rPr>
        <w:t>London</w:t>
      </w:r>
    </w:p>
    <w:p w:rsidRPr="0043022B" w:rsidR="005D2A55" w:rsidP="0004302C" w:rsidRDefault="005D2A55" w14:paraId="60DF4C88" w14:textId="75F7E522">
      <w:pPr>
        <w:spacing w:after="0" w:line="240" w:lineRule="auto"/>
        <w:jc w:val="both"/>
        <w:rPr>
          <w:rFonts w:cs="Arial"/>
        </w:rPr>
      </w:pPr>
      <w:r>
        <w:rPr>
          <w:rFonts w:cs="Arial"/>
        </w:rPr>
        <w:t>SE1 8QD</w:t>
      </w:r>
    </w:p>
    <w:p w:rsidRPr="0043022B" w:rsidR="0004302C" w:rsidP="0004302C" w:rsidRDefault="0004302C" w14:paraId="78445498" w14:textId="77777777">
      <w:pPr>
        <w:rPr>
          <w:rFonts w:cs="Arial"/>
        </w:rPr>
      </w:pPr>
    </w:p>
    <w:p w:rsidRPr="0043022B" w:rsidR="0004302C" w:rsidP="0004302C" w:rsidRDefault="0004302C" w14:paraId="706E42E0" w14:textId="77777777">
      <w:pPr>
        <w:rPr>
          <w:rFonts w:cs="Arial"/>
        </w:rPr>
      </w:pPr>
    </w:p>
    <w:p w:rsidRPr="0043022B" w:rsidR="0004302C" w:rsidP="0004302C" w:rsidRDefault="003D587B" w14:paraId="51088EB9" w14:textId="0C2BE7B6">
      <w:pPr>
        <w:rPr>
          <w:rFonts w:cs="Arial"/>
        </w:rPr>
      </w:pPr>
      <w:r>
        <w:rPr>
          <w:rFonts w:cs="Arial"/>
        </w:rPr>
        <w:t>21</w:t>
      </w:r>
      <w:r w:rsidR="006C5A0C">
        <w:rPr>
          <w:rFonts w:cs="Arial"/>
        </w:rPr>
        <w:t xml:space="preserve"> July 2025</w:t>
      </w:r>
    </w:p>
    <w:p w:rsidRPr="0043022B" w:rsidR="0004302C" w:rsidP="0004302C" w:rsidRDefault="0004302C" w14:paraId="50583914" w14:textId="77777777">
      <w:pPr>
        <w:rPr>
          <w:rStyle w:val="Hyperlink"/>
          <w:rFonts w:cs="Arial"/>
        </w:rPr>
      </w:pPr>
    </w:p>
    <w:p w:rsidRPr="0043022B" w:rsidR="0004302C" w:rsidP="26D46DB9" w:rsidRDefault="0004302C" w14:paraId="6392A75B" w14:textId="2745D17D">
      <w:pPr>
        <w:ind w:left="426" w:right="468" w:hanging="426"/>
        <w:jc w:val="both"/>
        <w:rPr>
          <w:rFonts w:cs="Arial"/>
          <w:noProof/>
          <w:spacing w:val="-3"/>
          <w:highlight w:val="black"/>
          <w:lang w:eastAsia="en-GB"/>
        </w:rPr>
      </w:pPr>
      <w:bookmarkStart w:name="deartext" w:id="0"/>
      <w:r w:rsidRPr="22B63751" w:rsidR="0004302C">
        <w:rPr>
          <w:rFonts w:cs="Arial"/>
        </w:rPr>
        <w:t>Dear</w:t>
      </w:r>
      <w:bookmarkEnd w:id="0"/>
      <w:r w:rsidRPr="22B63751" w:rsidR="0004302C">
        <w:rPr>
          <w:rFonts w:cs="Arial"/>
        </w:rPr>
        <w:t xml:space="preserve"> </w:t>
      </w:r>
      <w:bookmarkStart w:name="Sal" w:id="1"/>
      <w:bookmarkEnd w:id="1"/>
      <w:r w:rsidRPr="22B63751" w:rsidR="005D2A55">
        <w:rPr>
          <w:rFonts w:cs="Arial"/>
        </w:rPr>
        <w:t xml:space="preserve">Dr </w:t>
      </w:r>
      <w:r w:rsidRPr="22B63751" w:rsidR="3E19AC17">
        <w:rPr>
          <w:rFonts w:cs="Arial"/>
          <w:color w:val="auto"/>
          <w:highlight w:val="black"/>
        </w:rPr>
        <w:t>XXXXXXX</w:t>
      </w:r>
    </w:p>
    <w:p w:rsidRPr="0043022B" w:rsidR="0004302C" w:rsidP="0004302C" w:rsidRDefault="0004302C" w14:paraId="0C2B27E7" w14:textId="1136670B">
      <w:pPr>
        <w:ind w:left="426" w:right="468" w:hanging="426"/>
        <w:jc w:val="both"/>
        <w:rPr>
          <w:rFonts w:cs="Arial"/>
          <w:b/>
        </w:rPr>
      </w:pPr>
      <w:r w:rsidRPr="0043022B">
        <w:rPr>
          <w:rFonts w:cs="Arial"/>
          <w:noProof/>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43022B">
        <w:rPr>
          <w:rFonts w:cs="Arial"/>
          <w:b/>
          <w:spacing w:val="-3"/>
        </w:rPr>
        <w:t xml:space="preserve">Re: </w:t>
      </w:r>
      <w:r w:rsidRPr="0043022B">
        <w:rPr>
          <w:rFonts w:cs="Arial"/>
          <w:b/>
        </w:rPr>
        <w:t xml:space="preserve">Final </w:t>
      </w:r>
      <w:r w:rsidR="006C5A0C">
        <w:rPr>
          <w:rFonts w:cs="Arial"/>
          <w:b/>
        </w:rPr>
        <w:t xml:space="preserve">Draft Guidance – </w:t>
      </w:r>
      <w:proofErr w:type="spellStart"/>
      <w:r w:rsidR="006C5A0C">
        <w:rPr>
          <w:rFonts w:cs="Arial"/>
          <w:b/>
        </w:rPr>
        <w:t>zilucoplan</w:t>
      </w:r>
      <w:proofErr w:type="spellEnd"/>
      <w:r w:rsidR="006C5A0C">
        <w:rPr>
          <w:rFonts w:cs="Arial"/>
          <w:b/>
        </w:rPr>
        <w:t xml:space="preserve"> for treating antibody-positive generalised myasthenia gravis [ID4008]</w:t>
      </w:r>
    </w:p>
    <w:p w:rsidRPr="00C31456" w:rsidR="00003026" w:rsidP="00413F89" w:rsidRDefault="000223BD" w14:paraId="7414DC3E" w14:textId="0FCDEAFF">
      <w:pPr>
        <w:jc w:val="both"/>
        <w:rPr>
          <w:rFonts w:cs="Arial"/>
          <w:color w:val="auto"/>
        </w:rPr>
      </w:pPr>
      <w:r w:rsidRPr="00C31456">
        <w:rPr>
          <w:rFonts w:cs="Arial"/>
          <w:color w:val="auto"/>
        </w:rPr>
        <w:t xml:space="preserve">Thank you for your letter of </w:t>
      </w:r>
      <w:r w:rsidRPr="00C31456" w:rsidR="006C5A0C">
        <w:rPr>
          <w:rFonts w:cs="Arial"/>
          <w:color w:val="auto"/>
        </w:rPr>
        <w:t>10 July 2025</w:t>
      </w:r>
      <w:r w:rsidRPr="00C31456">
        <w:rPr>
          <w:rFonts w:cs="Arial"/>
          <w:color w:val="auto"/>
        </w:rPr>
        <w:t xml:space="preserve">, lodging </w:t>
      </w:r>
      <w:r w:rsidRPr="00C31456" w:rsidR="00F4296D">
        <w:rPr>
          <w:rFonts w:cs="Arial"/>
          <w:color w:val="auto"/>
        </w:rPr>
        <w:t>an</w:t>
      </w:r>
      <w:r w:rsidRPr="00C31456">
        <w:rPr>
          <w:rFonts w:cs="Arial"/>
          <w:color w:val="auto"/>
        </w:rPr>
        <w:t xml:space="preserve"> appeal against the above Final </w:t>
      </w:r>
      <w:r w:rsidRPr="00C31456" w:rsidR="006C5A0C">
        <w:rPr>
          <w:rFonts w:cs="Arial"/>
          <w:color w:val="auto"/>
        </w:rPr>
        <w:t>Draft Guidance</w:t>
      </w:r>
      <w:r w:rsidRPr="00C31456">
        <w:rPr>
          <w:rFonts w:cs="Arial"/>
          <w:color w:val="auto"/>
        </w:rPr>
        <w:t xml:space="preserve"> (</w:t>
      </w:r>
      <w:r w:rsidRPr="00C31456" w:rsidR="006C5A0C">
        <w:rPr>
          <w:rFonts w:cs="Arial"/>
          <w:color w:val="auto"/>
        </w:rPr>
        <w:t>"</w:t>
      </w:r>
      <w:r w:rsidRPr="00C31456" w:rsidR="006C5A0C">
        <w:rPr>
          <w:rFonts w:cs="Arial"/>
          <w:b/>
          <w:bCs/>
          <w:color w:val="auto"/>
        </w:rPr>
        <w:t>FDG</w:t>
      </w:r>
      <w:r w:rsidRPr="00C31456" w:rsidR="006C5A0C">
        <w:rPr>
          <w:rFonts w:cs="Arial"/>
          <w:color w:val="auto"/>
        </w:rPr>
        <w:t>"</w:t>
      </w:r>
      <w:r w:rsidRPr="00C31456">
        <w:rPr>
          <w:rFonts w:cs="Arial"/>
          <w:color w:val="auto"/>
        </w:rPr>
        <w:t xml:space="preserve">). </w:t>
      </w:r>
      <w:r w:rsidRPr="00C31456" w:rsidR="00262058">
        <w:rPr>
          <w:rFonts w:cs="Arial"/>
          <w:color w:val="auto"/>
        </w:rPr>
        <w:t xml:space="preserve"> </w:t>
      </w:r>
    </w:p>
    <w:p w:rsidRPr="00C31456" w:rsidR="00C70019" w:rsidP="00413F89" w:rsidRDefault="00C70019" w14:paraId="5F523C58" w14:textId="77777777">
      <w:pPr>
        <w:jc w:val="both"/>
        <w:rPr>
          <w:rFonts w:cs="Arial"/>
          <w:color w:val="auto"/>
        </w:rPr>
      </w:pPr>
      <w:r w:rsidRPr="00C31456">
        <w:rPr>
          <w:rFonts w:cs="Arial"/>
          <w:color w:val="auto"/>
          <w:u w:val="single"/>
        </w:rPr>
        <w:t>Introduction</w:t>
      </w:r>
      <w:r w:rsidRPr="00C31456">
        <w:rPr>
          <w:rFonts w:cs="Arial"/>
          <w:color w:val="auto"/>
        </w:rPr>
        <w:t xml:space="preserve"> </w:t>
      </w:r>
    </w:p>
    <w:p w:rsidRPr="00C31456" w:rsidR="00C70019" w:rsidP="00413F89" w:rsidRDefault="00C70019" w14:paraId="70E1E5B1" w14:textId="2DBAE3FD">
      <w:pPr>
        <w:jc w:val="both"/>
        <w:rPr>
          <w:rFonts w:cs="Arial"/>
          <w:color w:val="auto"/>
        </w:rPr>
      </w:pPr>
      <w:r w:rsidRPr="00C31456">
        <w:rPr>
          <w:rFonts w:cs="Arial"/>
          <w:color w:val="auto"/>
        </w:rPr>
        <w:t xml:space="preserve">The Institute's appeal procedures provide for an initial scrutiny of points that an appellant wishes to raise, to </w:t>
      </w:r>
      <w:r w:rsidRPr="00C31456" w:rsidR="006B6C22">
        <w:rPr>
          <w:rFonts w:cs="Arial"/>
          <w:color w:val="auto"/>
        </w:rPr>
        <w:t>provide an initial view on whether</w:t>
      </w:r>
      <w:r w:rsidRPr="00C31456">
        <w:rPr>
          <w:rFonts w:cs="Arial"/>
          <w:color w:val="auto"/>
        </w:rPr>
        <w:t xml:space="preserve"> they are within the permitted grounds of appeal ("valid")</w:t>
      </w:r>
      <w:r w:rsidRPr="00C31456" w:rsidR="006B6C22">
        <w:rPr>
          <w:rFonts w:cs="Arial"/>
          <w:color w:val="auto"/>
        </w:rPr>
        <w:t xml:space="preserve"> and are at least arguable</w:t>
      </w:r>
      <w:r w:rsidRPr="00C31456">
        <w:rPr>
          <w:rFonts w:cs="Arial"/>
          <w:color w:val="auto"/>
        </w:rPr>
        <w:t xml:space="preserve">. The permitted grounds of appeal are: </w:t>
      </w:r>
    </w:p>
    <w:p w:rsidRPr="00C31456" w:rsidR="00C70019" w:rsidP="00413F89" w:rsidRDefault="00C70019" w14:paraId="25359C75"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1(a) NICE has failed to act fairly, or </w:t>
      </w:r>
    </w:p>
    <w:p w:rsidRPr="00C31456" w:rsidR="00C70019" w:rsidP="00413F89" w:rsidRDefault="00C70019" w14:paraId="14BFF0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 xml:space="preserve">1(b) NICE has exceeded </w:t>
      </w:r>
      <w:proofErr w:type="gramStart"/>
      <w:r w:rsidRPr="00C31456">
        <w:rPr>
          <w:rFonts w:cs="Arial"/>
          <w:color w:val="auto"/>
        </w:rPr>
        <w:t>powers;</w:t>
      </w:r>
      <w:proofErr w:type="gramEnd"/>
    </w:p>
    <w:p w:rsidRPr="00C31456" w:rsidR="00C70019" w:rsidP="00413F89" w:rsidRDefault="00C70019" w14:paraId="22754B60" w14:textId="77777777">
      <w:pPr>
        <w:numPr>
          <w:ilvl w:val="0"/>
          <w:numId w:val="2"/>
        </w:numPr>
        <w:shd w:val="clear" w:color="auto" w:fill="FFFFFF"/>
        <w:spacing w:before="240" w:after="240" w:line="240" w:lineRule="auto"/>
        <w:jc w:val="both"/>
        <w:rPr>
          <w:rFonts w:cs="Arial"/>
          <w:color w:val="auto"/>
        </w:rPr>
      </w:pPr>
      <w:r w:rsidRPr="00C31456">
        <w:rPr>
          <w:rFonts w:cs="Arial"/>
          <w:color w:val="auto"/>
        </w:rPr>
        <w:t>(2) the recommendation is unreasonable in the light of the evidence submitted to NICE</w:t>
      </w:r>
      <w:r w:rsidRPr="00C31456" w:rsidR="006347AD">
        <w:rPr>
          <w:rFonts w:cs="Arial"/>
          <w:color w:val="auto"/>
        </w:rPr>
        <w:t>.</w:t>
      </w:r>
    </w:p>
    <w:p w:rsidRPr="00C31456" w:rsidR="00C70019" w:rsidP="00413F89" w:rsidRDefault="00C70019" w14:paraId="08D953B5" w14:textId="25297E74">
      <w:pPr>
        <w:jc w:val="both"/>
        <w:rPr>
          <w:rFonts w:cs="Arial"/>
          <w:color w:val="auto"/>
        </w:rPr>
      </w:pPr>
      <w:r w:rsidRPr="00C31456">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Pr="00C31456" w:rsidR="00F41597">
        <w:rPr>
          <w:rFonts w:cs="Arial"/>
          <w:color w:val="auto"/>
        </w:rPr>
        <w:t>, are arguable, and</w:t>
      </w:r>
      <w:r w:rsidRPr="00C31456">
        <w:rPr>
          <w:rFonts w:cs="Arial"/>
          <w:color w:val="auto"/>
        </w:rPr>
        <w:t xml:space="preserve"> fall within any one of the grounds will your appeal be referred to the Appeal Panel. </w:t>
      </w:r>
    </w:p>
    <w:p w:rsidRPr="00C31456" w:rsidR="00C70019" w:rsidP="00413F89" w:rsidRDefault="00C70019" w14:paraId="146CF237" w14:textId="77777777">
      <w:pPr>
        <w:jc w:val="both"/>
        <w:rPr>
          <w:rFonts w:cs="Arial"/>
          <w:color w:val="auto"/>
        </w:rPr>
      </w:pPr>
      <w:r w:rsidRPr="00C31456">
        <w:rPr>
          <w:rFonts w:cs="Arial"/>
          <w:color w:val="auto"/>
        </w:rPr>
        <w:t xml:space="preserve">You </w:t>
      </w:r>
      <w:proofErr w:type="gramStart"/>
      <w:r w:rsidRPr="00C31456">
        <w:rPr>
          <w:rFonts w:cs="Arial"/>
          <w:color w:val="auto"/>
        </w:rPr>
        <w:t>have the opportunity to</w:t>
      </w:r>
      <w:proofErr w:type="gramEnd"/>
      <w:r w:rsidRPr="00C31456">
        <w:rPr>
          <w:rFonts w:cs="Arial"/>
          <w:color w:val="auto"/>
        </w:rPr>
        <w:t xml:space="preserve"> comment on this letter </w:t>
      </w:r>
      <w:proofErr w:type="gramStart"/>
      <w:r w:rsidRPr="00C31456">
        <w:rPr>
          <w:rFonts w:cs="Arial"/>
          <w:color w:val="auto"/>
        </w:rPr>
        <w:t>in order to</w:t>
      </w:r>
      <w:proofErr w:type="gramEnd"/>
      <w:r w:rsidRPr="00C31456">
        <w:rPr>
          <w:rFonts w:cs="Arial"/>
          <w:color w:val="auto"/>
        </w:rPr>
        <w:t xml:space="preserve"> elaborate on or clarify any of the points raised before I will make my final decision as to whether each appeal point should be referred on to the Appeal Panel. </w:t>
      </w:r>
    </w:p>
    <w:p w:rsidRPr="00C31456" w:rsidR="00A4155C" w:rsidP="00A4155C" w:rsidRDefault="00A4155C" w14:paraId="35C670E8" w14:textId="77777777">
      <w:pPr>
        <w:jc w:val="both"/>
        <w:rPr>
          <w:rFonts w:cs="Arial"/>
          <w:color w:val="auto"/>
        </w:rPr>
      </w:pPr>
      <w:r w:rsidRPr="00C31456">
        <w:rPr>
          <w:rFonts w:cs="Arial"/>
          <w:color w:val="auto"/>
        </w:rPr>
        <w:t xml:space="preserve">You </w:t>
      </w:r>
      <w:proofErr w:type="gramStart"/>
      <w:r w:rsidRPr="00C31456">
        <w:rPr>
          <w:rFonts w:cs="Arial"/>
          <w:color w:val="auto"/>
        </w:rPr>
        <w:t>have the opportunity to</w:t>
      </w:r>
      <w:proofErr w:type="gramEnd"/>
      <w:r w:rsidRPr="00C31456">
        <w:rPr>
          <w:rFonts w:cs="Arial"/>
          <w:color w:val="auto"/>
        </w:rPr>
        <w:t xml:space="preserve"> comment on this letter </w:t>
      </w:r>
      <w:proofErr w:type="gramStart"/>
      <w:r w:rsidRPr="00C31456">
        <w:rPr>
          <w:rFonts w:cs="Arial"/>
          <w:color w:val="auto"/>
        </w:rPr>
        <w:t>in order to</w:t>
      </w:r>
      <w:proofErr w:type="gramEnd"/>
      <w:r w:rsidRPr="00C31456">
        <w:rPr>
          <w:rFonts w:cs="Arial"/>
          <w:color w:val="auto"/>
        </w:rPr>
        <w:t xml:space="preserve"> elaborate on or clarify any of the points raised before I make my final decision as to whether each appeal point should be referred on to the </w:t>
      </w:r>
      <w:r w:rsidRPr="00C31456">
        <w:rPr>
          <w:rFonts w:cs="Arial"/>
          <w:color w:val="auto"/>
        </w:rPr>
        <w:lastRenderedPageBreak/>
        <w:t xml:space="preserve">Appeal Panel. Your response to this letter must not contain new points of appeal. Responses must deal only with requested clarifications, arguments or comments about my initial views. </w:t>
      </w:r>
    </w:p>
    <w:p w:rsidRPr="00C31456" w:rsidR="00A4155C" w:rsidP="00413F89" w:rsidRDefault="00A4155C" w14:paraId="797C6F4A" w14:textId="0ADBA879">
      <w:pPr>
        <w:jc w:val="both"/>
        <w:rPr>
          <w:rFonts w:cs="Arial"/>
          <w:color w:val="auto"/>
        </w:rPr>
      </w:pPr>
      <w:r w:rsidRPr="00C31456">
        <w:rPr>
          <w:rFonts w:cs="Arial"/>
          <w:color w:val="auto"/>
        </w:rPr>
        <w:t xml:space="preserve">Your response to this letter will usually be the last opportunity to elaborate or provide clarification to the appeal, unless you are specifically invited to submit material </w:t>
      </w:r>
      <w:proofErr w:type="gramStart"/>
      <w:r w:rsidRPr="00C31456">
        <w:rPr>
          <w:rFonts w:cs="Arial"/>
          <w:color w:val="auto"/>
        </w:rPr>
        <w:t>at a later date</w:t>
      </w:r>
      <w:proofErr w:type="gramEnd"/>
      <w:r w:rsidRPr="00C31456">
        <w:rPr>
          <w:rFonts w:cs="Arial"/>
          <w:color w:val="auto"/>
        </w:rPr>
        <w:t xml:space="preserve">. Any uninvited material submitted after your response to this letter will be rejected. </w:t>
      </w:r>
    </w:p>
    <w:p w:rsidRPr="00C31456" w:rsidR="00C70019" w:rsidP="00413F89" w:rsidRDefault="00C70019" w14:paraId="3294E8F2" w14:textId="77777777">
      <w:pPr>
        <w:jc w:val="both"/>
        <w:rPr>
          <w:rFonts w:cs="Arial"/>
          <w:color w:val="auto"/>
          <w:u w:val="single"/>
        </w:rPr>
      </w:pPr>
      <w:r w:rsidRPr="00C31456">
        <w:rPr>
          <w:rFonts w:cs="Arial"/>
          <w:color w:val="auto"/>
          <w:u w:val="single"/>
        </w:rPr>
        <w:t>Initial View</w:t>
      </w:r>
    </w:p>
    <w:p w:rsidRPr="00C31456" w:rsidR="00262058" w:rsidP="00413F89" w:rsidRDefault="00BB43EC" w14:paraId="15B951E6" w14:textId="4A8D7BE4">
      <w:pPr>
        <w:jc w:val="both"/>
        <w:rPr>
          <w:rFonts w:cs="Arial"/>
          <w:color w:val="auto"/>
        </w:rPr>
      </w:pPr>
      <w:r w:rsidRPr="00C31456">
        <w:rPr>
          <w:rFonts w:cs="Arial"/>
          <w:color w:val="auto"/>
        </w:rPr>
        <w:t>I</w:t>
      </w:r>
      <w:r w:rsidRPr="00C31456" w:rsidR="00C70019">
        <w:rPr>
          <w:rFonts w:cs="Arial"/>
          <w:color w:val="auto"/>
        </w:rPr>
        <w:t xml:space="preserve"> assess each of your </w:t>
      </w:r>
      <w:r w:rsidRPr="00C31456" w:rsidR="00B36320">
        <w:rPr>
          <w:rFonts w:cs="Arial"/>
          <w:color w:val="auto"/>
        </w:rPr>
        <w:t xml:space="preserve">points </w:t>
      </w:r>
      <w:r w:rsidRPr="00C31456" w:rsidR="00C70019">
        <w:rPr>
          <w:rFonts w:cs="Arial"/>
          <w:color w:val="auto"/>
        </w:rPr>
        <w:t xml:space="preserve">in turn.  </w:t>
      </w:r>
    </w:p>
    <w:p w:rsidRPr="00C31456" w:rsidR="00E87F1E" w:rsidP="00E87F1E" w:rsidRDefault="00E87F1E" w14:paraId="7ADCDE98" w14:textId="77777777">
      <w:pPr>
        <w:spacing w:before="120" w:after="0" w:line="240" w:lineRule="auto"/>
        <w:rPr>
          <w:rFonts w:cs="Arial"/>
          <w:b/>
          <w:i/>
          <w:lang w:eastAsia="en-GB"/>
        </w:rPr>
      </w:pPr>
      <w:r w:rsidRPr="00C31456">
        <w:rPr>
          <w:rFonts w:cs="Arial"/>
          <w:b/>
          <w:i/>
          <w:lang w:eastAsia="en-GB"/>
        </w:rPr>
        <w:t>Ground 1(a): In making the assessment that preceded the recommendation, NICE has failed to act fairly</w:t>
      </w:r>
    </w:p>
    <w:p w:rsidRPr="00C31456" w:rsidR="00B11119" w:rsidP="007A7F07" w:rsidRDefault="00B62869" w14:paraId="4DA05162" w14:textId="6E8B2412">
      <w:pPr>
        <w:spacing w:before="240" w:after="240" w:line="276" w:lineRule="auto"/>
        <w:jc w:val="both"/>
        <w:rPr>
          <w:rFonts w:cs="Arial"/>
          <w:b/>
          <w:color w:val="auto"/>
          <w:u w:val="single"/>
        </w:rPr>
      </w:pPr>
      <w:r w:rsidRPr="00C31456">
        <w:rPr>
          <w:rFonts w:cs="Arial"/>
          <w:b/>
          <w:color w:val="auto"/>
          <w:u w:val="single"/>
        </w:rPr>
        <w:t xml:space="preserve">Appeal </w:t>
      </w:r>
      <w:proofErr w:type="gramStart"/>
      <w:r w:rsidRPr="00C31456">
        <w:rPr>
          <w:rFonts w:cs="Arial"/>
          <w:b/>
          <w:color w:val="auto"/>
          <w:u w:val="single"/>
        </w:rPr>
        <w:t>point</w:t>
      </w:r>
      <w:proofErr w:type="gramEnd"/>
      <w:r w:rsidRPr="00C31456">
        <w:rPr>
          <w:rFonts w:cs="Arial"/>
          <w:b/>
          <w:color w:val="auto"/>
          <w:u w:val="single"/>
        </w:rPr>
        <w:t xml:space="preserve"> 1(a).1</w:t>
      </w:r>
      <w:r w:rsidRPr="00C31456" w:rsidR="007A7F07">
        <w:rPr>
          <w:rFonts w:cs="Arial"/>
          <w:b/>
          <w:color w:val="auto"/>
          <w:u w:val="single"/>
        </w:rPr>
        <w:t xml:space="preserve">: </w:t>
      </w:r>
      <w:r w:rsidRPr="005D2A55" w:rsidR="005D2A55">
        <w:rPr>
          <w:rFonts w:cs="Arial"/>
          <w:b/>
          <w:bCs/>
          <w:color w:val="auto"/>
          <w:u w:val="single"/>
        </w:rPr>
        <w:t xml:space="preserve">The assessment of </w:t>
      </w:r>
      <w:proofErr w:type="spellStart"/>
      <w:r w:rsidRPr="005D2A55" w:rsidR="005D2A55">
        <w:rPr>
          <w:rFonts w:cs="Arial"/>
          <w:b/>
          <w:bCs/>
          <w:color w:val="auto"/>
          <w:u w:val="single"/>
        </w:rPr>
        <w:t>zilucoplan</w:t>
      </w:r>
      <w:proofErr w:type="spellEnd"/>
      <w:r w:rsidRPr="005D2A55" w:rsidR="005D2A55">
        <w:rPr>
          <w:rFonts w:cs="Arial"/>
          <w:b/>
          <w:bCs/>
          <w:color w:val="auto"/>
          <w:u w:val="single"/>
        </w:rPr>
        <w:t xml:space="preserve"> was inconsistent with the appraisal of comparable treatments for </w:t>
      </w:r>
      <w:proofErr w:type="spellStart"/>
      <w:r w:rsidRPr="005D2A55" w:rsidR="005D2A55">
        <w:rPr>
          <w:rFonts w:cs="Arial"/>
          <w:b/>
          <w:bCs/>
          <w:color w:val="auto"/>
          <w:u w:val="single"/>
        </w:rPr>
        <w:t>gMG</w:t>
      </w:r>
      <w:proofErr w:type="spellEnd"/>
      <w:r w:rsidRPr="005D2A55" w:rsidR="005D2A55">
        <w:rPr>
          <w:rFonts w:cs="Arial"/>
          <w:b/>
          <w:bCs/>
          <w:color w:val="auto"/>
          <w:u w:val="single"/>
        </w:rPr>
        <w:t>, undermining fairness and transparency</w:t>
      </w:r>
      <w:r w:rsidR="005D2A55">
        <w:rPr>
          <w:rFonts w:cs="Arial"/>
          <w:b/>
          <w:bCs/>
          <w:color w:val="auto"/>
          <w:u w:val="single"/>
        </w:rPr>
        <w:t xml:space="preserve"> (</w:t>
      </w:r>
      <w:proofErr w:type="spellStart"/>
      <w:r w:rsidR="005D2A55">
        <w:rPr>
          <w:rFonts w:cs="Arial"/>
          <w:b/>
          <w:bCs/>
          <w:color w:val="auto"/>
          <w:u w:val="single"/>
        </w:rPr>
        <w:t>i</w:t>
      </w:r>
      <w:proofErr w:type="spellEnd"/>
      <w:r w:rsidR="005D2A55">
        <w:rPr>
          <w:rFonts w:cs="Arial"/>
          <w:b/>
          <w:bCs/>
          <w:color w:val="auto"/>
          <w:u w:val="single"/>
        </w:rPr>
        <w:t>) inconsistent treatment of subsequent treatment modelling; and (ii) inconsistencies in how real-world NHS use was interpreted.</w:t>
      </w:r>
    </w:p>
    <w:p w:rsidR="005D2A55" w:rsidP="005D2A55" w:rsidRDefault="00E87F1E" w14:paraId="5CACFB4C" w14:textId="74A34889">
      <w:pPr>
        <w:pStyle w:val="BodyText"/>
        <w:jc w:val="both"/>
        <w:rPr>
          <w:rFonts w:cs="Arial"/>
          <w:color w:val="auto"/>
        </w:rPr>
      </w:pPr>
      <w:r w:rsidRPr="00C31456">
        <w:rPr>
          <w:rFonts w:cs="Arial"/>
          <w:color w:val="auto"/>
        </w:rPr>
        <w:t xml:space="preserve">I </w:t>
      </w:r>
      <w:r w:rsidR="00B3017E">
        <w:rPr>
          <w:rFonts w:cs="Arial"/>
          <w:color w:val="auto"/>
        </w:rPr>
        <w:t xml:space="preserve">am </w:t>
      </w:r>
      <w:r w:rsidR="005D2A55">
        <w:rPr>
          <w:rFonts w:cs="Arial"/>
          <w:color w:val="auto"/>
        </w:rPr>
        <w:t xml:space="preserve">provisionally minded </w:t>
      </w:r>
      <w:proofErr w:type="gramStart"/>
      <w:r w:rsidR="005D2A55">
        <w:rPr>
          <w:rFonts w:cs="Arial"/>
          <w:color w:val="auto"/>
        </w:rPr>
        <w:t>to refer</w:t>
      </w:r>
      <w:proofErr w:type="gramEnd"/>
      <w:r w:rsidR="005D2A55">
        <w:rPr>
          <w:rFonts w:cs="Arial"/>
          <w:color w:val="auto"/>
        </w:rPr>
        <w:t xml:space="preserve"> this appeal </w:t>
      </w:r>
      <w:proofErr w:type="gramStart"/>
      <w:r w:rsidR="005D2A55">
        <w:rPr>
          <w:rFonts w:cs="Arial"/>
          <w:color w:val="auto"/>
        </w:rPr>
        <w:t>point</w:t>
      </w:r>
      <w:proofErr w:type="gramEnd"/>
      <w:r w:rsidR="005D2A55">
        <w:rPr>
          <w:rFonts w:cs="Arial"/>
          <w:color w:val="auto"/>
        </w:rPr>
        <w:t xml:space="preserve"> to the Appeal Panel. I understand your appeal point </w:t>
      </w:r>
      <w:r w:rsidR="00BF1E9F">
        <w:rPr>
          <w:rFonts w:cs="Arial"/>
          <w:color w:val="auto"/>
        </w:rPr>
        <w:t>to</w:t>
      </w:r>
      <w:r w:rsidR="005D2A55">
        <w:rPr>
          <w:rFonts w:cs="Arial"/>
          <w:color w:val="auto"/>
        </w:rPr>
        <w:t xml:space="preserve"> relate </w:t>
      </w:r>
      <w:r w:rsidR="00BF1E9F">
        <w:rPr>
          <w:rFonts w:cs="Arial"/>
          <w:color w:val="auto"/>
        </w:rPr>
        <w:t xml:space="preserve">to purported inconsistencies in approach to subsequent treatment modelling and real-world NHS use of </w:t>
      </w:r>
      <w:proofErr w:type="spellStart"/>
      <w:r w:rsidR="00BF1E9F">
        <w:rPr>
          <w:rFonts w:cs="Arial"/>
          <w:color w:val="auto"/>
        </w:rPr>
        <w:t>zilucoplan</w:t>
      </w:r>
      <w:proofErr w:type="spellEnd"/>
      <w:r w:rsidR="00BF1E9F">
        <w:rPr>
          <w:rFonts w:cs="Arial"/>
          <w:color w:val="auto"/>
        </w:rPr>
        <w:t xml:space="preserve"> as compared to the same factors considered in the appraisal of efgartigimod for treating </w:t>
      </w:r>
      <w:proofErr w:type="spellStart"/>
      <w:r w:rsidR="00BF1E9F">
        <w:rPr>
          <w:rFonts w:cs="Arial"/>
          <w:color w:val="auto"/>
        </w:rPr>
        <w:t>gMG</w:t>
      </w:r>
      <w:proofErr w:type="spellEnd"/>
      <w:r w:rsidR="00BF1E9F">
        <w:rPr>
          <w:rFonts w:cs="Arial"/>
          <w:color w:val="auto"/>
        </w:rPr>
        <w:t>.</w:t>
      </w:r>
    </w:p>
    <w:p w:rsidR="00BF1E9F" w:rsidP="005D2A55" w:rsidRDefault="00BF1E9F" w14:paraId="3154E233" w14:textId="1EEE8C28">
      <w:pPr>
        <w:pStyle w:val="BodyText"/>
        <w:jc w:val="both"/>
        <w:rPr>
          <w:rFonts w:cs="Arial"/>
          <w:color w:val="auto"/>
        </w:rPr>
      </w:pPr>
      <w:r>
        <w:rPr>
          <w:rFonts w:cs="Arial"/>
          <w:color w:val="auto"/>
        </w:rPr>
        <w:t xml:space="preserve">Although there is a general desire for consistency across NICE appraisals, it is not procedurally unfair per se for two committees to reach different conclusions (or prefer different factors in reaching those conclusions) where the evidence before </w:t>
      </w:r>
      <w:r w:rsidR="000A4174">
        <w:rPr>
          <w:rFonts w:cs="Arial"/>
          <w:color w:val="auto"/>
        </w:rPr>
        <w:t>both committees</w:t>
      </w:r>
      <w:r>
        <w:rPr>
          <w:rFonts w:cs="Arial"/>
          <w:color w:val="auto"/>
        </w:rPr>
        <w:t xml:space="preserve"> support </w:t>
      </w:r>
      <w:r w:rsidR="000A4174">
        <w:rPr>
          <w:rFonts w:cs="Arial"/>
          <w:color w:val="auto"/>
        </w:rPr>
        <w:t>each respective conclusion</w:t>
      </w:r>
      <w:r>
        <w:rPr>
          <w:rFonts w:cs="Arial"/>
          <w:color w:val="auto"/>
        </w:rPr>
        <w:t xml:space="preserve">. </w:t>
      </w:r>
    </w:p>
    <w:p w:rsidR="00BF1E9F" w:rsidP="005D2A55" w:rsidRDefault="00BF1E9F" w14:paraId="4688D9A1" w14:textId="735A1F34">
      <w:pPr>
        <w:pStyle w:val="BodyText"/>
        <w:jc w:val="both"/>
        <w:rPr>
          <w:rFonts w:cs="Arial"/>
          <w:color w:val="auto"/>
        </w:rPr>
      </w:pPr>
      <w:r>
        <w:rPr>
          <w:rFonts w:cs="Arial"/>
          <w:color w:val="auto"/>
        </w:rPr>
        <w:t xml:space="preserve">I do however consider it arguable, that there is a higher onus to give reasons for differing approaches where an appraisal of another technology for the same indication has reached a different conclusion. </w:t>
      </w:r>
      <w:r w:rsidR="003B339B">
        <w:rPr>
          <w:rFonts w:cs="Arial"/>
          <w:color w:val="auto"/>
        </w:rPr>
        <w:t>I also recognise that</w:t>
      </w:r>
      <w:r>
        <w:rPr>
          <w:rFonts w:cs="Arial"/>
          <w:color w:val="auto"/>
        </w:rPr>
        <w:t xml:space="preserve"> the target population and subsequent treatment modelling are </w:t>
      </w:r>
      <w:r w:rsidR="003B339B">
        <w:rPr>
          <w:rFonts w:cs="Arial"/>
          <w:color w:val="auto"/>
        </w:rPr>
        <w:t xml:space="preserve">both </w:t>
      </w:r>
      <w:r>
        <w:rPr>
          <w:rFonts w:cs="Arial"/>
          <w:color w:val="auto"/>
        </w:rPr>
        <w:t>material considerations</w:t>
      </w:r>
      <w:r w:rsidR="003B339B">
        <w:rPr>
          <w:rFonts w:cs="Arial"/>
          <w:color w:val="auto"/>
        </w:rPr>
        <w:t xml:space="preserve"> having an impact on the ICER. I</w:t>
      </w:r>
      <w:r w:rsidR="00536310">
        <w:rPr>
          <w:rFonts w:cs="Arial"/>
          <w:color w:val="auto"/>
        </w:rPr>
        <w:t xml:space="preserve"> note that the companies' modelling approaches differed in this and the efgartigimod appraisal, and that the Committee extensively details the reasons for its conclusions in this appraisal in paragraphs 3.15 and 3.16 of the FDG.  Although I am minded </w:t>
      </w:r>
      <w:proofErr w:type="gramStart"/>
      <w:r w:rsidR="00536310">
        <w:rPr>
          <w:rFonts w:cs="Arial"/>
          <w:color w:val="auto"/>
        </w:rPr>
        <w:t>to refer</w:t>
      </w:r>
      <w:proofErr w:type="gramEnd"/>
      <w:r w:rsidR="00536310">
        <w:rPr>
          <w:rFonts w:cs="Arial"/>
          <w:color w:val="auto"/>
        </w:rPr>
        <w:t xml:space="preserve"> this appeal </w:t>
      </w:r>
      <w:proofErr w:type="gramStart"/>
      <w:r w:rsidR="00536310">
        <w:rPr>
          <w:rFonts w:cs="Arial"/>
          <w:color w:val="auto"/>
        </w:rPr>
        <w:t>point</w:t>
      </w:r>
      <w:proofErr w:type="gramEnd"/>
      <w:r w:rsidR="00536310">
        <w:rPr>
          <w:rFonts w:cs="Arial"/>
          <w:color w:val="auto"/>
        </w:rPr>
        <w:t xml:space="preserve"> to the Panel, I anticipate that the Panel will be assisted by further explanation of why in MDUK's view the reasons given are procedurally deficient – with specific reference to the conclusions reached in the efgartigimod appraisal, if that is the basis for the appeal point.  I would invite MDUK to set out this additional explanation in your response to this letter, so that it may be passed to the Panel upon referral.</w:t>
      </w:r>
      <w:r w:rsidR="003B339B">
        <w:rPr>
          <w:rFonts w:cs="Arial"/>
          <w:color w:val="auto"/>
        </w:rPr>
        <w:t xml:space="preserve">  </w:t>
      </w:r>
    </w:p>
    <w:p w:rsidRPr="00C31456" w:rsidR="00B62869" w:rsidP="00B62869" w:rsidRDefault="007A7F07" w14:paraId="25FB955A" w14:textId="4DC048D1">
      <w:pPr>
        <w:spacing w:before="240" w:after="240" w:line="276" w:lineRule="auto"/>
        <w:jc w:val="both"/>
        <w:rPr>
          <w:rFonts w:cs="Arial"/>
          <w:b/>
          <w:i/>
          <w:color w:val="auto"/>
        </w:rPr>
      </w:pPr>
      <w:r w:rsidRPr="00C31456">
        <w:rPr>
          <w:rFonts w:cs="Arial"/>
          <w:b/>
          <w:i/>
          <w:color w:val="auto"/>
        </w:rPr>
        <w:t>G</w:t>
      </w:r>
      <w:r w:rsidRPr="00C31456" w:rsidR="00491045">
        <w:rPr>
          <w:rFonts w:cs="Arial"/>
          <w:b/>
          <w:i/>
          <w:color w:val="auto"/>
        </w:rPr>
        <w:t xml:space="preserve">round 2: </w:t>
      </w:r>
      <w:r w:rsidRPr="00C31456" w:rsidR="00B62869">
        <w:rPr>
          <w:rFonts w:cs="Arial"/>
          <w:b/>
          <w:i/>
          <w:color w:val="auto"/>
        </w:rPr>
        <w:t>the recommendation is unreasonable in the light of the evidence submitted to NIC</w:t>
      </w:r>
    </w:p>
    <w:p w:rsidRPr="00E06E83" w:rsidR="00491045" w:rsidP="007A7F07" w:rsidRDefault="00B62869" w14:paraId="41564A14" w14:textId="2B57C49E">
      <w:pPr>
        <w:pStyle w:val="Paragraph"/>
        <w:numPr>
          <w:ilvl w:val="0"/>
          <w:numId w:val="0"/>
        </w:numPr>
        <w:jc w:val="both"/>
        <w:rPr>
          <w:rFonts w:cs="Arial"/>
          <w:b/>
          <w:sz w:val="20"/>
          <w:szCs w:val="20"/>
          <w:u w:val="single"/>
        </w:rPr>
      </w:pPr>
      <w:r w:rsidRPr="00C31456">
        <w:rPr>
          <w:rFonts w:cs="Arial"/>
          <w:b/>
          <w:sz w:val="20"/>
          <w:szCs w:val="20"/>
          <w:u w:val="single"/>
        </w:rPr>
        <w:t xml:space="preserve">Appeal </w:t>
      </w:r>
      <w:proofErr w:type="gramStart"/>
      <w:r w:rsidRPr="00C31456">
        <w:rPr>
          <w:rFonts w:cs="Arial"/>
          <w:b/>
          <w:sz w:val="20"/>
          <w:szCs w:val="20"/>
          <w:u w:val="single"/>
        </w:rPr>
        <w:t>point</w:t>
      </w:r>
      <w:proofErr w:type="gramEnd"/>
      <w:r w:rsidRPr="00C31456">
        <w:rPr>
          <w:rFonts w:cs="Arial"/>
          <w:b/>
          <w:sz w:val="20"/>
          <w:szCs w:val="20"/>
          <w:u w:val="single"/>
        </w:rPr>
        <w:t xml:space="preserve"> 2.1: </w:t>
      </w:r>
      <w:r w:rsidRPr="005D2A55" w:rsidR="005D2A55">
        <w:rPr>
          <w:rFonts w:cs="Arial"/>
          <w:b/>
          <w:bCs/>
          <w:sz w:val="20"/>
          <w:szCs w:val="20"/>
          <w:u w:val="single"/>
        </w:rPr>
        <w:t xml:space="preserve">It was unreasonable not to recommend </w:t>
      </w:r>
      <w:proofErr w:type="spellStart"/>
      <w:r w:rsidRPr="005D2A55" w:rsidR="005D2A55">
        <w:rPr>
          <w:rFonts w:cs="Arial"/>
          <w:b/>
          <w:bCs/>
          <w:sz w:val="20"/>
          <w:szCs w:val="20"/>
          <w:u w:val="single"/>
        </w:rPr>
        <w:t>zilucoplan</w:t>
      </w:r>
      <w:proofErr w:type="spellEnd"/>
      <w:r w:rsidRPr="005D2A55" w:rsidR="005D2A55">
        <w:rPr>
          <w:rFonts w:cs="Arial"/>
          <w:b/>
          <w:bCs/>
          <w:sz w:val="20"/>
          <w:szCs w:val="20"/>
          <w:u w:val="single"/>
        </w:rPr>
        <w:t xml:space="preserve"> given the significant burden and long-term harms associated with corticosteroid use, which were not adequately reflected in the committee's evaluation</w:t>
      </w:r>
    </w:p>
    <w:p w:rsidR="00E20F8E" w:rsidP="00491045" w:rsidRDefault="00E20F8E" w14:paraId="4E2CA0BA" w14:textId="6231C9C8">
      <w:pPr>
        <w:pStyle w:val="BodyText"/>
        <w:jc w:val="both"/>
        <w:rPr>
          <w:rFonts w:cs="Arial"/>
          <w:color w:val="auto"/>
        </w:rPr>
      </w:pPr>
      <w:r>
        <w:rPr>
          <w:rFonts w:cs="Arial"/>
          <w:color w:val="auto"/>
        </w:rPr>
        <w:t xml:space="preserve">I am provisionally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on the limited basis that it was arguably </w:t>
      </w:r>
      <w:r w:rsidRPr="00E20F8E">
        <w:rPr>
          <w:rFonts w:cs="Arial"/>
          <w:color w:val="auto"/>
        </w:rPr>
        <w:t xml:space="preserve">unreasonable to use Lee et al to estimate the cost of corticosteroid use for the CEM for </w:t>
      </w:r>
      <w:proofErr w:type="spellStart"/>
      <w:r w:rsidRPr="00E20F8E">
        <w:rPr>
          <w:rFonts w:cs="Arial"/>
          <w:color w:val="auto"/>
        </w:rPr>
        <w:t>zilucoplan</w:t>
      </w:r>
      <w:proofErr w:type="spellEnd"/>
      <w:r>
        <w:rPr>
          <w:rFonts w:cs="Arial"/>
          <w:color w:val="auto"/>
        </w:rPr>
        <w:t>.</w:t>
      </w:r>
    </w:p>
    <w:p w:rsidR="00E20F8E" w:rsidP="00491045" w:rsidRDefault="00E20F8E" w14:paraId="20E7E4B4" w14:textId="547D37C1">
      <w:pPr>
        <w:pStyle w:val="BodyText"/>
        <w:jc w:val="both"/>
        <w:rPr>
          <w:rFonts w:cs="Arial"/>
          <w:color w:val="auto"/>
        </w:rPr>
      </w:pPr>
      <w:r>
        <w:rPr>
          <w:rFonts w:cs="Arial"/>
          <w:color w:val="auto"/>
        </w:rPr>
        <w:t>Should you consider that any wider basis for the appeal point is necessary, please provide further explanation in your response to this letter.</w:t>
      </w:r>
    </w:p>
    <w:p w:rsidR="00E20F8E" w:rsidP="00491045" w:rsidRDefault="00E20F8E" w14:paraId="36063426" w14:textId="77777777">
      <w:pPr>
        <w:pStyle w:val="BodyText"/>
        <w:jc w:val="both"/>
        <w:rPr>
          <w:rFonts w:cs="Arial"/>
          <w:color w:val="auto"/>
        </w:rPr>
      </w:pPr>
    </w:p>
    <w:p w:rsidRPr="003B339B" w:rsidR="005D2A55" w:rsidP="005D2A55" w:rsidRDefault="006C5A0C" w14:paraId="0F2F3CA0" w14:textId="77777777">
      <w:pPr>
        <w:pStyle w:val="Paragraph"/>
        <w:numPr>
          <w:ilvl w:val="0"/>
          <w:numId w:val="0"/>
        </w:numPr>
        <w:jc w:val="both"/>
        <w:rPr>
          <w:rFonts w:cs="Arial"/>
          <w:b/>
          <w:bCs/>
          <w:sz w:val="20"/>
          <w:szCs w:val="20"/>
          <w:u w:val="single"/>
        </w:rPr>
      </w:pPr>
      <w:r w:rsidRPr="003B339B">
        <w:rPr>
          <w:rFonts w:cs="Arial"/>
          <w:b/>
          <w:sz w:val="20"/>
          <w:szCs w:val="20"/>
          <w:u w:val="single"/>
        </w:rPr>
        <w:t xml:space="preserve">Appeal </w:t>
      </w:r>
      <w:proofErr w:type="gramStart"/>
      <w:r w:rsidRPr="003B339B">
        <w:rPr>
          <w:rFonts w:cs="Arial"/>
          <w:b/>
          <w:sz w:val="20"/>
          <w:szCs w:val="20"/>
          <w:u w:val="single"/>
        </w:rPr>
        <w:t>point</w:t>
      </w:r>
      <w:proofErr w:type="gramEnd"/>
      <w:r w:rsidRPr="003B339B">
        <w:rPr>
          <w:rFonts w:cs="Arial"/>
          <w:b/>
          <w:sz w:val="20"/>
          <w:szCs w:val="20"/>
          <w:u w:val="single"/>
        </w:rPr>
        <w:t xml:space="preserve"> 2.2: </w:t>
      </w:r>
      <w:r w:rsidRPr="003B339B" w:rsidR="005D2A55">
        <w:rPr>
          <w:rFonts w:cs="Arial"/>
          <w:b/>
          <w:bCs/>
          <w:sz w:val="20"/>
          <w:szCs w:val="20"/>
          <w:u w:val="single"/>
        </w:rPr>
        <w:t xml:space="preserve">It was unreasonable to dismiss the benefits of home administration with </w:t>
      </w:r>
      <w:proofErr w:type="spellStart"/>
      <w:r w:rsidRPr="003B339B" w:rsidR="005D2A55">
        <w:rPr>
          <w:rFonts w:cs="Arial"/>
          <w:b/>
          <w:bCs/>
          <w:sz w:val="20"/>
          <w:szCs w:val="20"/>
          <w:u w:val="single"/>
        </w:rPr>
        <w:t>zilucoplan</w:t>
      </w:r>
      <w:proofErr w:type="spellEnd"/>
      <w:r w:rsidRPr="003B339B" w:rsidR="005D2A55">
        <w:rPr>
          <w:rFonts w:cs="Arial"/>
          <w:b/>
          <w:bCs/>
          <w:sz w:val="20"/>
          <w:szCs w:val="20"/>
          <w:u w:val="single"/>
        </w:rPr>
        <w:t xml:space="preserve">, despite clear evidence of its potential to improve quality of life and reduce treatment burden for patients </w:t>
      </w:r>
    </w:p>
    <w:p w:rsidRPr="003B339B" w:rsidR="00E06E83" w:rsidP="005D2A55" w:rsidRDefault="006C5A0C" w14:paraId="4E97E7D9" w14:textId="00671F7A">
      <w:pPr>
        <w:pStyle w:val="Paragraph"/>
        <w:numPr>
          <w:ilvl w:val="0"/>
          <w:numId w:val="0"/>
        </w:numPr>
        <w:jc w:val="both"/>
        <w:rPr>
          <w:rFonts w:cs="Arial"/>
          <w:sz w:val="20"/>
          <w:szCs w:val="20"/>
        </w:rPr>
      </w:pPr>
      <w:r w:rsidRPr="003B339B">
        <w:rPr>
          <w:rFonts w:cs="Arial"/>
          <w:sz w:val="20"/>
          <w:szCs w:val="20"/>
        </w:rPr>
        <w:t xml:space="preserve">I am minded </w:t>
      </w:r>
      <w:proofErr w:type="gramStart"/>
      <w:r w:rsidRPr="003B339B">
        <w:rPr>
          <w:rFonts w:cs="Arial"/>
          <w:sz w:val="20"/>
          <w:szCs w:val="20"/>
        </w:rPr>
        <w:t>to refer</w:t>
      </w:r>
      <w:proofErr w:type="gramEnd"/>
      <w:r w:rsidRPr="003B339B">
        <w:rPr>
          <w:rFonts w:cs="Arial"/>
          <w:sz w:val="20"/>
          <w:szCs w:val="20"/>
        </w:rPr>
        <w:t xml:space="preserve"> this appeal </w:t>
      </w:r>
      <w:proofErr w:type="gramStart"/>
      <w:r w:rsidRPr="003B339B">
        <w:rPr>
          <w:rFonts w:cs="Arial"/>
          <w:sz w:val="20"/>
          <w:szCs w:val="20"/>
        </w:rPr>
        <w:t>point</w:t>
      </w:r>
      <w:proofErr w:type="gramEnd"/>
      <w:r w:rsidRPr="003B339B">
        <w:rPr>
          <w:rFonts w:cs="Arial"/>
          <w:sz w:val="20"/>
          <w:szCs w:val="20"/>
        </w:rPr>
        <w:t xml:space="preserve"> to the Appeal Panel. </w:t>
      </w:r>
    </w:p>
    <w:p w:rsidRPr="00C31456" w:rsidR="00C31456" w:rsidP="00C31456" w:rsidRDefault="006C5A0C" w14:paraId="05252C53" w14:textId="4959E8B8">
      <w:pPr>
        <w:pStyle w:val="Paragraph"/>
        <w:numPr>
          <w:ilvl w:val="0"/>
          <w:numId w:val="0"/>
        </w:numPr>
        <w:jc w:val="both"/>
        <w:rPr>
          <w:rFonts w:cs="Arial"/>
          <w:b/>
          <w:sz w:val="20"/>
          <w:szCs w:val="20"/>
          <w:u w:val="single"/>
        </w:rPr>
      </w:pPr>
      <w:r w:rsidRPr="00C31456">
        <w:rPr>
          <w:rFonts w:cs="Arial"/>
          <w:b/>
          <w:sz w:val="20"/>
          <w:szCs w:val="20"/>
          <w:u w:val="single"/>
        </w:rPr>
        <w:t xml:space="preserve">Appeal </w:t>
      </w:r>
      <w:proofErr w:type="gramStart"/>
      <w:r w:rsidRPr="00C31456">
        <w:rPr>
          <w:rFonts w:cs="Arial"/>
          <w:b/>
          <w:sz w:val="20"/>
          <w:szCs w:val="20"/>
          <w:u w:val="single"/>
        </w:rPr>
        <w:t>point</w:t>
      </w:r>
      <w:proofErr w:type="gramEnd"/>
      <w:r w:rsidRPr="00C31456">
        <w:rPr>
          <w:rFonts w:cs="Arial"/>
          <w:b/>
          <w:sz w:val="20"/>
          <w:szCs w:val="20"/>
          <w:u w:val="single"/>
        </w:rPr>
        <w:t xml:space="preserve"> 2.3: </w:t>
      </w:r>
      <w:r w:rsidRPr="005D2A55" w:rsidR="005D2A55">
        <w:rPr>
          <w:rFonts w:cs="Arial"/>
          <w:b/>
          <w:bCs/>
          <w:sz w:val="20"/>
          <w:szCs w:val="20"/>
          <w:u w:val="single"/>
        </w:rPr>
        <w:t>It was unreasonable to overlook the value of minimal symptom expression as a meaningful clinical outcome, particularly when it reflects a state of disease control that is highly valued by patients</w:t>
      </w:r>
    </w:p>
    <w:p w:rsidR="006C5A0C" w:rsidP="00C31456" w:rsidRDefault="006C5A0C" w14:paraId="215856B7" w14:textId="1F325090">
      <w:pPr>
        <w:pStyle w:val="Paragraph"/>
        <w:numPr>
          <w:ilvl w:val="0"/>
          <w:numId w:val="0"/>
        </w:numPr>
        <w:jc w:val="both"/>
        <w:rPr>
          <w:rFonts w:cs="Arial"/>
          <w:sz w:val="20"/>
          <w:szCs w:val="20"/>
        </w:rPr>
      </w:pPr>
      <w:r w:rsidRPr="00405ACE">
        <w:rPr>
          <w:rFonts w:cs="Arial"/>
          <w:sz w:val="20"/>
          <w:szCs w:val="20"/>
        </w:rPr>
        <w:t>I am</w:t>
      </w:r>
      <w:r w:rsidRPr="00405ACE" w:rsidR="00405ACE">
        <w:rPr>
          <w:rFonts w:cs="Arial"/>
          <w:sz w:val="20"/>
          <w:szCs w:val="20"/>
        </w:rPr>
        <w:t xml:space="preserve"> </w:t>
      </w:r>
      <w:r w:rsidRPr="00405ACE">
        <w:rPr>
          <w:rFonts w:cs="Arial"/>
          <w:sz w:val="20"/>
          <w:szCs w:val="20"/>
        </w:rPr>
        <w:t>minded</w:t>
      </w:r>
      <w:r w:rsidRPr="00C31456">
        <w:rPr>
          <w:rFonts w:cs="Arial"/>
          <w:sz w:val="20"/>
          <w:szCs w:val="20"/>
        </w:rPr>
        <w:t xml:space="preserve"> </w:t>
      </w:r>
      <w:proofErr w:type="gramStart"/>
      <w:r w:rsidRPr="00C31456">
        <w:rPr>
          <w:rFonts w:cs="Arial"/>
          <w:sz w:val="20"/>
          <w:szCs w:val="20"/>
        </w:rPr>
        <w:t>to refer</w:t>
      </w:r>
      <w:proofErr w:type="gramEnd"/>
      <w:r w:rsidRPr="00C31456">
        <w:rPr>
          <w:rFonts w:cs="Arial"/>
          <w:sz w:val="20"/>
          <w:szCs w:val="20"/>
        </w:rPr>
        <w:t xml:space="preserve"> this appeal </w:t>
      </w:r>
      <w:proofErr w:type="gramStart"/>
      <w:r w:rsidRPr="00C31456">
        <w:rPr>
          <w:rFonts w:cs="Arial"/>
          <w:sz w:val="20"/>
          <w:szCs w:val="20"/>
        </w:rPr>
        <w:t>point</w:t>
      </w:r>
      <w:proofErr w:type="gramEnd"/>
      <w:r w:rsidRPr="00C31456">
        <w:rPr>
          <w:rFonts w:cs="Arial"/>
          <w:sz w:val="20"/>
          <w:szCs w:val="20"/>
        </w:rPr>
        <w:t xml:space="preserve"> to the Appeal Panel</w:t>
      </w:r>
      <w:r w:rsidR="00405ACE">
        <w:rPr>
          <w:rFonts w:cs="Arial"/>
          <w:sz w:val="20"/>
          <w:szCs w:val="20"/>
        </w:rPr>
        <w:t>.</w:t>
      </w:r>
    </w:p>
    <w:p w:rsidRPr="003B339B" w:rsidR="006C5A0C" w:rsidP="006C5A0C" w:rsidRDefault="006C5A0C" w14:paraId="5A8E0BDD" w14:textId="2BAF3C8A">
      <w:pPr>
        <w:pStyle w:val="Paragraph"/>
        <w:numPr>
          <w:ilvl w:val="0"/>
          <w:numId w:val="0"/>
        </w:numPr>
        <w:jc w:val="both"/>
        <w:rPr>
          <w:rFonts w:cs="Arial"/>
          <w:b/>
          <w:sz w:val="20"/>
          <w:szCs w:val="20"/>
          <w:u w:val="single"/>
        </w:rPr>
      </w:pPr>
      <w:r w:rsidRPr="003B339B">
        <w:rPr>
          <w:rFonts w:cs="Arial"/>
          <w:b/>
          <w:sz w:val="20"/>
          <w:szCs w:val="20"/>
          <w:u w:val="single"/>
        </w:rPr>
        <w:t xml:space="preserve">Appeal </w:t>
      </w:r>
      <w:proofErr w:type="gramStart"/>
      <w:r w:rsidRPr="003B339B">
        <w:rPr>
          <w:rFonts w:cs="Arial"/>
          <w:b/>
          <w:sz w:val="20"/>
          <w:szCs w:val="20"/>
          <w:u w:val="single"/>
        </w:rPr>
        <w:t>point</w:t>
      </w:r>
      <w:proofErr w:type="gramEnd"/>
      <w:r w:rsidRPr="003B339B">
        <w:rPr>
          <w:rFonts w:cs="Arial"/>
          <w:b/>
          <w:sz w:val="20"/>
          <w:szCs w:val="20"/>
          <w:u w:val="single"/>
        </w:rPr>
        <w:t xml:space="preserve"> 2.4: </w:t>
      </w:r>
      <w:r w:rsidRPr="003B339B" w:rsidR="005D2A55">
        <w:rPr>
          <w:rFonts w:cs="Arial"/>
          <w:b/>
          <w:bCs/>
          <w:sz w:val="20"/>
          <w:szCs w:val="20"/>
          <w:u w:val="single"/>
        </w:rPr>
        <w:t xml:space="preserve">It was unreasonable for the committee to highlight uncertainty in treatment effect comparisons between </w:t>
      </w:r>
      <w:proofErr w:type="spellStart"/>
      <w:r w:rsidRPr="003B339B" w:rsidR="005D2A55">
        <w:rPr>
          <w:rFonts w:cs="Arial"/>
          <w:b/>
          <w:bCs/>
          <w:sz w:val="20"/>
          <w:szCs w:val="20"/>
          <w:u w:val="single"/>
        </w:rPr>
        <w:t>zilucoplan</w:t>
      </w:r>
      <w:proofErr w:type="spellEnd"/>
      <w:r w:rsidRPr="003B339B" w:rsidR="005D2A55">
        <w:rPr>
          <w:rFonts w:cs="Arial"/>
          <w:b/>
          <w:bCs/>
          <w:sz w:val="20"/>
          <w:szCs w:val="20"/>
          <w:u w:val="single"/>
        </w:rPr>
        <w:t xml:space="preserve"> and IVIg/PLEX as a key limitation, when the necessary indirect comparisons introduced more uncertainty, and direct comparisons are not feasible in this setting</w:t>
      </w:r>
    </w:p>
    <w:p w:rsidR="006C5A0C" w:rsidP="003B339B" w:rsidRDefault="006C5A0C" w14:paraId="166A1493" w14:textId="0B2D45B7">
      <w:pPr>
        <w:pStyle w:val="BodyText"/>
        <w:jc w:val="both"/>
        <w:rPr>
          <w:rFonts w:cs="Arial"/>
          <w:color w:val="auto"/>
        </w:rPr>
      </w:pPr>
      <w:r w:rsidRPr="003B339B">
        <w:rPr>
          <w:rFonts w:cs="Arial"/>
          <w:color w:val="auto"/>
        </w:rPr>
        <w:t>I am</w:t>
      </w:r>
      <w:r w:rsidRPr="003B339B" w:rsidR="003B339B">
        <w:rPr>
          <w:rFonts w:cs="Arial"/>
          <w:color w:val="auto"/>
        </w:rPr>
        <w:t xml:space="preserve"> not minded </w:t>
      </w:r>
      <w:proofErr w:type="gramStart"/>
      <w:r w:rsidRPr="003B339B" w:rsidR="003B339B">
        <w:rPr>
          <w:rFonts w:cs="Arial"/>
          <w:color w:val="auto"/>
        </w:rPr>
        <w:t>to refer</w:t>
      </w:r>
      <w:proofErr w:type="gramEnd"/>
      <w:r w:rsidRPr="003B339B" w:rsidR="003B339B">
        <w:rPr>
          <w:rFonts w:cs="Arial"/>
          <w:color w:val="auto"/>
        </w:rPr>
        <w:t xml:space="preserve"> this appeal </w:t>
      </w:r>
      <w:proofErr w:type="gramStart"/>
      <w:r w:rsidRPr="003B339B" w:rsidR="003B339B">
        <w:rPr>
          <w:rFonts w:cs="Arial"/>
          <w:color w:val="auto"/>
        </w:rPr>
        <w:t>point</w:t>
      </w:r>
      <w:proofErr w:type="gramEnd"/>
      <w:r w:rsidRPr="003B339B" w:rsidR="003B339B">
        <w:rPr>
          <w:rFonts w:cs="Arial"/>
          <w:color w:val="auto"/>
        </w:rPr>
        <w:t xml:space="preserve"> to the Appeal Panel. </w:t>
      </w:r>
    </w:p>
    <w:p w:rsidR="0001232C" w:rsidP="003B339B" w:rsidRDefault="0001232C" w14:paraId="00D2E900" w14:textId="77777777">
      <w:pPr>
        <w:pStyle w:val="BodyText"/>
        <w:jc w:val="both"/>
        <w:rPr>
          <w:rFonts w:cs="Arial"/>
          <w:color w:val="auto"/>
        </w:rPr>
      </w:pPr>
      <w:r>
        <w:rPr>
          <w:rFonts w:cs="Arial"/>
          <w:color w:val="auto"/>
        </w:rPr>
        <w:t>Section 3.2.2 of the Manual provides that:</w:t>
      </w:r>
    </w:p>
    <w:p w:rsidR="0001232C" w:rsidP="0001232C" w:rsidRDefault="0001232C" w14:paraId="1A2E8070" w14:textId="05EA1922">
      <w:pPr>
        <w:pStyle w:val="BodyText"/>
        <w:ind w:left="720"/>
        <w:jc w:val="both"/>
        <w:rPr>
          <w:rFonts w:cs="Arial"/>
          <w:i/>
          <w:iCs/>
          <w:color w:val="auto"/>
        </w:rPr>
      </w:pPr>
      <w:r>
        <w:rPr>
          <w:rFonts w:cs="Arial"/>
          <w:color w:val="auto"/>
        </w:rPr>
        <w:t>"</w:t>
      </w:r>
      <w:proofErr w:type="gramStart"/>
      <w:r>
        <w:rPr>
          <w:rFonts w:cs="Arial"/>
          <w:i/>
          <w:iCs/>
          <w:color w:val="auto"/>
        </w:rPr>
        <w:t>there</w:t>
      </w:r>
      <w:proofErr w:type="gramEnd"/>
      <w:r>
        <w:rPr>
          <w:rFonts w:cs="Arial"/>
          <w:i/>
          <w:iCs/>
          <w:color w:val="auto"/>
        </w:rPr>
        <w:t xml:space="preserve"> are always likely to be limitations in the evidence available to inform an evaluation. There may </w:t>
      </w:r>
      <w:r w:rsidRPr="0001232C">
        <w:rPr>
          <w:rFonts w:cs="Arial"/>
          <w:i/>
          <w:iCs/>
          <w:color w:val="auto"/>
        </w:rPr>
        <w:t>be questions about internal validity of the evidence because of data quality or methodological concerns. Or there may be questions about the external validity because of, for example, the population and settings. It Is essential that limitations in the evidence are fully described and the impact on bias and uncertainty fully characterised and ideally quantified. Committees will reach judgments about the acceptability of all the evidence according to the evaluation context (including, for example, the type of technology, evaluation or population)</w:t>
      </w:r>
      <w:r>
        <w:rPr>
          <w:rFonts w:cs="Arial"/>
          <w:i/>
          <w:iCs/>
          <w:color w:val="auto"/>
        </w:rPr>
        <w:t>."</w:t>
      </w:r>
    </w:p>
    <w:p w:rsidR="0001232C" w:rsidP="0001232C" w:rsidRDefault="0001232C" w14:paraId="6A69AC72" w14:textId="5E9F1E0C">
      <w:pPr>
        <w:pStyle w:val="BodyText"/>
        <w:jc w:val="both"/>
        <w:rPr>
          <w:rFonts w:cs="Arial"/>
          <w:color w:val="auto"/>
        </w:rPr>
      </w:pPr>
      <w:r>
        <w:rPr>
          <w:rFonts w:cs="Arial"/>
          <w:color w:val="auto"/>
        </w:rPr>
        <w:t xml:space="preserve">The Committee has recognised the uncertainty </w:t>
      </w:r>
      <w:r w:rsidR="006B590C">
        <w:rPr>
          <w:rFonts w:cs="Arial"/>
          <w:color w:val="auto"/>
        </w:rPr>
        <w:t>associated with the indirect treatment comparison</w:t>
      </w:r>
      <w:r>
        <w:rPr>
          <w:rFonts w:cs="Arial"/>
          <w:color w:val="auto"/>
        </w:rPr>
        <w:t xml:space="preserve"> between </w:t>
      </w:r>
      <w:proofErr w:type="spellStart"/>
      <w:r>
        <w:rPr>
          <w:rFonts w:cs="Arial"/>
          <w:color w:val="auto"/>
        </w:rPr>
        <w:t>zilucoplan</w:t>
      </w:r>
      <w:proofErr w:type="spellEnd"/>
      <w:r>
        <w:rPr>
          <w:rFonts w:cs="Arial"/>
          <w:color w:val="auto"/>
        </w:rPr>
        <w:t xml:space="preserve"> and IVIg and PLEX in detail in the FDG (paragraphs 3.9 - 3.11 in particular), as it is required to do so where there are limitations in the evidence available to it in line with the provisions of the Manual. </w:t>
      </w:r>
    </w:p>
    <w:p w:rsidR="0001232C" w:rsidP="0001232C" w:rsidRDefault="0001232C" w14:paraId="4F0204A4" w14:textId="77777777">
      <w:pPr>
        <w:pStyle w:val="BodyText"/>
        <w:jc w:val="both"/>
        <w:rPr>
          <w:rFonts w:cs="Arial"/>
          <w:color w:val="auto"/>
        </w:rPr>
      </w:pPr>
      <w:r>
        <w:rPr>
          <w:rFonts w:cs="Arial"/>
          <w:color w:val="auto"/>
        </w:rPr>
        <w:t xml:space="preserve">I do not consider it unreasonable for the Committee to have highlighted this uncertainty, given that it had a material impact on the ICER. </w:t>
      </w:r>
    </w:p>
    <w:p w:rsidR="0001232C" w:rsidP="0001232C" w:rsidRDefault="0001232C" w14:paraId="7076F30A" w14:textId="6682DFAB">
      <w:pPr>
        <w:pStyle w:val="BodyText"/>
        <w:jc w:val="both"/>
        <w:rPr>
          <w:rFonts w:cs="Arial"/>
          <w:color w:val="auto"/>
        </w:rPr>
      </w:pPr>
      <w:r>
        <w:rPr>
          <w:rFonts w:cs="Arial"/>
          <w:color w:val="auto"/>
        </w:rPr>
        <w:t xml:space="preserve">I also consider that comparing the treatment effect of </w:t>
      </w:r>
      <w:proofErr w:type="spellStart"/>
      <w:r>
        <w:rPr>
          <w:rFonts w:cs="Arial"/>
          <w:color w:val="auto"/>
        </w:rPr>
        <w:t>zilucoplan</w:t>
      </w:r>
      <w:proofErr w:type="spellEnd"/>
      <w:r>
        <w:rPr>
          <w:rFonts w:cs="Arial"/>
          <w:color w:val="auto"/>
        </w:rPr>
        <w:t xml:space="preserve"> against IVIg and PLEX was reflective of NHS practice, given that the current rescue treatments for a myasthenic exacerbation or crisis in current NHS practice include IVIg / PLEX. I do not consider it unreasonable for the Committee to have taken </w:t>
      </w:r>
      <w:r w:rsidR="006B590C">
        <w:rPr>
          <w:rFonts w:cs="Arial"/>
          <w:color w:val="auto"/>
        </w:rPr>
        <w:t xml:space="preserve">the </w:t>
      </w:r>
      <w:r>
        <w:rPr>
          <w:rFonts w:cs="Arial"/>
          <w:color w:val="auto"/>
        </w:rPr>
        <w:t xml:space="preserve">MG-ADL response rate (informed by the bivariate NMAs) into account in its decision making, while also recognising the </w:t>
      </w:r>
      <w:r w:rsidR="006B590C">
        <w:rPr>
          <w:rFonts w:cs="Arial"/>
          <w:color w:val="auto"/>
        </w:rPr>
        <w:t xml:space="preserve">extant uncertainty. </w:t>
      </w:r>
      <w:r>
        <w:rPr>
          <w:rFonts w:cs="Arial"/>
          <w:color w:val="auto"/>
        </w:rPr>
        <w:t xml:space="preserve"> </w:t>
      </w:r>
    </w:p>
    <w:p w:rsidRPr="0001232C" w:rsidR="006B590C" w:rsidP="0001232C" w:rsidRDefault="006B590C" w14:paraId="41F71403" w14:textId="2E353BA7">
      <w:pPr>
        <w:pStyle w:val="BodyText"/>
        <w:jc w:val="both"/>
        <w:rPr>
          <w:rFonts w:cs="Arial"/>
          <w:color w:val="auto"/>
        </w:rPr>
      </w:pPr>
      <w:r>
        <w:rPr>
          <w:rFonts w:cs="Arial"/>
          <w:color w:val="auto"/>
        </w:rPr>
        <w:t xml:space="preserve">For those reasons, I am 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
    <w:p w:rsidRPr="003B339B" w:rsidR="005D2A55" w:rsidP="005D2A55" w:rsidRDefault="006C5A0C" w14:paraId="49247F0F" w14:textId="77777777">
      <w:pPr>
        <w:pStyle w:val="Paragraph"/>
        <w:numPr>
          <w:ilvl w:val="0"/>
          <w:numId w:val="0"/>
        </w:numPr>
        <w:jc w:val="both"/>
        <w:rPr>
          <w:rFonts w:cs="Arial"/>
          <w:b/>
          <w:bCs/>
          <w:sz w:val="20"/>
          <w:szCs w:val="20"/>
          <w:u w:val="single"/>
        </w:rPr>
      </w:pPr>
      <w:r w:rsidRPr="003B339B">
        <w:rPr>
          <w:rFonts w:cs="Arial"/>
          <w:b/>
          <w:sz w:val="20"/>
          <w:szCs w:val="20"/>
          <w:u w:val="single"/>
        </w:rPr>
        <w:t xml:space="preserve">Appeal </w:t>
      </w:r>
      <w:proofErr w:type="gramStart"/>
      <w:r w:rsidRPr="003B339B">
        <w:rPr>
          <w:rFonts w:cs="Arial"/>
          <w:b/>
          <w:sz w:val="20"/>
          <w:szCs w:val="20"/>
          <w:u w:val="single"/>
        </w:rPr>
        <w:t>point</w:t>
      </w:r>
      <w:proofErr w:type="gramEnd"/>
      <w:r w:rsidRPr="003B339B">
        <w:rPr>
          <w:rFonts w:cs="Arial"/>
          <w:b/>
          <w:sz w:val="20"/>
          <w:szCs w:val="20"/>
          <w:u w:val="single"/>
        </w:rPr>
        <w:t xml:space="preserve"> 2.5: </w:t>
      </w:r>
      <w:r w:rsidRPr="003B339B" w:rsidR="005D2A55">
        <w:rPr>
          <w:rFonts w:cs="Arial"/>
          <w:b/>
          <w:bCs/>
          <w:sz w:val="20"/>
          <w:szCs w:val="20"/>
          <w:u w:val="single"/>
        </w:rPr>
        <w:t xml:space="preserve">It was unreasonable to reject carer utilities in the appraisal of </w:t>
      </w:r>
      <w:proofErr w:type="spellStart"/>
      <w:r w:rsidRPr="003B339B" w:rsidR="005D2A55">
        <w:rPr>
          <w:rFonts w:cs="Arial"/>
          <w:b/>
          <w:bCs/>
          <w:sz w:val="20"/>
          <w:szCs w:val="20"/>
          <w:u w:val="single"/>
        </w:rPr>
        <w:t>zilucoplan</w:t>
      </w:r>
      <w:proofErr w:type="spellEnd"/>
      <w:r w:rsidRPr="003B339B" w:rsidR="005D2A55">
        <w:rPr>
          <w:rFonts w:cs="Arial"/>
          <w:b/>
          <w:bCs/>
          <w:sz w:val="20"/>
          <w:szCs w:val="20"/>
          <w:u w:val="single"/>
        </w:rPr>
        <w:t xml:space="preserve"> </w:t>
      </w:r>
    </w:p>
    <w:p w:rsidR="003B339B" w:rsidP="003B339B" w:rsidRDefault="003B339B" w14:paraId="1E15D6DF" w14:textId="77777777">
      <w:pPr>
        <w:pStyle w:val="BodyText"/>
        <w:jc w:val="both"/>
        <w:rPr>
          <w:rFonts w:cs="Arial"/>
          <w:i/>
          <w:iCs/>
          <w:color w:val="auto"/>
        </w:rPr>
      </w:pPr>
      <w:r w:rsidRPr="004E6A92">
        <w:rPr>
          <w:rFonts w:cs="Arial"/>
          <w:color w:val="auto"/>
        </w:rPr>
        <w:t xml:space="preserve">I am </w:t>
      </w:r>
      <w:r>
        <w:rPr>
          <w:rFonts w:cs="Arial"/>
          <w:color w:val="auto"/>
        </w:rPr>
        <w:t xml:space="preserve">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That is because the Manual provides at section 4.3.17 that "</w:t>
      </w:r>
      <w:r>
        <w:rPr>
          <w:rFonts w:cs="Arial"/>
          <w:i/>
          <w:iCs/>
          <w:color w:val="auto"/>
        </w:rPr>
        <w:t xml:space="preserve">when presenting health effects for carers, evidence should be provided to show that </w:t>
      </w:r>
      <w:r>
        <w:rPr>
          <w:rFonts w:cs="Arial"/>
          <w:i/>
          <w:iCs/>
          <w:color w:val="auto"/>
        </w:rPr>
        <w:lastRenderedPageBreak/>
        <w:t xml:space="preserve">the condition is associated with a substantial effect on carer's health-related quality of life and how the technology affects carers". </w:t>
      </w:r>
    </w:p>
    <w:p w:rsidR="003B339B" w:rsidP="003B339B" w:rsidRDefault="003B339B" w14:paraId="46E0FCDB" w14:textId="77777777">
      <w:pPr>
        <w:pStyle w:val="BodyText"/>
        <w:jc w:val="both"/>
        <w:rPr>
          <w:rFonts w:cs="Arial"/>
          <w:color w:val="auto"/>
        </w:rPr>
      </w:pPr>
      <w:r>
        <w:rPr>
          <w:rFonts w:cs="Arial"/>
          <w:color w:val="auto"/>
        </w:rPr>
        <w:t xml:space="preserve">At paragraph 3.22 of the FDG, the Committee agrees with the EAG's position that it had not seen evidence that multiple sclerosis is a suitable proxy for </w:t>
      </w:r>
      <w:proofErr w:type="spellStart"/>
      <w:r>
        <w:rPr>
          <w:rFonts w:cs="Arial"/>
          <w:color w:val="auto"/>
        </w:rPr>
        <w:t>gMG</w:t>
      </w:r>
      <w:proofErr w:type="spellEnd"/>
      <w:r>
        <w:rPr>
          <w:rFonts w:cs="Arial"/>
          <w:color w:val="auto"/>
        </w:rPr>
        <w:t xml:space="preserve">, and so (in line with the appraisal for efgartigimod for treating </w:t>
      </w:r>
      <w:proofErr w:type="spellStart"/>
      <w:r>
        <w:rPr>
          <w:rFonts w:cs="Arial"/>
          <w:color w:val="auto"/>
        </w:rPr>
        <w:t>gMG</w:t>
      </w:r>
      <w:proofErr w:type="spellEnd"/>
      <w:r>
        <w:rPr>
          <w:rFonts w:cs="Arial"/>
          <w:color w:val="auto"/>
        </w:rPr>
        <w:t xml:space="preserve">) concluded that carer utility decrements should be excluded from the economic model. As a </w:t>
      </w:r>
      <w:proofErr w:type="gramStart"/>
      <w:r>
        <w:rPr>
          <w:rFonts w:cs="Arial"/>
          <w:color w:val="auto"/>
        </w:rPr>
        <w:t>result</w:t>
      </w:r>
      <w:proofErr w:type="gramEnd"/>
      <w:r>
        <w:rPr>
          <w:rFonts w:cs="Arial"/>
          <w:color w:val="auto"/>
        </w:rPr>
        <w:t xml:space="preserve"> the Committee </w:t>
      </w:r>
      <w:proofErr w:type="gramStart"/>
      <w:r>
        <w:rPr>
          <w:rFonts w:cs="Arial"/>
          <w:color w:val="auto"/>
        </w:rPr>
        <w:t>took into account</w:t>
      </w:r>
      <w:proofErr w:type="gramEnd"/>
      <w:r>
        <w:rPr>
          <w:rFonts w:cs="Arial"/>
          <w:color w:val="auto"/>
        </w:rPr>
        <w:t xml:space="preserve"> the impact of </w:t>
      </w:r>
      <w:proofErr w:type="spellStart"/>
      <w:r>
        <w:rPr>
          <w:rFonts w:cs="Arial"/>
          <w:color w:val="auto"/>
        </w:rPr>
        <w:t>zilucoplan</w:t>
      </w:r>
      <w:proofErr w:type="spellEnd"/>
      <w:r>
        <w:rPr>
          <w:rFonts w:cs="Arial"/>
          <w:color w:val="auto"/>
        </w:rPr>
        <w:t xml:space="preserve"> on carers qualitatively in its decision making. </w:t>
      </w:r>
    </w:p>
    <w:p w:rsidRPr="00F85E0D" w:rsidR="003B339B" w:rsidP="003B339B" w:rsidRDefault="003B339B" w14:paraId="40514137" w14:textId="77777777">
      <w:pPr>
        <w:pStyle w:val="BodyText"/>
        <w:jc w:val="both"/>
        <w:rPr>
          <w:rFonts w:cs="Arial"/>
          <w:color w:val="auto"/>
        </w:rPr>
      </w:pPr>
      <w:r>
        <w:rPr>
          <w:rFonts w:cs="Arial"/>
          <w:color w:val="auto"/>
        </w:rPr>
        <w:t xml:space="preserve">I consider that the Committee's conclusion was reached in accordance with the provisions of the manual, absent evidence to show that the technology affects carers, and was not arguably unreasonable. Consequently, I am not minded </w:t>
      </w:r>
      <w:proofErr w:type="gramStart"/>
      <w:r>
        <w:rPr>
          <w:rFonts w:cs="Arial"/>
          <w:color w:val="auto"/>
        </w:rPr>
        <w:t>to refer</w:t>
      </w:r>
      <w:proofErr w:type="gramEnd"/>
      <w:r>
        <w:rPr>
          <w:rFonts w:cs="Arial"/>
          <w:color w:val="auto"/>
        </w:rPr>
        <w:t xml:space="preserve"> this appeal </w:t>
      </w:r>
      <w:proofErr w:type="gramStart"/>
      <w:r>
        <w:rPr>
          <w:rFonts w:cs="Arial"/>
          <w:color w:val="auto"/>
        </w:rPr>
        <w:t>point</w:t>
      </w:r>
      <w:proofErr w:type="gramEnd"/>
      <w:r>
        <w:rPr>
          <w:rFonts w:cs="Arial"/>
          <w:color w:val="auto"/>
        </w:rPr>
        <w:t xml:space="preserve"> to the Appeal Panel. </w:t>
      </w:r>
    </w:p>
    <w:p w:rsidRPr="00C31456" w:rsidR="007E4EDC" w:rsidP="00623213" w:rsidRDefault="007E4EDC" w14:paraId="4AE6A487" w14:textId="6BDD7B15">
      <w:pPr>
        <w:pStyle w:val="Paragraph"/>
        <w:numPr>
          <w:ilvl w:val="0"/>
          <w:numId w:val="0"/>
        </w:numPr>
        <w:jc w:val="both"/>
        <w:rPr>
          <w:rFonts w:cs="Arial"/>
          <w:sz w:val="20"/>
          <w:szCs w:val="20"/>
          <w:u w:val="single"/>
          <w:lang w:eastAsia="en-US"/>
        </w:rPr>
      </w:pPr>
      <w:r w:rsidRPr="00C31456">
        <w:rPr>
          <w:rFonts w:cs="Arial"/>
          <w:sz w:val="20"/>
          <w:szCs w:val="20"/>
          <w:u w:val="single"/>
          <w:lang w:eastAsia="en-US"/>
        </w:rPr>
        <w:t xml:space="preserve">Conclusion </w:t>
      </w:r>
    </w:p>
    <w:p w:rsidRPr="00C31456" w:rsidR="00613CE8" w:rsidP="00613CE8" w:rsidRDefault="00613CE8" w14:paraId="259A7A09" w14:textId="77777777">
      <w:pPr>
        <w:pStyle w:val="Paragraph"/>
        <w:numPr>
          <w:ilvl w:val="0"/>
          <w:numId w:val="0"/>
        </w:numPr>
        <w:spacing w:before="120"/>
        <w:jc w:val="both"/>
        <w:rPr>
          <w:rFonts w:cs="Arial"/>
          <w:sz w:val="20"/>
          <w:szCs w:val="20"/>
          <w:lang w:eastAsia="en-US"/>
        </w:rPr>
      </w:pPr>
      <w:r w:rsidRPr="00C31456">
        <w:rPr>
          <w:rFonts w:cs="Arial"/>
          <w:sz w:val="20"/>
          <w:szCs w:val="20"/>
          <w:lang w:eastAsia="en-US"/>
        </w:rPr>
        <w:t xml:space="preserve">The above sets out above my initial views on </w:t>
      </w:r>
      <w:proofErr w:type="gramStart"/>
      <w:r w:rsidRPr="00C31456">
        <w:rPr>
          <w:rFonts w:cs="Arial"/>
          <w:sz w:val="20"/>
          <w:szCs w:val="20"/>
          <w:lang w:eastAsia="en-US"/>
        </w:rPr>
        <w:t>all of</w:t>
      </w:r>
      <w:proofErr w:type="gramEnd"/>
      <w:r w:rsidRPr="00C31456">
        <w:rPr>
          <w:rFonts w:cs="Arial"/>
          <w:sz w:val="20"/>
          <w:szCs w:val="20"/>
          <w:lang w:eastAsia="en-US"/>
        </w:rPr>
        <w:t xml:space="preserve"> your appeal points.</w:t>
      </w:r>
    </w:p>
    <w:p w:rsidRPr="00C31456" w:rsidR="00613CE8" w:rsidP="00613CE8" w:rsidRDefault="00613CE8" w14:paraId="324863C4" w14:textId="189C353D">
      <w:pPr>
        <w:pStyle w:val="Paragraph"/>
        <w:numPr>
          <w:ilvl w:val="0"/>
          <w:numId w:val="0"/>
        </w:numPr>
        <w:spacing w:before="120"/>
        <w:jc w:val="both"/>
        <w:rPr>
          <w:rFonts w:cs="Arial"/>
          <w:sz w:val="20"/>
          <w:szCs w:val="20"/>
          <w:lang w:eastAsia="en-US"/>
        </w:rPr>
      </w:pPr>
      <w:r w:rsidRPr="00C31456">
        <w:rPr>
          <w:rFonts w:cs="Arial"/>
          <w:sz w:val="20"/>
          <w:szCs w:val="20"/>
          <w:lang w:eastAsia="en-US"/>
        </w:rPr>
        <w:t xml:space="preserve">In respect of your points which I am not minded </w:t>
      </w:r>
      <w:proofErr w:type="gramStart"/>
      <w:r w:rsidRPr="00C31456">
        <w:rPr>
          <w:rFonts w:cs="Arial"/>
          <w:sz w:val="20"/>
          <w:szCs w:val="20"/>
          <w:lang w:eastAsia="en-US"/>
        </w:rPr>
        <w:t>to refer</w:t>
      </w:r>
      <w:proofErr w:type="gramEnd"/>
      <w:r w:rsidRPr="00C31456">
        <w:rPr>
          <w:rFonts w:cs="Arial"/>
          <w:sz w:val="20"/>
          <w:szCs w:val="20"/>
          <w:lang w:eastAsia="en-US"/>
        </w:rPr>
        <w:t xml:space="preserve"> on you are entitled to submit further clarification and/or evidence to me</w:t>
      </w:r>
      <w:r w:rsidR="003D587B">
        <w:rPr>
          <w:rFonts w:cs="Arial"/>
          <w:sz w:val="20"/>
          <w:szCs w:val="20"/>
          <w:lang w:eastAsia="en-US"/>
        </w:rPr>
        <w:t xml:space="preserve"> by 5:00pm on Monday 4 August 2025</w:t>
      </w:r>
      <w:r w:rsidRPr="00C31456">
        <w:rPr>
          <w:rFonts w:cs="Arial"/>
          <w:sz w:val="20"/>
          <w:szCs w:val="20"/>
          <w:lang w:eastAsia="en-US"/>
        </w:rPr>
        <w:t xml:space="preserve">, and I will then give a final decision on the points to put before an appeal panel.  Responses must deal only with requested clarifications, or arguments or comments about the lead non-executive director for appeals' initial view that an appeal point is not valid. For the points I am </w:t>
      </w:r>
      <w:r w:rsidRPr="00875A45">
        <w:rPr>
          <w:rFonts w:cs="Arial"/>
          <w:sz w:val="20"/>
          <w:szCs w:val="20"/>
          <w:lang w:eastAsia="en-US"/>
        </w:rPr>
        <w:t>already content to refer on, an oral appeal will be held which is likely to be held remotely.</w:t>
      </w:r>
    </w:p>
    <w:p w:rsidRPr="00C31456" w:rsidR="00613CE8" w:rsidP="00613CE8" w:rsidRDefault="00613CE8" w14:paraId="1E282E65" w14:textId="6558FAF2">
      <w:pPr>
        <w:pStyle w:val="Paragraph"/>
        <w:numPr>
          <w:ilvl w:val="0"/>
          <w:numId w:val="0"/>
        </w:numPr>
        <w:spacing w:before="120"/>
        <w:jc w:val="both"/>
        <w:rPr>
          <w:rFonts w:cs="Arial"/>
          <w:sz w:val="20"/>
          <w:szCs w:val="20"/>
        </w:rPr>
      </w:pPr>
      <w:r w:rsidRPr="00C31456">
        <w:rPr>
          <w:rFonts w:cs="Arial"/>
          <w:sz w:val="20"/>
          <w:szCs w:val="20"/>
          <w:lang w:eastAsia="en-US"/>
        </w:rPr>
        <w:t xml:space="preserve">Once I have made my final decision, and where there is more than one appellant, each appellant will receive the valid appeal points of the other appellants and their redacted appeal letter. This is to enable appellants to avoid duplication at the hearing where there are overlapping appeal points. If the appeal letter and/or responses to scrutiny contain confidential </w:t>
      </w:r>
      <w:proofErr w:type="gramStart"/>
      <w:r w:rsidRPr="00C31456">
        <w:rPr>
          <w:rFonts w:cs="Arial"/>
          <w:sz w:val="20"/>
          <w:szCs w:val="20"/>
          <w:lang w:eastAsia="en-US"/>
        </w:rPr>
        <w:t>information</w:t>
      </w:r>
      <w:proofErr w:type="gramEnd"/>
      <w:r w:rsidRPr="00C31456">
        <w:rPr>
          <w:rFonts w:cs="Arial"/>
          <w:sz w:val="20"/>
          <w:szCs w:val="20"/>
        </w:rPr>
        <w:t xml:space="preserve"> please ensure you have provided a version with this information redacted by </w:t>
      </w:r>
      <w:r w:rsidR="003D587B">
        <w:rPr>
          <w:rFonts w:cs="Arial"/>
          <w:sz w:val="20"/>
          <w:szCs w:val="20"/>
        </w:rPr>
        <w:t>5:00pm on Monday 11 August 2025</w:t>
      </w:r>
      <w:r w:rsidRPr="00C31456">
        <w:rPr>
          <w:rFonts w:cs="Arial"/>
          <w:sz w:val="20"/>
          <w:szCs w:val="20"/>
        </w:rPr>
        <w:t>.</w:t>
      </w:r>
    </w:p>
    <w:p w:rsidRPr="00C31456" w:rsidR="00613CE8" w:rsidP="00613CE8" w:rsidRDefault="00613CE8" w14:paraId="0688AA84" w14:textId="4E63A96F">
      <w:pPr>
        <w:pStyle w:val="Paragraph"/>
        <w:numPr>
          <w:ilvl w:val="0"/>
          <w:numId w:val="0"/>
        </w:numPr>
        <w:spacing w:before="120"/>
        <w:jc w:val="both"/>
        <w:rPr>
          <w:rFonts w:cs="Arial"/>
          <w:sz w:val="20"/>
          <w:szCs w:val="20"/>
        </w:rPr>
      </w:pPr>
      <w:r w:rsidRPr="24E9064F" w:rsidR="00613CE8">
        <w:rPr>
          <w:rFonts w:cs="Arial"/>
          <w:sz w:val="20"/>
          <w:szCs w:val="20"/>
        </w:rPr>
        <w:t xml:space="preserve">Ordinarily appeals are conducted </w:t>
      </w:r>
      <w:proofErr w:type="gramStart"/>
      <w:r w:rsidRPr="24E9064F" w:rsidR="00613CE8">
        <w:rPr>
          <w:rFonts w:cs="Arial"/>
          <w:sz w:val="20"/>
          <w:szCs w:val="20"/>
        </w:rPr>
        <w:t>on the basis of</w:t>
      </w:r>
      <w:proofErr w:type="gramEnd"/>
      <w:r w:rsidRPr="24E9064F" w:rsidR="00613CE8">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w:t>
      </w:r>
      <w:r w:rsidRPr="24E9064F" w:rsidR="003D587B">
        <w:rPr>
          <w:rFonts w:cs="Arial"/>
          <w:sz w:val="20"/>
          <w:szCs w:val="20"/>
        </w:rPr>
        <w:t>ter than 5:00pm on Thursday 18 September</w:t>
      </w:r>
      <w:r w:rsidRPr="24E9064F" w:rsidR="00613CE8">
        <w:rPr>
          <w:rFonts w:cs="Arial"/>
          <w:sz w:val="20"/>
          <w:szCs w:val="20"/>
        </w:rPr>
        <w:t>.  Please note that the appeal panel cannot accept papers that are tabled late or ad hoc, as this affects the preparation of the panel and other parties for the appeal.</w:t>
      </w:r>
    </w:p>
    <w:p w:rsidRPr="00C31456" w:rsidR="00613CE8" w:rsidP="00613CE8" w:rsidRDefault="00613CE8" w14:paraId="29632F77" w14:textId="7F0EBA0D">
      <w:pPr>
        <w:jc w:val="both"/>
      </w:pPr>
    </w:p>
    <w:p w:rsidRPr="00C31456" w:rsidR="00613CE8" w:rsidP="00613CE8" w:rsidRDefault="00613CE8" w14:paraId="44024AEB" w14:textId="7109CD50">
      <w:pPr>
        <w:jc w:val="both"/>
        <w:rPr>
          <w:rFonts w:cs="Arial"/>
          <w:color w:val="auto"/>
        </w:rPr>
      </w:pPr>
      <w:r w:rsidRPr="24E9064F" w:rsidR="00613CE8">
        <w:rPr>
          <w:rFonts w:cs="Arial"/>
          <w:color w:val="auto"/>
        </w:rPr>
        <w:t>Yours sincerely</w:t>
      </w:r>
    </w:p>
    <w:p w:rsidRPr="00C31456" w:rsidR="00613CE8" w:rsidP="24E9064F" w:rsidRDefault="00613CE8" w14:paraId="474F0736" w14:textId="26A24082">
      <w:pPr>
        <w:jc w:val="both"/>
        <w:rPr>
          <w:rFonts w:cs="Arial"/>
          <w:color w:val="auto"/>
        </w:rPr>
      </w:pPr>
    </w:p>
    <w:p w:rsidRPr="00C31456" w:rsidR="00613CE8" w:rsidP="24E9064F" w:rsidRDefault="00613CE8" w14:noSpellErr="1" w14:paraId="697B757E" w14:textId="0C7BC7A8">
      <w:pPr>
        <w:spacing w:line="360" w:lineRule="auto"/>
        <w:jc w:val="both"/>
        <w:rPr>
          <w:rFonts w:cs="Arial"/>
          <w:color w:val="auto"/>
        </w:rPr>
      </w:pPr>
      <w:r w:rsidRPr="24E9064F" w:rsidR="47572585">
        <w:rPr>
          <w:rFonts w:cs="Arial"/>
          <w:color w:val="auto"/>
        </w:rPr>
        <w:t>Dr Mark Chakravarty</w:t>
      </w:r>
    </w:p>
    <w:p w:rsidRPr="00C31456" w:rsidR="00613CE8" w:rsidP="24E9064F" w:rsidRDefault="00613CE8" w14:paraId="32D47198" w14:textId="33356752">
      <w:pPr>
        <w:jc w:val="both"/>
        <w:rPr>
          <w:rFonts w:cs="Arial"/>
          <w:color w:val="auto"/>
        </w:rPr>
      </w:pPr>
    </w:p>
    <w:p w:rsidRPr="00C31456" w:rsidR="00613CE8" w:rsidP="22B63751" w:rsidRDefault="00613CE8" w14:paraId="2700DF5B" w14:textId="050C4E9B">
      <w:pPr>
        <w:jc w:val="both"/>
        <w:rPr>
          <w:color w:val="auto"/>
          <w:highlight w:val="black"/>
        </w:rPr>
      </w:pPr>
      <w:r w:rsidRPr="22B63751" w:rsidR="750EA244">
        <w:rPr>
          <w:color w:val="auto"/>
          <w:highlight w:val="black"/>
        </w:rPr>
        <w:t>XXXXXXXXXXXXXXXXXXXXX</w:t>
      </w:r>
    </w:p>
    <w:p w:rsidRPr="00C31456" w:rsidR="00613CE8" w:rsidP="00613CE8" w:rsidRDefault="00875A45" w14:paraId="0588C340" w14:textId="700832FE">
      <w:pPr>
        <w:spacing w:line="360" w:lineRule="auto"/>
        <w:jc w:val="both"/>
        <w:rPr>
          <w:rFonts w:cs="Arial"/>
          <w:color w:val="auto"/>
        </w:rPr>
      </w:pPr>
      <w:r>
        <w:rPr>
          <w:rFonts w:cs="Arial"/>
          <w:color w:val="auto"/>
        </w:rPr>
        <w:t>Lead Non-Executive Director for Appeals</w:t>
      </w:r>
    </w:p>
    <w:p w:rsidRPr="00C31456" w:rsidR="00613CE8" w:rsidP="00613CE8" w:rsidRDefault="00613CE8" w14:paraId="6AB725EB" w14:textId="77777777">
      <w:pPr>
        <w:spacing w:line="360" w:lineRule="auto"/>
        <w:jc w:val="both"/>
        <w:rPr>
          <w:rFonts w:cs="Arial"/>
          <w:color w:val="auto"/>
        </w:rPr>
      </w:pPr>
      <w:r w:rsidRPr="00C31456">
        <w:rPr>
          <w:rFonts w:cs="Arial"/>
          <w:color w:val="auto"/>
        </w:rPr>
        <w:t>National Institute for Health and Care Excellence</w:t>
      </w:r>
    </w:p>
    <w:p w:rsidRPr="00C31456" w:rsidR="00613CE8" w:rsidP="00613CE8" w:rsidRDefault="00613CE8" w14:paraId="0F36A701" w14:textId="77777777">
      <w:pPr>
        <w:jc w:val="both"/>
        <w:rPr>
          <w:rFonts w:cs="Arial"/>
          <w:color w:val="auto"/>
        </w:rPr>
      </w:pPr>
    </w:p>
    <w:p w:rsidRPr="00DD7697" w:rsidR="002B21D4" w:rsidP="00613CE8" w:rsidRDefault="002B21D4" w14:paraId="0C61E456" w14:textId="77777777">
      <w:pPr>
        <w:pStyle w:val="Paragraph"/>
        <w:numPr>
          <w:ilvl w:val="0"/>
          <w:numId w:val="0"/>
        </w:numPr>
        <w:spacing w:before="120"/>
        <w:jc w:val="both"/>
        <w:rPr>
          <w:rFonts w:cs="Arial"/>
        </w:rPr>
      </w:pPr>
    </w:p>
    <w:sectPr w:rsidRPr="00DD7697" w:rsidR="002B21D4" w:rsidSect="00DF5C8A">
      <w:headerReference w:type="even" r:id="rId8"/>
      <w:headerReference w:type="default" r:id="rId9"/>
      <w:footerReference w:type="even" r:id="rId10"/>
      <w:footerReference w:type="default" r:id="rId11"/>
      <w:headerReference w:type="first" r:id="rId12"/>
      <w:footerReference w:type="first" r:id="rId13"/>
      <w:pgSz w:w="11907" w:h="16840" w:orient="portrait" w:code="9"/>
      <w:pgMar w:top="1848" w:right="1418" w:bottom="1418" w:left="1418" w:header="1134"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52DE" w:rsidRDefault="00F052DE" w14:paraId="4E669D18" w14:textId="77777777">
      <w:r>
        <w:separator/>
      </w:r>
    </w:p>
  </w:endnote>
  <w:endnote w:type="continuationSeparator" w:id="0">
    <w:p w:rsidR="00F052DE" w:rsidRDefault="00F052DE" w14:paraId="57BDC96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0EECDD2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0C0E" w:rsidR="00E308B8" w:rsidP="00832D34" w:rsidRDefault="00E308B8" w14:paraId="783FA69C" w14:textId="3A8305C2">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Pr="00811421" w:rsid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32D34" w:rsidR="00E308B8" w:rsidP="00EF043B" w:rsidRDefault="00811421" w14:paraId="21A9013B" w14:textId="0A4FBAFA">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Pr="00832D34" w:rsidR="00E308B8">
      <w:rPr>
        <w:color w:val="808080"/>
        <w:sz w:val="18"/>
        <w:szCs w:val="18"/>
      </w:rPr>
      <w:fldChar w:fldCharType="begin"/>
    </w:r>
    <w:r w:rsidRPr="00832D34" w:rsidR="00E308B8">
      <w:rPr>
        <w:color w:val="808080"/>
        <w:sz w:val="18"/>
        <w:szCs w:val="18"/>
      </w:rPr>
      <w:instrText xml:space="preserve"> FILENAME \* Upper </w:instrText>
    </w:r>
    <w:r w:rsidRPr="00832D34" w:rsidR="00E308B8">
      <w:rPr>
        <w:color w:val="808080"/>
        <w:sz w:val="18"/>
        <w:szCs w:val="18"/>
      </w:rPr>
      <w:fldChar w:fldCharType="separate"/>
    </w:r>
    <w:r w:rsidR="00E308B8">
      <w:rPr>
        <w:noProof/>
        <w:color w:val="808080"/>
        <w:sz w:val="18"/>
        <w:szCs w:val="18"/>
      </w:rPr>
      <w:t>DOCUMENT3</w:t>
    </w:r>
    <w:r w:rsidRPr="00832D34" w:rsidR="00E308B8">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Pr="00EF043B" w:rsidR="00E308B8">
      <w:rPr>
        <w:snapToGrid w:val="0"/>
        <w:color w:val="808080"/>
        <w:sz w:val="18"/>
        <w:szCs w:val="18"/>
      </w:rPr>
      <w:t xml:space="preserve">Page </w:t>
    </w:r>
    <w:r w:rsidRPr="00EF043B" w:rsidR="00E308B8">
      <w:rPr>
        <w:snapToGrid w:val="0"/>
        <w:color w:val="808080"/>
        <w:sz w:val="18"/>
        <w:szCs w:val="18"/>
      </w:rPr>
      <w:fldChar w:fldCharType="begin"/>
    </w:r>
    <w:r w:rsidRPr="00EF043B" w:rsidR="00E308B8">
      <w:rPr>
        <w:snapToGrid w:val="0"/>
        <w:color w:val="808080"/>
        <w:sz w:val="18"/>
        <w:szCs w:val="18"/>
      </w:rPr>
      <w:instrText xml:space="preserve"> PAGE </w:instrText>
    </w:r>
    <w:r w:rsidRPr="00EF043B" w:rsidR="00E308B8">
      <w:rPr>
        <w:snapToGrid w:val="0"/>
        <w:color w:val="808080"/>
        <w:sz w:val="18"/>
        <w:szCs w:val="18"/>
      </w:rPr>
      <w:fldChar w:fldCharType="separate"/>
    </w:r>
    <w:r>
      <w:rPr>
        <w:noProof/>
        <w:snapToGrid w:val="0"/>
        <w:color w:val="808080"/>
        <w:sz w:val="18"/>
        <w:szCs w:val="18"/>
      </w:rPr>
      <w:t>1</w:t>
    </w:r>
    <w:r w:rsidRPr="00EF043B" w:rsidR="00E308B8">
      <w:rPr>
        <w:snapToGrid w:val="0"/>
        <w:color w:val="808080"/>
        <w:sz w:val="18"/>
        <w:szCs w:val="18"/>
      </w:rPr>
      <w:fldChar w:fldCharType="end"/>
    </w:r>
    <w:r w:rsidRPr="00EF043B" w:rsidR="00E308B8">
      <w:rPr>
        <w:snapToGrid w:val="0"/>
        <w:color w:val="808080"/>
        <w:sz w:val="18"/>
        <w:szCs w:val="18"/>
      </w:rPr>
      <w:t xml:space="preserve"> of </w:t>
    </w:r>
    <w:r w:rsidRPr="00EF043B" w:rsidR="00E308B8">
      <w:rPr>
        <w:snapToGrid w:val="0"/>
        <w:color w:val="808080"/>
        <w:sz w:val="18"/>
        <w:szCs w:val="18"/>
      </w:rPr>
      <w:fldChar w:fldCharType="begin"/>
    </w:r>
    <w:r w:rsidRPr="00EF043B" w:rsidR="00E308B8">
      <w:rPr>
        <w:snapToGrid w:val="0"/>
        <w:color w:val="808080"/>
        <w:sz w:val="18"/>
        <w:szCs w:val="18"/>
      </w:rPr>
      <w:instrText xml:space="preserve"> NUMPAGES </w:instrText>
    </w:r>
    <w:r w:rsidRPr="00EF043B" w:rsidR="00E308B8">
      <w:rPr>
        <w:snapToGrid w:val="0"/>
        <w:color w:val="808080"/>
        <w:sz w:val="18"/>
        <w:szCs w:val="18"/>
      </w:rPr>
      <w:fldChar w:fldCharType="separate"/>
    </w:r>
    <w:r>
      <w:rPr>
        <w:noProof/>
        <w:snapToGrid w:val="0"/>
        <w:color w:val="808080"/>
        <w:sz w:val="18"/>
        <w:szCs w:val="18"/>
      </w:rPr>
      <w:t>2</w:t>
    </w:r>
    <w:r w:rsidRPr="00EF043B" w:rsidR="00E308B8">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52DE" w:rsidRDefault="00F052DE" w14:paraId="65ED86D6" w14:textId="77777777">
      <w:r>
        <w:separator/>
      </w:r>
    </w:p>
  </w:footnote>
  <w:footnote w:type="continuationSeparator" w:id="0">
    <w:p w:rsidR="00F052DE" w:rsidRDefault="00F052DE" w14:paraId="05F3161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D0FC95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155C" w:rsidRDefault="00A4155C" w14:paraId="4632970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91045" w:rsidP="00491045" w:rsidRDefault="00491045" w14:paraId="1B913CC1" w14:textId="77777777">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rsidRPr="005E0434" w:rsidR="00491045" w:rsidP="00491045" w:rsidRDefault="00491045" w14:paraId="2DD48BCF" w14:textId="77777777">
    <w:pPr>
      <w:pStyle w:val="Header"/>
      <w:tabs>
        <w:tab w:val="right" w:pos="10065"/>
      </w:tabs>
      <w:spacing w:after="0"/>
      <w:ind w:right="-1039"/>
      <w:jc w:val="right"/>
      <w:rPr>
        <w:rFonts w:cs="Arial"/>
        <w:color w:val="0E0E0E"/>
      </w:rPr>
    </w:pPr>
    <w:r>
      <w:rPr>
        <w:rFonts w:cs="Arial"/>
        <w:color w:val="0E0E0E"/>
      </w:rPr>
      <w:t>2 Redman Place</w:t>
    </w:r>
  </w:p>
  <w:p w:rsidRPr="005E0434" w:rsidR="00491045" w:rsidP="00491045" w:rsidRDefault="00491045" w14:paraId="4E0459EB" w14:textId="77777777">
    <w:pPr>
      <w:pStyle w:val="Header"/>
      <w:tabs>
        <w:tab w:val="right" w:pos="10065"/>
      </w:tabs>
      <w:spacing w:after="0"/>
      <w:ind w:right="-1039"/>
      <w:jc w:val="right"/>
      <w:rPr>
        <w:rFonts w:cs="Arial"/>
        <w:color w:val="0E0E0E"/>
      </w:rPr>
    </w:pPr>
    <w:r w:rsidRPr="005E0434">
      <w:rPr>
        <w:rFonts w:cs="Arial"/>
        <w:color w:val="0E0E0E"/>
      </w:rPr>
      <w:softHyphen/>
      <w:t>London</w:t>
    </w:r>
  </w:p>
  <w:p w:rsidRPr="005E0434" w:rsidR="00491045" w:rsidP="00491045" w:rsidRDefault="00491045" w14:paraId="17FA5E6C" w14:textId="77777777">
    <w:pPr>
      <w:pStyle w:val="Header"/>
      <w:tabs>
        <w:tab w:val="right" w:pos="10065"/>
      </w:tabs>
      <w:spacing w:after="0"/>
      <w:ind w:right="-1039"/>
      <w:jc w:val="right"/>
      <w:rPr>
        <w:rFonts w:cs="Arial"/>
        <w:color w:val="0E0E0E"/>
      </w:rPr>
    </w:pPr>
    <w:r>
      <w:rPr>
        <w:rFonts w:cs="Arial"/>
        <w:color w:val="0E0E0E"/>
      </w:rPr>
      <w:t>E20 1JQ</w:t>
    </w:r>
  </w:p>
  <w:p w:rsidRPr="005E0434" w:rsidR="00491045" w:rsidP="00491045" w:rsidRDefault="00491045" w14:paraId="7B0504BC" w14:textId="77777777">
    <w:pPr>
      <w:pStyle w:val="Header"/>
      <w:tabs>
        <w:tab w:val="right" w:pos="10065"/>
      </w:tabs>
      <w:spacing w:after="0"/>
      <w:ind w:right="-1039"/>
      <w:jc w:val="right"/>
      <w:rPr>
        <w:rFonts w:cs="Arial"/>
        <w:color w:val="0E0E0E"/>
      </w:rPr>
    </w:pPr>
    <w:r w:rsidRPr="005E0434">
      <w:rPr>
        <w:rFonts w:cs="Arial"/>
        <w:color w:val="0E0E0E"/>
      </w:rPr>
      <w:t>United Kingdom</w:t>
    </w:r>
  </w:p>
  <w:p w:rsidRPr="005E0434" w:rsidR="00491045" w:rsidP="00491045" w:rsidRDefault="00491045" w14:paraId="0A93A6A6" w14:textId="77777777">
    <w:pPr>
      <w:pStyle w:val="Header"/>
      <w:tabs>
        <w:tab w:val="right" w:pos="10065"/>
      </w:tabs>
      <w:spacing w:after="0"/>
      <w:ind w:right="-1039"/>
      <w:jc w:val="right"/>
      <w:rPr>
        <w:rFonts w:cs="Arial"/>
        <w:color w:val="0E0E0E"/>
      </w:rPr>
    </w:pPr>
  </w:p>
  <w:p w:rsidRPr="003A3E2E" w:rsidR="00491045" w:rsidP="00491045" w:rsidRDefault="00491045" w14:paraId="5D6CD5A4" w14:textId="77777777">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rsidRPr="00491045" w:rsidR="00E308B8" w:rsidP="00491045" w:rsidRDefault="00E308B8" w14:paraId="1C9776DF" w14:textId="21D4BF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hint="default" w:ascii="Symbol" w:hAnsi="Symbol"/>
      </w:rPr>
    </w:lvl>
    <w:lvl w:ilvl="7">
      <w:start w:val="1"/>
      <w:numFmt w:val="none"/>
      <w:pStyle w:val="Heading8"/>
      <w:lvlText w:val=""/>
      <w:legacy w:legacy="1" w:legacySpace="0" w:legacyIndent="708"/>
      <w:lvlJc w:val="left"/>
      <w:pPr>
        <w:ind w:left="6447" w:hanging="708"/>
      </w:pPr>
      <w:rPr>
        <w:rFonts w:hint="default" w:ascii="Symbol" w:hAnsi="Symbol"/>
      </w:rPr>
    </w:lvl>
    <w:lvl w:ilvl="8">
      <w:start w:val="1"/>
      <w:numFmt w:val="none"/>
      <w:pStyle w:val="Heading9"/>
      <w:lvlText w:val=""/>
      <w:legacy w:legacy="1" w:legacySpace="0" w:legacyIndent="708"/>
      <w:lvlJc w:val="left"/>
      <w:pPr>
        <w:ind w:left="7155" w:hanging="708"/>
      </w:pPr>
      <w:rPr>
        <w:rFonts w:hint="default" w:ascii="Symbol" w:hAnsi="Symbol"/>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cs="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cs="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cs="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807313"/>
    <w:multiLevelType w:val="hybridMultilevel"/>
    <w:tmpl w:val="99BAE5FA"/>
    <w:lvl w:ilvl="0" w:tplc="247C01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A90BB6"/>
    <w:multiLevelType w:val="hybridMultilevel"/>
    <w:tmpl w:val="0F766B3A"/>
    <w:lvl w:ilvl="0" w:tplc="678AA1F2">
      <w:start w:val="30"/>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974431"/>
    <w:multiLevelType w:val="hybridMultilevel"/>
    <w:tmpl w:val="BE86AE90"/>
    <w:lvl w:ilvl="0" w:tplc="7D0EE0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246CA6"/>
    <w:multiLevelType w:val="hybridMultilevel"/>
    <w:tmpl w:val="E894F61E"/>
    <w:lvl w:ilvl="0" w:tplc="08090001">
      <w:start w:val="1"/>
      <w:numFmt w:val="bullet"/>
      <w:lvlText w:val=""/>
      <w:lvlJc w:val="left"/>
      <w:pPr>
        <w:ind w:left="1512" w:hanging="360"/>
      </w:pPr>
      <w:rPr>
        <w:rFonts w:hint="default" w:ascii="Symbol" w:hAnsi="Symbol"/>
      </w:rPr>
    </w:lvl>
    <w:lvl w:ilvl="1" w:tplc="08090003" w:tentative="1">
      <w:start w:val="1"/>
      <w:numFmt w:val="bullet"/>
      <w:lvlText w:val="o"/>
      <w:lvlJc w:val="left"/>
      <w:pPr>
        <w:ind w:left="2232" w:hanging="360"/>
      </w:pPr>
      <w:rPr>
        <w:rFonts w:hint="default" w:ascii="Courier New" w:hAnsi="Courier New" w:cs="Courier New"/>
      </w:rPr>
    </w:lvl>
    <w:lvl w:ilvl="2" w:tplc="08090005" w:tentative="1">
      <w:start w:val="1"/>
      <w:numFmt w:val="bullet"/>
      <w:lvlText w:val=""/>
      <w:lvlJc w:val="left"/>
      <w:pPr>
        <w:ind w:left="2952" w:hanging="360"/>
      </w:pPr>
      <w:rPr>
        <w:rFonts w:hint="default" w:ascii="Wingdings" w:hAnsi="Wingdings"/>
      </w:rPr>
    </w:lvl>
    <w:lvl w:ilvl="3" w:tplc="08090001" w:tentative="1">
      <w:start w:val="1"/>
      <w:numFmt w:val="bullet"/>
      <w:lvlText w:val=""/>
      <w:lvlJc w:val="left"/>
      <w:pPr>
        <w:ind w:left="3672" w:hanging="360"/>
      </w:pPr>
      <w:rPr>
        <w:rFonts w:hint="default" w:ascii="Symbol" w:hAnsi="Symbol"/>
      </w:rPr>
    </w:lvl>
    <w:lvl w:ilvl="4" w:tplc="08090003" w:tentative="1">
      <w:start w:val="1"/>
      <w:numFmt w:val="bullet"/>
      <w:lvlText w:val="o"/>
      <w:lvlJc w:val="left"/>
      <w:pPr>
        <w:ind w:left="4392" w:hanging="360"/>
      </w:pPr>
      <w:rPr>
        <w:rFonts w:hint="default" w:ascii="Courier New" w:hAnsi="Courier New" w:cs="Courier New"/>
      </w:rPr>
    </w:lvl>
    <w:lvl w:ilvl="5" w:tplc="08090005" w:tentative="1">
      <w:start w:val="1"/>
      <w:numFmt w:val="bullet"/>
      <w:lvlText w:val=""/>
      <w:lvlJc w:val="left"/>
      <w:pPr>
        <w:ind w:left="5112" w:hanging="360"/>
      </w:pPr>
      <w:rPr>
        <w:rFonts w:hint="default" w:ascii="Wingdings" w:hAnsi="Wingdings"/>
      </w:rPr>
    </w:lvl>
    <w:lvl w:ilvl="6" w:tplc="08090001" w:tentative="1">
      <w:start w:val="1"/>
      <w:numFmt w:val="bullet"/>
      <w:lvlText w:val=""/>
      <w:lvlJc w:val="left"/>
      <w:pPr>
        <w:ind w:left="5832" w:hanging="360"/>
      </w:pPr>
      <w:rPr>
        <w:rFonts w:hint="default" w:ascii="Symbol" w:hAnsi="Symbol"/>
      </w:rPr>
    </w:lvl>
    <w:lvl w:ilvl="7" w:tplc="08090003" w:tentative="1">
      <w:start w:val="1"/>
      <w:numFmt w:val="bullet"/>
      <w:lvlText w:val="o"/>
      <w:lvlJc w:val="left"/>
      <w:pPr>
        <w:ind w:left="6552" w:hanging="360"/>
      </w:pPr>
      <w:rPr>
        <w:rFonts w:hint="default" w:ascii="Courier New" w:hAnsi="Courier New" w:cs="Courier New"/>
      </w:rPr>
    </w:lvl>
    <w:lvl w:ilvl="8" w:tplc="08090005" w:tentative="1">
      <w:start w:val="1"/>
      <w:numFmt w:val="bullet"/>
      <w:lvlText w:val=""/>
      <w:lvlJc w:val="left"/>
      <w:pPr>
        <w:ind w:left="7272" w:hanging="360"/>
      </w:pPr>
      <w:rPr>
        <w:rFonts w:hint="default" w:ascii="Wingdings" w:hAnsi="Wingdings"/>
      </w:rPr>
    </w:lvl>
  </w:abstractNum>
  <w:abstractNum w:abstractNumId="14"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C8632C"/>
    <w:multiLevelType w:val="hybridMultilevel"/>
    <w:tmpl w:val="26E460D6"/>
    <w:lvl w:ilvl="0" w:tplc="A5FC299A">
      <w:start w:val="2"/>
      <w:numFmt w:val="bullet"/>
      <w:lvlText w:val="-"/>
      <w:lvlJc w:val="left"/>
      <w:pPr>
        <w:ind w:left="720" w:hanging="360"/>
      </w:pPr>
      <w:rPr>
        <w:rFonts w:hint="default" w:ascii="Arial" w:hAnsi="Arial" w:eastAsia="Times New Roman" w:cs="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90189A"/>
    <w:multiLevelType w:val="hybridMultilevel"/>
    <w:tmpl w:val="E2E64854"/>
    <w:lvl w:ilvl="0" w:tplc="510A83D8">
      <w:numFmt w:val="bullet"/>
      <w:lvlText w:val=""/>
      <w:lvlJc w:val="left"/>
      <w:pPr>
        <w:ind w:left="502" w:hanging="285"/>
      </w:pPr>
      <w:rPr>
        <w:rFonts w:hint="default" w:ascii="Symbol" w:hAnsi="Symbol" w:eastAsia="Symbol" w:cs="Symbol"/>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8"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2" w15:restartNumberingAfterBreak="0">
    <w:nsid w:val="6614533C"/>
    <w:multiLevelType w:val="hybridMultilevel"/>
    <w:tmpl w:val="C8E82536"/>
    <w:lvl w:ilvl="0" w:tplc="678AA1F2">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5055A4"/>
    <w:multiLevelType w:val="hybridMultilevel"/>
    <w:tmpl w:val="96104B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5"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20"/>
  </w:num>
  <w:num w:numId="4" w16cid:durableId="791437817">
    <w:abstractNumId w:val="20"/>
  </w:num>
  <w:num w:numId="5" w16cid:durableId="589656231">
    <w:abstractNumId w:val="21"/>
  </w:num>
  <w:num w:numId="6" w16cid:durableId="1033071542">
    <w:abstractNumId w:val="0"/>
  </w:num>
  <w:num w:numId="7" w16cid:durableId="692002320">
    <w:abstractNumId w:val="20"/>
  </w:num>
  <w:num w:numId="8" w16cid:durableId="893390988">
    <w:abstractNumId w:val="20"/>
  </w:num>
  <w:num w:numId="9" w16cid:durableId="1036344506">
    <w:abstractNumId w:val="20"/>
  </w:num>
  <w:num w:numId="10" w16cid:durableId="1081758715">
    <w:abstractNumId w:val="15"/>
  </w:num>
  <w:num w:numId="11" w16cid:durableId="1324700156">
    <w:abstractNumId w:val="3"/>
  </w:num>
  <w:num w:numId="12" w16cid:durableId="297996532">
    <w:abstractNumId w:val="14"/>
  </w:num>
  <w:num w:numId="13" w16cid:durableId="1315715874">
    <w:abstractNumId w:val="16"/>
  </w:num>
  <w:num w:numId="14" w16cid:durableId="1234002226">
    <w:abstractNumId w:val="19"/>
  </w:num>
  <w:num w:numId="15" w16cid:durableId="682052213">
    <w:abstractNumId w:val="12"/>
  </w:num>
  <w:num w:numId="16" w16cid:durableId="1741825062">
    <w:abstractNumId w:val="18"/>
  </w:num>
  <w:num w:numId="17" w16cid:durableId="1644236023">
    <w:abstractNumId w:val="24"/>
  </w:num>
  <w:num w:numId="18" w16cid:durableId="530655038">
    <w:abstractNumId w:val="4"/>
  </w:num>
  <w:num w:numId="19" w16cid:durableId="2126733805">
    <w:abstractNumId w:val="22"/>
  </w:num>
  <w:num w:numId="20" w16cid:durableId="621762274">
    <w:abstractNumId w:val="13"/>
  </w:num>
  <w:num w:numId="21" w16cid:durableId="170607788">
    <w:abstractNumId w:val="6"/>
  </w:num>
  <w:num w:numId="22" w16cid:durableId="460727966">
    <w:abstractNumId w:val="25"/>
  </w:num>
  <w:num w:numId="23" w16cid:durableId="2105420001">
    <w:abstractNumId w:val="1"/>
  </w:num>
  <w:num w:numId="24" w16cid:durableId="2048407580">
    <w:abstractNumId w:val="17"/>
  </w:num>
  <w:num w:numId="25" w16cid:durableId="1798986414">
    <w:abstractNumId w:val="9"/>
  </w:num>
  <w:num w:numId="26" w16cid:durableId="1415205502">
    <w:abstractNumId w:val="23"/>
  </w:num>
  <w:num w:numId="27" w16cid:durableId="368603691">
    <w:abstractNumId w:val="7"/>
  </w:num>
  <w:num w:numId="28" w16cid:durableId="217009139">
    <w:abstractNumId w:val="20"/>
  </w:num>
  <w:num w:numId="29" w16cid:durableId="1991011021">
    <w:abstractNumId w:val="20"/>
  </w:num>
  <w:num w:numId="30" w16cid:durableId="840006877">
    <w:abstractNumId w:val="11"/>
  </w:num>
  <w:num w:numId="31" w16cid:durableId="324751170">
    <w:abstractNumId w:val="20"/>
  </w:num>
  <w:num w:numId="32" w16cid:durableId="1909340188">
    <w:abstractNumId w:val="20"/>
  </w:num>
  <w:num w:numId="33" w16cid:durableId="334496126">
    <w:abstractNumId w:val="26"/>
  </w:num>
  <w:num w:numId="34" w16cid:durableId="936062982">
    <w:abstractNumId w:val="8"/>
  </w:num>
  <w:num w:numId="35" w16cid:durableId="916287850">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232C"/>
    <w:rsid w:val="0001311E"/>
    <w:rsid w:val="0002043D"/>
    <w:rsid w:val="000218C9"/>
    <w:rsid w:val="000223BD"/>
    <w:rsid w:val="00024DA5"/>
    <w:rsid w:val="00025D77"/>
    <w:rsid w:val="000329FE"/>
    <w:rsid w:val="0004302C"/>
    <w:rsid w:val="00047383"/>
    <w:rsid w:val="00052894"/>
    <w:rsid w:val="000532DA"/>
    <w:rsid w:val="00056CD2"/>
    <w:rsid w:val="0006785D"/>
    <w:rsid w:val="0007095A"/>
    <w:rsid w:val="000709E5"/>
    <w:rsid w:val="00080FCA"/>
    <w:rsid w:val="00082FAB"/>
    <w:rsid w:val="00083604"/>
    <w:rsid w:val="00084FD0"/>
    <w:rsid w:val="000853F6"/>
    <w:rsid w:val="00085837"/>
    <w:rsid w:val="00087222"/>
    <w:rsid w:val="000878D5"/>
    <w:rsid w:val="000928C5"/>
    <w:rsid w:val="00096EBF"/>
    <w:rsid w:val="000977EB"/>
    <w:rsid w:val="000A4174"/>
    <w:rsid w:val="000A490C"/>
    <w:rsid w:val="000A4DFC"/>
    <w:rsid w:val="000B1D36"/>
    <w:rsid w:val="000B3C21"/>
    <w:rsid w:val="000B5760"/>
    <w:rsid w:val="000B73F9"/>
    <w:rsid w:val="000D1E58"/>
    <w:rsid w:val="000E020F"/>
    <w:rsid w:val="000E16D3"/>
    <w:rsid w:val="000E40C4"/>
    <w:rsid w:val="000F014D"/>
    <w:rsid w:val="000F3523"/>
    <w:rsid w:val="000F6BB5"/>
    <w:rsid w:val="00102F59"/>
    <w:rsid w:val="00106505"/>
    <w:rsid w:val="00107520"/>
    <w:rsid w:val="00107C9C"/>
    <w:rsid w:val="00111749"/>
    <w:rsid w:val="00116523"/>
    <w:rsid w:val="00120071"/>
    <w:rsid w:val="00120FFA"/>
    <w:rsid w:val="001232BE"/>
    <w:rsid w:val="00123922"/>
    <w:rsid w:val="00123B83"/>
    <w:rsid w:val="0012453A"/>
    <w:rsid w:val="00131602"/>
    <w:rsid w:val="001319CF"/>
    <w:rsid w:val="00132DDC"/>
    <w:rsid w:val="00136C94"/>
    <w:rsid w:val="00145246"/>
    <w:rsid w:val="001465BD"/>
    <w:rsid w:val="0014692A"/>
    <w:rsid w:val="001470EF"/>
    <w:rsid w:val="00150421"/>
    <w:rsid w:val="00151269"/>
    <w:rsid w:val="00156C49"/>
    <w:rsid w:val="00160A2A"/>
    <w:rsid w:val="00163C9B"/>
    <w:rsid w:val="00170F86"/>
    <w:rsid w:val="001760DF"/>
    <w:rsid w:val="0017732F"/>
    <w:rsid w:val="00182BDA"/>
    <w:rsid w:val="00184EE2"/>
    <w:rsid w:val="00190698"/>
    <w:rsid w:val="00190763"/>
    <w:rsid w:val="001908C4"/>
    <w:rsid w:val="001945C8"/>
    <w:rsid w:val="00194EE4"/>
    <w:rsid w:val="001969C2"/>
    <w:rsid w:val="001A0143"/>
    <w:rsid w:val="001A18CA"/>
    <w:rsid w:val="001B0102"/>
    <w:rsid w:val="001B23C6"/>
    <w:rsid w:val="001B71EA"/>
    <w:rsid w:val="001C655B"/>
    <w:rsid w:val="001C7C0E"/>
    <w:rsid w:val="001D26C0"/>
    <w:rsid w:val="001D736F"/>
    <w:rsid w:val="001E0293"/>
    <w:rsid w:val="001E615E"/>
    <w:rsid w:val="001F15B2"/>
    <w:rsid w:val="001F15C2"/>
    <w:rsid w:val="001F1CF7"/>
    <w:rsid w:val="001F2364"/>
    <w:rsid w:val="001F4B8B"/>
    <w:rsid w:val="001F649E"/>
    <w:rsid w:val="001F6DCA"/>
    <w:rsid w:val="001F7A9F"/>
    <w:rsid w:val="00200442"/>
    <w:rsid w:val="0020398C"/>
    <w:rsid w:val="00203EE8"/>
    <w:rsid w:val="00205000"/>
    <w:rsid w:val="002064F0"/>
    <w:rsid w:val="00206A41"/>
    <w:rsid w:val="00211AE9"/>
    <w:rsid w:val="00211FE0"/>
    <w:rsid w:val="002129C1"/>
    <w:rsid w:val="00217D5F"/>
    <w:rsid w:val="00220DE8"/>
    <w:rsid w:val="002216BB"/>
    <w:rsid w:val="00223EBE"/>
    <w:rsid w:val="00232FF4"/>
    <w:rsid w:val="0023747F"/>
    <w:rsid w:val="00237C6C"/>
    <w:rsid w:val="0024377B"/>
    <w:rsid w:val="0025046D"/>
    <w:rsid w:val="00254235"/>
    <w:rsid w:val="00254708"/>
    <w:rsid w:val="00255C8A"/>
    <w:rsid w:val="00256BF4"/>
    <w:rsid w:val="00262058"/>
    <w:rsid w:val="00271E0A"/>
    <w:rsid w:val="00274609"/>
    <w:rsid w:val="00275528"/>
    <w:rsid w:val="00283C5A"/>
    <w:rsid w:val="00283D6E"/>
    <w:rsid w:val="00284917"/>
    <w:rsid w:val="00284CBA"/>
    <w:rsid w:val="0028620E"/>
    <w:rsid w:val="00294EB1"/>
    <w:rsid w:val="00296D55"/>
    <w:rsid w:val="002A254E"/>
    <w:rsid w:val="002A4E90"/>
    <w:rsid w:val="002B21D4"/>
    <w:rsid w:val="002C14B2"/>
    <w:rsid w:val="002C3E42"/>
    <w:rsid w:val="002C4202"/>
    <w:rsid w:val="002C5356"/>
    <w:rsid w:val="002D2F52"/>
    <w:rsid w:val="002D412A"/>
    <w:rsid w:val="002D4715"/>
    <w:rsid w:val="002E0A84"/>
    <w:rsid w:val="002E4D13"/>
    <w:rsid w:val="002E6A1E"/>
    <w:rsid w:val="002E7FE1"/>
    <w:rsid w:val="002F25FC"/>
    <w:rsid w:val="002F374D"/>
    <w:rsid w:val="002F6526"/>
    <w:rsid w:val="003027BC"/>
    <w:rsid w:val="00310279"/>
    <w:rsid w:val="00314589"/>
    <w:rsid w:val="00316D28"/>
    <w:rsid w:val="00317646"/>
    <w:rsid w:val="00321A60"/>
    <w:rsid w:val="00323185"/>
    <w:rsid w:val="00326AFE"/>
    <w:rsid w:val="00326E72"/>
    <w:rsid w:val="003308CE"/>
    <w:rsid w:val="00332149"/>
    <w:rsid w:val="00332C05"/>
    <w:rsid w:val="0033740C"/>
    <w:rsid w:val="00337728"/>
    <w:rsid w:val="00343CE3"/>
    <w:rsid w:val="00345918"/>
    <w:rsid w:val="003478F6"/>
    <w:rsid w:val="00351496"/>
    <w:rsid w:val="003627D7"/>
    <w:rsid w:val="00362E19"/>
    <w:rsid w:val="0036323C"/>
    <w:rsid w:val="00371C6B"/>
    <w:rsid w:val="00381E46"/>
    <w:rsid w:val="00382D01"/>
    <w:rsid w:val="00383DDC"/>
    <w:rsid w:val="0038454F"/>
    <w:rsid w:val="00393619"/>
    <w:rsid w:val="00395196"/>
    <w:rsid w:val="0039570A"/>
    <w:rsid w:val="00396B85"/>
    <w:rsid w:val="003A74FD"/>
    <w:rsid w:val="003A78CC"/>
    <w:rsid w:val="003A7A38"/>
    <w:rsid w:val="003B056B"/>
    <w:rsid w:val="003B0952"/>
    <w:rsid w:val="003B29ED"/>
    <w:rsid w:val="003B339B"/>
    <w:rsid w:val="003B5308"/>
    <w:rsid w:val="003C4D96"/>
    <w:rsid w:val="003C5792"/>
    <w:rsid w:val="003C7489"/>
    <w:rsid w:val="003D1A18"/>
    <w:rsid w:val="003D2B50"/>
    <w:rsid w:val="003D3448"/>
    <w:rsid w:val="003D587B"/>
    <w:rsid w:val="003E09ED"/>
    <w:rsid w:val="003E2CBA"/>
    <w:rsid w:val="003E5293"/>
    <w:rsid w:val="003E64E4"/>
    <w:rsid w:val="003E67E7"/>
    <w:rsid w:val="003F0380"/>
    <w:rsid w:val="003F30F4"/>
    <w:rsid w:val="003F77F9"/>
    <w:rsid w:val="0040061D"/>
    <w:rsid w:val="00405ACE"/>
    <w:rsid w:val="00406D54"/>
    <w:rsid w:val="00413F89"/>
    <w:rsid w:val="00414D6F"/>
    <w:rsid w:val="00417F57"/>
    <w:rsid w:val="00424E76"/>
    <w:rsid w:val="004309B6"/>
    <w:rsid w:val="00431B23"/>
    <w:rsid w:val="00434670"/>
    <w:rsid w:val="00436264"/>
    <w:rsid w:val="00444494"/>
    <w:rsid w:val="004445BE"/>
    <w:rsid w:val="00453E92"/>
    <w:rsid w:val="0045574A"/>
    <w:rsid w:val="00456D3B"/>
    <w:rsid w:val="00465F46"/>
    <w:rsid w:val="004768DE"/>
    <w:rsid w:val="00476A37"/>
    <w:rsid w:val="00481D88"/>
    <w:rsid w:val="00491045"/>
    <w:rsid w:val="00491E3A"/>
    <w:rsid w:val="0049446F"/>
    <w:rsid w:val="0049578D"/>
    <w:rsid w:val="004A65E4"/>
    <w:rsid w:val="004A76D5"/>
    <w:rsid w:val="004B3E6C"/>
    <w:rsid w:val="004C4422"/>
    <w:rsid w:val="004C4AED"/>
    <w:rsid w:val="004D0511"/>
    <w:rsid w:val="004D1394"/>
    <w:rsid w:val="004D24D5"/>
    <w:rsid w:val="004D284F"/>
    <w:rsid w:val="004D2CE5"/>
    <w:rsid w:val="004D3D80"/>
    <w:rsid w:val="004D44D5"/>
    <w:rsid w:val="004D4E54"/>
    <w:rsid w:val="004D5E08"/>
    <w:rsid w:val="004D6F91"/>
    <w:rsid w:val="004D7840"/>
    <w:rsid w:val="004E5E43"/>
    <w:rsid w:val="004F1061"/>
    <w:rsid w:val="004F32AD"/>
    <w:rsid w:val="004F44BE"/>
    <w:rsid w:val="004F531C"/>
    <w:rsid w:val="00500AEB"/>
    <w:rsid w:val="0051022D"/>
    <w:rsid w:val="00510BE0"/>
    <w:rsid w:val="00512A63"/>
    <w:rsid w:val="00513648"/>
    <w:rsid w:val="00515176"/>
    <w:rsid w:val="005203AB"/>
    <w:rsid w:val="00526F8A"/>
    <w:rsid w:val="005302B1"/>
    <w:rsid w:val="005308AC"/>
    <w:rsid w:val="005310C8"/>
    <w:rsid w:val="00532E15"/>
    <w:rsid w:val="00533F44"/>
    <w:rsid w:val="00534486"/>
    <w:rsid w:val="00535B05"/>
    <w:rsid w:val="00535B14"/>
    <w:rsid w:val="00536310"/>
    <w:rsid w:val="0054085B"/>
    <w:rsid w:val="005467C7"/>
    <w:rsid w:val="0055476A"/>
    <w:rsid w:val="00554B22"/>
    <w:rsid w:val="00554DC0"/>
    <w:rsid w:val="00556358"/>
    <w:rsid w:val="00562D4E"/>
    <w:rsid w:val="00562E65"/>
    <w:rsid w:val="005631ED"/>
    <w:rsid w:val="005632AA"/>
    <w:rsid w:val="0056409C"/>
    <w:rsid w:val="005641A8"/>
    <w:rsid w:val="00564E8F"/>
    <w:rsid w:val="00570E77"/>
    <w:rsid w:val="00573C72"/>
    <w:rsid w:val="00574C95"/>
    <w:rsid w:val="00574FB3"/>
    <w:rsid w:val="00581C7E"/>
    <w:rsid w:val="00582449"/>
    <w:rsid w:val="00582FC4"/>
    <w:rsid w:val="00583F62"/>
    <w:rsid w:val="00584E26"/>
    <w:rsid w:val="00587762"/>
    <w:rsid w:val="00597A7F"/>
    <w:rsid w:val="005A0B8C"/>
    <w:rsid w:val="005B066D"/>
    <w:rsid w:val="005B0EA5"/>
    <w:rsid w:val="005B2475"/>
    <w:rsid w:val="005B2FEC"/>
    <w:rsid w:val="005B7585"/>
    <w:rsid w:val="005B775D"/>
    <w:rsid w:val="005C4A8E"/>
    <w:rsid w:val="005D2833"/>
    <w:rsid w:val="005D2A55"/>
    <w:rsid w:val="005E0186"/>
    <w:rsid w:val="005E20D0"/>
    <w:rsid w:val="005E339C"/>
    <w:rsid w:val="005E70E7"/>
    <w:rsid w:val="005E7923"/>
    <w:rsid w:val="005E7DAF"/>
    <w:rsid w:val="005F6045"/>
    <w:rsid w:val="005F75A8"/>
    <w:rsid w:val="005F7C6F"/>
    <w:rsid w:val="0060170A"/>
    <w:rsid w:val="0060349F"/>
    <w:rsid w:val="006053B6"/>
    <w:rsid w:val="00605766"/>
    <w:rsid w:val="00613CE8"/>
    <w:rsid w:val="00620070"/>
    <w:rsid w:val="00621C42"/>
    <w:rsid w:val="00623213"/>
    <w:rsid w:val="006273E6"/>
    <w:rsid w:val="00627B61"/>
    <w:rsid w:val="00627E80"/>
    <w:rsid w:val="0063072C"/>
    <w:rsid w:val="00631165"/>
    <w:rsid w:val="006339CA"/>
    <w:rsid w:val="006347AD"/>
    <w:rsid w:val="006347EE"/>
    <w:rsid w:val="0063542C"/>
    <w:rsid w:val="006404AD"/>
    <w:rsid w:val="00641577"/>
    <w:rsid w:val="00642D59"/>
    <w:rsid w:val="00643777"/>
    <w:rsid w:val="00654046"/>
    <w:rsid w:val="006574D6"/>
    <w:rsid w:val="0066130D"/>
    <w:rsid w:val="00664690"/>
    <w:rsid w:val="00664C74"/>
    <w:rsid w:val="00666041"/>
    <w:rsid w:val="00671AC5"/>
    <w:rsid w:val="00671DEA"/>
    <w:rsid w:val="0067289D"/>
    <w:rsid w:val="00683436"/>
    <w:rsid w:val="00683585"/>
    <w:rsid w:val="006845FA"/>
    <w:rsid w:val="006863D5"/>
    <w:rsid w:val="006869AE"/>
    <w:rsid w:val="006941C5"/>
    <w:rsid w:val="00694D09"/>
    <w:rsid w:val="00697B78"/>
    <w:rsid w:val="006A7179"/>
    <w:rsid w:val="006B04FF"/>
    <w:rsid w:val="006B1F0D"/>
    <w:rsid w:val="006B590C"/>
    <w:rsid w:val="006B5A98"/>
    <w:rsid w:val="006B66E3"/>
    <w:rsid w:val="006B6C22"/>
    <w:rsid w:val="006C2992"/>
    <w:rsid w:val="006C3215"/>
    <w:rsid w:val="006C4724"/>
    <w:rsid w:val="006C5225"/>
    <w:rsid w:val="006C5A0C"/>
    <w:rsid w:val="006C7DD0"/>
    <w:rsid w:val="006D0BE6"/>
    <w:rsid w:val="006D2130"/>
    <w:rsid w:val="006D2A19"/>
    <w:rsid w:val="006D3EE0"/>
    <w:rsid w:val="006D5A72"/>
    <w:rsid w:val="006D629B"/>
    <w:rsid w:val="006E1BA8"/>
    <w:rsid w:val="006E5424"/>
    <w:rsid w:val="006E5BFE"/>
    <w:rsid w:val="006E73D2"/>
    <w:rsid w:val="006F031B"/>
    <w:rsid w:val="006F0B11"/>
    <w:rsid w:val="006F417A"/>
    <w:rsid w:val="006F4507"/>
    <w:rsid w:val="006F57FC"/>
    <w:rsid w:val="006F64A0"/>
    <w:rsid w:val="007016D8"/>
    <w:rsid w:val="00704DBF"/>
    <w:rsid w:val="007050BA"/>
    <w:rsid w:val="00717A94"/>
    <w:rsid w:val="007232A5"/>
    <w:rsid w:val="0072474B"/>
    <w:rsid w:val="00725F33"/>
    <w:rsid w:val="00726B3B"/>
    <w:rsid w:val="00726F5A"/>
    <w:rsid w:val="0073017F"/>
    <w:rsid w:val="00730789"/>
    <w:rsid w:val="00732580"/>
    <w:rsid w:val="00732B6F"/>
    <w:rsid w:val="00732C0C"/>
    <w:rsid w:val="007353F9"/>
    <w:rsid w:val="007405AA"/>
    <w:rsid w:val="00743499"/>
    <w:rsid w:val="00750A27"/>
    <w:rsid w:val="00750BB6"/>
    <w:rsid w:val="0075253A"/>
    <w:rsid w:val="00754E19"/>
    <w:rsid w:val="00755AA9"/>
    <w:rsid w:val="00763715"/>
    <w:rsid w:val="007778CF"/>
    <w:rsid w:val="00777DAC"/>
    <w:rsid w:val="00780FBA"/>
    <w:rsid w:val="0078157F"/>
    <w:rsid w:val="007822FB"/>
    <w:rsid w:val="007833CB"/>
    <w:rsid w:val="00784CF9"/>
    <w:rsid w:val="007A0576"/>
    <w:rsid w:val="007A0E5C"/>
    <w:rsid w:val="007A1D39"/>
    <w:rsid w:val="007A7F07"/>
    <w:rsid w:val="007B275D"/>
    <w:rsid w:val="007B303B"/>
    <w:rsid w:val="007B3B1C"/>
    <w:rsid w:val="007B5AA3"/>
    <w:rsid w:val="007C0D4C"/>
    <w:rsid w:val="007C57A8"/>
    <w:rsid w:val="007D2528"/>
    <w:rsid w:val="007D7791"/>
    <w:rsid w:val="007D7C74"/>
    <w:rsid w:val="007E32CB"/>
    <w:rsid w:val="007E48AD"/>
    <w:rsid w:val="007E4EDC"/>
    <w:rsid w:val="007E507F"/>
    <w:rsid w:val="007E7499"/>
    <w:rsid w:val="007F1C02"/>
    <w:rsid w:val="007F247F"/>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61FC"/>
    <w:rsid w:val="0082064D"/>
    <w:rsid w:val="008208A7"/>
    <w:rsid w:val="00824CB2"/>
    <w:rsid w:val="008268F9"/>
    <w:rsid w:val="008273FA"/>
    <w:rsid w:val="00832D34"/>
    <w:rsid w:val="008330F5"/>
    <w:rsid w:val="008333D8"/>
    <w:rsid w:val="008349BD"/>
    <w:rsid w:val="00836768"/>
    <w:rsid w:val="00836849"/>
    <w:rsid w:val="00841DE5"/>
    <w:rsid w:val="00842D0D"/>
    <w:rsid w:val="00844BE5"/>
    <w:rsid w:val="0084519D"/>
    <w:rsid w:val="00855278"/>
    <w:rsid w:val="008576D4"/>
    <w:rsid w:val="00861527"/>
    <w:rsid w:val="00862B47"/>
    <w:rsid w:val="00862C1A"/>
    <w:rsid w:val="008630DF"/>
    <w:rsid w:val="0086327D"/>
    <w:rsid w:val="008651F9"/>
    <w:rsid w:val="00870284"/>
    <w:rsid w:val="0087462B"/>
    <w:rsid w:val="00875A45"/>
    <w:rsid w:val="008763B3"/>
    <w:rsid w:val="008765DE"/>
    <w:rsid w:val="008847CD"/>
    <w:rsid w:val="00891B24"/>
    <w:rsid w:val="008A302A"/>
    <w:rsid w:val="008A3EEE"/>
    <w:rsid w:val="008A51D9"/>
    <w:rsid w:val="008A708E"/>
    <w:rsid w:val="008A77E3"/>
    <w:rsid w:val="008B17F4"/>
    <w:rsid w:val="008B29A5"/>
    <w:rsid w:val="008B3C53"/>
    <w:rsid w:val="008B3D16"/>
    <w:rsid w:val="008C114C"/>
    <w:rsid w:val="008C27DA"/>
    <w:rsid w:val="008C522A"/>
    <w:rsid w:val="008D3115"/>
    <w:rsid w:val="008D6691"/>
    <w:rsid w:val="008D799D"/>
    <w:rsid w:val="008E0DF1"/>
    <w:rsid w:val="008E3142"/>
    <w:rsid w:val="008E5DA7"/>
    <w:rsid w:val="008E6AF9"/>
    <w:rsid w:val="008E722E"/>
    <w:rsid w:val="008F2130"/>
    <w:rsid w:val="008F4CCF"/>
    <w:rsid w:val="00900450"/>
    <w:rsid w:val="00903256"/>
    <w:rsid w:val="0090619B"/>
    <w:rsid w:val="00906CBF"/>
    <w:rsid w:val="009110D1"/>
    <w:rsid w:val="00913200"/>
    <w:rsid w:val="00915F8D"/>
    <w:rsid w:val="00917ADE"/>
    <w:rsid w:val="00917DBD"/>
    <w:rsid w:val="009230E2"/>
    <w:rsid w:val="00930029"/>
    <w:rsid w:val="00930425"/>
    <w:rsid w:val="0093112A"/>
    <w:rsid w:val="009324E9"/>
    <w:rsid w:val="00933199"/>
    <w:rsid w:val="00936354"/>
    <w:rsid w:val="009376A0"/>
    <w:rsid w:val="00940811"/>
    <w:rsid w:val="00942F13"/>
    <w:rsid w:val="0094600E"/>
    <w:rsid w:val="00951D67"/>
    <w:rsid w:val="00965082"/>
    <w:rsid w:val="00973C62"/>
    <w:rsid w:val="009742BF"/>
    <w:rsid w:val="00976F99"/>
    <w:rsid w:val="0098532A"/>
    <w:rsid w:val="00986A5A"/>
    <w:rsid w:val="00990C9A"/>
    <w:rsid w:val="00993784"/>
    <w:rsid w:val="00993EDE"/>
    <w:rsid w:val="009949CD"/>
    <w:rsid w:val="009955EE"/>
    <w:rsid w:val="00995ABD"/>
    <w:rsid w:val="00996EAC"/>
    <w:rsid w:val="009971A0"/>
    <w:rsid w:val="009A1A7D"/>
    <w:rsid w:val="009A23B7"/>
    <w:rsid w:val="009A7C87"/>
    <w:rsid w:val="009B2917"/>
    <w:rsid w:val="009B299F"/>
    <w:rsid w:val="009C2A6F"/>
    <w:rsid w:val="009C40F0"/>
    <w:rsid w:val="009D1532"/>
    <w:rsid w:val="009D4D95"/>
    <w:rsid w:val="009E1606"/>
    <w:rsid w:val="009E1E8C"/>
    <w:rsid w:val="009E22E6"/>
    <w:rsid w:val="009E28B2"/>
    <w:rsid w:val="009E314A"/>
    <w:rsid w:val="009E63ED"/>
    <w:rsid w:val="009E67A1"/>
    <w:rsid w:val="009E7DFB"/>
    <w:rsid w:val="009F0F43"/>
    <w:rsid w:val="009F646D"/>
    <w:rsid w:val="00A03ABC"/>
    <w:rsid w:val="00A06073"/>
    <w:rsid w:val="00A0770B"/>
    <w:rsid w:val="00A078BF"/>
    <w:rsid w:val="00A201EF"/>
    <w:rsid w:val="00A215F6"/>
    <w:rsid w:val="00A23060"/>
    <w:rsid w:val="00A236B3"/>
    <w:rsid w:val="00A25FCD"/>
    <w:rsid w:val="00A34D95"/>
    <w:rsid w:val="00A35519"/>
    <w:rsid w:val="00A361B2"/>
    <w:rsid w:val="00A40E7A"/>
    <w:rsid w:val="00A4155C"/>
    <w:rsid w:val="00A42AAB"/>
    <w:rsid w:val="00A43E73"/>
    <w:rsid w:val="00A44626"/>
    <w:rsid w:val="00A460E2"/>
    <w:rsid w:val="00A46840"/>
    <w:rsid w:val="00A47EFE"/>
    <w:rsid w:val="00A50D8E"/>
    <w:rsid w:val="00A52E7E"/>
    <w:rsid w:val="00A5794D"/>
    <w:rsid w:val="00A61795"/>
    <w:rsid w:val="00A618B0"/>
    <w:rsid w:val="00A71685"/>
    <w:rsid w:val="00A74DFC"/>
    <w:rsid w:val="00A750E9"/>
    <w:rsid w:val="00A760B9"/>
    <w:rsid w:val="00A80603"/>
    <w:rsid w:val="00A87143"/>
    <w:rsid w:val="00A879C0"/>
    <w:rsid w:val="00A87CC1"/>
    <w:rsid w:val="00A95771"/>
    <w:rsid w:val="00A96044"/>
    <w:rsid w:val="00A9793D"/>
    <w:rsid w:val="00AA07E3"/>
    <w:rsid w:val="00AA0FC2"/>
    <w:rsid w:val="00AA12CA"/>
    <w:rsid w:val="00AA2694"/>
    <w:rsid w:val="00AB16DA"/>
    <w:rsid w:val="00AB36CF"/>
    <w:rsid w:val="00AB7F31"/>
    <w:rsid w:val="00AC320B"/>
    <w:rsid w:val="00AC3CAE"/>
    <w:rsid w:val="00AC61E2"/>
    <w:rsid w:val="00AC67D3"/>
    <w:rsid w:val="00AC6A97"/>
    <w:rsid w:val="00AD1760"/>
    <w:rsid w:val="00AD210E"/>
    <w:rsid w:val="00AD7649"/>
    <w:rsid w:val="00AD7ADD"/>
    <w:rsid w:val="00AE090B"/>
    <w:rsid w:val="00AE0C2D"/>
    <w:rsid w:val="00AE3388"/>
    <w:rsid w:val="00AE51B1"/>
    <w:rsid w:val="00AF057A"/>
    <w:rsid w:val="00AF1A26"/>
    <w:rsid w:val="00AF26DD"/>
    <w:rsid w:val="00AF2C0F"/>
    <w:rsid w:val="00AF35E5"/>
    <w:rsid w:val="00AF4D25"/>
    <w:rsid w:val="00B01601"/>
    <w:rsid w:val="00B0180D"/>
    <w:rsid w:val="00B11119"/>
    <w:rsid w:val="00B15DE3"/>
    <w:rsid w:val="00B2538A"/>
    <w:rsid w:val="00B3017E"/>
    <w:rsid w:val="00B32249"/>
    <w:rsid w:val="00B36320"/>
    <w:rsid w:val="00B37654"/>
    <w:rsid w:val="00B40DA1"/>
    <w:rsid w:val="00B46004"/>
    <w:rsid w:val="00B4629A"/>
    <w:rsid w:val="00B5634D"/>
    <w:rsid w:val="00B60AF4"/>
    <w:rsid w:val="00B62757"/>
    <w:rsid w:val="00B62869"/>
    <w:rsid w:val="00B65B79"/>
    <w:rsid w:val="00B67A28"/>
    <w:rsid w:val="00B7076F"/>
    <w:rsid w:val="00B71887"/>
    <w:rsid w:val="00B7333D"/>
    <w:rsid w:val="00B817B1"/>
    <w:rsid w:val="00B81EA3"/>
    <w:rsid w:val="00B86BDD"/>
    <w:rsid w:val="00B86C44"/>
    <w:rsid w:val="00B86D18"/>
    <w:rsid w:val="00B90347"/>
    <w:rsid w:val="00B91B1E"/>
    <w:rsid w:val="00B925D2"/>
    <w:rsid w:val="00B94A47"/>
    <w:rsid w:val="00B97C79"/>
    <w:rsid w:val="00BA0CC8"/>
    <w:rsid w:val="00BA170C"/>
    <w:rsid w:val="00BA1E44"/>
    <w:rsid w:val="00BA3214"/>
    <w:rsid w:val="00BA41B5"/>
    <w:rsid w:val="00BA498D"/>
    <w:rsid w:val="00BA74CA"/>
    <w:rsid w:val="00BB43EC"/>
    <w:rsid w:val="00BB67B2"/>
    <w:rsid w:val="00BC1B80"/>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B70"/>
    <w:rsid w:val="00BE3D27"/>
    <w:rsid w:val="00BE3F08"/>
    <w:rsid w:val="00BF15F6"/>
    <w:rsid w:val="00BF1E9F"/>
    <w:rsid w:val="00BF4FF8"/>
    <w:rsid w:val="00BF5EBB"/>
    <w:rsid w:val="00BF6B5B"/>
    <w:rsid w:val="00BF6BA1"/>
    <w:rsid w:val="00C0039F"/>
    <w:rsid w:val="00C00668"/>
    <w:rsid w:val="00C020FA"/>
    <w:rsid w:val="00C03935"/>
    <w:rsid w:val="00C11255"/>
    <w:rsid w:val="00C148F7"/>
    <w:rsid w:val="00C15E8F"/>
    <w:rsid w:val="00C2049A"/>
    <w:rsid w:val="00C204DE"/>
    <w:rsid w:val="00C214C1"/>
    <w:rsid w:val="00C26381"/>
    <w:rsid w:val="00C31456"/>
    <w:rsid w:val="00C32256"/>
    <w:rsid w:val="00C34C6E"/>
    <w:rsid w:val="00C37918"/>
    <w:rsid w:val="00C46B59"/>
    <w:rsid w:val="00C47D95"/>
    <w:rsid w:val="00C5006F"/>
    <w:rsid w:val="00C511EF"/>
    <w:rsid w:val="00C53573"/>
    <w:rsid w:val="00C54ED3"/>
    <w:rsid w:val="00C60B7F"/>
    <w:rsid w:val="00C610C3"/>
    <w:rsid w:val="00C638BF"/>
    <w:rsid w:val="00C63DFD"/>
    <w:rsid w:val="00C70019"/>
    <w:rsid w:val="00C74328"/>
    <w:rsid w:val="00C743C2"/>
    <w:rsid w:val="00C74693"/>
    <w:rsid w:val="00C74C78"/>
    <w:rsid w:val="00C821E5"/>
    <w:rsid w:val="00C9104F"/>
    <w:rsid w:val="00C92F2A"/>
    <w:rsid w:val="00C9408E"/>
    <w:rsid w:val="00CA270F"/>
    <w:rsid w:val="00CA554E"/>
    <w:rsid w:val="00CB4BB7"/>
    <w:rsid w:val="00CB4C80"/>
    <w:rsid w:val="00CB7FD7"/>
    <w:rsid w:val="00CC1355"/>
    <w:rsid w:val="00CC2B62"/>
    <w:rsid w:val="00CC4BC2"/>
    <w:rsid w:val="00CC5A2C"/>
    <w:rsid w:val="00CD0242"/>
    <w:rsid w:val="00CD1D19"/>
    <w:rsid w:val="00CD2F35"/>
    <w:rsid w:val="00CD6C88"/>
    <w:rsid w:val="00CE450F"/>
    <w:rsid w:val="00CF1FD6"/>
    <w:rsid w:val="00CF2EA0"/>
    <w:rsid w:val="00CF2FAD"/>
    <w:rsid w:val="00CF3DFE"/>
    <w:rsid w:val="00CF4345"/>
    <w:rsid w:val="00CF6F1B"/>
    <w:rsid w:val="00D131CC"/>
    <w:rsid w:val="00D13C31"/>
    <w:rsid w:val="00D1448F"/>
    <w:rsid w:val="00D159BE"/>
    <w:rsid w:val="00D22D12"/>
    <w:rsid w:val="00D235CC"/>
    <w:rsid w:val="00D2633B"/>
    <w:rsid w:val="00D325D1"/>
    <w:rsid w:val="00D32D4E"/>
    <w:rsid w:val="00D336E0"/>
    <w:rsid w:val="00D50626"/>
    <w:rsid w:val="00D60DCA"/>
    <w:rsid w:val="00D622DA"/>
    <w:rsid w:val="00D70D75"/>
    <w:rsid w:val="00D7181B"/>
    <w:rsid w:val="00D72C12"/>
    <w:rsid w:val="00D751F7"/>
    <w:rsid w:val="00D759C6"/>
    <w:rsid w:val="00D800C5"/>
    <w:rsid w:val="00D81B09"/>
    <w:rsid w:val="00D83A27"/>
    <w:rsid w:val="00D84024"/>
    <w:rsid w:val="00D95A0F"/>
    <w:rsid w:val="00DA35E1"/>
    <w:rsid w:val="00DA623F"/>
    <w:rsid w:val="00DC0168"/>
    <w:rsid w:val="00DC03BB"/>
    <w:rsid w:val="00DC12E9"/>
    <w:rsid w:val="00DC3C9A"/>
    <w:rsid w:val="00DC669A"/>
    <w:rsid w:val="00DD5E1F"/>
    <w:rsid w:val="00DD73C1"/>
    <w:rsid w:val="00DD7697"/>
    <w:rsid w:val="00DE1FEB"/>
    <w:rsid w:val="00DE4223"/>
    <w:rsid w:val="00DE52A4"/>
    <w:rsid w:val="00DF5C8A"/>
    <w:rsid w:val="00DF654A"/>
    <w:rsid w:val="00DF782D"/>
    <w:rsid w:val="00DF79CC"/>
    <w:rsid w:val="00E06E83"/>
    <w:rsid w:val="00E10345"/>
    <w:rsid w:val="00E10819"/>
    <w:rsid w:val="00E10C0E"/>
    <w:rsid w:val="00E11762"/>
    <w:rsid w:val="00E140BF"/>
    <w:rsid w:val="00E15BA7"/>
    <w:rsid w:val="00E15CAE"/>
    <w:rsid w:val="00E16BC6"/>
    <w:rsid w:val="00E1774B"/>
    <w:rsid w:val="00E20DF8"/>
    <w:rsid w:val="00E20F8E"/>
    <w:rsid w:val="00E27656"/>
    <w:rsid w:val="00E308B8"/>
    <w:rsid w:val="00E4124D"/>
    <w:rsid w:val="00E44353"/>
    <w:rsid w:val="00E45413"/>
    <w:rsid w:val="00E52774"/>
    <w:rsid w:val="00E52A48"/>
    <w:rsid w:val="00E613A5"/>
    <w:rsid w:val="00E63295"/>
    <w:rsid w:val="00E64324"/>
    <w:rsid w:val="00E66927"/>
    <w:rsid w:val="00E671C3"/>
    <w:rsid w:val="00E71E47"/>
    <w:rsid w:val="00E7553E"/>
    <w:rsid w:val="00E76DAD"/>
    <w:rsid w:val="00E76ECF"/>
    <w:rsid w:val="00E80CA5"/>
    <w:rsid w:val="00E83B14"/>
    <w:rsid w:val="00E855E3"/>
    <w:rsid w:val="00E8776B"/>
    <w:rsid w:val="00E877ED"/>
    <w:rsid w:val="00E87F1E"/>
    <w:rsid w:val="00E91831"/>
    <w:rsid w:val="00E93CB4"/>
    <w:rsid w:val="00EA155E"/>
    <w:rsid w:val="00EA1D7B"/>
    <w:rsid w:val="00EA440D"/>
    <w:rsid w:val="00EA725B"/>
    <w:rsid w:val="00EB4615"/>
    <w:rsid w:val="00EB7F04"/>
    <w:rsid w:val="00EC1824"/>
    <w:rsid w:val="00EC2D3C"/>
    <w:rsid w:val="00EC73B3"/>
    <w:rsid w:val="00ED0C09"/>
    <w:rsid w:val="00ED57C9"/>
    <w:rsid w:val="00ED66BC"/>
    <w:rsid w:val="00EE03EE"/>
    <w:rsid w:val="00EE42AF"/>
    <w:rsid w:val="00EE5403"/>
    <w:rsid w:val="00EE5D52"/>
    <w:rsid w:val="00EF043B"/>
    <w:rsid w:val="00EF237E"/>
    <w:rsid w:val="00EF23DF"/>
    <w:rsid w:val="00EF2575"/>
    <w:rsid w:val="00F052DE"/>
    <w:rsid w:val="00F0780D"/>
    <w:rsid w:val="00F16D65"/>
    <w:rsid w:val="00F17B83"/>
    <w:rsid w:val="00F20790"/>
    <w:rsid w:val="00F2351B"/>
    <w:rsid w:val="00F32B29"/>
    <w:rsid w:val="00F41597"/>
    <w:rsid w:val="00F4296D"/>
    <w:rsid w:val="00F46396"/>
    <w:rsid w:val="00F47188"/>
    <w:rsid w:val="00F53B8A"/>
    <w:rsid w:val="00F53FDC"/>
    <w:rsid w:val="00F55118"/>
    <w:rsid w:val="00F551AD"/>
    <w:rsid w:val="00F56E8C"/>
    <w:rsid w:val="00F61308"/>
    <w:rsid w:val="00F61547"/>
    <w:rsid w:val="00F619F6"/>
    <w:rsid w:val="00F625A9"/>
    <w:rsid w:val="00F673F0"/>
    <w:rsid w:val="00F7163B"/>
    <w:rsid w:val="00F721F0"/>
    <w:rsid w:val="00F7476C"/>
    <w:rsid w:val="00F76D5B"/>
    <w:rsid w:val="00F83300"/>
    <w:rsid w:val="00F868B9"/>
    <w:rsid w:val="00F8796D"/>
    <w:rsid w:val="00F912B1"/>
    <w:rsid w:val="00F91942"/>
    <w:rsid w:val="00F93B0E"/>
    <w:rsid w:val="00F93BEE"/>
    <w:rsid w:val="00F948D4"/>
    <w:rsid w:val="00F94A49"/>
    <w:rsid w:val="00F96B9C"/>
    <w:rsid w:val="00F97147"/>
    <w:rsid w:val="00FA0AF2"/>
    <w:rsid w:val="00FA430A"/>
    <w:rsid w:val="00FA6626"/>
    <w:rsid w:val="00FB033D"/>
    <w:rsid w:val="00FB0DAB"/>
    <w:rsid w:val="00FB3AE9"/>
    <w:rsid w:val="00FB79C9"/>
    <w:rsid w:val="00FC0076"/>
    <w:rsid w:val="00FC1156"/>
    <w:rsid w:val="00FC342C"/>
    <w:rsid w:val="00FD13E3"/>
    <w:rsid w:val="00FD5516"/>
    <w:rsid w:val="00FD6D44"/>
    <w:rsid w:val="00FD72D9"/>
    <w:rsid w:val="00FD7366"/>
    <w:rsid w:val="00FE7C65"/>
    <w:rsid w:val="00FF2267"/>
    <w:rsid w:val="00FF4009"/>
    <w:rsid w:val="00FF49EB"/>
    <w:rsid w:val="09C3BA1D"/>
    <w:rsid w:val="22B63751"/>
    <w:rsid w:val="24E9064F"/>
    <w:rsid w:val="26D46DB9"/>
    <w:rsid w:val="3E19AC17"/>
    <w:rsid w:val="47572585"/>
    <w:rsid w:val="4D502992"/>
    <w:rsid w:val="4F6019FB"/>
    <w:rsid w:val="510156A7"/>
    <w:rsid w:val="750EA2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styleId="Body1" w:customStyle="1">
    <w:name w:val="Body1"/>
    <w:basedOn w:val="Normal"/>
    <w:rsid w:val="00C11255"/>
    <w:pPr>
      <w:ind w:left="720"/>
    </w:pPr>
  </w:style>
  <w:style w:type="paragraph" w:styleId="Body2" w:customStyle="1">
    <w:name w:val="Body2"/>
    <w:basedOn w:val="Normal"/>
    <w:rsid w:val="00C11255"/>
    <w:pPr>
      <w:ind w:left="1440"/>
    </w:pPr>
  </w:style>
  <w:style w:type="paragraph" w:styleId="Body3" w:customStyle="1">
    <w:name w:val="Body3"/>
    <w:basedOn w:val="Normal"/>
    <w:rsid w:val="00C11255"/>
    <w:pPr>
      <w:ind w:left="2404"/>
    </w:pPr>
  </w:style>
  <w:style w:type="paragraph" w:styleId="Body4" w:customStyle="1">
    <w:name w:val="Body4"/>
    <w:basedOn w:val="Normal"/>
    <w:rsid w:val="00C11255"/>
    <w:pPr>
      <w:ind w:left="3617"/>
    </w:pPr>
  </w:style>
  <w:style w:type="paragraph" w:styleId="Body5" w:customStyle="1">
    <w:name w:val="Body5"/>
    <w:basedOn w:val="Normal"/>
    <w:rsid w:val="00C11255"/>
    <w:pPr>
      <w:ind w:left="4349"/>
    </w:pPr>
  </w:style>
  <w:style w:type="paragraph" w:styleId="BodyTextIndent">
    <w:name w:val="Body Text Indent"/>
    <w:basedOn w:val="Normal"/>
    <w:rsid w:val="00C11255"/>
    <w:pPr>
      <w:ind w:left="709"/>
    </w:pPr>
  </w:style>
  <w:style w:type="paragraph" w:styleId="Body6" w:customStyle="1">
    <w:name w:val="Body6"/>
    <w:basedOn w:val="Normal"/>
    <w:rsid w:val="00C11255"/>
    <w:pPr>
      <w:ind w:left="5058"/>
    </w:pPr>
  </w:style>
  <w:style w:type="paragraph" w:styleId="Body7" w:customStyle="1">
    <w:name w:val="Body7"/>
    <w:basedOn w:val="Normal"/>
    <w:rsid w:val="00C11255"/>
    <w:pPr>
      <w:ind w:left="5761"/>
    </w:pPr>
  </w:style>
  <w:style w:type="paragraph" w:styleId="Body8" w:customStyle="1">
    <w:name w:val="Body8"/>
    <w:basedOn w:val="Normal"/>
    <w:rsid w:val="00C11255"/>
    <w:pPr>
      <w:ind w:left="6447"/>
    </w:pPr>
  </w:style>
  <w:style w:type="paragraph" w:styleId="Body9" w:customStyle="1">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link w:val="BodyTextChar"/>
    <w:rsid w:val="00C11255"/>
  </w:style>
  <w:style w:type="paragraph" w:styleId="DocSpace" w:customStyle="1">
    <w:name w:val="DocSpace"/>
    <w:basedOn w:val="Normal"/>
    <w:rsid w:val="00C11255"/>
  </w:style>
  <w:style w:type="paragraph" w:styleId="SchTitle" w:customStyle="1">
    <w:name w:val="Sch Title"/>
    <w:next w:val="Normal"/>
    <w:rsid w:val="00C11255"/>
    <w:pPr>
      <w:keepNext/>
      <w:spacing w:before="240" w:after="60"/>
      <w:jc w:val="center"/>
    </w:pPr>
    <w:rPr>
      <w:rFonts w:ascii="Arial" w:hAnsi="Arial"/>
      <w:b/>
      <w:noProof/>
      <w:lang w:eastAsia="en-US"/>
    </w:rPr>
  </w:style>
  <w:style w:type="paragraph" w:styleId="SchedClauses" w:customStyle="1">
    <w:name w:val="Sched Clauses"/>
    <w:basedOn w:val="Normal"/>
    <w:rsid w:val="00C11255"/>
  </w:style>
  <w:style w:type="paragraph" w:styleId="STBody" w:customStyle="1">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styleId="SingleSpace" w:customStyle="1">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styleId="Default" w:customStyle="1">
    <w:name w:val="Default"/>
    <w:rsid w:val="005E70E7"/>
    <w:pPr>
      <w:autoSpaceDE w:val="0"/>
      <w:autoSpaceDN w:val="0"/>
      <w:adjustRightInd w:val="0"/>
    </w:pPr>
    <w:rPr>
      <w:rFonts w:ascii="Arial" w:hAnsi="Arial" w:cs="Arial"/>
      <w:color w:val="000000"/>
      <w:sz w:val="24"/>
      <w:szCs w:val="24"/>
    </w:rPr>
  </w:style>
  <w:style w:type="paragraph" w:styleId="Paragraph" w:customStyle="1">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semiHidden/>
    <w:unhideWhenUsed/>
    <w:rsid w:val="000329FE"/>
    <w:rPr>
      <w:sz w:val="16"/>
      <w:szCs w:val="16"/>
    </w:rPr>
  </w:style>
  <w:style w:type="paragraph" w:styleId="CommentText">
    <w:name w:val="annotation text"/>
    <w:basedOn w:val="Normal"/>
    <w:link w:val="CommentTextChar"/>
    <w:unhideWhenUsed/>
    <w:rsid w:val="000329FE"/>
    <w:pPr>
      <w:spacing w:line="240" w:lineRule="auto"/>
    </w:pPr>
  </w:style>
  <w:style w:type="character" w:styleId="CommentTextChar" w:customStyle="1">
    <w:name w:val="Comment Text Char"/>
    <w:basedOn w:val="DefaultParagraphFont"/>
    <w:link w:val="CommentText"/>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styleId="CommentSubjectChar" w:customStyle="1">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styleId="FootnoteTextChar" w:customStyle="1">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styleId="NICEnormalChar" w:customStyle="1">
    <w:name w:val="NICE normal Char"/>
    <w:basedOn w:val="DefaultParagraphFont"/>
    <w:link w:val="NICEnormal"/>
    <w:locked/>
    <w:rsid w:val="00B94A47"/>
    <w:rPr>
      <w:rFonts w:ascii="Arial" w:hAnsi="Arial" w:cs="Arial"/>
      <w:lang w:eastAsia="en-US"/>
    </w:rPr>
  </w:style>
  <w:style w:type="paragraph" w:styleId="NICEnormal" w:customStyle="1">
    <w:name w:val="NICE normal"/>
    <w:basedOn w:val="Normal"/>
    <w:link w:val="NICEnormalChar"/>
    <w:rsid w:val="00B94A47"/>
    <w:pPr>
      <w:spacing w:after="240" w:line="360" w:lineRule="auto"/>
    </w:pPr>
    <w:rPr>
      <w:rFonts w:cs="Arial"/>
      <w:color w:val="auto"/>
    </w:rPr>
  </w:style>
  <w:style w:type="character" w:styleId="HeaderChar" w:customStyle="1">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styleId="ParagraphNumbered" w:customStyle="1">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 w:type="character" w:styleId="BodyTextChar" w:customStyle="1">
    <w:name w:val="Body Text Char"/>
    <w:basedOn w:val="DefaultParagraphFont"/>
    <w:link w:val="BodyText"/>
    <w:rsid w:val="003B339B"/>
    <w:rPr>
      <w:rFonts w:ascii="Arial" w:hAnsi="Arial"/>
      <w:color w:val="33333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customXml" Target="../customXml/item4.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customXml" Target="../customXml/item3.xml" Id="rId17" /><Relationship Type="http://schemas.openxmlformats.org/officeDocument/2006/relationships/numbering" Target="numbering.xml" Id="rId2" /><Relationship Type="http://schemas.openxmlformats.org/officeDocument/2006/relationships/customXml" Target="../customXml/item2.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roperties xmlns="http://www.imanage.com/work/xmlschema">
  <documentid>Active1!162420714.2</documentid>
  <senderid>AWNE</senderid>
  <senderemail>AEDWARDS@DACBEACHCROFT.COM</senderemail>
  <lastmodified>2025-07-21T09:54:00.0000000+01:00</lastmodified>
  <database>Active1</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4" ma:contentTypeDescription="Create a new document." ma:contentTypeScope="" ma:versionID="728ec610e5ae5b6dd53e05eaba2b713f">
  <xsd:schema xmlns:xsd="http://www.w3.org/2001/XMLSchema" xmlns:xs="http://www.w3.org/2001/XMLSchema" xmlns:p="http://schemas.microsoft.com/office/2006/metadata/properties" xmlns:ns2="465a54fe-435b-4423-8fe2-c9a3626b31f7" xmlns:ns3="68f19371-ebe6-4483-8e72-73d36cd7064e" xmlns:ns4="0eb656aa-4e79-4e95-9076-bc119a23e0cc" targetNamespace="http://schemas.microsoft.com/office/2006/metadata/properties" ma:root="true" ma:fieldsID="6b95492fdec4d137835758420a921f71" ns2:_="" ns3:_="" ns4:_="">
    <xsd:import namespace="465a54fe-435b-4423-8fe2-c9a3626b31f7"/>
    <xsd:import namespace="68f19371-ebe6-4483-8e72-73d36cd7064e"/>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d61abc-4cd0-41d5-925d-20cb28cbf0f5}" ma:internalName="TaxCatchAll" ma:showField="CatchAllData" ma:web="68f19371-ebe6-4483-8e72-73d36cd706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465a54fe-435b-4423-8fe2-c9a3626b31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93C60B-C898-4D27-B28D-B8E161C5FB90}">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B31A88FD-E1E4-46E5-B4EC-76A8AF93DF91}"/>
</file>

<file path=customXml/itemProps3.xml><?xml version="1.0" encoding="utf-8"?>
<ds:datastoreItem xmlns:ds="http://schemas.openxmlformats.org/officeDocument/2006/customXml" ds:itemID="{1F23FD2C-189F-49D8-972C-19AEDC001C12}"/>
</file>

<file path=customXml/itemProps4.xml><?xml version="1.0" encoding="utf-8"?>
<ds:datastoreItem xmlns:ds="http://schemas.openxmlformats.org/officeDocument/2006/customXml" ds:itemID="{B22DD4E4-AD7A-46D3-B042-E832D1583C5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Lyn Davies</cp:lastModifiedBy>
  <cp:revision>5</cp:revision>
  <dcterms:created xsi:type="dcterms:W3CDTF">2025-07-21T09:52:00Z</dcterms:created>
  <dcterms:modified xsi:type="dcterms:W3CDTF">2025-11-10T14:42:38Z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2025-07-21T09:52:10Z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5ab9dfbc-fadc-4443-a354-01a9e0a0a5f5</vt:lpwstr>
  </property>
  <property fmtid="{D5CDD505-2E9C-101B-9397-08002B2CF9AE}" pid="8" name="MSIP_Label_c69d85d5-6d9e-4305-a294-1f636ec0f2d6_ContentBits">
    <vt:lpwstr>0</vt:lpwstr>
  </property>
  <property fmtid="{D5CDD505-2E9C-101B-9397-08002B2CF9AE}" pid="9" name="MSIP_Label_c69d85d5-6d9e-4305-a294-1f636ec0f2d6_Tag">
    <vt:lpwstr>10, 3, 0, 1</vt:lpwstr>
  </property>
  <property fmtid="{D5CDD505-2E9C-101B-9397-08002B2CF9AE}" pid="10" name="ContentTypeId">
    <vt:lpwstr>0x0101003300E5E64B980D458C754FFE05DEE26D</vt:lpwstr>
  </property>
  <property fmtid="{D5CDD505-2E9C-101B-9397-08002B2CF9AE}" pid="11" name="MediaServiceImageTags">
    <vt:lpwstr/>
  </property>
</Properties>
</file>