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43022B" w:rsidR="0004302C" w:rsidP="23740735" w:rsidRDefault="0004302C" w14:paraId="5F36C1A4" w14:textId="712EF241">
      <w:pPr>
        <w:rPr>
          <w:rStyle w:val="Hyperlink"/>
          <w:rFonts w:cs="Arial"/>
          <w:color w:val="auto"/>
          <w:highlight w:val="black"/>
        </w:rPr>
      </w:pPr>
      <w:r w:rsidRPr="0BCE14AE" w:rsidR="0004302C">
        <w:rPr>
          <w:rFonts w:cs="Arial"/>
        </w:rPr>
        <w:t>Sent by e-mail only:</w:t>
      </w:r>
      <w:r w:rsidRPr="0BCE14AE" w:rsidR="0004302C">
        <w:rPr>
          <w:rFonts w:cs="Arial"/>
          <w:color w:val="auto"/>
        </w:rPr>
        <w:t xml:space="preserve"> </w:t>
      </w:r>
      <w:r w:rsidRPr="0BCE14AE" w:rsidR="54D2D745">
        <w:rPr>
          <w:rFonts w:cs="Arial"/>
          <w:color w:val="auto"/>
          <w:highlight w:val="black"/>
        </w:rPr>
        <w:t>XXXXXXXXXXXXXXXXXX</w:t>
      </w:r>
      <w:r w:rsidRPr="0BCE14AE" w:rsidR="0004302C">
        <w:rPr>
          <w:rFonts w:cs="Arial"/>
        </w:rPr>
        <w:t xml:space="preserve"> </w:t>
      </w:r>
    </w:p>
    <w:p w:rsidRPr="0043022B" w:rsidR="0004302C" w:rsidP="0004302C" w:rsidRDefault="0004302C" w14:paraId="52AF9A60" w14:textId="1C10C15E">
      <w:pPr>
        <w:spacing w:after="0" w:line="240" w:lineRule="auto"/>
        <w:jc w:val="both"/>
        <w:rPr>
          <w:rFonts w:cs="Arial"/>
        </w:rPr>
      </w:pPr>
      <w:r w:rsidRPr="0BCE14AE" w:rsidR="0004302C">
        <w:rPr>
          <w:rFonts w:cs="Arial"/>
        </w:rPr>
        <w:t xml:space="preserve">FAO </w:t>
      </w:r>
      <w:r w:rsidRPr="0BCE14AE" w:rsidR="2B42FABC">
        <w:rPr>
          <w:rFonts w:cs="Arial"/>
          <w:color w:val="auto"/>
          <w:highlight w:val="black"/>
        </w:rPr>
        <w:t>XXXXXXXXXXXXXXX</w:t>
      </w:r>
    </w:p>
    <w:p w:rsidR="0004302C" w:rsidP="0004302C" w:rsidRDefault="006C5A0C" w14:paraId="35C240FF" w14:textId="2BACE736">
      <w:pPr>
        <w:spacing w:after="0" w:line="240" w:lineRule="auto"/>
        <w:jc w:val="both"/>
        <w:rPr>
          <w:rFonts w:cs="Arial"/>
        </w:rPr>
      </w:pPr>
      <w:r>
        <w:rPr>
          <w:rFonts w:cs="Arial"/>
        </w:rPr>
        <w:t>UCB Pharma Ltd</w:t>
      </w:r>
    </w:p>
    <w:p w:rsidR="006C5A0C" w:rsidP="0004302C" w:rsidRDefault="006C5A0C" w14:paraId="552024F4" w14:textId="79B2F4A6">
      <w:pPr>
        <w:spacing w:after="0" w:line="240" w:lineRule="auto"/>
        <w:jc w:val="both"/>
        <w:rPr>
          <w:rFonts w:cs="Arial"/>
        </w:rPr>
      </w:pPr>
      <w:r>
        <w:rPr>
          <w:rFonts w:cs="Arial"/>
        </w:rPr>
        <w:t>208 Bath Road</w:t>
      </w:r>
    </w:p>
    <w:p w:rsidR="006C5A0C" w:rsidP="0004302C" w:rsidRDefault="006C5A0C" w14:paraId="5085CD01" w14:textId="42D412E8">
      <w:pPr>
        <w:spacing w:after="0" w:line="240" w:lineRule="auto"/>
        <w:jc w:val="both"/>
        <w:rPr>
          <w:rFonts w:cs="Arial"/>
        </w:rPr>
      </w:pPr>
      <w:r>
        <w:rPr>
          <w:rFonts w:cs="Arial"/>
        </w:rPr>
        <w:t xml:space="preserve">Slough </w:t>
      </w:r>
    </w:p>
    <w:p w:rsidR="006C5A0C" w:rsidP="0004302C" w:rsidRDefault="006C5A0C" w14:paraId="029B7616" w14:textId="7CA4D7B4">
      <w:pPr>
        <w:spacing w:after="0" w:line="240" w:lineRule="auto"/>
        <w:jc w:val="both"/>
        <w:rPr>
          <w:rFonts w:cs="Arial"/>
        </w:rPr>
      </w:pPr>
      <w:r>
        <w:rPr>
          <w:rFonts w:cs="Arial"/>
        </w:rPr>
        <w:t xml:space="preserve">Berkshire </w:t>
      </w:r>
    </w:p>
    <w:p w:rsidRPr="0043022B" w:rsidR="006C5A0C" w:rsidP="0004302C" w:rsidRDefault="006C5A0C" w14:paraId="6267AA23" w14:textId="5EA88A98">
      <w:pPr>
        <w:spacing w:after="0" w:line="240" w:lineRule="auto"/>
        <w:jc w:val="both"/>
        <w:rPr>
          <w:rFonts w:cs="Arial"/>
        </w:rPr>
      </w:pPr>
      <w:r>
        <w:rPr>
          <w:rFonts w:cs="Arial"/>
        </w:rPr>
        <w:t>SL1 3WE</w:t>
      </w:r>
    </w:p>
    <w:p w:rsidRPr="0043022B" w:rsidR="0004302C" w:rsidP="0004302C" w:rsidRDefault="0004302C" w14:paraId="78445498" w14:textId="77777777">
      <w:pPr>
        <w:rPr>
          <w:rFonts w:cs="Arial"/>
        </w:rPr>
      </w:pPr>
    </w:p>
    <w:p w:rsidRPr="0043022B" w:rsidR="0004302C" w:rsidP="0004302C" w:rsidRDefault="0004302C" w14:paraId="706E42E0" w14:textId="77777777">
      <w:pPr>
        <w:rPr>
          <w:rFonts w:cs="Arial"/>
        </w:rPr>
      </w:pPr>
    </w:p>
    <w:p w:rsidRPr="0043022B" w:rsidR="0004302C" w:rsidP="0004302C" w:rsidRDefault="00E44644" w14:paraId="51088EB9" w14:textId="42798896">
      <w:pPr>
        <w:rPr>
          <w:rFonts w:cs="Arial"/>
        </w:rPr>
      </w:pPr>
      <w:r>
        <w:rPr>
          <w:rFonts w:cs="Arial"/>
        </w:rPr>
        <w:t>21</w:t>
      </w:r>
      <w:r w:rsidR="006C5A0C">
        <w:rPr>
          <w:rFonts w:cs="Arial"/>
        </w:rPr>
        <w:t xml:space="preserve"> July 2025</w:t>
      </w:r>
    </w:p>
    <w:p w:rsidRPr="0043022B" w:rsidR="0004302C" w:rsidP="0004302C" w:rsidRDefault="0004302C" w14:paraId="50583914" w14:textId="77777777">
      <w:pPr>
        <w:rPr>
          <w:rStyle w:val="Hyperlink"/>
          <w:rFonts w:cs="Arial"/>
        </w:rPr>
      </w:pPr>
    </w:p>
    <w:p w:rsidRPr="0043022B" w:rsidR="0004302C" w:rsidP="23740735" w:rsidRDefault="0004302C" w14:paraId="6392A75B" w14:textId="14607D29">
      <w:pPr>
        <w:ind w:left="426" w:right="468" w:hanging="426"/>
        <w:jc w:val="both"/>
        <w:rPr>
          <w:rFonts w:cs="Arial"/>
          <w:noProof/>
          <w:spacing w:val="-3"/>
          <w:lang w:eastAsia="en-GB"/>
        </w:rPr>
      </w:pPr>
      <w:bookmarkStart w:name="deartext" w:id="0"/>
      <w:r w:rsidRPr="0BCE14AE" w:rsidR="0004302C">
        <w:rPr>
          <w:rFonts w:cs="Arial"/>
        </w:rPr>
        <w:t>Dear</w:t>
      </w:r>
      <w:bookmarkEnd w:id="0"/>
      <w:r w:rsidRPr="0BCE14AE" w:rsidR="0004302C">
        <w:rPr>
          <w:rFonts w:cs="Arial"/>
        </w:rPr>
        <w:t xml:space="preserve"> </w:t>
      </w:r>
      <w:bookmarkStart w:name="Sal" w:id="1"/>
      <w:bookmarkEnd w:id="1"/>
      <w:r w:rsidRPr="0BCE14AE" w:rsidR="006C5A0C">
        <w:rPr>
          <w:rFonts w:cs="Arial"/>
        </w:rPr>
        <w:t xml:space="preserve">Mr </w:t>
      </w:r>
      <w:r w:rsidRPr="0BCE14AE" w:rsidR="4B1BBE16">
        <w:rPr>
          <w:rFonts w:cs="Arial"/>
          <w:color w:val="auto"/>
          <w:highlight w:val="black"/>
        </w:rPr>
        <w:t>XXXXXXXXXXXXX</w:t>
      </w:r>
    </w:p>
    <w:p w:rsidRPr="0043022B" w:rsidR="0004302C" w:rsidP="0004302C" w:rsidRDefault="0004302C" w14:paraId="0C2B27E7" w14:textId="1136670B">
      <w:pPr>
        <w:ind w:left="426" w:right="468" w:hanging="426"/>
        <w:jc w:val="both"/>
        <w:rPr>
          <w:rFonts w:cs="Arial"/>
          <w:b/>
        </w:rPr>
      </w:pPr>
      <w:r w:rsidRPr="0043022B">
        <w:rPr>
          <w:rFonts w:cs="Arial"/>
          <w:noProof/>
          <w:lang w:eastAsia="en-GB"/>
        </w:rPr>
        <mc:AlternateContent>
          <mc:Choice Requires="wps">
            <w:drawing>
              <wp:anchor distT="4294967294" distB="4294967294" distL="114300" distR="114300" simplePos="0" relativeHeight="251658240" behindDoc="0" locked="0" layoutInCell="1" allowOverlap="1" wp14:anchorId="6EA67439" wp14:editId="02C5AE77">
                <wp:simplePos x="0" y="0"/>
                <wp:positionH relativeFrom="column">
                  <wp:posOffset>-805815</wp:posOffset>
                </wp:positionH>
                <wp:positionV relativeFrom="paragraph">
                  <wp:posOffset>255270</wp:posOffset>
                </wp:positionV>
                <wp:extent cx="81915" cy="0"/>
                <wp:effectExtent l="0" t="0" r="3238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1915" cy="0"/>
                        </a:xfrm>
                        <a:prstGeom prst="line">
                          <a:avLst/>
                        </a:prstGeom>
                        <a:noFill/>
                        <a:ln w="3175" cap="flat" cmpd="sng" algn="ctr">
                          <a:solidFill>
                            <a:srgbClr val="50505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line id="Straight Connector 2"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spid="_x0000_s1026" strokecolor="#505050" strokeweight=".25pt" from="-63.45pt,20.1pt" to="-57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" w14:anchorId="31E450BA">
                <o:lock v:ext="edit" shapetype="f"/>
              </v:line>
            </w:pict>
          </mc:Fallback>
        </mc:AlternateContent>
      </w:r>
      <w:r w:rsidRPr="0043022B">
        <w:rPr>
          <w:rFonts w:cs="Arial"/>
          <w:b/>
          <w:spacing w:val="-3"/>
        </w:rPr>
        <w:t xml:space="preserve">Re: </w:t>
      </w:r>
      <w:r w:rsidRPr="0043022B">
        <w:rPr>
          <w:rFonts w:cs="Arial"/>
          <w:b/>
        </w:rPr>
        <w:t xml:space="preserve">Final </w:t>
      </w:r>
      <w:r w:rsidR="006C5A0C">
        <w:rPr>
          <w:rFonts w:cs="Arial"/>
          <w:b/>
        </w:rPr>
        <w:t>Draft Guidance – zilucoplan for treating antibody-positive generalised myasthenia gravis [ID4008]</w:t>
      </w:r>
    </w:p>
    <w:p w:rsidRPr="00C31456" w:rsidR="00003026" w:rsidP="00413F89" w:rsidRDefault="000223BD" w14:paraId="7414DC3E" w14:textId="0FCDEAFF">
      <w:pPr>
        <w:jc w:val="both"/>
        <w:rPr>
          <w:rFonts w:cs="Arial"/>
          <w:color w:val="auto"/>
        </w:rPr>
      </w:pPr>
      <w:r w:rsidRPr="00C31456">
        <w:rPr>
          <w:rFonts w:cs="Arial"/>
          <w:color w:val="auto"/>
        </w:rPr>
        <w:t xml:space="preserve">Thank you for your letter of </w:t>
      </w:r>
      <w:r w:rsidRPr="00C31456" w:rsidR="006C5A0C">
        <w:rPr>
          <w:rFonts w:cs="Arial"/>
          <w:color w:val="auto"/>
        </w:rPr>
        <w:t>10 July 2025</w:t>
      </w:r>
      <w:r w:rsidRPr="00C31456">
        <w:rPr>
          <w:rFonts w:cs="Arial"/>
          <w:color w:val="auto"/>
        </w:rPr>
        <w:t xml:space="preserve">, lodging </w:t>
      </w:r>
      <w:r w:rsidRPr="00C31456" w:rsidR="00F4296D">
        <w:rPr>
          <w:rFonts w:cs="Arial"/>
          <w:color w:val="auto"/>
        </w:rPr>
        <w:t>an</w:t>
      </w:r>
      <w:r w:rsidRPr="00C31456">
        <w:rPr>
          <w:rFonts w:cs="Arial"/>
          <w:color w:val="auto"/>
        </w:rPr>
        <w:t xml:space="preserve"> appeal against the above Final </w:t>
      </w:r>
      <w:r w:rsidRPr="00C31456" w:rsidR="006C5A0C">
        <w:rPr>
          <w:rFonts w:cs="Arial"/>
          <w:color w:val="auto"/>
        </w:rPr>
        <w:t>Draft Guidance</w:t>
      </w:r>
      <w:r w:rsidRPr="00C31456">
        <w:rPr>
          <w:rFonts w:cs="Arial"/>
          <w:color w:val="auto"/>
        </w:rPr>
        <w:t xml:space="preserve"> (</w:t>
      </w:r>
      <w:r w:rsidRPr="00C31456" w:rsidR="006C5A0C">
        <w:rPr>
          <w:rFonts w:cs="Arial"/>
          <w:color w:val="auto"/>
        </w:rPr>
        <w:t>"</w:t>
      </w:r>
      <w:r w:rsidRPr="00C31456" w:rsidR="006C5A0C">
        <w:rPr>
          <w:rFonts w:cs="Arial"/>
          <w:b/>
          <w:bCs/>
          <w:color w:val="auto"/>
        </w:rPr>
        <w:t>FDG</w:t>
      </w:r>
      <w:r w:rsidRPr="00C31456" w:rsidR="006C5A0C">
        <w:rPr>
          <w:rFonts w:cs="Arial"/>
          <w:color w:val="auto"/>
        </w:rPr>
        <w:t>"</w:t>
      </w:r>
      <w:r w:rsidRPr="00C31456">
        <w:rPr>
          <w:rFonts w:cs="Arial"/>
          <w:color w:val="auto"/>
        </w:rPr>
        <w:t xml:space="preserve">). </w:t>
      </w:r>
      <w:r w:rsidRPr="00C31456" w:rsidR="00262058">
        <w:rPr>
          <w:rFonts w:cs="Arial"/>
          <w:color w:val="auto"/>
        </w:rPr>
        <w:t xml:space="preserve"> </w:t>
      </w:r>
    </w:p>
    <w:p w:rsidRPr="00C31456" w:rsidR="00C70019" w:rsidP="00413F89" w:rsidRDefault="00C70019" w14:paraId="5F523C58" w14:textId="77777777">
      <w:pPr>
        <w:jc w:val="both"/>
        <w:rPr>
          <w:rFonts w:cs="Arial"/>
          <w:color w:val="auto"/>
        </w:rPr>
      </w:pPr>
      <w:r w:rsidRPr="00C31456">
        <w:rPr>
          <w:rFonts w:cs="Arial"/>
          <w:color w:val="auto"/>
          <w:u w:val="single"/>
        </w:rPr>
        <w:t>Introduction</w:t>
      </w:r>
      <w:r w:rsidRPr="00C31456">
        <w:rPr>
          <w:rFonts w:cs="Arial"/>
          <w:color w:val="auto"/>
        </w:rPr>
        <w:t xml:space="preserve"> </w:t>
      </w:r>
    </w:p>
    <w:p w:rsidRPr="00C31456" w:rsidR="00C70019" w:rsidP="00413F89" w:rsidRDefault="00C70019" w14:paraId="70E1E5B1" w14:textId="2DBAE3FD">
      <w:pPr>
        <w:jc w:val="both"/>
        <w:rPr>
          <w:rFonts w:cs="Arial"/>
          <w:color w:val="auto"/>
        </w:rPr>
      </w:pPr>
      <w:r w:rsidRPr="00C31456">
        <w:rPr>
          <w:rFonts w:cs="Arial"/>
          <w:color w:val="auto"/>
        </w:rPr>
        <w:t xml:space="preserve">The Institute's appeal procedures provide for an initial scrutiny of points that an appellant wishes to raise, to </w:t>
      </w:r>
      <w:r w:rsidRPr="00C31456" w:rsidR="006B6C22">
        <w:rPr>
          <w:rFonts w:cs="Arial"/>
          <w:color w:val="auto"/>
        </w:rPr>
        <w:t>provide an initial view on whether</w:t>
      </w:r>
      <w:r w:rsidRPr="00C31456">
        <w:rPr>
          <w:rFonts w:cs="Arial"/>
          <w:color w:val="auto"/>
        </w:rPr>
        <w:t xml:space="preserve"> they are within the permitted grounds of appeal ("valid")</w:t>
      </w:r>
      <w:r w:rsidRPr="00C31456" w:rsidR="006B6C22">
        <w:rPr>
          <w:rFonts w:cs="Arial"/>
          <w:color w:val="auto"/>
        </w:rPr>
        <w:t xml:space="preserve"> and are at least arguable</w:t>
      </w:r>
      <w:r w:rsidRPr="00C31456">
        <w:rPr>
          <w:rFonts w:cs="Arial"/>
          <w:color w:val="auto"/>
        </w:rPr>
        <w:t xml:space="preserve">. The permitted grounds of appeal are: </w:t>
      </w:r>
    </w:p>
    <w:p w:rsidRPr="00C31456" w:rsidR="00C70019" w:rsidP="00413F89" w:rsidRDefault="00C70019" w14:paraId="25359C75" w14:textId="77777777">
      <w:pPr>
        <w:numPr>
          <w:ilvl w:val="0"/>
          <w:numId w:val="2"/>
        </w:numPr>
        <w:shd w:val="clear" w:color="auto" w:fill="FFFFFF"/>
        <w:spacing w:before="240" w:after="240" w:line="240" w:lineRule="auto"/>
        <w:jc w:val="both"/>
        <w:rPr>
          <w:rFonts w:cs="Arial"/>
          <w:color w:val="auto"/>
        </w:rPr>
      </w:pPr>
      <w:r w:rsidRPr="00C31456">
        <w:rPr>
          <w:rFonts w:cs="Arial"/>
          <w:color w:val="auto"/>
        </w:rPr>
        <w:t xml:space="preserve">1(a) NICE has failed to act fairly, or </w:t>
      </w:r>
    </w:p>
    <w:p w:rsidRPr="00C31456" w:rsidR="00C70019" w:rsidP="00413F89" w:rsidRDefault="00C70019" w14:paraId="14BFF060" w14:textId="77777777">
      <w:pPr>
        <w:numPr>
          <w:ilvl w:val="0"/>
          <w:numId w:val="2"/>
        </w:numPr>
        <w:shd w:val="clear" w:color="auto" w:fill="FFFFFF"/>
        <w:spacing w:before="240" w:after="240" w:line="240" w:lineRule="auto"/>
        <w:jc w:val="both"/>
        <w:rPr>
          <w:rFonts w:cs="Arial"/>
          <w:color w:val="auto"/>
        </w:rPr>
      </w:pPr>
      <w:r w:rsidRPr="00C31456">
        <w:rPr>
          <w:rFonts w:cs="Arial"/>
          <w:color w:val="auto"/>
        </w:rPr>
        <w:t>1(b) NICE has exceeded powers;</w:t>
      </w:r>
    </w:p>
    <w:p w:rsidRPr="00C31456" w:rsidR="00C70019" w:rsidP="00413F89" w:rsidRDefault="00C70019" w14:paraId="22754B60" w14:textId="77777777">
      <w:pPr>
        <w:numPr>
          <w:ilvl w:val="0"/>
          <w:numId w:val="2"/>
        </w:numPr>
        <w:shd w:val="clear" w:color="auto" w:fill="FFFFFF"/>
        <w:spacing w:before="240" w:after="240" w:line="240" w:lineRule="auto"/>
        <w:jc w:val="both"/>
        <w:rPr>
          <w:rFonts w:cs="Arial"/>
          <w:color w:val="auto"/>
        </w:rPr>
      </w:pPr>
      <w:r w:rsidRPr="00C31456">
        <w:rPr>
          <w:rFonts w:cs="Arial"/>
          <w:color w:val="auto"/>
        </w:rPr>
        <w:t>(2) the recommendation is unreasonable in the light of the evidence submitted to NICE</w:t>
      </w:r>
      <w:r w:rsidRPr="00C31456" w:rsidR="006347AD">
        <w:rPr>
          <w:rFonts w:cs="Arial"/>
          <w:color w:val="auto"/>
        </w:rPr>
        <w:t>.</w:t>
      </w:r>
    </w:p>
    <w:p w:rsidRPr="00C31456" w:rsidR="00C70019" w:rsidP="00413F89" w:rsidRDefault="00C70019" w14:paraId="08D953B5" w14:textId="25297E74">
      <w:pPr>
        <w:jc w:val="both"/>
        <w:rPr>
          <w:rFonts w:cs="Arial"/>
          <w:color w:val="auto"/>
        </w:rPr>
      </w:pPr>
      <w:r w:rsidRPr="00C31456">
        <w:rPr>
          <w:rFonts w:cs="Arial"/>
          <w:color w:val="auto"/>
        </w:rPr>
        <w:t>This letter sets out my initial view of the points of appeal you have raised: principally whether they fall within any of the grounds of appeal, or whether further clarification is required of any point. Only if I am satisfied that your points contain the necessary information</w:t>
      </w:r>
      <w:r w:rsidRPr="00C31456" w:rsidR="00F41597">
        <w:rPr>
          <w:rFonts w:cs="Arial"/>
          <w:color w:val="auto"/>
        </w:rPr>
        <w:t>, are arguable, and</w:t>
      </w:r>
      <w:r w:rsidRPr="00C31456">
        <w:rPr>
          <w:rFonts w:cs="Arial"/>
          <w:color w:val="auto"/>
        </w:rPr>
        <w:t xml:space="preserve"> fall within any one of the grounds will your appeal be referred to the Appeal Panel. </w:t>
      </w:r>
    </w:p>
    <w:p w:rsidRPr="00C31456" w:rsidR="00A4155C" w:rsidP="00413F89" w:rsidRDefault="00A4155C" w14:paraId="797C6F4A" w14:textId="059EAF25">
      <w:pPr>
        <w:jc w:val="both"/>
        <w:rPr>
          <w:rFonts w:cs="Arial"/>
          <w:color w:val="auto"/>
        </w:rPr>
      </w:pPr>
      <w:r w:rsidRPr="00C31456">
        <w:rPr>
          <w:rFonts w:cs="Arial"/>
          <w:color w:val="auto"/>
        </w:rPr>
        <w:t xml:space="preserve">You have the opportunity to comment on this letter in order to elaborate on or clarify any of the points raised before I make my final decision as to whether each appeal point should be referred to the Appeal Panel. Your response to this letter must not contain new points of appeal. Responses must deal only with requested clarifications, arguments or comments about my initial views. Your response to this letter will usually be the last opportunity to elaborate or provide clarification to the appeal, unless you are specifically invited to submit material at a later date. Any uninvited material submitted after your response to this letter will be rejected. </w:t>
      </w:r>
    </w:p>
    <w:p w:rsidRPr="00C31456" w:rsidR="00C70019" w:rsidP="00413F89" w:rsidRDefault="00C70019" w14:paraId="3294E8F2" w14:textId="77777777">
      <w:pPr>
        <w:jc w:val="both"/>
        <w:rPr>
          <w:rFonts w:cs="Arial"/>
          <w:color w:val="auto"/>
          <w:u w:val="single"/>
        </w:rPr>
      </w:pPr>
      <w:r w:rsidRPr="00C31456">
        <w:rPr>
          <w:rFonts w:cs="Arial"/>
          <w:color w:val="auto"/>
          <w:u w:val="single"/>
        </w:rPr>
        <w:t>Initial View</w:t>
      </w:r>
    </w:p>
    <w:p w:rsidRPr="00C31456" w:rsidR="00262058" w:rsidP="00413F89" w:rsidRDefault="00BB43EC" w14:paraId="15B951E6" w14:textId="4A8D7BE4">
      <w:pPr>
        <w:jc w:val="both"/>
        <w:rPr>
          <w:rFonts w:cs="Arial"/>
          <w:color w:val="auto"/>
        </w:rPr>
      </w:pPr>
      <w:r w:rsidRPr="00C31456">
        <w:rPr>
          <w:rFonts w:cs="Arial"/>
          <w:color w:val="auto"/>
        </w:rPr>
        <w:t>I</w:t>
      </w:r>
      <w:r w:rsidRPr="00C31456" w:rsidR="00C70019">
        <w:rPr>
          <w:rFonts w:cs="Arial"/>
          <w:color w:val="auto"/>
        </w:rPr>
        <w:t xml:space="preserve"> assess each of your </w:t>
      </w:r>
      <w:r w:rsidRPr="00C31456" w:rsidR="00B36320">
        <w:rPr>
          <w:rFonts w:cs="Arial"/>
          <w:color w:val="auto"/>
        </w:rPr>
        <w:t xml:space="preserve">points </w:t>
      </w:r>
      <w:r w:rsidRPr="00C31456" w:rsidR="00C70019">
        <w:rPr>
          <w:rFonts w:cs="Arial"/>
          <w:color w:val="auto"/>
        </w:rPr>
        <w:t xml:space="preserve">in turn.  </w:t>
      </w:r>
    </w:p>
    <w:p w:rsidRPr="00C31456" w:rsidR="00E87F1E" w:rsidP="00E87F1E" w:rsidRDefault="00E87F1E" w14:paraId="7ADCDE98" w14:textId="77777777">
      <w:pPr>
        <w:spacing w:before="120" w:after="0" w:line="240" w:lineRule="auto"/>
        <w:rPr>
          <w:rFonts w:cs="Arial"/>
          <w:b/>
          <w:i/>
          <w:lang w:eastAsia="en-GB"/>
        </w:rPr>
      </w:pPr>
      <w:r w:rsidRPr="00C31456">
        <w:rPr>
          <w:rFonts w:cs="Arial"/>
          <w:b/>
          <w:i/>
          <w:lang w:eastAsia="en-GB"/>
        </w:rPr>
        <w:t>Ground 1(a): In making the assessment that preceded the recommendation, NICE has failed to act fairly</w:t>
      </w:r>
    </w:p>
    <w:p w:rsidRPr="00C31456" w:rsidR="00B11119" w:rsidP="007A7F07" w:rsidRDefault="00B62869" w14:paraId="4DA05162" w14:textId="727B42E9">
      <w:pPr>
        <w:spacing w:before="240" w:after="240" w:line="276" w:lineRule="auto"/>
        <w:jc w:val="both"/>
        <w:rPr>
          <w:rFonts w:cs="Arial"/>
          <w:b/>
          <w:color w:val="auto"/>
          <w:u w:val="single"/>
        </w:rPr>
      </w:pPr>
      <w:r w:rsidRPr="00C31456">
        <w:rPr>
          <w:rFonts w:cs="Arial"/>
          <w:b/>
          <w:color w:val="auto"/>
          <w:u w:val="single"/>
        </w:rPr>
        <w:t>Appeal point 1(a).1</w:t>
      </w:r>
      <w:r w:rsidRPr="00C31456" w:rsidR="007A7F07">
        <w:rPr>
          <w:rFonts w:cs="Arial"/>
          <w:b/>
          <w:color w:val="auto"/>
          <w:u w:val="single"/>
        </w:rPr>
        <w:t xml:space="preserve">: </w:t>
      </w:r>
      <w:r w:rsidRPr="00C31456" w:rsidR="006C5A0C">
        <w:rPr>
          <w:rFonts w:cs="Arial"/>
          <w:b/>
          <w:color w:val="auto"/>
          <w:u w:val="single"/>
        </w:rPr>
        <w:t xml:space="preserve">The Committee's conclusion that zilucoplan adds an additional line to the treatment pathway was raised by the Committee only after ACM3, with the result that there was no opportunity for consultation on this key issue. </w:t>
      </w:r>
    </w:p>
    <w:p w:rsidR="00E15BA7" w:rsidP="00E87F1E" w:rsidRDefault="00E87F1E" w14:paraId="133053A7" w14:textId="5AC6D76A">
      <w:pPr>
        <w:pStyle w:val="BodyText"/>
        <w:jc w:val="both"/>
        <w:rPr>
          <w:rFonts w:cs="Arial"/>
          <w:color w:val="auto"/>
        </w:rPr>
      </w:pPr>
      <w:r w:rsidRPr="00C31456">
        <w:rPr>
          <w:rFonts w:cs="Arial"/>
          <w:color w:val="auto"/>
        </w:rPr>
        <w:t xml:space="preserve">I </w:t>
      </w:r>
      <w:r w:rsidR="00B3017E">
        <w:rPr>
          <w:rFonts w:cs="Arial"/>
          <w:color w:val="auto"/>
        </w:rPr>
        <w:t>am not currently minded to refer this appeal point to the Appeal Panel.</w:t>
      </w:r>
      <w:r w:rsidRPr="00C31456">
        <w:rPr>
          <w:rFonts w:cs="Arial"/>
          <w:color w:val="auto"/>
        </w:rPr>
        <w:t xml:space="preserve"> </w:t>
      </w:r>
    </w:p>
    <w:p w:rsidR="00460278" w:rsidP="00E87F1E" w:rsidRDefault="00460278" w14:paraId="442ED6C2" w14:textId="69EF08A5">
      <w:pPr>
        <w:pStyle w:val="BodyText"/>
        <w:jc w:val="both"/>
        <w:rPr>
          <w:rFonts w:cs="Arial"/>
          <w:color w:val="auto"/>
        </w:rPr>
      </w:pPr>
      <w:r>
        <w:rPr>
          <w:rFonts w:cs="Arial"/>
          <w:color w:val="auto"/>
        </w:rPr>
        <w:t>I understand that the primary argument made here is that th</w:t>
      </w:r>
      <w:r w:rsidR="00146508">
        <w:rPr>
          <w:rFonts w:cs="Arial"/>
          <w:color w:val="auto"/>
        </w:rPr>
        <w:t>e</w:t>
      </w:r>
      <w:r>
        <w:rPr>
          <w:rFonts w:cs="Arial"/>
          <w:color w:val="auto"/>
        </w:rPr>
        <w:t xml:space="preserve"> Committee indicated only very late that it considered zilucoplan to add an additional line to the treatment pathway, and that there was no opportunity for stakeholders to provide their views on this conclusion.</w:t>
      </w:r>
    </w:p>
    <w:p w:rsidR="00460278" w:rsidP="00E87F1E" w:rsidRDefault="00460278" w14:paraId="762BB91B" w14:textId="0DD3342F">
      <w:pPr>
        <w:pStyle w:val="BodyText"/>
        <w:jc w:val="both"/>
        <w:rPr>
          <w:rFonts w:cs="Arial"/>
          <w:color w:val="auto"/>
        </w:rPr>
      </w:pPr>
      <w:r>
        <w:rPr>
          <w:rFonts w:cs="Arial"/>
          <w:color w:val="auto"/>
        </w:rPr>
        <w:t xml:space="preserve">I note that the Committee consistently refers to zilucoplan as an add-on treatment throughout drafts of the guidance.  I note further that a very similar appeal point was considered and dismissed by the Appeal Panel in the appeal relating to TA1069 - </w:t>
      </w:r>
      <w:r w:rsidRPr="00460278">
        <w:rPr>
          <w:rFonts w:cs="Arial"/>
          <w:color w:val="auto"/>
        </w:rPr>
        <w:t>Efgartigimod for treating antibody-positive generalised myasthenia gravis</w:t>
      </w:r>
      <w:r>
        <w:rPr>
          <w:rFonts w:cs="Arial"/>
          <w:color w:val="auto"/>
        </w:rPr>
        <w:t>.</w:t>
      </w:r>
      <w:r w:rsidR="008D6F63">
        <w:rPr>
          <w:rFonts w:cs="Arial"/>
          <w:color w:val="auto"/>
        </w:rPr>
        <w:t xml:space="preserve">  In that appeal the Panel considered both the procedural fairness and the reasonableness of the Committee's conclusion that efgartigimod is an additional treatment in the pathway (see its consideration </w:t>
      </w:r>
      <w:r w:rsidRPr="008D6F63" w:rsidR="008D6F63">
        <w:rPr>
          <w:rFonts w:cs="Arial"/>
        </w:rPr>
        <w:t>here</w:t>
      </w:r>
      <w:r w:rsidR="008D6F63">
        <w:rPr>
          <w:rFonts w:cs="Arial"/>
          <w:color w:val="auto"/>
        </w:rPr>
        <w:t xml:space="preserve"> of Argenx appeal points 1a.1 and 2.1).  Whilst I appreciate that efgartigimod and zilucoplan are different technologies, if you are minded to pursue this appeal point I should be grateful if you would provide further explanation of:</w:t>
      </w:r>
    </w:p>
    <w:p w:rsidRPr="008D6F63" w:rsidR="00362E19" w:rsidP="008D6F63" w:rsidRDefault="008D6F63" w14:paraId="79F60714" w14:textId="6C317DCF">
      <w:pPr>
        <w:pStyle w:val="BodyText"/>
        <w:numPr>
          <w:ilvl w:val="0"/>
          <w:numId w:val="35"/>
        </w:numPr>
        <w:jc w:val="both"/>
        <w:rPr>
          <w:rFonts w:cs="Arial"/>
          <w:color w:val="auto"/>
        </w:rPr>
      </w:pPr>
      <w:r>
        <w:rPr>
          <w:rFonts w:cs="Arial"/>
          <w:color w:val="auto"/>
        </w:rPr>
        <w:t xml:space="preserve">The material differences between the Committee's approach in the current evaluation from that in TA1069, which in your view demonstrate that it is at least arguable that an Appeal Panel would reach a different view on this occasion; </w:t>
      </w:r>
    </w:p>
    <w:p w:rsidR="00E15BA7" w:rsidP="00E15BA7" w:rsidRDefault="00E15BA7" w14:paraId="6C44EDC5" w14:textId="64C61504">
      <w:pPr>
        <w:pStyle w:val="BodyText"/>
        <w:numPr>
          <w:ilvl w:val="0"/>
          <w:numId w:val="35"/>
        </w:numPr>
        <w:jc w:val="both"/>
        <w:rPr>
          <w:rFonts w:cs="Arial"/>
          <w:color w:val="auto"/>
        </w:rPr>
      </w:pPr>
      <w:r>
        <w:rPr>
          <w:rFonts w:cs="Arial"/>
          <w:color w:val="auto"/>
        </w:rPr>
        <w:t xml:space="preserve">By reference to all three pieces of draft guidance and correspondence with NICE (if applicable), how </w:t>
      </w:r>
      <w:r w:rsidR="008D6F63">
        <w:rPr>
          <w:rFonts w:cs="Arial"/>
          <w:color w:val="auto"/>
        </w:rPr>
        <w:t>you</w:t>
      </w:r>
      <w:r>
        <w:rPr>
          <w:rFonts w:cs="Arial"/>
          <w:color w:val="auto"/>
        </w:rPr>
        <w:t xml:space="preserve"> consider the Committee's view to have unfairly changed as to the positioning of zilucoplan in the treatment pathway; and </w:t>
      </w:r>
    </w:p>
    <w:p w:rsidR="00E15BA7" w:rsidP="00E15BA7" w:rsidRDefault="00E15BA7" w14:paraId="2DA5EAF4" w14:textId="06EF5EB8">
      <w:pPr>
        <w:pStyle w:val="BodyText"/>
        <w:numPr>
          <w:ilvl w:val="0"/>
          <w:numId w:val="35"/>
        </w:numPr>
        <w:jc w:val="both"/>
        <w:rPr>
          <w:rFonts w:cs="Arial"/>
          <w:color w:val="auto"/>
        </w:rPr>
      </w:pPr>
      <w:r>
        <w:rPr>
          <w:rFonts w:cs="Arial"/>
          <w:color w:val="auto"/>
        </w:rPr>
        <w:t>If the Committee's view did change, what additional evidence or information would the Company have provided had it been consulted on any change</w:t>
      </w:r>
      <w:r w:rsidR="00F47188">
        <w:rPr>
          <w:rFonts w:cs="Arial"/>
          <w:color w:val="auto"/>
        </w:rPr>
        <w:t xml:space="preserve"> in approach</w:t>
      </w:r>
      <w:r>
        <w:rPr>
          <w:rFonts w:cs="Arial"/>
          <w:color w:val="auto"/>
        </w:rPr>
        <w:t xml:space="preserve">. </w:t>
      </w:r>
    </w:p>
    <w:p w:rsidR="00460278" w:rsidP="006C5A0C" w:rsidRDefault="00460278" w14:paraId="5591B289" w14:textId="08E35797">
      <w:pPr>
        <w:spacing w:before="240" w:after="240" w:line="276" w:lineRule="auto"/>
        <w:jc w:val="both"/>
        <w:rPr>
          <w:rFonts w:cs="Arial"/>
          <w:color w:val="auto"/>
        </w:rPr>
      </w:pPr>
      <w:r>
        <w:rPr>
          <w:rFonts w:cs="Arial"/>
          <w:color w:val="auto"/>
        </w:rPr>
        <w:t xml:space="preserve">To the extent that your appeal point challenges the reasonableness of the conclusion reached by the Committee as to the positioning of </w:t>
      </w:r>
      <w:r w:rsidR="008D6F63">
        <w:rPr>
          <w:rFonts w:cs="Arial"/>
          <w:color w:val="auto"/>
        </w:rPr>
        <w:t>z</w:t>
      </w:r>
      <w:r w:rsidR="00146508">
        <w:rPr>
          <w:rFonts w:cs="Arial"/>
          <w:color w:val="auto"/>
        </w:rPr>
        <w:t>ilucoplan</w:t>
      </w:r>
      <w:r>
        <w:rPr>
          <w:rFonts w:cs="Arial"/>
          <w:color w:val="auto"/>
        </w:rPr>
        <w:t xml:space="preserve"> in the treatment pathway, that is properly addressed under ground 2, which I note you have done at appeal point 2.2, which I am minded to refer.</w:t>
      </w:r>
    </w:p>
    <w:p w:rsidRPr="00ED57C9" w:rsidR="006C5A0C" w:rsidP="006C5A0C" w:rsidRDefault="006C5A0C" w14:paraId="0F99F163" w14:textId="16AB3A2F">
      <w:pPr>
        <w:spacing w:before="240" w:after="240" w:line="276" w:lineRule="auto"/>
        <w:jc w:val="both"/>
        <w:rPr>
          <w:rFonts w:cs="Arial"/>
          <w:b/>
          <w:color w:val="auto"/>
          <w:u w:val="single"/>
        </w:rPr>
      </w:pPr>
      <w:r w:rsidRPr="00C31456">
        <w:rPr>
          <w:rFonts w:cs="Arial"/>
          <w:b/>
          <w:color w:val="auto"/>
          <w:u w:val="single"/>
        </w:rPr>
        <w:t xml:space="preserve">Appeal point 1(a).2: </w:t>
      </w:r>
      <w:r w:rsidRPr="00C31456" w:rsidR="00C31456">
        <w:rPr>
          <w:rFonts w:cs="Arial"/>
          <w:b/>
          <w:color w:val="auto"/>
          <w:u w:val="single"/>
        </w:rPr>
        <w:t xml:space="preserve">NICE’s refusal of UCB’s request for technical engagement before the first meeting of the Appraisal Committee was procedurally unfair and has prejudiced the conduct of </w:t>
      </w:r>
      <w:r w:rsidRPr="00ED57C9" w:rsidR="00C31456">
        <w:rPr>
          <w:rFonts w:cs="Arial"/>
          <w:b/>
          <w:color w:val="auto"/>
          <w:u w:val="single"/>
        </w:rPr>
        <w:t>the appraisal</w:t>
      </w:r>
      <w:r w:rsidRPr="00ED57C9">
        <w:rPr>
          <w:rFonts w:cs="Arial"/>
          <w:b/>
          <w:color w:val="auto"/>
          <w:u w:val="single"/>
        </w:rPr>
        <w:t xml:space="preserve">. </w:t>
      </w:r>
    </w:p>
    <w:p w:rsidR="006C5A0C" w:rsidP="006C5A0C" w:rsidRDefault="006C5A0C" w14:paraId="1FCE1F6F" w14:textId="2E11549B">
      <w:pPr>
        <w:pStyle w:val="BodyText"/>
        <w:jc w:val="both"/>
        <w:rPr>
          <w:rFonts w:cs="Arial"/>
          <w:color w:val="auto"/>
        </w:rPr>
      </w:pPr>
      <w:r w:rsidRPr="00ED57C9">
        <w:rPr>
          <w:rFonts w:cs="Arial"/>
          <w:color w:val="auto"/>
        </w:rPr>
        <w:t>I am not minded</w:t>
      </w:r>
      <w:r w:rsidRPr="00C31456">
        <w:rPr>
          <w:rFonts w:cs="Arial"/>
          <w:color w:val="auto"/>
        </w:rPr>
        <w:t xml:space="preserve"> to refer this appeal point to the Appeal Panel. </w:t>
      </w:r>
      <w:r w:rsidR="00C15E8F">
        <w:rPr>
          <w:rFonts w:cs="Arial"/>
          <w:color w:val="auto"/>
        </w:rPr>
        <w:t>As you recognise in your appeal letter, section 5.7.2 of the Manual provides that technical engagement will only be included in the appraisal process if NICE considers that it is appropriate, helpful and proportionate, taking into account whether the technical engagement process is likely to resolve key issues before the committee meeting.</w:t>
      </w:r>
    </w:p>
    <w:p w:rsidR="00C15E8F" w:rsidP="006C5A0C" w:rsidRDefault="00ED57C9" w14:paraId="1CA1FC37" w14:textId="6FD984C8">
      <w:pPr>
        <w:pStyle w:val="BodyText"/>
        <w:jc w:val="both"/>
        <w:rPr>
          <w:rFonts w:cs="Arial"/>
          <w:color w:val="auto"/>
        </w:rPr>
      </w:pPr>
      <w:r>
        <w:rPr>
          <w:rFonts w:cs="Arial"/>
          <w:color w:val="auto"/>
        </w:rPr>
        <w:t xml:space="preserve">In your appeal letter, you have not identified </w:t>
      </w:r>
      <w:r w:rsidR="001C7C0E">
        <w:rPr>
          <w:rFonts w:cs="Arial"/>
          <w:color w:val="auto"/>
        </w:rPr>
        <w:t>any</w:t>
      </w:r>
      <w:r>
        <w:rPr>
          <w:rFonts w:cs="Arial"/>
          <w:color w:val="auto"/>
        </w:rPr>
        <w:t xml:space="preserve"> specific technical issues which you consider would have been resolved through technical engagement. I note that the rarity of gMG is not in and of itself a reason requiring technical engagement. Further, technology appraisal </w:t>
      </w:r>
      <w:r w:rsidR="001C7C0E">
        <w:rPr>
          <w:rFonts w:cs="Arial"/>
          <w:color w:val="auto"/>
        </w:rPr>
        <w:t xml:space="preserve">committees </w:t>
      </w:r>
      <w:r>
        <w:rPr>
          <w:rFonts w:cs="Arial"/>
          <w:color w:val="auto"/>
        </w:rPr>
        <w:t>frequently consider rare diseases within the provisions of the Manual.</w:t>
      </w:r>
    </w:p>
    <w:p w:rsidR="00ED57C9" w:rsidP="006C5A0C" w:rsidRDefault="00ED57C9" w14:paraId="598A1012" w14:textId="398AF33D">
      <w:pPr>
        <w:pStyle w:val="BodyText"/>
        <w:jc w:val="both"/>
        <w:rPr>
          <w:rFonts w:cs="Arial"/>
          <w:color w:val="auto"/>
        </w:rPr>
      </w:pPr>
      <w:r>
        <w:rPr>
          <w:rFonts w:cs="Arial"/>
          <w:color w:val="auto"/>
        </w:rPr>
        <w:t xml:space="preserve">Nor am I persuaded that the fact of other appraisals using technical engagements necessitates its use in appraising zilucoplan, absent specific technical issues capable of resolution through technical engagement. </w:t>
      </w:r>
    </w:p>
    <w:p w:rsidR="00ED57C9" w:rsidP="006C5A0C" w:rsidRDefault="00ED57C9" w14:paraId="63B7BBE4" w14:textId="2307808B">
      <w:pPr>
        <w:pStyle w:val="BodyText"/>
        <w:jc w:val="both"/>
        <w:rPr>
          <w:rFonts w:cs="Arial"/>
          <w:color w:val="auto"/>
        </w:rPr>
      </w:pPr>
      <w:r>
        <w:rPr>
          <w:rFonts w:cs="Arial"/>
          <w:color w:val="auto"/>
        </w:rPr>
        <w:t xml:space="preserve">For those reasons, I am not minded to refer this appeal point to the Appeal Panel. </w:t>
      </w:r>
    </w:p>
    <w:p w:rsidRPr="00C31456" w:rsidR="006C5A0C" w:rsidP="006C5A0C" w:rsidRDefault="006C5A0C" w14:paraId="4DA48C23" w14:textId="408AFAB2">
      <w:pPr>
        <w:spacing w:before="240" w:after="240" w:line="276" w:lineRule="auto"/>
        <w:jc w:val="both"/>
        <w:rPr>
          <w:rFonts w:cs="Arial"/>
          <w:b/>
          <w:color w:val="auto"/>
          <w:u w:val="single"/>
        </w:rPr>
      </w:pPr>
      <w:r w:rsidRPr="00C31456">
        <w:rPr>
          <w:rFonts w:cs="Arial"/>
          <w:b/>
          <w:color w:val="auto"/>
          <w:u w:val="single"/>
        </w:rPr>
        <w:t xml:space="preserve">Appeal point 1(a).3: </w:t>
      </w:r>
      <w:r w:rsidRPr="00C31456" w:rsidR="00C31456">
        <w:rPr>
          <w:rFonts w:cs="Arial"/>
          <w:b/>
          <w:color w:val="auto"/>
          <w:u w:val="single"/>
        </w:rPr>
        <w:t xml:space="preserve">The Committee’s decision-making in relation to subsequent treatment in refractory generalised myasthenia gravis lacks transparency and disregards the evidence available to the Committee. </w:t>
      </w:r>
    </w:p>
    <w:p w:rsidRPr="00FA430A" w:rsidR="00296D55" w:rsidP="00E87F1E" w:rsidRDefault="006C5A0C" w14:paraId="1F19C920" w14:textId="38B2C064">
      <w:pPr>
        <w:pStyle w:val="BodyText"/>
        <w:jc w:val="both"/>
        <w:rPr>
          <w:rFonts w:cs="Arial"/>
          <w:color w:val="auto"/>
        </w:rPr>
      </w:pPr>
      <w:r w:rsidRPr="00296D55">
        <w:rPr>
          <w:rFonts w:cs="Arial"/>
          <w:color w:val="auto"/>
        </w:rPr>
        <w:t>I am not minded</w:t>
      </w:r>
      <w:r w:rsidRPr="00C31456">
        <w:rPr>
          <w:rFonts w:cs="Arial"/>
          <w:color w:val="auto"/>
        </w:rPr>
        <w:t xml:space="preserve"> to refer this appeal point to the Appeal Panel</w:t>
      </w:r>
      <w:r w:rsidR="00296D55">
        <w:rPr>
          <w:rFonts w:cs="Arial"/>
          <w:color w:val="auto"/>
        </w:rPr>
        <w:t xml:space="preserve">. I do not accept the characterisation that the Committee preferred the EAG's </w:t>
      </w:r>
      <w:r w:rsidR="00FA430A">
        <w:rPr>
          <w:rFonts w:cs="Arial"/>
          <w:color w:val="auto"/>
        </w:rPr>
        <w:t xml:space="preserve">estimation </w:t>
      </w:r>
      <w:r w:rsidR="00FA430A">
        <w:rPr>
          <w:rFonts w:cs="Arial"/>
          <w:i/>
          <w:iCs/>
          <w:color w:val="auto"/>
        </w:rPr>
        <w:t>"solely on the basis that this is "in between NHSE's and the company's".</w:t>
      </w:r>
      <w:r w:rsidR="00146508">
        <w:rPr>
          <w:rFonts w:cs="Arial"/>
          <w:color w:val="auto"/>
        </w:rPr>
        <w:t xml:space="preserve"> The Committee has explained the reasons why it concluded that the EAG's approach is appropriate to model subsequent treatment in some detail in paragraph 3.16 of the FDG. It seems clear to me that t</w:t>
      </w:r>
      <w:r w:rsidR="00FA430A">
        <w:rPr>
          <w:rFonts w:cs="Arial"/>
          <w:color w:val="auto"/>
        </w:rPr>
        <w:t xml:space="preserve">he statement that </w:t>
      </w:r>
      <w:r w:rsidR="001C7C0E">
        <w:rPr>
          <w:rFonts w:cs="Arial"/>
          <w:color w:val="auto"/>
        </w:rPr>
        <w:t xml:space="preserve">the preferred estimate </w:t>
      </w:r>
      <w:r w:rsidR="00FA430A">
        <w:rPr>
          <w:rFonts w:cs="Arial"/>
          <w:color w:val="auto"/>
        </w:rPr>
        <w:t>was "</w:t>
      </w:r>
      <w:r w:rsidR="00FA430A">
        <w:rPr>
          <w:rFonts w:cs="Arial"/>
          <w:i/>
          <w:iCs/>
          <w:color w:val="auto"/>
        </w:rPr>
        <w:t xml:space="preserve">in between that of NHSE's and the company's" </w:t>
      </w:r>
      <w:r w:rsidR="00146508">
        <w:rPr>
          <w:rFonts w:cs="Arial"/>
          <w:color w:val="auto"/>
        </w:rPr>
        <w:t>is</w:t>
      </w:r>
      <w:r w:rsidR="00FA430A">
        <w:rPr>
          <w:rFonts w:cs="Arial"/>
          <w:color w:val="auto"/>
        </w:rPr>
        <w:t xml:space="preserve"> a</w:t>
      </w:r>
      <w:r w:rsidR="00146508">
        <w:rPr>
          <w:rFonts w:cs="Arial"/>
          <w:color w:val="auto"/>
        </w:rPr>
        <w:t xml:space="preserve"> simple</w:t>
      </w:r>
      <w:r w:rsidR="00FA430A">
        <w:rPr>
          <w:rFonts w:cs="Arial"/>
          <w:color w:val="auto"/>
        </w:rPr>
        <w:t xml:space="preserve"> statement of fact, </w:t>
      </w:r>
      <w:r w:rsidR="00146508">
        <w:rPr>
          <w:rFonts w:cs="Arial"/>
          <w:color w:val="auto"/>
        </w:rPr>
        <w:t xml:space="preserve">and plainly not the Committee's sole reason for </w:t>
      </w:r>
      <w:r w:rsidR="00FA430A">
        <w:rPr>
          <w:rFonts w:cs="Arial"/>
          <w:color w:val="auto"/>
        </w:rPr>
        <w:t xml:space="preserve">its preference.  </w:t>
      </w:r>
    </w:p>
    <w:p w:rsidRPr="00C31456" w:rsidR="00FA430A" w:rsidP="00E87F1E" w:rsidRDefault="00FA430A" w14:paraId="493099EB" w14:textId="694BE034">
      <w:pPr>
        <w:pStyle w:val="BodyText"/>
        <w:jc w:val="both"/>
        <w:rPr>
          <w:rFonts w:cs="Arial"/>
        </w:rPr>
      </w:pPr>
      <w:r>
        <w:rPr>
          <w:rFonts w:cs="Arial"/>
          <w:color w:val="auto"/>
        </w:rPr>
        <w:t>Consequently, I do not agree that the decision-making in relation to subsequent treatment in refractory gMG lack</w:t>
      </w:r>
      <w:r w:rsidR="001C7C0E">
        <w:rPr>
          <w:rFonts w:cs="Arial"/>
          <w:color w:val="auto"/>
        </w:rPr>
        <w:t>ed</w:t>
      </w:r>
      <w:r>
        <w:rPr>
          <w:rFonts w:cs="Arial"/>
          <w:color w:val="auto"/>
        </w:rPr>
        <w:t xml:space="preserve"> transparency or disregard</w:t>
      </w:r>
      <w:r w:rsidR="001C7C0E">
        <w:rPr>
          <w:rFonts w:cs="Arial"/>
          <w:color w:val="auto"/>
        </w:rPr>
        <w:t>ed</w:t>
      </w:r>
      <w:r>
        <w:rPr>
          <w:rFonts w:cs="Arial"/>
          <w:color w:val="auto"/>
        </w:rPr>
        <w:t xml:space="preserve"> the evidence available to the Committee. </w:t>
      </w:r>
    </w:p>
    <w:p w:rsidRPr="00C31456" w:rsidR="006C5A0C" w:rsidP="006C5A0C" w:rsidRDefault="006C5A0C" w14:paraId="0F9DF273" w14:textId="6ED41473">
      <w:pPr>
        <w:spacing w:before="240" w:after="240" w:line="276" w:lineRule="auto"/>
        <w:jc w:val="both"/>
        <w:rPr>
          <w:rFonts w:cs="Arial"/>
          <w:b/>
          <w:color w:val="auto"/>
          <w:u w:val="single"/>
        </w:rPr>
      </w:pPr>
      <w:r w:rsidRPr="00C31456">
        <w:rPr>
          <w:rFonts w:cs="Arial"/>
          <w:b/>
          <w:color w:val="auto"/>
          <w:u w:val="single"/>
        </w:rPr>
        <w:t xml:space="preserve">Appeal point 1(a).4: </w:t>
      </w:r>
      <w:r w:rsidRPr="00C31456" w:rsidR="00C31456">
        <w:rPr>
          <w:rFonts w:cs="Arial"/>
          <w:b/>
          <w:color w:val="auto"/>
          <w:u w:val="single"/>
        </w:rPr>
        <w:t>In referring to uncertainties, the Committee has failed to take into account the fact that IVIg and PLEX are not licensed for the treatment of gMG and that data for their use in this indication are very limited together with the perverse implications of negative guidance for zilucoplan</w:t>
      </w:r>
    </w:p>
    <w:p w:rsidR="006C5A0C" w:rsidP="006C5A0C" w:rsidRDefault="006C5A0C" w14:paraId="396AF13B" w14:textId="59E6F027">
      <w:pPr>
        <w:pStyle w:val="BodyText"/>
        <w:jc w:val="both"/>
        <w:rPr>
          <w:rFonts w:cs="Arial"/>
          <w:color w:val="auto"/>
        </w:rPr>
      </w:pPr>
      <w:r w:rsidRPr="00B5634D">
        <w:rPr>
          <w:rFonts w:cs="Arial"/>
          <w:color w:val="auto"/>
        </w:rPr>
        <w:t>I am</w:t>
      </w:r>
      <w:r w:rsidRPr="00B5634D" w:rsidR="00FA430A">
        <w:rPr>
          <w:rFonts w:cs="Arial"/>
          <w:color w:val="auto"/>
        </w:rPr>
        <w:t xml:space="preserve"> </w:t>
      </w:r>
      <w:r w:rsidRPr="00B5634D" w:rsidR="00B5634D">
        <w:rPr>
          <w:rFonts w:cs="Arial"/>
          <w:color w:val="auto"/>
        </w:rPr>
        <w:t>not</w:t>
      </w:r>
      <w:r w:rsidR="00B5634D">
        <w:rPr>
          <w:rFonts w:cs="Arial"/>
          <w:color w:val="auto"/>
        </w:rPr>
        <w:t xml:space="preserve"> currently </w:t>
      </w:r>
      <w:r w:rsidRPr="00C31456">
        <w:rPr>
          <w:rFonts w:cs="Arial"/>
          <w:color w:val="auto"/>
        </w:rPr>
        <w:t>minded to refer this appeal point to the Appeal Panel</w:t>
      </w:r>
      <w:r w:rsidR="00B5634D">
        <w:rPr>
          <w:rFonts w:cs="Arial"/>
          <w:color w:val="auto"/>
        </w:rPr>
        <w:t>. That is because I do not consider it arguable that the Committee failed to take into account the fact that IVIg and PLEX are not licensed for treatment of gMG</w:t>
      </w:r>
      <w:r w:rsidR="00146508">
        <w:rPr>
          <w:rFonts w:cs="Arial"/>
          <w:color w:val="auto"/>
        </w:rPr>
        <w:t xml:space="preserve"> and that the data for their use in this indication are very limited</w:t>
      </w:r>
      <w:r w:rsidR="00B5634D">
        <w:rPr>
          <w:rFonts w:cs="Arial"/>
          <w:color w:val="auto"/>
        </w:rPr>
        <w:t xml:space="preserve">. </w:t>
      </w:r>
    </w:p>
    <w:p w:rsidR="00C63DFD" w:rsidP="006C5A0C" w:rsidRDefault="00C148F7" w14:paraId="10D61C00" w14:textId="2A6E9E89">
      <w:pPr>
        <w:pStyle w:val="BodyText"/>
        <w:jc w:val="both"/>
        <w:rPr>
          <w:rFonts w:cs="Arial"/>
        </w:rPr>
      </w:pPr>
      <w:r>
        <w:rPr>
          <w:rFonts w:cs="Arial"/>
        </w:rPr>
        <w:t xml:space="preserve">The Committee has recognised in the FDG that: </w:t>
      </w:r>
    </w:p>
    <w:p w:rsidR="00C148F7" w:rsidP="00C148F7" w:rsidRDefault="00C148F7" w14:paraId="46BA8DE6" w14:textId="44DE3BA2">
      <w:pPr>
        <w:pStyle w:val="BodyText"/>
        <w:numPr>
          <w:ilvl w:val="0"/>
          <w:numId w:val="34"/>
        </w:numPr>
        <w:jc w:val="both"/>
        <w:rPr>
          <w:rFonts w:cs="Arial"/>
        </w:rPr>
      </w:pPr>
      <w:r>
        <w:rPr>
          <w:rFonts w:cs="Arial"/>
        </w:rPr>
        <w:t xml:space="preserve">IVIg and PLEX both require regular hospital visits which can be difficult to fit around work and family commitments, and place substantial burden on carers. </w:t>
      </w:r>
    </w:p>
    <w:p w:rsidR="00C148F7" w:rsidP="00C148F7" w:rsidRDefault="00C148F7" w14:paraId="2407A41F" w14:textId="0AC4532E">
      <w:pPr>
        <w:pStyle w:val="BodyText"/>
        <w:numPr>
          <w:ilvl w:val="0"/>
          <w:numId w:val="34"/>
        </w:numPr>
        <w:jc w:val="both"/>
        <w:rPr>
          <w:rFonts w:cs="Arial"/>
        </w:rPr>
      </w:pPr>
      <w:r>
        <w:rPr>
          <w:rFonts w:cs="Arial"/>
        </w:rPr>
        <w:t>IVIg and PLEX are time-consuming and resource intensive treatments</w:t>
      </w:r>
    </w:p>
    <w:p w:rsidR="00C148F7" w:rsidP="00C148F7" w:rsidRDefault="00C148F7" w14:paraId="2EFFE5A6" w14:textId="48196E35">
      <w:pPr>
        <w:pStyle w:val="BodyText"/>
        <w:numPr>
          <w:ilvl w:val="0"/>
          <w:numId w:val="34"/>
        </w:numPr>
        <w:jc w:val="both"/>
        <w:rPr>
          <w:rFonts w:cs="Arial"/>
        </w:rPr>
      </w:pPr>
      <w:r>
        <w:rPr>
          <w:rFonts w:cs="Arial"/>
        </w:rPr>
        <w:t>Access to PLEX is highly variable across the NHS</w:t>
      </w:r>
    </w:p>
    <w:p w:rsidR="00C148F7" w:rsidP="00C148F7" w:rsidRDefault="00C148F7" w14:paraId="7A8357AF" w14:textId="2BB18F69">
      <w:pPr>
        <w:pStyle w:val="BodyText"/>
        <w:numPr>
          <w:ilvl w:val="0"/>
          <w:numId w:val="34"/>
        </w:numPr>
        <w:jc w:val="both"/>
        <w:rPr>
          <w:rFonts w:cs="Arial"/>
        </w:rPr>
      </w:pPr>
      <w:r>
        <w:rPr>
          <w:rFonts w:cs="Arial"/>
        </w:rPr>
        <w:t>Some centres may exclusively use IVIg, some may use a mix of IVIg and PLEX, and some may have access to neither</w:t>
      </w:r>
    </w:p>
    <w:p w:rsidR="0086327D" w:rsidP="00C148F7" w:rsidRDefault="0086327D" w14:paraId="69EACEDB" w14:textId="77777777">
      <w:pPr>
        <w:pStyle w:val="BodyText"/>
        <w:numPr>
          <w:ilvl w:val="0"/>
          <w:numId w:val="34"/>
        </w:numPr>
        <w:jc w:val="both"/>
        <w:rPr>
          <w:rFonts w:cs="Arial"/>
        </w:rPr>
      </w:pPr>
      <w:r>
        <w:rPr>
          <w:rFonts w:cs="Arial"/>
        </w:rPr>
        <w:t>There are country-wide variations in access to IVIg</w:t>
      </w:r>
    </w:p>
    <w:p w:rsidR="0036780F" w:rsidP="0086327D" w:rsidRDefault="0036780F" w14:paraId="5CBE895A" w14:textId="3213DF9E">
      <w:pPr>
        <w:pStyle w:val="BodyText"/>
        <w:jc w:val="both"/>
        <w:rPr>
          <w:rFonts w:cs="Arial"/>
        </w:rPr>
      </w:pPr>
      <w:r>
        <w:rPr>
          <w:rFonts w:cs="Arial"/>
        </w:rPr>
        <w:t>The FDG also explains in detail the steps taken by the Committee and the Company to provide indirect treatment comparisons between zilucoplan and IVIg and zilucoplan and PLEX.</w:t>
      </w:r>
    </w:p>
    <w:p w:rsidR="0086327D" w:rsidP="0086327D" w:rsidRDefault="0086327D" w14:paraId="4B79383D" w14:textId="2C9EA221">
      <w:pPr>
        <w:pStyle w:val="BodyText"/>
        <w:jc w:val="both"/>
        <w:rPr>
          <w:rFonts w:cs="Arial"/>
        </w:rPr>
      </w:pPr>
      <w:r>
        <w:rPr>
          <w:rFonts w:cs="Arial"/>
        </w:rPr>
        <w:t xml:space="preserve">I also consider that the Committee was acting within the provision of the Manual in considering the appropriate comparator. Section 6.2.3 of the Manual provides that the Committee will normally be guided by established practice in the NHS when identifying the appropriate comparators. Section 6.2.4 anticipates instances in which the Committee can consider as comparators technologies that do not have regulatory approval for the population defined in the scope when they are considered to be part of established clinical practice for the population in the NHS. </w:t>
      </w:r>
    </w:p>
    <w:p w:rsidRPr="00C31456" w:rsidR="006C5A0C" w:rsidP="006C5A0C" w:rsidRDefault="006C5A0C" w14:paraId="27A609D9" w14:textId="3320FBFD">
      <w:pPr>
        <w:spacing w:before="240" w:after="240" w:line="276" w:lineRule="auto"/>
        <w:jc w:val="both"/>
        <w:rPr>
          <w:rFonts w:cs="Arial"/>
          <w:b/>
          <w:color w:val="auto"/>
          <w:u w:val="single"/>
        </w:rPr>
      </w:pPr>
      <w:r w:rsidRPr="00C31456">
        <w:rPr>
          <w:rFonts w:cs="Arial"/>
          <w:b/>
          <w:color w:val="auto"/>
          <w:u w:val="single"/>
        </w:rPr>
        <w:t xml:space="preserve">Appeal point 1(a).5: </w:t>
      </w:r>
      <w:r w:rsidRPr="00C31456" w:rsidR="00C31456">
        <w:rPr>
          <w:rFonts w:cs="Arial"/>
          <w:b/>
          <w:color w:val="auto"/>
          <w:u w:val="single"/>
        </w:rPr>
        <w:t>The Committee’s approach to consideration of uncaptured benefits lacks transparency and appears incomplete</w:t>
      </w:r>
    </w:p>
    <w:p w:rsidR="003F77F9" w:rsidP="00E87F1E" w:rsidRDefault="006C5A0C" w14:paraId="05018F9E" w14:textId="31601B05">
      <w:pPr>
        <w:pStyle w:val="BodyText"/>
        <w:jc w:val="both"/>
        <w:rPr>
          <w:rFonts w:cs="Arial"/>
        </w:rPr>
      </w:pPr>
      <w:r w:rsidRPr="00C31456">
        <w:rPr>
          <w:rFonts w:cs="Arial"/>
        </w:rPr>
        <w:t>I do not regard this as a valid appeal point. That is because</w:t>
      </w:r>
      <w:r w:rsidR="0012453A">
        <w:rPr>
          <w:rFonts w:cs="Arial"/>
        </w:rPr>
        <w:t xml:space="preserve"> at paragraph 3.31 of the FDG, the Committee has taken into account both patient and clinical expert views, and concluded that it would take the </w:t>
      </w:r>
      <w:r w:rsidR="003F77F9">
        <w:rPr>
          <w:rFonts w:cs="Arial"/>
        </w:rPr>
        <w:t xml:space="preserve">additional utility decrements associated with corticosteroid use and the impact of zilucoplan on carers qualitatively in its decision. The Committee explains at paragraphs 3.20 and 3.22 of the FDG why it </w:t>
      </w:r>
      <w:r w:rsidR="004C5BA4">
        <w:rPr>
          <w:rFonts w:cs="Arial"/>
        </w:rPr>
        <w:t xml:space="preserve">decided </w:t>
      </w:r>
      <w:r w:rsidR="003F77F9">
        <w:rPr>
          <w:rFonts w:cs="Arial"/>
        </w:rPr>
        <w:t>not take these factors into account qua</w:t>
      </w:r>
      <w:r w:rsidR="001C7C0E">
        <w:rPr>
          <w:rFonts w:cs="Arial"/>
        </w:rPr>
        <w:t>nt</w:t>
      </w:r>
      <w:r w:rsidR="003F77F9">
        <w:rPr>
          <w:rFonts w:cs="Arial"/>
        </w:rPr>
        <w:t>itatively.</w:t>
      </w:r>
    </w:p>
    <w:p w:rsidRPr="00C31456" w:rsidR="006C5A0C" w:rsidP="00E87F1E" w:rsidRDefault="003F77F9" w14:paraId="01A17AED" w14:textId="04FBDCBC">
      <w:pPr>
        <w:pStyle w:val="BodyText"/>
        <w:jc w:val="both"/>
        <w:rPr>
          <w:rFonts w:cs="Arial"/>
        </w:rPr>
      </w:pPr>
      <w:r>
        <w:rPr>
          <w:rFonts w:cs="Arial"/>
        </w:rPr>
        <w:t xml:space="preserve">In the absence of </w:t>
      </w:r>
      <w:r w:rsidR="004C5BA4">
        <w:rPr>
          <w:rFonts w:cs="Arial"/>
        </w:rPr>
        <w:t xml:space="preserve">submitted </w:t>
      </w:r>
      <w:r>
        <w:rPr>
          <w:rFonts w:cs="Arial"/>
        </w:rPr>
        <w:t>evidence that would</w:t>
      </w:r>
      <w:r w:rsidR="001C7C0E">
        <w:rPr>
          <w:rFonts w:cs="Arial"/>
        </w:rPr>
        <w:t xml:space="preserve"> have</w:t>
      </w:r>
      <w:r>
        <w:rPr>
          <w:rFonts w:cs="Arial"/>
        </w:rPr>
        <w:t xml:space="preserve"> enable</w:t>
      </w:r>
      <w:r w:rsidR="001C7C0E">
        <w:rPr>
          <w:rFonts w:cs="Arial"/>
        </w:rPr>
        <w:t>d</w:t>
      </w:r>
      <w:r>
        <w:rPr>
          <w:rFonts w:cs="Arial"/>
        </w:rPr>
        <w:t xml:space="preserve"> the Committee to quantitively account for uncaptured benefits, it is </w:t>
      </w:r>
      <w:r w:rsidR="0036780F">
        <w:rPr>
          <w:rFonts w:cs="Arial"/>
        </w:rPr>
        <w:t>procedurally fair for</w:t>
      </w:r>
      <w:r>
        <w:rPr>
          <w:rFonts w:cs="Arial"/>
        </w:rPr>
        <w:t xml:space="preserve"> the Committee </w:t>
      </w:r>
      <w:r w:rsidR="0036780F">
        <w:rPr>
          <w:rFonts w:cs="Arial"/>
        </w:rPr>
        <w:t xml:space="preserve">to </w:t>
      </w:r>
      <w:r>
        <w:rPr>
          <w:rFonts w:cs="Arial"/>
        </w:rPr>
        <w:t xml:space="preserve">assess these qualitatively, which is explained at paragraph 3.31 of the FDG. This </w:t>
      </w:r>
      <w:r w:rsidR="001C7C0E">
        <w:rPr>
          <w:rFonts w:cs="Arial"/>
        </w:rPr>
        <w:t>qualitative assessment is</w:t>
      </w:r>
      <w:r>
        <w:rPr>
          <w:rFonts w:cs="Arial"/>
        </w:rPr>
        <w:t xml:space="preserve"> taken into account in </w:t>
      </w:r>
      <w:r w:rsidR="004F32AD">
        <w:rPr>
          <w:rFonts w:cs="Arial"/>
        </w:rPr>
        <w:t>determining</w:t>
      </w:r>
      <w:r>
        <w:rPr>
          <w:rFonts w:cs="Arial"/>
        </w:rPr>
        <w:t xml:space="preserve"> the acceptable ICER at paragraph 3.29. </w:t>
      </w:r>
    </w:p>
    <w:p w:rsidRPr="00C31456" w:rsidR="00B62869" w:rsidP="00B62869" w:rsidRDefault="007A7F07" w14:paraId="25FB955A" w14:textId="4DC048D1">
      <w:pPr>
        <w:spacing w:before="240" w:after="240" w:line="276" w:lineRule="auto"/>
        <w:jc w:val="both"/>
        <w:rPr>
          <w:rFonts w:cs="Arial"/>
          <w:b/>
          <w:i/>
          <w:color w:val="auto"/>
        </w:rPr>
      </w:pPr>
      <w:r w:rsidRPr="00C31456">
        <w:rPr>
          <w:rFonts w:cs="Arial"/>
          <w:b/>
          <w:i/>
          <w:color w:val="auto"/>
        </w:rPr>
        <w:t>G</w:t>
      </w:r>
      <w:r w:rsidRPr="00C31456" w:rsidR="00491045">
        <w:rPr>
          <w:rFonts w:cs="Arial"/>
          <w:b/>
          <w:i/>
          <w:color w:val="auto"/>
        </w:rPr>
        <w:t xml:space="preserve">round 2: </w:t>
      </w:r>
      <w:r w:rsidRPr="00C31456" w:rsidR="00B62869">
        <w:rPr>
          <w:rFonts w:cs="Arial"/>
          <w:b/>
          <w:i/>
          <w:color w:val="auto"/>
        </w:rPr>
        <w:t>the recommendation is unreasonable in the light of the evidence submitted to NIC</w:t>
      </w:r>
    </w:p>
    <w:p w:rsidRPr="00E06E83" w:rsidR="00491045" w:rsidP="007A7F07" w:rsidRDefault="00B62869" w14:paraId="41564A14" w14:textId="1E11AD04">
      <w:pPr>
        <w:pStyle w:val="Paragraph"/>
        <w:numPr>
          <w:ilvl w:val="0"/>
          <w:numId w:val="0"/>
        </w:numPr>
        <w:jc w:val="both"/>
        <w:rPr>
          <w:rFonts w:cs="Arial"/>
          <w:b/>
          <w:sz w:val="20"/>
          <w:szCs w:val="20"/>
          <w:u w:val="single"/>
        </w:rPr>
      </w:pPr>
      <w:r w:rsidRPr="00C31456">
        <w:rPr>
          <w:rFonts w:cs="Arial"/>
          <w:b/>
          <w:sz w:val="20"/>
          <w:szCs w:val="20"/>
          <w:u w:val="single"/>
        </w:rPr>
        <w:t xml:space="preserve">Appeal point 2.1: </w:t>
      </w:r>
      <w:r w:rsidRPr="00C31456" w:rsidR="00C31456">
        <w:rPr>
          <w:rFonts w:cs="Arial"/>
          <w:b/>
          <w:bCs/>
          <w:sz w:val="20"/>
          <w:szCs w:val="20"/>
          <w:u w:val="single"/>
        </w:rPr>
        <w:t xml:space="preserve">The Committee’s preferred comparator of a ‘basket of standard care’ is unreasonable in view of the target population for zilucoplan and its proposed position in the </w:t>
      </w:r>
      <w:r w:rsidRPr="00E06E83" w:rsidR="00C31456">
        <w:rPr>
          <w:rFonts w:cs="Arial"/>
          <w:b/>
          <w:bCs/>
          <w:sz w:val="20"/>
          <w:szCs w:val="20"/>
          <w:u w:val="single"/>
        </w:rPr>
        <w:t>treatment pathway</w:t>
      </w:r>
    </w:p>
    <w:p w:rsidRPr="00E06E83" w:rsidR="00491045" w:rsidP="00491045" w:rsidRDefault="00491045" w14:paraId="2664B26B" w14:textId="48A09EEA">
      <w:pPr>
        <w:pStyle w:val="BodyText"/>
        <w:jc w:val="both"/>
        <w:rPr>
          <w:rFonts w:cs="Arial"/>
        </w:rPr>
      </w:pPr>
      <w:r w:rsidRPr="00E06E83">
        <w:rPr>
          <w:rFonts w:cs="Arial"/>
          <w:color w:val="auto"/>
        </w:rPr>
        <w:t xml:space="preserve">I am minded to refer this appeal point to the Appeal Panel.  </w:t>
      </w:r>
    </w:p>
    <w:p w:rsidRPr="00E06E83" w:rsidR="006C5A0C" w:rsidP="006C5A0C" w:rsidRDefault="006C5A0C" w14:paraId="4140D6BB" w14:textId="11D0B585">
      <w:pPr>
        <w:pStyle w:val="Paragraph"/>
        <w:numPr>
          <w:ilvl w:val="0"/>
          <w:numId w:val="0"/>
        </w:numPr>
        <w:jc w:val="both"/>
        <w:rPr>
          <w:rFonts w:cs="Arial"/>
          <w:b/>
          <w:sz w:val="20"/>
          <w:szCs w:val="20"/>
          <w:u w:val="single"/>
        </w:rPr>
      </w:pPr>
      <w:r w:rsidRPr="00E06E83">
        <w:rPr>
          <w:rFonts w:cs="Arial"/>
          <w:b/>
          <w:sz w:val="20"/>
          <w:szCs w:val="20"/>
          <w:u w:val="single"/>
        </w:rPr>
        <w:t xml:space="preserve">Appeal point 2.2: </w:t>
      </w:r>
      <w:r w:rsidRPr="00E06E83" w:rsidR="00C31456">
        <w:rPr>
          <w:rFonts w:cs="Arial"/>
          <w:b/>
          <w:bCs/>
          <w:sz w:val="20"/>
          <w:szCs w:val="20"/>
          <w:u w:val="single"/>
        </w:rPr>
        <w:t>The Committee’s conclusion that zilucoplan adds an additional line of therapy to the treatment pathway for generalised myasthenia gravis is unreasonable</w:t>
      </w:r>
    </w:p>
    <w:p w:rsidR="00E06E83" w:rsidP="00491045" w:rsidRDefault="006C5A0C" w14:paraId="4E97E7D9" w14:textId="77777777">
      <w:pPr>
        <w:pStyle w:val="BodyText"/>
        <w:jc w:val="both"/>
        <w:rPr>
          <w:rFonts w:cs="Arial"/>
          <w:color w:val="auto"/>
        </w:rPr>
      </w:pPr>
      <w:r w:rsidRPr="00E06E83">
        <w:rPr>
          <w:rFonts w:cs="Arial"/>
          <w:color w:val="auto"/>
        </w:rPr>
        <w:t>I am minded</w:t>
      </w:r>
      <w:r w:rsidRPr="00C31456">
        <w:rPr>
          <w:rFonts w:cs="Arial"/>
          <w:color w:val="auto"/>
        </w:rPr>
        <w:t xml:space="preserve"> to refer this appeal point to the Appeal Panel. </w:t>
      </w:r>
    </w:p>
    <w:p w:rsidRPr="00C31456" w:rsidR="006C5A0C" w:rsidP="00491045" w:rsidRDefault="00107C9C" w14:paraId="0FE7C41C" w14:textId="6B6CB9ED">
      <w:pPr>
        <w:pStyle w:val="BodyText"/>
        <w:jc w:val="both"/>
        <w:rPr>
          <w:rFonts w:cs="Arial"/>
          <w:color w:val="auto"/>
        </w:rPr>
      </w:pPr>
      <w:r>
        <w:rPr>
          <w:rFonts w:cs="Arial"/>
          <w:color w:val="auto"/>
        </w:rPr>
        <w:t xml:space="preserve">Ahead of the appeal hearing, the Company may be assisted by </w:t>
      </w:r>
      <w:r w:rsidR="0036780F">
        <w:rPr>
          <w:rFonts w:cs="Arial"/>
          <w:color w:val="auto"/>
        </w:rPr>
        <w:t xml:space="preserve">sight of </w:t>
      </w:r>
      <w:r>
        <w:rPr>
          <w:rFonts w:cs="Arial"/>
          <w:color w:val="auto"/>
        </w:rPr>
        <w:t>the appeal panel</w:t>
      </w:r>
      <w:r w:rsidR="00E06E83">
        <w:rPr>
          <w:rFonts w:cs="Arial"/>
          <w:color w:val="auto"/>
        </w:rPr>
        <w:t>'s</w:t>
      </w:r>
      <w:r>
        <w:rPr>
          <w:rFonts w:cs="Arial"/>
          <w:color w:val="auto"/>
        </w:rPr>
        <w:t xml:space="preserve"> decision </w:t>
      </w:r>
      <w:r w:rsidR="00E06E83">
        <w:rPr>
          <w:rFonts w:cs="Arial"/>
          <w:color w:val="auto"/>
        </w:rPr>
        <w:t>relating to the FDG for</w:t>
      </w:r>
      <w:r>
        <w:rPr>
          <w:rFonts w:cs="Arial"/>
          <w:color w:val="auto"/>
        </w:rPr>
        <w:t xml:space="preserve"> efgartigimod for treating antibody-positive generalised myasthenia gravis [ID4003]</w:t>
      </w:r>
      <w:r w:rsidR="00E06E83">
        <w:rPr>
          <w:rFonts w:cs="Arial"/>
          <w:color w:val="auto"/>
        </w:rPr>
        <w:t xml:space="preserve">. Argenx Appeal Point 2.1 in that appeal considered the positioning of efgartigimod in the treatment pathway for antibody-positive generalised myasthenia gravis. </w:t>
      </w:r>
      <w:r w:rsidR="0036780F">
        <w:rPr>
          <w:rFonts w:cs="Arial"/>
          <w:color w:val="auto"/>
        </w:rPr>
        <w:t>Although I am currently minded to refer this appeal point to the Panel, I should be grateful if you would, in your response to this letter, explain any differences that the Company considers there to be between the current circumstances and those in the efgartigimod appeal, that make it arguable that the Panel will reach a different view in this case.</w:t>
      </w:r>
    </w:p>
    <w:p w:rsidRPr="00C31456" w:rsidR="00C31456" w:rsidP="00C31456" w:rsidRDefault="006C5A0C" w14:paraId="05252C53" w14:textId="77777777">
      <w:pPr>
        <w:pStyle w:val="Paragraph"/>
        <w:numPr>
          <w:ilvl w:val="0"/>
          <w:numId w:val="0"/>
        </w:numPr>
        <w:jc w:val="both"/>
        <w:rPr>
          <w:rFonts w:cs="Arial"/>
          <w:b/>
          <w:sz w:val="20"/>
          <w:szCs w:val="20"/>
          <w:u w:val="single"/>
        </w:rPr>
      </w:pPr>
      <w:r w:rsidRPr="00C31456">
        <w:rPr>
          <w:rFonts w:cs="Arial"/>
          <w:b/>
          <w:sz w:val="20"/>
          <w:szCs w:val="20"/>
          <w:u w:val="single"/>
        </w:rPr>
        <w:t xml:space="preserve">Appeal point 2.3: </w:t>
      </w:r>
      <w:r w:rsidRPr="00C31456" w:rsidR="00C31456">
        <w:rPr>
          <w:rFonts w:cs="Arial"/>
          <w:b/>
          <w:sz w:val="20"/>
          <w:szCs w:val="20"/>
          <w:u w:val="single"/>
        </w:rPr>
        <w:t>The Committee’s conclusion that the subsequent treatments for the zilucoplan arm in the economic model should be informed by the efgartigimod full EAMS cohort whereas the comparator basket is informed by a different data source is inconsistent and unreasonable</w:t>
      </w:r>
    </w:p>
    <w:p w:rsidR="00405ACE" w:rsidP="00C31456" w:rsidRDefault="00405ACE" w14:paraId="68497323" w14:textId="35739A13">
      <w:pPr>
        <w:pStyle w:val="Paragraph"/>
        <w:numPr>
          <w:ilvl w:val="0"/>
          <w:numId w:val="0"/>
        </w:numPr>
        <w:jc w:val="both"/>
        <w:rPr>
          <w:rFonts w:cs="Arial"/>
          <w:sz w:val="20"/>
          <w:szCs w:val="20"/>
        </w:rPr>
      </w:pPr>
      <w:r>
        <w:rPr>
          <w:rFonts w:cs="Arial"/>
          <w:sz w:val="20"/>
          <w:szCs w:val="20"/>
        </w:rPr>
        <w:t xml:space="preserve">My understanding of your appeal point is that in the model preferred by the Committee, the pathways for subsequent treatment vary as between the zilucoplan arm and the comparator arm, which you consider to be inconsistent and unreasonable. </w:t>
      </w:r>
    </w:p>
    <w:p w:rsidR="006C5A0C" w:rsidP="00C31456" w:rsidRDefault="006C5A0C" w14:paraId="215856B7" w14:textId="1F325090">
      <w:pPr>
        <w:pStyle w:val="Paragraph"/>
        <w:numPr>
          <w:ilvl w:val="0"/>
          <w:numId w:val="0"/>
        </w:numPr>
        <w:jc w:val="both"/>
        <w:rPr>
          <w:rFonts w:cs="Arial"/>
          <w:sz w:val="20"/>
          <w:szCs w:val="20"/>
        </w:rPr>
      </w:pPr>
      <w:r w:rsidRPr="00405ACE">
        <w:rPr>
          <w:rFonts w:cs="Arial"/>
          <w:sz w:val="20"/>
          <w:szCs w:val="20"/>
        </w:rPr>
        <w:t>I am</w:t>
      </w:r>
      <w:r w:rsidRPr="00405ACE" w:rsidR="00405ACE">
        <w:rPr>
          <w:rFonts w:cs="Arial"/>
          <w:sz w:val="20"/>
          <w:szCs w:val="20"/>
        </w:rPr>
        <w:t xml:space="preserve"> </w:t>
      </w:r>
      <w:r w:rsidRPr="00405ACE">
        <w:rPr>
          <w:rFonts w:cs="Arial"/>
          <w:sz w:val="20"/>
          <w:szCs w:val="20"/>
        </w:rPr>
        <w:t>minded</w:t>
      </w:r>
      <w:r w:rsidRPr="00C31456">
        <w:rPr>
          <w:rFonts w:cs="Arial"/>
          <w:sz w:val="20"/>
          <w:szCs w:val="20"/>
        </w:rPr>
        <w:t xml:space="preserve"> to refer this appeal point to the Appeal Panel</w:t>
      </w:r>
      <w:r w:rsidR="00405ACE">
        <w:rPr>
          <w:rFonts w:cs="Arial"/>
          <w:sz w:val="20"/>
          <w:szCs w:val="20"/>
        </w:rPr>
        <w:t>.</w:t>
      </w:r>
    </w:p>
    <w:p w:rsidRPr="00C31456" w:rsidR="006C5A0C" w:rsidP="006C5A0C" w:rsidRDefault="006C5A0C" w14:paraId="5A8E0BDD" w14:textId="7853C99E">
      <w:pPr>
        <w:pStyle w:val="Paragraph"/>
        <w:numPr>
          <w:ilvl w:val="0"/>
          <w:numId w:val="0"/>
        </w:numPr>
        <w:jc w:val="both"/>
        <w:rPr>
          <w:rFonts w:cs="Arial"/>
          <w:b/>
          <w:sz w:val="20"/>
          <w:szCs w:val="20"/>
          <w:u w:val="single"/>
        </w:rPr>
      </w:pPr>
      <w:r w:rsidRPr="00C31456">
        <w:rPr>
          <w:rFonts w:cs="Arial"/>
          <w:b/>
          <w:sz w:val="20"/>
          <w:szCs w:val="20"/>
          <w:u w:val="single"/>
        </w:rPr>
        <w:t xml:space="preserve">Appeal point 2.4: </w:t>
      </w:r>
      <w:r w:rsidRPr="00C31456" w:rsidR="00C31456">
        <w:rPr>
          <w:rFonts w:cs="Arial"/>
          <w:b/>
          <w:bCs/>
          <w:sz w:val="20"/>
          <w:szCs w:val="20"/>
          <w:u w:val="single"/>
        </w:rPr>
        <w:t>The Committee’s conclusion that UCB’s expert elicitation had several uncertainties is unreasonable</w:t>
      </w:r>
    </w:p>
    <w:p w:rsidR="00405ACE" w:rsidP="006C5A0C" w:rsidRDefault="006C5A0C" w14:paraId="50DFE4D6" w14:textId="77777777">
      <w:pPr>
        <w:pStyle w:val="BodyText"/>
        <w:jc w:val="both"/>
        <w:rPr>
          <w:rFonts w:cs="Arial"/>
          <w:color w:val="auto"/>
        </w:rPr>
      </w:pPr>
      <w:r w:rsidRPr="00405ACE">
        <w:rPr>
          <w:rFonts w:cs="Arial"/>
          <w:color w:val="auto"/>
        </w:rPr>
        <w:t>I am minded</w:t>
      </w:r>
      <w:r w:rsidRPr="00C31456">
        <w:rPr>
          <w:rFonts w:cs="Arial"/>
          <w:color w:val="auto"/>
        </w:rPr>
        <w:t xml:space="preserve"> to refer this appeal point to the Appeal Panel</w:t>
      </w:r>
      <w:r w:rsidR="00405ACE">
        <w:rPr>
          <w:rFonts w:cs="Arial"/>
          <w:color w:val="auto"/>
        </w:rPr>
        <w:t xml:space="preserve">. </w:t>
      </w:r>
    </w:p>
    <w:p w:rsidRPr="00C31456" w:rsidR="006C5A0C" w:rsidP="006C5A0C" w:rsidRDefault="00405ACE" w14:paraId="166A1493" w14:textId="12CDA415">
      <w:pPr>
        <w:pStyle w:val="BodyText"/>
        <w:jc w:val="both"/>
        <w:rPr>
          <w:rFonts w:cs="Arial"/>
          <w:color w:val="auto"/>
        </w:rPr>
      </w:pPr>
      <w:r>
        <w:rPr>
          <w:rFonts w:cs="Arial"/>
          <w:color w:val="auto"/>
        </w:rPr>
        <w:t>I note that the clinical expert elicitation was derived from four clinical experts. One of the Committee's uncertainties in this regard was that "</w:t>
      </w:r>
      <w:r>
        <w:rPr>
          <w:rFonts w:cs="Arial"/>
          <w:i/>
          <w:iCs/>
          <w:color w:val="auto"/>
        </w:rPr>
        <w:t xml:space="preserve">it was unclear whether the clinical expert opinion is representative of UK MG Centres". </w:t>
      </w:r>
      <w:r>
        <w:rPr>
          <w:rFonts w:cs="Arial"/>
          <w:color w:val="auto"/>
        </w:rPr>
        <w:t xml:space="preserve">The Company may wish to explain how many gMG centres there are in the UK, and whether the four clinical experts informing the elicitation were representative of the varied clinical landscape in the UK. </w:t>
      </w:r>
    </w:p>
    <w:p w:rsidRPr="00C31456" w:rsidR="006C5A0C" w:rsidP="006C5A0C" w:rsidRDefault="006C5A0C" w14:paraId="7EA40578" w14:textId="20513B93">
      <w:pPr>
        <w:pStyle w:val="Paragraph"/>
        <w:numPr>
          <w:ilvl w:val="0"/>
          <w:numId w:val="0"/>
        </w:numPr>
        <w:jc w:val="both"/>
        <w:rPr>
          <w:rFonts w:cs="Arial"/>
          <w:b/>
          <w:sz w:val="20"/>
          <w:szCs w:val="20"/>
          <w:u w:val="single"/>
        </w:rPr>
      </w:pPr>
      <w:r w:rsidRPr="00C31456">
        <w:rPr>
          <w:rFonts w:cs="Arial"/>
          <w:b/>
          <w:sz w:val="20"/>
          <w:szCs w:val="20"/>
          <w:u w:val="single"/>
        </w:rPr>
        <w:t xml:space="preserve">Appeal point 2.5: </w:t>
      </w:r>
      <w:r w:rsidRPr="00C31456" w:rsidR="00C31456">
        <w:rPr>
          <w:rFonts w:cs="Arial"/>
          <w:b/>
          <w:bCs/>
          <w:sz w:val="20"/>
          <w:szCs w:val="20"/>
          <w:u w:val="single"/>
        </w:rPr>
        <w:t>The exclusion of minimal symptom expression is unreasonable in the light of the clinical trial data and expert elicitation submitted</w:t>
      </w:r>
    </w:p>
    <w:p w:rsidRPr="00C31456" w:rsidR="006C5A0C" w:rsidP="006C5A0C" w:rsidRDefault="006C5A0C" w14:paraId="7572C407" w14:textId="1696581D">
      <w:pPr>
        <w:pStyle w:val="BodyText"/>
        <w:jc w:val="both"/>
        <w:rPr>
          <w:rFonts w:cs="Arial"/>
          <w:color w:val="auto"/>
        </w:rPr>
      </w:pPr>
      <w:r w:rsidRPr="00405ACE">
        <w:rPr>
          <w:rFonts w:cs="Arial"/>
          <w:color w:val="auto"/>
        </w:rPr>
        <w:t>I am minded to refer this appeal point to the Appeal Panel</w:t>
      </w:r>
      <w:r w:rsidRPr="00405ACE" w:rsidR="00405ACE">
        <w:rPr>
          <w:rFonts w:cs="Arial"/>
          <w:color w:val="auto"/>
        </w:rPr>
        <w:t>.</w:t>
      </w:r>
    </w:p>
    <w:p w:rsidRPr="00DC12E9" w:rsidR="006C5A0C" w:rsidP="006C5A0C" w:rsidRDefault="006C5A0C" w14:paraId="4ED72F10" w14:textId="1AE97940">
      <w:pPr>
        <w:pStyle w:val="Paragraph"/>
        <w:numPr>
          <w:ilvl w:val="0"/>
          <w:numId w:val="0"/>
        </w:numPr>
        <w:jc w:val="both"/>
        <w:rPr>
          <w:rFonts w:cs="Arial"/>
          <w:b/>
          <w:sz w:val="20"/>
          <w:szCs w:val="20"/>
          <w:u w:val="single"/>
        </w:rPr>
      </w:pPr>
      <w:r w:rsidRPr="00C31456">
        <w:rPr>
          <w:rFonts w:cs="Arial"/>
          <w:b/>
          <w:sz w:val="20"/>
          <w:szCs w:val="20"/>
          <w:u w:val="single"/>
        </w:rPr>
        <w:t xml:space="preserve">Appeal point 2.6: </w:t>
      </w:r>
      <w:r w:rsidRPr="00C31456" w:rsidR="00C31456">
        <w:rPr>
          <w:rFonts w:cs="Arial"/>
          <w:b/>
          <w:bCs/>
          <w:sz w:val="20"/>
          <w:szCs w:val="20"/>
          <w:u w:val="single"/>
        </w:rPr>
        <w:t xml:space="preserve">The use of the overall EAMS cohort to determine the proportion of people on treatments in the “standard of care basket ” disregards the views of the authors of the published paper, expert opinion and is inconsistent with the target population for zilucoplan and its </w:t>
      </w:r>
      <w:r w:rsidRPr="00DC12E9" w:rsidR="00C31456">
        <w:rPr>
          <w:rFonts w:cs="Arial"/>
          <w:b/>
          <w:bCs/>
          <w:sz w:val="20"/>
          <w:szCs w:val="20"/>
          <w:u w:val="single"/>
        </w:rPr>
        <w:t>position in the treatment pathway</w:t>
      </w:r>
    </w:p>
    <w:p w:rsidRPr="00C31456" w:rsidR="00DC12E9" w:rsidP="006C5A0C" w:rsidRDefault="006C5A0C" w14:paraId="4F158002" w14:textId="1D3B05CB">
      <w:pPr>
        <w:pStyle w:val="BodyText"/>
        <w:jc w:val="both"/>
        <w:rPr>
          <w:rFonts w:cs="Arial"/>
          <w:color w:val="auto"/>
        </w:rPr>
      </w:pPr>
      <w:r w:rsidRPr="00DC12E9">
        <w:rPr>
          <w:rFonts w:cs="Arial"/>
          <w:color w:val="auto"/>
        </w:rPr>
        <w:t>I am</w:t>
      </w:r>
      <w:r w:rsidRPr="00DC12E9" w:rsidR="00DC12E9">
        <w:rPr>
          <w:rFonts w:cs="Arial"/>
          <w:color w:val="auto"/>
        </w:rPr>
        <w:t xml:space="preserve"> </w:t>
      </w:r>
      <w:r w:rsidRPr="00DC12E9">
        <w:rPr>
          <w:rFonts w:cs="Arial"/>
          <w:color w:val="auto"/>
        </w:rPr>
        <w:t>minded to refer this appeal point to the Appeal Panel</w:t>
      </w:r>
      <w:r w:rsidRPr="00DC12E9" w:rsidR="00DC12E9">
        <w:rPr>
          <w:rFonts w:cs="Arial"/>
          <w:color w:val="auto"/>
        </w:rPr>
        <w:t>.</w:t>
      </w:r>
    </w:p>
    <w:p w:rsidRPr="00C31456" w:rsidR="006C5A0C" w:rsidP="006C5A0C" w:rsidRDefault="006C5A0C" w14:paraId="06BAC8B5" w14:textId="21108543">
      <w:pPr>
        <w:pStyle w:val="Paragraph"/>
        <w:numPr>
          <w:ilvl w:val="0"/>
          <w:numId w:val="0"/>
        </w:numPr>
        <w:jc w:val="both"/>
        <w:rPr>
          <w:rFonts w:cs="Arial"/>
          <w:b/>
          <w:sz w:val="20"/>
          <w:szCs w:val="20"/>
          <w:u w:val="single"/>
        </w:rPr>
      </w:pPr>
      <w:r w:rsidRPr="00C31456">
        <w:rPr>
          <w:rFonts w:cs="Arial"/>
          <w:b/>
          <w:sz w:val="20"/>
          <w:szCs w:val="20"/>
          <w:u w:val="single"/>
        </w:rPr>
        <w:t xml:space="preserve">Appeal point 2.7: </w:t>
      </w:r>
      <w:r w:rsidRPr="00C31456" w:rsidR="00C31456">
        <w:rPr>
          <w:rFonts w:cs="Arial"/>
          <w:b/>
          <w:bCs/>
          <w:sz w:val="20"/>
          <w:szCs w:val="20"/>
          <w:u w:val="single"/>
        </w:rPr>
        <w:t>It is unreasonable to use Lee et al to estimate the cost of corticosteroid use for the CEM for zilucoplan</w:t>
      </w:r>
    </w:p>
    <w:p w:rsidRPr="00C31456" w:rsidR="006C5A0C" w:rsidP="006C5A0C" w:rsidRDefault="006C5A0C" w14:paraId="46B286B2" w14:textId="112A499C">
      <w:pPr>
        <w:pStyle w:val="BodyText"/>
        <w:jc w:val="both"/>
        <w:rPr>
          <w:rFonts w:cs="Arial"/>
          <w:color w:val="auto"/>
        </w:rPr>
      </w:pPr>
      <w:r w:rsidRPr="00DC12E9">
        <w:rPr>
          <w:rFonts w:cs="Arial"/>
          <w:color w:val="auto"/>
        </w:rPr>
        <w:t>I am</w:t>
      </w:r>
      <w:r w:rsidRPr="00DC12E9" w:rsidR="00DC12E9">
        <w:rPr>
          <w:rFonts w:cs="Arial"/>
          <w:color w:val="auto"/>
        </w:rPr>
        <w:t xml:space="preserve"> </w:t>
      </w:r>
      <w:r w:rsidRPr="00DC12E9">
        <w:rPr>
          <w:rFonts w:cs="Arial"/>
          <w:color w:val="auto"/>
        </w:rPr>
        <w:t>minded to refer this appeal point to the Appeal Panel.</w:t>
      </w:r>
      <w:r w:rsidRPr="00C31456">
        <w:rPr>
          <w:rFonts w:cs="Arial"/>
          <w:color w:val="auto"/>
        </w:rPr>
        <w:t xml:space="preserve"> </w:t>
      </w:r>
    </w:p>
    <w:p w:rsidRPr="00875A45" w:rsidR="00C31456" w:rsidP="00C31456" w:rsidRDefault="006C5A0C" w14:paraId="584502B3" w14:textId="77777777">
      <w:pPr>
        <w:pStyle w:val="Paragraph"/>
        <w:numPr>
          <w:ilvl w:val="0"/>
          <w:numId w:val="0"/>
        </w:numPr>
        <w:jc w:val="both"/>
        <w:rPr>
          <w:rFonts w:cs="Arial"/>
          <w:b/>
          <w:sz w:val="20"/>
          <w:szCs w:val="20"/>
          <w:u w:val="single"/>
        </w:rPr>
      </w:pPr>
      <w:r w:rsidRPr="00C31456">
        <w:rPr>
          <w:rFonts w:cs="Arial"/>
          <w:b/>
          <w:sz w:val="20"/>
          <w:szCs w:val="20"/>
          <w:u w:val="single"/>
        </w:rPr>
        <w:t xml:space="preserve">Appeal point 2.8: </w:t>
      </w:r>
      <w:r w:rsidRPr="00C31456" w:rsidR="00C31456">
        <w:rPr>
          <w:rFonts w:cs="Arial"/>
          <w:b/>
          <w:sz w:val="20"/>
          <w:szCs w:val="20"/>
          <w:u w:val="single"/>
        </w:rPr>
        <w:t xml:space="preserve">It is unreasonable to exclude a utility increment for the self-administration of </w:t>
      </w:r>
      <w:r w:rsidRPr="00875A45" w:rsidR="00C31456">
        <w:rPr>
          <w:rFonts w:cs="Arial"/>
          <w:b/>
          <w:sz w:val="20"/>
          <w:szCs w:val="20"/>
          <w:u w:val="single"/>
        </w:rPr>
        <w:t>zilucoplan (a self- administered treatment away from the hospital setting).</w:t>
      </w:r>
    </w:p>
    <w:p w:rsidR="0082064D" w:rsidP="00C31456" w:rsidRDefault="006C5A0C" w14:paraId="049F0A5D" w14:textId="5E9E71DD">
      <w:pPr>
        <w:pStyle w:val="Paragraph"/>
        <w:numPr>
          <w:ilvl w:val="0"/>
          <w:numId w:val="0"/>
        </w:numPr>
        <w:jc w:val="both"/>
        <w:rPr>
          <w:rFonts w:cs="Arial"/>
          <w:sz w:val="20"/>
          <w:szCs w:val="20"/>
        </w:rPr>
      </w:pPr>
      <w:r w:rsidRPr="00875A45">
        <w:rPr>
          <w:rFonts w:cs="Arial"/>
          <w:sz w:val="20"/>
          <w:szCs w:val="20"/>
        </w:rPr>
        <w:t>I am</w:t>
      </w:r>
      <w:r w:rsidRPr="00875A45" w:rsidR="00DC12E9">
        <w:rPr>
          <w:rFonts w:cs="Arial"/>
          <w:sz w:val="20"/>
          <w:szCs w:val="20"/>
        </w:rPr>
        <w:t xml:space="preserve"> not provisionally </w:t>
      </w:r>
      <w:r w:rsidRPr="00875A45">
        <w:rPr>
          <w:rFonts w:cs="Arial"/>
          <w:sz w:val="20"/>
          <w:szCs w:val="20"/>
        </w:rPr>
        <w:t>minded to refer this appeal point to the Appeal Panel</w:t>
      </w:r>
      <w:r w:rsidRPr="00875A45" w:rsidR="00DC12E9">
        <w:rPr>
          <w:rFonts w:cs="Arial"/>
          <w:sz w:val="20"/>
          <w:szCs w:val="20"/>
        </w:rPr>
        <w:t xml:space="preserve">. </w:t>
      </w:r>
      <w:r w:rsidRPr="00875A45" w:rsidR="0082064D">
        <w:rPr>
          <w:rFonts w:cs="Arial"/>
          <w:sz w:val="20"/>
          <w:szCs w:val="20"/>
        </w:rPr>
        <w:t>In your letter, you compare the Committee's</w:t>
      </w:r>
      <w:r w:rsidR="0082064D">
        <w:rPr>
          <w:rFonts w:cs="Arial"/>
          <w:sz w:val="20"/>
          <w:szCs w:val="20"/>
        </w:rPr>
        <w:t xml:space="preserve"> approach in the zilucoplan appraisal to another committee's approach to the eliglustat highly specialised technology appraisal. In the latter, the committee preferred the inclusion of a utility increment for the technology undergoing the appraisal rather than an utility decrement for the comparator. </w:t>
      </w:r>
    </w:p>
    <w:p w:rsidR="0082064D" w:rsidP="00C31456" w:rsidRDefault="0082064D" w14:paraId="62C6F302" w14:textId="2EEA9E99">
      <w:pPr>
        <w:pStyle w:val="Paragraph"/>
        <w:numPr>
          <w:ilvl w:val="0"/>
          <w:numId w:val="0"/>
        </w:numPr>
        <w:jc w:val="both"/>
        <w:rPr>
          <w:rFonts w:cs="Arial"/>
          <w:sz w:val="20"/>
          <w:szCs w:val="20"/>
        </w:rPr>
      </w:pPr>
      <w:r>
        <w:rPr>
          <w:rFonts w:cs="Arial"/>
          <w:sz w:val="20"/>
          <w:szCs w:val="20"/>
        </w:rPr>
        <w:t xml:space="preserve">I do not consider the fact that two committees prefer different modelling approaches to be unreasonable per se. At paragraph 3.21 of the FDG, the Committee sets out the EAG's view that the studies referenced by the Company to support the inclusion of this utility increment related to different modes of administration than subcutaneous injection (for example, oral administration and infusions). As a result, the Committee concluded that it was appropriate to include the uncaptured benefit as a utility decrement for IVIg and PLEX from the implied avoidance of in-hospital administration, rather than a utility increment for zilucoplan. </w:t>
      </w:r>
    </w:p>
    <w:p w:rsidR="0082064D" w:rsidP="00C31456" w:rsidRDefault="0082064D" w14:paraId="774C2580" w14:textId="00D0602F">
      <w:pPr>
        <w:pStyle w:val="Paragraph"/>
        <w:numPr>
          <w:ilvl w:val="0"/>
          <w:numId w:val="0"/>
        </w:numPr>
        <w:jc w:val="both"/>
        <w:rPr>
          <w:rFonts w:cs="Arial"/>
          <w:sz w:val="20"/>
          <w:szCs w:val="20"/>
        </w:rPr>
      </w:pPr>
      <w:r>
        <w:rPr>
          <w:rFonts w:cs="Arial"/>
          <w:sz w:val="20"/>
          <w:szCs w:val="20"/>
        </w:rPr>
        <w:t>I</w:t>
      </w:r>
      <w:r w:rsidR="004C5BA4">
        <w:rPr>
          <w:rFonts w:cs="Arial"/>
          <w:sz w:val="20"/>
          <w:szCs w:val="20"/>
        </w:rPr>
        <w:t>f you wish to pursue this appeal point at final scrutiny, I</w:t>
      </w:r>
      <w:r>
        <w:rPr>
          <w:rFonts w:cs="Arial"/>
          <w:sz w:val="20"/>
          <w:szCs w:val="20"/>
        </w:rPr>
        <w:t xml:space="preserve"> would invite the Company to explain why it considers that the Committee's preference of a utility decrement for IVIg and PLEX to be unreasonable</w:t>
      </w:r>
      <w:r w:rsidR="007E507F">
        <w:rPr>
          <w:rFonts w:cs="Arial"/>
          <w:sz w:val="20"/>
          <w:szCs w:val="20"/>
        </w:rPr>
        <w:t xml:space="preserve"> on the face of the evidence before it. In particular, the Company may be assisted by referring to the uncertainties recognised in the FDG as to the validity of the evidence informing the disutilities associated with IVIg and PLEX. </w:t>
      </w:r>
    </w:p>
    <w:p w:rsidRPr="00C31456" w:rsidR="007E4EDC" w:rsidP="00623213" w:rsidRDefault="007E4EDC" w14:paraId="4AE6A487" w14:textId="6BDD7B15">
      <w:pPr>
        <w:pStyle w:val="Paragraph"/>
        <w:numPr>
          <w:ilvl w:val="0"/>
          <w:numId w:val="0"/>
        </w:numPr>
        <w:jc w:val="both"/>
        <w:rPr>
          <w:rFonts w:cs="Arial"/>
          <w:sz w:val="20"/>
          <w:szCs w:val="20"/>
          <w:u w:val="single"/>
          <w:lang w:eastAsia="en-US"/>
        </w:rPr>
      </w:pPr>
      <w:r w:rsidRPr="00C31456">
        <w:rPr>
          <w:rFonts w:cs="Arial"/>
          <w:sz w:val="20"/>
          <w:szCs w:val="20"/>
          <w:u w:val="single"/>
          <w:lang w:eastAsia="en-US"/>
        </w:rPr>
        <w:t xml:space="preserve">Conclusion </w:t>
      </w:r>
    </w:p>
    <w:p w:rsidRPr="00C31456" w:rsidR="00613CE8" w:rsidP="00613CE8" w:rsidRDefault="00613CE8" w14:paraId="259A7A09" w14:textId="77777777">
      <w:pPr>
        <w:pStyle w:val="Paragraph"/>
        <w:numPr>
          <w:ilvl w:val="0"/>
          <w:numId w:val="0"/>
        </w:numPr>
        <w:spacing w:before="120"/>
        <w:jc w:val="both"/>
        <w:rPr>
          <w:rFonts w:cs="Arial"/>
          <w:sz w:val="20"/>
          <w:szCs w:val="20"/>
          <w:lang w:eastAsia="en-US"/>
        </w:rPr>
      </w:pPr>
      <w:r w:rsidRPr="00C31456">
        <w:rPr>
          <w:rFonts w:cs="Arial"/>
          <w:sz w:val="20"/>
          <w:szCs w:val="20"/>
          <w:lang w:eastAsia="en-US"/>
        </w:rPr>
        <w:t>The above sets out above my initial views on all of your appeal points.</w:t>
      </w:r>
    </w:p>
    <w:p w:rsidRPr="00C31456" w:rsidR="00613CE8" w:rsidP="00613CE8" w:rsidRDefault="00613CE8" w14:paraId="324863C4" w14:textId="02850E9F">
      <w:pPr>
        <w:pStyle w:val="Paragraph"/>
        <w:numPr>
          <w:ilvl w:val="0"/>
          <w:numId w:val="0"/>
        </w:numPr>
        <w:spacing w:before="120"/>
        <w:jc w:val="both"/>
        <w:rPr>
          <w:rFonts w:cs="Arial"/>
          <w:sz w:val="20"/>
          <w:szCs w:val="20"/>
          <w:lang w:eastAsia="en-US"/>
        </w:rPr>
      </w:pPr>
      <w:r w:rsidRPr="4E8254B5" w:rsidR="00613CE8">
        <w:rPr>
          <w:rFonts w:cs="Arial"/>
          <w:sz w:val="20"/>
          <w:szCs w:val="20"/>
          <w:lang w:eastAsia="en-US"/>
        </w:rPr>
        <w:t xml:space="preserve">In respect of your points which I am not minded </w:t>
      </w:r>
      <w:r w:rsidRPr="4E8254B5" w:rsidR="00613CE8">
        <w:rPr>
          <w:rFonts w:cs="Arial"/>
          <w:sz w:val="20"/>
          <w:szCs w:val="20"/>
          <w:lang w:eastAsia="en-US"/>
        </w:rPr>
        <w:t>to refer</w:t>
      </w:r>
      <w:r w:rsidRPr="4E8254B5" w:rsidR="00613CE8">
        <w:rPr>
          <w:rFonts w:cs="Arial"/>
          <w:sz w:val="20"/>
          <w:szCs w:val="20"/>
          <w:lang w:eastAsia="en-US"/>
        </w:rPr>
        <w:t xml:space="preserve"> on you are entitled to </w:t>
      </w:r>
      <w:r w:rsidRPr="4E8254B5" w:rsidR="00613CE8">
        <w:rPr>
          <w:rFonts w:cs="Arial"/>
          <w:sz w:val="20"/>
          <w:szCs w:val="20"/>
          <w:lang w:eastAsia="en-US"/>
        </w:rPr>
        <w:t>submit</w:t>
      </w:r>
      <w:r w:rsidRPr="4E8254B5" w:rsidR="00613CE8">
        <w:rPr>
          <w:rFonts w:cs="Arial"/>
          <w:sz w:val="20"/>
          <w:szCs w:val="20"/>
          <w:lang w:eastAsia="en-US"/>
        </w:rPr>
        <w:t xml:space="preserve"> further clarification and/or evidence to me </w:t>
      </w:r>
      <w:r w:rsidRPr="4E8254B5" w:rsidR="424C710F">
        <w:rPr>
          <w:rFonts w:cs="Arial"/>
          <w:sz w:val="20"/>
          <w:szCs w:val="20"/>
          <w:lang w:eastAsia="en-US"/>
        </w:rPr>
        <w:t xml:space="preserve">by </w:t>
      </w:r>
      <w:r w:rsidRPr="4E8254B5" w:rsidR="79EA93BA">
        <w:rPr>
          <w:rFonts w:cs="Arial"/>
          <w:sz w:val="20"/>
          <w:szCs w:val="20"/>
          <w:lang w:eastAsia="en-US"/>
        </w:rPr>
        <w:t xml:space="preserve">5:00pm on </w:t>
      </w:r>
      <w:r w:rsidRPr="4E8254B5" w:rsidR="766EE7C7">
        <w:rPr>
          <w:rFonts w:cs="Arial"/>
          <w:sz w:val="20"/>
          <w:szCs w:val="20"/>
          <w:lang w:eastAsia="en-US"/>
        </w:rPr>
        <w:t>Monday 4 August 2025</w:t>
      </w:r>
      <w:r w:rsidRPr="4E8254B5" w:rsidR="00613CE8">
        <w:rPr>
          <w:rFonts w:cs="Arial"/>
          <w:sz w:val="20"/>
          <w:szCs w:val="20"/>
          <w:lang w:eastAsia="en-US"/>
        </w:rPr>
        <w:t xml:space="preserve">, and I will then give a final decision on the points to put before an appeal panel.  Responses must deal only with requested clarifications, or arguments or comments about the lead non-executive director for appeals' </w:t>
      </w:r>
      <w:r w:rsidRPr="4E8254B5" w:rsidR="00613CE8">
        <w:rPr>
          <w:rFonts w:cs="Arial"/>
          <w:sz w:val="20"/>
          <w:szCs w:val="20"/>
          <w:lang w:eastAsia="en-US"/>
        </w:rPr>
        <w:t>initial</w:t>
      </w:r>
      <w:r w:rsidRPr="4E8254B5" w:rsidR="00613CE8">
        <w:rPr>
          <w:rFonts w:cs="Arial"/>
          <w:sz w:val="20"/>
          <w:szCs w:val="20"/>
          <w:lang w:eastAsia="en-US"/>
        </w:rPr>
        <w:t xml:space="preserve"> view that an appeal point is not valid. For the points I am </w:t>
      </w:r>
      <w:r w:rsidRPr="4E8254B5" w:rsidR="00613CE8">
        <w:rPr>
          <w:rFonts w:cs="Arial"/>
          <w:sz w:val="20"/>
          <w:szCs w:val="20"/>
          <w:lang w:eastAsia="en-US"/>
        </w:rPr>
        <w:t>already content to refer on, an oral appeal will be held which is likely to be held remotely.</w:t>
      </w:r>
    </w:p>
    <w:p w:rsidRPr="00C31456" w:rsidR="00613CE8" w:rsidP="00613CE8" w:rsidRDefault="00613CE8" w14:paraId="1E282E65" w14:textId="371D5752">
      <w:pPr>
        <w:pStyle w:val="Paragraph"/>
        <w:numPr>
          <w:ilvl w:val="0"/>
          <w:numId w:val="0"/>
        </w:numPr>
        <w:spacing w:before="120"/>
        <w:jc w:val="both"/>
        <w:rPr>
          <w:rFonts w:cs="Arial"/>
          <w:sz w:val="20"/>
          <w:szCs w:val="20"/>
        </w:rPr>
      </w:pPr>
      <w:r w:rsidRPr="00C31456">
        <w:rPr>
          <w:rFonts w:cs="Arial"/>
          <w:sz w:val="20"/>
          <w:szCs w:val="20"/>
          <w:lang w:eastAsia="en-US"/>
        </w:rPr>
        <w:t>Once I have made my final decision, and where there is more than one appellant, each appellant will receive the valid appeal points of the other appellants and their redacted appeal letter. This is to enable appellants to avoid duplication at the hearing where there are overlapping appeal points. If the appeal letter and/or responses to scrutiny contain confidential information</w:t>
      </w:r>
      <w:r w:rsidRPr="00C31456">
        <w:rPr>
          <w:rFonts w:cs="Arial"/>
          <w:sz w:val="20"/>
          <w:szCs w:val="20"/>
        </w:rPr>
        <w:t xml:space="preserve"> please ensure you have provided a version with this information redacted by</w:t>
      </w:r>
      <w:r w:rsidR="00E44644">
        <w:rPr>
          <w:rFonts w:cs="Arial"/>
          <w:sz w:val="20"/>
          <w:szCs w:val="20"/>
        </w:rPr>
        <w:t xml:space="preserve"> 5:00pm on Monday 11 August 2025.</w:t>
      </w:r>
    </w:p>
    <w:p w:rsidRPr="00C31456" w:rsidR="00613CE8" w:rsidP="00613CE8" w:rsidRDefault="00613CE8" w14:paraId="0688AA84" w14:textId="079C62E1">
      <w:pPr>
        <w:pStyle w:val="Paragraph"/>
        <w:numPr>
          <w:ilvl w:val="0"/>
          <w:numId w:val="0"/>
        </w:numPr>
        <w:spacing w:before="120"/>
        <w:jc w:val="both"/>
        <w:rPr>
          <w:rFonts w:cs="Arial"/>
          <w:sz w:val="20"/>
          <w:szCs w:val="20"/>
        </w:rPr>
      </w:pPr>
      <w:r w:rsidRPr="6349E538" w:rsidR="00613CE8">
        <w:rPr>
          <w:rFonts w:cs="Arial"/>
          <w:sz w:val="20"/>
          <w:szCs w:val="20"/>
        </w:rPr>
        <w:t xml:space="preserve">Ordinarily appeals are conducted </w:t>
      </w:r>
      <w:r w:rsidRPr="6349E538" w:rsidR="00613CE8">
        <w:rPr>
          <w:rFonts w:cs="Arial"/>
          <w:sz w:val="20"/>
          <w:szCs w:val="20"/>
        </w:rPr>
        <w:t>on the basis of</w:t>
      </w:r>
      <w:r w:rsidRPr="6349E538" w:rsidR="00613CE8">
        <w:rPr>
          <w:rFonts w:cs="Arial"/>
          <w:sz w:val="20"/>
          <w:szCs w:val="20"/>
        </w:rPr>
        <w:t xml:space="preserve"> the appellants’ written appeal letters, and the material generated during the appraisal process</w:t>
      </w:r>
      <w:r w:rsidRPr="6349E538" w:rsidR="00613CE8">
        <w:rPr>
          <w:rFonts w:cs="Arial"/>
          <w:sz w:val="20"/>
          <w:szCs w:val="20"/>
        </w:rPr>
        <w:t xml:space="preserve">.  </w:t>
      </w:r>
      <w:r w:rsidRPr="6349E538" w:rsidR="00613CE8">
        <w:rPr>
          <w:rFonts w:cs="Arial"/>
          <w:sz w:val="20"/>
          <w:szCs w:val="20"/>
        </w:rPr>
        <w:t xml:space="preserve">Use of </w:t>
      </w:r>
      <w:r w:rsidRPr="6349E538" w:rsidR="00613CE8">
        <w:rPr>
          <w:rFonts w:cs="Arial"/>
          <w:sz w:val="20"/>
          <w:szCs w:val="20"/>
        </w:rPr>
        <w:t>additional</w:t>
      </w:r>
      <w:r w:rsidRPr="6349E538" w:rsidR="00613CE8">
        <w:rPr>
          <w:rFonts w:cs="Arial"/>
          <w:sz w:val="20"/>
          <w:szCs w:val="20"/>
        </w:rPr>
        <w:t xml:space="preserve"> written material is discouraged, and the panel cannot receive any new evidence</w:t>
      </w:r>
      <w:r w:rsidRPr="6349E538" w:rsidR="00613CE8">
        <w:rPr>
          <w:rFonts w:cs="Arial"/>
          <w:sz w:val="20"/>
          <w:szCs w:val="20"/>
        </w:rPr>
        <w:t xml:space="preserve">.  </w:t>
      </w:r>
      <w:r w:rsidRPr="6349E538" w:rsidR="00613CE8">
        <w:rPr>
          <w:rFonts w:cs="Arial"/>
          <w:sz w:val="20"/>
          <w:szCs w:val="20"/>
        </w:rPr>
        <w:t>If, exceptionally, you feel there is written material that will not be before the panel that you would wish to rely on you must let the NICE Appeal team know by return of letter, indicating what the material is, why it is desirable to submit it, and when it will be available, by no later than</w:t>
      </w:r>
      <w:r w:rsidRPr="6349E538" w:rsidR="00FA786B">
        <w:rPr>
          <w:rFonts w:cs="Arial"/>
          <w:sz w:val="20"/>
          <w:szCs w:val="20"/>
        </w:rPr>
        <w:t xml:space="preserve"> 5:00pm on</w:t>
      </w:r>
      <w:r w:rsidRPr="6349E538" w:rsidR="00613CE8">
        <w:rPr>
          <w:rFonts w:cs="Arial"/>
          <w:sz w:val="20"/>
          <w:szCs w:val="20"/>
        </w:rPr>
        <w:t xml:space="preserve"> </w:t>
      </w:r>
      <w:r w:rsidRPr="6349E538" w:rsidR="00E44644">
        <w:rPr>
          <w:rFonts w:cs="Arial"/>
          <w:sz w:val="20"/>
          <w:szCs w:val="20"/>
        </w:rPr>
        <w:t>Thursday 18 Septembe</w:t>
      </w:r>
      <w:r w:rsidRPr="6349E538" w:rsidR="00FA786B">
        <w:rPr>
          <w:rFonts w:cs="Arial"/>
          <w:sz w:val="20"/>
          <w:szCs w:val="20"/>
        </w:rPr>
        <w:t>r</w:t>
      </w:r>
      <w:r w:rsidRPr="6349E538" w:rsidR="6E13E573">
        <w:rPr>
          <w:rFonts w:cs="Arial"/>
          <w:sz w:val="20"/>
          <w:szCs w:val="20"/>
        </w:rPr>
        <w:t xml:space="preserve"> 2025</w:t>
      </w:r>
      <w:r w:rsidRPr="6349E538" w:rsidR="00613CE8">
        <w:rPr>
          <w:rFonts w:cs="Arial"/>
          <w:sz w:val="20"/>
          <w:szCs w:val="20"/>
        </w:rPr>
        <w:t>.  Please note that the appeal panel cannot accept papers that are tabled late or ad hoc, as this affects the preparation of the panel and other parties for the appeal.</w:t>
      </w:r>
    </w:p>
    <w:p w:rsidRPr="00C31456" w:rsidR="00613CE8" w:rsidP="00613CE8" w:rsidRDefault="00613CE8" w14:paraId="44024AEB" w14:textId="77777777">
      <w:pPr>
        <w:jc w:val="both"/>
        <w:rPr>
          <w:rFonts w:cs="Arial"/>
          <w:color w:val="auto"/>
        </w:rPr>
      </w:pPr>
      <w:r w:rsidRPr="00C31456">
        <w:rPr>
          <w:rFonts w:cs="Arial"/>
          <w:color w:val="auto"/>
        </w:rPr>
        <w:t>Yours sincerely</w:t>
      </w:r>
    </w:p>
    <w:p w:rsidRPr="00C31456" w:rsidR="00613CE8" w:rsidP="00613CE8" w:rsidRDefault="00613CE8" w14:paraId="2700DF5B" w14:textId="77777777">
      <w:pPr>
        <w:jc w:val="both"/>
        <w:rPr>
          <w:rFonts w:cs="Arial"/>
          <w:color w:val="auto"/>
        </w:rPr>
      </w:pPr>
    </w:p>
    <w:p w:rsidRPr="00C31456" w:rsidR="00613CE8" w:rsidP="00613CE8" w:rsidRDefault="00875A45" w14:paraId="6785728F" w14:textId="0C7BC7A8">
      <w:pPr>
        <w:spacing w:line="360" w:lineRule="auto"/>
        <w:jc w:val="both"/>
        <w:rPr>
          <w:rFonts w:cs="Arial"/>
          <w:color w:val="auto"/>
        </w:rPr>
      </w:pPr>
      <w:r w:rsidRPr="6349E538" w:rsidR="00875A45">
        <w:rPr>
          <w:rFonts w:cs="Arial"/>
          <w:color w:val="auto"/>
        </w:rPr>
        <w:t>Dr Mark Chakravarty</w:t>
      </w:r>
    </w:p>
    <w:p w:rsidR="7F125C1F" w:rsidP="0BCE14AE" w:rsidRDefault="7F125C1F" w14:paraId="754B58FC" w14:textId="3E970AFE">
      <w:pPr>
        <w:spacing w:line="360" w:lineRule="auto"/>
        <w:jc w:val="both"/>
        <w:rPr>
          <w:color w:val="auto"/>
          <w:highlight w:val="black"/>
        </w:rPr>
      </w:pPr>
      <w:r w:rsidRPr="0BCE14AE" w:rsidR="20858141">
        <w:rPr>
          <w:color w:val="auto"/>
          <w:highlight w:val="black"/>
        </w:rPr>
        <w:t>XXXXXXXXXXXXXXXXXXXXXXXX</w:t>
      </w:r>
    </w:p>
    <w:p w:rsidRPr="00C31456" w:rsidR="00613CE8" w:rsidP="00613CE8" w:rsidRDefault="00875A45" w14:paraId="0588C340" w14:textId="700832FE">
      <w:pPr>
        <w:spacing w:line="360" w:lineRule="auto"/>
        <w:jc w:val="both"/>
        <w:rPr>
          <w:rFonts w:cs="Arial"/>
          <w:color w:val="auto"/>
        </w:rPr>
      </w:pPr>
      <w:r>
        <w:rPr>
          <w:rFonts w:cs="Arial"/>
          <w:color w:val="auto"/>
        </w:rPr>
        <w:t>Lead Non-Executive Director for Appeals</w:t>
      </w:r>
    </w:p>
    <w:p w:rsidRPr="00C31456" w:rsidR="00613CE8" w:rsidP="00613CE8" w:rsidRDefault="00613CE8" w14:paraId="6AB725EB" w14:textId="77777777">
      <w:pPr>
        <w:spacing w:line="360" w:lineRule="auto"/>
        <w:jc w:val="both"/>
        <w:rPr>
          <w:rFonts w:cs="Arial"/>
          <w:color w:val="auto"/>
        </w:rPr>
      </w:pPr>
      <w:r w:rsidRPr="00C31456">
        <w:rPr>
          <w:rFonts w:cs="Arial"/>
          <w:color w:val="auto"/>
        </w:rPr>
        <w:t>National Institute for Health and Care Excellence</w:t>
      </w:r>
    </w:p>
    <w:p w:rsidRPr="00C31456" w:rsidR="00613CE8" w:rsidP="00613CE8" w:rsidRDefault="00613CE8" w14:paraId="0F36A701" w14:textId="77777777">
      <w:pPr>
        <w:jc w:val="both"/>
        <w:rPr>
          <w:rFonts w:cs="Arial"/>
          <w:color w:val="auto"/>
        </w:rPr>
      </w:pPr>
    </w:p>
    <w:p w:rsidRPr="00C31456" w:rsidR="00613CE8" w:rsidP="00613CE8" w:rsidRDefault="00613CE8" w14:paraId="3EB183CA" w14:textId="77777777">
      <w:pPr>
        <w:jc w:val="both"/>
        <w:rPr>
          <w:rFonts w:cs="Arial"/>
          <w:color w:val="auto"/>
        </w:rPr>
      </w:pPr>
    </w:p>
    <w:p w:rsidRPr="00DD7697" w:rsidR="002B21D4" w:rsidP="00613CE8" w:rsidRDefault="002B21D4" w14:paraId="0C61E456" w14:textId="77777777">
      <w:pPr>
        <w:pStyle w:val="Paragraph"/>
        <w:numPr>
          <w:ilvl w:val="0"/>
          <w:numId w:val="0"/>
        </w:numPr>
        <w:spacing w:before="120"/>
        <w:jc w:val="both"/>
        <w:rPr>
          <w:rFonts w:cs="Arial"/>
        </w:rPr>
      </w:pPr>
    </w:p>
    <w:sectPr w:rsidRPr="00DD7697" w:rsidR="002B21D4" w:rsidSect="003835C1">
      <w:headerReference w:type="even" r:id="rId11"/>
      <w:headerReference w:type="default" r:id="rId12"/>
      <w:footerReference w:type="even" r:id="rId13"/>
      <w:footerReference w:type="default" r:id="rId14"/>
      <w:headerReference w:type="first" r:id="rId15"/>
      <w:footerReference w:type="first" r:id="rId16"/>
      <w:pgSz w:w="11907" w:h="16840" w:orient="portrait" w:code="9"/>
      <w:pgMar w:top="1848" w:right="1418" w:bottom="1418" w:left="1418" w:header="1134"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64B9" w:rsidRDefault="005364B9" w14:paraId="05B3A1BA" w14:textId="77777777">
      <w:r>
        <w:separator/>
      </w:r>
    </w:p>
  </w:endnote>
  <w:endnote w:type="continuationSeparator" w:id="0">
    <w:p w:rsidR="005364B9" w:rsidRDefault="005364B9" w14:paraId="3659247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55C" w:rsidRDefault="00A4155C" w14:paraId="0EECDD2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10C0E" w:rsidR="00E308B8" w:rsidP="00832D34" w:rsidRDefault="00E308B8" w14:paraId="783FA69C" w14:textId="3A8305C2">
    <w:pPr>
      <w:pStyle w:val="Footer"/>
      <w:tabs>
        <w:tab w:val="clear" w:pos="4153"/>
        <w:tab w:val="clear" w:pos="8306"/>
        <w:tab w:val="center" w:pos="4536"/>
        <w:tab w:val="right" w:pos="9072"/>
      </w:tabs>
      <w:spacing w:line="240" w:lineRule="auto"/>
      <w:rPr>
        <w:color w:val="808080"/>
        <w:sz w:val="18"/>
        <w:szCs w:val="18"/>
      </w:rPr>
    </w:pPr>
    <w:r>
      <w:rPr>
        <w:rStyle w:val="PageNumber"/>
        <w:color w:val="808080"/>
        <w:szCs w:val="18"/>
      </w:rPr>
      <w:tab/>
    </w:r>
    <w:r>
      <w:rPr>
        <w:rStyle w:val="PageNumber"/>
        <w:color w:val="808080"/>
        <w:szCs w:val="18"/>
      </w:rPr>
      <w:tab/>
    </w:r>
    <w:r w:rsidRPr="00E10C0E">
      <w:rPr>
        <w:rStyle w:val="PageNumber"/>
        <w:color w:val="808080"/>
        <w:szCs w:val="18"/>
      </w:rPr>
      <w:t xml:space="preserve">Page </w:t>
    </w:r>
    <w:r w:rsidRPr="00E10C0E">
      <w:rPr>
        <w:rStyle w:val="PageNumber"/>
        <w:bCs/>
        <w:color w:val="808080"/>
        <w:szCs w:val="18"/>
      </w:rPr>
      <w:fldChar w:fldCharType="begin"/>
    </w:r>
    <w:r w:rsidRPr="00E10C0E">
      <w:rPr>
        <w:rStyle w:val="PageNumber"/>
        <w:bCs/>
        <w:color w:val="808080"/>
        <w:szCs w:val="18"/>
      </w:rPr>
      <w:instrText xml:space="preserve"> PAGE </w:instrText>
    </w:r>
    <w:r w:rsidRPr="00E10C0E">
      <w:rPr>
        <w:rStyle w:val="PageNumber"/>
        <w:bCs/>
        <w:color w:val="808080"/>
        <w:szCs w:val="18"/>
      </w:rPr>
      <w:fldChar w:fldCharType="separate"/>
    </w:r>
    <w:r w:rsidR="00811421">
      <w:rPr>
        <w:rStyle w:val="PageNumber"/>
        <w:bCs/>
        <w:noProof/>
        <w:color w:val="808080"/>
        <w:szCs w:val="18"/>
      </w:rPr>
      <w:t>2</w:t>
    </w:r>
    <w:r w:rsidRPr="00E10C0E">
      <w:rPr>
        <w:rStyle w:val="PageNumber"/>
        <w:bCs/>
        <w:color w:val="808080"/>
        <w:szCs w:val="18"/>
      </w:rPr>
      <w:fldChar w:fldCharType="end"/>
    </w:r>
    <w:r w:rsidRPr="00E10C0E">
      <w:rPr>
        <w:rStyle w:val="PageNumber"/>
        <w:color w:val="808080"/>
        <w:szCs w:val="18"/>
      </w:rPr>
      <w:t xml:space="preserve"> of </w:t>
    </w:r>
    <w:r w:rsidRPr="00E10C0E">
      <w:rPr>
        <w:rStyle w:val="PageNumber"/>
        <w:b/>
        <w:color w:val="808080"/>
        <w:szCs w:val="18"/>
      </w:rPr>
      <w:fldChar w:fldCharType="begin"/>
    </w:r>
    <w:r w:rsidRPr="00E10C0E">
      <w:rPr>
        <w:rStyle w:val="PageNumber"/>
        <w:b/>
        <w:color w:val="808080"/>
        <w:szCs w:val="18"/>
      </w:rPr>
      <w:instrText xml:space="preserve"> NUMPAGES  \* MERGEFORMAT </w:instrText>
    </w:r>
    <w:r w:rsidRPr="00E10C0E">
      <w:rPr>
        <w:rStyle w:val="PageNumber"/>
        <w:b/>
        <w:color w:val="808080"/>
        <w:szCs w:val="18"/>
      </w:rPr>
      <w:fldChar w:fldCharType="separate"/>
    </w:r>
    <w:r w:rsidRPr="00811421" w:rsidR="00811421">
      <w:rPr>
        <w:rStyle w:val="PageNumber"/>
        <w:noProof/>
        <w:color w:val="808080"/>
        <w:szCs w:val="18"/>
      </w:rPr>
      <w:t>2</w:t>
    </w:r>
    <w:r w:rsidRPr="00E10C0E">
      <w:rPr>
        <w:rStyle w:val="PageNumber"/>
        <w:b/>
        <w:color w:val="808080"/>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832D34" w:rsidR="00E308B8" w:rsidP="00EF043B" w:rsidRDefault="00811421" w14:paraId="21A9013B" w14:textId="0A4FBAFA">
    <w:pPr>
      <w:pStyle w:val="Footer"/>
      <w:tabs>
        <w:tab w:val="clear" w:pos="4153"/>
        <w:tab w:val="clear" w:pos="8306"/>
        <w:tab w:val="left" w:pos="0"/>
        <w:tab w:val="center" w:pos="4536"/>
        <w:tab w:val="right" w:pos="9072"/>
      </w:tabs>
      <w:spacing w:line="240" w:lineRule="auto"/>
      <w:jc w:val="right"/>
      <w:rPr>
        <w:color w:val="808080"/>
        <w:sz w:val="18"/>
        <w:szCs w:val="18"/>
      </w:rPr>
    </w:pPr>
    <w:r>
      <w:rPr>
        <w:noProof/>
        <w:lang w:eastAsia="en-GB"/>
      </w:rPr>
      <w:drawing>
        <wp:anchor distT="0" distB="0" distL="114300" distR="114300" simplePos="0" relativeHeight="251658241" behindDoc="0" locked="0" layoutInCell="1" allowOverlap="1" wp14:anchorId="762011F8" wp14:editId="211A3AF0">
          <wp:simplePos x="0" y="0"/>
          <wp:positionH relativeFrom="margin">
            <wp:align>center</wp:align>
          </wp:positionH>
          <wp:positionV relativeFrom="margin">
            <wp:posOffset>7708265</wp:posOffset>
          </wp:positionV>
          <wp:extent cx="7000002" cy="509268"/>
          <wp:effectExtent l="0" t="0" r="0" b="5715"/>
          <wp:wrapNone/>
          <wp:docPr id="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00002" cy="509268"/>
                  </a:xfrm>
                  <a:prstGeom prst="rect">
                    <a:avLst/>
                  </a:prstGeom>
                  <a:noFill/>
                </pic:spPr>
              </pic:pic>
            </a:graphicData>
          </a:graphic>
          <wp14:sizeRelH relativeFrom="page">
            <wp14:pctWidth>0</wp14:pctWidth>
          </wp14:sizeRelH>
          <wp14:sizeRelV relativeFrom="page">
            <wp14:pctHeight>0</wp14:pctHeight>
          </wp14:sizeRelV>
        </wp:anchor>
      </w:drawing>
    </w:r>
    <w:r w:rsidRPr="00832D34" w:rsidR="00E308B8">
      <w:rPr>
        <w:color w:val="808080"/>
        <w:sz w:val="18"/>
        <w:szCs w:val="18"/>
      </w:rPr>
      <w:fldChar w:fldCharType="begin"/>
    </w:r>
    <w:r w:rsidRPr="00832D34" w:rsidR="00E308B8">
      <w:rPr>
        <w:color w:val="808080"/>
        <w:sz w:val="18"/>
        <w:szCs w:val="18"/>
      </w:rPr>
      <w:instrText xml:space="preserve"> FILENAME \* Upper </w:instrText>
    </w:r>
    <w:r w:rsidRPr="00832D34" w:rsidR="00E308B8">
      <w:rPr>
        <w:color w:val="808080"/>
        <w:sz w:val="18"/>
        <w:szCs w:val="18"/>
      </w:rPr>
      <w:fldChar w:fldCharType="separate"/>
    </w:r>
    <w:r w:rsidR="00E308B8">
      <w:rPr>
        <w:noProof/>
        <w:color w:val="808080"/>
        <w:sz w:val="18"/>
        <w:szCs w:val="18"/>
      </w:rPr>
      <w:t>DOCUMENT3</w:t>
    </w:r>
    <w:r w:rsidRPr="00832D34" w:rsidR="00E308B8">
      <w:rPr>
        <w:color w:val="808080"/>
        <w:sz w:val="18"/>
        <w:szCs w:val="18"/>
      </w:rPr>
      <w:fldChar w:fldCharType="end"/>
    </w:r>
    <w:r w:rsidR="00E308B8">
      <w:rPr>
        <w:snapToGrid w:val="0"/>
        <w:color w:val="808080"/>
        <w:sz w:val="18"/>
        <w:szCs w:val="18"/>
      </w:rPr>
      <w:tab/>
    </w:r>
    <w:r w:rsidR="00E308B8">
      <w:rPr>
        <w:snapToGrid w:val="0"/>
        <w:color w:val="808080"/>
        <w:sz w:val="18"/>
        <w:szCs w:val="18"/>
      </w:rPr>
      <w:tab/>
    </w:r>
    <w:r w:rsidRPr="00EF043B" w:rsidR="00E308B8">
      <w:rPr>
        <w:snapToGrid w:val="0"/>
        <w:color w:val="808080"/>
        <w:sz w:val="18"/>
        <w:szCs w:val="18"/>
      </w:rPr>
      <w:t xml:space="preserve">Page </w:t>
    </w:r>
    <w:r w:rsidRPr="00EF043B" w:rsidR="00E308B8">
      <w:rPr>
        <w:snapToGrid w:val="0"/>
        <w:color w:val="808080"/>
        <w:sz w:val="18"/>
        <w:szCs w:val="18"/>
      </w:rPr>
      <w:fldChar w:fldCharType="begin"/>
    </w:r>
    <w:r w:rsidRPr="00EF043B" w:rsidR="00E308B8">
      <w:rPr>
        <w:snapToGrid w:val="0"/>
        <w:color w:val="808080"/>
        <w:sz w:val="18"/>
        <w:szCs w:val="18"/>
      </w:rPr>
      <w:instrText xml:space="preserve"> PAGE </w:instrText>
    </w:r>
    <w:r w:rsidRPr="00EF043B" w:rsidR="00E308B8">
      <w:rPr>
        <w:snapToGrid w:val="0"/>
        <w:color w:val="808080"/>
        <w:sz w:val="18"/>
        <w:szCs w:val="18"/>
      </w:rPr>
      <w:fldChar w:fldCharType="separate"/>
    </w:r>
    <w:r>
      <w:rPr>
        <w:noProof/>
        <w:snapToGrid w:val="0"/>
        <w:color w:val="808080"/>
        <w:sz w:val="18"/>
        <w:szCs w:val="18"/>
      </w:rPr>
      <w:t>1</w:t>
    </w:r>
    <w:r w:rsidRPr="00EF043B" w:rsidR="00E308B8">
      <w:rPr>
        <w:snapToGrid w:val="0"/>
        <w:color w:val="808080"/>
        <w:sz w:val="18"/>
        <w:szCs w:val="18"/>
      </w:rPr>
      <w:fldChar w:fldCharType="end"/>
    </w:r>
    <w:r w:rsidRPr="00EF043B" w:rsidR="00E308B8">
      <w:rPr>
        <w:snapToGrid w:val="0"/>
        <w:color w:val="808080"/>
        <w:sz w:val="18"/>
        <w:szCs w:val="18"/>
      </w:rPr>
      <w:t xml:space="preserve"> of </w:t>
    </w:r>
    <w:r w:rsidRPr="00EF043B" w:rsidR="00E308B8">
      <w:rPr>
        <w:snapToGrid w:val="0"/>
        <w:color w:val="808080"/>
        <w:sz w:val="18"/>
        <w:szCs w:val="18"/>
      </w:rPr>
      <w:fldChar w:fldCharType="begin"/>
    </w:r>
    <w:r w:rsidRPr="00EF043B" w:rsidR="00E308B8">
      <w:rPr>
        <w:snapToGrid w:val="0"/>
        <w:color w:val="808080"/>
        <w:sz w:val="18"/>
        <w:szCs w:val="18"/>
      </w:rPr>
      <w:instrText xml:space="preserve"> NUMPAGES </w:instrText>
    </w:r>
    <w:r w:rsidRPr="00EF043B" w:rsidR="00E308B8">
      <w:rPr>
        <w:snapToGrid w:val="0"/>
        <w:color w:val="808080"/>
        <w:sz w:val="18"/>
        <w:szCs w:val="18"/>
      </w:rPr>
      <w:fldChar w:fldCharType="separate"/>
    </w:r>
    <w:r>
      <w:rPr>
        <w:noProof/>
        <w:snapToGrid w:val="0"/>
        <w:color w:val="808080"/>
        <w:sz w:val="18"/>
        <w:szCs w:val="18"/>
      </w:rPr>
      <w:t>2</w:t>
    </w:r>
    <w:r w:rsidRPr="00EF043B" w:rsidR="00E308B8">
      <w:rPr>
        <w:snapToGrid w:val="0"/>
        <w:color w:val="8080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64B9" w:rsidRDefault="005364B9" w14:paraId="5598F7B8" w14:textId="77777777">
      <w:r>
        <w:separator/>
      </w:r>
    </w:p>
  </w:footnote>
  <w:footnote w:type="continuationSeparator" w:id="0">
    <w:p w:rsidR="005364B9" w:rsidRDefault="005364B9" w14:paraId="65C0715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55C" w:rsidRDefault="00A4155C" w14:paraId="4D0FC95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55C" w:rsidRDefault="00A4155C" w14:paraId="4632970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91045" w:rsidP="00491045" w:rsidRDefault="00491045" w14:paraId="1B913CC1" w14:textId="77777777">
    <w:pPr>
      <w:pStyle w:val="Header"/>
      <w:tabs>
        <w:tab w:val="right" w:pos="10065"/>
      </w:tabs>
      <w:spacing w:after="0"/>
      <w:ind w:right="-1039"/>
      <w:jc w:val="right"/>
      <w:rPr>
        <w:rFonts w:cs="Arial"/>
        <w:color w:val="0E0E0E"/>
      </w:rPr>
    </w:pPr>
    <w:r w:rsidRPr="005E0434">
      <w:rPr>
        <w:noProof/>
        <w:color w:val="0E0E0E"/>
        <w:lang w:eastAsia="en-GB"/>
      </w:rPr>
      <w:drawing>
        <wp:anchor distT="0" distB="0" distL="114300" distR="114300" simplePos="0" relativeHeight="251658240" behindDoc="0" locked="0" layoutInCell="1" allowOverlap="1" wp14:anchorId="334CDC48" wp14:editId="26AB789F">
          <wp:simplePos x="0" y="0"/>
          <wp:positionH relativeFrom="margin">
            <wp:posOffset>-699770</wp:posOffset>
          </wp:positionH>
          <wp:positionV relativeFrom="margin">
            <wp:posOffset>-1206817</wp:posOffset>
          </wp:positionV>
          <wp:extent cx="2800350" cy="49657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00350" cy="496570"/>
                  </a:xfrm>
                  <a:prstGeom prst="rect">
                    <a:avLst/>
                  </a:prstGeom>
                  <a:noFill/>
                </pic:spPr>
              </pic:pic>
            </a:graphicData>
          </a:graphic>
          <wp14:sizeRelH relativeFrom="page">
            <wp14:pctWidth>0</wp14:pctWidth>
          </wp14:sizeRelH>
          <wp14:sizeRelV relativeFrom="page">
            <wp14:pctHeight>0</wp14:pctHeight>
          </wp14:sizeRelV>
        </wp:anchor>
      </w:drawing>
    </w:r>
    <w:r>
      <w:tab/>
    </w:r>
    <w:r w:rsidRPr="005E0434">
      <w:rPr>
        <w:noProof/>
        <w:color w:val="0E0E0E"/>
        <w:lang w:eastAsia="en-GB"/>
      </w:rPr>
      <w:softHyphen/>
    </w:r>
    <w:r>
      <w:rPr>
        <w:rFonts w:cs="Arial"/>
        <w:color w:val="0E0E0E"/>
      </w:rPr>
      <w:t>2</w:t>
    </w:r>
    <w:r w:rsidRPr="0003729F">
      <w:rPr>
        <w:rFonts w:cs="Arial"/>
        <w:color w:val="0E0E0E"/>
        <w:vertAlign w:val="superscript"/>
      </w:rPr>
      <w:t>nd</w:t>
    </w:r>
    <w:r>
      <w:rPr>
        <w:rFonts w:cs="Arial"/>
        <w:color w:val="0E0E0E"/>
      </w:rPr>
      <w:t xml:space="preserve"> Floor</w:t>
    </w:r>
  </w:p>
  <w:p w:rsidRPr="005E0434" w:rsidR="00491045" w:rsidP="00491045" w:rsidRDefault="00491045" w14:paraId="2DD48BCF" w14:textId="77777777">
    <w:pPr>
      <w:pStyle w:val="Header"/>
      <w:tabs>
        <w:tab w:val="right" w:pos="10065"/>
      </w:tabs>
      <w:spacing w:after="0"/>
      <w:ind w:right="-1039"/>
      <w:jc w:val="right"/>
      <w:rPr>
        <w:rFonts w:cs="Arial"/>
        <w:color w:val="0E0E0E"/>
      </w:rPr>
    </w:pPr>
    <w:r>
      <w:rPr>
        <w:rFonts w:cs="Arial"/>
        <w:color w:val="0E0E0E"/>
      </w:rPr>
      <w:t>2 Redman Place</w:t>
    </w:r>
  </w:p>
  <w:p w:rsidRPr="005E0434" w:rsidR="00491045" w:rsidP="00491045" w:rsidRDefault="00491045" w14:paraId="4E0459EB" w14:textId="77777777">
    <w:pPr>
      <w:pStyle w:val="Header"/>
      <w:tabs>
        <w:tab w:val="right" w:pos="10065"/>
      </w:tabs>
      <w:spacing w:after="0"/>
      <w:ind w:right="-1039"/>
      <w:jc w:val="right"/>
      <w:rPr>
        <w:rFonts w:cs="Arial"/>
        <w:color w:val="0E0E0E"/>
      </w:rPr>
    </w:pPr>
    <w:r w:rsidRPr="005E0434">
      <w:rPr>
        <w:rFonts w:cs="Arial"/>
        <w:color w:val="0E0E0E"/>
      </w:rPr>
      <w:softHyphen/>
      <w:t>London</w:t>
    </w:r>
  </w:p>
  <w:p w:rsidRPr="005E0434" w:rsidR="00491045" w:rsidP="00491045" w:rsidRDefault="00491045" w14:paraId="17FA5E6C" w14:textId="77777777">
    <w:pPr>
      <w:pStyle w:val="Header"/>
      <w:tabs>
        <w:tab w:val="right" w:pos="10065"/>
      </w:tabs>
      <w:spacing w:after="0"/>
      <w:ind w:right="-1039"/>
      <w:jc w:val="right"/>
      <w:rPr>
        <w:rFonts w:cs="Arial"/>
        <w:color w:val="0E0E0E"/>
      </w:rPr>
    </w:pPr>
    <w:r>
      <w:rPr>
        <w:rFonts w:cs="Arial"/>
        <w:color w:val="0E0E0E"/>
      </w:rPr>
      <w:t>E20 1JQ</w:t>
    </w:r>
  </w:p>
  <w:p w:rsidRPr="005E0434" w:rsidR="00491045" w:rsidP="00491045" w:rsidRDefault="00491045" w14:paraId="7B0504BC" w14:textId="77777777">
    <w:pPr>
      <w:pStyle w:val="Header"/>
      <w:tabs>
        <w:tab w:val="right" w:pos="10065"/>
      </w:tabs>
      <w:spacing w:after="0"/>
      <w:ind w:right="-1039"/>
      <w:jc w:val="right"/>
      <w:rPr>
        <w:rFonts w:cs="Arial"/>
        <w:color w:val="0E0E0E"/>
      </w:rPr>
    </w:pPr>
    <w:r w:rsidRPr="005E0434">
      <w:rPr>
        <w:rFonts w:cs="Arial"/>
        <w:color w:val="0E0E0E"/>
      </w:rPr>
      <w:t>United Kingdom</w:t>
    </w:r>
  </w:p>
  <w:p w:rsidRPr="005E0434" w:rsidR="00491045" w:rsidP="00491045" w:rsidRDefault="00491045" w14:paraId="0A93A6A6" w14:textId="77777777">
    <w:pPr>
      <w:pStyle w:val="Header"/>
      <w:tabs>
        <w:tab w:val="right" w:pos="10065"/>
      </w:tabs>
      <w:spacing w:after="0"/>
      <w:ind w:right="-1039"/>
      <w:jc w:val="right"/>
      <w:rPr>
        <w:rFonts w:cs="Arial"/>
        <w:color w:val="0E0E0E"/>
      </w:rPr>
    </w:pPr>
  </w:p>
  <w:p w:rsidRPr="003A3E2E" w:rsidR="00491045" w:rsidP="00491045" w:rsidRDefault="00491045" w14:paraId="5D6CD5A4" w14:textId="77777777">
    <w:pPr>
      <w:pStyle w:val="Header"/>
      <w:tabs>
        <w:tab w:val="right" w:pos="10065"/>
      </w:tabs>
      <w:spacing w:after="0"/>
      <w:ind w:right="-1039"/>
      <w:jc w:val="right"/>
      <w:rPr>
        <w:rFonts w:ascii="Lato" w:hAnsi="Lato" w:cs="Arial"/>
        <w:color w:val="0E0E0E"/>
      </w:rPr>
    </w:pPr>
    <w:r w:rsidRPr="003A3E2E">
      <w:rPr>
        <w:rFonts w:ascii="Lato" w:hAnsi="Lato" w:cs="Segoe UI"/>
        <w:color w:val="000000"/>
      </w:rPr>
      <w:t>+44 (0)300 323 0140</w:t>
    </w:r>
  </w:p>
  <w:p w:rsidRPr="00491045" w:rsidR="00E308B8" w:rsidP="00491045" w:rsidRDefault="00E308B8" w14:paraId="1C9776DF" w14:textId="21D4BF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352E09"/>
    <w:multiLevelType w:val="hybridMultilevel"/>
    <w:tmpl w:val="D08DC7B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C78997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FB"/>
    <w:multiLevelType w:val="multilevel"/>
    <w:tmpl w:val="FAD21376"/>
    <w:lvl w:ilvl="0">
      <w:start w:val="1"/>
      <w:numFmt w:val="decimal"/>
      <w:pStyle w:val="Heading1"/>
      <w:lvlText w:val="%1."/>
      <w:legacy w:legacy="1" w:legacySpace="0" w:legacyIndent="708"/>
      <w:lvlJc w:val="left"/>
      <w:pPr>
        <w:ind w:left="720" w:hanging="708"/>
      </w:pPr>
    </w:lvl>
    <w:lvl w:ilvl="1">
      <w:start w:val="1"/>
      <w:numFmt w:val="decimal"/>
      <w:pStyle w:val="Heading2"/>
      <w:lvlText w:val="%1.%2."/>
      <w:legacy w:legacy="1" w:legacySpace="0" w:legacyIndent="708"/>
      <w:lvlJc w:val="left"/>
      <w:pPr>
        <w:ind w:left="1440" w:hanging="708"/>
      </w:pPr>
    </w:lvl>
    <w:lvl w:ilvl="2">
      <w:start w:val="1"/>
      <w:numFmt w:val="decimal"/>
      <w:pStyle w:val="Heading3"/>
      <w:lvlText w:val="%1.%2.%3."/>
      <w:legacy w:legacy="1" w:legacySpace="0" w:legacyIndent="708"/>
      <w:lvlJc w:val="left"/>
      <w:pPr>
        <w:ind w:left="2404" w:hanging="708"/>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egacy w:legacy="1" w:legacySpace="0" w:legacyIndent="708"/>
      <w:lvlJc w:val="left"/>
      <w:pPr>
        <w:ind w:left="3612" w:hanging="708"/>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pStyle w:val="Heading5"/>
      <w:lvlText w:val="(%5)"/>
      <w:legacy w:legacy="1" w:legacySpace="0" w:legacyIndent="708"/>
      <w:lvlJc w:val="left"/>
      <w:pPr>
        <w:ind w:left="4349" w:hanging="708"/>
      </w:pPr>
    </w:lvl>
    <w:lvl w:ilvl="5">
      <w:start w:val="1"/>
      <w:numFmt w:val="lowerRoman"/>
      <w:pStyle w:val="Heading6"/>
      <w:lvlText w:val="(%6)"/>
      <w:legacy w:legacy="1" w:legacySpace="0" w:legacyIndent="708"/>
      <w:lvlJc w:val="left"/>
      <w:pPr>
        <w:ind w:left="5058" w:hanging="708"/>
      </w:pPr>
    </w:lvl>
    <w:lvl w:ilvl="6">
      <w:start w:val="1"/>
      <w:numFmt w:val="none"/>
      <w:pStyle w:val="Heading7"/>
      <w:lvlText w:val=""/>
      <w:legacy w:legacy="1" w:legacySpace="0" w:legacyIndent="708"/>
      <w:lvlJc w:val="left"/>
      <w:pPr>
        <w:ind w:left="5761" w:hanging="708"/>
      </w:pPr>
      <w:rPr>
        <w:rFonts w:hint="default" w:ascii="Symbol" w:hAnsi="Symbol"/>
      </w:rPr>
    </w:lvl>
    <w:lvl w:ilvl="7">
      <w:start w:val="1"/>
      <w:numFmt w:val="none"/>
      <w:pStyle w:val="Heading8"/>
      <w:lvlText w:val=""/>
      <w:legacy w:legacy="1" w:legacySpace="0" w:legacyIndent="708"/>
      <w:lvlJc w:val="left"/>
      <w:pPr>
        <w:ind w:left="6447" w:hanging="708"/>
      </w:pPr>
      <w:rPr>
        <w:rFonts w:hint="default" w:ascii="Symbol" w:hAnsi="Symbol"/>
      </w:rPr>
    </w:lvl>
    <w:lvl w:ilvl="8">
      <w:start w:val="1"/>
      <w:numFmt w:val="none"/>
      <w:pStyle w:val="Heading9"/>
      <w:lvlText w:val=""/>
      <w:legacy w:legacy="1" w:legacySpace="0" w:legacyIndent="708"/>
      <w:lvlJc w:val="left"/>
      <w:pPr>
        <w:ind w:left="7155" w:hanging="708"/>
      </w:pPr>
      <w:rPr>
        <w:rFonts w:hint="default" w:ascii="Symbol" w:hAnsi="Symbol"/>
      </w:rPr>
    </w:lvl>
  </w:abstractNum>
  <w:abstractNum w:abstractNumId="3" w15:restartNumberingAfterBreak="0">
    <w:nsid w:val="19DF3CAE"/>
    <w:multiLevelType w:val="hybridMultilevel"/>
    <w:tmpl w:val="32A2F77E"/>
    <w:lvl w:ilvl="0" w:tplc="A5FC299A">
      <w:start w:val="2"/>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BD159CD"/>
    <w:multiLevelType w:val="hybridMultilevel"/>
    <w:tmpl w:val="343EBF16"/>
    <w:lvl w:ilvl="0" w:tplc="678AA1F2">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DC41087"/>
    <w:multiLevelType w:val="hybridMultilevel"/>
    <w:tmpl w:val="D2ACA6B8"/>
    <w:lvl w:ilvl="0" w:tplc="FFFFFFFF">
      <w:start w:val="1"/>
      <w:numFmt w:val="bullet"/>
      <w:lvlText w:val=""/>
      <w:lvlJc w:val="left"/>
      <w:pPr>
        <w:tabs>
          <w:tab w:val="num" w:pos="720"/>
        </w:tabs>
        <w:ind w:left="720" w:hanging="360"/>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cs="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1F4E225A"/>
    <w:multiLevelType w:val="hybridMultilevel"/>
    <w:tmpl w:val="441A12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D0013B"/>
    <w:multiLevelType w:val="hybridMultilevel"/>
    <w:tmpl w:val="523C42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807313"/>
    <w:multiLevelType w:val="hybridMultilevel"/>
    <w:tmpl w:val="99BAE5FA"/>
    <w:lvl w:ilvl="0" w:tplc="247C019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A90BB6"/>
    <w:multiLevelType w:val="hybridMultilevel"/>
    <w:tmpl w:val="0F766B3A"/>
    <w:lvl w:ilvl="0" w:tplc="678AA1F2">
      <w:start w:val="30"/>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2974431"/>
    <w:multiLevelType w:val="hybridMultilevel"/>
    <w:tmpl w:val="BE86AE90"/>
    <w:lvl w:ilvl="0" w:tplc="7D0EE0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7E073F"/>
    <w:multiLevelType w:val="hybridMultilevel"/>
    <w:tmpl w:val="FC3AD13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9715A4"/>
    <w:multiLevelType w:val="hybridMultilevel"/>
    <w:tmpl w:val="91C4AE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246CA6"/>
    <w:multiLevelType w:val="hybridMultilevel"/>
    <w:tmpl w:val="E894F61E"/>
    <w:lvl w:ilvl="0" w:tplc="08090001">
      <w:start w:val="1"/>
      <w:numFmt w:val="bullet"/>
      <w:lvlText w:val=""/>
      <w:lvlJc w:val="left"/>
      <w:pPr>
        <w:ind w:left="1512" w:hanging="360"/>
      </w:pPr>
      <w:rPr>
        <w:rFonts w:hint="default" w:ascii="Symbol" w:hAnsi="Symbol"/>
      </w:rPr>
    </w:lvl>
    <w:lvl w:ilvl="1" w:tplc="08090003" w:tentative="1">
      <w:start w:val="1"/>
      <w:numFmt w:val="bullet"/>
      <w:lvlText w:val="o"/>
      <w:lvlJc w:val="left"/>
      <w:pPr>
        <w:ind w:left="2232" w:hanging="360"/>
      </w:pPr>
      <w:rPr>
        <w:rFonts w:hint="default" w:ascii="Courier New" w:hAnsi="Courier New" w:cs="Courier New"/>
      </w:rPr>
    </w:lvl>
    <w:lvl w:ilvl="2" w:tplc="08090005" w:tentative="1">
      <w:start w:val="1"/>
      <w:numFmt w:val="bullet"/>
      <w:lvlText w:val=""/>
      <w:lvlJc w:val="left"/>
      <w:pPr>
        <w:ind w:left="2952" w:hanging="360"/>
      </w:pPr>
      <w:rPr>
        <w:rFonts w:hint="default" w:ascii="Wingdings" w:hAnsi="Wingdings"/>
      </w:rPr>
    </w:lvl>
    <w:lvl w:ilvl="3" w:tplc="08090001" w:tentative="1">
      <w:start w:val="1"/>
      <w:numFmt w:val="bullet"/>
      <w:lvlText w:val=""/>
      <w:lvlJc w:val="left"/>
      <w:pPr>
        <w:ind w:left="3672" w:hanging="360"/>
      </w:pPr>
      <w:rPr>
        <w:rFonts w:hint="default" w:ascii="Symbol" w:hAnsi="Symbol"/>
      </w:rPr>
    </w:lvl>
    <w:lvl w:ilvl="4" w:tplc="08090003" w:tentative="1">
      <w:start w:val="1"/>
      <w:numFmt w:val="bullet"/>
      <w:lvlText w:val="o"/>
      <w:lvlJc w:val="left"/>
      <w:pPr>
        <w:ind w:left="4392" w:hanging="360"/>
      </w:pPr>
      <w:rPr>
        <w:rFonts w:hint="default" w:ascii="Courier New" w:hAnsi="Courier New" w:cs="Courier New"/>
      </w:rPr>
    </w:lvl>
    <w:lvl w:ilvl="5" w:tplc="08090005" w:tentative="1">
      <w:start w:val="1"/>
      <w:numFmt w:val="bullet"/>
      <w:lvlText w:val=""/>
      <w:lvlJc w:val="left"/>
      <w:pPr>
        <w:ind w:left="5112" w:hanging="360"/>
      </w:pPr>
      <w:rPr>
        <w:rFonts w:hint="default" w:ascii="Wingdings" w:hAnsi="Wingdings"/>
      </w:rPr>
    </w:lvl>
    <w:lvl w:ilvl="6" w:tplc="08090001" w:tentative="1">
      <w:start w:val="1"/>
      <w:numFmt w:val="bullet"/>
      <w:lvlText w:val=""/>
      <w:lvlJc w:val="left"/>
      <w:pPr>
        <w:ind w:left="5832" w:hanging="360"/>
      </w:pPr>
      <w:rPr>
        <w:rFonts w:hint="default" w:ascii="Symbol" w:hAnsi="Symbol"/>
      </w:rPr>
    </w:lvl>
    <w:lvl w:ilvl="7" w:tplc="08090003" w:tentative="1">
      <w:start w:val="1"/>
      <w:numFmt w:val="bullet"/>
      <w:lvlText w:val="o"/>
      <w:lvlJc w:val="left"/>
      <w:pPr>
        <w:ind w:left="6552" w:hanging="360"/>
      </w:pPr>
      <w:rPr>
        <w:rFonts w:hint="default" w:ascii="Courier New" w:hAnsi="Courier New" w:cs="Courier New"/>
      </w:rPr>
    </w:lvl>
    <w:lvl w:ilvl="8" w:tplc="08090005" w:tentative="1">
      <w:start w:val="1"/>
      <w:numFmt w:val="bullet"/>
      <w:lvlText w:val=""/>
      <w:lvlJc w:val="left"/>
      <w:pPr>
        <w:ind w:left="7272" w:hanging="360"/>
      </w:pPr>
      <w:rPr>
        <w:rFonts w:hint="default" w:ascii="Wingdings" w:hAnsi="Wingdings"/>
      </w:rPr>
    </w:lvl>
  </w:abstractNum>
  <w:abstractNum w:abstractNumId="14" w15:restartNumberingAfterBreak="0">
    <w:nsid w:val="3BAE5383"/>
    <w:multiLevelType w:val="hybridMultilevel"/>
    <w:tmpl w:val="20C23D0E"/>
    <w:lvl w:ilvl="0" w:tplc="28D6E9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DC8632C"/>
    <w:multiLevelType w:val="hybridMultilevel"/>
    <w:tmpl w:val="26E460D6"/>
    <w:lvl w:ilvl="0" w:tplc="A5FC299A">
      <w:start w:val="2"/>
      <w:numFmt w:val="bullet"/>
      <w:lvlText w:val="-"/>
      <w:lvlJc w:val="left"/>
      <w:pPr>
        <w:ind w:left="720" w:hanging="360"/>
      </w:pPr>
      <w:rPr>
        <w:rFonts w:hint="default" w:ascii="Arial" w:hAnsi="Arial" w:eastAsia="Times New Roman" w:cs="Aria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3D037D2"/>
    <w:multiLevelType w:val="hybridMultilevel"/>
    <w:tmpl w:val="5C8A9156"/>
    <w:lvl w:ilvl="0" w:tplc="28D6E9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490189A"/>
    <w:multiLevelType w:val="hybridMultilevel"/>
    <w:tmpl w:val="E2E64854"/>
    <w:lvl w:ilvl="0" w:tplc="510A83D8">
      <w:numFmt w:val="bullet"/>
      <w:lvlText w:val=""/>
      <w:lvlJc w:val="left"/>
      <w:pPr>
        <w:ind w:left="502" w:hanging="285"/>
      </w:pPr>
      <w:rPr>
        <w:rFonts w:hint="default" w:ascii="Symbol" w:hAnsi="Symbol" w:eastAsia="Symbol" w:cs="Symbol"/>
        <w:w w:val="100"/>
        <w:sz w:val="24"/>
        <w:szCs w:val="24"/>
      </w:rPr>
    </w:lvl>
    <w:lvl w:ilvl="1" w:tplc="70E68858">
      <w:numFmt w:val="bullet"/>
      <w:lvlText w:val="•"/>
      <w:lvlJc w:val="left"/>
      <w:pPr>
        <w:ind w:left="1326" w:hanging="285"/>
      </w:pPr>
      <w:rPr>
        <w:rFonts w:hint="default"/>
      </w:rPr>
    </w:lvl>
    <w:lvl w:ilvl="2" w:tplc="14A8D234">
      <w:numFmt w:val="bullet"/>
      <w:lvlText w:val="•"/>
      <w:lvlJc w:val="left"/>
      <w:pPr>
        <w:ind w:left="2152" w:hanging="285"/>
      </w:pPr>
      <w:rPr>
        <w:rFonts w:hint="default"/>
      </w:rPr>
    </w:lvl>
    <w:lvl w:ilvl="3" w:tplc="D340D50A">
      <w:numFmt w:val="bullet"/>
      <w:lvlText w:val="•"/>
      <w:lvlJc w:val="left"/>
      <w:pPr>
        <w:ind w:left="2978" w:hanging="285"/>
      </w:pPr>
      <w:rPr>
        <w:rFonts w:hint="default"/>
      </w:rPr>
    </w:lvl>
    <w:lvl w:ilvl="4" w:tplc="91BE99B2">
      <w:numFmt w:val="bullet"/>
      <w:lvlText w:val="•"/>
      <w:lvlJc w:val="left"/>
      <w:pPr>
        <w:ind w:left="3804" w:hanging="285"/>
      </w:pPr>
      <w:rPr>
        <w:rFonts w:hint="default"/>
      </w:rPr>
    </w:lvl>
    <w:lvl w:ilvl="5" w:tplc="E594F0CC">
      <w:numFmt w:val="bullet"/>
      <w:lvlText w:val="•"/>
      <w:lvlJc w:val="left"/>
      <w:pPr>
        <w:ind w:left="4630" w:hanging="285"/>
      </w:pPr>
      <w:rPr>
        <w:rFonts w:hint="default"/>
      </w:rPr>
    </w:lvl>
    <w:lvl w:ilvl="6" w:tplc="7AFA5F86">
      <w:numFmt w:val="bullet"/>
      <w:lvlText w:val="•"/>
      <w:lvlJc w:val="left"/>
      <w:pPr>
        <w:ind w:left="5456" w:hanging="285"/>
      </w:pPr>
      <w:rPr>
        <w:rFonts w:hint="default"/>
      </w:rPr>
    </w:lvl>
    <w:lvl w:ilvl="7" w:tplc="2C2CF4D6">
      <w:numFmt w:val="bullet"/>
      <w:lvlText w:val="•"/>
      <w:lvlJc w:val="left"/>
      <w:pPr>
        <w:ind w:left="6282" w:hanging="285"/>
      </w:pPr>
      <w:rPr>
        <w:rFonts w:hint="default"/>
      </w:rPr>
    </w:lvl>
    <w:lvl w:ilvl="8" w:tplc="75FCA95C">
      <w:numFmt w:val="bullet"/>
      <w:lvlText w:val="•"/>
      <w:lvlJc w:val="left"/>
      <w:pPr>
        <w:ind w:left="7108" w:hanging="285"/>
      </w:pPr>
      <w:rPr>
        <w:rFonts w:hint="default"/>
      </w:rPr>
    </w:lvl>
  </w:abstractNum>
  <w:abstractNum w:abstractNumId="18" w15:restartNumberingAfterBreak="0">
    <w:nsid w:val="44B51828"/>
    <w:multiLevelType w:val="hybridMultilevel"/>
    <w:tmpl w:val="16BC85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633557D"/>
    <w:multiLevelType w:val="hybridMultilevel"/>
    <w:tmpl w:val="DCDC7B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8561894"/>
    <w:multiLevelType w:val="hybridMultilevel"/>
    <w:tmpl w:val="52341780"/>
    <w:lvl w:ilvl="0" w:tplc="28D6E9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9C93D14"/>
    <w:multiLevelType w:val="multilevel"/>
    <w:tmpl w:val="EDC2B0A0"/>
    <w:lvl w:ilvl="0">
      <w:start w:val="1"/>
      <w:numFmt w:val="decimal"/>
      <w:pStyle w:val="Paragraph"/>
      <w:lvlText w:val="%1."/>
      <w:lvlJc w:val="left"/>
      <w:pPr>
        <w:ind w:left="851" w:hanging="851"/>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61A545E2"/>
    <w:multiLevelType w:val="hybridMultilevel"/>
    <w:tmpl w:val="9028B44C"/>
    <w:lvl w:ilvl="0" w:tplc="A6907310">
      <w:start w:val="1"/>
      <w:numFmt w:val="lowerRoman"/>
      <w:lvlText w:val="(%1)"/>
      <w:lvlJc w:val="left"/>
      <w:pPr>
        <w:ind w:left="1110" w:hanging="720"/>
      </w:pPr>
      <w:rPr>
        <w:rFonts w:hint="default"/>
      </w:r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23" w15:restartNumberingAfterBreak="0">
    <w:nsid w:val="6614533C"/>
    <w:multiLevelType w:val="hybridMultilevel"/>
    <w:tmpl w:val="C8E82536"/>
    <w:lvl w:ilvl="0" w:tplc="678AA1F2">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71145E95"/>
    <w:multiLevelType w:val="hybridMultilevel"/>
    <w:tmpl w:val="010C8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15055A4"/>
    <w:multiLevelType w:val="hybridMultilevel"/>
    <w:tmpl w:val="96104BD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6" w15:restartNumberingAfterBreak="0">
    <w:nsid w:val="7A83406B"/>
    <w:multiLevelType w:val="hybridMultilevel"/>
    <w:tmpl w:val="FAC87EC8"/>
    <w:lvl w:ilvl="0" w:tplc="535C66D2">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EB10FCC"/>
    <w:multiLevelType w:val="hybridMultilevel"/>
    <w:tmpl w:val="AC6C282E"/>
    <w:lvl w:ilvl="0" w:tplc="93440DB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81440061">
    <w:abstractNumId w:val="2"/>
  </w:num>
  <w:num w:numId="2" w16cid:durableId="1940479412">
    <w:abstractNumId w:val="5"/>
  </w:num>
  <w:num w:numId="3" w16cid:durableId="735858711">
    <w:abstractNumId w:val="21"/>
  </w:num>
  <w:num w:numId="4" w16cid:durableId="791437817">
    <w:abstractNumId w:val="21"/>
  </w:num>
  <w:num w:numId="5" w16cid:durableId="589656231">
    <w:abstractNumId w:val="22"/>
  </w:num>
  <w:num w:numId="6" w16cid:durableId="1033071542">
    <w:abstractNumId w:val="0"/>
  </w:num>
  <w:num w:numId="7" w16cid:durableId="692002320">
    <w:abstractNumId w:val="21"/>
  </w:num>
  <w:num w:numId="8" w16cid:durableId="893390988">
    <w:abstractNumId w:val="21"/>
  </w:num>
  <w:num w:numId="9" w16cid:durableId="1036344506">
    <w:abstractNumId w:val="21"/>
  </w:num>
  <w:num w:numId="10" w16cid:durableId="1081758715">
    <w:abstractNumId w:val="15"/>
  </w:num>
  <w:num w:numId="11" w16cid:durableId="1324700156">
    <w:abstractNumId w:val="3"/>
  </w:num>
  <w:num w:numId="12" w16cid:durableId="297996532">
    <w:abstractNumId w:val="14"/>
  </w:num>
  <w:num w:numId="13" w16cid:durableId="1315715874">
    <w:abstractNumId w:val="16"/>
  </w:num>
  <w:num w:numId="14" w16cid:durableId="1234002226">
    <w:abstractNumId w:val="20"/>
  </w:num>
  <w:num w:numId="15" w16cid:durableId="682052213">
    <w:abstractNumId w:val="12"/>
  </w:num>
  <w:num w:numId="16" w16cid:durableId="1741825062">
    <w:abstractNumId w:val="19"/>
  </w:num>
  <w:num w:numId="17" w16cid:durableId="1644236023">
    <w:abstractNumId w:val="25"/>
  </w:num>
  <w:num w:numId="18" w16cid:durableId="530655038">
    <w:abstractNumId w:val="4"/>
  </w:num>
  <w:num w:numId="19" w16cid:durableId="2126733805">
    <w:abstractNumId w:val="23"/>
  </w:num>
  <w:num w:numId="20" w16cid:durableId="621762274">
    <w:abstractNumId w:val="13"/>
  </w:num>
  <w:num w:numId="21" w16cid:durableId="170607788">
    <w:abstractNumId w:val="6"/>
  </w:num>
  <w:num w:numId="22" w16cid:durableId="460727966">
    <w:abstractNumId w:val="26"/>
  </w:num>
  <w:num w:numId="23" w16cid:durableId="2105420001">
    <w:abstractNumId w:val="1"/>
  </w:num>
  <w:num w:numId="24" w16cid:durableId="2048407580">
    <w:abstractNumId w:val="17"/>
  </w:num>
  <w:num w:numId="25" w16cid:durableId="1798986414">
    <w:abstractNumId w:val="9"/>
  </w:num>
  <w:num w:numId="26" w16cid:durableId="1415205502">
    <w:abstractNumId w:val="24"/>
  </w:num>
  <w:num w:numId="27" w16cid:durableId="368603691">
    <w:abstractNumId w:val="7"/>
  </w:num>
  <w:num w:numId="28" w16cid:durableId="217009139">
    <w:abstractNumId w:val="21"/>
  </w:num>
  <w:num w:numId="29" w16cid:durableId="1991011021">
    <w:abstractNumId w:val="21"/>
  </w:num>
  <w:num w:numId="30" w16cid:durableId="840006877">
    <w:abstractNumId w:val="11"/>
  </w:num>
  <w:num w:numId="31" w16cid:durableId="324751170">
    <w:abstractNumId w:val="21"/>
  </w:num>
  <w:num w:numId="32" w16cid:durableId="1909340188">
    <w:abstractNumId w:val="21"/>
  </w:num>
  <w:num w:numId="33" w16cid:durableId="334496126">
    <w:abstractNumId w:val="27"/>
  </w:num>
  <w:num w:numId="34" w16cid:durableId="936062982">
    <w:abstractNumId w:val="8"/>
  </w:num>
  <w:num w:numId="35" w16cid:durableId="916287850">
    <w:abstractNumId w:val="10"/>
  </w:num>
  <w:num w:numId="36" w16cid:durableId="1904946322">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200"/>
    <w:rsid w:val="00001138"/>
    <w:rsid w:val="00003026"/>
    <w:rsid w:val="00010318"/>
    <w:rsid w:val="000111DB"/>
    <w:rsid w:val="0001311E"/>
    <w:rsid w:val="0002043D"/>
    <w:rsid w:val="000218C9"/>
    <w:rsid w:val="000223BD"/>
    <w:rsid w:val="00024DA5"/>
    <w:rsid w:val="00025D77"/>
    <w:rsid w:val="000329FE"/>
    <w:rsid w:val="0004302C"/>
    <w:rsid w:val="00047383"/>
    <w:rsid w:val="00052894"/>
    <w:rsid w:val="000532DA"/>
    <w:rsid w:val="00056CD2"/>
    <w:rsid w:val="0006785D"/>
    <w:rsid w:val="0007095A"/>
    <w:rsid w:val="000709E5"/>
    <w:rsid w:val="00080FCA"/>
    <w:rsid w:val="00082FAB"/>
    <w:rsid w:val="00083604"/>
    <w:rsid w:val="00084FD0"/>
    <w:rsid w:val="000853F6"/>
    <w:rsid w:val="00085837"/>
    <w:rsid w:val="00087222"/>
    <w:rsid w:val="000878D5"/>
    <w:rsid w:val="000928C5"/>
    <w:rsid w:val="00096EBF"/>
    <w:rsid w:val="000977EB"/>
    <w:rsid w:val="000A490C"/>
    <w:rsid w:val="000A4DFC"/>
    <w:rsid w:val="000B1D36"/>
    <w:rsid w:val="000B3C21"/>
    <w:rsid w:val="000B5760"/>
    <w:rsid w:val="000B73F9"/>
    <w:rsid w:val="000D1E58"/>
    <w:rsid w:val="000E020F"/>
    <w:rsid w:val="000E16D3"/>
    <w:rsid w:val="000E40C4"/>
    <w:rsid w:val="000F014D"/>
    <w:rsid w:val="000F1AFF"/>
    <w:rsid w:val="000F3523"/>
    <w:rsid w:val="000F6BB5"/>
    <w:rsid w:val="00102F59"/>
    <w:rsid w:val="00106505"/>
    <w:rsid w:val="00107347"/>
    <w:rsid w:val="00107520"/>
    <w:rsid w:val="00107C9C"/>
    <w:rsid w:val="00111749"/>
    <w:rsid w:val="00116523"/>
    <w:rsid w:val="00120071"/>
    <w:rsid w:val="00120FFA"/>
    <w:rsid w:val="001232BE"/>
    <w:rsid w:val="00123922"/>
    <w:rsid w:val="00123B83"/>
    <w:rsid w:val="0012453A"/>
    <w:rsid w:val="00131602"/>
    <w:rsid w:val="001319CF"/>
    <w:rsid w:val="00132DDC"/>
    <w:rsid w:val="00136C94"/>
    <w:rsid w:val="00145246"/>
    <w:rsid w:val="00146508"/>
    <w:rsid w:val="001465BD"/>
    <w:rsid w:val="0014692A"/>
    <w:rsid w:val="001470EF"/>
    <w:rsid w:val="00150421"/>
    <w:rsid w:val="00151269"/>
    <w:rsid w:val="00156C49"/>
    <w:rsid w:val="00160A2A"/>
    <w:rsid w:val="00163C9B"/>
    <w:rsid w:val="001672C2"/>
    <w:rsid w:val="00170F86"/>
    <w:rsid w:val="001760DF"/>
    <w:rsid w:val="00176F3A"/>
    <w:rsid w:val="0017732F"/>
    <w:rsid w:val="00182BDA"/>
    <w:rsid w:val="00184EE2"/>
    <w:rsid w:val="00190698"/>
    <w:rsid w:val="00190763"/>
    <w:rsid w:val="001908C4"/>
    <w:rsid w:val="001945C8"/>
    <w:rsid w:val="00194EE4"/>
    <w:rsid w:val="001969C2"/>
    <w:rsid w:val="001A0143"/>
    <w:rsid w:val="001A18CA"/>
    <w:rsid w:val="001B0102"/>
    <w:rsid w:val="001B23C6"/>
    <w:rsid w:val="001B71EA"/>
    <w:rsid w:val="001C655B"/>
    <w:rsid w:val="001C7C0E"/>
    <w:rsid w:val="001D26C0"/>
    <w:rsid w:val="001D736F"/>
    <w:rsid w:val="001E0293"/>
    <w:rsid w:val="001E615E"/>
    <w:rsid w:val="001F15B2"/>
    <w:rsid w:val="001F15C2"/>
    <w:rsid w:val="001F1CF7"/>
    <w:rsid w:val="001F2364"/>
    <w:rsid w:val="001F4B8B"/>
    <w:rsid w:val="001F649E"/>
    <w:rsid w:val="001F6DCA"/>
    <w:rsid w:val="001F7A9F"/>
    <w:rsid w:val="00200442"/>
    <w:rsid w:val="00202C1A"/>
    <w:rsid w:val="0020398C"/>
    <w:rsid w:val="00203EE8"/>
    <w:rsid w:val="00205000"/>
    <w:rsid w:val="002064F0"/>
    <w:rsid w:val="00206A41"/>
    <w:rsid w:val="00211AE9"/>
    <w:rsid w:val="00211FE0"/>
    <w:rsid w:val="002129C1"/>
    <w:rsid w:val="00217D5F"/>
    <w:rsid w:val="00220DE8"/>
    <w:rsid w:val="002216BB"/>
    <w:rsid w:val="00223EBE"/>
    <w:rsid w:val="00232FF4"/>
    <w:rsid w:val="0023747F"/>
    <w:rsid w:val="00237C6C"/>
    <w:rsid w:val="0024377B"/>
    <w:rsid w:val="0025046D"/>
    <w:rsid w:val="00254235"/>
    <w:rsid w:val="00254708"/>
    <w:rsid w:val="00255C8A"/>
    <w:rsid w:val="00256BF4"/>
    <w:rsid w:val="00262058"/>
    <w:rsid w:val="0026590A"/>
    <w:rsid w:val="00271E0A"/>
    <w:rsid w:val="00274609"/>
    <w:rsid w:val="00275528"/>
    <w:rsid w:val="00283C5A"/>
    <w:rsid w:val="00283D6E"/>
    <w:rsid w:val="00284917"/>
    <w:rsid w:val="00284CBA"/>
    <w:rsid w:val="0028620E"/>
    <w:rsid w:val="00294EB1"/>
    <w:rsid w:val="00296D55"/>
    <w:rsid w:val="002A254E"/>
    <w:rsid w:val="002A4E90"/>
    <w:rsid w:val="002B21D4"/>
    <w:rsid w:val="002C14B2"/>
    <w:rsid w:val="002C3E42"/>
    <w:rsid w:val="002C4202"/>
    <w:rsid w:val="002C5356"/>
    <w:rsid w:val="002D2F52"/>
    <w:rsid w:val="002D412A"/>
    <w:rsid w:val="002D4715"/>
    <w:rsid w:val="002E4D13"/>
    <w:rsid w:val="002E6A1E"/>
    <w:rsid w:val="002E7FE1"/>
    <w:rsid w:val="002F25FC"/>
    <w:rsid w:val="002F374D"/>
    <w:rsid w:val="002F6526"/>
    <w:rsid w:val="003027BC"/>
    <w:rsid w:val="00310279"/>
    <w:rsid w:val="00314589"/>
    <w:rsid w:val="00316D28"/>
    <w:rsid w:val="00317646"/>
    <w:rsid w:val="00321A60"/>
    <w:rsid w:val="00323185"/>
    <w:rsid w:val="00326AFE"/>
    <w:rsid w:val="00326E72"/>
    <w:rsid w:val="003308CE"/>
    <w:rsid w:val="00332149"/>
    <w:rsid w:val="00332C05"/>
    <w:rsid w:val="0033740C"/>
    <w:rsid w:val="00337728"/>
    <w:rsid w:val="00343CE3"/>
    <w:rsid w:val="00345918"/>
    <w:rsid w:val="003478F6"/>
    <w:rsid w:val="00351496"/>
    <w:rsid w:val="003627D7"/>
    <w:rsid w:val="00362E19"/>
    <w:rsid w:val="0036323C"/>
    <w:rsid w:val="0036780F"/>
    <w:rsid w:val="00371C6B"/>
    <w:rsid w:val="00381E46"/>
    <w:rsid w:val="00382D01"/>
    <w:rsid w:val="003835C1"/>
    <w:rsid w:val="00383DDC"/>
    <w:rsid w:val="0038454F"/>
    <w:rsid w:val="00393619"/>
    <w:rsid w:val="00395196"/>
    <w:rsid w:val="0039570A"/>
    <w:rsid w:val="00396B85"/>
    <w:rsid w:val="003A74FD"/>
    <w:rsid w:val="003A78CC"/>
    <w:rsid w:val="003A7A38"/>
    <w:rsid w:val="003B056B"/>
    <w:rsid w:val="003B0952"/>
    <w:rsid w:val="003B29ED"/>
    <w:rsid w:val="003B5308"/>
    <w:rsid w:val="003C4D96"/>
    <w:rsid w:val="003C5792"/>
    <w:rsid w:val="003C7489"/>
    <w:rsid w:val="003D1A18"/>
    <w:rsid w:val="003D2B50"/>
    <w:rsid w:val="003D3448"/>
    <w:rsid w:val="003E09ED"/>
    <w:rsid w:val="003E2CBA"/>
    <w:rsid w:val="003E5293"/>
    <w:rsid w:val="003E64E4"/>
    <w:rsid w:val="003E67E7"/>
    <w:rsid w:val="003F0380"/>
    <w:rsid w:val="003F77F9"/>
    <w:rsid w:val="0040061D"/>
    <w:rsid w:val="00405ACE"/>
    <w:rsid w:val="00406D54"/>
    <w:rsid w:val="00413F89"/>
    <w:rsid w:val="00414D6F"/>
    <w:rsid w:val="00417F57"/>
    <w:rsid w:val="00424E76"/>
    <w:rsid w:val="004309B6"/>
    <w:rsid w:val="00431B23"/>
    <w:rsid w:val="00434670"/>
    <w:rsid w:val="00436264"/>
    <w:rsid w:val="00444494"/>
    <w:rsid w:val="004445BE"/>
    <w:rsid w:val="00453E92"/>
    <w:rsid w:val="0045574A"/>
    <w:rsid w:val="00456D3B"/>
    <w:rsid w:val="00460278"/>
    <w:rsid w:val="00465F46"/>
    <w:rsid w:val="004768DE"/>
    <w:rsid w:val="00476A37"/>
    <w:rsid w:val="00481D88"/>
    <w:rsid w:val="00491045"/>
    <w:rsid w:val="00491E3A"/>
    <w:rsid w:val="0049446F"/>
    <w:rsid w:val="0049578D"/>
    <w:rsid w:val="004A65E4"/>
    <w:rsid w:val="004A76D5"/>
    <w:rsid w:val="004B3E6C"/>
    <w:rsid w:val="004C4422"/>
    <w:rsid w:val="004C4AED"/>
    <w:rsid w:val="004C5BA4"/>
    <w:rsid w:val="004D0511"/>
    <w:rsid w:val="004D1394"/>
    <w:rsid w:val="004D24D5"/>
    <w:rsid w:val="004D284F"/>
    <w:rsid w:val="004D2CE5"/>
    <w:rsid w:val="004D3D80"/>
    <w:rsid w:val="004D44D5"/>
    <w:rsid w:val="004D4E54"/>
    <w:rsid w:val="004D5E08"/>
    <w:rsid w:val="004D6F91"/>
    <w:rsid w:val="004D7840"/>
    <w:rsid w:val="004E5E43"/>
    <w:rsid w:val="004F1061"/>
    <w:rsid w:val="004F32AD"/>
    <w:rsid w:val="004F44BE"/>
    <w:rsid w:val="004F531C"/>
    <w:rsid w:val="00500AEB"/>
    <w:rsid w:val="0051022D"/>
    <w:rsid w:val="00510BE0"/>
    <w:rsid w:val="00511807"/>
    <w:rsid w:val="00512A63"/>
    <w:rsid w:val="00513648"/>
    <w:rsid w:val="00515176"/>
    <w:rsid w:val="005203AB"/>
    <w:rsid w:val="00526F8A"/>
    <w:rsid w:val="005302B1"/>
    <w:rsid w:val="005308AC"/>
    <w:rsid w:val="005310C8"/>
    <w:rsid w:val="00532E15"/>
    <w:rsid w:val="00533F44"/>
    <w:rsid w:val="00534486"/>
    <w:rsid w:val="00535B05"/>
    <w:rsid w:val="00535B14"/>
    <w:rsid w:val="005364B9"/>
    <w:rsid w:val="0054085B"/>
    <w:rsid w:val="005467C7"/>
    <w:rsid w:val="0055476A"/>
    <w:rsid w:val="00554B22"/>
    <w:rsid w:val="00556358"/>
    <w:rsid w:val="00562D4E"/>
    <w:rsid w:val="00562E65"/>
    <w:rsid w:val="005631ED"/>
    <w:rsid w:val="005632AA"/>
    <w:rsid w:val="0056409C"/>
    <w:rsid w:val="005641A8"/>
    <w:rsid w:val="00564E8F"/>
    <w:rsid w:val="00570E77"/>
    <w:rsid w:val="00573C72"/>
    <w:rsid w:val="00574C95"/>
    <w:rsid w:val="00574FB3"/>
    <w:rsid w:val="00581C7E"/>
    <w:rsid w:val="00582449"/>
    <w:rsid w:val="00582FC4"/>
    <w:rsid w:val="00583F62"/>
    <w:rsid w:val="00584E26"/>
    <w:rsid w:val="00587762"/>
    <w:rsid w:val="00597A7F"/>
    <w:rsid w:val="005A0B8C"/>
    <w:rsid w:val="005B066D"/>
    <w:rsid w:val="005B0EA5"/>
    <w:rsid w:val="005B2475"/>
    <w:rsid w:val="005B2FEC"/>
    <w:rsid w:val="005B7585"/>
    <w:rsid w:val="005B775D"/>
    <w:rsid w:val="005C4A8E"/>
    <w:rsid w:val="005D2833"/>
    <w:rsid w:val="005E0186"/>
    <w:rsid w:val="005E20D0"/>
    <w:rsid w:val="005E339C"/>
    <w:rsid w:val="005E70E7"/>
    <w:rsid w:val="005E7923"/>
    <w:rsid w:val="005E7DAF"/>
    <w:rsid w:val="005F6045"/>
    <w:rsid w:val="005F75A8"/>
    <w:rsid w:val="005F7C6F"/>
    <w:rsid w:val="0060170A"/>
    <w:rsid w:val="0060349F"/>
    <w:rsid w:val="006053B6"/>
    <w:rsid w:val="00605766"/>
    <w:rsid w:val="00613CE8"/>
    <w:rsid w:val="00620070"/>
    <w:rsid w:val="00621C42"/>
    <w:rsid w:val="00623213"/>
    <w:rsid w:val="006273E6"/>
    <w:rsid w:val="00627B61"/>
    <w:rsid w:val="00627E80"/>
    <w:rsid w:val="0063072C"/>
    <w:rsid w:val="00631165"/>
    <w:rsid w:val="006339CA"/>
    <w:rsid w:val="006347AD"/>
    <w:rsid w:val="006347EE"/>
    <w:rsid w:val="0063542C"/>
    <w:rsid w:val="006404AD"/>
    <w:rsid w:val="00641577"/>
    <w:rsid w:val="00642D59"/>
    <w:rsid w:val="00643777"/>
    <w:rsid w:val="00654046"/>
    <w:rsid w:val="006574D6"/>
    <w:rsid w:val="0066130D"/>
    <w:rsid w:val="00664690"/>
    <w:rsid w:val="00664C74"/>
    <w:rsid w:val="00666041"/>
    <w:rsid w:val="00671AC5"/>
    <w:rsid w:val="00671DEA"/>
    <w:rsid w:val="0067289D"/>
    <w:rsid w:val="00683436"/>
    <w:rsid w:val="00683585"/>
    <w:rsid w:val="006845FA"/>
    <w:rsid w:val="006863D5"/>
    <w:rsid w:val="006869AE"/>
    <w:rsid w:val="006941C5"/>
    <w:rsid w:val="00694D09"/>
    <w:rsid w:val="00697B78"/>
    <w:rsid w:val="006A7179"/>
    <w:rsid w:val="006B04FF"/>
    <w:rsid w:val="006B1F0D"/>
    <w:rsid w:val="006B5A98"/>
    <w:rsid w:val="006B66E3"/>
    <w:rsid w:val="006B6C22"/>
    <w:rsid w:val="006C2992"/>
    <w:rsid w:val="006C3215"/>
    <w:rsid w:val="006C4724"/>
    <w:rsid w:val="006C5225"/>
    <w:rsid w:val="006C5A0C"/>
    <w:rsid w:val="006C7DD0"/>
    <w:rsid w:val="006D0BE6"/>
    <w:rsid w:val="006D2130"/>
    <w:rsid w:val="006D2A19"/>
    <w:rsid w:val="006D3EE0"/>
    <w:rsid w:val="006D5A72"/>
    <w:rsid w:val="006D629B"/>
    <w:rsid w:val="006E1BA8"/>
    <w:rsid w:val="006E5424"/>
    <w:rsid w:val="006E5BFE"/>
    <w:rsid w:val="006E73D2"/>
    <w:rsid w:val="006F031B"/>
    <w:rsid w:val="006F0B11"/>
    <w:rsid w:val="006F417A"/>
    <w:rsid w:val="006F4507"/>
    <w:rsid w:val="006F57FC"/>
    <w:rsid w:val="006F64A0"/>
    <w:rsid w:val="007016D8"/>
    <w:rsid w:val="00704DBF"/>
    <w:rsid w:val="007050BA"/>
    <w:rsid w:val="00717A94"/>
    <w:rsid w:val="007232A5"/>
    <w:rsid w:val="0072474B"/>
    <w:rsid w:val="00725F33"/>
    <w:rsid w:val="00726B3B"/>
    <w:rsid w:val="00726F5A"/>
    <w:rsid w:val="0073017F"/>
    <w:rsid w:val="00730789"/>
    <w:rsid w:val="00732580"/>
    <w:rsid w:val="00732B6F"/>
    <w:rsid w:val="00732C0C"/>
    <w:rsid w:val="007353F9"/>
    <w:rsid w:val="007405AA"/>
    <w:rsid w:val="00743499"/>
    <w:rsid w:val="00750A27"/>
    <w:rsid w:val="00750BB6"/>
    <w:rsid w:val="0075253A"/>
    <w:rsid w:val="00754E19"/>
    <w:rsid w:val="00755AA9"/>
    <w:rsid w:val="00763715"/>
    <w:rsid w:val="007778CF"/>
    <w:rsid w:val="00777DAC"/>
    <w:rsid w:val="00780FBA"/>
    <w:rsid w:val="0078157F"/>
    <w:rsid w:val="007822FB"/>
    <w:rsid w:val="007833CB"/>
    <w:rsid w:val="00784CF9"/>
    <w:rsid w:val="007A0E5C"/>
    <w:rsid w:val="007A18F2"/>
    <w:rsid w:val="007A1D39"/>
    <w:rsid w:val="007A7F07"/>
    <w:rsid w:val="007B275D"/>
    <w:rsid w:val="007B303B"/>
    <w:rsid w:val="007B3B1C"/>
    <w:rsid w:val="007B5AA3"/>
    <w:rsid w:val="007C0D4C"/>
    <w:rsid w:val="007C57A8"/>
    <w:rsid w:val="007D2528"/>
    <w:rsid w:val="007D7791"/>
    <w:rsid w:val="007D7C74"/>
    <w:rsid w:val="007E32CB"/>
    <w:rsid w:val="007E48AD"/>
    <w:rsid w:val="007E4EDC"/>
    <w:rsid w:val="007E507F"/>
    <w:rsid w:val="007E7499"/>
    <w:rsid w:val="007F1C02"/>
    <w:rsid w:val="007F2E45"/>
    <w:rsid w:val="007F31DE"/>
    <w:rsid w:val="007F4051"/>
    <w:rsid w:val="007F426B"/>
    <w:rsid w:val="007F4A9D"/>
    <w:rsid w:val="008033ED"/>
    <w:rsid w:val="008077F7"/>
    <w:rsid w:val="00810794"/>
    <w:rsid w:val="00811421"/>
    <w:rsid w:val="008116A7"/>
    <w:rsid w:val="00812477"/>
    <w:rsid w:val="00813221"/>
    <w:rsid w:val="00814189"/>
    <w:rsid w:val="00814DEB"/>
    <w:rsid w:val="00815A94"/>
    <w:rsid w:val="008161FC"/>
    <w:rsid w:val="0082064D"/>
    <w:rsid w:val="008208A7"/>
    <w:rsid w:val="00824CB2"/>
    <w:rsid w:val="008268F9"/>
    <w:rsid w:val="008273FA"/>
    <w:rsid w:val="00832D34"/>
    <w:rsid w:val="008330F5"/>
    <w:rsid w:val="008333D8"/>
    <w:rsid w:val="008349BD"/>
    <w:rsid w:val="00836768"/>
    <w:rsid w:val="00836849"/>
    <w:rsid w:val="00841DE5"/>
    <w:rsid w:val="00842D0D"/>
    <w:rsid w:val="00844BE5"/>
    <w:rsid w:val="0084519D"/>
    <w:rsid w:val="00855278"/>
    <w:rsid w:val="008576D4"/>
    <w:rsid w:val="00861527"/>
    <w:rsid w:val="00862B47"/>
    <w:rsid w:val="00862C1A"/>
    <w:rsid w:val="008630DF"/>
    <w:rsid w:val="0086327D"/>
    <w:rsid w:val="008651F9"/>
    <w:rsid w:val="00870284"/>
    <w:rsid w:val="0087462B"/>
    <w:rsid w:val="00875A45"/>
    <w:rsid w:val="008763B3"/>
    <w:rsid w:val="008765DE"/>
    <w:rsid w:val="008847CD"/>
    <w:rsid w:val="00891B24"/>
    <w:rsid w:val="008A302A"/>
    <w:rsid w:val="008A3EEE"/>
    <w:rsid w:val="008A51D9"/>
    <w:rsid w:val="008A708E"/>
    <w:rsid w:val="008A77E3"/>
    <w:rsid w:val="008B17F4"/>
    <w:rsid w:val="008B29A5"/>
    <w:rsid w:val="008B3C53"/>
    <w:rsid w:val="008B3D16"/>
    <w:rsid w:val="008C114C"/>
    <w:rsid w:val="008C27DA"/>
    <w:rsid w:val="008C522A"/>
    <w:rsid w:val="008D3115"/>
    <w:rsid w:val="008D6691"/>
    <w:rsid w:val="008D6F63"/>
    <w:rsid w:val="008D799D"/>
    <w:rsid w:val="008E0DF1"/>
    <w:rsid w:val="008E3142"/>
    <w:rsid w:val="008E5DA7"/>
    <w:rsid w:val="008E6AF9"/>
    <w:rsid w:val="008E722E"/>
    <w:rsid w:val="008F2130"/>
    <w:rsid w:val="008F4CCF"/>
    <w:rsid w:val="00900450"/>
    <w:rsid w:val="00903256"/>
    <w:rsid w:val="0090619B"/>
    <w:rsid w:val="00906CBF"/>
    <w:rsid w:val="009110D1"/>
    <w:rsid w:val="00913200"/>
    <w:rsid w:val="00915F8D"/>
    <w:rsid w:val="00917ADE"/>
    <w:rsid w:val="00917DBD"/>
    <w:rsid w:val="009230E2"/>
    <w:rsid w:val="00930029"/>
    <w:rsid w:val="00930425"/>
    <w:rsid w:val="0093112A"/>
    <w:rsid w:val="009324E9"/>
    <w:rsid w:val="00933199"/>
    <w:rsid w:val="00936354"/>
    <w:rsid w:val="009376A0"/>
    <w:rsid w:val="00940811"/>
    <w:rsid w:val="00942F13"/>
    <w:rsid w:val="0094600E"/>
    <w:rsid w:val="00951D67"/>
    <w:rsid w:val="00952E6D"/>
    <w:rsid w:val="00965082"/>
    <w:rsid w:val="00973C62"/>
    <w:rsid w:val="009742BF"/>
    <w:rsid w:val="00976F99"/>
    <w:rsid w:val="0098532A"/>
    <w:rsid w:val="00986A5A"/>
    <w:rsid w:val="00990C9A"/>
    <w:rsid w:val="00993784"/>
    <w:rsid w:val="00993EDE"/>
    <w:rsid w:val="009949CD"/>
    <w:rsid w:val="009955EE"/>
    <w:rsid w:val="00995ABD"/>
    <w:rsid w:val="00996EAC"/>
    <w:rsid w:val="009971A0"/>
    <w:rsid w:val="009A1A7D"/>
    <w:rsid w:val="009A23B7"/>
    <w:rsid w:val="009A505E"/>
    <w:rsid w:val="009A7C87"/>
    <w:rsid w:val="009B2917"/>
    <w:rsid w:val="009B299F"/>
    <w:rsid w:val="009C1F00"/>
    <w:rsid w:val="009C2A6F"/>
    <w:rsid w:val="009C40F0"/>
    <w:rsid w:val="009D1532"/>
    <w:rsid w:val="009D4D95"/>
    <w:rsid w:val="009E1606"/>
    <w:rsid w:val="009E1E8C"/>
    <w:rsid w:val="009E22E6"/>
    <w:rsid w:val="009E28B2"/>
    <w:rsid w:val="009E314A"/>
    <w:rsid w:val="009E63ED"/>
    <w:rsid w:val="009E67A1"/>
    <w:rsid w:val="009E7DFB"/>
    <w:rsid w:val="009F0F43"/>
    <w:rsid w:val="009F646D"/>
    <w:rsid w:val="00A03ABC"/>
    <w:rsid w:val="00A06073"/>
    <w:rsid w:val="00A0770B"/>
    <w:rsid w:val="00A078BF"/>
    <w:rsid w:val="00A201EF"/>
    <w:rsid w:val="00A215F6"/>
    <w:rsid w:val="00A23060"/>
    <w:rsid w:val="00A236B3"/>
    <w:rsid w:val="00A25FCD"/>
    <w:rsid w:val="00A34D95"/>
    <w:rsid w:val="00A35519"/>
    <w:rsid w:val="00A361B2"/>
    <w:rsid w:val="00A40E7A"/>
    <w:rsid w:val="00A4155C"/>
    <w:rsid w:val="00A42AAB"/>
    <w:rsid w:val="00A43E73"/>
    <w:rsid w:val="00A44626"/>
    <w:rsid w:val="00A460E2"/>
    <w:rsid w:val="00A46840"/>
    <w:rsid w:val="00A47EFE"/>
    <w:rsid w:val="00A50D8E"/>
    <w:rsid w:val="00A52E7E"/>
    <w:rsid w:val="00A5794D"/>
    <w:rsid w:val="00A61795"/>
    <w:rsid w:val="00A618B0"/>
    <w:rsid w:val="00A71685"/>
    <w:rsid w:val="00A74DFC"/>
    <w:rsid w:val="00A750E9"/>
    <w:rsid w:val="00A760B9"/>
    <w:rsid w:val="00A80603"/>
    <w:rsid w:val="00A87143"/>
    <w:rsid w:val="00A879C0"/>
    <w:rsid w:val="00A87CC1"/>
    <w:rsid w:val="00A95771"/>
    <w:rsid w:val="00A96044"/>
    <w:rsid w:val="00A9793D"/>
    <w:rsid w:val="00AA07E3"/>
    <w:rsid w:val="00AA0FC2"/>
    <w:rsid w:val="00AA12CA"/>
    <w:rsid w:val="00AA2694"/>
    <w:rsid w:val="00AB16DA"/>
    <w:rsid w:val="00AB36CF"/>
    <w:rsid w:val="00AC320B"/>
    <w:rsid w:val="00AC3CAE"/>
    <w:rsid w:val="00AC61E2"/>
    <w:rsid w:val="00AC67D3"/>
    <w:rsid w:val="00AC6A97"/>
    <w:rsid w:val="00AD1760"/>
    <w:rsid w:val="00AD210E"/>
    <w:rsid w:val="00AD7649"/>
    <w:rsid w:val="00AD7ADD"/>
    <w:rsid w:val="00AE090B"/>
    <w:rsid w:val="00AE0C2D"/>
    <w:rsid w:val="00AE3388"/>
    <w:rsid w:val="00AE51B1"/>
    <w:rsid w:val="00AF06AF"/>
    <w:rsid w:val="00AF1A26"/>
    <w:rsid w:val="00AF26DD"/>
    <w:rsid w:val="00AF2C0F"/>
    <w:rsid w:val="00AF35E5"/>
    <w:rsid w:val="00AF4D25"/>
    <w:rsid w:val="00B01601"/>
    <w:rsid w:val="00B0180D"/>
    <w:rsid w:val="00B11119"/>
    <w:rsid w:val="00B15DE3"/>
    <w:rsid w:val="00B2538A"/>
    <w:rsid w:val="00B3017E"/>
    <w:rsid w:val="00B32249"/>
    <w:rsid w:val="00B34A55"/>
    <w:rsid w:val="00B36320"/>
    <w:rsid w:val="00B37654"/>
    <w:rsid w:val="00B40DA1"/>
    <w:rsid w:val="00B46004"/>
    <w:rsid w:val="00B4629A"/>
    <w:rsid w:val="00B5634D"/>
    <w:rsid w:val="00B60AF4"/>
    <w:rsid w:val="00B62757"/>
    <w:rsid w:val="00B62869"/>
    <w:rsid w:val="00B65B79"/>
    <w:rsid w:val="00B67A28"/>
    <w:rsid w:val="00B7076F"/>
    <w:rsid w:val="00B71887"/>
    <w:rsid w:val="00B7333D"/>
    <w:rsid w:val="00B817B1"/>
    <w:rsid w:val="00B81EA3"/>
    <w:rsid w:val="00B86BDD"/>
    <w:rsid w:val="00B86C44"/>
    <w:rsid w:val="00B86D18"/>
    <w:rsid w:val="00B90347"/>
    <w:rsid w:val="00B91B1E"/>
    <w:rsid w:val="00B925D2"/>
    <w:rsid w:val="00B94A47"/>
    <w:rsid w:val="00B97C79"/>
    <w:rsid w:val="00BA0CC8"/>
    <w:rsid w:val="00BA170C"/>
    <w:rsid w:val="00BA1E44"/>
    <w:rsid w:val="00BA3214"/>
    <w:rsid w:val="00BA41B5"/>
    <w:rsid w:val="00BA498D"/>
    <w:rsid w:val="00BA74CA"/>
    <w:rsid w:val="00BB43EC"/>
    <w:rsid w:val="00BB67B2"/>
    <w:rsid w:val="00BC1AB6"/>
    <w:rsid w:val="00BC1B80"/>
    <w:rsid w:val="00BC2CBC"/>
    <w:rsid w:val="00BC3B5C"/>
    <w:rsid w:val="00BC53D9"/>
    <w:rsid w:val="00BC6861"/>
    <w:rsid w:val="00BD05D1"/>
    <w:rsid w:val="00BD0B0E"/>
    <w:rsid w:val="00BD2637"/>
    <w:rsid w:val="00BD2C9A"/>
    <w:rsid w:val="00BD4BF4"/>
    <w:rsid w:val="00BD54FF"/>
    <w:rsid w:val="00BD5A2B"/>
    <w:rsid w:val="00BE2210"/>
    <w:rsid w:val="00BE323B"/>
    <w:rsid w:val="00BE3A86"/>
    <w:rsid w:val="00BE3B70"/>
    <w:rsid w:val="00BE3D27"/>
    <w:rsid w:val="00BE3F08"/>
    <w:rsid w:val="00BF15F6"/>
    <w:rsid w:val="00BF4FF8"/>
    <w:rsid w:val="00BF5EBB"/>
    <w:rsid w:val="00BF6B5B"/>
    <w:rsid w:val="00BF6BA1"/>
    <w:rsid w:val="00C00668"/>
    <w:rsid w:val="00C020FA"/>
    <w:rsid w:val="00C03935"/>
    <w:rsid w:val="00C11255"/>
    <w:rsid w:val="00C148F7"/>
    <w:rsid w:val="00C15E8F"/>
    <w:rsid w:val="00C2049A"/>
    <w:rsid w:val="00C204DE"/>
    <w:rsid w:val="00C214C1"/>
    <w:rsid w:val="00C26381"/>
    <w:rsid w:val="00C31456"/>
    <w:rsid w:val="00C32256"/>
    <w:rsid w:val="00C34C6E"/>
    <w:rsid w:val="00C37918"/>
    <w:rsid w:val="00C46B59"/>
    <w:rsid w:val="00C47D95"/>
    <w:rsid w:val="00C5006F"/>
    <w:rsid w:val="00C511EF"/>
    <w:rsid w:val="00C53573"/>
    <w:rsid w:val="00C54ED3"/>
    <w:rsid w:val="00C60B7F"/>
    <w:rsid w:val="00C610C3"/>
    <w:rsid w:val="00C638BF"/>
    <w:rsid w:val="00C63DFD"/>
    <w:rsid w:val="00C70019"/>
    <w:rsid w:val="00C74328"/>
    <w:rsid w:val="00C743C2"/>
    <w:rsid w:val="00C74693"/>
    <w:rsid w:val="00C74C78"/>
    <w:rsid w:val="00C821E5"/>
    <w:rsid w:val="00C85F9A"/>
    <w:rsid w:val="00C9104F"/>
    <w:rsid w:val="00C92F2A"/>
    <w:rsid w:val="00C9408E"/>
    <w:rsid w:val="00CA270F"/>
    <w:rsid w:val="00CA554E"/>
    <w:rsid w:val="00CB4BB7"/>
    <w:rsid w:val="00CB4C80"/>
    <w:rsid w:val="00CB7FD7"/>
    <w:rsid w:val="00CC1355"/>
    <w:rsid w:val="00CC2B62"/>
    <w:rsid w:val="00CC4BC2"/>
    <w:rsid w:val="00CC5A2C"/>
    <w:rsid w:val="00CD0242"/>
    <w:rsid w:val="00CD1D19"/>
    <w:rsid w:val="00CD2F35"/>
    <w:rsid w:val="00CD6C88"/>
    <w:rsid w:val="00CE450F"/>
    <w:rsid w:val="00CF1FD6"/>
    <w:rsid w:val="00CF2EA0"/>
    <w:rsid w:val="00CF2FAD"/>
    <w:rsid w:val="00CF4345"/>
    <w:rsid w:val="00CF6F1B"/>
    <w:rsid w:val="00D131CC"/>
    <w:rsid w:val="00D13C31"/>
    <w:rsid w:val="00D1448F"/>
    <w:rsid w:val="00D159BE"/>
    <w:rsid w:val="00D22D12"/>
    <w:rsid w:val="00D235CC"/>
    <w:rsid w:val="00D2633B"/>
    <w:rsid w:val="00D325D1"/>
    <w:rsid w:val="00D32D4E"/>
    <w:rsid w:val="00D336E0"/>
    <w:rsid w:val="00D5043B"/>
    <w:rsid w:val="00D50626"/>
    <w:rsid w:val="00D60DCA"/>
    <w:rsid w:val="00D622DA"/>
    <w:rsid w:val="00D70D75"/>
    <w:rsid w:val="00D7181B"/>
    <w:rsid w:val="00D72C12"/>
    <w:rsid w:val="00D751F7"/>
    <w:rsid w:val="00D759C6"/>
    <w:rsid w:val="00D800C5"/>
    <w:rsid w:val="00D81B09"/>
    <w:rsid w:val="00D83A27"/>
    <w:rsid w:val="00D84024"/>
    <w:rsid w:val="00D95A0F"/>
    <w:rsid w:val="00DA35E1"/>
    <w:rsid w:val="00DA623F"/>
    <w:rsid w:val="00DC0168"/>
    <w:rsid w:val="00DC03BB"/>
    <w:rsid w:val="00DC12E9"/>
    <w:rsid w:val="00DC3C9A"/>
    <w:rsid w:val="00DC669A"/>
    <w:rsid w:val="00DD5E1F"/>
    <w:rsid w:val="00DD73C1"/>
    <w:rsid w:val="00DD7697"/>
    <w:rsid w:val="00DE1FEB"/>
    <w:rsid w:val="00DE4223"/>
    <w:rsid w:val="00DE52A4"/>
    <w:rsid w:val="00DF654A"/>
    <w:rsid w:val="00DF782D"/>
    <w:rsid w:val="00DF79CC"/>
    <w:rsid w:val="00E06E83"/>
    <w:rsid w:val="00E10345"/>
    <w:rsid w:val="00E10819"/>
    <w:rsid w:val="00E10C0E"/>
    <w:rsid w:val="00E11762"/>
    <w:rsid w:val="00E140BF"/>
    <w:rsid w:val="00E15BA7"/>
    <w:rsid w:val="00E15CAE"/>
    <w:rsid w:val="00E16BC6"/>
    <w:rsid w:val="00E1774B"/>
    <w:rsid w:val="00E20DF8"/>
    <w:rsid w:val="00E27656"/>
    <w:rsid w:val="00E308B8"/>
    <w:rsid w:val="00E4124D"/>
    <w:rsid w:val="00E44353"/>
    <w:rsid w:val="00E44644"/>
    <w:rsid w:val="00E45413"/>
    <w:rsid w:val="00E52A48"/>
    <w:rsid w:val="00E613A5"/>
    <w:rsid w:val="00E63295"/>
    <w:rsid w:val="00E64324"/>
    <w:rsid w:val="00E66927"/>
    <w:rsid w:val="00E671C3"/>
    <w:rsid w:val="00E71E47"/>
    <w:rsid w:val="00E7553E"/>
    <w:rsid w:val="00E76DAD"/>
    <w:rsid w:val="00E76ECF"/>
    <w:rsid w:val="00E80CA5"/>
    <w:rsid w:val="00E83B14"/>
    <w:rsid w:val="00E855E3"/>
    <w:rsid w:val="00E8776B"/>
    <w:rsid w:val="00E877ED"/>
    <w:rsid w:val="00E87F1E"/>
    <w:rsid w:val="00E91831"/>
    <w:rsid w:val="00E93CB4"/>
    <w:rsid w:val="00EA155E"/>
    <w:rsid w:val="00EA1D7B"/>
    <w:rsid w:val="00EA440D"/>
    <w:rsid w:val="00EA57EF"/>
    <w:rsid w:val="00EA725B"/>
    <w:rsid w:val="00EB4615"/>
    <w:rsid w:val="00EB7F04"/>
    <w:rsid w:val="00EC1824"/>
    <w:rsid w:val="00EC2D3C"/>
    <w:rsid w:val="00EC73B3"/>
    <w:rsid w:val="00ED0C09"/>
    <w:rsid w:val="00ED57C9"/>
    <w:rsid w:val="00ED66BC"/>
    <w:rsid w:val="00EE03EE"/>
    <w:rsid w:val="00EE42AF"/>
    <w:rsid w:val="00EE5403"/>
    <w:rsid w:val="00EE5D52"/>
    <w:rsid w:val="00EF043B"/>
    <w:rsid w:val="00EF237E"/>
    <w:rsid w:val="00EF23DF"/>
    <w:rsid w:val="00EF2575"/>
    <w:rsid w:val="00F0780D"/>
    <w:rsid w:val="00F16D65"/>
    <w:rsid w:val="00F17B83"/>
    <w:rsid w:val="00F20790"/>
    <w:rsid w:val="00F2351B"/>
    <w:rsid w:val="00F32B29"/>
    <w:rsid w:val="00F41597"/>
    <w:rsid w:val="00F4296D"/>
    <w:rsid w:val="00F46396"/>
    <w:rsid w:val="00F47188"/>
    <w:rsid w:val="00F53B8A"/>
    <w:rsid w:val="00F53FDC"/>
    <w:rsid w:val="00F55118"/>
    <w:rsid w:val="00F551AD"/>
    <w:rsid w:val="00F56E8C"/>
    <w:rsid w:val="00F61308"/>
    <w:rsid w:val="00F61547"/>
    <w:rsid w:val="00F619F6"/>
    <w:rsid w:val="00F625A9"/>
    <w:rsid w:val="00F673F0"/>
    <w:rsid w:val="00F7163B"/>
    <w:rsid w:val="00F721F0"/>
    <w:rsid w:val="00F7476C"/>
    <w:rsid w:val="00F76D5B"/>
    <w:rsid w:val="00F83300"/>
    <w:rsid w:val="00F868B9"/>
    <w:rsid w:val="00F8796D"/>
    <w:rsid w:val="00F912B1"/>
    <w:rsid w:val="00F91942"/>
    <w:rsid w:val="00F93B0E"/>
    <w:rsid w:val="00F93BEE"/>
    <w:rsid w:val="00F948D4"/>
    <w:rsid w:val="00F94A49"/>
    <w:rsid w:val="00F96B9C"/>
    <w:rsid w:val="00F97147"/>
    <w:rsid w:val="00FA0AF2"/>
    <w:rsid w:val="00FA430A"/>
    <w:rsid w:val="00FA6626"/>
    <w:rsid w:val="00FA786B"/>
    <w:rsid w:val="00FB033D"/>
    <w:rsid w:val="00FB0DAB"/>
    <w:rsid w:val="00FB3AE9"/>
    <w:rsid w:val="00FB79C9"/>
    <w:rsid w:val="00FC0076"/>
    <w:rsid w:val="00FC1156"/>
    <w:rsid w:val="00FC342C"/>
    <w:rsid w:val="00FD13E3"/>
    <w:rsid w:val="00FD5516"/>
    <w:rsid w:val="00FD6D44"/>
    <w:rsid w:val="00FD72D9"/>
    <w:rsid w:val="00FD7366"/>
    <w:rsid w:val="00FE7C65"/>
    <w:rsid w:val="00FF2267"/>
    <w:rsid w:val="00FF4009"/>
    <w:rsid w:val="00FF49EB"/>
    <w:rsid w:val="0322E42A"/>
    <w:rsid w:val="0BCE14AE"/>
    <w:rsid w:val="20858141"/>
    <w:rsid w:val="23740735"/>
    <w:rsid w:val="2B42FABC"/>
    <w:rsid w:val="407ADDCE"/>
    <w:rsid w:val="40C5D72D"/>
    <w:rsid w:val="424C710F"/>
    <w:rsid w:val="4B1BBE16"/>
    <w:rsid w:val="4E8254B5"/>
    <w:rsid w:val="54D2D745"/>
    <w:rsid w:val="553489E5"/>
    <w:rsid w:val="5BF5A1F2"/>
    <w:rsid w:val="6349E538"/>
    <w:rsid w:val="6E13E573"/>
    <w:rsid w:val="766EE7C7"/>
    <w:rsid w:val="79EA93BA"/>
    <w:rsid w:val="7F125C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B8E8AB"/>
  <w15:docId w15:val="{D726C983-88B4-440A-BF96-8FE772707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7F1C02"/>
    <w:pPr>
      <w:spacing w:after="200" w:line="288" w:lineRule="auto"/>
    </w:pPr>
    <w:rPr>
      <w:rFonts w:ascii="Arial" w:hAnsi="Arial"/>
      <w:color w:val="333333"/>
      <w:lang w:eastAsia="en-US"/>
    </w:rPr>
  </w:style>
  <w:style w:type="paragraph" w:styleId="Heading1">
    <w:name w:val="heading 1"/>
    <w:basedOn w:val="Normal"/>
    <w:next w:val="Body1"/>
    <w:qFormat/>
    <w:rsid w:val="00C11255"/>
    <w:pPr>
      <w:numPr>
        <w:numId w:val="1"/>
      </w:numPr>
      <w:outlineLvl w:val="0"/>
    </w:pPr>
  </w:style>
  <w:style w:type="paragraph" w:styleId="Heading2">
    <w:name w:val="heading 2"/>
    <w:basedOn w:val="Normal"/>
    <w:next w:val="Body2"/>
    <w:qFormat/>
    <w:rsid w:val="00C11255"/>
    <w:pPr>
      <w:numPr>
        <w:ilvl w:val="1"/>
        <w:numId w:val="1"/>
      </w:numPr>
      <w:outlineLvl w:val="1"/>
    </w:pPr>
  </w:style>
  <w:style w:type="paragraph" w:styleId="Heading3">
    <w:name w:val="heading 3"/>
    <w:basedOn w:val="Normal"/>
    <w:next w:val="Body3"/>
    <w:qFormat/>
    <w:rsid w:val="005C4A8E"/>
    <w:pPr>
      <w:numPr>
        <w:ilvl w:val="2"/>
        <w:numId w:val="1"/>
      </w:numPr>
      <w:ind w:hanging="964"/>
      <w:outlineLvl w:val="2"/>
    </w:pPr>
  </w:style>
  <w:style w:type="paragraph" w:styleId="Heading4">
    <w:name w:val="heading 4"/>
    <w:basedOn w:val="Normal"/>
    <w:next w:val="Body4"/>
    <w:qFormat/>
    <w:rsid w:val="005C4A8E"/>
    <w:pPr>
      <w:numPr>
        <w:ilvl w:val="3"/>
        <w:numId w:val="1"/>
      </w:numPr>
      <w:ind w:left="3623" w:hanging="1219"/>
      <w:outlineLvl w:val="3"/>
    </w:pPr>
  </w:style>
  <w:style w:type="paragraph" w:styleId="Heading5">
    <w:name w:val="heading 5"/>
    <w:basedOn w:val="Normal"/>
    <w:next w:val="Body5"/>
    <w:qFormat/>
    <w:rsid w:val="00C11255"/>
    <w:pPr>
      <w:numPr>
        <w:ilvl w:val="4"/>
        <w:numId w:val="1"/>
      </w:numPr>
      <w:outlineLvl w:val="4"/>
    </w:pPr>
  </w:style>
  <w:style w:type="paragraph" w:styleId="Heading6">
    <w:name w:val="heading 6"/>
    <w:basedOn w:val="Normal"/>
    <w:next w:val="Body6"/>
    <w:qFormat/>
    <w:rsid w:val="00C11255"/>
    <w:pPr>
      <w:numPr>
        <w:ilvl w:val="5"/>
        <w:numId w:val="1"/>
      </w:numPr>
      <w:outlineLvl w:val="5"/>
    </w:pPr>
  </w:style>
  <w:style w:type="paragraph" w:styleId="Heading7">
    <w:name w:val="heading 7"/>
    <w:basedOn w:val="Normal"/>
    <w:next w:val="Body7"/>
    <w:qFormat/>
    <w:rsid w:val="00C11255"/>
    <w:pPr>
      <w:numPr>
        <w:ilvl w:val="6"/>
        <w:numId w:val="1"/>
      </w:numPr>
      <w:outlineLvl w:val="6"/>
    </w:pPr>
  </w:style>
  <w:style w:type="paragraph" w:styleId="Heading8">
    <w:name w:val="heading 8"/>
    <w:basedOn w:val="Normal"/>
    <w:next w:val="Body8"/>
    <w:qFormat/>
    <w:rsid w:val="00C11255"/>
    <w:pPr>
      <w:numPr>
        <w:ilvl w:val="7"/>
        <w:numId w:val="1"/>
      </w:numPr>
      <w:outlineLvl w:val="7"/>
    </w:pPr>
  </w:style>
  <w:style w:type="paragraph" w:styleId="Heading9">
    <w:name w:val="heading 9"/>
    <w:basedOn w:val="Normal"/>
    <w:next w:val="Body9"/>
    <w:qFormat/>
    <w:rsid w:val="00C11255"/>
    <w:pPr>
      <w:numPr>
        <w:ilvl w:val="8"/>
        <w:numId w:val="1"/>
      </w:num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C11255"/>
    <w:pPr>
      <w:tabs>
        <w:tab w:val="center" w:pos="4153"/>
        <w:tab w:val="right" w:pos="8306"/>
      </w:tabs>
    </w:pPr>
  </w:style>
  <w:style w:type="paragraph" w:styleId="Footer">
    <w:name w:val="footer"/>
    <w:basedOn w:val="Normal"/>
    <w:rsid w:val="00C11255"/>
    <w:pPr>
      <w:tabs>
        <w:tab w:val="center" w:pos="4153"/>
        <w:tab w:val="right" w:pos="8306"/>
      </w:tabs>
    </w:pPr>
  </w:style>
  <w:style w:type="character" w:styleId="PageNumber">
    <w:name w:val="page number"/>
    <w:basedOn w:val="DefaultParagraphFont"/>
    <w:rsid w:val="00C11255"/>
    <w:rPr>
      <w:rFonts w:ascii="Arial" w:hAnsi="Arial"/>
      <w:sz w:val="18"/>
    </w:rPr>
  </w:style>
  <w:style w:type="paragraph" w:styleId="Body1" w:customStyle="1">
    <w:name w:val="Body1"/>
    <w:basedOn w:val="Normal"/>
    <w:rsid w:val="00C11255"/>
    <w:pPr>
      <w:ind w:left="720"/>
    </w:pPr>
  </w:style>
  <w:style w:type="paragraph" w:styleId="Body2" w:customStyle="1">
    <w:name w:val="Body2"/>
    <w:basedOn w:val="Normal"/>
    <w:rsid w:val="00C11255"/>
    <w:pPr>
      <w:ind w:left="1440"/>
    </w:pPr>
  </w:style>
  <w:style w:type="paragraph" w:styleId="Body3" w:customStyle="1">
    <w:name w:val="Body3"/>
    <w:basedOn w:val="Normal"/>
    <w:rsid w:val="00C11255"/>
    <w:pPr>
      <w:ind w:left="2404"/>
    </w:pPr>
  </w:style>
  <w:style w:type="paragraph" w:styleId="Body4" w:customStyle="1">
    <w:name w:val="Body4"/>
    <w:basedOn w:val="Normal"/>
    <w:rsid w:val="00C11255"/>
    <w:pPr>
      <w:ind w:left="3617"/>
    </w:pPr>
  </w:style>
  <w:style w:type="paragraph" w:styleId="Body5" w:customStyle="1">
    <w:name w:val="Body5"/>
    <w:basedOn w:val="Normal"/>
    <w:rsid w:val="00C11255"/>
    <w:pPr>
      <w:ind w:left="4349"/>
    </w:pPr>
  </w:style>
  <w:style w:type="paragraph" w:styleId="BodyTextIndent">
    <w:name w:val="Body Text Indent"/>
    <w:basedOn w:val="Normal"/>
    <w:rsid w:val="00C11255"/>
    <w:pPr>
      <w:ind w:left="709"/>
    </w:pPr>
  </w:style>
  <w:style w:type="paragraph" w:styleId="Body6" w:customStyle="1">
    <w:name w:val="Body6"/>
    <w:basedOn w:val="Normal"/>
    <w:rsid w:val="00C11255"/>
    <w:pPr>
      <w:ind w:left="5058"/>
    </w:pPr>
  </w:style>
  <w:style w:type="paragraph" w:styleId="Body7" w:customStyle="1">
    <w:name w:val="Body7"/>
    <w:basedOn w:val="Normal"/>
    <w:rsid w:val="00C11255"/>
    <w:pPr>
      <w:ind w:left="5761"/>
    </w:pPr>
  </w:style>
  <w:style w:type="paragraph" w:styleId="Body8" w:customStyle="1">
    <w:name w:val="Body8"/>
    <w:basedOn w:val="Normal"/>
    <w:rsid w:val="00C11255"/>
    <w:pPr>
      <w:ind w:left="6447"/>
    </w:pPr>
  </w:style>
  <w:style w:type="paragraph" w:styleId="Body9" w:customStyle="1">
    <w:name w:val="Body9"/>
    <w:basedOn w:val="Normal"/>
    <w:rsid w:val="00C11255"/>
    <w:pPr>
      <w:ind w:left="7156"/>
    </w:pPr>
  </w:style>
  <w:style w:type="paragraph" w:styleId="ListBullet">
    <w:name w:val="List Bullet"/>
    <w:basedOn w:val="Normal"/>
    <w:rsid w:val="00C11255"/>
    <w:pPr>
      <w:ind w:left="709" w:hanging="709"/>
    </w:pPr>
  </w:style>
  <w:style w:type="paragraph" w:styleId="ListBullet2">
    <w:name w:val="List Bullet 2"/>
    <w:basedOn w:val="Normal"/>
    <w:rsid w:val="00C11255"/>
    <w:pPr>
      <w:ind w:left="993" w:hanging="709"/>
    </w:pPr>
  </w:style>
  <w:style w:type="paragraph" w:styleId="ListBullet3">
    <w:name w:val="List Bullet 3"/>
    <w:basedOn w:val="Normal"/>
    <w:rsid w:val="00C11255"/>
    <w:pPr>
      <w:ind w:left="1276" w:hanging="709"/>
    </w:pPr>
  </w:style>
  <w:style w:type="paragraph" w:styleId="ListBullet4">
    <w:name w:val="List Bullet 4"/>
    <w:basedOn w:val="Normal"/>
    <w:rsid w:val="00C11255"/>
    <w:pPr>
      <w:ind w:left="1560" w:hanging="709"/>
    </w:pPr>
  </w:style>
  <w:style w:type="paragraph" w:styleId="ListBullet5">
    <w:name w:val="List Bullet 5"/>
    <w:basedOn w:val="Normal"/>
    <w:rsid w:val="00C11255"/>
    <w:pPr>
      <w:ind w:left="1843" w:hanging="709"/>
    </w:pPr>
  </w:style>
  <w:style w:type="paragraph" w:styleId="ListContinue">
    <w:name w:val="List Continue"/>
    <w:basedOn w:val="Normal"/>
    <w:rsid w:val="00C11255"/>
    <w:pPr>
      <w:ind w:left="709"/>
    </w:pPr>
  </w:style>
  <w:style w:type="paragraph" w:styleId="ListContinue2">
    <w:name w:val="List Continue 2"/>
    <w:basedOn w:val="Normal"/>
    <w:rsid w:val="00C11255"/>
    <w:pPr>
      <w:ind w:left="567"/>
    </w:pPr>
  </w:style>
  <w:style w:type="paragraph" w:styleId="ListNumber">
    <w:name w:val="List Number"/>
    <w:basedOn w:val="Normal"/>
    <w:rsid w:val="00C11255"/>
    <w:pPr>
      <w:ind w:left="709" w:hanging="709"/>
    </w:pPr>
  </w:style>
  <w:style w:type="paragraph" w:styleId="ListNumber2">
    <w:name w:val="List Number 2"/>
    <w:basedOn w:val="Normal"/>
    <w:rsid w:val="00C11255"/>
    <w:pPr>
      <w:ind w:left="993" w:hanging="709"/>
    </w:pPr>
  </w:style>
  <w:style w:type="paragraph" w:styleId="ListNumber3">
    <w:name w:val="List Number 3"/>
    <w:basedOn w:val="Normal"/>
    <w:rsid w:val="00C11255"/>
    <w:pPr>
      <w:ind w:left="1276" w:hanging="709"/>
    </w:pPr>
  </w:style>
  <w:style w:type="paragraph" w:styleId="ListNumber4">
    <w:name w:val="List Number 4"/>
    <w:basedOn w:val="Normal"/>
    <w:rsid w:val="00C11255"/>
    <w:pPr>
      <w:ind w:left="1560" w:hanging="709"/>
    </w:pPr>
  </w:style>
  <w:style w:type="paragraph" w:styleId="ListNumber5">
    <w:name w:val="List Number 5"/>
    <w:basedOn w:val="Normal"/>
    <w:rsid w:val="00C11255"/>
    <w:pPr>
      <w:ind w:left="1843" w:hanging="709"/>
    </w:pPr>
  </w:style>
  <w:style w:type="paragraph" w:styleId="BodyText">
    <w:name w:val="Body Text"/>
    <w:basedOn w:val="Normal"/>
    <w:rsid w:val="00C11255"/>
  </w:style>
  <w:style w:type="paragraph" w:styleId="DocSpace" w:customStyle="1">
    <w:name w:val="DocSpace"/>
    <w:basedOn w:val="Normal"/>
    <w:rsid w:val="00C11255"/>
  </w:style>
  <w:style w:type="paragraph" w:styleId="SchTitle" w:customStyle="1">
    <w:name w:val="Sch Title"/>
    <w:next w:val="Normal"/>
    <w:rsid w:val="00C11255"/>
    <w:pPr>
      <w:keepNext/>
      <w:spacing w:before="240" w:after="60"/>
      <w:jc w:val="center"/>
    </w:pPr>
    <w:rPr>
      <w:rFonts w:ascii="Arial" w:hAnsi="Arial"/>
      <w:b/>
      <w:noProof/>
      <w:lang w:eastAsia="en-US"/>
    </w:rPr>
  </w:style>
  <w:style w:type="paragraph" w:styleId="SchedClauses" w:customStyle="1">
    <w:name w:val="Sched Clauses"/>
    <w:basedOn w:val="Normal"/>
    <w:rsid w:val="00C11255"/>
  </w:style>
  <w:style w:type="paragraph" w:styleId="STBody" w:customStyle="1">
    <w:name w:val="STBody"/>
    <w:basedOn w:val="Normal"/>
    <w:rsid w:val="00C11255"/>
    <w:pPr>
      <w:keepNext/>
      <w:jc w:val="center"/>
    </w:pPr>
  </w:style>
  <w:style w:type="character" w:styleId="Hyperlink">
    <w:name w:val="Hyperlink"/>
    <w:basedOn w:val="DefaultParagraphFont"/>
    <w:uiPriority w:val="99"/>
    <w:rsid w:val="00C11255"/>
    <w:rPr>
      <w:color w:val="0000FF"/>
      <w:u w:val="single"/>
    </w:rPr>
  </w:style>
  <w:style w:type="paragraph" w:styleId="SingleSpace" w:customStyle="1">
    <w:name w:val="SingleSpace"/>
    <w:rsid w:val="007F1C02"/>
    <w:pPr>
      <w:tabs>
        <w:tab w:val="left" w:pos="993"/>
      </w:tabs>
    </w:pPr>
    <w:rPr>
      <w:rFonts w:ascii="Arial" w:hAnsi="Arial"/>
      <w:lang w:eastAsia="en-US"/>
    </w:rPr>
  </w:style>
  <w:style w:type="paragraph" w:styleId="BalloonText">
    <w:name w:val="Balloon Text"/>
    <w:basedOn w:val="Normal"/>
    <w:semiHidden/>
    <w:rsid w:val="00697B78"/>
    <w:rPr>
      <w:rFonts w:ascii="Tahoma" w:hAnsi="Tahoma" w:cs="Tahoma"/>
      <w:sz w:val="16"/>
      <w:szCs w:val="16"/>
    </w:rPr>
  </w:style>
  <w:style w:type="paragraph" w:styleId="ListParagraph">
    <w:name w:val="List Paragraph"/>
    <w:basedOn w:val="Normal"/>
    <w:uiPriority w:val="1"/>
    <w:qFormat/>
    <w:rsid w:val="004A76D5"/>
    <w:pPr>
      <w:spacing w:after="0"/>
      <w:ind w:left="720"/>
      <w:contextualSpacing/>
    </w:pPr>
    <w:rPr>
      <w:color w:val="auto"/>
    </w:rPr>
  </w:style>
  <w:style w:type="paragraph" w:styleId="NormalWeb">
    <w:name w:val="Normal (Web)"/>
    <w:basedOn w:val="Normal"/>
    <w:uiPriority w:val="99"/>
    <w:unhideWhenUsed/>
    <w:rsid w:val="004A76D5"/>
    <w:pPr>
      <w:spacing w:before="240" w:after="480" w:line="240" w:lineRule="auto"/>
    </w:pPr>
    <w:rPr>
      <w:rFonts w:ascii="Times New Roman" w:hAnsi="Times New Roman"/>
      <w:color w:val="auto"/>
      <w:sz w:val="24"/>
      <w:szCs w:val="24"/>
      <w:lang w:eastAsia="en-GB"/>
    </w:rPr>
  </w:style>
  <w:style w:type="character" w:styleId="Strong">
    <w:name w:val="Strong"/>
    <w:basedOn w:val="DefaultParagraphFont"/>
    <w:uiPriority w:val="1"/>
    <w:qFormat/>
    <w:rsid w:val="0020398C"/>
    <w:rPr>
      <w:b/>
      <w:bCs/>
    </w:rPr>
  </w:style>
  <w:style w:type="character" w:styleId="FollowedHyperlink">
    <w:name w:val="FollowedHyperlink"/>
    <w:basedOn w:val="DefaultParagraphFont"/>
    <w:semiHidden/>
    <w:unhideWhenUsed/>
    <w:rsid w:val="0020398C"/>
    <w:rPr>
      <w:color w:val="800080" w:themeColor="followedHyperlink"/>
      <w:u w:val="single"/>
    </w:rPr>
  </w:style>
  <w:style w:type="paragraph" w:styleId="Default" w:customStyle="1">
    <w:name w:val="Default"/>
    <w:rsid w:val="005E70E7"/>
    <w:pPr>
      <w:autoSpaceDE w:val="0"/>
      <w:autoSpaceDN w:val="0"/>
      <w:adjustRightInd w:val="0"/>
    </w:pPr>
    <w:rPr>
      <w:rFonts w:ascii="Arial" w:hAnsi="Arial" w:cs="Arial"/>
      <w:color w:val="000000"/>
      <w:sz w:val="24"/>
      <w:szCs w:val="24"/>
    </w:rPr>
  </w:style>
  <w:style w:type="paragraph" w:styleId="Paragraph" w:customStyle="1">
    <w:name w:val="Paragraph"/>
    <w:basedOn w:val="Normal"/>
    <w:uiPriority w:val="4"/>
    <w:qFormat/>
    <w:rsid w:val="000223BD"/>
    <w:pPr>
      <w:numPr>
        <w:numId w:val="4"/>
      </w:numPr>
      <w:spacing w:before="240" w:after="240" w:line="276" w:lineRule="auto"/>
    </w:pPr>
    <w:rPr>
      <w:color w:val="auto"/>
      <w:sz w:val="24"/>
      <w:szCs w:val="24"/>
      <w:lang w:eastAsia="en-GB"/>
    </w:rPr>
  </w:style>
  <w:style w:type="paragraph" w:styleId="Revision">
    <w:name w:val="Revision"/>
    <w:hidden/>
    <w:uiPriority w:val="99"/>
    <w:semiHidden/>
    <w:rsid w:val="000329FE"/>
    <w:rPr>
      <w:rFonts w:ascii="Arial" w:hAnsi="Arial"/>
      <w:color w:val="333333"/>
      <w:lang w:eastAsia="en-US"/>
    </w:rPr>
  </w:style>
  <w:style w:type="character" w:styleId="CommentReference">
    <w:name w:val="annotation reference"/>
    <w:basedOn w:val="DefaultParagraphFont"/>
    <w:semiHidden/>
    <w:unhideWhenUsed/>
    <w:rsid w:val="000329FE"/>
    <w:rPr>
      <w:sz w:val="16"/>
      <w:szCs w:val="16"/>
    </w:rPr>
  </w:style>
  <w:style w:type="paragraph" w:styleId="CommentText">
    <w:name w:val="annotation text"/>
    <w:basedOn w:val="Normal"/>
    <w:link w:val="CommentTextChar"/>
    <w:unhideWhenUsed/>
    <w:rsid w:val="000329FE"/>
    <w:pPr>
      <w:spacing w:line="240" w:lineRule="auto"/>
    </w:pPr>
  </w:style>
  <w:style w:type="character" w:styleId="CommentTextChar" w:customStyle="1">
    <w:name w:val="Comment Text Char"/>
    <w:basedOn w:val="DefaultParagraphFont"/>
    <w:link w:val="CommentText"/>
    <w:rsid w:val="000329FE"/>
    <w:rPr>
      <w:rFonts w:ascii="Arial" w:hAnsi="Arial"/>
      <w:color w:val="333333"/>
      <w:lang w:eastAsia="en-US"/>
    </w:rPr>
  </w:style>
  <w:style w:type="paragraph" w:styleId="CommentSubject">
    <w:name w:val="annotation subject"/>
    <w:basedOn w:val="CommentText"/>
    <w:next w:val="CommentText"/>
    <w:link w:val="CommentSubjectChar"/>
    <w:semiHidden/>
    <w:unhideWhenUsed/>
    <w:rsid w:val="000329FE"/>
    <w:rPr>
      <w:b/>
      <w:bCs/>
    </w:rPr>
  </w:style>
  <w:style w:type="character" w:styleId="CommentSubjectChar" w:customStyle="1">
    <w:name w:val="Comment Subject Char"/>
    <w:basedOn w:val="CommentTextChar"/>
    <w:link w:val="CommentSubject"/>
    <w:semiHidden/>
    <w:rsid w:val="000329FE"/>
    <w:rPr>
      <w:rFonts w:ascii="Arial" w:hAnsi="Arial"/>
      <w:b/>
      <w:bCs/>
      <w:color w:val="333333"/>
      <w:lang w:eastAsia="en-US"/>
    </w:rPr>
  </w:style>
  <w:style w:type="paragraph" w:styleId="FootnoteText">
    <w:name w:val="footnote text"/>
    <w:basedOn w:val="Normal"/>
    <w:link w:val="FootnoteTextChar"/>
    <w:semiHidden/>
    <w:unhideWhenUsed/>
    <w:rsid w:val="00C70019"/>
    <w:pPr>
      <w:spacing w:after="0" w:line="240" w:lineRule="auto"/>
    </w:pPr>
  </w:style>
  <w:style w:type="character" w:styleId="FootnoteTextChar" w:customStyle="1">
    <w:name w:val="Footnote Text Char"/>
    <w:basedOn w:val="DefaultParagraphFont"/>
    <w:link w:val="FootnoteText"/>
    <w:semiHidden/>
    <w:rsid w:val="00C70019"/>
    <w:rPr>
      <w:rFonts w:ascii="Arial" w:hAnsi="Arial"/>
      <w:color w:val="333333"/>
      <w:lang w:eastAsia="en-US"/>
    </w:rPr>
  </w:style>
  <w:style w:type="character" w:styleId="FootnoteReference">
    <w:name w:val="footnote reference"/>
    <w:basedOn w:val="DefaultParagraphFont"/>
    <w:uiPriority w:val="99"/>
    <w:semiHidden/>
    <w:unhideWhenUsed/>
    <w:rsid w:val="00C70019"/>
    <w:rPr>
      <w:vertAlign w:val="superscript"/>
    </w:rPr>
  </w:style>
  <w:style w:type="character" w:styleId="NICEnormalChar" w:customStyle="1">
    <w:name w:val="NICE normal Char"/>
    <w:basedOn w:val="DefaultParagraphFont"/>
    <w:link w:val="NICEnormal"/>
    <w:locked/>
    <w:rsid w:val="00B94A47"/>
    <w:rPr>
      <w:rFonts w:ascii="Arial" w:hAnsi="Arial" w:cs="Arial"/>
      <w:lang w:eastAsia="en-US"/>
    </w:rPr>
  </w:style>
  <w:style w:type="paragraph" w:styleId="NICEnormal" w:customStyle="1">
    <w:name w:val="NICE normal"/>
    <w:basedOn w:val="Normal"/>
    <w:link w:val="NICEnormalChar"/>
    <w:rsid w:val="00B94A47"/>
    <w:pPr>
      <w:spacing w:after="240" w:line="360" w:lineRule="auto"/>
    </w:pPr>
    <w:rPr>
      <w:rFonts w:cs="Arial"/>
      <w:color w:val="auto"/>
    </w:rPr>
  </w:style>
  <w:style w:type="character" w:styleId="HeaderChar" w:customStyle="1">
    <w:name w:val="Header Char"/>
    <w:basedOn w:val="DefaultParagraphFont"/>
    <w:link w:val="Header"/>
    <w:uiPriority w:val="99"/>
    <w:rsid w:val="00491045"/>
    <w:rPr>
      <w:rFonts w:ascii="Arial" w:hAnsi="Arial"/>
      <w:color w:val="333333"/>
      <w:lang w:eastAsia="en-US"/>
    </w:rPr>
  </w:style>
  <w:style w:type="character" w:styleId="UnresolvedMention">
    <w:name w:val="Unresolved Mention"/>
    <w:basedOn w:val="DefaultParagraphFont"/>
    <w:uiPriority w:val="99"/>
    <w:semiHidden/>
    <w:unhideWhenUsed/>
    <w:rsid w:val="00623213"/>
    <w:rPr>
      <w:color w:val="605E5C"/>
      <w:shd w:val="clear" w:color="auto" w:fill="E1DFDD"/>
    </w:rPr>
  </w:style>
  <w:style w:type="paragraph" w:styleId="ParagraphNumbered" w:customStyle="1">
    <w:name w:val="Paragraph Numbered"/>
    <w:basedOn w:val="Normal"/>
    <w:uiPriority w:val="4"/>
    <w:qFormat/>
    <w:rsid w:val="002D2F52"/>
    <w:pPr>
      <w:widowControl w:val="0"/>
      <w:tabs>
        <w:tab w:val="left" w:pos="426"/>
      </w:tabs>
      <w:spacing w:after="240" w:line="360" w:lineRule="auto"/>
      <w:ind w:left="425" w:hanging="425"/>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81885">
      <w:bodyDiv w:val="1"/>
      <w:marLeft w:val="0"/>
      <w:marRight w:val="0"/>
      <w:marTop w:val="0"/>
      <w:marBottom w:val="0"/>
      <w:divBdr>
        <w:top w:val="none" w:sz="0" w:space="0" w:color="auto"/>
        <w:left w:val="none" w:sz="0" w:space="0" w:color="auto"/>
        <w:bottom w:val="none" w:sz="0" w:space="0" w:color="auto"/>
        <w:right w:val="none" w:sz="0" w:space="0" w:color="auto"/>
      </w:divBdr>
    </w:div>
    <w:div w:id="357779098">
      <w:bodyDiv w:val="1"/>
      <w:marLeft w:val="0"/>
      <w:marRight w:val="0"/>
      <w:marTop w:val="0"/>
      <w:marBottom w:val="0"/>
      <w:divBdr>
        <w:top w:val="none" w:sz="0" w:space="0" w:color="auto"/>
        <w:left w:val="none" w:sz="0" w:space="0" w:color="auto"/>
        <w:bottom w:val="none" w:sz="0" w:space="0" w:color="auto"/>
        <w:right w:val="none" w:sz="0" w:space="0" w:color="auto"/>
      </w:divBdr>
    </w:div>
    <w:div w:id="945313493">
      <w:bodyDiv w:val="1"/>
      <w:marLeft w:val="0"/>
      <w:marRight w:val="0"/>
      <w:marTop w:val="0"/>
      <w:marBottom w:val="0"/>
      <w:divBdr>
        <w:top w:val="none" w:sz="0" w:space="0" w:color="auto"/>
        <w:left w:val="none" w:sz="0" w:space="0" w:color="auto"/>
        <w:bottom w:val="none" w:sz="0" w:space="0" w:color="auto"/>
        <w:right w:val="none" w:sz="0" w:space="0" w:color="auto"/>
      </w:divBdr>
    </w:div>
    <w:div w:id="974992478">
      <w:bodyDiv w:val="1"/>
      <w:marLeft w:val="0"/>
      <w:marRight w:val="0"/>
      <w:marTop w:val="0"/>
      <w:marBottom w:val="0"/>
      <w:divBdr>
        <w:top w:val="none" w:sz="0" w:space="0" w:color="auto"/>
        <w:left w:val="none" w:sz="0" w:space="0" w:color="auto"/>
        <w:bottom w:val="none" w:sz="0" w:space="0" w:color="auto"/>
        <w:right w:val="none" w:sz="0" w:space="0" w:color="auto"/>
      </w:divBdr>
    </w:div>
    <w:div w:id="993726166">
      <w:bodyDiv w:val="1"/>
      <w:marLeft w:val="0"/>
      <w:marRight w:val="0"/>
      <w:marTop w:val="0"/>
      <w:marBottom w:val="0"/>
      <w:divBdr>
        <w:top w:val="none" w:sz="0" w:space="0" w:color="auto"/>
        <w:left w:val="none" w:sz="0" w:space="0" w:color="auto"/>
        <w:bottom w:val="none" w:sz="0" w:space="0" w:color="auto"/>
        <w:right w:val="none" w:sz="0" w:space="0" w:color="auto"/>
      </w:divBdr>
    </w:div>
    <w:div w:id="1008215759">
      <w:bodyDiv w:val="1"/>
      <w:marLeft w:val="0"/>
      <w:marRight w:val="0"/>
      <w:marTop w:val="0"/>
      <w:marBottom w:val="0"/>
      <w:divBdr>
        <w:top w:val="none" w:sz="0" w:space="0" w:color="auto"/>
        <w:left w:val="none" w:sz="0" w:space="0" w:color="auto"/>
        <w:bottom w:val="none" w:sz="0" w:space="0" w:color="auto"/>
        <w:right w:val="none" w:sz="0" w:space="0" w:color="auto"/>
      </w:divBdr>
    </w:div>
    <w:div w:id="1180238150">
      <w:bodyDiv w:val="1"/>
      <w:marLeft w:val="0"/>
      <w:marRight w:val="0"/>
      <w:marTop w:val="0"/>
      <w:marBottom w:val="0"/>
      <w:divBdr>
        <w:top w:val="none" w:sz="0" w:space="0" w:color="auto"/>
        <w:left w:val="none" w:sz="0" w:space="0" w:color="auto"/>
        <w:bottom w:val="none" w:sz="0" w:space="0" w:color="auto"/>
        <w:right w:val="none" w:sz="0" w:space="0" w:color="auto"/>
      </w:divBdr>
    </w:div>
    <w:div w:id="1525746716">
      <w:bodyDiv w:val="1"/>
      <w:marLeft w:val="0"/>
      <w:marRight w:val="0"/>
      <w:marTop w:val="0"/>
      <w:marBottom w:val="0"/>
      <w:divBdr>
        <w:top w:val="none" w:sz="0" w:space="0" w:color="auto"/>
        <w:left w:val="none" w:sz="0" w:space="0" w:color="auto"/>
        <w:bottom w:val="none" w:sz="0" w:space="0" w:color="auto"/>
        <w:right w:val="none" w:sz="0" w:space="0" w:color="auto"/>
      </w:divBdr>
    </w:div>
    <w:div w:id="1724055910">
      <w:bodyDiv w:val="1"/>
      <w:marLeft w:val="0"/>
      <w:marRight w:val="0"/>
      <w:marTop w:val="0"/>
      <w:marBottom w:val="0"/>
      <w:divBdr>
        <w:top w:val="none" w:sz="0" w:space="0" w:color="auto"/>
        <w:left w:val="none" w:sz="0" w:space="0" w:color="auto"/>
        <w:bottom w:val="none" w:sz="0" w:space="0" w:color="auto"/>
        <w:right w:val="none" w:sz="0" w:space="0" w:color="auto"/>
      </w:divBdr>
    </w:div>
    <w:div w:id="205542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eb656aa-4e79-4e95-9076-bc119a23e0cc" xsi:nil="true"/>
    <lcf76f155ced4ddcb4097134ff3c332f xmlns="465a54fe-435b-4423-8fe2-c9a3626b31f7">
      <Terms xmlns="http://schemas.microsoft.com/office/infopath/2007/PartnerControls"/>
    </lcf76f155ced4ddcb4097134ff3c332f>
  </documentManagement>
</p:properties>
</file>

<file path=customXml/item2.xml><?xml version="1.0" encoding="utf-8"?>
<properties xmlns="http://www.imanage.com/work/xmlschema">
  <documentid>Active1!162413596.2</documentid>
  <senderid>AWNE</senderid>
  <senderemail>AEDWARDS@DACBEACHCROFT.COM</senderemail>
  <lastmodified>2025-07-21T09:57:00.0000000+01:00</lastmodified>
  <database>Active1</database>
</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00E5E64B980D458C754FFE05DEE26D" ma:contentTypeVersion="14" ma:contentTypeDescription="Create a new document." ma:contentTypeScope="" ma:versionID="728ec610e5ae5b6dd53e05eaba2b713f">
  <xsd:schema xmlns:xsd="http://www.w3.org/2001/XMLSchema" xmlns:xs="http://www.w3.org/2001/XMLSchema" xmlns:p="http://schemas.microsoft.com/office/2006/metadata/properties" xmlns:ns2="465a54fe-435b-4423-8fe2-c9a3626b31f7" xmlns:ns3="68f19371-ebe6-4483-8e72-73d36cd7064e" xmlns:ns4="0eb656aa-4e79-4e95-9076-bc119a23e0cc" targetNamespace="http://schemas.microsoft.com/office/2006/metadata/properties" ma:root="true" ma:fieldsID="6b95492fdec4d137835758420a921f71" ns2:_="" ns3:_="" ns4:_="">
    <xsd:import namespace="465a54fe-435b-4423-8fe2-c9a3626b31f7"/>
    <xsd:import namespace="68f19371-ebe6-4483-8e72-73d36cd7064e"/>
    <xsd:import namespace="0eb656aa-4e79-4e95-9076-bc119a23e0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a54fe-435b-4423-8fe2-c9a3626b3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f19371-ebe6-4483-8e72-73d36cd706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4d61abc-4cd0-41d5-925d-20cb28cbf0f5}" ma:internalName="TaxCatchAll" ma:showField="CatchAllData" ma:web="68f19371-ebe6-4483-8e72-73d36cd706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1DDFC0-758F-4398-9D4E-AC4899B054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A28AC9-D9AB-4B50-8340-B3C52B9CB65D}">
  <ds:schemaRefs>
    <ds:schemaRef ds:uri="http://www.imanage.com/work/xmlschema"/>
  </ds:schemaRefs>
</ds:datastoreItem>
</file>

<file path=customXml/itemProps3.xml><?xml version="1.0" encoding="utf-8"?>
<ds:datastoreItem xmlns:ds="http://schemas.openxmlformats.org/officeDocument/2006/customXml" ds:itemID="{8632FEE0-64B7-40AD-BF7F-52821418B1B6}"/>
</file>

<file path=customXml/itemProps4.xml><?xml version="1.0" encoding="utf-8"?>
<ds:datastoreItem xmlns:ds="http://schemas.openxmlformats.org/officeDocument/2006/customXml" ds:itemID="{A2FDC0F2-4196-4196-9A2C-DEC1B1AD48A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Lyn Davies</cp:lastModifiedBy>
  <cp:revision>9</cp:revision>
  <dcterms:created xsi:type="dcterms:W3CDTF">2025-07-21T09:31:00Z</dcterms:created>
  <dcterms:modified xsi:type="dcterms:W3CDTF">2025-11-10T14:44:28Z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2025-07-21T09:31:54Z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778edcdc-b10b-4114-896f-f0ed025e2696</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y fmtid="{D5CDD505-2E9C-101B-9397-08002B2CF9AE}" pid="10" name="ContentTypeId">
    <vt:lpwstr>0x0101003300E5E64B980D458C754FFE05DEE26D</vt:lpwstr>
  </property>
  <property fmtid="{D5CDD505-2E9C-101B-9397-08002B2CF9AE}" pid="11" name="MediaServiceImageTags">
    <vt:lpwstr/>
  </property>
</Properties>
</file>