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8D337" w14:textId="62B6654A" w:rsidR="00D47BA7" w:rsidRPr="00D8132E" w:rsidRDefault="00A43DA6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Technology </w:t>
      </w:r>
      <w:r w:rsidR="00D47BA7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Advisory </w:t>
      </w:r>
      <w:r w:rsidR="00D47BA7" w:rsidRPr="004D1D23">
        <w:rPr>
          <w:rFonts w:ascii="Arial" w:hAnsi="Arial" w:cs="Arial"/>
          <w:b/>
          <w:bCs/>
          <w:color w:val="00506A"/>
          <w:sz w:val="28"/>
          <w:szCs w:val="28"/>
        </w:rPr>
        <w:t>Committee</w:t>
      </w:r>
      <w:r w:rsidR="004A2D1D" w:rsidRPr="004D1D23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DD71CB">
        <w:rPr>
          <w:rFonts w:ascii="Arial" w:hAnsi="Arial" w:cs="Arial"/>
          <w:b/>
          <w:bCs/>
          <w:color w:val="00506A"/>
          <w:sz w:val="28"/>
          <w:szCs w:val="28"/>
        </w:rPr>
        <w:t>B</w:t>
      </w: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4A2D1D" w:rsidRPr="00D8132E">
        <w:rPr>
          <w:rFonts w:ascii="Arial" w:hAnsi="Arial" w:cs="Arial"/>
          <w:b/>
          <w:bCs/>
          <w:color w:val="00506A"/>
          <w:sz w:val="28"/>
          <w:szCs w:val="28"/>
        </w:rPr>
        <w:t>Interests Register</w:t>
      </w:r>
    </w:p>
    <w:p w14:paraId="5935520B" w14:textId="77777777" w:rsidR="00DD71CB" w:rsidRPr="00DD71CB" w:rsidRDefault="00DD71CB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D71CB">
        <w:rPr>
          <w:rFonts w:ascii="Arial" w:hAnsi="Arial" w:cs="Arial"/>
          <w:b/>
          <w:bCs/>
          <w:color w:val="00506A"/>
          <w:sz w:val="28"/>
          <w:szCs w:val="28"/>
        </w:rPr>
        <w:t>Renal cell carcinoma Pathways Pilot [ID6186]</w:t>
      </w:r>
    </w:p>
    <w:p w14:paraId="74C01AEC" w14:textId="4A1EA85B" w:rsidR="00D47BA7" w:rsidRPr="00A43DA6" w:rsidRDefault="00D47BA7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>Publication Date:</w:t>
      </w:r>
      <w:r w:rsidR="003404D8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DD71CB">
        <w:rPr>
          <w:rFonts w:ascii="Arial" w:hAnsi="Arial" w:cs="Arial"/>
          <w:b/>
          <w:bCs/>
          <w:color w:val="00506A"/>
          <w:sz w:val="28"/>
          <w:szCs w:val="28"/>
        </w:rPr>
        <w:t>Tbc.</w:t>
      </w:r>
    </w:p>
    <w:p w14:paraId="1C7CC411" w14:textId="77777777" w:rsidR="00D47BA7" w:rsidRDefault="00D47BA7"/>
    <w:tbl>
      <w:tblPr>
        <w:tblStyle w:val="TableGrid"/>
        <w:tblW w:w="1403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023"/>
        <w:gridCol w:w="1663"/>
        <w:gridCol w:w="1843"/>
        <w:gridCol w:w="3118"/>
        <w:gridCol w:w="1425"/>
        <w:gridCol w:w="1268"/>
        <w:gridCol w:w="2694"/>
      </w:tblGrid>
      <w:tr w:rsidR="009176A1" w:rsidRPr="009F66BF" w14:paraId="111674D1" w14:textId="77777777" w:rsidTr="009176A1">
        <w:trPr>
          <w:trHeight w:val="775"/>
          <w:tblHeader/>
        </w:trPr>
        <w:tc>
          <w:tcPr>
            <w:tcW w:w="2023" w:type="dxa"/>
          </w:tcPr>
          <w:p w14:paraId="626159D9" w14:textId="77777777" w:rsidR="009176A1" w:rsidRPr="009F66BF" w:rsidRDefault="009176A1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lastRenderedPageBreak/>
              <w:t>Name</w:t>
            </w:r>
          </w:p>
        </w:tc>
        <w:tc>
          <w:tcPr>
            <w:tcW w:w="1663" w:type="dxa"/>
          </w:tcPr>
          <w:p w14:paraId="4BC0C4D4" w14:textId="77777777" w:rsidR="009176A1" w:rsidRPr="009F66BF" w:rsidRDefault="009176A1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1843" w:type="dxa"/>
          </w:tcPr>
          <w:p w14:paraId="3D4BE18B" w14:textId="77777777" w:rsidR="009176A1" w:rsidRPr="009F66BF" w:rsidRDefault="009176A1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3118" w:type="dxa"/>
          </w:tcPr>
          <w:p w14:paraId="231853E2" w14:textId="77777777" w:rsidR="009176A1" w:rsidRPr="009F66BF" w:rsidRDefault="009176A1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1425" w:type="dxa"/>
          </w:tcPr>
          <w:p w14:paraId="07D4B157" w14:textId="77777777" w:rsidR="009176A1" w:rsidRPr="004602D6" w:rsidRDefault="009176A1" w:rsidP="00492FE1">
            <w:pPr>
              <w:pStyle w:val="Title"/>
              <w:spacing w:after="0"/>
              <w:rPr>
                <w:color w:val="00506A"/>
                <w:sz w:val="20"/>
                <w:szCs w:val="20"/>
              </w:rPr>
            </w:pPr>
            <w:r w:rsidRPr="004602D6">
              <w:rPr>
                <w:color w:val="00506A"/>
                <w:sz w:val="20"/>
                <w:szCs w:val="20"/>
              </w:rPr>
              <w:t>Interest</w:t>
            </w:r>
          </w:p>
          <w:p w14:paraId="79047174" w14:textId="05A416BF" w:rsidR="009176A1" w:rsidRPr="009F66BF" w:rsidRDefault="009176A1" w:rsidP="00492FE1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 w:rsidRPr="004602D6">
              <w:rPr>
                <w:color w:val="00506A"/>
                <w:sz w:val="20"/>
                <w:szCs w:val="20"/>
              </w:rPr>
              <w:t>declared</w:t>
            </w:r>
          </w:p>
        </w:tc>
        <w:tc>
          <w:tcPr>
            <w:tcW w:w="1268" w:type="dxa"/>
          </w:tcPr>
          <w:p w14:paraId="7F96F18C" w14:textId="0F6641A9" w:rsidR="009176A1" w:rsidRDefault="009176A1" w:rsidP="00492FE1">
            <w:pPr>
              <w:pStyle w:val="Title"/>
              <w:spacing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Interest</w:t>
            </w:r>
          </w:p>
          <w:p w14:paraId="7756DC64" w14:textId="5CBD8E0E" w:rsidR="009176A1" w:rsidRPr="009F66BF" w:rsidRDefault="009176A1" w:rsidP="00492FE1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ceased</w:t>
            </w:r>
          </w:p>
        </w:tc>
        <w:tc>
          <w:tcPr>
            <w:tcW w:w="2694" w:type="dxa"/>
          </w:tcPr>
          <w:p w14:paraId="5A51D99E" w14:textId="77777777" w:rsidR="009176A1" w:rsidRPr="009F66BF" w:rsidRDefault="009176A1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4852E9" w:rsidRPr="004852E9" w14:paraId="29E714D6" w14:textId="77777777" w:rsidTr="009176A1">
        <w:trPr>
          <w:trHeight w:val="775"/>
          <w:tblHeader/>
        </w:trPr>
        <w:tc>
          <w:tcPr>
            <w:tcW w:w="2023" w:type="dxa"/>
          </w:tcPr>
          <w:p w14:paraId="78DAFE50" w14:textId="63DE2B85" w:rsidR="004852E9" w:rsidRPr="004852E9" w:rsidRDefault="004852E9" w:rsidP="00492FE1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4852E9">
              <w:rPr>
                <w:b w:val="0"/>
                <w:bCs w:val="0"/>
                <w:sz w:val="22"/>
                <w:szCs w:val="22"/>
              </w:rPr>
              <w:lastRenderedPageBreak/>
              <w:t>Dawn Lee</w:t>
            </w:r>
          </w:p>
        </w:tc>
        <w:tc>
          <w:tcPr>
            <w:tcW w:w="1663" w:type="dxa"/>
          </w:tcPr>
          <w:p w14:paraId="045B3F5F" w14:textId="59D99957" w:rsidR="004852E9" w:rsidRPr="004852E9" w:rsidRDefault="004852E9" w:rsidP="00492FE1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4852E9">
              <w:rPr>
                <w:b w:val="0"/>
                <w:bCs w:val="0"/>
                <w:sz w:val="22"/>
                <w:szCs w:val="22"/>
              </w:rPr>
              <w:t>EAG</w:t>
            </w:r>
          </w:p>
        </w:tc>
        <w:tc>
          <w:tcPr>
            <w:tcW w:w="1843" w:type="dxa"/>
          </w:tcPr>
          <w:p w14:paraId="3B9AE02D" w14:textId="3A11A611" w:rsidR="004852E9" w:rsidRPr="004852E9" w:rsidRDefault="004852E9" w:rsidP="00492FE1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4852E9">
              <w:rPr>
                <w:b w:val="0"/>
                <w:bCs w:val="0"/>
                <w:sz w:val="22"/>
                <w:szCs w:val="22"/>
              </w:rPr>
              <w:t>Indirect - Financial</w:t>
            </w:r>
          </w:p>
        </w:tc>
        <w:tc>
          <w:tcPr>
            <w:tcW w:w="3118" w:type="dxa"/>
          </w:tcPr>
          <w:p w14:paraId="5726ACB7" w14:textId="77777777" w:rsidR="004852E9" w:rsidRPr="004852E9" w:rsidRDefault="004852E9" w:rsidP="004852E9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  <w:r w:rsidRPr="004852E9">
              <w:rPr>
                <w:b w:val="0"/>
                <w:bCs w:val="0"/>
                <w:sz w:val="22"/>
                <w:szCs w:val="22"/>
              </w:rPr>
              <w:t xml:space="preserve">Provided private consultancy services to </w:t>
            </w:r>
            <w:proofErr w:type="spellStart"/>
            <w:r w:rsidRPr="004852E9">
              <w:rPr>
                <w:b w:val="0"/>
                <w:bCs w:val="0"/>
                <w:sz w:val="22"/>
                <w:szCs w:val="22"/>
              </w:rPr>
              <w:t>Neuraxpharm</w:t>
            </w:r>
            <w:proofErr w:type="spellEnd"/>
            <w:r w:rsidRPr="004852E9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4852E9">
              <w:rPr>
                <w:b w:val="0"/>
                <w:bCs w:val="0"/>
                <w:sz w:val="22"/>
                <w:szCs w:val="22"/>
              </w:rPr>
              <w:t>Ascenian</w:t>
            </w:r>
            <w:proofErr w:type="spellEnd"/>
            <w:r w:rsidRPr="004852E9">
              <w:rPr>
                <w:b w:val="0"/>
                <w:bCs w:val="0"/>
                <w:sz w:val="22"/>
                <w:szCs w:val="22"/>
              </w:rPr>
              <w:t xml:space="preserve"> Consulting and Market Research, unrelated to possible intervention, comparators, </w:t>
            </w:r>
            <w:proofErr w:type="gramStart"/>
            <w:r w:rsidRPr="004852E9">
              <w:rPr>
                <w:b w:val="0"/>
                <w:bCs w:val="0"/>
                <w:sz w:val="22"/>
                <w:szCs w:val="22"/>
              </w:rPr>
              <w:t>intervention</w:t>
            </w:r>
            <w:proofErr w:type="gramEnd"/>
            <w:r w:rsidRPr="004852E9">
              <w:rPr>
                <w:b w:val="0"/>
                <w:bCs w:val="0"/>
                <w:sz w:val="22"/>
                <w:szCs w:val="22"/>
              </w:rPr>
              <w:t xml:space="preserve"> or comparator companies in this RCC appraisal.</w:t>
            </w:r>
          </w:p>
          <w:p w14:paraId="4C534DE2" w14:textId="77777777" w:rsidR="004852E9" w:rsidRPr="004852E9" w:rsidRDefault="004852E9" w:rsidP="004852E9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</w:p>
          <w:p w14:paraId="01BCDF52" w14:textId="5AA0225E" w:rsidR="004852E9" w:rsidRPr="004852E9" w:rsidRDefault="004852E9" w:rsidP="004852E9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4852E9">
              <w:rPr>
                <w:b w:val="0"/>
                <w:bCs w:val="0"/>
                <w:sz w:val="22"/>
                <w:szCs w:val="22"/>
              </w:rPr>
              <w:t>Lumanity</w:t>
            </w:r>
            <w:proofErr w:type="spellEnd"/>
            <w:r w:rsidRPr="004852E9">
              <w:rPr>
                <w:b w:val="0"/>
                <w:bCs w:val="0"/>
                <w:sz w:val="22"/>
                <w:szCs w:val="22"/>
              </w:rPr>
              <w:t>:</w:t>
            </w:r>
          </w:p>
          <w:p w14:paraId="45D00369" w14:textId="77777777" w:rsidR="004852E9" w:rsidRPr="004852E9" w:rsidRDefault="004852E9" w:rsidP="004852E9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  <w:r w:rsidRPr="004852E9">
              <w:rPr>
                <w:b w:val="0"/>
                <w:bCs w:val="0"/>
                <w:sz w:val="22"/>
                <w:szCs w:val="22"/>
              </w:rPr>
              <w:t xml:space="preserve">Was previously employed as the Chief Scientific Officer at </w:t>
            </w:r>
            <w:proofErr w:type="spellStart"/>
            <w:r w:rsidRPr="004852E9">
              <w:rPr>
                <w:b w:val="0"/>
                <w:bCs w:val="0"/>
                <w:sz w:val="22"/>
                <w:szCs w:val="22"/>
              </w:rPr>
              <w:t>Lumanity</w:t>
            </w:r>
            <w:proofErr w:type="spellEnd"/>
            <w:r w:rsidRPr="004852E9">
              <w:rPr>
                <w:b w:val="0"/>
                <w:bCs w:val="0"/>
                <w:sz w:val="22"/>
                <w:szCs w:val="22"/>
              </w:rPr>
              <w:t xml:space="preserve"> until September 2022. Work from December 2021 included projects and companies unrelated to possible intervention, comparators, </w:t>
            </w:r>
            <w:proofErr w:type="gramStart"/>
            <w:r w:rsidRPr="004852E9">
              <w:rPr>
                <w:b w:val="0"/>
                <w:bCs w:val="0"/>
                <w:sz w:val="22"/>
                <w:szCs w:val="22"/>
              </w:rPr>
              <w:t>intervention</w:t>
            </w:r>
            <w:proofErr w:type="gramEnd"/>
            <w:r w:rsidRPr="004852E9">
              <w:rPr>
                <w:b w:val="0"/>
                <w:bCs w:val="0"/>
                <w:sz w:val="22"/>
                <w:szCs w:val="22"/>
              </w:rPr>
              <w:t xml:space="preserve"> or comparator companies in this RCC appraisal. </w:t>
            </w:r>
          </w:p>
          <w:p w14:paraId="1B93AD51" w14:textId="77777777" w:rsidR="004852E9" w:rsidRPr="004852E9" w:rsidRDefault="004852E9" w:rsidP="004852E9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</w:p>
          <w:p w14:paraId="581FBCF2" w14:textId="77CA00F5" w:rsidR="004852E9" w:rsidRPr="004852E9" w:rsidRDefault="004852E9" w:rsidP="004852E9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  <w:r w:rsidRPr="004852E9">
              <w:rPr>
                <w:b w:val="0"/>
                <w:bCs w:val="0"/>
                <w:sz w:val="22"/>
                <w:szCs w:val="22"/>
              </w:rPr>
              <w:t xml:space="preserve">A very small shareholder in Value Demonstration Group (who are the holding company for </w:t>
            </w:r>
            <w:proofErr w:type="spellStart"/>
            <w:r w:rsidRPr="004852E9">
              <w:rPr>
                <w:b w:val="0"/>
                <w:bCs w:val="0"/>
                <w:sz w:val="22"/>
                <w:szCs w:val="22"/>
              </w:rPr>
              <w:t>Lumanity</w:t>
            </w:r>
            <w:proofErr w:type="spellEnd"/>
            <w:r w:rsidRPr="004852E9">
              <w:rPr>
                <w:b w:val="0"/>
                <w:bCs w:val="0"/>
                <w:sz w:val="22"/>
                <w:szCs w:val="22"/>
              </w:rPr>
              <w:t>),</w:t>
            </w:r>
          </w:p>
          <w:p w14:paraId="5EF556A8" w14:textId="77777777" w:rsidR="004852E9" w:rsidRPr="004852E9" w:rsidRDefault="004852E9" w:rsidP="004852E9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</w:p>
          <w:p w14:paraId="54A06CAD" w14:textId="1EFCAFEA" w:rsidR="004852E9" w:rsidRPr="004852E9" w:rsidRDefault="004852E9" w:rsidP="004852E9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4852E9">
              <w:rPr>
                <w:b w:val="0"/>
                <w:bCs w:val="0"/>
                <w:sz w:val="22"/>
                <w:szCs w:val="22"/>
              </w:rPr>
              <w:t>Fiecon</w:t>
            </w:r>
            <w:proofErr w:type="spellEnd"/>
            <w:r w:rsidRPr="004852E9">
              <w:rPr>
                <w:b w:val="0"/>
                <w:bCs w:val="0"/>
                <w:sz w:val="22"/>
                <w:szCs w:val="22"/>
              </w:rPr>
              <w:t xml:space="preserve"> Ltd:</w:t>
            </w:r>
          </w:p>
          <w:p w14:paraId="2975FDBE" w14:textId="77777777" w:rsidR="004852E9" w:rsidRPr="004852E9" w:rsidRDefault="004852E9" w:rsidP="004852E9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  <w:r w:rsidRPr="004852E9">
              <w:rPr>
                <w:b w:val="0"/>
                <w:bCs w:val="0"/>
                <w:sz w:val="22"/>
                <w:szCs w:val="22"/>
              </w:rPr>
              <w:t xml:space="preserve">A family member owns </w:t>
            </w:r>
            <w:proofErr w:type="spellStart"/>
            <w:r w:rsidRPr="004852E9">
              <w:rPr>
                <w:b w:val="0"/>
                <w:bCs w:val="0"/>
                <w:sz w:val="22"/>
                <w:szCs w:val="22"/>
              </w:rPr>
              <w:t>Fiecon</w:t>
            </w:r>
            <w:proofErr w:type="spellEnd"/>
            <w:r w:rsidRPr="004852E9">
              <w:rPr>
                <w:b w:val="0"/>
                <w:bCs w:val="0"/>
                <w:sz w:val="22"/>
                <w:szCs w:val="22"/>
              </w:rPr>
              <w:t xml:space="preserve">. However, not a shareholder of </w:t>
            </w:r>
            <w:proofErr w:type="spellStart"/>
            <w:r w:rsidRPr="004852E9">
              <w:rPr>
                <w:b w:val="0"/>
                <w:bCs w:val="0"/>
                <w:sz w:val="22"/>
                <w:szCs w:val="22"/>
              </w:rPr>
              <w:t>Fiecon</w:t>
            </w:r>
            <w:proofErr w:type="spellEnd"/>
            <w:r w:rsidRPr="004852E9">
              <w:rPr>
                <w:b w:val="0"/>
                <w:bCs w:val="0"/>
                <w:sz w:val="22"/>
                <w:szCs w:val="22"/>
              </w:rPr>
              <w:t>.</w:t>
            </w:r>
          </w:p>
          <w:p w14:paraId="2DCD8EFE" w14:textId="77777777" w:rsidR="004852E9" w:rsidRPr="004852E9" w:rsidRDefault="004852E9" w:rsidP="004852E9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</w:p>
          <w:p w14:paraId="2E943425" w14:textId="32241886" w:rsidR="004852E9" w:rsidRPr="004852E9" w:rsidRDefault="004852E9" w:rsidP="004852E9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  <w:r w:rsidRPr="004852E9">
              <w:rPr>
                <w:b w:val="0"/>
                <w:bCs w:val="0"/>
                <w:sz w:val="22"/>
                <w:szCs w:val="22"/>
              </w:rPr>
              <w:t xml:space="preserve">A member of </w:t>
            </w:r>
            <w:proofErr w:type="spellStart"/>
            <w:r w:rsidRPr="004852E9">
              <w:rPr>
                <w:b w:val="0"/>
                <w:bCs w:val="0"/>
                <w:sz w:val="22"/>
                <w:szCs w:val="22"/>
              </w:rPr>
              <w:t>Fiecon's</w:t>
            </w:r>
            <w:proofErr w:type="spellEnd"/>
            <w:r w:rsidRPr="004852E9">
              <w:rPr>
                <w:b w:val="0"/>
                <w:bCs w:val="0"/>
                <w:sz w:val="22"/>
                <w:szCs w:val="22"/>
              </w:rPr>
              <w:t xml:space="preserve"> strategic council from Nov 2023 (receiving financial income). Not specifically related to RCC.</w:t>
            </w:r>
          </w:p>
          <w:p w14:paraId="1CA951F8" w14:textId="77777777" w:rsidR="004852E9" w:rsidRPr="004852E9" w:rsidRDefault="004852E9" w:rsidP="004852E9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</w:p>
          <w:p w14:paraId="06A14C48" w14:textId="40C33A88" w:rsidR="004852E9" w:rsidRPr="004852E9" w:rsidRDefault="004852E9" w:rsidP="004852E9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  <w:r w:rsidRPr="004852E9">
              <w:rPr>
                <w:b w:val="0"/>
                <w:bCs w:val="0"/>
                <w:sz w:val="22"/>
                <w:szCs w:val="22"/>
              </w:rPr>
              <w:t>Provides mentoring support (receiving financial income).  Not specifically related to RCC.</w:t>
            </w:r>
          </w:p>
          <w:p w14:paraId="1AA53564" w14:textId="77777777" w:rsidR="004852E9" w:rsidRPr="004852E9" w:rsidRDefault="004852E9" w:rsidP="004852E9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</w:p>
          <w:p w14:paraId="74F81BA7" w14:textId="70C6EDFF" w:rsidR="004852E9" w:rsidRPr="004852E9" w:rsidRDefault="004852E9" w:rsidP="004852E9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  <w:r w:rsidRPr="004852E9">
              <w:rPr>
                <w:b w:val="0"/>
                <w:bCs w:val="0"/>
                <w:sz w:val="22"/>
                <w:szCs w:val="22"/>
              </w:rPr>
              <w:t xml:space="preserve">Provide consultancy services to </w:t>
            </w:r>
            <w:proofErr w:type="spellStart"/>
            <w:r w:rsidRPr="004852E9">
              <w:rPr>
                <w:b w:val="0"/>
                <w:bCs w:val="0"/>
                <w:sz w:val="22"/>
                <w:szCs w:val="22"/>
              </w:rPr>
              <w:t>Fiecon</w:t>
            </w:r>
            <w:proofErr w:type="spellEnd"/>
            <w:r w:rsidRPr="004852E9">
              <w:rPr>
                <w:b w:val="0"/>
                <w:bCs w:val="0"/>
                <w:sz w:val="22"/>
                <w:szCs w:val="22"/>
              </w:rPr>
              <w:t xml:space="preserve"> on several projects, including one topic for Eisai, unrelated to possible intervention, comparators, </w:t>
            </w:r>
            <w:proofErr w:type="gramStart"/>
            <w:r w:rsidRPr="004852E9">
              <w:rPr>
                <w:b w:val="0"/>
                <w:bCs w:val="0"/>
                <w:sz w:val="22"/>
                <w:szCs w:val="22"/>
              </w:rPr>
              <w:t>intervention</w:t>
            </w:r>
            <w:proofErr w:type="gramEnd"/>
            <w:r w:rsidRPr="004852E9">
              <w:rPr>
                <w:b w:val="0"/>
                <w:bCs w:val="0"/>
                <w:sz w:val="22"/>
                <w:szCs w:val="22"/>
              </w:rPr>
              <w:t xml:space="preserve"> or comparator companies in this RCC appraisal.</w:t>
            </w:r>
          </w:p>
          <w:p w14:paraId="3F96EED2" w14:textId="77777777" w:rsidR="004852E9" w:rsidRPr="004852E9" w:rsidRDefault="004852E9" w:rsidP="00492FE1">
            <w:pPr>
              <w:pStyle w:val="Title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425" w:type="dxa"/>
          </w:tcPr>
          <w:p w14:paraId="1C54CB47" w14:textId="27A6F5F1" w:rsidR="004852E9" w:rsidRPr="004852E9" w:rsidRDefault="004852E9" w:rsidP="00492FE1">
            <w:pPr>
              <w:pStyle w:val="Title"/>
              <w:spacing w:after="0"/>
              <w:rPr>
                <w:b w:val="0"/>
                <w:bCs w:val="0"/>
                <w:sz w:val="20"/>
                <w:szCs w:val="20"/>
              </w:rPr>
            </w:pPr>
            <w:r w:rsidRPr="004852E9">
              <w:rPr>
                <w:b w:val="0"/>
                <w:bCs w:val="0"/>
                <w:sz w:val="20"/>
                <w:szCs w:val="20"/>
              </w:rPr>
              <w:lastRenderedPageBreak/>
              <w:t>01/02/2024</w:t>
            </w:r>
          </w:p>
        </w:tc>
        <w:tc>
          <w:tcPr>
            <w:tcW w:w="1268" w:type="dxa"/>
          </w:tcPr>
          <w:p w14:paraId="7C07263A" w14:textId="693A9858" w:rsidR="004852E9" w:rsidRPr="004852E9" w:rsidRDefault="004852E9" w:rsidP="00492FE1">
            <w:pPr>
              <w:pStyle w:val="Title"/>
              <w:spacing w:after="0"/>
              <w:rPr>
                <w:b w:val="0"/>
                <w:bCs w:val="0"/>
                <w:sz w:val="22"/>
                <w:szCs w:val="22"/>
              </w:rPr>
            </w:pPr>
            <w:r w:rsidRPr="004852E9">
              <w:rPr>
                <w:b w:val="0"/>
                <w:bCs w:val="0"/>
                <w:sz w:val="22"/>
                <w:szCs w:val="22"/>
              </w:rPr>
              <w:t>N/A</w:t>
            </w:r>
          </w:p>
        </w:tc>
        <w:tc>
          <w:tcPr>
            <w:tcW w:w="2694" w:type="dxa"/>
          </w:tcPr>
          <w:p w14:paraId="39526B31" w14:textId="4704859E" w:rsidR="004852E9" w:rsidRPr="004852E9" w:rsidRDefault="004852E9" w:rsidP="00492FE1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4852E9">
              <w:rPr>
                <w:b w:val="0"/>
                <w:bCs w:val="0"/>
                <w:sz w:val="22"/>
                <w:szCs w:val="22"/>
              </w:rPr>
              <w:t xml:space="preserve">It was agreed that </w:t>
            </w:r>
            <w:r w:rsidRPr="004852E9">
              <w:rPr>
                <w:b w:val="0"/>
                <w:bCs w:val="0"/>
                <w:sz w:val="22"/>
                <w:szCs w:val="22"/>
              </w:rPr>
              <w:t>Dawn</w:t>
            </w:r>
            <w:r w:rsidRPr="004852E9">
              <w:rPr>
                <w:b w:val="0"/>
                <w:bCs w:val="0"/>
                <w:sz w:val="22"/>
                <w:szCs w:val="22"/>
              </w:rPr>
              <w:t>’s conflicts would not prevent h</w:t>
            </w:r>
            <w:r w:rsidRPr="004852E9">
              <w:rPr>
                <w:b w:val="0"/>
                <w:bCs w:val="0"/>
                <w:sz w:val="22"/>
                <w:szCs w:val="22"/>
              </w:rPr>
              <w:t>er</w:t>
            </w:r>
            <w:r w:rsidRPr="004852E9">
              <w:rPr>
                <w:b w:val="0"/>
                <w:bCs w:val="0"/>
                <w:sz w:val="22"/>
                <w:szCs w:val="22"/>
              </w:rPr>
              <w:t xml:space="preserve"> from being part of the </w:t>
            </w:r>
            <w:r w:rsidRPr="004852E9">
              <w:rPr>
                <w:b w:val="0"/>
                <w:bCs w:val="0"/>
                <w:sz w:val="22"/>
                <w:szCs w:val="22"/>
              </w:rPr>
              <w:t>EAG</w:t>
            </w:r>
            <w:r w:rsidRPr="004852E9">
              <w:rPr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4852E9" w:rsidRPr="009F66BF" w14:paraId="0BEE9751" w14:textId="77777777" w:rsidTr="009176A1">
        <w:trPr>
          <w:trHeight w:val="775"/>
          <w:tblHeader/>
        </w:trPr>
        <w:tc>
          <w:tcPr>
            <w:tcW w:w="2023" w:type="dxa"/>
          </w:tcPr>
          <w:p w14:paraId="7C113F11" w14:textId="0334CF38" w:rsidR="004852E9" w:rsidRPr="00273437" w:rsidRDefault="004852E9" w:rsidP="00273437">
            <w:pPr>
              <w:pStyle w:val="Paragraph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lastRenderedPageBreak/>
              <w:t>Darren Burns</w:t>
            </w:r>
          </w:p>
        </w:tc>
        <w:tc>
          <w:tcPr>
            <w:tcW w:w="1663" w:type="dxa"/>
          </w:tcPr>
          <w:p w14:paraId="3CAD5D0F" w14:textId="66E70FB1" w:rsidR="004852E9" w:rsidRPr="00273437" w:rsidRDefault="004852E9" w:rsidP="00492FE1">
            <w:pPr>
              <w:pStyle w:val="Title"/>
              <w:rPr>
                <w:rFonts w:cs="Arial"/>
                <w:b w:val="0"/>
                <w:bCs w:val="0"/>
                <w:iCs/>
                <w:kern w:val="0"/>
                <w:sz w:val="22"/>
                <w:szCs w:val="24"/>
              </w:rPr>
            </w:pPr>
            <w:r>
              <w:rPr>
                <w:rFonts w:cs="Arial"/>
                <w:b w:val="0"/>
                <w:bCs w:val="0"/>
                <w:iCs/>
                <w:kern w:val="0"/>
                <w:sz w:val="22"/>
                <w:szCs w:val="24"/>
              </w:rPr>
              <w:t>EAG</w:t>
            </w:r>
          </w:p>
        </w:tc>
        <w:tc>
          <w:tcPr>
            <w:tcW w:w="1843" w:type="dxa"/>
          </w:tcPr>
          <w:p w14:paraId="61D7DDA4" w14:textId="4443B743" w:rsidR="004852E9" w:rsidRPr="00273437" w:rsidRDefault="004852E9" w:rsidP="00273437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Indirect - Financial</w:t>
            </w:r>
          </w:p>
        </w:tc>
        <w:tc>
          <w:tcPr>
            <w:tcW w:w="3118" w:type="dxa"/>
          </w:tcPr>
          <w:p w14:paraId="40E8C1B5" w14:textId="77777777" w:rsidR="004852E9" w:rsidRPr="009F2D05" w:rsidRDefault="004852E9" w:rsidP="004852E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F2D05">
              <w:rPr>
                <w:rFonts w:ascii="Arial" w:hAnsi="Arial" w:cs="Arial"/>
                <w:sz w:val="22"/>
                <w:szCs w:val="22"/>
                <w:lang w:eastAsia="en-US"/>
              </w:rPr>
              <w:t xml:space="preserve">Employed as an Analyst at Delta Hat Limited from September 2022. Principle Health Economist at </w:t>
            </w:r>
            <w:proofErr w:type="spellStart"/>
            <w:r w:rsidRPr="009F2D05">
              <w:rPr>
                <w:rFonts w:ascii="Arial" w:hAnsi="Arial" w:cs="Arial"/>
                <w:sz w:val="22"/>
                <w:szCs w:val="22"/>
                <w:lang w:eastAsia="en-US"/>
              </w:rPr>
              <w:t>Lumanity</w:t>
            </w:r>
            <w:proofErr w:type="spellEnd"/>
            <w:r w:rsidRPr="009F2D0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9F2D05">
              <w:rPr>
                <w:rFonts w:ascii="Arial" w:hAnsi="Arial" w:cs="Arial"/>
                <w:sz w:val="22"/>
                <w:szCs w:val="22"/>
                <w:lang w:eastAsia="en-US"/>
              </w:rPr>
              <w:t>Bresmed</w:t>
            </w:r>
            <w:proofErr w:type="spellEnd"/>
            <w:r w:rsidRPr="009F2D0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until September 2022. </w:t>
            </w:r>
          </w:p>
          <w:p w14:paraId="4E29F582" w14:textId="77777777" w:rsidR="004852E9" w:rsidRDefault="004852E9" w:rsidP="004852E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C5C0C8E" w14:textId="155A8EEE" w:rsidR="004852E9" w:rsidRPr="009F2D05" w:rsidRDefault="004852E9" w:rsidP="004852E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F2D05">
              <w:rPr>
                <w:rFonts w:ascii="Arial" w:hAnsi="Arial" w:cs="Arial"/>
                <w:sz w:val="22"/>
                <w:szCs w:val="22"/>
                <w:lang w:eastAsia="en-US"/>
              </w:rPr>
              <w:t xml:space="preserve">From December 2021, worked on projects and for companies unrelated to possible intervention, comparators, </w:t>
            </w:r>
            <w:proofErr w:type="gramStart"/>
            <w:r w:rsidRPr="009F2D05">
              <w:rPr>
                <w:rFonts w:ascii="Arial" w:hAnsi="Arial" w:cs="Arial"/>
                <w:sz w:val="22"/>
                <w:szCs w:val="22"/>
                <w:lang w:eastAsia="en-US"/>
              </w:rPr>
              <w:t>intervention</w:t>
            </w:r>
            <w:proofErr w:type="gramEnd"/>
            <w:r w:rsidRPr="009F2D0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or comparator companies in this RCC appraisal. Consultancy services (financial) for Pfizer on a technology unrelated to RCC, and </w:t>
            </w:r>
            <w:proofErr w:type="spellStart"/>
            <w:r w:rsidRPr="009F2D05">
              <w:rPr>
                <w:rFonts w:ascii="Arial" w:hAnsi="Arial" w:cs="Arial"/>
                <w:sz w:val="22"/>
                <w:szCs w:val="22"/>
                <w:lang w:eastAsia="en-US"/>
              </w:rPr>
              <w:t>Servier</w:t>
            </w:r>
            <w:proofErr w:type="spellEnd"/>
            <w:r w:rsidRPr="009F2D0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on Multilocular cystic renal cell carcinoma (MCRCC) which is not considered a possible comparator in this appraisal.</w:t>
            </w:r>
          </w:p>
          <w:p w14:paraId="28E6D01C" w14:textId="77777777" w:rsidR="004852E9" w:rsidRDefault="004852E9" w:rsidP="004852E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DB82658" w14:textId="77777777" w:rsidR="004852E9" w:rsidRDefault="004852E9" w:rsidP="004852E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F2D05">
              <w:rPr>
                <w:rFonts w:ascii="Arial" w:hAnsi="Arial" w:cs="Arial"/>
                <w:sz w:val="22"/>
                <w:szCs w:val="22"/>
                <w:lang w:eastAsia="en-US"/>
              </w:rPr>
              <w:t>Scottish Medicines Consortium on multiple projects.</w:t>
            </w:r>
          </w:p>
          <w:p w14:paraId="315ECA93" w14:textId="39CA8E3A" w:rsidR="004852E9" w:rsidRPr="004852E9" w:rsidRDefault="004852E9" w:rsidP="004852E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</w:tcPr>
          <w:p w14:paraId="1C8E35C2" w14:textId="1EBDB5A9" w:rsidR="004852E9" w:rsidRPr="00273437" w:rsidRDefault="004852E9" w:rsidP="00492FE1">
            <w:pPr>
              <w:pStyle w:val="Title"/>
              <w:spacing w:after="0"/>
              <w:rPr>
                <w:rFonts w:cs="Arial"/>
                <w:b w:val="0"/>
                <w:iCs/>
                <w:kern w:val="0"/>
                <w:sz w:val="22"/>
                <w:szCs w:val="24"/>
              </w:rPr>
            </w:pPr>
            <w:r>
              <w:rPr>
                <w:rFonts w:cs="Arial"/>
                <w:b w:val="0"/>
                <w:iCs/>
                <w:kern w:val="0"/>
                <w:sz w:val="22"/>
                <w:szCs w:val="24"/>
              </w:rPr>
              <w:t>01/02/2024</w:t>
            </w:r>
          </w:p>
        </w:tc>
        <w:tc>
          <w:tcPr>
            <w:tcW w:w="1268" w:type="dxa"/>
          </w:tcPr>
          <w:p w14:paraId="16B10A7A" w14:textId="589A2E3F" w:rsidR="004852E9" w:rsidRDefault="004852E9" w:rsidP="00492FE1">
            <w:pPr>
              <w:pStyle w:val="Title"/>
              <w:spacing w:after="0"/>
              <w:rPr>
                <w:rFonts w:cs="Arial"/>
                <w:b w:val="0"/>
                <w:bCs w:val="0"/>
                <w:iCs/>
                <w:kern w:val="0"/>
                <w:sz w:val="22"/>
                <w:szCs w:val="24"/>
              </w:rPr>
            </w:pPr>
            <w:r>
              <w:rPr>
                <w:rFonts w:cs="Arial"/>
                <w:b w:val="0"/>
                <w:bCs w:val="0"/>
                <w:iCs/>
                <w:kern w:val="0"/>
                <w:sz w:val="22"/>
                <w:szCs w:val="24"/>
              </w:rPr>
              <w:t>N/A</w:t>
            </w:r>
          </w:p>
        </w:tc>
        <w:tc>
          <w:tcPr>
            <w:tcW w:w="2694" w:type="dxa"/>
          </w:tcPr>
          <w:p w14:paraId="20EBAA3D" w14:textId="2B2D8AFE" w:rsidR="004852E9" w:rsidRPr="00273437" w:rsidRDefault="004852E9" w:rsidP="00273437">
            <w:pPr>
              <w:pStyle w:val="Paragraph"/>
              <w:rPr>
                <w:rFonts w:ascii="Arial" w:hAnsi="Arial" w:cs="Arial"/>
                <w:iCs/>
              </w:rPr>
            </w:pPr>
            <w:r w:rsidRPr="004852E9">
              <w:rPr>
                <w:rFonts w:ascii="Arial" w:hAnsi="Arial" w:cs="Arial"/>
                <w:iCs/>
              </w:rPr>
              <w:t>It was agreed that D</w:t>
            </w:r>
            <w:r>
              <w:rPr>
                <w:rFonts w:ascii="Arial" w:hAnsi="Arial" w:cs="Arial"/>
                <w:iCs/>
              </w:rPr>
              <w:t>arren</w:t>
            </w:r>
            <w:r w:rsidRPr="004852E9">
              <w:rPr>
                <w:rFonts w:ascii="Arial" w:hAnsi="Arial" w:cs="Arial"/>
                <w:iCs/>
              </w:rPr>
              <w:t>’s conflicts would not prevent h</w:t>
            </w:r>
            <w:r>
              <w:rPr>
                <w:rFonts w:ascii="Arial" w:hAnsi="Arial" w:cs="Arial"/>
                <w:iCs/>
              </w:rPr>
              <w:t>im</w:t>
            </w:r>
            <w:r w:rsidRPr="004852E9">
              <w:rPr>
                <w:rFonts w:ascii="Arial" w:hAnsi="Arial" w:cs="Arial"/>
                <w:iCs/>
              </w:rPr>
              <w:t xml:space="preserve"> from being part of the EAG.</w:t>
            </w:r>
          </w:p>
        </w:tc>
      </w:tr>
      <w:tr w:rsidR="00273437" w:rsidRPr="009F66BF" w14:paraId="13A106D2" w14:textId="77777777" w:rsidTr="009176A1">
        <w:trPr>
          <w:trHeight w:val="775"/>
          <w:tblHeader/>
        </w:trPr>
        <w:tc>
          <w:tcPr>
            <w:tcW w:w="2023" w:type="dxa"/>
          </w:tcPr>
          <w:p w14:paraId="4B399132" w14:textId="3FD539B2" w:rsidR="00273437" w:rsidRPr="009F66BF" w:rsidRDefault="00273437" w:rsidP="00273437">
            <w:pPr>
              <w:pStyle w:val="Paragraph"/>
              <w:jc w:val="center"/>
              <w:rPr>
                <w:color w:val="00506A"/>
                <w:szCs w:val="22"/>
              </w:rPr>
            </w:pPr>
            <w:r w:rsidRPr="00273437">
              <w:rPr>
                <w:rFonts w:ascii="Arial" w:hAnsi="Arial" w:cs="Arial"/>
                <w:sz w:val="24"/>
                <w:szCs w:val="28"/>
              </w:rPr>
              <w:t xml:space="preserve">David McAllister </w:t>
            </w:r>
          </w:p>
        </w:tc>
        <w:tc>
          <w:tcPr>
            <w:tcW w:w="1663" w:type="dxa"/>
          </w:tcPr>
          <w:p w14:paraId="7A8411AA" w14:textId="7F0A1956" w:rsidR="00273437" w:rsidRPr="00273437" w:rsidRDefault="00273437" w:rsidP="00492FE1">
            <w:pPr>
              <w:pStyle w:val="Title"/>
              <w:rPr>
                <w:b w:val="0"/>
                <w:bCs w:val="0"/>
                <w:color w:val="00506A"/>
                <w:sz w:val="22"/>
                <w:szCs w:val="22"/>
              </w:rPr>
            </w:pPr>
            <w:r w:rsidRPr="00273437">
              <w:rPr>
                <w:rFonts w:cs="Arial"/>
                <w:b w:val="0"/>
                <w:bCs w:val="0"/>
                <w:iCs/>
                <w:kern w:val="0"/>
                <w:sz w:val="22"/>
                <w:szCs w:val="24"/>
              </w:rPr>
              <w:t>TAC B committee member</w:t>
            </w:r>
          </w:p>
        </w:tc>
        <w:tc>
          <w:tcPr>
            <w:tcW w:w="1843" w:type="dxa"/>
          </w:tcPr>
          <w:p w14:paraId="37A6932E" w14:textId="4AFCEA85" w:rsidR="00273437" w:rsidRPr="009F66BF" w:rsidRDefault="00273437" w:rsidP="00273437">
            <w:pPr>
              <w:pStyle w:val="Paragraph"/>
              <w:jc w:val="center"/>
              <w:rPr>
                <w:color w:val="00506A"/>
                <w:szCs w:val="22"/>
              </w:rPr>
            </w:pPr>
            <w:r w:rsidRPr="00273437">
              <w:rPr>
                <w:rFonts w:ascii="Arial" w:hAnsi="Arial" w:cs="Arial"/>
                <w:iCs/>
              </w:rPr>
              <w:t>Non-Financial Professional &amp; Personal Interests</w:t>
            </w:r>
          </w:p>
        </w:tc>
        <w:tc>
          <w:tcPr>
            <w:tcW w:w="3118" w:type="dxa"/>
          </w:tcPr>
          <w:p w14:paraId="0C691F42" w14:textId="38E327BB" w:rsidR="00273437" w:rsidRPr="009F66BF" w:rsidRDefault="00273437" w:rsidP="00273437">
            <w:pPr>
              <w:pStyle w:val="Paragraph"/>
              <w:jc w:val="center"/>
              <w:rPr>
                <w:color w:val="00506A"/>
                <w:szCs w:val="22"/>
              </w:rPr>
            </w:pPr>
            <w:r w:rsidRPr="00273437">
              <w:rPr>
                <w:rFonts w:ascii="Arial" w:hAnsi="Arial" w:cs="Arial"/>
                <w:bCs/>
                <w:iCs/>
              </w:rPr>
              <w:t>Research involves secondary analysis of trial data provided by competitors via a trial data sharing platform.</w:t>
            </w:r>
          </w:p>
        </w:tc>
        <w:tc>
          <w:tcPr>
            <w:tcW w:w="1425" w:type="dxa"/>
          </w:tcPr>
          <w:p w14:paraId="37E0EEC2" w14:textId="3559B03A" w:rsidR="00273437" w:rsidRPr="004602D6" w:rsidRDefault="00273437" w:rsidP="00492FE1">
            <w:pPr>
              <w:pStyle w:val="Title"/>
              <w:spacing w:after="0"/>
              <w:rPr>
                <w:color w:val="00506A"/>
                <w:sz w:val="20"/>
                <w:szCs w:val="20"/>
              </w:rPr>
            </w:pPr>
            <w:r w:rsidRPr="00273437">
              <w:rPr>
                <w:rFonts w:cs="Arial"/>
                <w:b w:val="0"/>
                <w:iCs/>
                <w:kern w:val="0"/>
                <w:sz w:val="22"/>
                <w:szCs w:val="24"/>
              </w:rPr>
              <w:t>18/01/2024</w:t>
            </w:r>
          </w:p>
        </w:tc>
        <w:tc>
          <w:tcPr>
            <w:tcW w:w="1268" w:type="dxa"/>
          </w:tcPr>
          <w:p w14:paraId="4B3462C4" w14:textId="32513140" w:rsidR="00273437" w:rsidRDefault="00273437" w:rsidP="00492FE1">
            <w:pPr>
              <w:pStyle w:val="Title"/>
              <w:spacing w:after="0"/>
              <w:rPr>
                <w:color w:val="00506A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kern w:val="0"/>
                <w:sz w:val="22"/>
                <w:szCs w:val="24"/>
              </w:rPr>
              <w:t>N/A</w:t>
            </w:r>
          </w:p>
        </w:tc>
        <w:tc>
          <w:tcPr>
            <w:tcW w:w="2694" w:type="dxa"/>
          </w:tcPr>
          <w:p w14:paraId="33BDCE53" w14:textId="4424E312" w:rsidR="00273437" w:rsidRPr="009F66BF" w:rsidRDefault="00273437" w:rsidP="00273437">
            <w:pPr>
              <w:pStyle w:val="Paragraph"/>
              <w:rPr>
                <w:color w:val="00506A"/>
                <w:szCs w:val="22"/>
              </w:rPr>
            </w:pPr>
            <w:r w:rsidRPr="00273437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>David</w:t>
            </w:r>
            <w:r w:rsidRPr="00273437">
              <w:rPr>
                <w:rFonts w:ascii="Arial" w:hAnsi="Arial" w:cs="Arial"/>
                <w:iCs/>
              </w:rPr>
              <w:t>’s conflicts would not prevent h</w:t>
            </w:r>
            <w:r>
              <w:rPr>
                <w:rFonts w:ascii="Arial" w:hAnsi="Arial" w:cs="Arial"/>
                <w:iCs/>
              </w:rPr>
              <w:t>im</w:t>
            </w:r>
            <w:r w:rsidRPr="00273437">
              <w:rPr>
                <w:rFonts w:ascii="Arial" w:hAnsi="Arial" w:cs="Arial"/>
                <w:iCs/>
              </w:rPr>
              <w:t xml:space="preserve"> from being part of the committee.</w:t>
            </w:r>
          </w:p>
        </w:tc>
      </w:tr>
      <w:tr w:rsidR="00B83242" w:rsidRPr="009320CA" w14:paraId="2EF10DEA" w14:textId="77777777" w:rsidTr="009176A1">
        <w:tc>
          <w:tcPr>
            <w:tcW w:w="2023" w:type="dxa"/>
          </w:tcPr>
          <w:p w14:paraId="6E800FB1" w14:textId="5AE72D8B" w:rsidR="00B83242" w:rsidRPr="00A732AE" w:rsidRDefault="00B83242" w:rsidP="00A732AE">
            <w:pPr>
              <w:pStyle w:val="Paragraph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B83242">
              <w:rPr>
                <w:rFonts w:ascii="Arial" w:hAnsi="Arial" w:cs="Arial"/>
                <w:sz w:val="24"/>
                <w:szCs w:val="28"/>
              </w:rPr>
              <w:t>Dr Balaji</w:t>
            </w:r>
            <w:r w:rsidR="00A732AE">
              <w:rPr>
                <w:rFonts w:ascii="Arial" w:hAnsi="Arial" w:cs="Arial"/>
                <w:sz w:val="24"/>
                <w:szCs w:val="28"/>
              </w:rPr>
              <w:t xml:space="preserve"> </w:t>
            </w:r>
            <w:r w:rsidRPr="00B83242">
              <w:rPr>
                <w:rFonts w:ascii="Arial" w:hAnsi="Arial" w:cs="Arial"/>
                <w:sz w:val="24"/>
                <w:szCs w:val="28"/>
              </w:rPr>
              <w:t>Venugopal</w:t>
            </w:r>
          </w:p>
        </w:tc>
        <w:tc>
          <w:tcPr>
            <w:tcW w:w="1663" w:type="dxa"/>
          </w:tcPr>
          <w:p w14:paraId="41E6DA68" w14:textId="5A6F0279" w:rsidR="00B83242" w:rsidRPr="002057E4" w:rsidRDefault="00B83242" w:rsidP="00B83242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Clinical Expert</w:t>
            </w:r>
          </w:p>
        </w:tc>
        <w:tc>
          <w:tcPr>
            <w:tcW w:w="1843" w:type="dxa"/>
          </w:tcPr>
          <w:p w14:paraId="5055B134" w14:textId="328B713F" w:rsidR="00B83242" w:rsidRDefault="00BF0D4F" w:rsidP="00B83242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Indirect</w:t>
            </w:r>
          </w:p>
        </w:tc>
        <w:tc>
          <w:tcPr>
            <w:tcW w:w="3118" w:type="dxa"/>
          </w:tcPr>
          <w:p w14:paraId="027C078A" w14:textId="7B4ED38D" w:rsidR="00B83242" w:rsidRDefault="00BF0D4F" w:rsidP="00B83242">
            <w:pPr>
              <w:pStyle w:val="Paragraph"/>
              <w:jc w:val="center"/>
              <w:rPr>
                <w:rFonts w:ascii="Arial" w:hAnsi="Arial" w:cs="Arial"/>
                <w:bCs/>
                <w:iCs/>
              </w:rPr>
            </w:pPr>
            <w:r w:rsidRPr="00BF0D4F">
              <w:rPr>
                <w:rFonts w:ascii="Arial" w:hAnsi="Arial" w:cs="Arial"/>
                <w:bCs/>
                <w:iCs/>
              </w:rPr>
              <w:t>Principal investigator for Ipsen, BMS, MSD sponsored clinical trials</w:t>
            </w:r>
          </w:p>
        </w:tc>
        <w:tc>
          <w:tcPr>
            <w:tcW w:w="1425" w:type="dxa"/>
          </w:tcPr>
          <w:p w14:paraId="6B39DEF8" w14:textId="2ECA03DF" w:rsidR="00B83242" w:rsidRDefault="00BF0D4F" w:rsidP="00B83242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06/03/2023</w:t>
            </w:r>
          </w:p>
        </w:tc>
        <w:tc>
          <w:tcPr>
            <w:tcW w:w="1268" w:type="dxa"/>
          </w:tcPr>
          <w:p w14:paraId="262BC5E3" w14:textId="3A17A53C" w:rsidR="00B83242" w:rsidRDefault="00BF0D4F" w:rsidP="00B83242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N/A</w:t>
            </w:r>
          </w:p>
        </w:tc>
        <w:tc>
          <w:tcPr>
            <w:tcW w:w="2694" w:type="dxa"/>
          </w:tcPr>
          <w:p w14:paraId="78534E55" w14:textId="3401FECD" w:rsidR="00B83242" w:rsidRPr="009320CA" w:rsidRDefault="00EC29FB" w:rsidP="00B83242">
            <w:pPr>
              <w:pStyle w:val="Paragraph"/>
              <w:rPr>
                <w:rFonts w:ascii="Arial" w:hAnsi="Arial" w:cs="Arial"/>
                <w:iCs/>
              </w:rPr>
            </w:pPr>
            <w:r w:rsidRPr="00EC29FB">
              <w:rPr>
                <w:rFonts w:ascii="Arial" w:hAnsi="Arial" w:cs="Arial"/>
                <w:iCs/>
              </w:rPr>
              <w:t xml:space="preserve">It was agreed that </w:t>
            </w:r>
            <w:r w:rsidR="00D22FE4">
              <w:rPr>
                <w:rFonts w:ascii="Arial" w:hAnsi="Arial" w:cs="Arial"/>
                <w:iCs/>
              </w:rPr>
              <w:t xml:space="preserve">Dr </w:t>
            </w:r>
            <w:r w:rsidR="00D22FE4" w:rsidRPr="00D22FE4">
              <w:rPr>
                <w:rFonts w:ascii="Arial" w:hAnsi="Arial" w:cs="Arial"/>
                <w:iCs/>
              </w:rPr>
              <w:t>Venugopal</w:t>
            </w:r>
            <w:r w:rsidRPr="00EC29FB">
              <w:rPr>
                <w:rFonts w:ascii="Arial" w:hAnsi="Arial" w:cs="Arial"/>
                <w:iCs/>
              </w:rPr>
              <w:t>’s conflicts would not prevent h</w:t>
            </w:r>
            <w:r>
              <w:rPr>
                <w:rFonts w:ascii="Arial" w:hAnsi="Arial" w:cs="Arial"/>
                <w:iCs/>
              </w:rPr>
              <w:t>im</w:t>
            </w:r>
            <w:r w:rsidRPr="00EC29FB">
              <w:rPr>
                <w:rFonts w:ascii="Arial" w:hAnsi="Arial" w:cs="Arial"/>
                <w:iCs/>
              </w:rPr>
              <w:t xml:space="preserve"> from </w:t>
            </w:r>
            <w:r>
              <w:rPr>
                <w:rFonts w:ascii="Arial" w:hAnsi="Arial" w:cs="Arial"/>
                <w:iCs/>
              </w:rPr>
              <w:t xml:space="preserve">providing expert advice to </w:t>
            </w:r>
            <w:r w:rsidRPr="00EC29FB">
              <w:rPr>
                <w:rFonts w:ascii="Arial" w:hAnsi="Arial" w:cs="Arial"/>
                <w:iCs/>
              </w:rPr>
              <w:t>of the committee.</w:t>
            </w:r>
          </w:p>
        </w:tc>
      </w:tr>
      <w:tr w:rsidR="00364426" w:rsidRPr="009320CA" w14:paraId="460C8C0A" w14:textId="77777777" w:rsidTr="009176A1">
        <w:tc>
          <w:tcPr>
            <w:tcW w:w="2023" w:type="dxa"/>
          </w:tcPr>
          <w:p w14:paraId="0B6018A6" w14:textId="193D21CA" w:rsidR="00364426" w:rsidRPr="00B83242" w:rsidRDefault="00364426" w:rsidP="00D22FE4">
            <w:pPr>
              <w:pStyle w:val="Paragraph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551AF">
              <w:rPr>
                <w:rFonts w:ascii="Arial" w:hAnsi="Arial" w:cs="Arial"/>
                <w:sz w:val="24"/>
                <w:szCs w:val="28"/>
              </w:rPr>
              <w:t>Geraldine Fox</w:t>
            </w:r>
          </w:p>
        </w:tc>
        <w:tc>
          <w:tcPr>
            <w:tcW w:w="1663" w:type="dxa"/>
          </w:tcPr>
          <w:p w14:paraId="009E432B" w14:textId="5CEC09A0" w:rsidR="00364426" w:rsidRDefault="00364426" w:rsidP="00D22FE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Patient Expert</w:t>
            </w:r>
          </w:p>
        </w:tc>
        <w:tc>
          <w:tcPr>
            <w:tcW w:w="1843" w:type="dxa"/>
          </w:tcPr>
          <w:p w14:paraId="52837833" w14:textId="7F592BE6" w:rsidR="00364426" w:rsidRDefault="00364426" w:rsidP="00D22FE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Indirect - Financial</w:t>
            </w:r>
          </w:p>
        </w:tc>
        <w:tc>
          <w:tcPr>
            <w:tcW w:w="3118" w:type="dxa"/>
          </w:tcPr>
          <w:p w14:paraId="34BCBE75" w14:textId="33DBEC42" w:rsidR="00364426" w:rsidRDefault="00364426" w:rsidP="00D22FE4">
            <w:pPr>
              <w:pStyle w:val="Paragraph"/>
              <w:jc w:val="center"/>
              <w:rPr>
                <w:rFonts w:ascii="Arial" w:hAnsi="Arial" w:cs="Arial"/>
                <w:bCs/>
                <w:iCs/>
              </w:rPr>
            </w:pPr>
            <w:r w:rsidRPr="006551AF">
              <w:rPr>
                <w:rFonts w:ascii="Arial" w:hAnsi="Arial" w:cs="Arial"/>
                <w:bCs/>
                <w:iCs/>
              </w:rPr>
              <w:t>Kidney Cancer UK conflicts:</w:t>
            </w:r>
          </w:p>
          <w:p w14:paraId="0BEDFED6" w14:textId="00BDB79C" w:rsidR="00364426" w:rsidRDefault="00364426" w:rsidP="00D22FE4">
            <w:pPr>
              <w:pStyle w:val="Paragraph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Pfizer: £25,00 competitive grant to produce an information booklet and referral guide for </w:t>
            </w:r>
            <w:proofErr w:type="gramStart"/>
            <w:r>
              <w:rPr>
                <w:rFonts w:ascii="Arial" w:hAnsi="Arial" w:cs="Arial"/>
                <w:bCs/>
                <w:iCs/>
              </w:rPr>
              <w:t>GPs</w:t>
            </w:r>
            <w:proofErr w:type="gramEnd"/>
          </w:p>
          <w:p w14:paraId="44560200" w14:textId="77777777" w:rsidR="00364426" w:rsidRDefault="00364426" w:rsidP="00D22FE4">
            <w:pPr>
              <w:pStyle w:val="Paragraph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EU: </w:t>
            </w:r>
            <w:r w:rsidRPr="006551AF">
              <w:rPr>
                <w:rFonts w:ascii="Arial" w:hAnsi="Arial" w:cs="Arial"/>
              </w:rPr>
              <w:t>£2,500 contribution to cost of service quality audit</w:t>
            </w:r>
          </w:p>
          <w:p w14:paraId="7E9ED34A" w14:textId="77777777" w:rsidR="00364426" w:rsidRPr="00837AE0" w:rsidRDefault="00364426" w:rsidP="00D22FE4">
            <w:pPr>
              <w:pStyle w:val="Paragraph"/>
              <w:jc w:val="center"/>
              <w:rPr>
                <w:rFonts w:ascii="Arial" w:hAnsi="Arial" w:cs="Arial"/>
                <w:bCs/>
                <w:iCs/>
              </w:rPr>
            </w:pPr>
            <w:r w:rsidRPr="00837AE0">
              <w:rPr>
                <w:rFonts w:ascii="Arial" w:hAnsi="Arial" w:cs="Arial"/>
                <w:bCs/>
                <w:iCs/>
              </w:rPr>
              <w:t xml:space="preserve">Ipsen £2,500 contribution to cost of service quality </w:t>
            </w:r>
            <w:proofErr w:type="gramStart"/>
            <w:r w:rsidRPr="00837AE0">
              <w:rPr>
                <w:rFonts w:ascii="Arial" w:hAnsi="Arial" w:cs="Arial"/>
                <w:bCs/>
                <w:iCs/>
              </w:rPr>
              <w:t>audit</w:t>
            </w:r>
            <w:proofErr w:type="gramEnd"/>
          </w:p>
          <w:p w14:paraId="18A7237C" w14:textId="2E1CAAC1" w:rsidR="00364426" w:rsidRPr="00BF0D4F" w:rsidRDefault="00364426" w:rsidP="00D22FE4">
            <w:pPr>
              <w:pStyle w:val="Paragraph"/>
              <w:jc w:val="center"/>
              <w:rPr>
                <w:rFonts w:ascii="Arial" w:hAnsi="Arial" w:cs="Arial"/>
                <w:bCs/>
                <w:iCs/>
              </w:rPr>
            </w:pPr>
            <w:r w:rsidRPr="00837AE0">
              <w:rPr>
                <w:rFonts w:ascii="Arial" w:hAnsi="Arial" w:cs="Arial"/>
                <w:bCs/>
                <w:iCs/>
              </w:rPr>
              <w:t>Ipsen £2,000 contribution to disease awareness publicity in Kidney Cancer Awareness Week</w:t>
            </w:r>
          </w:p>
        </w:tc>
        <w:tc>
          <w:tcPr>
            <w:tcW w:w="1425" w:type="dxa"/>
          </w:tcPr>
          <w:p w14:paraId="5F08FAA7" w14:textId="0B312061" w:rsidR="00364426" w:rsidRDefault="00364426" w:rsidP="00D22FE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05/07/2023</w:t>
            </w:r>
          </w:p>
        </w:tc>
        <w:tc>
          <w:tcPr>
            <w:tcW w:w="1268" w:type="dxa"/>
          </w:tcPr>
          <w:p w14:paraId="7684B1C1" w14:textId="438E1ECF" w:rsidR="00364426" w:rsidRDefault="00364426" w:rsidP="00D22FE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N/A</w:t>
            </w:r>
          </w:p>
        </w:tc>
        <w:tc>
          <w:tcPr>
            <w:tcW w:w="2694" w:type="dxa"/>
          </w:tcPr>
          <w:p w14:paraId="5BA43831" w14:textId="328B57E0" w:rsidR="00364426" w:rsidRPr="009320CA" w:rsidRDefault="00EC29FB" w:rsidP="00D22FE4">
            <w:pPr>
              <w:pStyle w:val="Paragraph"/>
              <w:rPr>
                <w:rFonts w:ascii="Arial" w:hAnsi="Arial" w:cs="Arial"/>
                <w:iCs/>
              </w:rPr>
            </w:pPr>
            <w:r w:rsidRPr="00EC29FB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 xml:space="preserve">Geraldine’s </w:t>
            </w:r>
            <w:r w:rsidRPr="00EC29FB">
              <w:rPr>
                <w:rFonts w:ascii="Arial" w:hAnsi="Arial" w:cs="Arial"/>
                <w:iCs/>
              </w:rPr>
              <w:t>conflicts would not prevent h</w:t>
            </w:r>
            <w:r>
              <w:rPr>
                <w:rFonts w:ascii="Arial" w:hAnsi="Arial" w:cs="Arial"/>
                <w:iCs/>
              </w:rPr>
              <w:t xml:space="preserve">er </w:t>
            </w:r>
            <w:r w:rsidRPr="00EC29FB">
              <w:rPr>
                <w:rFonts w:ascii="Arial" w:hAnsi="Arial" w:cs="Arial"/>
                <w:iCs/>
              </w:rPr>
              <w:t xml:space="preserve">from </w:t>
            </w:r>
            <w:r>
              <w:rPr>
                <w:rFonts w:ascii="Arial" w:hAnsi="Arial" w:cs="Arial"/>
                <w:iCs/>
              </w:rPr>
              <w:t xml:space="preserve">providing expert advice to </w:t>
            </w:r>
            <w:r w:rsidRPr="00EC29FB">
              <w:rPr>
                <w:rFonts w:ascii="Arial" w:hAnsi="Arial" w:cs="Arial"/>
                <w:iCs/>
              </w:rPr>
              <w:t>of the committee.</w:t>
            </w:r>
          </w:p>
        </w:tc>
      </w:tr>
      <w:tr w:rsidR="00A732AE" w:rsidRPr="009320CA" w14:paraId="495A4009" w14:textId="77777777" w:rsidTr="009176A1">
        <w:tc>
          <w:tcPr>
            <w:tcW w:w="2023" w:type="dxa"/>
          </w:tcPr>
          <w:p w14:paraId="5A6AEDA3" w14:textId="66F2ADB4" w:rsidR="00A732AE" w:rsidRDefault="00A732AE" w:rsidP="00A732AE">
            <w:pPr>
              <w:pStyle w:val="Paragraph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551AF">
              <w:rPr>
                <w:rFonts w:ascii="Arial" w:hAnsi="Arial" w:cs="Arial"/>
                <w:sz w:val="24"/>
                <w:szCs w:val="28"/>
              </w:rPr>
              <w:t xml:space="preserve">Dr Veline </w:t>
            </w:r>
            <w:proofErr w:type="spellStart"/>
            <w:r w:rsidRPr="006551AF">
              <w:rPr>
                <w:rFonts w:ascii="Arial" w:hAnsi="Arial" w:cs="Arial"/>
                <w:sz w:val="24"/>
                <w:szCs w:val="28"/>
              </w:rPr>
              <w:t>L’Esperance</w:t>
            </w:r>
            <w:proofErr w:type="spellEnd"/>
          </w:p>
        </w:tc>
        <w:tc>
          <w:tcPr>
            <w:tcW w:w="1663" w:type="dxa"/>
          </w:tcPr>
          <w:p w14:paraId="532B5B68" w14:textId="06FEAFAE" w:rsidR="00A732AE" w:rsidRDefault="00A732AE" w:rsidP="00A732AE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sz w:val="24"/>
                <w:szCs w:val="28"/>
              </w:rPr>
              <w:t>Committee Member</w:t>
            </w:r>
          </w:p>
        </w:tc>
        <w:tc>
          <w:tcPr>
            <w:tcW w:w="1843" w:type="dxa"/>
          </w:tcPr>
          <w:p w14:paraId="415E92C7" w14:textId="73A65F27" w:rsidR="00A732AE" w:rsidRPr="00D22FE4" w:rsidRDefault="00A732AE" w:rsidP="00A732AE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D22FE4">
              <w:rPr>
                <w:rFonts w:cs="Arial"/>
                <w:sz w:val="24"/>
                <w:szCs w:val="28"/>
              </w:rPr>
              <w:t>Financial</w:t>
            </w:r>
          </w:p>
        </w:tc>
        <w:tc>
          <w:tcPr>
            <w:tcW w:w="3118" w:type="dxa"/>
          </w:tcPr>
          <w:p w14:paraId="6431A8A5" w14:textId="509D5D2B" w:rsidR="00A732AE" w:rsidRDefault="00A732AE" w:rsidP="00A732AE">
            <w:pPr>
              <w:pStyle w:val="Paragraph"/>
              <w:jc w:val="center"/>
              <w:rPr>
                <w:rFonts w:ascii="Arial" w:hAnsi="Arial" w:cs="Arial"/>
                <w:bCs/>
                <w:iCs/>
              </w:rPr>
            </w:pPr>
            <w:r w:rsidRPr="006551AF">
              <w:rPr>
                <w:rFonts w:ascii="Arial" w:hAnsi="Arial" w:cs="Arial"/>
                <w:bCs/>
                <w:iCs/>
              </w:rPr>
              <w:t xml:space="preserve">As Research Director for a primary acre organisation, we often undertake trials on behalf of </w:t>
            </w:r>
            <w:proofErr w:type="gramStart"/>
            <w:r w:rsidRPr="006551AF">
              <w:rPr>
                <w:rFonts w:ascii="Arial" w:hAnsi="Arial" w:cs="Arial"/>
                <w:bCs/>
                <w:iCs/>
              </w:rPr>
              <w:t>Pharmaceutical</w:t>
            </w:r>
            <w:proofErr w:type="gramEnd"/>
            <w:r w:rsidRPr="006551AF">
              <w:rPr>
                <w:rFonts w:ascii="Arial" w:hAnsi="Arial" w:cs="Arial"/>
                <w:bCs/>
                <w:iCs/>
              </w:rPr>
              <w:t xml:space="preserve"> companies. None of these trials are in Renal Cell </w:t>
            </w:r>
            <w:r w:rsidRPr="006551AF">
              <w:rPr>
                <w:rFonts w:ascii="Arial" w:hAnsi="Arial" w:cs="Arial"/>
                <w:bCs/>
                <w:iCs/>
              </w:rPr>
              <w:lastRenderedPageBreak/>
              <w:t xml:space="preserve">carcinoma. However, some of the companies we collaborate with </w:t>
            </w:r>
            <w:proofErr w:type="gramStart"/>
            <w:r w:rsidRPr="006551AF">
              <w:rPr>
                <w:rFonts w:ascii="Arial" w:hAnsi="Arial" w:cs="Arial"/>
                <w:bCs/>
                <w:iCs/>
              </w:rPr>
              <w:t>include:</w:t>
            </w:r>
            <w:proofErr w:type="gramEnd"/>
            <w:r w:rsidRPr="006551AF">
              <w:rPr>
                <w:rFonts w:ascii="Arial" w:hAnsi="Arial" w:cs="Arial"/>
                <w:bCs/>
                <w:iCs/>
              </w:rPr>
              <w:t xml:space="preserve"> Novartis, Pfizer and Roche</w:t>
            </w:r>
          </w:p>
        </w:tc>
        <w:tc>
          <w:tcPr>
            <w:tcW w:w="1425" w:type="dxa"/>
          </w:tcPr>
          <w:p w14:paraId="601F9F4D" w14:textId="77777777" w:rsidR="00A732AE" w:rsidRDefault="00A732AE" w:rsidP="00A732AE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268" w:type="dxa"/>
          </w:tcPr>
          <w:p w14:paraId="382F3340" w14:textId="77777777" w:rsidR="00A732AE" w:rsidRDefault="00A732AE" w:rsidP="00A732AE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694" w:type="dxa"/>
          </w:tcPr>
          <w:p w14:paraId="05CDF5C5" w14:textId="400C1A28" w:rsidR="00A732AE" w:rsidRDefault="00A732AE" w:rsidP="00A732AE">
            <w:pPr>
              <w:pStyle w:val="Paragraph"/>
              <w:rPr>
                <w:rFonts w:ascii="Arial" w:hAnsi="Arial" w:cs="Arial"/>
                <w:iCs/>
              </w:rPr>
            </w:pPr>
            <w:r w:rsidRPr="00EC29FB">
              <w:rPr>
                <w:rFonts w:ascii="Arial" w:hAnsi="Arial" w:cs="Arial"/>
                <w:bCs/>
                <w:iCs/>
              </w:rPr>
              <w:t xml:space="preserve">It was agreed that </w:t>
            </w:r>
            <w:proofErr w:type="spellStart"/>
            <w:r w:rsidRPr="00EC29FB">
              <w:rPr>
                <w:rFonts w:ascii="Arial" w:hAnsi="Arial" w:cs="Arial"/>
                <w:bCs/>
                <w:iCs/>
              </w:rPr>
              <w:t>Veline’s</w:t>
            </w:r>
            <w:proofErr w:type="spellEnd"/>
            <w:r w:rsidRPr="00EC29FB">
              <w:rPr>
                <w:rFonts w:ascii="Arial" w:hAnsi="Arial" w:cs="Arial"/>
                <w:bCs/>
                <w:iCs/>
              </w:rPr>
              <w:t xml:space="preserve"> conflicts would not prevent her from being part of the committee.</w:t>
            </w:r>
          </w:p>
        </w:tc>
      </w:tr>
    </w:tbl>
    <w:p w14:paraId="5EABD50E" w14:textId="77777777" w:rsidR="006551AF" w:rsidRDefault="006551AF" w:rsidP="006551AF">
      <w:pPr>
        <w:rPr>
          <w:rFonts w:ascii="Arial" w:hAnsi="Arial" w:cs="Arial"/>
        </w:rPr>
      </w:pPr>
    </w:p>
    <w:p w14:paraId="5CF89C8E" w14:textId="77777777" w:rsidR="00273437" w:rsidRPr="00273437" w:rsidRDefault="00273437" w:rsidP="00273437">
      <w:pPr>
        <w:pStyle w:val="Paragraphnonumbers"/>
        <w:spacing w:before="240"/>
        <w:ind w:hanging="425"/>
        <w:rPr>
          <w:bCs/>
        </w:rPr>
      </w:pPr>
    </w:p>
    <w:sectPr w:rsidR="00273437" w:rsidRPr="00273437" w:rsidSect="009813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DCAD8" w14:textId="77777777" w:rsidR="009F66BF" w:rsidRDefault="009F66BF" w:rsidP="00446BEE">
      <w:r>
        <w:separator/>
      </w:r>
    </w:p>
  </w:endnote>
  <w:endnote w:type="continuationSeparator" w:id="0">
    <w:p w14:paraId="1D964235" w14:textId="77777777" w:rsidR="009F66BF" w:rsidRDefault="009F66BF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48BB3" w14:textId="77777777" w:rsidR="00F565EB" w:rsidRDefault="00F565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62A93" w14:textId="599D5E3A" w:rsidR="00446BEE" w:rsidRDefault="00446BEE" w:rsidP="009F66BF">
    <w:pPr>
      <w:pStyle w:val="Footer"/>
      <w:ind w:hanging="567"/>
    </w:pPr>
    <w:r>
      <w:tab/>
    </w:r>
    <w:r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>
      <w:fldChar w:fldCharType="begin"/>
    </w:r>
    <w:r>
      <w:instrText xml:space="preserve"> PAGE </w:instrText>
    </w:r>
    <w:r>
      <w:fldChar w:fldCharType="separate"/>
    </w:r>
    <w:r w:rsidR="001946BB">
      <w:rPr>
        <w:noProof/>
      </w:rPr>
      <w:t>1</w:t>
    </w:r>
    <w:r>
      <w:fldChar w:fldCharType="end"/>
    </w:r>
    <w:r>
      <w:t xml:space="preserve"> of </w:t>
    </w:r>
    <w:r w:rsidR="0064132E">
      <w:fldChar w:fldCharType="begin"/>
    </w:r>
    <w:r w:rsidR="0064132E">
      <w:instrText xml:space="preserve"> NUMPAGES  </w:instrText>
    </w:r>
    <w:r w:rsidR="0064132E">
      <w:fldChar w:fldCharType="separate"/>
    </w:r>
    <w:r w:rsidR="001946BB">
      <w:rPr>
        <w:noProof/>
      </w:rPr>
      <w:t>2</w:t>
    </w:r>
    <w:r w:rsidR="0064132E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331E7" w14:textId="77777777" w:rsidR="00F565EB" w:rsidRDefault="00F565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92C14" w14:textId="77777777" w:rsidR="009F66BF" w:rsidRDefault="009F66BF" w:rsidP="00446BEE">
      <w:r>
        <w:separator/>
      </w:r>
    </w:p>
  </w:footnote>
  <w:footnote w:type="continuationSeparator" w:id="0">
    <w:p w14:paraId="371F5E8E" w14:textId="77777777" w:rsidR="009F66BF" w:rsidRDefault="009F66BF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71ABF" w14:textId="77777777" w:rsidR="00F565EB" w:rsidRDefault="00F565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78B0" w14:textId="329EE44B" w:rsidR="009F66BF" w:rsidRDefault="004852E9" w:rsidP="009F66BF">
    <w:pPr>
      <w:pStyle w:val="Header"/>
      <w:ind w:hanging="567"/>
    </w:pPr>
    <w:sdt>
      <w:sdtPr>
        <w:id w:val="594592509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6554FF4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F66BF" w:rsidRPr="009F66BF">
      <w:rPr>
        <w:noProof/>
      </w:rPr>
      <w:drawing>
        <wp:inline distT="0" distB="0" distL="0" distR="0" wp14:anchorId="685F7C58" wp14:editId="7DF035DC">
          <wp:extent cx="2505075" cy="444449"/>
          <wp:effectExtent l="0" t="0" r="0" b="0"/>
          <wp:docPr id="9" name="Picture 9" descr="This is the NICE logo in a header ro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is is the NICE logo in a header row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BA7">
      <w:tab/>
    </w:r>
    <w:r w:rsidR="00D47BA7">
      <w:tab/>
    </w:r>
    <w:r w:rsidR="00D47BA7">
      <w:tab/>
    </w:r>
    <w:r w:rsidR="00D47BA7">
      <w:tab/>
    </w:r>
  </w:p>
  <w:p w14:paraId="211FF48C" w14:textId="77777777" w:rsidR="009F66BF" w:rsidRDefault="009F66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E041F" w14:textId="77777777" w:rsidR="00F565EB" w:rsidRDefault="00F565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E0C9B"/>
    <w:multiLevelType w:val="multilevel"/>
    <w:tmpl w:val="B2BC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E7B3843"/>
    <w:multiLevelType w:val="hybridMultilevel"/>
    <w:tmpl w:val="35149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A006B"/>
    <w:multiLevelType w:val="hybridMultilevel"/>
    <w:tmpl w:val="75A47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C634C"/>
    <w:multiLevelType w:val="hybridMultilevel"/>
    <w:tmpl w:val="F56E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120245">
    <w:abstractNumId w:val="16"/>
  </w:num>
  <w:num w:numId="2" w16cid:durableId="2002538492">
    <w:abstractNumId w:val="17"/>
  </w:num>
  <w:num w:numId="3" w16cid:durableId="1115755560">
    <w:abstractNumId w:val="17"/>
    <w:lvlOverride w:ilvl="0">
      <w:startOverride w:val="1"/>
    </w:lvlOverride>
  </w:num>
  <w:num w:numId="4" w16cid:durableId="1164737210">
    <w:abstractNumId w:val="17"/>
    <w:lvlOverride w:ilvl="0">
      <w:startOverride w:val="1"/>
    </w:lvlOverride>
  </w:num>
  <w:num w:numId="5" w16cid:durableId="1907496277">
    <w:abstractNumId w:val="17"/>
    <w:lvlOverride w:ilvl="0">
      <w:startOverride w:val="1"/>
    </w:lvlOverride>
  </w:num>
  <w:num w:numId="6" w16cid:durableId="957377609">
    <w:abstractNumId w:val="17"/>
    <w:lvlOverride w:ilvl="0">
      <w:startOverride w:val="1"/>
    </w:lvlOverride>
  </w:num>
  <w:num w:numId="7" w16cid:durableId="2040887977">
    <w:abstractNumId w:val="17"/>
    <w:lvlOverride w:ilvl="0">
      <w:startOverride w:val="1"/>
    </w:lvlOverride>
  </w:num>
  <w:num w:numId="8" w16cid:durableId="738747964">
    <w:abstractNumId w:val="9"/>
  </w:num>
  <w:num w:numId="9" w16cid:durableId="1244754255">
    <w:abstractNumId w:val="7"/>
  </w:num>
  <w:num w:numId="10" w16cid:durableId="1101799043">
    <w:abstractNumId w:val="6"/>
  </w:num>
  <w:num w:numId="11" w16cid:durableId="119882121">
    <w:abstractNumId w:val="5"/>
  </w:num>
  <w:num w:numId="12" w16cid:durableId="446702736">
    <w:abstractNumId w:val="4"/>
  </w:num>
  <w:num w:numId="13" w16cid:durableId="1073700658">
    <w:abstractNumId w:val="8"/>
  </w:num>
  <w:num w:numId="14" w16cid:durableId="1414276336">
    <w:abstractNumId w:val="3"/>
  </w:num>
  <w:num w:numId="15" w16cid:durableId="1295528479">
    <w:abstractNumId w:val="2"/>
  </w:num>
  <w:num w:numId="16" w16cid:durableId="1817455520">
    <w:abstractNumId w:val="1"/>
  </w:num>
  <w:num w:numId="17" w16cid:durableId="1175413547">
    <w:abstractNumId w:val="0"/>
  </w:num>
  <w:num w:numId="18" w16cid:durableId="1672416867">
    <w:abstractNumId w:val="13"/>
  </w:num>
  <w:num w:numId="19" w16cid:durableId="304820830">
    <w:abstractNumId w:val="13"/>
    <w:lvlOverride w:ilvl="0">
      <w:startOverride w:val="1"/>
    </w:lvlOverride>
  </w:num>
  <w:num w:numId="20" w16cid:durableId="985671688">
    <w:abstractNumId w:val="12"/>
  </w:num>
  <w:num w:numId="21" w16cid:durableId="1451506456">
    <w:abstractNumId w:val="15"/>
  </w:num>
  <w:num w:numId="22" w16cid:durableId="2092699753">
    <w:abstractNumId w:val="11"/>
  </w:num>
  <w:num w:numId="23" w16cid:durableId="1526677895">
    <w:abstractNumId w:val="10"/>
  </w:num>
  <w:num w:numId="24" w16cid:durableId="19427135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24D0A"/>
    <w:rsid w:val="000472DC"/>
    <w:rsid w:val="0005185C"/>
    <w:rsid w:val="00070065"/>
    <w:rsid w:val="000A4FEE"/>
    <w:rsid w:val="000B5102"/>
    <w:rsid w:val="000B5939"/>
    <w:rsid w:val="00111CCE"/>
    <w:rsid w:val="001134E7"/>
    <w:rsid w:val="0017149E"/>
    <w:rsid w:val="0017169E"/>
    <w:rsid w:val="001811A9"/>
    <w:rsid w:val="00181A4A"/>
    <w:rsid w:val="001946BB"/>
    <w:rsid w:val="0019492D"/>
    <w:rsid w:val="001978C7"/>
    <w:rsid w:val="001B0EE9"/>
    <w:rsid w:val="001B65B3"/>
    <w:rsid w:val="002029A6"/>
    <w:rsid w:val="002057E4"/>
    <w:rsid w:val="0022538A"/>
    <w:rsid w:val="002408EA"/>
    <w:rsid w:val="00273437"/>
    <w:rsid w:val="002819D7"/>
    <w:rsid w:val="002C1A7E"/>
    <w:rsid w:val="002D3376"/>
    <w:rsid w:val="00311ED0"/>
    <w:rsid w:val="003404D8"/>
    <w:rsid w:val="00360316"/>
    <w:rsid w:val="00364426"/>
    <w:rsid w:val="003648C5"/>
    <w:rsid w:val="003722FA"/>
    <w:rsid w:val="00375B07"/>
    <w:rsid w:val="003C7AAF"/>
    <w:rsid w:val="003E25CF"/>
    <w:rsid w:val="00406A49"/>
    <w:rsid w:val="004075B6"/>
    <w:rsid w:val="00420952"/>
    <w:rsid w:val="00424A6F"/>
    <w:rsid w:val="00431355"/>
    <w:rsid w:val="004327C3"/>
    <w:rsid w:val="00433EFF"/>
    <w:rsid w:val="004341B5"/>
    <w:rsid w:val="004415DB"/>
    <w:rsid w:val="00443081"/>
    <w:rsid w:val="00446BEE"/>
    <w:rsid w:val="004602D6"/>
    <w:rsid w:val="004852E9"/>
    <w:rsid w:val="00492FE1"/>
    <w:rsid w:val="004A241F"/>
    <w:rsid w:val="004A2D1D"/>
    <w:rsid w:val="004C110E"/>
    <w:rsid w:val="004D1D23"/>
    <w:rsid w:val="004E3A84"/>
    <w:rsid w:val="005025A1"/>
    <w:rsid w:val="00557456"/>
    <w:rsid w:val="0064132E"/>
    <w:rsid w:val="006551AF"/>
    <w:rsid w:val="00667826"/>
    <w:rsid w:val="006921E1"/>
    <w:rsid w:val="006A3196"/>
    <w:rsid w:val="006F4B25"/>
    <w:rsid w:val="006F6496"/>
    <w:rsid w:val="0073154B"/>
    <w:rsid w:val="00731D82"/>
    <w:rsid w:val="00736348"/>
    <w:rsid w:val="007574E6"/>
    <w:rsid w:val="00760908"/>
    <w:rsid w:val="007B1F12"/>
    <w:rsid w:val="007F238D"/>
    <w:rsid w:val="00837AE0"/>
    <w:rsid w:val="00861B92"/>
    <w:rsid w:val="008814FB"/>
    <w:rsid w:val="008F5E30"/>
    <w:rsid w:val="00914D7F"/>
    <w:rsid w:val="009176A1"/>
    <w:rsid w:val="009320CA"/>
    <w:rsid w:val="009510F7"/>
    <w:rsid w:val="00955EC5"/>
    <w:rsid w:val="009619E0"/>
    <w:rsid w:val="00961C9E"/>
    <w:rsid w:val="009813A0"/>
    <w:rsid w:val="0099111D"/>
    <w:rsid w:val="009939EB"/>
    <w:rsid w:val="009A7EE3"/>
    <w:rsid w:val="009B095F"/>
    <w:rsid w:val="009C1F2B"/>
    <w:rsid w:val="009E680B"/>
    <w:rsid w:val="009F66BF"/>
    <w:rsid w:val="009F74FD"/>
    <w:rsid w:val="00A15A1F"/>
    <w:rsid w:val="00A17C0C"/>
    <w:rsid w:val="00A3325A"/>
    <w:rsid w:val="00A43013"/>
    <w:rsid w:val="00A43DA6"/>
    <w:rsid w:val="00A4430C"/>
    <w:rsid w:val="00A732AE"/>
    <w:rsid w:val="00A9168C"/>
    <w:rsid w:val="00AF108A"/>
    <w:rsid w:val="00B02E55"/>
    <w:rsid w:val="00B036C1"/>
    <w:rsid w:val="00B3691D"/>
    <w:rsid w:val="00B53C35"/>
    <w:rsid w:val="00B5431F"/>
    <w:rsid w:val="00B626DF"/>
    <w:rsid w:val="00B83242"/>
    <w:rsid w:val="00BF0D4F"/>
    <w:rsid w:val="00BF7FE0"/>
    <w:rsid w:val="00C51C74"/>
    <w:rsid w:val="00C81104"/>
    <w:rsid w:val="00C96411"/>
    <w:rsid w:val="00CB5671"/>
    <w:rsid w:val="00CF58B7"/>
    <w:rsid w:val="00D22FE4"/>
    <w:rsid w:val="00D351C1"/>
    <w:rsid w:val="00D35EFB"/>
    <w:rsid w:val="00D47BA7"/>
    <w:rsid w:val="00D504B3"/>
    <w:rsid w:val="00D607D5"/>
    <w:rsid w:val="00D61BEA"/>
    <w:rsid w:val="00D8132E"/>
    <w:rsid w:val="00D86BF0"/>
    <w:rsid w:val="00DB03DD"/>
    <w:rsid w:val="00DD71CB"/>
    <w:rsid w:val="00DE26D6"/>
    <w:rsid w:val="00E51920"/>
    <w:rsid w:val="00E64120"/>
    <w:rsid w:val="00E660A1"/>
    <w:rsid w:val="00EA3CCF"/>
    <w:rsid w:val="00EB7131"/>
    <w:rsid w:val="00EC29FB"/>
    <w:rsid w:val="00F055F1"/>
    <w:rsid w:val="00F565EB"/>
    <w:rsid w:val="00F610AF"/>
    <w:rsid w:val="00F63A40"/>
    <w:rsid w:val="00F80C14"/>
    <w:rsid w:val="00F83F58"/>
    <w:rsid w:val="00FA2C5A"/>
    <w:rsid w:val="00FC2D11"/>
    <w:rsid w:val="00FC6230"/>
    <w:rsid w:val="00FE3357"/>
    <w:rsid w:val="00FE68F5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565876F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D61BEA"/>
    <w:pPr>
      <w:tabs>
        <w:tab w:val="left" w:pos="567"/>
      </w:tabs>
    </w:pPr>
    <w:rPr>
      <w:rFonts w:ascii="Lato" w:hAnsi="Lato"/>
      <w:sz w:val="22"/>
    </w:r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61C9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61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1C9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1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1C9E"/>
    <w:rPr>
      <w:b/>
      <w:bCs/>
    </w:rPr>
  </w:style>
  <w:style w:type="character" w:customStyle="1" w:styleId="normaltextrun">
    <w:name w:val="normaltextrun"/>
    <w:basedOn w:val="DefaultParagraphFont"/>
    <w:rsid w:val="0073154B"/>
  </w:style>
  <w:style w:type="character" w:customStyle="1" w:styleId="eop">
    <w:name w:val="eop"/>
    <w:basedOn w:val="DefaultParagraphFont"/>
    <w:rsid w:val="0073154B"/>
  </w:style>
  <w:style w:type="character" w:styleId="Hyperlink">
    <w:name w:val="Hyperlink"/>
    <w:basedOn w:val="DefaultParagraphFont"/>
    <w:unhideWhenUsed/>
    <w:rsid w:val="004D1D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D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D1D23"/>
    <w:rPr>
      <w:color w:val="800080" w:themeColor="followedHyperlink"/>
      <w:u w:val="single"/>
    </w:rPr>
  </w:style>
  <w:style w:type="paragraph" w:customStyle="1" w:styleId="pf0">
    <w:name w:val="pf0"/>
    <w:basedOn w:val="Normal"/>
    <w:rsid w:val="004C110E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4C110E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6551AF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515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Portia Dodds</cp:lastModifiedBy>
  <cp:revision>6</cp:revision>
  <cp:lastPrinted>2024-02-02T08:40:00Z</cp:lastPrinted>
  <dcterms:created xsi:type="dcterms:W3CDTF">2024-01-29T12:17:00Z</dcterms:created>
  <dcterms:modified xsi:type="dcterms:W3CDTF">2024-02-08T08:21:00Z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2023-03-13T20:31:44Z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21afca20-9388-4a90-a27e-c82b70dfab09</vt:lpwstr>
  </property>
  <property fmtid="{D5CDD505-2E9C-101B-9397-08002B2CF9AE}" pid="8" name="MSIP_Label_c69d85d5-6d9e-4305-a294-1f636ec0f2d6_ContentBits">
    <vt:lpwstr>0</vt:lpwstr>
  </property>
</Properties>
</file>