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645D" w:rsidR="003A1EDB" w:rsidP="003A1EDB" w:rsidRDefault="003A1EDB" w14:paraId="215A4008" w14:textId="77777777">
      <w:pPr>
        <w:rPr>
          <w:rFonts w:ascii="Times New Roman" w:hAnsi="Times New Roman"/>
          <w:sz w:val="22"/>
          <w:szCs w:val="22"/>
          <w:lang w:val="en-GB"/>
        </w:rPr>
      </w:pPr>
      <w:r w:rsidRPr="00DD645D">
        <w:rPr>
          <w:rFonts w:ascii="Times New Roman" w:hAnsi="Times New Roman"/>
          <w:sz w:val="22"/>
          <w:szCs w:val="22"/>
          <w:lang w:val="en-GB"/>
        </w:rPr>
        <w:t>Dr Mark Chakravarty</w:t>
      </w:r>
    </w:p>
    <w:p w:rsidR="00DD645D" w:rsidP="003A1EDB" w:rsidRDefault="003A1EDB" w14:paraId="1781C5CE" w14:textId="77777777">
      <w:pPr>
        <w:rPr>
          <w:rFonts w:ascii="Times New Roman" w:hAnsi="Times New Roman"/>
          <w:sz w:val="22"/>
          <w:szCs w:val="22"/>
          <w:lang w:val="en-GB"/>
        </w:rPr>
      </w:pPr>
      <w:r w:rsidRPr="00DD645D">
        <w:rPr>
          <w:rFonts w:ascii="Times New Roman" w:hAnsi="Times New Roman"/>
          <w:sz w:val="22"/>
          <w:szCs w:val="22"/>
          <w:lang w:val="en-GB"/>
        </w:rPr>
        <w:t xml:space="preserve">Lead Non-executive Director NICE Appeals </w:t>
      </w:r>
    </w:p>
    <w:p w:rsidRPr="00DD645D" w:rsidR="003A1EDB" w:rsidP="003A1EDB" w:rsidRDefault="003A1EDB" w14:paraId="1E573405" w14:textId="660CE388">
      <w:pPr>
        <w:rPr>
          <w:rFonts w:ascii="Times New Roman" w:hAnsi="Times New Roman"/>
          <w:sz w:val="22"/>
          <w:szCs w:val="22"/>
          <w:lang w:val="en-GB"/>
        </w:rPr>
      </w:pPr>
      <w:r w:rsidRPr="00DD645D">
        <w:rPr>
          <w:rFonts w:ascii="Times New Roman" w:hAnsi="Times New Roman"/>
          <w:sz w:val="22"/>
          <w:szCs w:val="22"/>
          <w:lang w:val="en-GB"/>
        </w:rPr>
        <w:t>– Technology Appraisals and Highly Specialised Technologies</w:t>
      </w:r>
    </w:p>
    <w:p w:rsidRPr="00DD645D" w:rsidR="003A1EDB" w:rsidP="003A1EDB" w:rsidRDefault="003A1EDB" w14:paraId="127377BD" w14:textId="77777777">
      <w:pPr>
        <w:rPr>
          <w:rFonts w:ascii="Times New Roman" w:hAnsi="Times New Roman"/>
          <w:sz w:val="22"/>
          <w:szCs w:val="22"/>
          <w:lang w:val="en-GB"/>
        </w:rPr>
      </w:pPr>
      <w:r w:rsidRPr="00DD645D">
        <w:rPr>
          <w:rFonts w:ascii="Times New Roman" w:hAnsi="Times New Roman"/>
          <w:sz w:val="22"/>
          <w:szCs w:val="22"/>
          <w:lang w:val="en-GB"/>
        </w:rPr>
        <w:t>National Institute for Health and Care Excellence</w:t>
      </w:r>
    </w:p>
    <w:p w:rsidRPr="00DD645D" w:rsidR="003A1EDB" w:rsidP="003A1EDB" w:rsidRDefault="003A1EDB" w14:paraId="72C551EB" w14:textId="77777777">
      <w:pPr>
        <w:rPr>
          <w:rFonts w:ascii="Times New Roman" w:hAnsi="Times New Roman"/>
          <w:sz w:val="22"/>
          <w:szCs w:val="22"/>
          <w:lang w:val="en-GB"/>
        </w:rPr>
      </w:pPr>
      <w:r w:rsidRPr="00DD645D">
        <w:rPr>
          <w:rFonts w:ascii="Times New Roman" w:hAnsi="Times New Roman"/>
          <w:sz w:val="22"/>
          <w:szCs w:val="22"/>
          <w:lang w:val="en-GB"/>
        </w:rPr>
        <w:t>2</w:t>
      </w:r>
      <w:r w:rsidRPr="00DD645D">
        <w:rPr>
          <w:rFonts w:ascii="Times New Roman" w:hAnsi="Times New Roman"/>
          <w:sz w:val="22"/>
          <w:szCs w:val="22"/>
          <w:vertAlign w:val="superscript"/>
          <w:lang w:val="en-GB"/>
        </w:rPr>
        <w:t>nd</w:t>
      </w:r>
      <w:r w:rsidRPr="00DD645D">
        <w:rPr>
          <w:rFonts w:ascii="Times New Roman" w:hAnsi="Times New Roman"/>
          <w:sz w:val="22"/>
          <w:szCs w:val="22"/>
          <w:lang w:val="en-GB"/>
        </w:rPr>
        <w:t xml:space="preserve"> Floor</w:t>
      </w:r>
    </w:p>
    <w:p w:rsidRPr="00DD645D" w:rsidR="003A1EDB" w:rsidP="003A1EDB" w:rsidRDefault="003A1EDB" w14:paraId="16E4906C" w14:textId="77777777">
      <w:pPr>
        <w:rPr>
          <w:rFonts w:ascii="Times New Roman" w:hAnsi="Times New Roman"/>
          <w:sz w:val="22"/>
          <w:szCs w:val="22"/>
          <w:lang w:val="en-GB"/>
        </w:rPr>
      </w:pPr>
      <w:r w:rsidRPr="00DD645D">
        <w:rPr>
          <w:rFonts w:ascii="Times New Roman" w:hAnsi="Times New Roman"/>
          <w:sz w:val="22"/>
          <w:szCs w:val="22"/>
          <w:lang w:val="en-GB"/>
        </w:rPr>
        <w:t>2 Redman Place</w:t>
      </w:r>
    </w:p>
    <w:p w:rsidRPr="00DD645D" w:rsidR="003A1EDB" w:rsidP="003A1EDB" w:rsidRDefault="003A1EDB" w14:paraId="59853003" w14:textId="77777777">
      <w:pPr>
        <w:rPr>
          <w:rFonts w:ascii="Times New Roman" w:hAnsi="Times New Roman"/>
          <w:sz w:val="22"/>
          <w:szCs w:val="22"/>
          <w:lang w:val="en-GB"/>
        </w:rPr>
      </w:pPr>
      <w:r w:rsidRPr="00DD645D">
        <w:rPr>
          <w:rFonts w:ascii="Times New Roman" w:hAnsi="Times New Roman"/>
          <w:sz w:val="22"/>
          <w:szCs w:val="22"/>
          <w:lang w:val="en-GB"/>
        </w:rPr>
        <w:t>London, E20 1JQ</w:t>
      </w:r>
    </w:p>
    <w:p w:rsidRPr="00DD645D" w:rsidR="003A1EDB" w:rsidP="003A1EDB" w:rsidRDefault="003A1EDB" w14:paraId="658FC671" w14:textId="77777777">
      <w:pPr>
        <w:rPr>
          <w:rFonts w:ascii="Times New Roman" w:hAnsi="Times New Roman"/>
          <w:sz w:val="22"/>
          <w:szCs w:val="22"/>
          <w:lang w:val="en-GB"/>
        </w:rPr>
      </w:pPr>
    </w:p>
    <w:p w:rsidRPr="00DD645D" w:rsidR="003A1EDB" w:rsidP="003A1EDB" w:rsidRDefault="003A1EDB" w14:paraId="57BCD7B5" w14:textId="77777777">
      <w:pPr>
        <w:rPr>
          <w:rFonts w:ascii="Times New Roman" w:hAnsi="Times New Roman"/>
          <w:sz w:val="22"/>
          <w:szCs w:val="22"/>
          <w:lang w:val="en-GB"/>
        </w:rPr>
      </w:pPr>
      <w:r w:rsidRPr="00DD645D">
        <w:rPr>
          <w:rFonts w:ascii="Times New Roman" w:hAnsi="Times New Roman"/>
          <w:sz w:val="22"/>
          <w:szCs w:val="22"/>
          <w:lang w:val="en-GB"/>
        </w:rPr>
        <w:t>3 July 2025</w:t>
      </w:r>
    </w:p>
    <w:p w:rsidRPr="00DD645D" w:rsidR="003A1EDB" w:rsidP="003A1EDB" w:rsidRDefault="003A1EDB" w14:paraId="02AC21DC" w14:textId="77777777">
      <w:pPr>
        <w:rPr>
          <w:rFonts w:ascii="Times New Roman" w:hAnsi="Times New Roman"/>
          <w:sz w:val="22"/>
          <w:szCs w:val="22"/>
          <w:lang w:val="en-GB"/>
        </w:rPr>
      </w:pPr>
    </w:p>
    <w:p w:rsidRPr="00DD645D" w:rsidR="003A1EDB" w:rsidP="003A1EDB" w:rsidRDefault="003A1EDB" w14:paraId="209BA601" w14:textId="77777777">
      <w:pPr>
        <w:rPr>
          <w:rFonts w:ascii="Times New Roman" w:hAnsi="Times New Roman"/>
          <w:sz w:val="22"/>
          <w:szCs w:val="22"/>
          <w:lang w:val="en-GB"/>
        </w:rPr>
      </w:pPr>
      <w:r w:rsidRPr="00DD645D">
        <w:rPr>
          <w:rFonts w:ascii="Times New Roman" w:hAnsi="Times New Roman"/>
          <w:sz w:val="22"/>
          <w:szCs w:val="22"/>
          <w:lang w:val="en-GB"/>
        </w:rPr>
        <w:t>Dear Dr Chakravarty,</w:t>
      </w:r>
    </w:p>
    <w:p w:rsidR="003A1EDB" w:rsidP="007F0316" w:rsidRDefault="003A1EDB" w14:paraId="32271B97" w14:textId="77777777">
      <w:pPr>
        <w:rPr>
          <w:rFonts w:ascii="Times New Roman" w:hAnsi="Times New Roman"/>
          <w:b/>
          <w:bCs/>
          <w:sz w:val="22"/>
          <w:szCs w:val="22"/>
          <w:u w:val="single"/>
        </w:rPr>
      </w:pPr>
    </w:p>
    <w:p w:rsidRPr="00F06896" w:rsidR="009A5897" w:rsidP="0091405A" w:rsidRDefault="002B74AE" w14:paraId="7DF1BCE3" w14:textId="115CDA15">
      <w:pPr>
        <w:rPr>
          <w:rFonts w:ascii="Times New Roman" w:hAnsi="Times New Roman"/>
          <w:b/>
          <w:bCs/>
          <w:sz w:val="22"/>
          <w:szCs w:val="22"/>
          <w:u w:val="single"/>
        </w:rPr>
      </w:pPr>
      <w:r w:rsidRPr="00F06896">
        <w:rPr>
          <w:rFonts w:ascii="Times New Roman" w:hAnsi="Times New Roman"/>
          <w:b/>
          <w:bCs/>
          <w:sz w:val="22"/>
          <w:szCs w:val="22"/>
          <w:u w:val="single"/>
        </w:rPr>
        <w:t>APPEAL BY EISA</w:t>
      </w:r>
      <w:r w:rsidRPr="00F06896" w:rsidR="00594E0C">
        <w:rPr>
          <w:rFonts w:ascii="Times New Roman" w:hAnsi="Times New Roman"/>
          <w:b/>
          <w:bCs/>
          <w:sz w:val="22"/>
          <w:szCs w:val="22"/>
          <w:u w:val="single"/>
        </w:rPr>
        <w:t xml:space="preserve">I LIMITED AGAINST THE </w:t>
      </w:r>
      <w:r w:rsidRPr="00F06896" w:rsidR="00684095">
        <w:rPr>
          <w:rFonts w:ascii="Times New Roman" w:hAnsi="Times New Roman"/>
          <w:b/>
          <w:bCs/>
          <w:sz w:val="22"/>
          <w:szCs w:val="22"/>
          <w:u w:val="single"/>
        </w:rPr>
        <w:t>F</w:t>
      </w:r>
      <w:r w:rsidRPr="00F06896" w:rsidR="00183CDC">
        <w:rPr>
          <w:rFonts w:ascii="Times New Roman" w:hAnsi="Times New Roman"/>
          <w:b/>
          <w:bCs/>
          <w:sz w:val="22"/>
          <w:szCs w:val="22"/>
          <w:u w:val="single"/>
        </w:rPr>
        <w:t>INAL DRAFT GUIDANCE FOR LECANEMAB FOR TREATING MILD COGNITIVE IMPAIRMENT OR MILD DEMENTIA CAUSED BY ALZHEIMER’S DISEASE [ID4043]</w:t>
      </w:r>
    </w:p>
    <w:p w:rsidRPr="00F06896" w:rsidR="00594E0C" w:rsidP="007F0316" w:rsidRDefault="00594E0C" w14:paraId="16518035" w14:textId="77777777">
      <w:pPr>
        <w:rPr>
          <w:rFonts w:ascii="Times New Roman" w:hAnsi="Times New Roman"/>
          <w:b/>
          <w:bCs/>
          <w:sz w:val="22"/>
          <w:szCs w:val="22"/>
          <w:u w:val="single"/>
        </w:rPr>
      </w:pPr>
    </w:p>
    <w:p w:rsidR="00594E0C" w:rsidP="007F0316" w:rsidRDefault="0000565A" w14:paraId="372FA10F" w14:textId="4B7D0A51">
      <w:pPr>
        <w:rPr>
          <w:rFonts w:ascii="Times New Roman" w:hAnsi="Times New Roman"/>
          <w:b/>
          <w:bCs/>
          <w:sz w:val="22"/>
          <w:szCs w:val="22"/>
          <w:u w:val="single"/>
        </w:rPr>
      </w:pPr>
      <w:r w:rsidRPr="00F06896">
        <w:rPr>
          <w:rFonts w:ascii="Times New Roman" w:hAnsi="Times New Roman"/>
          <w:b/>
          <w:bCs/>
          <w:sz w:val="22"/>
          <w:szCs w:val="22"/>
          <w:u w:val="single"/>
        </w:rPr>
        <w:t>EXECUTIVE SUMMARY</w:t>
      </w:r>
    </w:p>
    <w:p w:rsidRPr="00F06896" w:rsidR="003B75E2" w:rsidP="007F0316" w:rsidRDefault="003B75E2" w14:paraId="662DB092" w14:textId="77777777">
      <w:pPr>
        <w:rPr>
          <w:rFonts w:ascii="Times New Roman" w:hAnsi="Times New Roman"/>
          <w:b/>
          <w:bCs/>
          <w:sz w:val="22"/>
          <w:szCs w:val="22"/>
          <w:u w:val="single"/>
        </w:rPr>
      </w:pPr>
    </w:p>
    <w:p w:rsidRPr="00F06896" w:rsidR="00594E0C" w:rsidP="007F0316" w:rsidRDefault="00372358" w14:paraId="6D162F75" w14:textId="1AA5AAC8">
      <w:pPr>
        <w:rPr>
          <w:rFonts w:ascii="Times New Roman" w:hAnsi="Times New Roman"/>
          <w:bCs/>
          <w:sz w:val="22"/>
          <w:szCs w:val="22"/>
        </w:rPr>
      </w:pPr>
      <w:r w:rsidRPr="00F06896">
        <w:rPr>
          <w:rFonts w:ascii="Times New Roman" w:hAnsi="Times New Roman"/>
          <w:bCs/>
          <w:sz w:val="22"/>
          <w:szCs w:val="22"/>
        </w:rPr>
        <w:t>Eisai submits an appeal in respect of the following matters:</w:t>
      </w:r>
    </w:p>
    <w:p w:rsidR="003B75E2" w:rsidP="007F0316" w:rsidRDefault="003B75E2" w14:paraId="67F734B4" w14:textId="77777777">
      <w:pPr>
        <w:rPr>
          <w:rFonts w:ascii="Times New Roman" w:hAnsi="Times New Roman"/>
          <w:bCs/>
          <w:sz w:val="22"/>
          <w:szCs w:val="22"/>
          <w:u w:val="single"/>
        </w:rPr>
      </w:pPr>
    </w:p>
    <w:p w:rsidRPr="003B75E2" w:rsidR="00372358" w:rsidP="007F0316" w:rsidRDefault="00372358" w14:paraId="1B76E954" w14:textId="01DBCA94">
      <w:pPr>
        <w:rPr>
          <w:rFonts w:ascii="Times New Roman" w:hAnsi="Times New Roman"/>
          <w:bCs/>
          <w:sz w:val="22"/>
          <w:szCs w:val="22"/>
          <w:u w:val="single"/>
        </w:rPr>
      </w:pPr>
      <w:r w:rsidRPr="003B75E2">
        <w:rPr>
          <w:rFonts w:ascii="Times New Roman" w:hAnsi="Times New Roman"/>
          <w:bCs/>
          <w:sz w:val="22"/>
          <w:szCs w:val="22"/>
          <w:u w:val="single"/>
        </w:rPr>
        <w:t>Ground 1:</w:t>
      </w:r>
    </w:p>
    <w:p w:rsidRPr="00F06896" w:rsidR="00372358" w:rsidP="00D161D6" w:rsidRDefault="00372358" w14:paraId="351B09F3" w14:textId="70F07176">
      <w:pPr>
        <w:pStyle w:val="ListParagraph"/>
        <w:numPr>
          <w:ilvl w:val="1"/>
          <w:numId w:val="18"/>
        </w:numPr>
        <w:rPr>
          <w:rFonts w:ascii="Times New Roman" w:hAnsi="Times New Roman"/>
          <w:bCs/>
          <w:sz w:val="22"/>
          <w:szCs w:val="22"/>
        </w:rPr>
      </w:pPr>
      <w:r w:rsidRPr="00F06896">
        <w:rPr>
          <w:rFonts w:ascii="Times New Roman" w:hAnsi="Times New Roman"/>
          <w:bCs/>
          <w:sz w:val="22"/>
          <w:szCs w:val="22"/>
        </w:rPr>
        <w:t>The disclosure of information regarding infusion costs very shortly before the third Appraisal Committee meeting (ACM3) without opportunity for consideration or comment by consultees was procedurally unfair</w:t>
      </w:r>
    </w:p>
    <w:p w:rsidRPr="00F06896" w:rsidR="00372358" w:rsidP="00D161D6" w:rsidRDefault="00372358" w14:paraId="3138E9AB" w14:textId="6B077AD3">
      <w:pPr>
        <w:pStyle w:val="ListParagraph"/>
        <w:numPr>
          <w:ilvl w:val="1"/>
          <w:numId w:val="18"/>
        </w:numPr>
        <w:rPr>
          <w:rFonts w:ascii="Times New Roman" w:hAnsi="Times New Roman"/>
          <w:bCs/>
          <w:sz w:val="22"/>
          <w:szCs w:val="22"/>
        </w:rPr>
      </w:pPr>
      <w:r w:rsidRPr="00F06896">
        <w:rPr>
          <w:rFonts w:ascii="Times New Roman" w:hAnsi="Times New Roman"/>
          <w:bCs/>
          <w:sz w:val="22"/>
          <w:szCs w:val="22"/>
        </w:rPr>
        <w:t>The evidence and reasoning of the Committee in relation to infusion costs lacks transparency despite the evidence submitted by NHS England prior to ACM3</w:t>
      </w:r>
    </w:p>
    <w:p w:rsidRPr="00F06896" w:rsidR="00372358" w:rsidP="00D161D6" w:rsidRDefault="00372358" w14:paraId="330F112C" w14:textId="0FC44407">
      <w:pPr>
        <w:pStyle w:val="ListParagraph"/>
        <w:numPr>
          <w:ilvl w:val="1"/>
          <w:numId w:val="18"/>
        </w:numPr>
        <w:rPr>
          <w:rFonts w:ascii="Times New Roman" w:hAnsi="Times New Roman"/>
          <w:bCs/>
          <w:sz w:val="22"/>
          <w:szCs w:val="22"/>
        </w:rPr>
      </w:pPr>
      <w:r w:rsidRPr="00F06896">
        <w:rPr>
          <w:rFonts w:ascii="Times New Roman" w:hAnsi="Times New Roman"/>
          <w:bCs/>
          <w:sz w:val="22"/>
          <w:szCs w:val="22"/>
        </w:rPr>
        <w:t>The Committee has omitted to explain why it has rejected the data from Clarity AD in concluding no effect of lecanemab in delaying progression to moderate or severe AD and has adopted an inconsistent approach to that followed in the appraisal of donanemab</w:t>
      </w:r>
    </w:p>
    <w:p w:rsidRPr="00F06896" w:rsidR="00372358" w:rsidP="00D161D6" w:rsidRDefault="0076241F" w14:paraId="180F7F0D" w14:textId="35EDA59D">
      <w:pPr>
        <w:pStyle w:val="ListParagraph"/>
        <w:numPr>
          <w:ilvl w:val="1"/>
          <w:numId w:val="18"/>
        </w:numPr>
        <w:rPr>
          <w:rFonts w:ascii="Times New Roman" w:hAnsi="Times New Roman" w:eastAsiaTheme="minorHAnsi"/>
          <w:bCs/>
          <w:sz w:val="22"/>
          <w:szCs w:val="22"/>
          <w14:ligatures w14:val="standardContextual"/>
        </w:rPr>
      </w:pPr>
      <w:r w:rsidRPr="00F06896">
        <w:rPr>
          <w:rFonts w:ascii="Times New Roman" w:hAnsi="Times New Roman" w:eastAsia="Times New Roman"/>
          <w:bCs/>
          <w:kern w:val="0"/>
          <w:sz w:val="22"/>
          <w:szCs w:val="22"/>
        </w:rPr>
        <w:t xml:space="preserve">The Committee’s consideration of a recommendation for use of lecanemab through </w:t>
      </w:r>
      <w:r w:rsidRPr="00F06896">
        <w:rPr>
          <w:rFonts w:ascii="Times New Roman" w:hAnsi="Times New Roman"/>
          <w:bCs/>
          <w:sz w:val="22"/>
          <w:szCs w:val="22"/>
        </w:rPr>
        <w:t>managed</w:t>
      </w:r>
      <w:r w:rsidRPr="00F06896">
        <w:rPr>
          <w:rFonts w:ascii="Times New Roman" w:hAnsi="Times New Roman" w:eastAsia="Times New Roman"/>
          <w:bCs/>
          <w:kern w:val="0"/>
          <w:sz w:val="22"/>
          <w:szCs w:val="22"/>
        </w:rPr>
        <w:t xml:space="preserve"> access does not reflect the requirements of the Manual or the Innovative Medicines Fund principles and is unfair</w:t>
      </w:r>
    </w:p>
    <w:p w:rsidRPr="00F06896" w:rsidR="0076241F" w:rsidP="00D161D6" w:rsidRDefault="0076241F" w14:paraId="4B9BE95A" w14:textId="5489E0D4">
      <w:pPr>
        <w:pStyle w:val="ListParagraph"/>
        <w:numPr>
          <w:ilvl w:val="1"/>
          <w:numId w:val="18"/>
        </w:numPr>
        <w:rPr>
          <w:rFonts w:ascii="Times New Roman" w:hAnsi="Times New Roman"/>
          <w:bCs/>
          <w:sz w:val="22"/>
          <w:szCs w:val="22"/>
        </w:rPr>
      </w:pPr>
      <w:r w:rsidRPr="00F06896">
        <w:rPr>
          <w:rFonts w:ascii="Times New Roman" w:hAnsi="Times New Roman"/>
          <w:bCs/>
          <w:sz w:val="22"/>
          <w:szCs w:val="22"/>
        </w:rPr>
        <w:t>The Committee has omitted consideration of health inequalities from its consideration of the appropriate ICER threshold for this appraisal</w:t>
      </w:r>
    </w:p>
    <w:p w:rsidRPr="00F06896" w:rsidR="0076241F" w:rsidP="00D161D6" w:rsidRDefault="0076241F" w14:paraId="465CAC7B" w14:textId="47C828FA">
      <w:pPr>
        <w:pStyle w:val="ListParagraph"/>
        <w:numPr>
          <w:ilvl w:val="1"/>
          <w:numId w:val="18"/>
        </w:numPr>
        <w:rPr>
          <w:rFonts w:ascii="Times New Roman" w:hAnsi="Times New Roman"/>
          <w:bCs/>
          <w:sz w:val="22"/>
          <w:szCs w:val="22"/>
        </w:rPr>
      </w:pPr>
      <w:r w:rsidRPr="00F06896">
        <w:rPr>
          <w:rFonts w:ascii="Times New Roman" w:hAnsi="Times New Roman"/>
          <w:bCs/>
          <w:sz w:val="22"/>
          <w:szCs w:val="22"/>
        </w:rPr>
        <w:t xml:space="preserve">The Committee has concluded that the changes in NHS service delivery that would be required to implement lecanemab therapy should preclude access, outside its remit and without conducting an adequate investigation </w:t>
      </w:r>
    </w:p>
    <w:p w:rsidR="003B75E2" w:rsidP="007F0316" w:rsidRDefault="003B75E2" w14:paraId="5382F6C4" w14:textId="77777777">
      <w:pPr>
        <w:rPr>
          <w:rFonts w:ascii="Times New Roman" w:hAnsi="Times New Roman"/>
          <w:bCs/>
          <w:sz w:val="22"/>
          <w:szCs w:val="22"/>
        </w:rPr>
      </w:pPr>
    </w:p>
    <w:p w:rsidRPr="003B75E2" w:rsidR="00372358" w:rsidP="007F0316" w:rsidRDefault="00372358" w14:paraId="727B88E6" w14:textId="11ADCC4A">
      <w:pPr>
        <w:rPr>
          <w:rFonts w:ascii="Times New Roman" w:hAnsi="Times New Roman"/>
          <w:bCs/>
          <w:sz w:val="22"/>
          <w:szCs w:val="22"/>
          <w:u w:val="single"/>
        </w:rPr>
      </w:pPr>
      <w:r w:rsidRPr="003B75E2">
        <w:rPr>
          <w:rFonts w:ascii="Times New Roman" w:hAnsi="Times New Roman"/>
          <w:bCs/>
          <w:sz w:val="22"/>
          <w:szCs w:val="22"/>
          <w:u w:val="single"/>
        </w:rPr>
        <w:t>Ground 2:</w:t>
      </w:r>
    </w:p>
    <w:p w:rsidRPr="00F06896" w:rsidR="00F47D44" w:rsidP="00D161D6" w:rsidRDefault="00F47D44" w14:paraId="7F3846AD" w14:textId="17D3B656">
      <w:pPr>
        <w:pStyle w:val="ListParagraph"/>
        <w:numPr>
          <w:ilvl w:val="1"/>
          <w:numId w:val="19"/>
        </w:numPr>
        <w:rPr>
          <w:rFonts w:ascii="Times New Roman" w:hAnsi="Times New Roman"/>
          <w:bCs/>
          <w:sz w:val="22"/>
          <w:szCs w:val="22"/>
        </w:rPr>
      </w:pPr>
      <w:r w:rsidRPr="00F06896">
        <w:rPr>
          <w:rFonts w:ascii="Times New Roman" w:hAnsi="Times New Roman"/>
          <w:bCs/>
          <w:sz w:val="22"/>
          <w:szCs w:val="22"/>
        </w:rPr>
        <w:t>The Committee’s assessment of utility values for carers does not reflect the balance of the available evidence</w:t>
      </w:r>
    </w:p>
    <w:p w:rsidRPr="00F06896" w:rsidR="00F47D44" w:rsidP="00D161D6" w:rsidRDefault="00F47D44" w14:paraId="7C6E8768" w14:textId="5903BDE2">
      <w:pPr>
        <w:pStyle w:val="ListParagraph"/>
        <w:numPr>
          <w:ilvl w:val="1"/>
          <w:numId w:val="19"/>
        </w:numPr>
        <w:rPr>
          <w:rFonts w:ascii="Times New Roman" w:hAnsi="Times New Roman"/>
          <w:bCs/>
          <w:sz w:val="22"/>
          <w:szCs w:val="22"/>
        </w:rPr>
      </w:pPr>
      <w:r w:rsidRPr="00F06896">
        <w:rPr>
          <w:rFonts w:ascii="Times New Roman" w:hAnsi="Times New Roman"/>
          <w:bCs/>
          <w:sz w:val="22"/>
          <w:szCs w:val="22"/>
        </w:rPr>
        <w:t>The Committee’s conclusion that the benefits of lecanemab are “small” is subjective, rather than scientific</w:t>
      </w:r>
      <w:r w:rsidRPr="00F06896" w:rsidR="00F9302B">
        <w:rPr>
          <w:rFonts w:ascii="Times New Roman" w:hAnsi="Times New Roman"/>
          <w:bCs/>
          <w:sz w:val="22"/>
          <w:szCs w:val="22"/>
        </w:rPr>
        <w:t>,</w:t>
      </w:r>
      <w:r w:rsidRPr="00F06896">
        <w:rPr>
          <w:rFonts w:ascii="Times New Roman" w:hAnsi="Times New Roman"/>
          <w:bCs/>
          <w:sz w:val="22"/>
          <w:szCs w:val="22"/>
        </w:rPr>
        <w:t xml:space="preserve"> and unreasonable</w:t>
      </w:r>
    </w:p>
    <w:p w:rsidRPr="00F06896" w:rsidR="00F47D44" w:rsidP="00D161D6" w:rsidRDefault="00F47D44" w14:paraId="7E19812C" w14:textId="5674F2FE">
      <w:pPr>
        <w:pStyle w:val="ListParagraph"/>
        <w:numPr>
          <w:ilvl w:val="1"/>
          <w:numId w:val="19"/>
        </w:numPr>
        <w:rPr>
          <w:rFonts w:ascii="Times New Roman" w:hAnsi="Times New Roman"/>
          <w:bCs/>
          <w:sz w:val="22"/>
          <w:szCs w:val="22"/>
        </w:rPr>
      </w:pPr>
      <w:r w:rsidRPr="00F06896">
        <w:rPr>
          <w:rFonts w:ascii="Times New Roman" w:hAnsi="Times New Roman"/>
          <w:bCs/>
          <w:sz w:val="22"/>
          <w:szCs w:val="22"/>
        </w:rPr>
        <w:t>The assessment of the additional aspects of lecanemab treatment is unbalanced and unreasonable</w:t>
      </w:r>
    </w:p>
    <w:p w:rsidRPr="00F06896" w:rsidR="00F47D44" w:rsidP="00D161D6" w:rsidRDefault="00F47D44" w14:paraId="6B3FCBF7" w14:textId="4BE82721">
      <w:pPr>
        <w:pStyle w:val="ListParagraph"/>
        <w:numPr>
          <w:ilvl w:val="1"/>
          <w:numId w:val="19"/>
        </w:numPr>
        <w:rPr>
          <w:rFonts w:ascii="Times New Roman" w:hAnsi="Times New Roman"/>
          <w:bCs/>
          <w:sz w:val="22"/>
          <w:szCs w:val="22"/>
        </w:rPr>
      </w:pPr>
      <w:r w:rsidRPr="00F06896">
        <w:rPr>
          <w:rFonts w:ascii="Times New Roman" w:hAnsi="Times New Roman"/>
          <w:bCs/>
          <w:sz w:val="22"/>
          <w:szCs w:val="22"/>
        </w:rPr>
        <w:t>The approach to treatment waning accepted by the Committee is arbitrary and unreasonable</w:t>
      </w:r>
    </w:p>
    <w:p w:rsidRPr="00F06896" w:rsidR="001F4997" w:rsidP="00D161D6" w:rsidRDefault="00F47D44" w14:paraId="5E2B0A55" w14:textId="312551C3">
      <w:pPr>
        <w:pStyle w:val="ListParagraph"/>
        <w:numPr>
          <w:ilvl w:val="1"/>
          <w:numId w:val="19"/>
        </w:numPr>
        <w:rPr>
          <w:rFonts w:ascii="Times New Roman" w:hAnsi="Times New Roman"/>
          <w:bCs/>
          <w:sz w:val="22"/>
          <w:szCs w:val="22"/>
          <w:u w:val="single"/>
        </w:rPr>
      </w:pPr>
      <w:r w:rsidRPr="00F06896">
        <w:rPr>
          <w:rFonts w:ascii="Times New Roman" w:hAnsi="Times New Roman"/>
          <w:bCs/>
          <w:sz w:val="22"/>
          <w:szCs w:val="22"/>
        </w:rPr>
        <w:t>The Committee’s decision to rely on an unverified cost estimate for APOE4 gene testing costs rather than a transparent estimate from an alternative source is unreasonable</w:t>
      </w:r>
    </w:p>
    <w:p w:rsidRPr="00F06896" w:rsidR="003762DD" w:rsidP="00D161D6" w:rsidRDefault="00F47D44" w14:paraId="4A1FAA84" w14:textId="4D9768E1">
      <w:pPr>
        <w:pStyle w:val="ListParagraph"/>
        <w:numPr>
          <w:ilvl w:val="1"/>
          <w:numId w:val="19"/>
        </w:numPr>
        <w:rPr>
          <w:rFonts w:ascii="Times New Roman" w:hAnsi="Times New Roman"/>
          <w:b/>
          <w:bCs/>
          <w:sz w:val="22"/>
          <w:szCs w:val="22"/>
          <w:u w:val="single"/>
        </w:rPr>
      </w:pPr>
      <w:r w:rsidRPr="00F06896">
        <w:rPr>
          <w:rFonts w:ascii="Times New Roman" w:hAnsi="Times New Roman"/>
          <w:bCs/>
          <w:sz w:val="22"/>
          <w:szCs w:val="22"/>
        </w:rPr>
        <w:t>The Committee’s consideration of a recommendation for use of lecanemab with managed access is inconsistent with the Manual and the Innovative Medicines Fund principles and is unreasonable</w:t>
      </w:r>
    </w:p>
    <w:p w:rsidR="00DD645D" w:rsidP="007F0316" w:rsidRDefault="00DD645D" w14:paraId="09964CCC" w14:textId="77777777">
      <w:pPr>
        <w:rPr>
          <w:rFonts w:ascii="Times New Roman" w:hAnsi="Times New Roman"/>
          <w:b/>
          <w:bCs/>
          <w:sz w:val="22"/>
          <w:szCs w:val="22"/>
          <w:u w:val="single"/>
        </w:rPr>
      </w:pPr>
    </w:p>
    <w:p w:rsidR="00DF27B9" w:rsidP="007F0316" w:rsidRDefault="0000565A" w14:paraId="6806B55E" w14:textId="7E2FC49A">
      <w:pPr>
        <w:rPr>
          <w:rFonts w:ascii="Times New Roman" w:hAnsi="Times New Roman"/>
          <w:b/>
          <w:bCs/>
          <w:sz w:val="22"/>
          <w:szCs w:val="22"/>
          <w:u w:val="single"/>
        </w:rPr>
      </w:pPr>
      <w:r w:rsidRPr="00F06896">
        <w:rPr>
          <w:rFonts w:ascii="Times New Roman" w:hAnsi="Times New Roman"/>
          <w:b/>
          <w:bCs/>
          <w:sz w:val="22"/>
          <w:szCs w:val="22"/>
          <w:u w:val="single"/>
        </w:rPr>
        <w:t>INTRODUCTION</w:t>
      </w:r>
    </w:p>
    <w:p w:rsidRPr="00F06896" w:rsidR="00FD34A3" w:rsidP="007F0316" w:rsidRDefault="00FD34A3" w14:paraId="0EC8DC34" w14:textId="77777777">
      <w:pPr>
        <w:rPr>
          <w:rFonts w:ascii="Times New Roman" w:hAnsi="Times New Roman"/>
          <w:b/>
          <w:bCs/>
          <w:sz w:val="22"/>
          <w:szCs w:val="22"/>
          <w:u w:val="single"/>
        </w:rPr>
      </w:pPr>
    </w:p>
    <w:p w:rsidR="0000565A" w:rsidP="007F0316" w:rsidRDefault="0000565A" w14:paraId="645F6E32" w14:textId="74EC1689">
      <w:pPr>
        <w:rPr>
          <w:rFonts w:ascii="Times New Roman" w:hAnsi="Times New Roman" w:eastAsia="Times New Roman"/>
          <w:bCs/>
          <w:sz w:val="22"/>
          <w:szCs w:val="22"/>
        </w:rPr>
      </w:pPr>
      <w:r w:rsidRPr="00F06896">
        <w:rPr>
          <w:rFonts w:ascii="Times New Roman" w:hAnsi="Times New Roman" w:eastAsia="Times New Roman"/>
          <w:bCs/>
          <w:sz w:val="22"/>
          <w:szCs w:val="22"/>
        </w:rPr>
        <w:t xml:space="preserve">We provide </w:t>
      </w:r>
      <w:r w:rsidRPr="00F06896" w:rsidR="00422D32">
        <w:rPr>
          <w:rFonts w:ascii="Times New Roman" w:hAnsi="Times New Roman" w:eastAsia="Times New Roman"/>
          <w:bCs/>
          <w:sz w:val="22"/>
          <w:szCs w:val="22"/>
        </w:rPr>
        <w:t xml:space="preserve">the </w:t>
      </w:r>
      <w:r w:rsidRPr="00F06896">
        <w:rPr>
          <w:rFonts w:ascii="Times New Roman" w:hAnsi="Times New Roman" w:eastAsia="Times New Roman"/>
          <w:bCs/>
          <w:sz w:val="22"/>
          <w:szCs w:val="22"/>
        </w:rPr>
        <w:t xml:space="preserve">below background information in relation to mild cognitive impairment </w:t>
      </w:r>
      <w:r w:rsidRPr="00F06896" w:rsidR="00722EC9">
        <w:rPr>
          <w:rFonts w:ascii="Times New Roman" w:hAnsi="Times New Roman" w:eastAsia="Times New Roman"/>
          <w:bCs/>
          <w:sz w:val="22"/>
          <w:szCs w:val="22"/>
        </w:rPr>
        <w:t xml:space="preserve">(MCI) </w:t>
      </w:r>
      <w:r w:rsidRPr="00F06896">
        <w:rPr>
          <w:rFonts w:ascii="Times New Roman" w:hAnsi="Times New Roman" w:eastAsia="Times New Roman"/>
          <w:bCs/>
          <w:sz w:val="22"/>
          <w:szCs w:val="22"/>
        </w:rPr>
        <w:t xml:space="preserve">and </w:t>
      </w:r>
      <w:r w:rsidRPr="00F06896" w:rsidR="00B81608">
        <w:rPr>
          <w:rFonts w:ascii="Times New Roman" w:hAnsi="Times New Roman" w:eastAsia="Times New Roman"/>
          <w:bCs/>
          <w:sz w:val="22"/>
          <w:szCs w:val="22"/>
        </w:rPr>
        <w:t>mild dementia caused by Alzheimer’s Disease</w:t>
      </w:r>
      <w:r w:rsidRPr="00F06896">
        <w:rPr>
          <w:rFonts w:ascii="Times New Roman" w:hAnsi="Times New Roman" w:eastAsia="Times New Roman"/>
          <w:bCs/>
          <w:sz w:val="22"/>
          <w:szCs w:val="22"/>
        </w:rPr>
        <w:t xml:space="preserve"> </w:t>
      </w:r>
      <w:r w:rsidRPr="00F06896" w:rsidR="00422D32">
        <w:rPr>
          <w:rFonts w:ascii="Times New Roman" w:hAnsi="Times New Roman" w:eastAsia="Times New Roman"/>
          <w:bCs/>
          <w:sz w:val="22"/>
          <w:szCs w:val="22"/>
        </w:rPr>
        <w:t xml:space="preserve">(AD) </w:t>
      </w:r>
      <w:r w:rsidRPr="00F06896">
        <w:rPr>
          <w:rFonts w:ascii="Times New Roman" w:hAnsi="Times New Roman" w:eastAsia="Times New Roman"/>
          <w:bCs/>
          <w:sz w:val="22"/>
          <w:szCs w:val="22"/>
        </w:rPr>
        <w:t>in order to assist the Appeal Panel. This summary</w:t>
      </w:r>
      <w:r w:rsidRPr="00F06896" w:rsidR="00F561A0">
        <w:rPr>
          <w:rFonts w:ascii="Times New Roman" w:hAnsi="Times New Roman" w:eastAsia="Times New Roman"/>
          <w:bCs/>
          <w:sz w:val="22"/>
          <w:szCs w:val="22"/>
        </w:rPr>
        <w:t xml:space="preserve"> does</w:t>
      </w:r>
      <w:r w:rsidRPr="00F06896" w:rsidR="00470942">
        <w:rPr>
          <w:rFonts w:ascii="Times New Roman" w:hAnsi="Times New Roman" w:eastAsia="Times New Roman"/>
          <w:bCs/>
          <w:sz w:val="22"/>
          <w:szCs w:val="22"/>
        </w:rPr>
        <w:t xml:space="preserve"> </w:t>
      </w:r>
      <w:r w:rsidRPr="00F06896">
        <w:rPr>
          <w:rFonts w:ascii="Times New Roman" w:hAnsi="Times New Roman" w:eastAsia="Times New Roman"/>
          <w:bCs/>
          <w:sz w:val="22"/>
          <w:szCs w:val="22"/>
        </w:rPr>
        <w:t xml:space="preserve">not replace the more detailed information provided by </w:t>
      </w:r>
      <w:r w:rsidRPr="00F06896" w:rsidR="00330FFC">
        <w:rPr>
          <w:rFonts w:ascii="Times New Roman" w:hAnsi="Times New Roman" w:eastAsia="Times New Roman"/>
          <w:bCs/>
          <w:sz w:val="22"/>
          <w:szCs w:val="22"/>
        </w:rPr>
        <w:t xml:space="preserve">Eisai </w:t>
      </w:r>
      <w:r w:rsidRPr="00F06896" w:rsidR="002F3819">
        <w:rPr>
          <w:rFonts w:ascii="Times New Roman" w:hAnsi="Times New Roman" w:eastAsia="Times New Roman"/>
          <w:bCs/>
          <w:sz w:val="22"/>
          <w:szCs w:val="22"/>
        </w:rPr>
        <w:t xml:space="preserve">Limited (Eisai) </w:t>
      </w:r>
      <w:r w:rsidRPr="00F06896">
        <w:rPr>
          <w:rFonts w:ascii="Times New Roman" w:hAnsi="Times New Roman" w:eastAsia="Times New Roman"/>
          <w:bCs/>
          <w:sz w:val="22"/>
          <w:szCs w:val="22"/>
        </w:rPr>
        <w:t xml:space="preserve">in its original submission on </w:t>
      </w:r>
      <w:r w:rsidRPr="00F06896" w:rsidR="00B90EDB">
        <w:rPr>
          <w:rFonts w:ascii="Times New Roman" w:hAnsi="Times New Roman" w:eastAsia="Times New Roman"/>
          <w:bCs/>
          <w:sz w:val="22"/>
          <w:szCs w:val="22"/>
        </w:rPr>
        <w:t>7 December 202</w:t>
      </w:r>
      <w:r w:rsidRPr="00F06896" w:rsidR="00FF73FE">
        <w:rPr>
          <w:rFonts w:ascii="Times New Roman" w:hAnsi="Times New Roman" w:eastAsia="Times New Roman"/>
          <w:bCs/>
          <w:sz w:val="22"/>
          <w:szCs w:val="22"/>
        </w:rPr>
        <w:t>3</w:t>
      </w:r>
      <w:r w:rsidRPr="00F06896">
        <w:rPr>
          <w:rFonts w:ascii="Times New Roman" w:hAnsi="Times New Roman" w:eastAsia="Times New Roman"/>
          <w:bCs/>
          <w:sz w:val="22"/>
          <w:szCs w:val="22"/>
        </w:rPr>
        <w:t xml:space="preserve"> for the purposes of</w:t>
      </w:r>
      <w:r w:rsidRPr="00F06896" w:rsidR="00330FFC">
        <w:rPr>
          <w:rFonts w:ascii="Times New Roman" w:hAnsi="Times New Roman" w:eastAsia="Times New Roman"/>
          <w:bCs/>
          <w:sz w:val="22"/>
          <w:szCs w:val="22"/>
        </w:rPr>
        <w:t xml:space="preserve"> this appraisal</w:t>
      </w:r>
      <w:r w:rsidRPr="00F06896">
        <w:rPr>
          <w:rFonts w:ascii="Times New Roman" w:hAnsi="Times New Roman" w:eastAsia="Times New Roman"/>
          <w:bCs/>
          <w:sz w:val="22"/>
          <w:szCs w:val="22"/>
        </w:rPr>
        <w:t xml:space="preserve">. </w:t>
      </w:r>
    </w:p>
    <w:p w:rsidRPr="00F06896" w:rsidR="00AD5F03" w:rsidP="007F0316" w:rsidRDefault="00AD5F03" w14:paraId="06C40FD0" w14:textId="77777777">
      <w:pPr>
        <w:rPr>
          <w:rFonts w:ascii="Times New Roman" w:hAnsi="Times New Roman" w:eastAsia="Times New Roman"/>
          <w:bCs/>
          <w:sz w:val="22"/>
          <w:szCs w:val="22"/>
        </w:rPr>
      </w:pPr>
    </w:p>
    <w:p w:rsidR="0000565A" w:rsidP="007F0316" w:rsidRDefault="000B71F1" w14:paraId="3C134F81" w14:textId="6FB903A5">
      <w:pPr>
        <w:rPr>
          <w:rFonts w:ascii="Times New Roman" w:hAnsi="Times New Roman" w:eastAsia="Times New Roman"/>
          <w:bCs/>
          <w:sz w:val="22"/>
          <w:szCs w:val="22"/>
          <w:u w:val="single"/>
        </w:rPr>
      </w:pPr>
      <w:r w:rsidRPr="00F06896">
        <w:rPr>
          <w:rFonts w:ascii="Times New Roman" w:hAnsi="Times New Roman" w:eastAsia="Times New Roman"/>
          <w:bCs/>
          <w:sz w:val="22"/>
          <w:szCs w:val="22"/>
          <w:u w:val="single"/>
        </w:rPr>
        <w:t>Mild cognitive impairment and mild dementia caused by Alzheimer’s Disease</w:t>
      </w:r>
    </w:p>
    <w:p w:rsidRPr="00F06896" w:rsidR="00166FB9" w:rsidP="007F0316" w:rsidRDefault="00166FB9" w14:paraId="2D08706D" w14:textId="77777777">
      <w:pPr>
        <w:rPr>
          <w:rFonts w:ascii="Times New Roman" w:hAnsi="Times New Roman" w:eastAsia="Times New Roman"/>
          <w:b/>
          <w:sz w:val="22"/>
          <w:szCs w:val="22"/>
          <w:u w:val="single"/>
        </w:rPr>
      </w:pPr>
    </w:p>
    <w:p w:rsidRPr="00F06896" w:rsidR="00CD0D98" w:rsidP="360FD8C4" w:rsidRDefault="00135FC1" w14:paraId="3D7EC992" w14:textId="4A1A2CF4">
      <w:pPr>
        <w:pStyle w:val="Default"/>
        <w:jc w:val="both"/>
        <w:rPr>
          <w:rFonts w:ascii="Times New Roman" w:hAnsi="Times New Roman" w:cs="Times New Roman"/>
          <w:color w:val="auto"/>
          <w:sz w:val="22"/>
          <w:szCs w:val="22"/>
          <w:lang w:val="en-US"/>
        </w:rPr>
      </w:pPr>
      <w:r w:rsidRPr="360FD8C4">
        <w:rPr>
          <w:rFonts w:ascii="Times New Roman" w:hAnsi="Times New Roman" w:cs="Times New Roman"/>
          <w:color w:val="auto"/>
          <w:sz w:val="22"/>
          <w:szCs w:val="22"/>
          <w:lang w:val="en-US"/>
        </w:rPr>
        <w:t xml:space="preserve">AD is a chronic, irreversible neurodegenerative disease </w:t>
      </w:r>
      <w:proofErr w:type="spellStart"/>
      <w:r w:rsidRPr="360FD8C4">
        <w:rPr>
          <w:rFonts w:ascii="Times New Roman" w:hAnsi="Times New Roman" w:cs="Times New Roman"/>
          <w:color w:val="auto"/>
          <w:sz w:val="22"/>
          <w:szCs w:val="22"/>
          <w:lang w:val="en-US"/>
        </w:rPr>
        <w:t>characterised</w:t>
      </w:r>
      <w:proofErr w:type="spellEnd"/>
      <w:r w:rsidRPr="360FD8C4">
        <w:rPr>
          <w:rFonts w:ascii="Times New Roman" w:hAnsi="Times New Roman" w:cs="Times New Roman"/>
          <w:color w:val="auto"/>
          <w:sz w:val="22"/>
          <w:szCs w:val="22"/>
          <w:lang w:val="en-US"/>
        </w:rPr>
        <w:t xml:space="preserve"> by deposition of extracellular Aβ plaques composed of Aβ peptides and intracellular neurofibrillary tangles (NFT) composed of the Tau protein. </w:t>
      </w:r>
      <w:r w:rsidRPr="360FD8C4" w:rsidR="00CD0D98">
        <w:rPr>
          <w:rFonts w:ascii="Times New Roman" w:hAnsi="Times New Roman" w:cs="Times New Roman"/>
          <w:color w:val="auto"/>
          <w:sz w:val="22"/>
          <w:szCs w:val="22"/>
          <w:lang w:val="en-US"/>
        </w:rPr>
        <w:t xml:space="preserve"> </w:t>
      </w:r>
      <w:r w:rsidRPr="360FD8C4" w:rsidR="006F2017">
        <w:rPr>
          <w:rFonts w:ascii="Times New Roman" w:hAnsi="Times New Roman" w:cs="Times New Roman"/>
          <w:color w:val="auto"/>
          <w:sz w:val="22"/>
          <w:szCs w:val="22"/>
          <w:lang w:val="en-US"/>
        </w:rPr>
        <w:t xml:space="preserve">These eventually </w:t>
      </w:r>
      <w:r w:rsidRPr="360FD8C4" w:rsidR="005E6A59">
        <w:rPr>
          <w:rFonts w:ascii="Times New Roman" w:hAnsi="Times New Roman" w:cs="Times New Roman"/>
          <w:color w:val="auto"/>
          <w:sz w:val="22"/>
          <w:szCs w:val="22"/>
          <w:lang w:val="en-US"/>
        </w:rPr>
        <w:t xml:space="preserve">result in </w:t>
      </w:r>
      <w:r w:rsidRPr="360FD8C4" w:rsidR="00470942">
        <w:rPr>
          <w:rFonts w:ascii="Times New Roman" w:hAnsi="Times New Roman" w:cs="Times New Roman"/>
          <w:color w:val="auto"/>
          <w:sz w:val="22"/>
          <w:szCs w:val="22"/>
          <w:lang w:val="en-US"/>
        </w:rPr>
        <w:t xml:space="preserve">cognitive difficulties including memory loss, confusion, and personality changes. </w:t>
      </w:r>
    </w:p>
    <w:p w:rsidRPr="00F06896" w:rsidR="00CD0D98" w:rsidP="007F0316" w:rsidRDefault="00CD0D98" w14:paraId="792AC2F7" w14:textId="77777777">
      <w:pPr>
        <w:pStyle w:val="Default"/>
        <w:jc w:val="both"/>
        <w:rPr>
          <w:rFonts w:ascii="Times New Roman" w:hAnsi="Times New Roman" w:cs="Times New Roman"/>
          <w:color w:val="auto"/>
          <w:sz w:val="22"/>
          <w:szCs w:val="22"/>
        </w:rPr>
      </w:pPr>
    </w:p>
    <w:p w:rsidRPr="00F06896" w:rsidR="00AE125F" w:rsidP="360FD8C4" w:rsidRDefault="00CD0D98" w14:paraId="158DA2D7" w14:textId="09070139">
      <w:pPr>
        <w:pStyle w:val="Default"/>
        <w:jc w:val="both"/>
        <w:rPr>
          <w:rFonts w:ascii="Times New Roman" w:hAnsi="Times New Roman" w:cs="Times New Roman"/>
          <w:color w:val="auto"/>
          <w:sz w:val="22"/>
          <w:szCs w:val="22"/>
          <w:lang w:val="en-US"/>
        </w:rPr>
      </w:pPr>
      <w:r w:rsidRPr="360FD8C4">
        <w:rPr>
          <w:rFonts w:ascii="Times New Roman" w:hAnsi="Times New Roman" w:cs="Times New Roman"/>
          <w:color w:val="auto"/>
          <w:sz w:val="22"/>
          <w:szCs w:val="22"/>
          <w:lang w:val="en-US"/>
        </w:rPr>
        <w:t xml:space="preserve">AD </w:t>
      </w:r>
      <w:r w:rsidRPr="360FD8C4" w:rsidR="00470942">
        <w:rPr>
          <w:rFonts w:ascii="Times New Roman" w:hAnsi="Times New Roman" w:cs="Times New Roman"/>
          <w:color w:val="auto"/>
          <w:sz w:val="22"/>
          <w:szCs w:val="22"/>
          <w:lang w:val="en-US"/>
        </w:rPr>
        <w:t xml:space="preserve">is the leading cause of cognitive impairment and dementia worldwide in individuals aged 65 and above. </w:t>
      </w:r>
      <w:r w:rsidRPr="360FD8C4" w:rsidR="009166EB">
        <w:rPr>
          <w:rFonts w:ascii="Times New Roman" w:hAnsi="Times New Roman" w:cs="Times New Roman"/>
          <w:color w:val="auto"/>
          <w:sz w:val="22"/>
          <w:szCs w:val="22"/>
          <w:lang w:val="en-US"/>
        </w:rPr>
        <w:t>In 202</w:t>
      </w:r>
      <w:r w:rsidRPr="360FD8C4" w:rsidR="00F52006">
        <w:rPr>
          <w:rFonts w:ascii="Times New Roman" w:hAnsi="Times New Roman" w:cs="Times New Roman"/>
          <w:color w:val="auto"/>
          <w:sz w:val="22"/>
          <w:szCs w:val="22"/>
          <w:lang w:val="en-US"/>
        </w:rPr>
        <w:t xml:space="preserve">2, AD </w:t>
      </w:r>
      <w:r w:rsidRPr="360FD8C4" w:rsidR="00E6095D">
        <w:rPr>
          <w:rFonts w:ascii="Times New Roman" w:hAnsi="Times New Roman" w:cs="Times New Roman"/>
          <w:color w:val="auto"/>
          <w:sz w:val="22"/>
          <w:szCs w:val="22"/>
          <w:lang w:val="en-US"/>
        </w:rPr>
        <w:t xml:space="preserve">was the leading cause of death in </w:t>
      </w:r>
      <w:r w:rsidRPr="360FD8C4" w:rsidR="00B67686">
        <w:rPr>
          <w:rFonts w:ascii="Times New Roman" w:hAnsi="Times New Roman" w:cs="Times New Roman"/>
          <w:color w:val="auto"/>
          <w:sz w:val="22"/>
          <w:szCs w:val="22"/>
          <w:lang w:val="en-US"/>
        </w:rPr>
        <w:t>the UK</w:t>
      </w:r>
      <w:r w:rsidRPr="360FD8C4" w:rsidR="00BC5498">
        <w:rPr>
          <w:rFonts w:ascii="Times New Roman" w:hAnsi="Times New Roman" w:cs="Times New Roman"/>
          <w:color w:val="auto"/>
          <w:sz w:val="22"/>
          <w:szCs w:val="22"/>
          <w:lang w:val="en-US"/>
        </w:rPr>
        <w:t xml:space="preserve"> (11.4% of all deaths)</w:t>
      </w:r>
      <w:r w:rsidRPr="360FD8C4" w:rsidR="004B387A">
        <w:rPr>
          <w:rFonts w:ascii="Times New Roman" w:hAnsi="Times New Roman" w:cs="Times New Roman"/>
          <w:color w:val="auto"/>
          <w:sz w:val="22"/>
          <w:szCs w:val="22"/>
          <w:lang w:val="en-US"/>
        </w:rPr>
        <w:t xml:space="preserve">. </w:t>
      </w:r>
      <w:r w:rsidRPr="360FD8C4" w:rsidR="00470942">
        <w:rPr>
          <w:rFonts w:ascii="Times New Roman" w:hAnsi="Times New Roman" w:cs="Times New Roman"/>
          <w:color w:val="auto"/>
          <w:sz w:val="22"/>
          <w:szCs w:val="22"/>
          <w:lang w:val="en-US"/>
        </w:rPr>
        <w:t>With disease progression, AD patients lose their ability to live independently and become completely dependent on others for their care</w:t>
      </w:r>
      <w:r w:rsidRPr="360FD8C4" w:rsidR="00995A2A">
        <w:rPr>
          <w:rFonts w:ascii="Times New Roman" w:hAnsi="Times New Roman" w:cs="Times New Roman"/>
          <w:color w:val="auto"/>
          <w:sz w:val="22"/>
          <w:szCs w:val="22"/>
          <w:lang w:val="en-US"/>
        </w:rPr>
        <w:t xml:space="preserve">. This </w:t>
      </w:r>
      <w:r w:rsidRPr="360FD8C4" w:rsidR="001C4169">
        <w:rPr>
          <w:rFonts w:ascii="Times New Roman" w:hAnsi="Times New Roman" w:cs="Times New Roman"/>
          <w:color w:val="auto"/>
          <w:sz w:val="22"/>
          <w:szCs w:val="22"/>
          <w:lang w:val="en-US"/>
        </w:rPr>
        <w:t>severely impact</w:t>
      </w:r>
      <w:r w:rsidRPr="360FD8C4" w:rsidR="00995A2A">
        <w:rPr>
          <w:rFonts w:ascii="Times New Roman" w:hAnsi="Times New Roman" w:cs="Times New Roman"/>
          <w:color w:val="auto"/>
          <w:sz w:val="22"/>
          <w:szCs w:val="22"/>
          <w:lang w:val="en-US"/>
        </w:rPr>
        <w:t>s</w:t>
      </w:r>
      <w:r w:rsidRPr="360FD8C4" w:rsidR="001C4169">
        <w:rPr>
          <w:rFonts w:ascii="Times New Roman" w:hAnsi="Times New Roman" w:cs="Times New Roman"/>
          <w:color w:val="auto"/>
          <w:sz w:val="22"/>
          <w:szCs w:val="22"/>
          <w:lang w:val="en-US"/>
        </w:rPr>
        <w:t xml:space="preserve"> affected individuals </w:t>
      </w:r>
      <w:r w:rsidRPr="360FD8C4" w:rsidR="00C63A9E">
        <w:rPr>
          <w:rFonts w:ascii="Times New Roman" w:hAnsi="Times New Roman" w:cs="Times New Roman"/>
          <w:color w:val="auto"/>
          <w:sz w:val="22"/>
          <w:szCs w:val="22"/>
          <w:lang w:val="en-US"/>
        </w:rPr>
        <w:t xml:space="preserve">and </w:t>
      </w:r>
      <w:r w:rsidRPr="360FD8C4" w:rsidR="001C4169">
        <w:rPr>
          <w:rFonts w:ascii="Times New Roman" w:hAnsi="Times New Roman" w:cs="Times New Roman"/>
          <w:color w:val="auto"/>
          <w:sz w:val="22"/>
          <w:szCs w:val="22"/>
          <w:lang w:val="en-US"/>
        </w:rPr>
        <w:t>plac</w:t>
      </w:r>
      <w:r w:rsidRPr="360FD8C4" w:rsidR="00995A2A">
        <w:rPr>
          <w:rFonts w:ascii="Times New Roman" w:hAnsi="Times New Roman" w:cs="Times New Roman"/>
          <w:color w:val="auto"/>
          <w:sz w:val="22"/>
          <w:szCs w:val="22"/>
          <w:lang w:val="en-US"/>
        </w:rPr>
        <w:t>es</w:t>
      </w:r>
      <w:r w:rsidRPr="360FD8C4" w:rsidR="001C4169">
        <w:rPr>
          <w:rFonts w:ascii="Times New Roman" w:hAnsi="Times New Roman" w:cs="Times New Roman"/>
          <w:color w:val="auto"/>
          <w:sz w:val="22"/>
          <w:szCs w:val="22"/>
          <w:lang w:val="en-US"/>
        </w:rPr>
        <w:t xml:space="preserve"> </w:t>
      </w:r>
      <w:r w:rsidRPr="360FD8C4" w:rsidR="00470942">
        <w:rPr>
          <w:rFonts w:ascii="Times New Roman" w:hAnsi="Times New Roman" w:cs="Times New Roman"/>
          <w:color w:val="auto"/>
          <w:sz w:val="22"/>
          <w:szCs w:val="22"/>
          <w:lang w:val="en-US"/>
        </w:rPr>
        <w:t xml:space="preserve">a substantial burden on their families, </w:t>
      </w:r>
      <w:r w:rsidRPr="360FD8C4" w:rsidR="00CA5180">
        <w:rPr>
          <w:rFonts w:ascii="Times New Roman" w:hAnsi="Times New Roman" w:cs="Times New Roman"/>
          <w:color w:val="auto"/>
          <w:sz w:val="22"/>
          <w:szCs w:val="22"/>
          <w:lang w:val="en-US"/>
        </w:rPr>
        <w:t xml:space="preserve">the voluntary sector, </w:t>
      </w:r>
      <w:r w:rsidRPr="360FD8C4" w:rsidR="00470942">
        <w:rPr>
          <w:rFonts w:ascii="Times New Roman" w:hAnsi="Times New Roman" w:cs="Times New Roman"/>
          <w:color w:val="auto"/>
          <w:sz w:val="22"/>
          <w:szCs w:val="22"/>
          <w:lang w:val="en-US"/>
        </w:rPr>
        <w:t xml:space="preserve">the health and social care system, and </w:t>
      </w:r>
      <w:r w:rsidRPr="360FD8C4" w:rsidR="00995A2A">
        <w:rPr>
          <w:rFonts w:ascii="Times New Roman" w:hAnsi="Times New Roman" w:cs="Times New Roman"/>
          <w:color w:val="auto"/>
          <w:sz w:val="22"/>
          <w:szCs w:val="22"/>
          <w:lang w:val="en-US"/>
        </w:rPr>
        <w:t xml:space="preserve">the </w:t>
      </w:r>
      <w:r w:rsidRPr="360FD8C4" w:rsidR="00470942">
        <w:rPr>
          <w:rFonts w:ascii="Times New Roman" w:hAnsi="Times New Roman" w:cs="Times New Roman"/>
          <w:color w:val="auto"/>
          <w:sz w:val="22"/>
          <w:szCs w:val="22"/>
          <w:lang w:val="en-US"/>
        </w:rPr>
        <w:t>UK economy</w:t>
      </w:r>
      <w:r w:rsidRPr="360FD8C4" w:rsidR="00995A2A">
        <w:rPr>
          <w:rFonts w:ascii="Times New Roman" w:hAnsi="Times New Roman" w:cs="Times New Roman"/>
          <w:color w:val="auto"/>
          <w:sz w:val="22"/>
          <w:szCs w:val="22"/>
          <w:lang w:val="en-US"/>
        </w:rPr>
        <w:t>. Specifically in term of the UK economy, disease progression causes</w:t>
      </w:r>
      <w:r w:rsidRPr="360FD8C4" w:rsidR="00470942">
        <w:rPr>
          <w:rFonts w:ascii="Times New Roman" w:hAnsi="Times New Roman" w:cs="Times New Roman"/>
          <w:color w:val="auto"/>
          <w:sz w:val="22"/>
          <w:szCs w:val="22"/>
          <w:lang w:val="en-US"/>
        </w:rPr>
        <w:t xml:space="preserve"> over 1.1 million </w:t>
      </w:r>
      <w:r w:rsidRPr="360FD8C4" w:rsidR="00995A2A">
        <w:rPr>
          <w:rFonts w:ascii="Times New Roman" w:hAnsi="Times New Roman" w:cs="Times New Roman"/>
          <w:color w:val="auto"/>
          <w:sz w:val="22"/>
          <w:szCs w:val="22"/>
          <w:lang w:val="en-US"/>
        </w:rPr>
        <w:t>25- to 49-year-olds</w:t>
      </w:r>
      <w:r w:rsidRPr="360FD8C4" w:rsidR="00470942">
        <w:rPr>
          <w:rFonts w:ascii="Times New Roman" w:hAnsi="Times New Roman" w:cs="Times New Roman"/>
          <w:color w:val="auto"/>
          <w:sz w:val="22"/>
          <w:szCs w:val="22"/>
          <w:lang w:val="en-US"/>
        </w:rPr>
        <w:t xml:space="preserve"> to be out of work as a result of caring responsibilities related to AD and an estimated £22.7 billion annual cost on social and informal care</w:t>
      </w:r>
      <w:r w:rsidRPr="360FD8C4" w:rsidR="004B40CB">
        <w:rPr>
          <w:rFonts w:ascii="Times New Roman" w:hAnsi="Times New Roman" w:cs="Times New Roman"/>
          <w:color w:val="auto"/>
          <w:sz w:val="22"/>
          <w:szCs w:val="22"/>
          <w:lang w:val="en-US"/>
        </w:rPr>
        <w:t>.</w:t>
      </w:r>
    </w:p>
    <w:p w:rsidRPr="00F06896" w:rsidR="00AE125F" w:rsidP="007F0316" w:rsidRDefault="00AE125F" w14:paraId="547ACE5F" w14:textId="77777777">
      <w:pPr>
        <w:pStyle w:val="Default"/>
        <w:jc w:val="both"/>
        <w:rPr>
          <w:rFonts w:ascii="Times New Roman" w:hAnsi="Times New Roman" w:cs="Times New Roman"/>
          <w:color w:val="auto"/>
          <w:sz w:val="22"/>
          <w:szCs w:val="22"/>
        </w:rPr>
      </w:pPr>
    </w:p>
    <w:p w:rsidRPr="00F06896" w:rsidR="009626A1" w:rsidP="360FD8C4" w:rsidRDefault="009626A1" w14:paraId="3080F13A" w14:textId="25F12CF5">
      <w:pPr>
        <w:pStyle w:val="Default"/>
        <w:jc w:val="both"/>
        <w:rPr>
          <w:rFonts w:ascii="Times New Roman" w:hAnsi="Times New Roman" w:cs="Times New Roman"/>
          <w:color w:val="auto"/>
          <w:sz w:val="22"/>
          <w:szCs w:val="22"/>
          <w:lang w:val="en-US"/>
        </w:rPr>
      </w:pPr>
      <w:r w:rsidRPr="360FD8C4">
        <w:rPr>
          <w:rFonts w:ascii="Times New Roman" w:hAnsi="Times New Roman" w:cs="Times New Roman"/>
          <w:color w:val="auto"/>
          <w:sz w:val="22"/>
          <w:szCs w:val="22"/>
          <w:lang w:val="en-US"/>
        </w:rPr>
        <w:t>At the preclinical stage, AD pathology, including Aβ deposition and tau tangle formation, are present, but clinical symptoms</w:t>
      </w:r>
      <w:r w:rsidRPr="360FD8C4" w:rsidR="00466689">
        <w:rPr>
          <w:rFonts w:ascii="Times New Roman" w:hAnsi="Times New Roman" w:cs="Times New Roman"/>
          <w:color w:val="auto"/>
          <w:sz w:val="22"/>
          <w:szCs w:val="22"/>
          <w:lang w:val="en-US"/>
        </w:rPr>
        <w:t xml:space="preserve"> have not developed. </w:t>
      </w:r>
      <w:r w:rsidRPr="360FD8C4" w:rsidR="008121D4">
        <w:rPr>
          <w:rFonts w:ascii="Times New Roman" w:hAnsi="Times New Roman" w:cs="Times New Roman"/>
          <w:color w:val="auto"/>
          <w:sz w:val="22"/>
          <w:szCs w:val="22"/>
          <w:lang w:val="en-US"/>
        </w:rPr>
        <w:t>Subsequently</w:t>
      </w:r>
      <w:r w:rsidRPr="360FD8C4" w:rsidR="00237B88">
        <w:rPr>
          <w:rFonts w:ascii="Times New Roman" w:hAnsi="Times New Roman" w:cs="Times New Roman"/>
          <w:color w:val="auto"/>
          <w:sz w:val="22"/>
          <w:szCs w:val="22"/>
          <w:lang w:val="en-US"/>
        </w:rPr>
        <w:t>,</w:t>
      </w:r>
      <w:r w:rsidRPr="360FD8C4" w:rsidR="008121D4">
        <w:rPr>
          <w:rFonts w:ascii="Times New Roman" w:hAnsi="Times New Roman" w:cs="Times New Roman"/>
          <w:color w:val="auto"/>
          <w:sz w:val="22"/>
          <w:szCs w:val="22"/>
          <w:lang w:val="en-US"/>
        </w:rPr>
        <w:t xml:space="preserve"> </w:t>
      </w:r>
      <w:r w:rsidRPr="360FD8C4">
        <w:rPr>
          <w:rFonts w:ascii="Times New Roman" w:hAnsi="Times New Roman" w:cs="Times New Roman"/>
          <w:color w:val="auto"/>
          <w:sz w:val="22"/>
          <w:szCs w:val="22"/>
          <w:lang w:val="en-US"/>
        </w:rPr>
        <w:t xml:space="preserve">symptoms of AD </w:t>
      </w:r>
      <w:r w:rsidRPr="360FD8C4" w:rsidR="009C0E76">
        <w:rPr>
          <w:rFonts w:ascii="Times New Roman" w:hAnsi="Times New Roman" w:cs="Times New Roman"/>
          <w:color w:val="auto"/>
          <w:sz w:val="22"/>
          <w:szCs w:val="22"/>
          <w:lang w:val="en-US"/>
        </w:rPr>
        <w:t>typically</w:t>
      </w:r>
      <w:r w:rsidRPr="360FD8C4">
        <w:rPr>
          <w:rFonts w:ascii="Times New Roman" w:hAnsi="Times New Roman" w:cs="Times New Roman"/>
          <w:color w:val="auto"/>
          <w:sz w:val="22"/>
          <w:szCs w:val="22"/>
          <w:lang w:val="en-US"/>
        </w:rPr>
        <w:t xml:space="preserve"> begin in </w:t>
      </w:r>
      <w:r w:rsidRPr="360FD8C4" w:rsidR="008121D4">
        <w:rPr>
          <w:rFonts w:ascii="Times New Roman" w:hAnsi="Times New Roman" w:cs="Times New Roman"/>
          <w:color w:val="auto"/>
          <w:sz w:val="22"/>
          <w:szCs w:val="22"/>
          <w:lang w:val="en-US"/>
        </w:rPr>
        <w:t xml:space="preserve">the </w:t>
      </w:r>
      <w:r w:rsidRPr="360FD8C4" w:rsidR="00E927B4">
        <w:rPr>
          <w:rFonts w:ascii="Times New Roman" w:hAnsi="Times New Roman" w:cs="Times New Roman"/>
          <w:color w:val="auto"/>
          <w:sz w:val="22"/>
          <w:szCs w:val="22"/>
          <w:lang w:val="en-US"/>
        </w:rPr>
        <w:t xml:space="preserve">MCI phase </w:t>
      </w:r>
      <w:r w:rsidRPr="360FD8C4">
        <w:rPr>
          <w:rFonts w:ascii="Times New Roman" w:hAnsi="Times New Roman" w:cs="Times New Roman"/>
          <w:color w:val="auto"/>
          <w:sz w:val="22"/>
          <w:szCs w:val="22"/>
          <w:lang w:val="en-US"/>
        </w:rPr>
        <w:t xml:space="preserve">with </w:t>
      </w:r>
      <w:r w:rsidRPr="360FD8C4" w:rsidR="00A902E4">
        <w:rPr>
          <w:rFonts w:ascii="Times New Roman" w:hAnsi="Times New Roman" w:cs="Times New Roman"/>
          <w:color w:val="auto"/>
          <w:sz w:val="22"/>
          <w:szCs w:val="22"/>
          <w:lang w:val="en-US"/>
        </w:rPr>
        <w:t xml:space="preserve">deficiencies </w:t>
      </w:r>
      <w:r w:rsidRPr="360FD8C4">
        <w:rPr>
          <w:rFonts w:ascii="Times New Roman" w:hAnsi="Times New Roman" w:cs="Times New Roman"/>
          <w:color w:val="auto"/>
          <w:sz w:val="22"/>
          <w:szCs w:val="22"/>
          <w:lang w:val="en-US"/>
        </w:rPr>
        <w:t>in short-term memory. MCI develops into mild short-term memory loss</w:t>
      </w:r>
      <w:r w:rsidRPr="360FD8C4" w:rsidR="00E927B4">
        <w:rPr>
          <w:rFonts w:ascii="Times New Roman" w:hAnsi="Times New Roman" w:cs="Times New Roman"/>
          <w:color w:val="auto"/>
          <w:sz w:val="22"/>
          <w:szCs w:val="22"/>
          <w:lang w:val="en-US"/>
        </w:rPr>
        <w:t xml:space="preserve"> and</w:t>
      </w:r>
      <w:r w:rsidRPr="360FD8C4">
        <w:rPr>
          <w:rFonts w:ascii="Times New Roman" w:hAnsi="Times New Roman" w:cs="Times New Roman"/>
          <w:color w:val="auto"/>
          <w:sz w:val="22"/>
          <w:szCs w:val="22"/>
          <w:lang w:val="en-US"/>
        </w:rPr>
        <w:t xml:space="preserve"> other cognitive deficits, </w:t>
      </w:r>
      <w:r w:rsidRPr="360FD8C4" w:rsidR="00E927B4">
        <w:rPr>
          <w:rFonts w:ascii="Times New Roman" w:hAnsi="Times New Roman" w:cs="Times New Roman"/>
          <w:color w:val="auto"/>
          <w:sz w:val="22"/>
          <w:szCs w:val="22"/>
          <w:lang w:val="en-US"/>
        </w:rPr>
        <w:t xml:space="preserve">associated </w:t>
      </w:r>
      <w:r w:rsidRPr="360FD8C4">
        <w:rPr>
          <w:rFonts w:ascii="Times New Roman" w:hAnsi="Times New Roman" w:cs="Times New Roman"/>
          <w:color w:val="auto"/>
          <w:sz w:val="22"/>
          <w:szCs w:val="22"/>
          <w:lang w:val="en-US"/>
        </w:rPr>
        <w:t xml:space="preserve">with initial impairment of functioning as patients progress to mild AD. </w:t>
      </w:r>
      <w:r w:rsidRPr="360FD8C4" w:rsidR="00B205CA">
        <w:rPr>
          <w:rFonts w:ascii="Times New Roman" w:hAnsi="Times New Roman" w:cs="Times New Roman"/>
          <w:color w:val="auto"/>
          <w:sz w:val="22"/>
          <w:szCs w:val="22"/>
          <w:lang w:val="en-US"/>
        </w:rPr>
        <w:t xml:space="preserve">Neuropsychiatric symptoms such as apathy, anxiety, mood changes, aggression/agitation, and depression may develop at this stage of disease and become common </w:t>
      </w:r>
      <w:r w:rsidRPr="360FD8C4" w:rsidR="00824D3A">
        <w:rPr>
          <w:rFonts w:ascii="Times New Roman" w:hAnsi="Times New Roman" w:cs="Times New Roman"/>
          <w:color w:val="auto"/>
          <w:sz w:val="22"/>
          <w:szCs w:val="22"/>
          <w:lang w:val="en-US"/>
        </w:rPr>
        <w:t xml:space="preserve">with more advanced </w:t>
      </w:r>
      <w:r w:rsidRPr="360FD8C4" w:rsidR="00B205CA">
        <w:rPr>
          <w:rFonts w:ascii="Times New Roman" w:hAnsi="Times New Roman" w:cs="Times New Roman"/>
          <w:color w:val="auto"/>
          <w:sz w:val="22"/>
          <w:szCs w:val="22"/>
          <w:lang w:val="en-US"/>
        </w:rPr>
        <w:t xml:space="preserve">disease, </w:t>
      </w:r>
      <w:r w:rsidRPr="360FD8C4" w:rsidR="00824D3A">
        <w:rPr>
          <w:rFonts w:ascii="Times New Roman" w:hAnsi="Times New Roman" w:cs="Times New Roman"/>
          <w:color w:val="auto"/>
          <w:sz w:val="22"/>
          <w:szCs w:val="22"/>
          <w:lang w:val="en-US"/>
        </w:rPr>
        <w:t xml:space="preserve">together </w:t>
      </w:r>
      <w:r w:rsidRPr="360FD8C4" w:rsidR="004B40CB">
        <w:rPr>
          <w:rFonts w:ascii="Times New Roman" w:hAnsi="Times New Roman" w:cs="Times New Roman"/>
          <w:color w:val="auto"/>
          <w:sz w:val="22"/>
          <w:szCs w:val="22"/>
          <w:lang w:val="en-US"/>
        </w:rPr>
        <w:t xml:space="preserve">with </w:t>
      </w:r>
      <w:r w:rsidRPr="360FD8C4" w:rsidR="00B205CA">
        <w:rPr>
          <w:rFonts w:ascii="Times New Roman" w:hAnsi="Times New Roman" w:cs="Times New Roman"/>
          <w:color w:val="auto"/>
          <w:sz w:val="22"/>
          <w:szCs w:val="22"/>
          <w:lang w:val="en-US"/>
        </w:rPr>
        <w:t>delusions and hallucinations</w:t>
      </w:r>
      <w:r w:rsidRPr="360FD8C4" w:rsidR="00824D3A">
        <w:rPr>
          <w:rFonts w:ascii="Times New Roman" w:hAnsi="Times New Roman" w:cs="Times New Roman"/>
          <w:color w:val="auto"/>
          <w:sz w:val="22"/>
          <w:szCs w:val="22"/>
          <w:lang w:val="en-US"/>
        </w:rPr>
        <w:t xml:space="preserve">. </w:t>
      </w:r>
      <w:r w:rsidRPr="360FD8C4">
        <w:rPr>
          <w:rFonts w:ascii="Times New Roman" w:hAnsi="Times New Roman" w:cs="Times New Roman"/>
          <w:color w:val="auto"/>
          <w:sz w:val="22"/>
          <w:szCs w:val="22"/>
          <w:lang w:val="en-US"/>
        </w:rPr>
        <w:t xml:space="preserve">MCI due to AD and mild AD are collectively referred to as early AD, the population </w:t>
      </w:r>
      <w:r w:rsidRPr="360FD8C4" w:rsidR="004B40CB">
        <w:rPr>
          <w:rFonts w:ascii="Times New Roman" w:hAnsi="Times New Roman" w:cs="Times New Roman"/>
          <w:color w:val="auto"/>
          <w:sz w:val="22"/>
          <w:szCs w:val="22"/>
          <w:lang w:val="en-US"/>
        </w:rPr>
        <w:t xml:space="preserve">eligible </w:t>
      </w:r>
      <w:r w:rsidRPr="360FD8C4">
        <w:rPr>
          <w:rFonts w:ascii="Times New Roman" w:hAnsi="Times New Roman" w:cs="Times New Roman"/>
          <w:color w:val="auto"/>
          <w:sz w:val="22"/>
          <w:szCs w:val="22"/>
          <w:lang w:val="en-US"/>
        </w:rPr>
        <w:t>for lecanemab</w:t>
      </w:r>
      <w:r w:rsidRPr="360FD8C4" w:rsidR="004B40CB">
        <w:rPr>
          <w:rFonts w:ascii="Times New Roman" w:hAnsi="Times New Roman" w:cs="Times New Roman"/>
          <w:color w:val="auto"/>
          <w:sz w:val="22"/>
          <w:szCs w:val="22"/>
          <w:lang w:val="en-US"/>
        </w:rPr>
        <w:t xml:space="preserve"> considered in this appraisal.</w:t>
      </w:r>
      <w:r w:rsidRPr="360FD8C4">
        <w:rPr>
          <w:rFonts w:ascii="Times New Roman" w:hAnsi="Times New Roman" w:cs="Times New Roman"/>
          <w:color w:val="auto"/>
          <w:sz w:val="22"/>
          <w:szCs w:val="22"/>
          <w:lang w:val="en-US"/>
        </w:rPr>
        <w:t xml:space="preserve"> </w:t>
      </w:r>
    </w:p>
    <w:p w:rsidRPr="00F06896" w:rsidR="009626A1" w:rsidP="007F0316" w:rsidRDefault="009626A1" w14:paraId="39D460E3" w14:textId="77777777">
      <w:pPr>
        <w:pStyle w:val="Default"/>
        <w:jc w:val="both"/>
        <w:rPr>
          <w:rFonts w:ascii="Times New Roman" w:hAnsi="Times New Roman" w:cs="Times New Roman"/>
          <w:color w:val="auto"/>
          <w:sz w:val="22"/>
          <w:szCs w:val="22"/>
        </w:rPr>
      </w:pPr>
    </w:p>
    <w:p w:rsidRPr="00F06896" w:rsidR="00BA43F2" w:rsidP="360FD8C4" w:rsidRDefault="00BA43F2" w14:paraId="206F9185" w14:textId="39815FBD">
      <w:pPr>
        <w:pStyle w:val="Default"/>
        <w:jc w:val="both"/>
        <w:rPr>
          <w:rFonts w:ascii="Times New Roman" w:hAnsi="Times New Roman" w:cs="Times New Roman"/>
          <w:color w:val="auto"/>
          <w:sz w:val="22"/>
          <w:szCs w:val="22"/>
          <w:lang w:val="en-US"/>
        </w:rPr>
      </w:pPr>
      <w:r w:rsidRPr="360FD8C4">
        <w:rPr>
          <w:rFonts w:ascii="Times New Roman" w:hAnsi="Times New Roman" w:cs="Times New Roman"/>
          <w:color w:val="auto"/>
          <w:sz w:val="22"/>
          <w:szCs w:val="22"/>
          <w:lang w:val="en-US"/>
        </w:rPr>
        <w:t xml:space="preserve">As AD progresses, patients require more assistance, beginning to lose independence in basic daily functions at the moderate AD stage. Severe AD is marked by substantial cognitive impairment, the inability to perform basic daily functions, and complete dependence on a </w:t>
      </w:r>
      <w:proofErr w:type="spellStart"/>
      <w:r w:rsidRPr="360FD8C4">
        <w:rPr>
          <w:rFonts w:ascii="Times New Roman" w:hAnsi="Times New Roman" w:cs="Times New Roman"/>
          <w:color w:val="auto"/>
          <w:sz w:val="22"/>
          <w:szCs w:val="22"/>
          <w:lang w:val="en-US"/>
        </w:rPr>
        <w:t>carer</w:t>
      </w:r>
      <w:proofErr w:type="spellEnd"/>
      <w:r w:rsidRPr="360FD8C4">
        <w:rPr>
          <w:rFonts w:ascii="Times New Roman" w:hAnsi="Times New Roman" w:cs="Times New Roman"/>
          <w:color w:val="auto"/>
          <w:sz w:val="22"/>
          <w:szCs w:val="22"/>
          <w:lang w:val="en-US"/>
        </w:rPr>
        <w:t xml:space="preserve">. There is a significant burden for caregivers who experience </w:t>
      </w:r>
      <w:r w:rsidRPr="360FD8C4" w:rsidR="00995A2A">
        <w:rPr>
          <w:rFonts w:ascii="Times New Roman" w:hAnsi="Times New Roman" w:cs="Times New Roman"/>
          <w:color w:val="auto"/>
          <w:sz w:val="22"/>
          <w:szCs w:val="22"/>
          <w:lang w:val="en-US"/>
        </w:rPr>
        <w:t xml:space="preserve">both </w:t>
      </w:r>
      <w:r w:rsidRPr="360FD8C4">
        <w:rPr>
          <w:rFonts w:ascii="Times New Roman" w:hAnsi="Times New Roman" w:cs="Times New Roman"/>
          <w:color w:val="auto"/>
          <w:sz w:val="22"/>
          <w:szCs w:val="22"/>
          <w:lang w:val="en-US"/>
        </w:rPr>
        <w:t xml:space="preserve">the emotional toll of witnessing </w:t>
      </w:r>
      <w:r w:rsidRPr="360FD8C4" w:rsidR="00995A2A">
        <w:rPr>
          <w:rFonts w:ascii="Times New Roman" w:hAnsi="Times New Roman" w:cs="Times New Roman"/>
          <w:color w:val="auto"/>
          <w:sz w:val="22"/>
          <w:szCs w:val="22"/>
          <w:lang w:val="en-US"/>
        </w:rPr>
        <w:t>a family member</w:t>
      </w:r>
      <w:r w:rsidRPr="360FD8C4" w:rsidR="004B40CB">
        <w:rPr>
          <w:rFonts w:ascii="Times New Roman" w:hAnsi="Times New Roman" w:cs="Times New Roman"/>
          <w:color w:val="auto"/>
          <w:sz w:val="22"/>
          <w:szCs w:val="22"/>
          <w:lang w:val="en-US"/>
        </w:rPr>
        <w:t xml:space="preserve"> </w:t>
      </w:r>
      <w:r w:rsidRPr="360FD8C4">
        <w:rPr>
          <w:rFonts w:ascii="Times New Roman" w:hAnsi="Times New Roman" w:cs="Times New Roman"/>
          <w:color w:val="auto"/>
          <w:sz w:val="22"/>
          <w:szCs w:val="22"/>
          <w:lang w:val="en-US"/>
        </w:rPr>
        <w:t xml:space="preserve">decline, and the physical demands of providing round-the-clock care. </w:t>
      </w:r>
    </w:p>
    <w:p w:rsidRPr="00F06896" w:rsidR="00BA43F2" w:rsidP="007F0316" w:rsidRDefault="00BA43F2" w14:paraId="05E795EE" w14:textId="77777777">
      <w:pPr>
        <w:pStyle w:val="Default"/>
        <w:jc w:val="both"/>
        <w:rPr>
          <w:rFonts w:ascii="Times New Roman" w:hAnsi="Times New Roman" w:cs="Times New Roman"/>
          <w:color w:val="auto"/>
          <w:sz w:val="22"/>
          <w:szCs w:val="22"/>
        </w:rPr>
      </w:pPr>
    </w:p>
    <w:p w:rsidRPr="00F06896" w:rsidR="009626A1" w:rsidP="360FD8C4" w:rsidRDefault="005E402E" w14:paraId="42568C25" w14:textId="33429E58">
      <w:pPr>
        <w:pStyle w:val="Default"/>
        <w:jc w:val="both"/>
        <w:rPr>
          <w:rFonts w:ascii="Times New Roman" w:hAnsi="Times New Roman" w:cs="Times New Roman"/>
          <w:color w:val="auto"/>
          <w:sz w:val="22"/>
          <w:szCs w:val="22"/>
          <w:lang w:val="en-US"/>
        </w:rPr>
      </w:pPr>
      <w:r w:rsidRPr="360FD8C4">
        <w:rPr>
          <w:rFonts w:ascii="Times New Roman" w:hAnsi="Times New Roman" w:cs="Times New Roman"/>
          <w:color w:val="auto"/>
          <w:sz w:val="22"/>
          <w:szCs w:val="22"/>
          <w:lang w:val="en-US"/>
        </w:rPr>
        <w:t>Early diagnosis of AD, when a patient is still functionally independent, can allow management and treatment initiation in milder stages of disease, with the potential to prolong the patient’s</w:t>
      </w:r>
      <w:r w:rsidRPr="360FD8C4" w:rsidR="00036A4B">
        <w:rPr>
          <w:rFonts w:ascii="Times New Roman" w:hAnsi="Times New Roman" w:cs="Times New Roman"/>
          <w:color w:val="auto"/>
          <w:sz w:val="22"/>
          <w:szCs w:val="22"/>
          <w:lang w:val="en-US"/>
        </w:rPr>
        <w:t xml:space="preserve"> </w:t>
      </w:r>
      <w:r w:rsidRPr="360FD8C4">
        <w:rPr>
          <w:rFonts w:ascii="Times New Roman" w:hAnsi="Times New Roman" w:cs="Times New Roman"/>
          <w:color w:val="auto"/>
          <w:sz w:val="22"/>
          <w:szCs w:val="22"/>
          <w:lang w:val="en-US"/>
        </w:rPr>
        <w:t xml:space="preserve">independence and maintain a higher quality of life </w:t>
      </w:r>
      <w:r w:rsidRPr="360FD8C4" w:rsidR="00036A4B">
        <w:rPr>
          <w:rFonts w:ascii="Times New Roman" w:hAnsi="Times New Roman" w:cs="Times New Roman"/>
          <w:color w:val="auto"/>
          <w:sz w:val="22"/>
          <w:szCs w:val="22"/>
          <w:lang w:val="en-US"/>
        </w:rPr>
        <w:t xml:space="preserve">for both the patient and their carer </w:t>
      </w:r>
      <w:r w:rsidRPr="360FD8C4">
        <w:rPr>
          <w:rFonts w:ascii="Times New Roman" w:hAnsi="Times New Roman" w:cs="Times New Roman"/>
          <w:color w:val="auto"/>
          <w:sz w:val="22"/>
          <w:szCs w:val="22"/>
          <w:lang w:val="en-US"/>
        </w:rPr>
        <w:t>than that expected in more severe stages of disease.</w:t>
      </w:r>
    </w:p>
    <w:p w:rsidRPr="00F06896" w:rsidR="005E402E" w:rsidP="007F0316" w:rsidRDefault="005E402E" w14:paraId="62D5668A" w14:textId="77777777">
      <w:pPr>
        <w:pStyle w:val="Default"/>
        <w:jc w:val="both"/>
        <w:rPr>
          <w:rFonts w:ascii="Times New Roman" w:hAnsi="Times New Roman" w:cs="Times New Roman"/>
          <w:sz w:val="22"/>
          <w:szCs w:val="22"/>
        </w:rPr>
      </w:pPr>
    </w:p>
    <w:p w:rsidRPr="00F06896" w:rsidR="007F0316" w:rsidP="360FD8C4" w:rsidRDefault="00ED3081" w14:paraId="1EF6450E" w14:textId="77777777">
      <w:pPr>
        <w:pStyle w:val="Default"/>
        <w:jc w:val="both"/>
        <w:rPr>
          <w:rFonts w:ascii="Times New Roman" w:hAnsi="Times New Roman" w:cs="Times New Roman"/>
          <w:color w:val="auto"/>
          <w:sz w:val="22"/>
          <w:szCs w:val="22"/>
          <w:lang w:val="en-US"/>
        </w:rPr>
      </w:pPr>
      <w:r w:rsidRPr="360FD8C4">
        <w:rPr>
          <w:rFonts w:ascii="Times New Roman" w:hAnsi="Times New Roman" w:cs="Times New Roman"/>
          <w:sz w:val="22"/>
          <w:szCs w:val="22"/>
          <w:lang w:val="en-US"/>
        </w:rPr>
        <w:t>There are currently no approved pharmacological or non-pharmacological treatments nor published treatment guidelines for MCI due to AD in the UK.</w:t>
      </w:r>
      <w:r w:rsidRPr="360FD8C4" w:rsidR="00714C29">
        <w:rPr>
          <w:rFonts w:ascii="Times New Roman" w:hAnsi="Times New Roman" w:cs="Times New Roman"/>
          <w:sz w:val="22"/>
          <w:szCs w:val="22"/>
          <w:lang w:val="en-US"/>
        </w:rPr>
        <w:t xml:space="preserve"> NICE recommends </w:t>
      </w:r>
      <w:r w:rsidRPr="360FD8C4" w:rsidR="00995A2A">
        <w:rPr>
          <w:rFonts w:ascii="Times New Roman" w:hAnsi="Times New Roman" w:cs="Times New Roman"/>
          <w:sz w:val="22"/>
          <w:szCs w:val="22"/>
          <w:lang w:val="en-US"/>
        </w:rPr>
        <w:t>an acetylcholinesterase inhibitor (</w:t>
      </w:r>
      <w:proofErr w:type="spellStart"/>
      <w:r w:rsidRPr="360FD8C4" w:rsidR="00995A2A">
        <w:rPr>
          <w:rFonts w:ascii="Times New Roman" w:hAnsi="Times New Roman" w:cs="Times New Roman"/>
          <w:sz w:val="22"/>
          <w:szCs w:val="22"/>
          <w:lang w:val="en-US"/>
        </w:rPr>
        <w:t>AChEI</w:t>
      </w:r>
      <w:proofErr w:type="spellEnd"/>
      <w:r w:rsidRPr="360FD8C4" w:rsidR="00995A2A">
        <w:rPr>
          <w:rFonts w:ascii="Times New Roman" w:hAnsi="Times New Roman" w:cs="Times New Roman"/>
          <w:sz w:val="22"/>
          <w:szCs w:val="22"/>
          <w:lang w:val="en-US"/>
        </w:rPr>
        <w:t xml:space="preserve">) being </w:t>
      </w:r>
      <w:r w:rsidRPr="360FD8C4" w:rsidR="00714C29">
        <w:rPr>
          <w:rFonts w:ascii="Times New Roman" w:hAnsi="Times New Roman" w:cs="Times New Roman"/>
          <w:sz w:val="22"/>
          <w:szCs w:val="22"/>
          <w:lang w:val="en-US"/>
        </w:rPr>
        <w:t xml:space="preserve">either donepezil, galantamine or rivastigmine for mild to moderate AD. Memantine is recommended in combination with an </w:t>
      </w:r>
      <w:proofErr w:type="spellStart"/>
      <w:r w:rsidRPr="360FD8C4" w:rsidR="00714C29">
        <w:rPr>
          <w:rFonts w:ascii="Times New Roman" w:hAnsi="Times New Roman" w:cs="Times New Roman"/>
          <w:sz w:val="22"/>
          <w:szCs w:val="22"/>
          <w:lang w:val="en-US"/>
        </w:rPr>
        <w:t>AChEI</w:t>
      </w:r>
      <w:proofErr w:type="spellEnd"/>
      <w:r w:rsidRPr="360FD8C4" w:rsidR="00714C29">
        <w:rPr>
          <w:rFonts w:ascii="Times New Roman" w:hAnsi="Times New Roman" w:cs="Times New Roman"/>
          <w:sz w:val="22"/>
          <w:szCs w:val="22"/>
          <w:lang w:val="en-US"/>
        </w:rPr>
        <w:t xml:space="preserve"> for moderate to severe AD. For patients who are intolerant or have a contraindication to </w:t>
      </w:r>
      <w:proofErr w:type="spellStart"/>
      <w:r w:rsidRPr="360FD8C4" w:rsidR="00714C29">
        <w:rPr>
          <w:rFonts w:ascii="Times New Roman" w:hAnsi="Times New Roman" w:cs="Times New Roman"/>
          <w:sz w:val="22"/>
          <w:szCs w:val="22"/>
          <w:lang w:val="en-US"/>
        </w:rPr>
        <w:t>AChEIs</w:t>
      </w:r>
      <w:proofErr w:type="spellEnd"/>
      <w:r w:rsidRPr="360FD8C4" w:rsidR="00714C29">
        <w:rPr>
          <w:rFonts w:ascii="Times New Roman" w:hAnsi="Times New Roman" w:cs="Times New Roman"/>
          <w:sz w:val="22"/>
          <w:szCs w:val="22"/>
          <w:lang w:val="en-US"/>
        </w:rPr>
        <w:t>, memantine can be taken as a monotherapy.</w:t>
      </w:r>
      <w:r w:rsidRPr="360FD8C4" w:rsidR="00A0049D">
        <w:rPr>
          <w:rFonts w:ascii="Times New Roman" w:hAnsi="Times New Roman" w:cs="Times New Roman"/>
          <w:sz w:val="22"/>
          <w:szCs w:val="22"/>
          <w:lang w:val="en-US"/>
        </w:rPr>
        <w:t xml:space="preserve"> There is a severe unmet need for an intervention that delays AD progression, preserving patients’ independence for longer, thus alleviating </w:t>
      </w:r>
      <w:r w:rsidRPr="360FD8C4" w:rsidR="003A0EB7">
        <w:rPr>
          <w:rFonts w:ascii="Times New Roman" w:hAnsi="Times New Roman" w:cs="Times New Roman"/>
          <w:sz w:val="22"/>
          <w:szCs w:val="22"/>
          <w:lang w:val="en-US"/>
        </w:rPr>
        <w:t xml:space="preserve">the </w:t>
      </w:r>
      <w:r w:rsidRPr="360FD8C4" w:rsidR="00A0049D">
        <w:rPr>
          <w:rFonts w:ascii="Times New Roman" w:hAnsi="Times New Roman" w:cs="Times New Roman"/>
          <w:sz w:val="22"/>
          <w:szCs w:val="22"/>
          <w:lang w:val="en-US"/>
        </w:rPr>
        <w:t xml:space="preserve">patient and carer burden by slowing the decline in </w:t>
      </w:r>
      <w:r w:rsidRPr="360FD8C4" w:rsidR="004B40CB">
        <w:rPr>
          <w:rFonts w:ascii="Times New Roman" w:hAnsi="Times New Roman" w:cs="Times New Roman"/>
          <w:sz w:val="22"/>
          <w:szCs w:val="22"/>
          <w:lang w:val="en-US"/>
        </w:rPr>
        <w:t>health</w:t>
      </w:r>
      <w:r w:rsidRPr="360FD8C4" w:rsidR="00C801CF">
        <w:rPr>
          <w:rFonts w:ascii="Times New Roman" w:hAnsi="Times New Roman" w:cs="Times New Roman"/>
          <w:sz w:val="22"/>
          <w:szCs w:val="22"/>
          <w:lang w:val="en-US"/>
        </w:rPr>
        <w:t>-</w:t>
      </w:r>
      <w:r w:rsidRPr="360FD8C4" w:rsidR="004B40CB">
        <w:rPr>
          <w:rFonts w:ascii="Times New Roman" w:hAnsi="Times New Roman" w:cs="Times New Roman"/>
          <w:sz w:val="22"/>
          <w:szCs w:val="22"/>
          <w:lang w:val="en-US"/>
        </w:rPr>
        <w:t xml:space="preserve">related quality of life </w:t>
      </w:r>
      <w:r w:rsidRPr="360FD8C4" w:rsidR="00A0049D">
        <w:rPr>
          <w:rFonts w:ascii="Times New Roman" w:hAnsi="Times New Roman" w:cs="Times New Roman"/>
          <w:sz w:val="22"/>
          <w:szCs w:val="22"/>
          <w:lang w:val="en-US"/>
        </w:rPr>
        <w:t xml:space="preserve">and easing </w:t>
      </w:r>
      <w:r w:rsidRPr="360FD8C4" w:rsidR="003A0EB7">
        <w:rPr>
          <w:rFonts w:ascii="Times New Roman" w:hAnsi="Times New Roman" w:cs="Times New Roman"/>
          <w:sz w:val="22"/>
          <w:szCs w:val="22"/>
          <w:lang w:val="en-US"/>
        </w:rPr>
        <w:t xml:space="preserve">the </w:t>
      </w:r>
      <w:r w:rsidRPr="360FD8C4" w:rsidR="00A0049D">
        <w:rPr>
          <w:rFonts w:ascii="Times New Roman" w:hAnsi="Times New Roman" w:cs="Times New Roman"/>
          <w:sz w:val="22"/>
          <w:szCs w:val="22"/>
          <w:lang w:val="en-US"/>
        </w:rPr>
        <w:t xml:space="preserve">financial burden on patients and their </w:t>
      </w:r>
      <w:proofErr w:type="spellStart"/>
      <w:r w:rsidRPr="360FD8C4" w:rsidR="00A0049D">
        <w:rPr>
          <w:rFonts w:ascii="Times New Roman" w:hAnsi="Times New Roman" w:cs="Times New Roman"/>
          <w:sz w:val="22"/>
          <w:szCs w:val="22"/>
          <w:lang w:val="en-US"/>
        </w:rPr>
        <w:t>carers</w:t>
      </w:r>
      <w:proofErr w:type="spellEnd"/>
      <w:r w:rsidRPr="360FD8C4" w:rsidR="00FA75A8">
        <w:rPr>
          <w:rFonts w:ascii="Times New Roman" w:hAnsi="Times New Roman" w:cs="Times New Roman"/>
          <w:sz w:val="22"/>
          <w:szCs w:val="22"/>
          <w:lang w:val="en-US"/>
        </w:rPr>
        <w:t>.</w:t>
      </w:r>
    </w:p>
    <w:p w:rsidRPr="00F06896" w:rsidR="007F0316" w:rsidP="007F0316" w:rsidRDefault="007F0316" w14:paraId="68C3FB75" w14:textId="77777777">
      <w:pPr>
        <w:pStyle w:val="Default"/>
        <w:jc w:val="both"/>
        <w:rPr>
          <w:rFonts w:ascii="Times New Roman" w:hAnsi="Times New Roman" w:cs="Times New Roman"/>
          <w:sz w:val="22"/>
          <w:szCs w:val="22"/>
        </w:rPr>
      </w:pPr>
    </w:p>
    <w:p w:rsidRPr="00F06896" w:rsidR="007F0316" w:rsidP="360FD8C4" w:rsidRDefault="00255FD8" w14:paraId="6B451BB8" w14:textId="77777777">
      <w:pPr>
        <w:pStyle w:val="Default"/>
        <w:jc w:val="both"/>
        <w:rPr>
          <w:rFonts w:ascii="Times New Roman" w:hAnsi="Times New Roman" w:cs="Times New Roman"/>
          <w:color w:val="auto"/>
          <w:sz w:val="22"/>
          <w:szCs w:val="22"/>
          <w:lang w:val="en-US"/>
        </w:rPr>
      </w:pPr>
      <w:r w:rsidRPr="360FD8C4">
        <w:rPr>
          <w:rFonts w:ascii="Times New Roman" w:hAnsi="Times New Roman" w:cs="Times New Roman"/>
          <w:sz w:val="22"/>
          <w:szCs w:val="22"/>
          <w:lang w:val="en-US"/>
        </w:rPr>
        <w:t>Currently available therapies for AD provide only temporary symptomatic relief, and do not treat the underlying cause of AD nor cure or halt the progression of the disease.</w:t>
      </w:r>
      <w:r w:rsidRPr="360FD8C4" w:rsidR="00C47387">
        <w:rPr>
          <w:rFonts w:ascii="Times New Roman" w:hAnsi="Times New Roman" w:cs="Times New Roman"/>
          <w:sz w:val="22"/>
          <w:szCs w:val="22"/>
          <w:lang w:val="en-US"/>
        </w:rPr>
        <w:t xml:space="preserve"> </w:t>
      </w:r>
      <w:r w:rsidRPr="360FD8C4">
        <w:rPr>
          <w:rFonts w:ascii="Times New Roman" w:hAnsi="Times New Roman" w:cs="Times New Roman"/>
          <w:sz w:val="22"/>
          <w:szCs w:val="22"/>
          <w:lang w:val="en-US"/>
        </w:rPr>
        <w:t xml:space="preserve"> </w:t>
      </w:r>
      <w:r w:rsidRPr="360FD8C4" w:rsidR="00085640">
        <w:rPr>
          <w:rFonts w:ascii="Times New Roman" w:hAnsi="Times New Roman" w:cs="Times New Roman"/>
          <w:sz w:val="22"/>
          <w:szCs w:val="22"/>
          <w:lang w:val="en-US"/>
        </w:rPr>
        <w:t>There is</w:t>
      </w:r>
      <w:r w:rsidRPr="360FD8C4" w:rsidR="003A0EB7">
        <w:rPr>
          <w:rFonts w:ascii="Times New Roman" w:hAnsi="Times New Roman" w:cs="Times New Roman"/>
          <w:sz w:val="22"/>
          <w:szCs w:val="22"/>
          <w:lang w:val="en-US"/>
        </w:rPr>
        <w:t>,</w:t>
      </w:r>
      <w:r w:rsidRPr="360FD8C4" w:rsidR="00085640">
        <w:rPr>
          <w:rFonts w:ascii="Times New Roman" w:hAnsi="Times New Roman" w:cs="Times New Roman"/>
          <w:sz w:val="22"/>
          <w:szCs w:val="22"/>
          <w:lang w:val="en-US"/>
        </w:rPr>
        <w:t xml:space="preserve"> accordingly, a</w:t>
      </w:r>
      <w:r w:rsidRPr="360FD8C4" w:rsidR="00877B5A">
        <w:rPr>
          <w:rFonts w:ascii="Times New Roman" w:hAnsi="Times New Roman" w:cs="Times New Roman"/>
          <w:sz w:val="22"/>
          <w:szCs w:val="22"/>
          <w:lang w:val="en-US"/>
        </w:rPr>
        <w:t xml:space="preserve"> high</w:t>
      </w:r>
      <w:r w:rsidRPr="360FD8C4">
        <w:rPr>
          <w:rFonts w:ascii="Times New Roman" w:hAnsi="Times New Roman" w:cs="Times New Roman"/>
          <w:sz w:val="22"/>
          <w:szCs w:val="22"/>
          <w:lang w:val="en-US"/>
        </w:rPr>
        <w:t xml:space="preserve"> unmet need </w:t>
      </w:r>
      <w:r w:rsidRPr="360FD8C4" w:rsidR="00877B5A">
        <w:rPr>
          <w:rFonts w:ascii="Times New Roman" w:hAnsi="Times New Roman" w:cs="Times New Roman"/>
          <w:sz w:val="22"/>
          <w:szCs w:val="22"/>
          <w:lang w:val="en-US"/>
        </w:rPr>
        <w:t xml:space="preserve">for therapies </w:t>
      </w:r>
      <w:r w:rsidRPr="360FD8C4" w:rsidR="00FE30C1">
        <w:rPr>
          <w:rFonts w:ascii="Times New Roman" w:hAnsi="Times New Roman" w:cs="Times New Roman"/>
          <w:sz w:val="22"/>
          <w:szCs w:val="22"/>
          <w:lang w:val="en-US"/>
        </w:rPr>
        <w:t xml:space="preserve">which delay disease progression and </w:t>
      </w:r>
      <w:r w:rsidRPr="360FD8C4" w:rsidR="004427DD">
        <w:rPr>
          <w:rFonts w:ascii="Times New Roman" w:hAnsi="Times New Roman" w:cs="Times New Roman"/>
          <w:sz w:val="22"/>
          <w:szCs w:val="22"/>
          <w:lang w:val="en-US"/>
        </w:rPr>
        <w:t>give patients</w:t>
      </w:r>
      <w:r w:rsidRPr="360FD8C4">
        <w:rPr>
          <w:rFonts w:ascii="Times New Roman" w:hAnsi="Times New Roman" w:cs="Times New Roman"/>
          <w:sz w:val="22"/>
          <w:szCs w:val="22"/>
          <w:lang w:val="en-US"/>
        </w:rPr>
        <w:t xml:space="preserve"> </w:t>
      </w:r>
      <w:r w:rsidRPr="360FD8C4" w:rsidR="004427DD">
        <w:rPr>
          <w:rFonts w:ascii="Times New Roman" w:hAnsi="Times New Roman" w:cs="Times New Roman"/>
          <w:sz w:val="22"/>
          <w:szCs w:val="22"/>
          <w:lang w:val="en-US"/>
        </w:rPr>
        <w:t xml:space="preserve">the potential </w:t>
      </w:r>
      <w:r w:rsidRPr="360FD8C4">
        <w:rPr>
          <w:rFonts w:ascii="Times New Roman" w:hAnsi="Times New Roman" w:cs="Times New Roman"/>
          <w:sz w:val="22"/>
          <w:szCs w:val="22"/>
          <w:lang w:val="en-US"/>
        </w:rPr>
        <w:t xml:space="preserve">to remain in </w:t>
      </w:r>
      <w:r w:rsidRPr="360FD8C4" w:rsidR="004427DD">
        <w:rPr>
          <w:rFonts w:ascii="Times New Roman" w:hAnsi="Times New Roman" w:cs="Times New Roman"/>
          <w:sz w:val="22"/>
          <w:szCs w:val="22"/>
          <w:lang w:val="en-US"/>
        </w:rPr>
        <w:t xml:space="preserve">early AD </w:t>
      </w:r>
      <w:r w:rsidRPr="360FD8C4" w:rsidR="00D30470">
        <w:rPr>
          <w:rFonts w:ascii="Times New Roman" w:hAnsi="Times New Roman" w:cs="Times New Roman"/>
          <w:sz w:val="22"/>
          <w:szCs w:val="22"/>
          <w:lang w:val="en-US"/>
        </w:rPr>
        <w:t xml:space="preserve">and other </w:t>
      </w:r>
      <w:r w:rsidRPr="360FD8C4">
        <w:rPr>
          <w:rFonts w:ascii="Times New Roman" w:hAnsi="Times New Roman" w:cs="Times New Roman"/>
          <w:sz w:val="22"/>
          <w:szCs w:val="22"/>
          <w:lang w:val="en-US"/>
        </w:rPr>
        <w:t>less severe stages of disease for longer.</w:t>
      </w:r>
    </w:p>
    <w:p w:rsidRPr="00F06896" w:rsidR="007F0316" w:rsidP="007F0316" w:rsidRDefault="007F0316" w14:paraId="5545559B" w14:textId="77777777">
      <w:pPr>
        <w:pStyle w:val="Default"/>
        <w:jc w:val="both"/>
        <w:rPr>
          <w:rFonts w:ascii="Times New Roman" w:hAnsi="Times New Roman" w:cs="Times New Roman"/>
          <w:sz w:val="22"/>
          <w:szCs w:val="22"/>
        </w:rPr>
      </w:pPr>
    </w:p>
    <w:p w:rsidR="0012213D" w:rsidP="007F0316" w:rsidRDefault="0012213D" w14:paraId="2A17DF0C" w14:textId="5FF20D93">
      <w:pPr>
        <w:rPr>
          <w:rFonts w:ascii="Times New Roman" w:hAnsi="Times New Roman"/>
          <w:sz w:val="22"/>
          <w:szCs w:val="22"/>
          <w:u w:val="single"/>
        </w:rPr>
      </w:pPr>
      <w:r w:rsidRPr="00F06896">
        <w:rPr>
          <w:rFonts w:ascii="Times New Roman" w:hAnsi="Times New Roman"/>
          <w:sz w:val="22"/>
          <w:szCs w:val="22"/>
          <w:u w:val="single"/>
        </w:rPr>
        <w:t>Lecanemab</w:t>
      </w:r>
    </w:p>
    <w:p w:rsidRPr="00F06896" w:rsidR="00166FB9" w:rsidP="007F0316" w:rsidRDefault="00166FB9" w14:paraId="2756FA63" w14:textId="77777777">
      <w:pPr>
        <w:rPr>
          <w:rFonts w:ascii="Times New Roman" w:hAnsi="Times New Roman"/>
          <w:sz w:val="22"/>
          <w:szCs w:val="22"/>
          <w:u w:val="single"/>
        </w:rPr>
      </w:pPr>
    </w:p>
    <w:p w:rsidRPr="00F06896" w:rsidR="00FC23BB" w:rsidP="360FD8C4" w:rsidRDefault="009B031E" w14:paraId="65DC8572" w14:textId="727BA4FE">
      <w:pPr>
        <w:pStyle w:val="Default"/>
        <w:rPr>
          <w:rFonts w:ascii="Times New Roman" w:hAnsi="Times New Roman" w:cs="Times New Roman"/>
          <w:color w:val="auto"/>
          <w:sz w:val="22"/>
          <w:szCs w:val="22"/>
          <w:lang w:val="en-US"/>
        </w:rPr>
      </w:pPr>
      <w:r w:rsidRPr="360FD8C4">
        <w:rPr>
          <w:rFonts w:ascii="Times New Roman" w:hAnsi="Times New Roman" w:cs="Times New Roman"/>
          <w:color w:val="auto"/>
          <w:sz w:val="22"/>
          <w:szCs w:val="22"/>
          <w:lang w:val="en-US"/>
        </w:rPr>
        <w:t xml:space="preserve">Lecanemab is a </w:t>
      </w:r>
      <w:proofErr w:type="spellStart"/>
      <w:r w:rsidRPr="360FD8C4">
        <w:rPr>
          <w:rFonts w:ascii="Times New Roman" w:hAnsi="Times New Roman" w:cs="Times New Roman"/>
          <w:color w:val="auto"/>
          <w:sz w:val="22"/>
          <w:szCs w:val="22"/>
          <w:lang w:val="en-US"/>
        </w:rPr>
        <w:t>humanised</w:t>
      </w:r>
      <w:proofErr w:type="spellEnd"/>
      <w:r w:rsidRPr="360FD8C4">
        <w:rPr>
          <w:rFonts w:ascii="Times New Roman" w:hAnsi="Times New Roman" w:cs="Times New Roman"/>
          <w:color w:val="auto"/>
          <w:sz w:val="22"/>
          <w:szCs w:val="22"/>
          <w:lang w:val="en-US"/>
        </w:rPr>
        <w:t xml:space="preserve"> </w:t>
      </w:r>
      <w:r w:rsidRPr="360FD8C4" w:rsidR="00817AC8">
        <w:rPr>
          <w:rFonts w:ascii="Times New Roman" w:hAnsi="Times New Roman" w:cs="Times New Roman"/>
          <w:color w:val="auto"/>
          <w:sz w:val="22"/>
          <w:szCs w:val="22"/>
          <w:lang w:val="en-US"/>
        </w:rPr>
        <w:t>immunoglobulin gamma 1 (I</w:t>
      </w:r>
      <w:r w:rsidRPr="360FD8C4" w:rsidR="00D0477B">
        <w:rPr>
          <w:rFonts w:ascii="Times New Roman" w:hAnsi="Times New Roman" w:cs="Times New Roman"/>
          <w:color w:val="auto"/>
          <w:sz w:val="22"/>
          <w:szCs w:val="22"/>
          <w:lang w:val="en-US"/>
        </w:rPr>
        <w:t>gG1</w:t>
      </w:r>
      <w:r w:rsidRPr="360FD8C4" w:rsidR="00817AC8">
        <w:rPr>
          <w:rFonts w:ascii="Times New Roman" w:hAnsi="Times New Roman" w:cs="Times New Roman"/>
          <w:color w:val="auto"/>
          <w:sz w:val="22"/>
          <w:szCs w:val="22"/>
          <w:lang w:val="en-US"/>
        </w:rPr>
        <w:t xml:space="preserve">) </w:t>
      </w:r>
      <w:r w:rsidRPr="360FD8C4">
        <w:rPr>
          <w:rFonts w:ascii="Times New Roman" w:hAnsi="Times New Roman" w:cs="Times New Roman"/>
          <w:color w:val="auto"/>
          <w:sz w:val="22"/>
          <w:szCs w:val="22"/>
          <w:lang w:val="en-US"/>
        </w:rPr>
        <w:t>monoclonal antibody that binds to aggregated amyloid beta (Aβ) peptides, marking them for clearance via the immune system.</w:t>
      </w:r>
    </w:p>
    <w:p w:rsidRPr="00F06896" w:rsidR="00E0736E" w:rsidP="007F0316" w:rsidRDefault="00E0736E" w14:paraId="5B0CD848" w14:textId="77777777">
      <w:pPr>
        <w:pStyle w:val="Default"/>
        <w:rPr>
          <w:rFonts w:ascii="Times New Roman" w:hAnsi="Times New Roman" w:cs="Times New Roman"/>
          <w:color w:val="auto"/>
          <w:sz w:val="22"/>
          <w:szCs w:val="22"/>
        </w:rPr>
      </w:pPr>
    </w:p>
    <w:p w:rsidRPr="00F06896" w:rsidR="00316B3D" w:rsidP="360FD8C4" w:rsidRDefault="00316B3D" w14:paraId="0A0A64B0" w14:textId="48997F4B">
      <w:pPr>
        <w:pStyle w:val="Default"/>
        <w:rPr>
          <w:rFonts w:ascii="Times New Roman" w:hAnsi="Times New Roman" w:cs="Times New Roman"/>
          <w:color w:val="auto"/>
          <w:sz w:val="22"/>
          <w:szCs w:val="22"/>
          <w:lang w:val="en-US"/>
        </w:rPr>
      </w:pPr>
      <w:r w:rsidRPr="360FD8C4">
        <w:rPr>
          <w:rFonts w:ascii="Times New Roman" w:hAnsi="Times New Roman" w:cs="Times New Roman"/>
          <w:color w:val="auto"/>
          <w:sz w:val="22"/>
          <w:szCs w:val="22"/>
          <w:lang w:val="en-US"/>
        </w:rPr>
        <w:t xml:space="preserve">Lecanemab </w:t>
      </w:r>
      <w:r w:rsidRPr="360FD8C4" w:rsidR="00AE5F39">
        <w:rPr>
          <w:rFonts w:ascii="Times New Roman" w:hAnsi="Times New Roman" w:cs="Times New Roman"/>
          <w:color w:val="auto"/>
          <w:sz w:val="22"/>
          <w:szCs w:val="22"/>
          <w:lang w:val="en-US"/>
        </w:rPr>
        <w:t xml:space="preserve">was </w:t>
      </w:r>
      <w:proofErr w:type="spellStart"/>
      <w:r w:rsidRPr="360FD8C4" w:rsidR="00AE5F39">
        <w:rPr>
          <w:rFonts w:ascii="Times New Roman" w:hAnsi="Times New Roman" w:cs="Times New Roman"/>
          <w:color w:val="auto"/>
          <w:sz w:val="22"/>
          <w:szCs w:val="22"/>
          <w:lang w:val="en-US"/>
        </w:rPr>
        <w:t>authorised</w:t>
      </w:r>
      <w:proofErr w:type="spellEnd"/>
      <w:r w:rsidRPr="360FD8C4" w:rsidR="00AE5F39">
        <w:rPr>
          <w:rFonts w:ascii="Times New Roman" w:hAnsi="Times New Roman" w:cs="Times New Roman"/>
          <w:color w:val="auto"/>
          <w:sz w:val="22"/>
          <w:szCs w:val="22"/>
          <w:lang w:val="en-US"/>
        </w:rPr>
        <w:t xml:space="preserve"> by the UK</w:t>
      </w:r>
      <w:r w:rsidRPr="360FD8C4" w:rsidR="00232D64">
        <w:rPr>
          <w:rFonts w:ascii="Times New Roman" w:hAnsi="Times New Roman" w:cs="Times New Roman"/>
          <w:color w:val="auto"/>
          <w:sz w:val="22"/>
          <w:szCs w:val="22"/>
          <w:lang w:val="en-US"/>
        </w:rPr>
        <w:t xml:space="preserve"> </w:t>
      </w:r>
      <w:r w:rsidRPr="360FD8C4" w:rsidR="00404C50">
        <w:rPr>
          <w:rFonts w:ascii="Times New Roman" w:hAnsi="Times New Roman" w:cs="Times New Roman"/>
          <w:color w:val="auto"/>
          <w:sz w:val="22"/>
          <w:szCs w:val="22"/>
          <w:lang w:val="en-US"/>
        </w:rPr>
        <w:t xml:space="preserve">licensing authority </w:t>
      </w:r>
      <w:r w:rsidRPr="360FD8C4" w:rsidR="00AE5F39">
        <w:rPr>
          <w:rFonts w:ascii="Times New Roman" w:hAnsi="Times New Roman" w:cs="Times New Roman"/>
          <w:color w:val="auto"/>
          <w:sz w:val="22"/>
          <w:szCs w:val="22"/>
          <w:lang w:val="en-US"/>
        </w:rPr>
        <w:t xml:space="preserve">for the </w:t>
      </w:r>
      <w:r w:rsidRPr="360FD8C4" w:rsidR="00C056DB">
        <w:rPr>
          <w:rFonts w:ascii="Times New Roman" w:hAnsi="Times New Roman" w:cs="Times New Roman"/>
          <w:color w:val="auto"/>
          <w:sz w:val="22"/>
          <w:szCs w:val="22"/>
          <w:lang w:val="en-US"/>
        </w:rPr>
        <w:t xml:space="preserve">treatment of mild cognitive impairment and mild dementia due to Alzheimer’s Disease </w:t>
      </w:r>
      <w:r w:rsidRPr="360FD8C4" w:rsidR="007179B0">
        <w:rPr>
          <w:rFonts w:ascii="Times New Roman" w:hAnsi="Times New Roman" w:cs="Times New Roman"/>
          <w:color w:val="auto"/>
          <w:sz w:val="22"/>
          <w:szCs w:val="22"/>
          <w:lang w:val="en-US"/>
        </w:rPr>
        <w:t>in adult patients that are apolipop</w:t>
      </w:r>
      <w:r w:rsidRPr="360FD8C4" w:rsidR="006E6CDF">
        <w:rPr>
          <w:rFonts w:ascii="Times New Roman" w:hAnsi="Times New Roman" w:cs="Times New Roman"/>
          <w:color w:val="auto"/>
          <w:sz w:val="22"/>
          <w:szCs w:val="22"/>
          <w:lang w:val="en-US"/>
        </w:rPr>
        <w:t>r</w:t>
      </w:r>
      <w:r w:rsidRPr="360FD8C4" w:rsidR="007179B0">
        <w:rPr>
          <w:rFonts w:ascii="Times New Roman" w:hAnsi="Times New Roman" w:cs="Times New Roman"/>
          <w:color w:val="auto"/>
          <w:sz w:val="22"/>
          <w:szCs w:val="22"/>
          <w:lang w:val="en-US"/>
        </w:rPr>
        <w:t>otein</w:t>
      </w:r>
      <w:r w:rsidRPr="360FD8C4" w:rsidR="00B008A8">
        <w:rPr>
          <w:rFonts w:ascii="Times New Roman" w:hAnsi="Times New Roman" w:cs="Times New Roman"/>
          <w:color w:val="auto"/>
          <w:sz w:val="22"/>
          <w:szCs w:val="22"/>
          <w:shd w:val="clear" w:color="auto" w:fill="FFFFFF"/>
          <w:lang w:val="en-US"/>
        </w:rPr>
        <w:t xml:space="preserve"> </w:t>
      </w:r>
      <w:r w:rsidRPr="360FD8C4" w:rsidR="00B008A8">
        <w:rPr>
          <w:rFonts w:ascii="Times New Roman" w:hAnsi="Times New Roman" w:cs="Times New Roman"/>
          <w:color w:val="auto"/>
          <w:sz w:val="22"/>
          <w:szCs w:val="22"/>
          <w:lang w:val="en-US"/>
        </w:rPr>
        <w:t>E ε4</w:t>
      </w:r>
      <w:r w:rsidRPr="360FD8C4" w:rsidR="00B008A8">
        <w:rPr>
          <w:rFonts w:ascii="Times New Roman" w:hAnsi="Times New Roman" w:cs="Times New Roman"/>
          <w:b/>
          <w:bCs/>
          <w:color w:val="auto"/>
          <w:sz w:val="22"/>
          <w:szCs w:val="22"/>
          <w:lang w:val="en-US"/>
        </w:rPr>
        <w:t> (</w:t>
      </w:r>
      <w:proofErr w:type="spellStart"/>
      <w:r w:rsidRPr="360FD8C4" w:rsidR="00B008A8">
        <w:rPr>
          <w:rFonts w:ascii="Times New Roman" w:hAnsi="Times New Roman" w:cs="Times New Roman"/>
          <w:color w:val="auto"/>
          <w:sz w:val="22"/>
          <w:szCs w:val="22"/>
          <w:lang w:val="en-US"/>
        </w:rPr>
        <w:t>ApoE</w:t>
      </w:r>
      <w:proofErr w:type="spellEnd"/>
      <w:r w:rsidRPr="360FD8C4" w:rsidR="00B008A8">
        <w:rPr>
          <w:rFonts w:ascii="Times New Roman" w:hAnsi="Times New Roman" w:cs="Times New Roman"/>
          <w:color w:val="auto"/>
          <w:sz w:val="22"/>
          <w:szCs w:val="22"/>
          <w:lang w:val="en-US"/>
        </w:rPr>
        <w:t xml:space="preserve"> ε4) heterozygotes or non-carriers</w:t>
      </w:r>
      <w:r w:rsidRPr="360FD8C4">
        <w:rPr>
          <w:rFonts w:ascii="Times New Roman" w:hAnsi="Times New Roman" w:cs="Times New Roman"/>
          <w:color w:val="auto"/>
          <w:sz w:val="22"/>
          <w:szCs w:val="22"/>
          <w:lang w:val="en-US"/>
        </w:rPr>
        <w:t xml:space="preserve">. </w:t>
      </w:r>
      <w:r w:rsidRPr="360FD8C4" w:rsidR="00C47387">
        <w:rPr>
          <w:rFonts w:ascii="Times New Roman" w:hAnsi="Times New Roman" w:cs="Times New Roman"/>
          <w:color w:val="auto"/>
          <w:sz w:val="22"/>
          <w:szCs w:val="22"/>
          <w:lang w:val="en-US"/>
        </w:rPr>
        <w:t xml:space="preserve">It is </w:t>
      </w:r>
      <w:r w:rsidRPr="360FD8C4" w:rsidR="00CA1006">
        <w:rPr>
          <w:rFonts w:ascii="Times New Roman" w:hAnsi="Times New Roman" w:cs="Times New Roman"/>
          <w:color w:val="auto"/>
          <w:sz w:val="22"/>
          <w:szCs w:val="22"/>
          <w:lang w:val="en-US"/>
        </w:rPr>
        <w:t xml:space="preserve">the first treatment for </w:t>
      </w:r>
      <w:r w:rsidRPr="360FD8C4" w:rsidR="00EE140D">
        <w:rPr>
          <w:rFonts w:ascii="Times New Roman" w:hAnsi="Times New Roman" w:cs="Times New Roman"/>
          <w:color w:val="auto"/>
          <w:sz w:val="22"/>
          <w:szCs w:val="22"/>
          <w:lang w:val="en-US"/>
        </w:rPr>
        <w:t xml:space="preserve">early </w:t>
      </w:r>
      <w:r w:rsidRPr="360FD8C4" w:rsidR="001F2C49">
        <w:rPr>
          <w:rFonts w:ascii="Times New Roman" w:hAnsi="Times New Roman" w:cs="Times New Roman"/>
          <w:color w:val="auto"/>
          <w:sz w:val="22"/>
          <w:szCs w:val="22"/>
          <w:lang w:val="en-US"/>
        </w:rPr>
        <w:t>AD</w:t>
      </w:r>
      <w:r w:rsidRPr="360FD8C4" w:rsidR="00DF33D4">
        <w:rPr>
          <w:rFonts w:ascii="Times New Roman" w:hAnsi="Times New Roman" w:cs="Times New Roman"/>
          <w:color w:val="auto"/>
          <w:sz w:val="22"/>
          <w:szCs w:val="22"/>
          <w:lang w:val="en-US"/>
        </w:rPr>
        <w:t xml:space="preserve"> </w:t>
      </w:r>
      <w:r w:rsidRPr="360FD8C4" w:rsidR="00B86408">
        <w:rPr>
          <w:rFonts w:ascii="Times New Roman" w:hAnsi="Times New Roman" w:cs="Times New Roman"/>
          <w:color w:val="auto"/>
          <w:sz w:val="22"/>
          <w:szCs w:val="22"/>
          <w:lang w:val="en-US"/>
        </w:rPr>
        <w:t>which</w:t>
      </w:r>
      <w:r w:rsidRPr="360FD8C4" w:rsidR="0035699B">
        <w:rPr>
          <w:rFonts w:ascii="Times New Roman" w:hAnsi="Times New Roman" w:cs="Times New Roman"/>
          <w:color w:val="auto"/>
          <w:sz w:val="22"/>
          <w:szCs w:val="22"/>
          <w:lang w:val="en-US"/>
        </w:rPr>
        <w:t xml:space="preserve"> </w:t>
      </w:r>
      <w:r w:rsidRPr="360FD8C4" w:rsidR="0073572E">
        <w:rPr>
          <w:rFonts w:ascii="Times New Roman" w:hAnsi="Times New Roman" w:cs="Times New Roman"/>
          <w:color w:val="auto"/>
          <w:sz w:val="22"/>
          <w:szCs w:val="22"/>
          <w:lang w:val="en-US"/>
        </w:rPr>
        <w:t xml:space="preserve">targets an underlying cause and </w:t>
      </w:r>
      <w:r w:rsidRPr="360FD8C4" w:rsidR="0035699B">
        <w:rPr>
          <w:rFonts w:ascii="Times New Roman" w:hAnsi="Times New Roman" w:cs="Times New Roman"/>
          <w:color w:val="auto"/>
          <w:sz w:val="22"/>
          <w:szCs w:val="22"/>
          <w:lang w:val="en-US"/>
        </w:rPr>
        <w:t xml:space="preserve">slows the progression of </w:t>
      </w:r>
      <w:r w:rsidRPr="360FD8C4" w:rsidR="003810FA">
        <w:rPr>
          <w:rFonts w:ascii="Times New Roman" w:hAnsi="Times New Roman" w:cs="Times New Roman"/>
          <w:color w:val="auto"/>
          <w:sz w:val="22"/>
          <w:szCs w:val="22"/>
          <w:lang w:val="en-US"/>
        </w:rPr>
        <w:t>the disease</w:t>
      </w:r>
      <w:r w:rsidRPr="360FD8C4" w:rsidR="00626499">
        <w:rPr>
          <w:rFonts w:ascii="Times New Roman" w:hAnsi="Times New Roman" w:cs="Times New Roman"/>
          <w:color w:val="auto"/>
          <w:sz w:val="22"/>
          <w:szCs w:val="22"/>
          <w:lang w:val="en-US"/>
        </w:rPr>
        <w:t>. It</w:t>
      </w:r>
      <w:r w:rsidRPr="360FD8C4" w:rsidR="00DF33D4">
        <w:rPr>
          <w:rFonts w:ascii="Times New Roman" w:hAnsi="Times New Roman" w:cs="Times New Roman"/>
          <w:color w:val="auto"/>
          <w:sz w:val="22"/>
          <w:szCs w:val="22"/>
          <w:lang w:val="en-US"/>
        </w:rPr>
        <w:t xml:space="preserve"> is </w:t>
      </w:r>
      <w:r w:rsidRPr="360FD8C4" w:rsidR="00BF5C54">
        <w:rPr>
          <w:rFonts w:ascii="Times New Roman" w:hAnsi="Times New Roman" w:cs="Times New Roman"/>
          <w:color w:val="auto"/>
          <w:sz w:val="22"/>
          <w:szCs w:val="22"/>
          <w:lang w:val="en-US"/>
        </w:rPr>
        <w:t xml:space="preserve">administered </w:t>
      </w:r>
      <w:r w:rsidRPr="360FD8C4">
        <w:rPr>
          <w:rFonts w:ascii="Times New Roman" w:hAnsi="Times New Roman" w:cs="Times New Roman"/>
          <w:color w:val="auto"/>
          <w:sz w:val="22"/>
          <w:szCs w:val="22"/>
          <w:lang w:val="en-US"/>
        </w:rPr>
        <w:t xml:space="preserve">as an intravenous (IV) infusion, over approximately one hour, once every 2 weeks. </w:t>
      </w:r>
    </w:p>
    <w:p w:rsidRPr="00F06896" w:rsidR="00BF6D0E" w:rsidP="007F0316" w:rsidRDefault="00BF6D0E" w14:paraId="719D268B" w14:textId="3B3E5829">
      <w:pPr>
        <w:rPr>
          <w:rFonts w:ascii="Times New Roman" w:hAnsi="Times New Roman"/>
          <w:sz w:val="22"/>
          <w:szCs w:val="22"/>
        </w:rPr>
      </w:pPr>
    </w:p>
    <w:p w:rsidR="00915029" w:rsidP="007F0316" w:rsidRDefault="00915029" w14:paraId="3E35CB90" w14:textId="30CF3AA4">
      <w:pPr>
        <w:rPr>
          <w:rFonts w:ascii="Times New Roman" w:hAnsi="Times New Roman" w:eastAsia="Times New Roman"/>
          <w:b/>
          <w:sz w:val="22"/>
          <w:szCs w:val="22"/>
          <w:u w:val="single"/>
        </w:rPr>
      </w:pPr>
      <w:r w:rsidRPr="00F06896">
        <w:rPr>
          <w:rFonts w:ascii="Times New Roman" w:hAnsi="Times New Roman" w:eastAsia="Times New Roman"/>
          <w:b/>
          <w:sz w:val="22"/>
          <w:szCs w:val="22"/>
          <w:u w:val="single"/>
        </w:rPr>
        <w:t>PROCEDURAL HISTORY OF THE APPRAISAL</w:t>
      </w:r>
    </w:p>
    <w:p w:rsidRPr="00F06896" w:rsidR="0004772B" w:rsidP="007F0316" w:rsidRDefault="0004772B" w14:paraId="5B91EE15" w14:textId="77777777">
      <w:pPr>
        <w:rPr>
          <w:rFonts w:ascii="Times New Roman" w:hAnsi="Times New Roman" w:eastAsia="Times New Roman"/>
          <w:b/>
          <w:sz w:val="22"/>
          <w:szCs w:val="22"/>
          <w:u w:val="single"/>
        </w:rPr>
      </w:pPr>
    </w:p>
    <w:tbl>
      <w:tblPr>
        <w:tblStyle w:val="TableGrid"/>
        <w:tblW w:w="0" w:type="auto"/>
        <w:tblLook w:val="04A0" w:firstRow="1" w:lastRow="0" w:firstColumn="1" w:lastColumn="0" w:noHBand="0" w:noVBand="1"/>
      </w:tblPr>
      <w:tblGrid>
        <w:gridCol w:w="2547"/>
        <w:gridCol w:w="6469"/>
      </w:tblGrid>
      <w:tr w:rsidRPr="00F06896" w:rsidR="002E5703" w:rsidTr="360FD8C4" w14:paraId="79699CF6" w14:textId="77777777">
        <w:tc>
          <w:tcPr>
            <w:tcW w:w="2547" w:type="dxa"/>
          </w:tcPr>
          <w:p w:rsidRPr="00F06896" w:rsidR="00C81335" w:rsidP="007F0316" w:rsidRDefault="00C81335" w14:paraId="15BBF623" w14:textId="12F36DCB">
            <w:pPr>
              <w:rPr>
                <w:rFonts w:ascii="Times New Roman" w:hAnsi="Times New Roman"/>
                <w:b/>
                <w:bCs/>
                <w:sz w:val="22"/>
                <w:szCs w:val="22"/>
              </w:rPr>
            </w:pPr>
            <w:r w:rsidRPr="00F06896">
              <w:rPr>
                <w:rFonts w:ascii="Times New Roman" w:hAnsi="Times New Roman"/>
                <w:b/>
                <w:bCs/>
                <w:sz w:val="22"/>
                <w:szCs w:val="22"/>
              </w:rPr>
              <w:t>Date</w:t>
            </w:r>
          </w:p>
        </w:tc>
        <w:tc>
          <w:tcPr>
            <w:tcW w:w="6469" w:type="dxa"/>
          </w:tcPr>
          <w:p w:rsidRPr="00F06896" w:rsidR="00C81335" w:rsidP="007F0316" w:rsidRDefault="002E5703" w14:paraId="66DE4E2A" w14:textId="2EF97D63">
            <w:pPr>
              <w:rPr>
                <w:rFonts w:ascii="Times New Roman" w:hAnsi="Times New Roman"/>
                <w:b/>
                <w:bCs/>
                <w:sz w:val="22"/>
                <w:szCs w:val="22"/>
              </w:rPr>
            </w:pPr>
            <w:r w:rsidRPr="00F06896">
              <w:rPr>
                <w:rFonts w:ascii="Times New Roman" w:hAnsi="Times New Roman"/>
                <w:b/>
                <w:bCs/>
                <w:sz w:val="22"/>
                <w:szCs w:val="22"/>
              </w:rPr>
              <w:t>Event</w:t>
            </w:r>
          </w:p>
        </w:tc>
      </w:tr>
      <w:tr w:rsidRPr="00F06896" w:rsidR="002E5703" w:rsidTr="360FD8C4" w14:paraId="6134B531" w14:textId="77777777">
        <w:tc>
          <w:tcPr>
            <w:tcW w:w="2547" w:type="dxa"/>
          </w:tcPr>
          <w:p w:rsidRPr="00F06896" w:rsidR="002E5703" w:rsidP="007F0316" w:rsidRDefault="002E5703" w14:paraId="28D7160C" w14:textId="05AAD129">
            <w:pPr>
              <w:rPr>
                <w:rFonts w:ascii="Times New Roman" w:hAnsi="Times New Roman"/>
                <w:sz w:val="22"/>
                <w:szCs w:val="22"/>
              </w:rPr>
            </w:pPr>
            <w:r w:rsidRPr="00F06896">
              <w:rPr>
                <w:rFonts w:ascii="Times New Roman" w:hAnsi="Times New Roman"/>
                <w:sz w:val="22"/>
                <w:szCs w:val="22"/>
              </w:rPr>
              <w:t>28 September 2023</w:t>
            </w:r>
          </w:p>
        </w:tc>
        <w:tc>
          <w:tcPr>
            <w:tcW w:w="6469" w:type="dxa"/>
          </w:tcPr>
          <w:p w:rsidRPr="00F06896" w:rsidR="002E5703" w:rsidP="007F0316" w:rsidRDefault="002E5703" w14:paraId="5E759DD4" w14:textId="658677C1">
            <w:pPr>
              <w:rPr>
                <w:rFonts w:ascii="Times New Roman" w:hAnsi="Times New Roman"/>
                <w:sz w:val="22"/>
                <w:szCs w:val="22"/>
              </w:rPr>
            </w:pPr>
            <w:r w:rsidRPr="00F06896">
              <w:rPr>
                <w:rFonts w:ascii="Times New Roman" w:hAnsi="Times New Roman"/>
                <w:sz w:val="22"/>
                <w:szCs w:val="22"/>
              </w:rPr>
              <w:t>Invitation to participate in appraisal</w:t>
            </w:r>
          </w:p>
        </w:tc>
      </w:tr>
      <w:tr w:rsidRPr="00F06896" w:rsidR="0039063D" w:rsidTr="360FD8C4" w14:paraId="7D31C3EE" w14:textId="77777777">
        <w:tc>
          <w:tcPr>
            <w:tcW w:w="2547" w:type="dxa"/>
          </w:tcPr>
          <w:p w:rsidRPr="00F06896" w:rsidR="0039063D" w:rsidP="007F0316" w:rsidRDefault="00A77697" w14:paraId="7BF43AD2" w14:textId="756BC1AA">
            <w:pPr>
              <w:rPr>
                <w:rFonts w:ascii="Times New Roman" w:hAnsi="Times New Roman"/>
                <w:sz w:val="22"/>
                <w:szCs w:val="22"/>
              </w:rPr>
            </w:pPr>
            <w:r w:rsidRPr="00F06896">
              <w:rPr>
                <w:rFonts w:ascii="Times New Roman" w:hAnsi="Times New Roman"/>
                <w:sz w:val="22"/>
                <w:szCs w:val="22"/>
              </w:rPr>
              <w:t>28 September 2023</w:t>
            </w:r>
          </w:p>
        </w:tc>
        <w:tc>
          <w:tcPr>
            <w:tcW w:w="6469" w:type="dxa"/>
          </w:tcPr>
          <w:p w:rsidRPr="00F06896" w:rsidR="0039063D" w:rsidP="007F0316" w:rsidRDefault="00A77697" w14:paraId="638194AE" w14:textId="6E5A727C">
            <w:pPr>
              <w:rPr>
                <w:rFonts w:ascii="Times New Roman" w:hAnsi="Times New Roman"/>
                <w:sz w:val="22"/>
                <w:szCs w:val="22"/>
              </w:rPr>
            </w:pPr>
            <w:r w:rsidRPr="00F06896">
              <w:rPr>
                <w:rFonts w:ascii="Times New Roman" w:hAnsi="Times New Roman"/>
                <w:sz w:val="22"/>
                <w:szCs w:val="22"/>
              </w:rPr>
              <w:t>Final Scope for appraisal</w:t>
            </w:r>
          </w:p>
        </w:tc>
      </w:tr>
      <w:tr w:rsidRPr="00F06896" w:rsidR="0039063D" w:rsidTr="360FD8C4" w14:paraId="48AE824C" w14:textId="77777777">
        <w:tc>
          <w:tcPr>
            <w:tcW w:w="2547" w:type="dxa"/>
          </w:tcPr>
          <w:p w:rsidRPr="00F06896" w:rsidR="0039063D" w:rsidP="007F0316" w:rsidRDefault="00EF4B46" w14:paraId="6311436C" w14:textId="706F7E08">
            <w:pPr>
              <w:rPr>
                <w:rFonts w:ascii="Times New Roman" w:hAnsi="Times New Roman"/>
                <w:sz w:val="22"/>
                <w:szCs w:val="22"/>
              </w:rPr>
            </w:pPr>
            <w:r w:rsidRPr="00F06896">
              <w:rPr>
                <w:rFonts w:ascii="Times New Roman" w:hAnsi="Times New Roman"/>
                <w:sz w:val="22"/>
                <w:szCs w:val="22"/>
              </w:rPr>
              <w:t xml:space="preserve">7 </w:t>
            </w:r>
            <w:r w:rsidRPr="00F06896" w:rsidR="00222C81">
              <w:rPr>
                <w:rFonts w:ascii="Times New Roman" w:hAnsi="Times New Roman"/>
                <w:sz w:val="22"/>
                <w:szCs w:val="22"/>
              </w:rPr>
              <w:t>December 2023</w:t>
            </w:r>
          </w:p>
        </w:tc>
        <w:tc>
          <w:tcPr>
            <w:tcW w:w="6469" w:type="dxa"/>
          </w:tcPr>
          <w:p w:rsidRPr="00F06896" w:rsidR="0039063D" w:rsidP="007F0316" w:rsidRDefault="00222C81" w14:paraId="285464DF" w14:textId="61D7AFE5">
            <w:pPr>
              <w:rPr>
                <w:rFonts w:ascii="Times New Roman" w:hAnsi="Times New Roman"/>
                <w:sz w:val="22"/>
                <w:szCs w:val="22"/>
              </w:rPr>
            </w:pPr>
            <w:r w:rsidRPr="00F06896">
              <w:rPr>
                <w:rFonts w:ascii="Times New Roman" w:hAnsi="Times New Roman"/>
                <w:sz w:val="22"/>
                <w:szCs w:val="22"/>
              </w:rPr>
              <w:t xml:space="preserve">Eisai </w:t>
            </w:r>
            <w:r w:rsidRPr="00F06896" w:rsidR="00EC2999">
              <w:rPr>
                <w:rFonts w:ascii="Times New Roman" w:hAnsi="Times New Roman"/>
                <w:sz w:val="22"/>
                <w:szCs w:val="22"/>
              </w:rPr>
              <w:t xml:space="preserve">company </w:t>
            </w:r>
            <w:r w:rsidRPr="00F06896">
              <w:rPr>
                <w:rFonts w:ascii="Times New Roman" w:hAnsi="Times New Roman"/>
                <w:sz w:val="22"/>
                <w:szCs w:val="22"/>
              </w:rPr>
              <w:t>submission to NICE for the purposes of appraisal</w:t>
            </w:r>
          </w:p>
        </w:tc>
      </w:tr>
      <w:tr w:rsidRPr="00F06896" w:rsidR="002E5703" w:rsidTr="360FD8C4" w14:paraId="445176A4" w14:textId="77777777">
        <w:tc>
          <w:tcPr>
            <w:tcW w:w="2547" w:type="dxa"/>
          </w:tcPr>
          <w:p w:rsidRPr="00F06896" w:rsidR="003A6410" w:rsidP="007F0316" w:rsidRDefault="003A6410" w14:paraId="33726058" w14:textId="00892C87">
            <w:pPr>
              <w:rPr>
                <w:rFonts w:ascii="Times New Roman" w:hAnsi="Times New Roman"/>
                <w:sz w:val="22"/>
                <w:szCs w:val="22"/>
              </w:rPr>
            </w:pPr>
            <w:r w:rsidRPr="00F06896">
              <w:rPr>
                <w:rFonts w:ascii="Times New Roman" w:hAnsi="Times New Roman"/>
                <w:sz w:val="22"/>
                <w:szCs w:val="22"/>
              </w:rPr>
              <w:t>21 February 202</w:t>
            </w:r>
            <w:r w:rsidRPr="00F06896" w:rsidR="00123EB2">
              <w:rPr>
                <w:rFonts w:ascii="Times New Roman" w:hAnsi="Times New Roman"/>
                <w:sz w:val="22"/>
                <w:szCs w:val="22"/>
              </w:rPr>
              <w:t>4</w:t>
            </w:r>
          </w:p>
        </w:tc>
        <w:tc>
          <w:tcPr>
            <w:tcW w:w="6469" w:type="dxa"/>
          </w:tcPr>
          <w:p w:rsidRPr="00F06896" w:rsidR="003A6410" w:rsidP="360FD8C4" w:rsidRDefault="001871D3" w14:paraId="45E6DA4C" w14:textId="6EDBB86D">
            <w:pPr>
              <w:pStyle w:val="Default"/>
              <w:rPr>
                <w:rFonts w:ascii="Times New Roman" w:hAnsi="Times New Roman" w:cs="Times New Roman"/>
                <w:color w:val="auto"/>
                <w:sz w:val="22"/>
                <w:szCs w:val="22"/>
                <w:lang w:val="en-US"/>
              </w:rPr>
            </w:pPr>
            <w:r w:rsidRPr="360FD8C4">
              <w:rPr>
                <w:rFonts w:ascii="Times New Roman" w:hAnsi="Times New Roman" w:cs="Times New Roman"/>
                <w:color w:val="auto"/>
                <w:sz w:val="22"/>
                <w:szCs w:val="22"/>
                <w:lang w:val="en-US"/>
              </w:rPr>
              <w:t>External Assessment Group (</w:t>
            </w:r>
            <w:r w:rsidRPr="360FD8C4" w:rsidR="00123EB2">
              <w:rPr>
                <w:rFonts w:ascii="Times New Roman" w:hAnsi="Times New Roman" w:cs="Times New Roman"/>
                <w:color w:val="auto"/>
                <w:sz w:val="22"/>
                <w:szCs w:val="22"/>
                <w:lang w:val="en-US"/>
              </w:rPr>
              <w:t>EAG</w:t>
            </w:r>
            <w:r w:rsidRPr="360FD8C4">
              <w:rPr>
                <w:rFonts w:ascii="Times New Roman" w:hAnsi="Times New Roman" w:cs="Times New Roman"/>
                <w:color w:val="auto"/>
                <w:sz w:val="22"/>
                <w:szCs w:val="22"/>
                <w:lang w:val="en-US"/>
              </w:rPr>
              <w:t>)</w:t>
            </w:r>
            <w:r w:rsidRPr="360FD8C4" w:rsidR="00123EB2">
              <w:rPr>
                <w:rFonts w:ascii="Times New Roman" w:hAnsi="Times New Roman" w:cs="Times New Roman"/>
                <w:color w:val="auto"/>
                <w:sz w:val="22"/>
                <w:szCs w:val="22"/>
                <w:lang w:val="en-US"/>
              </w:rPr>
              <w:t xml:space="preserve"> Report prepared by </w:t>
            </w:r>
            <w:proofErr w:type="spellStart"/>
            <w:r w:rsidRPr="360FD8C4" w:rsidR="00123EB2">
              <w:rPr>
                <w:rFonts w:ascii="Times New Roman" w:hAnsi="Times New Roman" w:cs="Times New Roman"/>
                <w:color w:val="auto"/>
                <w:sz w:val="22"/>
                <w:szCs w:val="22"/>
                <w:lang w:val="en-US"/>
              </w:rPr>
              <w:t>Kleijnen</w:t>
            </w:r>
            <w:proofErr w:type="spellEnd"/>
            <w:r w:rsidRPr="360FD8C4" w:rsidR="00123EB2">
              <w:rPr>
                <w:rFonts w:ascii="Times New Roman" w:hAnsi="Times New Roman" w:cs="Times New Roman"/>
                <w:color w:val="auto"/>
                <w:sz w:val="22"/>
                <w:szCs w:val="22"/>
                <w:lang w:val="en-US"/>
              </w:rPr>
              <w:t xml:space="preserve"> Systematic Reviews Ltd</w:t>
            </w:r>
          </w:p>
        </w:tc>
      </w:tr>
      <w:tr w:rsidRPr="00F06896" w:rsidR="0039063D" w:rsidTr="360FD8C4" w14:paraId="55634924" w14:textId="77777777">
        <w:tc>
          <w:tcPr>
            <w:tcW w:w="2547" w:type="dxa"/>
          </w:tcPr>
          <w:p w:rsidRPr="00F06896" w:rsidR="0039063D" w:rsidP="007F0316" w:rsidRDefault="0039063D" w14:paraId="07FB002A" w14:textId="5E21564F">
            <w:pPr>
              <w:rPr>
                <w:rFonts w:ascii="Times New Roman" w:hAnsi="Times New Roman"/>
                <w:sz w:val="22"/>
                <w:szCs w:val="22"/>
              </w:rPr>
            </w:pPr>
            <w:r w:rsidRPr="00F06896">
              <w:rPr>
                <w:rFonts w:ascii="Times New Roman" w:hAnsi="Times New Roman"/>
                <w:sz w:val="22"/>
                <w:szCs w:val="22"/>
              </w:rPr>
              <w:t>9 May 2024</w:t>
            </w:r>
          </w:p>
        </w:tc>
        <w:tc>
          <w:tcPr>
            <w:tcW w:w="6469" w:type="dxa"/>
          </w:tcPr>
          <w:p w:rsidRPr="00F06896" w:rsidR="0039063D" w:rsidP="007F0316" w:rsidRDefault="0039063D" w14:paraId="4341FBBD" w14:textId="5865A41C">
            <w:pPr>
              <w:rPr>
                <w:rFonts w:ascii="Times New Roman" w:hAnsi="Times New Roman"/>
                <w:sz w:val="22"/>
                <w:szCs w:val="22"/>
              </w:rPr>
            </w:pPr>
            <w:r w:rsidRPr="00F06896">
              <w:rPr>
                <w:rFonts w:ascii="Times New Roman" w:hAnsi="Times New Roman"/>
                <w:sz w:val="22"/>
                <w:szCs w:val="22"/>
              </w:rPr>
              <w:t>First meeting of the App</w:t>
            </w:r>
            <w:r w:rsidRPr="00F06896" w:rsidR="00BF4A59">
              <w:rPr>
                <w:rFonts w:ascii="Times New Roman" w:hAnsi="Times New Roman"/>
                <w:sz w:val="22"/>
                <w:szCs w:val="22"/>
              </w:rPr>
              <w:t>raisal Committee (held in private)</w:t>
            </w:r>
            <w:r w:rsidRPr="00F06896" w:rsidR="00DC4858">
              <w:rPr>
                <w:rFonts w:ascii="Times New Roman" w:hAnsi="Times New Roman"/>
                <w:sz w:val="22"/>
                <w:szCs w:val="22"/>
              </w:rPr>
              <w:t xml:space="preserve"> (ACM1)</w:t>
            </w:r>
          </w:p>
        </w:tc>
      </w:tr>
      <w:tr w:rsidRPr="00F06896" w:rsidR="003C47C9" w:rsidTr="360FD8C4" w14:paraId="27292172" w14:textId="77777777">
        <w:tc>
          <w:tcPr>
            <w:tcW w:w="2547" w:type="dxa"/>
          </w:tcPr>
          <w:p w:rsidRPr="00F06896" w:rsidR="003C47C9" w:rsidP="007F0316" w:rsidRDefault="003C47C9" w14:paraId="69C5D50C" w14:textId="57D2EEA5">
            <w:pPr>
              <w:rPr>
                <w:rFonts w:ascii="Times New Roman" w:hAnsi="Times New Roman"/>
                <w:sz w:val="22"/>
                <w:szCs w:val="22"/>
              </w:rPr>
            </w:pPr>
            <w:r w:rsidRPr="00F06896">
              <w:rPr>
                <w:rFonts w:ascii="Times New Roman" w:hAnsi="Times New Roman"/>
                <w:sz w:val="22"/>
                <w:szCs w:val="22"/>
              </w:rPr>
              <w:t>22 August 202</w:t>
            </w:r>
            <w:r w:rsidRPr="00F06896" w:rsidR="00782CFC">
              <w:rPr>
                <w:rFonts w:ascii="Times New Roman" w:hAnsi="Times New Roman"/>
                <w:sz w:val="22"/>
                <w:szCs w:val="22"/>
              </w:rPr>
              <w:t>4</w:t>
            </w:r>
          </w:p>
        </w:tc>
        <w:tc>
          <w:tcPr>
            <w:tcW w:w="6469" w:type="dxa"/>
          </w:tcPr>
          <w:p w:rsidRPr="00F06896" w:rsidR="003C47C9" w:rsidP="007F0316" w:rsidRDefault="003C47C9" w14:paraId="658B2C23" w14:textId="2D7B4B54">
            <w:pPr>
              <w:rPr>
                <w:rFonts w:ascii="Times New Roman" w:hAnsi="Times New Roman"/>
                <w:sz w:val="22"/>
                <w:szCs w:val="22"/>
              </w:rPr>
            </w:pPr>
            <w:r w:rsidRPr="00F06896">
              <w:rPr>
                <w:rFonts w:ascii="Times New Roman" w:hAnsi="Times New Roman"/>
                <w:sz w:val="22"/>
                <w:szCs w:val="22"/>
              </w:rPr>
              <w:t xml:space="preserve">Marketing </w:t>
            </w:r>
            <w:proofErr w:type="spellStart"/>
            <w:r w:rsidRPr="00F06896">
              <w:rPr>
                <w:rFonts w:ascii="Times New Roman" w:hAnsi="Times New Roman"/>
                <w:sz w:val="22"/>
                <w:szCs w:val="22"/>
              </w:rPr>
              <w:t>authorisation</w:t>
            </w:r>
            <w:proofErr w:type="spellEnd"/>
            <w:r w:rsidRPr="00F06896">
              <w:rPr>
                <w:rFonts w:ascii="Times New Roman" w:hAnsi="Times New Roman"/>
                <w:sz w:val="22"/>
                <w:szCs w:val="22"/>
              </w:rPr>
              <w:t xml:space="preserve"> granted by UK </w:t>
            </w:r>
            <w:r w:rsidRPr="00F06896" w:rsidR="00404C50">
              <w:rPr>
                <w:rFonts w:ascii="Times New Roman" w:hAnsi="Times New Roman"/>
                <w:sz w:val="22"/>
                <w:szCs w:val="22"/>
              </w:rPr>
              <w:t>l</w:t>
            </w:r>
            <w:r w:rsidRPr="00F06896">
              <w:rPr>
                <w:rFonts w:ascii="Times New Roman" w:hAnsi="Times New Roman"/>
                <w:sz w:val="22"/>
                <w:szCs w:val="22"/>
              </w:rPr>
              <w:t xml:space="preserve">icensing </w:t>
            </w:r>
            <w:r w:rsidRPr="00F06896" w:rsidR="00404C50">
              <w:rPr>
                <w:rFonts w:ascii="Times New Roman" w:hAnsi="Times New Roman"/>
                <w:sz w:val="22"/>
                <w:szCs w:val="22"/>
              </w:rPr>
              <w:t xml:space="preserve">authority </w:t>
            </w:r>
          </w:p>
        </w:tc>
      </w:tr>
      <w:tr w:rsidRPr="00F06896" w:rsidR="002E5703" w:rsidTr="360FD8C4" w14:paraId="11C6867C" w14:textId="77777777">
        <w:tc>
          <w:tcPr>
            <w:tcW w:w="2547" w:type="dxa"/>
          </w:tcPr>
          <w:p w:rsidRPr="00F06896" w:rsidR="00C81335" w:rsidP="007F0316" w:rsidRDefault="00640C20" w14:paraId="63B7854C" w14:textId="0D70CA98">
            <w:pPr>
              <w:rPr>
                <w:rFonts w:ascii="Times New Roman" w:hAnsi="Times New Roman"/>
                <w:sz w:val="22"/>
                <w:szCs w:val="22"/>
              </w:rPr>
            </w:pPr>
            <w:r w:rsidRPr="00F06896">
              <w:rPr>
                <w:rFonts w:ascii="Times New Roman" w:hAnsi="Times New Roman"/>
                <w:sz w:val="22"/>
                <w:szCs w:val="22"/>
              </w:rPr>
              <w:t>22 August – 20 September 2024</w:t>
            </w:r>
          </w:p>
        </w:tc>
        <w:tc>
          <w:tcPr>
            <w:tcW w:w="6469" w:type="dxa"/>
          </w:tcPr>
          <w:p w:rsidRPr="00F06896" w:rsidR="00C81335" w:rsidP="007F0316" w:rsidRDefault="00640C20" w14:paraId="12819F3C" w14:textId="432709C2">
            <w:pPr>
              <w:rPr>
                <w:rFonts w:ascii="Times New Roman" w:hAnsi="Times New Roman"/>
                <w:sz w:val="22"/>
                <w:szCs w:val="22"/>
              </w:rPr>
            </w:pPr>
            <w:r w:rsidRPr="00F06896">
              <w:rPr>
                <w:rFonts w:ascii="Times New Roman" w:hAnsi="Times New Roman"/>
                <w:sz w:val="22"/>
                <w:szCs w:val="22"/>
              </w:rPr>
              <w:t>Consultation on Draft Guidance</w:t>
            </w:r>
          </w:p>
        </w:tc>
      </w:tr>
      <w:tr w:rsidRPr="00F06896" w:rsidR="00412CDF" w:rsidTr="360FD8C4" w14:paraId="3AEB8DD2" w14:textId="77777777">
        <w:tc>
          <w:tcPr>
            <w:tcW w:w="2547" w:type="dxa"/>
          </w:tcPr>
          <w:p w:rsidRPr="00F06896" w:rsidR="00412CDF" w:rsidP="007F0316" w:rsidRDefault="00AE6414" w14:paraId="6543E033" w14:textId="6E05A310">
            <w:pPr>
              <w:rPr>
                <w:rFonts w:ascii="Times New Roman" w:hAnsi="Times New Roman"/>
                <w:sz w:val="22"/>
                <w:szCs w:val="22"/>
              </w:rPr>
            </w:pPr>
            <w:r w:rsidRPr="00F06896">
              <w:rPr>
                <w:rFonts w:ascii="Times New Roman" w:hAnsi="Times New Roman"/>
                <w:sz w:val="22"/>
                <w:szCs w:val="22"/>
              </w:rPr>
              <w:t>3</w:t>
            </w:r>
            <w:r w:rsidRPr="00F06896" w:rsidR="00412CDF">
              <w:rPr>
                <w:rFonts w:ascii="Times New Roman" w:hAnsi="Times New Roman"/>
                <w:sz w:val="22"/>
                <w:szCs w:val="22"/>
              </w:rPr>
              <w:t>0 September 2024</w:t>
            </w:r>
          </w:p>
        </w:tc>
        <w:tc>
          <w:tcPr>
            <w:tcW w:w="6469" w:type="dxa"/>
          </w:tcPr>
          <w:p w:rsidRPr="00F06896" w:rsidR="00412CDF" w:rsidP="007F0316" w:rsidRDefault="00412CDF" w14:paraId="77FCDE5D" w14:textId="3756AD16">
            <w:pPr>
              <w:rPr>
                <w:rFonts w:ascii="Times New Roman" w:hAnsi="Times New Roman"/>
                <w:sz w:val="22"/>
                <w:szCs w:val="22"/>
              </w:rPr>
            </w:pPr>
            <w:r w:rsidRPr="00F06896">
              <w:rPr>
                <w:rFonts w:ascii="Times New Roman" w:hAnsi="Times New Roman"/>
                <w:sz w:val="22"/>
                <w:szCs w:val="22"/>
              </w:rPr>
              <w:t xml:space="preserve">Eisai submits response to </w:t>
            </w:r>
            <w:r w:rsidRPr="00F06896" w:rsidR="00D818B7">
              <w:rPr>
                <w:rFonts w:ascii="Times New Roman" w:hAnsi="Times New Roman"/>
                <w:sz w:val="22"/>
                <w:szCs w:val="22"/>
              </w:rPr>
              <w:t>Draft Guidance</w:t>
            </w:r>
          </w:p>
        </w:tc>
      </w:tr>
      <w:tr w:rsidRPr="00F06896" w:rsidR="009A2347" w:rsidTr="360FD8C4" w14:paraId="62F47BC1" w14:textId="77777777">
        <w:tc>
          <w:tcPr>
            <w:tcW w:w="2547" w:type="dxa"/>
          </w:tcPr>
          <w:p w:rsidRPr="00F06896" w:rsidR="009A2347" w:rsidP="007F0316" w:rsidRDefault="009A2347" w14:paraId="5BEFD8B8" w14:textId="7925876B">
            <w:pPr>
              <w:rPr>
                <w:rFonts w:ascii="Times New Roman" w:hAnsi="Times New Roman"/>
                <w:sz w:val="22"/>
                <w:szCs w:val="22"/>
              </w:rPr>
            </w:pPr>
            <w:r w:rsidRPr="00F06896">
              <w:rPr>
                <w:rFonts w:ascii="Times New Roman" w:hAnsi="Times New Roman"/>
                <w:sz w:val="22"/>
                <w:szCs w:val="22"/>
              </w:rPr>
              <w:t>25 October 2024</w:t>
            </w:r>
          </w:p>
        </w:tc>
        <w:tc>
          <w:tcPr>
            <w:tcW w:w="6469" w:type="dxa"/>
          </w:tcPr>
          <w:p w:rsidRPr="00F06896" w:rsidR="009A2347" w:rsidP="007F0316" w:rsidRDefault="009A2347" w14:paraId="1B59E6B5" w14:textId="6C8A84B6">
            <w:pPr>
              <w:rPr>
                <w:rFonts w:ascii="Times New Roman" w:hAnsi="Times New Roman"/>
                <w:sz w:val="22"/>
                <w:szCs w:val="22"/>
              </w:rPr>
            </w:pPr>
            <w:r w:rsidRPr="00F06896">
              <w:rPr>
                <w:rFonts w:ascii="Times New Roman" w:hAnsi="Times New Roman"/>
                <w:sz w:val="22"/>
                <w:szCs w:val="22"/>
              </w:rPr>
              <w:t xml:space="preserve">NICE </w:t>
            </w:r>
            <w:r w:rsidRPr="00F06896" w:rsidR="008F2B9E">
              <w:rPr>
                <w:rFonts w:ascii="Times New Roman" w:hAnsi="Times New Roman"/>
                <w:sz w:val="22"/>
                <w:szCs w:val="22"/>
              </w:rPr>
              <w:t>provide</w:t>
            </w:r>
            <w:r w:rsidRPr="00F06896">
              <w:rPr>
                <w:rFonts w:ascii="Times New Roman" w:hAnsi="Times New Roman"/>
                <w:sz w:val="22"/>
                <w:szCs w:val="22"/>
              </w:rPr>
              <w:t xml:space="preserve">s committee papers </w:t>
            </w:r>
            <w:r w:rsidRPr="00F06896" w:rsidR="008F2B9E">
              <w:rPr>
                <w:rFonts w:ascii="Times New Roman" w:hAnsi="Times New Roman"/>
                <w:sz w:val="22"/>
                <w:szCs w:val="22"/>
              </w:rPr>
              <w:t xml:space="preserve">to </w:t>
            </w:r>
            <w:r w:rsidRPr="00F06896">
              <w:rPr>
                <w:rFonts w:ascii="Times New Roman" w:hAnsi="Times New Roman"/>
                <w:sz w:val="22"/>
                <w:szCs w:val="22"/>
              </w:rPr>
              <w:t xml:space="preserve">stakeholders ahead of </w:t>
            </w:r>
            <w:r w:rsidRPr="00F06896" w:rsidR="00507B3C">
              <w:rPr>
                <w:rFonts w:ascii="Times New Roman" w:hAnsi="Times New Roman"/>
                <w:sz w:val="22"/>
                <w:szCs w:val="22"/>
              </w:rPr>
              <w:t>A</w:t>
            </w:r>
            <w:r w:rsidRPr="00F06896" w:rsidR="0072500F">
              <w:rPr>
                <w:rFonts w:ascii="Times New Roman" w:hAnsi="Times New Roman"/>
                <w:sz w:val="22"/>
                <w:szCs w:val="22"/>
              </w:rPr>
              <w:t>p</w:t>
            </w:r>
            <w:r w:rsidRPr="00F06896" w:rsidR="009C094B">
              <w:rPr>
                <w:rFonts w:ascii="Times New Roman" w:hAnsi="Times New Roman"/>
                <w:sz w:val="22"/>
                <w:szCs w:val="22"/>
              </w:rPr>
              <w:t>praisal Co</w:t>
            </w:r>
            <w:r w:rsidRPr="00F06896" w:rsidR="004936BE">
              <w:rPr>
                <w:rFonts w:ascii="Times New Roman" w:hAnsi="Times New Roman"/>
                <w:sz w:val="22"/>
                <w:szCs w:val="22"/>
              </w:rPr>
              <w:t>mmittee meeting</w:t>
            </w:r>
            <w:r w:rsidRPr="00F06896" w:rsidR="007A4565">
              <w:rPr>
                <w:rFonts w:ascii="Times New Roman" w:hAnsi="Times New Roman"/>
                <w:sz w:val="22"/>
                <w:szCs w:val="22"/>
              </w:rPr>
              <w:t xml:space="preserve"> (</w:t>
            </w:r>
            <w:r w:rsidRPr="00F06896" w:rsidR="005B6A23">
              <w:rPr>
                <w:rFonts w:ascii="Times New Roman" w:hAnsi="Times New Roman"/>
                <w:sz w:val="22"/>
                <w:szCs w:val="22"/>
              </w:rPr>
              <w:t xml:space="preserve">includes </w:t>
            </w:r>
            <w:r w:rsidRPr="00F06896" w:rsidR="00D3641B">
              <w:rPr>
                <w:rFonts w:ascii="Times New Roman" w:hAnsi="Times New Roman"/>
                <w:sz w:val="22"/>
                <w:szCs w:val="22"/>
              </w:rPr>
              <w:t>document 2g</w:t>
            </w:r>
            <w:r w:rsidRPr="00F06896" w:rsidR="00630D55">
              <w:rPr>
                <w:rFonts w:ascii="Times New Roman" w:hAnsi="Times New Roman"/>
                <w:sz w:val="22"/>
                <w:szCs w:val="22"/>
              </w:rPr>
              <w:t xml:space="preserve">, </w:t>
            </w:r>
            <w:r w:rsidRPr="00F06896" w:rsidR="002A6DE5">
              <w:rPr>
                <w:rFonts w:ascii="Times New Roman" w:hAnsi="Times New Roman"/>
                <w:sz w:val="22"/>
                <w:szCs w:val="22"/>
              </w:rPr>
              <w:t>‘NHS England response on infusion pricing’)</w:t>
            </w:r>
          </w:p>
        </w:tc>
      </w:tr>
      <w:tr w:rsidRPr="00F06896" w:rsidR="002E5703" w:rsidTr="360FD8C4" w14:paraId="7906523D" w14:textId="77777777">
        <w:tc>
          <w:tcPr>
            <w:tcW w:w="2547" w:type="dxa"/>
          </w:tcPr>
          <w:p w:rsidRPr="00F06896" w:rsidR="00C81335" w:rsidP="007F0316" w:rsidRDefault="00D02767" w14:paraId="0821F3AE" w14:textId="5A34FBDE">
            <w:pPr>
              <w:rPr>
                <w:rFonts w:ascii="Times New Roman" w:hAnsi="Times New Roman"/>
                <w:sz w:val="22"/>
                <w:szCs w:val="22"/>
              </w:rPr>
            </w:pPr>
            <w:r w:rsidRPr="00F06896">
              <w:rPr>
                <w:rFonts w:ascii="Times New Roman" w:hAnsi="Times New Roman"/>
                <w:sz w:val="22"/>
                <w:szCs w:val="22"/>
              </w:rPr>
              <w:t>6 November 2024</w:t>
            </w:r>
          </w:p>
        </w:tc>
        <w:tc>
          <w:tcPr>
            <w:tcW w:w="6469" w:type="dxa"/>
          </w:tcPr>
          <w:p w:rsidRPr="00F06896" w:rsidR="00C81335" w:rsidP="007F0316" w:rsidRDefault="00D02767" w14:paraId="198E0945" w14:textId="6B8DEFAF">
            <w:pPr>
              <w:rPr>
                <w:rFonts w:ascii="Times New Roman" w:hAnsi="Times New Roman"/>
                <w:sz w:val="22"/>
                <w:szCs w:val="22"/>
              </w:rPr>
            </w:pPr>
            <w:r w:rsidRPr="00F06896">
              <w:rPr>
                <w:rFonts w:ascii="Times New Roman" w:hAnsi="Times New Roman"/>
                <w:sz w:val="22"/>
                <w:szCs w:val="22"/>
              </w:rPr>
              <w:t>Second meeting of the Appraisal Committee</w:t>
            </w:r>
            <w:r w:rsidRPr="00F06896" w:rsidR="00DC4858">
              <w:rPr>
                <w:rFonts w:ascii="Times New Roman" w:hAnsi="Times New Roman"/>
                <w:sz w:val="22"/>
                <w:szCs w:val="22"/>
              </w:rPr>
              <w:t xml:space="preserve"> (ACM2)</w:t>
            </w:r>
          </w:p>
        </w:tc>
      </w:tr>
      <w:tr w:rsidRPr="00F06896" w:rsidR="002E5703" w:rsidTr="360FD8C4" w14:paraId="2BC3685C" w14:textId="77777777">
        <w:tc>
          <w:tcPr>
            <w:tcW w:w="2547" w:type="dxa"/>
          </w:tcPr>
          <w:p w:rsidRPr="00F06896" w:rsidR="00C81335" w:rsidP="007F0316" w:rsidRDefault="00D02767" w14:paraId="028DD484" w14:textId="31B7E932">
            <w:pPr>
              <w:rPr>
                <w:rFonts w:ascii="Times New Roman" w:hAnsi="Times New Roman"/>
                <w:sz w:val="22"/>
                <w:szCs w:val="22"/>
              </w:rPr>
            </w:pPr>
            <w:r w:rsidRPr="00F06896">
              <w:rPr>
                <w:rFonts w:ascii="Times New Roman" w:hAnsi="Times New Roman"/>
                <w:sz w:val="22"/>
                <w:szCs w:val="22"/>
              </w:rPr>
              <w:t>6 March – 27 March 2025</w:t>
            </w:r>
          </w:p>
        </w:tc>
        <w:tc>
          <w:tcPr>
            <w:tcW w:w="6469" w:type="dxa"/>
          </w:tcPr>
          <w:p w:rsidRPr="00F06896" w:rsidR="00C81335" w:rsidP="007F0316" w:rsidRDefault="00D02767" w14:paraId="161E843A" w14:textId="7A0CECEF">
            <w:pPr>
              <w:rPr>
                <w:rFonts w:ascii="Times New Roman" w:hAnsi="Times New Roman"/>
                <w:sz w:val="22"/>
                <w:szCs w:val="22"/>
              </w:rPr>
            </w:pPr>
            <w:r w:rsidRPr="00F06896">
              <w:rPr>
                <w:rFonts w:ascii="Times New Roman" w:hAnsi="Times New Roman"/>
                <w:sz w:val="22"/>
                <w:szCs w:val="22"/>
              </w:rPr>
              <w:t>Consultation on Second Draft Guidance</w:t>
            </w:r>
          </w:p>
        </w:tc>
      </w:tr>
      <w:tr w:rsidRPr="00F06896" w:rsidR="00123EB2" w:rsidTr="360FD8C4" w14:paraId="13929AC7" w14:textId="77777777">
        <w:tc>
          <w:tcPr>
            <w:tcW w:w="2547" w:type="dxa"/>
          </w:tcPr>
          <w:p w:rsidRPr="00F06896" w:rsidR="00123EB2" w:rsidP="007F0316" w:rsidRDefault="00123EB2" w14:paraId="32B83D28" w14:textId="63DA1D3B">
            <w:pPr>
              <w:rPr>
                <w:rFonts w:ascii="Times New Roman" w:hAnsi="Times New Roman"/>
                <w:sz w:val="22"/>
                <w:szCs w:val="22"/>
              </w:rPr>
            </w:pPr>
            <w:r w:rsidRPr="00F06896">
              <w:rPr>
                <w:rFonts w:ascii="Times New Roman" w:hAnsi="Times New Roman"/>
                <w:sz w:val="22"/>
                <w:szCs w:val="22"/>
              </w:rPr>
              <w:t>27 March 2025</w:t>
            </w:r>
          </w:p>
        </w:tc>
        <w:tc>
          <w:tcPr>
            <w:tcW w:w="6469" w:type="dxa"/>
          </w:tcPr>
          <w:p w:rsidRPr="00F06896" w:rsidR="00123EB2" w:rsidP="007F0316" w:rsidRDefault="00123EB2" w14:paraId="367A2EA0" w14:textId="77777777">
            <w:pPr>
              <w:rPr>
                <w:rFonts w:ascii="Times New Roman" w:hAnsi="Times New Roman"/>
                <w:sz w:val="22"/>
                <w:szCs w:val="22"/>
              </w:rPr>
            </w:pPr>
            <w:r w:rsidRPr="00F06896">
              <w:rPr>
                <w:rFonts w:ascii="Times New Roman" w:hAnsi="Times New Roman"/>
                <w:sz w:val="22"/>
                <w:szCs w:val="22"/>
              </w:rPr>
              <w:t>Eisai submi</w:t>
            </w:r>
            <w:r w:rsidRPr="00F06896" w:rsidR="004320F8">
              <w:rPr>
                <w:rFonts w:ascii="Times New Roman" w:hAnsi="Times New Roman"/>
                <w:sz w:val="22"/>
                <w:szCs w:val="22"/>
              </w:rPr>
              <w:t>ts response to Second Draft Guidance</w:t>
            </w:r>
          </w:p>
          <w:p w:rsidRPr="00F06896" w:rsidR="00AE6414" w:rsidP="007F0316" w:rsidRDefault="00AE6414" w14:paraId="610EE5CC" w14:textId="7BC5B4E5">
            <w:pPr>
              <w:rPr>
                <w:rFonts w:ascii="Times New Roman" w:hAnsi="Times New Roman"/>
                <w:sz w:val="22"/>
                <w:szCs w:val="22"/>
              </w:rPr>
            </w:pPr>
            <w:r w:rsidRPr="00F06896">
              <w:rPr>
                <w:rFonts w:ascii="Times New Roman" w:hAnsi="Times New Roman"/>
                <w:sz w:val="22"/>
                <w:szCs w:val="22"/>
              </w:rPr>
              <w:t>(Updated version submitted at NICE’s request on 4 April 2025)</w:t>
            </w:r>
          </w:p>
        </w:tc>
      </w:tr>
      <w:tr w:rsidRPr="00F06896" w:rsidR="000942E1" w:rsidTr="360FD8C4" w14:paraId="00F7B125" w14:textId="77777777">
        <w:tc>
          <w:tcPr>
            <w:tcW w:w="2547" w:type="dxa"/>
          </w:tcPr>
          <w:p w:rsidRPr="00F06896" w:rsidR="000942E1" w:rsidP="007F0316" w:rsidRDefault="000942E1" w14:paraId="38001A79" w14:textId="0CE855C2">
            <w:pPr>
              <w:rPr>
                <w:rFonts w:ascii="Times New Roman" w:hAnsi="Times New Roman"/>
                <w:sz w:val="22"/>
                <w:szCs w:val="22"/>
              </w:rPr>
            </w:pPr>
            <w:r w:rsidRPr="00F06896">
              <w:rPr>
                <w:rFonts w:ascii="Times New Roman" w:hAnsi="Times New Roman"/>
                <w:sz w:val="22"/>
                <w:szCs w:val="22"/>
              </w:rPr>
              <w:t>23 April 2025</w:t>
            </w:r>
          </w:p>
        </w:tc>
        <w:tc>
          <w:tcPr>
            <w:tcW w:w="6469" w:type="dxa"/>
          </w:tcPr>
          <w:p w:rsidRPr="00F06896" w:rsidR="000942E1" w:rsidP="007F0316" w:rsidRDefault="00DE3C25" w14:paraId="77047489" w14:textId="6B2C035A">
            <w:pPr>
              <w:rPr>
                <w:rFonts w:ascii="Times New Roman" w:hAnsi="Times New Roman"/>
                <w:sz w:val="22"/>
                <w:szCs w:val="22"/>
              </w:rPr>
            </w:pPr>
            <w:r w:rsidRPr="00F06896">
              <w:rPr>
                <w:rFonts w:ascii="Times New Roman" w:hAnsi="Times New Roman"/>
                <w:sz w:val="22"/>
                <w:szCs w:val="22"/>
              </w:rPr>
              <w:t xml:space="preserve">NICE </w:t>
            </w:r>
            <w:r w:rsidRPr="00F06896" w:rsidR="00CB10EB">
              <w:rPr>
                <w:rFonts w:ascii="Times New Roman" w:hAnsi="Times New Roman"/>
                <w:sz w:val="22"/>
                <w:szCs w:val="22"/>
              </w:rPr>
              <w:t xml:space="preserve">provides </w:t>
            </w:r>
            <w:r w:rsidRPr="00F06896" w:rsidR="008162F3">
              <w:rPr>
                <w:rFonts w:ascii="Times New Roman" w:hAnsi="Times New Roman"/>
                <w:sz w:val="22"/>
                <w:szCs w:val="22"/>
              </w:rPr>
              <w:t xml:space="preserve">committee papers </w:t>
            </w:r>
            <w:r w:rsidRPr="00F06896" w:rsidR="00CB10EB">
              <w:rPr>
                <w:rFonts w:ascii="Times New Roman" w:hAnsi="Times New Roman"/>
                <w:sz w:val="22"/>
                <w:szCs w:val="22"/>
              </w:rPr>
              <w:t>to</w:t>
            </w:r>
            <w:r w:rsidRPr="00F06896" w:rsidR="008162F3">
              <w:rPr>
                <w:rFonts w:ascii="Times New Roman" w:hAnsi="Times New Roman"/>
                <w:sz w:val="22"/>
                <w:szCs w:val="22"/>
              </w:rPr>
              <w:t xml:space="preserve"> stakeholders</w:t>
            </w:r>
            <w:r w:rsidRPr="00F06896" w:rsidR="00FB326B">
              <w:rPr>
                <w:rFonts w:ascii="Times New Roman" w:hAnsi="Times New Roman"/>
                <w:sz w:val="22"/>
                <w:szCs w:val="22"/>
              </w:rPr>
              <w:t xml:space="preserve"> ahead of </w:t>
            </w:r>
            <w:r w:rsidRPr="00F06896" w:rsidR="004936BE">
              <w:rPr>
                <w:rFonts w:ascii="Times New Roman" w:hAnsi="Times New Roman"/>
                <w:sz w:val="22"/>
                <w:szCs w:val="22"/>
              </w:rPr>
              <w:t>Appraisal Committee meeting</w:t>
            </w:r>
          </w:p>
        </w:tc>
      </w:tr>
      <w:tr w:rsidRPr="00F06896" w:rsidR="005A0695" w:rsidTr="360FD8C4" w14:paraId="06D824DF" w14:textId="77777777">
        <w:tc>
          <w:tcPr>
            <w:tcW w:w="2547" w:type="dxa"/>
          </w:tcPr>
          <w:p w:rsidRPr="00F06896" w:rsidR="005A0695" w:rsidP="007F0316" w:rsidRDefault="005A0695" w14:paraId="652A4C3B" w14:textId="3F9F5039">
            <w:pPr>
              <w:rPr>
                <w:rFonts w:ascii="Times New Roman" w:hAnsi="Times New Roman"/>
                <w:sz w:val="22"/>
                <w:szCs w:val="22"/>
              </w:rPr>
            </w:pPr>
            <w:r w:rsidRPr="00F06896">
              <w:rPr>
                <w:rFonts w:ascii="Times New Roman" w:hAnsi="Times New Roman"/>
                <w:sz w:val="22"/>
                <w:szCs w:val="22"/>
              </w:rPr>
              <w:t>8 May 2025</w:t>
            </w:r>
          </w:p>
        </w:tc>
        <w:tc>
          <w:tcPr>
            <w:tcW w:w="6469" w:type="dxa"/>
          </w:tcPr>
          <w:p w:rsidRPr="00F06896" w:rsidR="005A0695" w:rsidP="007F0316" w:rsidRDefault="009B51D7" w14:paraId="22BB4F26" w14:textId="126B83F7">
            <w:pPr>
              <w:rPr>
                <w:rFonts w:ascii="Times New Roman" w:hAnsi="Times New Roman"/>
                <w:sz w:val="22"/>
                <w:szCs w:val="22"/>
              </w:rPr>
            </w:pPr>
            <w:r w:rsidRPr="00F06896">
              <w:rPr>
                <w:rFonts w:ascii="Times New Roman" w:hAnsi="Times New Roman"/>
                <w:sz w:val="22"/>
                <w:szCs w:val="22"/>
              </w:rPr>
              <w:t xml:space="preserve">NICE Associate Director provides </w:t>
            </w:r>
            <w:r w:rsidRPr="00F06896" w:rsidR="002F5D96">
              <w:rPr>
                <w:rFonts w:ascii="Times New Roman" w:hAnsi="Times New Roman"/>
                <w:sz w:val="22"/>
                <w:szCs w:val="22"/>
              </w:rPr>
              <w:t xml:space="preserve">to Eisai </w:t>
            </w:r>
            <w:r w:rsidRPr="00F06896">
              <w:rPr>
                <w:rFonts w:ascii="Times New Roman" w:hAnsi="Times New Roman"/>
                <w:sz w:val="22"/>
                <w:szCs w:val="22"/>
              </w:rPr>
              <w:t>i</w:t>
            </w:r>
            <w:r w:rsidRPr="00F06896" w:rsidR="00E366EE">
              <w:rPr>
                <w:rFonts w:ascii="Times New Roman" w:hAnsi="Times New Roman"/>
                <w:sz w:val="22"/>
                <w:szCs w:val="22"/>
              </w:rPr>
              <w:t xml:space="preserve">nformation regarding NHS England’s claimed infusion costs </w:t>
            </w:r>
            <w:r w:rsidRPr="00F06896" w:rsidR="005A34CC">
              <w:rPr>
                <w:rFonts w:ascii="Times New Roman" w:hAnsi="Times New Roman"/>
                <w:sz w:val="22"/>
                <w:szCs w:val="22"/>
              </w:rPr>
              <w:t xml:space="preserve">and supporting Excel file </w:t>
            </w:r>
            <w:r w:rsidRPr="00F06896" w:rsidR="00E366EE">
              <w:rPr>
                <w:rFonts w:ascii="Times New Roman" w:hAnsi="Times New Roman"/>
                <w:sz w:val="22"/>
                <w:szCs w:val="22"/>
              </w:rPr>
              <w:t>by email</w:t>
            </w:r>
          </w:p>
        </w:tc>
      </w:tr>
      <w:tr w:rsidRPr="00F06896" w:rsidR="00D05D2A" w:rsidTr="360FD8C4" w14:paraId="205648FC" w14:textId="77777777">
        <w:tc>
          <w:tcPr>
            <w:tcW w:w="2547" w:type="dxa"/>
          </w:tcPr>
          <w:p w:rsidRPr="00F06896" w:rsidR="00D05D2A" w:rsidP="007F0316" w:rsidRDefault="005A0695" w14:paraId="3322E570" w14:textId="618A9467">
            <w:pPr>
              <w:rPr>
                <w:rFonts w:ascii="Times New Roman" w:hAnsi="Times New Roman"/>
                <w:sz w:val="22"/>
                <w:szCs w:val="22"/>
              </w:rPr>
            </w:pPr>
            <w:r w:rsidRPr="00F06896">
              <w:rPr>
                <w:rFonts w:ascii="Times New Roman" w:hAnsi="Times New Roman"/>
                <w:sz w:val="22"/>
                <w:szCs w:val="22"/>
              </w:rPr>
              <w:t>9 May 2025</w:t>
            </w:r>
          </w:p>
        </w:tc>
        <w:tc>
          <w:tcPr>
            <w:tcW w:w="6469" w:type="dxa"/>
          </w:tcPr>
          <w:p w:rsidRPr="00F06896" w:rsidR="00D05D2A" w:rsidP="007F0316" w:rsidRDefault="00345281" w14:paraId="5CC8D9BE" w14:textId="5555E400">
            <w:pPr>
              <w:rPr>
                <w:rFonts w:ascii="Times New Roman" w:hAnsi="Times New Roman"/>
                <w:sz w:val="22"/>
                <w:szCs w:val="22"/>
              </w:rPr>
            </w:pPr>
            <w:r w:rsidRPr="00F06896">
              <w:rPr>
                <w:rFonts w:ascii="Times New Roman" w:hAnsi="Times New Roman"/>
                <w:sz w:val="22"/>
                <w:szCs w:val="22"/>
              </w:rPr>
              <w:t>NI</w:t>
            </w:r>
            <w:r w:rsidRPr="00F06896" w:rsidR="00BB7289">
              <w:rPr>
                <w:rFonts w:ascii="Times New Roman" w:hAnsi="Times New Roman"/>
                <w:sz w:val="22"/>
                <w:szCs w:val="22"/>
              </w:rPr>
              <w:t>CE</w:t>
            </w:r>
            <w:r w:rsidRPr="00F06896" w:rsidR="00D43EDA">
              <w:rPr>
                <w:rFonts w:ascii="Times New Roman" w:hAnsi="Times New Roman"/>
                <w:sz w:val="22"/>
                <w:szCs w:val="22"/>
              </w:rPr>
              <w:t xml:space="preserve"> provides</w:t>
            </w:r>
            <w:r w:rsidRPr="00F06896" w:rsidR="005E5729">
              <w:rPr>
                <w:rFonts w:ascii="Times New Roman" w:hAnsi="Times New Roman"/>
                <w:sz w:val="22"/>
                <w:szCs w:val="22"/>
              </w:rPr>
              <w:t xml:space="preserve"> updated committee papers to stakeholder</w:t>
            </w:r>
            <w:r w:rsidRPr="00F06896" w:rsidR="006A22E2">
              <w:rPr>
                <w:rFonts w:ascii="Times New Roman" w:hAnsi="Times New Roman"/>
                <w:sz w:val="22"/>
                <w:szCs w:val="22"/>
              </w:rPr>
              <w:t>s</w:t>
            </w:r>
            <w:r w:rsidRPr="00F06896" w:rsidR="00E57989">
              <w:rPr>
                <w:rFonts w:ascii="Times New Roman" w:hAnsi="Times New Roman"/>
                <w:sz w:val="22"/>
                <w:szCs w:val="22"/>
              </w:rPr>
              <w:t xml:space="preserve"> </w:t>
            </w:r>
            <w:r w:rsidRPr="00F06896" w:rsidR="00FE6884">
              <w:rPr>
                <w:rFonts w:ascii="Times New Roman" w:hAnsi="Times New Roman"/>
                <w:sz w:val="22"/>
                <w:szCs w:val="22"/>
              </w:rPr>
              <w:t xml:space="preserve">with </w:t>
            </w:r>
            <w:r w:rsidRPr="00F06896" w:rsidR="00BE42B1">
              <w:rPr>
                <w:rFonts w:ascii="Times New Roman" w:hAnsi="Times New Roman"/>
                <w:sz w:val="22"/>
                <w:szCs w:val="22"/>
              </w:rPr>
              <w:t>i</w:t>
            </w:r>
            <w:r w:rsidRPr="00F06896" w:rsidR="002F30A1">
              <w:rPr>
                <w:rFonts w:ascii="Times New Roman" w:hAnsi="Times New Roman"/>
                <w:sz w:val="22"/>
                <w:szCs w:val="22"/>
              </w:rPr>
              <w:t xml:space="preserve">nformation regarding NHS </w:t>
            </w:r>
            <w:r w:rsidRPr="00F06896" w:rsidR="00D05D2A">
              <w:rPr>
                <w:rFonts w:ascii="Times New Roman" w:hAnsi="Times New Roman"/>
                <w:sz w:val="22"/>
                <w:szCs w:val="22"/>
              </w:rPr>
              <w:t>England</w:t>
            </w:r>
            <w:r w:rsidRPr="00F06896" w:rsidR="002F30A1">
              <w:rPr>
                <w:rFonts w:ascii="Times New Roman" w:hAnsi="Times New Roman"/>
                <w:sz w:val="22"/>
                <w:szCs w:val="22"/>
              </w:rPr>
              <w:t xml:space="preserve">’s claimed infusion costs </w:t>
            </w:r>
            <w:r w:rsidRPr="00F06896" w:rsidR="002F596C">
              <w:rPr>
                <w:rFonts w:ascii="Times New Roman" w:hAnsi="Times New Roman"/>
                <w:sz w:val="22"/>
                <w:szCs w:val="22"/>
              </w:rPr>
              <w:t>(</w:t>
            </w:r>
            <w:r w:rsidRPr="00F06896" w:rsidR="005D0431">
              <w:rPr>
                <w:rFonts w:ascii="Times New Roman" w:hAnsi="Times New Roman"/>
                <w:sz w:val="22"/>
                <w:szCs w:val="22"/>
              </w:rPr>
              <w:t xml:space="preserve">added </w:t>
            </w:r>
            <w:r w:rsidRPr="00F06896" w:rsidR="002F596C">
              <w:rPr>
                <w:rFonts w:ascii="Times New Roman" w:hAnsi="Times New Roman"/>
                <w:sz w:val="22"/>
                <w:szCs w:val="22"/>
              </w:rPr>
              <w:t>document 3g</w:t>
            </w:r>
            <w:r w:rsidRPr="00F06896" w:rsidR="009B51D7">
              <w:rPr>
                <w:rFonts w:ascii="Times New Roman" w:hAnsi="Times New Roman"/>
                <w:sz w:val="22"/>
                <w:szCs w:val="22"/>
              </w:rPr>
              <w:t xml:space="preserve">, </w:t>
            </w:r>
            <w:r w:rsidRPr="00F06896" w:rsidR="00293699">
              <w:rPr>
                <w:rFonts w:ascii="Times New Roman" w:hAnsi="Times New Roman"/>
                <w:sz w:val="22"/>
                <w:szCs w:val="22"/>
              </w:rPr>
              <w:t>‘</w:t>
            </w:r>
            <w:r w:rsidRPr="00F06896" w:rsidR="009608EB">
              <w:rPr>
                <w:rFonts w:ascii="Times New Roman" w:hAnsi="Times New Roman"/>
                <w:sz w:val="22"/>
                <w:szCs w:val="22"/>
              </w:rPr>
              <w:t>NHS England Infusion cost estimate</w:t>
            </w:r>
            <w:r w:rsidRPr="00F06896" w:rsidR="00087280">
              <w:rPr>
                <w:rFonts w:ascii="Times New Roman" w:hAnsi="Times New Roman"/>
                <w:sz w:val="22"/>
                <w:szCs w:val="22"/>
              </w:rPr>
              <w:t>’)</w:t>
            </w:r>
          </w:p>
        </w:tc>
      </w:tr>
      <w:tr w:rsidRPr="00F06896" w:rsidR="00860F49" w:rsidTr="360FD8C4" w14:paraId="56A681E4" w14:textId="77777777">
        <w:tc>
          <w:tcPr>
            <w:tcW w:w="2547" w:type="dxa"/>
          </w:tcPr>
          <w:p w:rsidRPr="00F06896" w:rsidR="00860F49" w:rsidP="007F0316" w:rsidRDefault="00860F49" w14:paraId="793D4746" w14:textId="7688A0BD">
            <w:pPr>
              <w:rPr>
                <w:rFonts w:ascii="Times New Roman" w:hAnsi="Times New Roman"/>
                <w:sz w:val="22"/>
                <w:szCs w:val="22"/>
              </w:rPr>
            </w:pPr>
            <w:r w:rsidRPr="00F06896">
              <w:rPr>
                <w:rFonts w:ascii="Times New Roman" w:hAnsi="Times New Roman"/>
                <w:sz w:val="22"/>
                <w:szCs w:val="22"/>
              </w:rPr>
              <w:t>13 May 2025</w:t>
            </w:r>
          </w:p>
        </w:tc>
        <w:tc>
          <w:tcPr>
            <w:tcW w:w="6469" w:type="dxa"/>
          </w:tcPr>
          <w:p w:rsidRPr="00F06896" w:rsidR="00860F49" w:rsidP="007F0316" w:rsidRDefault="00860F49" w14:paraId="3EE447E2" w14:textId="0845145C">
            <w:pPr>
              <w:rPr>
                <w:rFonts w:ascii="Times New Roman" w:hAnsi="Times New Roman"/>
                <w:sz w:val="22"/>
                <w:szCs w:val="22"/>
              </w:rPr>
            </w:pPr>
            <w:r w:rsidRPr="00F06896">
              <w:rPr>
                <w:rFonts w:ascii="Times New Roman" w:hAnsi="Times New Roman"/>
                <w:sz w:val="22"/>
                <w:szCs w:val="22"/>
              </w:rPr>
              <w:t>Eisai subm</w:t>
            </w:r>
            <w:r w:rsidRPr="00F06896" w:rsidR="00407961">
              <w:rPr>
                <w:rFonts w:ascii="Times New Roman" w:hAnsi="Times New Roman"/>
                <w:sz w:val="22"/>
                <w:szCs w:val="22"/>
              </w:rPr>
              <w:t>its preliminary response to NHS England’s claimed infusion costs</w:t>
            </w:r>
          </w:p>
        </w:tc>
      </w:tr>
      <w:tr w:rsidRPr="00F06896" w:rsidR="002E5703" w:rsidTr="360FD8C4" w14:paraId="4FE66D8E" w14:textId="77777777">
        <w:tc>
          <w:tcPr>
            <w:tcW w:w="2547" w:type="dxa"/>
          </w:tcPr>
          <w:p w:rsidRPr="00F06896" w:rsidR="00C81335" w:rsidP="007F0316" w:rsidRDefault="007152CF" w14:paraId="02876040" w14:textId="345DE665">
            <w:pPr>
              <w:rPr>
                <w:rFonts w:ascii="Times New Roman" w:hAnsi="Times New Roman"/>
                <w:sz w:val="22"/>
                <w:szCs w:val="22"/>
              </w:rPr>
            </w:pPr>
            <w:r w:rsidRPr="00F06896">
              <w:rPr>
                <w:rFonts w:ascii="Times New Roman" w:hAnsi="Times New Roman"/>
                <w:sz w:val="22"/>
                <w:szCs w:val="22"/>
              </w:rPr>
              <w:t>14 May 2025</w:t>
            </w:r>
          </w:p>
        </w:tc>
        <w:tc>
          <w:tcPr>
            <w:tcW w:w="6469" w:type="dxa"/>
          </w:tcPr>
          <w:p w:rsidRPr="00F06896" w:rsidR="00C81335" w:rsidP="007F0316" w:rsidRDefault="007152CF" w14:paraId="1E842E06" w14:textId="7571724B">
            <w:pPr>
              <w:rPr>
                <w:rFonts w:ascii="Times New Roman" w:hAnsi="Times New Roman"/>
                <w:sz w:val="22"/>
                <w:szCs w:val="22"/>
              </w:rPr>
            </w:pPr>
            <w:r w:rsidRPr="00F06896">
              <w:rPr>
                <w:rFonts w:ascii="Times New Roman" w:hAnsi="Times New Roman"/>
                <w:sz w:val="22"/>
                <w:szCs w:val="22"/>
              </w:rPr>
              <w:t>Third meeting of the Appraisal Committee</w:t>
            </w:r>
            <w:r w:rsidRPr="00F06896" w:rsidR="00DC4858">
              <w:rPr>
                <w:rFonts w:ascii="Times New Roman" w:hAnsi="Times New Roman"/>
                <w:sz w:val="22"/>
                <w:szCs w:val="22"/>
              </w:rPr>
              <w:t xml:space="preserve"> (ACM3)</w:t>
            </w:r>
          </w:p>
        </w:tc>
      </w:tr>
      <w:tr w:rsidRPr="00F06896" w:rsidR="002E5703" w:rsidTr="360FD8C4" w14:paraId="3DC20738" w14:textId="77777777">
        <w:tc>
          <w:tcPr>
            <w:tcW w:w="2547" w:type="dxa"/>
          </w:tcPr>
          <w:p w:rsidRPr="00F06896" w:rsidR="00C81335" w:rsidP="007F0316" w:rsidRDefault="002B40EE" w14:paraId="5605B51B" w14:textId="713642E8">
            <w:pPr>
              <w:rPr>
                <w:rFonts w:ascii="Times New Roman" w:hAnsi="Times New Roman"/>
                <w:sz w:val="22"/>
                <w:szCs w:val="22"/>
              </w:rPr>
            </w:pPr>
            <w:r w:rsidRPr="00F06896">
              <w:rPr>
                <w:rFonts w:ascii="Times New Roman" w:hAnsi="Times New Roman"/>
                <w:sz w:val="22"/>
                <w:szCs w:val="22"/>
              </w:rPr>
              <w:t>1</w:t>
            </w:r>
            <w:r w:rsidRPr="00F06896" w:rsidR="00E9717B">
              <w:rPr>
                <w:rFonts w:ascii="Times New Roman" w:hAnsi="Times New Roman"/>
                <w:sz w:val="22"/>
                <w:szCs w:val="22"/>
              </w:rPr>
              <w:t>9</w:t>
            </w:r>
            <w:r w:rsidRPr="00F06896">
              <w:rPr>
                <w:rFonts w:ascii="Times New Roman" w:hAnsi="Times New Roman"/>
                <w:sz w:val="22"/>
                <w:szCs w:val="22"/>
              </w:rPr>
              <w:t xml:space="preserve"> June 2025</w:t>
            </w:r>
          </w:p>
        </w:tc>
        <w:tc>
          <w:tcPr>
            <w:tcW w:w="6469" w:type="dxa"/>
          </w:tcPr>
          <w:p w:rsidRPr="00F06896" w:rsidR="00C81335" w:rsidP="007F0316" w:rsidRDefault="002B40EE" w14:paraId="3401A274" w14:textId="3FD7A61E">
            <w:pPr>
              <w:rPr>
                <w:rFonts w:ascii="Times New Roman" w:hAnsi="Times New Roman"/>
                <w:sz w:val="22"/>
                <w:szCs w:val="22"/>
              </w:rPr>
            </w:pPr>
            <w:r w:rsidRPr="00F06896">
              <w:rPr>
                <w:rFonts w:ascii="Times New Roman" w:hAnsi="Times New Roman"/>
                <w:sz w:val="22"/>
                <w:szCs w:val="22"/>
              </w:rPr>
              <w:t>Final Draft Guidance is issued</w:t>
            </w:r>
          </w:p>
        </w:tc>
      </w:tr>
      <w:tr w:rsidRPr="00F06896" w:rsidR="002E5703" w:rsidTr="360FD8C4" w14:paraId="044B0990" w14:textId="77777777">
        <w:tc>
          <w:tcPr>
            <w:tcW w:w="2547" w:type="dxa"/>
          </w:tcPr>
          <w:p w:rsidRPr="00F06896" w:rsidR="00C81335" w:rsidP="007F0316" w:rsidRDefault="002B40EE" w14:paraId="579BC955" w14:textId="624028C3">
            <w:pPr>
              <w:rPr>
                <w:rFonts w:ascii="Times New Roman" w:hAnsi="Times New Roman"/>
                <w:sz w:val="22"/>
                <w:szCs w:val="22"/>
              </w:rPr>
            </w:pPr>
            <w:r w:rsidRPr="00F06896">
              <w:rPr>
                <w:rFonts w:ascii="Times New Roman" w:hAnsi="Times New Roman"/>
                <w:sz w:val="22"/>
                <w:szCs w:val="22"/>
              </w:rPr>
              <w:t>3 July 2025</w:t>
            </w:r>
          </w:p>
        </w:tc>
        <w:tc>
          <w:tcPr>
            <w:tcW w:w="6469" w:type="dxa"/>
          </w:tcPr>
          <w:p w:rsidRPr="00F06896" w:rsidR="00C81335" w:rsidP="007F0316" w:rsidRDefault="000758BD" w14:paraId="0E87A17E" w14:textId="229BA64D">
            <w:pPr>
              <w:rPr>
                <w:rFonts w:ascii="Times New Roman" w:hAnsi="Times New Roman"/>
                <w:sz w:val="22"/>
                <w:szCs w:val="22"/>
              </w:rPr>
            </w:pPr>
            <w:r w:rsidRPr="00F06896">
              <w:rPr>
                <w:rFonts w:ascii="Times New Roman" w:hAnsi="Times New Roman"/>
                <w:sz w:val="22"/>
                <w:szCs w:val="22"/>
              </w:rPr>
              <w:t xml:space="preserve">Date for submission </w:t>
            </w:r>
            <w:r w:rsidRPr="00F06896" w:rsidR="00F365E5">
              <w:rPr>
                <w:rFonts w:ascii="Times New Roman" w:hAnsi="Times New Roman"/>
                <w:sz w:val="22"/>
                <w:szCs w:val="22"/>
              </w:rPr>
              <w:t>of appeal</w:t>
            </w:r>
          </w:p>
        </w:tc>
      </w:tr>
    </w:tbl>
    <w:p w:rsidRPr="00F06896" w:rsidR="00915029" w:rsidP="007F0316" w:rsidRDefault="00915029" w14:paraId="03A6F8D1" w14:textId="77777777">
      <w:pPr>
        <w:rPr>
          <w:rFonts w:ascii="Times New Roman" w:hAnsi="Times New Roman"/>
          <w:sz w:val="22"/>
          <w:szCs w:val="22"/>
          <w:u w:val="single"/>
        </w:rPr>
      </w:pPr>
    </w:p>
    <w:p w:rsidRPr="00F06896" w:rsidR="007B0BA0" w:rsidP="007F0316" w:rsidRDefault="007B0BA0" w14:paraId="06B3FBAA" w14:textId="77777777">
      <w:pPr>
        <w:pStyle w:val="BodyText"/>
        <w:rPr>
          <w:b/>
          <w:sz w:val="22"/>
          <w:szCs w:val="22"/>
          <w:u w:val="single"/>
        </w:rPr>
      </w:pPr>
      <w:r w:rsidRPr="00F06896">
        <w:rPr>
          <w:b/>
          <w:sz w:val="22"/>
          <w:szCs w:val="22"/>
          <w:u w:val="single"/>
        </w:rPr>
        <w:t>GROUNDS OF APPEAL</w:t>
      </w:r>
    </w:p>
    <w:p w:rsidRPr="00F06896" w:rsidR="007B0BA0" w:rsidP="007F0316" w:rsidRDefault="007B0BA0" w14:paraId="41CA6F1E" w14:textId="25DBF8D6">
      <w:pPr>
        <w:pStyle w:val="ListParagraph"/>
        <w:numPr>
          <w:ilvl w:val="0"/>
          <w:numId w:val="1"/>
        </w:numPr>
        <w:rPr>
          <w:rFonts w:ascii="Times New Roman" w:hAnsi="Times New Roman"/>
          <w:sz w:val="22"/>
          <w:szCs w:val="22"/>
        </w:rPr>
      </w:pPr>
      <w:r w:rsidRPr="00F06896">
        <w:rPr>
          <w:rFonts w:ascii="Times New Roman" w:hAnsi="Times New Roman"/>
          <w:b/>
          <w:sz w:val="22"/>
          <w:szCs w:val="22"/>
        </w:rPr>
        <w:t xml:space="preserve">GROUND 1a: IN MAKING THE ASSESSMENT THAT PRECEDED THE RECOMMENDATION, NICE HAS FAILED TO ACT FAIRLY </w:t>
      </w:r>
    </w:p>
    <w:p w:rsidRPr="00F06896" w:rsidR="007B0BA0" w:rsidP="007F0316" w:rsidRDefault="007B0BA0" w14:paraId="34DC68FA" w14:textId="77777777">
      <w:pPr>
        <w:rPr>
          <w:rFonts w:ascii="Times New Roman" w:hAnsi="Times New Roman"/>
          <w:sz w:val="22"/>
          <w:szCs w:val="22"/>
          <w:u w:val="single"/>
        </w:rPr>
      </w:pPr>
    </w:p>
    <w:p w:rsidRPr="00F06896" w:rsidR="00EA43CC" w:rsidP="007F0316" w:rsidRDefault="00EA43CC" w14:paraId="7BE6ADB4" w14:textId="6C71A8E1">
      <w:pPr>
        <w:pStyle w:val="ListParagraph"/>
        <w:numPr>
          <w:ilvl w:val="1"/>
          <w:numId w:val="1"/>
        </w:numPr>
        <w:rPr>
          <w:rFonts w:ascii="Times New Roman" w:hAnsi="Times New Roman"/>
          <w:b/>
          <w:bCs/>
          <w:sz w:val="22"/>
          <w:szCs w:val="22"/>
        </w:rPr>
      </w:pPr>
      <w:r w:rsidRPr="00F06896">
        <w:rPr>
          <w:rFonts w:ascii="Times New Roman" w:hAnsi="Times New Roman"/>
          <w:b/>
          <w:bCs/>
          <w:sz w:val="22"/>
          <w:szCs w:val="22"/>
        </w:rPr>
        <w:t xml:space="preserve">The disclosure of information regarding infusion costs very shortly before </w:t>
      </w:r>
      <w:r w:rsidRPr="00F06896" w:rsidR="008C558E">
        <w:rPr>
          <w:rFonts w:ascii="Times New Roman" w:hAnsi="Times New Roman"/>
          <w:b/>
          <w:bCs/>
          <w:sz w:val="22"/>
          <w:szCs w:val="22"/>
        </w:rPr>
        <w:t xml:space="preserve">the third Appraisal Committee </w:t>
      </w:r>
      <w:r w:rsidRPr="00F06896" w:rsidR="004A52C0">
        <w:rPr>
          <w:rFonts w:ascii="Times New Roman" w:hAnsi="Times New Roman"/>
          <w:b/>
          <w:bCs/>
          <w:sz w:val="22"/>
          <w:szCs w:val="22"/>
        </w:rPr>
        <w:t>m</w:t>
      </w:r>
      <w:r w:rsidRPr="00F06896" w:rsidR="008C558E">
        <w:rPr>
          <w:rFonts w:ascii="Times New Roman" w:hAnsi="Times New Roman"/>
          <w:b/>
          <w:bCs/>
          <w:sz w:val="22"/>
          <w:szCs w:val="22"/>
        </w:rPr>
        <w:t>eeting (</w:t>
      </w:r>
      <w:r w:rsidRPr="00F06896">
        <w:rPr>
          <w:rFonts w:ascii="Times New Roman" w:hAnsi="Times New Roman"/>
          <w:b/>
          <w:bCs/>
          <w:sz w:val="22"/>
          <w:szCs w:val="22"/>
        </w:rPr>
        <w:t>ACM3</w:t>
      </w:r>
      <w:r w:rsidRPr="00F06896" w:rsidR="008C558E">
        <w:rPr>
          <w:rFonts w:ascii="Times New Roman" w:hAnsi="Times New Roman"/>
          <w:b/>
          <w:bCs/>
          <w:sz w:val="22"/>
          <w:szCs w:val="22"/>
        </w:rPr>
        <w:t>)</w:t>
      </w:r>
      <w:r w:rsidRPr="00F06896">
        <w:rPr>
          <w:rFonts w:ascii="Times New Roman" w:hAnsi="Times New Roman"/>
          <w:b/>
          <w:bCs/>
          <w:sz w:val="22"/>
          <w:szCs w:val="22"/>
        </w:rPr>
        <w:t xml:space="preserve"> without opportunity for consideration or comment by consultees was procedurally unfair</w:t>
      </w:r>
    </w:p>
    <w:p w:rsidR="00CF7626" w:rsidP="007F0316" w:rsidRDefault="00CF7626" w14:paraId="611AFF46" w14:textId="77777777">
      <w:pPr>
        <w:ind w:left="720"/>
        <w:rPr>
          <w:rFonts w:ascii="Times New Roman" w:hAnsi="Times New Roman"/>
          <w:sz w:val="22"/>
          <w:szCs w:val="22"/>
        </w:rPr>
      </w:pPr>
    </w:p>
    <w:p w:rsidRPr="00F06896" w:rsidR="006C38E6" w:rsidP="00CF7626" w:rsidRDefault="001B0F31" w14:paraId="282E6E2B" w14:textId="0EA167E2">
      <w:pPr>
        <w:rPr>
          <w:rFonts w:ascii="Times New Roman" w:hAnsi="Times New Roman"/>
          <w:sz w:val="22"/>
          <w:szCs w:val="22"/>
        </w:rPr>
      </w:pPr>
      <w:r w:rsidRPr="00F06896">
        <w:rPr>
          <w:rFonts w:ascii="Times New Roman" w:hAnsi="Times New Roman"/>
          <w:sz w:val="22"/>
          <w:szCs w:val="22"/>
        </w:rPr>
        <w:t xml:space="preserve">Lecanemab is administered to patients via </w:t>
      </w:r>
      <w:r w:rsidRPr="00F06896" w:rsidR="00950FE6">
        <w:rPr>
          <w:rFonts w:ascii="Times New Roman" w:hAnsi="Times New Roman"/>
          <w:sz w:val="22"/>
          <w:szCs w:val="22"/>
        </w:rPr>
        <w:t xml:space="preserve">intravenous </w:t>
      </w:r>
      <w:r w:rsidRPr="00F06896" w:rsidR="00E233DC">
        <w:rPr>
          <w:rFonts w:ascii="Times New Roman" w:hAnsi="Times New Roman"/>
          <w:sz w:val="22"/>
          <w:szCs w:val="22"/>
        </w:rPr>
        <w:t xml:space="preserve">(IV) </w:t>
      </w:r>
      <w:r w:rsidRPr="00F06896" w:rsidR="00950FE6">
        <w:rPr>
          <w:rFonts w:ascii="Times New Roman" w:hAnsi="Times New Roman"/>
          <w:sz w:val="22"/>
          <w:szCs w:val="22"/>
        </w:rPr>
        <w:t xml:space="preserve">infusion every two weeks.  Each </w:t>
      </w:r>
      <w:r w:rsidRPr="00F06896" w:rsidR="00763993">
        <w:rPr>
          <w:rFonts w:ascii="Times New Roman" w:hAnsi="Times New Roman"/>
          <w:sz w:val="22"/>
          <w:szCs w:val="22"/>
        </w:rPr>
        <w:t xml:space="preserve">infusion takes around one hour.  </w:t>
      </w:r>
      <w:r w:rsidRPr="00F06896">
        <w:rPr>
          <w:rFonts w:ascii="Times New Roman" w:hAnsi="Times New Roman"/>
          <w:sz w:val="22"/>
          <w:szCs w:val="22"/>
        </w:rPr>
        <w:t xml:space="preserve">The </w:t>
      </w:r>
      <w:r w:rsidRPr="00F06896" w:rsidR="00763993">
        <w:rPr>
          <w:rFonts w:ascii="Times New Roman" w:hAnsi="Times New Roman"/>
          <w:sz w:val="22"/>
          <w:szCs w:val="22"/>
        </w:rPr>
        <w:t xml:space="preserve">cost </w:t>
      </w:r>
      <w:r w:rsidRPr="00F06896" w:rsidR="0061153A">
        <w:rPr>
          <w:rFonts w:ascii="Times New Roman" w:hAnsi="Times New Roman"/>
          <w:sz w:val="22"/>
          <w:szCs w:val="22"/>
        </w:rPr>
        <w:t xml:space="preserve">of such infusions </w:t>
      </w:r>
      <w:r w:rsidRPr="00F06896" w:rsidR="00763993">
        <w:rPr>
          <w:rFonts w:ascii="Times New Roman" w:hAnsi="Times New Roman"/>
          <w:sz w:val="22"/>
          <w:szCs w:val="22"/>
        </w:rPr>
        <w:t>to the NHS</w:t>
      </w:r>
      <w:r w:rsidRPr="00F06896" w:rsidR="00E52CE6">
        <w:rPr>
          <w:rFonts w:ascii="Times New Roman" w:hAnsi="Times New Roman"/>
          <w:sz w:val="22"/>
          <w:szCs w:val="22"/>
        </w:rPr>
        <w:t>,</w:t>
      </w:r>
      <w:r w:rsidRPr="00F06896" w:rsidR="00763993">
        <w:rPr>
          <w:rFonts w:ascii="Times New Roman" w:hAnsi="Times New Roman"/>
          <w:sz w:val="22"/>
          <w:szCs w:val="22"/>
        </w:rPr>
        <w:t xml:space="preserve"> </w:t>
      </w:r>
      <w:r w:rsidRPr="00F06896" w:rsidR="00D20BC4">
        <w:rPr>
          <w:rFonts w:ascii="Times New Roman" w:hAnsi="Times New Roman"/>
          <w:sz w:val="22"/>
          <w:szCs w:val="22"/>
        </w:rPr>
        <w:t xml:space="preserve">as taken into account </w:t>
      </w:r>
      <w:r w:rsidRPr="00F06896" w:rsidR="00FE0871">
        <w:rPr>
          <w:rFonts w:ascii="Times New Roman" w:hAnsi="Times New Roman"/>
          <w:sz w:val="22"/>
          <w:szCs w:val="22"/>
        </w:rPr>
        <w:t xml:space="preserve">by </w:t>
      </w:r>
      <w:r w:rsidRPr="00F06896" w:rsidR="00D20BC4">
        <w:rPr>
          <w:rFonts w:ascii="Times New Roman" w:hAnsi="Times New Roman"/>
          <w:sz w:val="22"/>
          <w:szCs w:val="22"/>
        </w:rPr>
        <w:t>the Committee</w:t>
      </w:r>
      <w:r w:rsidRPr="00F06896" w:rsidR="00E52CE6">
        <w:rPr>
          <w:rFonts w:ascii="Times New Roman" w:hAnsi="Times New Roman"/>
          <w:sz w:val="22"/>
          <w:szCs w:val="22"/>
        </w:rPr>
        <w:t>,</w:t>
      </w:r>
      <w:r w:rsidRPr="00F06896" w:rsidR="00D20BC4">
        <w:rPr>
          <w:rFonts w:ascii="Times New Roman" w:hAnsi="Times New Roman"/>
          <w:sz w:val="22"/>
          <w:szCs w:val="22"/>
        </w:rPr>
        <w:t xml:space="preserve"> </w:t>
      </w:r>
      <w:r w:rsidRPr="00F06896" w:rsidR="00487FFC">
        <w:rPr>
          <w:rFonts w:ascii="Times New Roman" w:hAnsi="Times New Roman"/>
          <w:sz w:val="22"/>
          <w:szCs w:val="22"/>
        </w:rPr>
        <w:t>co</w:t>
      </w:r>
      <w:r w:rsidRPr="00F06896" w:rsidR="00C30ED9">
        <w:rPr>
          <w:rFonts w:ascii="Times New Roman" w:hAnsi="Times New Roman"/>
          <w:sz w:val="22"/>
          <w:szCs w:val="22"/>
        </w:rPr>
        <w:t xml:space="preserve">mprises a key element </w:t>
      </w:r>
      <w:r w:rsidRPr="00F06896" w:rsidR="003A571C">
        <w:rPr>
          <w:rFonts w:ascii="Times New Roman" w:hAnsi="Times New Roman"/>
          <w:sz w:val="22"/>
          <w:szCs w:val="22"/>
        </w:rPr>
        <w:t xml:space="preserve">in </w:t>
      </w:r>
      <w:r w:rsidRPr="00F06896" w:rsidR="00C35C19">
        <w:rPr>
          <w:rFonts w:ascii="Times New Roman" w:hAnsi="Times New Roman"/>
          <w:sz w:val="22"/>
          <w:szCs w:val="22"/>
        </w:rPr>
        <w:t xml:space="preserve">the Committee’s </w:t>
      </w:r>
      <w:r w:rsidRPr="00F06896" w:rsidR="003A571C">
        <w:rPr>
          <w:rFonts w:ascii="Times New Roman" w:hAnsi="Times New Roman"/>
          <w:sz w:val="22"/>
          <w:szCs w:val="22"/>
        </w:rPr>
        <w:t xml:space="preserve">conclusion that lecanemab </w:t>
      </w:r>
      <w:r w:rsidRPr="00F06896" w:rsidR="000F26B4">
        <w:rPr>
          <w:rFonts w:ascii="Times New Roman" w:hAnsi="Times New Roman"/>
          <w:sz w:val="22"/>
          <w:szCs w:val="22"/>
        </w:rPr>
        <w:t xml:space="preserve">is not cost effective and </w:t>
      </w:r>
      <w:r w:rsidRPr="00F06896" w:rsidR="003A571C">
        <w:rPr>
          <w:rFonts w:ascii="Times New Roman" w:hAnsi="Times New Roman"/>
          <w:sz w:val="22"/>
          <w:szCs w:val="22"/>
        </w:rPr>
        <w:t xml:space="preserve">should not be </w:t>
      </w:r>
      <w:r w:rsidRPr="00F06896" w:rsidR="000F26B4">
        <w:rPr>
          <w:rFonts w:ascii="Times New Roman" w:hAnsi="Times New Roman"/>
          <w:sz w:val="22"/>
          <w:szCs w:val="22"/>
        </w:rPr>
        <w:t xml:space="preserve">recommended for use by NHS patients </w:t>
      </w:r>
      <w:r w:rsidRPr="00F06896" w:rsidR="00FE0871">
        <w:rPr>
          <w:rFonts w:ascii="Times New Roman" w:hAnsi="Times New Roman"/>
          <w:sz w:val="22"/>
          <w:szCs w:val="22"/>
        </w:rPr>
        <w:t xml:space="preserve">with MCI or </w:t>
      </w:r>
      <w:r w:rsidRPr="00F06896" w:rsidR="00A24EF1">
        <w:rPr>
          <w:rFonts w:ascii="Times New Roman" w:hAnsi="Times New Roman"/>
          <w:sz w:val="22"/>
          <w:szCs w:val="22"/>
        </w:rPr>
        <w:t>mild</w:t>
      </w:r>
      <w:r w:rsidRPr="00F06896" w:rsidR="00FE0871">
        <w:rPr>
          <w:rFonts w:ascii="Times New Roman" w:hAnsi="Times New Roman"/>
          <w:sz w:val="22"/>
          <w:szCs w:val="22"/>
        </w:rPr>
        <w:t xml:space="preserve"> dementia due to AD, despite the high level of clinical need</w:t>
      </w:r>
      <w:r w:rsidRPr="00F06896" w:rsidR="00336263">
        <w:rPr>
          <w:rFonts w:ascii="Times New Roman" w:hAnsi="Times New Roman"/>
          <w:sz w:val="22"/>
          <w:szCs w:val="22"/>
        </w:rPr>
        <w:t>.</w:t>
      </w:r>
    </w:p>
    <w:p w:rsidR="00CF7626" w:rsidP="007F0316" w:rsidRDefault="00CF7626" w14:paraId="5B5608EE" w14:textId="77777777">
      <w:pPr>
        <w:ind w:left="720"/>
        <w:rPr>
          <w:rFonts w:ascii="Times New Roman" w:hAnsi="Times New Roman"/>
          <w:sz w:val="22"/>
          <w:szCs w:val="22"/>
          <w:u w:val="single"/>
        </w:rPr>
      </w:pPr>
    </w:p>
    <w:p w:rsidR="00B77EBB" w:rsidP="00CF7626" w:rsidRDefault="00B77EBB" w14:paraId="4FAAD9FF" w14:textId="6A18FAAF">
      <w:pPr>
        <w:rPr>
          <w:rFonts w:ascii="Times New Roman" w:hAnsi="Times New Roman"/>
          <w:sz w:val="22"/>
          <w:szCs w:val="22"/>
          <w:u w:val="single"/>
        </w:rPr>
      </w:pPr>
      <w:r w:rsidRPr="00F06896">
        <w:rPr>
          <w:rFonts w:ascii="Times New Roman" w:hAnsi="Times New Roman"/>
          <w:sz w:val="22"/>
          <w:szCs w:val="22"/>
          <w:u w:val="single"/>
        </w:rPr>
        <w:t xml:space="preserve">Estimated costs proposed in initial </w:t>
      </w:r>
      <w:r w:rsidRPr="00F06896" w:rsidR="00BE2BE4">
        <w:rPr>
          <w:rFonts w:ascii="Times New Roman" w:hAnsi="Times New Roman"/>
          <w:sz w:val="22"/>
          <w:szCs w:val="22"/>
          <w:u w:val="single"/>
        </w:rPr>
        <w:t>submissions</w:t>
      </w:r>
    </w:p>
    <w:p w:rsidRPr="00F06896" w:rsidR="00166FB9" w:rsidP="00CF7626" w:rsidRDefault="00166FB9" w14:paraId="2ACC6D58" w14:textId="77777777">
      <w:pPr>
        <w:rPr>
          <w:rFonts w:ascii="Times New Roman" w:hAnsi="Times New Roman"/>
          <w:sz w:val="22"/>
          <w:szCs w:val="22"/>
          <w:u w:val="single"/>
        </w:rPr>
      </w:pPr>
    </w:p>
    <w:p w:rsidR="00336263" w:rsidP="00CF7626" w:rsidRDefault="00B77EBB" w14:paraId="5FFC5F95" w14:textId="7BC8C1F4">
      <w:pPr>
        <w:rPr>
          <w:rFonts w:ascii="Times New Roman" w:hAnsi="Times New Roman"/>
          <w:sz w:val="22"/>
          <w:szCs w:val="22"/>
        </w:rPr>
      </w:pPr>
      <w:r w:rsidRPr="00F06896">
        <w:rPr>
          <w:rFonts w:ascii="Times New Roman" w:hAnsi="Times New Roman"/>
          <w:sz w:val="22"/>
          <w:szCs w:val="22"/>
        </w:rPr>
        <w:t>I</w:t>
      </w:r>
      <w:r w:rsidRPr="00F06896" w:rsidR="00D644AF">
        <w:rPr>
          <w:rFonts w:ascii="Times New Roman" w:hAnsi="Times New Roman"/>
          <w:sz w:val="22"/>
          <w:szCs w:val="22"/>
        </w:rPr>
        <w:t xml:space="preserve">n </w:t>
      </w:r>
      <w:r w:rsidRPr="00F06896">
        <w:rPr>
          <w:rFonts w:ascii="Times New Roman" w:hAnsi="Times New Roman"/>
          <w:sz w:val="22"/>
          <w:szCs w:val="22"/>
        </w:rPr>
        <w:t xml:space="preserve">the absence of </w:t>
      </w:r>
      <w:r w:rsidRPr="00F06896" w:rsidR="005C6EFA">
        <w:rPr>
          <w:rFonts w:ascii="Times New Roman" w:hAnsi="Times New Roman"/>
          <w:sz w:val="22"/>
          <w:szCs w:val="22"/>
        </w:rPr>
        <w:t xml:space="preserve">an </w:t>
      </w:r>
      <w:r w:rsidRPr="00F06896">
        <w:rPr>
          <w:rFonts w:ascii="Times New Roman" w:hAnsi="Times New Roman"/>
          <w:sz w:val="22"/>
          <w:szCs w:val="22"/>
        </w:rPr>
        <w:t xml:space="preserve">established cost for administration of lecanemab, in </w:t>
      </w:r>
      <w:r w:rsidRPr="00F06896" w:rsidR="00D644AF">
        <w:rPr>
          <w:rFonts w:ascii="Times New Roman" w:hAnsi="Times New Roman"/>
          <w:sz w:val="22"/>
          <w:szCs w:val="22"/>
        </w:rPr>
        <w:t xml:space="preserve">its initial submission to NICE, </w:t>
      </w:r>
      <w:r w:rsidRPr="00F06896" w:rsidR="00FB24BB">
        <w:rPr>
          <w:rFonts w:ascii="Times New Roman" w:hAnsi="Times New Roman"/>
          <w:sz w:val="22"/>
          <w:szCs w:val="22"/>
        </w:rPr>
        <w:t xml:space="preserve">Eisai </w:t>
      </w:r>
      <w:r w:rsidRPr="00F06896" w:rsidR="00491553">
        <w:rPr>
          <w:rFonts w:ascii="Times New Roman" w:hAnsi="Times New Roman"/>
          <w:sz w:val="22"/>
          <w:szCs w:val="22"/>
        </w:rPr>
        <w:t>sought clinical expert opinion to establish the most appropriate proxy</w:t>
      </w:r>
      <w:r w:rsidRPr="00F06896" w:rsidR="00452C29">
        <w:rPr>
          <w:rFonts w:ascii="Times New Roman" w:hAnsi="Times New Roman"/>
          <w:sz w:val="22"/>
          <w:szCs w:val="22"/>
        </w:rPr>
        <w:t>; this</w:t>
      </w:r>
      <w:r w:rsidRPr="00F06896" w:rsidR="005B4690">
        <w:rPr>
          <w:rFonts w:ascii="Times New Roman" w:hAnsi="Times New Roman"/>
          <w:sz w:val="22"/>
          <w:szCs w:val="22"/>
        </w:rPr>
        <w:t xml:space="preserve"> result</w:t>
      </w:r>
      <w:r w:rsidRPr="00F06896" w:rsidR="00452C29">
        <w:rPr>
          <w:rFonts w:ascii="Times New Roman" w:hAnsi="Times New Roman"/>
          <w:sz w:val="22"/>
          <w:szCs w:val="22"/>
        </w:rPr>
        <w:t>ed</w:t>
      </w:r>
      <w:r w:rsidRPr="00F06896" w:rsidR="005B4690">
        <w:rPr>
          <w:rFonts w:ascii="Times New Roman" w:hAnsi="Times New Roman"/>
          <w:sz w:val="22"/>
          <w:szCs w:val="22"/>
        </w:rPr>
        <w:t xml:space="preserve"> in its</w:t>
      </w:r>
      <w:r w:rsidRPr="00F06896" w:rsidR="00B320A0">
        <w:rPr>
          <w:rFonts w:ascii="Times New Roman" w:hAnsi="Times New Roman"/>
          <w:sz w:val="22"/>
          <w:szCs w:val="22"/>
        </w:rPr>
        <w:t xml:space="preserve"> estimation</w:t>
      </w:r>
      <w:r w:rsidRPr="00F06896" w:rsidR="00452C29">
        <w:rPr>
          <w:rFonts w:ascii="Times New Roman" w:hAnsi="Times New Roman"/>
          <w:sz w:val="22"/>
          <w:szCs w:val="22"/>
        </w:rPr>
        <w:t xml:space="preserve"> </w:t>
      </w:r>
      <w:r w:rsidRPr="00F06896" w:rsidR="00127F34">
        <w:rPr>
          <w:rFonts w:ascii="Times New Roman" w:hAnsi="Times New Roman"/>
          <w:sz w:val="22"/>
          <w:szCs w:val="22"/>
        </w:rPr>
        <w:t xml:space="preserve">of </w:t>
      </w:r>
      <w:r w:rsidRPr="00F06896" w:rsidR="00491553">
        <w:rPr>
          <w:rFonts w:ascii="Times New Roman" w:hAnsi="Times New Roman"/>
          <w:sz w:val="22"/>
          <w:szCs w:val="22"/>
        </w:rPr>
        <w:t>£207.59 per infusion</w:t>
      </w:r>
      <w:r w:rsidRPr="00F06896" w:rsidR="006F5B56">
        <w:rPr>
          <w:rFonts w:ascii="Times New Roman" w:hAnsi="Times New Roman"/>
          <w:sz w:val="22"/>
          <w:szCs w:val="22"/>
        </w:rPr>
        <w:t xml:space="preserve"> of lecanemab, based on the average cost of parenteral </w:t>
      </w:r>
      <w:r w:rsidRPr="00F06896" w:rsidR="000578C1">
        <w:rPr>
          <w:rFonts w:ascii="Times New Roman" w:hAnsi="Times New Roman"/>
          <w:sz w:val="22"/>
          <w:szCs w:val="22"/>
        </w:rPr>
        <w:t xml:space="preserve">(non-oral) </w:t>
      </w:r>
      <w:r w:rsidRPr="00F06896" w:rsidR="006F5B56">
        <w:rPr>
          <w:rFonts w:ascii="Times New Roman" w:hAnsi="Times New Roman"/>
          <w:sz w:val="22"/>
          <w:szCs w:val="22"/>
        </w:rPr>
        <w:t>chemotherapy infusion</w:t>
      </w:r>
      <w:r w:rsidRPr="00F06896" w:rsidR="00B26B10">
        <w:rPr>
          <w:rFonts w:ascii="Times New Roman" w:hAnsi="Times New Roman"/>
          <w:sz w:val="22"/>
          <w:szCs w:val="22"/>
        </w:rPr>
        <w:t xml:space="preserve"> (</w:t>
      </w:r>
      <w:r w:rsidRPr="00F06896">
        <w:rPr>
          <w:rFonts w:ascii="Times New Roman" w:hAnsi="Times New Roman"/>
          <w:sz w:val="22"/>
          <w:szCs w:val="22"/>
        </w:rPr>
        <w:t>Healthcare Resource Group (</w:t>
      </w:r>
      <w:r w:rsidRPr="00F06896" w:rsidR="00B26B10">
        <w:rPr>
          <w:rFonts w:ascii="Times New Roman" w:hAnsi="Times New Roman"/>
          <w:sz w:val="22"/>
          <w:szCs w:val="22"/>
        </w:rPr>
        <w:t>HRG</w:t>
      </w:r>
      <w:r w:rsidRPr="00F06896">
        <w:rPr>
          <w:rFonts w:ascii="Times New Roman" w:hAnsi="Times New Roman"/>
          <w:sz w:val="22"/>
          <w:szCs w:val="22"/>
        </w:rPr>
        <w:t>)</w:t>
      </w:r>
      <w:r w:rsidRPr="00F06896" w:rsidR="00B26B10">
        <w:rPr>
          <w:rFonts w:ascii="Times New Roman" w:hAnsi="Times New Roman"/>
          <w:sz w:val="22"/>
          <w:szCs w:val="22"/>
        </w:rPr>
        <w:t xml:space="preserve"> code </w:t>
      </w:r>
      <w:r w:rsidRPr="00F06896" w:rsidR="00D45EB6">
        <w:rPr>
          <w:rFonts w:ascii="Times New Roman" w:hAnsi="Times New Roman"/>
          <w:sz w:val="22"/>
          <w:szCs w:val="22"/>
        </w:rPr>
        <w:t>SB12Z)</w:t>
      </w:r>
      <w:r w:rsidRPr="00F06896" w:rsidR="00127F34">
        <w:rPr>
          <w:rFonts w:ascii="Times New Roman" w:hAnsi="Times New Roman"/>
          <w:sz w:val="22"/>
          <w:szCs w:val="22"/>
        </w:rPr>
        <w:t xml:space="preserve">. </w:t>
      </w:r>
    </w:p>
    <w:p w:rsidRPr="00F06896" w:rsidR="00CF7626" w:rsidP="00CF7626" w:rsidRDefault="00CF7626" w14:paraId="58D10524" w14:textId="77777777">
      <w:pPr>
        <w:rPr>
          <w:rFonts w:ascii="Times New Roman" w:hAnsi="Times New Roman"/>
          <w:sz w:val="22"/>
          <w:szCs w:val="22"/>
        </w:rPr>
      </w:pPr>
    </w:p>
    <w:p w:rsidRPr="00F06896" w:rsidR="00363CE0" w:rsidP="00CF7626" w:rsidRDefault="007E558F" w14:paraId="08F20AC4" w14:textId="6F159816">
      <w:pPr>
        <w:rPr>
          <w:rFonts w:ascii="Times New Roman" w:hAnsi="Times New Roman"/>
          <w:sz w:val="22"/>
          <w:szCs w:val="22"/>
        </w:rPr>
      </w:pPr>
      <w:r w:rsidRPr="00F06896">
        <w:rPr>
          <w:rFonts w:ascii="Times New Roman" w:hAnsi="Times New Roman"/>
          <w:sz w:val="22"/>
          <w:szCs w:val="22"/>
        </w:rPr>
        <w:t xml:space="preserve">In its submission, </w:t>
      </w:r>
      <w:r w:rsidRPr="00F06896" w:rsidR="00363CE0">
        <w:rPr>
          <w:rFonts w:ascii="Times New Roman" w:hAnsi="Times New Roman"/>
          <w:sz w:val="22"/>
          <w:szCs w:val="22"/>
        </w:rPr>
        <w:t xml:space="preserve">NHS England </w:t>
      </w:r>
      <w:r w:rsidRPr="00F06896" w:rsidR="00B77EBB">
        <w:rPr>
          <w:rFonts w:ascii="Times New Roman" w:hAnsi="Times New Roman"/>
          <w:sz w:val="22"/>
          <w:szCs w:val="22"/>
        </w:rPr>
        <w:t xml:space="preserve">referred to the current lack of an HRG code available as an NHS reference cost for the IV infusion of a monoclonal antibody therapy for AD, due to the absence of any such treatment in NHS England. Therefore, it </w:t>
      </w:r>
      <w:r w:rsidRPr="00F06896" w:rsidR="00363CE0">
        <w:rPr>
          <w:rFonts w:ascii="Times New Roman" w:hAnsi="Times New Roman"/>
          <w:sz w:val="22"/>
          <w:szCs w:val="22"/>
        </w:rPr>
        <w:t>suggested an alternative HRG code, WD02Z (Alzheimer’s Disease or Dementia, treated by a Non-Specialist Mental Health Service Provider</w:t>
      </w:r>
      <w:r w:rsidRPr="00F06896" w:rsidR="00D14354">
        <w:rPr>
          <w:rFonts w:ascii="Times New Roman" w:hAnsi="Times New Roman"/>
          <w:sz w:val="22"/>
          <w:szCs w:val="22"/>
        </w:rPr>
        <w:t xml:space="preserve"> in an outpatient or community setting (</w:t>
      </w:r>
      <w:r w:rsidRPr="00F06896" w:rsidR="003C7ECD">
        <w:rPr>
          <w:rFonts w:ascii="Times New Roman" w:hAnsi="Times New Roman"/>
          <w:sz w:val="22"/>
          <w:szCs w:val="22"/>
        </w:rPr>
        <w:t xml:space="preserve">day </w:t>
      </w:r>
      <w:r w:rsidRPr="00F06896" w:rsidR="00363CE0">
        <w:rPr>
          <w:rFonts w:ascii="Times New Roman" w:hAnsi="Times New Roman"/>
          <w:sz w:val="22"/>
          <w:szCs w:val="22"/>
        </w:rPr>
        <w:t>case)</w:t>
      </w:r>
      <w:r w:rsidRPr="00F06896" w:rsidR="00D14354">
        <w:rPr>
          <w:rFonts w:ascii="Times New Roman" w:hAnsi="Times New Roman"/>
          <w:sz w:val="22"/>
          <w:szCs w:val="22"/>
        </w:rPr>
        <w:t>)</w:t>
      </w:r>
      <w:r w:rsidRPr="00F06896" w:rsidR="00363CE0">
        <w:rPr>
          <w:rFonts w:ascii="Times New Roman" w:hAnsi="Times New Roman"/>
          <w:sz w:val="22"/>
          <w:szCs w:val="22"/>
        </w:rPr>
        <w:t xml:space="preserve">, </w:t>
      </w:r>
      <w:r w:rsidRPr="00F06896">
        <w:rPr>
          <w:rFonts w:ascii="Times New Roman" w:hAnsi="Times New Roman"/>
          <w:sz w:val="22"/>
          <w:szCs w:val="22"/>
        </w:rPr>
        <w:t xml:space="preserve">which resulted in </w:t>
      </w:r>
      <w:r w:rsidRPr="00F06896" w:rsidR="00363CE0">
        <w:rPr>
          <w:rFonts w:ascii="Times New Roman" w:hAnsi="Times New Roman"/>
          <w:sz w:val="22"/>
          <w:szCs w:val="22"/>
        </w:rPr>
        <w:t>a cost per infusion of £565</w:t>
      </w:r>
      <w:r w:rsidRPr="00F06896">
        <w:rPr>
          <w:rFonts w:ascii="Times New Roman" w:hAnsi="Times New Roman"/>
          <w:sz w:val="22"/>
          <w:szCs w:val="22"/>
        </w:rPr>
        <w:t xml:space="preserve">. This code had </w:t>
      </w:r>
      <w:r w:rsidRPr="00F06896" w:rsidR="00337956">
        <w:rPr>
          <w:rFonts w:ascii="Times New Roman" w:hAnsi="Times New Roman"/>
          <w:sz w:val="22"/>
          <w:szCs w:val="22"/>
        </w:rPr>
        <w:t xml:space="preserve">however </w:t>
      </w:r>
      <w:r w:rsidRPr="00F06896">
        <w:rPr>
          <w:rFonts w:ascii="Times New Roman" w:hAnsi="Times New Roman"/>
          <w:sz w:val="22"/>
          <w:szCs w:val="22"/>
        </w:rPr>
        <w:t xml:space="preserve">been </w:t>
      </w:r>
      <w:r w:rsidRPr="00F06896" w:rsidR="00363CE0">
        <w:rPr>
          <w:rFonts w:ascii="Times New Roman" w:hAnsi="Times New Roman"/>
          <w:sz w:val="22"/>
          <w:szCs w:val="22"/>
        </w:rPr>
        <w:t>withdrawn from the national tariff in 2020/21</w:t>
      </w:r>
      <w:r w:rsidRPr="00F06896" w:rsidR="00337956">
        <w:rPr>
          <w:rFonts w:ascii="Times New Roman" w:hAnsi="Times New Roman"/>
          <w:sz w:val="22"/>
          <w:szCs w:val="22"/>
        </w:rPr>
        <w:t>.</w:t>
      </w:r>
    </w:p>
    <w:p w:rsidR="00CF7626" w:rsidP="007F0316" w:rsidRDefault="00CF7626" w14:paraId="6E1A58CF" w14:textId="77777777">
      <w:pPr>
        <w:ind w:left="720"/>
        <w:rPr>
          <w:rFonts w:ascii="Times New Roman" w:hAnsi="Times New Roman"/>
          <w:sz w:val="22"/>
          <w:szCs w:val="22"/>
          <w:u w:val="single"/>
        </w:rPr>
      </w:pPr>
    </w:p>
    <w:p w:rsidR="00B77EBB" w:rsidP="00CF7626" w:rsidRDefault="00B77EBB" w14:paraId="0DEA1D0A" w14:textId="65BF11CA">
      <w:pPr>
        <w:rPr>
          <w:rFonts w:ascii="Times New Roman" w:hAnsi="Times New Roman"/>
          <w:sz w:val="22"/>
          <w:szCs w:val="22"/>
          <w:u w:val="single"/>
        </w:rPr>
      </w:pPr>
      <w:r w:rsidRPr="00F06896">
        <w:rPr>
          <w:rFonts w:ascii="Times New Roman" w:hAnsi="Times New Roman"/>
          <w:sz w:val="22"/>
          <w:szCs w:val="22"/>
          <w:u w:val="single"/>
        </w:rPr>
        <w:t>Consultation on Draft Guidance</w:t>
      </w:r>
    </w:p>
    <w:p w:rsidRPr="00F06896" w:rsidR="00166FB9" w:rsidP="00CF7626" w:rsidRDefault="00166FB9" w14:paraId="6FF61DE0" w14:textId="77777777">
      <w:pPr>
        <w:rPr>
          <w:rFonts w:ascii="Times New Roman" w:hAnsi="Times New Roman"/>
          <w:sz w:val="22"/>
          <w:szCs w:val="22"/>
          <w:u w:val="single"/>
        </w:rPr>
      </w:pPr>
    </w:p>
    <w:p w:rsidR="00E57CA1" w:rsidP="00CF7626" w:rsidRDefault="00E57CA1" w14:paraId="1ED79D00" w14:textId="273FD191">
      <w:pPr>
        <w:rPr>
          <w:rFonts w:ascii="Times New Roman" w:hAnsi="Times New Roman"/>
          <w:sz w:val="22"/>
          <w:szCs w:val="22"/>
        </w:rPr>
      </w:pPr>
      <w:r w:rsidRPr="00F06896">
        <w:rPr>
          <w:rFonts w:ascii="Times New Roman" w:hAnsi="Times New Roman"/>
          <w:sz w:val="22"/>
          <w:szCs w:val="22"/>
        </w:rPr>
        <w:t>The Draft Guidance issued on 22 August 2024 stated at paragraph 3.17:</w:t>
      </w:r>
    </w:p>
    <w:p w:rsidR="00544F63" w:rsidP="00CF7626" w:rsidRDefault="00544F63" w14:paraId="3138C5D6" w14:textId="77777777">
      <w:pPr>
        <w:rPr>
          <w:rFonts w:ascii="Times New Roman" w:hAnsi="Times New Roman"/>
          <w:sz w:val="22"/>
          <w:szCs w:val="22"/>
        </w:rPr>
      </w:pPr>
    </w:p>
    <w:p w:rsidR="00B77EBB" w:rsidP="00CB58E2" w:rsidRDefault="00E57CA1" w14:paraId="5A0B233D" w14:textId="247DD211">
      <w:pPr>
        <w:ind w:left="720"/>
        <w:rPr>
          <w:rFonts w:ascii="Times New Roman" w:hAnsi="Times New Roman"/>
          <w:sz w:val="22"/>
          <w:szCs w:val="22"/>
        </w:rPr>
      </w:pPr>
      <w:r w:rsidRPr="00F06896">
        <w:rPr>
          <w:rFonts w:ascii="Times New Roman" w:hAnsi="Times New Roman"/>
          <w:sz w:val="22"/>
          <w:szCs w:val="22"/>
        </w:rPr>
        <w:t>“</w:t>
      </w:r>
      <w:r w:rsidRPr="00F06896">
        <w:rPr>
          <w:rFonts w:ascii="Times New Roman" w:hAnsi="Times New Roman"/>
          <w:i/>
          <w:iCs/>
          <w:sz w:val="22"/>
          <w:szCs w:val="22"/>
        </w:rPr>
        <w:t>The committee concluded that the wide variation in the infusion costs estimated by the company and NHS England had not been sufficiently explained. So, it was unable to determine a preferred cost for use in modelling. It concluded that it would like to see further information, including a breakdown of expected resource use, from the company and NHS England that fully explained the estimated costs and explored alternatives”</w:t>
      </w:r>
      <w:r w:rsidRPr="00F06896">
        <w:rPr>
          <w:rFonts w:ascii="Times New Roman" w:hAnsi="Times New Roman"/>
          <w:sz w:val="22"/>
          <w:szCs w:val="22"/>
        </w:rPr>
        <w:t xml:space="preserve">. </w:t>
      </w:r>
    </w:p>
    <w:p w:rsidRPr="00F06896" w:rsidR="00CB58E2" w:rsidP="007F0316" w:rsidRDefault="00CB58E2" w14:paraId="207D02FF" w14:textId="77777777">
      <w:pPr>
        <w:ind w:left="1440"/>
        <w:rPr>
          <w:rFonts w:ascii="Times New Roman" w:hAnsi="Times New Roman"/>
          <w:sz w:val="22"/>
          <w:szCs w:val="22"/>
        </w:rPr>
      </w:pPr>
    </w:p>
    <w:p w:rsidR="007B623D" w:rsidP="00CB58E2" w:rsidRDefault="00A521DB" w14:paraId="32BF8C64" w14:textId="23987136">
      <w:pPr>
        <w:rPr>
          <w:rFonts w:ascii="Times New Roman" w:hAnsi="Times New Roman"/>
          <w:sz w:val="22"/>
          <w:szCs w:val="22"/>
        </w:rPr>
      </w:pPr>
      <w:r w:rsidRPr="00F06896">
        <w:rPr>
          <w:rFonts w:ascii="Times New Roman" w:hAnsi="Times New Roman"/>
          <w:sz w:val="22"/>
          <w:szCs w:val="22"/>
        </w:rPr>
        <w:t xml:space="preserve">In response to </w:t>
      </w:r>
      <w:r w:rsidRPr="00F06896" w:rsidR="00341E71">
        <w:rPr>
          <w:rFonts w:ascii="Times New Roman" w:hAnsi="Times New Roman"/>
          <w:sz w:val="22"/>
          <w:szCs w:val="22"/>
        </w:rPr>
        <w:t xml:space="preserve">the </w:t>
      </w:r>
      <w:r w:rsidRPr="00F06896" w:rsidR="005B6904">
        <w:rPr>
          <w:rFonts w:ascii="Times New Roman" w:hAnsi="Times New Roman"/>
          <w:sz w:val="22"/>
          <w:szCs w:val="22"/>
        </w:rPr>
        <w:t>Draft Guidance, Eisai conducted a micro</w:t>
      </w:r>
      <w:r w:rsidRPr="00F06896" w:rsidR="003F1773">
        <w:rPr>
          <w:rFonts w:ascii="Times New Roman" w:hAnsi="Times New Roman"/>
          <w:sz w:val="22"/>
          <w:szCs w:val="22"/>
        </w:rPr>
        <w:t>-</w:t>
      </w:r>
      <w:r w:rsidRPr="00F06896" w:rsidR="005B6904">
        <w:rPr>
          <w:rFonts w:ascii="Times New Roman" w:hAnsi="Times New Roman"/>
          <w:sz w:val="22"/>
          <w:szCs w:val="22"/>
        </w:rPr>
        <w:t xml:space="preserve">costing </w:t>
      </w:r>
      <w:r w:rsidRPr="00F06896" w:rsidR="00E66DAD">
        <w:rPr>
          <w:rFonts w:ascii="Times New Roman" w:hAnsi="Times New Roman"/>
          <w:sz w:val="22"/>
          <w:szCs w:val="22"/>
        </w:rPr>
        <w:t>study</w:t>
      </w:r>
      <w:r w:rsidRPr="00F06896" w:rsidR="00FC4EDD">
        <w:rPr>
          <w:rFonts w:ascii="Times New Roman" w:hAnsi="Times New Roman"/>
          <w:sz w:val="22"/>
          <w:szCs w:val="22"/>
        </w:rPr>
        <w:t xml:space="preserve"> </w:t>
      </w:r>
      <w:r w:rsidRPr="00F06896" w:rsidR="002D7170">
        <w:rPr>
          <w:rFonts w:ascii="Times New Roman" w:hAnsi="Times New Roman"/>
          <w:sz w:val="22"/>
          <w:szCs w:val="22"/>
        </w:rPr>
        <w:t xml:space="preserve">with input from </w:t>
      </w:r>
      <w:r w:rsidRPr="00F06896" w:rsidR="00372358">
        <w:rPr>
          <w:rFonts w:ascii="Times New Roman" w:hAnsi="Times New Roman"/>
          <w:sz w:val="22"/>
          <w:szCs w:val="22"/>
        </w:rPr>
        <w:t xml:space="preserve">healthcare professionals who had </w:t>
      </w:r>
      <w:r w:rsidRPr="00F06896" w:rsidR="00816B9E">
        <w:rPr>
          <w:rFonts w:ascii="Times New Roman" w:hAnsi="Times New Roman"/>
          <w:sz w:val="22"/>
          <w:szCs w:val="22"/>
        </w:rPr>
        <w:t xml:space="preserve">experience administering </w:t>
      </w:r>
      <w:r w:rsidRPr="00F06896" w:rsidR="002D7170">
        <w:rPr>
          <w:rFonts w:ascii="Times New Roman" w:hAnsi="Times New Roman"/>
          <w:sz w:val="22"/>
          <w:szCs w:val="22"/>
        </w:rPr>
        <w:t xml:space="preserve">lecanemab </w:t>
      </w:r>
      <w:r w:rsidRPr="00F06896" w:rsidR="007F5A0D">
        <w:rPr>
          <w:rFonts w:ascii="Times New Roman" w:hAnsi="Times New Roman"/>
          <w:sz w:val="22"/>
          <w:szCs w:val="22"/>
        </w:rPr>
        <w:t>at</w:t>
      </w:r>
      <w:r w:rsidRPr="00F06896" w:rsidR="00816B9E">
        <w:rPr>
          <w:rFonts w:ascii="Times New Roman" w:hAnsi="Times New Roman"/>
          <w:sz w:val="22"/>
          <w:szCs w:val="22"/>
        </w:rPr>
        <w:t xml:space="preserve"> c</w:t>
      </w:r>
      <w:r w:rsidRPr="00F06896" w:rsidR="00FC4EDD">
        <w:rPr>
          <w:rFonts w:ascii="Times New Roman" w:hAnsi="Times New Roman"/>
          <w:sz w:val="22"/>
          <w:szCs w:val="22"/>
        </w:rPr>
        <w:t xml:space="preserve">linical </w:t>
      </w:r>
      <w:r w:rsidRPr="00F06896" w:rsidR="002D7170">
        <w:rPr>
          <w:rFonts w:ascii="Times New Roman" w:hAnsi="Times New Roman"/>
          <w:sz w:val="22"/>
          <w:szCs w:val="22"/>
        </w:rPr>
        <w:t>trial</w:t>
      </w:r>
      <w:r w:rsidRPr="00F06896" w:rsidR="00FC4EDD">
        <w:rPr>
          <w:rFonts w:ascii="Times New Roman" w:hAnsi="Times New Roman"/>
          <w:sz w:val="22"/>
          <w:szCs w:val="22"/>
        </w:rPr>
        <w:t xml:space="preserve"> </w:t>
      </w:r>
      <w:r w:rsidRPr="00F06896" w:rsidR="007F5A0D">
        <w:rPr>
          <w:rFonts w:ascii="Times New Roman" w:hAnsi="Times New Roman"/>
          <w:sz w:val="22"/>
          <w:szCs w:val="22"/>
        </w:rPr>
        <w:t xml:space="preserve">sites </w:t>
      </w:r>
      <w:r w:rsidRPr="00F06896" w:rsidR="002D7170">
        <w:rPr>
          <w:rFonts w:ascii="Times New Roman" w:hAnsi="Times New Roman"/>
          <w:sz w:val="22"/>
          <w:szCs w:val="22"/>
        </w:rPr>
        <w:t xml:space="preserve">in the </w:t>
      </w:r>
      <w:r w:rsidRPr="00F06896" w:rsidR="00FC4EDD">
        <w:rPr>
          <w:rFonts w:ascii="Times New Roman" w:hAnsi="Times New Roman"/>
          <w:sz w:val="22"/>
          <w:szCs w:val="22"/>
        </w:rPr>
        <w:t>UK</w:t>
      </w:r>
      <w:r w:rsidR="00A32FB1">
        <w:rPr>
          <w:rFonts w:ascii="Times New Roman" w:hAnsi="Times New Roman"/>
          <w:sz w:val="22"/>
          <w:szCs w:val="22"/>
        </w:rPr>
        <w:t xml:space="preserve">, </w:t>
      </w:r>
      <w:r w:rsidR="00D02800">
        <w:rPr>
          <w:rFonts w:ascii="Times New Roman" w:hAnsi="Times New Roman"/>
          <w:sz w:val="22"/>
          <w:szCs w:val="22"/>
        </w:rPr>
        <w:t>which estimated the infusio</w:t>
      </w:r>
      <w:r w:rsidR="00A32FB1">
        <w:rPr>
          <w:rFonts w:ascii="Times New Roman" w:hAnsi="Times New Roman"/>
          <w:sz w:val="22"/>
          <w:szCs w:val="22"/>
        </w:rPr>
        <w:t>n</w:t>
      </w:r>
      <w:r w:rsidR="006D6AFC">
        <w:rPr>
          <w:rFonts w:ascii="Times New Roman" w:hAnsi="Times New Roman"/>
          <w:sz w:val="22"/>
          <w:szCs w:val="22"/>
        </w:rPr>
        <w:t xml:space="preserve"> </w:t>
      </w:r>
      <w:r w:rsidR="00A32FB1">
        <w:rPr>
          <w:rFonts w:ascii="Times New Roman" w:hAnsi="Times New Roman"/>
          <w:sz w:val="22"/>
          <w:szCs w:val="22"/>
        </w:rPr>
        <w:t>cost</w:t>
      </w:r>
      <w:r w:rsidR="006D6AFC">
        <w:rPr>
          <w:rFonts w:ascii="Times New Roman" w:hAnsi="Times New Roman"/>
          <w:sz w:val="22"/>
          <w:szCs w:val="22"/>
        </w:rPr>
        <w:t xml:space="preserve"> </w:t>
      </w:r>
      <w:r w:rsidR="00D02800">
        <w:rPr>
          <w:rFonts w:ascii="Times New Roman" w:hAnsi="Times New Roman"/>
          <w:sz w:val="22"/>
          <w:szCs w:val="22"/>
        </w:rPr>
        <w:t xml:space="preserve">to be </w:t>
      </w:r>
      <w:r w:rsidR="00D533EC">
        <w:rPr>
          <w:rFonts w:ascii="Times New Roman" w:hAnsi="Times New Roman"/>
          <w:sz w:val="22"/>
          <w:szCs w:val="22"/>
        </w:rPr>
        <w:t>£139-£149</w:t>
      </w:r>
      <w:r w:rsidRPr="00F06896" w:rsidR="00EB2FD3">
        <w:rPr>
          <w:rFonts w:ascii="Times New Roman" w:hAnsi="Times New Roman"/>
          <w:sz w:val="22"/>
          <w:szCs w:val="22"/>
        </w:rPr>
        <w:t>.</w:t>
      </w:r>
      <w:r w:rsidRPr="00F06896" w:rsidR="009A2849">
        <w:rPr>
          <w:rFonts w:ascii="Times New Roman" w:hAnsi="Times New Roman"/>
          <w:sz w:val="22"/>
          <w:szCs w:val="22"/>
        </w:rPr>
        <w:t xml:space="preserve"> This study</w:t>
      </w:r>
      <w:r w:rsidRPr="00F06896" w:rsidR="00190525">
        <w:rPr>
          <w:rFonts w:ascii="Times New Roman" w:hAnsi="Times New Roman"/>
          <w:sz w:val="22"/>
          <w:szCs w:val="22"/>
        </w:rPr>
        <w:t xml:space="preserve"> assessed the elements of infusion of lecanemab in patients with </w:t>
      </w:r>
      <w:r w:rsidRPr="00F06896" w:rsidR="009C4F17">
        <w:rPr>
          <w:rFonts w:ascii="Times New Roman" w:hAnsi="Times New Roman"/>
          <w:sz w:val="22"/>
          <w:szCs w:val="22"/>
        </w:rPr>
        <w:t xml:space="preserve">early AD and supported the use of </w:t>
      </w:r>
      <w:r w:rsidRPr="00F06896" w:rsidR="00273C48">
        <w:rPr>
          <w:rFonts w:ascii="Times New Roman" w:hAnsi="Times New Roman"/>
          <w:sz w:val="22"/>
          <w:szCs w:val="22"/>
        </w:rPr>
        <w:t xml:space="preserve">costs based on parenteral chemotherapy infusion. </w:t>
      </w:r>
    </w:p>
    <w:p w:rsidRPr="00F06896" w:rsidR="00CB58E2" w:rsidP="00CB58E2" w:rsidRDefault="00CB58E2" w14:paraId="69934511" w14:textId="77777777">
      <w:pPr>
        <w:rPr>
          <w:rFonts w:ascii="Times New Roman" w:hAnsi="Times New Roman"/>
          <w:sz w:val="22"/>
          <w:szCs w:val="22"/>
        </w:rPr>
      </w:pPr>
    </w:p>
    <w:p w:rsidR="00B93B7F" w:rsidP="00CB58E2" w:rsidRDefault="00AD2DA9" w14:paraId="6EB2C722" w14:textId="000F2786">
      <w:pPr>
        <w:rPr>
          <w:rFonts w:ascii="Times New Roman" w:hAnsi="Times New Roman"/>
          <w:sz w:val="22"/>
          <w:szCs w:val="22"/>
        </w:rPr>
      </w:pPr>
      <w:r w:rsidRPr="00F06896">
        <w:rPr>
          <w:rFonts w:ascii="Times New Roman" w:hAnsi="Times New Roman"/>
          <w:sz w:val="22"/>
          <w:szCs w:val="22"/>
        </w:rPr>
        <w:t xml:space="preserve">NHS England </w:t>
      </w:r>
      <w:r w:rsidRPr="00F06896" w:rsidR="00E57CA1">
        <w:rPr>
          <w:rFonts w:ascii="Times New Roman" w:hAnsi="Times New Roman"/>
          <w:sz w:val="22"/>
          <w:szCs w:val="22"/>
        </w:rPr>
        <w:t>submitted a document entitled “NHS England response to NICE on Infusion Costs for Lecanemab”</w:t>
      </w:r>
      <w:r w:rsidRPr="00F06896" w:rsidR="00E87742">
        <w:rPr>
          <w:rFonts w:ascii="Times New Roman" w:hAnsi="Times New Roman"/>
          <w:sz w:val="22"/>
          <w:szCs w:val="22"/>
        </w:rPr>
        <w:t>, stating that it had “</w:t>
      </w:r>
      <w:r w:rsidRPr="00F06896" w:rsidR="00E87742">
        <w:rPr>
          <w:rFonts w:ascii="Times New Roman" w:hAnsi="Times New Roman"/>
          <w:i/>
          <w:iCs/>
          <w:sz w:val="22"/>
          <w:szCs w:val="22"/>
        </w:rPr>
        <w:t>carried out a further review of pricing options</w:t>
      </w:r>
      <w:r w:rsidRPr="00F06896" w:rsidR="00E87742">
        <w:rPr>
          <w:rFonts w:ascii="Times New Roman" w:hAnsi="Times New Roman"/>
          <w:sz w:val="22"/>
          <w:szCs w:val="22"/>
        </w:rPr>
        <w:t>”</w:t>
      </w:r>
      <w:r w:rsidRPr="00F06896" w:rsidR="00E57CA1">
        <w:rPr>
          <w:rFonts w:ascii="Times New Roman" w:hAnsi="Times New Roman"/>
          <w:sz w:val="22"/>
          <w:szCs w:val="22"/>
        </w:rPr>
        <w:t xml:space="preserve">. </w:t>
      </w:r>
      <w:r w:rsidRPr="00F06896" w:rsidR="00372358">
        <w:rPr>
          <w:rFonts w:ascii="Times New Roman" w:hAnsi="Times New Roman"/>
          <w:sz w:val="22"/>
          <w:szCs w:val="22"/>
        </w:rPr>
        <w:t xml:space="preserve">This document was provided to Eisai by NICE on </w:t>
      </w:r>
      <w:r w:rsidRPr="00F06896" w:rsidR="00194D41">
        <w:rPr>
          <w:rFonts w:ascii="Times New Roman" w:hAnsi="Times New Roman"/>
          <w:sz w:val="22"/>
          <w:szCs w:val="22"/>
        </w:rPr>
        <w:t>2</w:t>
      </w:r>
      <w:r w:rsidRPr="00F06896" w:rsidR="003E1E3F">
        <w:rPr>
          <w:rFonts w:ascii="Times New Roman" w:hAnsi="Times New Roman"/>
          <w:sz w:val="22"/>
          <w:szCs w:val="22"/>
        </w:rPr>
        <w:t>5</w:t>
      </w:r>
      <w:r w:rsidRPr="00F06896" w:rsidR="00194D41">
        <w:rPr>
          <w:rFonts w:ascii="Times New Roman" w:hAnsi="Times New Roman"/>
          <w:sz w:val="22"/>
          <w:szCs w:val="22"/>
        </w:rPr>
        <w:t xml:space="preserve"> October </w:t>
      </w:r>
      <w:r w:rsidRPr="00F06896" w:rsidR="003E1E3F">
        <w:rPr>
          <w:rFonts w:ascii="Times New Roman" w:hAnsi="Times New Roman"/>
          <w:sz w:val="22"/>
          <w:szCs w:val="22"/>
        </w:rPr>
        <w:t>2024.</w:t>
      </w:r>
      <w:r w:rsidRPr="00F06896" w:rsidR="00372358">
        <w:rPr>
          <w:rFonts w:ascii="Times New Roman" w:hAnsi="Times New Roman"/>
          <w:sz w:val="22"/>
          <w:szCs w:val="22"/>
        </w:rPr>
        <w:t xml:space="preserve"> </w:t>
      </w:r>
      <w:r w:rsidRPr="00F06896" w:rsidR="00BE26AE">
        <w:rPr>
          <w:rFonts w:ascii="Times New Roman" w:hAnsi="Times New Roman"/>
          <w:sz w:val="22"/>
          <w:szCs w:val="22"/>
        </w:rPr>
        <w:t xml:space="preserve"> </w:t>
      </w:r>
      <w:r w:rsidRPr="00F06896" w:rsidR="008F0104">
        <w:rPr>
          <w:rFonts w:ascii="Times New Roman" w:hAnsi="Times New Roman"/>
          <w:sz w:val="22"/>
          <w:szCs w:val="22"/>
        </w:rPr>
        <w:t>In this document</w:t>
      </w:r>
      <w:r w:rsidRPr="00F06896" w:rsidR="00820FDE">
        <w:rPr>
          <w:rFonts w:ascii="Times New Roman" w:hAnsi="Times New Roman"/>
          <w:sz w:val="22"/>
          <w:szCs w:val="22"/>
        </w:rPr>
        <w:t xml:space="preserve">, </w:t>
      </w:r>
      <w:r w:rsidRPr="00F06896" w:rsidR="00BE26AE">
        <w:rPr>
          <w:rFonts w:ascii="Times New Roman" w:hAnsi="Times New Roman"/>
          <w:sz w:val="22"/>
          <w:szCs w:val="22"/>
        </w:rPr>
        <w:t xml:space="preserve">NHS England </w:t>
      </w:r>
      <w:r w:rsidRPr="00F06896" w:rsidR="0094243B">
        <w:rPr>
          <w:rFonts w:ascii="Times New Roman" w:hAnsi="Times New Roman"/>
          <w:sz w:val="22"/>
          <w:szCs w:val="22"/>
        </w:rPr>
        <w:t xml:space="preserve">disagreed with Eisai’s estimation and </w:t>
      </w:r>
      <w:r w:rsidRPr="00F06896" w:rsidR="00A5578F">
        <w:rPr>
          <w:rFonts w:ascii="Times New Roman" w:hAnsi="Times New Roman"/>
          <w:sz w:val="22"/>
          <w:szCs w:val="22"/>
        </w:rPr>
        <w:t>referred to t</w:t>
      </w:r>
      <w:r w:rsidRPr="00F06896" w:rsidR="00024ECD">
        <w:rPr>
          <w:rFonts w:ascii="Times New Roman" w:hAnsi="Times New Roman"/>
          <w:sz w:val="22"/>
          <w:szCs w:val="22"/>
        </w:rPr>
        <w:t xml:space="preserve">he average cost of an infusion </w:t>
      </w:r>
      <w:r w:rsidRPr="00F06896" w:rsidR="00A5578F">
        <w:rPr>
          <w:rFonts w:ascii="Times New Roman" w:hAnsi="Times New Roman"/>
          <w:sz w:val="22"/>
          <w:szCs w:val="22"/>
        </w:rPr>
        <w:t xml:space="preserve">used for </w:t>
      </w:r>
      <w:r w:rsidRPr="00F06896" w:rsidR="00024ECD">
        <w:rPr>
          <w:rFonts w:ascii="Times New Roman" w:hAnsi="Times New Roman"/>
          <w:sz w:val="22"/>
          <w:szCs w:val="22"/>
        </w:rPr>
        <w:t xml:space="preserve">other conditions </w:t>
      </w:r>
      <w:r w:rsidRPr="00F06896" w:rsidR="000A46D1">
        <w:rPr>
          <w:rFonts w:ascii="Times New Roman" w:hAnsi="Times New Roman"/>
          <w:sz w:val="22"/>
          <w:szCs w:val="22"/>
        </w:rPr>
        <w:t>(</w:t>
      </w:r>
      <w:r w:rsidRPr="00F06896" w:rsidR="000D5CE0">
        <w:rPr>
          <w:rFonts w:ascii="Times New Roman" w:hAnsi="Times New Roman"/>
          <w:sz w:val="22"/>
          <w:szCs w:val="22"/>
        </w:rPr>
        <w:t>Office of Population Censuses and Surveys Classification of Interventions and Procedures, version 4 (</w:t>
      </w:r>
      <w:r w:rsidRPr="00F06896" w:rsidR="0087122B">
        <w:rPr>
          <w:rFonts w:ascii="Times New Roman" w:hAnsi="Times New Roman"/>
          <w:sz w:val="22"/>
          <w:szCs w:val="22"/>
        </w:rPr>
        <w:t>OPCS-4</w:t>
      </w:r>
      <w:r w:rsidRPr="00F06896" w:rsidR="000D5CE0">
        <w:rPr>
          <w:rFonts w:ascii="Times New Roman" w:hAnsi="Times New Roman"/>
          <w:sz w:val="22"/>
          <w:szCs w:val="22"/>
        </w:rPr>
        <w:t>)</w:t>
      </w:r>
      <w:r w:rsidRPr="00F06896" w:rsidR="0087122B">
        <w:rPr>
          <w:rFonts w:ascii="Times New Roman" w:hAnsi="Times New Roman"/>
          <w:sz w:val="22"/>
          <w:szCs w:val="22"/>
        </w:rPr>
        <w:t xml:space="preserve"> procedure code</w:t>
      </w:r>
      <w:r w:rsidRPr="00F06896" w:rsidR="000A46D1">
        <w:rPr>
          <w:rFonts w:ascii="Times New Roman" w:hAnsi="Times New Roman"/>
          <w:sz w:val="22"/>
          <w:szCs w:val="22"/>
        </w:rPr>
        <w:t xml:space="preserve"> X292) </w:t>
      </w:r>
      <w:r w:rsidRPr="00F06896" w:rsidR="00A5578F">
        <w:rPr>
          <w:rFonts w:ascii="Times New Roman" w:hAnsi="Times New Roman"/>
          <w:sz w:val="22"/>
          <w:szCs w:val="22"/>
        </w:rPr>
        <w:t xml:space="preserve">as </w:t>
      </w:r>
      <w:r w:rsidRPr="00F06896" w:rsidR="00024ECD">
        <w:rPr>
          <w:rFonts w:ascii="Times New Roman" w:hAnsi="Times New Roman"/>
          <w:sz w:val="22"/>
          <w:szCs w:val="22"/>
        </w:rPr>
        <w:t>£585.43.</w:t>
      </w:r>
      <w:r w:rsidRPr="00F06896" w:rsidR="008D4D7D">
        <w:rPr>
          <w:rFonts w:ascii="Times New Roman" w:hAnsi="Times New Roman"/>
          <w:sz w:val="22"/>
          <w:szCs w:val="22"/>
        </w:rPr>
        <w:t xml:space="preserve">  </w:t>
      </w:r>
    </w:p>
    <w:p w:rsidRPr="00F06896" w:rsidR="00CB58E2" w:rsidP="00CB58E2" w:rsidRDefault="00CB58E2" w14:paraId="57802AE5" w14:textId="77777777">
      <w:pPr>
        <w:rPr>
          <w:rFonts w:ascii="Times New Roman" w:hAnsi="Times New Roman"/>
          <w:sz w:val="22"/>
          <w:szCs w:val="22"/>
        </w:rPr>
      </w:pPr>
    </w:p>
    <w:p w:rsidR="00AA0CD4" w:rsidP="00CB58E2" w:rsidRDefault="008D4D7D" w14:paraId="0E246EDA" w14:textId="32EDD3CE">
      <w:pPr>
        <w:rPr>
          <w:rFonts w:ascii="Times New Roman" w:hAnsi="Times New Roman"/>
          <w:i/>
          <w:iCs/>
          <w:sz w:val="22"/>
          <w:szCs w:val="22"/>
        </w:rPr>
      </w:pPr>
      <w:r w:rsidRPr="00F06896">
        <w:rPr>
          <w:rFonts w:ascii="Times New Roman" w:hAnsi="Times New Roman"/>
          <w:sz w:val="22"/>
          <w:szCs w:val="22"/>
        </w:rPr>
        <w:t>As an alternative</w:t>
      </w:r>
      <w:r w:rsidRPr="00F06896" w:rsidR="005B3959">
        <w:rPr>
          <w:rFonts w:ascii="Times New Roman" w:hAnsi="Times New Roman"/>
          <w:sz w:val="22"/>
          <w:szCs w:val="22"/>
        </w:rPr>
        <w:t xml:space="preserve"> to </w:t>
      </w:r>
      <w:r w:rsidRPr="00F06896" w:rsidR="005230B8">
        <w:rPr>
          <w:rFonts w:ascii="Times New Roman" w:hAnsi="Times New Roman"/>
          <w:sz w:val="22"/>
          <w:szCs w:val="22"/>
        </w:rPr>
        <w:t xml:space="preserve">its </w:t>
      </w:r>
      <w:r w:rsidRPr="00F06896" w:rsidR="005B3959">
        <w:rPr>
          <w:rFonts w:ascii="Times New Roman" w:hAnsi="Times New Roman"/>
          <w:sz w:val="22"/>
          <w:szCs w:val="22"/>
        </w:rPr>
        <w:t>initial proposal</w:t>
      </w:r>
      <w:r w:rsidRPr="00F06896">
        <w:rPr>
          <w:rFonts w:ascii="Times New Roman" w:hAnsi="Times New Roman"/>
          <w:sz w:val="22"/>
          <w:szCs w:val="22"/>
        </w:rPr>
        <w:t xml:space="preserve">, NHS England </w:t>
      </w:r>
      <w:r w:rsidRPr="00F06896" w:rsidR="005B3959">
        <w:rPr>
          <w:rFonts w:ascii="Times New Roman" w:hAnsi="Times New Roman"/>
          <w:sz w:val="22"/>
          <w:szCs w:val="22"/>
        </w:rPr>
        <w:t xml:space="preserve">suggested </w:t>
      </w:r>
      <w:r w:rsidRPr="00F06896">
        <w:rPr>
          <w:rFonts w:ascii="Times New Roman" w:hAnsi="Times New Roman"/>
          <w:sz w:val="22"/>
          <w:szCs w:val="22"/>
        </w:rPr>
        <w:t xml:space="preserve">an approach </w:t>
      </w:r>
      <w:r w:rsidRPr="00F06896" w:rsidR="00612B8D">
        <w:rPr>
          <w:rFonts w:ascii="Times New Roman" w:hAnsi="Times New Roman"/>
          <w:sz w:val="22"/>
          <w:szCs w:val="22"/>
        </w:rPr>
        <w:t xml:space="preserve">consistent with </w:t>
      </w:r>
      <w:r w:rsidRPr="00F06896">
        <w:rPr>
          <w:rFonts w:ascii="Times New Roman" w:hAnsi="Times New Roman"/>
          <w:sz w:val="22"/>
          <w:szCs w:val="22"/>
        </w:rPr>
        <w:t>the NICE appraisal process for monoclonal antibodies administered in the management of a confirmed COVID infection</w:t>
      </w:r>
      <w:r w:rsidRPr="00F06896" w:rsidR="00EC16F2">
        <w:rPr>
          <w:rFonts w:ascii="Times New Roman" w:hAnsi="Times New Roman"/>
          <w:sz w:val="22"/>
          <w:szCs w:val="22"/>
        </w:rPr>
        <w:t xml:space="preserve">, </w:t>
      </w:r>
      <w:r w:rsidRPr="00F06896" w:rsidR="00764085">
        <w:rPr>
          <w:rFonts w:ascii="Times New Roman" w:hAnsi="Times New Roman"/>
          <w:sz w:val="22"/>
          <w:szCs w:val="22"/>
        </w:rPr>
        <w:t xml:space="preserve">estimated </w:t>
      </w:r>
      <w:r w:rsidRPr="00F06896" w:rsidR="00EC16F2">
        <w:rPr>
          <w:rFonts w:ascii="Times New Roman" w:hAnsi="Times New Roman"/>
          <w:sz w:val="22"/>
          <w:szCs w:val="22"/>
        </w:rPr>
        <w:t>as £432</w:t>
      </w:r>
      <w:r w:rsidRPr="00F06896" w:rsidR="00B04CED">
        <w:rPr>
          <w:rFonts w:ascii="Times New Roman" w:hAnsi="Times New Roman"/>
          <w:sz w:val="22"/>
          <w:szCs w:val="22"/>
        </w:rPr>
        <w:t xml:space="preserve"> per infusion, </w:t>
      </w:r>
      <w:r w:rsidRPr="00F06896" w:rsidR="009242B0">
        <w:rPr>
          <w:rFonts w:ascii="Times New Roman" w:hAnsi="Times New Roman"/>
          <w:sz w:val="22"/>
          <w:szCs w:val="22"/>
        </w:rPr>
        <w:t xml:space="preserve">including </w:t>
      </w:r>
      <w:r w:rsidRPr="00F06896" w:rsidR="00E87742">
        <w:rPr>
          <w:rFonts w:ascii="Times New Roman" w:hAnsi="Times New Roman"/>
          <w:sz w:val="22"/>
          <w:szCs w:val="22"/>
        </w:rPr>
        <w:t xml:space="preserve">a “Market Forces Factor” </w:t>
      </w:r>
      <w:r w:rsidRPr="00F06896" w:rsidR="00132E76">
        <w:rPr>
          <w:rFonts w:ascii="Times New Roman" w:hAnsi="Times New Roman"/>
          <w:sz w:val="22"/>
          <w:szCs w:val="22"/>
        </w:rPr>
        <w:t xml:space="preserve">uplift from </w:t>
      </w:r>
      <w:r w:rsidRPr="00F06896" w:rsidR="00B04CED">
        <w:rPr>
          <w:rFonts w:ascii="Times New Roman" w:hAnsi="Times New Roman"/>
          <w:sz w:val="22"/>
          <w:szCs w:val="22"/>
        </w:rPr>
        <w:t xml:space="preserve">the </w:t>
      </w:r>
      <w:r w:rsidRPr="00F06896" w:rsidR="00132E76">
        <w:rPr>
          <w:rFonts w:ascii="Times New Roman" w:hAnsi="Times New Roman"/>
          <w:sz w:val="22"/>
          <w:szCs w:val="22"/>
        </w:rPr>
        <w:t xml:space="preserve">2021/2022 </w:t>
      </w:r>
      <w:r w:rsidRPr="00F06896" w:rsidR="00B04CED">
        <w:rPr>
          <w:rFonts w:ascii="Times New Roman" w:hAnsi="Times New Roman"/>
          <w:sz w:val="22"/>
          <w:szCs w:val="22"/>
        </w:rPr>
        <w:t>figures</w:t>
      </w:r>
      <w:r w:rsidRPr="00F06896">
        <w:rPr>
          <w:rFonts w:ascii="Times New Roman" w:hAnsi="Times New Roman"/>
          <w:sz w:val="22"/>
          <w:szCs w:val="22"/>
        </w:rPr>
        <w:t>.</w:t>
      </w:r>
      <w:r w:rsidRPr="00F06896" w:rsidR="00046C0D">
        <w:rPr>
          <w:rFonts w:ascii="Times New Roman" w:hAnsi="Times New Roman"/>
          <w:sz w:val="22"/>
          <w:szCs w:val="22"/>
        </w:rPr>
        <w:t xml:space="preserve"> </w:t>
      </w:r>
      <w:r w:rsidRPr="00F06896" w:rsidR="00E87742">
        <w:rPr>
          <w:rFonts w:ascii="Times New Roman" w:hAnsi="Times New Roman"/>
          <w:sz w:val="22"/>
          <w:szCs w:val="22"/>
        </w:rPr>
        <w:t>While NHS England stated that “</w:t>
      </w:r>
      <w:r w:rsidRPr="00F06896" w:rsidR="00E87742">
        <w:rPr>
          <w:rFonts w:ascii="Times New Roman" w:hAnsi="Times New Roman"/>
          <w:i/>
          <w:iCs/>
          <w:sz w:val="22"/>
          <w:szCs w:val="22"/>
        </w:rPr>
        <w:t xml:space="preserve">NHS prices are derived based on a combination of the procedure undertaken and other factors, such as the medical condition for which the procedure is being undertaken, age, length of stay </w:t>
      </w:r>
      <w:proofErr w:type="spellStart"/>
      <w:r w:rsidRPr="00F06896" w:rsidR="00E87742">
        <w:rPr>
          <w:rFonts w:ascii="Times New Roman" w:hAnsi="Times New Roman"/>
          <w:i/>
          <w:iCs/>
          <w:sz w:val="22"/>
          <w:szCs w:val="22"/>
        </w:rPr>
        <w:t>etc</w:t>
      </w:r>
      <w:proofErr w:type="spellEnd"/>
      <w:r w:rsidRPr="00F06896" w:rsidR="00E87742">
        <w:rPr>
          <w:rFonts w:ascii="Times New Roman" w:hAnsi="Times New Roman"/>
          <w:sz w:val="22"/>
          <w:szCs w:val="22"/>
        </w:rPr>
        <w:t>”, no breakdown of the elements included in costs calculated for monoclonal antibodies administered in the management of confirmed COVID-19 infection was provided</w:t>
      </w:r>
      <w:r w:rsidRPr="00F06896" w:rsidR="008A034A">
        <w:rPr>
          <w:rFonts w:ascii="Times New Roman" w:hAnsi="Times New Roman"/>
          <w:sz w:val="22"/>
          <w:szCs w:val="22"/>
        </w:rPr>
        <w:t>, d</w:t>
      </w:r>
      <w:r w:rsidRPr="00F06896" w:rsidR="00D11AB3">
        <w:rPr>
          <w:rFonts w:ascii="Times New Roman" w:hAnsi="Times New Roman"/>
          <w:sz w:val="22"/>
          <w:szCs w:val="22"/>
        </w:rPr>
        <w:t>espite</w:t>
      </w:r>
      <w:r w:rsidRPr="00F06896" w:rsidR="00644EF0">
        <w:rPr>
          <w:rFonts w:ascii="Times New Roman" w:hAnsi="Times New Roman"/>
          <w:sz w:val="22"/>
          <w:szCs w:val="22"/>
        </w:rPr>
        <w:t xml:space="preserve"> </w:t>
      </w:r>
      <w:r w:rsidRPr="00F06896" w:rsidR="002D66E4">
        <w:rPr>
          <w:rFonts w:ascii="Times New Roman" w:hAnsi="Times New Roman"/>
          <w:sz w:val="22"/>
          <w:szCs w:val="22"/>
        </w:rPr>
        <w:t xml:space="preserve">referring </w:t>
      </w:r>
      <w:r w:rsidRPr="00F06896" w:rsidR="006A503E">
        <w:rPr>
          <w:rFonts w:ascii="Times New Roman" w:hAnsi="Times New Roman"/>
          <w:sz w:val="22"/>
          <w:szCs w:val="22"/>
        </w:rPr>
        <w:t xml:space="preserve">in the same document </w:t>
      </w:r>
      <w:r w:rsidRPr="00F06896" w:rsidR="002D66E4">
        <w:rPr>
          <w:rFonts w:ascii="Times New Roman" w:hAnsi="Times New Roman"/>
          <w:sz w:val="22"/>
          <w:szCs w:val="22"/>
        </w:rPr>
        <w:t xml:space="preserve">to </w:t>
      </w:r>
      <w:r w:rsidRPr="00F06896" w:rsidR="002D2DD5">
        <w:rPr>
          <w:rFonts w:ascii="Times New Roman" w:hAnsi="Times New Roman"/>
          <w:sz w:val="22"/>
          <w:szCs w:val="22"/>
        </w:rPr>
        <w:t>“</w:t>
      </w:r>
      <w:r w:rsidRPr="00F06896" w:rsidR="0010146B">
        <w:rPr>
          <w:rFonts w:ascii="Times New Roman" w:hAnsi="Times New Roman"/>
          <w:i/>
          <w:iCs/>
          <w:sz w:val="22"/>
          <w:szCs w:val="22"/>
        </w:rPr>
        <w:t>bottom-up costing</w:t>
      </w:r>
      <w:r w:rsidRPr="00F06896" w:rsidR="00055148">
        <w:rPr>
          <w:rFonts w:ascii="Times New Roman" w:hAnsi="Times New Roman"/>
          <w:i/>
          <w:iCs/>
          <w:sz w:val="22"/>
          <w:szCs w:val="22"/>
        </w:rPr>
        <w:t xml:space="preserve"> </w:t>
      </w:r>
      <w:r w:rsidRPr="00F06896" w:rsidR="000E600B">
        <w:rPr>
          <w:rFonts w:ascii="Times New Roman" w:hAnsi="Times New Roman"/>
          <w:i/>
          <w:iCs/>
          <w:sz w:val="22"/>
          <w:szCs w:val="22"/>
        </w:rPr>
        <w:t xml:space="preserve">work </w:t>
      </w:r>
      <w:r w:rsidRPr="00F06896" w:rsidR="0010146B">
        <w:rPr>
          <w:rFonts w:ascii="Times New Roman" w:hAnsi="Times New Roman"/>
          <w:i/>
          <w:iCs/>
          <w:sz w:val="22"/>
          <w:szCs w:val="22"/>
        </w:rPr>
        <w:t>undertaken on the basis of actual NHS use of monoclonal antibodies administered by infusion, by a sub</w:t>
      </w:r>
      <w:r w:rsidRPr="00F06896" w:rsidR="00071501">
        <w:rPr>
          <w:rFonts w:ascii="Times New Roman" w:hAnsi="Times New Roman"/>
          <w:i/>
          <w:iCs/>
          <w:sz w:val="22"/>
          <w:szCs w:val="22"/>
        </w:rPr>
        <w:t>-</w:t>
      </w:r>
      <w:r w:rsidRPr="00F06896" w:rsidR="0010146B">
        <w:rPr>
          <w:rFonts w:ascii="Times New Roman" w:hAnsi="Times New Roman"/>
          <w:i/>
          <w:iCs/>
          <w:sz w:val="22"/>
          <w:szCs w:val="22"/>
        </w:rPr>
        <w:t>set of COVID Medicine Delivery Units (CMDUs).</w:t>
      </w:r>
      <w:r w:rsidRPr="00F06896" w:rsidR="00751917">
        <w:rPr>
          <w:rFonts w:ascii="Times New Roman" w:hAnsi="Times New Roman"/>
          <w:i/>
          <w:iCs/>
          <w:sz w:val="22"/>
          <w:szCs w:val="22"/>
        </w:rPr>
        <w:t>”</w:t>
      </w:r>
    </w:p>
    <w:p w:rsidRPr="00F06896" w:rsidR="00CB58E2" w:rsidP="00CB58E2" w:rsidRDefault="00CB58E2" w14:paraId="22FF2B8C" w14:textId="77777777">
      <w:pPr>
        <w:rPr>
          <w:rFonts w:ascii="Times New Roman" w:hAnsi="Times New Roman"/>
          <w:sz w:val="22"/>
          <w:szCs w:val="22"/>
        </w:rPr>
      </w:pPr>
    </w:p>
    <w:p w:rsidR="00E87742" w:rsidP="00CB58E2" w:rsidRDefault="00E87742" w14:paraId="1E15D27E" w14:textId="6BC81258">
      <w:pPr>
        <w:rPr>
          <w:rFonts w:ascii="Times New Roman" w:hAnsi="Times New Roman"/>
          <w:sz w:val="22"/>
          <w:szCs w:val="22"/>
          <w:u w:val="single"/>
        </w:rPr>
      </w:pPr>
      <w:r w:rsidRPr="00F06896">
        <w:rPr>
          <w:rFonts w:ascii="Times New Roman" w:hAnsi="Times New Roman"/>
          <w:sz w:val="22"/>
          <w:szCs w:val="22"/>
          <w:u w:val="single"/>
        </w:rPr>
        <w:t xml:space="preserve">Consultation on </w:t>
      </w:r>
      <w:r w:rsidRPr="00F06896" w:rsidR="00C36A07">
        <w:rPr>
          <w:rFonts w:ascii="Times New Roman" w:hAnsi="Times New Roman"/>
          <w:sz w:val="22"/>
          <w:szCs w:val="22"/>
          <w:u w:val="single"/>
        </w:rPr>
        <w:t xml:space="preserve">the </w:t>
      </w:r>
      <w:r w:rsidRPr="00F06896">
        <w:rPr>
          <w:rFonts w:ascii="Times New Roman" w:hAnsi="Times New Roman"/>
          <w:sz w:val="22"/>
          <w:szCs w:val="22"/>
          <w:u w:val="single"/>
        </w:rPr>
        <w:t>second Draft Guidance</w:t>
      </w:r>
    </w:p>
    <w:p w:rsidRPr="00F06896" w:rsidR="0045383A" w:rsidP="00CB58E2" w:rsidRDefault="0045383A" w14:paraId="00BDD0D6" w14:textId="77777777">
      <w:pPr>
        <w:rPr>
          <w:rFonts w:ascii="Times New Roman" w:hAnsi="Times New Roman"/>
          <w:sz w:val="22"/>
          <w:szCs w:val="22"/>
          <w:u w:val="single"/>
        </w:rPr>
      </w:pPr>
    </w:p>
    <w:p w:rsidR="00C36A07" w:rsidP="00CB58E2" w:rsidRDefault="00C36A07" w14:paraId="6FCC649F" w14:textId="187505E0">
      <w:pPr>
        <w:rPr>
          <w:rFonts w:ascii="Times New Roman" w:hAnsi="Times New Roman"/>
          <w:sz w:val="22"/>
          <w:szCs w:val="22"/>
        </w:rPr>
      </w:pPr>
      <w:r w:rsidRPr="00F06896">
        <w:rPr>
          <w:rFonts w:ascii="Times New Roman" w:hAnsi="Times New Roman"/>
          <w:sz w:val="22"/>
          <w:szCs w:val="22"/>
        </w:rPr>
        <w:t>At paragraph 3.17 of the second Draft Guidance, the Committee concluded:</w:t>
      </w:r>
    </w:p>
    <w:p w:rsidRPr="00F06896" w:rsidR="00542212" w:rsidP="00CB58E2" w:rsidRDefault="00542212" w14:paraId="7443CB9B" w14:textId="77777777">
      <w:pPr>
        <w:rPr>
          <w:rFonts w:ascii="Times New Roman" w:hAnsi="Times New Roman"/>
          <w:sz w:val="22"/>
          <w:szCs w:val="22"/>
        </w:rPr>
      </w:pPr>
    </w:p>
    <w:p w:rsidR="00C36A07" w:rsidP="00CB58E2" w:rsidRDefault="00C36A07" w14:paraId="12E49D77" w14:textId="78D289F5">
      <w:pPr>
        <w:ind w:left="720"/>
        <w:rPr>
          <w:rFonts w:ascii="Times New Roman" w:hAnsi="Times New Roman"/>
          <w:i/>
          <w:iCs/>
          <w:sz w:val="22"/>
          <w:szCs w:val="22"/>
        </w:rPr>
      </w:pPr>
      <w:r w:rsidRPr="00F06896">
        <w:rPr>
          <w:rFonts w:ascii="Times New Roman" w:hAnsi="Times New Roman"/>
          <w:sz w:val="22"/>
          <w:szCs w:val="22"/>
        </w:rPr>
        <w:t xml:space="preserve">“…. </w:t>
      </w:r>
      <w:r w:rsidRPr="00F06896">
        <w:rPr>
          <w:rFonts w:ascii="Times New Roman" w:hAnsi="Times New Roman"/>
          <w:i/>
          <w:iCs/>
          <w:sz w:val="22"/>
          <w:szCs w:val="22"/>
        </w:rPr>
        <w:t>the preferred cost from NHS England was not specific to lecanemab and did not reflect the expected resource needs outlined by clinical experts. It also noted a lack of transparency on how the cost was estimated and how it related to specific lecanemab resource needs. So, it was unable to determine a preferred cost for use in modelling. But the committee concluded that the most appropriate cost was likely closer to the NHS England estimate based on the infusion cost for coronavirus monoclonal antibodies than the company’s estimate”.</w:t>
      </w:r>
    </w:p>
    <w:p w:rsidRPr="00F06896" w:rsidR="00CB58E2" w:rsidP="00CB58E2" w:rsidRDefault="00CB58E2" w14:paraId="6E292BFE" w14:textId="77777777">
      <w:pPr>
        <w:ind w:left="720"/>
        <w:rPr>
          <w:rFonts w:ascii="Times New Roman" w:hAnsi="Times New Roman"/>
          <w:i/>
          <w:iCs/>
          <w:sz w:val="22"/>
          <w:szCs w:val="22"/>
        </w:rPr>
      </w:pPr>
    </w:p>
    <w:p w:rsidR="00FD2C5B" w:rsidP="00CB58E2" w:rsidRDefault="00F724D5" w14:paraId="37D17494" w14:textId="77777777">
      <w:pPr>
        <w:rPr>
          <w:rFonts w:ascii="Times New Roman" w:hAnsi="Times New Roman"/>
          <w:sz w:val="22"/>
          <w:szCs w:val="22"/>
        </w:rPr>
      </w:pPr>
      <w:r w:rsidRPr="00F06896">
        <w:rPr>
          <w:rFonts w:ascii="Times New Roman" w:hAnsi="Times New Roman"/>
          <w:sz w:val="22"/>
          <w:szCs w:val="22"/>
        </w:rPr>
        <w:t xml:space="preserve">In response </w:t>
      </w:r>
      <w:r w:rsidRPr="00F06896" w:rsidR="00FD2C5B">
        <w:rPr>
          <w:rFonts w:ascii="Times New Roman" w:hAnsi="Times New Roman"/>
          <w:sz w:val="22"/>
          <w:szCs w:val="22"/>
        </w:rPr>
        <w:t xml:space="preserve">to consultation on the second Draft Guidance, Eisai addressed the lack of transparency in NHS England’s proposed costs estimation as set out in </w:t>
      </w:r>
      <w:r w:rsidRPr="00F06896">
        <w:rPr>
          <w:rFonts w:ascii="Times New Roman" w:hAnsi="Times New Roman"/>
          <w:sz w:val="22"/>
          <w:szCs w:val="22"/>
        </w:rPr>
        <w:t>the “NHS England response to NICE on Infusion Costs for Lecanemab” document</w:t>
      </w:r>
      <w:r w:rsidRPr="00F06896" w:rsidR="00FD2C5B">
        <w:rPr>
          <w:rFonts w:ascii="Times New Roman" w:hAnsi="Times New Roman"/>
          <w:sz w:val="22"/>
          <w:szCs w:val="22"/>
        </w:rPr>
        <w:t>.</w:t>
      </w:r>
    </w:p>
    <w:p w:rsidRPr="00F06896" w:rsidR="0045383A" w:rsidP="00CB58E2" w:rsidRDefault="0045383A" w14:paraId="04635739" w14:textId="77777777">
      <w:pPr>
        <w:rPr>
          <w:rFonts w:ascii="Times New Roman" w:hAnsi="Times New Roman"/>
          <w:sz w:val="22"/>
          <w:szCs w:val="22"/>
        </w:rPr>
      </w:pPr>
    </w:p>
    <w:p w:rsidRPr="00F06896" w:rsidR="00FD2C5B" w:rsidP="00D161D6" w:rsidRDefault="00F724D5" w14:paraId="6BEF09F3" w14:textId="203E7AAB">
      <w:pPr>
        <w:pStyle w:val="ListParagraph"/>
        <w:numPr>
          <w:ilvl w:val="0"/>
          <w:numId w:val="12"/>
        </w:numPr>
        <w:rPr>
          <w:rFonts w:ascii="Times New Roman" w:hAnsi="Times New Roman"/>
          <w:sz w:val="22"/>
          <w:szCs w:val="22"/>
        </w:rPr>
      </w:pPr>
      <w:r w:rsidRPr="00F06896">
        <w:rPr>
          <w:rFonts w:ascii="Times New Roman" w:hAnsi="Times New Roman"/>
          <w:sz w:val="22"/>
          <w:szCs w:val="22"/>
        </w:rPr>
        <w:t xml:space="preserve">Eisai reviewed TA878, in order to obtain further information regarding NHS England’s estimated costs for monoclonal antibodies administered in the management of confirmed COVID-19 infection. </w:t>
      </w:r>
      <w:r w:rsidRPr="00F06896" w:rsidR="00F27969">
        <w:rPr>
          <w:rFonts w:ascii="Times New Roman" w:hAnsi="Times New Roman"/>
          <w:sz w:val="22"/>
          <w:szCs w:val="22"/>
        </w:rPr>
        <w:t>Eisai</w:t>
      </w:r>
      <w:r w:rsidRPr="00F06896">
        <w:rPr>
          <w:rFonts w:ascii="Times New Roman" w:hAnsi="Times New Roman"/>
          <w:sz w:val="22"/>
          <w:szCs w:val="22"/>
        </w:rPr>
        <w:t xml:space="preserve"> advised the Committee that these costs include components such as staffing, administrative support, dispensing, clinical consumables, couriering medicines, travel, office equipment, and room hire</w:t>
      </w:r>
      <w:r w:rsidRPr="00F06896" w:rsidR="00FD2C5B">
        <w:rPr>
          <w:rFonts w:ascii="Times New Roman" w:hAnsi="Times New Roman"/>
          <w:sz w:val="22"/>
          <w:szCs w:val="22"/>
        </w:rPr>
        <w:t xml:space="preserve">, </w:t>
      </w:r>
      <w:r w:rsidRPr="00F06896">
        <w:rPr>
          <w:rFonts w:ascii="Times New Roman" w:hAnsi="Times New Roman"/>
          <w:sz w:val="22"/>
          <w:szCs w:val="22"/>
        </w:rPr>
        <w:t>required for establishing COVID Medicines Delivery Units (CMDUs), which [generally operate from temporary community facilities rather than conventional health care sites] and lack a permanent structure.</w:t>
      </w:r>
      <w:r w:rsidRPr="00F06896" w:rsidR="00FD2C5B">
        <w:rPr>
          <w:rFonts w:ascii="Times New Roman" w:hAnsi="Times New Roman"/>
          <w:sz w:val="22"/>
          <w:szCs w:val="22"/>
        </w:rPr>
        <w:t xml:space="preserve"> </w:t>
      </w:r>
      <w:r w:rsidRPr="00F06896">
        <w:rPr>
          <w:rFonts w:ascii="Times New Roman" w:hAnsi="Times New Roman"/>
          <w:sz w:val="22"/>
          <w:szCs w:val="22"/>
        </w:rPr>
        <w:t xml:space="preserve"> These satellite service set-up costs </w:t>
      </w:r>
      <w:r w:rsidRPr="00F06896" w:rsidR="00FD2C5B">
        <w:rPr>
          <w:rFonts w:ascii="Times New Roman" w:hAnsi="Times New Roman"/>
          <w:sz w:val="22"/>
          <w:szCs w:val="22"/>
        </w:rPr>
        <w:t xml:space="preserve">are not relevant for </w:t>
      </w:r>
      <w:r w:rsidRPr="00F06896">
        <w:rPr>
          <w:rFonts w:ascii="Times New Roman" w:hAnsi="Times New Roman"/>
          <w:sz w:val="22"/>
          <w:szCs w:val="22"/>
        </w:rPr>
        <w:t>lecanemab</w:t>
      </w:r>
      <w:r w:rsidRPr="00F06896" w:rsidR="00FD2C5B">
        <w:rPr>
          <w:rFonts w:ascii="Times New Roman" w:hAnsi="Times New Roman"/>
          <w:sz w:val="22"/>
          <w:szCs w:val="22"/>
        </w:rPr>
        <w:t xml:space="preserve"> and</w:t>
      </w:r>
      <w:r w:rsidRPr="00F06896">
        <w:rPr>
          <w:rFonts w:ascii="Times New Roman" w:hAnsi="Times New Roman"/>
          <w:sz w:val="22"/>
          <w:szCs w:val="22"/>
        </w:rPr>
        <w:t xml:space="preserve"> are inappropriate for routine IV delivery of a monoclonal antibody in an established secondary</w:t>
      </w:r>
      <w:r w:rsidRPr="00F06896" w:rsidR="494DD9F8">
        <w:rPr>
          <w:rFonts w:ascii="Times New Roman" w:hAnsi="Times New Roman"/>
          <w:sz w:val="22"/>
          <w:szCs w:val="22"/>
        </w:rPr>
        <w:t xml:space="preserve"> </w:t>
      </w:r>
      <w:r w:rsidRPr="00F06896">
        <w:rPr>
          <w:rFonts w:ascii="Times New Roman" w:hAnsi="Times New Roman"/>
          <w:sz w:val="22"/>
          <w:szCs w:val="22"/>
        </w:rPr>
        <w:t>care setting.</w:t>
      </w:r>
      <w:r w:rsidRPr="00F06896" w:rsidR="00FD2C5B">
        <w:rPr>
          <w:rFonts w:ascii="Times New Roman" w:hAnsi="Times New Roman"/>
          <w:sz w:val="22"/>
          <w:szCs w:val="22"/>
        </w:rPr>
        <w:t xml:space="preserve"> </w:t>
      </w:r>
    </w:p>
    <w:p w:rsidRPr="00F06896" w:rsidR="00F724D5" w:rsidP="00D161D6" w:rsidRDefault="00FD2C5B" w14:paraId="7460D8DC" w14:textId="704DC380">
      <w:pPr>
        <w:pStyle w:val="ListParagraph"/>
        <w:numPr>
          <w:ilvl w:val="0"/>
          <w:numId w:val="12"/>
        </w:numPr>
        <w:rPr>
          <w:rFonts w:ascii="Times New Roman" w:hAnsi="Times New Roman"/>
          <w:sz w:val="22"/>
          <w:szCs w:val="22"/>
        </w:rPr>
      </w:pPr>
      <w:r w:rsidRPr="00F06896">
        <w:rPr>
          <w:rFonts w:ascii="Times New Roman" w:hAnsi="Times New Roman"/>
          <w:sz w:val="22"/>
          <w:szCs w:val="22"/>
        </w:rPr>
        <w:t>Eisai also noted that the Market Forces Factors were unexplained and were not applied to costs under NICE’s standard methodology.</w:t>
      </w:r>
    </w:p>
    <w:p w:rsidR="00FD2C5B" w:rsidP="00D161D6" w:rsidRDefault="00FD2C5B" w14:paraId="5BD18407" w14:textId="3EDBCB40">
      <w:pPr>
        <w:pStyle w:val="ListParagraph"/>
        <w:numPr>
          <w:ilvl w:val="0"/>
          <w:numId w:val="12"/>
        </w:numPr>
        <w:rPr>
          <w:rFonts w:ascii="Times New Roman" w:hAnsi="Times New Roman"/>
          <w:sz w:val="22"/>
          <w:szCs w:val="22"/>
        </w:rPr>
      </w:pPr>
      <w:r w:rsidRPr="00F06896">
        <w:rPr>
          <w:rFonts w:ascii="Times New Roman" w:hAnsi="Times New Roman"/>
          <w:sz w:val="22"/>
          <w:szCs w:val="22"/>
        </w:rPr>
        <w:t>Eisai noted that a detailed breakdown of the costs used by NHS England to prepare its estimated infusion costs had been requested and expressed substantial frustration at the lack of information provided which precluded adequate assessment of the £432 figure it had proposed.</w:t>
      </w:r>
    </w:p>
    <w:p w:rsidRPr="00F06896" w:rsidR="00CB58E2" w:rsidP="00CB58E2" w:rsidRDefault="00CB58E2" w14:paraId="08969313" w14:textId="77777777">
      <w:pPr>
        <w:pStyle w:val="ListParagraph"/>
        <w:ind w:left="1497"/>
        <w:rPr>
          <w:rFonts w:ascii="Times New Roman" w:hAnsi="Times New Roman"/>
          <w:sz w:val="22"/>
          <w:szCs w:val="22"/>
        </w:rPr>
      </w:pPr>
    </w:p>
    <w:p w:rsidRPr="00F06896" w:rsidR="000755DE" w:rsidP="00CB58E2" w:rsidRDefault="000755DE" w14:paraId="506C7094" w14:textId="56A7D92C">
      <w:pPr>
        <w:rPr>
          <w:rFonts w:ascii="Times New Roman" w:hAnsi="Times New Roman"/>
          <w:sz w:val="22"/>
          <w:szCs w:val="22"/>
        </w:rPr>
      </w:pPr>
      <w:r w:rsidRPr="00F06896">
        <w:rPr>
          <w:rFonts w:ascii="Times New Roman" w:hAnsi="Times New Roman"/>
          <w:sz w:val="22"/>
          <w:szCs w:val="22"/>
        </w:rPr>
        <w:t>NHS England submitted a further document entitled “Infusion Cost Estimates”</w:t>
      </w:r>
      <w:r w:rsidRPr="00F06896" w:rsidR="00910139">
        <w:rPr>
          <w:rFonts w:ascii="Times New Roman" w:hAnsi="Times New Roman"/>
          <w:sz w:val="22"/>
          <w:szCs w:val="22"/>
        </w:rPr>
        <w:t xml:space="preserve"> and labelled “2025.05.06”</w:t>
      </w:r>
      <w:r w:rsidRPr="00F06896" w:rsidR="006140A1">
        <w:rPr>
          <w:rFonts w:ascii="Times New Roman" w:hAnsi="Times New Roman"/>
          <w:sz w:val="22"/>
          <w:szCs w:val="22"/>
        </w:rPr>
        <w:t>,</w:t>
      </w:r>
      <w:r w:rsidRPr="00F06896" w:rsidR="00910139">
        <w:rPr>
          <w:rFonts w:ascii="Times New Roman" w:hAnsi="Times New Roman"/>
          <w:sz w:val="22"/>
          <w:szCs w:val="22"/>
        </w:rPr>
        <w:t xml:space="preserve"> </w:t>
      </w:r>
      <w:r w:rsidRPr="00F06896">
        <w:rPr>
          <w:rFonts w:ascii="Times New Roman" w:hAnsi="Times New Roman"/>
          <w:sz w:val="22"/>
          <w:szCs w:val="22"/>
        </w:rPr>
        <w:t xml:space="preserve">which provided some further details of its methodology for estimating </w:t>
      </w:r>
      <w:r w:rsidRPr="00F06896" w:rsidR="000D4DD3">
        <w:rPr>
          <w:rFonts w:ascii="Times New Roman" w:hAnsi="Times New Roman"/>
          <w:sz w:val="22"/>
          <w:szCs w:val="22"/>
        </w:rPr>
        <w:t xml:space="preserve">the average price for an infusion of a monoclonal antibody in the treatment of Alzheimer’s </w:t>
      </w:r>
      <w:r w:rsidRPr="00F06896" w:rsidR="51E093A4">
        <w:rPr>
          <w:rFonts w:ascii="Times New Roman" w:hAnsi="Times New Roman"/>
          <w:sz w:val="22"/>
          <w:szCs w:val="22"/>
        </w:rPr>
        <w:t>D</w:t>
      </w:r>
      <w:r w:rsidRPr="00F06896" w:rsidR="000D4DD3">
        <w:rPr>
          <w:rFonts w:ascii="Times New Roman" w:hAnsi="Times New Roman"/>
          <w:sz w:val="22"/>
          <w:szCs w:val="22"/>
        </w:rPr>
        <w:t>isease.  This document indicated that NHS England had collected data for 2</w:t>
      </w:r>
      <w:r w:rsidRPr="00F06896" w:rsidR="00B7742D">
        <w:rPr>
          <w:rFonts w:ascii="Times New Roman" w:hAnsi="Times New Roman"/>
          <w:sz w:val="22"/>
          <w:szCs w:val="22"/>
        </w:rPr>
        <w:t>2</w:t>
      </w:r>
      <w:r w:rsidRPr="00F06896" w:rsidR="000D4DD3">
        <w:rPr>
          <w:rFonts w:ascii="Times New Roman" w:hAnsi="Times New Roman"/>
          <w:sz w:val="22"/>
          <w:szCs w:val="22"/>
        </w:rPr>
        <w:t>7 treatment episodes in 2021/2022. It had then adjusted the price “</w:t>
      </w:r>
      <w:r w:rsidRPr="00F06896" w:rsidR="000D4DD3">
        <w:rPr>
          <w:rFonts w:ascii="Times New Roman" w:hAnsi="Times New Roman"/>
          <w:i/>
          <w:iCs/>
          <w:sz w:val="22"/>
          <w:szCs w:val="22"/>
        </w:rPr>
        <w:t>to reflect advice from the pricing team that the resource for this type of infusion can be considered as similar to COVID MABs, and also in line with inflation, efficiencies, and an average Market Force Factor</w:t>
      </w:r>
      <w:r w:rsidRPr="00F06896" w:rsidR="000D4DD3">
        <w:rPr>
          <w:rFonts w:ascii="Times New Roman" w:hAnsi="Times New Roman"/>
          <w:sz w:val="22"/>
          <w:szCs w:val="22"/>
        </w:rPr>
        <w:t>” giving a price estimate of £462 and then applying a “COVID uplift factor”</w:t>
      </w:r>
      <w:r w:rsidRPr="00F06896" w:rsidR="009A1CC1">
        <w:rPr>
          <w:rFonts w:ascii="Times New Roman" w:hAnsi="Times New Roman"/>
          <w:sz w:val="22"/>
          <w:szCs w:val="22"/>
        </w:rPr>
        <w:t xml:space="preserve"> which is unsubstantiated</w:t>
      </w:r>
      <w:r w:rsidRPr="00F06896" w:rsidR="000D4DD3">
        <w:rPr>
          <w:rFonts w:ascii="Times New Roman" w:hAnsi="Times New Roman"/>
          <w:sz w:val="22"/>
          <w:szCs w:val="22"/>
        </w:rPr>
        <w:t xml:space="preserve">. </w:t>
      </w:r>
      <w:r w:rsidRPr="00F06896" w:rsidR="00AA4CB9">
        <w:rPr>
          <w:rFonts w:ascii="Times New Roman" w:hAnsi="Times New Roman"/>
          <w:sz w:val="22"/>
          <w:szCs w:val="22"/>
        </w:rPr>
        <w:t xml:space="preserve">This </w:t>
      </w:r>
      <w:r w:rsidRPr="00F06896" w:rsidR="00E872CC">
        <w:rPr>
          <w:rFonts w:ascii="Times New Roman" w:hAnsi="Times New Roman"/>
          <w:sz w:val="22"/>
          <w:szCs w:val="22"/>
        </w:rPr>
        <w:t xml:space="preserve">appears to be </w:t>
      </w:r>
      <w:r w:rsidRPr="00F06896" w:rsidR="00AA4CB9">
        <w:rPr>
          <w:rFonts w:ascii="Times New Roman" w:hAnsi="Times New Roman"/>
          <w:sz w:val="22"/>
          <w:szCs w:val="22"/>
        </w:rPr>
        <w:t>a new analysis</w:t>
      </w:r>
      <w:r w:rsidRPr="00F06896" w:rsidR="00B26F31">
        <w:rPr>
          <w:rFonts w:ascii="Times New Roman" w:hAnsi="Times New Roman"/>
          <w:sz w:val="22"/>
          <w:szCs w:val="22"/>
        </w:rPr>
        <w:t>, independent of the analysis</w:t>
      </w:r>
      <w:r w:rsidRPr="00F06896" w:rsidR="00586B1B">
        <w:rPr>
          <w:rFonts w:ascii="Times New Roman" w:hAnsi="Times New Roman"/>
          <w:sz w:val="22"/>
          <w:szCs w:val="22"/>
        </w:rPr>
        <w:t xml:space="preserve"> used to derive the £432</w:t>
      </w:r>
      <w:r w:rsidRPr="00F06896" w:rsidR="00A16D19">
        <w:rPr>
          <w:rFonts w:ascii="Times New Roman" w:hAnsi="Times New Roman"/>
          <w:sz w:val="22"/>
          <w:szCs w:val="22"/>
        </w:rPr>
        <w:t xml:space="preserve"> estimate </w:t>
      </w:r>
      <w:r w:rsidRPr="00F06896" w:rsidR="001E73A0">
        <w:rPr>
          <w:rFonts w:ascii="Times New Roman" w:hAnsi="Times New Roman"/>
          <w:sz w:val="22"/>
          <w:szCs w:val="22"/>
        </w:rPr>
        <w:t xml:space="preserve">supported by </w:t>
      </w:r>
      <w:r w:rsidRPr="00F06896" w:rsidR="005803F9">
        <w:rPr>
          <w:rFonts w:ascii="Times New Roman" w:hAnsi="Times New Roman"/>
          <w:sz w:val="22"/>
          <w:szCs w:val="22"/>
        </w:rPr>
        <w:t xml:space="preserve">previous </w:t>
      </w:r>
      <w:r w:rsidRPr="00F06896" w:rsidR="001E73A0">
        <w:rPr>
          <w:rFonts w:ascii="Times New Roman" w:hAnsi="Times New Roman"/>
          <w:sz w:val="22"/>
          <w:szCs w:val="22"/>
        </w:rPr>
        <w:t xml:space="preserve">bottom-up costing work undertaken by </w:t>
      </w:r>
      <w:r w:rsidRPr="00F06896" w:rsidR="008D2249">
        <w:rPr>
          <w:rFonts w:ascii="Times New Roman" w:hAnsi="Times New Roman"/>
          <w:sz w:val="22"/>
          <w:szCs w:val="22"/>
        </w:rPr>
        <w:t>CMDUs.</w:t>
      </w:r>
    </w:p>
    <w:p w:rsidR="002D1982" w:rsidP="002D1982" w:rsidRDefault="002D1982" w14:paraId="129DACEF" w14:textId="77777777">
      <w:pPr>
        <w:rPr>
          <w:rFonts w:ascii="Times New Roman" w:hAnsi="Times New Roman"/>
          <w:sz w:val="22"/>
          <w:szCs w:val="22"/>
          <w:u w:val="single"/>
        </w:rPr>
      </w:pPr>
    </w:p>
    <w:p w:rsidR="00404D82" w:rsidP="002D1982" w:rsidRDefault="00404D82" w14:paraId="38101A77" w14:textId="57D14700">
      <w:pPr>
        <w:rPr>
          <w:rFonts w:ascii="Times New Roman" w:hAnsi="Times New Roman"/>
          <w:sz w:val="22"/>
          <w:szCs w:val="22"/>
          <w:u w:val="single"/>
        </w:rPr>
      </w:pPr>
      <w:r w:rsidRPr="00F06896">
        <w:rPr>
          <w:rFonts w:ascii="Times New Roman" w:hAnsi="Times New Roman"/>
          <w:sz w:val="22"/>
          <w:szCs w:val="22"/>
          <w:u w:val="single"/>
        </w:rPr>
        <w:t>Final Draft Guidance</w:t>
      </w:r>
    </w:p>
    <w:p w:rsidRPr="00F06896" w:rsidR="00170587" w:rsidP="002D1982" w:rsidRDefault="00170587" w14:paraId="5D2BD40F" w14:textId="77777777">
      <w:pPr>
        <w:rPr>
          <w:rFonts w:ascii="Times New Roman" w:hAnsi="Times New Roman"/>
          <w:sz w:val="22"/>
          <w:szCs w:val="22"/>
          <w:u w:val="single"/>
        </w:rPr>
      </w:pPr>
    </w:p>
    <w:p w:rsidR="00404D82" w:rsidP="002D1982" w:rsidRDefault="00404D82" w14:paraId="5FBE8B2B" w14:textId="740D11DE">
      <w:pPr>
        <w:rPr>
          <w:rFonts w:ascii="Times New Roman" w:hAnsi="Times New Roman"/>
          <w:sz w:val="22"/>
          <w:szCs w:val="22"/>
        </w:rPr>
      </w:pPr>
      <w:r w:rsidRPr="00F06896">
        <w:rPr>
          <w:rFonts w:ascii="Times New Roman" w:hAnsi="Times New Roman"/>
          <w:sz w:val="22"/>
          <w:szCs w:val="22"/>
        </w:rPr>
        <w:t>Following ACM3, the FDG stated at paragraph</w:t>
      </w:r>
      <w:r w:rsidRPr="00F06896" w:rsidR="006140A1">
        <w:rPr>
          <w:rFonts w:ascii="Times New Roman" w:hAnsi="Times New Roman"/>
          <w:sz w:val="22"/>
          <w:szCs w:val="22"/>
        </w:rPr>
        <w:t xml:space="preserve"> 3.20</w:t>
      </w:r>
      <w:r w:rsidRPr="00F06896">
        <w:rPr>
          <w:rFonts w:ascii="Times New Roman" w:hAnsi="Times New Roman"/>
          <w:sz w:val="22"/>
          <w:szCs w:val="22"/>
        </w:rPr>
        <w:t>:</w:t>
      </w:r>
    </w:p>
    <w:p w:rsidRPr="00F06896" w:rsidR="00D10652" w:rsidP="002D1982" w:rsidRDefault="00D10652" w14:paraId="452BDD2C" w14:textId="77777777">
      <w:pPr>
        <w:rPr>
          <w:rFonts w:ascii="Times New Roman" w:hAnsi="Times New Roman"/>
          <w:sz w:val="22"/>
          <w:szCs w:val="22"/>
        </w:rPr>
      </w:pPr>
    </w:p>
    <w:p w:rsidRPr="00F06896" w:rsidR="006140A1" w:rsidP="002D1982" w:rsidRDefault="006140A1" w14:paraId="19C6310A" w14:textId="33746A83">
      <w:pPr>
        <w:ind w:left="720"/>
        <w:rPr>
          <w:rFonts w:ascii="Times New Roman" w:hAnsi="Times New Roman"/>
          <w:sz w:val="22"/>
          <w:szCs w:val="22"/>
        </w:rPr>
      </w:pPr>
      <w:r w:rsidRPr="00F06896">
        <w:rPr>
          <w:rFonts w:ascii="Times New Roman" w:hAnsi="Times New Roman"/>
          <w:sz w:val="22"/>
          <w:szCs w:val="22"/>
        </w:rPr>
        <w:t>“</w:t>
      </w:r>
      <w:r w:rsidRPr="00F06896">
        <w:rPr>
          <w:rFonts w:ascii="Times New Roman" w:hAnsi="Times New Roman"/>
          <w:i/>
          <w:iCs/>
          <w:sz w:val="22"/>
          <w:szCs w:val="22"/>
        </w:rPr>
        <w:t>For the third committee meeting, NHS England provided a breakdown of how it estimated the infusion costs</w:t>
      </w:r>
      <w:r w:rsidRPr="00F06896">
        <w:rPr>
          <w:rFonts w:ascii="Times New Roman" w:hAnsi="Times New Roman"/>
          <w:sz w:val="22"/>
          <w:szCs w:val="22"/>
        </w:rPr>
        <w:t>”.</w:t>
      </w:r>
    </w:p>
    <w:p w:rsidR="006140A1" w:rsidP="00170587" w:rsidRDefault="006140A1" w14:paraId="4E2BCDB4" w14:textId="05F59EFD">
      <w:pPr>
        <w:rPr>
          <w:rFonts w:ascii="Times New Roman" w:hAnsi="Times New Roman"/>
          <w:sz w:val="22"/>
          <w:szCs w:val="22"/>
        </w:rPr>
      </w:pPr>
      <w:r w:rsidRPr="00F06896">
        <w:rPr>
          <w:rFonts w:ascii="Times New Roman" w:hAnsi="Times New Roman"/>
          <w:sz w:val="22"/>
          <w:szCs w:val="22"/>
        </w:rPr>
        <w:t>And:</w:t>
      </w:r>
    </w:p>
    <w:p w:rsidRPr="00F06896" w:rsidR="00D10652" w:rsidP="00170587" w:rsidRDefault="00D10652" w14:paraId="67E12ABA" w14:textId="77777777">
      <w:pPr>
        <w:rPr>
          <w:rFonts w:ascii="Times New Roman" w:hAnsi="Times New Roman"/>
          <w:sz w:val="22"/>
          <w:szCs w:val="22"/>
        </w:rPr>
      </w:pPr>
    </w:p>
    <w:p w:rsidR="00404D82" w:rsidP="002D1982" w:rsidRDefault="00404D82" w14:paraId="145AE329" w14:textId="446708AD">
      <w:pPr>
        <w:ind w:left="720"/>
        <w:rPr>
          <w:rFonts w:ascii="Times New Roman" w:hAnsi="Times New Roman"/>
          <w:i/>
          <w:iCs/>
          <w:sz w:val="22"/>
          <w:szCs w:val="22"/>
        </w:rPr>
      </w:pPr>
      <w:r w:rsidRPr="00F06896">
        <w:rPr>
          <w:rFonts w:ascii="Times New Roman" w:hAnsi="Times New Roman"/>
          <w:i/>
          <w:iCs/>
          <w:sz w:val="22"/>
          <w:szCs w:val="22"/>
        </w:rPr>
        <w:t>“The committee carefully considered all of the evidence it had seen on infusion costs over the 3 committee meetings. It noted the large impact that the estimates had on the ICER, including whether the</w:t>
      </w:r>
      <w:r w:rsidRPr="00F06896" w:rsidR="416D0BBE">
        <w:rPr>
          <w:rFonts w:ascii="Times New Roman" w:hAnsi="Times New Roman"/>
          <w:i/>
          <w:iCs/>
          <w:sz w:val="22"/>
          <w:szCs w:val="22"/>
        </w:rPr>
        <w:t xml:space="preserve"> </w:t>
      </w:r>
      <w:r w:rsidRPr="00F06896">
        <w:rPr>
          <w:rFonts w:ascii="Times New Roman" w:hAnsi="Times New Roman"/>
          <w:i/>
          <w:iCs/>
          <w:sz w:val="22"/>
          <w:szCs w:val="22"/>
        </w:rPr>
        <w:t>ICER would be considered cost effective or not. The committee concluded that its preferred infusion cost must reflect the costs incurred in real-world practice as much as possible. So, it preferred the £432 cost estimated by NHS England because this was most likely to reflect what would be charged in NHS practice”.</w:t>
      </w:r>
    </w:p>
    <w:p w:rsidRPr="00F06896" w:rsidR="002D1982" w:rsidP="002D1982" w:rsidRDefault="002D1982" w14:paraId="0B6B60E1" w14:textId="77777777">
      <w:pPr>
        <w:rPr>
          <w:rFonts w:ascii="Times New Roman" w:hAnsi="Times New Roman"/>
          <w:i/>
          <w:iCs/>
          <w:sz w:val="22"/>
          <w:szCs w:val="22"/>
        </w:rPr>
      </w:pPr>
    </w:p>
    <w:p w:rsidR="00273C48" w:rsidP="002D1982" w:rsidRDefault="00046C0D" w14:paraId="2D146CC0" w14:textId="00435E48">
      <w:pPr>
        <w:rPr>
          <w:rFonts w:ascii="Times New Roman" w:hAnsi="Times New Roman"/>
          <w:sz w:val="22"/>
          <w:szCs w:val="22"/>
        </w:rPr>
      </w:pPr>
      <w:r w:rsidRPr="00F06896" w:rsidDel="00404D82">
        <w:rPr>
          <w:rFonts w:ascii="Times New Roman" w:hAnsi="Times New Roman"/>
          <w:sz w:val="22"/>
          <w:szCs w:val="22"/>
        </w:rPr>
        <w:t xml:space="preserve">This </w:t>
      </w:r>
      <w:r w:rsidRPr="00F06896" w:rsidDel="00404D82" w:rsidR="0094243B">
        <w:rPr>
          <w:rFonts w:ascii="Times New Roman" w:hAnsi="Times New Roman"/>
          <w:sz w:val="22"/>
          <w:szCs w:val="22"/>
        </w:rPr>
        <w:t>wa</w:t>
      </w:r>
      <w:r w:rsidRPr="00F06896" w:rsidDel="00404D82">
        <w:rPr>
          <w:rFonts w:ascii="Times New Roman" w:hAnsi="Times New Roman"/>
          <w:sz w:val="22"/>
          <w:szCs w:val="22"/>
        </w:rPr>
        <w:t xml:space="preserve">s the figure accepted by the Committee </w:t>
      </w:r>
      <w:r w:rsidRPr="00F06896" w:rsidDel="00404D82" w:rsidR="00826EBC">
        <w:rPr>
          <w:rFonts w:ascii="Times New Roman" w:hAnsi="Times New Roman"/>
          <w:sz w:val="22"/>
          <w:szCs w:val="22"/>
        </w:rPr>
        <w:t xml:space="preserve">for the purposes of the assessment of </w:t>
      </w:r>
      <w:r w:rsidRPr="00F06896" w:rsidDel="00404D82" w:rsidR="00B814B3">
        <w:rPr>
          <w:rFonts w:ascii="Times New Roman" w:hAnsi="Times New Roman"/>
          <w:sz w:val="22"/>
          <w:szCs w:val="22"/>
        </w:rPr>
        <w:t xml:space="preserve">cost effectiveness </w:t>
      </w:r>
      <w:r w:rsidRPr="00F06896" w:rsidDel="00404D82" w:rsidR="008E6491">
        <w:rPr>
          <w:rFonts w:ascii="Times New Roman" w:hAnsi="Times New Roman"/>
          <w:sz w:val="22"/>
          <w:szCs w:val="22"/>
        </w:rPr>
        <w:t xml:space="preserve">of lecanemab </w:t>
      </w:r>
      <w:r w:rsidRPr="00F06896" w:rsidDel="00404D82" w:rsidR="00B814B3">
        <w:rPr>
          <w:rFonts w:ascii="Times New Roman" w:hAnsi="Times New Roman"/>
          <w:sz w:val="22"/>
          <w:szCs w:val="22"/>
        </w:rPr>
        <w:t xml:space="preserve">in the </w:t>
      </w:r>
      <w:r w:rsidRPr="00F06896" w:rsidDel="00404D82" w:rsidR="00E86EAE">
        <w:rPr>
          <w:rFonts w:ascii="Times New Roman" w:hAnsi="Times New Roman"/>
          <w:sz w:val="22"/>
          <w:szCs w:val="22"/>
        </w:rPr>
        <w:t>Final Draft Guidance (</w:t>
      </w:r>
      <w:r w:rsidRPr="00F06896" w:rsidDel="00404D82" w:rsidR="00B814B3">
        <w:rPr>
          <w:rFonts w:ascii="Times New Roman" w:hAnsi="Times New Roman"/>
          <w:sz w:val="22"/>
          <w:szCs w:val="22"/>
        </w:rPr>
        <w:t>FDG</w:t>
      </w:r>
      <w:r w:rsidRPr="00F06896" w:rsidR="00E86EAE">
        <w:rPr>
          <w:rFonts w:ascii="Times New Roman" w:hAnsi="Times New Roman"/>
          <w:sz w:val="22"/>
          <w:szCs w:val="22"/>
        </w:rPr>
        <w:t>)</w:t>
      </w:r>
      <w:r w:rsidRPr="00F06896" w:rsidR="5691611D">
        <w:rPr>
          <w:rFonts w:ascii="Times New Roman" w:hAnsi="Times New Roman"/>
          <w:sz w:val="22"/>
          <w:szCs w:val="22"/>
        </w:rPr>
        <w:t>.</w:t>
      </w:r>
    </w:p>
    <w:p w:rsidRPr="00F06896" w:rsidR="002D1982" w:rsidP="002D1982" w:rsidRDefault="002D1982" w14:paraId="3A953F14" w14:textId="77777777">
      <w:pPr>
        <w:rPr>
          <w:rFonts w:ascii="Times New Roman" w:hAnsi="Times New Roman"/>
          <w:sz w:val="22"/>
          <w:szCs w:val="22"/>
        </w:rPr>
      </w:pPr>
    </w:p>
    <w:p w:rsidR="00404D82" w:rsidP="002D1982" w:rsidRDefault="00404D82" w14:paraId="3AAA0A92" w14:textId="17634B82">
      <w:pPr>
        <w:rPr>
          <w:rFonts w:ascii="Times New Roman" w:hAnsi="Times New Roman"/>
          <w:sz w:val="22"/>
          <w:szCs w:val="22"/>
          <w:u w:val="single"/>
        </w:rPr>
      </w:pPr>
      <w:r w:rsidRPr="00F06896">
        <w:rPr>
          <w:rFonts w:ascii="Times New Roman" w:hAnsi="Times New Roman"/>
          <w:sz w:val="22"/>
          <w:szCs w:val="22"/>
          <w:u w:val="single"/>
        </w:rPr>
        <w:t>Eisai’s Appeal</w:t>
      </w:r>
    </w:p>
    <w:p w:rsidRPr="00F06896" w:rsidR="00170587" w:rsidP="002D1982" w:rsidRDefault="00170587" w14:paraId="610E59D0" w14:textId="77777777">
      <w:pPr>
        <w:rPr>
          <w:rFonts w:ascii="Times New Roman" w:hAnsi="Times New Roman"/>
          <w:sz w:val="22"/>
          <w:szCs w:val="22"/>
          <w:u w:val="single"/>
        </w:rPr>
      </w:pPr>
    </w:p>
    <w:p w:rsidR="00C245F5" w:rsidP="002D1982" w:rsidRDefault="00DB7120" w14:paraId="241647A2" w14:textId="73E8BE91">
      <w:pPr>
        <w:rPr>
          <w:rFonts w:ascii="Times New Roman" w:hAnsi="Times New Roman"/>
          <w:sz w:val="22"/>
          <w:szCs w:val="22"/>
        </w:rPr>
      </w:pPr>
      <w:r w:rsidRPr="00F06896">
        <w:rPr>
          <w:rFonts w:ascii="Times New Roman" w:hAnsi="Times New Roman"/>
          <w:sz w:val="22"/>
          <w:szCs w:val="22"/>
        </w:rPr>
        <w:t xml:space="preserve">The figures proposed by NHS England </w:t>
      </w:r>
      <w:r w:rsidRPr="00F06896" w:rsidR="00712E01">
        <w:rPr>
          <w:rFonts w:ascii="Times New Roman" w:hAnsi="Times New Roman"/>
          <w:sz w:val="22"/>
          <w:szCs w:val="22"/>
        </w:rPr>
        <w:t xml:space="preserve">and accepted by the Committee for the purposes of guidance, </w:t>
      </w:r>
      <w:r w:rsidRPr="00F06896" w:rsidR="00FD5366">
        <w:rPr>
          <w:rFonts w:ascii="Times New Roman" w:hAnsi="Times New Roman"/>
          <w:sz w:val="22"/>
          <w:szCs w:val="22"/>
        </w:rPr>
        <w:t>lack transparency</w:t>
      </w:r>
      <w:r w:rsidRPr="00F06896" w:rsidR="00C178C1">
        <w:rPr>
          <w:rFonts w:ascii="Times New Roman" w:hAnsi="Times New Roman"/>
          <w:sz w:val="22"/>
          <w:szCs w:val="22"/>
        </w:rPr>
        <w:t xml:space="preserve">.  </w:t>
      </w:r>
      <w:r w:rsidRPr="00F06896" w:rsidR="00D32A19">
        <w:rPr>
          <w:rFonts w:ascii="Times New Roman" w:hAnsi="Times New Roman"/>
          <w:sz w:val="22"/>
          <w:szCs w:val="22"/>
        </w:rPr>
        <w:t xml:space="preserve">In circumstances where </w:t>
      </w:r>
      <w:r w:rsidRPr="00F06896" w:rsidR="00D33DAD">
        <w:rPr>
          <w:rFonts w:ascii="Times New Roman" w:hAnsi="Times New Roman"/>
          <w:sz w:val="22"/>
          <w:szCs w:val="22"/>
        </w:rPr>
        <w:t xml:space="preserve">NHS England’s </w:t>
      </w:r>
      <w:r w:rsidRPr="00F06896" w:rsidR="0008557C">
        <w:rPr>
          <w:rFonts w:ascii="Times New Roman" w:hAnsi="Times New Roman"/>
          <w:sz w:val="22"/>
          <w:szCs w:val="22"/>
        </w:rPr>
        <w:t xml:space="preserve">estimated </w:t>
      </w:r>
      <w:r w:rsidRPr="00F06896" w:rsidR="00D33DAD">
        <w:rPr>
          <w:rFonts w:ascii="Times New Roman" w:hAnsi="Times New Roman"/>
          <w:sz w:val="22"/>
          <w:szCs w:val="22"/>
        </w:rPr>
        <w:t xml:space="preserve">costs are substantially different </w:t>
      </w:r>
      <w:r w:rsidRPr="00F06896" w:rsidR="00D4749C">
        <w:rPr>
          <w:rFonts w:ascii="Times New Roman" w:hAnsi="Times New Roman"/>
          <w:sz w:val="22"/>
          <w:szCs w:val="22"/>
        </w:rPr>
        <w:t xml:space="preserve">from </w:t>
      </w:r>
      <w:r w:rsidRPr="00F06896" w:rsidR="00D33DAD">
        <w:rPr>
          <w:rFonts w:ascii="Times New Roman" w:hAnsi="Times New Roman"/>
          <w:sz w:val="22"/>
          <w:szCs w:val="22"/>
        </w:rPr>
        <w:t xml:space="preserve">those </w:t>
      </w:r>
      <w:r w:rsidRPr="00F06896" w:rsidR="000755DE">
        <w:rPr>
          <w:rFonts w:ascii="Times New Roman" w:hAnsi="Times New Roman"/>
          <w:sz w:val="22"/>
          <w:szCs w:val="22"/>
        </w:rPr>
        <w:t xml:space="preserve">that </w:t>
      </w:r>
      <w:r w:rsidRPr="00F06896" w:rsidR="008141C2">
        <w:rPr>
          <w:rFonts w:ascii="Times New Roman" w:hAnsi="Times New Roman"/>
          <w:sz w:val="22"/>
          <w:szCs w:val="22"/>
        </w:rPr>
        <w:t xml:space="preserve">Eisai considers are appropriate, </w:t>
      </w:r>
      <w:r w:rsidRPr="00F06896" w:rsidR="00C178C1">
        <w:rPr>
          <w:rFonts w:ascii="Times New Roman" w:hAnsi="Times New Roman"/>
          <w:sz w:val="22"/>
          <w:szCs w:val="22"/>
        </w:rPr>
        <w:t xml:space="preserve">Eisai </w:t>
      </w:r>
      <w:r w:rsidRPr="00F06896" w:rsidR="00404D82">
        <w:rPr>
          <w:rFonts w:ascii="Times New Roman" w:hAnsi="Times New Roman"/>
          <w:sz w:val="22"/>
          <w:szCs w:val="22"/>
        </w:rPr>
        <w:t xml:space="preserve">has requested </w:t>
      </w:r>
      <w:r w:rsidRPr="00F06896" w:rsidR="00C178C1">
        <w:rPr>
          <w:rFonts w:ascii="Times New Roman" w:hAnsi="Times New Roman"/>
          <w:sz w:val="22"/>
          <w:szCs w:val="22"/>
        </w:rPr>
        <w:t xml:space="preserve">clarification of the costs </w:t>
      </w:r>
      <w:r w:rsidRPr="00F06896" w:rsidR="00A01F21">
        <w:rPr>
          <w:rFonts w:ascii="Times New Roman" w:hAnsi="Times New Roman"/>
          <w:sz w:val="22"/>
          <w:szCs w:val="22"/>
        </w:rPr>
        <w:t>estimated</w:t>
      </w:r>
      <w:r w:rsidRPr="00F06896" w:rsidR="00C178C1">
        <w:rPr>
          <w:rFonts w:ascii="Times New Roman" w:hAnsi="Times New Roman"/>
          <w:sz w:val="22"/>
          <w:szCs w:val="22"/>
        </w:rPr>
        <w:t xml:space="preserve"> by NHS England</w:t>
      </w:r>
      <w:r w:rsidRPr="00F06896" w:rsidR="00581E3D">
        <w:rPr>
          <w:rFonts w:ascii="Times New Roman" w:hAnsi="Times New Roman"/>
          <w:sz w:val="22"/>
          <w:szCs w:val="22"/>
        </w:rPr>
        <w:t>, on multiple occasions</w:t>
      </w:r>
      <w:r w:rsidRPr="00F06896" w:rsidR="00C178C1">
        <w:rPr>
          <w:rFonts w:ascii="Times New Roman" w:hAnsi="Times New Roman"/>
          <w:sz w:val="22"/>
          <w:szCs w:val="22"/>
        </w:rPr>
        <w:t xml:space="preserve"> since these were </w:t>
      </w:r>
      <w:r w:rsidRPr="00F06896" w:rsidR="000755DE">
        <w:rPr>
          <w:rFonts w:ascii="Times New Roman" w:hAnsi="Times New Roman"/>
          <w:sz w:val="22"/>
          <w:szCs w:val="22"/>
        </w:rPr>
        <w:t xml:space="preserve">proposed </w:t>
      </w:r>
      <w:r w:rsidRPr="00F06896" w:rsidR="00581E3D">
        <w:rPr>
          <w:rFonts w:ascii="Times New Roman" w:hAnsi="Times New Roman"/>
          <w:sz w:val="22"/>
          <w:szCs w:val="22"/>
        </w:rPr>
        <w:t xml:space="preserve">for the purposes of </w:t>
      </w:r>
      <w:r w:rsidRPr="00F06896" w:rsidR="00C178C1">
        <w:rPr>
          <w:rFonts w:ascii="Times New Roman" w:hAnsi="Times New Roman"/>
          <w:sz w:val="22"/>
          <w:szCs w:val="22"/>
        </w:rPr>
        <w:t>the initial Draft Guidance</w:t>
      </w:r>
      <w:r w:rsidRPr="00F06896" w:rsidR="00581E3D">
        <w:rPr>
          <w:rFonts w:ascii="Times New Roman" w:hAnsi="Times New Roman"/>
          <w:sz w:val="22"/>
          <w:szCs w:val="22"/>
        </w:rPr>
        <w:t xml:space="preserve"> issued</w:t>
      </w:r>
      <w:r w:rsidRPr="00F06896" w:rsidR="00C178C1">
        <w:rPr>
          <w:rFonts w:ascii="Times New Roman" w:hAnsi="Times New Roman"/>
          <w:sz w:val="22"/>
          <w:szCs w:val="22"/>
        </w:rPr>
        <w:t xml:space="preserve"> in September 2024</w:t>
      </w:r>
      <w:r w:rsidRPr="00F06896" w:rsidR="00886E12">
        <w:rPr>
          <w:rFonts w:ascii="Times New Roman" w:hAnsi="Times New Roman"/>
          <w:sz w:val="22"/>
          <w:szCs w:val="22"/>
        </w:rPr>
        <w:t xml:space="preserve">.  The clarification requested by Eisai </w:t>
      </w:r>
      <w:r w:rsidRPr="00F06896" w:rsidR="00C245F5">
        <w:rPr>
          <w:rFonts w:ascii="Times New Roman" w:hAnsi="Times New Roman"/>
          <w:sz w:val="22"/>
          <w:szCs w:val="22"/>
        </w:rPr>
        <w:t>includ</w:t>
      </w:r>
      <w:r w:rsidRPr="00F06896" w:rsidR="008860B1">
        <w:rPr>
          <w:rFonts w:ascii="Times New Roman" w:hAnsi="Times New Roman"/>
          <w:sz w:val="22"/>
          <w:szCs w:val="22"/>
        </w:rPr>
        <w:t>ed</w:t>
      </w:r>
      <w:r w:rsidRPr="00F06896" w:rsidR="00C245F5">
        <w:rPr>
          <w:rFonts w:ascii="Times New Roman" w:hAnsi="Times New Roman"/>
          <w:sz w:val="22"/>
          <w:szCs w:val="22"/>
        </w:rPr>
        <w:t>:</w:t>
      </w:r>
    </w:p>
    <w:p w:rsidRPr="00F06896" w:rsidR="00170587" w:rsidP="002D1982" w:rsidRDefault="00170587" w14:paraId="39CA854F" w14:textId="77777777">
      <w:pPr>
        <w:rPr>
          <w:rFonts w:ascii="Times New Roman" w:hAnsi="Times New Roman"/>
          <w:sz w:val="22"/>
          <w:szCs w:val="22"/>
        </w:rPr>
      </w:pPr>
    </w:p>
    <w:p w:rsidRPr="00F06896" w:rsidR="004016C8" w:rsidP="002D1982" w:rsidRDefault="00891A50" w14:paraId="5935DB3D" w14:textId="67BDF26D">
      <w:pPr>
        <w:pStyle w:val="ListParagraph"/>
        <w:numPr>
          <w:ilvl w:val="0"/>
          <w:numId w:val="3"/>
        </w:numPr>
        <w:ind w:left="720"/>
        <w:rPr>
          <w:rFonts w:ascii="Times New Roman" w:hAnsi="Times New Roman"/>
          <w:sz w:val="22"/>
          <w:szCs w:val="22"/>
        </w:rPr>
      </w:pPr>
      <w:r w:rsidRPr="00F06896">
        <w:rPr>
          <w:rFonts w:ascii="Times New Roman" w:hAnsi="Times New Roman"/>
          <w:sz w:val="22"/>
          <w:szCs w:val="22"/>
        </w:rPr>
        <w:t xml:space="preserve">The basis for NHS England concluding that </w:t>
      </w:r>
      <w:r w:rsidRPr="00F06896" w:rsidR="001F6D82">
        <w:rPr>
          <w:rFonts w:ascii="Times New Roman" w:hAnsi="Times New Roman"/>
          <w:sz w:val="22"/>
          <w:szCs w:val="22"/>
        </w:rPr>
        <w:t>the administration of monoclonal antibodies to seriously ill patients with COVID-</w:t>
      </w:r>
      <w:r w:rsidRPr="00F06896" w:rsidR="00157E66">
        <w:rPr>
          <w:rFonts w:ascii="Times New Roman" w:hAnsi="Times New Roman"/>
          <w:sz w:val="22"/>
          <w:szCs w:val="22"/>
        </w:rPr>
        <w:t>19 was comparable to infusion costs for patients with early AD</w:t>
      </w:r>
      <w:r w:rsidRPr="00F06896" w:rsidR="00ED1242">
        <w:rPr>
          <w:rFonts w:ascii="Times New Roman" w:hAnsi="Times New Roman"/>
          <w:sz w:val="22"/>
          <w:szCs w:val="22"/>
        </w:rPr>
        <w:t xml:space="preserve"> and any evidence relied upon</w:t>
      </w:r>
      <w:r w:rsidRPr="00F06896" w:rsidR="004016C8">
        <w:rPr>
          <w:rFonts w:ascii="Times New Roman" w:hAnsi="Times New Roman"/>
          <w:sz w:val="22"/>
          <w:szCs w:val="22"/>
        </w:rPr>
        <w:t>;</w:t>
      </w:r>
    </w:p>
    <w:p w:rsidRPr="00F06896" w:rsidR="007E0788" w:rsidP="002D1982" w:rsidRDefault="007E0788" w14:paraId="0B365BAD" w14:textId="53B8137D">
      <w:pPr>
        <w:pStyle w:val="ListParagraph"/>
        <w:numPr>
          <w:ilvl w:val="0"/>
          <w:numId w:val="3"/>
        </w:numPr>
        <w:ind w:left="720"/>
        <w:rPr>
          <w:rFonts w:ascii="Times New Roman" w:hAnsi="Times New Roman"/>
          <w:sz w:val="22"/>
          <w:szCs w:val="22"/>
        </w:rPr>
      </w:pPr>
      <w:r w:rsidRPr="00F06896">
        <w:rPr>
          <w:rFonts w:ascii="Times New Roman" w:hAnsi="Times New Roman"/>
          <w:sz w:val="22"/>
          <w:szCs w:val="22"/>
        </w:rPr>
        <w:t xml:space="preserve">An </w:t>
      </w:r>
      <w:proofErr w:type="spellStart"/>
      <w:r w:rsidRPr="00F06896">
        <w:rPr>
          <w:rFonts w:ascii="Times New Roman" w:hAnsi="Times New Roman"/>
          <w:sz w:val="22"/>
          <w:szCs w:val="22"/>
        </w:rPr>
        <w:t>itemised</w:t>
      </w:r>
      <w:proofErr w:type="spellEnd"/>
      <w:r w:rsidRPr="00F06896">
        <w:rPr>
          <w:rFonts w:ascii="Times New Roman" w:hAnsi="Times New Roman"/>
          <w:sz w:val="22"/>
          <w:szCs w:val="22"/>
        </w:rPr>
        <w:t xml:space="preserve"> breakdown of the figures</w:t>
      </w:r>
      <w:r w:rsidRPr="00F06896" w:rsidR="0082599C">
        <w:rPr>
          <w:rFonts w:ascii="Times New Roman" w:hAnsi="Times New Roman"/>
          <w:sz w:val="22"/>
          <w:szCs w:val="22"/>
        </w:rPr>
        <w:t xml:space="preserve"> proposed by NHS England</w:t>
      </w:r>
      <w:r w:rsidRPr="00F06896" w:rsidR="0087767B">
        <w:rPr>
          <w:rFonts w:ascii="Times New Roman" w:hAnsi="Times New Roman"/>
          <w:sz w:val="22"/>
          <w:szCs w:val="22"/>
        </w:rPr>
        <w:t>;</w:t>
      </w:r>
    </w:p>
    <w:p w:rsidRPr="00F06896" w:rsidR="00073FE5" w:rsidP="002D1982" w:rsidRDefault="008011A8" w14:paraId="53F4D9C8" w14:textId="247DF8E7">
      <w:pPr>
        <w:pStyle w:val="ListParagraph"/>
        <w:numPr>
          <w:ilvl w:val="0"/>
          <w:numId w:val="3"/>
        </w:numPr>
        <w:ind w:left="720"/>
        <w:rPr>
          <w:rFonts w:ascii="Times New Roman" w:hAnsi="Times New Roman"/>
          <w:sz w:val="22"/>
          <w:szCs w:val="22"/>
        </w:rPr>
      </w:pPr>
      <w:r w:rsidRPr="00F06896">
        <w:rPr>
          <w:rFonts w:ascii="Times New Roman" w:hAnsi="Times New Roman"/>
          <w:sz w:val="22"/>
          <w:szCs w:val="22"/>
        </w:rPr>
        <w:t xml:space="preserve">Details of the assumptions which formed the basis for </w:t>
      </w:r>
      <w:r w:rsidRPr="00F06896" w:rsidR="004016C8">
        <w:rPr>
          <w:rFonts w:ascii="Times New Roman" w:hAnsi="Times New Roman"/>
          <w:sz w:val="22"/>
          <w:szCs w:val="22"/>
        </w:rPr>
        <w:t xml:space="preserve">NHS England’s </w:t>
      </w:r>
      <w:r w:rsidRPr="00F06896" w:rsidR="00073FE5">
        <w:rPr>
          <w:rFonts w:ascii="Times New Roman" w:hAnsi="Times New Roman"/>
          <w:sz w:val="22"/>
          <w:szCs w:val="22"/>
        </w:rPr>
        <w:t>costs</w:t>
      </w:r>
      <w:r w:rsidRPr="00F06896" w:rsidR="00166BFF">
        <w:rPr>
          <w:rFonts w:ascii="Times New Roman" w:hAnsi="Times New Roman"/>
          <w:sz w:val="22"/>
          <w:szCs w:val="22"/>
        </w:rPr>
        <w:t xml:space="preserve"> estimate</w:t>
      </w:r>
      <w:r w:rsidRPr="00F06896" w:rsidR="00073FE5">
        <w:rPr>
          <w:rFonts w:ascii="Times New Roman" w:hAnsi="Times New Roman"/>
          <w:sz w:val="22"/>
          <w:szCs w:val="22"/>
        </w:rPr>
        <w:t xml:space="preserve">, including whether </w:t>
      </w:r>
      <w:r w:rsidRPr="00F06896" w:rsidR="00166BFF">
        <w:rPr>
          <w:rFonts w:ascii="Times New Roman" w:hAnsi="Times New Roman"/>
          <w:sz w:val="22"/>
          <w:szCs w:val="22"/>
        </w:rPr>
        <w:t xml:space="preserve">these assumptions </w:t>
      </w:r>
      <w:r w:rsidRPr="00F06896" w:rsidR="00073FE5">
        <w:rPr>
          <w:rFonts w:ascii="Times New Roman" w:hAnsi="Times New Roman"/>
          <w:sz w:val="22"/>
          <w:szCs w:val="22"/>
        </w:rPr>
        <w:t>are relevant to early AD</w:t>
      </w:r>
      <w:r w:rsidRPr="00F06896" w:rsidR="00C178C1">
        <w:rPr>
          <w:rFonts w:ascii="Times New Roman" w:hAnsi="Times New Roman"/>
          <w:sz w:val="22"/>
          <w:szCs w:val="22"/>
        </w:rPr>
        <w:t xml:space="preserve">.  </w:t>
      </w:r>
    </w:p>
    <w:p w:rsidR="002D1982" w:rsidP="002D1982" w:rsidRDefault="002D1982" w14:paraId="4C091F34" w14:textId="77777777">
      <w:pPr>
        <w:rPr>
          <w:rFonts w:ascii="Times New Roman" w:hAnsi="Times New Roman"/>
          <w:sz w:val="22"/>
          <w:szCs w:val="22"/>
        </w:rPr>
      </w:pPr>
    </w:p>
    <w:p w:rsidR="00C178C1" w:rsidP="002D1982" w:rsidRDefault="00C178C1" w14:paraId="68690C8F" w14:textId="4E19BA33">
      <w:pPr>
        <w:rPr>
          <w:rFonts w:ascii="Times New Roman" w:hAnsi="Times New Roman"/>
          <w:sz w:val="22"/>
          <w:szCs w:val="22"/>
        </w:rPr>
      </w:pPr>
      <w:r w:rsidRPr="00F06896">
        <w:rPr>
          <w:rFonts w:ascii="Times New Roman" w:hAnsi="Times New Roman"/>
          <w:sz w:val="22"/>
          <w:szCs w:val="22"/>
        </w:rPr>
        <w:t>However</w:t>
      </w:r>
      <w:r w:rsidRPr="00F06896" w:rsidR="007854E7">
        <w:rPr>
          <w:rFonts w:ascii="Times New Roman" w:hAnsi="Times New Roman"/>
          <w:sz w:val="22"/>
          <w:szCs w:val="22"/>
        </w:rPr>
        <w:t>,</w:t>
      </w:r>
      <w:r w:rsidRPr="00F06896">
        <w:rPr>
          <w:rFonts w:ascii="Times New Roman" w:hAnsi="Times New Roman"/>
          <w:sz w:val="22"/>
          <w:szCs w:val="22"/>
        </w:rPr>
        <w:t xml:space="preserve"> despite repeated requests, </w:t>
      </w:r>
      <w:r w:rsidRPr="00F06896" w:rsidR="00712E01">
        <w:rPr>
          <w:rFonts w:ascii="Times New Roman" w:hAnsi="Times New Roman"/>
          <w:sz w:val="22"/>
          <w:szCs w:val="22"/>
        </w:rPr>
        <w:t xml:space="preserve">(including under the Freedom of Information Act 2000) </w:t>
      </w:r>
      <w:r w:rsidRPr="00F06896" w:rsidR="00BE6BC9">
        <w:rPr>
          <w:rFonts w:ascii="Times New Roman" w:hAnsi="Times New Roman"/>
          <w:sz w:val="22"/>
          <w:szCs w:val="22"/>
        </w:rPr>
        <w:t xml:space="preserve">the requested clarification </w:t>
      </w:r>
      <w:r w:rsidRPr="00F06896" w:rsidR="00712E01">
        <w:rPr>
          <w:rFonts w:ascii="Times New Roman" w:hAnsi="Times New Roman"/>
          <w:sz w:val="22"/>
          <w:szCs w:val="22"/>
        </w:rPr>
        <w:t>h</w:t>
      </w:r>
      <w:r w:rsidRPr="00F06896" w:rsidR="00BE6BC9">
        <w:rPr>
          <w:rFonts w:ascii="Times New Roman" w:hAnsi="Times New Roman"/>
          <w:sz w:val="22"/>
          <w:szCs w:val="22"/>
        </w:rPr>
        <w:t xml:space="preserve">as </w:t>
      </w:r>
      <w:r w:rsidRPr="00F06896">
        <w:rPr>
          <w:rFonts w:ascii="Times New Roman" w:hAnsi="Times New Roman"/>
          <w:sz w:val="22"/>
          <w:szCs w:val="22"/>
        </w:rPr>
        <w:t xml:space="preserve">not </w:t>
      </w:r>
      <w:r w:rsidRPr="00F06896" w:rsidR="00712E01">
        <w:rPr>
          <w:rFonts w:ascii="Times New Roman" w:hAnsi="Times New Roman"/>
          <w:sz w:val="22"/>
          <w:szCs w:val="22"/>
        </w:rPr>
        <w:t xml:space="preserve">been </w:t>
      </w:r>
      <w:r w:rsidRPr="00F06896">
        <w:rPr>
          <w:rFonts w:ascii="Times New Roman" w:hAnsi="Times New Roman"/>
          <w:sz w:val="22"/>
          <w:szCs w:val="22"/>
        </w:rPr>
        <w:t>made available.</w:t>
      </w:r>
    </w:p>
    <w:p w:rsidRPr="00F06896" w:rsidR="00605D45" w:rsidP="002D1982" w:rsidRDefault="00605D45" w14:paraId="31445844" w14:textId="77777777">
      <w:pPr>
        <w:rPr>
          <w:rFonts w:ascii="Times New Roman" w:hAnsi="Times New Roman"/>
          <w:sz w:val="22"/>
          <w:szCs w:val="22"/>
        </w:rPr>
      </w:pPr>
    </w:p>
    <w:p w:rsidR="005A0C2D" w:rsidP="00605D45" w:rsidRDefault="00712E01" w14:paraId="62271FC1" w14:textId="15789934">
      <w:pPr>
        <w:rPr>
          <w:rFonts w:ascii="Times New Roman" w:hAnsi="Times New Roman"/>
          <w:sz w:val="22"/>
          <w:szCs w:val="22"/>
        </w:rPr>
      </w:pPr>
      <w:r w:rsidRPr="00F06896">
        <w:rPr>
          <w:rFonts w:ascii="Times New Roman" w:hAnsi="Times New Roman"/>
          <w:sz w:val="22"/>
          <w:szCs w:val="22"/>
        </w:rPr>
        <w:t xml:space="preserve">Most recently, </w:t>
      </w:r>
      <w:r w:rsidRPr="00F06896" w:rsidR="00166BFF">
        <w:rPr>
          <w:rFonts w:ascii="Times New Roman" w:hAnsi="Times New Roman"/>
          <w:sz w:val="22"/>
          <w:szCs w:val="22"/>
        </w:rPr>
        <w:t>o</w:t>
      </w:r>
      <w:r w:rsidRPr="00F06896" w:rsidR="005A0C2D">
        <w:rPr>
          <w:rFonts w:ascii="Times New Roman" w:hAnsi="Times New Roman"/>
          <w:sz w:val="22"/>
          <w:szCs w:val="22"/>
        </w:rPr>
        <w:t xml:space="preserve">n 8 May 2025, </w:t>
      </w:r>
      <w:r w:rsidRPr="00F06896" w:rsidR="00867B56">
        <w:rPr>
          <w:rFonts w:ascii="Times New Roman" w:hAnsi="Times New Roman"/>
          <w:sz w:val="22"/>
          <w:szCs w:val="22"/>
        </w:rPr>
        <w:t xml:space="preserve">four working days prior to </w:t>
      </w:r>
      <w:r w:rsidRPr="00F06896" w:rsidR="00764085">
        <w:rPr>
          <w:rFonts w:ascii="Times New Roman" w:hAnsi="Times New Roman"/>
          <w:sz w:val="22"/>
          <w:szCs w:val="22"/>
        </w:rPr>
        <w:t xml:space="preserve">ACM3, </w:t>
      </w:r>
      <w:r w:rsidRPr="00F06896" w:rsidR="005A0C2D">
        <w:rPr>
          <w:rFonts w:ascii="Times New Roman" w:hAnsi="Times New Roman"/>
          <w:sz w:val="22"/>
          <w:szCs w:val="22"/>
        </w:rPr>
        <w:t xml:space="preserve">Eisai </w:t>
      </w:r>
      <w:r w:rsidRPr="00F06896" w:rsidR="00166BFF">
        <w:rPr>
          <w:rFonts w:ascii="Times New Roman" w:hAnsi="Times New Roman"/>
          <w:sz w:val="22"/>
          <w:szCs w:val="22"/>
        </w:rPr>
        <w:t>recei</w:t>
      </w:r>
      <w:r w:rsidRPr="00F06896" w:rsidR="00C44A73">
        <w:rPr>
          <w:rFonts w:ascii="Times New Roman" w:hAnsi="Times New Roman"/>
          <w:sz w:val="22"/>
          <w:szCs w:val="22"/>
        </w:rPr>
        <w:t xml:space="preserve">ved from NICE </w:t>
      </w:r>
      <w:r w:rsidRPr="00F06896" w:rsidR="000C560C">
        <w:rPr>
          <w:rFonts w:ascii="Times New Roman" w:hAnsi="Times New Roman"/>
          <w:sz w:val="22"/>
          <w:szCs w:val="22"/>
        </w:rPr>
        <w:t xml:space="preserve">the document </w:t>
      </w:r>
      <w:r w:rsidRPr="00F06896" w:rsidR="00456B50">
        <w:rPr>
          <w:rFonts w:ascii="Times New Roman" w:hAnsi="Times New Roman"/>
          <w:sz w:val="22"/>
          <w:szCs w:val="22"/>
        </w:rPr>
        <w:t>entitled “Infusion Cost Estimate</w:t>
      </w:r>
      <w:r w:rsidRPr="00F06896" w:rsidR="000C560C">
        <w:rPr>
          <w:rFonts w:ascii="Times New Roman" w:hAnsi="Times New Roman"/>
          <w:sz w:val="22"/>
          <w:szCs w:val="22"/>
        </w:rPr>
        <w:t>s</w:t>
      </w:r>
      <w:r w:rsidRPr="00F06896" w:rsidR="00456B50">
        <w:rPr>
          <w:rFonts w:ascii="Times New Roman" w:hAnsi="Times New Roman"/>
          <w:sz w:val="22"/>
          <w:szCs w:val="22"/>
        </w:rPr>
        <w:t>”</w:t>
      </w:r>
      <w:r w:rsidRPr="00F06896" w:rsidR="000C560C">
        <w:rPr>
          <w:rFonts w:ascii="Times New Roman" w:hAnsi="Times New Roman"/>
          <w:sz w:val="22"/>
          <w:szCs w:val="22"/>
        </w:rPr>
        <w:t>, described above,</w:t>
      </w:r>
      <w:r w:rsidRPr="00F06896" w:rsidR="00456B50">
        <w:rPr>
          <w:rFonts w:ascii="Times New Roman" w:hAnsi="Times New Roman"/>
          <w:sz w:val="22"/>
          <w:szCs w:val="22"/>
        </w:rPr>
        <w:t xml:space="preserve"> </w:t>
      </w:r>
      <w:r w:rsidRPr="00F06896" w:rsidR="00166BFF">
        <w:rPr>
          <w:rFonts w:ascii="Times New Roman" w:hAnsi="Times New Roman"/>
          <w:sz w:val="22"/>
          <w:szCs w:val="22"/>
        </w:rPr>
        <w:t xml:space="preserve">which </w:t>
      </w:r>
      <w:r w:rsidRPr="00F06896" w:rsidR="005A0C2D">
        <w:rPr>
          <w:rFonts w:ascii="Times New Roman" w:hAnsi="Times New Roman"/>
          <w:sz w:val="22"/>
          <w:szCs w:val="22"/>
        </w:rPr>
        <w:t xml:space="preserve">had been </w:t>
      </w:r>
      <w:r w:rsidRPr="00F06896" w:rsidR="000C560C">
        <w:rPr>
          <w:rFonts w:ascii="Times New Roman" w:hAnsi="Times New Roman"/>
          <w:sz w:val="22"/>
          <w:szCs w:val="22"/>
        </w:rPr>
        <w:t xml:space="preserve">provided </w:t>
      </w:r>
      <w:r w:rsidRPr="00F06896" w:rsidR="005A0C2D">
        <w:rPr>
          <w:rFonts w:ascii="Times New Roman" w:hAnsi="Times New Roman"/>
          <w:sz w:val="22"/>
          <w:szCs w:val="22"/>
        </w:rPr>
        <w:t>by NHS</w:t>
      </w:r>
      <w:r w:rsidRPr="00F06896" w:rsidR="00456B50">
        <w:rPr>
          <w:rFonts w:ascii="Times New Roman" w:hAnsi="Times New Roman"/>
          <w:sz w:val="22"/>
          <w:szCs w:val="22"/>
        </w:rPr>
        <w:t xml:space="preserve"> </w:t>
      </w:r>
      <w:r w:rsidRPr="00F06896" w:rsidR="005A0C2D">
        <w:rPr>
          <w:rFonts w:ascii="Times New Roman" w:hAnsi="Times New Roman"/>
          <w:sz w:val="22"/>
          <w:szCs w:val="22"/>
        </w:rPr>
        <w:t>E</w:t>
      </w:r>
      <w:r w:rsidRPr="00F06896" w:rsidR="00456B50">
        <w:rPr>
          <w:rFonts w:ascii="Times New Roman" w:hAnsi="Times New Roman"/>
          <w:sz w:val="22"/>
          <w:szCs w:val="22"/>
        </w:rPr>
        <w:t>ngland</w:t>
      </w:r>
      <w:r w:rsidRPr="00F06896" w:rsidR="000C560C">
        <w:rPr>
          <w:rFonts w:ascii="Times New Roman" w:hAnsi="Times New Roman"/>
          <w:sz w:val="22"/>
          <w:szCs w:val="22"/>
        </w:rPr>
        <w:t>, seemingly over 5 weeks after the deadline for submission of responses to consultation on the second Draft Guidance</w:t>
      </w:r>
      <w:r w:rsidRPr="00F06896" w:rsidR="005A0C2D">
        <w:rPr>
          <w:rFonts w:ascii="Times New Roman" w:hAnsi="Times New Roman"/>
          <w:sz w:val="22"/>
          <w:szCs w:val="22"/>
        </w:rPr>
        <w:t xml:space="preserve">. </w:t>
      </w:r>
      <w:r w:rsidRPr="00F06896" w:rsidR="002C2EBA">
        <w:rPr>
          <w:rFonts w:ascii="Times New Roman" w:hAnsi="Times New Roman"/>
          <w:sz w:val="22"/>
          <w:szCs w:val="22"/>
        </w:rPr>
        <w:t xml:space="preserve">There was no formal opportunity within NICE’s procedures for Eisai to comment on the </w:t>
      </w:r>
      <w:r w:rsidRPr="00F06896" w:rsidR="009C629B">
        <w:rPr>
          <w:rFonts w:ascii="Times New Roman" w:hAnsi="Times New Roman"/>
          <w:sz w:val="22"/>
          <w:szCs w:val="22"/>
        </w:rPr>
        <w:t xml:space="preserve">new information </w:t>
      </w:r>
      <w:r w:rsidRPr="00F06896" w:rsidR="006140A1">
        <w:rPr>
          <w:rFonts w:ascii="Times New Roman" w:hAnsi="Times New Roman"/>
          <w:sz w:val="22"/>
          <w:szCs w:val="22"/>
        </w:rPr>
        <w:t xml:space="preserve">disclosed </w:t>
      </w:r>
      <w:r w:rsidRPr="00F06896" w:rsidR="009C629B">
        <w:rPr>
          <w:rFonts w:ascii="Times New Roman" w:hAnsi="Times New Roman"/>
          <w:sz w:val="22"/>
          <w:szCs w:val="22"/>
        </w:rPr>
        <w:t xml:space="preserve">by NICE and </w:t>
      </w:r>
      <w:r w:rsidRPr="00F06896" w:rsidR="00C13E37">
        <w:rPr>
          <w:rFonts w:ascii="Times New Roman" w:hAnsi="Times New Roman"/>
          <w:sz w:val="22"/>
          <w:szCs w:val="22"/>
        </w:rPr>
        <w:t xml:space="preserve">inadequate </w:t>
      </w:r>
      <w:r w:rsidRPr="00F06896" w:rsidR="006140A1">
        <w:rPr>
          <w:rFonts w:ascii="Times New Roman" w:hAnsi="Times New Roman"/>
          <w:sz w:val="22"/>
          <w:szCs w:val="22"/>
        </w:rPr>
        <w:t xml:space="preserve">time </w:t>
      </w:r>
      <w:r w:rsidRPr="00F06896" w:rsidR="00C13E37">
        <w:rPr>
          <w:rFonts w:ascii="Times New Roman" w:hAnsi="Times New Roman"/>
          <w:sz w:val="22"/>
          <w:szCs w:val="22"/>
        </w:rPr>
        <w:t xml:space="preserve">for </w:t>
      </w:r>
      <w:r w:rsidRPr="00F06896" w:rsidR="000A3A44">
        <w:rPr>
          <w:rFonts w:ascii="Times New Roman" w:hAnsi="Times New Roman"/>
          <w:sz w:val="22"/>
          <w:szCs w:val="22"/>
        </w:rPr>
        <w:t xml:space="preserve">consideration of this material before ACM3. </w:t>
      </w:r>
      <w:r w:rsidRPr="00F06896" w:rsidR="00A6355F">
        <w:rPr>
          <w:rFonts w:ascii="Times New Roman" w:hAnsi="Times New Roman"/>
          <w:sz w:val="22"/>
          <w:szCs w:val="22"/>
        </w:rPr>
        <w:t>Nevertheless, Eisai sought, within the time available</w:t>
      </w:r>
      <w:r w:rsidRPr="00F06896" w:rsidR="00A27350">
        <w:rPr>
          <w:rFonts w:ascii="Times New Roman" w:hAnsi="Times New Roman"/>
          <w:sz w:val="22"/>
          <w:szCs w:val="22"/>
        </w:rPr>
        <w:t>,</w:t>
      </w:r>
      <w:r w:rsidRPr="00F06896" w:rsidR="00A6355F">
        <w:rPr>
          <w:rFonts w:ascii="Times New Roman" w:hAnsi="Times New Roman"/>
          <w:sz w:val="22"/>
          <w:szCs w:val="22"/>
        </w:rPr>
        <w:t xml:space="preserve"> to </w:t>
      </w:r>
      <w:r w:rsidRPr="00F06896" w:rsidR="00A27350">
        <w:rPr>
          <w:rFonts w:ascii="Times New Roman" w:hAnsi="Times New Roman"/>
          <w:sz w:val="22"/>
          <w:szCs w:val="22"/>
        </w:rPr>
        <w:t xml:space="preserve">carry out a preliminary review of the new </w:t>
      </w:r>
      <w:r w:rsidRPr="00F06896" w:rsidR="00414870">
        <w:rPr>
          <w:rFonts w:ascii="Times New Roman" w:hAnsi="Times New Roman"/>
          <w:sz w:val="22"/>
          <w:szCs w:val="22"/>
        </w:rPr>
        <w:t xml:space="preserve">information disclosed by NICE and provided an initial </w:t>
      </w:r>
      <w:r w:rsidRPr="00F06896" w:rsidR="0020531F">
        <w:rPr>
          <w:rFonts w:ascii="Times New Roman" w:hAnsi="Times New Roman"/>
          <w:sz w:val="22"/>
          <w:szCs w:val="22"/>
        </w:rPr>
        <w:t>response on 13 May, the day before ACM3 on 14 May 2025.</w:t>
      </w:r>
      <w:r w:rsidRPr="00F06896" w:rsidR="009C629B">
        <w:rPr>
          <w:rFonts w:ascii="Times New Roman" w:hAnsi="Times New Roman"/>
          <w:sz w:val="22"/>
          <w:szCs w:val="22"/>
        </w:rPr>
        <w:t xml:space="preserve"> </w:t>
      </w:r>
    </w:p>
    <w:p w:rsidRPr="00F06896" w:rsidR="00605D45" w:rsidP="00605D45" w:rsidRDefault="00605D45" w14:paraId="294FC3A9" w14:textId="77777777">
      <w:pPr>
        <w:rPr>
          <w:rFonts w:ascii="Times New Roman" w:hAnsi="Times New Roman"/>
          <w:sz w:val="22"/>
          <w:szCs w:val="22"/>
        </w:rPr>
      </w:pPr>
    </w:p>
    <w:p w:rsidR="005A0C2D" w:rsidP="00605D45" w:rsidRDefault="000C560C" w14:paraId="2E2525C7" w14:textId="3807DC2F">
      <w:pPr>
        <w:rPr>
          <w:rFonts w:ascii="Times New Roman" w:hAnsi="Times New Roman"/>
          <w:sz w:val="22"/>
          <w:szCs w:val="22"/>
        </w:rPr>
      </w:pPr>
      <w:r w:rsidRPr="00F06896">
        <w:rPr>
          <w:rFonts w:ascii="Times New Roman" w:hAnsi="Times New Roman"/>
          <w:sz w:val="22"/>
          <w:szCs w:val="22"/>
        </w:rPr>
        <w:t>As explained above, o</w:t>
      </w:r>
      <w:r w:rsidRPr="00F06896" w:rsidR="0076675B">
        <w:rPr>
          <w:rFonts w:ascii="Times New Roman" w:hAnsi="Times New Roman"/>
          <w:sz w:val="22"/>
          <w:szCs w:val="22"/>
        </w:rPr>
        <w:t>n th</w:t>
      </w:r>
      <w:r w:rsidRPr="00F06896">
        <w:rPr>
          <w:rFonts w:ascii="Times New Roman" w:hAnsi="Times New Roman"/>
          <w:sz w:val="22"/>
          <w:szCs w:val="22"/>
        </w:rPr>
        <w:t>e</w:t>
      </w:r>
      <w:r w:rsidRPr="00F06896" w:rsidR="0076675B">
        <w:rPr>
          <w:rFonts w:ascii="Times New Roman" w:hAnsi="Times New Roman"/>
          <w:sz w:val="22"/>
          <w:szCs w:val="22"/>
        </w:rPr>
        <w:t xml:space="preserve"> basis</w:t>
      </w:r>
      <w:r w:rsidRPr="00F06896">
        <w:rPr>
          <w:rFonts w:ascii="Times New Roman" w:hAnsi="Times New Roman"/>
          <w:sz w:val="22"/>
          <w:szCs w:val="22"/>
        </w:rPr>
        <w:t xml:space="preserve"> of the “Infusion Cost Estimates” document,</w:t>
      </w:r>
      <w:r w:rsidRPr="00F06896" w:rsidR="0076675B">
        <w:rPr>
          <w:rFonts w:ascii="Times New Roman" w:hAnsi="Times New Roman"/>
          <w:sz w:val="22"/>
          <w:szCs w:val="22"/>
        </w:rPr>
        <w:t xml:space="preserve"> the Committee accept</w:t>
      </w:r>
      <w:r w:rsidRPr="00F06896">
        <w:rPr>
          <w:rFonts w:ascii="Times New Roman" w:hAnsi="Times New Roman"/>
          <w:sz w:val="22"/>
          <w:szCs w:val="22"/>
        </w:rPr>
        <w:t>ed</w:t>
      </w:r>
      <w:r w:rsidRPr="00F06896" w:rsidR="0076675B">
        <w:rPr>
          <w:rFonts w:ascii="Times New Roman" w:hAnsi="Times New Roman"/>
          <w:sz w:val="22"/>
          <w:szCs w:val="22"/>
        </w:rPr>
        <w:t xml:space="preserve"> the </w:t>
      </w:r>
      <w:r w:rsidRPr="00F06896">
        <w:rPr>
          <w:rFonts w:ascii="Times New Roman" w:hAnsi="Times New Roman"/>
          <w:sz w:val="22"/>
          <w:szCs w:val="22"/>
        </w:rPr>
        <w:t xml:space="preserve">infusion </w:t>
      </w:r>
      <w:r w:rsidRPr="00F06896" w:rsidR="0076675B">
        <w:rPr>
          <w:rFonts w:ascii="Times New Roman" w:hAnsi="Times New Roman"/>
          <w:sz w:val="22"/>
          <w:szCs w:val="22"/>
        </w:rPr>
        <w:t>costs estimated by NHS England</w:t>
      </w:r>
      <w:r w:rsidRPr="00F06896">
        <w:rPr>
          <w:rFonts w:ascii="Times New Roman" w:hAnsi="Times New Roman"/>
          <w:sz w:val="22"/>
          <w:szCs w:val="22"/>
        </w:rPr>
        <w:t xml:space="preserve"> for the purposes of the FDG</w:t>
      </w:r>
      <w:r w:rsidRPr="00F06896" w:rsidR="0076675B">
        <w:rPr>
          <w:rFonts w:ascii="Times New Roman" w:hAnsi="Times New Roman"/>
          <w:sz w:val="22"/>
          <w:szCs w:val="22"/>
        </w:rPr>
        <w:t>.</w:t>
      </w:r>
      <w:r w:rsidRPr="00F06896" w:rsidR="00A42BF0">
        <w:rPr>
          <w:rFonts w:ascii="Times New Roman" w:hAnsi="Times New Roman"/>
          <w:sz w:val="22"/>
          <w:szCs w:val="22"/>
        </w:rPr>
        <w:t xml:space="preserve">  This document</w:t>
      </w:r>
      <w:r w:rsidRPr="00F06896" w:rsidR="00C733B6">
        <w:rPr>
          <w:rFonts w:ascii="Times New Roman" w:hAnsi="Times New Roman"/>
          <w:sz w:val="22"/>
          <w:szCs w:val="22"/>
        </w:rPr>
        <w:t xml:space="preserve"> was included in the Committee Papers and information within this document was </w:t>
      </w:r>
      <w:r w:rsidRPr="00F06896" w:rsidR="00CD64E3">
        <w:rPr>
          <w:rFonts w:ascii="Times New Roman" w:hAnsi="Times New Roman"/>
          <w:sz w:val="22"/>
          <w:szCs w:val="22"/>
        </w:rPr>
        <w:t xml:space="preserve">included in </w:t>
      </w:r>
      <w:r w:rsidRPr="00F06896" w:rsidR="00C733B6">
        <w:rPr>
          <w:rFonts w:ascii="Times New Roman" w:hAnsi="Times New Roman"/>
          <w:sz w:val="22"/>
          <w:szCs w:val="22"/>
        </w:rPr>
        <w:t>the Committee Slides</w:t>
      </w:r>
      <w:r w:rsidRPr="00F06896" w:rsidR="0090327A">
        <w:rPr>
          <w:rFonts w:ascii="Times New Roman" w:hAnsi="Times New Roman"/>
          <w:sz w:val="22"/>
          <w:szCs w:val="22"/>
        </w:rPr>
        <w:t xml:space="preserve"> at ACM3, however the </w:t>
      </w:r>
      <w:r w:rsidRPr="00F06896" w:rsidR="00E7777A">
        <w:rPr>
          <w:rFonts w:ascii="Times New Roman" w:hAnsi="Times New Roman"/>
          <w:sz w:val="22"/>
          <w:szCs w:val="22"/>
        </w:rPr>
        <w:t>initial response from Eisai dated 13 May 2025 was not included in either the Committee Papers or the Committee Slides</w:t>
      </w:r>
      <w:r w:rsidRPr="00F06896" w:rsidR="00A56F86">
        <w:rPr>
          <w:rFonts w:ascii="Times New Roman" w:hAnsi="Times New Roman"/>
          <w:sz w:val="22"/>
          <w:szCs w:val="22"/>
        </w:rPr>
        <w:t xml:space="preserve"> and </w:t>
      </w:r>
      <w:r w:rsidRPr="00F06896" w:rsidR="00727214">
        <w:rPr>
          <w:rFonts w:ascii="Times New Roman" w:hAnsi="Times New Roman"/>
          <w:sz w:val="22"/>
          <w:szCs w:val="22"/>
        </w:rPr>
        <w:t xml:space="preserve">the EAG prepared no written commentary on </w:t>
      </w:r>
      <w:r w:rsidRPr="00F06896" w:rsidR="00A56F86">
        <w:rPr>
          <w:rFonts w:ascii="Times New Roman" w:hAnsi="Times New Roman"/>
          <w:sz w:val="22"/>
          <w:szCs w:val="22"/>
        </w:rPr>
        <w:t>either the “Infusion Cost Estimate</w:t>
      </w:r>
      <w:r w:rsidRPr="00F06896" w:rsidR="00727214">
        <w:rPr>
          <w:rFonts w:ascii="Times New Roman" w:hAnsi="Times New Roman"/>
          <w:sz w:val="22"/>
          <w:szCs w:val="22"/>
        </w:rPr>
        <w:t>s</w:t>
      </w:r>
      <w:r w:rsidRPr="00F06896" w:rsidR="00A56F86">
        <w:rPr>
          <w:rFonts w:ascii="Times New Roman" w:hAnsi="Times New Roman"/>
          <w:sz w:val="22"/>
          <w:szCs w:val="22"/>
        </w:rPr>
        <w:t>” document or Eisai’s initial response</w:t>
      </w:r>
      <w:r w:rsidRPr="00F06896" w:rsidR="00D85EFB">
        <w:rPr>
          <w:rFonts w:ascii="Times New Roman" w:hAnsi="Times New Roman"/>
          <w:sz w:val="22"/>
          <w:szCs w:val="22"/>
        </w:rPr>
        <w:t>.</w:t>
      </w:r>
      <w:r w:rsidRPr="00F06896" w:rsidR="00C733B6">
        <w:rPr>
          <w:rFonts w:ascii="Times New Roman" w:hAnsi="Times New Roman"/>
          <w:sz w:val="22"/>
          <w:szCs w:val="22"/>
        </w:rPr>
        <w:t xml:space="preserve"> </w:t>
      </w:r>
    </w:p>
    <w:p w:rsidRPr="00F06896" w:rsidR="00605D45" w:rsidP="00605D45" w:rsidRDefault="00605D45" w14:paraId="71956AD6" w14:textId="77777777">
      <w:pPr>
        <w:rPr>
          <w:rFonts w:ascii="Times New Roman" w:hAnsi="Times New Roman"/>
          <w:sz w:val="22"/>
          <w:szCs w:val="22"/>
        </w:rPr>
      </w:pPr>
    </w:p>
    <w:p w:rsidR="00F7410B" w:rsidP="00605D45" w:rsidRDefault="00F7410B" w14:paraId="7D5234EC" w14:textId="2096BE8F">
      <w:pPr>
        <w:rPr>
          <w:rFonts w:ascii="Times New Roman" w:hAnsi="Times New Roman"/>
          <w:sz w:val="22"/>
          <w:szCs w:val="22"/>
        </w:rPr>
      </w:pPr>
      <w:r w:rsidRPr="00F06896">
        <w:rPr>
          <w:rFonts w:ascii="Times New Roman" w:hAnsi="Times New Roman"/>
          <w:sz w:val="22"/>
          <w:szCs w:val="22"/>
        </w:rPr>
        <w:t xml:space="preserve">It is accepted </w:t>
      </w:r>
      <w:r w:rsidRPr="00F06896" w:rsidR="000837F8">
        <w:rPr>
          <w:rFonts w:ascii="Times New Roman" w:hAnsi="Times New Roman"/>
          <w:sz w:val="22"/>
          <w:szCs w:val="22"/>
        </w:rPr>
        <w:t xml:space="preserve">in </w:t>
      </w:r>
      <w:r w:rsidRPr="00F06896">
        <w:rPr>
          <w:rFonts w:ascii="Times New Roman" w:hAnsi="Times New Roman"/>
          <w:sz w:val="22"/>
          <w:szCs w:val="22"/>
        </w:rPr>
        <w:t xml:space="preserve">the FDG that the costs of infusion used for the purposes of the assessment of cost-effectiveness are central to the outcome of this appraisal (see for example paragraphs 1, 3.20, </w:t>
      </w:r>
      <w:r w:rsidRPr="00F06896" w:rsidR="00C07A9E">
        <w:rPr>
          <w:rFonts w:ascii="Times New Roman" w:hAnsi="Times New Roman"/>
          <w:sz w:val="22"/>
          <w:szCs w:val="22"/>
        </w:rPr>
        <w:t>3.28</w:t>
      </w:r>
      <w:r w:rsidRPr="00F06896" w:rsidR="005D4308">
        <w:rPr>
          <w:rFonts w:ascii="Times New Roman" w:hAnsi="Times New Roman"/>
          <w:sz w:val="22"/>
          <w:szCs w:val="22"/>
        </w:rPr>
        <w:t>, 3.29)</w:t>
      </w:r>
      <w:r w:rsidRPr="00F06896" w:rsidR="000837F8">
        <w:rPr>
          <w:rFonts w:ascii="Times New Roman" w:hAnsi="Times New Roman"/>
          <w:sz w:val="22"/>
          <w:szCs w:val="22"/>
        </w:rPr>
        <w:t xml:space="preserve">.  There are substantial differences between the estimates of infusion costs </w:t>
      </w:r>
      <w:r w:rsidRPr="00F06896" w:rsidR="00E60E15">
        <w:rPr>
          <w:rFonts w:ascii="Times New Roman" w:hAnsi="Times New Roman"/>
          <w:sz w:val="22"/>
          <w:szCs w:val="22"/>
        </w:rPr>
        <w:t xml:space="preserve">submitted by Eisai and those proposed by NHS England. </w:t>
      </w:r>
      <w:r w:rsidRPr="00F06896" w:rsidR="008B2ED8">
        <w:rPr>
          <w:rFonts w:ascii="Times New Roman" w:hAnsi="Times New Roman"/>
          <w:sz w:val="22"/>
          <w:szCs w:val="22"/>
        </w:rPr>
        <w:t xml:space="preserve"> Eisai has </w:t>
      </w:r>
      <w:r w:rsidRPr="00F06896" w:rsidR="00BA7A81">
        <w:rPr>
          <w:rFonts w:ascii="Times New Roman" w:hAnsi="Times New Roman"/>
          <w:sz w:val="22"/>
          <w:szCs w:val="22"/>
        </w:rPr>
        <w:t xml:space="preserve">asked NICE for </w:t>
      </w:r>
      <w:r w:rsidRPr="00F06896" w:rsidR="003E77EA">
        <w:rPr>
          <w:rFonts w:ascii="Times New Roman" w:hAnsi="Times New Roman"/>
          <w:sz w:val="22"/>
          <w:szCs w:val="22"/>
        </w:rPr>
        <w:t xml:space="preserve">clarification of the infusion costs estimated by NHS England </w:t>
      </w:r>
      <w:r w:rsidRPr="00F06896" w:rsidR="00CD3FA7">
        <w:rPr>
          <w:rFonts w:ascii="Times New Roman" w:hAnsi="Times New Roman"/>
          <w:sz w:val="22"/>
          <w:szCs w:val="22"/>
        </w:rPr>
        <w:t>on multiple occasions since September 2024</w:t>
      </w:r>
      <w:r w:rsidRPr="00F06896" w:rsidR="00BA7A81">
        <w:rPr>
          <w:rFonts w:ascii="Times New Roman" w:hAnsi="Times New Roman"/>
          <w:sz w:val="22"/>
          <w:szCs w:val="22"/>
        </w:rPr>
        <w:t xml:space="preserve">, but without </w:t>
      </w:r>
      <w:r w:rsidRPr="00F06896" w:rsidR="00025D73">
        <w:rPr>
          <w:rFonts w:ascii="Times New Roman" w:hAnsi="Times New Roman"/>
          <w:sz w:val="22"/>
          <w:szCs w:val="22"/>
        </w:rPr>
        <w:t xml:space="preserve">receiving any substantive explanation, only for technical information to be provided </w:t>
      </w:r>
      <w:r w:rsidRPr="00F06896" w:rsidR="00592352">
        <w:rPr>
          <w:rFonts w:ascii="Times New Roman" w:hAnsi="Times New Roman"/>
          <w:sz w:val="22"/>
          <w:szCs w:val="22"/>
        </w:rPr>
        <w:t xml:space="preserve">a mere </w:t>
      </w:r>
      <w:r w:rsidRPr="00F06896" w:rsidR="00025D73">
        <w:rPr>
          <w:rFonts w:ascii="Times New Roman" w:hAnsi="Times New Roman"/>
          <w:sz w:val="22"/>
          <w:szCs w:val="22"/>
        </w:rPr>
        <w:t>four working days prior to ACM3, with no adequate opportunity for consideration or comment by Eisai</w:t>
      </w:r>
      <w:r w:rsidRPr="00F06896" w:rsidR="00912309">
        <w:rPr>
          <w:rFonts w:ascii="Times New Roman" w:hAnsi="Times New Roman"/>
          <w:sz w:val="22"/>
          <w:szCs w:val="22"/>
        </w:rPr>
        <w:t xml:space="preserve"> and in circumstances where the limited response Eisai was able to make in the time permitted was not included in the Committee Papers.</w:t>
      </w:r>
      <w:r w:rsidRPr="00F06896" w:rsidR="004256A0">
        <w:rPr>
          <w:rFonts w:ascii="Times New Roman" w:hAnsi="Times New Roman"/>
          <w:sz w:val="22"/>
          <w:szCs w:val="22"/>
        </w:rPr>
        <w:t xml:space="preserve">  </w:t>
      </w:r>
    </w:p>
    <w:p w:rsidRPr="00F06896" w:rsidR="00605D45" w:rsidP="00605D45" w:rsidRDefault="00605D45" w14:paraId="3F4F3529" w14:textId="77777777">
      <w:pPr>
        <w:rPr>
          <w:rFonts w:ascii="Times New Roman" w:hAnsi="Times New Roman"/>
          <w:sz w:val="22"/>
          <w:szCs w:val="22"/>
        </w:rPr>
      </w:pPr>
    </w:p>
    <w:p w:rsidR="003F1773" w:rsidP="00605D45" w:rsidRDefault="005D2AAA" w14:paraId="714E0CA7" w14:textId="36FDB7E8">
      <w:pPr>
        <w:rPr>
          <w:rFonts w:ascii="Times New Roman" w:hAnsi="Times New Roman"/>
          <w:sz w:val="22"/>
          <w:szCs w:val="22"/>
        </w:rPr>
      </w:pPr>
      <w:r w:rsidRPr="00F06896">
        <w:rPr>
          <w:rFonts w:ascii="Times New Roman" w:hAnsi="Times New Roman"/>
          <w:sz w:val="22"/>
          <w:szCs w:val="22"/>
        </w:rPr>
        <w:t xml:space="preserve">NICE’s procedures </w:t>
      </w:r>
      <w:r w:rsidRPr="00F06896" w:rsidR="00372358">
        <w:rPr>
          <w:rFonts w:ascii="Times New Roman" w:hAnsi="Times New Roman"/>
          <w:sz w:val="22"/>
          <w:szCs w:val="22"/>
        </w:rPr>
        <w:t xml:space="preserve">provide for </w:t>
      </w:r>
      <w:r w:rsidRPr="00F06896">
        <w:rPr>
          <w:rFonts w:ascii="Times New Roman" w:hAnsi="Times New Roman"/>
          <w:sz w:val="22"/>
          <w:szCs w:val="22"/>
        </w:rPr>
        <w:t>a considerable amount of stakeholder involvement and c</w:t>
      </w:r>
      <w:r w:rsidRPr="00F06896" w:rsidR="00450519">
        <w:rPr>
          <w:rFonts w:ascii="Times New Roman" w:hAnsi="Times New Roman"/>
          <w:sz w:val="22"/>
          <w:szCs w:val="22"/>
        </w:rPr>
        <w:t>onsultation</w:t>
      </w:r>
      <w:r w:rsidRPr="00F06896">
        <w:rPr>
          <w:rFonts w:ascii="Times New Roman" w:hAnsi="Times New Roman"/>
          <w:sz w:val="22"/>
          <w:szCs w:val="22"/>
        </w:rPr>
        <w:t>. However</w:t>
      </w:r>
      <w:r w:rsidRPr="00F06896" w:rsidR="000248C6">
        <w:rPr>
          <w:rFonts w:ascii="Times New Roman" w:hAnsi="Times New Roman"/>
          <w:sz w:val="22"/>
          <w:szCs w:val="22"/>
        </w:rPr>
        <w:t>,</w:t>
      </w:r>
      <w:r w:rsidRPr="00F06896">
        <w:rPr>
          <w:rFonts w:ascii="Times New Roman" w:hAnsi="Times New Roman"/>
          <w:sz w:val="22"/>
          <w:szCs w:val="22"/>
        </w:rPr>
        <w:t xml:space="preserve"> </w:t>
      </w:r>
      <w:r w:rsidRPr="00F06896" w:rsidR="008B0F2B">
        <w:rPr>
          <w:rFonts w:ascii="Times New Roman" w:hAnsi="Times New Roman"/>
          <w:sz w:val="22"/>
          <w:szCs w:val="22"/>
        </w:rPr>
        <w:t>it is essential that these commitments are meaningful</w:t>
      </w:r>
      <w:r w:rsidRPr="00F06896" w:rsidR="00923106">
        <w:rPr>
          <w:rFonts w:ascii="Times New Roman" w:hAnsi="Times New Roman"/>
          <w:sz w:val="22"/>
          <w:szCs w:val="22"/>
        </w:rPr>
        <w:t xml:space="preserve">. In particular, NICE’s procedures require that </w:t>
      </w:r>
      <w:r w:rsidRPr="00F06896" w:rsidR="00450519">
        <w:rPr>
          <w:rFonts w:ascii="Times New Roman" w:hAnsi="Times New Roman"/>
          <w:sz w:val="22"/>
          <w:szCs w:val="22"/>
        </w:rPr>
        <w:t xml:space="preserve">the </w:t>
      </w:r>
      <w:r w:rsidRPr="00F06896" w:rsidR="006229C8">
        <w:rPr>
          <w:rFonts w:ascii="Times New Roman" w:hAnsi="Times New Roman"/>
          <w:sz w:val="22"/>
          <w:szCs w:val="22"/>
        </w:rPr>
        <w:t xml:space="preserve">evidence which is relied upon by </w:t>
      </w:r>
      <w:r w:rsidRPr="00F06896" w:rsidR="00301F4D">
        <w:rPr>
          <w:rFonts w:ascii="Times New Roman" w:hAnsi="Times New Roman"/>
          <w:sz w:val="22"/>
          <w:szCs w:val="22"/>
        </w:rPr>
        <w:t xml:space="preserve">the </w:t>
      </w:r>
      <w:r w:rsidRPr="00F06896" w:rsidR="00450519">
        <w:rPr>
          <w:rFonts w:ascii="Times New Roman" w:hAnsi="Times New Roman"/>
          <w:sz w:val="22"/>
          <w:szCs w:val="22"/>
        </w:rPr>
        <w:t xml:space="preserve">Committee </w:t>
      </w:r>
      <w:r w:rsidRPr="00F06896" w:rsidR="001F462C">
        <w:rPr>
          <w:rFonts w:ascii="Times New Roman" w:hAnsi="Times New Roman"/>
          <w:sz w:val="22"/>
          <w:szCs w:val="22"/>
        </w:rPr>
        <w:t xml:space="preserve">is made available to </w:t>
      </w:r>
      <w:r w:rsidRPr="00F06896" w:rsidR="00C74BA6">
        <w:rPr>
          <w:rFonts w:ascii="Times New Roman" w:hAnsi="Times New Roman"/>
          <w:sz w:val="22"/>
          <w:szCs w:val="22"/>
        </w:rPr>
        <w:t xml:space="preserve">consultees so that </w:t>
      </w:r>
      <w:r w:rsidRPr="00F06896" w:rsidR="006229C8">
        <w:rPr>
          <w:rFonts w:ascii="Times New Roman" w:hAnsi="Times New Roman"/>
          <w:sz w:val="22"/>
          <w:szCs w:val="22"/>
        </w:rPr>
        <w:t xml:space="preserve">this can be </w:t>
      </w:r>
      <w:proofErr w:type="spellStart"/>
      <w:r w:rsidRPr="00F06896" w:rsidR="008936DA">
        <w:rPr>
          <w:rFonts w:ascii="Times New Roman" w:hAnsi="Times New Roman"/>
          <w:sz w:val="22"/>
          <w:szCs w:val="22"/>
        </w:rPr>
        <w:t>scrutinised</w:t>
      </w:r>
      <w:proofErr w:type="spellEnd"/>
      <w:r w:rsidRPr="00F06896" w:rsidR="008936DA">
        <w:rPr>
          <w:rFonts w:ascii="Times New Roman" w:hAnsi="Times New Roman"/>
          <w:sz w:val="22"/>
          <w:szCs w:val="22"/>
        </w:rPr>
        <w:t xml:space="preserve"> and its reliability tested. </w:t>
      </w:r>
      <w:r w:rsidRPr="00F06896" w:rsidR="007E2073">
        <w:rPr>
          <w:rFonts w:ascii="Times New Roman" w:hAnsi="Times New Roman"/>
          <w:sz w:val="22"/>
          <w:szCs w:val="22"/>
        </w:rPr>
        <w:t xml:space="preserve"> In this case, </w:t>
      </w:r>
      <w:r w:rsidRPr="00F06896" w:rsidR="00AC7651">
        <w:rPr>
          <w:rFonts w:ascii="Times New Roman" w:hAnsi="Times New Roman"/>
          <w:sz w:val="22"/>
          <w:szCs w:val="22"/>
        </w:rPr>
        <w:t>e</w:t>
      </w:r>
      <w:r w:rsidRPr="00F06896" w:rsidR="006B4F1D">
        <w:rPr>
          <w:rFonts w:ascii="Times New Roman" w:hAnsi="Times New Roman"/>
          <w:sz w:val="22"/>
          <w:szCs w:val="22"/>
        </w:rPr>
        <w:t xml:space="preserve">vidence </w:t>
      </w:r>
      <w:r w:rsidRPr="00F06896" w:rsidR="00AC7651">
        <w:rPr>
          <w:rFonts w:ascii="Times New Roman" w:hAnsi="Times New Roman"/>
          <w:sz w:val="22"/>
          <w:szCs w:val="22"/>
        </w:rPr>
        <w:t xml:space="preserve">in relation to the </w:t>
      </w:r>
      <w:r w:rsidRPr="00F06896" w:rsidR="006B4F1D">
        <w:rPr>
          <w:rFonts w:ascii="Times New Roman" w:hAnsi="Times New Roman"/>
          <w:sz w:val="22"/>
          <w:szCs w:val="22"/>
        </w:rPr>
        <w:t xml:space="preserve">infusion costs </w:t>
      </w:r>
      <w:r w:rsidRPr="00F06896" w:rsidR="00B3375A">
        <w:rPr>
          <w:rFonts w:ascii="Times New Roman" w:hAnsi="Times New Roman"/>
          <w:sz w:val="22"/>
          <w:szCs w:val="22"/>
        </w:rPr>
        <w:t xml:space="preserve">as accepted by </w:t>
      </w:r>
      <w:r w:rsidRPr="00F06896" w:rsidR="006B4F1D">
        <w:rPr>
          <w:rFonts w:ascii="Times New Roman" w:hAnsi="Times New Roman"/>
          <w:sz w:val="22"/>
          <w:szCs w:val="22"/>
        </w:rPr>
        <w:t xml:space="preserve">the Appraisal Committee should </w:t>
      </w:r>
      <w:r w:rsidRPr="00F06896" w:rsidR="008F3619">
        <w:rPr>
          <w:rFonts w:ascii="Times New Roman" w:hAnsi="Times New Roman"/>
          <w:sz w:val="22"/>
          <w:szCs w:val="22"/>
        </w:rPr>
        <w:t>have been disclosed earlier in the process</w:t>
      </w:r>
      <w:r w:rsidRPr="00F06896" w:rsidR="004F3137">
        <w:rPr>
          <w:rFonts w:ascii="Times New Roman" w:hAnsi="Times New Roman"/>
          <w:sz w:val="22"/>
          <w:szCs w:val="22"/>
        </w:rPr>
        <w:t>. T</w:t>
      </w:r>
      <w:r w:rsidRPr="00F06896" w:rsidR="008138D8">
        <w:rPr>
          <w:rFonts w:ascii="Times New Roman" w:hAnsi="Times New Roman"/>
          <w:sz w:val="22"/>
          <w:szCs w:val="22"/>
        </w:rPr>
        <w:t xml:space="preserve">he </w:t>
      </w:r>
      <w:r w:rsidRPr="00F06896" w:rsidR="00997B5E">
        <w:rPr>
          <w:rFonts w:ascii="Times New Roman" w:hAnsi="Times New Roman"/>
          <w:sz w:val="22"/>
          <w:szCs w:val="22"/>
        </w:rPr>
        <w:t xml:space="preserve">provision of the </w:t>
      </w:r>
      <w:r w:rsidRPr="00F06896" w:rsidR="008B7B01">
        <w:rPr>
          <w:rFonts w:ascii="Times New Roman" w:hAnsi="Times New Roman"/>
          <w:sz w:val="22"/>
          <w:szCs w:val="22"/>
        </w:rPr>
        <w:t>“Infusion Cost Estimate</w:t>
      </w:r>
      <w:r w:rsidRPr="00F06896" w:rsidR="00727214">
        <w:rPr>
          <w:rFonts w:ascii="Times New Roman" w:hAnsi="Times New Roman"/>
          <w:sz w:val="22"/>
          <w:szCs w:val="22"/>
        </w:rPr>
        <w:t>s</w:t>
      </w:r>
      <w:r w:rsidRPr="00F06896" w:rsidR="008B7B01">
        <w:rPr>
          <w:rFonts w:ascii="Times New Roman" w:hAnsi="Times New Roman"/>
          <w:sz w:val="22"/>
          <w:szCs w:val="22"/>
        </w:rPr>
        <w:t>” document t</w:t>
      </w:r>
      <w:r w:rsidRPr="00F06896" w:rsidR="008138D8">
        <w:rPr>
          <w:rFonts w:ascii="Times New Roman" w:hAnsi="Times New Roman"/>
          <w:sz w:val="22"/>
          <w:szCs w:val="22"/>
        </w:rPr>
        <w:t xml:space="preserve">o </w:t>
      </w:r>
      <w:r w:rsidRPr="00F06896" w:rsidR="0035068F">
        <w:rPr>
          <w:rFonts w:ascii="Times New Roman" w:hAnsi="Times New Roman"/>
          <w:sz w:val="22"/>
          <w:szCs w:val="22"/>
        </w:rPr>
        <w:t xml:space="preserve">consultees </w:t>
      </w:r>
      <w:r w:rsidRPr="00F06896" w:rsidR="006D5863">
        <w:rPr>
          <w:rFonts w:ascii="Times New Roman" w:hAnsi="Times New Roman"/>
          <w:sz w:val="22"/>
          <w:szCs w:val="22"/>
        </w:rPr>
        <w:t>b</w:t>
      </w:r>
      <w:r w:rsidRPr="00F06896" w:rsidR="00456A10">
        <w:rPr>
          <w:rFonts w:ascii="Times New Roman" w:hAnsi="Times New Roman"/>
          <w:sz w:val="22"/>
          <w:szCs w:val="22"/>
        </w:rPr>
        <w:t xml:space="preserve">efore ACM3 </w:t>
      </w:r>
      <w:r w:rsidRPr="00F06896" w:rsidR="006D5863">
        <w:rPr>
          <w:rFonts w:ascii="Times New Roman" w:hAnsi="Times New Roman"/>
          <w:sz w:val="22"/>
          <w:szCs w:val="22"/>
        </w:rPr>
        <w:t xml:space="preserve">confirmed that NICE accepted a requirement for consultation, but the fact that </w:t>
      </w:r>
      <w:r w:rsidRPr="00F06896" w:rsidR="008B7B01">
        <w:rPr>
          <w:rFonts w:ascii="Times New Roman" w:hAnsi="Times New Roman"/>
          <w:sz w:val="22"/>
          <w:szCs w:val="22"/>
        </w:rPr>
        <w:t xml:space="preserve">it was provided only </w:t>
      </w:r>
      <w:r w:rsidRPr="00F06896" w:rsidR="00750807">
        <w:rPr>
          <w:rFonts w:ascii="Times New Roman" w:hAnsi="Times New Roman"/>
          <w:sz w:val="22"/>
          <w:szCs w:val="22"/>
        </w:rPr>
        <w:t xml:space="preserve">four working days before the meeting </w:t>
      </w:r>
      <w:r w:rsidRPr="00F06896" w:rsidR="00456A10">
        <w:rPr>
          <w:rFonts w:ascii="Times New Roman" w:hAnsi="Times New Roman"/>
          <w:sz w:val="22"/>
          <w:szCs w:val="22"/>
        </w:rPr>
        <w:t xml:space="preserve">meant that Eisai was deprived of any </w:t>
      </w:r>
      <w:r w:rsidRPr="00F06896" w:rsidR="002404CF">
        <w:rPr>
          <w:rFonts w:ascii="Times New Roman" w:hAnsi="Times New Roman"/>
          <w:sz w:val="22"/>
          <w:szCs w:val="22"/>
        </w:rPr>
        <w:t xml:space="preserve">adequate time for meaningful review and comment. </w:t>
      </w:r>
      <w:r w:rsidRPr="00F06896" w:rsidR="003F1773">
        <w:rPr>
          <w:rFonts w:ascii="Times New Roman" w:hAnsi="Times New Roman"/>
          <w:sz w:val="22"/>
          <w:szCs w:val="22"/>
        </w:rPr>
        <w:t>In the context of a key piece of evidence repeatedly requested by Eisai, the delay providing such information</w:t>
      </w:r>
      <w:r w:rsidRPr="00F06896" w:rsidR="00750807">
        <w:rPr>
          <w:rFonts w:ascii="Times New Roman" w:hAnsi="Times New Roman"/>
          <w:sz w:val="22"/>
          <w:szCs w:val="22"/>
        </w:rPr>
        <w:t xml:space="preserve">, </w:t>
      </w:r>
      <w:r w:rsidRPr="00F06896" w:rsidR="003F1773">
        <w:rPr>
          <w:rFonts w:ascii="Times New Roman" w:hAnsi="Times New Roman"/>
          <w:sz w:val="22"/>
          <w:szCs w:val="22"/>
        </w:rPr>
        <w:t xml:space="preserve">the lack of </w:t>
      </w:r>
      <w:r w:rsidRPr="00F06896" w:rsidR="00750807">
        <w:rPr>
          <w:rFonts w:ascii="Times New Roman" w:hAnsi="Times New Roman"/>
          <w:sz w:val="22"/>
          <w:szCs w:val="22"/>
        </w:rPr>
        <w:t xml:space="preserve">sufficient time </w:t>
      </w:r>
      <w:r w:rsidRPr="00F06896" w:rsidR="003F1773">
        <w:rPr>
          <w:rFonts w:ascii="Times New Roman" w:hAnsi="Times New Roman"/>
          <w:sz w:val="22"/>
          <w:szCs w:val="22"/>
        </w:rPr>
        <w:t xml:space="preserve">for consultation </w:t>
      </w:r>
      <w:r w:rsidRPr="00F06896" w:rsidR="00592352">
        <w:rPr>
          <w:rFonts w:ascii="Times New Roman" w:hAnsi="Times New Roman"/>
          <w:sz w:val="22"/>
          <w:szCs w:val="22"/>
        </w:rPr>
        <w:t>(including consideration by clinical experts</w:t>
      </w:r>
      <w:r w:rsidRPr="00F06896" w:rsidR="0073372C">
        <w:rPr>
          <w:rFonts w:ascii="Times New Roman" w:hAnsi="Times New Roman"/>
          <w:sz w:val="22"/>
          <w:szCs w:val="22"/>
        </w:rPr>
        <w:t xml:space="preserve"> and the EAG</w:t>
      </w:r>
      <w:r w:rsidRPr="00F06896" w:rsidR="00592352">
        <w:rPr>
          <w:rFonts w:ascii="Times New Roman" w:hAnsi="Times New Roman"/>
          <w:sz w:val="22"/>
          <w:szCs w:val="22"/>
        </w:rPr>
        <w:t xml:space="preserve">) </w:t>
      </w:r>
      <w:r w:rsidRPr="00F06896" w:rsidR="00750807">
        <w:rPr>
          <w:rFonts w:ascii="Times New Roman" w:hAnsi="Times New Roman"/>
          <w:sz w:val="22"/>
          <w:szCs w:val="22"/>
        </w:rPr>
        <w:t xml:space="preserve">and the </w:t>
      </w:r>
      <w:r w:rsidRPr="00F06896" w:rsidR="00190437">
        <w:rPr>
          <w:rFonts w:ascii="Times New Roman" w:hAnsi="Times New Roman"/>
          <w:sz w:val="22"/>
          <w:szCs w:val="22"/>
        </w:rPr>
        <w:t xml:space="preserve">exclusion of </w:t>
      </w:r>
      <w:r w:rsidRPr="00F06896" w:rsidR="00750807">
        <w:rPr>
          <w:rFonts w:ascii="Times New Roman" w:hAnsi="Times New Roman"/>
          <w:sz w:val="22"/>
          <w:szCs w:val="22"/>
        </w:rPr>
        <w:t xml:space="preserve">Eisai’s initial </w:t>
      </w:r>
      <w:r w:rsidRPr="00F06896" w:rsidR="00FF67D8">
        <w:rPr>
          <w:rFonts w:ascii="Times New Roman" w:hAnsi="Times New Roman"/>
          <w:sz w:val="22"/>
          <w:szCs w:val="22"/>
        </w:rPr>
        <w:t xml:space="preserve">response from </w:t>
      </w:r>
      <w:r w:rsidRPr="00F06896" w:rsidR="007B441D">
        <w:rPr>
          <w:rFonts w:ascii="Times New Roman" w:hAnsi="Times New Roman"/>
          <w:sz w:val="22"/>
          <w:szCs w:val="22"/>
        </w:rPr>
        <w:t xml:space="preserve">the Committee Papers </w:t>
      </w:r>
      <w:r w:rsidRPr="00F06896" w:rsidR="003F1773">
        <w:rPr>
          <w:rFonts w:ascii="Times New Roman" w:hAnsi="Times New Roman"/>
          <w:sz w:val="22"/>
          <w:szCs w:val="22"/>
        </w:rPr>
        <w:t>is inconsistent with standards of procedural fairness.</w:t>
      </w:r>
    </w:p>
    <w:p w:rsidRPr="00F06896" w:rsidR="00605D45" w:rsidP="00605D45" w:rsidRDefault="00605D45" w14:paraId="7CBBC4F9" w14:textId="77777777">
      <w:pPr>
        <w:rPr>
          <w:rFonts w:ascii="Times New Roman" w:hAnsi="Times New Roman"/>
          <w:sz w:val="22"/>
          <w:szCs w:val="22"/>
        </w:rPr>
      </w:pPr>
    </w:p>
    <w:p w:rsidRPr="00F06896" w:rsidR="00CF0860" w:rsidP="00605D45" w:rsidRDefault="00CF0860" w14:paraId="77E01F1B" w14:textId="729C0849">
      <w:pPr>
        <w:rPr>
          <w:rFonts w:ascii="Times New Roman" w:hAnsi="Times New Roman"/>
          <w:sz w:val="22"/>
          <w:szCs w:val="22"/>
        </w:rPr>
      </w:pPr>
      <w:r w:rsidRPr="00F06896">
        <w:rPr>
          <w:rFonts w:ascii="Times New Roman" w:hAnsi="Times New Roman"/>
          <w:sz w:val="22"/>
          <w:szCs w:val="22"/>
        </w:rPr>
        <w:t>No explanation has been given for the delay in disclosing the information in the “Infusion Cost Estimate</w:t>
      </w:r>
      <w:r w:rsidRPr="00F06896" w:rsidR="00727214">
        <w:rPr>
          <w:rFonts w:ascii="Times New Roman" w:hAnsi="Times New Roman"/>
          <w:sz w:val="22"/>
          <w:szCs w:val="22"/>
        </w:rPr>
        <w:t>s</w:t>
      </w:r>
      <w:r w:rsidRPr="00F06896">
        <w:rPr>
          <w:rFonts w:ascii="Times New Roman" w:hAnsi="Times New Roman"/>
          <w:sz w:val="22"/>
          <w:szCs w:val="22"/>
        </w:rPr>
        <w:t xml:space="preserve">” document to Eisai, even though there seems no reason why this could not have been provided </w:t>
      </w:r>
      <w:r w:rsidRPr="00F06896" w:rsidR="00851A7E">
        <w:rPr>
          <w:rFonts w:ascii="Times New Roman" w:hAnsi="Times New Roman"/>
          <w:sz w:val="22"/>
          <w:szCs w:val="22"/>
        </w:rPr>
        <w:t xml:space="preserve">by NHS England </w:t>
      </w:r>
      <w:r w:rsidRPr="00F06896" w:rsidR="007B441D">
        <w:rPr>
          <w:rFonts w:ascii="Times New Roman" w:hAnsi="Times New Roman"/>
          <w:sz w:val="22"/>
          <w:szCs w:val="22"/>
        </w:rPr>
        <w:t xml:space="preserve">and disclosed by NICE </w:t>
      </w:r>
      <w:r w:rsidRPr="00F06896">
        <w:rPr>
          <w:rFonts w:ascii="Times New Roman" w:hAnsi="Times New Roman"/>
          <w:sz w:val="22"/>
          <w:szCs w:val="22"/>
        </w:rPr>
        <w:t xml:space="preserve">prior to ACM2 and consulted upon in the usual way. </w:t>
      </w:r>
      <w:r w:rsidRPr="00F06896" w:rsidR="00592352">
        <w:rPr>
          <w:rFonts w:ascii="Times New Roman" w:hAnsi="Times New Roman"/>
          <w:sz w:val="22"/>
          <w:szCs w:val="22"/>
        </w:rPr>
        <w:t>I</w:t>
      </w:r>
      <w:r w:rsidRPr="00F06896">
        <w:rPr>
          <w:rFonts w:ascii="Times New Roman" w:hAnsi="Times New Roman"/>
          <w:sz w:val="22"/>
          <w:szCs w:val="22"/>
        </w:rPr>
        <w:t>t is Ei</w:t>
      </w:r>
      <w:r w:rsidRPr="00F06896" w:rsidR="00126D6E">
        <w:rPr>
          <w:rFonts w:ascii="Times New Roman" w:hAnsi="Times New Roman"/>
          <w:sz w:val="22"/>
          <w:szCs w:val="22"/>
        </w:rPr>
        <w:t xml:space="preserve">sai’s firm view that </w:t>
      </w:r>
      <w:r w:rsidRPr="00F06896" w:rsidR="00366532">
        <w:rPr>
          <w:rFonts w:ascii="Times New Roman" w:hAnsi="Times New Roman"/>
          <w:sz w:val="22"/>
          <w:szCs w:val="22"/>
        </w:rPr>
        <w:t xml:space="preserve">NICE should either have delayed ACM3 to permit consultation on the document prior to the meeting of the Committee or </w:t>
      </w:r>
      <w:r w:rsidRPr="00F06896" w:rsidR="003F1773">
        <w:rPr>
          <w:rFonts w:ascii="Times New Roman" w:hAnsi="Times New Roman"/>
          <w:sz w:val="22"/>
          <w:szCs w:val="22"/>
        </w:rPr>
        <w:t xml:space="preserve">have directed a further period of consultation following ACM3 so that the necessary </w:t>
      </w:r>
      <w:r w:rsidRPr="00F06896" w:rsidR="007B441D">
        <w:rPr>
          <w:rFonts w:ascii="Times New Roman" w:hAnsi="Times New Roman"/>
          <w:sz w:val="22"/>
          <w:szCs w:val="22"/>
        </w:rPr>
        <w:t xml:space="preserve">review and comment </w:t>
      </w:r>
      <w:r w:rsidRPr="00F06896" w:rsidR="00D514A4">
        <w:rPr>
          <w:rFonts w:ascii="Times New Roman" w:hAnsi="Times New Roman"/>
          <w:sz w:val="22"/>
          <w:szCs w:val="22"/>
        </w:rPr>
        <w:t xml:space="preserve">by stakeholders </w:t>
      </w:r>
      <w:r w:rsidRPr="00F06896" w:rsidR="003F1773">
        <w:rPr>
          <w:rFonts w:ascii="Times New Roman" w:hAnsi="Times New Roman"/>
          <w:sz w:val="22"/>
          <w:szCs w:val="22"/>
        </w:rPr>
        <w:t>could take place at that stage.</w:t>
      </w:r>
      <w:r w:rsidRPr="00F06896" w:rsidR="005272F2">
        <w:rPr>
          <w:rFonts w:ascii="Times New Roman" w:hAnsi="Times New Roman"/>
          <w:sz w:val="22"/>
          <w:szCs w:val="22"/>
        </w:rPr>
        <w:t xml:space="preserve">  To the extent that </w:t>
      </w:r>
      <w:r w:rsidRPr="00F06896" w:rsidR="00073543">
        <w:rPr>
          <w:rFonts w:ascii="Times New Roman" w:hAnsi="Times New Roman"/>
          <w:sz w:val="22"/>
          <w:szCs w:val="22"/>
        </w:rPr>
        <w:t xml:space="preserve">the </w:t>
      </w:r>
      <w:r w:rsidRPr="00F06896" w:rsidR="008B5BE4">
        <w:rPr>
          <w:rFonts w:ascii="Times New Roman" w:hAnsi="Times New Roman"/>
          <w:sz w:val="22"/>
          <w:szCs w:val="22"/>
        </w:rPr>
        <w:t>last-minute</w:t>
      </w:r>
      <w:r w:rsidRPr="00F06896" w:rsidR="00073543">
        <w:rPr>
          <w:rFonts w:ascii="Times New Roman" w:hAnsi="Times New Roman"/>
          <w:sz w:val="22"/>
          <w:szCs w:val="22"/>
        </w:rPr>
        <w:t xml:space="preserve"> disclosure of the “Infusion Cost Estimates” document by NICE to consultees was as a result of the late submission by NHS England, well after the deadline for responses to consultation on the second Draft Guidance, this increases the force of Eisai’s argument still further. </w:t>
      </w:r>
    </w:p>
    <w:p w:rsidRPr="00F06896" w:rsidR="00975F94" w:rsidP="007F0316" w:rsidRDefault="00975F94" w14:paraId="10FD132A" w14:textId="77777777">
      <w:pPr>
        <w:ind w:left="720"/>
        <w:rPr>
          <w:rFonts w:ascii="Times New Roman" w:hAnsi="Times New Roman"/>
          <w:sz w:val="22"/>
          <w:szCs w:val="22"/>
        </w:rPr>
      </w:pPr>
    </w:p>
    <w:p w:rsidR="00183CDC" w:rsidP="007F0316" w:rsidRDefault="00183CDC" w14:paraId="502069A2" w14:textId="2312858B">
      <w:pPr>
        <w:pStyle w:val="ListParagraph"/>
        <w:numPr>
          <w:ilvl w:val="1"/>
          <w:numId w:val="1"/>
        </w:numPr>
        <w:rPr>
          <w:rFonts w:ascii="Times New Roman" w:hAnsi="Times New Roman"/>
          <w:b/>
          <w:bCs/>
          <w:sz w:val="22"/>
          <w:szCs w:val="22"/>
        </w:rPr>
      </w:pPr>
      <w:r w:rsidRPr="00F06896">
        <w:rPr>
          <w:rFonts w:ascii="Times New Roman" w:hAnsi="Times New Roman"/>
          <w:b/>
          <w:bCs/>
          <w:sz w:val="22"/>
          <w:szCs w:val="22"/>
        </w:rPr>
        <w:t xml:space="preserve">The </w:t>
      </w:r>
      <w:r w:rsidRPr="00F06896" w:rsidR="001B7842">
        <w:rPr>
          <w:rFonts w:ascii="Times New Roman" w:hAnsi="Times New Roman"/>
          <w:b/>
          <w:bCs/>
          <w:sz w:val="22"/>
          <w:szCs w:val="22"/>
        </w:rPr>
        <w:t xml:space="preserve">evidence and reasoning of </w:t>
      </w:r>
      <w:r w:rsidRPr="00F06896">
        <w:rPr>
          <w:rFonts w:ascii="Times New Roman" w:hAnsi="Times New Roman"/>
          <w:b/>
          <w:bCs/>
          <w:sz w:val="22"/>
          <w:szCs w:val="22"/>
        </w:rPr>
        <w:t>the Committee</w:t>
      </w:r>
      <w:r w:rsidRPr="00F06896" w:rsidR="00EA43CC">
        <w:rPr>
          <w:rFonts w:ascii="Times New Roman" w:hAnsi="Times New Roman"/>
          <w:b/>
          <w:bCs/>
          <w:sz w:val="22"/>
          <w:szCs w:val="22"/>
        </w:rPr>
        <w:t xml:space="preserve"> </w:t>
      </w:r>
      <w:r w:rsidRPr="00F06896" w:rsidR="001B7842">
        <w:rPr>
          <w:rFonts w:ascii="Times New Roman" w:hAnsi="Times New Roman"/>
          <w:b/>
          <w:bCs/>
          <w:sz w:val="22"/>
          <w:szCs w:val="22"/>
        </w:rPr>
        <w:t xml:space="preserve">in relation to infusion costs </w:t>
      </w:r>
      <w:r w:rsidRPr="00F06896" w:rsidR="00F0180E">
        <w:rPr>
          <w:rFonts w:ascii="Times New Roman" w:hAnsi="Times New Roman"/>
          <w:b/>
          <w:bCs/>
          <w:sz w:val="22"/>
          <w:szCs w:val="22"/>
        </w:rPr>
        <w:t xml:space="preserve">lacks transparency </w:t>
      </w:r>
      <w:r w:rsidRPr="00F06896" w:rsidR="00E705C7">
        <w:rPr>
          <w:rFonts w:ascii="Times New Roman" w:hAnsi="Times New Roman"/>
          <w:b/>
          <w:bCs/>
          <w:sz w:val="22"/>
          <w:szCs w:val="22"/>
        </w:rPr>
        <w:t>despite the evidence submitted by NHS England prior to ACM3</w:t>
      </w:r>
    </w:p>
    <w:p w:rsidRPr="00605D45" w:rsidR="00605D45" w:rsidP="00605D45" w:rsidRDefault="00605D45" w14:paraId="4142A423" w14:textId="77777777">
      <w:pPr>
        <w:rPr>
          <w:rFonts w:ascii="Times New Roman" w:hAnsi="Times New Roman"/>
          <w:b/>
          <w:bCs/>
          <w:sz w:val="22"/>
          <w:szCs w:val="22"/>
        </w:rPr>
      </w:pPr>
    </w:p>
    <w:p w:rsidR="00D25836" w:rsidP="00605D45" w:rsidRDefault="00F915B9" w14:paraId="06DBC02E" w14:textId="66F6C2B1">
      <w:pPr>
        <w:rPr>
          <w:rFonts w:ascii="Times New Roman" w:hAnsi="Times New Roman"/>
          <w:sz w:val="22"/>
          <w:szCs w:val="22"/>
        </w:rPr>
      </w:pPr>
      <w:r w:rsidRPr="00F06896">
        <w:rPr>
          <w:rFonts w:ascii="Times New Roman" w:hAnsi="Times New Roman"/>
          <w:sz w:val="22"/>
          <w:szCs w:val="22"/>
        </w:rPr>
        <w:t xml:space="preserve">The </w:t>
      </w:r>
      <w:r w:rsidRPr="00F06896" w:rsidR="001666CF">
        <w:rPr>
          <w:rFonts w:ascii="Times New Roman" w:hAnsi="Times New Roman"/>
          <w:sz w:val="22"/>
          <w:szCs w:val="22"/>
        </w:rPr>
        <w:t xml:space="preserve">importance of infusion costs </w:t>
      </w:r>
      <w:r w:rsidRPr="00F06896" w:rsidR="000419A3">
        <w:rPr>
          <w:rFonts w:ascii="Times New Roman" w:hAnsi="Times New Roman"/>
          <w:sz w:val="22"/>
          <w:szCs w:val="22"/>
        </w:rPr>
        <w:t xml:space="preserve">in the context of this appraisal and the </w:t>
      </w:r>
      <w:r w:rsidRPr="00F06896" w:rsidR="00BE26AE">
        <w:rPr>
          <w:rFonts w:ascii="Times New Roman" w:hAnsi="Times New Roman"/>
          <w:sz w:val="22"/>
          <w:szCs w:val="22"/>
        </w:rPr>
        <w:t xml:space="preserve">history of information submitted in this appraisal, including </w:t>
      </w:r>
      <w:r w:rsidRPr="00F06896" w:rsidR="000419A3">
        <w:rPr>
          <w:rFonts w:ascii="Times New Roman" w:hAnsi="Times New Roman"/>
          <w:sz w:val="22"/>
          <w:szCs w:val="22"/>
        </w:rPr>
        <w:t>requests by Eisai for clarification of the estimation proposed by NHS England</w:t>
      </w:r>
      <w:r w:rsidRPr="00F06896" w:rsidR="00BE26AE">
        <w:rPr>
          <w:rFonts w:ascii="Times New Roman" w:hAnsi="Times New Roman"/>
          <w:sz w:val="22"/>
          <w:szCs w:val="22"/>
        </w:rPr>
        <w:t>,</w:t>
      </w:r>
      <w:r w:rsidRPr="00F06896" w:rsidR="000419A3">
        <w:rPr>
          <w:rFonts w:ascii="Times New Roman" w:hAnsi="Times New Roman"/>
          <w:sz w:val="22"/>
          <w:szCs w:val="22"/>
        </w:rPr>
        <w:t xml:space="preserve"> are </w:t>
      </w:r>
      <w:r w:rsidRPr="00F06896" w:rsidR="00D85E76">
        <w:rPr>
          <w:rFonts w:ascii="Times New Roman" w:hAnsi="Times New Roman"/>
          <w:sz w:val="22"/>
          <w:szCs w:val="22"/>
        </w:rPr>
        <w:t>set out under appeal point 1.1 above</w:t>
      </w:r>
      <w:r w:rsidRPr="00F06896" w:rsidR="00BE26AE">
        <w:rPr>
          <w:rFonts w:ascii="Times New Roman" w:hAnsi="Times New Roman"/>
          <w:sz w:val="22"/>
          <w:szCs w:val="22"/>
        </w:rPr>
        <w:t>, but are also relevant to this appeal point 1.2</w:t>
      </w:r>
      <w:r w:rsidRPr="00F06896" w:rsidR="00D85E76">
        <w:rPr>
          <w:rFonts w:ascii="Times New Roman" w:hAnsi="Times New Roman"/>
          <w:sz w:val="22"/>
          <w:szCs w:val="22"/>
        </w:rPr>
        <w:t xml:space="preserve">.  </w:t>
      </w:r>
    </w:p>
    <w:p w:rsidRPr="00F06896" w:rsidR="00D4232E" w:rsidP="00605D45" w:rsidRDefault="00D4232E" w14:paraId="7F204B90" w14:textId="77777777">
      <w:pPr>
        <w:rPr>
          <w:rFonts w:ascii="Times New Roman" w:hAnsi="Times New Roman"/>
          <w:sz w:val="22"/>
          <w:szCs w:val="22"/>
        </w:rPr>
      </w:pPr>
    </w:p>
    <w:p w:rsidR="00183CDC" w:rsidP="00D4232E" w:rsidRDefault="003D5B1B" w14:paraId="1D7574FE" w14:textId="3342A674">
      <w:pPr>
        <w:rPr>
          <w:rFonts w:ascii="Times New Roman" w:hAnsi="Times New Roman"/>
          <w:sz w:val="22"/>
          <w:szCs w:val="22"/>
        </w:rPr>
      </w:pPr>
      <w:r w:rsidRPr="00F06896">
        <w:rPr>
          <w:rFonts w:ascii="Times New Roman" w:hAnsi="Times New Roman"/>
          <w:sz w:val="22"/>
          <w:szCs w:val="22"/>
        </w:rPr>
        <w:t xml:space="preserve">Even following the additional information regarding infusion costs </w:t>
      </w:r>
      <w:r w:rsidRPr="00F06896" w:rsidR="00C92FE3">
        <w:rPr>
          <w:rFonts w:ascii="Times New Roman" w:hAnsi="Times New Roman"/>
          <w:sz w:val="22"/>
          <w:szCs w:val="22"/>
        </w:rPr>
        <w:t>in the “Infusion Cost Estimate</w:t>
      </w:r>
      <w:r w:rsidRPr="00F06896" w:rsidR="00BE26AE">
        <w:rPr>
          <w:rFonts w:ascii="Times New Roman" w:hAnsi="Times New Roman"/>
          <w:sz w:val="22"/>
          <w:szCs w:val="22"/>
        </w:rPr>
        <w:t>s</w:t>
      </w:r>
      <w:r w:rsidRPr="00F06896" w:rsidR="00C92FE3">
        <w:rPr>
          <w:rFonts w:ascii="Times New Roman" w:hAnsi="Times New Roman"/>
          <w:sz w:val="22"/>
          <w:szCs w:val="22"/>
        </w:rPr>
        <w:t xml:space="preserve">” document </w:t>
      </w:r>
      <w:r w:rsidRPr="00F06896" w:rsidR="007E5FCA">
        <w:rPr>
          <w:rFonts w:ascii="Times New Roman" w:hAnsi="Times New Roman"/>
          <w:sz w:val="22"/>
          <w:szCs w:val="22"/>
        </w:rPr>
        <w:t xml:space="preserve">provided </w:t>
      </w:r>
      <w:r w:rsidRPr="00F06896" w:rsidR="00BB3E5F">
        <w:rPr>
          <w:rFonts w:ascii="Times New Roman" w:hAnsi="Times New Roman"/>
          <w:sz w:val="22"/>
          <w:szCs w:val="22"/>
        </w:rPr>
        <w:t xml:space="preserve">by NHS England and disclosed </w:t>
      </w:r>
      <w:r w:rsidRPr="00F06896" w:rsidR="007E5FCA">
        <w:rPr>
          <w:rFonts w:ascii="Times New Roman" w:hAnsi="Times New Roman"/>
          <w:sz w:val="22"/>
          <w:szCs w:val="22"/>
        </w:rPr>
        <w:t xml:space="preserve">immediately before ACM3, the </w:t>
      </w:r>
      <w:r w:rsidRPr="00F06896" w:rsidR="00D81806">
        <w:rPr>
          <w:rFonts w:ascii="Times New Roman" w:hAnsi="Times New Roman"/>
          <w:sz w:val="22"/>
          <w:szCs w:val="22"/>
        </w:rPr>
        <w:t xml:space="preserve">Committee’s reasons </w:t>
      </w:r>
      <w:r w:rsidRPr="00F06896" w:rsidR="00DB639B">
        <w:rPr>
          <w:rFonts w:ascii="Times New Roman" w:hAnsi="Times New Roman"/>
          <w:sz w:val="22"/>
          <w:szCs w:val="22"/>
        </w:rPr>
        <w:t xml:space="preserve">for accepting the </w:t>
      </w:r>
      <w:r w:rsidRPr="00F06896" w:rsidR="00D514A4">
        <w:rPr>
          <w:rFonts w:ascii="Times New Roman" w:hAnsi="Times New Roman"/>
          <w:sz w:val="22"/>
          <w:szCs w:val="22"/>
        </w:rPr>
        <w:t xml:space="preserve">estimation of </w:t>
      </w:r>
      <w:r w:rsidRPr="00F06896" w:rsidR="007E5FCA">
        <w:rPr>
          <w:rFonts w:ascii="Times New Roman" w:hAnsi="Times New Roman"/>
          <w:sz w:val="22"/>
          <w:szCs w:val="22"/>
        </w:rPr>
        <w:t>infusion costs</w:t>
      </w:r>
      <w:r w:rsidRPr="00F06896" w:rsidR="00D514A4">
        <w:rPr>
          <w:rFonts w:ascii="Times New Roman" w:hAnsi="Times New Roman"/>
          <w:sz w:val="22"/>
          <w:szCs w:val="22"/>
        </w:rPr>
        <w:t xml:space="preserve"> </w:t>
      </w:r>
      <w:r w:rsidRPr="00F06896" w:rsidR="005032B9">
        <w:rPr>
          <w:rFonts w:ascii="Times New Roman" w:hAnsi="Times New Roman"/>
          <w:sz w:val="22"/>
          <w:szCs w:val="22"/>
        </w:rPr>
        <w:t xml:space="preserve">based on infusion of COVID-19 monoclonal antibodies </w:t>
      </w:r>
      <w:r w:rsidRPr="00F06896" w:rsidR="00D06BD6">
        <w:rPr>
          <w:rFonts w:ascii="Times New Roman" w:hAnsi="Times New Roman"/>
          <w:sz w:val="22"/>
          <w:szCs w:val="22"/>
        </w:rPr>
        <w:t xml:space="preserve">and rejecting the estimation proposed by Eisai </w:t>
      </w:r>
      <w:r w:rsidRPr="00F06896" w:rsidR="00BE26AE">
        <w:rPr>
          <w:rFonts w:ascii="Times New Roman" w:hAnsi="Times New Roman"/>
          <w:sz w:val="22"/>
          <w:szCs w:val="22"/>
        </w:rPr>
        <w:t xml:space="preserve">lack transparency and </w:t>
      </w:r>
      <w:r w:rsidRPr="00F06896" w:rsidR="008510A5">
        <w:rPr>
          <w:rFonts w:ascii="Times New Roman" w:hAnsi="Times New Roman"/>
          <w:sz w:val="22"/>
          <w:szCs w:val="22"/>
        </w:rPr>
        <w:t xml:space="preserve">are unsupported </w:t>
      </w:r>
      <w:r w:rsidRPr="00F06896" w:rsidR="00F670B8">
        <w:rPr>
          <w:rFonts w:ascii="Times New Roman" w:hAnsi="Times New Roman"/>
          <w:sz w:val="22"/>
          <w:szCs w:val="22"/>
        </w:rPr>
        <w:t>by evidence</w:t>
      </w:r>
      <w:r w:rsidRPr="00F06896" w:rsidR="00956294">
        <w:rPr>
          <w:rFonts w:ascii="Times New Roman" w:hAnsi="Times New Roman"/>
          <w:sz w:val="22"/>
          <w:szCs w:val="22"/>
        </w:rPr>
        <w:t>.</w:t>
      </w:r>
    </w:p>
    <w:p w:rsidRPr="00F06896" w:rsidR="00D4232E" w:rsidP="00D4232E" w:rsidRDefault="00D4232E" w14:paraId="34095038" w14:textId="77777777">
      <w:pPr>
        <w:rPr>
          <w:rFonts w:ascii="Times New Roman" w:hAnsi="Times New Roman"/>
          <w:sz w:val="22"/>
          <w:szCs w:val="22"/>
        </w:rPr>
      </w:pPr>
    </w:p>
    <w:p w:rsidR="00A6475D" w:rsidP="00D4232E" w:rsidRDefault="00A6475D" w14:paraId="40E205A8" w14:textId="7CF9C779">
      <w:pPr>
        <w:rPr>
          <w:rFonts w:ascii="Times New Roman" w:hAnsi="Times New Roman"/>
          <w:sz w:val="22"/>
          <w:szCs w:val="22"/>
          <w:u w:val="single"/>
        </w:rPr>
      </w:pPr>
      <w:r w:rsidRPr="00F06896">
        <w:rPr>
          <w:rFonts w:ascii="Times New Roman" w:hAnsi="Times New Roman"/>
          <w:sz w:val="22"/>
          <w:szCs w:val="22"/>
          <w:u w:val="single"/>
        </w:rPr>
        <w:t>Lack of transparency</w:t>
      </w:r>
    </w:p>
    <w:p w:rsidRPr="00F06896" w:rsidR="00DF5077" w:rsidP="00D4232E" w:rsidRDefault="00DF5077" w14:paraId="48CCD2EC" w14:textId="77777777">
      <w:pPr>
        <w:rPr>
          <w:rFonts w:ascii="Times New Roman" w:hAnsi="Times New Roman"/>
          <w:sz w:val="22"/>
          <w:szCs w:val="22"/>
          <w:u w:val="single"/>
        </w:rPr>
      </w:pPr>
    </w:p>
    <w:p w:rsidRPr="00F06896" w:rsidR="00DB639B" w:rsidP="00D4232E" w:rsidRDefault="00A60657" w14:paraId="68319FD9" w14:textId="1EF87527">
      <w:pPr>
        <w:pStyle w:val="ListParagraph"/>
        <w:numPr>
          <w:ilvl w:val="0"/>
          <w:numId w:val="4"/>
        </w:numPr>
        <w:ind w:left="360"/>
        <w:rPr>
          <w:rFonts w:ascii="Times New Roman" w:hAnsi="Times New Roman"/>
          <w:sz w:val="22"/>
          <w:szCs w:val="22"/>
          <w:u w:val="single"/>
        </w:rPr>
      </w:pPr>
      <w:r w:rsidRPr="00F06896">
        <w:rPr>
          <w:rFonts w:ascii="Times New Roman" w:hAnsi="Times New Roman"/>
          <w:sz w:val="22"/>
          <w:szCs w:val="22"/>
          <w:u w:val="single"/>
        </w:rPr>
        <w:t xml:space="preserve">The basis for and calculation of the </w:t>
      </w:r>
      <w:r w:rsidRPr="00F06896" w:rsidR="009D6AA9">
        <w:rPr>
          <w:rFonts w:ascii="Times New Roman" w:hAnsi="Times New Roman"/>
          <w:sz w:val="22"/>
          <w:szCs w:val="22"/>
          <w:u w:val="single"/>
        </w:rPr>
        <w:t>infusion costs based on monoclonal antibodies for COVID-19 have not been explained</w:t>
      </w:r>
    </w:p>
    <w:p w:rsidR="00D4232E" w:rsidP="00D4232E" w:rsidRDefault="00D4232E" w14:paraId="6507089D" w14:textId="77777777">
      <w:pPr>
        <w:ind w:left="360"/>
        <w:rPr>
          <w:rFonts w:ascii="Times New Roman" w:hAnsi="Times New Roman"/>
          <w:sz w:val="22"/>
          <w:szCs w:val="22"/>
        </w:rPr>
      </w:pPr>
    </w:p>
    <w:p w:rsidR="005032B9" w:rsidP="00D4232E" w:rsidRDefault="005032B9" w14:paraId="00DA38EB" w14:textId="6E80FA16">
      <w:pPr>
        <w:ind w:left="360"/>
        <w:rPr>
          <w:rFonts w:ascii="Times New Roman" w:hAnsi="Times New Roman"/>
          <w:sz w:val="22"/>
          <w:szCs w:val="22"/>
        </w:rPr>
      </w:pPr>
      <w:r w:rsidRPr="00F06896">
        <w:rPr>
          <w:rFonts w:ascii="Times New Roman" w:hAnsi="Times New Roman"/>
          <w:sz w:val="22"/>
          <w:szCs w:val="22"/>
        </w:rPr>
        <w:t>The</w:t>
      </w:r>
      <w:r w:rsidRPr="00F06896" w:rsidR="008810E1">
        <w:rPr>
          <w:rFonts w:ascii="Times New Roman" w:hAnsi="Times New Roman"/>
          <w:sz w:val="22"/>
          <w:szCs w:val="22"/>
        </w:rPr>
        <w:t xml:space="preserve">re are central elements of the </w:t>
      </w:r>
      <w:r w:rsidRPr="00F06896" w:rsidR="007D3DEC">
        <w:rPr>
          <w:rFonts w:ascii="Times New Roman" w:hAnsi="Times New Roman"/>
          <w:sz w:val="22"/>
          <w:szCs w:val="22"/>
        </w:rPr>
        <w:t xml:space="preserve">infusion costs estimation proposed </w:t>
      </w:r>
      <w:r w:rsidRPr="00F06896" w:rsidR="006A2B55">
        <w:rPr>
          <w:rFonts w:ascii="Times New Roman" w:hAnsi="Times New Roman"/>
          <w:sz w:val="22"/>
          <w:szCs w:val="22"/>
        </w:rPr>
        <w:t xml:space="preserve">by NHS </w:t>
      </w:r>
      <w:r w:rsidRPr="00F06896" w:rsidR="00ED6F75">
        <w:rPr>
          <w:rFonts w:ascii="Times New Roman" w:hAnsi="Times New Roman"/>
          <w:sz w:val="22"/>
          <w:szCs w:val="22"/>
        </w:rPr>
        <w:t>England</w:t>
      </w:r>
      <w:r w:rsidRPr="00F06896" w:rsidR="006A2B55">
        <w:rPr>
          <w:rFonts w:ascii="Times New Roman" w:hAnsi="Times New Roman"/>
          <w:sz w:val="22"/>
          <w:szCs w:val="22"/>
        </w:rPr>
        <w:t xml:space="preserve"> and accepted by the </w:t>
      </w:r>
      <w:r w:rsidRPr="00F06896" w:rsidR="00E80AA0">
        <w:rPr>
          <w:rFonts w:ascii="Times New Roman" w:hAnsi="Times New Roman"/>
          <w:sz w:val="22"/>
          <w:szCs w:val="22"/>
        </w:rPr>
        <w:t xml:space="preserve">Appraisal Committee which </w:t>
      </w:r>
      <w:r w:rsidRPr="00F06896" w:rsidR="00A20671">
        <w:rPr>
          <w:rFonts w:ascii="Times New Roman" w:hAnsi="Times New Roman"/>
          <w:sz w:val="22"/>
          <w:szCs w:val="22"/>
        </w:rPr>
        <w:t xml:space="preserve">lack transparency and cannot </w:t>
      </w:r>
      <w:r w:rsidRPr="00F06896" w:rsidR="008C4DE9">
        <w:rPr>
          <w:rFonts w:ascii="Times New Roman" w:hAnsi="Times New Roman"/>
          <w:sz w:val="22"/>
          <w:szCs w:val="22"/>
        </w:rPr>
        <w:t xml:space="preserve">therefore </w:t>
      </w:r>
      <w:r w:rsidRPr="00F06896" w:rsidR="00A20671">
        <w:rPr>
          <w:rFonts w:ascii="Times New Roman" w:hAnsi="Times New Roman"/>
          <w:sz w:val="22"/>
          <w:szCs w:val="22"/>
        </w:rPr>
        <w:t xml:space="preserve">be tested </w:t>
      </w:r>
      <w:r w:rsidRPr="00F06896" w:rsidR="008C4DE9">
        <w:rPr>
          <w:rFonts w:ascii="Times New Roman" w:hAnsi="Times New Roman"/>
          <w:sz w:val="22"/>
          <w:szCs w:val="22"/>
        </w:rPr>
        <w:t xml:space="preserve">to confirm they are </w:t>
      </w:r>
      <w:r w:rsidRPr="00F06896" w:rsidR="00F33914">
        <w:rPr>
          <w:rFonts w:ascii="Times New Roman" w:hAnsi="Times New Roman"/>
          <w:sz w:val="22"/>
          <w:szCs w:val="22"/>
        </w:rPr>
        <w:t xml:space="preserve">valid. </w:t>
      </w:r>
      <w:r w:rsidRPr="00F06896">
        <w:rPr>
          <w:rFonts w:ascii="Times New Roman" w:hAnsi="Times New Roman"/>
          <w:sz w:val="22"/>
          <w:szCs w:val="22"/>
        </w:rPr>
        <w:t xml:space="preserve"> </w:t>
      </w:r>
      <w:r w:rsidRPr="00F06896" w:rsidR="00F33914">
        <w:rPr>
          <w:rFonts w:ascii="Times New Roman" w:hAnsi="Times New Roman"/>
          <w:sz w:val="22"/>
          <w:szCs w:val="22"/>
        </w:rPr>
        <w:t xml:space="preserve">These </w:t>
      </w:r>
      <w:r w:rsidRPr="00F06896" w:rsidR="007F6E96">
        <w:rPr>
          <w:rFonts w:ascii="Times New Roman" w:hAnsi="Times New Roman"/>
          <w:sz w:val="22"/>
          <w:szCs w:val="22"/>
        </w:rPr>
        <w:t xml:space="preserve">elements </w:t>
      </w:r>
      <w:r w:rsidRPr="00F06896" w:rsidR="00F33914">
        <w:rPr>
          <w:rFonts w:ascii="Times New Roman" w:hAnsi="Times New Roman"/>
          <w:sz w:val="22"/>
          <w:szCs w:val="22"/>
        </w:rPr>
        <w:t>includ</w:t>
      </w:r>
      <w:r w:rsidRPr="00F06896" w:rsidR="007502A9">
        <w:rPr>
          <w:rFonts w:ascii="Times New Roman" w:hAnsi="Times New Roman"/>
          <w:sz w:val="22"/>
          <w:szCs w:val="22"/>
        </w:rPr>
        <w:t>e</w:t>
      </w:r>
      <w:r w:rsidRPr="00F06896" w:rsidR="00A578B2">
        <w:rPr>
          <w:rFonts w:ascii="Times New Roman" w:hAnsi="Times New Roman"/>
          <w:sz w:val="22"/>
          <w:szCs w:val="22"/>
        </w:rPr>
        <w:t>:</w:t>
      </w:r>
    </w:p>
    <w:p w:rsidRPr="00F06896" w:rsidR="00763826" w:rsidP="00D4232E" w:rsidRDefault="00763826" w14:paraId="6D1D9DCC" w14:textId="77777777">
      <w:pPr>
        <w:ind w:left="360"/>
        <w:rPr>
          <w:rFonts w:ascii="Times New Roman" w:hAnsi="Times New Roman"/>
          <w:sz w:val="22"/>
          <w:szCs w:val="22"/>
        </w:rPr>
      </w:pPr>
    </w:p>
    <w:p w:rsidRPr="00F06896" w:rsidR="00F670B8" w:rsidP="00D4232E" w:rsidRDefault="00C15FCC" w14:paraId="29A5C105" w14:textId="5C4230FA">
      <w:pPr>
        <w:pStyle w:val="ListParagraph"/>
        <w:numPr>
          <w:ilvl w:val="0"/>
          <w:numId w:val="2"/>
        </w:numPr>
        <w:ind w:left="720"/>
        <w:rPr>
          <w:rFonts w:ascii="Times New Roman" w:hAnsi="Times New Roman"/>
          <w:sz w:val="22"/>
          <w:szCs w:val="22"/>
        </w:rPr>
      </w:pPr>
      <w:r w:rsidRPr="00F06896">
        <w:rPr>
          <w:rFonts w:ascii="Times New Roman" w:hAnsi="Times New Roman"/>
          <w:sz w:val="22"/>
          <w:szCs w:val="22"/>
        </w:rPr>
        <w:t>The reason</w:t>
      </w:r>
      <w:r w:rsidRPr="00F06896" w:rsidR="005272F2">
        <w:rPr>
          <w:rFonts w:ascii="Times New Roman" w:hAnsi="Times New Roman"/>
          <w:sz w:val="22"/>
          <w:szCs w:val="22"/>
        </w:rPr>
        <w:t>s</w:t>
      </w:r>
      <w:r w:rsidRPr="00F06896">
        <w:rPr>
          <w:rFonts w:ascii="Times New Roman" w:hAnsi="Times New Roman"/>
          <w:sz w:val="22"/>
          <w:szCs w:val="22"/>
        </w:rPr>
        <w:t xml:space="preserve"> for concluding that the administration of monoclonal antibodies to seriously ill patients with COVID-19 is comparable to infusion costs for </w:t>
      </w:r>
      <w:r w:rsidRPr="00F06896" w:rsidR="000319AF">
        <w:rPr>
          <w:rFonts w:ascii="Times New Roman" w:hAnsi="Times New Roman"/>
          <w:sz w:val="22"/>
          <w:szCs w:val="22"/>
        </w:rPr>
        <w:t xml:space="preserve">stable </w:t>
      </w:r>
      <w:r w:rsidRPr="00F06896">
        <w:rPr>
          <w:rFonts w:ascii="Times New Roman" w:hAnsi="Times New Roman"/>
          <w:sz w:val="22"/>
          <w:szCs w:val="22"/>
        </w:rPr>
        <w:t>patients with early AD</w:t>
      </w:r>
    </w:p>
    <w:p w:rsidRPr="00F06896" w:rsidR="00836487" w:rsidP="00D4232E" w:rsidRDefault="000A4EA6" w14:paraId="3DF9321A" w14:textId="725DC993">
      <w:pPr>
        <w:pStyle w:val="ListParagraph"/>
        <w:numPr>
          <w:ilvl w:val="0"/>
          <w:numId w:val="2"/>
        </w:numPr>
        <w:ind w:left="720"/>
        <w:rPr>
          <w:rFonts w:ascii="Times New Roman" w:hAnsi="Times New Roman"/>
          <w:sz w:val="22"/>
          <w:szCs w:val="22"/>
        </w:rPr>
      </w:pPr>
      <w:r w:rsidRPr="00F06896">
        <w:rPr>
          <w:rFonts w:ascii="Times New Roman" w:hAnsi="Times New Roman"/>
          <w:sz w:val="22"/>
          <w:szCs w:val="22"/>
        </w:rPr>
        <w:t>A</w:t>
      </w:r>
      <w:r w:rsidRPr="00F06896" w:rsidR="00836487">
        <w:rPr>
          <w:rFonts w:ascii="Times New Roman" w:hAnsi="Times New Roman"/>
          <w:sz w:val="22"/>
          <w:szCs w:val="22"/>
        </w:rPr>
        <w:t xml:space="preserve">ny evidence relied upon </w:t>
      </w:r>
      <w:r w:rsidRPr="00F06896">
        <w:rPr>
          <w:rFonts w:ascii="Times New Roman" w:hAnsi="Times New Roman"/>
          <w:sz w:val="22"/>
          <w:szCs w:val="22"/>
        </w:rPr>
        <w:t xml:space="preserve">to justify the conclusion that </w:t>
      </w:r>
      <w:r w:rsidRPr="00F06896" w:rsidR="00E90223">
        <w:rPr>
          <w:rFonts w:ascii="Times New Roman" w:hAnsi="Times New Roman"/>
          <w:sz w:val="22"/>
          <w:szCs w:val="22"/>
        </w:rPr>
        <w:t xml:space="preserve">the administration of monoclonal antibodies to patients with COVID-19 </w:t>
      </w:r>
      <w:r w:rsidRPr="00F06896" w:rsidR="009F1C82">
        <w:rPr>
          <w:rFonts w:ascii="Times New Roman" w:hAnsi="Times New Roman"/>
          <w:sz w:val="22"/>
          <w:szCs w:val="22"/>
        </w:rPr>
        <w:t xml:space="preserve">is comparable to infusion costs for patients with early AD </w:t>
      </w:r>
    </w:p>
    <w:p w:rsidRPr="00F06896" w:rsidR="00727214" w:rsidP="00D4232E" w:rsidRDefault="00727214" w14:paraId="3B3DC3D2" w14:textId="130AF5AE">
      <w:pPr>
        <w:pStyle w:val="ListParagraph"/>
        <w:numPr>
          <w:ilvl w:val="0"/>
          <w:numId w:val="2"/>
        </w:numPr>
        <w:ind w:left="720"/>
        <w:rPr>
          <w:rFonts w:ascii="Times New Roman" w:hAnsi="Times New Roman"/>
          <w:sz w:val="22"/>
          <w:szCs w:val="22"/>
        </w:rPr>
      </w:pPr>
      <w:r w:rsidRPr="00F06896">
        <w:rPr>
          <w:rFonts w:ascii="Times New Roman" w:hAnsi="Times New Roman"/>
          <w:sz w:val="22"/>
          <w:szCs w:val="22"/>
        </w:rPr>
        <w:t xml:space="preserve">The constituent elements of the infusion costs for </w:t>
      </w:r>
      <w:r w:rsidRPr="00F06896" w:rsidR="005272F2">
        <w:rPr>
          <w:rFonts w:ascii="Times New Roman" w:hAnsi="Times New Roman"/>
          <w:sz w:val="22"/>
          <w:szCs w:val="22"/>
        </w:rPr>
        <w:t xml:space="preserve">administration of monoclonal antibodies to patients with COVID-19 as calculated by NHS </w:t>
      </w:r>
      <w:r w:rsidRPr="00F06896" w:rsidR="003A1529">
        <w:rPr>
          <w:rFonts w:ascii="Times New Roman" w:hAnsi="Times New Roman"/>
          <w:sz w:val="22"/>
          <w:szCs w:val="22"/>
        </w:rPr>
        <w:t>E</w:t>
      </w:r>
      <w:r w:rsidRPr="00F06896" w:rsidR="005272F2">
        <w:rPr>
          <w:rFonts w:ascii="Times New Roman" w:hAnsi="Times New Roman"/>
          <w:sz w:val="22"/>
          <w:szCs w:val="22"/>
        </w:rPr>
        <w:t>ngland</w:t>
      </w:r>
      <w:r w:rsidRPr="00F06896" w:rsidR="003A1529">
        <w:rPr>
          <w:rFonts w:ascii="Times New Roman" w:hAnsi="Times New Roman"/>
          <w:sz w:val="22"/>
          <w:szCs w:val="22"/>
        </w:rPr>
        <w:t>,</w:t>
      </w:r>
      <w:r w:rsidRPr="00F06896" w:rsidR="005272F2">
        <w:rPr>
          <w:rFonts w:ascii="Times New Roman" w:hAnsi="Times New Roman"/>
          <w:sz w:val="22"/>
          <w:szCs w:val="22"/>
        </w:rPr>
        <w:t xml:space="preserve"> in order to determine whether these are relevant to lecanemab </w:t>
      </w:r>
      <w:r w:rsidRPr="00F06896">
        <w:rPr>
          <w:rFonts w:ascii="Times New Roman" w:hAnsi="Times New Roman"/>
          <w:sz w:val="22"/>
          <w:szCs w:val="22"/>
        </w:rPr>
        <w:t xml:space="preserve"> </w:t>
      </w:r>
    </w:p>
    <w:p w:rsidRPr="00F06896" w:rsidR="003A1529" w:rsidP="00D4232E" w:rsidRDefault="003A1529" w14:paraId="2B17552C" w14:textId="556C60F9">
      <w:pPr>
        <w:pStyle w:val="ListParagraph"/>
        <w:numPr>
          <w:ilvl w:val="0"/>
          <w:numId w:val="2"/>
        </w:numPr>
        <w:ind w:left="720"/>
        <w:rPr>
          <w:rFonts w:ascii="Times New Roman" w:hAnsi="Times New Roman"/>
          <w:sz w:val="22"/>
          <w:szCs w:val="22"/>
        </w:rPr>
      </w:pPr>
      <w:r w:rsidRPr="00F06896">
        <w:rPr>
          <w:rStyle w:val="cf01"/>
          <w:rFonts w:ascii="Times New Roman" w:hAnsi="Times New Roman" w:cs="Times New Roman" w:eastAsiaTheme="majorEastAsia"/>
          <w:sz w:val="22"/>
          <w:szCs w:val="22"/>
        </w:rPr>
        <w:t xml:space="preserve">Clarification of whether NHS England’s estimated costs include both </w:t>
      </w:r>
      <w:r w:rsidRPr="00F06896">
        <w:rPr>
          <w:rStyle w:val="cf01"/>
          <w:rFonts w:ascii="Times New Roman" w:hAnsi="Times New Roman" w:cs="Times New Roman"/>
          <w:sz w:val="22"/>
          <w:szCs w:val="22"/>
        </w:rPr>
        <w:t>direct costs and overhead recovery</w:t>
      </w:r>
      <w:r w:rsidRPr="00F06896">
        <w:rPr>
          <w:rStyle w:val="cf01"/>
          <w:rFonts w:ascii="Times New Roman" w:hAnsi="Times New Roman" w:cs="Times New Roman" w:eastAsiaTheme="majorEastAsia"/>
          <w:sz w:val="22"/>
          <w:szCs w:val="22"/>
        </w:rPr>
        <w:t xml:space="preserve">, including </w:t>
      </w:r>
      <w:r w:rsidRPr="00F06896">
        <w:rPr>
          <w:rStyle w:val="cf01"/>
          <w:rFonts w:ascii="Times New Roman" w:hAnsi="Times New Roman" w:cs="Times New Roman"/>
          <w:sz w:val="22"/>
          <w:szCs w:val="22"/>
        </w:rPr>
        <w:t xml:space="preserve">overheads </w:t>
      </w:r>
      <w:r w:rsidRPr="00F06896">
        <w:rPr>
          <w:rStyle w:val="cf01"/>
          <w:rFonts w:ascii="Times New Roman" w:hAnsi="Times New Roman" w:cs="Times New Roman" w:eastAsiaTheme="majorEastAsia"/>
          <w:sz w:val="22"/>
          <w:szCs w:val="22"/>
        </w:rPr>
        <w:t xml:space="preserve">which </w:t>
      </w:r>
      <w:r w:rsidRPr="00F06896">
        <w:rPr>
          <w:rStyle w:val="cf01"/>
          <w:rFonts w:ascii="Times New Roman" w:hAnsi="Times New Roman" w:cs="Times New Roman"/>
          <w:sz w:val="22"/>
          <w:szCs w:val="22"/>
        </w:rPr>
        <w:t xml:space="preserve">may already </w:t>
      </w:r>
      <w:r w:rsidRPr="00F06896">
        <w:rPr>
          <w:rStyle w:val="cf01"/>
          <w:rFonts w:ascii="Times New Roman" w:hAnsi="Times New Roman" w:cs="Times New Roman" w:eastAsiaTheme="majorEastAsia"/>
          <w:sz w:val="22"/>
          <w:szCs w:val="22"/>
        </w:rPr>
        <w:t xml:space="preserve">have been </w:t>
      </w:r>
      <w:r w:rsidRPr="00F06896">
        <w:rPr>
          <w:rStyle w:val="cf01"/>
          <w:rFonts w:ascii="Times New Roman" w:hAnsi="Times New Roman" w:cs="Times New Roman"/>
          <w:sz w:val="22"/>
          <w:szCs w:val="22"/>
        </w:rPr>
        <w:t xml:space="preserve">recovered on other existing treatments. </w:t>
      </w:r>
      <w:r w:rsidRPr="00F06896">
        <w:rPr>
          <w:rStyle w:val="cf01"/>
          <w:rFonts w:ascii="Times New Roman" w:hAnsi="Times New Roman" w:cs="Times New Roman" w:eastAsiaTheme="majorEastAsia"/>
          <w:sz w:val="22"/>
          <w:szCs w:val="22"/>
        </w:rPr>
        <w:t>(</w:t>
      </w:r>
      <w:r w:rsidRPr="00F06896">
        <w:rPr>
          <w:rStyle w:val="cf01"/>
          <w:rFonts w:ascii="Times New Roman" w:hAnsi="Times New Roman" w:cs="Times New Roman"/>
          <w:sz w:val="22"/>
          <w:szCs w:val="22"/>
        </w:rPr>
        <w:t xml:space="preserve">If overhead recovery is due to increased fixed overheads within the </w:t>
      </w:r>
      <w:r w:rsidRPr="00F06896">
        <w:rPr>
          <w:rStyle w:val="cf01"/>
          <w:rFonts w:ascii="Times New Roman" w:hAnsi="Times New Roman" w:cs="Times New Roman" w:eastAsiaTheme="majorEastAsia"/>
          <w:sz w:val="22"/>
          <w:szCs w:val="22"/>
        </w:rPr>
        <w:t xml:space="preserve">NHS </w:t>
      </w:r>
      <w:r w:rsidRPr="00F06896">
        <w:rPr>
          <w:rStyle w:val="cf01"/>
          <w:rFonts w:ascii="Times New Roman" w:hAnsi="Times New Roman" w:cs="Times New Roman"/>
          <w:sz w:val="22"/>
          <w:szCs w:val="22"/>
        </w:rPr>
        <w:t>these should be explained.</w:t>
      </w:r>
      <w:r w:rsidRPr="00F06896">
        <w:rPr>
          <w:rStyle w:val="cf01"/>
          <w:rFonts w:ascii="Times New Roman" w:hAnsi="Times New Roman" w:cs="Times New Roman" w:eastAsiaTheme="majorEastAsia"/>
          <w:sz w:val="22"/>
          <w:szCs w:val="22"/>
        </w:rPr>
        <w:t>)</w:t>
      </w:r>
    </w:p>
    <w:p w:rsidRPr="00F06896" w:rsidR="00073543" w:rsidP="00D4232E" w:rsidRDefault="005272F2" w14:paraId="209CB945" w14:textId="77777777">
      <w:pPr>
        <w:pStyle w:val="ListParagraph"/>
        <w:numPr>
          <w:ilvl w:val="0"/>
          <w:numId w:val="2"/>
        </w:numPr>
        <w:ind w:left="720"/>
        <w:rPr>
          <w:rFonts w:ascii="Times New Roman" w:hAnsi="Times New Roman"/>
          <w:sz w:val="22"/>
          <w:szCs w:val="22"/>
        </w:rPr>
      </w:pPr>
      <w:r w:rsidRPr="00F06896">
        <w:rPr>
          <w:rFonts w:ascii="Times New Roman" w:hAnsi="Times New Roman"/>
          <w:sz w:val="22"/>
          <w:szCs w:val="22"/>
        </w:rPr>
        <w:t xml:space="preserve">A response to Eisai’s submission in </w:t>
      </w:r>
      <w:r w:rsidRPr="00F06896" w:rsidR="00073543">
        <w:rPr>
          <w:rFonts w:ascii="Times New Roman" w:hAnsi="Times New Roman"/>
          <w:sz w:val="22"/>
          <w:szCs w:val="22"/>
        </w:rPr>
        <w:t>response to consultation on the second Draft Guidance:</w:t>
      </w:r>
    </w:p>
    <w:p w:rsidRPr="00F06896" w:rsidR="00DB5BF6" w:rsidP="00D4232E" w:rsidRDefault="00073543" w14:paraId="53D73ECF" w14:textId="049752A7">
      <w:pPr>
        <w:pStyle w:val="ListParagraph"/>
        <w:numPr>
          <w:ilvl w:val="1"/>
          <w:numId w:val="2"/>
        </w:numPr>
        <w:ind w:left="1440"/>
        <w:rPr>
          <w:rFonts w:ascii="Times New Roman" w:hAnsi="Times New Roman"/>
          <w:sz w:val="22"/>
          <w:szCs w:val="22"/>
        </w:rPr>
      </w:pPr>
      <w:r w:rsidRPr="00F06896">
        <w:rPr>
          <w:rFonts w:ascii="Times New Roman" w:hAnsi="Times New Roman"/>
          <w:sz w:val="22"/>
          <w:szCs w:val="22"/>
        </w:rPr>
        <w:t xml:space="preserve">That, assuming NHS England’s estimated infusion costs for lecanemab reflected those used in TA878, these included elements </w:t>
      </w:r>
      <w:r w:rsidRPr="00F06896" w:rsidR="00DB5BF6">
        <w:rPr>
          <w:rFonts w:ascii="Times New Roman" w:hAnsi="Times New Roman"/>
          <w:sz w:val="22"/>
          <w:szCs w:val="22"/>
        </w:rPr>
        <w:t>for establishing COVID Medicines Delivery Units – which are not applicable for the administration of lecanemab</w:t>
      </w:r>
      <w:r w:rsidRPr="00F06896">
        <w:rPr>
          <w:rFonts w:ascii="Times New Roman" w:hAnsi="Times New Roman"/>
          <w:sz w:val="22"/>
          <w:szCs w:val="22"/>
        </w:rPr>
        <w:t>;</w:t>
      </w:r>
    </w:p>
    <w:p w:rsidRPr="00F06896" w:rsidR="00073543" w:rsidP="00D4232E" w:rsidRDefault="00073543" w14:paraId="50F039CE" w14:textId="41F89F27">
      <w:pPr>
        <w:pStyle w:val="ListParagraph"/>
        <w:numPr>
          <w:ilvl w:val="1"/>
          <w:numId w:val="2"/>
        </w:numPr>
        <w:ind w:left="1440"/>
        <w:rPr>
          <w:rFonts w:ascii="Times New Roman" w:hAnsi="Times New Roman"/>
          <w:sz w:val="22"/>
          <w:szCs w:val="22"/>
        </w:rPr>
      </w:pPr>
      <w:r w:rsidRPr="00F06896">
        <w:rPr>
          <w:rFonts w:ascii="Times New Roman" w:hAnsi="Times New Roman"/>
          <w:sz w:val="22"/>
          <w:szCs w:val="22"/>
        </w:rPr>
        <w:t>Requiring justification for the “Market Force Factors” applied to the calculation</w:t>
      </w:r>
    </w:p>
    <w:p w:rsidRPr="00F06896" w:rsidR="00101B80" w:rsidP="00D4232E" w:rsidRDefault="00F47BAB" w14:paraId="58751E86" w14:textId="2C77D204">
      <w:pPr>
        <w:pStyle w:val="ListParagraph"/>
        <w:numPr>
          <w:ilvl w:val="0"/>
          <w:numId w:val="2"/>
        </w:numPr>
        <w:ind w:left="720"/>
        <w:rPr>
          <w:rFonts w:ascii="Times New Roman" w:hAnsi="Times New Roman"/>
          <w:sz w:val="22"/>
          <w:szCs w:val="22"/>
        </w:rPr>
      </w:pPr>
      <w:r w:rsidRPr="00F06896">
        <w:rPr>
          <w:rFonts w:ascii="Times New Roman" w:hAnsi="Times New Roman"/>
          <w:sz w:val="22"/>
          <w:szCs w:val="22"/>
        </w:rPr>
        <w:t xml:space="preserve">The reasons for the differences between the </w:t>
      </w:r>
      <w:r w:rsidRPr="00F06896" w:rsidR="001D2531">
        <w:rPr>
          <w:rFonts w:ascii="Times New Roman" w:hAnsi="Times New Roman"/>
          <w:sz w:val="22"/>
          <w:szCs w:val="22"/>
        </w:rPr>
        <w:t xml:space="preserve">cost </w:t>
      </w:r>
      <w:r w:rsidRPr="00F06896">
        <w:rPr>
          <w:rFonts w:ascii="Times New Roman" w:hAnsi="Times New Roman"/>
          <w:sz w:val="22"/>
          <w:szCs w:val="22"/>
        </w:rPr>
        <w:t xml:space="preserve">estimations </w:t>
      </w:r>
      <w:r w:rsidRPr="00F06896" w:rsidR="001D2531">
        <w:rPr>
          <w:rFonts w:ascii="Times New Roman" w:hAnsi="Times New Roman"/>
          <w:sz w:val="22"/>
          <w:szCs w:val="22"/>
        </w:rPr>
        <w:t xml:space="preserve">in </w:t>
      </w:r>
      <w:r w:rsidRPr="00F06896" w:rsidR="00361087">
        <w:rPr>
          <w:rFonts w:ascii="Times New Roman" w:hAnsi="Times New Roman"/>
          <w:sz w:val="22"/>
          <w:szCs w:val="22"/>
        </w:rPr>
        <w:t xml:space="preserve">the </w:t>
      </w:r>
      <w:r w:rsidRPr="00F06896" w:rsidR="009F1C82">
        <w:rPr>
          <w:rFonts w:ascii="Times New Roman" w:hAnsi="Times New Roman"/>
          <w:sz w:val="22"/>
          <w:szCs w:val="22"/>
        </w:rPr>
        <w:t>“</w:t>
      </w:r>
      <w:r w:rsidRPr="00F06896" w:rsidR="00196877">
        <w:rPr>
          <w:rFonts w:ascii="Times New Roman" w:hAnsi="Times New Roman"/>
          <w:sz w:val="22"/>
          <w:szCs w:val="22"/>
        </w:rPr>
        <w:t>Infusion Cost Estimates</w:t>
      </w:r>
      <w:r w:rsidRPr="00F06896" w:rsidR="009F1C82">
        <w:rPr>
          <w:rFonts w:ascii="Times New Roman" w:hAnsi="Times New Roman"/>
          <w:sz w:val="22"/>
          <w:szCs w:val="22"/>
        </w:rPr>
        <w:t>”</w:t>
      </w:r>
      <w:r w:rsidRPr="00F06896" w:rsidR="00196877">
        <w:rPr>
          <w:rFonts w:ascii="Times New Roman" w:hAnsi="Times New Roman"/>
          <w:sz w:val="22"/>
          <w:szCs w:val="22"/>
        </w:rPr>
        <w:t xml:space="preserve"> </w:t>
      </w:r>
      <w:r w:rsidRPr="00F06896" w:rsidR="009F1C82">
        <w:rPr>
          <w:rFonts w:ascii="Times New Roman" w:hAnsi="Times New Roman"/>
          <w:sz w:val="22"/>
          <w:szCs w:val="22"/>
        </w:rPr>
        <w:t>d</w:t>
      </w:r>
      <w:r w:rsidRPr="00F06896" w:rsidR="00361087">
        <w:rPr>
          <w:rFonts w:ascii="Times New Roman" w:hAnsi="Times New Roman"/>
          <w:sz w:val="22"/>
          <w:szCs w:val="22"/>
        </w:rPr>
        <w:t>ocument</w:t>
      </w:r>
      <w:r w:rsidRPr="00F06896" w:rsidR="001D2531">
        <w:rPr>
          <w:rFonts w:ascii="Times New Roman" w:hAnsi="Times New Roman"/>
          <w:sz w:val="22"/>
          <w:szCs w:val="22"/>
        </w:rPr>
        <w:t xml:space="preserve"> </w:t>
      </w:r>
      <w:r w:rsidRPr="00F06896" w:rsidR="009F1C82">
        <w:rPr>
          <w:rFonts w:ascii="Times New Roman" w:hAnsi="Times New Roman"/>
          <w:sz w:val="22"/>
          <w:szCs w:val="22"/>
        </w:rPr>
        <w:t xml:space="preserve">disclosed in the context of consultation on the second </w:t>
      </w:r>
      <w:r w:rsidRPr="00F06896" w:rsidR="00063BE1">
        <w:rPr>
          <w:rFonts w:ascii="Times New Roman" w:hAnsi="Times New Roman"/>
          <w:sz w:val="22"/>
          <w:szCs w:val="22"/>
        </w:rPr>
        <w:t>D</w:t>
      </w:r>
      <w:r w:rsidRPr="00F06896" w:rsidR="009F1C82">
        <w:rPr>
          <w:rFonts w:ascii="Times New Roman" w:hAnsi="Times New Roman"/>
          <w:sz w:val="22"/>
          <w:szCs w:val="22"/>
        </w:rPr>
        <w:t xml:space="preserve">raft Guidance </w:t>
      </w:r>
      <w:r w:rsidRPr="00F06896" w:rsidR="001D2531">
        <w:rPr>
          <w:rFonts w:ascii="Times New Roman" w:hAnsi="Times New Roman"/>
          <w:sz w:val="22"/>
          <w:szCs w:val="22"/>
        </w:rPr>
        <w:t xml:space="preserve">and </w:t>
      </w:r>
      <w:r w:rsidRPr="00F06896" w:rsidR="00C92FE3">
        <w:rPr>
          <w:rFonts w:ascii="Times New Roman" w:hAnsi="Times New Roman"/>
          <w:sz w:val="22"/>
          <w:szCs w:val="22"/>
        </w:rPr>
        <w:t>the “Infusion Cost Estimate</w:t>
      </w:r>
      <w:r w:rsidRPr="00F06896" w:rsidR="00073543">
        <w:rPr>
          <w:rFonts w:ascii="Times New Roman" w:hAnsi="Times New Roman"/>
          <w:sz w:val="22"/>
          <w:szCs w:val="22"/>
        </w:rPr>
        <w:t>s</w:t>
      </w:r>
      <w:r w:rsidRPr="00F06896" w:rsidR="00C92FE3">
        <w:rPr>
          <w:rFonts w:ascii="Times New Roman" w:hAnsi="Times New Roman"/>
          <w:sz w:val="22"/>
          <w:szCs w:val="22"/>
        </w:rPr>
        <w:t xml:space="preserve">” document disclosed on 8 May 2025 </w:t>
      </w:r>
      <w:r w:rsidRPr="00F06896" w:rsidR="00101B80">
        <w:rPr>
          <w:rFonts w:ascii="Times New Roman" w:hAnsi="Times New Roman"/>
          <w:sz w:val="22"/>
          <w:szCs w:val="22"/>
        </w:rPr>
        <w:t>immediately before ACM3</w:t>
      </w:r>
      <w:r w:rsidR="0064691E">
        <w:rPr>
          <w:rFonts w:ascii="Times New Roman" w:hAnsi="Times New Roman"/>
          <w:sz w:val="22"/>
          <w:szCs w:val="22"/>
        </w:rPr>
        <w:t>.</w:t>
      </w:r>
    </w:p>
    <w:p w:rsidRPr="00F06896" w:rsidR="00956294" w:rsidP="00D4232E" w:rsidRDefault="00956294" w14:paraId="0DFB039A" w14:textId="6EC2152D">
      <w:pPr>
        <w:ind w:left="720"/>
        <w:rPr>
          <w:rFonts w:ascii="Times New Roman" w:hAnsi="Times New Roman"/>
          <w:sz w:val="22"/>
          <w:szCs w:val="22"/>
        </w:rPr>
      </w:pPr>
    </w:p>
    <w:p w:rsidRPr="00F06896" w:rsidR="00A6475D" w:rsidP="00D4232E" w:rsidRDefault="00A6475D" w14:paraId="44DE19CE" w14:textId="0BC0AD7C">
      <w:pPr>
        <w:ind w:left="360"/>
        <w:rPr>
          <w:rFonts w:ascii="Times New Roman" w:hAnsi="Times New Roman"/>
          <w:sz w:val="22"/>
          <w:szCs w:val="22"/>
        </w:rPr>
      </w:pPr>
      <w:r w:rsidRPr="00F06896">
        <w:rPr>
          <w:rFonts w:ascii="Times New Roman" w:hAnsi="Times New Roman"/>
          <w:sz w:val="22"/>
          <w:szCs w:val="22"/>
        </w:rPr>
        <w:t>Therefore, despite the various documents provided by NHS England</w:t>
      </w:r>
      <w:r w:rsidR="0064691E">
        <w:rPr>
          <w:rFonts w:ascii="Times New Roman" w:hAnsi="Times New Roman"/>
          <w:sz w:val="22"/>
          <w:szCs w:val="22"/>
        </w:rPr>
        <w:t>,</w:t>
      </w:r>
      <w:r w:rsidRPr="00F06896">
        <w:rPr>
          <w:rFonts w:ascii="Times New Roman" w:hAnsi="Times New Roman"/>
          <w:sz w:val="22"/>
          <w:szCs w:val="22"/>
        </w:rPr>
        <w:t xml:space="preserve"> it has </w:t>
      </w:r>
      <w:r w:rsidRPr="00F06896" w:rsidR="00A53254">
        <w:rPr>
          <w:rFonts w:ascii="Times New Roman" w:hAnsi="Times New Roman"/>
          <w:sz w:val="22"/>
          <w:szCs w:val="22"/>
        </w:rPr>
        <w:t>not</w:t>
      </w:r>
      <w:r w:rsidRPr="00F06896">
        <w:rPr>
          <w:rFonts w:ascii="Times New Roman" w:hAnsi="Times New Roman"/>
          <w:sz w:val="22"/>
          <w:szCs w:val="22"/>
        </w:rPr>
        <w:t xml:space="preserve"> provide</w:t>
      </w:r>
      <w:r w:rsidRPr="00F06896" w:rsidR="00A53254">
        <w:rPr>
          <w:rFonts w:ascii="Times New Roman" w:hAnsi="Times New Roman"/>
          <w:sz w:val="22"/>
          <w:szCs w:val="22"/>
        </w:rPr>
        <w:t>d</w:t>
      </w:r>
      <w:r w:rsidRPr="00F06896">
        <w:rPr>
          <w:rFonts w:ascii="Times New Roman" w:hAnsi="Times New Roman"/>
          <w:sz w:val="22"/>
          <w:szCs w:val="22"/>
        </w:rPr>
        <w:t xml:space="preserve"> a breakdown of the estimated costs of infusion proposed for lecanemeb </w:t>
      </w:r>
      <w:r w:rsidRPr="00F06896" w:rsidR="0055364C">
        <w:rPr>
          <w:rFonts w:ascii="Times New Roman" w:hAnsi="Times New Roman"/>
          <w:sz w:val="22"/>
          <w:szCs w:val="22"/>
        </w:rPr>
        <w:t>or explain</w:t>
      </w:r>
      <w:r w:rsidRPr="00F06896" w:rsidR="00A53254">
        <w:rPr>
          <w:rFonts w:ascii="Times New Roman" w:hAnsi="Times New Roman"/>
          <w:sz w:val="22"/>
          <w:szCs w:val="22"/>
        </w:rPr>
        <w:t>ed</w:t>
      </w:r>
      <w:r w:rsidRPr="00F06896" w:rsidR="0055364C">
        <w:rPr>
          <w:rFonts w:ascii="Times New Roman" w:hAnsi="Times New Roman"/>
          <w:sz w:val="22"/>
          <w:szCs w:val="22"/>
        </w:rPr>
        <w:t xml:space="preserve"> the reasons for aligning lecanemeb costs with those for monoclonal antibodies for COVID-19 and </w:t>
      </w:r>
      <w:r w:rsidRPr="00F06896" w:rsidR="00A53254">
        <w:rPr>
          <w:rFonts w:ascii="Times New Roman" w:hAnsi="Times New Roman"/>
          <w:sz w:val="22"/>
          <w:szCs w:val="22"/>
        </w:rPr>
        <w:t xml:space="preserve">seemingly including </w:t>
      </w:r>
      <w:r w:rsidRPr="00F06896" w:rsidR="0055364C">
        <w:rPr>
          <w:rFonts w:ascii="Times New Roman" w:hAnsi="Times New Roman"/>
          <w:sz w:val="22"/>
          <w:szCs w:val="22"/>
        </w:rPr>
        <w:t xml:space="preserve">elements which appear irrelevant to the treatment </w:t>
      </w:r>
      <w:r w:rsidRPr="00F06896" w:rsidR="00A53254">
        <w:rPr>
          <w:rFonts w:ascii="Times New Roman" w:hAnsi="Times New Roman"/>
          <w:sz w:val="22"/>
          <w:szCs w:val="22"/>
        </w:rPr>
        <w:t xml:space="preserve">of </w:t>
      </w:r>
      <w:r w:rsidRPr="00F06896" w:rsidR="0055364C">
        <w:rPr>
          <w:rFonts w:ascii="Times New Roman" w:hAnsi="Times New Roman"/>
          <w:sz w:val="22"/>
          <w:szCs w:val="22"/>
        </w:rPr>
        <w:t>early AD.</w:t>
      </w:r>
    </w:p>
    <w:p w:rsidRPr="00F06896" w:rsidR="0055364C" w:rsidP="00D4232E" w:rsidRDefault="0055364C" w14:paraId="7C454CD6" w14:textId="77777777">
      <w:pPr>
        <w:ind w:left="360"/>
        <w:rPr>
          <w:rFonts w:ascii="Times New Roman" w:hAnsi="Times New Roman"/>
          <w:sz w:val="22"/>
          <w:szCs w:val="22"/>
        </w:rPr>
      </w:pPr>
    </w:p>
    <w:p w:rsidRPr="00F06896" w:rsidR="009B3C54" w:rsidP="00D4232E" w:rsidRDefault="009B3C54" w14:paraId="0DE6632F" w14:textId="560B84DA">
      <w:pPr>
        <w:pStyle w:val="ListParagraph"/>
        <w:numPr>
          <w:ilvl w:val="0"/>
          <w:numId w:val="4"/>
        </w:numPr>
        <w:ind w:left="360"/>
        <w:rPr>
          <w:rFonts w:ascii="Times New Roman" w:hAnsi="Times New Roman"/>
          <w:sz w:val="22"/>
          <w:szCs w:val="22"/>
        </w:rPr>
      </w:pPr>
      <w:r w:rsidRPr="00F06896">
        <w:rPr>
          <w:rFonts w:ascii="Times New Roman" w:hAnsi="Times New Roman"/>
          <w:sz w:val="22"/>
          <w:szCs w:val="22"/>
          <w:u w:val="single"/>
        </w:rPr>
        <w:t xml:space="preserve">The Committee’s reasons for rejecting the </w:t>
      </w:r>
      <w:r w:rsidRPr="00F06896" w:rsidR="007450B4">
        <w:rPr>
          <w:rFonts w:ascii="Times New Roman" w:hAnsi="Times New Roman"/>
          <w:sz w:val="22"/>
          <w:szCs w:val="22"/>
          <w:u w:val="single"/>
        </w:rPr>
        <w:t xml:space="preserve">infusion cost estimations proposed by Eisai </w:t>
      </w:r>
      <w:r w:rsidRPr="00F06896" w:rsidR="007457D7">
        <w:rPr>
          <w:rFonts w:ascii="Times New Roman" w:hAnsi="Times New Roman"/>
          <w:sz w:val="22"/>
          <w:szCs w:val="22"/>
          <w:u w:val="single"/>
        </w:rPr>
        <w:t xml:space="preserve">are unsupported by </w:t>
      </w:r>
      <w:r w:rsidRPr="00F06896" w:rsidR="00BE26AE">
        <w:rPr>
          <w:rFonts w:ascii="Times New Roman" w:hAnsi="Times New Roman"/>
          <w:sz w:val="22"/>
          <w:szCs w:val="22"/>
          <w:u w:val="single"/>
        </w:rPr>
        <w:t xml:space="preserve">or do not take into account </w:t>
      </w:r>
      <w:r w:rsidRPr="00F06896" w:rsidR="009F317E">
        <w:rPr>
          <w:rFonts w:ascii="Times New Roman" w:hAnsi="Times New Roman"/>
          <w:sz w:val="22"/>
          <w:szCs w:val="22"/>
          <w:u w:val="single"/>
        </w:rPr>
        <w:t xml:space="preserve">the </w:t>
      </w:r>
      <w:r w:rsidRPr="00F06896" w:rsidR="007457D7">
        <w:rPr>
          <w:rFonts w:ascii="Times New Roman" w:hAnsi="Times New Roman"/>
          <w:sz w:val="22"/>
          <w:szCs w:val="22"/>
          <w:u w:val="single"/>
        </w:rPr>
        <w:t>evidence</w:t>
      </w:r>
      <w:r w:rsidRPr="00F06896" w:rsidR="009F317E">
        <w:rPr>
          <w:rFonts w:ascii="Times New Roman" w:hAnsi="Times New Roman"/>
          <w:sz w:val="22"/>
          <w:szCs w:val="22"/>
          <w:u w:val="single"/>
        </w:rPr>
        <w:t xml:space="preserve"> available to the Committee</w:t>
      </w:r>
    </w:p>
    <w:p w:rsidRPr="00F06896" w:rsidR="007457D7" w:rsidP="00D4232E" w:rsidRDefault="007457D7" w14:paraId="4B457C75" w14:textId="77777777">
      <w:pPr>
        <w:ind w:left="360"/>
        <w:rPr>
          <w:rFonts w:ascii="Times New Roman" w:hAnsi="Times New Roman"/>
          <w:sz w:val="22"/>
          <w:szCs w:val="22"/>
        </w:rPr>
      </w:pPr>
    </w:p>
    <w:p w:rsidR="00541215" w:rsidP="00D4232E" w:rsidRDefault="00501866" w14:paraId="40A0A122" w14:textId="77777777">
      <w:pPr>
        <w:ind w:left="360"/>
        <w:rPr>
          <w:rFonts w:ascii="Times New Roman" w:hAnsi="Times New Roman"/>
          <w:sz w:val="22"/>
          <w:szCs w:val="22"/>
        </w:rPr>
      </w:pPr>
      <w:r w:rsidRPr="00F06896">
        <w:rPr>
          <w:rFonts w:ascii="Times New Roman" w:hAnsi="Times New Roman"/>
          <w:sz w:val="22"/>
          <w:szCs w:val="22"/>
        </w:rPr>
        <w:t xml:space="preserve">At paragraph 3.20 of the FDG, </w:t>
      </w:r>
      <w:r w:rsidRPr="00F06896" w:rsidR="00834A74">
        <w:rPr>
          <w:rFonts w:ascii="Times New Roman" w:hAnsi="Times New Roman"/>
          <w:sz w:val="22"/>
          <w:szCs w:val="22"/>
        </w:rPr>
        <w:t>the Committee refers to the infusion costs estimation provided by Eisai</w:t>
      </w:r>
      <w:r w:rsidRPr="00F06896" w:rsidR="00541215">
        <w:rPr>
          <w:rFonts w:ascii="Times New Roman" w:hAnsi="Times New Roman"/>
          <w:sz w:val="22"/>
          <w:szCs w:val="22"/>
        </w:rPr>
        <w:t xml:space="preserve"> and to the evidence of clinical experts:</w:t>
      </w:r>
    </w:p>
    <w:p w:rsidRPr="00F06896" w:rsidR="001C7A6E" w:rsidP="00D4232E" w:rsidRDefault="001C7A6E" w14:paraId="5BC56078" w14:textId="77777777">
      <w:pPr>
        <w:ind w:left="360"/>
        <w:rPr>
          <w:rFonts w:ascii="Times New Roman" w:hAnsi="Times New Roman"/>
          <w:sz w:val="22"/>
          <w:szCs w:val="22"/>
        </w:rPr>
      </w:pPr>
    </w:p>
    <w:p w:rsidRPr="00F06896" w:rsidR="00541215" w:rsidP="00D4232E" w:rsidRDefault="00541215" w14:paraId="6A6C322E" w14:textId="530410DA">
      <w:pPr>
        <w:ind w:left="720"/>
        <w:rPr>
          <w:rFonts w:ascii="Times New Roman" w:hAnsi="Times New Roman"/>
          <w:sz w:val="22"/>
          <w:szCs w:val="22"/>
        </w:rPr>
      </w:pPr>
      <w:r w:rsidRPr="00F06896">
        <w:rPr>
          <w:rFonts w:ascii="Times New Roman" w:hAnsi="Times New Roman"/>
          <w:sz w:val="22"/>
          <w:szCs w:val="22"/>
        </w:rPr>
        <w:t>“</w:t>
      </w:r>
      <w:r w:rsidRPr="00F06896">
        <w:rPr>
          <w:rFonts w:ascii="Times New Roman" w:hAnsi="Times New Roman"/>
          <w:i/>
          <w:iCs/>
          <w:sz w:val="22"/>
          <w:szCs w:val="22"/>
        </w:rPr>
        <w:t>The clinical experts explained that they would expect the infusion cost to be close to the £208 value suggested by the company. Their experience of lecanemab was that of a similar infusion time and monitoring to that of chemotherapy treatments. The patient and clinical experts added that the infusion of lecanemab is not complex and does not need intensive monitoring”.</w:t>
      </w:r>
    </w:p>
    <w:p w:rsidRPr="00F06896" w:rsidR="00541215" w:rsidP="00D4232E" w:rsidRDefault="00541215" w14:paraId="4075C6F0" w14:textId="77777777">
      <w:pPr>
        <w:ind w:left="720"/>
        <w:rPr>
          <w:rFonts w:ascii="Times New Roman" w:hAnsi="Times New Roman"/>
          <w:sz w:val="22"/>
          <w:szCs w:val="22"/>
        </w:rPr>
      </w:pPr>
    </w:p>
    <w:p w:rsidR="00B226BA" w:rsidP="00D4232E" w:rsidRDefault="00541215" w14:paraId="29C79E54" w14:textId="5EA0DE21">
      <w:pPr>
        <w:ind w:left="360"/>
        <w:rPr>
          <w:rFonts w:ascii="Times New Roman" w:hAnsi="Times New Roman"/>
          <w:sz w:val="22"/>
          <w:szCs w:val="22"/>
        </w:rPr>
      </w:pPr>
      <w:r w:rsidRPr="00F06896">
        <w:rPr>
          <w:rFonts w:ascii="Times New Roman" w:hAnsi="Times New Roman"/>
          <w:sz w:val="22"/>
          <w:szCs w:val="22"/>
        </w:rPr>
        <w:t xml:space="preserve">The Committee however </w:t>
      </w:r>
      <w:r w:rsidRPr="00F06896" w:rsidR="00781296">
        <w:rPr>
          <w:rFonts w:ascii="Times New Roman" w:hAnsi="Times New Roman"/>
          <w:sz w:val="22"/>
          <w:szCs w:val="22"/>
        </w:rPr>
        <w:t xml:space="preserve">provides no explanation for rejecting </w:t>
      </w:r>
      <w:r w:rsidRPr="00F06896">
        <w:rPr>
          <w:rFonts w:ascii="Times New Roman" w:hAnsi="Times New Roman"/>
          <w:sz w:val="22"/>
          <w:szCs w:val="22"/>
        </w:rPr>
        <w:t xml:space="preserve">the costs estimation submitted by Eisai and supported by the clinical experts, </w:t>
      </w:r>
      <w:r w:rsidRPr="00F06896" w:rsidR="00781296">
        <w:rPr>
          <w:rFonts w:ascii="Times New Roman" w:hAnsi="Times New Roman"/>
          <w:sz w:val="22"/>
          <w:szCs w:val="22"/>
        </w:rPr>
        <w:t xml:space="preserve">other than </w:t>
      </w:r>
      <w:r w:rsidRPr="00F06896">
        <w:rPr>
          <w:rFonts w:ascii="Times New Roman" w:hAnsi="Times New Roman"/>
          <w:sz w:val="22"/>
          <w:szCs w:val="22"/>
        </w:rPr>
        <w:t xml:space="preserve">references to </w:t>
      </w:r>
      <w:r w:rsidRPr="00F06896" w:rsidR="00B226BA">
        <w:rPr>
          <w:rFonts w:ascii="Times New Roman" w:hAnsi="Times New Roman"/>
          <w:sz w:val="22"/>
          <w:szCs w:val="22"/>
        </w:rPr>
        <w:t xml:space="preserve">statements by the EAG </w:t>
      </w:r>
      <w:r w:rsidRPr="00F06896">
        <w:rPr>
          <w:rFonts w:ascii="Times New Roman" w:hAnsi="Times New Roman"/>
          <w:sz w:val="22"/>
          <w:szCs w:val="22"/>
        </w:rPr>
        <w:t xml:space="preserve">and NHS England </w:t>
      </w:r>
      <w:r w:rsidRPr="00F06896" w:rsidR="00B226BA">
        <w:rPr>
          <w:rFonts w:ascii="Times New Roman" w:hAnsi="Times New Roman"/>
          <w:sz w:val="22"/>
          <w:szCs w:val="22"/>
        </w:rPr>
        <w:t>that</w:t>
      </w:r>
      <w:r w:rsidRPr="00F06896" w:rsidR="00063BE1">
        <w:rPr>
          <w:rFonts w:ascii="Times New Roman" w:hAnsi="Times New Roman"/>
          <w:sz w:val="22"/>
          <w:szCs w:val="22"/>
        </w:rPr>
        <w:t>:</w:t>
      </w:r>
    </w:p>
    <w:p w:rsidRPr="00F06896" w:rsidR="001600AD" w:rsidP="00D4232E" w:rsidRDefault="001600AD" w14:paraId="4E9B22ED" w14:textId="77777777">
      <w:pPr>
        <w:ind w:left="360"/>
        <w:rPr>
          <w:rFonts w:ascii="Times New Roman" w:hAnsi="Times New Roman"/>
          <w:sz w:val="22"/>
          <w:szCs w:val="22"/>
        </w:rPr>
      </w:pPr>
    </w:p>
    <w:p w:rsidRPr="00F06896" w:rsidR="00541215" w:rsidP="00D4232E" w:rsidRDefault="00541215" w14:paraId="1EEFB115" w14:textId="77777777">
      <w:pPr>
        <w:pStyle w:val="ListParagraph"/>
        <w:numPr>
          <w:ilvl w:val="0"/>
          <w:numId w:val="20"/>
        </w:numPr>
        <w:ind w:left="720"/>
        <w:rPr>
          <w:rFonts w:ascii="Times New Roman" w:hAnsi="Times New Roman"/>
          <w:sz w:val="22"/>
          <w:szCs w:val="22"/>
        </w:rPr>
      </w:pPr>
      <w:r w:rsidRPr="00F06896">
        <w:rPr>
          <w:rFonts w:ascii="Times New Roman" w:hAnsi="Times New Roman"/>
          <w:sz w:val="22"/>
          <w:szCs w:val="22"/>
        </w:rPr>
        <w:t>Lecanemab is more complex to prepare than chemotherapy;</w:t>
      </w:r>
    </w:p>
    <w:p w:rsidRPr="00F06896" w:rsidR="00B226BA" w:rsidP="00D4232E" w:rsidRDefault="00541215" w14:paraId="30242B84" w14:textId="27B2C451">
      <w:pPr>
        <w:pStyle w:val="ListParagraph"/>
        <w:numPr>
          <w:ilvl w:val="0"/>
          <w:numId w:val="20"/>
        </w:numPr>
        <w:ind w:left="720"/>
        <w:rPr>
          <w:rFonts w:ascii="Times New Roman" w:hAnsi="Times New Roman"/>
          <w:sz w:val="22"/>
          <w:szCs w:val="22"/>
        </w:rPr>
      </w:pPr>
      <w:r w:rsidRPr="00F06896">
        <w:rPr>
          <w:rFonts w:ascii="Times New Roman" w:hAnsi="Times New Roman"/>
          <w:sz w:val="22"/>
          <w:szCs w:val="22"/>
        </w:rPr>
        <w:t xml:space="preserve">Has the potential for more </w:t>
      </w:r>
      <w:r w:rsidRPr="00F06896" w:rsidR="00B226BA">
        <w:rPr>
          <w:rFonts w:ascii="Times New Roman" w:hAnsi="Times New Roman"/>
          <w:sz w:val="22"/>
          <w:szCs w:val="22"/>
        </w:rPr>
        <w:t>infusion-related reactions</w:t>
      </w:r>
      <w:r w:rsidRPr="00F06896" w:rsidR="00F360DF">
        <w:rPr>
          <w:rFonts w:ascii="Times New Roman" w:hAnsi="Times New Roman"/>
          <w:sz w:val="22"/>
          <w:szCs w:val="22"/>
        </w:rPr>
        <w:t>;</w:t>
      </w:r>
      <w:r w:rsidRPr="00F06896" w:rsidR="00B226BA">
        <w:rPr>
          <w:rFonts w:ascii="Times New Roman" w:hAnsi="Times New Roman"/>
          <w:sz w:val="22"/>
          <w:szCs w:val="22"/>
        </w:rPr>
        <w:t xml:space="preserve"> and </w:t>
      </w:r>
    </w:p>
    <w:p w:rsidRPr="00F06896" w:rsidR="00F360DF" w:rsidP="00D4232E" w:rsidRDefault="00541215" w14:paraId="2458F9EE" w14:textId="44DEB668">
      <w:pPr>
        <w:pStyle w:val="ListParagraph"/>
        <w:numPr>
          <w:ilvl w:val="0"/>
          <w:numId w:val="20"/>
        </w:numPr>
        <w:ind w:left="720"/>
        <w:rPr>
          <w:rFonts w:ascii="Times New Roman" w:hAnsi="Times New Roman"/>
          <w:sz w:val="22"/>
          <w:szCs w:val="22"/>
        </w:rPr>
      </w:pPr>
      <w:r w:rsidRPr="00F06896">
        <w:rPr>
          <w:rFonts w:ascii="Times New Roman" w:hAnsi="Times New Roman"/>
          <w:sz w:val="22"/>
          <w:szCs w:val="22"/>
        </w:rPr>
        <w:t xml:space="preserve">Some people receiving it might have more </w:t>
      </w:r>
      <w:r w:rsidRPr="00F06896" w:rsidR="00B226BA">
        <w:rPr>
          <w:rFonts w:ascii="Times New Roman" w:hAnsi="Times New Roman"/>
          <w:sz w:val="22"/>
          <w:szCs w:val="22"/>
        </w:rPr>
        <w:t xml:space="preserve">complex needs </w:t>
      </w:r>
      <w:r w:rsidRPr="00F06896">
        <w:rPr>
          <w:rFonts w:ascii="Times New Roman" w:hAnsi="Times New Roman"/>
          <w:sz w:val="22"/>
          <w:szCs w:val="22"/>
        </w:rPr>
        <w:t xml:space="preserve">than </w:t>
      </w:r>
      <w:r w:rsidRPr="00F06896" w:rsidR="00B226BA">
        <w:rPr>
          <w:rFonts w:ascii="Times New Roman" w:hAnsi="Times New Roman"/>
          <w:sz w:val="22"/>
          <w:szCs w:val="22"/>
        </w:rPr>
        <w:t xml:space="preserve">people </w:t>
      </w:r>
      <w:r w:rsidRPr="00F06896">
        <w:rPr>
          <w:rFonts w:ascii="Times New Roman" w:hAnsi="Times New Roman"/>
          <w:sz w:val="22"/>
          <w:szCs w:val="22"/>
        </w:rPr>
        <w:t>receiving chemotherapy infusions</w:t>
      </w:r>
    </w:p>
    <w:p w:rsidRPr="00F06896" w:rsidR="00B226BA" w:rsidP="00D4232E" w:rsidRDefault="00B226BA" w14:paraId="6A11B370" w14:textId="2F08859B">
      <w:pPr>
        <w:ind w:firstLine="273"/>
        <w:rPr>
          <w:rFonts w:ascii="Times New Roman" w:hAnsi="Times New Roman"/>
          <w:sz w:val="22"/>
          <w:szCs w:val="22"/>
        </w:rPr>
      </w:pPr>
      <w:r w:rsidRPr="00F06896">
        <w:rPr>
          <w:rFonts w:ascii="Times New Roman" w:hAnsi="Times New Roman"/>
          <w:sz w:val="22"/>
          <w:szCs w:val="22"/>
        </w:rPr>
        <w:t xml:space="preserve"> </w:t>
      </w:r>
    </w:p>
    <w:p w:rsidRPr="00F06896" w:rsidR="00570E1C" w:rsidP="00AE0183" w:rsidRDefault="00541215" w14:paraId="236340BC" w14:textId="76E0618E">
      <w:pPr>
        <w:ind w:left="360"/>
        <w:rPr>
          <w:rFonts w:ascii="Times New Roman" w:hAnsi="Times New Roman"/>
          <w:sz w:val="22"/>
          <w:szCs w:val="22"/>
        </w:rPr>
      </w:pPr>
      <w:r w:rsidRPr="00F06896">
        <w:rPr>
          <w:rFonts w:ascii="Times New Roman" w:hAnsi="Times New Roman"/>
          <w:sz w:val="22"/>
          <w:szCs w:val="22"/>
        </w:rPr>
        <w:t xml:space="preserve">It is unclear from the FDG, which of these matters were accepted by the Committee however each of these objections is unsupported by evidence and conflicts with the evidence available to the Committee from clinical experts and referenced in the FDG. In particular: </w:t>
      </w:r>
    </w:p>
    <w:p w:rsidRPr="00F06896" w:rsidR="00A4148D" w:rsidP="00D4232E" w:rsidRDefault="00A4148D" w14:paraId="4C95A5B4" w14:textId="77777777">
      <w:pPr>
        <w:rPr>
          <w:rFonts w:ascii="Times New Roman" w:hAnsi="Times New Roman"/>
          <w:sz w:val="22"/>
          <w:szCs w:val="22"/>
        </w:rPr>
      </w:pPr>
    </w:p>
    <w:p w:rsidRPr="00F06896" w:rsidR="00C121FA" w:rsidP="00AE0183" w:rsidRDefault="00C121FA" w14:paraId="0BC28EEE" w14:textId="3D23B229">
      <w:pPr>
        <w:pStyle w:val="ListParagraph"/>
        <w:numPr>
          <w:ilvl w:val="0"/>
          <w:numId w:val="13"/>
        </w:numPr>
        <w:ind w:left="720" w:hanging="153"/>
        <w:rPr>
          <w:rFonts w:ascii="Times New Roman" w:hAnsi="Times New Roman"/>
          <w:sz w:val="22"/>
          <w:szCs w:val="22"/>
        </w:rPr>
      </w:pPr>
      <w:r w:rsidRPr="00F06896">
        <w:rPr>
          <w:rFonts w:ascii="Times New Roman" w:hAnsi="Times New Roman"/>
          <w:sz w:val="22"/>
          <w:szCs w:val="22"/>
        </w:rPr>
        <w:t xml:space="preserve">Any suggestion that lecanemab is more complex to prepare than chemotherapy is speculative.  There is no evidence to support such an assertion, which conflicts with the evidence of clinical experts. </w:t>
      </w:r>
    </w:p>
    <w:p w:rsidRPr="00F06896" w:rsidR="00A6475D" w:rsidP="00AE0183" w:rsidRDefault="00A6475D" w14:paraId="13A750C4" w14:textId="63675AE1">
      <w:pPr>
        <w:pStyle w:val="ListParagraph"/>
        <w:numPr>
          <w:ilvl w:val="0"/>
          <w:numId w:val="13"/>
        </w:numPr>
        <w:ind w:left="720" w:hanging="153"/>
        <w:rPr>
          <w:rFonts w:ascii="Times New Roman" w:hAnsi="Times New Roman"/>
          <w:sz w:val="22"/>
          <w:szCs w:val="22"/>
        </w:rPr>
      </w:pPr>
      <w:r w:rsidRPr="00F06896">
        <w:rPr>
          <w:rFonts w:ascii="Times New Roman" w:hAnsi="Times New Roman"/>
          <w:sz w:val="22"/>
          <w:szCs w:val="22"/>
        </w:rPr>
        <w:t xml:space="preserve">The basis for the conclusion that lecanemab has the potential for more infusion reactions is unexplained and the evidence, if any, relied upon is not identified. </w:t>
      </w:r>
    </w:p>
    <w:p w:rsidRPr="00F06896" w:rsidR="00A6475D" w:rsidP="00AE0183" w:rsidRDefault="00A6475D" w14:paraId="73F0F5D3" w14:textId="318F254F">
      <w:pPr>
        <w:pStyle w:val="ListParagraph"/>
        <w:numPr>
          <w:ilvl w:val="0"/>
          <w:numId w:val="13"/>
        </w:numPr>
        <w:ind w:left="720" w:hanging="153"/>
        <w:rPr>
          <w:rFonts w:ascii="Times New Roman" w:hAnsi="Times New Roman"/>
          <w:sz w:val="22"/>
          <w:szCs w:val="22"/>
        </w:rPr>
      </w:pPr>
      <w:r w:rsidRPr="00F06896">
        <w:rPr>
          <w:rFonts w:ascii="Times New Roman" w:hAnsi="Times New Roman"/>
          <w:sz w:val="22"/>
          <w:szCs w:val="22"/>
        </w:rPr>
        <w:t xml:space="preserve">There is no evidence to indicate that stable patients with early AD receiving lecanemab will have more complex needs than patients receiving chemotherapy for oncology indications. In particular, frailer patients with </w:t>
      </w:r>
      <w:r w:rsidRPr="00F06896" w:rsidR="00A4148D">
        <w:rPr>
          <w:rFonts w:ascii="Times New Roman" w:hAnsi="Times New Roman"/>
          <w:sz w:val="22"/>
          <w:szCs w:val="22"/>
        </w:rPr>
        <w:t>moderate or severe</w:t>
      </w:r>
      <w:r w:rsidRPr="00F06896">
        <w:rPr>
          <w:rFonts w:ascii="Times New Roman" w:hAnsi="Times New Roman"/>
          <w:sz w:val="22"/>
          <w:szCs w:val="22"/>
        </w:rPr>
        <w:t xml:space="preserve"> AD will be excluded from lecanemab therapy. </w:t>
      </w:r>
    </w:p>
    <w:p w:rsidRPr="00F06896" w:rsidR="00407950" w:rsidP="00AE0183" w:rsidRDefault="00407950" w14:paraId="287CCC1B" w14:textId="77777777">
      <w:pPr>
        <w:rPr>
          <w:rFonts w:ascii="Times New Roman" w:hAnsi="Times New Roman"/>
          <w:sz w:val="22"/>
          <w:szCs w:val="22"/>
        </w:rPr>
      </w:pPr>
    </w:p>
    <w:p w:rsidRPr="00F06896" w:rsidR="0097578D" w:rsidP="000F349E" w:rsidRDefault="00432561" w14:paraId="3626C4C2" w14:textId="5FA03236">
      <w:pPr>
        <w:ind w:left="284"/>
        <w:rPr>
          <w:rFonts w:ascii="Times New Roman" w:hAnsi="Times New Roman"/>
          <w:sz w:val="22"/>
          <w:szCs w:val="22"/>
        </w:rPr>
      </w:pPr>
      <w:r w:rsidRPr="00F06896">
        <w:rPr>
          <w:rFonts w:ascii="Times New Roman" w:hAnsi="Times New Roman"/>
          <w:sz w:val="22"/>
          <w:szCs w:val="22"/>
        </w:rPr>
        <w:t xml:space="preserve">The lack of </w:t>
      </w:r>
      <w:r w:rsidRPr="00F06896" w:rsidR="0055364C">
        <w:rPr>
          <w:rFonts w:ascii="Times New Roman" w:hAnsi="Times New Roman"/>
          <w:sz w:val="22"/>
          <w:szCs w:val="22"/>
        </w:rPr>
        <w:t xml:space="preserve">evidence and </w:t>
      </w:r>
      <w:r w:rsidRPr="00F06896" w:rsidR="00B21D74">
        <w:rPr>
          <w:rFonts w:ascii="Times New Roman" w:hAnsi="Times New Roman"/>
          <w:sz w:val="22"/>
          <w:szCs w:val="22"/>
        </w:rPr>
        <w:t>reasoning</w:t>
      </w:r>
      <w:r w:rsidRPr="00F06896" w:rsidR="0055364C">
        <w:rPr>
          <w:rFonts w:ascii="Times New Roman" w:hAnsi="Times New Roman"/>
          <w:sz w:val="22"/>
          <w:szCs w:val="22"/>
        </w:rPr>
        <w:t xml:space="preserve">, as </w:t>
      </w:r>
      <w:r w:rsidRPr="00F06896">
        <w:rPr>
          <w:rFonts w:ascii="Times New Roman" w:hAnsi="Times New Roman"/>
          <w:sz w:val="22"/>
          <w:szCs w:val="22"/>
        </w:rPr>
        <w:t>described above</w:t>
      </w:r>
      <w:r w:rsidRPr="00F06896" w:rsidR="0055364C">
        <w:rPr>
          <w:rFonts w:ascii="Times New Roman" w:hAnsi="Times New Roman"/>
          <w:sz w:val="22"/>
          <w:szCs w:val="22"/>
        </w:rPr>
        <w:t>,</w:t>
      </w:r>
      <w:r w:rsidRPr="00F06896">
        <w:rPr>
          <w:rFonts w:ascii="Times New Roman" w:hAnsi="Times New Roman"/>
          <w:sz w:val="22"/>
          <w:szCs w:val="22"/>
        </w:rPr>
        <w:t xml:space="preserve"> limits Eisai’s ability to understand the </w:t>
      </w:r>
      <w:r w:rsidRPr="00F06896" w:rsidR="000946EA">
        <w:rPr>
          <w:rFonts w:ascii="Times New Roman" w:hAnsi="Times New Roman"/>
          <w:sz w:val="22"/>
          <w:szCs w:val="22"/>
        </w:rPr>
        <w:t>conclusions of the Committee as set out in the FDG</w:t>
      </w:r>
      <w:r w:rsidRPr="00F06896" w:rsidR="003B0F88">
        <w:rPr>
          <w:rFonts w:ascii="Times New Roman" w:hAnsi="Times New Roman"/>
          <w:sz w:val="22"/>
          <w:szCs w:val="22"/>
        </w:rPr>
        <w:t xml:space="preserve"> and </w:t>
      </w:r>
      <w:r w:rsidRPr="00F06896" w:rsidR="003A7C05">
        <w:rPr>
          <w:rFonts w:ascii="Times New Roman" w:hAnsi="Times New Roman"/>
          <w:sz w:val="22"/>
          <w:szCs w:val="22"/>
        </w:rPr>
        <w:t xml:space="preserve">to test the reliability of the proposed recommendations. </w:t>
      </w:r>
    </w:p>
    <w:p w:rsidRPr="00F06896" w:rsidR="00B21D74" w:rsidP="007F0316" w:rsidRDefault="00B21D74" w14:paraId="5AB3D563" w14:textId="77777777">
      <w:pPr>
        <w:ind w:left="720"/>
        <w:rPr>
          <w:rFonts w:ascii="Times New Roman" w:hAnsi="Times New Roman"/>
          <w:sz w:val="22"/>
          <w:szCs w:val="22"/>
        </w:rPr>
      </w:pPr>
    </w:p>
    <w:p w:rsidRPr="00F06896" w:rsidR="00B21D74" w:rsidP="000F349E" w:rsidRDefault="00B21D74" w14:paraId="776AF7B6" w14:textId="1B97C346">
      <w:pPr>
        <w:ind w:left="284"/>
        <w:rPr>
          <w:rFonts w:ascii="Times New Roman" w:hAnsi="Times New Roman"/>
          <w:sz w:val="22"/>
          <w:szCs w:val="22"/>
        </w:rPr>
      </w:pPr>
      <w:r w:rsidRPr="00F06896">
        <w:rPr>
          <w:rFonts w:ascii="Times New Roman" w:hAnsi="Times New Roman"/>
          <w:sz w:val="22"/>
          <w:szCs w:val="22"/>
        </w:rPr>
        <w:t>NICE is committed to transparency</w:t>
      </w:r>
      <w:r w:rsidRPr="00F06896" w:rsidR="00A0633C">
        <w:rPr>
          <w:rFonts w:ascii="Times New Roman" w:hAnsi="Times New Roman"/>
          <w:sz w:val="22"/>
          <w:szCs w:val="22"/>
        </w:rPr>
        <w:t>,</w:t>
      </w:r>
      <w:r w:rsidRPr="00F06896">
        <w:rPr>
          <w:rFonts w:ascii="Times New Roman" w:hAnsi="Times New Roman"/>
          <w:sz w:val="22"/>
          <w:szCs w:val="22"/>
        </w:rPr>
        <w:t xml:space="preserve"> and this is a requirement of a fair procedure.  </w:t>
      </w:r>
      <w:r w:rsidRPr="00F06896" w:rsidR="00826367">
        <w:rPr>
          <w:rFonts w:ascii="Times New Roman" w:hAnsi="Times New Roman"/>
          <w:sz w:val="22"/>
          <w:szCs w:val="22"/>
        </w:rPr>
        <w:t xml:space="preserve">There is clear authority that, </w:t>
      </w:r>
      <w:r w:rsidRPr="00F06896" w:rsidR="00C65664">
        <w:rPr>
          <w:rFonts w:ascii="Times New Roman" w:hAnsi="Times New Roman"/>
          <w:sz w:val="22"/>
          <w:szCs w:val="22"/>
        </w:rPr>
        <w:t>even where</w:t>
      </w:r>
      <w:r w:rsidRPr="00F06896" w:rsidR="0046569D">
        <w:rPr>
          <w:rFonts w:ascii="Times New Roman" w:hAnsi="Times New Roman"/>
          <w:sz w:val="22"/>
          <w:szCs w:val="22"/>
        </w:rPr>
        <w:t>, as here,</w:t>
      </w:r>
      <w:r w:rsidRPr="00F06896" w:rsidR="00C65664">
        <w:rPr>
          <w:rFonts w:ascii="Times New Roman" w:hAnsi="Times New Roman"/>
          <w:sz w:val="22"/>
          <w:szCs w:val="22"/>
        </w:rPr>
        <w:t xml:space="preserve"> </w:t>
      </w:r>
      <w:r w:rsidRPr="00F06896" w:rsidR="0046569D">
        <w:rPr>
          <w:rFonts w:ascii="Times New Roman" w:hAnsi="Times New Roman"/>
          <w:sz w:val="22"/>
          <w:szCs w:val="22"/>
        </w:rPr>
        <w:t xml:space="preserve">NICE relies upon a third party such as NHS England for </w:t>
      </w:r>
      <w:r w:rsidRPr="00F06896" w:rsidR="00350645">
        <w:rPr>
          <w:rFonts w:ascii="Times New Roman" w:hAnsi="Times New Roman"/>
          <w:sz w:val="22"/>
          <w:szCs w:val="22"/>
        </w:rPr>
        <w:t>evidence and explanations</w:t>
      </w:r>
      <w:r w:rsidRPr="00F06896" w:rsidR="000F0126">
        <w:rPr>
          <w:rFonts w:ascii="Times New Roman" w:hAnsi="Times New Roman"/>
          <w:sz w:val="22"/>
          <w:szCs w:val="22"/>
        </w:rPr>
        <w:t>,</w:t>
      </w:r>
      <w:r w:rsidRPr="00F06896" w:rsidR="00350645">
        <w:rPr>
          <w:rFonts w:ascii="Times New Roman" w:hAnsi="Times New Roman"/>
          <w:sz w:val="22"/>
          <w:szCs w:val="22"/>
        </w:rPr>
        <w:t xml:space="preserve"> it is required to </w:t>
      </w:r>
      <w:r w:rsidRPr="00F06896" w:rsidR="00F83C1E">
        <w:rPr>
          <w:rFonts w:ascii="Times New Roman" w:hAnsi="Times New Roman"/>
          <w:sz w:val="22"/>
          <w:szCs w:val="22"/>
        </w:rPr>
        <w:t xml:space="preserve">investigate how information needed </w:t>
      </w:r>
      <w:r w:rsidRPr="00F06896" w:rsidR="0021505F">
        <w:rPr>
          <w:rFonts w:ascii="Times New Roman" w:hAnsi="Times New Roman"/>
          <w:sz w:val="22"/>
          <w:szCs w:val="22"/>
        </w:rPr>
        <w:t xml:space="preserve">to ensure its decisions are </w:t>
      </w:r>
      <w:r w:rsidRPr="00F06896" w:rsidR="00F83C1E">
        <w:rPr>
          <w:rFonts w:ascii="Times New Roman" w:hAnsi="Times New Roman"/>
          <w:sz w:val="22"/>
          <w:szCs w:val="22"/>
        </w:rPr>
        <w:t>transparen</w:t>
      </w:r>
      <w:r w:rsidRPr="00F06896" w:rsidR="0021505F">
        <w:rPr>
          <w:rFonts w:ascii="Times New Roman" w:hAnsi="Times New Roman"/>
          <w:sz w:val="22"/>
          <w:szCs w:val="22"/>
        </w:rPr>
        <w:t>t and may be understood,</w:t>
      </w:r>
      <w:r w:rsidRPr="00F06896" w:rsidR="00F83C1E">
        <w:rPr>
          <w:rFonts w:ascii="Times New Roman" w:hAnsi="Times New Roman"/>
          <w:sz w:val="22"/>
          <w:szCs w:val="22"/>
        </w:rPr>
        <w:t xml:space="preserve"> </w:t>
      </w:r>
      <w:r w:rsidRPr="00F06896" w:rsidR="000F0126">
        <w:rPr>
          <w:rFonts w:ascii="Times New Roman" w:hAnsi="Times New Roman"/>
          <w:sz w:val="22"/>
          <w:szCs w:val="22"/>
        </w:rPr>
        <w:t xml:space="preserve">can be obtained and made available to </w:t>
      </w:r>
      <w:r w:rsidRPr="00F06896" w:rsidR="00BB4637">
        <w:rPr>
          <w:rFonts w:ascii="Times New Roman" w:hAnsi="Times New Roman"/>
          <w:sz w:val="22"/>
          <w:szCs w:val="22"/>
        </w:rPr>
        <w:t>consultees (</w:t>
      </w:r>
      <w:r w:rsidRPr="00F06896" w:rsidR="0021505F">
        <w:rPr>
          <w:rFonts w:ascii="Times New Roman" w:hAnsi="Times New Roman"/>
          <w:sz w:val="22"/>
          <w:szCs w:val="22"/>
        </w:rPr>
        <w:t xml:space="preserve">see for example the judgment of the Court of Appeal in </w:t>
      </w:r>
      <w:proofErr w:type="spellStart"/>
      <w:r w:rsidRPr="00F06896" w:rsidR="00BB4637">
        <w:rPr>
          <w:rFonts w:ascii="Times New Roman" w:hAnsi="Times New Roman"/>
          <w:sz w:val="22"/>
          <w:szCs w:val="22"/>
          <w:u w:val="single"/>
        </w:rPr>
        <w:t>Servier</w:t>
      </w:r>
      <w:proofErr w:type="spellEnd"/>
      <w:r w:rsidRPr="00F06896" w:rsidR="00BB4637">
        <w:rPr>
          <w:rFonts w:ascii="Times New Roman" w:hAnsi="Times New Roman"/>
          <w:sz w:val="22"/>
          <w:szCs w:val="22"/>
          <w:u w:val="single"/>
        </w:rPr>
        <w:t xml:space="preserve"> </w:t>
      </w:r>
      <w:r w:rsidRPr="00F06896" w:rsidR="0021505F">
        <w:rPr>
          <w:rFonts w:ascii="Times New Roman" w:hAnsi="Times New Roman"/>
          <w:sz w:val="22"/>
          <w:szCs w:val="22"/>
          <w:u w:val="single"/>
        </w:rPr>
        <w:t>v NICE</w:t>
      </w:r>
      <w:r w:rsidRPr="00F06896" w:rsidR="0021505F">
        <w:rPr>
          <w:rFonts w:ascii="Times New Roman" w:hAnsi="Times New Roman"/>
          <w:sz w:val="22"/>
          <w:szCs w:val="22"/>
        </w:rPr>
        <w:t xml:space="preserve"> [2010] EWCA Civ 346).  </w:t>
      </w:r>
      <w:r w:rsidRPr="00F06896" w:rsidR="00523D91">
        <w:rPr>
          <w:rFonts w:ascii="Times New Roman" w:hAnsi="Times New Roman"/>
          <w:sz w:val="22"/>
          <w:szCs w:val="22"/>
        </w:rPr>
        <w:t>Eisai suggests that</w:t>
      </w:r>
      <w:r w:rsidRPr="00F06896" w:rsidR="00DE419A">
        <w:rPr>
          <w:rFonts w:ascii="Times New Roman" w:hAnsi="Times New Roman"/>
          <w:sz w:val="22"/>
          <w:szCs w:val="22"/>
        </w:rPr>
        <w:t>,</w:t>
      </w:r>
      <w:r w:rsidRPr="00F06896" w:rsidR="00523D91">
        <w:rPr>
          <w:rFonts w:ascii="Times New Roman" w:hAnsi="Times New Roman"/>
          <w:sz w:val="22"/>
          <w:szCs w:val="22"/>
        </w:rPr>
        <w:t xml:space="preserve"> where such information is not available (consistent with the position under (a) above</w:t>
      </w:r>
      <w:r w:rsidRPr="00F06896" w:rsidR="006C6940">
        <w:rPr>
          <w:rFonts w:ascii="Times New Roman" w:hAnsi="Times New Roman"/>
          <w:sz w:val="22"/>
          <w:szCs w:val="22"/>
        </w:rPr>
        <w:t>)</w:t>
      </w:r>
      <w:r w:rsidRPr="00F06896" w:rsidR="00DE419A">
        <w:rPr>
          <w:rFonts w:ascii="Times New Roman" w:hAnsi="Times New Roman"/>
          <w:sz w:val="22"/>
          <w:szCs w:val="22"/>
        </w:rPr>
        <w:t>,</w:t>
      </w:r>
      <w:r w:rsidRPr="00F06896" w:rsidR="00523D91">
        <w:rPr>
          <w:rFonts w:ascii="Times New Roman" w:hAnsi="Times New Roman"/>
          <w:sz w:val="22"/>
          <w:szCs w:val="22"/>
        </w:rPr>
        <w:t xml:space="preserve"> NICE </w:t>
      </w:r>
      <w:r w:rsidRPr="00F06896" w:rsidR="00406FE3">
        <w:rPr>
          <w:rFonts w:ascii="Times New Roman" w:hAnsi="Times New Roman"/>
          <w:sz w:val="22"/>
          <w:szCs w:val="22"/>
        </w:rPr>
        <w:t xml:space="preserve">is required to justify </w:t>
      </w:r>
      <w:r w:rsidRPr="00F06896" w:rsidR="0055364C">
        <w:rPr>
          <w:rFonts w:ascii="Times New Roman" w:hAnsi="Times New Roman"/>
          <w:sz w:val="22"/>
          <w:szCs w:val="22"/>
        </w:rPr>
        <w:t xml:space="preserve">reliance on </w:t>
      </w:r>
      <w:r w:rsidRPr="00F06896" w:rsidR="0020230A">
        <w:rPr>
          <w:rFonts w:ascii="Times New Roman" w:hAnsi="Times New Roman"/>
          <w:sz w:val="22"/>
          <w:szCs w:val="22"/>
        </w:rPr>
        <w:t>non-transparent information</w:t>
      </w:r>
      <w:r w:rsidRPr="00F06896" w:rsidR="006C6940">
        <w:rPr>
          <w:rFonts w:ascii="Times New Roman" w:hAnsi="Times New Roman"/>
          <w:sz w:val="22"/>
          <w:szCs w:val="22"/>
        </w:rPr>
        <w:t>, rather than alternative sources</w:t>
      </w:r>
      <w:r w:rsidRPr="00F06896" w:rsidR="00372358">
        <w:rPr>
          <w:rFonts w:ascii="Times New Roman" w:hAnsi="Times New Roman"/>
          <w:sz w:val="22"/>
          <w:szCs w:val="22"/>
        </w:rPr>
        <w:t>,</w:t>
      </w:r>
      <w:r w:rsidRPr="00F06896" w:rsidR="006C6940">
        <w:rPr>
          <w:rFonts w:ascii="Times New Roman" w:hAnsi="Times New Roman"/>
          <w:sz w:val="22"/>
          <w:szCs w:val="22"/>
        </w:rPr>
        <w:t xml:space="preserve"> where the </w:t>
      </w:r>
      <w:r w:rsidRPr="00F06896" w:rsidR="00570E1C">
        <w:rPr>
          <w:rFonts w:ascii="Times New Roman" w:hAnsi="Times New Roman"/>
          <w:sz w:val="22"/>
          <w:szCs w:val="22"/>
        </w:rPr>
        <w:t xml:space="preserve">details </w:t>
      </w:r>
      <w:r w:rsidRPr="00F06896" w:rsidR="00372358">
        <w:rPr>
          <w:rFonts w:ascii="Times New Roman" w:hAnsi="Times New Roman"/>
          <w:sz w:val="22"/>
          <w:szCs w:val="22"/>
        </w:rPr>
        <w:t xml:space="preserve">are transparent and </w:t>
      </w:r>
      <w:r w:rsidRPr="00F06896" w:rsidR="00570E1C">
        <w:rPr>
          <w:rFonts w:ascii="Times New Roman" w:hAnsi="Times New Roman"/>
          <w:sz w:val="22"/>
          <w:szCs w:val="22"/>
        </w:rPr>
        <w:t>can be made available to stakeholders.</w:t>
      </w:r>
      <w:r w:rsidRPr="00F06896" w:rsidR="00523D91">
        <w:rPr>
          <w:rFonts w:ascii="Times New Roman" w:hAnsi="Times New Roman"/>
          <w:sz w:val="22"/>
          <w:szCs w:val="22"/>
        </w:rPr>
        <w:t xml:space="preserve"> </w:t>
      </w:r>
    </w:p>
    <w:p w:rsidRPr="00F06896" w:rsidR="00BB5A67" w:rsidP="007F0316" w:rsidRDefault="00BB5A67" w14:paraId="55B90349" w14:textId="77777777">
      <w:pPr>
        <w:ind w:left="1440"/>
        <w:rPr>
          <w:rFonts w:ascii="Times New Roman" w:hAnsi="Times New Roman"/>
          <w:sz w:val="22"/>
          <w:szCs w:val="22"/>
        </w:rPr>
      </w:pPr>
    </w:p>
    <w:p w:rsidRPr="00F06896" w:rsidR="00E66A91" w:rsidP="007F0316" w:rsidRDefault="00E66A91" w14:paraId="7C1F7B91" w14:textId="77D03073">
      <w:pPr>
        <w:pStyle w:val="ListParagraph"/>
        <w:numPr>
          <w:ilvl w:val="1"/>
          <w:numId w:val="1"/>
        </w:numPr>
        <w:rPr>
          <w:rFonts w:ascii="Times New Roman" w:hAnsi="Times New Roman"/>
          <w:b/>
          <w:bCs/>
          <w:sz w:val="22"/>
          <w:szCs w:val="22"/>
        </w:rPr>
      </w:pPr>
      <w:r w:rsidRPr="00F06896">
        <w:rPr>
          <w:rFonts w:ascii="Times New Roman" w:hAnsi="Times New Roman"/>
          <w:b/>
          <w:bCs/>
          <w:sz w:val="22"/>
          <w:szCs w:val="22"/>
        </w:rPr>
        <w:t>The Committee has omitted to explain</w:t>
      </w:r>
      <w:r w:rsidRPr="00F06896" w:rsidR="00B273C7">
        <w:rPr>
          <w:rFonts w:ascii="Times New Roman" w:hAnsi="Times New Roman"/>
          <w:b/>
          <w:bCs/>
          <w:sz w:val="22"/>
          <w:szCs w:val="22"/>
        </w:rPr>
        <w:t xml:space="preserve"> why it has rejected the data from Clarity AD in concluding no effect of lecanemab in delaying progression to moderate or severe AD and has adopted an inconsistent approach to that followed in the appraisal of donanemab</w:t>
      </w:r>
    </w:p>
    <w:p w:rsidR="00D23E19" w:rsidP="00D23E19" w:rsidRDefault="00D23E19" w14:paraId="327F3578" w14:textId="77777777">
      <w:pPr>
        <w:pStyle w:val="BodyText"/>
        <w:spacing w:after="0"/>
        <w:rPr>
          <w:sz w:val="22"/>
          <w:szCs w:val="22"/>
        </w:rPr>
      </w:pPr>
    </w:p>
    <w:p w:rsidRPr="00F06896" w:rsidR="00974B8B" w:rsidP="007F0316" w:rsidRDefault="00974B8B" w14:paraId="4322B271" w14:textId="3D74521F">
      <w:pPr>
        <w:pStyle w:val="BodyText"/>
        <w:rPr>
          <w:sz w:val="22"/>
          <w:szCs w:val="22"/>
        </w:rPr>
      </w:pPr>
      <w:r w:rsidRPr="00F06896">
        <w:rPr>
          <w:sz w:val="22"/>
          <w:szCs w:val="22"/>
        </w:rPr>
        <w:t>The Clarity AD study showed that lecanemab delays time-to-worsening from mild AD (defined as CDR-SB score of 4.5–9.0) to moderate or severe dementia (CSR-SB score &gt;9.0)</w:t>
      </w:r>
      <w:r w:rsidRPr="00F06896" w:rsidR="00AE52CD">
        <w:rPr>
          <w:sz w:val="22"/>
          <w:szCs w:val="22"/>
        </w:rPr>
        <w:t>.</w:t>
      </w:r>
      <w:r w:rsidRPr="00F06896">
        <w:rPr>
          <w:sz w:val="22"/>
          <w:szCs w:val="22"/>
        </w:rPr>
        <w:t xml:space="preserve"> The Eisai base case cost-effectiveness model therefore included a treatment effect for lecanemab versus placebo in the form of a hazard ratio that means lecanemab delays progression from mild to severe AD.  </w:t>
      </w:r>
    </w:p>
    <w:p w:rsidRPr="00F06896" w:rsidR="00DB6645" w:rsidP="007F0316" w:rsidRDefault="00DB6645" w14:paraId="40319423" w14:textId="0EE4D7A8">
      <w:pPr>
        <w:pStyle w:val="BodyText"/>
        <w:rPr>
          <w:i/>
          <w:iCs/>
          <w:sz w:val="22"/>
          <w:szCs w:val="22"/>
        </w:rPr>
      </w:pPr>
      <w:r w:rsidRPr="00F06896">
        <w:rPr>
          <w:sz w:val="22"/>
          <w:szCs w:val="22"/>
        </w:rPr>
        <w:t>The EAG’s base case disabled this hazard ratio, disregarding the evidence from Clarity AD and assuming no benefit for lecanemab in delaying worsening to moderate or se</w:t>
      </w:r>
      <w:r w:rsidRPr="00F06896" w:rsidR="00673B49">
        <w:rPr>
          <w:sz w:val="22"/>
          <w:szCs w:val="22"/>
        </w:rPr>
        <w:t>vere</w:t>
      </w:r>
      <w:r w:rsidRPr="00F06896">
        <w:rPr>
          <w:sz w:val="22"/>
          <w:szCs w:val="22"/>
        </w:rPr>
        <w:t xml:space="preserve"> AD. The EAG’s rationale was: </w:t>
      </w:r>
      <w:r w:rsidRPr="00F06896">
        <w:rPr>
          <w:i/>
          <w:iCs/>
          <w:sz w:val="22"/>
          <w:szCs w:val="22"/>
        </w:rPr>
        <w:t xml:space="preserve">“For the transition from mild AD to severe AD, the company assumed that the transition probability from Potashman et al. holds for standard of care, and applies a hazard ratio to this transition probability. The EAG notes that no justification was given for the assumption of a treatment effect on this transition and sets this hazard ratio to 1 in the EAG base-case.” </w:t>
      </w:r>
    </w:p>
    <w:p w:rsidR="00D23E19" w:rsidP="00D23E19" w:rsidRDefault="00DB6645" w14:paraId="3ED3AFD4" w14:textId="77777777">
      <w:pPr>
        <w:pStyle w:val="BodyText"/>
        <w:spacing w:after="0"/>
        <w:rPr>
          <w:sz w:val="22"/>
          <w:szCs w:val="22"/>
        </w:rPr>
      </w:pPr>
      <w:r w:rsidRPr="00F06896">
        <w:rPr>
          <w:sz w:val="22"/>
          <w:szCs w:val="22"/>
        </w:rPr>
        <w:t>A</w:t>
      </w:r>
      <w:r w:rsidRPr="00F06896" w:rsidR="00974B8B">
        <w:rPr>
          <w:sz w:val="22"/>
          <w:szCs w:val="22"/>
        </w:rPr>
        <w:t>t paragraph 3.15 of the FDG, the Committee considered the impact of lecanemab on progression from mild to severe AD and concluded:</w:t>
      </w:r>
    </w:p>
    <w:p w:rsidR="00322269" w:rsidP="00D23E19" w:rsidRDefault="00322269" w14:paraId="545B0F1D" w14:textId="77777777">
      <w:pPr>
        <w:pStyle w:val="BodyText"/>
        <w:spacing w:after="0"/>
        <w:rPr>
          <w:sz w:val="22"/>
          <w:szCs w:val="22"/>
        </w:rPr>
      </w:pPr>
    </w:p>
    <w:p w:rsidRPr="00F06896" w:rsidR="00372358" w:rsidP="002F06E9" w:rsidRDefault="00974B8B" w14:paraId="7B88D732" w14:textId="5414D8F2">
      <w:pPr>
        <w:pStyle w:val="BodyText"/>
        <w:spacing w:after="0"/>
        <w:ind w:left="720"/>
        <w:rPr>
          <w:sz w:val="22"/>
          <w:szCs w:val="22"/>
        </w:rPr>
      </w:pPr>
      <w:r w:rsidRPr="00F06896">
        <w:rPr>
          <w:i/>
          <w:iCs/>
          <w:sz w:val="22"/>
          <w:szCs w:val="22"/>
        </w:rPr>
        <w:t>“…..that, given the additional information shared by the company, there was not a clear significant treatment effect in transitions from mild to severe dementia for lecanemab. So, it concluded that assuming lecanemab would not affect the proportion of people who moved directly from mild dementia to severe dementia compared with standard care was appropriate for decision making”.</w:t>
      </w:r>
    </w:p>
    <w:p w:rsidRPr="00F06896" w:rsidR="00372358" w:rsidP="002F06E9" w:rsidRDefault="00372358" w14:paraId="63164075" w14:textId="77777777">
      <w:pPr>
        <w:pStyle w:val="BodyText"/>
        <w:numPr>
          <w:ilvl w:val="0"/>
          <w:numId w:val="17"/>
        </w:numPr>
        <w:spacing w:after="0"/>
        <w:rPr>
          <w:sz w:val="22"/>
          <w:szCs w:val="22"/>
        </w:rPr>
      </w:pPr>
    </w:p>
    <w:p w:rsidRPr="00F06896" w:rsidR="00372358" w:rsidP="00D161D6" w:rsidRDefault="00372358" w14:paraId="3C776525" w14:textId="3097B966">
      <w:pPr>
        <w:pStyle w:val="BodyText"/>
        <w:numPr>
          <w:ilvl w:val="0"/>
          <w:numId w:val="17"/>
        </w:numPr>
        <w:rPr>
          <w:sz w:val="22"/>
          <w:szCs w:val="22"/>
        </w:rPr>
      </w:pPr>
      <w:r w:rsidRPr="00F06896">
        <w:rPr>
          <w:sz w:val="22"/>
          <w:szCs w:val="22"/>
        </w:rPr>
        <w:t>However</w:t>
      </w:r>
      <w:r w:rsidR="001600AD">
        <w:rPr>
          <w:sz w:val="22"/>
          <w:szCs w:val="22"/>
        </w:rPr>
        <w:t>,</w:t>
      </w:r>
      <w:r w:rsidRPr="00F06896">
        <w:rPr>
          <w:sz w:val="22"/>
          <w:szCs w:val="22"/>
        </w:rPr>
        <w:t xml:space="preserve"> no explanation has been provided for disregarding the data from Clarity AD, submitted by Eisai, which confirm a benefit in delaying progression to severe AD.</w:t>
      </w:r>
    </w:p>
    <w:p w:rsidRPr="00F06896" w:rsidR="00372358" w:rsidP="00D161D6" w:rsidRDefault="00372358" w14:paraId="4B700E30" w14:textId="77777777">
      <w:pPr>
        <w:pStyle w:val="BodyText"/>
        <w:numPr>
          <w:ilvl w:val="0"/>
          <w:numId w:val="17"/>
        </w:numPr>
        <w:rPr>
          <w:sz w:val="22"/>
          <w:szCs w:val="22"/>
        </w:rPr>
      </w:pPr>
      <w:r w:rsidRPr="00F06896">
        <w:rPr>
          <w:sz w:val="22"/>
          <w:szCs w:val="22"/>
        </w:rPr>
        <w:t xml:space="preserve">In addition, the Committee acted inconsistently in their decision-making regarding the transition from mild to severe AD in the lecanemab appraisal compared with the donanemab appraisal (ID6222). While the Committee rejected a treatment effect for lecanemab in delaying the transition, in the donanemab appraisal, the same modelling approach, in which a time-to-worsening hazard ratio (TTW HR) is applied to all forward transitions, was used by the company, accepted by a different EAG and the same Committee, despite similar underlying clinical data. </w:t>
      </w:r>
    </w:p>
    <w:p w:rsidRPr="00F06896" w:rsidR="00372358" w:rsidP="00D161D6" w:rsidRDefault="00372358" w14:paraId="46420A3F" w14:textId="4099AB88">
      <w:pPr>
        <w:pStyle w:val="BodyText"/>
        <w:numPr>
          <w:ilvl w:val="0"/>
          <w:numId w:val="17"/>
        </w:numPr>
        <w:spacing w:after="0"/>
        <w:rPr>
          <w:sz w:val="22"/>
          <w:szCs w:val="22"/>
        </w:rPr>
      </w:pPr>
      <w:r w:rsidRPr="00F06896">
        <w:rPr>
          <w:sz w:val="22"/>
          <w:szCs w:val="22"/>
        </w:rPr>
        <w:t>In summary, the reasons for rejecting the data from Clarity AD on delay to progression to severe AD are unexplained and the inconsistent approach between the appraisals for lecanemab and donanemab is unfair.</w:t>
      </w:r>
    </w:p>
    <w:p w:rsidRPr="00F06896" w:rsidR="00372358" w:rsidP="00D161D6" w:rsidRDefault="00372358" w14:paraId="0E7F070E" w14:textId="77777777">
      <w:pPr>
        <w:pStyle w:val="BodyText"/>
        <w:numPr>
          <w:ilvl w:val="0"/>
          <w:numId w:val="17"/>
        </w:numPr>
        <w:spacing w:after="0"/>
        <w:rPr>
          <w:sz w:val="22"/>
          <w:szCs w:val="22"/>
        </w:rPr>
      </w:pPr>
    </w:p>
    <w:p w:rsidRPr="00F06896" w:rsidR="00183CDC" w:rsidP="007F0316" w:rsidRDefault="00372358" w14:paraId="1A630E12" w14:textId="188D8D99">
      <w:pPr>
        <w:pStyle w:val="ListParagraph"/>
        <w:numPr>
          <w:ilvl w:val="1"/>
          <w:numId w:val="1"/>
        </w:numPr>
        <w:rPr>
          <w:rFonts w:ascii="Times New Roman" w:hAnsi="Times New Roman" w:eastAsia="Times New Roman"/>
          <w:b/>
          <w:kern w:val="0"/>
          <w:sz w:val="22"/>
          <w:szCs w:val="22"/>
        </w:rPr>
      </w:pPr>
      <w:r w:rsidRPr="00F06896">
        <w:rPr>
          <w:rFonts w:ascii="Times New Roman" w:hAnsi="Times New Roman" w:eastAsia="Times New Roman"/>
          <w:b/>
          <w:kern w:val="0"/>
          <w:sz w:val="22"/>
          <w:szCs w:val="22"/>
        </w:rPr>
        <w:t>T</w:t>
      </w:r>
      <w:r w:rsidRPr="00F06896" w:rsidR="00891AF0">
        <w:rPr>
          <w:rFonts w:ascii="Times New Roman" w:hAnsi="Times New Roman" w:eastAsia="Times New Roman"/>
          <w:b/>
          <w:kern w:val="0"/>
          <w:sz w:val="22"/>
          <w:szCs w:val="22"/>
        </w:rPr>
        <w:t>he Committee</w:t>
      </w:r>
      <w:r w:rsidRPr="00F06896" w:rsidR="00E06D9C">
        <w:rPr>
          <w:rFonts w:ascii="Times New Roman" w:hAnsi="Times New Roman" w:eastAsia="Times New Roman"/>
          <w:b/>
          <w:kern w:val="0"/>
          <w:sz w:val="22"/>
          <w:szCs w:val="22"/>
        </w:rPr>
        <w:t>’s</w:t>
      </w:r>
      <w:r w:rsidRPr="00F06896" w:rsidR="00891AF0">
        <w:rPr>
          <w:rFonts w:ascii="Times New Roman" w:hAnsi="Times New Roman" w:eastAsia="Times New Roman"/>
          <w:b/>
          <w:kern w:val="0"/>
          <w:sz w:val="22"/>
          <w:szCs w:val="22"/>
        </w:rPr>
        <w:t xml:space="preserve"> consideration o</w:t>
      </w:r>
      <w:r w:rsidRPr="00F06896" w:rsidR="009D1C5A">
        <w:rPr>
          <w:rFonts w:ascii="Times New Roman" w:hAnsi="Times New Roman" w:eastAsia="Times New Roman"/>
          <w:b/>
          <w:kern w:val="0"/>
          <w:sz w:val="22"/>
          <w:szCs w:val="22"/>
        </w:rPr>
        <w:t>f</w:t>
      </w:r>
      <w:r w:rsidRPr="00F06896" w:rsidR="00891AF0">
        <w:rPr>
          <w:rFonts w:ascii="Times New Roman" w:hAnsi="Times New Roman" w:eastAsia="Times New Roman"/>
          <w:b/>
          <w:kern w:val="0"/>
          <w:sz w:val="22"/>
          <w:szCs w:val="22"/>
        </w:rPr>
        <w:t xml:space="preserve"> </w:t>
      </w:r>
      <w:r w:rsidRPr="00F06896" w:rsidR="00510988">
        <w:rPr>
          <w:rFonts w:ascii="Times New Roman" w:hAnsi="Times New Roman" w:eastAsia="Times New Roman"/>
          <w:b/>
          <w:kern w:val="0"/>
          <w:sz w:val="22"/>
          <w:szCs w:val="22"/>
        </w:rPr>
        <w:t xml:space="preserve">a recommendation for use of lecanemab through </w:t>
      </w:r>
      <w:r w:rsidRPr="00F06896" w:rsidR="00510988">
        <w:rPr>
          <w:rFonts w:ascii="Times New Roman" w:hAnsi="Times New Roman"/>
          <w:b/>
          <w:bCs/>
          <w:sz w:val="22"/>
          <w:szCs w:val="22"/>
        </w:rPr>
        <w:t>m</w:t>
      </w:r>
      <w:r w:rsidRPr="00F06896" w:rsidR="00183CDC">
        <w:rPr>
          <w:rFonts w:ascii="Times New Roman" w:hAnsi="Times New Roman"/>
          <w:b/>
          <w:bCs/>
          <w:sz w:val="22"/>
          <w:szCs w:val="22"/>
        </w:rPr>
        <w:t>anaged</w:t>
      </w:r>
      <w:r w:rsidRPr="00F06896" w:rsidR="00183CDC">
        <w:rPr>
          <w:rFonts w:ascii="Times New Roman" w:hAnsi="Times New Roman" w:eastAsia="Times New Roman"/>
          <w:b/>
          <w:kern w:val="0"/>
          <w:sz w:val="22"/>
          <w:szCs w:val="22"/>
        </w:rPr>
        <w:t xml:space="preserve"> </w:t>
      </w:r>
      <w:r w:rsidRPr="00F06896" w:rsidR="006F18E2">
        <w:rPr>
          <w:rFonts w:ascii="Times New Roman" w:hAnsi="Times New Roman" w:eastAsia="Times New Roman"/>
          <w:b/>
          <w:kern w:val="0"/>
          <w:sz w:val="22"/>
          <w:szCs w:val="22"/>
        </w:rPr>
        <w:t>a</w:t>
      </w:r>
      <w:r w:rsidRPr="00F06896" w:rsidR="00F77715">
        <w:rPr>
          <w:rFonts w:ascii="Times New Roman" w:hAnsi="Times New Roman" w:eastAsia="Times New Roman"/>
          <w:b/>
          <w:kern w:val="0"/>
          <w:sz w:val="22"/>
          <w:szCs w:val="22"/>
        </w:rPr>
        <w:t>c</w:t>
      </w:r>
      <w:r w:rsidRPr="00F06896" w:rsidR="00183CDC">
        <w:rPr>
          <w:rFonts w:ascii="Times New Roman" w:hAnsi="Times New Roman" w:eastAsia="Times New Roman"/>
          <w:b/>
          <w:kern w:val="0"/>
          <w:sz w:val="22"/>
          <w:szCs w:val="22"/>
        </w:rPr>
        <w:t>cess</w:t>
      </w:r>
      <w:r w:rsidRPr="00F06896" w:rsidR="00E06D9C">
        <w:rPr>
          <w:rFonts w:ascii="Times New Roman" w:hAnsi="Times New Roman" w:eastAsia="Times New Roman"/>
          <w:b/>
          <w:kern w:val="0"/>
          <w:sz w:val="22"/>
          <w:szCs w:val="22"/>
        </w:rPr>
        <w:t xml:space="preserve"> </w:t>
      </w:r>
      <w:r w:rsidRPr="00F06896" w:rsidR="003A1529">
        <w:rPr>
          <w:rFonts w:ascii="Times New Roman" w:hAnsi="Times New Roman" w:eastAsia="Times New Roman"/>
          <w:b/>
          <w:kern w:val="0"/>
          <w:sz w:val="22"/>
          <w:szCs w:val="22"/>
        </w:rPr>
        <w:t xml:space="preserve">does not reflect the requirements of </w:t>
      </w:r>
      <w:r w:rsidRPr="00F06896" w:rsidR="00A81C6D">
        <w:rPr>
          <w:rFonts w:ascii="Times New Roman" w:hAnsi="Times New Roman" w:eastAsia="Times New Roman"/>
          <w:b/>
          <w:kern w:val="0"/>
          <w:sz w:val="22"/>
          <w:szCs w:val="22"/>
        </w:rPr>
        <w:t xml:space="preserve">the Manual </w:t>
      </w:r>
      <w:r w:rsidRPr="00F06896">
        <w:rPr>
          <w:rFonts w:ascii="Times New Roman" w:hAnsi="Times New Roman" w:eastAsia="Times New Roman"/>
          <w:b/>
          <w:kern w:val="0"/>
          <w:sz w:val="22"/>
          <w:szCs w:val="22"/>
        </w:rPr>
        <w:t xml:space="preserve">or the Innovative Medicines Fund principles </w:t>
      </w:r>
      <w:r w:rsidRPr="00F06896" w:rsidR="00A81C6D">
        <w:rPr>
          <w:rFonts w:ascii="Times New Roman" w:hAnsi="Times New Roman" w:eastAsia="Times New Roman"/>
          <w:b/>
          <w:kern w:val="0"/>
          <w:sz w:val="22"/>
          <w:szCs w:val="22"/>
        </w:rPr>
        <w:t>and is unfair</w:t>
      </w:r>
    </w:p>
    <w:p w:rsidRPr="00F06896" w:rsidR="00295E7B" w:rsidP="007F0316" w:rsidRDefault="00295E7B" w14:paraId="1409C20A" w14:textId="20CFB793">
      <w:pPr>
        <w:pStyle w:val="Default"/>
        <w:rPr>
          <w:rFonts w:ascii="Times New Roman" w:hAnsi="Times New Roman" w:cs="Times New Roman"/>
          <w:sz w:val="22"/>
          <w:szCs w:val="22"/>
        </w:rPr>
      </w:pPr>
    </w:p>
    <w:p w:rsidRPr="00F06896" w:rsidR="00C24BF5" w:rsidP="50EC1DEA" w:rsidRDefault="0056614F" w14:paraId="7FEBA857" w14:textId="44B36F0B">
      <w:pPr>
        <w:pStyle w:val="Default"/>
        <w:jc w:val="both"/>
        <w:rPr>
          <w:rFonts w:ascii="Times New Roman" w:hAnsi="Times New Roman" w:cs="Times New Roman"/>
          <w:sz w:val="22"/>
          <w:szCs w:val="22"/>
          <w:lang w:val="en-US"/>
        </w:rPr>
      </w:pPr>
      <w:r w:rsidRPr="50EC1DEA">
        <w:rPr>
          <w:rFonts w:ascii="Times New Roman" w:hAnsi="Times New Roman" w:cs="Times New Roman"/>
          <w:sz w:val="22"/>
          <w:szCs w:val="22"/>
          <w:lang w:val="en-US"/>
        </w:rPr>
        <w:t xml:space="preserve">The </w:t>
      </w:r>
      <w:r w:rsidRPr="50EC1DEA" w:rsidR="00B4007D">
        <w:rPr>
          <w:rFonts w:ascii="Times New Roman" w:hAnsi="Times New Roman" w:cs="Times New Roman"/>
          <w:sz w:val="22"/>
          <w:szCs w:val="22"/>
          <w:lang w:val="en-US"/>
        </w:rPr>
        <w:t xml:space="preserve">possibility of </w:t>
      </w:r>
      <w:r w:rsidRPr="50EC1DEA" w:rsidR="00DC3632">
        <w:rPr>
          <w:rFonts w:ascii="Times New Roman" w:hAnsi="Times New Roman" w:cs="Times New Roman"/>
          <w:sz w:val="22"/>
          <w:szCs w:val="22"/>
          <w:lang w:val="en-US"/>
        </w:rPr>
        <w:t xml:space="preserve">a recommendation </w:t>
      </w:r>
      <w:r w:rsidRPr="50EC1DEA" w:rsidR="00C24BF5">
        <w:rPr>
          <w:rFonts w:ascii="Times New Roman" w:hAnsi="Times New Roman" w:cs="Times New Roman"/>
          <w:sz w:val="22"/>
          <w:szCs w:val="22"/>
          <w:lang w:val="en-US"/>
        </w:rPr>
        <w:t xml:space="preserve">with </w:t>
      </w:r>
      <w:r w:rsidRPr="50EC1DEA" w:rsidR="00DC3632">
        <w:rPr>
          <w:rFonts w:ascii="Times New Roman" w:hAnsi="Times New Roman" w:cs="Times New Roman"/>
          <w:sz w:val="22"/>
          <w:szCs w:val="22"/>
          <w:lang w:val="en-US"/>
        </w:rPr>
        <w:t xml:space="preserve">managed access </w:t>
      </w:r>
      <w:r w:rsidRPr="50EC1DEA" w:rsidR="00C24BF5">
        <w:rPr>
          <w:rFonts w:ascii="Times New Roman" w:hAnsi="Times New Roman" w:cs="Times New Roman"/>
          <w:sz w:val="22"/>
          <w:szCs w:val="22"/>
          <w:lang w:val="en-US"/>
        </w:rPr>
        <w:t>is described at paragraphs 6.</w:t>
      </w:r>
      <w:r w:rsidRPr="50EC1DEA" w:rsidR="00647892">
        <w:rPr>
          <w:rFonts w:ascii="Times New Roman" w:hAnsi="Times New Roman" w:cs="Times New Roman"/>
          <w:sz w:val="22"/>
          <w:szCs w:val="22"/>
          <w:lang w:val="en-US"/>
        </w:rPr>
        <w:t>4.6 – 6.4.11 of NICE’s Manual.</w:t>
      </w:r>
      <w:r w:rsidRPr="50EC1DEA" w:rsidR="007270F8">
        <w:rPr>
          <w:rFonts w:ascii="Times New Roman" w:hAnsi="Times New Roman" w:cs="Times New Roman"/>
          <w:sz w:val="22"/>
          <w:szCs w:val="22"/>
          <w:lang w:val="en-US"/>
        </w:rPr>
        <w:t xml:space="preserve"> </w:t>
      </w:r>
      <w:r w:rsidRPr="50EC1DEA" w:rsidR="00340AA9">
        <w:rPr>
          <w:rFonts w:ascii="Times New Roman" w:hAnsi="Times New Roman" w:cs="Times New Roman"/>
          <w:sz w:val="22"/>
          <w:szCs w:val="22"/>
          <w:lang w:val="en-US"/>
        </w:rPr>
        <w:t>Paragraphs 6.4.6-6.4.</w:t>
      </w:r>
      <w:r w:rsidRPr="50EC1DEA" w:rsidR="003E345F">
        <w:rPr>
          <w:rFonts w:ascii="Times New Roman" w:hAnsi="Times New Roman" w:cs="Times New Roman"/>
          <w:sz w:val="22"/>
          <w:szCs w:val="22"/>
          <w:lang w:val="en-US"/>
        </w:rPr>
        <w:t>8 provide:</w:t>
      </w:r>
    </w:p>
    <w:p w:rsidRPr="00F06896" w:rsidR="00FA5C33" w:rsidP="00DA5FF8" w:rsidRDefault="00FA5C33" w14:paraId="3E8DF4E4" w14:textId="77777777">
      <w:pPr>
        <w:pStyle w:val="Default"/>
        <w:jc w:val="both"/>
        <w:rPr>
          <w:rFonts w:ascii="Times New Roman" w:hAnsi="Times New Roman" w:cs="Times New Roman"/>
          <w:sz w:val="22"/>
          <w:szCs w:val="22"/>
        </w:rPr>
      </w:pPr>
    </w:p>
    <w:p w:rsidRPr="00F06896" w:rsidR="0031408B" w:rsidP="00DA5FF8" w:rsidRDefault="003E345F" w14:paraId="35CC3CD0" w14:textId="37B8405B">
      <w:pPr>
        <w:pStyle w:val="Default"/>
        <w:ind w:left="360"/>
        <w:jc w:val="both"/>
        <w:rPr>
          <w:rFonts w:ascii="Times New Roman" w:hAnsi="Times New Roman" w:cs="Times New Roman"/>
          <w:i/>
          <w:iCs/>
          <w:sz w:val="22"/>
          <w:szCs w:val="22"/>
        </w:rPr>
      </w:pPr>
      <w:r w:rsidRPr="00F06896">
        <w:rPr>
          <w:rFonts w:ascii="Times New Roman" w:hAnsi="Times New Roman" w:cs="Times New Roman"/>
          <w:i/>
          <w:iCs/>
          <w:sz w:val="22"/>
          <w:szCs w:val="22"/>
        </w:rPr>
        <w:t>“6.4.6</w:t>
      </w:r>
      <w:r w:rsidRPr="00F06896">
        <w:rPr>
          <w:rFonts w:ascii="Times New Roman" w:hAnsi="Times New Roman" w:cs="Times New Roman"/>
          <w:i/>
          <w:iCs/>
          <w:sz w:val="22"/>
          <w:szCs w:val="22"/>
        </w:rPr>
        <w:tab/>
      </w:r>
      <w:r w:rsidRPr="00F06896" w:rsidR="0031408B">
        <w:rPr>
          <w:rFonts w:ascii="Times New Roman" w:hAnsi="Times New Roman" w:cs="Times New Roman"/>
          <w:i/>
          <w:iCs/>
          <w:sz w:val="22"/>
          <w:szCs w:val="22"/>
        </w:rPr>
        <w:t>When a committee is unable to recommend a medicine because there is still significant resolvable uncertainty, it can make a recommendation for further evidence to be gathered subject to managed access. The committee can consider a recommendation with managed access when:</w:t>
      </w:r>
    </w:p>
    <w:p w:rsidRPr="00F06896" w:rsidR="0031408B" w:rsidP="00DA5FF8" w:rsidRDefault="0031408B" w14:paraId="7745D96A" w14:textId="77777777">
      <w:pPr>
        <w:pStyle w:val="Default"/>
        <w:numPr>
          <w:ilvl w:val="0"/>
          <w:numId w:val="5"/>
        </w:numPr>
        <w:tabs>
          <w:tab w:val="clear" w:pos="720"/>
        </w:tabs>
        <w:ind w:left="1080"/>
        <w:jc w:val="both"/>
        <w:rPr>
          <w:rFonts w:ascii="Times New Roman" w:hAnsi="Times New Roman" w:cs="Times New Roman"/>
          <w:i/>
          <w:iCs/>
          <w:sz w:val="22"/>
          <w:szCs w:val="22"/>
        </w:rPr>
      </w:pPr>
      <w:r w:rsidRPr="00F06896">
        <w:rPr>
          <w:rFonts w:ascii="Times New Roman" w:hAnsi="Times New Roman" w:cs="Times New Roman"/>
          <w:i/>
          <w:iCs/>
          <w:sz w:val="22"/>
          <w:szCs w:val="22"/>
        </w:rPr>
        <w:t>the medicine has not been recommended, it has the plausible potential to be cost effective at the currently agreed price, but the evidence is currently too uncertain, and</w:t>
      </w:r>
    </w:p>
    <w:p w:rsidRPr="00F06896" w:rsidR="0031408B" w:rsidP="00DA5FF8" w:rsidRDefault="0031408B" w14:paraId="4DB2C040" w14:textId="77777777">
      <w:pPr>
        <w:pStyle w:val="Default"/>
        <w:numPr>
          <w:ilvl w:val="0"/>
          <w:numId w:val="5"/>
        </w:numPr>
        <w:tabs>
          <w:tab w:val="clear" w:pos="720"/>
        </w:tabs>
        <w:ind w:left="1080"/>
        <w:jc w:val="both"/>
        <w:rPr>
          <w:rFonts w:ascii="Times New Roman" w:hAnsi="Times New Roman" w:cs="Times New Roman"/>
          <w:i/>
          <w:iCs/>
          <w:sz w:val="22"/>
          <w:szCs w:val="22"/>
        </w:rPr>
      </w:pPr>
      <w:r w:rsidRPr="00F06896">
        <w:rPr>
          <w:rFonts w:ascii="Times New Roman" w:hAnsi="Times New Roman" w:cs="Times New Roman"/>
          <w:i/>
          <w:iCs/>
          <w:sz w:val="22"/>
          <w:szCs w:val="22"/>
        </w:rPr>
        <w:t>new evidence that could sufficiently support the case for recommendation is expected from ongoing or planned clinical trials, or could be collected from patients having the medicine in clinical practice, and</w:t>
      </w:r>
    </w:p>
    <w:p w:rsidRPr="00F06896" w:rsidR="0031408B" w:rsidP="50EC1DEA" w:rsidRDefault="0031408B" w14:paraId="5D86441F" w14:textId="0508759D">
      <w:pPr>
        <w:pStyle w:val="Default"/>
        <w:numPr>
          <w:ilvl w:val="0"/>
          <w:numId w:val="5"/>
        </w:numPr>
        <w:tabs>
          <w:tab w:val="clear" w:pos="720"/>
        </w:tabs>
        <w:ind w:left="1080"/>
        <w:jc w:val="both"/>
        <w:rPr>
          <w:rFonts w:ascii="Times New Roman" w:hAnsi="Times New Roman" w:cs="Times New Roman"/>
          <w:i/>
          <w:iCs/>
          <w:sz w:val="22"/>
          <w:szCs w:val="22"/>
          <w:lang w:val="en-US"/>
        </w:rPr>
      </w:pPr>
      <w:r w:rsidRPr="50EC1DEA">
        <w:rPr>
          <w:rFonts w:ascii="Times New Roman" w:hAnsi="Times New Roman" w:cs="Times New Roman"/>
          <w:i/>
          <w:iCs/>
          <w:sz w:val="22"/>
          <w:szCs w:val="22"/>
          <w:lang w:val="en-US"/>
        </w:rPr>
        <w:t>these data could feasibly be collected within a reasonable timeframe (up to a maximum of 5 years) without undue burden.</w:t>
      </w:r>
    </w:p>
    <w:p w:rsidRPr="00F06896" w:rsidR="00FA5C33" w:rsidP="00DA5FF8" w:rsidRDefault="00FA5C33" w14:paraId="22B8CA9C" w14:textId="77777777">
      <w:pPr>
        <w:pStyle w:val="Default"/>
        <w:ind w:left="360"/>
        <w:jc w:val="both"/>
        <w:rPr>
          <w:rFonts w:ascii="Times New Roman" w:hAnsi="Times New Roman" w:cs="Times New Roman"/>
          <w:i/>
          <w:iCs/>
          <w:sz w:val="22"/>
          <w:szCs w:val="22"/>
        </w:rPr>
      </w:pPr>
    </w:p>
    <w:p w:rsidRPr="00F06896" w:rsidR="0031408B" w:rsidP="50EC1DEA" w:rsidRDefault="0031408B" w14:paraId="53752329" w14:textId="20D46E52">
      <w:pPr>
        <w:pStyle w:val="Default"/>
        <w:ind w:left="360"/>
        <w:jc w:val="both"/>
        <w:rPr>
          <w:rFonts w:ascii="Times New Roman" w:hAnsi="Times New Roman" w:cs="Times New Roman"/>
          <w:i/>
          <w:iCs/>
          <w:sz w:val="22"/>
          <w:szCs w:val="22"/>
          <w:lang w:val="en-US"/>
        </w:rPr>
      </w:pPr>
      <w:r w:rsidRPr="50EC1DEA">
        <w:rPr>
          <w:rFonts w:ascii="Times New Roman" w:hAnsi="Times New Roman" w:cs="Times New Roman"/>
          <w:i/>
          <w:iCs/>
          <w:sz w:val="22"/>
          <w:szCs w:val="22"/>
          <w:lang w:val="en-US"/>
        </w:rPr>
        <w:t>6.4.7</w:t>
      </w:r>
      <w:r>
        <w:tab/>
      </w:r>
      <w:r w:rsidRPr="50EC1DEA">
        <w:rPr>
          <w:rFonts w:ascii="Times New Roman" w:hAnsi="Times New Roman" w:cs="Times New Roman"/>
          <w:i/>
          <w:iCs/>
          <w:sz w:val="22"/>
          <w:szCs w:val="22"/>
          <w:lang w:val="en-US"/>
        </w:rPr>
        <w:t>The committee may also make recommendations with managed access for a medicine in specific circumstances only. For example, only for patients with a particular condition who meet specific clinical eligibility criteria, or that the medicine must be given by staff with certain training or in a particular care setting.</w:t>
      </w:r>
    </w:p>
    <w:p w:rsidRPr="00F06896" w:rsidR="00FA5C33" w:rsidP="00DA5FF8" w:rsidRDefault="00FA5C33" w14:paraId="2166D7B2" w14:textId="77777777">
      <w:pPr>
        <w:pStyle w:val="Default"/>
        <w:ind w:left="360"/>
        <w:jc w:val="both"/>
        <w:rPr>
          <w:rFonts w:ascii="Times New Roman" w:hAnsi="Times New Roman" w:cs="Times New Roman"/>
          <w:i/>
          <w:iCs/>
          <w:sz w:val="22"/>
          <w:szCs w:val="22"/>
        </w:rPr>
      </w:pPr>
    </w:p>
    <w:p w:rsidRPr="00F06896" w:rsidR="0031408B" w:rsidP="50EC1DEA" w:rsidRDefault="0031408B" w14:paraId="62986A34" w14:textId="1A93F658">
      <w:pPr>
        <w:pStyle w:val="Default"/>
        <w:ind w:left="360"/>
        <w:jc w:val="both"/>
        <w:rPr>
          <w:rFonts w:ascii="Times New Roman" w:hAnsi="Times New Roman" w:cs="Times New Roman"/>
          <w:i/>
          <w:iCs/>
          <w:sz w:val="22"/>
          <w:szCs w:val="22"/>
          <w:lang w:val="en-US"/>
        </w:rPr>
      </w:pPr>
      <w:r w:rsidRPr="50EC1DEA">
        <w:rPr>
          <w:rFonts w:ascii="Times New Roman" w:hAnsi="Times New Roman" w:cs="Times New Roman"/>
          <w:i/>
          <w:iCs/>
          <w:sz w:val="22"/>
          <w:szCs w:val="22"/>
          <w:lang w:val="en-US"/>
        </w:rPr>
        <w:t>6.4.8</w:t>
      </w:r>
      <w:r>
        <w:tab/>
      </w:r>
      <w:r w:rsidRPr="50EC1DEA">
        <w:rPr>
          <w:rFonts w:ascii="Times New Roman" w:hAnsi="Times New Roman" w:cs="Times New Roman"/>
          <w:i/>
          <w:iCs/>
          <w:sz w:val="22"/>
          <w:szCs w:val="22"/>
          <w:lang w:val="en-US"/>
        </w:rPr>
        <w:t>A recommendation with managed access is intended to reduce uncertainty about specific evidential issues identified by the committee</w:t>
      </w:r>
      <w:r w:rsidRPr="50EC1DEA" w:rsidR="003E345F">
        <w:rPr>
          <w:rFonts w:ascii="Times New Roman" w:hAnsi="Times New Roman" w:cs="Times New Roman"/>
          <w:i/>
          <w:iCs/>
          <w:sz w:val="22"/>
          <w:szCs w:val="22"/>
          <w:lang w:val="en-US"/>
        </w:rPr>
        <w:t>”</w:t>
      </w:r>
      <w:r w:rsidRPr="50EC1DEA">
        <w:rPr>
          <w:rFonts w:ascii="Times New Roman" w:hAnsi="Times New Roman" w:cs="Times New Roman"/>
          <w:i/>
          <w:iCs/>
          <w:sz w:val="22"/>
          <w:szCs w:val="22"/>
          <w:lang w:val="en-US"/>
        </w:rPr>
        <w:t>.</w:t>
      </w:r>
    </w:p>
    <w:p w:rsidRPr="00F06896" w:rsidR="0031408B" w:rsidP="00DA5FF8" w:rsidRDefault="0031408B" w14:paraId="697C9692" w14:textId="77777777">
      <w:pPr>
        <w:pStyle w:val="Default"/>
        <w:jc w:val="both"/>
        <w:rPr>
          <w:rFonts w:ascii="Times New Roman" w:hAnsi="Times New Roman" w:cs="Times New Roman"/>
          <w:i/>
          <w:iCs/>
          <w:sz w:val="22"/>
          <w:szCs w:val="22"/>
        </w:rPr>
      </w:pPr>
    </w:p>
    <w:p w:rsidR="00A22180" w:rsidP="50EC1DEA" w:rsidRDefault="00A22180" w14:paraId="5B1591FC" w14:textId="59E2B93A">
      <w:pPr>
        <w:pStyle w:val="Default"/>
        <w:jc w:val="both"/>
        <w:rPr>
          <w:rFonts w:ascii="Times New Roman" w:hAnsi="Times New Roman" w:cs="Times New Roman"/>
          <w:color w:val="auto"/>
          <w:sz w:val="22"/>
          <w:szCs w:val="22"/>
          <w:lang w:val="en-US"/>
        </w:rPr>
      </w:pPr>
      <w:r w:rsidRPr="50EC1DEA">
        <w:rPr>
          <w:rFonts w:ascii="Times New Roman" w:hAnsi="Times New Roman" w:cs="Times New Roman"/>
          <w:color w:val="auto"/>
          <w:sz w:val="22"/>
          <w:szCs w:val="22"/>
          <w:lang w:val="en-US"/>
        </w:rPr>
        <w:t xml:space="preserve">At paragraph 1 of the FDG, the Committee </w:t>
      </w:r>
      <w:r w:rsidRPr="50EC1DEA" w:rsidR="00BC1020">
        <w:rPr>
          <w:rFonts w:ascii="Times New Roman" w:hAnsi="Times New Roman" w:cs="Times New Roman"/>
          <w:color w:val="auto"/>
          <w:sz w:val="22"/>
          <w:szCs w:val="22"/>
          <w:lang w:val="en-US"/>
        </w:rPr>
        <w:t xml:space="preserve">provides its </w:t>
      </w:r>
      <w:r w:rsidRPr="50EC1DEA">
        <w:rPr>
          <w:rFonts w:ascii="Times New Roman" w:hAnsi="Times New Roman" w:cs="Times New Roman"/>
          <w:color w:val="auto"/>
          <w:sz w:val="22"/>
          <w:szCs w:val="22"/>
          <w:lang w:val="en-US"/>
        </w:rPr>
        <w:t xml:space="preserve">reasons for </w:t>
      </w:r>
      <w:r w:rsidRPr="50EC1DEA" w:rsidR="00D563B9">
        <w:rPr>
          <w:rFonts w:ascii="Times New Roman" w:hAnsi="Times New Roman" w:cs="Times New Roman"/>
          <w:color w:val="auto"/>
          <w:sz w:val="22"/>
          <w:szCs w:val="22"/>
          <w:lang w:val="en-US"/>
        </w:rPr>
        <w:t>refusing a recommendation for lecanemab with managed access</w:t>
      </w:r>
      <w:r w:rsidRPr="50EC1DEA">
        <w:rPr>
          <w:rFonts w:ascii="Times New Roman" w:hAnsi="Times New Roman" w:cs="Times New Roman"/>
          <w:color w:val="auto"/>
          <w:sz w:val="22"/>
          <w:szCs w:val="22"/>
          <w:lang w:val="en-US"/>
        </w:rPr>
        <w:t>:</w:t>
      </w:r>
    </w:p>
    <w:p w:rsidRPr="00F06896" w:rsidR="00AA6E2E" w:rsidP="50EC1DEA" w:rsidRDefault="00AA6E2E" w14:paraId="5AB5FA05" w14:textId="77777777">
      <w:pPr>
        <w:pStyle w:val="Default"/>
        <w:jc w:val="both"/>
        <w:rPr>
          <w:rFonts w:ascii="Times New Roman" w:hAnsi="Times New Roman" w:cs="Times New Roman"/>
          <w:color w:val="auto"/>
          <w:sz w:val="22"/>
          <w:szCs w:val="22"/>
          <w:lang w:val="en-US"/>
        </w:rPr>
      </w:pPr>
    </w:p>
    <w:p w:rsidRPr="00F06896" w:rsidR="00A22180" w:rsidP="00DA5FF8" w:rsidRDefault="00A22180" w14:paraId="658E4F8E" w14:textId="7372D2FE">
      <w:pPr>
        <w:ind w:left="720"/>
        <w:rPr>
          <w:rFonts w:ascii="Times New Roman" w:hAnsi="Times New Roman"/>
          <w:i/>
          <w:iCs/>
          <w:sz w:val="22"/>
          <w:szCs w:val="22"/>
        </w:rPr>
      </w:pPr>
      <w:r w:rsidRPr="00F06896">
        <w:rPr>
          <w:rFonts w:ascii="Times New Roman" w:hAnsi="Times New Roman"/>
          <w:i/>
          <w:iCs/>
          <w:sz w:val="22"/>
          <w:szCs w:val="22"/>
        </w:rPr>
        <w:t>“Because lecanemab is not cost effective and because of uncertainties that would not be addressed in a period of managed access, it is not recommended with managed access”</w:t>
      </w:r>
    </w:p>
    <w:p w:rsidR="00DA5FF8" w:rsidP="00DA5FF8" w:rsidRDefault="00DA5FF8" w14:paraId="2B388083" w14:textId="77777777">
      <w:pPr>
        <w:pStyle w:val="Default"/>
        <w:jc w:val="both"/>
        <w:rPr>
          <w:rFonts w:ascii="Times New Roman" w:hAnsi="Times New Roman" w:cs="Times New Roman"/>
          <w:color w:val="auto"/>
          <w:sz w:val="22"/>
          <w:szCs w:val="22"/>
        </w:rPr>
      </w:pPr>
    </w:p>
    <w:p w:rsidRPr="00F06896" w:rsidR="00F44DBE" w:rsidP="50EC1DEA" w:rsidRDefault="00BC1020" w14:paraId="47EC453B" w14:textId="158B2FCA">
      <w:pPr>
        <w:pStyle w:val="Default"/>
        <w:jc w:val="both"/>
        <w:rPr>
          <w:rFonts w:ascii="Times New Roman" w:hAnsi="Times New Roman" w:cs="Times New Roman"/>
          <w:color w:val="auto"/>
          <w:sz w:val="22"/>
          <w:szCs w:val="22"/>
          <w:lang w:val="en-US"/>
        </w:rPr>
      </w:pPr>
      <w:r w:rsidRPr="50EC1DEA">
        <w:rPr>
          <w:rFonts w:ascii="Times New Roman" w:hAnsi="Times New Roman" w:cs="Times New Roman"/>
          <w:color w:val="auto"/>
          <w:sz w:val="22"/>
          <w:szCs w:val="22"/>
          <w:lang w:val="en-US"/>
        </w:rPr>
        <w:t>Further details of t</w:t>
      </w:r>
      <w:r w:rsidRPr="50EC1DEA" w:rsidR="00162358">
        <w:rPr>
          <w:rFonts w:ascii="Times New Roman" w:hAnsi="Times New Roman" w:cs="Times New Roman"/>
          <w:color w:val="auto"/>
          <w:sz w:val="22"/>
          <w:szCs w:val="22"/>
          <w:lang w:val="en-US"/>
        </w:rPr>
        <w:t xml:space="preserve">he Appraisal Committee’s assessment of managed access </w:t>
      </w:r>
      <w:r w:rsidRPr="50EC1DEA">
        <w:rPr>
          <w:rFonts w:ascii="Times New Roman" w:hAnsi="Times New Roman" w:cs="Times New Roman"/>
          <w:color w:val="auto"/>
          <w:sz w:val="22"/>
          <w:szCs w:val="22"/>
          <w:lang w:val="en-US"/>
        </w:rPr>
        <w:t>are</w:t>
      </w:r>
      <w:r w:rsidRPr="50EC1DEA" w:rsidR="00DC3632">
        <w:rPr>
          <w:rFonts w:ascii="Times New Roman" w:hAnsi="Times New Roman" w:cs="Times New Roman"/>
          <w:color w:val="auto"/>
          <w:sz w:val="22"/>
          <w:szCs w:val="22"/>
          <w:lang w:val="en-US"/>
        </w:rPr>
        <w:t xml:space="preserve"> </w:t>
      </w:r>
      <w:r w:rsidRPr="50EC1DEA" w:rsidR="00741BBC">
        <w:rPr>
          <w:rFonts w:ascii="Times New Roman" w:hAnsi="Times New Roman" w:cs="Times New Roman"/>
          <w:color w:val="auto"/>
          <w:sz w:val="22"/>
          <w:szCs w:val="22"/>
          <w:lang w:val="en-US"/>
        </w:rPr>
        <w:t>set out at paragraph 3.29 of the FDG.</w:t>
      </w:r>
      <w:r w:rsidRPr="50EC1DEA" w:rsidR="00AF6B22">
        <w:rPr>
          <w:rFonts w:ascii="Times New Roman" w:hAnsi="Times New Roman" w:cs="Times New Roman"/>
          <w:color w:val="auto"/>
          <w:sz w:val="22"/>
          <w:szCs w:val="22"/>
          <w:lang w:val="en-US"/>
        </w:rPr>
        <w:t xml:space="preserve"> </w:t>
      </w:r>
      <w:r w:rsidRPr="50EC1DEA" w:rsidR="00B30A4C">
        <w:rPr>
          <w:rFonts w:ascii="Times New Roman" w:hAnsi="Times New Roman" w:cs="Times New Roman"/>
          <w:color w:val="auto"/>
          <w:sz w:val="22"/>
          <w:szCs w:val="22"/>
          <w:lang w:val="en-US"/>
        </w:rPr>
        <w:t>It is difficult to discern the Committee’s reasons for refusing a recommendation with managed access as opposed to matters simply raised by other stakeholders and noted by the Committee. However</w:t>
      </w:r>
      <w:r w:rsidRPr="50EC1DEA" w:rsidR="004C62D7">
        <w:rPr>
          <w:rFonts w:ascii="Times New Roman" w:hAnsi="Times New Roman" w:cs="Times New Roman"/>
          <w:color w:val="auto"/>
          <w:sz w:val="22"/>
          <w:szCs w:val="22"/>
          <w:lang w:val="en-US"/>
        </w:rPr>
        <w:t>,</w:t>
      </w:r>
      <w:r w:rsidRPr="50EC1DEA" w:rsidR="00B30A4C">
        <w:rPr>
          <w:rFonts w:ascii="Times New Roman" w:hAnsi="Times New Roman" w:cs="Times New Roman"/>
          <w:color w:val="auto"/>
          <w:sz w:val="22"/>
          <w:szCs w:val="22"/>
          <w:lang w:val="en-US"/>
        </w:rPr>
        <w:t xml:space="preserve"> t</w:t>
      </w:r>
      <w:r w:rsidRPr="50EC1DEA" w:rsidR="00B2293E">
        <w:rPr>
          <w:rFonts w:ascii="Times New Roman" w:hAnsi="Times New Roman" w:cs="Times New Roman"/>
          <w:color w:val="auto"/>
          <w:sz w:val="22"/>
          <w:szCs w:val="22"/>
          <w:lang w:val="en-US"/>
        </w:rPr>
        <w:t xml:space="preserve">he factors which, based on paragraph 1, appear to have formed the </w:t>
      </w:r>
      <w:r w:rsidRPr="50EC1DEA" w:rsidR="000A57BB">
        <w:rPr>
          <w:rFonts w:ascii="Times New Roman" w:hAnsi="Times New Roman" w:cs="Times New Roman"/>
          <w:color w:val="auto"/>
          <w:sz w:val="22"/>
          <w:szCs w:val="22"/>
          <w:lang w:val="en-US"/>
        </w:rPr>
        <w:t>basis for its decision are as follows:</w:t>
      </w:r>
    </w:p>
    <w:p w:rsidRPr="00F06896" w:rsidR="00F44DBE" w:rsidP="00DA5FF8" w:rsidRDefault="00F44DBE" w14:paraId="0C86AB0B" w14:textId="6962F68F">
      <w:pPr>
        <w:pStyle w:val="Default"/>
        <w:ind w:left="720"/>
        <w:jc w:val="both"/>
        <w:rPr>
          <w:rFonts w:ascii="Times New Roman" w:hAnsi="Times New Roman" w:cs="Times New Roman"/>
          <w:color w:val="auto"/>
          <w:sz w:val="22"/>
          <w:szCs w:val="22"/>
        </w:rPr>
      </w:pPr>
    </w:p>
    <w:p w:rsidRPr="00F06896" w:rsidR="00D565A3" w:rsidP="00DA5FF8" w:rsidRDefault="00966068" w14:paraId="21100A2B" w14:textId="77777777">
      <w:pPr>
        <w:pStyle w:val="ListParagraph"/>
        <w:numPr>
          <w:ilvl w:val="1"/>
          <w:numId w:val="6"/>
        </w:numPr>
        <w:rPr>
          <w:rFonts w:ascii="Times New Roman" w:hAnsi="Times New Roman"/>
          <w:sz w:val="22"/>
          <w:szCs w:val="22"/>
        </w:rPr>
      </w:pPr>
      <w:r w:rsidRPr="00F06896">
        <w:rPr>
          <w:rFonts w:ascii="Times New Roman" w:hAnsi="Times New Roman"/>
          <w:sz w:val="22"/>
          <w:szCs w:val="22"/>
        </w:rPr>
        <w:t>“</w:t>
      </w:r>
      <w:r w:rsidRPr="00F06896" w:rsidR="0047114E">
        <w:rPr>
          <w:rFonts w:ascii="Times New Roman" w:hAnsi="Times New Roman"/>
          <w:i/>
          <w:iCs/>
          <w:sz w:val="22"/>
          <w:szCs w:val="22"/>
        </w:rPr>
        <w:t>S</w:t>
      </w:r>
      <w:r w:rsidRPr="00F06896">
        <w:rPr>
          <w:rFonts w:ascii="Times New Roman" w:hAnsi="Times New Roman"/>
          <w:i/>
          <w:iCs/>
          <w:sz w:val="22"/>
          <w:szCs w:val="22"/>
        </w:rPr>
        <w:t>ome key uncertainties may be resolved</w:t>
      </w:r>
      <w:r w:rsidRPr="00F06896" w:rsidR="0047114E">
        <w:rPr>
          <w:rFonts w:ascii="Times New Roman" w:hAnsi="Times New Roman"/>
          <w:i/>
          <w:iCs/>
          <w:sz w:val="22"/>
          <w:szCs w:val="22"/>
        </w:rPr>
        <w:t xml:space="preserve"> but </w:t>
      </w:r>
      <w:r w:rsidRPr="00F06896" w:rsidR="002A7638">
        <w:rPr>
          <w:rFonts w:ascii="Times New Roman" w:hAnsi="Times New Roman"/>
          <w:i/>
          <w:iCs/>
          <w:sz w:val="22"/>
          <w:szCs w:val="22"/>
        </w:rPr>
        <w:t xml:space="preserve">some key issues such as treatment discontinuation and infusion costs </w:t>
      </w:r>
      <w:r w:rsidRPr="00F06896" w:rsidR="00D565A3">
        <w:rPr>
          <w:rFonts w:ascii="Times New Roman" w:hAnsi="Times New Roman"/>
          <w:i/>
          <w:iCs/>
          <w:sz w:val="22"/>
          <w:szCs w:val="22"/>
        </w:rPr>
        <w:t>may not be resolved</w:t>
      </w:r>
      <w:r w:rsidRPr="00F06896" w:rsidR="00D565A3">
        <w:rPr>
          <w:rFonts w:ascii="Times New Roman" w:hAnsi="Times New Roman"/>
          <w:sz w:val="22"/>
          <w:szCs w:val="22"/>
        </w:rPr>
        <w:t>”</w:t>
      </w:r>
    </w:p>
    <w:p w:rsidRPr="00F06896" w:rsidR="00B808B4" w:rsidP="00DA5FF8" w:rsidRDefault="00B808B4" w14:paraId="44129079" w14:textId="26EF2CB7">
      <w:pPr>
        <w:pStyle w:val="ListParagraph"/>
        <w:numPr>
          <w:ilvl w:val="1"/>
          <w:numId w:val="6"/>
        </w:numPr>
        <w:rPr>
          <w:rFonts w:ascii="Times New Roman" w:hAnsi="Times New Roman"/>
          <w:sz w:val="22"/>
          <w:szCs w:val="22"/>
        </w:rPr>
      </w:pPr>
      <w:r w:rsidRPr="00F06896">
        <w:rPr>
          <w:rFonts w:ascii="Times New Roman" w:hAnsi="Times New Roman"/>
          <w:sz w:val="22"/>
          <w:szCs w:val="22"/>
        </w:rPr>
        <w:t>“</w:t>
      </w:r>
      <w:r w:rsidRPr="00F06896">
        <w:rPr>
          <w:rFonts w:ascii="Times New Roman" w:hAnsi="Times New Roman"/>
          <w:i/>
          <w:iCs/>
          <w:sz w:val="22"/>
          <w:szCs w:val="22"/>
        </w:rPr>
        <w:t>There would be no new direct evidence available for the relative treatment effectiveness of lecanemab compared with standard care, so this was likely to remain uncertain</w:t>
      </w:r>
      <w:r w:rsidRPr="00F06896" w:rsidR="00B32EA2">
        <w:rPr>
          <w:rFonts w:ascii="Times New Roman" w:hAnsi="Times New Roman"/>
          <w:sz w:val="22"/>
          <w:szCs w:val="22"/>
        </w:rPr>
        <w:t>”</w:t>
      </w:r>
      <w:r w:rsidRPr="00F06896">
        <w:rPr>
          <w:rFonts w:ascii="Times New Roman" w:hAnsi="Times New Roman"/>
          <w:sz w:val="22"/>
          <w:szCs w:val="22"/>
        </w:rPr>
        <w:t xml:space="preserve"> </w:t>
      </w:r>
    </w:p>
    <w:p w:rsidRPr="00F06896" w:rsidR="0044021B" w:rsidP="00DA5FF8" w:rsidRDefault="0044021B" w14:paraId="3D3C6D3E" w14:textId="1499B274">
      <w:pPr>
        <w:pStyle w:val="ListParagraph"/>
        <w:numPr>
          <w:ilvl w:val="1"/>
          <w:numId w:val="6"/>
        </w:numPr>
        <w:rPr>
          <w:rFonts w:ascii="Times New Roman" w:hAnsi="Times New Roman"/>
          <w:sz w:val="22"/>
          <w:szCs w:val="22"/>
        </w:rPr>
      </w:pPr>
      <w:r w:rsidRPr="00F06896">
        <w:rPr>
          <w:rFonts w:ascii="Times New Roman" w:hAnsi="Times New Roman"/>
          <w:sz w:val="22"/>
          <w:szCs w:val="22"/>
        </w:rPr>
        <w:t>“</w:t>
      </w:r>
      <w:r w:rsidRPr="00F06896">
        <w:rPr>
          <w:rFonts w:ascii="Times New Roman" w:hAnsi="Times New Roman"/>
          <w:i/>
          <w:iCs/>
          <w:sz w:val="22"/>
          <w:szCs w:val="22"/>
        </w:rPr>
        <w:t>The committee recalled that the most plausible ICER was likely to be considerably above the range normally considered cost effective. It also thought that a key driver of these results was the small clinical benefit of lecanemab”</w:t>
      </w:r>
      <w:r w:rsidRPr="00F06896">
        <w:rPr>
          <w:rFonts w:ascii="Times New Roman" w:hAnsi="Times New Roman"/>
          <w:sz w:val="22"/>
          <w:szCs w:val="22"/>
        </w:rPr>
        <w:t xml:space="preserve"> </w:t>
      </w:r>
    </w:p>
    <w:p w:rsidR="00B3672A" w:rsidP="00DA5FF8" w:rsidRDefault="00847047" w14:paraId="07F1B34E" w14:textId="6E2CFD12">
      <w:pPr>
        <w:pStyle w:val="ListParagraph"/>
        <w:numPr>
          <w:ilvl w:val="1"/>
          <w:numId w:val="6"/>
        </w:numPr>
        <w:rPr>
          <w:rFonts w:ascii="Times New Roman" w:hAnsi="Times New Roman"/>
          <w:sz w:val="22"/>
          <w:szCs w:val="22"/>
        </w:rPr>
      </w:pPr>
      <w:r w:rsidRPr="00F06896">
        <w:rPr>
          <w:rFonts w:ascii="Times New Roman" w:hAnsi="Times New Roman"/>
          <w:sz w:val="22"/>
          <w:szCs w:val="22"/>
        </w:rPr>
        <w:t>“</w:t>
      </w:r>
      <w:r w:rsidRPr="00F06896">
        <w:rPr>
          <w:rFonts w:ascii="Times New Roman" w:hAnsi="Times New Roman"/>
          <w:i/>
          <w:iCs/>
          <w:sz w:val="22"/>
          <w:szCs w:val="22"/>
        </w:rPr>
        <w:t>It understood that data collected in managed access was unlikely to show a substantially greater clinical benefit for lecanemab than that estimated in the committee’s preferred base case</w:t>
      </w:r>
      <w:r w:rsidRPr="00F06896">
        <w:rPr>
          <w:rFonts w:ascii="Times New Roman" w:hAnsi="Times New Roman"/>
          <w:sz w:val="22"/>
          <w:szCs w:val="22"/>
        </w:rPr>
        <w:t>”</w:t>
      </w:r>
    </w:p>
    <w:p w:rsidRPr="00F06896" w:rsidR="001C7959" w:rsidP="001C7959" w:rsidRDefault="001C7959" w14:paraId="1E763EF4" w14:textId="77777777">
      <w:pPr>
        <w:pStyle w:val="ListParagraph"/>
        <w:ind w:left="1440"/>
        <w:rPr>
          <w:rFonts w:ascii="Times New Roman" w:hAnsi="Times New Roman"/>
          <w:sz w:val="22"/>
          <w:szCs w:val="22"/>
        </w:rPr>
      </w:pPr>
    </w:p>
    <w:p w:rsidR="003D3459" w:rsidP="00DA5FF8" w:rsidRDefault="003D3459" w14:paraId="706E938B" w14:textId="1DE9198F">
      <w:pPr>
        <w:rPr>
          <w:rFonts w:ascii="Times New Roman" w:hAnsi="Times New Roman"/>
          <w:sz w:val="22"/>
          <w:szCs w:val="22"/>
        </w:rPr>
      </w:pPr>
      <w:r w:rsidRPr="00F06896">
        <w:rPr>
          <w:rFonts w:ascii="Times New Roman" w:hAnsi="Times New Roman"/>
          <w:sz w:val="22"/>
          <w:szCs w:val="22"/>
        </w:rPr>
        <w:t>T</w:t>
      </w:r>
      <w:r w:rsidRPr="00F06896" w:rsidR="00F877F3">
        <w:rPr>
          <w:rFonts w:ascii="Times New Roman" w:hAnsi="Times New Roman"/>
          <w:sz w:val="22"/>
          <w:szCs w:val="22"/>
        </w:rPr>
        <w:t>he Committee</w:t>
      </w:r>
      <w:r w:rsidRPr="00F06896" w:rsidR="008B1238">
        <w:rPr>
          <w:rFonts w:ascii="Times New Roman" w:hAnsi="Times New Roman"/>
          <w:sz w:val="22"/>
          <w:szCs w:val="22"/>
        </w:rPr>
        <w:t xml:space="preserve">’s </w:t>
      </w:r>
      <w:r w:rsidRPr="00F06896">
        <w:rPr>
          <w:rFonts w:ascii="Times New Roman" w:hAnsi="Times New Roman"/>
          <w:sz w:val="22"/>
          <w:szCs w:val="22"/>
        </w:rPr>
        <w:t xml:space="preserve">analysis </w:t>
      </w:r>
      <w:r w:rsidRPr="00F06896" w:rsidR="00F77C28">
        <w:rPr>
          <w:rFonts w:ascii="Times New Roman" w:hAnsi="Times New Roman"/>
          <w:sz w:val="22"/>
          <w:szCs w:val="22"/>
        </w:rPr>
        <w:t xml:space="preserve">is not consistent with </w:t>
      </w:r>
      <w:r w:rsidRPr="00F06896">
        <w:rPr>
          <w:rFonts w:ascii="Times New Roman" w:hAnsi="Times New Roman"/>
          <w:sz w:val="22"/>
          <w:szCs w:val="22"/>
        </w:rPr>
        <w:t xml:space="preserve">the approach set out in the Manual </w:t>
      </w:r>
      <w:r w:rsidRPr="00F06896" w:rsidR="00372358">
        <w:rPr>
          <w:rFonts w:ascii="Times New Roman" w:hAnsi="Times New Roman"/>
          <w:sz w:val="22"/>
          <w:szCs w:val="22"/>
        </w:rPr>
        <w:t xml:space="preserve">and the Innovative Medicines Fund Principles </w:t>
      </w:r>
      <w:r w:rsidRPr="00F06896">
        <w:rPr>
          <w:rFonts w:ascii="Times New Roman" w:hAnsi="Times New Roman"/>
          <w:sz w:val="22"/>
          <w:szCs w:val="22"/>
        </w:rPr>
        <w:t>and is otherwise unfair:</w:t>
      </w:r>
    </w:p>
    <w:p w:rsidRPr="00F06896" w:rsidR="00996C3A" w:rsidP="00DA5FF8" w:rsidRDefault="00996C3A" w14:paraId="5C92A687" w14:textId="77777777">
      <w:pPr>
        <w:rPr>
          <w:rFonts w:ascii="Times New Roman" w:hAnsi="Times New Roman"/>
          <w:sz w:val="22"/>
          <w:szCs w:val="22"/>
        </w:rPr>
      </w:pPr>
    </w:p>
    <w:p w:rsidRPr="00F06896" w:rsidR="00594700" w:rsidP="00D161D6" w:rsidRDefault="008566BA" w14:paraId="1F452BA0" w14:textId="1346202A">
      <w:pPr>
        <w:pStyle w:val="ListParagraph"/>
        <w:numPr>
          <w:ilvl w:val="0"/>
          <w:numId w:val="7"/>
        </w:numPr>
        <w:rPr>
          <w:rFonts w:ascii="Times New Roman" w:hAnsi="Times New Roman"/>
          <w:sz w:val="22"/>
          <w:szCs w:val="22"/>
        </w:rPr>
      </w:pPr>
      <w:r w:rsidRPr="00F06896">
        <w:rPr>
          <w:rFonts w:ascii="Times New Roman" w:hAnsi="Times New Roman"/>
          <w:sz w:val="22"/>
          <w:szCs w:val="22"/>
        </w:rPr>
        <w:t>The Committee</w:t>
      </w:r>
      <w:r w:rsidRPr="00F06896" w:rsidR="005F711E">
        <w:rPr>
          <w:rFonts w:ascii="Times New Roman" w:hAnsi="Times New Roman"/>
          <w:sz w:val="22"/>
          <w:szCs w:val="22"/>
        </w:rPr>
        <w:t xml:space="preserve">’s decision at paragraph 3.29 </w:t>
      </w:r>
      <w:r w:rsidRPr="00F06896" w:rsidR="009A14AC">
        <w:rPr>
          <w:rFonts w:ascii="Times New Roman" w:hAnsi="Times New Roman"/>
          <w:sz w:val="22"/>
          <w:szCs w:val="22"/>
        </w:rPr>
        <w:t xml:space="preserve">which declines to recommend lecanemab </w:t>
      </w:r>
      <w:r w:rsidRPr="00F06896" w:rsidR="0019057B">
        <w:rPr>
          <w:rFonts w:ascii="Times New Roman" w:hAnsi="Times New Roman"/>
          <w:sz w:val="22"/>
          <w:szCs w:val="22"/>
        </w:rPr>
        <w:t>because “</w:t>
      </w:r>
      <w:r w:rsidRPr="00F06896" w:rsidR="0019057B">
        <w:rPr>
          <w:rFonts w:ascii="Times New Roman" w:hAnsi="Times New Roman"/>
          <w:i/>
          <w:iCs/>
          <w:sz w:val="22"/>
          <w:szCs w:val="22"/>
        </w:rPr>
        <w:t>some key issues ….may not be resolved</w:t>
      </w:r>
      <w:r w:rsidRPr="00F06896" w:rsidR="0019057B">
        <w:rPr>
          <w:rFonts w:ascii="Times New Roman" w:hAnsi="Times New Roman"/>
          <w:sz w:val="22"/>
          <w:szCs w:val="22"/>
        </w:rPr>
        <w:t xml:space="preserve">” </w:t>
      </w:r>
      <w:r w:rsidRPr="00F06896" w:rsidR="005F711E">
        <w:rPr>
          <w:rFonts w:ascii="Times New Roman" w:hAnsi="Times New Roman"/>
          <w:sz w:val="22"/>
          <w:szCs w:val="22"/>
        </w:rPr>
        <w:t xml:space="preserve">suggests that a recommendation with managed access requires that </w:t>
      </w:r>
      <w:r w:rsidRPr="00F06896" w:rsidR="005F711E">
        <w:rPr>
          <w:rFonts w:ascii="Times New Roman" w:hAnsi="Times New Roman"/>
          <w:sz w:val="22"/>
          <w:szCs w:val="22"/>
          <w:u w:val="single"/>
        </w:rPr>
        <w:t>all</w:t>
      </w:r>
      <w:r w:rsidRPr="00F06896" w:rsidR="005F711E">
        <w:rPr>
          <w:rFonts w:ascii="Times New Roman" w:hAnsi="Times New Roman"/>
          <w:sz w:val="22"/>
          <w:szCs w:val="22"/>
        </w:rPr>
        <w:t xml:space="preserve"> uncertainties must be capable of being resolved through </w:t>
      </w:r>
      <w:r w:rsidRPr="00F06896" w:rsidR="00F70F3F">
        <w:rPr>
          <w:rFonts w:ascii="Times New Roman" w:hAnsi="Times New Roman"/>
          <w:sz w:val="22"/>
          <w:szCs w:val="22"/>
        </w:rPr>
        <w:t xml:space="preserve">this mechanism. </w:t>
      </w:r>
      <w:r w:rsidRPr="00F06896" w:rsidR="005F711E">
        <w:rPr>
          <w:rFonts w:ascii="Times New Roman" w:hAnsi="Times New Roman"/>
          <w:sz w:val="22"/>
          <w:szCs w:val="22"/>
        </w:rPr>
        <w:t xml:space="preserve"> </w:t>
      </w:r>
      <w:r w:rsidRPr="00F06896" w:rsidR="00F70F3F">
        <w:rPr>
          <w:rFonts w:ascii="Times New Roman" w:hAnsi="Times New Roman"/>
          <w:sz w:val="22"/>
          <w:szCs w:val="22"/>
        </w:rPr>
        <w:t>However</w:t>
      </w:r>
      <w:r w:rsidRPr="00F06896" w:rsidR="00951DC6">
        <w:rPr>
          <w:rFonts w:ascii="Times New Roman" w:hAnsi="Times New Roman"/>
          <w:sz w:val="22"/>
          <w:szCs w:val="22"/>
        </w:rPr>
        <w:t>,</w:t>
      </w:r>
      <w:r w:rsidRPr="00F06896" w:rsidR="00F70F3F">
        <w:rPr>
          <w:rFonts w:ascii="Times New Roman" w:hAnsi="Times New Roman"/>
          <w:sz w:val="22"/>
          <w:szCs w:val="22"/>
        </w:rPr>
        <w:t xml:space="preserve"> </w:t>
      </w:r>
      <w:r w:rsidRPr="00F06896" w:rsidR="004F56A8">
        <w:rPr>
          <w:rFonts w:ascii="Times New Roman" w:hAnsi="Times New Roman"/>
          <w:sz w:val="22"/>
          <w:szCs w:val="22"/>
        </w:rPr>
        <w:t xml:space="preserve">this does not reflect the requirements of the Manual, which provide simply that </w:t>
      </w:r>
      <w:r w:rsidRPr="00F06896" w:rsidR="00CB2538">
        <w:rPr>
          <w:rFonts w:ascii="Times New Roman" w:hAnsi="Times New Roman"/>
          <w:sz w:val="22"/>
          <w:szCs w:val="22"/>
        </w:rPr>
        <w:t xml:space="preserve">managed access is intended to </w:t>
      </w:r>
      <w:r w:rsidRPr="00F06896" w:rsidR="00CB2538">
        <w:rPr>
          <w:rFonts w:ascii="Times New Roman" w:hAnsi="Times New Roman"/>
          <w:sz w:val="22"/>
          <w:szCs w:val="22"/>
          <w:u w:val="single"/>
        </w:rPr>
        <w:t>reduce</w:t>
      </w:r>
      <w:r w:rsidRPr="00F06896" w:rsidR="00CB2538">
        <w:rPr>
          <w:rFonts w:ascii="Times New Roman" w:hAnsi="Times New Roman"/>
          <w:sz w:val="22"/>
          <w:szCs w:val="22"/>
        </w:rPr>
        <w:t xml:space="preserve"> uncertainty.  </w:t>
      </w:r>
      <w:r w:rsidRPr="00F06896" w:rsidR="00FC4C60">
        <w:rPr>
          <w:rFonts w:ascii="Times New Roman" w:hAnsi="Times New Roman"/>
          <w:sz w:val="22"/>
          <w:szCs w:val="22"/>
        </w:rPr>
        <w:t>In this case</w:t>
      </w:r>
      <w:r w:rsidRPr="00F06896" w:rsidR="000253BB">
        <w:rPr>
          <w:rFonts w:ascii="Times New Roman" w:hAnsi="Times New Roman"/>
          <w:sz w:val="22"/>
          <w:szCs w:val="22"/>
        </w:rPr>
        <w:t>,</w:t>
      </w:r>
      <w:r w:rsidRPr="00F06896" w:rsidR="00FC4C60">
        <w:rPr>
          <w:rFonts w:ascii="Times New Roman" w:hAnsi="Times New Roman"/>
          <w:sz w:val="22"/>
          <w:szCs w:val="22"/>
        </w:rPr>
        <w:t xml:space="preserve"> it is clear that a period of managed access would be likely to reduce uncertainty </w:t>
      </w:r>
      <w:r w:rsidRPr="00F06896" w:rsidR="00594700">
        <w:rPr>
          <w:rFonts w:ascii="Times New Roman" w:hAnsi="Times New Roman"/>
          <w:sz w:val="22"/>
          <w:szCs w:val="22"/>
        </w:rPr>
        <w:t xml:space="preserve">in relation to the majority of areas identified by the Committee in the FDG (for example, those matters addressed at </w:t>
      </w:r>
      <w:r w:rsidRPr="00F06896" w:rsidR="009450E1">
        <w:rPr>
          <w:rFonts w:ascii="Times New Roman" w:hAnsi="Times New Roman"/>
          <w:sz w:val="22"/>
          <w:szCs w:val="22"/>
        </w:rPr>
        <w:t xml:space="preserve">paragraphs </w:t>
      </w:r>
      <w:r w:rsidRPr="00F06896" w:rsidR="00CB499A">
        <w:rPr>
          <w:rFonts w:ascii="Times New Roman" w:hAnsi="Times New Roman"/>
          <w:sz w:val="22"/>
          <w:szCs w:val="22"/>
        </w:rPr>
        <w:t>3.6, 3.7, 3.8, 3.15, 3.24)</w:t>
      </w:r>
      <w:r w:rsidRPr="00F06896" w:rsidR="00594700">
        <w:rPr>
          <w:rFonts w:ascii="Times New Roman" w:hAnsi="Times New Roman"/>
          <w:sz w:val="22"/>
          <w:szCs w:val="22"/>
        </w:rPr>
        <w:t>.</w:t>
      </w:r>
    </w:p>
    <w:p w:rsidRPr="00F06896" w:rsidR="006D650C" w:rsidP="00D161D6" w:rsidRDefault="006D650C" w14:paraId="1F622078" w14:textId="6DB0A713">
      <w:pPr>
        <w:pStyle w:val="ListParagraph"/>
        <w:numPr>
          <w:ilvl w:val="0"/>
          <w:numId w:val="7"/>
        </w:numPr>
        <w:rPr>
          <w:rFonts w:ascii="Times New Roman" w:hAnsi="Times New Roman"/>
          <w:sz w:val="22"/>
          <w:szCs w:val="22"/>
        </w:rPr>
      </w:pPr>
      <w:r w:rsidRPr="00F06896">
        <w:rPr>
          <w:rFonts w:ascii="Times New Roman" w:hAnsi="Times New Roman"/>
          <w:sz w:val="22"/>
          <w:szCs w:val="22"/>
        </w:rPr>
        <w:t>With respect to t</w:t>
      </w:r>
      <w:r w:rsidRPr="00F06896" w:rsidR="00594700">
        <w:rPr>
          <w:rFonts w:ascii="Times New Roman" w:hAnsi="Times New Roman"/>
          <w:sz w:val="22"/>
          <w:szCs w:val="22"/>
        </w:rPr>
        <w:t xml:space="preserve">he two </w:t>
      </w:r>
      <w:r w:rsidRPr="00F06896" w:rsidR="009562F9">
        <w:rPr>
          <w:rFonts w:ascii="Times New Roman" w:hAnsi="Times New Roman"/>
          <w:sz w:val="22"/>
          <w:szCs w:val="22"/>
        </w:rPr>
        <w:t>areas identified by the Committee wher</w:t>
      </w:r>
      <w:r w:rsidRPr="00F06896">
        <w:rPr>
          <w:rFonts w:ascii="Times New Roman" w:hAnsi="Times New Roman"/>
          <w:sz w:val="22"/>
          <w:szCs w:val="22"/>
        </w:rPr>
        <w:t>e managed access may not resolve uncertainty:</w:t>
      </w:r>
    </w:p>
    <w:p w:rsidRPr="00F06896" w:rsidR="006D650C" w:rsidP="00D161D6" w:rsidRDefault="006D650C" w14:paraId="7AC0015A" w14:textId="2E0F9B94">
      <w:pPr>
        <w:pStyle w:val="ListParagraph"/>
        <w:numPr>
          <w:ilvl w:val="1"/>
          <w:numId w:val="7"/>
        </w:numPr>
        <w:rPr>
          <w:rFonts w:ascii="Times New Roman" w:hAnsi="Times New Roman"/>
          <w:sz w:val="22"/>
          <w:szCs w:val="22"/>
        </w:rPr>
      </w:pPr>
      <w:r w:rsidRPr="00F06896">
        <w:rPr>
          <w:rFonts w:ascii="Times New Roman" w:hAnsi="Times New Roman"/>
          <w:sz w:val="22"/>
          <w:szCs w:val="22"/>
        </w:rPr>
        <w:t xml:space="preserve">Treatment discontinuation is not identified as an area of uncertainty at </w:t>
      </w:r>
      <w:r w:rsidRPr="00F06896" w:rsidR="00FD0521">
        <w:rPr>
          <w:rFonts w:ascii="Times New Roman" w:hAnsi="Times New Roman"/>
          <w:sz w:val="22"/>
          <w:szCs w:val="22"/>
        </w:rPr>
        <w:t xml:space="preserve">either </w:t>
      </w:r>
      <w:r w:rsidRPr="00F06896">
        <w:rPr>
          <w:rFonts w:ascii="Times New Roman" w:hAnsi="Times New Roman"/>
          <w:sz w:val="22"/>
          <w:szCs w:val="22"/>
        </w:rPr>
        <w:t xml:space="preserve">paragraph </w:t>
      </w:r>
      <w:r w:rsidRPr="00F06896" w:rsidR="00FE1915">
        <w:rPr>
          <w:rFonts w:ascii="Times New Roman" w:hAnsi="Times New Roman"/>
          <w:sz w:val="22"/>
          <w:szCs w:val="22"/>
        </w:rPr>
        <w:t xml:space="preserve">3.18 </w:t>
      </w:r>
      <w:r w:rsidRPr="00F06896" w:rsidR="00FD0521">
        <w:rPr>
          <w:rFonts w:ascii="Times New Roman" w:hAnsi="Times New Roman"/>
          <w:sz w:val="22"/>
          <w:szCs w:val="22"/>
        </w:rPr>
        <w:t xml:space="preserve">or </w:t>
      </w:r>
      <w:r w:rsidRPr="00F06896" w:rsidR="00537A9B">
        <w:rPr>
          <w:rFonts w:ascii="Times New Roman" w:hAnsi="Times New Roman"/>
          <w:sz w:val="22"/>
          <w:szCs w:val="22"/>
        </w:rPr>
        <w:t>paragraph</w:t>
      </w:r>
      <w:r w:rsidRPr="00F06896" w:rsidR="00DF2476">
        <w:rPr>
          <w:rFonts w:ascii="Times New Roman" w:hAnsi="Times New Roman"/>
          <w:sz w:val="22"/>
          <w:szCs w:val="22"/>
        </w:rPr>
        <w:t xml:space="preserve"> </w:t>
      </w:r>
      <w:r w:rsidRPr="00F06896" w:rsidR="00FD0521">
        <w:rPr>
          <w:rFonts w:ascii="Times New Roman" w:hAnsi="Times New Roman"/>
          <w:sz w:val="22"/>
          <w:szCs w:val="22"/>
        </w:rPr>
        <w:t xml:space="preserve">3.28 </w:t>
      </w:r>
      <w:r w:rsidRPr="00F06896" w:rsidR="00AD472F">
        <w:rPr>
          <w:rFonts w:ascii="Times New Roman" w:hAnsi="Times New Roman"/>
          <w:sz w:val="22"/>
          <w:szCs w:val="22"/>
        </w:rPr>
        <w:t xml:space="preserve">of the FDG </w:t>
      </w:r>
      <w:r w:rsidRPr="00F06896" w:rsidR="00FD0521">
        <w:rPr>
          <w:rFonts w:ascii="Times New Roman" w:hAnsi="Times New Roman"/>
          <w:sz w:val="22"/>
          <w:szCs w:val="22"/>
        </w:rPr>
        <w:t xml:space="preserve">and, even if that is incorrect, </w:t>
      </w:r>
      <w:r w:rsidRPr="00F06896" w:rsidR="00AD472F">
        <w:rPr>
          <w:rFonts w:ascii="Times New Roman" w:hAnsi="Times New Roman"/>
          <w:sz w:val="22"/>
          <w:szCs w:val="22"/>
        </w:rPr>
        <w:t>treatment discontinuation</w:t>
      </w:r>
      <w:r w:rsidRPr="00F06896" w:rsidR="00B22524">
        <w:rPr>
          <w:rFonts w:ascii="Times New Roman" w:hAnsi="Times New Roman"/>
          <w:sz w:val="22"/>
          <w:szCs w:val="22"/>
        </w:rPr>
        <w:t xml:space="preserve"> is an issue whe</w:t>
      </w:r>
      <w:r w:rsidRPr="00F06896" w:rsidR="00537A9B">
        <w:rPr>
          <w:rFonts w:ascii="Times New Roman" w:hAnsi="Times New Roman"/>
          <w:sz w:val="22"/>
          <w:szCs w:val="22"/>
        </w:rPr>
        <w:t>re</w:t>
      </w:r>
      <w:r w:rsidRPr="00F06896" w:rsidR="00B22524">
        <w:rPr>
          <w:rFonts w:ascii="Times New Roman" w:hAnsi="Times New Roman"/>
          <w:sz w:val="22"/>
          <w:szCs w:val="22"/>
        </w:rPr>
        <w:t xml:space="preserve"> further data </w:t>
      </w:r>
      <w:r w:rsidRPr="00F06896" w:rsidR="00537A9B">
        <w:rPr>
          <w:rFonts w:ascii="Times New Roman" w:hAnsi="Times New Roman"/>
          <w:sz w:val="22"/>
          <w:szCs w:val="22"/>
        </w:rPr>
        <w:t>will</w:t>
      </w:r>
      <w:r w:rsidRPr="00F06896" w:rsidR="00B22524">
        <w:rPr>
          <w:rFonts w:ascii="Times New Roman" w:hAnsi="Times New Roman"/>
          <w:sz w:val="22"/>
          <w:szCs w:val="22"/>
        </w:rPr>
        <w:t xml:space="preserve"> become available through the Clarity AD</w:t>
      </w:r>
      <w:r w:rsidRPr="00F06896" w:rsidR="00537A9B">
        <w:rPr>
          <w:rFonts w:ascii="Times New Roman" w:hAnsi="Times New Roman"/>
          <w:sz w:val="22"/>
          <w:szCs w:val="22"/>
        </w:rPr>
        <w:t xml:space="preserve"> </w:t>
      </w:r>
      <w:r w:rsidRPr="00F06896" w:rsidR="00D31E74">
        <w:rPr>
          <w:rFonts w:ascii="Times New Roman" w:hAnsi="Times New Roman"/>
          <w:sz w:val="22"/>
          <w:szCs w:val="22"/>
        </w:rPr>
        <w:t xml:space="preserve">open-label extension (OLE) study </w:t>
      </w:r>
      <w:r w:rsidRPr="00F06896" w:rsidR="00E86007">
        <w:rPr>
          <w:rFonts w:ascii="Times New Roman" w:hAnsi="Times New Roman"/>
          <w:sz w:val="22"/>
          <w:szCs w:val="22"/>
        </w:rPr>
        <w:t xml:space="preserve">and </w:t>
      </w:r>
      <w:r w:rsidRPr="00F06896" w:rsidR="00E24B45">
        <w:rPr>
          <w:rFonts w:ascii="Times New Roman" w:hAnsi="Times New Roman"/>
          <w:sz w:val="22"/>
          <w:szCs w:val="22"/>
        </w:rPr>
        <w:t xml:space="preserve">from </w:t>
      </w:r>
      <w:r w:rsidRPr="00F06896" w:rsidR="00E86007">
        <w:rPr>
          <w:rFonts w:ascii="Times New Roman" w:hAnsi="Times New Roman"/>
          <w:sz w:val="22"/>
          <w:szCs w:val="22"/>
        </w:rPr>
        <w:t xml:space="preserve">use within </w:t>
      </w:r>
      <w:r w:rsidRPr="00F06896" w:rsidR="0055364C">
        <w:rPr>
          <w:rFonts w:ascii="Times New Roman" w:hAnsi="Times New Roman"/>
          <w:sz w:val="22"/>
          <w:szCs w:val="22"/>
        </w:rPr>
        <w:t xml:space="preserve">the </w:t>
      </w:r>
      <w:r w:rsidRPr="00F06896" w:rsidR="00E86007">
        <w:rPr>
          <w:rFonts w:ascii="Times New Roman" w:hAnsi="Times New Roman"/>
          <w:sz w:val="22"/>
          <w:szCs w:val="22"/>
        </w:rPr>
        <w:t xml:space="preserve">NHS </w:t>
      </w:r>
      <w:r w:rsidRPr="00F06896" w:rsidR="0055364C">
        <w:rPr>
          <w:rFonts w:ascii="Times New Roman" w:hAnsi="Times New Roman"/>
          <w:sz w:val="22"/>
          <w:szCs w:val="22"/>
        </w:rPr>
        <w:t xml:space="preserve">in </w:t>
      </w:r>
      <w:r w:rsidRPr="00F06896" w:rsidR="00E86007">
        <w:rPr>
          <w:rFonts w:ascii="Times New Roman" w:hAnsi="Times New Roman"/>
          <w:sz w:val="22"/>
          <w:szCs w:val="22"/>
        </w:rPr>
        <w:t>England</w:t>
      </w:r>
      <w:r w:rsidRPr="00F06896" w:rsidR="0055364C">
        <w:rPr>
          <w:rFonts w:ascii="Times New Roman" w:hAnsi="Times New Roman"/>
          <w:sz w:val="22"/>
          <w:szCs w:val="22"/>
        </w:rPr>
        <w:t>,</w:t>
      </w:r>
      <w:r w:rsidRPr="00F06896" w:rsidR="00E86007">
        <w:rPr>
          <w:rFonts w:ascii="Times New Roman" w:hAnsi="Times New Roman"/>
          <w:sz w:val="22"/>
          <w:szCs w:val="22"/>
        </w:rPr>
        <w:t xml:space="preserve"> if included in a data collection agreement</w:t>
      </w:r>
      <w:r w:rsidRPr="00F06896" w:rsidR="00E24B45">
        <w:rPr>
          <w:rFonts w:ascii="Times New Roman" w:hAnsi="Times New Roman"/>
          <w:sz w:val="22"/>
          <w:szCs w:val="22"/>
        </w:rPr>
        <w:t>.</w:t>
      </w:r>
    </w:p>
    <w:p w:rsidRPr="00F06896" w:rsidR="00D96D83" w:rsidP="00D161D6" w:rsidRDefault="00D423AB" w14:paraId="3FFAFF6C" w14:textId="0966DF75">
      <w:pPr>
        <w:pStyle w:val="ListParagraph"/>
        <w:numPr>
          <w:ilvl w:val="1"/>
          <w:numId w:val="7"/>
        </w:numPr>
        <w:rPr>
          <w:rFonts w:ascii="Times New Roman" w:hAnsi="Times New Roman"/>
          <w:sz w:val="22"/>
          <w:szCs w:val="22"/>
        </w:rPr>
      </w:pPr>
      <w:r w:rsidRPr="00F06896">
        <w:rPr>
          <w:rFonts w:ascii="Times New Roman" w:hAnsi="Times New Roman"/>
          <w:sz w:val="22"/>
          <w:szCs w:val="22"/>
        </w:rPr>
        <w:t>While Eisai accepts that</w:t>
      </w:r>
      <w:r w:rsidRPr="00F06896" w:rsidR="00012231">
        <w:rPr>
          <w:rFonts w:ascii="Times New Roman" w:hAnsi="Times New Roman"/>
          <w:sz w:val="22"/>
          <w:szCs w:val="22"/>
        </w:rPr>
        <w:t>,</w:t>
      </w:r>
      <w:r w:rsidRPr="00F06896">
        <w:rPr>
          <w:rFonts w:ascii="Times New Roman" w:hAnsi="Times New Roman"/>
          <w:sz w:val="22"/>
          <w:szCs w:val="22"/>
        </w:rPr>
        <w:t xml:space="preserve"> </w:t>
      </w:r>
      <w:r w:rsidRPr="00F06896" w:rsidR="00012231">
        <w:rPr>
          <w:rFonts w:ascii="Times New Roman" w:hAnsi="Times New Roman"/>
          <w:sz w:val="22"/>
          <w:szCs w:val="22"/>
        </w:rPr>
        <w:t xml:space="preserve">in the context of a new treatment pathway, </w:t>
      </w:r>
      <w:r w:rsidRPr="00F06896">
        <w:rPr>
          <w:rFonts w:ascii="Times New Roman" w:hAnsi="Times New Roman"/>
          <w:sz w:val="22"/>
          <w:szCs w:val="22"/>
        </w:rPr>
        <w:t xml:space="preserve">there is </w:t>
      </w:r>
      <w:r w:rsidRPr="00F06896" w:rsidR="001069CC">
        <w:rPr>
          <w:rFonts w:ascii="Times New Roman" w:hAnsi="Times New Roman"/>
          <w:sz w:val="22"/>
          <w:szCs w:val="22"/>
        </w:rPr>
        <w:t xml:space="preserve">some uncertainty in relation to </w:t>
      </w:r>
      <w:r w:rsidRPr="00F06896">
        <w:rPr>
          <w:rFonts w:ascii="Times New Roman" w:hAnsi="Times New Roman"/>
          <w:sz w:val="22"/>
          <w:szCs w:val="22"/>
        </w:rPr>
        <w:t>infusion costs</w:t>
      </w:r>
      <w:r w:rsidRPr="00F06896" w:rsidR="001069CC">
        <w:rPr>
          <w:rFonts w:ascii="Times New Roman" w:hAnsi="Times New Roman"/>
          <w:sz w:val="22"/>
          <w:szCs w:val="22"/>
        </w:rPr>
        <w:t xml:space="preserve">, this can be resolved only through </w:t>
      </w:r>
      <w:r w:rsidRPr="00F06896" w:rsidR="00D83666">
        <w:rPr>
          <w:rFonts w:ascii="Times New Roman" w:hAnsi="Times New Roman"/>
          <w:sz w:val="22"/>
          <w:szCs w:val="22"/>
        </w:rPr>
        <w:t>use within</w:t>
      </w:r>
      <w:r w:rsidRPr="00F06896" w:rsidR="001069CC">
        <w:rPr>
          <w:rFonts w:ascii="Times New Roman" w:hAnsi="Times New Roman"/>
          <w:sz w:val="22"/>
          <w:szCs w:val="22"/>
        </w:rPr>
        <w:t xml:space="preserve"> </w:t>
      </w:r>
      <w:r w:rsidRPr="00F06896" w:rsidR="0055364C">
        <w:rPr>
          <w:rFonts w:ascii="Times New Roman" w:hAnsi="Times New Roman"/>
          <w:sz w:val="22"/>
          <w:szCs w:val="22"/>
        </w:rPr>
        <w:t xml:space="preserve">the </w:t>
      </w:r>
      <w:r w:rsidRPr="00F06896" w:rsidR="00AD472F">
        <w:rPr>
          <w:rFonts w:ascii="Times New Roman" w:hAnsi="Times New Roman"/>
          <w:sz w:val="22"/>
          <w:szCs w:val="22"/>
        </w:rPr>
        <w:t xml:space="preserve">NHS </w:t>
      </w:r>
      <w:r w:rsidRPr="00F06896" w:rsidR="0055364C">
        <w:rPr>
          <w:rFonts w:ascii="Times New Roman" w:hAnsi="Times New Roman"/>
          <w:sz w:val="22"/>
          <w:szCs w:val="22"/>
        </w:rPr>
        <w:t xml:space="preserve">in </w:t>
      </w:r>
      <w:r w:rsidRPr="00F06896" w:rsidR="00D83666">
        <w:rPr>
          <w:rFonts w:ascii="Times New Roman" w:hAnsi="Times New Roman"/>
          <w:sz w:val="22"/>
          <w:szCs w:val="22"/>
        </w:rPr>
        <w:t>England</w:t>
      </w:r>
      <w:r w:rsidRPr="00F06896" w:rsidR="00AD472F">
        <w:rPr>
          <w:rFonts w:ascii="Times New Roman" w:hAnsi="Times New Roman"/>
          <w:sz w:val="22"/>
          <w:szCs w:val="22"/>
        </w:rPr>
        <w:t>.</w:t>
      </w:r>
      <w:r w:rsidRPr="00F06896" w:rsidR="001069CC">
        <w:rPr>
          <w:rFonts w:ascii="Times New Roman" w:hAnsi="Times New Roman"/>
          <w:sz w:val="22"/>
          <w:szCs w:val="22"/>
        </w:rPr>
        <w:t xml:space="preserve"> </w:t>
      </w:r>
      <w:r w:rsidRPr="00F06896">
        <w:rPr>
          <w:rFonts w:ascii="Times New Roman" w:hAnsi="Times New Roman"/>
          <w:sz w:val="22"/>
          <w:szCs w:val="22"/>
        </w:rPr>
        <w:t xml:space="preserve"> </w:t>
      </w:r>
      <w:r w:rsidRPr="00F06896" w:rsidR="00C168C7">
        <w:rPr>
          <w:rFonts w:ascii="Times New Roman" w:hAnsi="Times New Roman"/>
          <w:sz w:val="22"/>
          <w:szCs w:val="22"/>
        </w:rPr>
        <w:t xml:space="preserve">In response to consultation on the Draft Guidance, NHS England’s </w:t>
      </w:r>
      <w:r w:rsidRPr="00F06896" w:rsidR="00D96D83">
        <w:rPr>
          <w:rFonts w:ascii="Times New Roman" w:hAnsi="Times New Roman"/>
          <w:sz w:val="22"/>
          <w:szCs w:val="22"/>
        </w:rPr>
        <w:t>“Infusion Cost Estimate</w:t>
      </w:r>
      <w:r w:rsidRPr="00F06896" w:rsidR="00D31B46">
        <w:rPr>
          <w:rFonts w:ascii="Times New Roman" w:hAnsi="Times New Roman"/>
          <w:sz w:val="22"/>
          <w:szCs w:val="22"/>
        </w:rPr>
        <w:t>s</w:t>
      </w:r>
      <w:r w:rsidRPr="00F06896" w:rsidR="00D96D83">
        <w:rPr>
          <w:rFonts w:ascii="Times New Roman" w:hAnsi="Times New Roman"/>
          <w:sz w:val="22"/>
          <w:szCs w:val="22"/>
        </w:rPr>
        <w:t>” document stated:</w:t>
      </w:r>
    </w:p>
    <w:p w:rsidRPr="00F06896" w:rsidR="00F75DC8" w:rsidP="007F0316" w:rsidRDefault="00D96D83" w14:paraId="43D83E56" w14:textId="2BD3643C">
      <w:pPr>
        <w:ind w:left="2160"/>
        <w:rPr>
          <w:rFonts w:ascii="Times New Roman" w:hAnsi="Times New Roman"/>
          <w:sz w:val="22"/>
          <w:szCs w:val="22"/>
        </w:rPr>
      </w:pPr>
      <w:r w:rsidRPr="00F06896">
        <w:rPr>
          <w:rFonts w:ascii="Times New Roman" w:hAnsi="Times New Roman"/>
          <w:sz w:val="22"/>
          <w:szCs w:val="22"/>
        </w:rPr>
        <w:t>“</w:t>
      </w:r>
      <w:r w:rsidRPr="00F06896" w:rsidR="00F75DC8">
        <w:rPr>
          <w:rFonts w:ascii="Times New Roman" w:hAnsi="Times New Roman"/>
          <w:i/>
          <w:iCs/>
          <w:sz w:val="22"/>
          <w:szCs w:val="22"/>
        </w:rPr>
        <w:t>As set out in previous notes, there is no Health Resource Group (HRG) code that covers a monoclonal antibody infusion to treat Alzheimer’s Disease or Dementia currently in use. It is standard policy only to set a HRG price for a new area of activity up to three years after the activity starts in order for there to be sufficient reference data on which to base the price. Before then, it is normal to agree a price to be paid by commissioners (in this case ICBs) to NHS providers, using an estimate based on similar types of activity</w:t>
      </w:r>
      <w:r w:rsidRPr="00F06896" w:rsidR="003278CA">
        <w:rPr>
          <w:rFonts w:ascii="Times New Roman" w:hAnsi="Times New Roman"/>
          <w:i/>
          <w:iCs/>
          <w:sz w:val="22"/>
          <w:szCs w:val="22"/>
        </w:rPr>
        <w:t>”</w:t>
      </w:r>
      <w:r w:rsidRPr="00F06896" w:rsidR="00F75DC8">
        <w:rPr>
          <w:rFonts w:ascii="Times New Roman" w:hAnsi="Times New Roman"/>
          <w:i/>
          <w:iCs/>
          <w:sz w:val="22"/>
          <w:szCs w:val="22"/>
        </w:rPr>
        <w:t>.</w:t>
      </w:r>
      <w:r w:rsidRPr="00F06896" w:rsidR="00F75DC8">
        <w:rPr>
          <w:rFonts w:ascii="Times New Roman" w:hAnsi="Times New Roman"/>
          <w:sz w:val="22"/>
          <w:szCs w:val="22"/>
        </w:rPr>
        <w:t xml:space="preserve"> </w:t>
      </w:r>
    </w:p>
    <w:p w:rsidRPr="00F06896" w:rsidR="00334355" w:rsidP="007F0316" w:rsidRDefault="00613EE4" w14:paraId="56CD2F0C" w14:textId="7B0812F9">
      <w:pPr>
        <w:ind w:left="1440"/>
        <w:rPr>
          <w:rFonts w:ascii="Times New Roman" w:hAnsi="Times New Roman"/>
          <w:sz w:val="22"/>
          <w:szCs w:val="22"/>
        </w:rPr>
      </w:pPr>
      <w:r w:rsidRPr="00F06896">
        <w:rPr>
          <w:rFonts w:ascii="Times New Roman" w:hAnsi="Times New Roman"/>
          <w:sz w:val="22"/>
          <w:szCs w:val="22"/>
        </w:rPr>
        <w:t>Therefore, i</w:t>
      </w:r>
      <w:r w:rsidRPr="00F06896" w:rsidR="00DE242A">
        <w:rPr>
          <w:rFonts w:ascii="Times New Roman" w:hAnsi="Times New Roman"/>
          <w:sz w:val="22"/>
          <w:szCs w:val="22"/>
        </w:rPr>
        <w:t xml:space="preserve">rrespective of whether it is appropriate to </w:t>
      </w:r>
      <w:r w:rsidRPr="00F06896">
        <w:rPr>
          <w:rFonts w:ascii="Times New Roman" w:hAnsi="Times New Roman"/>
          <w:sz w:val="22"/>
          <w:szCs w:val="22"/>
        </w:rPr>
        <w:t>use HRG price</w:t>
      </w:r>
      <w:r w:rsidRPr="00F06896" w:rsidR="004821C7">
        <w:rPr>
          <w:rFonts w:ascii="Times New Roman" w:hAnsi="Times New Roman"/>
          <w:sz w:val="22"/>
          <w:szCs w:val="22"/>
        </w:rPr>
        <w:t>s</w:t>
      </w:r>
      <w:r w:rsidRPr="00F06896">
        <w:rPr>
          <w:rFonts w:ascii="Times New Roman" w:hAnsi="Times New Roman"/>
          <w:sz w:val="22"/>
          <w:szCs w:val="22"/>
        </w:rPr>
        <w:t xml:space="preserve"> in the context of NICE appraisals, </w:t>
      </w:r>
      <w:r w:rsidRPr="00F06896" w:rsidR="000F4BFA">
        <w:rPr>
          <w:rFonts w:ascii="Times New Roman" w:hAnsi="Times New Roman"/>
          <w:sz w:val="22"/>
          <w:szCs w:val="22"/>
        </w:rPr>
        <w:t xml:space="preserve">it is clear that accurate costings can be produced only after there has been significant experience with use of the </w:t>
      </w:r>
      <w:r w:rsidRPr="00F06896" w:rsidR="004821C7">
        <w:rPr>
          <w:rFonts w:ascii="Times New Roman" w:hAnsi="Times New Roman"/>
          <w:sz w:val="22"/>
          <w:szCs w:val="22"/>
        </w:rPr>
        <w:t xml:space="preserve">treatment, </w:t>
      </w:r>
      <w:r w:rsidRPr="00F06896" w:rsidR="00266840">
        <w:rPr>
          <w:rFonts w:ascii="Times New Roman" w:hAnsi="Times New Roman"/>
          <w:sz w:val="22"/>
          <w:szCs w:val="22"/>
        </w:rPr>
        <w:t xml:space="preserve">generating adequate </w:t>
      </w:r>
      <w:r w:rsidRPr="00F06896" w:rsidR="004821C7">
        <w:rPr>
          <w:rFonts w:ascii="Times New Roman" w:hAnsi="Times New Roman"/>
          <w:sz w:val="22"/>
          <w:szCs w:val="22"/>
        </w:rPr>
        <w:t>reference dat</w:t>
      </w:r>
      <w:r w:rsidRPr="00F06896" w:rsidR="00266840">
        <w:rPr>
          <w:rFonts w:ascii="Times New Roman" w:hAnsi="Times New Roman"/>
          <w:sz w:val="22"/>
          <w:szCs w:val="22"/>
        </w:rPr>
        <w:t>a on associated costs.</w:t>
      </w:r>
      <w:r w:rsidRPr="00F06896" w:rsidR="007B0D70">
        <w:rPr>
          <w:rFonts w:ascii="Times New Roman" w:hAnsi="Times New Roman"/>
          <w:sz w:val="22"/>
          <w:szCs w:val="22"/>
        </w:rPr>
        <w:t xml:space="preserve"> </w:t>
      </w:r>
      <w:r w:rsidRPr="00F06896" w:rsidR="00094233">
        <w:rPr>
          <w:rFonts w:ascii="Times New Roman" w:hAnsi="Times New Roman"/>
          <w:sz w:val="22"/>
          <w:szCs w:val="22"/>
        </w:rPr>
        <w:t xml:space="preserve">In other words, real world use in the NHS is the only way in which </w:t>
      </w:r>
      <w:r w:rsidRPr="00F06896" w:rsidR="00C45031">
        <w:rPr>
          <w:rFonts w:ascii="Times New Roman" w:hAnsi="Times New Roman"/>
          <w:sz w:val="22"/>
          <w:szCs w:val="22"/>
        </w:rPr>
        <w:t>uncertainty regarding infusion costs can be resolved.</w:t>
      </w:r>
      <w:r w:rsidRPr="00F06896" w:rsidR="003B5678">
        <w:rPr>
          <w:rFonts w:ascii="Times New Roman" w:hAnsi="Times New Roman"/>
          <w:sz w:val="22"/>
          <w:szCs w:val="22"/>
        </w:rPr>
        <w:t xml:space="preserve"> </w:t>
      </w:r>
      <w:r w:rsidRPr="00F06896" w:rsidR="00475075">
        <w:rPr>
          <w:rFonts w:ascii="Times New Roman" w:hAnsi="Times New Roman"/>
          <w:sz w:val="22"/>
          <w:szCs w:val="22"/>
        </w:rPr>
        <w:t xml:space="preserve">In these circumstances, the correct course is to use a transparent and pragmatic approach </w:t>
      </w:r>
      <w:r w:rsidRPr="00F06896" w:rsidR="0011609B">
        <w:rPr>
          <w:rFonts w:ascii="Times New Roman" w:hAnsi="Times New Roman"/>
          <w:sz w:val="22"/>
          <w:szCs w:val="22"/>
        </w:rPr>
        <w:t xml:space="preserve">to costs for the purpose of managed access, </w:t>
      </w:r>
      <w:r w:rsidRPr="00F06896" w:rsidR="00475075">
        <w:rPr>
          <w:rFonts w:ascii="Times New Roman" w:hAnsi="Times New Roman"/>
          <w:sz w:val="22"/>
          <w:szCs w:val="22"/>
        </w:rPr>
        <w:t>that fairly reflects likely costs to the NHS but without introducing elements that are implausible or unrelated to AD</w:t>
      </w:r>
      <w:r w:rsidRPr="00F06896" w:rsidR="0011609B">
        <w:rPr>
          <w:rFonts w:ascii="Times New Roman" w:hAnsi="Times New Roman"/>
          <w:sz w:val="22"/>
          <w:szCs w:val="22"/>
        </w:rPr>
        <w:t>.</w:t>
      </w:r>
    </w:p>
    <w:p w:rsidRPr="00F06896" w:rsidR="00372358" w:rsidP="00D161D6" w:rsidRDefault="00372358" w14:paraId="0C51F007" w14:textId="179FABDD">
      <w:pPr>
        <w:pStyle w:val="ListParagraph"/>
        <w:numPr>
          <w:ilvl w:val="0"/>
          <w:numId w:val="8"/>
        </w:numPr>
        <w:rPr>
          <w:rFonts w:ascii="Times New Roman" w:hAnsi="Times New Roman"/>
          <w:sz w:val="22"/>
          <w:szCs w:val="22"/>
        </w:rPr>
      </w:pPr>
      <w:r w:rsidRPr="00F06896">
        <w:rPr>
          <w:rFonts w:ascii="Times New Roman" w:hAnsi="Times New Roman"/>
          <w:sz w:val="22"/>
          <w:szCs w:val="22"/>
        </w:rPr>
        <w:t xml:space="preserve">The FDG suggests that its conclusion (which Eisai does not believe is scientifically based) that lecanemab is associated with a “small clinical benefit” does not reflect the requirements of the Innovative Medicines Fund.  This is incorrect.  The Innovative Medicines Fund Principles document dated 6 June 2022 (“the IMF Document”), lists the requirements for entry to the Fund at paragraph 25 and provides either a technology must have a significant clinical benefit </w:t>
      </w:r>
      <w:r w:rsidRPr="00F06896">
        <w:rPr>
          <w:rFonts w:ascii="Times New Roman" w:hAnsi="Times New Roman"/>
          <w:b/>
          <w:bCs/>
          <w:sz w:val="22"/>
          <w:szCs w:val="22"/>
        </w:rPr>
        <w:t>or</w:t>
      </w:r>
      <w:r w:rsidRPr="00F06896">
        <w:rPr>
          <w:rFonts w:ascii="Times New Roman" w:hAnsi="Times New Roman"/>
          <w:sz w:val="22"/>
          <w:szCs w:val="22"/>
        </w:rPr>
        <w:t xml:space="preserve"> the represent a step-change and evidence to be generated through managed access is meaningful and could sufficiently reduce uncertainty.  In Eisai’s submission, lecanemab clearly satisfies the second option under these criteria.</w:t>
      </w:r>
    </w:p>
    <w:p w:rsidRPr="00F06896" w:rsidR="000503F2" w:rsidP="00D161D6" w:rsidRDefault="000503F2" w14:paraId="020EC54C" w14:textId="7453D7B0">
      <w:pPr>
        <w:pStyle w:val="ListParagraph"/>
        <w:numPr>
          <w:ilvl w:val="0"/>
          <w:numId w:val="8"/>
        </w:numPr>
        <w:rPr>
          <w:rFonts w:ascii="Times New Roman" w:hAnsi="Times New Roman"/>
          <w:sz w:val="22"/>
          <w:szCs w:val="22"/>
        </w:rPr>
      </w:pPr>
      <w:r w:rsidRPr="00F06896">
        <w:rPr>
          <w:rFonts w:ascii="Times New Roman" w:hAnsi="Times New Roman"/>
          <w:sz w:val="22"/>
          <w:szCs w:val="22"/>
        </w:rPr>
        <w:t xml:space="preserve">Data collection through </w:t>
      </w:r>
      <w:r w:rsidRPr="00F06896" w:rsidR="00266FEF">
        <w:rPr>
          <w:rFonts w:ascii="Times New Roman" w:hAnsi="Times New Roman"/>
          <w:sz w:val="22"/>
          <w:szCs w:val="22"/>
        </w:rPr>
        <w:t xml:space="preserve">further </w:t>
      </w:r>
      <w:proofErr w:type="spellStart"/>
      <w:r w:rsidRPr="00F06896" w:rsidR="00965684">
        <w:rPr>
          <w:rFonts w:ascii="Times New Roman" w:hAnsi="Times New Roman"/>
          <w:sz w:val="22"/>
          <w:szCs w:val="22"/>
        </w:rPr>
        <w:t>randomised</w:t>
      </w:r>
      <w:proofErr w:type="spellEnd"/>
      <w:r w:rsidRPr="00F06896" w:rsidR="00965684">
        <w:rPr>
          <w:rFonts w:ascii="Times New Roman" w:hAnsi="Times New Roman"/>
          <w:sz w:val="22"/>
          <w:szCs w:val="22"/>
        </w:rPr>
        <w:t xml:space="preserve"> controlled trials (</w:t>
      </w:r>
      <w:r w:rsidRPr="00F06896" w:rsidR="00266FEF">
        <w:rPr>
          <w:rFonts w:ascii="Times New Roman" w:hAnsi="Times New Roman"/>
          <w:sz w:val="22"/>
          <w:szCs w:val="22"/>
        </w:rPr>
        <w:t>RCTs</w:t>
      </w:r>
      <w:r w:rsidRPr="00F06896" w:rsidR="00965684">
        <w:rPr>
          <w:rFonts w:ascii="Times New Roman" w:hAnsi="Times New Roman"/>
          <w:sz w:val="22"/>
          <w:szCs w:val="22"/>
        </w:rPr>
        <w:t>)</w:t>
      </w:r>
      <w:r w:rsidRPr="00F06896" w:rsidR="00266FEF">
        <w:rPr>
          <w:rFonts w:ascii="Times New Roman" w:hAnsi="Times New Roman"/>
          <w:sz w:val="22"/>
          <w:szCs w:val="22"/>
        </w:rPr>
        <w:t xml:space="preserve"> is not a requirement for managed access, even where there is uncertainty regarding relative treatment effectiveness. </w:t>
      </w:r>
      <w:r w:rsidRPr="00F06896" w:rsidR="00B30A4C">
        <w:rPr>
          <w:rFonts w:ascii="Times New Roman" w:hAnsi="Times New Roman"/>
          <w:sz w:val="22"/>
          <w:szCs w:val="22"/>
        </w:rPr>
        <w:t xml:space="preserve">Consistent with </w:t>
      </w:r>
      <w:r w:rsidRPr="00F06896" w:rsidR="0024430C">
        <w:rPr>
          <w:rFonts w:ascii="Times New Roman" w:hAnsi="Times New Roman"/>
          <w:sz w:val="22"/>
          <w:szCs w:val="22"/>
        </w:rPr>
        <w:t>NICE’s real-world evidence framework and previous appraisals</w:t>
      </w:r>
      <w:r w:rsidRPr="00F06896" w:rsidR="0016302F">
        <w:rPr>
          <w:rFonts w:ascii="Times New Roman" w:hAnsi="Times New Roman"/>
          <w:sz w:val="22"/>
          <w:szCs w:val="22"/>
        </w:rPr>
        <w:t xml:space="preserve">, observational studies and </w:t>
      </w:r>
      <w:r w:rsidRPr="00F06896" w:rsidR="00BF54EC">
        <w:rPr>
          <w:rFonts w:ascii="Times New Roman" w:hAnsi="Times New Roman"/>
          <w:sz w:val="22"/>
          <w:szCs w:val="22"/>
        </w:rPr>
        <w:t>real-world</w:t>
      </w:r>
      <w:r w:rsidRPr="00F06896" w:rsidR="0016302F">
        <w:rPr>
          <w:rFonts w:ascii="Times New Roman" w:hAnsi="Times New Roman"/>
          <w:sz w:val="22"/>
          <w:szCs w:val="22"/>
        </w:rPr>
        <w:t xml:space="preserve"> data collection have been used in multiple cases </w:t>
      </w:r>
      <w:r w:rsidRPr="00F06896" w:rsidR="0001331E">
        <w:rPr>
          <w:rFonts w:ascii="Times New Roman" w:hAnsi="Times New Roman"/>
          <w:sz w:val="22"/>
          <w:szCs w:val="22"/>
        </w:rPr>
        <w:t>(e.g. TA667</w:t>
      </w:r>
      <w:r w:rsidRPr="00F06896" w:rsidR="00C536DE">
        <w:rPr>
          <w:rFonts w:ascii="Times New Roman" w:hAnsi="Times New Roman"/>
          <w:sz w:val="22"/>
          <w:szCs w:val="22"/>
        </w:rPr>
        <w:t xml:space="preserve"> and TA524</w:t>
      </w:r>
      <w:r w:rsidRPr="00F06896" w:rsidR="0001331E">
        <w:rPr>
          <w:rFonts w:ascii="Times New Roman" w:hAnsi="Times New Roman"/>
          <w:sz w:val="22"/>
          <w:szCs w:val="22"/>
        </w:rPr>
        <w:t xml:space="preserve">) </w:t>
      </w:r>
      <w:r w:rsidRPr="00F06896" w:rsidR="0016302F">
        <w:rPr>
          <w:rFonts w:ascii="Times New Roman" w:hAnsi="Times New Roman"/>
          <w:sz w:val="22"/>
          <w:szCs w:val="22"/>
        </w:rPr>
        <w:t xml:space="preserve">to </w:t>
      </w:r>
      <w:r w:rsidRPr="00F06896" w:rsidR="0001331E">
        <w:rPr>
          <w:rFonts w:ascii="Times New Roman" w:hAnsi="Times New Roman"/>
          <w:sz w:val="22"/>
          <w:szCs w:val="22"/>
        </w:rPr>
        <w:t>obtain additional evidence on clinical effectiveness used for the purposes of decision making.</w:t>
      </w:r>
      <w:r w:rsidRPr="00F06896" w:rsidR="00D31E74">
        <w:rPr>
          <w:rFonts w:ascii="Times New Roman" w:hAnsi="Times New Roman"/>
          <w:sz w:val="22"/>
          <w:szCs w:val="22"/>
        </w:rPr>
        <w:t xml:space="preserve"> </w:t>
      </w:r>
      <w:r w:rsidRPr="00F06896" w:rsidR="000D13C7">
        <w:rPr>
          <w:rFonts w:ascii="Times New Roman" w:hAnsi="Times New Roman"/>
          <w:sz w:val="22"/>
          <w:szCs w:val="22"/>
        </w:rPr>
        <w:t xml:space="preserve">The Committee does not seem to have taken into account the fact that </w:t>
      </w:r>
      <w:r w:rsidRPr="00F06896" w:rsidR="00F93ED4">
        <w:rPr>
          <w:rFonts w:ascii="Times New Roman" w:hAnsi="Times New Roman"/>
          <w:sz w:val="22"/>
          <w:szCs w:val="22"/>
        </w:rPr>
        <w:t xml:space="preserve">further evidence on </w:t>
      </w:r>
      <w:r w:rsidRPr="00F06896" w:rsidR="00D05638">
        <w:rPr>
          <w:rFonts w:ascii="Times New Roman" w:hAnsi="Times New Roman"/>
          <w:sz w:val="22"/>
          <w:szCs w:val="22"/>
        </w:rPr>
        <w:t>the treatment effectiveness of lecanemab will be obtained from the Clarity AD</w:t>
      </w:r>
      <w:r w:rsidRPr="00F06896" w:rsidR="007A1B0D">
        <w:rPr>
          <w:rFonts w:ascii="Times New Roman" w:hAnsi="Times New Roman"/>
          <w:sz w:val="22"/>
          <w:szCs w:val="22"/>
        </w:rPr>
        <w:t xml:space="preserve"> </w:t>
      </w:r>
      <w:r w:rsidRPr="00F06896" w:rsidR="00D31E74">
        <w:rPr>
          <w:rFonts w:ascii="Times New Roman" w:hAnsi="Times New Roman"/>
          <w:sz w:val="22"/>
          <w:szCs w:val="22"/>
        </w:rPr>
        <w:t xml:space="preserve">OLE study </w:t>
      </w:r>
      <w:r w:rsidRPr="00F06896" w:rsidR="000B1F8E">
        <w:rPr>
          <w:rFonts w:ascii="Times New Roman" w:hAnsi="Times New Roman"/>
          <w:sz w:val="22"/>
          <w:szCs w:val="22"/>
        </w:rPr>
        <w:t>and from real</w:t>
      </w:r>
      <w:r w:rsidRPr="00F06896" w:rsidR="00D31E74">
        <w:rPr>
          <w:rFonts w:ascii="Times New Roman" w:hAnsi="Times New Roman"/>
          <w:sz w:val="22"/>
          <w:szCs w:val="22"/>
        </w:rPr>
        <w:t>-</w:t>
      </w:r>
      <w:r w:rsidRPr="00F06896" w:rsidR="000B1F8E">
        <w:rPr>
          <w:rFonts w:ascii="Times New Roman" w:hAnsi="Times New Roman"/>
          <w:sz w:val="22"/>
          <w:szCs w:val="22"/>
        </w:rPr>
        <w:t>world evidence obtained from NHS use</w:t>
      </w:r>
      <w:r w:rsidR="00B9095D">
        <w:rPr>
          <w:rFonts w:ascii="Times New Roman" w:hAnsi="Times New Roman"/>
          <w:sz w:val="22"/>
          <w:szCs w:val="22"/>
        </w:rPr>
        <w:t>.</w:t>
      </w:r>
      <w:r w:rsidRPr="00F06896" w:rsidR="00C9064C">
        <w:rPr>
          <w:rFonts w:ascii="Times New Roman" w:hAnsi="Times New Roman"/>
          <w:sz w:val="22"/>
          <w:szCs w:val="22"/>
        </w:rPr>
        <w:t xml:space="preserve">  </w:t>
      </w:r>
      <w:r w:rsidRPr="00F06896" w:rsidR="0051132D">
        <w:rPr>
          <w:rFonts w:ascii="Times New Roman" w:hAnsi="Times New Roman"/>
          <w:sz w:val="22"/>
          <w:szCs w:val="22"/>
        </w:rPr>
        <w:t>I</w:t>
      </w:r>
      <w:r w:rsidRPr="00F06896" w:rsidR="00FE7076">
        <w:rPr>
          <w:rFonts w:ascii="Times New Roman" w:hAnsi="Times New Roman"/>
          <w:sz w:val="22"/>
          <w:szCs w:val="22"/>
        </w:rPr>
        <w:t>t</w:t>
      </w:r>
      <w:r w:rsidRPr="00F06896" w:rsidR="009C1C98">
        <w:rPr>
          <w:rFonts w:ascii="Times New Roman" w:hAnsi="Times New Roman"/>
          <w:sz w:val="22"/>
          <w:szCs w:val="22"/>
        </w:rPr>
        <w:t xml:space="preserve"> </w:t>
      </w:r>
      <w:r w:rsidRPr="00F06896" w:rsidR="00FE7076">
        <w:rPr>
          <w:rFonts w:ascii="Times New Roman" w:hAnsi="Times New Roman"/>
          <w:sz w:val="22"/>
          <w:szCs w:val="22"/>
        </w:rPr>
        <w:t xml:space="preserve">is </w:t>
      </w:r>
      <w:r w:rsidRPr="00F06896" w:rsidR="000B2695">
        <w:rPr>
          <w:rFonts w:ascii="Times New Roman" w:hAnsi="Times New Roman"/>
          <w:sz w:val="22"/>
          <w:szCs w:val="22"/>
        </w:rPr>
        <w:t xml:space="preserve">also </w:t>
      </w:r>
      <w:r w:rsidRPr="00F06896" w:rsidR="00FE7076">
        <w:rPr>
          <w:rFonts w:ascii="Times New Roman" w:hAnsi="Times New Roman"/>
          <w:sz w:val="22"/>
          <w:szCs w:val="22"/>
        </w:rPr>
        <w:t>doubtful that a</w:t>
      </w:r>
      <w:r w:rsidRPr="00F06896" w:rsidR="00976004">
        <w:rPr>
          <w:rFonts w:ascii="Times New Roman" w:hAnsi="Times New Roman"/>
          <w:sz w:val="22"/>
          <w:szCs w:val="22"/>
        </w:rPr>
        <w:t>n</w:t>
      </w:r>
      <w:r w:rsidRPr="00F06896" w:rsidR="00FE7076">
        <w:rPr>
          <w:rFonts w:ascii="Times New Roman" w:hAnsi="Times New Roman"/>
          <w:sz w:val="22"/>
          <w:szCs w:val="22"/>
        </w:rPr>
        <w:t xml:space="preserve"> RCT comparing </w:t>
      </w:r>
      <w:r w:rsidRPr="00F06896" w:rsidR="003070B0">
        <w:rPr>
          <w:rFonts w:ascii="Times New Roman" w:hAnsi="Times New Roman"/>
          <w:sz w:val="22"/>
          <w:szCs w:val="22"/>
        </w:rPr>
        <w:t xml:space="preserve">lecanemab with standard care in patients with mild AD would now be </w:t>
      </w:r>
      <w:r w:rsidRPr="00F06896" w:rsidR="00561B5D">
        <w:rPr>
          <w:rFonts w:ascii="Times New Roman" w:hAnsi="Times New Roman"/>
          <w:sz w:val="22"/>
          <w:szCs w:val="22"/>
        </w:rPr>
        <w:t xml:space="preserve">considered </w:t>
      </w:r>
      <w:r w:rsidRPr="00F06896" w:rsidR="003070B0">
        <w:rPr>
          <w:rFonts w:ascii="Times New Roman" w:hAnsi="Times New Roman"/>
          <w:sz w:val="22"/>
          <w:szCs w:val="22"/>
        </w:rPr>
        <w:t xml:space="preserve">ethical. </w:t>
      </w:r>
      <w:r w:rsidRPr="00F06896" w:rsidR="00596CF1">
        <w:rPr>
          <w:rFonts w:ascii="Times New Roman" w:hAnsi="Times New Roman"/>
          <w:sz w:val="22"/>
          <w:szCs w:val="22"/>
        </w:rPr>
        <w:t xml:space="preserve"> </w:t>
      </w:r>
    </w:p>
    <w:p w:rsidRPr="00F06896" w:rsidR="00917569" w:rsidP="00D161D6" w:rsidRDefault="00584271" w14:paraId="14036497" w14:textId="68734E39">
      <w:pPr>
        <w:pStyle w:val="ListParagraph"/>
        <w:numPr>
          <w:ilvl w:val="0"/>
          <w:numId w:val="8"/>
        </w:numPr>
        <w:rPr>
          <w:rFonts w:ascii="Times New Roman" w:hAnsi="Times New Roman"/>
          <w:sz w:val="22"/>
          <w:szCs w:val="22"/>
        </w:rPr>
      </w:pPr>
      <w:r w:rsidRPr="00F06896">
        <w:rPr>
          <w:rFonts w:ascii="Times New Roman" w:hAnsi="Times New Roman"/>
          <w:sz w:val="22"/>
          <w:szCs w:val="22"/>
        </w:rPr>
        <w:t>In relation to cost-effectiveness</w:t>
      </w:r>
      <w:r w:rsidRPr="00F06896" w:rsidR="00372358">
        <w:rPr>
          <w:rFonts w:ascii="Times New Roman" w:hAnsi="Times New Roman"/>
          <w:sz w:val="22"/>
          <w:szCs w:val="22"/>
        </w:rPr>
        <w:t xml:space="preserve"> in the context of a recommendation through managed access</w:t>
      </w:r>
      <w:r w:rsidRPr="00F06896">
        <w:rPr>
          <w:rFonts w:ascii="Times New Roman" w:hAnsi="Times New Roman"/>
          <w:sz w:val="22"/>
          <w:szCs w:val="22"/>
        </w:rPr>
        <w:t xml:space="preserve">, </w:t>
      </w:r>
      <w:r w:rsidRPr="00F06896" w:rsidR="000D743D">
        <w:rPr>
          <w:rFonts w:ascii="Times New Roman" w:hAnsi="Times New Roman"/>
          <w:sz w:val="22"/>
          <w:szCs w:val="22"/>
        </w:rPr>
        <w:t xml:space="preserve">Eisai was notified by the Associate Director on </w:t>
      </w:r>
      <w:r w:rsidRPr="00F06896" w:rsidR="00CD0D6D">
        <w:rPr>
          <w:rFonts w:ascii="Times New Roman" w:hAnsi="Times New Roman"/>
          <w:sz w:val="22"/>
          <w:szCs w:val="22"/>
        </w:rPr>
        <w:t>17 January 2025</w:t>
      </w:r>
      <w:r w:rsidRPr="00F06896" w:rsidR="000D743D">
        <w:rPr>
          <w:rFonts w:ascii="Times New Roman" w:hAnsi="Times New Roman"/>
          <w:sz w:val="22"/>
          <w:szCs w:val="22"/>
        </w:rPr>
        <w:t xml:space="preserve"> </w:t>
      </w:r>
    </w:p>
    <w:p w:rsidRPr="00F06896" w:rsidR="00917569" w:rsidP="007F0316" w:rsidRDefault="00917569" w14:paraId="72A8D287" w14:textId="2A8CD599">
      <w:pPr>
        <w:ind w:left="1440"/>
        <w:rPr>
          <w:rFonts w:ascii="Times New Roman" w:hAnsi="Times New Roman"/>
          <w:i/>
          <w:iCs/>
          <w:sz w:val="22"/>
          <w:szCs w:val="22"/>
        </w:rPr>
      </w:pPr>
      <w:r w:rsidRPr="00F06896">
        <w:rPr>
          <w:rFonts w:ascii="Times New Roman" w:hAnsi="Times New Roman"/>
          <w:sz w:val="22"/>
          <w:szCs w:val="22"/>
        </w:rPr>
        <w:t>“</w:t>
      </w:r>
      <w:r w:rsidRPr="00F06896">
        <w:rPr>
          <w:rFonts w:ascii="Times New Roman" w:hAnsi="Times New Roman"/>
          <w:i/>
          <w:iCs/>
          <w:sz w:val="22"/>
          <w:szCs w:val="22"/>
        </w:rPr>
        <w:t>If the company base case ICER is less than £30,000 per QALY gained (that is potentially plausibly cost-effective), although the committee might not think the company’s assumptions are the most plausible ones based on the evidence available, this is inherently uncertain in this appraisal. So if it considers that data collected through managed access has the potential to validate the company’s assumptions, then it may make a managed access recommendation.</w:t>
      </w:r>
      <w:r w:rsidRPr="00F06896" w:rsidR="00822E86">
        <w:rPr>
          <w:rFonts w:ascii="Times New Roman" w:hAnsi="Times New Roman"/>
          <w:i/>
          <w:iCs/>
          <w:sz w:val="22"/>
          <w:szCs w:val="22"/>
        </w:rPr>
        <w:t>”</w:t>
      </w:r>
    </w:p>
    <w:p w:rsidR="00B61C36" w:rsidP="00B61C36" w:rsidRDefault="00B61C36" w14:paraId="430C0514" w14:textId="77777777">
      <w:pPr>
        <w:rPr>
          <w:rFonts w:ascii="Times New Roman" w:hAnsi="Times New Roman"/>
          <w:sz w:val="22"/>
          <w:szCs w:val="22"/>
        </w:rPr>
      </w:pPr>
    </w:p>
    <w:p w:rsidR="002A50C8" w:rsidP="00B61C36" w:rsidRDefault="0030708C" w14:paraId="294E49D5" w14:textId="2B7926C7">
      <w:pPr>
        <w:rPr>
          <w:rFonts w:ascii="Times New Roman" w:hAnsi="Times New Roman"/>
          <w:sz w:val="22"/>
          <w:szCs w:val="22"/>
        </w:rPr>
      </w:pPr>
      <w:r w:rsidRPr="00F06896">
        <w:rPr>
          <w:rFonts w:ascii="Times New Roman" w:hAnsi="Times New Roman"/>
          <w:sz w:val="22"/>
          <w:szCs w:val="22"/>
        </w:rPr>
        <w:t>Eisai’s updated base case submitted in response to consultation on the second Draft Guidance is £29,706, therefore within the bracket identified by NICE as suitable for managed access.</w:t>
      </w:r>
      <w:r w:rsidRPr="00F06896" w:rsidR="002F0CDC">
        <w:rPr>
          <w:rFonts w:ascii="Times New Roman" w:hAnsi="Times New Roman"/>
          <w:sz w:val="22"/>
          <w:szCs w:val="22"/>
        </w:rPr>
        <w:t xml:space="preserve"> However, following ACM3, the Committee determined an ICER threshold of £20,000 per QALY gained, as set out at paragraph 3.28 of the FDG.  No explanation for a change in the applicable ICER threshold was provided by NICE or the Committee and Ei</w:t>
      </w:r>
      <w:r w:rsidRPr="00F06896" w:rsidR="00C373BD">
        <w:rPr>
          <w:rFonts w:ascii="Times New Roman" w:hAnsi="Times New Roman"/>
          <w:sz w:val="22"/>
          <w:szCs w:val="22"/>
        </w:rPr>
        <w:t>sai</w:t>
      </w:r>
      <w:r w:rsidRPr="00F06896" w:rsidR="002F0CDC">
        <w:rPr>
          <w:rFonts w:ascii="Times New Roman" w:hAnsi="Times New Roman"/>
          <w:sz w:val="22"/>
          <w:szCs w:val="22"/>
        </w:rPr>
        <w:t xml:space="preserve"> is aware of no evidential basis </w:t>
      </w:r>
      <w:r w:rsidR="00A751AF">
        <w:rPr>
          <w:rFonts w:ascii="Times New Roman" w:hAnsi="Times New Roman"/>
          <w:sz w:val="22"/>
          <w:szCs w:val="22"/>
        </w:rPr>
        <w:t>in this appraisal</w:t>
      </w:r>
      <w:r w:rsidRPr="00F06896" w:rsidR="002F0CDC">
        <w:rPr>
          <w:rFonts w:ascii="Times New Roman" w:hAnsi="Times New Roman"/>
          <w:sz w:val="22"/>
          <w:szCs w:val="22"/>
        </w:rPr>
        <w:t xml:space="preserve"> justifying such a change. </w:t>
      </w:r>
      <w:r w:rsidRPr="00F06896" w:rsidR="009C1C98">
        <w:rPr>
          <w:rFonts w:ascii="Times New Roman" w:hAnsi="Times New Roman"/>
          <w:sz w:val="22"/>
          <w:szCs w:val="22"/>
        </w:rPr>
        <w:t xml:space="preserve">In circumstances where Eisai’s base case </w:t>
      </w:r>
      <w:r w:rsidRPr="00F06896" w:rsidR="00AB7869">
        <w:rPr>
          <w:rFonts w:ascii="Times New Roman" w:hAnsi="Times New Roman"/>
          <w:sz w:val="22"/>
          <w:szCs w:val="22"/>
        </w:rPr>
        <w:t xml:space="preserve">ICER </w:t>
      </w:r>
      <w:r w:rsidRPr="00F06896" w:rsidR="009C1C98">
        <w:rPr>
          <w:rFonts w:ascii="Times New Roman" w:hAnsi="Times New Roman"/>
          <w:sz w:val="22"/>
          <w:szCs w:val="22"/>
        </w:rPr>
        <w:t xml:space="preserve">for lecanemab is cost-effective in accordance with the threshold initially set by NICE, </w:t>
      </w:r>
      <w:r w:rsidRPr="00F06896" w:rsidR="00AB7869">
        <w:rPr>
          <w:rFonts w:ascii="Times New Roman" w:hAnsi="Times New Roman"/>
          <w:sz w:val="22"/>
          <w:szCs w:val="22"/>
        </w:rPr>
        <w:t xml:space="preserve">a change in the threshold without new evidence and without explanation to exclude managed access is procedurally unfair. </w:t>
      </w:r>
      <w:r w:rsidRPr="00F06896" w:rsidR="002F0CDC">
        <w:rPr>
          <w:rFonts w:ascii="Times New Roman" w:hAnsi="Times New Roman"/>
          <w:sz w:val="22"/>
          <w:szCs w:val="22"/>
        </w:rPr>
        <w:t xml:space="preserve">  </w:t>
      </w:r>
    </w:p>
    <w:p w:rsidRPr="00F06896" w:rsidR="00660453" w:rsidP="007F0316" w:rsidRDefault="00660453" w14:paraId="6234F8C9" w14:textId="77777777">
      <w:pPr>
        <w:ind w:left="1080"/>
        <w:rPr>
          <w:rFonts w:ascii="Times New Roman" w:hAnsi="Times New Roman"/>
          <w:sz w:val="22"/>
          <w:szCs w:val="22"/>
        </w:rPr>
      </w:pPr>
    </w:p>
    <w:p w:rsidRPr="00F06896" w:rsidR="00DC5A71" w:rsidP="00660453" w:rsidRDefault="001956DD" w14:paraId="241D3211" w14:textId="6F110683">
      <w:pPr>
        <w:rPr>
          <w:rFonts w:ascii="Times New Roman" w:hAnsi="Times New Roman"/>
          <w:sz w:val="22"/>
          <w:szCs w:val="22"/>
        </w:rPr>
      </w:pPr>
      <w:r w:rsidRPr="00F06896">
        <w:rPr>
          <w:rFonts w:ascii="Times New Roman" w:hAnsi="Times New Roman"/>
          <w:sz w:val="22"/>
          <w:szCs w:val="22"/>
        </w:rPr>
        <w:t xml:space="preserve">In summary therefore, </w:t>
      </w:r>
      <w:r w:rsidRPr="00F06896" w:rsidR="00DB730D">
        <w:rPr>
          <w:rFonts w:ascii="Times New Roman" w:hAnsi="Times New Roman"/>
          <w:sz w:val="22"/>
          <w:szCs w:val="22"/>
        </w:rPr>
        <w:t xml:space="preserve">the assessment at </w:t>
      </w:r>
      <w:r w:rsidRPr="00F06896">
        <w:rPr>
          <w:rFonts w:ascii="Times New Roman" w:hAnsi="Times New Roman"/>
          <w:sz w:val="22"/>
          <w:szCs w:val="22"/>
        </w:rPr>
        <w:t>paragraph 3.29 of the FDG, read together with paragraph 1,</w:t>
      </w:r>
      <w:r w:rsidRPr="00F06896" w:rsidR="00DB730D">
        <w:rPr>
          <w:rFonts w:ascii="Times New Roman" w:hAnsi="Times New Roman"/>
          <w:sz w:val="22"/>
          <w:szCs w:val="22"/>
        </w:rPr>
        <w:t xml:space="preserve"> </w:t>
      </w:r>
      <w:r w:rsidRPr="00F06896" w:rsidR="00E06D9C">
        <w:rPr>
          <w:rFonts w:ascii="Times New Roman" w:hAnsi="Times New Roman"/>
          <w:sz w:val="22"/>
          <w:szCs w:val="22"/>
        </w:rPr>
        <w:t xml:space="preserve">does not reflect </w:t>
      </w:r>
      <w:r w:rsidRPr="00F06896" w:rsidR="00DB730D">
        <w:rPr>
          <w:rFonts w:ascii="Times New Roman" w:hAnsi="Times New Roman"/>
          <w:sz w:val="22"/>
          <w:szCs w:val="22"/>
        </w:rPr>
        <w:t xml:space="preserve">the requirements for consideration of managed access </w:t>
      </w:r>
      <w:r w:rsidRPr="00F06896" w:rsidR="00C86C96">
        <w:rPr>
          <w:rFonts w:ascii="Times New Roman" w:hAnsi="Times New Roman"/>
          <w:sz w:val="22"/>
          <w:szCs w:val="22"/>
        </w:rPr>
        <w:t xml:space="preserve">set out in NICE’s Manual </w:t>
      </w:r>
      <w:r w:rsidRPr="00F06896" w:rsidR="00372358">
        <w:rPr>
          <w:rFonts w:ascii="Times New Roman" w:hAnsi="Times New Roman"/>
          <w:sz w:val="22"/>
          <w:szCs w:val="22"/>
        </w:rPr>
        <w:t xml:space="preserve">or the Innovative Medicines Fund principles document </w:t>
      </w:r>
      <w:r w:rsidRPr="00F06896" w:rsidR="00C86C96">
        <w:rPr>
          <w:rFonts w:ascii="Times New Roman" w:hAnsi="Times New Roman"/>
          <w:sz w:val="22"/>
          <w:szCs w:val="22"/>
        </w:rPr>
        <w:t xml:space="preserve">and is otherwise unfair and/or unreasonable. </w:t>
      </w:r>
      <w:r w:rsidRPr="00F06896" w:rsidR="0044724F">
        <w:rPr>
          <w:rFonts w:ascii="Times New Roman" w:hAnsi="Times New Roman"/>
          <w:sz w:val="22"/>
          <w:szCs w:val="22"/>
        </w:rPr>
        <w:t xml:space="preserve">The introduction of a novel treatment for AD will inevitably be associated with uncertainty </w:t>
      </w:r>
      <w:r w:rsidRPr="00F06896" w:rsidR="004D58D7">
        <w:rPr>
          <w:rFonts w:ascii="Times New Roman" w:hAnsi="Times New Roman"/>
          <w:sz w:val="22"/>
          <w:szCs w:val="22"/>
        </w:rPr>
        <w:t xml:space="preserve">which </w:t>
      </w:r>
      <w:r w:rsidRPr="00F06896" w:rsidR="00B340D7">
        <w:rPr>
          <w:rFonts w:ascii="Times New Roman" w:hAnsi="Times New Roman"/>
          <w:sz w:val="22"/>
          <w:szCs w:val="22"/>
        </w:rPr>
        <w:t>can largely be addressed through a period of recommendation with manage</w:t>
      </w:r>
      <w:r w:rsidRPr="00F06896" w:rsidR="00EA2323">
        <w:rPr>
          <w:rFonts w:ascii="Times New Roman" w:hAnsi="Times New Roman"/>
          <w:sz w:val="22"/>
          <w:szCs w:val="22"/>
        </w:rPr>
        <w:t>d</w:t>
      </w:r>
      <w:r w:rsidRPr="00F06896" w:rsidR="00B340D7">
        <w:rPr>
          <w:rFonts w:ascii="Times New Roman" w:hAnsi="Times New Roman"/>
          <w:sz w:val="22"/>
          <w:szCs w:val="22"/>
        </w:rPr>
        <w:t xml:space="preserve"> access. </w:t>
      </w:r>
      <w:r w:rsidRPr="00F06896" w:rsidR="007E4B10">
        <w:rPr>
          <w:rFonts w:ascii="Times New Roman" w:hAnsi="Times New Roman"/>
          <w:sz w:val="22"/>
          <w:szCs w:val="22"/>
        </w:rPr>
        <w:t>That is clearly the</w:t>
      </w:r>
      <w:r w:rsidRPr="00F06896" w:rsidR="0075637C">
        <w:rPr>
          <w:rFonts w:ascii="Times New Roman" w:hAnsi="Times New Roman"/>
          <w:sz w:val="22"/>
          <w:szCs w:val="22"/>
        </w:rPr>
        <w:t xml:space="preserve"> position with lecanemab</w:t>
      </w:r>
      <w:r w:rsidRPr="00F06896" w:rsidR="00651A3C">
        <w:rPr>
          <w:rFonts w:ascii="Times New Roman" w:hAnsi="Times New Roman"/>
          <w:sz w:val="22"/>
          <w:szCs w:val="22"/>
        </w:rPr>
        <w:t xml:space="preserve"> and</w:t>
      </w:r>
      <w:r w:rsidRPr="00F06896" w:rsidR="00EE6C1F">
        <w:rPr>
          <w:rFonts w:ascii="Times New Roman" w:hAnsi="Times New Roman"/>
          <w:sz w:val="22"/>
          <w:szCs w:val="22"/>
        </w:rPr>
        <w:t xml:space="preserve"> i</w:t>
      </w:r>
      <w:r w:rsidRPr="00F06896" w:rsidR="007A32F6">
        <w:rPr>
          <w:rFonts w:ascii="Times New Roman" w:hAnsi="Times New Roman"/>
          <w:sz w:val="22"/>
          <w:szCs w:val="22"/>
        </w:rPr>
        <w:t xml:space="preserve">t is difficult to envisage a </w:t>
      </w:r>
      <w:r w:rsidRPr="00F06896" w:rsidR="006055BD">
        <w:rPr>
          <w:rFonts w:ascii="Times New Roman" w:hAnsi="Times New Roman"/>
          <w:sz w:val="22"/>
          <w:szCs w:val="22"/>
        </w:rPr>
        <w:t xml:space="preserve">situation where managed access </w:t>
      </w:r>
      <w:r w:rsidRPr="00F06896" w:rsidR="004B6297">
        <w:rPr>
          <w:rFonts w:ascii="Times New Roman" w:hAnsi="Times New Roman"/>
          <w:sz w:val="22"/>
          <w:szCs w:val="22"/>
        </w:rPr>
        <w:t>with generation of real</w:t>
      </w:r>
      <w:r w:rsidRPr="00F06896" w:rsidR="00535BFC">
        <w:rPr>
          <w:rFonts w:ascii="Times New Roman" w:hAnsi="Times New Roman"/>
          <w:sz w:val="22"/>
          <w:szCs w:val="22"/>
        </w:rPr>
        <w:t>-</w:t>
      </w:r>
      <w:r w:rsidRPr="00F06896" w:rsidR="004B6297">
        <w:rPr>
          <w:rFonts w:ascii="Times New Roman" w:hAnsi="Times New Roman"/>
          <w:sz w:val="22"/>
          <w:szCs w:val="22"/>
        </w:rPr>
        <w:t xml:space="preserve">world evidence </w:t>
      </w:r>
      <w:r w:rsidRPr="00F06896" w:rsidR="006055BD">
        <w:rPr>
          <w:rFonts w:ascii="Times New Roman" w:hAnsi="Times New Roman"/>
          <w:sz w:val="22"/>
          <w:szCs w:val="22"/>
        </w:rPr>
        <w:t>is more relevant than the current appraisal.</w:t>
      </w:r>
    </w:p>
    <w:p w:rsidRPr="00F06896" w:rsidR="00D102A2" w:rsidP="007F0316" w:rsidRDefault="00D102A2" w14:paraId="7E7876CD" w14:textId="77777777">
      <w:pPr>
        <w:rPr>
          <w:rFonts w:ascii="Times New Roman" w:hAnsi="Times New Roman"/>
          <w:sz w:val="22"/>
          <w:szCs w:val="22"/>
        </w:rPr>
      </w:pPr>
    </w:p>
    <w:p w:rsidRPr="00F06896" w:rsidR="00183CDC" w:rsidP="007F0316" w:rsidRDefault="00690954" w14:paraId="73887BE1" w14:textId="4465FABF">
      <w:pPr>
        <w:pStyle w:val="ListParagraph"/>
        <w:numPr>
          <w:ilvl w:val="1"/>
          <w:numId w:val="1"/>
        </w:numPr>
        <w:rPr>
          <w:rFonts w:ascii="Times New Roman" w:hAnsi="Times New Roman"/>
          <w:b/>
          <w:bCs/>
          <w:sz w:val="22"/>
          <w:szCs w:val="22"/>
        </w:rPr>
      </w:pPr>
      <w:r w:rsidRPr="00F06896">
        <w:rPr>
          <w:rFonts w:ascii="Times New Roman" w:hAnsi="Times New Roman"/>
          <w:b/>
          <w:bCs/>
          <w:sz w:val="22"/>
          <w:szCs w:val="22"/>
        </w:rPr>
        <w:t>The Committee</w:t>
      </w:r>
      <w:r w:rsidRPr="00F06896" w:rsidR="00FE479D">
        <w:rPr>
          <w:rFonts w:ascii="Times New Roman" w:hAnsi="Times New Roman"/>
          <w:b/>
          <w:bCs/>
          <w:sz w:val="22"/>
          <w:szCs w:val="22"/>
        </w:rPr>
        <w:t xml:space="preserve"> has omitted </w:t>
      </w:r>
      <w:r w:rsidRPr="00F06896" w:rsidR="00923E7F">
        <w:rPr>
          <w:rFonts w:ascii="Times New Roman" w:hAnsi="Times New Roman"/>
          <w:b/>
          <w:bCs/>
          <w:sz w:val="22"/>
          <w:szCs w:val="22"/>
        </w:rPr>
        <w:t xml:space="preserve">consideration of health inequalities </w:t>
      </w:r>
      <w:r w:rsidRPr="00F06896" w:rsidR="00BC4D2C">
        <w:rPr>
          <w:rFonts w:ascii="Times New Roman" w:hAnsi="Times New Roman"/>
          <w:b/>
          <w:bCs/>
          <w:sz w:val="22"/>
          <w:szCs w:val="22"/>
        </w:rPr>
        <w:t>from its</w:t>
      </w:r>
      <w:r w:rsidRPr="00F06896" w:rsidR="006F5C3B">
        <w:rPr>
          <w:rFonts w:ascii="Times New Roman" w:hAnsi="Times New Roman"/>
          <w:b/>
          <w:bCs/>
          <w:sz w:val="22"/>
          <w:szCs w:val="22"/>
        </w:rPr>
        <w:t xml:space="preserve"> consideration of the appropriate ICER threshold for this appraisal </w:t>
      </w:r>
    </w:p>
    <w:p w:rsidR="00660453" w:rsidP="007F0316" w:rsidRDefault="00660453" w14:paraId="1A28CF82" w14:textId="77777777">
      <w:pPr>
        <w:rPr>
          <w:rFonts w:ascii="Times New Roman" w:hAnsi="Times New Roman"/>
          <w:sz w:val="22"/>
          <w:szCs w:val="22"/>
        </w:rPr>
      </w:pPr>
    </w:p>
    <w:p w:rsidR="008A7186" w:rsidP="007F0316" w:rsidRDefault="00F968C5" w14:paraId="46B0D146" w14:textId="253916B4">
      <w:pPr>
        <w:rPr>
          <w:rFonts w:ascii="Times New Roman" w:hAnsi="Times New Roman"/>
          <w:sz w:val="22"/>
          <w:szCs w:val="22"/>
        </w:rPr>
      </w:pPr>
      <w:r w:rsidRPr="00F06896">
        <w:rPr>
          <w:rFonts w:ascii="Times New Roman" w:hAnsi="Times New Roman"/>
          <w:sz w:val="22"/>
          <w:szCs w:val="22"/>
        </w:rPr>
        <w:t>The factors to be taken into account by the Committee when defini</w:t>
      </w:r>
      <w:r w:rsidRPr="00F06896" w:rsidR="00051B5E">
        <w:rPr>
          <w:rFonts w:ascii="Times New Roman" w:hAnsi="Times New Roman"/>
          <w:sz w:val="22"/>
          <w:szCs w:val="22"/>
        </w:rPr>
        <w:t>ng the</w:t>
      </w:r>
      <w:r w:rsidRPr="00F06896" w:rsidR="004A6E49">
        <w:rPr>
          <w:rFonts w:ascii="Times New Roman" w:hAnsi="Times New Roman"/>
          <w:sz w:val="22"/>
          <w:szCs w:val="22"/>
        </w:rPr>
        <w:t xml:space="preserve"> </w:t>
      </w:r>
      <w:r w:rsidRPr="00F06896" w:rsidR="00051B5E">
        <w:rPr>
          <w:rFonts w:ascii="Times New Roman" w:hAnsi="Times New Roman"/>
          <w:sz w:val="22"/>
          <w:szCs w:val="22"/>
        </w:rPr>
        <w:t>ICER threshold for an appraisal are set out a</w:t>
      </w:r>
      <w:r w:rsidRPr="00F06896" w:rsidR="00C57746">
        <w:rPr>
          <w:rFonts w:ascii="Times New Roman" w:hAnsi="Times New Roman"/>
          <w:sz w:val="22"/>
          <w:szCs w:val="22"/>
        </w:rPr>
        <w:t xml:space="preserve">t paragraph 6.3.5 of </w:t>
      </w:r>
      <w:r w:rsidRPr="00F06896" w:rsidR="00051B5E">
        <w:rPr>
          <w:rFonts w:ascii="Times New Roman" w:hAnsi="Times New Roman"/>
          <w:sz w:val="22"/>
          <w:szCs w:val="22"/>
        </w:rPr>
        <w:t xml:space="preserve">NICE’s </w:t>
      </w:r>
      <w:r w:rsidRPr="00F06896" w:rsidR="00C57746">
        <w:rPr>
          <w:rFonts w:ascii="Times New Roman" w:hAnsi="Times New Roman"/>
          <w:sz w:val="22"/>
          <w:szCs w:val="22"/>
        </w:rPr>
        <w:t>Manual</w:t>
      </w:r>
      <w:r w:rsidRPr="00F06896" w:rsidR="003914A2">
        <w:rPr>
          <w:rFonts w:ascii="Times New Roman" w:hAnsi="Times New Roman"/>
          <w:sz w:val="22"/>
          <w:szCs w:val="22"/>
        </w:rPr>
        <w:t>:</w:t>
      </w:r>
    </w:p>
    <w:p w:rsidRPr="00F06896" w:rsidR="001B4C4F" w:rsidP="007F0316" w:rsidRDefault="001B4C4F" w14:paraId="2DEFEAB1" w14:textId="77777777">
      <w:pPr>
        <w:rPr>
          <w:rFonts w:ascii="Times New Roman" w:hAnsi="Times New Roman"/>
          <w:sz w:val="22"/>
          <w:szCs w:val="22"/>
        </w:rPr>
      </w:pPr>
    </w:p>
    <w:p w:rsidR="00051B5E" w:rsidP="007F0316" w:rsidRDefault="00051B5E" w14:paraId="00B46070" w14:textId="1E4D53B9">
      <w:pPr>
        <w:ind w:left="360"/>
        <w:rPr>
          <w:rFonts w:ascii="Times New Roman" w:hAnsi="Times New Roman"/>
          <w:i/>
          <w:iCs/>
          <w:sz w:val="22"/>
          <w:szCs w:val="22"/>
        </w:rPr>
      </w:pPr>
      <w:r w:rsidRPr="00F06896">
        <w:rPr>
          <w:rFonts w:ascii="Times New Roman" w:hAnsi="Times New Roman"/>
          <w:sz w:val="22"/>
          <w:szCs w:val="22"/>
        </w:rPr>
        <w:t>“</w:t>
      </w:r>
      <w:r w:rsidRPr="00F06896">
        <w:rPr>
          <w:rFonts w:ascii="Times New Roman" w:hAnsi="Times New Roman"/>
          <w:i/>
          <w:iCs/>
          <w:sz w:val="22"/>
          <w:szCs w:val="22"/>
        </w:rPr>
        <w:t>6.3.5</w:t>
      </w:r>
      <w:r w:rsidRPr="00F06896">
        <w:rPr>
          <w:rFonts w:ascii="Times New Roman" w:hAnsi="Times New Roman"/>
          <w:i/>
          <w:iCs/>
          <w:sz w:val="22"/>
          <w:szCs w:val="22"/>
        </w:rPr>
        <w:tab/>
      </w:r>
      <w:r w:rsidRPr="00F06896">
        <w:rPr>
          <w:rFonts w:ascii="Times New Roman" w:hAnsi="Times New Roman"/>
          <w:i/>
          <w:iCs/>
          <w:sz w:val="22"/>
          <w:szCs w:val="22"/>
        </w:rPr>
        <w:t xml:space="preserve">Above a most plausible ICER of £20,000 per QALY gained, or £100,000 per QALY gained for highly </w:t>
      </w:r>
      <w:proofErr w:type="spellStart"/>
      <w:r w:rsidRPr="00F06896">
        <w:rPr>
          <w:rFonts w:ascii="Times New Roman" w:hAnsi="Times New Roman"/>
          <w:i/>
          <w:iCs/>
          <w:sz w:val="22"/>
          <w:szCs w:val="22"/>
        </w:rPr>
        <w:t>specialised</w:t>
      </w:r>
      <w:proofErr w:type="spellEnd"/>
      <w:r w:rsidRPr="00F06896">
        <w:rPr>
          <w:rFonts w:ascii="Times New Roman" w:hAnsi="Times New Roman"/>
          <w:i/>
          <w:iCs/>
          <w:sz w:val="22"/>
          <w:szCs w:val="22"/>
        </w:rPr>
        <w:t xml:space="preserve"> technologies, decisions about the acceptability of the technology as an effective use of NHS resources will specifically consider the following factors:</w:t>
      </w:r>
    </w:p>
    <w:p w:rsidRPr="00F06896" w:rsidR="00D102A2" w:rsidP="007F0316" w:rsidRDefault="00D102A2" w14:paraId="3E362F25" w14:textId="77777777">
      <w:pPr>
        <w:ind w:left="360"/>
        <w:rPr>
          <w:rFonts w:ascii="Times New Roman" w:hAnsi="Times New Roman"/>
          <w:i/>
          <w:iCs/>
          <w:sz w:val="22"/>
          <w:szCs w:val="22"/>
        </w:rPr>
      </w:pPr>
    </w:p>
    <w:p w:rsidRPr="00F06896" w:rsidR="00051B5E" w:rsidP="00D161D6" w:rsidRDefault="00051B5E" w14:paraId="22E44CE1" w14:textId="77777777">
      <w:pPr>
        <w:numPr>
          <w:ilvl w:val="0"/>
          <w:numId w:val="9"/>
        </w:numPr>
        <w:tabs>
          <w:tab w:val="clear" w:pos="720"/>
        </w:tabs>
        <w:ind w:left="1080"/>
        <w:rPr>
          <w:rFonts w:ascii="Times New Roman" w:hAnsi="Times New Roman"/>
          <w:i/>
          <w:iCs/>
          <w:sz w:val="22"/>
          <w:szCs w:val="22"/>
        </w:rPr>
      </w:pPr>
      <w:r w:rsidRPr="00F06896">
        <w:rPr>
          <w:rFonts w:ascii="Times New Roman" w:hAnsi="Times New Roman"/>
          <w:i/>
          <w:iCs/>
          <w:sz w:val="22"/>
          <w:szCs w:val="22"/>
        </w:rPr>
        <w:t>the degree of certainty and uncertainty around the ICER</w:t>
      </w:r>
    </w:p>
    <w:p w:rsidRPr="00F06896" w:rsidR="00051B5E" w:rsidP="00D161D6" w:rsidRDefault="00051B5E" w14:paraId="2B662351" w14:textId="77777777">
      <w:pPr>
        <w:numPr>
          <w:ilvl w:val="0"/>
          <w:numId w:val="9"/>
        </w:numPr>
        <w:tabs>
          <w:tab w:val="clear" w:pos="720"/>
        </w:tabs>
        <w:ind w:left="1080"/>
        <w:rPr>
          <w:rFonts w:ascii="Times New Roman" w:hAnsi="Times New Roman"/>
          <w:i/>
          <w:iCs/>
          <w:sz w:val="22"/>
          <w:szCs w:val="22"/>
        </w:rPr>
      </w:pPr>
      <w:r w:rsidRPr="00F06896">
        <w:rPr>
          <w:rFonts w:ascii="Times New Roman" w:hAnsi="Times New Roman"/>
          <w:i/>
          <w:iCs/>
          <w:sz w:val="22"/>
          <w:szCs w:val="22"/>
        </w:rPr>
        <w:t>aspects that relate to uncaptured benefits and non-health factors</w:t>
      </w:r>
    </w:p>
    <w:p w:rsidRPr="00F06896" w:rsidR="00051B5E" w:rsidP="00D161D6" w:rsidRDefault="00051B5E" w14:paraId="086595A9" w14:textId="522753B2">
      <w:pPr>
        <w:numPr>
          <w:ilvl w:val="0"/>
          <w:numId w:val="9"/>
        </w:numPr>
        <w:tabs>
          <w:tab w:val="clear" w:pos="720"/>
        </w:tabs>
        <w:ind w:left="1080"/>
        <w:rPr>
          <w:rFonts w:ascii="Times New Roman" w:hAnsi="Times New Roman"/>
          <w:i/>
          <w:iCs/>
          <w:sz w:val="22"/>
          <w:szCs w:val="22"/>
        </w:rPr>
      </w:pPr>
      <w:r w:rsidRPr="00F06896">
        <w:rPr>
          <w:rFonts w:ascii="Times New Roman" w:hAnsi="Times New Roman"/>
          <w:i/>
          <w:iCs/>
          <w:sz w:val="22"/>
          <w:szCs w:val="22"/>
        </w:rPr>
        <w:t>aspects that relate to health inequalities”.</w:t>
      </w:r>
    </w:p>
    <w:p w:rsidR="00B61C36" w:rsidP="007F0316" w:rsidRDefault="00B61C36" w14:paraId="086EC7E4" w14:textId="77777777">
      <w:pPr>
        <w:rPr>
          <w:rFonts w:ascii="Times New Roman" w:hAnsi="Times New Roman"/>
          <w:sz w:val="22"/>
          <w:szCs w:val="22"/>
        </w:rPr>
      </w:pPr>
    </w:p>
    <w:p w:rsidRPr="00F06896" w:rsidR="00051B5E" w:rsidP="007F0316" w:rsidRDefault="00051B5E" w14:paraId="25446088" w14:textId="3F2BA53C">
      <w:pPr>
        <w:rPr>
          <w:rFonts w:ascii="Times New Roman" w:hAnsi="Times New Roman"/>
          <w:sz w:val="22"/>
          <w:szCs w:val="22"/>
        </w:rPr>
      </w:pPr>
      <w:r w:rsidRPr="00F06896">
        <w:rPr>
          <w:rFonts w:ascii="Times New Roman" w:hAnsi="Times New Roman"/>
          <w:sz w:val="22"/>
          <w:szCs w:val="22"/>
        </w:rPr>
        <w:t xml:space="preserve">The Committee’s consideration of the </w:t>
      </w:r>
      <w:r w:rsidRPr="00F06896" w:rsidR="003F20B7">
        <w:rPr>
          <w:rFonts w:ascii="Times New Roman" w:hAnsi="Times New Roman"/>
          <w:sz w:val="22"/>
          <w:szCs w:val="22"/>
        </w:rPr>
        <w:t xml:space="preserve">ICER threshold in the current appraisal is set out at paragraph </w:t>
      </w:r>
      <w:r w:rsidRPr="00F06896" w:rsidR="00C01885">
        <w:rPr>
          <w:rFonts w:ascii="Times New Roman" w:hAnsi="Times New Roman"/>
          <w:sz w:val="22"/>
          <w:szCs w:val="22"/>
        </w:rPr>
        <w:t xml:space="preserve">3.28 </w:t>
      </w:r>
      <w:r w:rsidRPr="00F06896" w:rsidR="00BC7E5D">
        <w:rPr>
          <w:rFonts w:ascii="Times New Roman" w:hAnsi="Times New Roman"/>
          <w:sz w:val="22"/>
          <w:szCs w:val="22"/>
        </w:rPr>
        <w:t xml:space="preserve">of the FDG. The Committee lists various uncertainties in relation to the data and assumptions </w:t>
      </w:r>
      <w:r w:rsidRPr="00F06896" w:rsidR="008340A8">
        <w:rPr>
          <w:rFonts w:ascii="Times New Roman" w:hAnsi="Times New Roman"/>
          <w:sz w:val="22"/>
          <w:szCs w:val="22"/>
        </w:rPr>
        <w:t>and states:</w:t>
      </w:r>
    </w:p>
    <w:p w:rsidR="008340A8" w:rsidP="007F0316" w:rsidRDefault="008340A8" w14:paraId="687462FF" w14:textId="09A63220">
      <w:pPr>
        <w:ind w:left="720"/>
        <w:rPr>
          <w:rFonts w:ascii="Times New Roman" w:hAnsi="Times New Roman"/>
          <w:sz w:val="22"/>
          <w:szCs w:val="22"/>
        </w:rPr>
      </w:pPr>
      <w:r w:rsidRPr="00F06896">
        <w:rPr>
          <w:rFonts w:ascii="Times New Roman" w:hAnsi="Times New Roman"/>
          <w:sz w:val="22"/>
          <w:szCs w:val="22"/>
        </w:rPr>
        <w:t>“</w:t>
      </w:r>
      <w:r w:rsidRPr="00F06896">
        <w:rPr>
          <w:rFonts w:ascii="Times New Roman" w:hAnsi="Times New Roman"/>
          <w:i/>
          <w:iCs/>
          <w:sz w:val="22"/>
          <w:szCs w:val="22"/>
        </w:rPr>
        <w:t>So, the committee concluded that an acceptable ICER would be around £20,000 per QALY gained. It noted that there are both uncaptured benefits and costs or harms of lecanemab (see section 3.31) so it did not consider that there were strong reasons to change the acceptable ICER from around £20,000 per QALY gained</w:t>
      </w:r>
      <w:r w:rsidRPr="00F06896">
        <w:rPr>
          <w:rFonts w:ascii="Times New Roman" w:hAnsi="Times New Roman"/>
          <w:sz w:val="22"/>
          <w:szCs w:val="22"/>
        </w:rPr>
        <w:t xml:space="preserve">”. </w:t>
      </w:r>
    </w:p>
    <w:p w:rsidRPr="00F06896" w:rsidR="00B61C36" w:rsidP="007F0316" w:rsidRDefault="00B61C36" w14:paraId="50CD48F2" w14:textId="77777777">
      <w:pPr>
        <w:ind w:left="720"/>
        <w:rPr>
          <w:rFonts w:ascii="Times New Roman" w:hAnsi="Times New Roman"/>
          <w:sz w:val="22"/>
          <w:szCs w:val="22"/>
        </w:rPr>
      </w:pPr>
    </w:p>
    <w:p w:rsidR="00BA66D7" w:rsidP="007F0316" w:rsidRDefault="00A649BB" w14:paraId="2EF94B52" w14:textId="0CBA045D">
      <w:pPr>
        <w:rPr>
          <w:rFonts w:ascii="Times New Roman" w:hAnsi="Times New Roman"/>
          <w:sz w:val="22"/>
          <w:szCs w:val="22"/>
        </w:rPr>
      </w:pPr>
      <w:r w:rsidRPr="00F06896">
        <w:rPr>
          <w:rFonts w:ascii="Times New Roman" w:hAnsi="Times New Roman"/>
          <w:sz w:val="22"/>
          <w:szCs w:val="22"/>
        </w:rPr>
        <w:t xml:space="preserve">Eisai considers that the Committee’s conclusions </w:t>
      </w:r>
      <w:r w:rsidRPr="00F06896" w:rsidR="00813823">
        <w:rPr>
          <w:rFonts w:ascii="Times New Roman" w:hAnsi="Times New Roman"/>
          <w:sz w:val="22"/>
          <w:szCs w:val="22"/>
        </w:rPr>
        <w:t xml:space="preserve">on uncaptured benefits and non-health factors are </w:t>
      </w:r>
      <w:r w:rsidRPr="00F06896" w:rsidR="007B147A">
        <w:rPr>
          <w:rFonts w:ascii="Times New Roman" w:hAnsi="Times New Roman"/>
          <w:sz w:val="22"/>
          <w:szCs w:val="22"/>
        </w:rPr>
        <w:t xml:space="preserve">wholly </w:t>
      </w:r>
      <w:r w:rsidRPr="00F06896" w:rsidR="00813823">
        <w:rPr>
          <w:rFonts w:ascii="Times New Roman" w:hAnsi="Times New Roman"/>
          <w:sz w:val="22"/>
          <w:szCs w:val="22"/>
        </w:rPr>
        <w:t>unreasonable. That issue is addressed at appeal point 2.1 below</w:t>
      </w:r>
      <w:r w:rsidRPr="00F06896" w:rsidR="00BA66D7">
        <w:rPr>
          <w:rFonts w:ascii="Times New Roman" w:hAnsi="Times New Roman"/>
          <w:sz w:val="22"/>
          <w:szCs w:val="22"/>
        </w:rPr>
        <w:t xml:space="preserve"> but is also applicable here.</w:t>
      </w:r>
      <w:r w:rsidRPr="00F06896" w:rsidR="00813823">
        <w:rPr>
          <w:rFonts w:ascii="Times New Roman" w:hAnsi="Times New Roman"/>
          <w:sz w:val="22"/>
          <w:szCs w:val="22"/>
        </w:rPr>
        <w:t xml:space="preserve"> </w:t>
      </w:r>
      <w:r w:rsidRPr="00F06896" w:rsidR="00BA66D7">
        <w:rPr>
          <w:rFonts w:ascii="Times New Roman" w:hAnsi="Times New Roman"/>
          <w:sz w:val="22"/>
          <w:szCs w:val="22"/>
        </w:rPr>
        <w:t>However</w:t>
      </w:r>
      <w:r w:rsidRPr="00F06896" w:rsidR="00D50C40">
        <w:rPr>
          <w:rFonts w:ascii="Times New Roman" w:hAnsi="Times New Roman"/>
          <w:sz w:val="22"/>
          <w:szCs w:val="22"/>
        </w:rPr>
        <w:t>, the Committee gives no consideration to</w:t>
      </w:r>
      <w:r w:rsidRPr="00F06896" w:rsidR="00695184">
        <w:rPr>
          <w:rFonts w:ascii="Times New Roman" w:hAnsi="Times New Roman"/>
          <w:sz w:val="22"/>
          <w:szCs w:val="22"/>
        </w:rPr>
        <w:t xml:space="preserve"> aspects that relate to </w:t>
      </w:r>
      <w:r w:rsidRPr="00F06896" w:rsidR="0039044E">
        <w:rPr>
          <w:rFonts w:ascii="Times New Roman" w:hAnsi="Times New Roman"/>
          <w:sz w:val="22"/>
          <w:szCs w:val="22"/>
        </w:rPr>
        <w:t>health inequalities in the context of the ICER threshold, despite the requirement at paragraph 6.3.5 of the Manual.</w:t>
      </w:r>
      <w:r w:rsidRPr="00F06896" w:rsidR="00D50C40">
        <w:rPr>
          <w:rFonts w:ascii="Times New Roman" w:hAnsi="Times New Roman"/>
          <w:sz w:val="22"/>
          <w:szCs w:val="22"/>
        </w:rPr>
        <w:t xml:space="preserve"> </w:t>
      </w:r>
      <w:r w:rsidRPr="00F06896" w:rsidR="00BA66D7">
        <w:rPr>
          <w:rFonts w:ascii="Times New Roman" w:hAnsi="Times New Roman"/>
          <w:sz w:val="22"/>
          <w:szCs w:val="22"/>
        </w:rPr>
        <w:t xml:space="preserve"> </w:t>
      </w:r>
    </w:p>
    <w:p w:rsidRPr="00F06896" w:rsidR="00B61C36" w:rsidP="007F0316" w:rsidRDefault="00B61C36" w14:paraId="01174716" w14:textId="77777777">
      <w:pPr>
        <w:rPr>
          <w:rFonts w:ascii="Times New Roman" w:hAnsi="Times New Roman"/>
          <w:sz w:val="22"/>
          <w:szCs w:val="22"/>
        </w:rPr>
      </w:pPr>
    </w:p>
    <w:p w:rsidR="00806F4B" w:rsidP="007F0316" w:rsidRDefault="00F610F8" w14:paraId="0F059D1F" w14:textId="13C66A64">
      <w:pPr>
        <w:rPr>
          <w:rFonts w:ascii="Times New Roman" w:hAnsi="Times New Roman"/>
          <w:sz w:val="22"/>
          <w:szCs w:val="22"/>
        </w:rPr>
      </w:pPr>
      <w:r w:rsidRPr="00F06896">
        <w:rPr>
          <w:rFonts w:ascii="Times New Roman" w:hAnsi="Times New Roman"/>
          <w:sz w:val="22"/>
          <w:szCs w:val="22"/>
        </w:rPr>
        <w:t xml:space="preserve">People with dementia and their carers face substantial </w:t>
      </w:r>
      <w:r w:rsidRPr="00F06896" w:rsidR="00D507D0">
        <w:rPr>
          <w:rFonts w:ascii="Times New Roman" w:hAnsi="Times New Roman"/>
          <w:sz w:val="22"/>
          <w:szCs w:val="22"/>
        </w:rPr>
        <w:t>health inequalities</w:t>
      </w:r>
      <w:r w:rsidRPr="00F06896" w:rsidR="004D6B06">
        <w:rPr>
          <w:rFonts w:ascii="Times New Roman" w:hAnsi="Times New Roman"/>
          <w:sz w:val="22"/>
          <w:szCs w:val="22"/>
        </w:rPr>
        <w:t xml:space="preserve">. </w:t>
      </w:r>
      <w:r w:rsidRPr="00F06896" w:rsidR="00AB00FB">
        <w:rPr>
          <w:rFonts w:ascii="Times New Roman" w:hAnsi="Times New Roman"/>
          <w:sz w:val="22"/>
          <w:szCs w:val="22"/>
        </w:rPr>
        <w:t xml:space="preserve">As </w:t>
      </w:r>
      <w:r w:rsidRPr="00F06896" w:rsidR="008E4D7C">
        <w:rPr>
          <w:rFonts w:ascii="Times New Roman" w:hAnsi="Times New Roman"/>
          <w:sz w:val="22"/>
          <w:szCs w:val="22"/>
        </w:rPr>
        <w:t xml:space="preserve">explained </w:t>
      </w:r>
      <w:r w:rsidRPr="00F06896" w:rsidR="00AB00FB">
        <w:rPr>
          <w:rFonts w:ascii="Times New Roman" w:hAnsi="Times New Roman"/>
          <w:sz w:val="22"/>
          <w:szCs w:val="22"/>
        </w:rPr>
        <w:t>in Eisai’s initial submission in this appraisal, t</w:t>
      </w:r>
      <w:r w:rsidRPr="00F06896" w:rsidR="00806F4B">
        <w:rPr>
          <w:rFonts w:ascii="Times New Roman" w:hAnsi="Times New Roman"/>
          <w:sz w:val="22"/>
          <w:szCs w:val="22"/>
        </w:rPr>
        <w:t xml:space="preserve">he majority of costs related to dementia care do not fall within healthcare budgets; instead, they often extend beyond traditional healthcare expenditures, including long-term care, social services, caregiver support, and other non-medical expenses that can significantly impact families and society as a whole. </w:t>
      </w:r>
      <w:r w:rsidRPr="00F06896" w:rsidR="00B50762">
        <w:rPr>
          <w:rFonts w:ascii="Times New Roman" w:hAnsi="Times New Roman"/>
          <w:sz w:val="22"/>
          <w:szCs w:val="22"/>
        </w:rPr>
        <w:t xml:space="preserve">The Alzheimer’s Society has indicated that around </w:t>
      </w:r>
      <w:r w:rsidRPr="00F06896" w:rsidR="00806F4B">
        <w:rPr>
          <w:rFonts w:ascii="Times New Roman" w:hAnsi="Times New Roman"/>
          <w:sz w:val="22"/>
          <w:szCs w:val="22"/>
        </w:rPr>
        <w:t xml:space="preserve">£1.7 billion </w:t>
      </w:r>
      <w:r w:rsidRPr="00F06896" w:rsidR="00C31A67">
        <w:rPr>
          <w:rFonts w:ascii="Times New Roman" w:hAnsi="Times New Roman"/>
          <w:sz w:val="22"/>
          <w:szCs w:val="22"/>
        </w:rPr>
        <w:t xml:space="preserve">per year </w:t>
      </w:r>
      <w:r w:rsidRPr="00F06896" w:rsidR="00806F4B">
        <w:rPr>
          <w:rFonts w:ascii="Times New Roman" w:hAnsi="Times New Roman"/>
          <w:sz w:val="22"/>
          <w:szCs w:val="22"/>
        </w:rPr>
        <w:t>is spent by the NHS on dementia versus £22.7 billion spent by social and informal care</w:t>
      </w:r>
      <w:r w:rsidRPr="00F06896" w:rsidR="00C31A67">
        <w:rPr>
          <w:rFonts w:ascii="Times New Roman" w:hAnsi="Times New Roman"/>
          <w:sz w:val="22"/>
          <w:szCs w:val="22"/>
        </w:rPr>
        <w:t>,</w:t>
      </w:r>
      <w:r w:rsidRPr="00F06896" w:rsidR="00806F4B">
        <w:rPr>
          <w:rFonts w:ascii="Times New Roman" w:hAnsi="Times New Roman"/>
          <w:sz w:val="22"/>
          <w:szCs w:val="22"/>
        </w:rPr>
        <w:t xml:space="preserve"> in the form of unpaid care provided by family members and the direct expenses associated with private social care services.</w:t>
      </w:r>
    </w:p>
    <w:p w:rsidRPr="00F06896" w:rsidR="00B61C36" w:rsidP="007F0316" w:rsidRDefault="00B61C36" w14:paraId="538B6E7D" w14:textId="77777777">
      <w:pPr>
        <w:rPr>
          <w:rFonts w:ascii="Times New Roman" w:hAnsi="Times New Roman"/>
          <w:sz w:val="22"/>
          <w:szCs w:val="22"/>
        </w:rPr>
      </w:pPr>
    </w:p>
    <w:p w:rsidR="00FD5911" w:rsidP="007F0316" w:rsidRDefault="004D6B06" w14:paraId="2B484745" w14:textId="3DEC29F0">
      <w:pPr>
        <w:rPr>
          <w:rFonts w:ascii="Times New Roman" w:hAnsi="Times New Roman"/>
          <w:sz w:val="22"/>
          <w:szCs w:val="22"/>
        </w:rPr>
      </w:pPr>
      <w:r w:rsidRPr="00F06896">
        <w:rPr>
          <w:rFonts w:ascii="Times New Roman" w:hAnsi="Times New Roman"/>
          <w:sz w:val="22"/>
          <w:szCs w:val="22"/>
        </w:rPr>
        <w:t>As confirmed in a recent report by the Office for Health Economics</w:t>
      </w:r>
      <w:r w:rsidRPr="00F06896" w:rsidR="00EA65F8">
        <w:rPr>
          <w:rFonts w:ascii="Times New Roman" w:hAnsi="Times New Roman"/>
          <w:sz w:val="22"/>
          <w:szCs w:val="22"/>
        </w:rPr>
        <w:t xml:space="preserve"> (OHE)</w:t>
      </w:r>
      <w:r w:rsidRPr="00F06896" w:rsidR="00F23A81">
        <w:rPr>
          <w:rFonts w:ascii="Times New Roman" w:hAnsi="Times New Roman"/>
          <w:sz w:val="22"/>
          <w:szCs w:val="22"/>
        </w:rPr>
        <w:t xml:space="preserve">, </w:t>
      </w:r>
      <w:r w:rsidRPr="00F06896" w:rsidR="00C34E6C">
        <w:rPr>
          <w:rFonts w:ascii="Times New Roman" w:hAnsi="Times New Roman"/>
          <w:sz w:val="22"/>
          <w:szCs w:val="22"/>
        </w:rPr>
        <w:t xml:space="preserve">dementia is associated with </w:t>
      </w:r>
      <w:r w:rsidRPr="00F06896" w:rsidR="00BC34C3">
        <w:rPr>
          <w:rFonts w:ascii="Times New Roman" w:hAnsi="Times New Roman"/>
          <w:sz w:val="22"/>
          <w:szCs w:val="22"/>
        </w:rPr>
        <w:t xml:space="preserve">health inequalities </w:t>
      </w:r>
      <w:r w:rsidRPr="00F06896" w:rsidR="00F23A81">
        <w:rPr>
          <w:rFonts w:ascii="Times New Roman" w:hAnsi="Times New Roman"/>
          <w:sz w:val="22"/>
          <w:szCs w:val="22"/>
        </w:rPr>
        <w:t>includ</w:t>
      </w:r>
      <w:r w:rsidRPr="00F06896" w:rsidR="00BC34C3">
        <w:rPr>
          <w:rFonts w:ascii="Times New Roman" w:hAnsi="Times New Roman"/>
          <w:sz w:val="22"/>
          <w:szCs w:val="22"/>
        </w:rPr>
        <w:t>ing</w:t>
      </w:r>
      <w:r w:rsidRPr="00F06896" w:rsidR="00F23A81">
        <w:rPr>
          <w:rFonts w:ascii="Times New Roman" w:hAnsi="Times New Roman"/>
          <w:sz w:val="22"/>
          <w:szCs w:val="22"/>
        </w:rPr>
        <w:t xml:space="preserve"> gender, financial pressures, health and well-being, and health system structural issues</w:t>
      </w:r>
      <w:r w:rsidRPr="00F06896" w:rsidR="00EA65F8">
        <w:rPr>
          <w:rFonts w:ascii="Times New Roman" w:hAnsi="Times New Roman"/>
          <w:sz w:val="22"/>
          <w:szCs w:val="22"/>
        </w:rPr>
        <w:t xml:space="preserve">. The OHE found that 41% of informal carers of people living with dementia experience financial difficulties, and around 20% are out of the </w:t>
      </w:r>
      <w:proofErr w:type="spellStart"/>
      <w:r w:rsidRPr="00F06896" w:rsidR="00EA65F8">
        <w:rPr>
          <w:rFonts w:ascii="Times New Roman" w:hAnsi="Times New Roman"/>
          <w:sz w:val="22"/>
          <w:szCs w:val="22"/>
        </w:rPr>
        <w:t>labour</w:t>
      </w:r>
      <w:proofErr w:type="spellEnd"/>
      <w:r w:rsidRPr="00F06896" w:rsidR="00EA65F8">
        <w:rPr>
          <w:rFonts w:ascii="Times New Roman" w:hAnsi="Times New Roman"/>
          <w:sz w:val="22"/>
          <w:szCs w:val="22"/>
        </w:rPr>
        <w:t xml:space="preserve"> force due to caring responsibilities.</w:t>
      </w:r>
      <w:r w:rsidRPr="00F06896">
        <w:rPr>
          <w:rFonts w:ascii="Times New Roman" w:hAnsi="Times New Roman"/>
          <w:sz w:val="22"/>
          <w:szCs w:val="22"/>
        </w:rPr>
        <w:t xml:space="preserve"> </w:t>
      </w:r>
      <w:r w:rsidRPr="00F06896" w:rsidR="009F59C0">
        <w:rPr>
          <w:rFonts w:ascii="Times New Roman" w:hAnsi="Times New Roman"/>
          <w:sz w:val="22"/>
          <w:szCs w:val="22"/>
        </w:rPr>
        <w:t xml:space="preserve"> Any treatment that </w:t>
      </w:r>
      <w:r w:rsidRPr="00F06896" w:rsidR="00C82890">
        <w:rPr>
          <w:rFonts w:ascii="Times New Roman" w:hAnsi="Times New Roman"/>
          <w:sz w:val="22"/>
          <w:szCs w:val="22"/>
        </w:rPr>
        <w:t xml:space="preserve">reduces symptoms associated with early AD </w:t>
      </w:r>
      <w:r w:rsidRPr="00F06896" w:rsidR="003E157B">
        <w:rPr>
          <w:rFonts w:ascii="Times New Roman" w:hAnsi="Times New Roman"/>
          <w:sz w:val="22"/>
          <w:szCs w:val="22"/>
        </w:rPr>
        <w:t xml:space="preserve">or delays the onset of more advanced disease impacts such health inequalities. </w:t>
      </w:r>
    </w:p>
    <w:p w:rsidRPr="00F06896" w:rsidR="00B61C36" w:rsidP="007F0316" w:rsidRDefault="00B61C36" w14:paraId="44117D3F" w14:textId="77777777">
      <w:pPr>
        <w:rPr>
          <w:rFonts w:ascii="Times New Roman" w:hAnsi="Times New Roman"/>
          <w:sz w:val="22"/>
          <w:szCs w:val="22"/>
        </w:rPr>
      </w:pPr>
    </w:p>
    <w:p w:rsidRPr="00F06896" w:rsidR="00AA7FD6" w:rsidP="007F0316" w:rsidRDefault="00481586" w14:paraId="0222CB0A" w14:textId="2811AB17">
      <w:pPr>
        <w:rPr>
          <w:rFonts w:ascii="Times New Roman" w:hAnsi="Times New Roman"/>
          <w:sz w:val="22"/>
          <w:szCs w:val="22"/>
        </w:rPr>
      </w:pPr>
      <w:r w:rsidRPr="00F06896">
        <w:rPr>
          <w:rFonts w:ascii="Times New Roman" w:hAnsi="Times New Roman"/>
          <w:sz w:val="22"/>
          <w:szCs w:val="22"/>
        </w:rPr>
        <w:t>However</w:t>
      </w:r>
      <w:r w:rsidRPr="00F06896" w:rsidR="00A94EFC">
        <w:rPr>
          <w:rFonts w:ascii="Times New Roman" w:hAnsi="Times New Roman"/>
          <w:sz w:val="22"/>
          <w:szCs w:val="22"/>
        </w:rPr>
        <w:t>,</w:t>
      </w:r>
      <w:r w:rsidRPr="00F06896">
        <w:rPr>
          <w:rFonts w:ascii="Times New Roman" w:hAnsi="Times New Roman"/>
          <w:sz w:val="22"/>
          <w:szCs w:val="22"/>
        </w:rPr>
        <w:t xml:space="preserve"> the above factors </w:t>
      </w:r>
      <w:r w:rsidRPr="00F06896" w:rsidR="00B96C4E">
        <w:rPr>
          <w:rFonts w:ascii="Times New Roman" w:hAnsi="Times New Roman"/>
          <w:sz w:val="22"/>
          <w:szCs w:val="22"/>
        </w:rPr>
        <w:t xml:space="preserve">and the potential impact of lecanemab </w:t>
      </w:r>
      <w:r w:rsidRPr="00F06896">
        <w:rPr>
          <w:rFonts w:ascii="Times New Roman" w:hAnsi="Times New Roman"/>
          <w:sz w:val="22"/>
          <w:szCs w:val="22"/>
        </w:rPr>
        <w:t xml:space="preserve">were not considered by the Committee whether in the context of </w:t>
      </w:r>
      <w:r w:rsidRPr="00F06896" w:rsidR="00E7560E">
        <w:rPr>
          <w:rFonts w:ascii="Times New Roman" w:hAnsi="Times New Roman"/>
          <w:sz w:val="22"/>
          <w:szCs w:val="22"/>
        </w:rPr>
        <w:t xml:space="preserve">paragraph 3.28 of the FDG or at all. </w:t>
      </w:r>
      <w:r w:rsidRPr="00F06896" w:rsidR="001B0556">
        <w:rPr>
          <w:rFonts w:ascii="Times New Roman" w:hAnsi="Times New Roman"/>
          <w:sz w:val="22"/>
          <w:szCs w:val="22"/>
        </w:rPr>
        <w:t xml:space="preserve">At paragraph 3.30 of the FDG, the Committee considers health inequalities </w:t>
      </w:r>
      <w:r w:rsidRPr="00F06896" w:rsidR="00AD27F8">
        <w:rPr>
          <w:rFonts w:ascii="Times New Roman" w:hAnsi="Times New Roman"/>
          <w:sz w:val="22"/>
          <w:szCs w:val="22"/>
        </w:rPr>
        <w:t xml:space="preserve">resulting from inadequacies in dementia service delivery </w:t>
      </w:r>
      <w:r w:rsidRPr="00F06896" w:rsidR="007B147A">
        <w:rPr>
          <w:rFonts w:ascii="Times New Roman" w:hAnsi="Times New Roman"/>
          <w:sz w:val="22"/>
          <w:szCs w:val="22"/>
        </w:rPr>
        <w:t xml:space="preserve">in very </w:t>
      </w:r>
      <w:r w:rsidRPr="00F06896" w:rsidR="00AD27F8">
        <w:rPr>
          <w:rFonts w:ascii="Times New Roman" w:hAnsi="Times New Roman"/>
          <w:sz w:val="22"/>
          <w:szCs w:val="22"/>
        </w:rPr>
        <w:t>general</w:t>
      </w:r>
      <w:r w:rsidRPr="00F06896" w:rsidR="007B147A">
        <w:rPr>
          <w:rFonts w:ascii="Times New Roman" w:hAnsi="Times New Roman"/>
          <w:sz w:val="22"/>
          <w:szCs w:val="22"/>
        </w:rPr>
        <w:t xml:space="preserve"> terms</w:t>
      </w:r>
      <w:r w:rsidRPr="00F06896" w:rsidR="00EF7D41">
        <w:rPr>
          <w:rFonts w:ascii="Times New Roman" w:hAnsi="Times New Roman"/>
          <w:sz w:val="22"/>
          <w:szCs w:val="22"/>
        </w:rPr>
        <w:t xml:space="preserve">, </w:t>
      </w:r>
      <w:r w:rsidRPr="00F06896" w:rsidR="007B147A">
        <w:rPr>
          <w:rFonts w:ascii="Times New Roman" w:hAnsi="Times New Roman"/>
          <w:sz w:val="22"/>
          <w:szCs w:val="22"/>
        </w:rPr>
        <w:t xml:space="preserve">and </w:t>
      </w:r>
      <w:r w:rsidRPr="00F06896" w:rsidR="00EF7D41">
        <w:rPr>
          <w:rFonts w:ascii="Times New Roman" w:hAnsi="Times New Roman"/>
          <w:sz w:val="22"/>
          <w:szCs w:val="22"/>
        </w:rPr>
        <w:t xml:space="preserve">concludes that such matters fall outside its remit. </w:t>
      </w:r>
      <w:r w:rsidRPr="00F06896" w:rsidR="000D5DB8">
        <w:rPr>
          <w:rFonts w:ascii="Times New Roman" w:hAnsi="Times New Roman"/>
          <w:sz w:val="22"/>
          <w:szCs w:val="22"/>
        </w:rPr>
        <w:t>It does not consider the health inequalities identified above</w:t>
      </w:r>
      <w:r w:rsidRPr="00F06896" w:rsidR="003C2724">
        <w:rPr>
          <w:rFonts w:ascii="Times New Roman" w:hAnsi="Times New Roman"/>
          <w:sz w:val="22"/>
          <w:szCs w:val="22"/>
        </w:rPr>
        <w:t>, h</w:t>
      </w:r>
      <w:r w:rsidRPr="00F06896" w:rsidR="000D5DB8">
        <w:rPr>
          <w:rFonts w:ascii="Times New Roman" w:hAnsi="Times New Roman"/>
          <w:sz w:val="22"/>
          <w:szCs w:val="22"/>
        </w:rPr>
        <w:t xml:space="preserve">ow these might be impacted by </w:t>
      </w:r>
      <w:r w:rsidRPr="00F06896" w:rsidR="003C2724">
        <w:rPr>
          <w:rFonts w:ascii="Times New Roman" w:hAnsi="Times New Roman"/>
          <w:sz w:val="22"/>
          <w:szCs w:val="22"/>
        </w:rPr>
        <w:t>treatment benefits in early AD</w:t>
      </w:r>
      <w:r w:rsidRPr="00F06896" w:rsidR="004F1BCD">
        <w:rPr>
          <w:rFonts w:ascii="Times New Roman" w:hAnsi="Times New Roman"/>
          <w:sz w:val="22"/>
          <w:szCs w:val="22"/>
        </w:rPr>
        <w:t xml:space="preserve"> or how they should affect </w:t>
      </w:r>
      <w:r w:rsidRPr="00F06896" w:rsidR="00F9295D">
        <w:rPr>
          <w:rFonts w:ascii="Times New Roman" w:hAnsi="Times New Roman"/>
          <w:sz w:val="22"/>
          <w:szCs w:val="22"/>
        </w:rPr>
        <w:t xml:space="preserve">the ICER threshold in the context of the current appraisal.  </w:t>
      </w:r>
      <w:r w:rsidRPr="00F06896" w:rsidR="00AD27F8">
        <w:rPr>
          <w:rFonts w:ascii="Times New Roman" w:hAnsi="Times New Roman"/>
          <w:sz w:val="22"/>
          <w:szCs w:val="22"/>
        </w:rPr>
        <w:t xml:space="preserve"> </w:t>
      </w:r>
    </w:p>
    <w:p w:rsidRPr="00F06896" w:rsidR="00D9021D" w:rsidP="007F0316" w:rsidRDefault="00D9021D" w14:paraId="54005A9E" w14:textId="584EDADF">
      <w:pPr>
        <w:rPr>
          <w:rFonts w:ascii="Times New Roman" w:hAnsi="Times New Roman"/>
          <w:sz w:val="22"/>
          <w:szCs w:val="22"/>
        </w:rPr>
      </w:pPr>
      <w:r w:rsidRPr="00F06896">
        <w:rPr>
          <w:rFonts w:ascii="Times New Roman" w:hAnsi="Times New Roman"/>
          <w:sz w:val="22"/>
          <w:szCs w:val="22"/>
        </w:rPr>
        <w:t xml:space="preserve"> </w:t>
      </w:r>
    </w:p>
    <w:p w:rsidR="00C01DFE" w:rsidP="007F0316" w:rsidRDefault="00315CFF" w14:paraId="6BF55B54" w14:textId="122D56B7">
      <w:pPr>
        <w:rPr>
          <w:rFonts w:ascii="Times New Roman" w:hAnsi="Times New Roman"/>
          <w:b/>
          <w:bCs/>
          <w:sz w:val="22"/>
          <w:szCs w:val="22"/>
        </w:rPr>
      </w:pPr>
      <w:r w:rsidRPr="00F06896">
        <w:rPr>
          <w:rFonts w:ascii="Times New Roman" w:hAnsi="Times New Roman"/>
          <w:b/>
          <w:bCs/>
          <w:sz w:val="22"/>
          <w:szCs w:val="22"/>
        </w:rPr>
        <w:t xml:space="preserve">GROUND 1b; </w:t>
      </w:r>
      <w:r w:rsidRPr="00F06896" w:rsidR="0045022C">
        <w:rPr>
          <w:rFonts w:ascii="Times New Roman" w:hAnsi="Times New Roman"/>
          <w:b/>
          <w:bCs/>
          <w:sz w:val="22"/>
          <w:szCs w:val="22"/>
        </w:rPr>
        <w:t>IN MAKING THE ASSESSMENT THAT PRECEDED THE RECOMMENDATION, NICE HAS EXCEEDED ITS POWERS</w:t>
      </w:r>
    </w:p>
    <w:p w:rsidRPr="00F06896" w:rsidR="00B61C36" w:rsidP="007F0316" w:rsidRDefault="00B61C36" w14:paraId="5C9B56C3" w14:textId="77777777">
      <w:pPr>
        <w:rPr>
          <w:rFonts w:ascii="Times New Roman" w:hAnsi="Times New Roman"/>
          <w:b/>
          <w:bCs/>
          <w:sz w:val="22"/>
          <w:szCs w:val="22"/>
        </w:rPr>
      </w:pPr>
    </w:p>
    <w:p w:rsidR="00C01DFE" w:rsidP="007F0316" w:rsidRDefault="00C01DFE" w14:paraId="729DF143" w14:textId="6E9A2E2C">
      <w:pPr>
        <w:pStyle w:val="ListParagraph"/>
        <w:numPr>
          <w:ilvl w:val="1"/>
          <w:numId w:val="1"/>
        </w:numPr>
        <w:rPr>
          <w:rFonts w:ascii="Times New Roman" w:hAnsi="Times New Roman"/>
          <w:b/>
          <w:bCs/>
          <w:sz w:val="22"/>
          <w:szCs w:val="22"/>
        </w:rPr>
      </w:pPr>
      <w:r w:rsidRPr="00F06896">
        <w:rPr>
          <w:rFonts w:ascii="Times New Roman" w:hAnsi="Times New Roman"/>
          <w:b/>
          <w:bCs/>
          <w:sz w:val="22"/>
          <w:szCs w:val="22"/>
        </w:rPr>
        <w:t xml:space="preserve">The Committee has concluded that the changes in NHS service delivery that would be required to implement lecanemab therapy </w:t>
      </w:r>
      <w:r w:rsidRPr="00F06896" w:rsidR="00F62690">
        <w:rPr>
          <w:rFonts w:ascii="Times New Roman" w:hAnsi="Times New Roman"/>
          <w:b/>
          <w:bCs/>
          <w:sz w:val="22"/>
          <w:szCs w:val="22"/>
        </w:rPr>
        <w:t xml:space="preserve">should </w:t>
      </w:r>
      <w:r w:rsidRPr="00F06896">
        <w:rPr>
          <w:rFonts w:ascii="Times New Roman" w:hAnsi="Times New Roman"/>
          <w:b/>
          <w:bCs/>
          <w:sz w:val="22"/>
          <w:szCs w:val="22"/>
        </w:rPr>
        <w:t xml:space="preserve">preclude access, outside its remit and without conducting an adequate investigation </w:t>
      </w:r>
    </w:p>
    <w:p w:rsidRPr="00F06896" w:rsidR="00B61C36" w:rsidP="00B61C36" w:rsidRDefault="00B61C36" w14:paraId="4889DE1F" w14:textId="77777777">
      <w:pPr>
        <w:pStyle w:val="ListParagraph"/>
        <w:ind w:left="792"/>
        <w:rPr>
          <w:rFonts w:ascii="Times New Roman" w:hAnsi="Times New Roman"/>
          <w:b/>
          <w:bCs/>
          <w:sz w:val="22"/>
          <w:szCs w:val="22"/>
        </w:rPr>
      </w:pPr>
    </w:p>
    <w:p w:rsidR="00E74758" w:rsidP="007F0316" w:rsidRDefault="00C01DFE" w14:paraId="28BCF995" w14:textId="2CE434F6">
      <w:pPr>
        <w:rPr>
          <w:rFonts w:ascii="Times New Roman" w:hAnsi="Times New Roman"/>
          <w:sz w:val="22"/>
          <w:szCs w:val="22"/>
        </w:rPr>
      </w:pPr>
      <w:r w:rsidRPr="00F06896">
        <w:rPr>
          <w:rFonts w:ascii="Times New Roman" w:hAnsi="Times New Roman"/>
          <w:sz w:val="22"/>
          <w:szCs w:val="22"/>
        </w:rPr>
        <w:t xml:space="preserve">The FDG refers repeatedly to challenges with diagnosis of MCI and mild AD and to inconsistencies in provision of dementia services (including compliance with NICE Guidelines) and that introduction of new treatments for AD would require changes to existing diagnostic pathways – e.g. paragraphs 3.2, 3.4, 3.28, 3.32. </w:t>
      </w:r>
    </w:p>
    <w:p w:rsidRPr="00F06896" w:rsidR="00B61C36" w:rsidP="007F0316" w:rsidRDefault="00B61C36" w14:paraId="68E3E2AF" w14:textId="77777777">
      <w:pPr>
        <w:rPr>
          <w:rFonts w:ascii="Times New Roman" w:hAnsi="Times New Roman"/>
          <w:sz w:val="22"/>
          <w:szCs w:val="22"/>
        </w:rPr>
      </w:pPr>
    </w:p>
    <w:p w:rsidR="00C01DFE" w:rsidP="007F0316" w:rsidRDefault="00C01DFE" w14:paraId="303D7E11" w14:textId="49D09C08">
      <w:pPr>
        <w:rPr>
          <w:rFonts w:ascii="Times New Roman" w:hAnsi="Times New Roman"/>
          <w:sz w:val="22"/>
          <w:szCs w:val="22"/>
        </w:rPr>
      </w:pPr>
      <w:r w:rsidRPr="00F06896">
        <w:rPr>
          <w:rFonts w:ascii="Times New Roman" w:hAnsi="Times New Roman"/>
          <w:sz w:val="22"/>
          <w:szCs w:val="22"/>
        </w:rPr>
        <w:t>The Committee refers at paragraph 3.31 to a “</w:t>
      </w:r>
      <w:r w:rsidRPr="00F06896">
        <w:rPr>
          <w:rFonts w:ascii="Times New Roman" w:hAnsi="Times New Roman"/>
          <w:i/>
          <w:iCs/>
          <w:sz w:val="22"/>
          <w:szCs w:val="22"/>
        </w:rPr>
        <w:t>significant increase in demand for NHS primary and secondary care services</w:t>
      </w:r>
      <w:r w:rsidRPr="00F06896">
        <w:rPr>
          <w:rFonts w:ascii="Times New Roman" w:hAnsi="Times New Roman"/>
          <w:sz w:val="22"/>
          <w:szCs w:val="22"/>
        </w:rPr>
        <w:t>” and “</w:t>
      </w:r>
      <w:r w:rsidRPr="00F06896">
        <w:rPr>
          <w:rFonts w:ascii="Times New Roman" w:hAnsi="Times New Roman"/>
          <w:i/>
          <w:iCs/>
          <w:sz w:val="22"/>
          <w:szCs w:val="22"/>
        </w:rPr>
        <w:t>substantial investment in infrastructure and training for NHS care pathways to be redesigned to accommodate new treatments</w:t>
      </w:r>
      <w:r w:rsidRPr="00F06896">
        <w:rPr>
          <w:rFonts w:ascii="Times New Roman" w:hAnsi="Times New Roman"/>
          <w:sz w:val="22"/>
          <w:szCs w:val="22"/>
        </w:rPr>
        <w:t>” (not limited to lecanemab) as potential harms of lecanemab and includes “</w:t>
      </w:r>
      <w:r w:rsidRPr="00F06896">
        <w:rPr>
          <w:rFonts w:ascii="Times New Roman" w:hAnsi="Times New Roman"/>
          <w:i/>
          <w:iCs/>
          <w:sz w:val="22"/>
          <w:szCs w:val="22"/>
        </w:rPr>
        <w:t>the substantial resources the NHS would need to commit to implement access to lecanemab</w:t>
      </w:r>
      <w:r w:rsidRPr="00F06896">
        <w:rPr>
          <w:rFonts w:ascii="Times New Roman" w:hAnsi="Times New Roman"/>
          <w:sz w:val="22"/>
          <w:szCs w:val="22"/>
        </w:rPr>
        <w:t>” as a reason for not recommending treatment at paragraph 3.31.  This is despite stating at paragraph 3.30</w:t>
      </w:r>
      <w:r w:rsidRPr="00F06896" w:rsidR="007F25F4">
        <w:rPr>
          <w:rFonts w:ascii="Times New Roman" w:hAnsi="Times New Roman"/>
          <w:sz w:val="22"/>
          <w:szCs w:val="22"/>
        </w:rPr>
        <w:t>:</w:t>
      </w:r>
      <w:r w:rsidRPr="00F06896">
        <w:rPr>
          <w:rFonts w:ascii="Times New Roman" w:hAnsi="Times New Roman"/>
          <w:sz w:val="22"/>
          <w:szCs w:val="22"/>
        </w:rPr>
        <w:t xml:space="preserve"> </w:t>
      </w:r>
    </w:p>
    <w:p w:rsidRPr="00F06896" w:rsidR="001E340F" w:rsidP="007F0316" w:rsidRDefault="001E340F" w14:paraId="34DD6EC7" w14:textId="77777777">
      <w:pPr>
        <w:rPr>
          <w:rFonts w:ascii="Times New Roman" w:hAnsi="Times New Roman"/>
          <w:sz w:val="22"/>
          <w:szCs w:val="22"/>
        </w:rPr>
      </w:pPr>
    </w:p>
    <w:p w:rsidR="00C01DFE" w:rsidP="007F0316" w:rsidRDefault="00C01DFE" w14:paraId="421A2D37" w14:textId="3A51C047">
      <w:pPr>
        <w:ind w:left="720"/>
        <w:rPr>
          <w:rFonts w:ascii="Times New Roman" w:hAnsi="Times New Roman"/>
          <w:sz w:val="22"/>
          <w:szCs w:val="22"/>
        </w:rPr>
      </w:pPr>
      <w:r w:rsidRPr="00F06896">
        <w:rPr>
          <w:rFonts w:ascii="Times New Roman" w:hAnsi="Times New Roman"/>
          <w:sz w:val="22"/>
          <w:szCs w:val="22"/>
        </w:rPr>
        <w:t>“</w:t>
      </w:r>
      <w:r w:rsidRPr="00F06896">
        <w:rPr>
          <w:rFonts w:ascii="Times New Roman" w:hAnsi="Times New Roman"/>
          <w:i/>
          <w:iCs/>
          <w:sz w:val="22"/>
          <w:szCs w:val="22"/>
        </w:rPr>
        <w:t>The committee noted the concerns raised with getting a diagnosis, accessing care in a new and complex pathway, and substantial demand on NHS services. It understood these concerns but noted that they were outside of its remit”</w:t>
      </w:r>
      <w:r w:rsidRPr="00F06896" w:rsidR="007F25F4">
        <w:rPr>
          <w:rFonts w:ascii="Times New Roman" w:hAnsi="Times New Roman"/>
          <w:i/>
          <w:iCs/>
          <w:sz w:val="22"/>
          <w:szCs w:val="22"/>
        </w:rPr>
        <w:t>.</w:t>
      </w:r>
      <w:r w:rsidRPr="00F06896">
        <w:rPr>
          <w:rFonts w:ascii="Times New Roman" w:hAnsi="Times New Roman"/>
          <w:sz w:val="22"/>
          <w:szCs w:val="22"/>
        </w:rPr>
        <w:t xml:space="preserve"> </w:t>
      </w:r>
    </w:p>
    <w:p w:rsidRPr="00F06896" w:rsidR="00B61C36" w:rsidP="007F0316" w:rsidRDefault="00B61C36" w14:paraId="7EA46D9F" w14:textId="77777777">
      <w:pPr>
        <w:ind w:left="720"/>
        <w:rPr>
          <w:rFonts w:ascii="Times New Roman" w:hAnsi="Times New Roman"/>
          <w:sz w:val="22"/>
          <w:szCs w:val="22"/>
        </w:rPr>
      </w:pPr>
    </w:p>
    <w:p w:rsidR="00C01DFE" w:rsidP="007F0316" w:rsidRDefault="00C01DFE" w14:paraId="0145650F" w14:textId="62FEB080">
      <w:pPr>
        <w:rPr>
          <w:rFonts w:ascii="Times New Roman" w:hAnsi="Times New Roman"/>
          <w:sz w:val="22"/>
          <w:szCs w:val="22"/>
        </w:rPr>
      </w:pPr>
      <w:r w:rsidRPr="00F06896">
        <w:rPr>
          <w:rFonts w:ascii="Times New Roman" w:hAnsi="Times New Roman"/>
          <w:sz w:val="22"/>
          <w:szCs w:val="22"/>
        </w:rPr>
        <w:t xml:space="preserve">The Committee provides no explanation of its investigation of the service changes the NHS would need to implement for patients to be able to access lecanemab, what such changes </w:t>
      </w:r>
      <w:r w:rsidRPr="00F06896" w:rsidR="007F25F4">
        <w:rPr>
          <w:rFonts w:ascii="Times New Roman" w:hAnsi="Times New Roman"/>
          <w:sz w:val="22"/>
          <w:szCs w:val="22"/>
        </w:rPr>
        <w:t xml:space="preserve">would </w:t>
      </w:r>
      <w:r w:rsidRPr="00F06896">
        <w:rPr>
          <w:rFonts w:ascii="Times New Roman" w:hAnsi="Times New Roman"/>
          <w:sz w:val="22"/>
          <w:szCs w:val="22"/>
        </w:rPr>
        <w:t>comprise or why they would be needed. In these circumstances it is impossible to assess the validity of the concerns expressed. Furthermore, so far as it is possible to tell from the FDG and consistent with the Committee’s statement at paragraph 3.30, referenced above, many of the service changes that would be required are not specific to lecanemab, but relate to improvements in AD services more generally. These matters should not act as a barrier to access to new treatments for AD including</w:t>
      </w:r>
      <w:r w:rsidRPr="00F06896" w:rsidR="0042067A">
        <w:rPr>
          <w:rFonts w:ascii="Times New Roman" w:hAnsi="Times New Roman"/>
          <w:sz w:val="22"/>
          <w:szCs w:val="22"/>
        </w:rPr>
        <w:t>,</w:t>
      </w:r>
      <w:r w:rsidRPr="00F06896">
        <w:rPr>
          <w:rFonts w:ascii="Times New Roman" w:hAnsi="Times New Roman"/>
          <w:sz w:val="22"/>
          <w:szCs w:val="22"/>
        </w:rPr>
        <w:t xml:space="preserve"> but not limited to</w:t>
      </w:r>
      <w:r w:rsidRPr="00F06896" w:rsidR="0042067A">
        <w:rPr>
          <w:rFonts w:ascii="Times New Roman" w:hAnsi="Times New Roman"/>
          <w:sz w:val="22"/>
          <w:szCs w:val="22"/>
        </w:rPr>
        <w:t>,</w:t>
      </w:r>
      <w:r w:rsidRPr="00F06896">
        <w:rPr>
          <w:rFonts w:ascii="Times New Roman" w:hAnsi="Times New Roman"/>
          <w:sz w:val="22"/>
          <w:szCs w:val="22"/>
        </w:rPr>
        <w:t xml:space="preserve"> lecanemab.</w:t>
      </w:r>
    </w:p>
    <w:p w:rsidRPr="00F06896" w:rsidR="00B61C36" w:rsidP="007F0316" w:rsidRDefault="00B61C36" w14:paraId="142F6039" w14:textId="77777777">
      <w:pPr>
        <w:rPr>
          <w:rFonts w:ascii="Times New Roman" w:hAnsi="Times New Roman"/>
          <w:sz w:val="22"/>
          <w:szCs w:val="22"/>
        </w:rPr>
      </w:pPr>
    </w:p>
    <w:p w:rsidR="00C01DFE" w:rsidP="007F0316" w:rsidRDefault="00C01DFE" w14:paraId="42091CAD" w14:textId="2C0B511B">
      <w:pPr>
        <w:rPr>
          <w:rFonts w:ascii="Times New Roman" w:hAnsi="Times New Roman"/>
          <w:sz w:val="22"/>
          <w:szCs w:val="22"/>
        </w:rPr>
      </w:pPr>
      <w:r w:rsidRPr="00F06896">
        <w:rPr>
          <w:rFonts w:ascii="Times New Roman" w:hAnsi="Times New Roman"/>
          <w:sz w:val="22"/>
          <w:szCs w:val="22"/>
        </w:rPr>
        <w:t>In summary, while the Committee has referred to necessary investment in NHS service provision as a reason not to recommend use of lecanemab, the poor quality of AD services in parts of the country, including inadequate provision for AD diagnosis</w:t>
      </w:r>
      <w:r w:rsidRPr="00F06896" w:rsidR="0042067A">
        <w:rPr>
          <w:rFonts w:ascii="Times New Roman" w:hAnsi="Times New Roman"/>
          <w:sz w:val="22"/>
          <w:szCs w:val="22"/>
        </w:rPr>
        <w:t>,</w:t>
      </w:r>
      <w:r w:rsidRPr="00F06896">
        <w:rPr>
          <w:rFonts w:ascii="Times New Roman" w:hAnsi="Times New Roman"/>
          <w:sz w:val="22"/>
          <w:szCs w:val="22"/>
        </w:rPr>
        <w:t xml:space="preserve"> is a matter outside </w:t>
      </w:r>
      <w:r w:rsidRPr="00F06896" w:rsidR="0042067A">
        <w:rPr>
          <w:rFonts w:ascii="Times New Roman" w:hAnsi="Times New Roman"/>
          <w:sz w:val="22"/>
          <w:szCs w:val="22"/>
        </w:rPr>
        <w:t xml:space="preserve">the Committee’s </w:t>
      </w:r>
      <w:r w:rsidRPr="00F06896">
        <w:rPr>
          <w:rFonts w:ascii="Times New Roman" w:hAnsi="Times New Roman"/>
          <w:sz w:val="22"/>
          <w:szCs w:val="22"/>
        </w:rPr>
        <w:t>remit.  Furthermore, the Committee has not explained its assessment of the service changes that would be required</w:t>
      </w:r>
      <w:r w:rsidRPr="00F06896" w:rsidR="00C253DD">
        <w:rPr>
          <w:rFonts w:ascii="Times New Roman" w:hAnsi="Times New Roman"/>
          <w:sz w:val="22"/>
          <w:szCs w:val="22"/>
        </w:rPr>
        <w:t>,</w:t>
      </w:r>
      <w:r w:rsidRPr="00F06896">
        <w:rPr>
          <w:rFonts w:ascii="Times New Roman" w:hAnsi="Times New Roman"/>
          <w:sz w:val="22"/>
          <w:szCs w:val="22"/>
        </w:rPr>
        <w:t xml:space="preserve"> so the conclusions reached lack transparency and cannot be understood and tested.   </w:t>
      </w:r>
    </w:p>
    <w:p w:rsidRPr="00F06896" w:rsidR="00B61C36" w:rsidP="007F0316" w:rsidRDefault="00B61C36" w14:paraId="0E760734" w14:textId="77777777">
      <w:pPr>
        <w:rPr>
          <w:rFonts w:ascii="Times New Roman" w:hAnsi="Times New Roman"/>
          <w:sz w:val="22"/>
          <w:szCs w:val="22"/>
        </w:rPr>
      </w:pPr>
    </w:p>
    <w:p w:rsidRPr="00F06896" w:rsidR="000B0BD3" w:rsidP="007F0316" w:rsidRDefault="000B0BD3" w14:paraId="4453D544" w14:textId="77777777">
      <w:pPr>
        <w:pStyle w:val="ListParagraph"/>
        <w:numPr>
          <w:ilvl w:val="0"/>
          <w:numId w:val="1"/>
        </w:numPr>
        <w:rPr>
          <w:rFonts w:ascii="Times New Roman" w:hAnsi="Times New Roman"/>
          <w:sz w:val="22"/>
          <w:szCs w:val="22"/>
        </w:rPr>
      </w:pPr>
      <w:r w:rsidRPr="00F06896">
        <w:rPr>
          <w:rFonts w:ascii="Times New Roman" w:hAnsi="Times New Roman"/>
          <w:b/>
          <w:sz w:val="22"/>
          <w:szCs w:val="22"/>
        </w:rPr>
        <w:t>GROUND 2: THE RECOMMENDATION IS UNREASONABLE IN THE LIGHT OF THE EVIDENCE SUBMITTED TO NICE</w:t>
      </w:r>
    </w:p>
    <w:p w:rsidRPr="00F06896" w:rsidR="000B0BD3" w:rsidP="007F0316" w:rsidRDefault="000B0BD3" w14:paraId="359F88E7" w14:textId="77777777">
      <w:pPr>
        <w:rPr>
          <w:rFonts w:ascii="Times New Roman" w:hAnsi="Times New Roman"/>
          <w:sz w:val="22"/>
          <w:szCs w:val="22"/>
          <w:u w:val="single"/>
        </w:rPr>
      </w:pPr>
    </w:p>
    <w:p w:rsidR="000E05EA" w:rsidP="007F0316" w:rsidRDefault="000E05EA" w14:paraId="220BE970" w14:textId="1CF8B7CE">
      <w:pPr>
        <w:pStyle w:val="ListParagraph"/>
        <w:numPr>
          <w:ilvl w:val="1"/>
          <w:numId w:val="1"/>
        </w:numPr>
        <w:rPr>
          <w:rFonts w:ascii="Times New Roman" w:hAnsi="Times New Roman"/>
          <w:b/>
          <w:bCs/>
          <w:sz w:val="22"/>
          <w:szCs w:val="22"/>
        </w:rPr>
      </w:pPr>
      <w:r w:rsidRPr="00F06896">
        <w:rPr>
          <w:rFonts w:ascii="Times New Roman" w:hAnsi="Times New Roman"/>
          <w:b/>
          <w:bCs/>
          <w:sz w:val="22"/>
          <w:szCs w:val="22"/>
        </w:rPr>
        <w:t>The Committee’s assessment of utility values for carers does not reflect the balance of the available evidence</w:t>
      </w:r>
    </w:p>
    <w:p w:rsidRPr="00F06896" w:rsidR="00B61C36" w:rsidP="00B61C36" w:rsidRDefault="00B61C36" w14:paraId="33B82594" w14:textId="77777777">
      <w:pPr>
        <w:pStyle w:val="ListParagraph"/>
        <w:ind w:left="792"/>
        <w:rPr>
          <w:rFonts w:ascii="Times New Roman" w:hAnsi="Times New Roman"/>
          <w:b/>
          <w:bCs/>
          <w:sz w:val="22"/>
          <w:szCs w:val="22"/>
        </w:rPr>
      </w:pPr>
    </w:p>
    <w:p w:rsidR="000E05EA" w:rsidP="00B61C36" w:rsidRDefault="000E05EA" w14:paraId="020A54EE" w14:textId="77777777">
      <w:pPr>
        <w:rPr>
          <w:rFonts w:ascii="Times New Roman" w:hAnsi="Times New Roman"/>
          <w:sz w:val="22"/>
          <w:szCs w:val="22"/>
        </w:rPr>
      </w:pPr>
      <w:r w:rsidRPr="00F06896">
        <w:rPr>
          <w:rFonts w:ascii="Times New Roman" w:hAnsi="Times New Roman"/>
          <w:sz w:val="22"/>
          <w:szCs w:val="22"/>
        </w:rPr>
        <w:t>At paragraph 3.25, the Committee considers the approach to carer utilities to be included in the economic model:</w:t>
      </w:r>
    </w:p>
    <w:p w:rsidRPr="00F06896" w:rsidR="002D7232" w:rsidP="00B61C36" w:rsidRDefault="002D7232" w14:paraId="423C2B3B" w14:textId="77777777">
      <w:pPr>
        <w:rPr>
          <w:rFonts w:ascii="Times New Roman" w:hAnsi="Times New Roman"/>
          <w:sz w:val="22"/>
          <w:szCs w:val="22"/>
        </w:rPr>
      </w:pPr>
    </w:p>
    <w:p w:rsidR="000E05EA" w:rsidP="00B61C36" w:rsidRDefault="000E05EA" w14:paraId="16B9B5FD" w14:textId="06CF476D">
      <w:pPr>
        <w:ind w:left="360"/>
        <w:rPr>
          <w:rFonts w:ascii="Times New Roman" w:hAnsi="Times New Roman"/>
          <w:i/>
          <w:iCs/>
          <w:sz w:val="22"/>
          <w:szCs w:val="22"/>
        </w:rPr>
      </w:pPr>
      <w:r w:rsidRPr="00F06896">
        <w:rPr>
          <w:rFonts w:ascii="Times New Roman" w:hAnsi="Times New Roman"/>
          <w:sz w:val="22"/>
          <w:szCs w:val="22"/>
        </w:rPr>
        <w:t>“</w:t>
      </w:r>
      <w:r w:rsidRPr="00F06896">
        <w:rPr>
          <w:rFonts w:ascii="Times New Roman" w:hAnsi="Times New Roman"/>
          <w:i/>
          <w:iCs/>
          <w:sz w:val="22"/>
          <w:szCs w:val="22"/>
        </w:rPr>
        <w:t>The committee noted that its preferred approach in the evaluation of donanemab for treating MCI or mild dementia caused by Alzheimer's disease was to use 1.8 carers and utility values from the GERAS study [which measured EQ</w:t>
      </w:r>
      <w:r w:rsidRPr="00F06896" w:rsidR="00F06CD8">
        <w:rPr>
          <w:rFonts w:ascii="Times New Roman" w:hAnsi="Times New Roman"/>
          <w:i/>
          <w:iCs/>
          <w:sz w:val="22"/>
          <w:szCs w:val="22"/>
        </w:rPr>
        <w:t>-</w:t>
      </w:r>
      <w:r w:rsidRPr="00F06896">
        <w:rPr>
          <w:rFonts w:ascii="Times New Roman" w:hAnsi="Times New Roman"/>
          <w:i/>
          <w:iCs/>
          <w:sz w:val="22"/>
          <w:szCs w:val="22"/>
        </w:rPr>
        <w:t>5D]. It noted that GERAS was a large study giving UK-relevant estimates and appeared reasonable”.</w:t>
      </w:r>
    </w:p>
    <w:p w:rsidRPr="00F06896" w:rsidR="00B61C36" w:rsidP="00B61C36" w:rsidRDefault="00B61C36" w14:paraId="10E1E4C5" w14:textId="77777777">
      <w:pPr>
        <w:ind w:left="360"/>
        <w:rPr>
          <w:rFonts w:ascii="Times New Roman" w:hAnsi="Times New Roman"/>
          <w:i/>
          <w:iCs/>
          <w:sz w:val="22"/>
          <w:szCs w:val="22"/>
        </w:rPr>
      </w:pPr>
    </w:p>
    <w:p w:rsidR="000528D3" w:rsidP="00B61C36" w:rsidRDefault="000528D3" w14:paraId="39AEFA19" w14:textId="4D781DDD">
      <w:pPr>
        <w:rPr>
          <w:rFonts w:ascii="Times New Roman" w:hAnsi="Times New Roman"/>
          <w:sz w:val="22"/>
          <w:szCs w:val="22"/>
        </w:rPr>
      </w:pPr>
      <w:r w:rsidRPr="00F06896">
        <w:rPr>
          <w:rFonts w:ascii="Times New Roman" w:hAnsi="Times New Roman"/>
          <w:sz w:val="22"/>
          <w:szCs w:val="22"/>
        </w:rPr>
        <w:t>However</w:t>
      </w:r>
      <w:r w:rsidRPr="00F06896" w:rsidR="007D6E78">
        <w:rPr>
          <w:rFonts w:ascii="Times New Roman" w:hAnsi="Times New Roman"/>
          <w:sz w:val="22"/>
          <w:szCs w:val="22"/>
        </w:rPr>
        <w:t>,</w:t>
      </w:r>
      <w:r w:rsidRPr="00F06896">
        <w:rPr>
          <w:rFonts w:ascii="Times New Roman" w:hAnsi="Times New Roman"/>
          <w:sz w:val="22"/>
          <w:szCs w:val="22"/>
        </w:rPr>
        <w:t xml:space="preserve"> in reaching this conclusion, the Committee has failed to take into account the substantial evidence indicating that EQ</w:t>
      </w:r>
      <w:r w:rsidRPr="00F06896" w:rsidR="007D6E78">
        <w:rPr>
          <w:rFonts w:ascii="Times New Roman" w:hAnsi="Times New Roman"/>
          <w:sz w:val="22"/>
          <w:szCs w:val="22"/>
        </w:rPr>
        <w:t>-</w:t>
      </w:r>
      <w:r w:rsidRPr="00F06896">
        <w:rPr>
          <w:rFonts w:ascii="Times New Roman" w:hAnsi="Times New Roman"/>
          <w:sz w:val="22"/>
          <w:szCs w:val="22"/>
        </w:rPr>
        <w:t>5D underestimates health</w:t>
      </w:r>
      <w:r w:rsidRPr="00F06896" w:rsidR="007D6E78">
        <w:rPr>
          <w:rFonts w:ascii="Times New Roman" w:hAnsi="Times New Roman"/>
          <w:sz w:val="22"/>
          <w:szCs w:val="22"/>
        </w:rPr>
        <w:t>-</w:t>
      </w:r>
      <w:r w:rsidRPr="00F06896">
        <w:rPr>
          <w:rFonts w:ascii="Times New Roman" w:hAnsi="Times New Roman"/>
          <w:sz w:val="22"/>
          <w:szCs w:val="22"/>
        </w:rPr>
        <w:t xml:space="preserve">related quality of life </w:t>
      </w:r>
      <w:r w:rsidRPr="00F06896" w:rsidR="00CC0B2B">
        <w:rPr>
          <w:rFonts w:ascii="Times New Roman" w:hAnsi="Times New Roman"/>
          <w:sz w:val="22"/>
          <w:szCs w:val="22"/>
        </w:rPr>
        <w:t>(H</w:t>
      </w:r>
      <w:r w:rsidRPr="00F06896" w:rsidR="007D6E78">
        <w:rPr>
          <w:rFonts w:ascii="Times New Roman" w:hAnsi="Times New Roman"/>
          <w:sz w:val="22"/>
          <w:szCs w:val="22"/>
        </w:rPr>
        <w:t>R</w:t>
      </w:r>
      <w:r w:rsidRPr="00F06896" w:rsidR="00CC0B2B">
        <w:rPr>
          <w:rFonts w:ascii="Times New Roman" w:hAnsi="Times New Roman"/>
          <w:sz w:val="22"/>
          <w:szCs w:val="22"/>
        </w:rPr>
        <w:t xml:space="preserve">QoL) </w:t>
      </w:r>
      <w:r w:rsidRPr="00F06896">
        <w:rPr>
          <w:rFonts w:ascii="Times New Roman" w:hAnsi="Times New Roman"/>
          <w:sz w:val="22"/>
          <w:szCs w:val="22"/>
        </w:rPr>
        <w:t>in carers for people with AD, including:</w:t>
      </w:r>
    </w:p>
    <w:p w:rsidRPr="00F06896" w:rsidR="008E4233" w:rsidP="00B61C36" w:rsidRDefault="008E4233" w14:paraId="6E3618AC" w14:textId="77777777">
      <w:pPr>
        <w:rPr>
          <w:rFonts w:ascii="Times New Roman" w:hAnsi="Times New Roman"/>
          <w:sz w:val="22"/>
          <w:szCs w:val="22"/>
        </w:rPr>
      </w:pPr>
    </w:p>
    <w:p w:rsidRPr="00F06896" w:rsidR="000528D3" w:rsidP="00B61C36" w:rsidRDefault="000528D3" w14:paraId="3A68B29A" w14:textId="6DAB1A68">
      <w:pPr>
        <w:pStyle w:val="ListParagraph"/>
        <w:numPr>
          <w:ilvl w:val="0"/>
          <w:numId w:val="16"/>
        </w:numPr>
        <w:ind w:left="720"/>
        <w:rPr>
          <w:rFonts w:ascii="Times New Roman" w:hAnsi="Times New Roman"/>
          <w:sz w:val="22"/>
          <w:szCs w:val="22"/>
        </w:rPr>
      </w:pPr>
      <w:r w:rsidRPr="00F06896">
        <w:rPr>
          <w:rFonts w:ascii="Times New Roman" w:hAnsi="Times New Roman"/>
          <w:sz w:val="22"/>
          <w:szCs w:val="22"/>
        </w:rPr>
        <w:t xml:space="preserve">Reed et al. (2017) </w:t>
      </w:r>
      <w:r w:rsidRPr="00F06896" w:rsidR="00372358">
        <w:rPr>
          <w:rFonts w:ascii="Times New Roman" w:hAnsi="Times New Roman"/>
          <w:sz w:val="22"/>
          <w:szCs w:val="22"/>
        </w:rPr>
        <w:t xml:space="preserve">where the authors of the GERAS study </w:t>
      </w:r>
      <w:r w:rsidRPr="00F06896">
        <w:rPr>
          <w:rFonts w:ascii="Times New Roman" w:hAnsi="Times New Roman"/>
          <w:sz w:val="22"/>
          <w:szCs w:val="22"/>
        </w:rPr>
        <w:t xml:space="preserve">note that EQ-5D-5L focuses on physical health and </w:t>
      </w:r>
      <w:r w:rsidRPr="00F06896" w:rsidR="00372358">
        <w:rPr>
          <w:rFonts w:ascii="Times New Roman" w:hAnsi="Times New Roman"/>
          <w:sz w:val="22"/>
          <w:szCs w:val="22"/>
        </w:rPr>
        <w:t xml:space="preserve">conclude that this tool </w:t>
      </w:r>
      <w:r w:rsidRPr="00F06896">
        <w:rPr>
          <w:rFonts w:ascii="Times New Roman" w:hAnsi="Times New Roman"/>
          <w:sz w:val="22"/>
          <w:szCs w:val="22"/>
        </w:rPr>
        <w:t xml:space="preserve">therefore </w:t>
      </w:r>
      <w:r w:rsidRPr="00F06896" w:rsidR="00372358">
        <w:rPr>
          <w:rFonts w:ascii="Times New Roman" w:hAnsi="Times New Roman"/>
          <w:sz w:val="22"/>
          <w:szCs w:val="22"/>
        </w:rPr>
        <w:t xml:space="preserve">appears to </w:t>
      </w:r>
      <w:r w:rsidRPr="00F06896">
        <w:rPr>
          <w:rFonts w:ascii="Times New Roman" w:hAnsi="Times New Roman"/>
          <w:sz w:val="22"/>
          <w:szCs w:val="22"/>
        </w:rPr>
        <w:t>be a suboptimal measure of the QoL of carers of people with AD</w:t>
      </w:r>
      <w:r w:rsidRPr="00F06896" w:rsidR="0A1A89F6">
        <w:rPr>
          <w:rFonts w:ascii="Times New Roman" w:hAnsi="Times New Roman"/>
          <w:sz w:val="22"/>
          <w:szCs w:val="22"/>
        </w:rPr>
        <w:t>.</w:t>
      </w:r>
    </w:p>
    <w:p w:rsidRPr="00B61C36" w:rsidR="000528D3" w:rsidP="00B61C36" w:rsidRDefault="000528D3" w14:paraId="2609BEFB" w14:textId="1C17A047">
      <w:pPr>
        <w:pStyle w:val="ListParagraph"/>
        <w:numPr>
          <w:ilvl w:val="0"/>
          <w:numId w:val="16"/>
        </w:numPr>
        <w:ind w:left="720"/>
        <w:rPr>
          <w:rFonts w:ascii="Times New Roman" w:hAnsi="Times New Roman"/>
          <w:b/>
          <w:bCs/>
          <w:sz w:val="22"/>
          <w:szCs w:val="22"/>
        </w:rPr>
      </w:pPr>
      <w:r w:rsidRPr="00F06896">
        <w:rPr>
          <w:rFonts w:ascii="Times New Roman" w:hAnsi="Times New Roman"/>
          <w:sz w:val="22"/>
          <w:szCs w:val="22"/>
        </w:rPr>
        <w:t>The results from Clarity AD where the Zarit Burden Interview (ZBI) showed a statistically significant 38.5% lower decline for caregivers of patients treated with lecanemab compared to placebo, whereas the EQ-5D showed only an approximately 10% mean difference versus placebo.</w:t>
      </w:r>
    </w:p>
    <w:p w:rsidRPr="00F06896" w:rsidR="00B61C36" w:rsidP="00B61C36" w:rsidRDefault="00B61C36" w14:paraId="2CD65538" w14:textId="77777777">
      <w:pPr>
        <w:pStyle w:val="ListParagraph"/>
        <w:rPr>
          <w:rFonts w:ascii="Times New Roman" w:hAnsi="Times New Roman"/>
          <w:b/>
          <w:bCs/>
          <w:sz w:val="22"/>
          <w:szCs w:val="22"/>
        </w:rPr>
      </w:pPr>
    </w:p>
    <w:p w:rsidR="000528D3" w:rsidP="00B61C36" w:rsidRDefault="000528D3" w14:paraId="2FB311BA" w14:textId="669AA058">
      <w:pPr>
        <w:rPr>
          <w:rFonts w:ascii="Times New Roman" w:hAnsi="Times New Roman"/>
          <w:sz w:val="22"/>
          <w:szCs w:val="22"/>
        </w:rPr>
      </w:pPr>
      <w:r w:rsidRPr="00F06896">
        <w:rPr>
          <w:rFonts w:ascii="Times New Roman" w:hAnsi="Times New Roman"/>
          <w:sz w:val="22"/>
          <w:szCs w:val="22"/>
        </w:rPr>
        <w:t>In addition</w:t>
      </w:r>
      <w:r w:rsidRPr="00F06896" w:rsidR="007D6E78">
        <w:rPr>
          <w:rFonts w:ascii="Times New Roman" w:hAnsi="Times New Roman"/>
          <w:sz w:val="22"/>
          <w:szCs w:val="22"/>
        </w:rPr>
        <w:t>,</w:t>
      </w:r>
      <w:r w:rsidRPr="00F06896">
        <w:rPr>
          <w:rFonts w:ascii="Times New Roman" w:hAnsi="Times New Roman"/>
          <w:sz w:val="22"/>
          <w:szCs w:val="22"/>
        </w:rPr>
        <w:t xml:space="preserve"> the Committee has provided no reasons for rejecting the findings of the vignette study conducted for the purposes of the appraisal of donanema</w:t>
      </w:r>
      <w:r w:rsidRPr="00F06896" w:rsidR="00CC0B2B">
        <w:rPr>
          <w:rFonts w:ascii="Times New Roman" w:hAnsi="Times New Roman"/>
          <w:sz w:val="22"/>
          <w:szCs w:val="22"/>
        </w:rPr>
        <w:t>b.  It has provided no reasons for preferring the GERAS study, which used the EQ</w:t>
      </w:r>
      <w:r w:rsidRPr="00F06896" w:rsidR="007D6E78">
        <w:rPr>
          <w:rFonts w:ascii="Times New Roman" w:hAnsi="Times New Roman"/>
          <w:sz w:val="22"/>
          <w:szCs w:val="22"/>
        </w:rPr>
        <w:t>-</w:t>
      </w:r>
      <w:r w:rsidRPr="00F06896" w:rsidR="00CC0B2B">
        <w:rPr>
          <w:rFonts w:ascii="Times New Roman" w:hAnsi="Times New Roman"/>
          <w:sz w:val="22"/>
          <w:szCs w:val="22"/>
        </w:rPr>
        <w:t xml:space="preserve">5D, despite the evidence raising concerns about is reliability and suitability in this context </w:t>
      </w:r>
      <w:r w:rsidRPr="00F06896" w:rsidR="00372358">
        <w:rPr>
          <w:rFonts w:ascii="Times New Roman" w:hAnsi="Times New Roman"/>
          <w:sz w:val="22"/>
          <w:szCs w:val="22"/>
        </w:rPr>
        <w:t xml:space="preserve">(including the conclusions of its own authors) </w:t>
      </w:r>
      <w:r w:rsidRPr="00F06896" w:rsidR="00CC0B2B">
        <w:rPr>
          <w:rFonts w:ascii="Times New Roman" w:hAnsi="Times New Roman"/>
          <w:sz w:val="22"/>
          <w:szCs w:val="22"/>
        </w:rPr>
        <w:t>and concerns raised by Eisai, other stakeholders (including the Alzheimer’s Society) and the EAG</w:t>
      </w:r>
      <w:r w:rsidRPr="00F06896" w:rsidR="00EB5B06">
        <w:rPr>
          <w:rFonts w:ascii="Times New Roman" w:hAnsi="Times New Roman"/>
          <w:sz w:val="22"/>
          <w:szCs w:val="22"/>
        </w:rPr>
        <w:t xml:space="preserve">. </w:t>
      </w:r>
      <w:r w:rsidRPr="00F06896" w:rsidR="00CC0B2B">
        <w:rPr>
          <w:rFonts w:ascii="Times New Roman" w:hAnsi="Times New Roman"/>
          <w:sz w:val="22"/>
          <w:szCs w:val="22"/>
        </w:rPr>
        <w:t>The Committee’s only justification appears to be that any inadequacy present in the EQ</w:t>
      </w:r>
      <w:r w:rsidRPr="00F06896" w:rsidR="00E85EBE">
        <w:rPr>
          <w:rFonts w:ascii="Times New Roman" w:hAnsi="Times New Roman"/>
          <w:sz w:val="22"/>
          <w:szCs w:val="22"/>
        </w:rPr>
        <w:t>-</w:t>
      </w:r>
      <w:r w:rsidRPr="00F06896" w:rsidR="00CC0B2B">
        <w:rPr>
          <w:rFonts w:ascii="Times New Roman" w:hAnsi="Times New Roman"/>
          <w:sz w:val="22"/>
          <w:szCs w:val="22"/>
        </w:rPr>
        <w:t>5D is balanced by the fact that carer utilities are multiplied by 1.8 – even though as this factor reflects the burden on carers of patients with mild AD it is no answer to the requirement to use the most suitable H</w:t>
      </w:r>
      <w:r w:rsidRPr="00F06896" w:rsidR="00E85EBE">
        <w:rPr>
          <w:rFonts w:ascii="Times New Roman" w:hAnsi="Times New Roman"/>
          <w:sz w:val="22"/>
          <w:szCs w:val="22"/>
        </w:rPr>
        <w:t>R</w:t>
      </w:r>
      <w:r w:rsidRPr="00F06896" w:rsidR="00CC0B2B">
        <w:rPr>
          <w:rFonts w:ascii="Times New Roman" w:hAnsi="Times New Roman"/>
          <w:sz w:val="22"/>
          <w:szCs w:val="22"/>
        </w:rPr>
        <w:t xml:space="preserve">QoL measure.  </w:t>
      </w:r>
    </w:p>
    <w:p w:rsidRPr="00F06896" w:rsidR="00B61C36" w:rsidP="00B61C36" w:rsidRDefault="00B61C36" w14:paraId="734E73A9" w14:textId="77777777">
      <w:pPr>
        <w:rPr>
          <w:rFonts w:ascii="Times New Roman" w:hAnsi="Times New Roman"/>
          <w:sz w:val="22"/>
          <w:szCs w:val="22"/>
        </w:rPr>
      </w:pPr>
    </w:p>
    <w:p w:rsidRPr="00F06896" w:rsidR="00CC0B2B" w:rsidP="00B61C36" w:rsidRDefault="00CC0B2B" w14:paraId="1036AD7D" w14:textId="6F6B2FB8">
      <w:pPr>
        <w:rPr>
          <w:rFonts w:ascii="Times New Roman" w:hAnsi="Times New Roman"/>
          <w:sz w:val="22"/>
          <w:szCs w:val="22"/>
        </w:rPr>
      </w:pPr>
      <w:r w:rsidRPr="00F06896">
        <w:rPr>
          <w:rFonts w:ascii="Times New Roman" w:hAnsi="Times New Roman"/>
          <w:sz w:val="22"/>
          <w:szCs w:val="22"/>
        </w:rPr>
        <w:t>Overall, the Committee’s conclusions in relation to carer utilities do not reflect the available data indicating the inadequacies of EQ</w:t>
      </w:r>
      <w:r w:rsidRPr="00F06896" w:rsidR="009C46D4">
        <w:rPr>
          <w:rFonts w:ascii="Times New Roman" w:hAnsi="Times New Roman"/>
          <w:sz w:val="22"/>
          <w:szCs w:val="22"/>
        </w:rPr>
        <w:t>-</w:t>
      </w:r>
      <w:r w:rsidRPr="00F06896">
        <w:rPr>
          <w:rFonts w:ascii="Times New Roman" w:hAnsi="Times New Roman"/>
          <w:sz w:val="22"/>
          <w:szCs w:val="22"/>
        </w:rPr>
        <w:t>5D in this context and are therefore unreasonable.</w:t>
      </w:r>
    </w:p>
    <w:p w:rsidRPr="00F06896" w:rsidR="001A3F52" w:rsidP="007F0316" w:rsidRDefault="001A3F52" w14:paraId="646049AA" w14:textId="77777777">
      <w:pPr>
        <w:ind w:left="360"/>
        <w:rPr>
          <w:rFonts w:ascii="Times New Roman" w:hAnsi="Times New Roman"/>
          <w:sz w:val="22"/>
          <w:szCs w:val="22"/>
        </w:rPr>
      </w:pPr>
    </w:p>
    <w:p w:rsidR="00372358" w:rsidP="007F0316" w:rsidRDefault="00372358" w14:paraId="4A88E9F3" w14:textId="19C8D2A4">
      <w:pPr>
        <w:pStyle w:val="ListParagraph"/>
        <w:numPr>
          <w:ilvl w:val="1"/>
          <w:numId w:val="1"/>
        </w:numPr>
        <w:rPr>
          <w:rFonts w:ascii="Times New Roman" w:hAnsi="Times New Roman"/>
          <w:b/>
          <w:bCs/>
          <w:sz w:val="22"/>
          <w:szCs w:val="22"/>
        </w:rPr>
      </w:pPr>
      <w:r w:rsidRPr="00F06896">
        <w:rPr>
          <w:rFonts w:ascii="Times New Roman" w:hAnsi="Times New Roman"/>
          <w:b/>
          <w:bCs/>
          <w:sz w:val="22"/>
          <w:szCs w:val="22"/>
        </w:rPr>
        <w:t>The Committee’s conclusion that the benefits of lecanemab are “small” is subjective, rather than scientific</w:t>
      </w:r>
      <w:r w:rsidRPr="00F06896" w:rsidR="00F9302B">
        <w:rPr>
          <w:rFonts w:ascii="Times New Roman" w:hAnsi="Times New Roman"/>
          <w:b/>
          <w:bCs/>
          <w:sz w:val="22"/>
          <w:szCs w:val="22"/>
        </w:rPr>
        <w:t>,</w:t>
      </w:r>
      <w:r w:rsidRPr="00F06896">
        <w:rPr>
          <w:rFonts w:ascii="Times New Roman" w:hAnsi="Times New Roman"/>
          <w:b/>
          <w:bCs/>
          <w:sz w:val="22"/>
          <w:szCs w:val="22"/>
        </w:rPr>
        <w:t xml:space="preserve"> and unreasonable</w:t>
      </w:r>
    </w:p>
    <w:p w:rsidRPr="00F06896" w:rsidR="00B61C36" w:rsidP="00B61C36" w:rsidRDefault="00B61C36" w14:paraId="4C6381D1" w14:textId="77777777">
      <w:pPr>
        <w:pStyle w:val="ListParagraph"/>
        <w:ind w:left="792"/>
        <w:rPr>
          <w:rFonts w:ascii="Times New Roman" w:hAnsi="Times New Roman"/>
          <w:b/>
          <w:bCs/>
          <w:sz w:val="22"/>
          <w:szCs w:val="22"/>
        </w:rPr>
      </w:pPr>
    </w:p>
    <w:p w:rsidR="00372358" w:rsidP="00B61C36" w:rsidRDefault="00372358" w14:paraId="4478EB84" w14:textId="504C736B">
      <w:pPr>
        <w:rPr>
          <w:rFonts w:ascii="Times New Roman" w:hAnsi="Times New Roman"/>
          <w:sz w:val="22"/>
          <w:szCs w:val="22"/>
        </w:rPr>
      </w:pPr>
      <w:r w:rsidRPr="00F06896">
        <w:rPr>
          <w:rFonts w:ascii="Times New Roman" w:hAnsi="Times New Roman"/>
          <w:sz w:val="22"/>
          <w:szCs w:val="22"/>
        </w:rPr>
        <w:t>At various points in the FDG, the Committee asserts that the benefits of lecanemab are “small” even though it accepts at paragraph 3.8 that “lecanemab had a clinically significant treatment effect”.</w:t>
      </w:r>
    </w:p>
    <w:p w:rsidRPr="00F06896" w:rsidR="00B61C36" w:rsidP="00B61C36" w:rsidRDefault="00B61C36" w14:paraId="662F505D" w14:textId="77777777">
      <w:pPr>
        <w:rPr>
          <w:rFonts w:ascii="Times New Roman" w:hAnsi="Times New Roman"/>
          <w:sz w:val="22"/>
          <w:szCs w:val="22"/>
        </w:rPr>
      </w:pPr>
    </w:p>
    <w:p w:rsidRPr="00F06896" w:rsidR="00372358" w:rsidP="00B61C36" w:rsidRDefault="00372358" w14:paraId="09625AC0" w14:textId="504570F6">
      <w:pPr>
        <w:rPr>
          <w:rFonts w:ascii="Times New Roman" w:hAnsi="Times New Roman"/>
          <w:sz w:val="22"/>
          <w:szCs w:val="22"/>
        </w:rPr>
      </w:pPr>
      <w:r w:rsidRPr="00F06896">
        <w:rPr>
          <w:rFonts w:ascii="Times New Roman" w:hAnsi="Times New Roman"/>
          <w:sz w:val="22"/>
          <w:szCs w:val="22"/>
        </w:rPr>
        <w:t>However</w:t>
      </w:r>
      <w:r w:rsidRPr="00F06896" w:rsidR="00E07DCB">
        <w:rPr>
          <w:rFonts w:ascii="Times New Roman" w:hAnsi="Times New Roman"/>
          <w:sz w:val="22"/>
          <w:szCs w:val="22"/>
        </w:rPr>
        <w:t>,</w:t>
      </w:r>
      <w:r w:rsidRPr="00F06896">
        <w:rPr>
          <w:rFonts w:ascii="Times New Roman" w:hAnsi="Times New Roman"/>
          <w:sz w:val="22"/>
          <w:szCs w:val="22"/>
        </w:rPr>
        <w:t xml:space="preserve"> the benefits of lecanemab have been demonstrated by statistically significant results from the Clarity AD trial, accepted by regulatory authorities for the purposes of </w:t>
      </w:r>
      <w:proofErr w:type="spellStart"/>
      <w:r w:rsidRPr="00F06896">
        <w:rPr>
          <w:rFonts w:ascii="Times New Roman" w:hAnsi="Times New Roman"/>
          <w:sz w:val="22"/>
          <w:szCs w:val="22"/>
        </w:rPr>
        <w:t>authorisation</w:t>
      </w:r>
      <w:proofErr w:type="spellEnd"/>
      <w:r w:rsidRPr="00F06896">
        <w:rPr>
          <w:rFonts w:ascii="Times New Roman" w:hAnsi="Times New Roman"/>
          <w:sz w:val="22"/>
          <w:szCs w:val="22"/>
        </w:rPr>
        <w:t xml:space="preserve"> and confirmed by expert opinion.  In this context, the Committee’s conclusion that the benefits of lecanemab are small (which is not explained) conflicts with the importance of these effects for patients with early AD and their </w:t>
      </w:r>
      <w:proofErr w:type="spellStart"/>
      <w:r w:rsidRPr="00F06896">
        <w:rPr>
          <w:rFonts w:ascii="Times New Roman" w:hAnsi="Times New Roman"/>
          <w:sz w:val="22"/>
          <w:szCs w:val="22"/>
        </w:rPr>
        <w:t>carers</w:t>
      </w:r>
      <w:proofErr w:type="spellEnd"/>
      <w:r w:rsidRPr="00F06896">
        <w:rPr>
          <w:rFonts w:ascii="Times New Roman" w:hAnsi="Times New Roman"/>
          <w:sz w:val="22"/>
          <w:szCs w:val="22"/>
        </w:rPr>
        <w:t xml:space="preserve">.  In circumstances where NICE does not typically describe </w:t>
      </w:r>
      <w:r w:rsidRPr="00F06896" w:rsidR="00BB490E">
        <w:rPr>
          <w:rFonts w:ascii="Times New Roman" w:hAnsi="Times New Roman"/>
          <w:sz w:val="22"/>
          <w:szCs w:val="22"/>
        </w:rPr>
        <w:t>similar</w:t>
      </w:r>
      <w:r w:rsidRPr="00F06896" w:rsidR="00DC666C">
        <w:rPr>
          <w:rFonts w:ascii="Times New Roman" w:hAnsi="Times New Roman"/>
          <w:sz w:val="22"/>
          <w:szCs w:val="22"/>
        </w:rPr>
        <w:t xml:space="preserve"> </w:t>
      </w:r>
      <w:r w:rsidRPr="00F06896">
        <w:rPr>
          <w:rFonts w:ascii="Times New Roman" w:hAnsi="Times New Roman"/>
          <w:sz w:val="22"/>
          <w:szCs w:val="22"/>
        </w:rPr>
        <w:t xml:space="preserve">extensions </w:t>
      </w:r>
      <w:r w:rsidRPr="00F06896" w:rsidR="00DC666C">
        <w:rPr>
          <w:rFonts w:ascii="Times New Roman" w:hAnsi="Times New Roman"/>
          <w:sz w:val="22"/>
          <w:szCs w:val="22"/>
        </w:rPr>
        <w:t>of</w:t>
      </w:r>
      <w:r w:rsidRPr="00F06896">
        <w:rPr>
          <w:rFonts w:ascii="Times New Roman" w:hAnsi="Times New Roman"/>
          <w:sz w:val="22"/>
          <w:szCs w:val="22"/>
        </w:rPr>
        <w:t xml:space="preserve"> progression</w:t>
      </w:r>
      <w:r w:rsidR="00122664">
        <w:rPr>
          <w:rFonts w:ascii="Times New Roman" w:hAnsi="Times New Roman"/>
          <w:sz w:val="22"/>
          <w:szCs w:val="22"/>
        </w:rPr>
        <w:t>-</w:t>
      </w:r>
      <w:r w:rsidRPr="00F06896">
        <w:rPr>
          <w:rFonts w:ascii="Times New Roman" w:hAnsi="Times New Roman"/>
          <w:sz w:val="22"/>
          <w:szCs w:val="22"/>
        </w:rPr>
        <w:t xml:space="preserve">free survival associated with oncology medicines as “small”, it is Eisai’s view that extensions to the time a person with early AD is able to live independently or engage with family members should not be </w:t>
      </w:r>
      <w:proofErr w:type="spellStart"/>
      <w:r w:rsidRPr="00F06896">
        <w:rPr>
          <w:rFonts w:ascii="Times New Roman" w:hAnsi="Times New Roman"/>
          <w:sz w:val="22"/>
          <w:szCs w:val="22"/>
        </w:rPr>
        <w:t>characterised</w:t>
      </w:r>
      <w:proofErr w:type="spellEnd"/>
      <w:r w:rsidRPr="00F06896">
        <w:rPr>
          <w:rFonts w:ascii="Times New Roman" w:hAnsi="Times New Roman"/>
          <w:sz w:val="22"/>
          <w:szCs w:val="22"/>
        </w:rPr>
        <w:t xml:space="preserve"> as a “small” benefit and that the Committee’s description is unreasonable.  </w:t>
      </w:r>
    </w:p>
    <w:p w:rsidRPr="00F06896" w:rsidR="001A3F52" w:rsidP="00B61C36" w:rsidRDefault="001A3F52" w14:paraId="32E3F004" w14:textId="77777777">
      <w:pPr>
        <w:rPr>
          <w:rFonts w:ascii="Times New Roman" w:hAnsi="Times New Roman"/>
          <w:sz w:val="22"/>
          <w:szCs w:val="22"/>
        </w:rPr>
      </w:pPr>
    </w:p>
    <w:p w:rsidR="00183CDC" w:rsidP="007F0316" w:rsidRDefault="0005551A" w14:paraId="30AF20D9" w14:textId="4E55E249">
      <w:pPr>
        <w:pStyle w:val="ListParagraph"/>
        <w:numPr>
          <w:ilvl w:val="1"/>
          <w:numId w:val="1"/>
        </w:numPr>
        <w:rPr>
          <w:rFonts w:ascii="Times New Roman" w:hAnsi="Times New Roman"/>
          <w:b/>
          <w:bCs/>
          <w:sz w:val="22"/>
          <w:szCs w:val="22"/>
        </w:rPr>
      </w:pPr>
      <w:r w:rsidRPr="00F06896">
        <w:rPr>
          <w:rFonts w:ascii="Times New Roman" w:hAnsi="Times New Roman"/>
          <w:b/>
          <w:bCs/>
          <w:sz w:val="22"/>
          <w:szCs w:val="22"/>
        </w:rPr>
        <w:t xml:space="preserve">The assessment of the additional </w:t>
      </w:r>
      <w:r w:rsidRPr="00F06896" w:rsidR="00284807">
        <w:rPr>
          <w:rFonts w:ascii="Times New Roman" w:hAnsi="Times New Roman"/>
          <w:b/>
          <w:bCs/>
          <w:sz w:val="22"/>
          <w:szCs w:val="22"/>
        </w:rPr>
        <w:t xml:space="preserve">aspects </w:t>
      </w:r>
      <w:r w:rsidRPr="00F06896">
        <w:rPr>
          <w:rFonts w:ascii="Times New Roman" w:hAnsi="Times New Roman"/>
          <w:b/>
          <w:bCs/>
          <w:sz w:val="22"/>
          <w:szCs w:val="22"/>
        </w:rPr>
        <w:t>of lecanemab treatment is unbalanced and unreasonable</w:t>
      </w:r>
    </w:p>
    <w:p w:rsidRPr="00F06896" w:rsidR="00B61C36" w:rsidP="00B61C36" w:rsidRDefault="00B61C36" w14:paraId="36150E79" w14:textId="77777777">
      <w:pPr>
        <w:pStyle w:val="ListParagraph"/>
        <w:ind w:left="792"/>
        <w:rPr>
          <w:rFonts w:ascii="Times New Roman" w:hAnsi="Times New Roman"/>
          <w:b/>
          <w:bCs/>
          <w:sz w:val="22"/>
          <w:szCs w:val="22"/>
        </w:rPr>
      </w:pPr>
    </w:p>
    <w:p w:rsidR="00681273" w:rsidP="007F0316" w:rsidRDefault="00955981" w14:paraId="4859D6A9" w14:textId="7ED8AEAD">
      <w:pPr>
        <w:rPr>
          <w:rFonts w:ascii="Times New Roman" w:hAnsi="Times New Roman"/>
          <w:sz w:val="22"/>
          <w:szCs w:val="22"/>
        </w:rPr>
      </w:pPr>
      <w:r w:rsidRPr="00F06896">
        <w:rPr>
          <w:rFonts w:ascii="Times New Roman" w:hAnsi="Times New Roman"/>
          <w:sz w:val="22"/>
          <w:szCs w:val="22"/>
        </w:rPr>
        <w:t xml:space="preserve">The benefits </w:t>
      </w:r>
      <w:r w:rsidRPr="00F06896" w:rsidR="00B64EC4">
        <w:rPr>
          <w:rFonts w:ascii="Times New Roman" w:hAnsi="Times New Roman"/>
          <w:sz w:val="22"/>
          <w:szCs w:val="22"/>
        </w:rPr>
        <w:t>of treatment with</w:t>
      </w:r>
      <w:r w:rsidRPr="00F06896">
        <w:rPr>
          <w:rFonts w:ascii="Times New Roman" w:hAnsi="Times New Roman"/>
          <w:sz w:val="22"/>
          <w:szCs w:val="22"/>
        </w:rPr>
        <w:t xml:space="preserve"> </w:t>
      </w:r>
      <w:r w:rsidRPr="00F06896" w:rsidR="00B64EC4">
        <w:rPr>
          <w:rFonts w:ascii="Times New Roman" w:hAnsi="Times New Roman"/>
          <w:sz w:val="22"/>
          <w:szCs w:val="22"/>
        </w:rPr>
        <w:t>lecanemab</w:t>
      </w:r>
      <w:r w:rsidRPr="00F06896">
        <w:rPr>
          <w:rFonts w:ascii="Times New Roman" w:hAnsi="Times New Roman"/>
          <w:sz w:val="22"/>
          <w:szCs w:val="22"/>
        </w:rPr>
        <w:t>,</w:t>
      </w:r>
      <w:r w:rsidRPr="00F06896" w:rsidR="00B64EC4">
        <w:rPr>
          <w:rFonts w:ascii="Times New Roman" w:hAnsi="Times New Roman"/>
          <w:sz w:val="22"/>
          <w:szCs w:val="22"/>
        </w:rPr>
        <w:t xml:space="preserve"> </w:t>
      </w:r>
      <w:r w:rsidRPr="00F06896" w:rsidR="00F438E6">
        <w:rPr>
          <w:rFonts w:ascii="Times New Roman" w:hAnsi="Times New Roman"/>
          <w:sz w:val="22"/>
          <w:szCs w:val="22"/>
        </w:rPr>
        <w:t>identified by the Committee</w:t>
      </w:r>
      <w:r w:rsidRPr="00F06896">
        <w:rPr>
          <w:rFonts w:ascii="Times New Roman" w:hAnsi="Times New Roman"/>
          <w:sz w:val="22"/>
          <w:szCs w:val="22"/>
        </w:rPr>
        <w:t xml:space="preserve"> as not captured </w:t>
      </w:r>
      <w:r w:rsidRPr="00F06896" w:rsidR="00F90555">
        <w:rPr>
          <w:rFonts w:ascii="Times New Roman" w:hAnsi="Times New Roman"/>
          <w:sz w:val="22"/>
          <w:szCs w:val="22"/>
        </w:rPr>
        <w:t xml:space="preserve">in the cost effectiveness analysis, </w:t>
      </w:r>
      <w:r w:rsidRPr="00F06896" w:rsidR="00F438E6">
        <w:rPr>
          <w:rFonts w:ascii="Times New Roman" w:hAnsi="Times New Roman"/>
          <w:sz w:val="22"/>
          <w:szCs w:val="22"/>
        </w:rPr>
        <w:t xml:space="preserve">are </w:t>
      </w:r>
      <w:r w:rsidRPr="00F06896" w:rsidR="007003CD">
        <w:rPr>
          <w:rFonts w:ascii="Times New Roman" w:hAnsi="Times New Roman"/>
          <w:sz w:val="22"/>
          <w:szCs w:val="22"/>
        </w:rPr>
        <w:t xml:space="preserve">set out </w:t>
      </w:r>
      <w:r w:rsidRPr="00F06896" w:rsidR="00F438E6">
        <w:rPr>
          <w:rFonts w:ascii="Times New Roman" w:hAnsi="Times New Roman"/>
          <w:sz w:val="22"/>
          <w:szCs w:val="22"/>
        </w:rPr>
        <w:t>a</w:t>
      </w:r>
      <w:r w:rsidRPr="00F06896" w:rsidR="0005551A">
        <w:rPr>
          <w:rFonts w:ascii="Times New Roman" w:hAnsi="Times New Roman"/>
          <w:sz w:val="22"/>
          <w:szCs w:val="22"/>
        </w:rPr>
        <w:t>t paragraph 3.31 of the FDG</w:t>
      </w:r>
      <w:r w:rsidRPr="00F06896" w:rsidR="00F90555">
        <w:rPr>
          <w:rFonts w:ascii="Times New Roman" w:hAnsi="Times New Roman"/>
          <w:sz w:val="22"/>
          <w:szCs w:val="22"/>
        </w:rPr>
        <w:t xml:space="preserve">, together with certain potential harms. </w:t>
      </w:r>
      <w:r w:rsidRPr="00F06896" w:rsidR="00BD21C5">
        <w:rPr>
          <w:rFonts w:ascii="Times New Roman" w:hAnsi="Times New Roman"/>
          <w:sz w:val="22"/>
          <w:szCs w:val="22"/>
        </w:rPr>
        <w:t xml:space="preserve"> </w:t>
      </w:r>
    </w:p>
    <w:p w:rsidRPr="00F06896" w:rsidR="008E4233" w:rsidP="007F0316" w:rsidRDefault="008E4233" w14:paraId="4D52D43B" w14:textId="77777777">
      <w:pPr>
        <w:rPr>
          <w:rFonts w:ascii="Times New Roman" w:hAnsi="Times New Roman"/>
          <w:sz w:val="22"/>
          <w:szCs w:val="22"/>
        </w:rPr>
      </w:pPr>
    </w:p>
    <w:p w:rsidRPr="00F06896" w:rsidR="00A56B17" w:rsidP="00D161D6" w:rsidRDefault="00A56B17" w14:paraId="1FCCB482" w14:textId="7F135012">
      <w:pPr>
        <w:pStyle w:val="ListParagraph"/>
        <w:numPr>
          <w:ilvl w:val="0"/>
          <w:numId w:val="10"/>
        </w:numPr>
        <w:ind w:left="720"/>
        <w:rPr>
          <w:rFonts w:ascii="Times New Roman" w:hAnsi="Times New Roman"/>
          <w:sz w:val="22"/>
          <w:szCs w:val="22"/>
        </w:rPr>
      </w:pPr>
      <w:r w:rsidRPr="00F06896">
        <w:rPr>
          <w:rFonts w:ascii="Times New Roman" w:hAnsi="Times New Roman"/>
          <w:sz w:val="22"/>
          <w:szCs w:val="22"/>
        </w:rPr>
        <w:t xml:space="preserve">The uncaptured benefits listed at paragraph 3.31 </w:t>
      </w:r>
      <w:r w:rsidRPr="00F06896" w:rsidR="00957C41">
        <w:rPr>
          <w:rFonts w:ascii="Times New Roman" w:hAnsi="Times New Roman"/>
          <w:sz w:val="22"/>
          <w:szCs w:val="22"/>
        </w:rPr>
        <w:t>comprise:</w:t>
      </w:r>
    </w:p>
    <w:p w:rsidRPr="00F06896" w:rsidR="00957C41" w:rsidP="00D161D6" w:rsidRDefault="00957C41" w14:paraId="7F485A88" w14:textId="6FDAB3F9">
      <w:pPr>
        <w:pStyle w:val="Default"/>
        <w:numPr>
          <w:ilvl w:val="1"/>
          <w:numId w:val="10"/>
        </w:numPr>
        <w:spacing w:after="74"/>
        <w:ind w:left="1440"/>
        <w:rPr>
          <w:rFonts w:ascii="Times New Roman" w:hAnsi="Times New Roman" w:cs="Times New Roman"/>
          <w:sz w:val="22"/>
          <w:szCs w:val="22"/>
        </w:rPr>
      </w:pPr>
      <w:r w:rsidRPr="00F06896">
        <w:rPr>
          <w:rFonts w:ascii="Times New Roman" w:hAnsi="Times New Roman" w:cs="Times New Roman"/>
          <w:sz w:val="22"/>
          <w:szCs w:val="22"/>
        </w:rPr>
        <w:t xml:space="preserve">Utility values may have been underestimated by using patient-by-proxy-reported quality-of-life data </w:t>
      </w:r>
    </w:p>
    <w:p w:rsidRPr="00F06896" w:rsidR="00957C41" w:rsidP="00D161D6" w:rsidRDefault="00957C41" w14:paraId="15C605F9" w14:textId="34375C75">
      <w:pPr>
        <w:pStyle w:val="Default"/>
        <w:numPr>
          <w:ilvl w:val="1"/>
          <w:numId w:val="10"/>
        </w:numPr>
        <w:ind w:left="1440"/>
        <w:rPr>
          <w:rFonts w:ascii="Times New Roman" w:hAnsi="Times New Roman" w:cs="Times New Roman"/>
          <w:sz w:val="22"/>
          <w:szCs w:val="22"/>
        </w:rPr>
      </w:pPr>
      <w:r w:rsidRPr="00F06896">
        <w:rPr>
          <w:rFonts w:ascii="Times New Roman" w:hAnsi="Times New Roman" w:cs="Times New Roman"/>
          <w:sz w:val="22"/>
          <w:szCs w:val="22"/>
        </w:rPr>
        <w:t xml:space="preserve">The impact on the finances and productivity of carers </w:t>
      </w:r>
    </w:p>
    <w:p w:rsidRPr="00F06896" w:rsidR="00F925C0" w:rsidP="50EC1DEA" w:rsidRDefault="00F925C0" w14:paraId="5457CB83" w14:textId="2A56C6E1">
      <w:pPr>
        <w:pStyle w:val="Default"/>
        <w:numPr>
          <w:ilvl w:val="1"/>
          <w:numId w:val="10"/>
        </w:numPr>
        <w:spacing w:after="72"/>
        <w:ind w:left="1440"/>
        <w:rPr>
          <w:rFonts w:ascii="Times New Roman" w:hAnsi="Times New Roman" w:cs="Times New Roman"/>
          <w:sz w:val="22"/>
          <w:szCs w:val="22"/>
          <w:lang w:val="en-US"/>
        </w:rPr>
      </w:pPr>
      <w:r w:rsidRPr="50EC1DEA">
        <w:rPr>
          <w:rFonts w:ascii="Times New Roman" w:hAnsi="Times New Roman" w:cs="Times New Roman"/>
          <w:sz w:val="22"/>
          <w:szCs w:val="22"/>
          <w:lang w:val="en-US"/>
        </w:rPr>
        <w:t xml:space="preserve">Lecanemab is innovative, as shown by its designation to the Innovative Licensing and Access Pathway (ILAP) </w:t>
      </w:r>
    </w:p>
    <w:p w:rsidRPr="00F06896" w:rsidR="00622C42" w:rsidP="50EC1DEA" w:rsidRDefault="00F925C0" w14:paraId="5B546A29" w14:textId="4908FBD7">
      <w:pPr>
        <w:pStyle w:val="Default"/>
        <w:numPr>
          <w:ilvl w:val="1"/>
          <w:numId w:val="10"/>
        </w:numPr>
        <w:spacing w:after="74"/>
        <w:ind w:left="1440"/>
        <w:rPr>
          <w:rFonts w:ascii="Times New Roman" w:hAnsi="Times New Roman" w:cs="Times New Roman"/>
          <w:sz w:val="22"/>
          <w:szCs w:val="22"/>
          <w:lang w:val="en-US"/>
        </w:rPr>
      </w:pPr>
      <w:r w:rsidRPr="50EC1DEA">
        <w:rPr>
          <w:rFonts w:ascii="Times New Roman" w:hAnsi="Times New Roman" w:cs="Times New Roman"/>
          <w:sz w:val="22"/>
          <w:szCs w:val="22"/>
          <w:lang w:val="en-US"/>
        </w:rPr>
        <w:t xml:space="preserve">Lecanemab is not eligible for the severity modifier despite: </w:t>
      </w:r>
    </w:p>
    <w:p w:rsidRPr="00F06896" w:rsidR="00F925C0" w:rsidP="00D161D6" w:rsidRDefault="00F925C0" w14:paraId="47273B07" w14:textId="4AE2B7DD">
      <w:pPr>
        <w:pStyle w:val="Default"/>
        <w:numPr>
          <w:ilvl w:val="2"/>
          <w:numId w:val="10"/>
        </w:numPr>
        <w:spacing w:after="74"/>
        <w:ind w:left="2160"/>
        <w:rPr>
          <w:rFonts w:ascii="Times New Roman" w:hAnsi="Times New Roman" w:cs="Times New Roman"/>
          <w:sz w:val="22"/>
          <w:szCs w:val="22"/>
        </w:rPr>
      </w:pPr>
      <w:r w:rsidRPr="00F06896">
        <w:rPr>
          <w:rFonts w:ascii="Times New Roman" w:hAnsi="Times New Roman" w:cs="Times New Roman"/>
          <w:sz w:val="22"/>
          <w:szCs w:val="22"/>
        </w:rPr>
        <w:t xml:space="preserve">Alzheimer’s </w:t>
      </w:r>
      <w:r w:rsidRPr="00F06896" w:rsidR="009770E5">
        <w:rPr>
          <w:rFonts w:ascii="Times New Roman" w:hAnsi="Times New Roman" w:cs="Times New Roman"/>
          <w:sz w:val="22"/>
          <w:szCs w:val="22"/>
        </w:rPr>
        <w:t xml:space="preserve">Disease </w:t>
      </w:r>
      <w:r w:rsidRPr="00F06896">
        <w:rPr>
          <w:rFonts w:ascii="Times New Roman" w:hAnsi="Times New Roman" w:cs="Times New Roman"/>
          <w:sz w:val="22"/>
          <w:szCs w:val="22"/>
        </w:rPr>
        <w:t xml:space="preserve">being the leading cause of death in the UK </w:t>
      </w:r>
    </w:p>
    <w:p w:rsidRPr="00F06896" w:rsidR="00F925C0" w:rsidP="00D161D6" w:rsidRDefault="00F925C0" w14:paraId="47105E99" w14:textId="64D8A997">
      <w:pPr>
        <w:pStyle w:val="Default"/>
        <w:numPr>
          <w:ilvl w:val="2"/>
          <w:numId w:val="10"/>
        </w:numPr>
        <w:spacing w:after="74"/>
        <w:ind w:left="2160"/>
        <w:rPr>
          <w:rFonts w:ascii="Times New Roman" w:hAnsi="Times New Roman" w:cs="Times New Roman"/>
          <w:sz w:val="22"/>
          <w:szCs w:val="22"/>
        </w:rPr>
      </w:pPr>
      <w:r w:rsidRPr="00F06896">
        <w:rPr>
          <w:rFonts w:ascii="Times New Roman" w:hAnsi="Times New Roman" w:cs="Times New Roman"/>
          <w:sz w:val="22"/>
          <w:szCs w:val="22"/>
        </w:rPr>
        <w:t xml:space="preserve">the condition causing a significant disease burden </w:t>
      </w:r>
    </w:p>
    <w:p w:rsidRPr="00F06896" w:rsidR="00F925C0" w:rsidP="00D161D6" w:rsidRDefault="00F925C0" w14:paraId="5A09F25D" w14:textId="52EA0690">
      <w:pPr>
        <w:pStyle w:val="Default"/>
        <w:numPr>
          <w:ilvl w:val="2"/>
          <w:numId w:val="10"/>
        </w:numPr>
        <w:ind w:left="2160"/>
        <w:rPr>
          <w:rFonts w:ascii="Times New Roman" w:hAnsi="Times New Roman" w:cs="Times New Roman"/>
          <w:sz w:val="22"/>
          <w:szCs w:val="22"/>
        </w:rPr>
      </w:pPr>
      <w:r w:rsidRPr="00F06896">
        <w:rPr>
          <w:rFonts w:ascii="Times New Roman" w:hAnsi="Times New Roman" w:cs="Times New Roman"/>
          <w:sz w:val="22"/>
          <w:szCs w:val="22"/>
        </w:rPr>
        <w:t xml:space="preserve">clinical consensus that treating milder </w:t>
      </w:r>
      <w:r w:rsidRPr="00F06896" w:rsidR="00FB1231">
        <w:rPr>
          <w:rFonts w:ascii="Times New Roman" w:hAnsi="Times New Roman" w:cs="Times New Roman"/>
          <w:sz w:val="22"/>
          <w:szCs w:val="22"/>
        </w:rPr>
        <w:t>AD</w:t>
      </w:r>
      <w:r w:rsidRPr="00F06896" w:rsidR="009770E5">
        <w:rPr>
          <w:rFonts w:ascii="Times New Roman" w:hAnsi="Times New Roman" w:cs="Times New Roman"/>
          <w:sz w:val="22"/>
          <w:szCs w:val="22"/>
        </w:rPr>
        <w:t xml:space="preserve"> </w:t>
      </w:r>
      <w:r w:rsidRPr="00F06896">
        <w:rPr>
          <w:rFonts w:ascii="Times New Roman" w:hAnsi="Times New Roman" w:cs="Times New Roman"/>
          <w:sz w:val="22"/>
          <w:szCs w:val="22"/>
        </w:rPr>
        <w:t xml:space="preserve">states is more beneficial than treating more severe </w:t>
      </w:r>
      <w:r w:rsidRPr="00F06896" w:rsidR="00FB1231">
        <w:rPr>
          <w:rFonts w:ascii="Times New Roman" w:hAnsi="Times New Roman" w:cs="Times New Roman"/>
          <w:sz w:val="22"/>
          <w:szCs w:val="22"/>
        </w:rPr>
        <w:t xml:space="preserve">AD </w:t>
      </w:r>
      <w:r w:rsidRPr="00F06896">
        <w:rPr>
          <w:rFonts w:ascii="Times New Roman" w:hAnsi="Times New Roman" w:cs="Times New Roman"/>
          <w:sz w:val="22"/>
          <w:szCs w:val="22"/>
        </w:rPr>
        <w:t xml:space="preserve">states </w:t>
      </w:r>
    </w:p>
    <w:p w:rsidRPr="00F06896" w:rsidR="00E42486" w:rsidP="007F0316" w:rsidRDefault="00E42486" w14:paraId="64CFA094" w14:textId="65788DDE">
      <w:pPr>
        <w:pStyle w:val="Default"/>
        <w:ind w:left="720"/>
        <w:rPr>
          <w:rFonts w:ascii="Times New Roman" w:hAnsi="Times New Roman" w:cs="Times New Roman"/>
          <w:sz w:val="22"/>
          <w:szCs w:val="22"/>
        </w:rPr>
      </w:pPr>
    </w:p>
    <w:p w:rsidRPr="00F06896" w:rsidR="00F925C0" w:rsidP="50EC1DEA" w:rsidRDefault="00201633" w14:paraId="4AA3D15F" w14:textId="19A74239">
      <w:pPr>
        <w:pStyle w:val="Default"/>
        <w:numPr>
          <w:ilvl w:val="0"/>
          <w:numId w:val="10"/>
        </w:numPr>
        <w:ind w:left="720"/>
        <w:rPr>
          <w:rFonts w:ascii="Times New Roman" w:hAnsi="Times New Roman" w:cs="Times New Roman"/>
          <w:sz w:val="22"/>
          <w:szCs w:val="22"/>
          <w:lang w:val="en-US"/>
        </w:rPr>
      </w:pPr>
      <w:r w:rsidRPr="50EC1DEA">
        <w:rPr>
          <w:rFonts w:ascii="Times New Roman" w:hAnsi="Times New Roman" w:cs="Times New Roman"/>
          <w:sz w:val="22"/>
          <w:szCs w:val="22"/>
          <w:lang w:val="en-US"/>
        </w:rPr>
        <w:t xml:space="preserve">The Committee also identified what were described as </w:t>
      </w:r>
      <w:r w:rsidRPr="50EC1DEA" w:rsidR="00841F5A">
        <w:rPr>
          <w:rFonts w:ascii="Times New Roman" w:hAnsi="Times New Roman" w:cs="Times New Roman"/>
          <w:sz w:val="22"/>
          <w:szCs w:val="22"/>
          <w:lang w:val="en-US"/>
        </w:rPr>
        <w:t>potential uncaptured harms</w:t>
      </w:r>
      <w:r w:rsidRPr="50EC1DEA" w:rsidR="002A51E8">
        <w:rPr>
          <w:rFonts w:ascii="Times New Roman" w:hAnsi="Times New Roman" w:cs="Times New Roman"/>
          <w:sz w:val="22"/>
          <w:szCs w:val="22"/>
          <w:lang w:val="en-US"/>
        </w:rPr>
        <w:t>:</w:t>
      </w:r>
    </w:p>
    <w:p w:rsidRPr="00F06896" w:rsidR="002A51E8" w:rsidP="007F0316" w:rsidRDefault="002A51E8" w14:paraId="5B2AB915" w14:textId="77777777">
      <w:pPr>
        <w:pStyle w:val="Default"/>
        <w:rPr>
          <w:rFonts w:ascii="Times New Roman" w:hAnsi="Times New Roman" w:cs="Times New Roman"/>
          <w:sz w:val="22"/>
          <w:szCs w:val="22"/>
        </w:rPr>
      </w:pPr>
    </w:p>
    <w:p w:rsidRPr="00F06896" w:rsidR="00841F5A" w:rsidP="50EC1DEA" w:rsidRDefault="001C6F2C" w14:paraId="4DE43255" w14:textId="2BCD0866">
      <w:pPr>
        <w:pStyle w:val="Default"/>
        <w:numPr>
          <w:ilvl w:val="1"/>
          <w:numId w:val="10"/>
        </w:numPr>
        <w:ind w:left="1440"/>
        <w:rPr>
          <w:rFonts w:ascii="Times New Roman" w:hAnsi="Times New Roman" w:cs="Times New Roman"/>
          <w:sz w:val="22"/>
          <w:szCs w:val="22"/>
          <w:lang w:val="en-US"/>
        </w:rPr>
      </w:pPr>
      <w:r w:rsidRPr="50EC1DEA">
        <w:rPr>
          <w:rFonts w:ascii="Times New Roman" w:hAnsi="Times New Roman" w:cs="Times New Roman"/>
          <w:sz w:val="22"/>
          <w:szCs w:val="22"/>
          <w:lang w:val="en-US"/>
        </w:rPr>
        <w:t>“False hopes”</w:t>
      </w:r>
      <w:r w:rsidRPr="50EC1DEA" w:rsidR="00B761F4">
        <w:rPr>
          <w:rFonts w:ascii="Times New Roman" w:hAnsi="Times New Roman" w:cs="Times New Roman"/>
          <w:sz w:val="22"/>
          <w:szCs w:val="22"/>
          <w:lang w:val="en-US"/>
        </w:rPr>
        <w:t xml:space="preserve"> for patients found to be non-eligible for treatment or for patients</w:t>
      </w:r>
      <w:r w:rsidRPr="50EC1DEA" w:rsidR="002B5AB1">
        <w:rPr>
          <w:rFonts w:ascii="Times New Roman" w:hAnsi="Times New Roman" w:cs="Times New Roman"/>
          <w:sz w:val="22"/>
          <w:szCs w:val="22"/>
          <w:lang w:val="en-US"/>
        </w:rPr>
        <w:t xml:space="preserve"> or</w:t>
      </w:r>
      <w:r w:rsidRPr="50EC1DEA" w:rsidR="00B761F4">
        <w:rPr>
          <w:rFonts w:ascii="Times New Roman" w:hAnsi="Times New Roman" w:cs="Times New Roman"/>
          <w:sz w:val="22"/>
          <w:szCs w:val="22"/>
          <w:lang w:val="en-US"/>
        </w:rPr>
        <w:t xml:space="preserve"> carers who </w:t>
      </w:r>
      <w:r w:rsidRPr="50EC1DEA" w:rsidR="00762ADD">
        <w:rPr>
          <w:rFonts w:ascii="Times New Roman" w:hAnsi="Times New Roman" w:cs="Times New Roman"/>
          <w:sz w:val="22"/>
          <w:szCs w:val="22"/>
          <w:lang w:val="en-US"/>
        </w:rPr>
        <w:t xml:space="preserve">believe lecanemab is associated with substantial improvements or </w:t>
      </w:r>
      <w:r w:rsidRPr="50EC1DEA" w:rsidR="002B5AB1">
        <w:rPr>
          <w:rFonts w:ascii="Times New Roman" w:hAnsi="Times New Roman" w:cs="Times New Roman"/>
          <w:sz w:val="22"/>
          <w:szCs w:val="22"/>
          <w:lang w:val="en-US"/>
        </w:rPr>
        <w:t xml:space="preserve">a </w:t>
      </w:r>
      <w:r w:rsidRPr="50EC1DEA" w:rsidR="00762ADD">
        <w:rPr>
          <w:rFonts w:ascii="Times New Roman" w:hAnsi="Times New Roman" w:cs="Times New Roman"/>
          <w:sz w:val="22"/>
          <w:szCs w:val="22"/>
          <w:lang w:val="en-US"/>
        </w:rPr>
        <w:t>cure of AD</w:t>
      </w:r>
    </w:p>
    <w:p w:rsidRPr="00F06896" w:rsidR="00FE3E46" w:rsidP="00D161D6" w:rsidRDefault="00FE3E46" w14:paraId="112142E7" w14:textId="462A985E">
      <w:pPr>
        <w:pStyle w:val="Default"/>
        <w:numPr>
          <w:ilvl w:val="1"/>
          <w:numId w:val="10"/>
        </w:numPr>
        <w:spacing w:after="72"/>
        <w:ind w:left="1440"/>
        <w:rPr>
          <w:rFonts w:ascii="Times New Roman" w:hAnsi="Times New Roman" w:cs="Times New Roman"/>
          <w:sz w:val="22"/>
          <w:szCs w:val="22"/>
        </w:rPr>
      </w:pPr>
      <w:r w:rsidRPr="00F06896">
        <w:rPr>
          <w:rFonts w:ascii="Times New Roman" w:hAnsi="Times New Roman" w:cs="Times New Roman"/>
          <w:sz w:val="22"/>
          <w:szCs w:val="22"/>
        </w:rPr>
        <w:t xml:space="preserve">Repeated diagnostic testing and monitoring </w:t>
      </w:r>
    </w:p>
    <w:p w:rsidRPr="00F06896" w:rsidR="00FE3E46" w:rsidP="00D161D6" w:rsidRDefault="00FE3E46" w14:paraId="44105EBA" w14:textId="1A5928EC">
      <w:pPr>
        <w:pStyle w:val="Default"/>
        <w:numPr>
          <w:ilvl w:val="1"/>
          <w:numId w:val="10"/>
        </w:numPr>
        <w:spacing w:after="72"/>
        <w:ind w:left="1440"/>
        <w:rPr>
          <w:rFonts w:ascii="Times New Roman" w:hAnsi="Times New Roman" w:cs="Times New Roman"/>
          <w:sz w:val="22"/>
          <w:szCs w:val="22"/>
        </w:rPr>
      </w:pPr>
      <w:r w:rsidRPr="00F06896">
        <w:rPr>
          <w:rFonts w:ascii="Times New Roman" w:hAnsi="Times New Roman" w:cs="Times New Roman"/>
          <w:sz w:val="22"/>
          <w:szCs w:val="22"/>
        </w:rPr>
        <w:t xml:space="preserve">Significant </w:t>
      </w:r>
      <w:r w:rsidRPr="00F06896" w:rsidR="00FB1231">
        <w:rPr>
          <w:rFonts w:ascii="Times New Roman" w:hAnsi="Times New Roman" w:cs="Times New Roman"/>
          <w:sz w:val="22"/>
          <w:szCs w:val="22"/>
        </w:rPr>
        <w:t xml:space="preserve">increase </w:t>
      </w:r>
      <w:r w:rsidRPr="00F06896">
        <w:rPr>
          <w:rFonts w:ascii="Times New Roman" w:hAnsi="Times New Roman" w:cs="Times New Roman"/>
          <w:sz w:val="22"/>
          <w:szCs w:val="22"/>
        </w:rPr>
        <w:t xml:space="preserve">in demand for NHS primary and secondary care services that may affect the provision of other services </w:t>
      </w:r>
    </w:p>
    <w:p w:rsidRPr="00F06896" w:rsidR="00FE3E46" w:rsidP="00D161D6" w:rsidRDefault="00FE3E46" w14:paraId="430ED1FF" w14:textId="7E3A75FD">
      <w:pPr>
        <w:pStyle w:val="Default"/>
        <w:numPr>
          <w:ilvl w:val="1"/>
          <w:numId w:val="10"/>
        </w:numPr>
        <w:ind w:left="1440"/>
        <w:rPr>
          <w:rFonts w:ascii="Times New Roman" w:hAnsi="Times New Roman" w:cs="Times New Roman"/>
          <w:sz w:val="22"/>
          <w:szCs w:val="22"/>
        </w:rPr>
      </w:pPr>
      <w:r w:rsidRPr="00F06896">
        <w:rPr>
          <w:rFonts w:ascii="Times New Roman" w:hAnsi="Times New Roman" w:cs="Times New Roman"/>
          <w:sz w:val="22"/>
          <w:szCs w:val="22"/>
        </w:rPr>
        <w:t xml:space="preserve">Substantial investment in infrastructure and training for NHS care pathways to be redesigned to accommodate new treatments </w:t>
      </w:r>
    </w:p>
    <w:p w:rsidRPr="00F06896" w:rsidR="001D364C" w:rsidP="007F0316" w:rsidRDefault="001D364C" w14:paraId="6B0F5BE2" w14:textId="77777777">
      <w:pPr>
        <w:rPr>
          <w:rFonts w:ascii="Times New Roman" w:hAnsi="Times New Roman"/>
          <w:sz w:val="22"/>
          <w:szCs w:val="22"/>
        </w:rPr>
      </w:pPr>
    </w:p>
    <w:p w:rsidR="00213946" w:rsidP="007F0316" w:rsidRDefault="00BD21C5" w14:paraId="0ABC4CDE" w14:textId="6EEF3D4B">
      <w:pPr>
        <w:rPr>
          <w:rFonts w:ascii="Times New Roman" w:hAnsi="Times New Roman"/>
          <w:sz w:val="22"/>
          <w:szCs w:val="22"/>
        </w:rPr>
      </w:pPr>
      <w:r w:rsidRPr="00F06896">
        <w:rPr>
          <w:rFonts w:ascii="Times New Roman" w:hAnsi="Times New Roman"/>
          <w:sz w:val="22"/>
          <w:szCs w:val="22"/>
        </w:rPr>
        <w:t xml:space="preserve">After considering </w:t>
      </w:r>
      <w:r w:rsidRPr="00F06896" w:rsidR="006B0952">
        <w:rPr>
          <w:rFonts w:ascii="Times New Roman" w:hAnsi="Times New Roman"/>
          <w:sz w:val="22"/>
          <w:szCs w:val="22"/>
        </w:rPr>
        <w:t>these additional aspects of lecanemab treatment</w:t>
      </w:r>
      <w:r w:rsidRPr="00F06896" w:rsidR="00C433E1">
        <w:rPr>
          <w:rFonts w:ascii="Times New Roman" w:hAnsi="Times New Roman"/>
          <w:sz w:val="22"/>
          <w:szCs w:val="22"/>
        </w:rPr>
        <w:t xml:space="preserve">, </w:t>
      </w:r>
      <w:r w:rsidRPr="00F06896" w:rsidR="00213946">
        <w:rPr>
          <w:rFonts w:ascii="Times New Roman" w:hAnsi="Times New Roman"/>
          <w:sz w:val="22"/>
          <w:szCs w:val="22"/>
        </w:rPr>
        <w:t>the Committee concluded:</w:t>
      </w:r>
    </w:p>
    <w:p w:rsidRPr="00F06896" w:rsidR="00B359A6" w:rsidP="007F0316" w:rsidRDefault="00B359A6" w14:paraId="5164D7A4" w14:textId="77777777">
      <w:pPr>
        <w:rPr>
          <w:rFonts w:ascii="Times New Roman" w:hAnsi="Times New Roman"/>
          <w:sz w:val="22"/>
          <w:szCs w:val="22"/>
        </w:rPr>
      </w:pPr>
    </w:p>
    <w:p w:rsidR="00213946" w:rsidP="007F0316" w:rsidRDefault="00213946" w14:paraId="3F4FC01F" w14:textId="3CE9AE24">
      <w:pPr>
        <w:ind w:left="360"/>
        <w:rPr>
          <w:rFonts w:ascii="Times New Roman" w:hAnsi="Times New Roman"/>
          <w:i/>
          <w:iCs/>
          <w:sz w:val="22"/>
          <w:szCs w:val="22"/>
        </w:rPr>
      </w:pPr>
      <w:r w:rsidRPr="00F06896">
        <w:rPr>
          <w:rFonts w:ascii="Times New Roman" w:hAnsi="Times New Roman"/>
          <w:i/>
          <w:iCs/>
          <w:sz w:val="22"/>
          <w:szCs w:val="22"/>
        </w:rPr>
        <w:t xml:space="preserve">“….that the uncaptured benefits and costs of lecanemab may increase or decrease the most plausible ICER. But it noted that it had not been presented with any information to incorporate the uncaptured aspects into the cost-effectiveness estimates. So, the committee was unable to reach a conclusion on the impact of uncaptured benefits and costs”. </w:t>
      </w:r>
    </w:p>
    <w:p w:rsidRPr="00F06896" w:rsidR="003E38FA" w:rsidP="007F0316" w:rsidRDefault="003E38FA" w14:paraId="3D40802B" w14:textId="77777777">
      <w:pPr>
        <w:ind w:left="360"/>
        <w:rPr>
          <w:rFonts w:ascii="Times New Roman" w:hAnsi="Times New Roman"/>
          <w:i/>
          <w:iCs/>
          <w:sz w:val="22"/>
          <w:szCs w:val="22"/>
        </w:rPr>
      </w:pPr>
    </w:p>
    <w:p w:rsidR="00797CC2" w:rsidP="007F0316" w:rsidRDefault="002A51E8" w14:paraId="51E53222" w14:textId="0A28BF50">
      <w:pPr>
        <w:rPr>
          <w:rFonts w:ascii="Times New Roman" w:hAnsi="Times New Roman"/>
          <w:sz w:val="22"/>
          <w:szCs w:val="22"/>
        </w:rPr>
      </w:pPr>
      <w:r w:rsidRPr="00F06896">
        <w:rPr>
          <w:rFonts w:ascii="Times New Roman" w:hAnsi="Times New Roman"/>
          <w:sz w:val="22"/>
          <w:szCs w:val="22"/>
        </w:rPr>
        <w:t>However</w:t>
      </w:r>
      <w:r w:rsidRPr="00F06896" w:rsidR="00815B16">
        <w:rPr>
          <w:rFonts w:ascii="Times New Roman" w:hAnsi="Times New Roman"/>
          <w:sz w:val="22"/>
          <w:szCs w:val="22"/>
        </w:rPr>
        <w:t>,</w:t>
      </w:r>
      <w:r w:rsidRPr="00F06896">
        <w:rPr>
          <w:rFonts w:ascii="Times New Roman" w:hAnsi="Times New Roman"/>
          <w:sz w:val="22"/>
          <w:szCs w:val="22"/>
        </w:rPr>
        <w:t xml:space="preserve"> while the uncaptured benefits listed at paragraph 3.31 </w:t>
      </w:r>
      <w:r w:rsidRPr="00F06896" w:rsidR="00DE6126">
        <w:rPr>
          <w:rFonts w:ascii="Times New Roman" w:hAnsi="Times New Roman"/>
          <w:sz w:val="22"/>
          <w:szCs w:val="22"/>
        </w:rPr>
        <w:t xml:space="preserve">of the FDG </w:t>
      </w:r>
      <w:r w:rsidRPr="00F06896">
        <w:rPr>
          <w:rFonts w:ascii="Times New Roman" w:hAnsi="Times New Roman"/>
          <w:sz w:val="22"/>
          <w:szCs w:val="22"/>
        </w:rPr>
        <w:t xml:space="preserve">are plausible and </w:t>
      </w:r>
      <w:r w:rsidRPr="00F06896" w:rsidR="00AD711C">
        <w:rPr>
          <w:rFonts w:ascii="Times New Roman" w:hAnsi="Times New Roman"/>
          <w:sz w:val="22"/>
          <w:szCs w:val="22"/>
        </w:rPr>
        <w:t>demonstrated</w:t>
      </w:r>
      <w:r w:rsidRPr="00F06896" w:rsidR="00AC75A2">
        <w:rPr>
          <w:rFonts w:ascii="Times New Roman" w:hAnsi="Times New Roman"/>
          <w:sz w:val="22"/>
          <w:szCs w:val="22"/>
        </w:rPr>
        <w:t xml:space="preserve"> by </w:t>
      </w:r>
      <w:r w:rsidRPr="00F06896" w:rsidR="000F3BDD">
        <w:rPr>
          <w:rFonts w:ascii="Times New Roman" w:hAnsi="Times New Roman"/>
          <w:sz w:val="22"/>
          <w:szCs w:val="22"/>
        </w:rPr>
        <w:t>substantial evidence from multiple sources made available to the Committee</w:t>
      </w:r>
      <w:r w:rsidRPr="00F06896" w:rsidDel="00C027C4" w:rsidR="000F3BDD">
        <w:rPr>
          <w:rFonts w:ascii="Times New Roman" w:hAnsi="Times New Roman"/>
          <w:sz w:val="22"/>
          <w:szCs w:val="22"/>
        </w:rPr>
        <w:t xml:space="preserve"> </w:t>
      </w:r>
      <w:r w:rsidRPr="00F06896" w:rsidR="00C027C4">
        <w:rPr>
          <w:rFonts w:ascii="Times New Roman" w:hAnsi="Times New Roman"/>
          <w:sz w:val="22"/>
          <w:szCs w:val="22"/>
        </w:rPr>
        <w:t>(e.g. Eisai’s initial submission at section B.3.13 and the initial submissions by Alzheimer’s Research UK and the Alzheimer’s Society)</w:t>
      </w:r>
      <w:r w:rsidRPr="00F06896">
        <w:rPr>
          <w:rFonts w:ascii="Times New Roman" w:hAnsi="Times New Roman"/>
          <w:sz w:val="22"/>
          <w:szCs w:val="22"/>
        </w:rPr>
        <w:t xml:space="preserve">, the </w:t>
      </w:r>
      <w:r w:rsidRPr="00F06896" w:rsidR="009D2153">
        <w:rPr>
          <w:rFonts w:ascii="Times New Roman" w:hAnsi="Times New Roman"/>
          <w:sz w:val="22"/>
          <w:szCs w:val="22"/>
        </w:rPr>
        <w:t xml:space="preserve">matters listed as “potential </w:t>
      </w:r>
      <w:r w:rsidRPr="00F06896">
        <w:rPr>
          <w:rFonts w:ascii="Times New Roman" w:hAnsi="Times New Roman"/>
          <w:sz w:val="22"/>
          <w:szCs w:val="22"/>
        </w:rPr>
        <w:t>harms</w:t>
      </w:r>
      <w:r w:rsidRPr="00F06896" w:rsidR="009D2153">
        <w:rPr>
          <w:rFonts w:ascii="Times New Roman" w:hAnsi="Times New Roman"/>
          <w:sz w:val="22"/>
          <w:szCs w:val="22"/>
        </w:rPr>
        <w:t xml:space="preserve">” </w:t>
      </w:r>
      <w:r w:rsidRPr="00F06896" w:rsidR="001114BB">
        <w:rPr>
          <w:rFonts w:ascii="Times New Roman" w:hAnsi="Times New Roman"/>
          <w:sz w:val="22"/>
          <w:szCs w:val="22"/>
        </w:rPr>
        <w:t xml:space="preserve">either fall outside NICE’s remit or </w:t>
      </w:r>
      <w:r w:rsidRPr="00F06896" w:rsidR="001D475E">
        <w:rPr>
          <w:rFonts w:ascii="Times New Roman" w:hAnsi="Times New Roman"/>
          <w:sz w:val="22"/>
          <w:szCs w:val="22"/>
        </w:rPr>
        <w:t xml:space="preserve">comprise matters not specific to lecanemab which </w:t>
      </w:r>
      <w:r w:rsidRPr="00F06896" w:rsidR="009562DC">
        <w:rPr>
          <w:rFonts w:ascii="Times New Roman" w:hAnsi="Times New Roman"/>
          <w:sz w:val="22"/>
          <w:szCs w:val="22"/>
        </w:rPr>
        <w:t>have not previously been considered in NICE appraisals</w:t>
      </w:r>
      <w:r w:rsidRPr="00F06896" w:rsidR="00E034CB">
        <w:rPr>
          <w:rFonts w:ascii="Times New Roman" w:hAnsi="Times New Roman"/>
          <w:sz w:val="22"/>
          <w:szCs w:val="22"/>
        </w:rPr>
        <w:t>.  In particular</w:t>
      </w:r>
      <w:r w:rsidRPr="00F06896" w:rsidR="00232A8F">
        <w:rPr>
          <w:rFonts w:ascii="Times New Roman" w:hAnsi="Times New Roman"/>
          <w:sz w:val="22"/>
          <w:szCs w:val="22"/>
        </w:rPr>
        <w:t>:</w:t>
      </w:r>
    </w:p>
    <w:p w:rsidRPr="00F06896" w:rsidR="00B359A6" w:rsidP="007F0316" w:rsidRDefault="00B359A6" w14:paraId="4D157CA6" w14:textId="77777777">
      <w:pPr>
        <w:rPr>
          <w:rFonts w:ascii="Times New Roman" w:hAnsi="Times New Roman"/>
          <w:sz w:val="22"/>
          <w:szCs w:val="22"/>
        </w:rPr>
      </w:pPr>
    </w:p>
    <w:p w:rsidRPr="00F06896" w:rsidR="0024343D" w:rsidP="00D161D6" w:rsidRDefault="00260A9A" w14:paraId="3DB9A73B" w14:textId="0ACB0AA5">
      <w:pPr>
        <w:pStyle w:val="ListParagraph"/>
        <w:numPr>
          <w:ilvl w:val="0"/>
          <w:numId w:val="11"/>
        </w:numPr>
        <w:ind w:left="720"/>
        <w:rPr>
          <w:rFonts w:ascii="Times New Roman" w:hAnsi="Times New Roman"/>
          <w:sz w:val="22"/>
          <w:szCs w:val="22"/>
        </w:rPr>
      </w:pPr>
      <w:r w:rsidRPr="00F06896">
        <w:rPr>
          <w:rFonts w:ascii="Times New Roman" w:hAnsi="Times New Roman"/>
          <w:sz w:val="22"/>
          <w:szCs w:val="22"/>
        </w:rPr>
        <w:t xml:space="preserve">Where </w:t>
      </w:r>
      <w:r w:rsidRPr="00F06896" w:rsidR="00E72D29">
        <w:rPr>
          <w:rFonts w:ascii="Times New Roman" w:hAnsi="Times New Roman"/>
          <w:sz w:val="22"/>
          <w:szCs w:val="22"/>
        </w:rPr>
        <w:t>described as “</w:t>
      </w:r>
      <w:r w:rsidRPr="00F06896" w:rsidR="00126DE0">
        <w:rPr>
          <w:rFonts w:ascii="Times New Roman" w:hAnsi="Times New Roman"/>
          <w:sz w:val="22"/>
          <w:szCs w:val="22"/>
        </w:rPr>
        <w:t xml:space="preserve">false </w:t>
      </w:r>
      <w:r w:rsidRPr="00F06896" w:rsidR="00E72D29">
        <w:rPr>
          <w:rFonts w:ascii="Times New Roman" w:hAnsi="Times New Roman"/>
          <w:sz w:val="22"/>
          <w:szCs w:val="22"/>
        </w:rPr>
        <w:t>hopes”</w:t>
      </w:r>
      <w:r w:rsidRPr="00F06896">
        <w:rPr>
          <w:rFonts w:ascii="Times New Roman" w:hAnsi="Times New Roman"/>
          <w:sz w:val="22"/>
          <w:szCs w:val="22"/>
        </w:rPr>
        <w:t xml:space="preserve"> or associated with the need for diagnosis or </w:t>
      </w:r>
      <w:r w:rsidRPr="00F06896" w:rsidR="0024343D">
        <w:rPr>
          <w:rFonts w:ascii="Times New Roman" w:hAnsi="Times New Roman"/>
          <w:sz w:val="22"/>
          <w:szCs w:val="22"/>
        </w:rPr>
        <w:t xml:space="preserve">monitoring, </w:t>
      </w:r>
      <w:r w:rsidRPr="00F06896" w:rsidR="00E034CB">
        <w:rPr>
          <w:rFonts w:ascii="Times New Roman" w:hAnsi="Times New Roman"/>
          <w:sz w:val="22"/>
          <w:szCs w:val="22"/>
        </w:rPr>
        <w:t xml:space="preserve">these are </w:t>
      </w:r>
      <w:r w:rsidRPr="00F06896" w:rsidR="002A51E8">
        <w:rPr>
          <w:rFonts w:ascii="Times New Roman" w:hAnsi="Times New Roman"/>
          <w:sz w:val="22"/>
          <w:szCs w:val="22"/>
        </w:rPr>
        <w:t xml:space="preserve">matters </w:t>
      </w:r>
      <w:r w:rsidRPr="00F06896" w:rsidR="00E41401">
        <w:rPr>
          <w:rFonts w:ascii="Times New Roman" w:hAnsi="Times New Roman"/>
          <w:sz w:val="22"/>
          <w:szCs w:val="22"/>
        </w:rPr>
        <w:t xml:space="preserve">invariably or frequently </w:t>
      </w:r>
      <w:r w:rsidRPr="00F06896" w:rsidR="002A51E8">
        <w:rPr>
          <w:rFonts w:ascii="Times New Roman" w:hAnsi="Times New Roman"/>
          <w:sz w:val="22"/>
          <w:szCs w:val="22"/>
        </w:rPr>
        <w:t xml:space="preserve">associated with </w:t>
      </w:r>
      <w:r w:rsidRPr="00F06896" w:rsidR="009B5148">
        <w:rPr>
          <w:rFonts w:ascii="Times New Roman" w:hAnsi="Times New Roman"/>
          <w:sz w:val="22"/>
          <w:szCs w:val="22"/>
        </w:rPr>
        <w:t>other targeted therapies</w:t>
      </w:r>
      <w:r w:rsidRPr="00F06896" w:rsidR="00555BAA">
        <w:rPr>
          <w:rFonts w:ascii="Times New Roman" w:hAnsi="Times New Roman"/>
          <w:sz w:val="22"/>
          <w:szCs w:val="22"/>
        </w:rPr>
        <w:t xml:space="preserve"> for other conditions such as cancer</w:t>
      </w:r>
      <w:r w:rsidRPr="00F06896" w:rsidR="009B5148">
        <w:rPr>
          <w:rFonts w:ascii="Times New Roman" w:hAnsi="Times New Roman"/>
          <w:sz w:val="22"/>
          <w:szCs w:val="22"/>
        </w:rPr>
        <w:t xml:space="preserve"> </w:t>
      </w:r>
      <w:r w:rsidRPr="00F06896" w:rsidR="002A51E8">
        <w:rPr>
          <w:rFonts w:ascii="Times New Roman" w:hAnsi="Times New Roman"/>
          <w:sz w:val="22"/>
          <w:szCs w:val="22"/>
        </w:rPr>
        <w:t>(</w:t>
      </w:r>
      <w:r w:rsidRPr="00F06896" w:rsidR="00E41401">
        <w:rPr>
          <w:rFonts w:ascii="Times New Roman" w:hAnsi="Times New Roman"/>
          <w:sz w:val="22"/>
          <w:szCs w:val="22"/>
        </w:rPr>
        <w:t>i.e.</w:t>
      </w:r>
      <w:r w:rsidRPr="00F06896" w:rsidR="002A51E8">
        <w:rPr>
          <w:rFonts w:ascii="Times New Roman" w:hAnsi="Times New Roman"/>
          <w:sz w:val="22"/>
          <w:szCs w:val="22"/>
        </w:rPr>
        <w:t xml:space="preserve"> the possibility of non-eligibility </w:t>
      </w:r>
      <w:r w:rsidRPr="00F06896" w:rsidR="00E41401">
        <w:rPr>
          <w:rFonts w:ascii="Times New Roman" w:hAnsi="Times New Roman"/>
          <w:sz w:val="22"/>
          <w:szCs w:val="22"/>
        </w:rPr>
        <w:t xml:space="preserve">for treatment </w:t>
      </w:r>
      <w:r w:rsidRPr="00F06896" w:rsidR="002A51E8">
        <w:rPr>
          <w:rFonts w:ascii="Times New Roman" w:hAnsi="Times New Roman"/>
          <w:sz w:val="22"/>
          <w:szCs w:val="22"/>
        </w:rPr>
        <w:t xml:space="preserve">or </w:t>
      </w:r>
      <w:r w:rsidRPr="00F06896" w:rsidR="00E41401">
        <w:rPr>
          <w:rFonts w:ascii="Times New Roman" w:hAnsi="Times New Roman"/>
          <w:sz w:val="22"/>
          <w:szCs w:val="22"/>
        </w:rPr>
        <w:t xml:space="preserve">that </w:t>
      </w:r>
      <w:r w:rsidRPr="00F06896" w:rsidR="002A51E8">
        <w:rPr>
          <w:rFonts w:ascii="Times New Roman" w:hAnsi="Times New Roman"/>
          <w:sz w:val="22"/>
          <w:szCs w:val="22"/>
        </w:rPr>
        <w:t xml:space="preserve">the therapy </w:t>
      </w:r>
      <w:r w:rsidRPr="00F06896" w:rsidR="00E41401">
        <w:rPr>
          <w:rFonts w:ascii="Times New Roman" w:hAnsi="Times New Roman"/>
          <w:sz w:val="22"/>
          <w:szCs w:val="22"/>
        </w:rPr>
        <w:t xml:space="preserve">will </w:t>
      </w:r>
      <w:r w:rsidRPr="00F06896" w:rsidR="002A51E8">
        <w:rPr>
          <w:rFonts w:ascii="Times New Roman" w:hAnsi="Times New Roman"/>
          <w:sz w:val="22"/>
          <w:szCs w:val="22"/>
        </w:rPr>
        <w:t>be ineffective</w:t>
      </w:r>
      <w:r w:rsidRPr="00F06896" w:rsidR="00E41401">
        <w:rPr>
          <w:rFonts w:ascii="Times New Roman" w:hAnsi="Times New Roman"/>
          <w:sz w:val="22"/>
          <w:szCs w:val="22"/>
        </w:rPr>
        <w:t>)</w:t>
      </w:r>
      <w:r w:rsidRPr="00F06896" w:rsidR="0024343D">
        <w:rPr>
          <w:rFonts w:ascii="Times New Roman" w:hAnsi="Times New Roman"/>
          <w:sz w:val="22"/>
          <w:szCs w:val="22"/>
        </w:rPr>
        <w:t>;</w:t>
      </w:r>
      <w:r w:rsidR="002C06AC">
        <w:rPr>
          <w:rFonts w:ascii="Times New Roman" w:hAnsi="Times New Roman"/>
          <w:sz w:val="22"/>
          <w:szCs w:val="22"/>
        </w:rPr>
        <w:t xml:space="preserve"> </w:t>
      </w:r>
      <w:r w:rsidRPr="00F06896" w:rsidR="0024343D">
        <w:rPr>
          <w:rFonts w:ascii="Times New Roman" w:hAnsi="Times New Roman"/>
          <w:sz w:val="22"/>
          <w:szCs w:val="22"/>
        </w:rPr>
        <w:t>or</w:t>
      </w:r>
    </w:p>
    <w:p w:rsidR="002A51E8" w:rsidP="00D161D6" w:rsidRDefault="009B69C7" w14:paraId="4C3EF489" w14:textId="2D06B4A3">
      <w:pPr>
        <w:pStyle w:val="ListParagraph"/>
        <w:numPr>
          <w:ilvl w:val="0"/>
          <w:numId w:val="11"/>
        </w:numPr>
        <w:ind w:left="720"/>
        <w:rPr>
          <w:rFonts w:ascii="Times New Roman" w:hAnsi="Times New Roman"/>
          <w:sz w:val="22"/>
          <w:szCs w:val="22"/>
        </w:rPr>
      </w:pPr>
      <w:r w:rsidRPr="00F06896">
        <w:rPr>
          <w:rFonts w:ascii="Times New Roman" w:hAnsi="Times New Roman"/>
          <w:sz w:val="22"/>
          <w:szCs w:val="22"/>
        </w:rPr>
        <w:t>The</w:t>
      </w:r>
      <w:r w:rsidRPr="00F06896" w:rsidR="00232CE0">
        <w:rPr>
          <w:rFonts w:ascii="Times New Roman" w:hAnsi="Times New Roman"/>
          <w:sz w:val="22"/>
          <w:szCs w:val="22"/>
        </w:rPr>
        <w:t>se</w:t>
      </w:r>
      <w:r w:rsidRPr="00F06896">
        <w:rPr>
          <w:rFonts w:ascii="Times New Roman" w:hAnsi="Times New Roman"/>
          <w:sz w:val="22"/>
          <w:szCs w:val="22"/>
        </w:rPr>
        <w:t xml:space="preserve"> matters </w:t>
      </w:r>
      <w:r w:rsidRPr="00F06896" w:rsidR="00835047">
        <w:rPr>
          <w:rFonts w:ascii="Times New Roman" w:hAnsi="Times New Roman"/>
          <w:sz w:val="22"/>
          <w:szCs w:val="22"/>
        </w:rPr>
        <w:t xml:space="preserve">relate </w:t>
      </w:r>
      <w:r w:rsidRPr="00F06896" w:rsidR="00B044E1">
        <w:rPr>
          <w:rFonts w:ascii="Times New Roman" w:hAnsi="Times New Roman"/>
          <w:sz w:val="22"/>
          <w:szCs w:val="22"/>
        </w:rPr>
        <w:t>to the need for general improvement in dementia services in England</w:t>
      </w:r>
      <w:r w:rsidRPr="00F06896" w:rsidR="002B25CA">
        <w:rPr>
          <w:rFonts w:ascii="Times New Roman" w:hAnsi="Times New Roman"/>
          <w:sz w:val="22"/>
          <w:szCs w:val="22"/>
        </w:rPr>
        <w:t xml:space="preserve">, a </w:t>
      </w:r>
      <w:r w:rsidRPr="00F06896" w:rsidR="00CC5C42">
        <w:rPr>
          <w:rFonts w:ascii="Times New Roman" w:hAnsi="Times New Roman"/>
          <w:sz w:val="22"/>
          <w:szCs w:val="22"/>
        </w:rPr>
        <w:t>matter outside NICE</w:t>
      </w:r>
      <w:r w:rsidRPr="00F06896" w:rsidR="00881C0D">
        <w:rPr>
          <w:rFonts w:ascii="Times New Roman" w:hAnsi="Times New Roman"/>
          <w:sz w:val="22"/>
          <w:szCs w:val="22"/>
        </w:rPr>
        <w:t>’s remit (</w:t>
      </w:r>
      <w:r w:rsidRPr="00F06896" w:rsidR="00550643">
        <w:rPr>
          <w:rFonts w:ascii="Times New Roman" w:hAnsi="Times New Roman"/>
          <w:sz w:val="22"/>
          <w:szCs w:val="22"/>
        </w:rPr>
        <w:t xml:space="preserve">as </w:t>
      </w:r>
      <w:r w:rsidRPr="00F06896" w:rsidR="00DE6126">
        <w:rPr>
          <w:rFonts w:ascii="Times New Roman" w:hAnsi="Times New Roman"/>
          <w:sz w:val="22"/>
          <w:szCs w:val="22"/>
        </w:rPr>
        <w:t>noted by the Committee at paragraph 6.30)</w:t>
      </w:r>
      <w:r w:rsidRPr="00F06896" w:rsidR="00721AC7">
        <w:rPr>
          <w:rFonts w:ascii="Times New Roman" w:hAnsi="Times New Roman"/>
          <w:sz w:val="22"/>
          <w:szCs w:val="22"/>
        </w:rPr>
        <w:t xml:space="preserve"> and to the extent that improvement in services is stimulated by the availab</w:t>
      </w:r>
      <w:r w:rsidRPr="00F06896" w:rsidR="00F07A38">
        <w:rPr>
          <w:rFonts w:ascii="Times New Roman" w:hAnsi="Times New Roman"/>
          <w:sz w:val="22"/>
          <w:szCs w:val="22"/>
        </w:rPr>
        <w:t xml:space="preserve">ility of lecanemab, a benefit rather than a harm.  </w:t>
      </w:r>
    </w:p>
    <w:p w:rsidRPr="00F06896" w:rsidR="003E38FA" w:rsidP="003E38FA" w:rsidRDefault="003E38FA" w14:paraId="03D1C645" w14:textId="77777777">
      <w:pPr>
        <w:pStyle w:val="ListParagraph"/>
        <w:rPr>
          <w:rFonts w:ascii="Times New Roman" w:hAnsi="Times New Roman"/>
          <w:sz w:val="22"/>
          <w:szCs w:val="22"/>
        </w:rPr>
      </w:pPr>
    </w:p>
    <w:p w:rsidR="006C5839" w:rsidP="007F0316" w:rsidRDefault="00B04861" w14:paraId="7A88943F" w14:textId="11708A5C">
      <w:pPr>
        <w:rPr>
          <w:rFonts w:ascii="Times New Roman" w:hAnsi="Times New Roman"/>
          <w:sz w:val="22"/>
          <w:szCs w:val="22"/>
        </w:rPr>
      </w:pPr>
      <w:r w:rsidRPr="00F06896">
        <w:rPr>
          <w:rFonts w:ascii="Times New Roman" w:hAnsi="Times New Roman"/>
          <w:sz w:val="22"/>
          <w:szCs w:val="22"/>
        </w:rPr>
        <w:t>Furthermore, the C</w:t>
      </w:r>
      <w:r w:rsidRPr="00F06896" w:rsidR="002A51E8">
        <w:rPr>
          <w:rFonts w:ascii="Times New Roman" w:hAnsi="Times New Roman"/>
          <w:sz w:val="22"/>
          <w:szCs w:val="22"/>
        </w:rPr>
        <w:t xml:space="preserve">ommittee’s </w:t>
      </w:r>
      <w:r w:rsidRPr="00F06896">
        <w:rPr>
          <w:rFonts w:ascii="Times New Roman" w:hAnsi="Times New Roman"/>
          <w:sz w:val="22"/>
          <w:szCs w:val="22"/>
        </w:rPr>
        <w:t xml:space="preserve">assertion that </w:t>
      </w:r>
      <w:r w:rsidRPr="00F06896" w:rsidR="00A335DE">
        <w:rPr>
          <w:rFonts w:ascii="Times New Roman" w:hAnsi="Times New Roman"/>
          <w:sz w:val="22"/>
          <w:szCs w:val="22"/>
        </w:rPr>
        <w:t xml:space="preserve">it was not provided with information to incorporate the uncaptured benefits into the cost-effectiveness </w:t>
      </w:r>
      <w:r w:rsidRPr="00F06896" w:rsidR="00A472E1">
        <w:rPr>
          <w:rFonts w:ascii="Times New Roman" w:hAnsi="Times New Roman"/>
          <w:sz w:val="22"/>
          <w:szCs w:val="22"/>
        </w:rPr>
        <w:t xml:space="preserve">estimates is incorrect. </w:t>
      </w:r>
      <w:r w:rsidRPr="00F06896" w:rsidR="00926CF1">
        <w:rPr>
          <w:rFonts w:ascii="Times New Roman" w:hAnsi="Times New Roman"/>
          <w:sz w:val="22"/>
          <w:szCs w:val="22"/>
        </w:rPr>
        <w:t>Several</w:t>
      </w:r>
      <w:r w:rsidRPr="00F06896" w:rsidR="00A472E1">
        <w:rPr>
          <w:rFonts w:ascii="Times New Roman" w:hAnsi="Times New Roman"/>
          <w:sz w:val="22"/>
          <w:szCs w:val="22"/>
        </w:rPr>
        <w:t xml:space="preserve"> scenario analyses </w:t>
      </w:r>
      <w:r w:rsidRPr="00F06896" w:rsidR="00044CDB">
        <w:rPr>
          <w:rFonts w:ascii="Times New Roman" w:hAnsi="Times New Roman"/>
          <w:sz w:val="22"/>
          <w:szCs w:val="22"/>
        </w:rPr>
        <w:t xml:space="preserve">were included </w:t>
      </w:r>
      <w:r w:rsidRPr="00F06896" w:rsidR="00A472E1">
        <w:rPr>
          <w:rFonts w:ascii="Times New Roman" w:hAnsi="Times New Roman"/>
          <w:sz w:val="22"/>
          <w:szCs w:val="22"/>
        </w:rPr>
        <w:t xml:space="preserve">with </w:t>
      </w:r>
      <w:r w:rsidRPr="00F06896" w:rsidR="00044CDB">
        <w:rPr>
          <w:rFonts w:ascii="Times New Roman" w:hAnsi="Times New Roman"/>
          <w:sz w:val="22"/>
          <w:szCs w:val="22"/>
        </w:rPr>
        <w:t xml:space="preserve">Eisai’s </w:t>
      </w:r>
      <w:r w:rsidRPr="00F06896" w:rsidR="00752CA3">
        <w:rPr>
          <w:rFonts w:ascii="Times New Roman" w:hAnsi="Times New Roman"/>
          <w:sz w:val="22"/>
          <w:szCs w:val="22"/>
        </w:rPr>
        <w:t xml:space="preserve">initial </w:t>
      </w:r>
      <w:r w:rsidRPr="00F06896" w:rsidR="00044CDB">
        <w:rPr>
          <w:rFonts w:ascii="Times New Roman" w:hAnsi="Times New Roman"/>
          <w:sz w:val="22"/>
          <w:szCs w:val="22"/>
        </w:rPr>
        <w:t>submission in December 2023</w:t>
      </w:r>
      <w:r w:rsidRPr="00F06896" w:rsidR="001400B5">
        <w:rPr>
          <w:rFonts w:ascii="Times New Roman" w:hAnsi="Times New Roman"/>
          <w:sz w:val="22"/>
          <w:szCs w:val="22"/>
        </w:rPr>
        <w:t xml:space="preserve"> (see </w:t>
      </w:r>
      <w:r w:rsidRPr="00F06896" w:rsidR="00510D02">
        <w:rPr>
          <w:rFonts w:ascii="Times New Roman" w:hAnsi="Times New Roman"/>
          <w:sz w:val="22"/>
          <w:szCs w:val="22"/>
        </w:rPr>
        <w:t>table 7</w:t>
      </w:r>
      <w:r w:rsidRPr="00F06896" w:rsidR="00D7255D">
        <w:rPr>
          <w:rFonts w:ascii="Times New Roman" w:hAnsi="Times New Roman"/>
          <w:sz w:val="22"/>
          <w:szCs w:val="22"/>
        </w:rPr>
        <w:t xml:space="preserve">0) and section B.3.13, </w:t>
      </w:r>
      <w:r w:rsidRPr="00F06896" w:rsidR="00A41933">
        <w:rPr>
          <w:rFonts w:ascii="Times New Roman" w:hAnsi="Times New Roman"/>
          <w:sz w:val="22"/>
          <w:szCs w:val="22"/>
        </w:rPr>
        <w:t xml:space="preserve">which </w:t>
      </w:r>
      <w:r w:rsidRPr="00F06896" w:rsidR="00773EDB">
        <w:rPr>
          <w:rFonts w:ascii="Times New Roman" w:hAnsi="Times New Roman"/>
          <w:sz w:val="22"/>
          <w:szCs w:val="22"/>
        </w:rPr>
        <w:t xml:space="preserve">address </w:t>
      </w:r>
      <w:r w:rsidRPr="00F06896" w:rsidR="00AD711C">
        <w:rPr>
          <w:rFonts w:ascii="Times New Roman" w:hAnsi="Times New Roman"/>
          <w:sz w:val="22"/>
          <w:szCs w:val="22"/>
        </w:rPr>
        <w:t xml:space="preserve">a number of </w:t>
      </w:r>
      <w:r w:rsidRPr="00F06896" w:rsidR="00773EDB">
        <w:rPr>
          <w:rFonts w:ascii="Times New Roman" w:hAnsi="Times New Roman"/>
          <w:sz w:val="22"/>
          <w:szCs w:val="22"/>
        </w:rPr>
        <w:t xml:space="preserve">these factors. </w:t>
      </w:r>
      <w:r w:rsidRPr="00F06896" w:rsidR="006C5839">
        <w:rPr>
          <w:rFonts w:ascii="Times New Roman" w:hAnsi="Times New Roman"/>
          <w:sz w:val="22"/>
          <w:szCs w:val="22"/>
        </w:rPr>
        <w:t xml:space="preserve">Furthermore, </w:t>
      </w:r>
      <w:r w:rsidRPr="00F06896" w:rsidR="00BE3604">
        <w:rPr>
          <w:rFonts w:ascii="Times New Roman" w:hAnsi="Times New Roman"/>
          <w:sz w:val="22"/>
          <w:szCs w:val="22"/>
        </w:rPr>
        <w:t xml:space="preserve">the </w:t>
      </w:r>
      <w:r w:rsidRPr="00F06896" w:rsidR="006C5839">
        <w:rPr>
          <w:rFonts w:ascii="Times New Roman" w:hAnsi="Times New Roman"/>
          <w:sz w:val="22"/>
          <w:szCs w:val="22"/>
        </w:rPr>
        <w:t>FDG provides no indication that the Committee took into account the uncaptured benefits associated with lecanemab treatment as specifically required by paragraph 6.3.5 of the Manual, when determining the ICER threshold for the purposes of this appraisal.</w:t>
      </w:r>
    </w:p>
    <w:p w:rsidRPr="00F06896" w:rsidR="003E38FA" w:rsidP="007F0316" w:rsidRDefault="003E38FA" w14:paraId="7471DA19" w14:textId="77777777">
      <w:pPr>
        <w:rPr>
          <w:rFonts w:ascii="Times New Roman" w:hAnsi="Times New Roman"/>
          <w:sz w:val="22"/>
          <w:szCs w:val="22"/>
        </w:rPr>
      </w:pPr>
    </w:p>
    <w:p w:rsidRPr="00F06896" w:rsidR="00957500" w:rsidP="007F0316" w:rsidRDefault="006C5839" w14:paraId="5B2210B0" w14:textId="220FBB4F">
      <w:pPr>
        <w:rPr>
          <w:rFonts w:ascii="Times New Roman" w:hAnsi="Times New Roman"/>
          <w:sz w:val="22"/>
          <w:szCs w:val="22"/>
        </w:rPr>
      </w:pPr>
      <w:r w:rsidRPr="00F06896">
        <w:rPr>
          <w:rFonts w:ascii="Times New Roman" w:hAnsi="Times New Roman"/>
          <w:sz w:val="22"/>
          <w:szCs w:val="22"/>
        </w:rPr>
        <w:t xml:space="preserve">In summary, the uncaptured benefits associated with lecanemab are </w:t>
      </w:r>
      <w:r w:rsidRPr="00F06896" w:rsidR="0069687F">
        <w:rPr>
          <w:rFonts w:ascii="Times New Roman" w:hAnsi="Times New Roman"/>
          <w:sz w:val="22"/>
          <w:szCs w:val="22"/>
        </w:rPr>
        <w:t xml:space="preserve">well established and </w:t>
      </w:r>
      <w:r w:rsidRPr="00F06896" w:rsidR="00531563">
        <w:rPr>
          <w:rFonts w:ascii="Times New Roman" w:hAnsi="Times New Roman"/>
          <w:sz w:val="22"/>
          <w:szCs w:val="22"/>
        </w:rPr>
        <w:t>supported by evidence from published and non-published sources</w:t>
      </w:r>
      <w:r w:rsidRPr="00F06896" w:rsidR="0069687F">
        <w:rPr>
          <w:rFonts w:ascii="Times New Roman" w:hAnsi="Times New Roman"/>
          <w:sz w:val="22"/>
          <w:szCs w:val="22"/>
        </w:rPr>
        <w:t xml:space="preserve"> as well as </w:t>
      </w:r>
      <w:r w:rsidRPr="00F06896" w:rsidR="002E5229">
        <w:rPr>
          <w:rFonts w:ascii="Times New Roman" w:hAnsi="Times New Roman"/>
          <w:sz w:val="22"/>
          <w:szCs w:val="22"/>
        </w:rPr>
        <w:t>scenario analyses demonstrating the effect on cost-effectiveness.</w:t>
      </w:r>
      <w:r w:rsidRPr="00F06896" w:rsidR="007861DC">
        <w:rPr>
          <w:rFonts w:ascii="Times New Roman" w:hAnsi="Times New Roman"/>
          <w:sz w:val="22"/>
          <w:szCs w:val="22"/>
        </w:rPr>
        <w:t xml:space="preserve"> In contrast, the matters described in the </w:t>
      </w:r>
      <w:r w:rsidRPr="00F06896" w:rsidR="001E7659">
        <w:rPr>
          <w:rFonts w:ascii="Times New Roman" w:hAnsi="Times New Roman"/>
          <w:sz w:val="22"/>
          <w:szCs w:val="22"/>
        </w:rPr>
        <w:t xml:space="preserve">FDG as </w:t>
      </w:r>
      <w:r w:rsidRPr="00F06896" w:rsidR="00BB3EFF">
        <w:rPr>
          <w:rFonts w:ascii="Times New Roman" w:hAnsi="Times New Roman"/>
          <w:sz w:val="22"/>
          <w:szCs w:val="22"/>
        </w:rPr>
        <w:t>“</w:t>
      </w:r>
      <w:r w:rsidRPr="00F06896" w:rsidR="001E7659">
        <w:rPr>
          <w:rFonts w:ascii="Times New Roman" w:hAnsi="Times New Roman"/>
          <w:sz w:val="22"/>
          <w:szCs w:val="22"/>
        </w:rPr>
        <w:t>potential harms</w:t>
      </w:r>
      <w:r w:rsidRPr="00F06896" w:rsidR="00BB3EFF">
        <w:rPr>
          <w:rFonts w:ascii="Times New Roman" w:hAnsi="Times New Roman"/>
          <w:sz w:val="22"/>
          <w:szCs w:val="22"/>
        </w:rPr>
        <w:t>”</w:t>
      </w:r>
      <w:r w:rsidRPr="00F06896" w:rsidR="001E7659">
        <w:rPr>
          <w:rFonts w:ascii="Times New Roman" w:hAnsi="Times New Roman"/>
          <w:sz w:val="22"/>
          <w:szCs w:val="22"/>
        </w:rPr>
        <w:t xml:space="preserve"> are </w:t>
      </w:r>
      <w:r w:rsidRPr="00F06896" w:rsidR="00EE3964">
        <w:rPr>
          <w:rFonts w:ascii="Times New Roman" w:hAnsi="Times New Roman"/>
          <w:sz w:val="22"/>
          <w:szCs w:val="22"/>
        </w:rPr>
        <w:t xml:space="preserve">speculative, </w:t>
      </w:r>
      <w:r w:rsidRPr="00F06896" w:rsidR="00DC79E2">
        <w:rPr>
          <w:rFonts w:ascii="Times New Roman" w:hAnsi="Times New Roman"/>
          <w:sz w:val="22"/>
          <w:szCs w:val="22"/>
        </w:rPr>
        <w:t xml:space="preserve">outside NICE’s remit </w:t>
      </w:r>
      <w:r w:rsidRPr="00F06896" w:rsidR="00EE3964">
        <w:rPr>
          <w:rFonts w:ascii="Times New Roman" w:hAnsi="Times New Roman"/>
          <w:sz w:val="22"/>
          <w:szCs w:val="22"/>
        </w:rPr>
        <w:t>and/</w:t>
      </w:r>
      <w:r w:rsidRPr="00F06896" w:rsidR="00DC79E2">
        <w:rPr>
          <w:rFonts w:ascii="Times New Roman" w:hAnsi="Times New Roman"/>
          <w:sz w:val="22"/>
          <w:szCs w:val="22"/>
        </w:rPr>
        <w:t xml:space="preserve">or </w:t>
      </w:r>
      <w:r w:rsidRPr="00F06896" w:rsidR="008627E5">
        <w:rPr>
          <w:rFonts w:ascii="Times New Roman" w:hAnsi="Times New Roman"/>
          <w:sz w:val="22"/>
          <w:szCs w:val="22"/>
        </w:rPr>
        <w:t xml:space="preserve">not matters taken into account in other appraisals. To the extent that </w:t>
      </w:r>
      <w:r w:rsidRPr="00F06896" w:rsidR="00115786">
        <w:rPr>
          <w:rFonts w:ascii="Times New Roman" w:hAnsi="Times New Roman"/>
          <w:sz w:val="22"/>
          <w:szCs w:val="22"/>
        </w:rPr>
        <w:t xml:space="preserve">the Committee wishes to rely upon such matters, it is required to explain why </w:t>
      </w:r>
      <w:r w:rsidRPr="00F06896" w:rsidR="006A2C67">
        <w:rPr>
          <w:rFonts w:ascii="Times New Roman" w:hAnsi="Times New Roman"/>
          <w:sz w:val="22"/>
          <w:szCs w:val="22"/>
        </w:rPr>
        <w:t xml:space="preserve">this is </w:t>
      </w:r>
      <w:r w:rsidRPr="00F06896" w:rsidR="002C3CCA">
        <w:rPr>
          <w:rFonts w:ascii="Times New Roman" w:hAnsi="Times New Roman"/>
          <w:sz w:val="22"/>
          <w:szCs w:val="22"/>
        </w:rPr>
        <w:t>appropriate for</w:t>
      </w:r>
      <w:r w:rsidRPr="00F06896" w:rsidR="00BB3EFF">
        <w:rPr>
          <w:rFonts w:ascii="Times New Roman" w:hAnsi="Times New Roman"/>
          <w:sz w:val="22"/>
          <w:szCs w:val="22"/>
        </w:rPr>
        <w:t xml:space="preserve"> AD</w:t>
      </w:r>
      <w:r w:rsidRPr="00F06896" w:rsidR="006A2C67">
        <w:rPr>
          <w:rFonts w:ascii="Times New Roman" w:hAnsi="Times New Roman"/>
          <w:sz w:val="22"/>
          <w:szCs w:val="22"/>
        </w:rPr>
        <w:t>, when it has not been considered appropriate in appraisals of other technologies.</w:t>
      </w:r>
      <w:r w:rsidRPr="00F06896" w:rsidR="00115786">
        <w:rPr>
          <w:rFonts w:ascii="Times New Roman" w:hAnsi="Times New Roman"/>
          <w:sz w:val="22"/>
          <w:szCs w:val="22"/>
        </w:rPr>
        <w:t xml:space="preserve"> </w:t>
      </w:r>
      <w:r w:rsidRPr="00F06896" w:rsidR="007619BA">
        <w:rPr>
          <w:rFonts w:ascii="Times New Roman" w:hAnsi="Times New Roman"/>
          <w:sz w:val="22"/>
          <w:szCs w:val="22"/>
        </w:rPr>
        <w:t xml:space="preserve">In the absence of a credible explanation for considering the alleged </w:t>
      </w:r>
      <w:r w:rsidRPr="00F06896" w:rsidR="007268DB">
        <w:rPr>
          <w:rFonts w:ascii="Times New Roman" w:hAnsi="Times New Roman"/>
          <w:sz w:val="22"/>
          <w:szCs w:val="22"/>
        </w:rPr>
        <w:t xml:space="preserve">potential harms and justification for the conclusion reached, the Committee’s statement </w:t>
      </w:r>
      <w:r w:rsidRPr="00F06896" w:rsidR="004E429C">
        <w:rPr>
          <w:rFonts w:ascii="Times New Roman" w:hAnsi="Times New Roman"/>
          <w:sz w:val="22"/>
          <w:szCs w:val="22"/>
        </w:rPr>
        <w:t xml:space="preserve">that it was unable to reach a conclusion </w:t>
      </w:r>
      <w:r w:rsidRPr="00F06896" w:rsidR="00AB673D">
        <w:rPr>
          <w:rFonts w:ascii="Times New Roman" w:hAnsi="Times New Roman"/>
          <w:sz w:val="22"/>
          <w:szCs w:val="22"/>
        </w:rPr>
        <w:t>on the impact of the identified benefits and potential harms is arbitrary and unreasonable.</w:t>
      </w:r>
    </w:p>
    <w:p w:rsidRPr="00F06896" w:rsidR="00ED4941" w:rsidP="007F0316" w:rsidRDefault="00ED4941" w14:paraId="5491256F" w14:textId="77777777">
      <w:pPr>
        <w:ind w:left="360"/>
        <w:rPr>
          <w:rFonts w:ascii="Times New Roman" w:hAnsi="Times New Roman"/>
          <w:sz w:val="22"/>
          <w:szCs w:val="22"/>
        </w:rPr>
      </w:pPr>
    </w:p>
    <w:p w:rsidRPr="00F06896" w:rsidR="00957500" w:rsidP="007F0316" w:rsidRDefault="00957500" w14:paraId="435D2744" w14:textId="38F17335">
      <w:pPr>
        <w:pStyle w:val="ListParagraph"/>
        <w:numPr>
          <w:ilvl w:val="1"/>
          <w:numId w:val="1"/>
        </w:numPr>
        <w:rPr>
          <w:rFonts w:ascii="Times New Roman" w:hAnsi="Times New Roman"/>
          <w:b/>
          <w:bCs/>
          <w:sz w:val="22"/>
          <w:szCs w:val="22"/>
        </w:rPr>
      </w:pPr>
      <w:r w:rsidRPr="00F06896">
        <w:rPr>
          <w:rFonts w:ascii="Times New Roman" w:hAnsi="Times New Roman"/>
          <w:b/>
          <w:bCs/>
          <w:sz w:val="22"/>
          <w:szCs w:val="22"/>
        </w:rPr>
        <w:t xml:space="preserve">The </w:t>
      </w:r>
      <w:r w:rsidRPr="00F06896" w:rsidR="002C3D80">
        <w:rPr>
          <w:rFonts w:ascii="Times New Roman" w:hAnsi="Times New Roman"/>
          <w:b/>
          <w:bCs/>
          <w:sz w:val="22"/>
          <w:szCs w:val="22"/>
        </w:rPr>
        <w:t>approach to t</w:t>
      </w:r>
      <w:r w:rsidRPr="00F06896">
        <w:rPr>
          <w:rFonts w:ascii="Times New Roman" w:hAnsi="Times New Roman"/>
          <w:b/>
          <w:bCs/>
          <w:sz w:val="22"/>
          <w:szCs w:val="22"/>
        </w:rPr>
        <w:t>reatment waning</w:t>
      </w:r>
      <w:r w:rsidRPr="00F06896" w:rsidR="002C3D80">
        <w:rPr>
          <w:rFonts w:ascii="Times New Roman" w:hAnsi="Times New Roman"/>
          <w:b/>
          <w:bCs/>
          <w:sz w:val="22"/>
          <w:szCs w:val="22"/>
        </w:rPr>
        <w:t xml:space="preserve"> accepted by the Committee is arbitrary</w:t>
      </w:r>
      <w:r w:rsidRPr="00F06896" w:rsidR="00F47D44">
        <w:rPr>
          <w:rFonts w:ascii="Times New Roman" w:hAnsi="Times New Roman"/>
          <w:b/>
          <w:bCs/>
          <w:sz w:val="22"/>
          <w:szCs w:val="22"/>
        </w:rPr>
        <w:t xml:space="preserve"> and unreasonable</w:t>
      </w:r>
    </w:p>
    <w:p w:rsidRPr="00F06896" w:rsidR="006E28BA" w:rsidP="007F0316" w:rsidRDefault="006E28BA" w14:paraId="42E8E24B" w14:textId="77777777">
      <w:pPr>
        <w:ind w:left="360"/>
        <w:rPr>
          <w:rFonts w:ascii="Times New Roman" w:hAnsi="Times New Roman"/>
          <w:b/>
          <w:bCs/>
          <w:sz w:val="22"/>
          <w:szCs w:val="22"/>
        </w:rPr>
      </w:pPr>
    </w:p>
    <w:p w:rsidRPr="00F06896" w:rsidR="003F2E1E" w:rsidP="007F0316" w:rsidRDefault="00127A4A" w14:paraId="0EC866BD" w14:textId="4D7B0F5A">
      <w:pPr>
        <w:rPr>
          <w:rFonts w:ascii="Times New Roman" w:hAnsi="Times New Roman"/>
          <w:sz w:val="22"/>
          <w:szCs w:val="22"/>
        </w:rPr>
      </w:pPr>
      <w:r w:rsidRPr="00F06896">
        <w:rPr>
          <w:rFonts w:ascii="Times New Roman" w:hAnsi="Times New Roman"/>
          <w:sz w:val="22"/>
          <w:szCs w:val="22"/>
        </w:rPr>
        <w:t xml:space="preserve">At </w:t>
      </w:r>
      <w:r w:rsidRPr="00F06896" w:rsidR="00565B1A">
        <w:rPr>
          <w:rFonts w:ascii="Times New Roman" w:hAnsi="Times New Roman"/>
          <w:sz w:val="22"/>
          <w:szCs w:val="22"/>
        </w:rPr>
        <w:t xml:space="preserve">paragraph 3.19 of the FDG, </w:t>
      </w:r>
      <w:r w:rsidRPr="00F06896" w:rsidR="00610F1A">
        <w:rPr>
          <w:rFonts w:ascii="Times New Roman" w:hAnsi="Times New Roman"/>
          <w:sz w:val="22"/>
          <w:szCs w:val="22"/>
        </w:rPr>
        <w:t xml:space="preserve">the Committee </w:t>
      </w:r>
      <w:r w:rsidRPr="00F06896" w:rsidR="00786471">
        <w:rPr>
          <w:rFonts w:ascii="Times New Roman" w:hAnsi="Times New Roman"/>
          <w:sz w:val="22"/>
          <w:szCs w:val="22"/>
        </w:rPr>
        <w:t>consider</w:t>
      </w:r>
      <w:r w:rsidRPr="00F06896" w:rsidR="0073768D">
        <w:rPr>
          <w:rFonts w:ascii="Times New Roman" w:hAnsi="Times New Roman"/>
          <w:sz w:val="22"/>
          <w:szCs w:val="22"/>
        </w:rPr>
        <w:t>s</w:t>
      </w:r>
      <w:r w:rsidRPr="00F06896" w:rsidR="00786471">
        <w:rPr>
          <w:rFonts w:ascii="Times New Roman" w:hAnsi="Times New Roman"/>
          <w:sz w:val="22"/>
          <w:szCs w:val="22"/>
        </w:rPr>
        <w:t xml:space="preserve"> the approaches to waning of the treatment effect following discontinua</w:t>
      </w:r>
      <w:r w:rsidRPr="00F06896" w:rsidR="00DF2F14">
        <w:rPr>
          <w:rFonts w:ascii="Times New Roman" w:hAnsi="Times New Roman"/>
          <w:sz w:val="22"/>
          <w:szCs w:val="22"/>
        </w:rPr>
        <w:t>tion</w:t>
      </w:r>
      <w:r w:rsidRPr="00F06896" w:rsidR="00786471">
        <w:rPr>
          <w:rFonts w:ascii="Times New Roman" w:hAnsi="Times New Roman"/>
          <w:sz w:val="22"/>
          <w:szCs w:val="22"/>
        </w:rPr>
        <w:t xml:space="preserve"> of lecanemab </w:t>
      </w:r>
      <w:r w:rsidRPr="00F06896" w:rsidR="007F2E09">
        <w:rPr>
          <w:rFonts w:ascii="Times New Roman" w:hAnsi="Times New Roman"/>
          <w:sz w:val="22"/>
          <w:szCs w:val="22"/>
        </w:rPr>
        <w:t xml:space="preserve">treatment.  The Committee noted the evidence submitted by </w:t>
      </w:r>
      <w:r w:rsidRPr="00F06896" w:rsidR="002E0101">
        <w:rPr>
          <w:rFonts w:ascii="Times New Roman" w:hAnsi="Times New Roman"/>
          <w:sz w:val="22"/>
          <w:szCs w:val="22"/>
        </w:rPr>
        <w:t>Eisai</w:t>
      </w:r>
      <w:r w:rsidRPr="00F06896" w:rsidR="00822A50">
        <w:rPr>
          <w:rFonts w:ascii="Times New Roman" w:hAnsi="Times New Roman"/>
          <w:sz w:val="22"/>
          <w:szCs w:val="22"/>
        </w:rPr>
        <w:t xml:space="preserve"> </w:t>
      </w:r>
      <w:r w:rsidRPr="00F06896" w:rsidR="000624BA">
        <w:rPr>
          <w:rFonts w:ascii="Times New Roman" w:hAnsi="Times New Roman"/>
          <w:sz w:val="22"/>
          <w:szCs w:val="22"/>
        </w:rPr>
        <w:t xml:space="preserve">(based on </w:t>
      </w:r>
      <w:r w:rsidRPr="00F06896" w:rsidR="00A16AC6">
        <w:rPr>
          <w:rFonts w:ascii="Times New Roman" w:hAnsi="Times New Roman"/>
          <w:sz w:val="22"/>
          <w:szCs w:val="22"/>
        </w:rPr>
        <w:t xml:space="preserve">amyloid accumulation) </w:t>
      </w:r>
      <w:r w:rsidRPr="00F06896" w:rsidR="00822A50">
        <w:rPr>
          <w:rFonts w:ascii="Times New Roman" w:hAnsi="Times New Roman"/>
          <w:sz w:val="22"/>
          <w:szCs w:val="22"/>
        </w:rPr>
        <w:t xml:space="preserve">as well as the analysis </w:t>
      </w:r>
      <w:r w:rsidRPr="00F06896" w:rsidR="000624BA">
        <w:rPr>
          <w:rFonts w:ascii="Times New Roman" w:hAnsi="Times New Roman"/>
          <w:sz w:val="22"/>
          <w:szCs w:val="22"/>
        </w:rPr>
        <w:t xml:space="preserve">provided by </w:t>
      </w:r>
      <w:r w:rsidRPr="00F06896" w:rsidR="007F2E09">
        <w:rPr>
          <w:rFonts w:ascii="Times New Roman" w:hAnsi="Times New Roman"/>
          <w:sz w:val="22"/>
          <w:szCs w:val="22"/>
        </w:rPr>
        <w:t xml:space="preserve">the </w:t>
      </w:r>
      <w:r w:rsidRPr="00F06896" w:rsidR="00822A50">
        <w:rPr>
          <w:rFonts w:ascii="Times New Roman" w:hAnsi="Times New Roman"/>
          <w:sz w:val="22"/>
          <w:szCs w:val="22"/>
        </w:rPr>
        <w:t xml:space="preserve">EAG </w:t>
      </w:r>
      <w:r w:rsidRPr="00F06896" w:rsidR="00A16AC6">
        <w:rPr>
          <w:rFonts w:ascii="Times New Roman" w:hAnsi="Times New Roman"/>
          <w:sz w:val="22"/>
          <w:szCs w:val="22"/>
        </w:rPr>
        <w:t>(based simply on time from discontinua</w:t>
      </w:r>
      <w:r w:rsidRPr="00F06896" w:rsidR="00EA2BAC">
        <w:rPr>
          <w:rFonts w:ascii="Times New Roman" w:hAnsi="Times New Roman"/>
          <w:sz w:val="22"/>
          <w:szCs w:val="22"/>
        </w:rPr>
        <w:t>tion</w:t>
      </w:r>
      <w:r w:rsidRPr="00F06896" w:rsidR="00A16AC6">
        <w:rPr>
          <w:rFonts w:ascii="Times New Roman" w:hAnsi="Times New Roman"/>
          <w:sz w:val="22"/>
          <w:szCs w:val="22"/>
        </w:rPr>
        <w:t xml:space="preserve">) </w:t>
      </w:r>
      <w:r w:rsidRPr="00F06896" w:rsidR="00822A50">
        <w:rPr>
          <w:rFonts w:ascii="Times New Roman" w:hAnsi="Times New Roman"/>
          <w:sz w:val="22"/>
          <w:szCs w:val="22"/>
        </w:rPr>
        <w:t xml:space="preserve">and </w:t>
      </w:r>
      <w:r w:rsidRPr="00F06896" w:rsidR="000624BA">
        <w:rPr>
          <w:rFonts w:ascii="Times New Roman" w:hAnsi="Times New Roman"/>
          <w:sz w:val="22"/>
          <w:szCs w:val="22"/>
        </w:rPr>
        <w:t xml:space="preserve">ultimately concluded </w:t>
      </w:r>
      <w:r w:rsidRPr="00F06896" w:rsidR="00CB26F0">
        <w:rPr>
          <w:rFonts w:ascii="Times New Roman" w:hAnsi="Times New Roman"/>
          <w:sz w:val="22"/>
          <w:szCs w:val="22"/>
        </w:rPr>
        <w:t xml:space="preserve">that the approach suggested by the EAG </w:t>
      </w:r>
      <w:r w:rsidRPr="00F06896" w:rsidR="006E28BA">
        <w:rPr>
          <w:rFonts w:ascii="Times New Roman" w:hAnsi="Times New Roman"/>
          <w:sz w:val="22"/>
          <w:szCs w:val="22"/>
        </w:rPr>
        <w:t>should be preferred</w:t>
      </w:r>
      <w:r w:rsidRPr="00F06896" w:rsidR="001A4D31">
        <w:rPr>
          <w:rFonts w:ascii="Times New Roman" w:hAnsi="Times New Roman"/>
          <w:sz w:val="22"/>
          <w:szCs w:val="22"/>
        </w:rPr>
        <w:t xml:space="preserve"> without </w:t>
      </w:r>
      <w:r w:rsidRPr="00F06896" w:rsidR="00BB3EFF">
        <w:rPr>
          <w:rFonts w:ascii="Times New Roman" w:hAnsi="Times New Roman"/>
          <w:sz w:val="22"/>
          <w:szCs w:val="22"/>
        </w:rPr>
        <w:t xml:space="preserve">providing </w:t>
      </w:r>
      <w:r w:rsidRPr="00F06896" w:rsidR="001A4D31">
        <w:rPr>
          <w:rFonts w:ascii="Times New Roman" w:hAnsi="Times New Roman"/>
          <w:sz w:val="22"/>
          <w:szCs w:val="22"/>
        </w:rPr>
        <w:t>any clinical justification</w:t>
      </w:r>
      <w:r w:rsidRPr="00F06896" w:rsidR="006E28BA">
        <w:rPr>
          <w:rFonts w:ascii="Times New Roman" w:hAnsi="Times New Roman"/>
          <w:sz w:val="22"/>
          <w:szCs w:val="22"/>
        </w:rPr>
        <w:t>.</w:t>
      </w:r>
    </w:p>
    <w:p w:rsidRPr="00F06896" w:rsidR="0073768D" w:rsidP="007F0316" w:rsidRDefault="0073768D" w14:paraId="304FDF76" w14:textId="77777777">
      <w:pPr>
        <w:rPr>
          <w:rFonts w:ascii="Times New Roman" w:hAnsi="Times New Roman"/>
          <w:sz w:val="22"/>
          <w:szCs w:val="22"/>
        </w:rPr>
      </w:pPr>
    </w:p>
    <w:p w:rsidRPr="00F06896" w:rsidR="00DC58F9" w:rsidP="007F0316" w:rsidRDefault="0073768D" w14:paraId="5D387A07" w14:textId="70CA816E">
      <w:pPr>
        <w:rPr>
          <w:rFonts w:ascii="Times New Roman" w:hAnsi="Times New Roman"/>
          <w:sz w:val="22"/>
          <w:szCs w:val="22"/>
        </w:rPr>
      </w:pPr>
      <w:r w:rsidRPr="00F06896">
        <w:rPr>
          <w:rFonts w:ascii="Times New Roman" w:hAnsi="Times New Roman"/>
          <w:sz w:val="22"/>
          <w:szCs w:val="22"/>
        </w:rPr>
        <w:t>However</w:t>
      </w:r>
      <w:r w:rsidRPr="00F06896" w:rsidR="00A31134">
        <w:rPr>
          <w:rFonts w:ascii="Times New Roman" w:hAnsi="Times New Roman"/>
          <w:sz w:val="22"/>
          <w:szCs w:val="22"/>
        </w:rPr>
        <w:t>,</w:t>
      </w:r>
      <w:r w:rsidRPr="00F06896">
        <w:rPr>
          <w:rFonts w:ascii="Times New Roman" w:hAnsi="Times New Roman"/>
          <w:sz w:val="22"/>
          <w:szCs w:val="22"/>
        </w:rPr>
        <w:t xml:space="preserve"> t</w:t>
      </w:r>
      <w:r w:rsidRPr="00F06896" w:rsidR="006E28BA">
        <w:rPr>
          <w:rFonts w:ascii="Times New Roman" w:hAnsi="Times New Roman"/>
          <w:sz w:val="22"/>
          <w:szCs w:val="22"/>
        </w:rPr>
        <w:t xml:space="preserve">he </w:t>
      </w:r>
      <w:r w:rsidRPr="00F06896" w:rsidR="00F12049">
        <w:rPr>
          <w:rFonts w:ascii="Times New Roman" w:hAnsi="Times New Roman"/>
          <w:sz w:val="22"/>
          <w:szCs w:val="22"/>
        </w:rPr>
        <w:t>decision by the Committee disregards the fact that</w:t>
      </w:r>
      <w:r w:rsidRPr="00F06896">
        <w:rPr>
          <w:rFonts w:ascii="Times New Roman" w:hAnsi="Times New Roman"/>
          <w:sz w:val="22"/>
          <w:szCs w:val="22"/>
        </w:rPr>
        <w:t>, while there are uncertainties,</w:t>
      </w:r>
      <w:r w:rsidRPr="00F06896" w:rsidR="00F12049">
        <w:rPr>
          <w:rFonts w:ascii="Times New Roman" w:hAnsi="Times New Roman"/>
          <w:sz w:val="22"/>
          <w:szCs w:val="22"/>
        </w:rPr>
        <w:t xml:space="preserve"> the approach proposed by Eisai</w:t>
      </w:r>
      <w:r w:rsidRPr="00F06896" w:rsidR="00770631">
        <w:rPr>
          <w:rFonts w:ascii="Times New Roman" w:hAnsi="Times New Roman"/>
          <w:sz w:val="22"/>
          <w:szCs w:val="22"/>
        </w:rPr>
        <w:t xml:space="preserve"> is both clinically plausible</w:t>
      </w:r>
      <w:r w:rsidRPr="00F06896" w:rsidR="0025749F">
        <w:rPr>
          <w:rFonts w:ascii="Times New Roman" w:hAnsi="Times New Roman"/>
          <w:sz w:val="22"/>
          <w:szCs w:val="22"/>
        </w:rPr>
        <w:t>, based on pathophysiology</w:t>
      </w:r>
      <w:r w:rsidRPr="00F06896" w:rsidR="00770631">
        <w:rPr>
          <w:rFonts w:ascii="Times New Roman" w:hAnsi="Times New Roman"/>
          <w:sz w:val="22"/>
          <w:szCs w:val="22"/>
        </w:rPr>
        <w:t xml:space="preserve"> and supported by expert </w:t>
      </w:r>
      <w:r w:rsidRPr="00F06896" w:rsidR="00122757">
        <w:rPr>
          <w:rFonts w:ascii="Times New Roman" w:hAnsi="Times New Roman"/>
          <w:sz w:val="22"/>
          <w:szCs w:val="22"/>
        </w:rPr>
        <w:t>opinion</w:t>
      </w:r>
      <w:r w:rsidRPr="00F06896" w:rsidR="00770631">
        <w:rPr>
          <w:rFonts w:ascii="Times New Roman" w:hAnsi="Times New Roman"/>
          <w:sz w:val="22"/>
          <w:szCs w:val="22"/>
        </w:rPr>
        <w:t xml:space="preserve">, </w:t>
      </w:r>
      <w:r w:rsidRPr="00F06896" w:rsidR="00937D49">
        <w:rPr>
          <w:rFonts w:ascii="Times New Roman" w:hAnsi="Times New Roman"/>
          <w:sz w:val="22"/>
          <w:szCs w:val="22"/>
        </w:rPr>
        <w:t>whereas the EAG’s method is purely arbitrary.</w:t>
      </w:r>
      <w:r w:rsidRPr="00F06896" w:rsidR="00F12049">
        <w:rPr>
          <w:rFonts w:ascii="Times New Roman" w:hAnsi="Times New Roman"/>
          <w:sz w:val="22"/>
          <w:szCs w:val="22"/>
        </w:rPr>
        <w:t xml:space="preserve"> </w:t>
      </w:r>
    </w:p>
    <w:p w:rsidRPr="00F06896" w:rsidR="00DC58F9" w:rsidP="007F0316" w:rsidRDefault="00DC58F9" w14:paraId="6CF30110" w14:textId="77777777">
      <w:pPr>
        <w:rPr>
          <w:rFonts w:ascii="Times New Roman" w:hAnsi="Times New Roman"/>
          <w:sz w:val="22"/>
          <w:szCs w:val="22"/>
        </w:rPr>
      </w:pPr>
    </w:p>
    <w:p w:rsidRPr="00F06896" w:rsidR="00CA5E08" w:rsidP="007F0316" w:rsidRDefault="00DC58F9" w14:paraId="7AA93CF7" w14:textId="5A23DB15">
      <w:pPr>
        <w:rPr>
          <w:rFonts w:ascii="Times New Roman" w:hAnsi="Times New Roman"/>
          <w:sz w:val="22"/>
          <w:szCs w:val="22"/>
        </w:rPr>
      </w:pPr>
      <w:r w:rsidRPr="00F06896">
        <w:rPr>
          <w:rFonts w:ascii="Times New Roman" w:hAnsi="Times New Roman"/>
          <w:sz w:val="22"/>
          <w:szCs w:val="22"/>
        </w:rPr>
        <w:t xml:space="preserve">Furthermore, the approach to treatment waning </w:t>
      </w:r>
      <w:r w:rsidRPr="00F06896" w:rsidR="00E742D1">
        <w:rPr>
          <w:rFonts w:ascii="Times New Roman" w:hAnsi="Times New Roman"/>
          <w:sz w:val="22"/>
          <w:szCs w:val="22"/>
        </w:rPr>
        <w:t xml:space="preserve">accepted by the </w:t>
      </w:r>
      <w:r w:rsidRPr="00F06896" w:rsidR="00F82CBB">
        <w:rPr>
          <w:rFonts w:ascii="Times New Roman" w:hAnsi="Times New Roman"/>
          <w:sz w:val="22"/>
          <w:szCs w:val="22"/>
        </w:rPr>
        <w:t xml:space="preserve">same </w:t>
      </w:r>
      <w:r w:rsidRPr="00F06896" w:rsidR="00E742D1">
        <w:rPr>
          <w:rFonts w:ascii="Times New Roman" w:hAnsi="Times New Roman"/>
          <w:sz w:val="22"/>
          <w:szCs w:val="22"/>
        </w:rPr>
        <w:t xml:space="preserve">Committee in relation to lecanemab </w:t>
      </w:r>
      <w:r w:rsidRPr="00F06896" w:rsidR="00CA5E08">
        <w:rPr>
          <w:rFonts w:ascii="Times New Roman" w:hAnsi="Times New Roman"/>
          <w:sz w:val="22"/>
          <w:szCs w:val="22"/>
        </w:rPr>
        <w:t xml:space="preserve">is inconsistent with the approach followed for donanemab even though the products are in the same class and have similar mechanisms of action. </w:t>
      </w:r>
    </w:p>
    <w:p w:rsidRPr="00F06896" w:rsidR="00FC122A" w:rsidP="007F0316" w:rsidRDefault="00FC122A" w14:paraId="58930043" w14:textId="77777777">
      <w:pPr>
        <w:rPr>
          <w:rFonts w:ascii="Times New Roman" w:hAnsi="Times New Roman"/>
          <w:sz w:val="22"/>
          <w:szCs w:val="22"/>
        </w:rPr>
      </w:pPr>
    </w:p>
    <w:p w:rsidRPr="00F06896" w:rsidR="00CA5E08" w:rsidP="00D161D6" w:rsidRDefault="00CA5E08" w14:paraId="7E099FAA" w14:textId="4C1EEF6A">
      <w:pPr>
        <w:pStyle w:val="ListParagraph"/>
        <w:numPr>
          <w:ilvl w:val="0"/>
          <w:numId w:val="15"/>
        </w:numPr>
        <w:rPr>
          <w:rFonts w:ascii="Times New Roman" w:hAnsi="Times New Roman"/>
          <w:sz w:val="22"/>
          <w:szCs w:val="22"/>
        </w:rPr>
      </w:pPr>
      <w:r w:rsidRPr="00F06896">
        <w:rPr>
          <w:rFonts w:ascii="Times New Roman" w:hAnsi="Times New Roman"/>
          <w:sz w:val="22"/>
          <w:szCs w:val="22"/>
        </w:rPr>
        <w:t xml:space="preserve">For lecanemab, the Committee has accepted the approach of the EAG which is: where treatment is discontinued before 18 months waning will commence immediately and continue over a </w:t>
      </w:r>
      <w:r w:rsidRPr="00F06896" w:rsidR="00AB2D74">
        <w:rPr>
          <w:rFonts w:ascii="Times New Roman" w:hAnsi="Times New Roman"/>
          <w:sz w:val="22"/>
          <w:szCs w:val="22"/>
        </w:rPr>
        <w:t>4-year</w:t>
      </w:r>
      <w:r w:rsidRPr="00F06896">
        <w:rPr>
          <w:rFonts w:ascii="Times New Roman" w:hAnsi="Times New Roman"/>
          <w:sz w:val="22"/>
          <w:szCs w:val="22"/>
        </w:rPr>
        <w:t xml:space="preserve"> duration; where treatment discontinues at 18 months, there will be no treatment waning for one year, followed by treatment waning over 4 years.</w:t>
      </w:r>
    </w:p>
    <w:p w:rsidRPr="00F06896" w:rsidR="00CA5E08" w:rsidP="00D161D6" w:rsidRDefault="00CA5E08" w14:paraId="0062DAA7" w14:textId="04E67733">
      <w:pPr>
        <w:pStyle w:val="ListParagraph"/>
        <w:numPr>
          <w:ilvl w:val="0"/>
          <w:numId w:val="15"/>
        </w:numPr>
        <w:rPr>
          <w:rFonts w:ascii="Times New Roman" w:hAnsi="Times New Roman"/>
          <w:sz w:val="22"/>
          <w:szCs w:val="22"/>
        </w:rPr>
      </w:pPr>
      <w:r w:rsidRPr="00F06896">
        <w:rPr>
          <w:rFonts w:ascii="Times New Roman" w:hAnsi="Times New Roman"/>
          <w:sz w:val="22"/>
          <w:szCs w:val="22"/>
        </w:rPr>
        <w:t>For donanemab however, the Committee has accepted the advice of a different EAG that where treatment is discontinued at 18 months, there is no treatment waning for 2.5 years followed by treatment waning over 5 years.</w:t>
      </w:r>
    </w:p>
    <w:p w:rsidRPr="00F06896" w:rsidR="00CA5E08" w:rsidP="007F0316" w:rsidRDefault="00CA5E08" w14:paraId="5B11E370" w14:textId="77777777">
      <w:pPr>
        <w:rPr>
          <w:rFonts w:ascii="Times New Roman" w:hAnsi="Times New Roman"/>
          <w:sz w:val="22"/>
          <w:szCs w:val="22"/>
        </w:rPr>
      </w:pPr>
    </w:p>
    <w:p w:rsidRPr="00F06896" w:rsidR="00E742D1" w:rsidP="007F0316" w:rsidRDefault="00CA5E08" w14:paraId="2C32ADDF" w14:textId="1875A8C6">
      <w:pPr>
        <w:rPr>
          <w:rFonts w:ascii="Times New Roman" w:hAnsi="Times New Roman"/>
          <w:sz w:val="22"/>
          <w:szCs w:val="22"/>
        </w:rPr>
      </w:pPr>
      <w:r w:rsidRPr="00F06896">
        <w:rPr>
          <w:rFonts w:ascii="Times New Roman" w:hAnsi="Times New Roman"/>
          <w:sz w:val="22"/>
          <w:szCs w:val="22"/>
        </w:rPr>
        <w:t>No explanation for the difference in approach has been provided by the Committee in the FDG for lecanemab and Eisai does not believe this is justified by the data.</w:t>
      </w:r>
    </w:p>
    <w:p w:rsidRPr="00F06896" w:rsidR="00DC58F9" w:rsidP="007F0316" w:rsidRDefault="00E742D1" w14:paraId="1625CDBF" w14:textId="4E435E9F">
      <w:pPr>
        <w:rPr>
          <w:rFonts w:ascii="Times New Roman" w:hAnsi="Times New Roman"/>
          <w:sz w:val="22"/>
          <w:szCs w:val="22"/>
        </w:rPr>
      </w:pPr>
      <w:r w:rsidRPr="00F06896">
        <w:rPr>
          <w:rFonts w:ascii="Times New Roman" w:hAnsi="Times New Roman"/>
          <w:sz w:val="22"/>
          <w:szCs w:val="22"/>
        </w:rPr>
        <w:t xml:space="preserve"> </w:t>
      </w:r>
      <w:r w:rsidRPr="00F06896" w:rsidR="00DC58F9">
        <w:rPr>
          <w:rFonts w:ascii="Times New Roman" w:hAnsi="Times New Roman"/>
          <w:sz w:val="22"/>
          <w:szCs w:val="22"/>
        </w:rPr>
        <w:t xml:space="preserve"> </w:t>
      </w:r>
    </w:p>
    <w:p w:rsidRPr="00F06896" w:rsidR="006E28BA" w:rsidP="007F0316" w:rsidRDefault="00CA5E08" w14:paraId="6218D653" w14:textId="5C4A0A30">
      <w:pPr>
        <w:rPr>
          <w:rFonts w:ascii="Times New Roman" w:hAnsi="Times New Roman"/>
          <w:sz w:val="22"/>
          <w:szCs w:val="22"/>
        </w:rPr>
      </w:pPr>
      <w:r w:rsidRPr="00F06896">
        <w:rPr>
          <w:rFonts w:ascii="Times New Roman" w:hAnsi="Times New Roman"/>
          <w:sz w:val="22"/>
          <w:szCs w:val="22"/>
        </w:rPr>
        <w:t>In summary</w:t>
      </w:r>
      <w:r w:rsidRPr="00F06896" w:rsidR="0073768D">
        <w:rPr>
          <w:rFonts w:ascii="Times New Roman" w:hAnsi="Times New Roman"/>
          <w:sz w:val="22"/>
          <w:szCs w:val="22"/>
        </w:rPr>
        <w:t xml:space="preserve"> the Committee’s reliance on the EAG’s </w:t>
      </w:r>
      <w:r w:rsidRPr="00F06896">
        <w:rPr>
          <w:rFonts w:ascii="Times New Roman" w:hAnsi="Times New Roman"/>
          <w:sz w:val="22"/>
          <w:szCs w:val="22"/>
        </w:rPr>
        <w:t xml:space="preserve">arbitrary waning on treatment effect for lecanemab rather than the scientifically plausible and </w:t>
      </w:r>
      <w:r w:rsidRPr="00F06896" w:rsidR="0080669E">
        <w:rPr>
          <w:rFonts w:ascii="Times New Roman" w:hAnsi="Times New Roman"/>
          <w:sz w:val="22"/>
          <w:szCs w:val="22"/>
        </w:rPr>
        <w:t>evidence-based</w:t>
      </w:r>
      <w:r w:rsidRPr="00F06896">
        <w:rPr>
          <w:rFonts w:ascii="Times New Roman" w:hAnsi="Times New Roman"/>
          <w:sz w:val="22"/>
          <w:szCs w:val="22"/>
        </w:rPr>
        <w:t xml:space="preserve"> </w:t>
      </w:r>
      <w:r w:rsidRPr="00F06896" w:rsidR="00692430">
        <w:rPr>
          <w:rFonts w:ascii="Times New Roman" w:hAnsi="Times New Roman"/>
          <w:sz w:val="22"/>
          <w:szCs w:val="22"/>
        </w:rPr>
        <w:t xml:space="preserve">methodology </w:t>
      </w:r>
      <w:r w:rsidRPr="00F06896">
        <w:rPr>
          <w:rFonts w:ascii="Times New Roman" w:hAnsi="Times New Roman"/>
          <w:sz w:val="22"/>
          <w:szCs w:val="22"/>
        </w:rPr>
        <w:t xml:space="preserve">proposed by Eisai, together with the inconsistent </w:t>
      </w:r>
      <w:r w:rsidRPr="00F06896" w:rsidR="000E05EA">
        <w:rPr>
          <w:rFonts w:ascii="Times New Roman" w:hAnsi="Times New Roman"/>
          <w:sz w:val="22"/>
          <w:szCs w:val="22"/>
        </w:rPr>
        <w:t xml:space="preserve">approaches followed in the appraisals of lecanemab and donanemab </w:t>
      </w:r>
      <w:r w:rsidRPr="00F06896" w:rsidR="00692430">
        <w:rPr>
          <w:rFonts w:ascii="Times New Roman" w:hAnsi="Times New Roman"/>
          <w:sz w:val="22"/>
          <w:szCs w:val="22"/>
        </w:rPr>
        <w:t>is unreasonable.</w:t>
      </w:r>
    </w:p>
    <w:p w:rsidRPr="00F06896" w:rsidR="006E28BA" w:rsidP="007F0316" w:rsidRDefault="006E28BA" w14:paraId="6B805E61" w14:textId="77777777">
      <w:pPr>
        <w:rPr>
          <w:rFonts w:ascii="Times New Roman" w:hAnsi="Times New Roman"/>
          <w:sz w:val="22"/>
          <w:szCs w:val="22"/>
        </w:rPr>
      </w:pPr>
    </w:p>
    <w:p w:rsidRPr="00F06896" w:rsidR="000164B5" w:rsidP="007F0316" w:rsidRDefault="000164B5" w14:paraId="491AFEB3" w14:textId="1347E579">
      <w:pPr>
        <w:pStyle w:val="ListParagraph"/>
        <w:numPr>
          <w:ilvl w:val="1"/>
          <w:numId w:val="1"/>
        </w:numPr>
        <w:rPr>
          <w:rFonts w:ascii="Times New Roman" w:hAnsi="Times New Roman"/>
          <w:b/>
          <w:bCs/>
          <w:sz w:val="22"/>
          <w:szCs w:val="22"/>
        </w:rPr>
      </w:pPr>
      <w:r w:rsidRPr="00F06896">
        <w:rPr>
          <w:rFonts w:ascii="Times New Roman" w:hAnsi="Times New Roman"/>
          <w:b/>
          <w:bCs/>
          <w:sz w:val="22"/>
          <w:szCs w:val="22"/>
        </w:rPr>
        <w:t>The Committee’s decision to rely on an unverified cost estimate for APOE4 gene testing costs rather than a transparent estimate from an alternative source is unreasonable</w:t>
      </w:r>
    </w:p>
    <w:p w:rsidRPr="00F06896" w:rsidR="000164B5" w:rsidP="007F0316" w:rsidRDefault="000164B5" w14:paraId="06276AB5" w14:textId="77777777">
      <w:pPr>
        <w:rPr>
          <w:rFonts w:ascii="Times New Roman" w:hAnsi="Times New Roman"/>
          <w:b/>
          <w:bCs/>
          <w:sz w:val="22"/>
          <w:szCs w:val="22"/>
        </w:rPr>
      </w:pPr>
    </w:p>
    <w:p w:rsidRPr="00F06896" w:rsidR="000164B5" w:rsidP="003E38FA" w:rsidRDefault="000164B5" w14:paraId="3CCB473A" w14:textId="43C6F5D7">
      <w:pPr>
        <w:rPr>
          <w:rFonts w:ascii="Times New Roman" w:hAnsi="Times New Roman"/>
          <w:sz w:val="22"/>
          <w:szCs w:val="22"/>
        </w:rPr>
      </w:pPr>
      <w:r w:rsidRPr="00F06896">
        <w:rPr>
          <w:rFonts w:ascii="Times New Roman" w:hAnsi="Times New Roman"/>
          <w:sz w:val="22"/>
          <w:szCs w:val="22"/>
        </w:rPr>
        <w:t xml:space="preserve">In circumstances where the marketing </w:t>
      </w:r>
      <w:proofErr w:type="spellStart"/>
      <w:r w:rsidRPr="00F06896">
        <w:rPr>
          <w:rFonts w:ascii="Times New Roman" w:hAnsi="Times New Roman"/>
          <w:sz w:val="22"/>
          <w:szCs w:val="22"/>
        </w:rPr>
        <w:t>authorisation</w:t>
      </w:r>
      <w:proofErr w:type="spellEnd"/>
      <w:r w:rsidRPr="00F06896">
        <w:rPr>
          <w:rFonts w:ascii="Times New Roman" w:hAnsi="Times New Roman"/>
          <w:sz w:val="22"/>
          <w:szCs w:val="22"/>
        </w:rPr>
        <w:t xml:space="preserve"> for lecanemab provides that people are eligible for treatment if they are heterozygous for APOE4 or do not have the gene, APOE4 testing costs have been included in the economic model.</w:t>
      </w:r>
    </w:p>
    <w:p w:rsidRPr="00F06896" w:rsidR="000164B5" w:rsidP="003E38FA" w:rsidRDefault="000164B5" w14:paraId="38595D15" w14:textId="77777777">
      <w:pPr>
        <w:rPr>
          <w:rFonts w:ascii="Times New Roman" w:hAnsi="Times New Roman"/>
          <w:sz w:val="22"/>
          <w:szCs w:val="22"/>
        </w:rPr>
      </w:pPr>
    </w:p>
    <w:p w:rsidRPr="00F06896" w:rsidR="000164B5" w:rsidP="003E38FA" w:rsidRDefault="000164B5" w14:paraId="738BD446" w14:textId="4D3890A3">
      <w:pPr>
        <w:rPr>
          <w:rFonts w:ascii="Times New Roman" w:hAnsi="Times New Roman"/>
          <w:sz w:val="22"/>
          <w:szCs w:val="22"/>
        </w:rPr>
      </w:pPr>
      <w:r w:rsidRPr="00F06896">
        <w:rPr>
          <w:rFonts w:ascii="Times New Roman" w:hAnsi="Times New Roman"/>
          <w:sz w:val="22"/>
          <w:szCs w:val="22"/>
        </w:rPr>
        <w:t xml:space="preserve">NHS England have suggested that the appropriate APOE4 testing cost should be £250.  However, </w:t>
      </w:r>
      <w:r w:rsidR="000C307E">
        <w:rPr>
          <w:rFonts w:ascii="Times New Roman" w:hAnsi="Times New Roman"/>
          <w:sz w:val="22"/>
          <w:szCs w:val="22"/>
        </w:rPr>
        <w:t xml:space="preserve">this was </w:t>
      </w:r>
      <w:r w:rsidR="00AB7901">
        <w:rPr>
          <w:rFonts w:ascii="Times New Roman" w:hAnsi="Times New Roman"/>
          <w:sz w:val="22"/>
          <w:szCs w:val="22"/>
        </w:rPr>
        <w:t xml:space="preserve">unreferenced and </w:t>
      </w:r>
      <w:r w:rsidRPr="00F06896">
        <w:rPr>
          <w:rFonts w:ascii="Times New Roman" w:hAnsi="Times New Roman"/>
          <w:sz w:val="22"/>
          <w:szCs w:val="22"/>
        </w:rPr>
        <w:t>no evidence to support this figure have been provided. Therefore</w:t>
      </w:r>
      <w:r w:rsidRPr="00F06896" w:rsidR="0099070D">
        <w:rPr>
          <w:rFonts w:ascii="Times New Roman" w:hAnsi="Times New Roman"/>
          <w:sz w:val="22"/>
          <w:szCs w:val="22"/>
        </w:rPr>
        <w:t>,</w:t>
      </w:r>
      <w:r w:rsidRPr="00F06896">
        <w:rPr>
          <w:rFonts w:ascii="Times New Roman" w:hAnsi="Times New Roman"/>
          <w:sz w:val="22"/>
          <w:szCs w:val="22"/>
        </w:rPr>
        <w:t xml:space="preserve"> Eisai proposed use of a cost from the Scottish Health Service (£41.10, R130 Laboratory Services for Clinical Genetics).</w:t>
      </w:r>
    </w:p>
    <w:p w:rsidRPr="00F06896" w:rsidR="00E45AD7" w:rsidP="003E38FA" w:rsidRDefault="00E45AD7" w14:paraId="013A6C47" w14:textId="77777777">
      <w:pPr>
        <w:rPr>
          <w:rFonts w:ascii="Times New Roman" w:hAnsi="Times New Roman"/>
          <w:sz w:val="22"/>
          <w:szCs w:val="22"/>
        </w:rPr>
      </w:pPr>
    </w:p>
    <w:p w:rsidR="00E45AD7" w:rsidP="003E38FA" w:rsidRDefault="00E45AD7" w14:paraId="51AFAAA3" w14:textId="625F2F60">
      <w:pPr>
        <w:rPr>
          <w:rFonts w:ascii="Times New Roman" w:hAnsi="Times New Roman"/>
          <w:sz w:val="22"/>
          <w:szCs w:val="22"/>
        </w:rPr>
      </w:pPr>
      <w:r w:rsidRPr="00F06896">
        <w:rPr>
          <w:rFonts w:ascii="Times New Roman" w:hAnsi="Times New Roman"/>
          <w:sz w:val="22"/>
          <w:szCs w:val="22"/>
        </w:rPr>
        <w:t>At paragraph 3.23 of the ICER, the Committee concluded:</w:t>
      </w:r>
    </w:p>
    <w:p w:rsidRPr="00F06896" w:rsidR="006A3281" w:rsidP="003E38FA" w:rsidRDefault="006A3281" w14:paraId="44DCECF4" w14:textId="77777777">
      <w:pPr>
        <w:rPr>
          <w:rFonts w:ascii="Times New Roman" w:hAnsi="Times New Roman"/>
          <w:sz w:val="22"/>
          <w:szCs w:val="22"/>
        </w:rPr>
      </w:pPr>
    </w:p>
    <w:p w:rsidRPr="00F06896" w:rsidR="00E45AD7" w:rsidP="003E38FA" w:rsidRDefault="00E45AD7" w14:paraId="55D25592" w14:textId="148EC687">
      <w:pPr>
        <w:ind w:left="360"/>
        <w:rPr>
          <w:rFonts w:ascii="Times New Roman" w:hAnsi="Times New Roman"/>
          <w:i/>
          <w:iCs/>
          <w:sz w:val="22"/>
          <w:szCs w:val="22"/>
        </w:rPr>
      </w:pPr>
      <w:r w:rsidRPr="00F06896">
        <w:rPr>
          <w:rFonts w:ascii="Times New Roman" w:hAnsi="Times New Roman"/>
          <w:i/>
          <w:iCs/>
          <w:sz w:val="22"/>
          <w:szCs w:val="22"/>
        </w:rPr>
        <w:t>“….the modelled costs must reflect the costs incurred in real-world practice as much as possible. So, it preferred to use the cost provided by NHS England. The committee also noted the very small impact that this change had on the ICER”.</w:t>
      </w:r>
    </w:p>
    <w:p w:rsidRPr="00F06896" w:rsidR="00E45AD7" w:rsidP="003E38FA" w:rsidRDefault="00E45AD7" w14:paraId="29C08778" w14:textId="77777777">
      <w:pPr>
        <w:ind w:left="360"/>
        <w:rPr>
          <w:rFonts w:ascii="Times New Roman" w:hAnsi="Times New Roman"/>
          <w:i/>
          <w:iCs/>
          <w:sz w:val="22"/>
          <w:szCs w:val="22"/>
        </w:rPr>
      </w:pPr>
    </w:p>
    <w:p w:rsidRPr="00F06896" w:rsidR="00E45AD7" w:rsidP="003E38FA" w:rsidRDefault="00E45AD7" w14:paraId="1FB919C6" w14:textId="5C800EBD">
      <w:pPr>
        <w:rPr>
          <w:rFonts w:ascii="Times New Roman" w:hAnsi="Times New Roman"/>
          <w:sz w:val="22"/>
          <w:szCs w:val="22"/>
        </w:rPr>
      </w:pPr>
      <w:r w:rsidRPr="00F06896">
        <w:rPr>
          <w:rFonts w:ascii="Times New Roman" w:hAnsi="Times New Roman"/>
          <w:sz w:val="22"/>
          <w:szCs w:val="22"/>
        </w:rPr>
        <w:t>A preference for non-validated and non-transparent costs is inconsistent with NICE’s commitment to transparency and is also inconsistent with standards of rigorous decision-making, where the assumptions relied upon should be verified.  The substantial discrepancy between the figure proposed by NHS England and that used by NHS Scotland suggests either that there is an error in the calculation of the non-published figure used by NHS England or the service employed is itself not cost</w:t>
      </w:r>
      <w:r w:rsidRPr="00F06896" w:rsidR="00676A88">
        <w:rPr>
          <w:rFonts w:ascii="Times New Roman" w:hAnsi="Times New Roman"/>
          <w:sz w:val="22"/>
          <w:szCs w:val="22"/>
        </w:rPr>
        <w:t>-</w:t>
      </w:r>
      <w:r w:rsidRPr="00F06896">
        <w:rPr>
          <w:rFonts w:ascii="Times New Roman" w:hAnsi="Times New Roman"/>
          <w:sz w:val="22"/>
          <w:szCs w:val="22"/>
        </w:rPr>
        <w:t>effective. In these circumstances</w:t>
      </w:r>
      <w:r w:rsidRPr="00F06896" w:rsidR="00676A88">
        <w:rPr>
          <w:rFonts w:ascii="Times New Roman" w:hAnsi="Times New Roman"/>
          <w:sz w:val="22"/>
          <w:szCs w:val="22"/>
        </w:rPr>
        <w:t>,</w:t>
      </w:r>
      <w:r w:rsidRPr="00F06896">
        <w:rPr>
          <w:rFonts w:ascii="Times New Roman" w:hAnsi="Times New Roman"/>
          <w:sz w:val="22"/>
          <w:szCs w:val="22"/>
        </w:rPr>
        <w:t xml:space="preserve"> the Committee’s reliance on the unexplained figure for APOE4 testing proposed by NHS England rather than the transparent costs from the Scottish Heath Service is unreasonable.  Such a decision would be unacceptable in any circumstances</w:t>
      </w:r>
      <w:r w:rsidRPr="00202734" w:rsidR="00202734">
        <w:rPr>
          <w:rFonts w:ascii="Times New Roman" w:hAnsi="Times New Roman"/>
          <w:sz w:val="22"/>
          <w:szCs w:val="22"/>
        </w:rPr>
        <w:t>, regardless of the impact on the ICER</w:t>
      </w:r>
      <w:r w:rsidRPr="00F06896">
        <w:rPr>
          <w:rFonts w:ascii="Times New Roman" w:hAnsi="Times New Roman"/>
          <w:sz w:val="22"/>
          <w:szCs w:val="22"/>
        </w:rPr>
        <w:t>.</w:t>
      </w:r>
    </w:p>
    <w:p w:rsidRPr="00F06896" w:rsidR="000164B5" w:rsidP="007F0316" w:rsidRDefault="000164B5" w14:paraId="1F5A2E85" w14:textId="77777777">
      <w:pPr>
        <w:ind w:left="360"/>
        <w:rPr>
          <w:rFonts w:ascii="Times New Roman" w:hAnsi="Times New Roman"/>
          <w:i/>
          <w:iCs/>
          <w:sz w:val="22"/>
          <w:szCs w:val="22"/>
        </w:rPr>
      </w:pPr>
    </w:p>
    <w:p w:rsidRPr="00F06896" w:rsidR="00A81C6D" w:rsidP="007F0316" w:rsidRDefault="00A81C6D" w14:paraId="7C5009C1" w14:textId="6FBC7E0A">
      <w:pPr>
        <w:pStyle w:val="ListParagraph"/>
        <w:numPr>
          <w:ilvl w:val="1"/>
          <w:numId w:val="1"/>
        </w:numPr>
        <w:rPr>
          <w:rFonts w:ascii="Times New Roman" w:hAnsi="Times New Roman"/>
          <w:b/>
          <w:bCs/>
          <w:sz w:val="22"/>
          <w:szCs w:val="22"/>
        </w:rPr>
      </w:pPr>
      <w:r w:rsidRPr="00F06896">
        <w:rPr>
          <w:rFonts w:ascii="Times New Roman" w:hAnsi="Times New Roman"/>
          <w:b/>
          <w:bCs/>
          <w:sz w:val="22"/>
          <w:szCs w:val="22"/>
        </w:rPr>
        <w:t xml:space="preserve">The Committee’s consideration of a recommendation for use of lecanemab </w:t>
      </w:r>
      <w:r w:rsidRPr="00F06896" w:rsidR="007D0D6A">
        <w:rPr>
          <w:rFonts w:ascii="Times New Roman" w:hAnsi="Times New Roman"/>
          <w:b/>
          <w:bCs/>
          <w:sz w:val="22"/>
          <w:szCs w:val="22"/>
        </w:rPr>
        <w:t xml:space="preserve">with </w:t>
      </w:r>
      <w:r w:rsidRPr="00F06896">
        <w:rPr>
          <w:rFonts w:ascii="Times New Roman" w:hAnsi="Times New Roman"/>
          <w:b/>
          <w:bCs/>
          <w:sz w:val="22"/>
          <w:szCs w:val="22"/>
        </w:rPr>
        <w:t xml:space="preserve">managed access is inconsistent with the Manual </w:t>
      </w:r>
      <w:r w:rsidRPr="00F06896" w:rsidR="00F47D44">
        <w:rPr>
          <w:rFonts w:ascii="Times New Roman" w:hAnsi="Times New Roman"/>
          <w:b/>
          <w:bCs/>
          <w:sz w:val="22"/>
          <w:szCs w:val="22"/>
        </w:rPr>
        <w:t xml:space="preserve">and the Innovative Medicines Fund principles </w:t>
      </w:r>
      <w:r w:rsidRPr="00F06896">
        <w:rPr>
          <w:rFonts w:ascii="Times New Roman" w:hAnsi="Times New Roman"/>
          <w:b/>
          <w:bCs/>
          <w:sz w:val="22"/>
          <w:szCs w:val="22"/>
        </w:rPr>
        <w:t xml:space="preserve">and is </w:t>
      </w:r>
      <w:r w:rsidRPr="00F06896" w:rsidR="00F66F99">
        <w:rPr>
          <w:rFonts w:ascii="Times New Roman" w:hAnsi="Times New Roman"/>
          <w:b/>
          <w:bCs/>
          <w:sz w:val="22"/>
          <w:szCs w:val="22"/>
        </w:rPr>
        <w:t>unreasonable</w:t>
      </w:r>
    </w:p>
    <w:p w:rsidRPr="00F06896" w:rsidR="008F15AE" w:rsidP="007F0316" w:rsidRDefault="008F15AE" w14:paraId="2712A5F1" w14:textId="77777777">
      <w:pPr>
        <w:rPr>
          <w:rFonts w:ascii="Times New Roman" w:hAnsi="Times New Roman"/>
          <w:sz w:val="22"/>
          <w:szCs w:val="22"/>
        </w:rPr>
      </w:pPr>
    </w:p>
    <w:p w:rsidRPr="00F06896" w:rsidR="00507004" w:rsidP="007F0316" w:rsidRDefault="00F66F99" w14:paraId="5496C7FC" w14:textId="0DC4117F">
      <w:pPr>
        <w:rPr>
          <w:rFonts w:ascii="Times New Roman" w:hAnsi="Times New Roman"/>
          <w:sz w:val="22"/>
          <w:szCs w:val="22"/>
        </w:rPr>
      </w:pPr>
      <w:r w:rsidRPr="00F06896">
        <w:rPr>
          <w:rFonts w:ascii="Times New Roman" w:hAnsi="Times New Roman"/>
          <w:sz w:val="22"/>
          <w:szCs w:val="22"/>
        </w:rPr>
        <w:t>At appeal point 1.</w:t>
      </w:r>
      <w:r w:rsidRPr="00F06896" w:rsidR="009E5730">
        <w:rPr>
          <w:rFonts w:ascii="Times New Roman" w:hAnsi="Times New Roman"/>
          <w:sz w:val="22"/>
          <w:szCs w:val="22"/>
        </w:rPr>
        <w:t>4</w:t>
      </w:r>
      <w:r w:rsidRPr="00F06896">
        <w:rPr>
          <w:rFonts w:ascii="Times New Roman" w:hAnsi="Times New Roman"/>
          <w:sz w:val="22"/>
          <w:szCs w:val="22"/>
        </w:rPr>
        <w:t xml:space="preserve"> above, Eisai </w:t>
      </w:r>
      <w:r w:rsidRPr="00F06896" w:rsidR="00D37BD0">
        <w:rPr>
          <w:rFonts w:ascii="Times New Roman" w:hAnsi="Times New Roman"/>
          <w:sz w:val="22"/>
          <w:szCs w:val="22"/>
        </w:rPr>
        <w:t xml:space="preserve">addresses the lack of fairness associated with the Committee’s consideration </w:t>
      </w:r>
      <w:r w:rsidRPr="00F06896" w:rsidR="005D1C62">
        <w:rPr>
          <w:rFonts w:ascii="Times New Roman" w:hAnsi="Times New Roman"/>
          <w:sz w:val="22"/>
          <w:szCs w:val="22"/>
        </w:rPr>
        <w:t>of a recommendation of lecanemab with managed access. Some elements of the Committee’s conclusions may also be viewed as unreasonable</w:t>
      </w:r>
      <w:r w:rsidRPr="00F06896" w:rsidR="00294144">
        <w:rPr>
          <w:rFonts w:ascii="Times New Roman" w:hAnsi="Times New Roman"/>
          <w:sz w:val="22"/>
          <w:szCs w:val="22"/>
        </w:rPr>
        <w:t xml:space="preserve"> (e.g. the statement at paragraph 3.29 of the FDG that </w:t>
      </w:r>
      <w:r w:rsidRPr="00F06896" w:rsidR="007E65E8">
        <w:rPr>
          <w:rFonts w:ascii="Times New Roman" w:hAnsi="Times New Roman"/>
          <w:sz w:val="22"/>
          <w:szCs w:val="22"/>
        </w:rPr>
        <w:t>treatment discontinua</w:t>
      </w:r>
      <w:r w:rsidRPr="00F06896" w:rsidR="00653457">
        <w:rPr>
          <w:rFonts w:ascii="Times New Roman" w:hAnsi="Times New Roman"/>
          <w:sz w:val="22"/>
          <w:szCs w:val="22"/>
        </w:rPr>
        <w:t>tion</w:t>
      </w:r>
      <w:r w:rsidRPr="00F06896" w:rsidR="007E65E8">
        <w:rPr>
          <w:rFonts w:ascii="Times New Roman" w:hAnsi="Times New Roman"/>
          <w:sz w:val="22"/>
          <w:szCs w:val="22"/>
        </w:rPr>
        <w:t xml:space="preserve"> is an area of uncertainty, in circumstances where this is not referenced at paragraphs 3.18 or 3.28 of the FDG)</w:t>
      </w:r>
      <w:r w:rsidRPr="00F06896" w:rsidR="008F15AE">
        <w:rPr>
          <w:rFonts w:ascii="Times New Roman" w:hAnsi="Times New Roman"/>
          <w:sz w:val="22"/>
          <w:szCs w:val="22"/>
        </w:rPr>
        <w:t>. To that extent, the content of appeal point 1.3 should be repeated here.</w:t>
      </w:r>
    </w:p>
    <w:p w:rsidRPr="00F06896" w:rsidR="00A81C6D" w:rsidP="007F0316" w:rsidRDefault="00A81C6D" w14:paraId="788CD6B2" w14:textId="77777777">
      <w:pPr>
        <w:rPr>
          <w:rFonts w:ascii="Times New Roman" w:hAnsi="Times New Roman"/>
          <w:sz w:val="22"/>
          <w:szCs w:val="22"/>
        </w:rPr>
      </w:pPr>
    </w:p>
    <w:p w:rsidRPr="00F06896" w:rsidR="00507004" w:rsidP="007F0316" w:rsidRDefault="00507004" w14:paraId="7FD1BDA0" w14:textId="58E14166">
      <w:pPr>
        <w:pStyle w:val="BodyText"/>
        <w:rPr>
          <w:b/>
          <w:sz w:val="22"/>
          <w:szCs w:val="22"/>
          <w:u w:val="single"/>
        </w:rPr>
      </w:pPr>
      <w:r w:rsidRPr="00F06896">
        <w:rPr>
          <w:b/>
          <w:sz w:val="22"/>
          <w:szCs w:val="22"/>
          <w:u w:val="single"/>
        </w:rPr>
        <w:t>THE DETERMINATION OF THIS APPEAL</w:t>
      </w:r>
    </w:p>
    <w:p w:rsidRPr="00F06896" w:rsidR="00507004" w:rsidP="007F0316" w:rsidRDefault="00507004" w14:paraId="2C64A068" w14:textId="5CD86415">
      <w:pPr>
        <w:pStyle w:val="BodyText"/>
        <w:rPr>
          <w:sz w:val="22"/>
          <w:szCs w:val="22"/>
        </w:rPr>
      </w:pPr>
      <w:r w:rsidRPr="00F06896">
        <w:rPr>
          <w:sz w:val="22"/>
          <w:szCs w:val="22"/>
        </w:rPr>
        <w:t xml:space="preserve">Eisai requests that this appeal should be determined at an oral hearing. </w:t>
      </w:r>
    </w:p>
    <w:p w:rsidRPr="00F06896" w:rsidR="00507004" w:rsidP="007F0316" w:rsidRDefault="00507004" w14:paraId="2B6A843C" w14:textId="77777777">
      <w:pPr>
        <w:pStyle w:val="BodyText"/>
        <w:rPr>
          <w:b/>
          <w:sz w:val="22"/>
          <w:szCs w:val="22"/>
          <w:u w:val="single"/>
        </w:rPr>
      </w:pPr>
      <w:r w:rsidRPr="00F06896">
        <w:rPr>
          <w:b/>
          <w:sz w:val="22"/>
          <w:szCs w:val="22"/>
          <w:u w:val="single"/>
        </w:rPr>
        <w:t>REQUESTED OUTCOME FOLLOWING APPEAL</w:t>
      </w:r>
    </w:p>
    <w:p w:rsidR="00E45AD7" w:rsidP="007F0316" w:rsidRDefault="00E45AD7" w14:paraId="075FE41C" w14:textId="6F4F0BF0">
      <w:pPr>
        <w:rPr>
          <w:rFonts w:ascii="Times New Roman" w:hAnsi="Times New Roman"/>
          <w:sz w:val="22"/>
          <w:szCs w:val="22"/>
        </w:rPr>
      </w:pPr>
      <w:r w:rsidRPr="00F06896">
        <w:rPr>
          <w:rFonts w:ascii="Times New Roman" w:hAnsi="Times New Roman"/>
          <w:sz w:val="22"/>
          <w:szCs w:val="22"/>
        </w:rPr>
        <w:t>Eisai requests that the appraisal is returned to the Appraisal Committee with the following directions:</w:t>
      </w:r>
    </w:p>
    <w:p w:rsidRPr="00F06896" w:rsidR="0063757E" w:rsidP="007F0316" w:rsidRDefault="0063757E" w14:paraId="6892EC89" w14:textId="77777777">
      <w:pPr>
        <w:rPr>
          <w:rFonts w:ascii="Times New Roman" w:hAnsi="Times New Roman"/>
          <w:sz w:val="22"/>
          <w:szCs w:val="22"/>
        </w:rPr>
      </w:pPr>
    </w:p>
    <w:p w:rsidRPr="00F06896" w:rsidR="00E45AD7" w:rsidP="00D161D6" w:rsidRDefault="00E45AD7" w14:paraId="5C9ADEB6" w14:textId="584E2012">
      <w:pPr>
        <w:pStyle w:val="ListParagraph"/>
        <w:numPr>
          <w:ilvl w:val="0"/>
          <w:numId w:val="14"/>
        </w:numPr>
        <w:rPr>
          <w:rFonts w:ascii="Times New Roman" w:hAnsi="Times New Roman"/>
          <w:sz w:val="22"/>
          <w:szCs w:val="22"/>
        </w:rPr>
      </w:pPr>
      <w:r w:rsidRPr="00F06896">
        <w:rPr>
          <w:rFonts w:ascii="Times New Roman" w:hAnsi="Times New Roman"/>
          <w:sz w:val="22"/>
          <w:szCs w:val="22"/>
        </w:rPr>
        <w:t xml:space="preserve">NHS England to be invited to provide </w:t>
      </w:r>
      <w:r w:rsidRPr="00F06896" w:rsidR="009E5730">
        <w:rPr>
          <w:rFonts w:ascii="Times New Roman" w:hAnsi="Times New Roman"/>
          <w:sz w:val="22"/>
          <w:szCs w:val="22"/>
        </w:rPr>
        <w:t xml:space="preserve">detailed </w:t>
      </w:r>
      <w:r w:rsidRPr="00F06896" w:rsidR="00372358">
        <w:rPr>
          <w:rFonts w:ascii="Times New Roman" w:hAnsi="Times New Roman"/>
          <w:sz w:val="22"/>
          <w:szCs w:val="22"/>
        </w:rPr>
        <w:t xml:space="preserve">and transparent </w:t>
      </w:r>
      <w:r w:rsidRPr="00F06896" w:rsidR="009E5730">
        <w:rPr>
          <w:rFonts w:ascii="Times New Roman" w:hAnsi="Times New Roman"/>
          <w:sz w:val="22"/>
          <w:szCs w:val="22"/>
        </w:rPr>
        <w:t>breakdowns of its estimated costs for infusion of lecanemab and APOE4 testing, but if it elects not to provide such information, the Committee should rely on alternative sources of information for such costs</w:t>
      </w:r>
      <w:r w:rsidRPr="00F06896" w:rsidR="3064C2E8">
        <w:rPr>
          <w:rFonts w:ascii="Times New Roman" w:hAnsi="Times New Roman"/>
          <w:sz w:val="22"/>
          <w:szCs w:val="22"/>
        </w:rPr>
        <w:t>.</w:t>
      </w:r>
    </w:p>
    <w:p w:rsidRPr="00F06896" w:rsidR="009E5730" w:rsidP="00D161D6" w:rsidRDefault="009E5730" w14:paraId="56354311" w14:textId="5140E976">
      <w:pPr>
        <w:pStyle w:val="ListParagraph"/>
        <w:numPr>
          <w:ilvl w:val="0"/>
          <w:numId w:val="14"/>
        </w:numPr>
        <w:rPr>
          <w:rFonts w:ascii="Times New Roman" w:hAnsi="Times New Roman"/>
          <w:sz w:val="22"/>
          <w:szCs w:val="22"/>
        </w:rPr>
      </w:pPr>
      <w:r w:rsidRPr="00F06896">
        <w:rPr>
          <w:rFonts w:ascii="Times New Roman" w:hAnsi="Times New Roman"/>
          <w:sz w:val="22"/>
          <w:szCs w:val="22"/>
        </w:rPr>
        <w:t xml:space="preserve">If the Committee intends to disregard the benefit of lecanemab in delaying transition from mild to moderate or severe AD, it must explain its reasons and justify a different approach to that followed </w:t>
      </w:r>
      <w:r w:rsidRPr="00F06896" w:rsidR="006706C2">
        <w:rPr>
          <w:rFonts w:ascii="Times New Roman" w:hAnsi="Times New Roman"/>
          <w:sz w:val="22"/>
          <w:szCs w:val="22"/>
        </w:rPr>
        <w:t xml:space="preserve">by the same committee </w:t>
      </w:r>
      <w:r w:rsidRPr="00F06896">
        <w:rPr>
          <w:rFonts w:ascii="Times New Roman" w:hAnsi="Times New Roman"/>
          <w:sz w:val="22"/>
          <w:szCs w:val="22"/>
        </w:rPr>
        <w:t xml:space="preserve">in the appraisal of donanemab. </w:t>
      </w:r>
    </w:p>
    <w:p w:rsidRPr="00F06896" w:rsidR="00690EAC" w:rsidP="00D161D6" w:rsidRDefault="00690EAC" w14:paraId="57870B87" w14:textId="337E1828">
      <w:pPr>
        <w:pStyle w:val="ListParagraph"/>
        <w:numPr>
          <w:ilvl w:val="0"/>
          <w:numId w:val="14"/>
        </w:numPr>
        <w:rPr>
          <w:rFonts w:ascii="Times New Roman" w:hAnsi="Times New Roman"/>
          <w:sz w:val="22"/>
          <w:szCs w:val="22"/>
        </w:rPr>
      </w:pPr>
      <w:r w:rsidRPr="00F06896">
        <w:rPr>
          <w:rFonts w:ascii="Times New Roman" w:hAnsi="Times New Roman"/>
          <w:sz w:val="22"/>
          <w:szCs w:val="22"/>
        </w:rPr>
        <w:t>The Committee must adopt a consistent approach to waning of treatment effect to that used in the appraisal of donanemab</w:t>
      </w:r>
      <w:r w:rsidRPr="00F06896" w:rsidR="0638B578">
        <w:rPr>
          <w:rFonts w:ascii="Times New Roman" w:hAnsi="Times New Roman"/>
          <w:sz w:val="22"/>
          <w:szCs w:val="22"/>
        </w:rPr>
        <w:t>.</w:t>
      </w:r>
    </w:p>
    <w:p w:rsidRPr="00F06896" w:rsidR="00DC58F9" w:rsidP="00D161D6" w:rsidRDefault="00DC58F9" w14:paraId="4B4DACD5" w14:textId="38F5DBC4">
      <w:pPr>
        <w:pStyle w:val="ListParagraph"/>
        <w:numPr>
          <w:ilvl w:val="0"/>
          <w:numId w:val="14"/>
        </w:numPr>
        <w:rPr>
          <w:rFonts w:ascii="Times New Roman" w:hAnsi="Times New Roman"/>
          <w:sz w:val="22"/>
          <w:szCs w:val="22"/>
        </w:rPr>
      </w:pPr>
      <w:r w:rsidRPr="00F06896">
        <w:rPr>
          <w:rFonts w:ascii="Times New Roman" w:hAnsi="Times New Roman"/>
          <w:sz w:val="22"/>
          <w:szCs w:val="22"/>
        </w:rPr>
        <w:t>The Committee must reconsider the assessment of carer benefits associated with lecanemab therapy taking into account the deficiencies in EQ</w:t>
      </w:r>
      <w:r w:rsidRPr="00F06896" w:rsidR="004238DA">
        <w:rPr>
          <w:rFonts w:ascii="Times New Roman" w:hAnsi="Times New Roman"/>
          <w:sz w:val="22"/>
          <w:szCs w:val="22"/>
        </w:rPr>
        <w:t>-</w:t>
      </w:r>
      <w:r w:rsidRPr="00F06896">
        <w:rPr>
          <w:rFonts w:ascii="Times New Roman" w:hAnsi="Times New Roman"/>
          <w:sz w:val="22"/>
          <w:szCs w:val="22"/>
        </w:rPr>
        <w:t xml:space="preserve">5D in capturing </w:t>
      </w:r>
      <w:r w:rsidRPr="00F06896" w:rsidR="00676A88">
        <w:rPr>
          <w:rFonts w:ascii="Times New Roman" w:hAnsi="Times New Roman"/>
          <w:sz w:val="22"/>
          <w:szCs w:val="22"/>
        </w:rPr>
        <w:t xml:space="preserve">HRQoL </w:t>
      </w:r>
      <w:r w:rsidRPr="00F06896">
        <w:rPr>
          <w:rFonts w:ascii="Times New Roman" w:hAnsi="Times New Roman"/>
          <w:sz w:val="22"/>
          <w:szCs w:val="22"/>
        </w:rPr>
        <w:t>in carers of patients with AD</w:t>
      </w:r>
      <w:r w:rsidRPr="00F06896" w:rsidR="3B44ED3D">
        <w:rPr>
          <w:rFonts w:ascii="Times New Roman" w:hAnsi="Times New Roman"/>
          <w:sz w:val="22"/>
          <w:szCs w:val="22"/>
        </w:rPr>
        <w:t>.</w:t>
      </w:r>
    </w:p>
    <w:p w:rsidRPr="00F06896" w:rsidR="009E5730" w:rsidP="00D161D6" w:rsidRDefault="009E5730" w14:paraId="788287E6" w14:textId="6EA2A5AE">
      <w:pPr>
        <w:pStyle w:val="ListParagraph"/>
        <w:numPr>
          <w:ilvl w:val="0"/>
          <w:numId w:val="14"/>
        </w:numPr>
        <w:rPr>
          <w:rFonts w:ascii="Times New Roman" w:hAnsi="Times New Roman"/>
          <w:sz w:val="22"/>
          <w:szCs w:val="22"/>
        </w:rPr>
      </w:pPr>
      <w:r w:rsidRPr="00F06896">
        <w:rPr>
          <w:rFonts w:ascii="Times New Roman" w:hAnsi="Times New Roman"/>
          <w:sz w:val="22"/>
          <w:szCs w:val="22"/>
        </w:rPr>
        <w:t xml:space="preserve">The Committee </w:t>
      </w:r>
      <w:r w:rsidR="00474D95">
        <w:rPr>
          <w:rFonts w:ascii="Times New Roman" w:hAnsi="Times New Roman"/>
          <w:sz w:val="22"/>
          <w:szCs w:val="22"/>
        </w:rPr>
        <w:t>should</w:t>
      </w:r>
      <w:r w:rsidRPr="00F06896">
        <w:rPr>
          <w:rFonts w:ascii="Times New Roman" w:hAnsi="Times New Roman"/>
          <w:sz w:val="22"/>
          <w:szCs w:val="22"/>
        </w:rPr>
        <w:t xml:space="preserve"> take into account all of the well evidenced benefits of lecanemab that have not been captured </w:t>
      </w:r>
      <w:r w:rsidRPr="00F06896" w:rsidR="00690EAC">
        <w:rPr>
          <w:rFonts w:ascii="Times New Roman" w:hAnsi="Times New Roman"/>
          <w:sz w:val="22"/>
          <w:szCs w:val="22"/>
        </w:rPr>
        <w:t>in this appraisal; if it intends to consider the matters currently listed as potential harms, this approach, which differs from that followed in other appraisals  must be justified and any balancing exercise of benefits and harms must be adequately explained.</w:t>
      </w:r>
      <w:r w:rsidRPr="00F06896">
        <w:rPr>
          <w:rFonts w:ascii="Times New Roman" w:hAnsi="Times New Roman"/>
          <w:sz w:val="22"/>
          <w:szCs w:val="22"/>
        </w:rPr>
        <w:t xml:space="preserve"> </w:t>
      </w:r>
    </w:p>
    <w:p w:rsidRPr="00F06896" w:rsidR="009E5730" w:rsidP="00D161D6" w:rsidRDefault="009E5730" w14:paraId="73C21CED" w14:textId="7CB8EFB0">
      <w:pPr>
        <w:pStyle w:val="ListParagraph"/>
        <w:numPr>
          <w:ilvl w:val="0"/>
          <w:numId w:val="14"/>
        </w:numPr>
        <w:rPr>
          <w:rFonts w:ascii="Times New Roman" w:hAnsi="Times New Roman"/>
          <w:sz w:val="22"/>
          <w:szCs w:val="22"/>
        </w:rPr>
      </w:pPr>
      <w:r w:rsidRPr="00F06896">
        <w:rPr>
          <w:rFonts w:ascii="Times New Roman" w:hAnsi="Times New Roman"/>
          <w:sz w:val="22"/>
          <w:szCs w:val="22"/>
        </w:rPr>
        <w:t xml:space="preserve">The Committee should reconsider the appropriate ICER threshold for lecanemab bearing in mind the </w:t>
      </w:r>
      <w:r w:rsidRPr="00F06896" w:rsidR="00A25544">
        <w:rPr>
          <w:rFonts w:ascii="Times New Roman" w:hAnsi="Times New Roman"/>
          <w:sz w:val="22"/>
          <w:szCs w:val="22"/>
        </w:rPr>
        <w:t>letter</w:t>
      </w:r>
      <w:r w:rsidRPr="00F06896">
        <w:rPr>
          <w:rFonts w:ascii="Times New Roman" w:hAnsi="Times New Roman"/>
          <w:sz w:val="22"/>
          <w:szCs w:val="22"/>
        </w:rPr>
        <w:t xml:space="preserve"> from the Associate Director of </w:t>
      </w:r>
      <w:r w:rsidRPr="00F06896" w:rsidR="007B4233">
        <w:rPr>
          <w:rFonts w:ascii="Times New Roman" w:hAnsi="Times New Roman"/>
          <w:sz w:val="22"/>
          <w:szCs w:val="22"/>
        </w:rPr>
        <w:t>17 January 2025</w:t>
      </w:r>
      <w:r w:rsidRPr="00F06896">
        <w:rPr>
          <w:rFonts w:ascii="Times New Roman" w:hAnsi="Times New Roman"/>
          <w:sz w:val="22"/>
          <w:szCs w:val="22"/>
        </w:rPr>
        <w:t xml:space="preserve"> and all the factors required to be taken into account at paragraph 6.3.5 of the Manual</w:t>
      </w:r>
    </w:p>
    <w:p w:rsidRPr="00F06896" w:rsidR="009E5730" w:rsidP="00D161D6" w:rsidRDefault="009E5730" w14:paraId="24633962" w14:textId="462184A6">
      <w:pPr>
        <w:pStyle w:val="ListParagraph"/>
        <w:numPr>
          <w:ilvl w:val="0"/>
          <w:numId w:val="14"/>
        </w:numPr>
        <w:rPr>
          <w:rFonts w:ascii="Times New Roman" w:hAnsi="Times New Roman"/>
          <w:sz w:val="22"/>
          <w:szCs w:val="22"/>
        </w:rPr>
      </w:pPr>
      <w:r w:rsidRPr="00F06896">
        <w:rPr>
          <w:rFonts w:ascii="Times New Roman" w:hAnsi="Times New Roman"/>
          <w:sz w:val="22"/>
          <w:szCs w:val="22"/>
        </w:rPr>
        <w:t>The Committee should reconsider a recommendation for use of lecanemab with manage</w:t>
      </w:r>
      <w:r w:rsidRPr="00F06896" w:rsidR="00A25544">
        <w:rPr>
          <w:rFonts w:ascii="Times New Roman" w:hAnsi="Times New Roman"/>
          <w:sz w:val="22"/>
          <w:szCs w:val="22"/>
        </w:rPr>
        <w:t>d</w:t>
      </w:r>
      <w:r w:rsidRPr="00F06896">
        <w:rPr>
          <w:rFonts w:ascii="Times New Roman" w:hAnsi="Times New Roman"/>
          <w:sz w:val="22"/>
          <w:szCs w:val="22"/>
        </w:rPr>
        <w:t xml:space="preserve"> access in the context of the </w:t>
      </w:r>
      <w:r w:rsidRPr="00F06896" w:rsidR="00A25544">
        <w:rPr>
          <w:rFonts w:ascii="Times New Roman" w:hAnsi="Times New Roman"/>
          <w:sz w:val="22"/>
          <w:szCs w:val="22"/>
        </w:rPr>
        <w:t>letter</w:t>
      </w:r>
      <w:r w:rsidRPr="00F06896">
        <w:rPr>
          <w:rFonts w:ascii="Times New Roman" w:hAnsi="Times New Roman"/>
          <w:sz w:val="22"/>
          <w:szCs w:val="22"/>
        </w:rPr>
        <w:t xml:space="preserve"> from the Associate Director dated </w:t>
      </w:r>
      <w:r w:rsidRPr="00F06896" w:rsidR="007B4233">
        <w:rPr>
          <w:rFonts w:ascii="Times New Roman" w:hAnsi="Times New Roman"/>
          <w:sz w:val="22"/>
          <w:szCs w:val="22"/>
        </w:rPr>
        <w:t>17 January 2025</w:t>
      </w:r>
      <w:r w:rsidRPr="00F06896">
        <w:rPr>
          <w:rFonts w:ascii="Times New Roman" w:hAnsi="Times New Roman"/>
          <w:sz w:val="22"/>
          <w:szCs w:val="22"/>
        </w:rPr>
        <w:t xml:space="preserve"> and the requirements of the Manual.</w:t>
      </w:r>
    </w:p>
    <w:sectPr w:rsidRPr="00F06896" w:rsidR="009E5730" w:rsidSect="00B22104">
      <w:headerReference w:type="default" r:id="rId11"/>
      <w:footerReference w:type="default" r:id="rId12"/>
      <w:headerReference w:type="first" r:id="rId13"/>
      <w:footerReference w:type="first" r:id="rId14"/>
      <w:pgSz w:w="11906" w:h="16838" w:orient="portrait"/>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3D7B" w:rsidP="00F06F60" w:rsidRDefault="00FC3D7B" w14:paraId="03B41669" w14:textId="77777777">
      <w:r>
        <w:separator/>
      </w:r>
    </w:p>
  </w:endnote>
  <w:endnote w:type="continuationSeparator" w:id="0">
    <w:p w:rsidR="00FC3D7B" w:rsidP="00F06F60" w:rsidRDefault="00FC3D7B" w14:paraId="72E40673" w14:textId="77777777">
      <w:r>
        <w:continuationSeparator/>
      </w:r>
    </w:p>
  </w:endnote>
  <w:endnote w:type="continuationNotice" w:id="1">
    <w:p w:rsidR="00FC3D7B" w:rsidRDefault="00FC3D7B" w14:paraId="77612B3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PMincho">
    <w:panose1 w:val="02020600040205080304"/>
    <w:charset w:val="80"/>
    <w:family w:val="roman"/>
    <w:pitch w:val="variable"/>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474225527"/>
      <w:docPartObj>
        <w:docPartGallery w:val="Page Numbers (Bottom of Page)"/>
        <w:docPartUnique/>
      </w:docPartObj>
    </w:sdtPr>
    <w:sdtEndPr>
      <w:rPr>
        <w:rFonts w:ascii="Times New Roman" w:hAnsi="Times New Roman"/>
        <w:sz w:val="20"/>
        <w:szCs w:val="20"/>
      </w:rPr>
    </w:sdtEndPr>
    <w:sdtContent>
      <w:sdt>
        <w:sdtPr>
          <w:rPr>
            <w:rFonts w:ascii="Times New Roman" w:hAnsi="Times New Roman"/>
            <w:sz w:val="20"/>
            <w:szCs w:val="20"/>
          </w:rPr>
          <w:id w:val="-1769616900"/>
          <w:docPartObj>
            <w:docPartGallery w:val="Page Numbers (Top of Page)"/>
            <w:docPartUnique/>
          </w:docPartObj>
        </w:sdtPr>
        <w:sdtEndPr>
          <w:rPr>
            <w:rFonts w:ascii="Times New Roman" w:hAnsi="Times New Roman"/>
            <w:sz w:val="20"/>
            <w:szCs w:val="20"/>
          </w:rPr>
        </w:sdtEndPr>
        <w:sdtContent>
          <w:p w:rsidRPr="00C6026F" w:rsidR="00C6026F" w:rsidRDefault="00C6026F" w14:paraId="1D6D9318" w14:textId="3CBB2097">
            <w:pPr>
              <w:pStyle w:val="Footer"/>
              <w:jc w:val="right"/>
              <w:rPr>
                <w:rFonts w:ascii="Times New Roman" w:hAnsi="Times New Roman"/>
                <w:sz w:val="20"/>
                <w:szCs w:val="20"/>
              </w:rPr>
            </w:pPr>
            <w:r w:rsidRPr="00C6026F">
              <w:rPr>
                <w:rFonts w:ascii="Times New Roman" w:hAnsi="Times New Roman"/>
                <w:sz w:val="20"/>
                <w:szCs w:val="20"/>
                <w:lang w:val="en-GB"/>
              </w:rPr>
              <w:t xml:space="preserve">Page </w:t>
            </w:r>
            <w:r w:rsidRPr="00C6026F">
              <w:rPr>
                <w:rFonts w:ascii="Times New Roman" w:hAnsi="Times New Roman"/>
                <w:sz w:val="20"/>
                <w:szCs w:val="20"/>
              </w:rPr>
              <w:fldChar w:fldCharType="begin"/>
            </w:r>
            <w:r w:rsidRPr="00C6026F">
              <w:rPr>
                <w:rFonts w:ascii="Times New Roman" w:hAnsi="Times New Roman"/>
                <w:sz w:val="20"/>
                <w:szCs w:val="20"/>
              </w:rPr>
              <w:instrText>PAGE</w:instrText>
            </w:r>
            <w:r w:rsidRPr="00C6026F">
              <w:rPr>
                <w:rFonts w:ascii="Times New Roman" w:hAnsi="Times New Roman"/>
                <w:sz w:val="20"/>
                <w:szCs w:val="20"/>
              </w:rPr>
              <w:fldChar w:fldCharType="separate"/>
            </w:r>
            <w:r w:rsidRPr="00C6026F">
              <w:rPr>
                <w:rFonts w:ascii="Times New Roman" w:hAnsi="Times New Roman"/>
                <w:sz w:val="20"/>
                <w:szCs w:val="20"/>
                <w:lang w:val="en-GB"/>
              </w:rPr>
              <w:t>2</w:t>
            </w:r>
            <w:r w:rsidRPr="00C6026F">
              <w:rPr>
                <w:rFonts w:ascii="Times New Roman" w:hAnsi="Times New Roman"/>
                <w:sz w:val="20"/>
                <w:szCs w:val="20"/>
              </w:rPr>
              <w:fldChar w:fldCharType="end"/>
            </w:r>
            <w:r w:rsidRPr="00C6026F">
              <w:rPr>
                <w:rFonts w:ascii="Times New Roman" w:hAnsi="Times New Roman"/>
                <w:sz w:val="20"/>
                <w:szCs w:val="20"/>
                <w:lang w:val="en-GB"/>
              </w:rPr>
              <w:t xml:space="preserve"> of </w:t>
            </w:r>
            <w:r w:rsidRPr="00C6026F">
              <w:rPr>
                <w:rFonts w:ascii="Times New Roman" w:hAnsi="Times New Roman"/>
                <w:sz w:val="20"/>
                <w:szCs w:val="20"/>
              </w:rPr>
              <w:fldChar w:fldCharType="begin"/>
            </w:r>
            <w:r w:rsidRPr="00C6026F">
              <w:rPr>
                <w:rFonts w:ascii="Times New Roman" w:hAnsi="Times New Roman"/>
                <w:sz w:val="20"/>
                <w:szCs w:val="20"/>
              </w:rPr>
              <w:instrText>NUMPAGES</w:instrText>
            </w:r>
            <w:r w:rsidRPr="00C6026F">
              <w:rPr>
                <w:rFonts w:ascii="Times New Roman" w:hAnsi="Times New Roman"/>
                <w:sz w:val="20"/>
                <w:szCs w:val="20"/>
              </w:rPr>
              <w:fldChar w:fldCharType="separate"/>
            </w:r>
            <w:r w:rsidRPr="00C6026F">
              <w:rPr>
                <w:rFonts w:ascii="Times New Roman" w:hAnsi="Times New Roman"/>
                <w:sz w:val="20"/>
                <w:szCs w:val="20"/>
                <w:lang w:val="en-GB"/>
              </w:rPr>
              <w:t>2</w:t>
            </w:r>
            <w:r w:rsidRPr="00C6026F">
              <w:rPr>
                <w:rFonts w:ascii="Times New Roman" w:hAnsi="Times New Roman"/>
                <w:sz w:val="20"/>
                <w:szCs w:val="20"/>
              </w:rPr>
              <w:fldChar w:fldCharType="end"/>
            </w:r>
          </w:p>
        </w:sdtContent>
      </w:sdt>
    </w:sdtContent>
  </w:sdt>
  <w:p w:rsidR="00C6026F" w:rsidRDefault="00C6026F" w14:paraId="76CACC6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A6819" w:rsidR="00A94AB7" w:rsidP="00A94AB7" w:rsidRDefault="00A94AB7" w14:paraId="34362C79" w14:textId="77777777">
    <w:pPr>
      <w:rPr>
        <w:rFonts w:ascii="Times New Roman" w:hAnsi="Times New Roman"/>
        <w:sz w:val="20"/>
        <w:szCs w:val="20"/>
      </w:rPr>
    </w:pPr>
  </w:p>
  <w:tbl>
    <w:tblPr>
      <w:tblW w:w="8501" w:type="dxa"/>
      <w:tblInd w:w="-702" w:type="dxa"/>
      <w:tblLook w:val="04A0" w:firstRow="1" w:lastRow="0" w:firstColumn="1" w:lastColumn="0" w:noHBand="0" w:noVBand="1"/>
    </w:tblPr>
    <w:tblGrid>
      <w:gridCol w:w="2605"/>
      <w:gridCol w:w="545"/>
      <w:gridCol w:w="5351"/>
    </w:tblGrid>
    <w:tr w:rsidRPr="00446605" w:rsidR="00A94AB7" w:rsidTr="17B1E2CB" w14:paraId="02395E39" w14:textId="77777777">
      <w:trPr>
        <w:trHeight w:val="300"/>
      </w:trPr>
      <w:tc>
        <w:tcPr>
          <w:tcW w:w="2605" w:type="dxa"/>
          <w:tcMar/>
        </w:tcPr>
        <w:p w:rsidR="00A94AB7" w:rsidP="00A94AB7" w:rsidRDefault="00A94AB7" w14:paraId="1D54E105" w14:textId="77777777">
          <w:pPr>
            <w:rPr>
              <w:rFonts w:ascii="Arial" w:hAnsi="Arial" w:cs="Arial"/>
              <w:sz w:val="15"/>
              <w:szCs w:val="15"/>
            </w:rPr>
          </w:pPr>
          <w:r>
            <w:rPr>
              <w:rFonts w:ascii="Arial" w:hAnsi="Arial" w:cs="Arial"/>
              <w:sz w:val="15"/>
              <w:szCs w:val="15"/>
            </w:rPr>
            <w:t>Eisai Europe Limited</w:t>
          </w:r>
        </w:p>
        <w:p w:rsidRPr="007C4272" w:rsidR="00A94AB7" w:rsidP="00A94AB7" w:rsidRDefault="00A94AB7" w14:paraId="5C494618" w14:textId="77777777">
          <w:pPr>
            <w:rPr>
              <w:rFonts w:ascii="Arial" w:hAnsi="Arial" w:cs="Arial"/>
              <w:sz w:val="15"/>
              <w:szCs w:val="15"/>
            </w:rPr>
          </w:pPr>
          <w:r w:rsidRPr="007C4272">
            <w:rPr>
              <w:rFonts w:ascii="Arial" w:hAnsi="Arial" w:cs="Arial"/>
              <w:sz w:val="15"/>
              <w:szCs w:val="15"/>
            </w:rPr>
            <w:t>European Knowledge Centre</w:t>
          </w:r>
        </w:p>
        <w:p w:rsidRPr="007C4272" w:rsidR="00A94AB7" w:rsidP="00A94AB7" w:rsidRDefault="00A94AB7" w14:paraId="0212F94A" w14:textId="77777777">
          <w:pPr>
            <w:rPr>
              <w:rFonts w:ascii="Arial" w:hAnsi="Arial" w:cs="Arial"/>
              <w:sz w:val="15"/>
              <w:szCs w:val="15"/>
            </w:rPr>
          </w:pPr>
          <w:r w:rsidRPr="007C4272">
            <w:rPr>
              <w:rFonts w:ascii="Arial" w:hAnsi="Arial" w:cs="Arial"/>
              <w:sz w:val="15"/>
              <w:szCs w:val="15"/>
            </w:rPr>
            <w:t>Mosquito Way</w:t>
          </w:r>
        </w:p>
        <w:p w:rsidRPr="007C4272" w:rsidR="00A94AB7" w:rsidP="00A94AB7" w:rsidRDefault="00A94AB7" w14:paraId="2CF234F2" w14:textId="77777777">
          <w:pPr>
            <w:rPr>
              <w:rFonts w:ascii="Arial" w:hAnsi="Arial" w:cs="Arial"/>
              <w:sz w:val="15"/>
              <w:szCs w:val="15"/>
            </w:rPr>
          </w:pPr>
          <w:r w:rsidRPr="007C4272">
            <w:rPr>
              <w:rFonts w:ascii="Arial" w:hAnsi="Arial" w:cs="Arial"/>
              <w:sz w:val="15"/>
              <w:szCs w:val="15"/>
            </w:rPr>
            <w:t>Hatfield</w:t>
          </w:r>
        </w:p>
        <w:p w:rsidRPr="007C4272" w:rsidR="00A94AB7" w:rsidP="00A94AB7" w:rsidRDefault="00A94AB7" w14:paraId="62E5F012" w14:textId="77777777">
          <w:pPr>
            <w:rPr>
              <w:rFonts w:ascii="Arial" w:hAnsi="Arial" w:cs="Arial"/>
              <w:sz w:val="15"/>
              <w:szCs w:val="15"/>
            </w:rPr>
          </w:pPr>
          <w:r w:rsidRPr="007C4272">
            <w:rPr>
              <w:rFonts w:ascii="Arial" w:hAnsi="Arial" w:cs="Arial"/>
              <w:sz w:val="15"/>
              <w:szCs w:val="15"/>
            </w:rPr>
            <w:t>Hertfordshire AL10 9SN</w:t>
          </w:r>
        </w:p>
        <w:p w:rsidRPr="007C4272" w:rsidR="00A94AB7" w:rsidP="00A94AB7" w:rsidRDefault="00A94AB7" w14:paraId="2A37D050" w14:textId="77777777">
          <w:pPr>
            <w:rPr>
              <w:rFonts w:ascii="Arial" w:hAnsi="Arial" w:cs="Arial"/>
              <w:sz w:val="15"/>
              <w:szCs w:val="15"/>
            </w:rPr>
          </w:pPr>
          <w:r w:rsidRPr="007C4272">
            <w:rPr>
              <w:rFonts w:ascii="Arial" w:hAnsi="Arial" w:cs="Arial"/>
              <w:sz w:val="15"/>
              <w:szCs w:val="15"/>
            </w:rPr>
            <w:t>www.eisai.co.uk</w:t>
          </w:r>
        </w:p>
      </w:tc>
      <w:tc>
        <w:tcPr>
          <w:tcW w:w="545" w:type="dxa"/>
          <w:tcMar/>
        </w:tcPr>
        <w:p w:rsidRPr="007C4272" w:rsidR="00A94AB7" w:rsidP="00A94AB7" w:rsidRDefault="00A94AB7" w14:paraId="3A3F4483" w14:textId="77777777">
          <w:pPr>
            <w:pStyle w:val="Footer"/>
            <w:rPr>
              <w:rFonts w:ascii="Arial" w:hAnsi="Arial" w:cs="Arial"/>
              <w:b/>
              <w:sz w:val="15"/>
              <w:szCs w:val="15"/>
            </w:rPr>
          </w:pPr>
        </w:p>
        <w:p w:rsidR="00A94AB7" w:rsidP="00A94AB7" w:rsidRDefault="00A94AB7" w14:paraId="283418F4" w14:textId="77777777">
          <w:pPr>
            <w:pStyle w:val="Footer"/>
            <w:rPr>
              <w:rFonts w:ascii="Arial" w:hAnsi="Arial" w:cs="Arial"/>
              <w:b/>
              <w:sz w:val="15"/>
              <w:szCs w:val="15"/>
            </w:rPr>
          </w:pPr>
        </w:p>
        <w:p w:rsidRPr="007C4272" w:rsidR="00A94AB7" w:rsidP="17B1E2CB" w:rsidRDefault="00A94AB7" w14:paraId="3C5FE90B" w14:textId="2EE9A62C">
          <w:pPr>
            <w:pStyle w:val="Footer"/>
            <w:rPr>
              <w:rFonts w:ascii="Arial" w:hAnsi="Arial" w:cs="Arial"/>
              <w:b w:val="1"/>
              <w:bCs w:val="1"/>
              <w:sz w:val="15"/>
              <w:szCs w:val="15"/>
            </w:rPr>
          </w:pPr>
        </w:p>
        <w:p w:rsidRPr="007C4272" w:rsidR="00A94AB7" w:rsidP="00A94AB7" w:rsidRDefault="00A94AB7" w14:paraId="467C1BFE" w14:textId="77777777">
          <w:pPr>
            <w:pStyle w:val="Footer"/>
            <w:rPr>
              <w:rFonts w:ascii="Arial" w:hAnsi="Arial" w:cs="Arial"/>
              <w:b/>
              <w:sz w:val="15"/>
              <w:szCs w:val="15"/>
            </w:rPr>
          </w:pPr>
        </w:p>
        <w:p w:rsidRPr="007C4272" w:rsidR="00A94AB7" w:rsidP="17B1E2CB" w:rsidRDefault="00A94AB7" w14:paraId="224AC6AD" w14:textId="2593E4B8">
          <w:pPr>
            <w:pStyle w:val="Footer"/>
            <w:rPr>
              <w:rFonts w:ascii="Arial" w:hAnsi="Arial" w:cs="Arial"/>
              <w:b w:val="1"/>
              <w:bCs w:val="1"/>
              <w:sz w:val="15"/>
              <w:szCs w:val="15"/>
            </w:rPr>
          </w:pPr>
        </w:p>
      </w:tc>
      <w:tc>
        <w:tcPr>
          <w:tcW w:w="5351" w:type="dxa"/>
          <w:tcMar/>
        </w:tcPr>
        <w:p w:rsidRPr="007C4272" w:rsidR="00A94AB7" w:rsidP="00A94AB7" w:rsidRDefault="00A94AB7" w14:paraId="0943880A" w14:textId="77777777">
          <w:pPr>
            <w:pStyle w:val="Footer"/>
            <w:jc w:val="right"/>
            <w:rPr>
              <w:rFonts w:ascii="Arial" w:hAnsi="Arial" w:cs="Arial"/>
              <w:sz w:val="15"/>
              <w:szCs w:val="15"/>
            </w:rPr>
          </w:pPr>
        </w:p>
        <w:p w:rsidR="00A94AB7" w:rsidP="00A94AB7" w:rsidRDefault="00A94AB7" w14:paraId="7EC692DD" w14:textId="77777777">
          <w:pPr>
            <w:pStyle w:val="Footer"/>
            <w:jc w:val="right"/>
            <w:rPr>
              <w:rFonts w:ascii="Arial" w:hAnsi="Arial" w:cs="Arial"/>
              <w:sz w:val="15"/>
              <w:szCs w:val="15"/>
            </w:rPr>
          </w:pPr>
        </w:p>
        <w:p w:rsidRPr="007C4272" w:rsidR="00A94AB7" w:rsidP="00A94AB7" w:rsidRDefault="00A94AB7" w14:paraId="22FD2112" w14:textId="77777777">
          <w:pPr>
            <w:pStyle w:val="Footer"/>
            <w:jc w:val="right"/>
            <w:rPr>
              <w:rFonts w:ascii="Arial" w:hAnsi="Arial" w:cs="Arial"/>
              <w:sz w:val="15"/>
              <w:szCs w:val="15"/>
            </w:rPr>
          </w:pPr>
        </w:p>
        <w:p w:rsidRPr="007C4272" w:rsidR="00A94AB7" w:rsidP="00A94AB7" w:rsidRDefault="00A94AB7" w14:paraId="63EA81E2" w14:textId="77777777">
          <w:pPr>
            <w:pStyle w:val="Footer"/>
            <w:ind w:right="-108"/>
            <w:jc w:val="right"/>
            <w:rPr>
              <w:rFonts w:ascii="Arial" w:hAnsi="Arial" w:cs="Arial"/>
              <w:sz w:val="15"/>
              <w:szCs w:val="15"/>
            </w:rPr>
          </w:pPr>
        </w:p>
        <w:p w:rsidRPr="007C4272" w:rsidR="00A94AB7" w:rsidP="00A94AB7" w:rsidRDefault="00A94AB7" w14:paraId="3685ACD8" w14:textId="77777777">
          <w:pPr>
            <w:pStyle w:val="Footer"/>
            <w:ind w:right="-108"/>
            <w:jc w:val="right"/>
            <w:rPr>
              <w:rFonts w:ascii="Arial" w:hAnsi="Arial" w:cs="Arial"/>
              <w:sz w:val="15"/>
              <w:szCs w:val="15"/>
            </w:rPr>
          </w:pPr>
          <w:r w:rsidRPr="007C4272">
            <w:rPr>
              <w:rFonts w:ascii="Arial" w:hAnsi="Arial" w:cs="Arial"/>
              <w:sz w:val="15"/>
              <w:szCs w:val="15"/>
            </w:rPr>
            <w:t>Eisai Europe Limited is registered in England and Wales</w:t>
          </w:r>
        </w:p>
        <w:p w:rsidRPr="007C4272" w:rsidR="00A94AB7" w:rsidP="00A94AB7" w:rsidRDefault="00A94AB7" w14:paraId="4144A9F8" w14:textId="77777777">
          <w:pPr>
            <w:pStyle w:val="Footer"/>
            <w:ind w:right="-108"/>
            <w:jc w:val="right"/>
            <w:rPr>
              <w:rFonts w:ascii="Arial" w:hAnsi="Arial" w:cs="Arial"/>
              <w:sz w:val="15"/>
              <w:szCs w:val="15"/>
            </w:rPr>
          </w:pPr>
          <w:r w:rsidRPr="007C4272">
            <w:rPr>
              <w:rFonts w:ascii="Arial" w:hAnsi="Arial" w:cs="Arial"/>
              <w:sz w:val="15"/>
              <w:szCs w:val="15"/>
            </w:rPr>
            <w:t>with company number 5268420</w:t>
          </w:r>
        </w:p>
      </w:tc>
    </w:tr>
    <w:tr w:rsidR="17B1E2CB" w:rsidTr="17B1E2CB" w14:paraId="56D71AE5">
      <w:trPr>
        <w:trHeight w:val="300"/>
      </w:trPr>
      <w:tc>
        <w:tcPr>
          <w:tcW w:w="2605" w:type="dxa"/>
          <w:tcMar/>
        </w:tcPr>
        <w:p w:rsidR="17B1E2CB" w:rsidP="17B1E2CB" w:rsidRDefault="17B1E2CB" w14:paraId="1FC66F81" w14:textId="04A88E9C">
          <w:pPr>
            <w:pStyle w:val="Normal"/>
            <w:rPr>
              <w:rFonts w:ascii="Arial" w:hAnsi="Arial" w:cs="Arial"/>
              <w:sz w:val="15"/>
              <w:szCs w:val="15"/>
            </w:rPr>
          </w:pPr>
        </w:p>
      </w:tc>
      <w:tc>
        <w:tcPr>
          <w:tcW w:w="545" w:type="dxa"/>
          <w:tcMar/>
        </w:tcPr>
        <w:p w:rsidR="17B1E2CB" w:rsidP="17B1E2CB" w:rsidRDefault="17B1E2CB" w14:paraId="09F8C642" w14:textId="3ADD933D">
          <w:pPr>
            <w:pStyle w:val="Footer"/>
            <w:rPr>
              <w:rFonts w:ascii="Arial" w:hAnsi="Arial" w:cs="Arial"/>
              <w:b w:val="1"/>
              <w:bCs w:val="1"/>
              <w:sz w:val="15"/>
              <w:szCs w:val="15"/>
            </w:rPr>
          </w:pPr>
        </w:p>
      </w:tc>
      <w:tc>
        <w:tcPr>
          <w:tcW w:w="5351" w:type="dxa"/>
          <w:tcMar/>
        </w:tcPr>
        <w:p w:rsidR="17B1E2CB" w:rsidP="17B1E2CB" w:rsidRDefault="17B1E2CB" w14:paraId="5FC8BB13" w14:textId="418C3DE4">
          <w:pPr>
            <w:pStyle w:val="Footer"/>
            <w:jc w:val="right"/>
            <w:rPr>
              <w:rFonts w:ascii="Arial" w:hAnsi="Arial" w:cs="Arial"/>
              <w:sz w:val="15"/>
              <w:szCs w:val="15"/>
            </w:rPr>
          </w:pPr>
        </w:p>
      </w:tc>
    </w:tr>
  </w:tbl>
  <w:p w:rsidR="00A94AB7" w:rsidRDefault="00A94AB7" w14:paraId="7B2778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3D7B" w:rsidP="00F06F60" w:rsidRDefault="00FC3D7B" w14:paraId="2E39F1B7" w14:textId="77777777">
      <w:r>
        <w:separator/>
      </w:r>
    </w:p>
  </w:footnote>
  <w:footnote w:type="continuationSeparator" w:id="0">
    <w:p w:rsidR="00FC3D7B" w:rsidP="00F06F60" w:rsidRDefault="00FC3D7B" w14:paraId="509BAFB9" w14:textId="77777777">
      <w:r>
        <w:continuationSeparator/>
      </w:r>
    </w:p>
  </w:footnote>
  <w:footnote w:type="continuationNotice" w:id="1">
    <w:p w:rsidR="00FC3D7B" w:rsidRDefault="00FC3D7B" w14:paraId="4D6BC53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53E5F" w:rsidP="00E53E5F" w:rsidRDefault="00A94AB7" w14:paraId="0D4A5DA5" w14:textId="6F4044E0">
    <w:pPr>
      <w:pStyle w:val="Header"/>
      <w:ind w:left="-1418"/>
    </w:pPr>
    <w:r>
      <w:rPr>
        <w:noProof/>
        <w:lang w:val="en-GB" w:eastAsia="en-GB"/>
      </w:rPr>
      <w:drawing>
        <wp:inline distT="0" distB="0" distL="0" distR="0" wp14:anchorId="0F9F394B" wp14:editId="436EB79A">
          <wp:extent cx="7520026" cy="901465"/>
          <wp:effectExtent l="0" t="0" r="5080" b="0"/>
          <wp:docPr id="383395545" name="Picture 383395545" descr=":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0026" cy="9014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22104" w:rsidP="00B22104" w:rsidRDefault="00B22104" w14:paraId="006DA63D" w14:textId="6F942106">
    <w:pPr>
      <w:pStyle w:val="Header"/>
      <w:ind w:left="-1418"/>
    </w:pPr>
    <w:r>
      <w:rPr>
        <w:noProof/>
        <w:lang w:val="en-GB" w:eastAsia="en-GB"/>
      </w:rPr>
      <w:drawing>
        <wp:inline distT="0" distB="0" distL="0" distR="0" wp14:anchorId="20C3E795" wp14:editId="1DCDCBB0">
          <wp:extent cx="7527341" cy="902698"/>
          <wp:effectExtent l="0" t="0" r="0" b="0"/>
          <wp:docPr id="361688533" name="Picture 361688533" descr=":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059" cy="9649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2AAC"/>
    <w:multiLevelType w:val="hybridMultilevel"/>
    <w:tmpl w:val="6A280A6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A6B6ED0"/>
    <w:multiLevelType w:val="hybridMultilevel"/>
    <w:tmpl w:val="026061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8C592C"/>
    <w:multiLevelType w:val="multilevel"/>
    <w:tmpl w:val="56CC4574"/>
    <w:lvl w:ilvl="0">
      <w:start w:val="1"/>
      <w:numFmt w:val="decimal"/>
      <w:lvlText w:val="%1)"/>
      <w:lvlJc w:val="left"/>
      <w:pPr>
        <w:tabs>
          <w:tab w:val="num" w:pos="1769"/>
        </w:tabs>
        <w:ind w:left="1769" w:hanging="360"/>
      </w:pPr>
      <w:rPr>
        <w:rFonts w:hint="eastAsia"/>
      </w:rPr>
    </w:lvl>
    <w:lvl w:ilvl="1">
      <w:start w:val="1"/>
      <w:numFmt w:val="bullet"/>
      <w:lvlText w:val=""/>
      <w:lvlJc w:val="left"/>
      <w:pPr>
        <w:tabs>
          <w:tab w:val="num" w:pos="1661"/>
        </w:tabs>
        <w:ind w:left="1661" w:hanging="187"/>
      </w:pPr>
      <w:rPr>
        <w:rFonts w:hint="default" w:ascii="Symbol" w:hAnsi="Symbol"/>
        <w:color w:val="auto"/>
      </w:rPr>
    </w:lvl>
    <w:lvl w:ilvl="2">
      <w:start w:val="1"/>
      <w:numFmt w:val="decimalEnclosedCircle"/>
      <w:lvlText w:val="%3"/>
      <w:lvlJc w:val="left"/>
      <w:pPr>
        <w:tabs>
          <w:tab w:val="num" w:pos="2669"/>
        </w:tabs>
        <w:ind w:left="2669" w:hanging="420"/>
      </w:pPr>
    </w:lvl>
    <w:lvl w:ilvl="3">
      <w:start w:val="1"/>
      <w:numFmt w:val="decimal"/>
      <w:lvlText w:val="%4."/>
      <w:lvlJc w:val="left"/>
      <w:pPr>
        <w:tabs>
          <w:tab w:val="num" w:pos="3089"/>
        </w:tabs>
        <w:ind w:left="3089" w:hanging="420"/>
      </w:pPr>
    </w:lvl>
    <w:lvl w:ilvl="4">
      <w:start w:val="1"/>
      <w:numFmt w:val="aiueoFullWidth"/>
      <w:lvlText w:val="(%5)"/>
      <w:lvlJc w:val="left"/>
      <w:pPr>
        <w:tabs>
          <w:tab w:val="num" w:pos="3509"/>
        </w:tabs>
        <w:ind w:left="3509" w:hanging="420"/>
      </w:pPr>
    </w:lvl>
    <w:lvl w:ilvl="5">
      <w:start w:val="1"/>
      <w:numFmt w:val="decimalEnclosedCircle"/>
      <w:lvlText w:val="%6"/>
      <w:lvlJc w:val="left"/>
      <w:pPr>
        <w:tabs>
          <w:tab w:val="num" w:pos="3929"/>
        </w:tabs>
        <w:ind w:left="3929" w:hanging="420"/>
      </w:pPr>
    </w:lvl>
    <w:lvl w:ilvl="6">
      <w:start w:val="1"/>
      <w:numFmt w:val="decimal"/>
      <w:lvlText w:val="%7."/>
      <w:lvlJc w:val="left"/>
      <w:pPr>
        <w:tabs>
          <w:tab w:val="num" w:pos="4349"/>
        </w:tabs>
        <w:ind w:left="4349" w:hanging="420"/>
      </w:pPr>
    </w:lvl>
    <w:lvl w:ilvl="7">
      <w:start w:val="1"/>
      <w:numFmt w:val="aiueoFullWidth"/>
      <w:lvlText w:val="(%8)"/>
      <w:lvlJc w:val="left"/>
      <w:pPr>
        <w:tabs>
          <w:tab w:val="num" w:pos="4769"/>
        </w:tabs>
        <w:ind w:left="4769" w:hanging="420"/>
      </w:pPr>
    </w:lvl>
    <w:lvl w:ilvl="8">
      <w:start w:val="1"/>
      <w:numFmt w:val="decimalEnclosedCircle"/>
      <w:lvlText w:val="%9"/>
      <w:lvlJc w:val="left"/>
      <w:pPr>
        <w:tabs>
          <w:tab w:val="num" w:pos="5189"/>
        </w:tabs>
        <w:ind w:left="5189" w:hanging="420"/>
      </w:pPr>
    </w:lvl>
  </w:abstractNum>
  <w:abstractNum w:abstractNumId="3" w15:restartNumberingAfterBreak="0">
    <w:nsid w:val="0C110C11"/>
    <w:multiLevelType w:val="hybridMultilevel"/>
    <w:tmpl w:val="539C06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DB040E2"/>
    <w:multiLevelType w:val="hybridMultilevel"/>
    <w:tmpl w:val="CB061C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3542F6A"/>
    <w:multiLevelType w:val="hybridMultilevel"/>
    <w:tmpl w:val="3FCABAA2"/>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15F7671B"/>
    <w:multiLevelType w:val="multilevel"/>
    <w:tmpl w:val="56CC4574"/>
    <w:lvl w:ilvl="0">
      <w:start w:val="1"/>
      <w:numFmt w:val="decimal"/>
      <w:lvlText w:val="%1)"/>
      <w:lvlJc w:val="left"/>
      <w:pPr>
        <w:tabs>
          <w:tab w:val="num" w:pos="1769"/>
        </w:tabs>
        <w:ind w:left="1769" w:hanging="360"/>
      </w:pPr>
      <w:rPr>
        <w:rFonts w:hint="eastAsia"/>
      </w:rPr>
    </w:lvl>
    <w:lvl w:ilvl="1">
      <w:start w:val="1"/>
      <w:numFmt w:val="bullet"/>
      <w:lvlText w:val=""/>
      <w:lvlJc w:val="left"/>
      <w:pPr>
        <w:tabs>
          <w:tab w:val="num" w:pos="1661"/>
        </w:tabs>
        <w:ind w:left="1661" w:hanging="187"/>
      </w:pPr>
      <w:rPr>
        <w:rFonts w:hint="default" w:ascii="Symbol" w:hAnsi="Symbol"/>
        <w:color w:val="auto"/>
      </w:rPr>
    </w:lvl>
    <w:lvl w:ilvl="2">
      <w:start w:val="1"/>
      <w:numFmt w:val="decimalEnclosedCircle"/>
      <w:lvlText w:val="%3"/>
      <w:lvlJc w:val="left"/>
      <w:pPr>
        <w:tabs>
          <w:tab w:val="num" w:pos="2669"/>
        </w:tabs>
        <w:ind w:left="2669" w:hanging="420"/>
      </w:pPr>
    </w:lvl>
    <w:lvl w:ilvl="3">
      <w:start w:val="1"/>
      <w:numFmt w:val="decimal"/>
      <w:lvlText w:val="%4."/>
      <w:lvlJc w:val="left"/>
      <w:pPr>
        <w:tabs>
          <w:tab w:val="num" w:pos="3089"/>
        </w:tabs>
        <w:ind w:left="3089" w:hanging="420"/>
      </w:pPr>
    </w:lvl>
    <w:lvl w:ilvl="4">
      <w:start w:val="1"/>
      <w:numFmt w:val="aiueoFullWidth"/>
      <w:lvlText w:val="(%5)"/>
      <w:lvlJc w:val="left"/>
      <w:pPr>
        <w:tabs>
          <w:tab w:val="num" w:pos="3509"/>
        </w:tabs>
        <w:ind w:left="3509" w:hanging="420"/>
      </w:pPr>
    </w:lvl>
    <w:lvl w:ilvl="5">
      <w:start w:val="1"/>
      <w:numFmt w:val="decimalEnclosedCircle"/>
      <w:lvlText w:val="%6"/>
      <w:lvlJc w:val="left"/>
      <w:pPr>
        <w:tabs>
          <w:tab w:val="num" w:pos="3929"/>
        </w:tabs>
        <w:ind w:left="3929" w:hanging="420"/>
      </w:pPr>
    </w:lvl>
    <w:lvl w:ilvl="6">
      <w:start w:val="1"/>
      <w:numFmt w:val="decimal"/>
      <w:lvlText w:val="%7."/>
      <w:lvlJc w:val="left"/>
      <w:pPr>
        <w:tabs>
          <w:tab w:val="num" w:pos="4349"/>
        </w:tabs>
        <w:ind w:left="4349" w:hanging="420"/>
      </w:pPr>
    </w:lvl>
    <w:lvl w:ilvl="7">
      <w:start w:val="1"/>
      <w:numFmt w:val="aiueoFullWidth"/>
      <w:lvlText w:val="(%8)"/>
      <w:lvlJc w:val="left"/>
      <w:pPr>
        <w:tabs>
          <w:tab w:val="num" w:pos="4769"/>
        </w:tabs>
        <w:ind w:left="4769" w:hanging="420"/>
      </w:pPr>
    </w:lvl>
    <w:lvl w:ilvl="8">
      <w:start w:val="1"/>
      <w:numFmt w:val="decimalEnclosedCircle"/>
      <w:lvlText w:val="%9"/>
      <w:lvlJc w:val="left"/>
      <w:pPr>
        <w:tabs>
          <w:tab w:val="num" w:pos="5189"/>
        </w:tabs>
        <w:ind w:left="5189" w:hanging="420"/>
      </w:pPr>
    </w:lvl>
  </w:abstractNum>
  <w:abstractNum w:abstractNumId="7" w15:restartNumberingAfterBreak="0">
    <w:nsid w:val="1B9563D2"/>
    <w:multiLevelType w:val="hybridMultilevel"/>
    <w:tmpl w:val="B6EC33C6"/>
    <w:lvl w:ilvl="0" w:tplc="2CDC6BF6">
      <w:start w:val="1"/>
      <w:numFmt w:val="decimal"/>
      <w:lvlText w:val="%1)"/>
      <w:lvlJc w:val="left"/>
      <w:pPr>
        <w:tabs>
          <w:tab w:val="num" w:pos="1769"/>
        </w:tabs>
        <w:ind w:left="1769" w:hanging="360"/>
      </w:pPr>
      <w:rPr>
        <w:rFonts w:hint="eastAsia"/>
      </w:rPr>
    </w:lvl>
    <w:lvl w:ilvl="1" w:tplc="8E525824">
      <w:start w:val="1"/>
      <w:numFmt w:val="bullet"/>
      <w:lvlText w:val=""/>
      <w:lvlJc w:val="left"/>
      <w:pPr>
        <w:tabs>
          <w:tab w:val="num" w:pos="1758"/>
        </w:tabs>
        <w:ind w:left="1758" w:hanging="284"/>
      </w:pPr>
      <w:rPr>
        <w:rFonts w:hint="default" w:ascii="Symbol" w:hAnsi="Symbol"/>
        <w:color w:val="auto"/>
      </w:rPr>
    </w:lvl>
    <w:lvl w:ilvl="2" w:tplc="04090011" w:tentative="1">
      <w:start w:val="1"/>
      <w:numFmt w:val="decimalEnclosedCircle"/>
      <w:lvlText w:val="%3"/>
      <w:lvlJc w:val="left"/>
      <w:pPr>
        <w:tabs>
          <w:tab w:val="num" w:pos="2669"/>
        </w:tabs>
        <w:ind w:left="2669" w:hanging="420"/>
      </w:pPr>
    </w:lvl>
    <w:lvl w:ilvl="3" w:tplc="0409000F" w:tentative="1">
      <w:start w:val="1"/>
      <w:numFmt w:val="decimal"/>
      <w:lvlText w:val="%4."/>
      <w:lvlJc w:val="left"/>
      <w:pPr>
        <w:tabs>
          <w:tab w:val="num" w:pos="3089"/>
        </w:tabs>
        <w:ind w:left="3089" w:hanging="420"/>
      </w:pPr>
    </w:lvl>
    <w:lvl w:ilvl="4" w:tplc="04090017" w:tentative="1">
      <w:start w:val="1"/>
      <w:numFmt w:val="aiueoFullWidth"/>
      <w:lvlText w:val="(%5)"/>
      <w:lvlJc w:val="left"/>
      <w:pPr>
        <w:tabs>
          <w:tab w:val="num" w:pos="3509"/>
        </w:tabs>
        <w:ind w:left="3509" w:hanging="420"/>
      </w:pPr>
    </w:lvl>
    <w:lvl w:ilvl="5" w:tplc="04090011" w:tentative="1">
      <w:start w:val="1"/>
      <w:numFmt w:val="decimalEnclosedCircle"/>
      <w:lvlText w:val="%6"/>
      <w:lvlJc w:val="left"/>
      <w:pPr>
        <w:tabs>
          <w:tab w:val="num" w:pos="3929"/>
        </w:tabs>
        <w:ind w:left="3929" w:hanging="420"/>
      </w:pPr>
    </w:lvl>
    <w:lvl w:ilvl="6" w:tplc="0409000F" w:tentative="1">
      <w:start w:val="1"/>
      <w:numFmt w:val="decimal"/>
      <w:lvlText w:val="%7."/>
      <w:lvlJc w:val="left"/>
      <w:pPr>
        <w:tabs>
          <w:tab w:val="num" w:pos="4349"/>
        </w:tabs>
        <w:ind w:left="4349" w:hanging="420"/>
      </w:pPr>
    </w:lvl>
    <w:lvl w:ilvl="7" w:tplc="04090017" w:tentative="1">
      <w:start w:val="1"/>
      <w:numFmt w:val="aiueoFullWidth"/>
      <w:lvlText w:val="(%8)"/>
      <w:lvlJc w:val="left"/>
      <w:pPr>
        <w:tabs>
          <w:tab w:val="num" w:pos="4769"/>
        </w:tabs>
        <w:ind w:left="4769" w:hanging="420"/>
      </w:pPr>
    </w:lvl>
    <w:lvl w:ilvl="8" w:tplc="04090011" w:tentative="1">
      <w:start w:val="1"/>
      <w:numFmt w:val="decimalEnclosedCircle"/>
      <w:lvlText w:val="%9"/>
      <w:lvlJc w:val="left"/>
      <w:pPr>
        <w:tabs>
          <w:tab w:val="num" w:pos="5189"/>
        </w:tabs>
        <w:ind w:left="5189" w:hanging="420"/>
      </w:pPr>
    </w:lvl>
  </w:abstractNum>
  <w:abstractNum w:abstractNumId="8" w15:restartNumberingAfterBreak="0">
    <w:nsid w:val="1CF52B5B"/>
    <w:multiLevelType w:val="hybridMultilevel"/>
    <w:tmpl w:val="D9CAD96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217C3D8B"/>
    <w:multiLevelType w:val="multilevel"/>
    <w:tmpl w:val="6F5208D8"/>
    <w:lvl w:ilvl="0">
      <w:start w:val="1"/>
      <w:numFmt w:val="decimal"/>
      <w:lvlText w:val="%1)"/>
      <w:lvlJc w:val="left"/>
      <w:pPr>
        <w:tabs>
          <w:tab w:val="num" w:pos="1769"/>
        </w:tabs>
        <w:ind w:left="1769" w:hanging="360"/>
      </w:pPr>
      <w:rPr>
        <w:rFonts w:hint="eastAsia"/>
      </w:rPr>
    </w:lvl>
    <w:lvl w:ilvl="1">
      <w:start w:val="1"/>
      <w:numFmt w:val="bullet"/>
      <w:lvlText w:val=""/>
      <w:lvlJc w:val="left"/>
      <w:pPr>
        <w:tabs>
          <w:tab w:val="num" w:pos="1661"/>
        </w:tabs>
        <w:ind w:left="1661" w:hanging="243"/>
      </w:pPr>
      <w:rPr>
        <w:rFonts w:hint="default" w:ascii="Symbol" w:hAnsi="Symbol"/>
        <w:color w:val="auto"/>
      </w:rPr>
    </w:lvl>
    <w:lvl w:ilvl="2">
      <w:start w:val="1"/>
      <w:numFmt w:val="decimalEnclosedCircle"/>
      <w:lvlText w:val="%3"/>
      <w:lvlJc w:val="left"/>
      <w:pPr>
        <w:tabs>
          <w:tab w:val="num" w:pos="2669"/>
        </w:tabs>
        <w:ind w:left="2669" w:hanging="420"/>
      </w:pPr>
    </w:lvl>
    <w:lvl w:ilvl="3">
      <w:start w:val="1"/>
      <w:numFmt w:val="decimal"/>
      <w:lvlText w:val="%4."/>
      <w:lvlJc w:val="left"/>
      <w:pPr>
        <w:tabs>
          <w:tab w:val="num" w:pos="3089"/>
        </w:tabs>
        <w:ind w:left="3089" w:hanging="420"/>
      </w:pPr>
    </w:lvl>
    <w:lvl w:ilvl="4">
      <w:start w:val="1"/>
      <w:numFmt w:val="aiueoFullWidth"/>
      <w:lvlText w:val="(%5)"/>
      <w:lvlJc w:val="left"/>
      <w:pPr>
        <w:tabs>
          <w:tab w:val="num" w:pos="3509"/>
        </w:tabs>
        <w:ind w:left="3509" w:hanging="420"/>
      </w:pPr>
    </w:lvl>
    <w:lvl w:ilvl="5">
      <w:start w:val="1"/>
      <w:numFmt w:val="decimalEnclosedCircle"/>
      <w:lvlText w:val="%6"/>
      <w:lvlJc w:val="left"/>
      <w:pPr>
        <w:tabs>
          <w:tab w:val="num" w:pos="3929"/>
        </w:tabs>
        <w:ind w:left="3929" w:hanging="420"/>
      </w:pPr>
    </w:lvl>
    <w:lvl w:ilvl="6">
      <w:start w:val="1"/>
      <w:numFmt w:val="decimal"/>
      <w:lvlText w:val="%7."/>
      <w:lvlJc w:val="left"/>
      <w:pPr>
        <w:tabs>
          <w:tab w:val="num" w:pos="4349"/>
        </w:tabs>
        <w:ind w:left="4349" w:hanging="420"/>
      </w:pPr>
    </w:lvl>
    <w:lvl w:ilvl="7">
      <w:start w:val="1"/>
      <w:numFmt w:val="aiueoFullWidth"/>
      <w:lvlText w:val="(%8)"/>
      <w:lvlJc w:val="left"/>
      <w:pPr>
        <w:tabs>
          <w:tab w:val="num" w:pos="4769"/>
        </w:tabs>
        <w:ind w:left="4769" w:hanging="420"/>
      </w:pPr>
    </w:lvl>
    <w:lvl w:ilvl="8">
      <w:start w:val="1"/>
      <w:numFmt w:val="decimalEnclosedCircle"/>
      <w:lvlText w:val="%9"/>
      <w:lvlJc w:val="left"/>
      <w:pPr>
        <w:tabs>
          <w:tab w:val="num" w:pos="5189"/>
        </w:tabs>
        <w:ind w:left="5189" w:hanging="420"/>
      </w:pPr>
    </w:lvl>
  </w:abstractNum>
  <w:abstractNum w:abstractNumId="10" w15:restartNumberingAfterBreak="0">
    <w:nsid w:val="2483774D"/>
    <w:multiLevelType w:val="multilevel"/>
    <w:tmpl w:val="56CC4574"/>
    <w:lvl w:ilvl="0">
      <w:start w:val="1"/>
      <w:numFmt w:val="decimal"/>
      <w:lvlText w:val="%1)"/>
      <w:lvlJc w:val="left"/>
      <w:pPr>
        <w:tabs>
          <w:tab w:val="num" w:pos="1769"/>
        </w:tabs>
        <w:ind w:left="1769" w:hanging="360"/>
      </w:pPr>
      <w:rPr>
        <w:rFonts w:hint="eastAsia"/>
      </w:rPr>
    </w:lvl>
    <w:lvl w:ilvl="1">
      <w:start w:val="1"/>
      <w:numFmt w:val="bullet"/>
      <w:lvlText w:val=""/>
      <w:lvlJc w:val="left"/>
      <w:pPr>
        <w:tabs>
          <w:tab w:val="num" w:pos="1661"/>
        </w:tabs>
        <w:ind w:left="1661" w:hanging="187"/>
      </w:pPr>
      <w:rPr>
        <w:rFonts w:hint="default" w:ascii="Symbol" w:hAnsi="Symbol"/>
        <w:color w:val="auto"/>
      </w:rPr>
    </w:lvl>
    <w:lvl w:ilvl="2">
      <w:start w:val="1"/>
      <w:numFmt w:val="decimalEnclosedCircle"/>
      <w:lvlText w:val="%3"/>
      <w:lvlJc w:val="left"/>
      <w:pPr>
        <w:tabs>
          <w:tab w:val="num" w:pos="2669"/>
        </w:tabs>
        <w:ind w:left="2669" w:hanging="420"/>
      </w:pPr>
    </w:lvl>
    <w:lvl w:ilvl="3">
      <w:start w:val="1"/>
      <w:numFmt w:val="decimal"/>
      <w:lvlText w:val="%4."/>
      <w:lvlJc w:val="left"/>
      <w:pPr>
        <w:tabs>
          <w:tab w:val="num" w:pos="3089"/>
        </w:tabs>
        <w:ind w:left="3089" w:hanging="420"/>
      </w:pPr>
    </w:lvl>
    <w:lvl w:ilvl="4">
      <w:start w:val="1"/>
      <w:numFmt w:val="aiueoFullWidth"/>
      <w:lvlText w:val="(%5)"/>
      <w:lvlJc w:val="left"/>
      <w:pPr>
        <w:tabs>
          <w:tab w:val="num" w:pos="3509"/>
        </w:tabs>
        <w:ind w:left="3509" w:hanging="420"/>
      </w:pPr>
    </w:lvl>
    <w:lvl w:ilvl="5">
      <w:start w:val="1"/>
      <w:numFmt w:val="decimalEnclosedCircle"/>
      <w:lvlText w:val="%6"/>
      <w:lvlJc w:val="left"/>
      <w:pPr>
        <w:tabs>
          <w:tab w:val="num" w:pos="3929"/>
        </w:tabs>
        <w:ind w:left="3929" w:hanging="420"/>
      </w:pPr>
    </w:lvl>
    <w:lvl w:ilvl="6">
      <w:start w:val="1"/>
      <w:numFmt w:val="decimal"/>
      <w:lvlText w:val="%7."/>
      <w:lvlJc w:val="left"/>
      <w:pPr>
        <w:tabs>
          <w:tab w:val="num" w:pos="4349"/>
        </w:tabs>
        <w:ind w:left="4349" w:hanging="420"/>
      </w:pPr>
    </w:lvl>
    <w:lvl w:ilvl="7">
      <w:start w:val="1"/>
      <w:numFmt w:val="aiueoFullWidth"/>
      <w:lvlText w:val="(%8)"/>
      <w:lvlJc w:val="left"/>
      <w:pPr>
        <w:tabs>
          <w:tab w:val="num" w:pos="4769"/>
        </w:tabs>
        <w:ind w:left="4769" w:hanging="420"/>
      </w:pPr>
    </w:lvl>
    <w:lvl w:ilvl="8">
      <w:start w:val="1"/>
      <w:numFmt w:val="decimalEnclosedCircle"/>
      <w:lvlText w:val="%9"/>
      <w:lvlJc w:val="left"/>
      <w:pPr>
        <w:tabs>
          <w:tab w:val="num" w:pos="5189"/>
        </w:tabs>
        <w:ind w:left="5189" w:hanging="420"/>
      </w:pPr>
    </w:lvl>
  </w:abstractNum>
  <w:abstractNum w:abstractNumId="11" w15:restartNumberingAfterBreak="0">
    <w:nsid w:val="2636188C"/>
    <w:multiLevelType w:val="hybridMultilevel"/>
    <w:tmpl w:val="D6E46D88"/>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27E71449"/>
    <w:multiLevelType w:val="hybridMultilevel"/>
    <w:tmpl w:val="D392FF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4155313"/>
    <w:multiLevelType w:val="multilevel"/>
    <w:tmpl w:val="6E401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62453C7"/>
    <w:multiLevelType w:val="multilevel"/>
    <w:tmpl w:val="F8AA2F28"/>
    <w:lvl w:ilvl="0">
      <w:start w:val="2"/>
      <w:numFmt w:val="decimal"/>
      <w:lvlText w:val="%1"/>
      <w:lvlJc w:val="left"/>
      <w:pPr>
        <w:ind w:left="360" w:hanging="360"/>
      </w:pPr>
      <w:rPr>
        <w:rFonts w:hint="default" w:ascii="Times New Roman" w:hAnsi="Times New Roman" w:cs="Times New Roman"/>
        <w:b w:val="0"/>
        <w:bCs/>
      </w:rPr>
    </w:lvl>
    <w:lvl w:ilvl="1">
      <w:start w:val="1"/>
      <w:numFmt w:val="decimal"/>
      <w:lvlText w:val="%1.%2"/>
      <w:lvlJc w:val="left"/>
      <w:pPr>
        <w:ind w:left="360" w:hanging="360"/>
      </w:pPr>
      <w:rPr>
        <w:rFonts w:hint="default" w:ascii="Times New Roman" w:hAnsi="Times New Roman" w:cs="Times New Roman"/>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14BD2"/>
    <w:multiLevelType w:val="multilevel"/>
    <w:tmpl w:val="FFFFFFFF"/>
    <w:lvl w:ilvl="0">
      <w:numFmt w:val="none"/>
      <w:lvlText w:val=""/>
      <w:lvlJc w:val="left"/>
      <w:pPr>
        <w:tabs>
          <w:tab w:val="num" w:pos="3960"/>
        </w:tabs>
      </w:p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16" w15:restartNumberingAfterBreak="0">
    <w:nsid w:val="40274CA8"/>
    <w:multiLevelType w:val="hybridMultilevel"/>
    <w:tmpl w:val="1382BD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2690148"/>
    <w:multiLevelType w:val="multilevel"/>
    <w:tmpl w:val="AF4EE4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2A15FF"/>
    <w:multiLevelType w:val="hybridMultilevel"/>
    <w:tmpl w:val="FA9A6F4C"/>
    <w:lvl w:ilvl="0" w:tplc="FFFFFFFF">
      <w:start w:val="1"/>
      <w:numFmt w:val="bullet"/>
      <w:lvlText w:val=""/>
      <w:lvlJc w:val="left"/>
      <w:pPr>
        <w:ind w:left="720" w:hanging="360"/>
      </w:pPr>
      <w:rPr>
        <w:rFonts w:hint="default" w:ascii="Symbol" w:hAnsi="Symbol"/>
      </w:rPr>
    </w:lvl>
    <w:lvl w:ilvl="1" w:tplc="08090017">
      <w:start w:val="1"/>
      <w:numFmt w:val="lowerLetter"/>
      <w:lvlText w:val="%2)"/>
      <w:lvlJc w:val="left"/>
      <w:pPr>
        <w:ind w:left="1440" w:hanging="360"/>
      </w:p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49812367"/>
    <w:multiLevelType w:val="hybridMultilevel"/>
    <w:tmpl w:val="AE6E1CEE"/>
    <w:lvl w:ilvl="0" w:tplc="5DB2ED26">
      <w:start w:val="1"/>
      <w:numFmt w:val="bullet"/>
      <w:lvlText w:val=""/>
      <w:lvlJc w:val="left"/>
      <w:pPr>
        <w:ind w:left="1440" w:hanging="360"/>
      </w:pPr>
      <w:rPr>
        <w:rFonts w:ascii="Symbol" w:hAnsi="Symbol"/>
      </w:rPr>
    </w:lvl>
    <w:lvl w:ilvl="1" w:tplc="81D449E0">
      <w:start w:val="1"/>
      <w:numFmt w:val="bullet"/>
      <w:lvlText w:val=""/>
      <w:lvlJc w:val="left"/>
      <w:pPr>
        <w:ind w:left="1440" w:hanging="360"/>
      </w:pPr>
      <w:rPr>
        <w:rFonts w:ascii="Symbol" w:hAnsi="Symbol"/>
      </w:rPr>
    </w:lvl>
    <w:lvl w:ilvl="2" w:tplc="6D6AF6F6">
      <w:start w:val="1"/>
      <w:numFmt w:val="bullet"/>
      <w:lvlText w:val=""/>
      <w:lvlJc w:val="left"/>
      <w:pPr>
        <w:ind w:left="1440" w:hanging="360"/>
      </w:pPr>
      <w:rPr>
        <w:rFonts w:ascii="Symbol" w:hAnsi="Symbol"/>
      </w:rPr>
    </w:lvl>
    <w:lvl w:ilvl="3" w:tplc="C8445B82">
      <w:start w:val="1"/>
      <w:numFmt w:val="bullet"/>
      <w:lvlText w:val=""/>
      <w:lvlJc w:val="left"/>
      <w:pPr>
        <w:ind w:left="1440" w:hanging="360"/>
      </w:pPr>
      <w:rPr>
        <w:rFonts w:ascii="Symbol" w:hAnsi="Symbol"/>
      </w:rPr>
    </w:lvl>
    <w:lvl w:ilvl="4" w:tplc="F6687C4C">
      <w:start w:val="1"/>
      <w:numFmt w:val="bullet"/>
      <w:lvlText w:val=""/>
      <w:lvlJc w:val="left"/>
      <w:pPr>
        <w:ind w:left="1440" w:hanging="360"/>
      </w:pPr>
      <w:rPr>
        <w:rFonts w:ascii="Symbol" w:hAnsi="Symbol"/>
      </w:rPr>
    </w:lvl>
    <w:lvl w:ilvl="5" w:tplc="CF768350">
      <w:start w:val="1"/>
      <w:numFmt w:val="bullet"/>
      <w:lvlText w:val=""/>
      <w:lvlJc w:val="left"/>
      <w:pPr>
        <w:ind w:left="1440" w:hanging="360"/>
      </w:pPr>
      <w:rPr>
        <w:rFonts w:ascii="Symbol" w:hAnsi="Symbol"/>
      </w:rPr>
    </w:lvl>
    <w:lvl w:ilvl="6" w:tplc="28745542">
      <w:start w:val="1"/>
      <w:numFmt w:val="bullet"/>
      <w:lvlText w:val=""/>
      <w:lvlJc w:val="left"/>
      <w:pPr>
        <w:ind w:left="1440" w:hanging="360"/>
      </w:pPr>
      <w:rPr>
        <w:rFonts w:ascii="Symbol" w:hAnsi="Symbol"/>
      </w:rPr>
    </w:lvl>
    <w:lvl w:ilvl="7" w:tplc="3ECC7D06">
      <w:start w:val="1"/>
      <w:numFmt w:val="bullet"/>
      <w:lvlText w:val=""/>
      <w:lvlJc w:val="left"/>
      <w:pPr>
        <w:ind w:left="1440" w:hanging="360"/>
      </w:pPr>
      <w:rPr>
        <w:rFonts w:ascii="Symbol" w:hAnsi="Symbol"/>
      </w:rPr>
    </w:lvl>
    <w:lvl w:ilvl="8" w:tplc="C8F845A8">
      <w:start w:val="1"/>
      <w:numFmt w:val="bullet"/>
      <w:lvlText w:val=""/>
      <w:lvlJc w:val="left"/>
      <w:pPr>
        <w:ind w:left="1440" w:hanging="360"/>
      </w:pPr>
      <w:rPr>
        <w:rFonts w:ascii="Symbol" w:hAnsi="Symbol"/>
      </w:rPr>
    </w:lvl>
  </w:abstractNum>
  <w:abstractNum w:abstractNumId="20" w15:restartNumberingAfterBreak="0">
    <w:nsid w:val="49E516FC"/>
    <w:multiLevelType w:val="multilevel"/>
    <w:tmpl w:val="56CC4574"/>
    <w:lvl w:ilvl="0">
      <w:start w:val="1"/>
      <w:numFmt w:val="decimal"/>
      <w:lvlText w:val="%1)"/>
      <w:lvlJc w:val="left"/>
      <w:pPr>
        <w:tabs>
          <w:tab w:val="num" w:pos="1769"/>
        </w:tabs>
        <w:ind w:left="1769" w:hanging="360"/>
      </w:pPr>
      <w:rPr>
        <w:rFonts w:hint="eastAsia"/>
      </w:rPr>
    </w:lvl>
    <w:lvl w:ilvl="1">
      <w:start w:val="1"/>
      <w:numFmt w:val="bullet"/>
      <w:lvlText w:val=""/>
      <w:lvlJc w:val="left"/>
      <w:pPr>
        <w:tabs>
          <w:tab w:val="num" w:pos="1661"/>
        </w:tabs>
        <w:ind w:left="1661" w:hanging="187"/>
      </w:pPr>
      <w:rPr>
        <w:rFonts w:hint="default" w:ascii="Symbol" w:hAnsi="Symbol"/>
        <w:color w:val="auto"/>
      </w:rPr>
    </w:lvl>
    <w:lvl w:ilvl="2">
      <w:start w:val="1"/>
      <w:numFmt w:val="decimalEnclosedCircle"/>
      <w:lvlText w:val="%3"/>
      <w:lvlJc w:val="left"/>
      <w:pPr>
        <w:tabs>
          <w:tab w:val="num" w:pos="2669"/>
        </w:tabs>
        <w:ind w:left="2669" w:hanging="420"/>
      </w:pPr>
    </w:lvl>
    <w:lvl w:ilvl="3">
      <w:start w:val="1"/>
      <w:numFmt w:val="decimal"/>
      <w:lvlText w:val="%4."/>
      <w:lvlJc w:val="left"/>
      <w:pPr>
        <w:tabs>
          <w:tab w:val="num" w:pos="3089"/>
        </w:tabs>
        <w:ind w:left="3089" w:hanging="420"/>
      </w:pPr>
    </w:lvl>
    <w:lvl w:ilvl="4">
      <w:start w:val="1"/>
      <w:numFmt w:val="aiueoFullWidth"/>
      <w:lvlText w:val="(%5)"/>
      <w:lvlJc w:val="left"/>
      <w:pPr>
        <w:tabs>
          <w:tab w:val="num" w:pos="3509"/>
        </w:tabs>
        <w:ind w:left="3509" w:hanging="420"/>
      </w:pPr>
    </w:lvl>
    <w:lvl w:ilvl="5">
      <w:start w:val="1"/>
      <w:numFmt w:val="decimalEnclosedCircle"/>
      <w:lvlText w:val="%6"/>
      <w:lvlJc w:val="left"/>
      <w:pPr>
        <w:tabs>
          <w:tab w:val="num" w:pos="3929"/>
        </w:tabs>
        <w:ind w:left="3929" w:hanging="420"/>
      </w:pPr>
    </w:lvl>
    <w:lvl w:ilvl="6">
      <w:start w:val="1"/>
      <w:numFmt w:val="decimal"/>
      <w:lvlText w:val="%7."/>
      <w:lvlJc w:val="left"/>
      <w:pPr>
        <w:tabs>
          <w:tab w:val="num" w:pos="4349"/>
        </w:tabs>
        <w:ind w:left="4349" w:hanging="420"/>
      </w:pPr>
    </w:lvl>
    <w:lvl w:ilvl="7">
      <w:start w:val="1"/>
      <w:numFmt w:val="aiueoFullWidth"/>
      <w:lvlText w:val="(%8)"/>
      <w:lvlJc w:val="left"/>
      <w:pPr>
        <w:tabs>
          <w:tab w:val="num" w:pos="4769"/>
        </w:tabs>
        <w:ind w:left="4769" w:hanging="420"/>
      </w:pPr>
    </w:lvl>
    <w:lvl w:ilvl="8">
      <w:start w:val="1"/>
      <w:numFmt w:val="decimalEnclosedCircle"/>
      <w:lvlText w:val="%9"/>
      <w:lvlJc w:val="left"/>
      <w:pPr>
        <w:tabs>
          <w:tab w:val="num" w:pos="5189"/>
        </w:tabs>
        <w:ind w:left="5189" w:hanging="420"/>
      </w:pPr>
    </w:lvl>
  </w:abstractNum>
  <w:abstractNum w:abstractNumId="21" w15:restartNumberingAfterBreak="0">
    <w:nsid w:val="4A706B7E"/>
    <w:multiLevelType w:val="hybridMultilevel"/>
    <w:tmpl w:val="03041A2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C2E3D21"/>
    <w:multiLevelType w:val="multilevel"/>
    <w:tmpl w:val="B7BADD1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F14426"/>
    <w:multiLevelType w:val="multilevel"/>
    <w:tmpl w:val="29809BBA"/>
    <w:lvl w:ilvl="0">
      <w:start w:val="1"/>
      <w:numFmt w:val="decimal"/>
      <w:lvlText w:val="%1)"/>
      <w:lvlJc w:val="left"/>
      <w:pPr>
        <w:tabs>
          <w:tab w:val="num" w:pos="1769"/>
        </w:tabs>
        <w:ind w:left="1769" w:hanging="360"/>
      </w:pPr>
      <w:rPr>
        <w:rFonts w:hint="eastAsia"/>
      </w:rPr>
    </w:lvl>
    <w:lvl w:ilvl="1">
      <w:start w:val="1"/>
      <w:numFmt w:val="bullet"/>
      <w:lvlText w:val=""/>
      <w:lvlJc w:val="left"/>
      <w:pPr>
        <w:tabs>
          <w:tab w:val="num" w:pos="1661"/>
        </w:tabs>
        <w:ind w:left="1661" w:hanging="357"/>
      </w:pPr>
      <w:rPr>
        <w:rFonts w:hint="default" w:ascii="Symbol" w:hAnsi="Symbol"/>
        <w:color w:val="auto"/>
      </w:rPr>
    </w:lvl>
    <w:lvl w:ilvl="2">
      <w:start w:val="1"/>
      <w:numFmt w:val="decimalEnclosedCircle"/>
      <w:lvlText w:val="%3"/>
      <w:lvlJc w:val="left"/>
      <w:pPr>
        <w:tabs>
          <w:tab w:val="num" w:pos="2669"/>
        </w:tabs>
        <w:ind w:left="2669" w:hanging="420"/>
      </w:pPr>
    </w:lvl>
    <w:lvl w:ilvl="3">
      <w:start w:val="1"/>
      <w:numFmt w:val="decimal"/>
      <w:lvlText w:val="%4."/>
      <w:lvlJc w:val="left"/>
      <w:pPr>
        <w:tabs>
          <w:tab w:val="num" w:pos="3089"/>
        </w:tabs>
        <w:ind w:left="3089" w:hanging="420"/>
      </w:pPr>
    </w:lvl>
    <w:lvl w:ilvl="4">
      <w:start w:val="1"/>
      <w:numFmt w:val="aiueoFullWidth"/>
      <w:lvlText w:val="(%5)"/>
      <w:lvlJc w:val="left"/>
      <w:pPr>
        <w:tabs>
          <w:tab w:val="num" w:pos="3509"/>
        </w:tabs>
        <w:ind w:left="3509" w:hanging="420"/>
      </w:pPr>
    </w:lvl>
    <w:lvl w:ilvl="5">
      <w:start w:val="1"/>
      <w:numFmt w:val="decimalEnclosedCircle"/>
      <w:lvlText w:val="%6"/>
      <w:lvlJc w:val="left"/>
      <w:pPr>
        <w:tabs>
          <w:tab w:val="num" w:pos="3929"/>
        </w:tabs>
        <w:ind w:left="3929" w:hanging="420"/>
      </w:pPr>
    </w:lvl>
    <w:lvl w:ilvl="6">
      <w:start w:val="1"/>
      <w:numFmt w:val="decimal"/>
      <w:lvlText w:val="%7."/>
      <w:lvlJc w:val="left"/>
      <w:pPr>
        <w:tabs>
          <w:tab w:val="num" w:pos="4349"/>
        </w:tabs>
        <w:ind w:left="4349" w:hanging="420"/>
      </w:pPr>
    </w:lvl>
    <w:lvl w:ilvl="7">
      <w:start w:val="1"/>
      <w:numFmt w:val="aiueoFullWidth"/>
      <w:lvlText w:val="(%8)"/>
      <w:lvlJc w:val="left"/>
      <w:pPr>
        <w:tabs>
          <w:tab w:val="num" w:pos="4769"/>
        </w:tabs>
        <w:ind w:left="4769" w:hanging="420"/>
      </w:pPr>
    </w:lvl>
    <w:lvl w:ilvl="8">
      <w:start w:val="1"/>
      <w:numFmt w:val="decimalEnclosedCircle"/>
      <w:lvlText w:val="%9"/>
      <w:lvlJc w:val="left"/>
      <w:pPr>
        <w:tabs>
          <w:tab w:val="num" w:pos="5189"/>
        </w:tabs>
        <w:ind w:left="5189" w:hanging="420"/>
      </w:pPr>
    </w:lvl>
  </w:abstractNum>
  <w:abstractNum w:abstractNumId="24" w15:restartNumberingAfterBreak="0">
    <w:nsid w:val="4FF47F8F"/>
    <w:multiLevelType w:val="multilevel"/>
    <w:tmpl w:val="F1C25A86"/>
    <w:lvl w:ilvl="0">
      <w:start w:val="1"/>
      <w:numFmt w:val="decimal"/>
      <w:lvlText w:val="%1)"/>
      <w:lvlJc w:val="left"/>
      <w:pPr>
        <w:tabs>
          <w:tab w:val="num" w:pos="1769"/>
        </w:tabs>
        <w:ind w:left="1769" w:hanging="360"/>
      </w:pPr>
      <w:rPr>
        <w:rFonts w:hint="eastAsia"/>
      </w:rPr>
    </w:lvl>
    <w:lvl w:ilvl="1">
      <w:start w:val="1"/>
      <w:numFmt w:val="bullet"/>
      <w:lvlText w:val=""/>
      <w:lvlJc w:val="left"/>
      <w:pPr>
        <w:tabs>
          <w:tab w:val="num" w:pos="2000"/>
        </w:tabs>
        <w:ind w:left="2000" w:hanging="171"/>
      </w:pPr>
      <w:rPr>
        <w:rFonts w:hint="default" w:ascii="Symbol" w:hAnsi="Symbol"/>
        <w:color w:val="auto"/>
      </w:rPr>
    </w:lvl>
    <w:lvl w:ilvl="2">
      <w:start w:val="1"/>
      <w:numFmt w:val="decimalEnclosedCircle"/>
      <w:lvlText w:val="%3"/>
      <w:lvlJc w:val="left"/>
      <w:pPr>
        <w:tabs>
          <w:tab w:val="num" w:pos="2669"/>
        </w:tabs>
        <w:ind w:left="2669" w:hanging="420"/>
      </w:pPr>
    </w:lvl>
    <w:lvl w:ilvl="3">
      <w:start w:val="1"/>
      <w:numFmt w:val="decimal"/>
      <w:lvlText w:val="%4."/>
      <w:lvlJc w:val="left"/>
      <w:pPr>
        <w:tabs>
          <w:tab w:val="num" w:pos="3089"/>
        </w:tabs>
        <w:ind w:left="3089" w:hanging="420"/>
      </w:pPr>
    </w:lvl>
    <w:lvl w:ilvl="4">
      <w:start w:val="1"/>
      <w:numFmt w:val="aiueoFullWidth"/>
      <w:lvlText w:val="(%5)"/>
      <w:lvlJc w:val="left"/>
      <w:pPr>
        <w:tabs>
          <w:tab w:val="num" w:pos="3509"/>
        </w:tabs>
        <w:ind w:left="3509" w:hanging="420"/>
      </w:pPr>
    </w:lvl>
    <w:lvl w:ilvl="5">
      <w:start w:val="1"/>
      <w:numFmt w:val="decimalEnclosedCircle"/>
      <w:lvlText w:val="%6"/>
      <w:lvlJc w:val="left"/>
      <w:pPr>
        <w:tabs>
          <w:tab w:val="num" w:pos="3929"/>
        </w:tabs>
        <w:ind w:left="3929" w:hanging="420"/>
      </w:pPr>
    </w:lvl>
    <w:lvl w:ilvl="6">
      <w:start w:val="1"/>
      <w:numFmt w:val="decimal"/>
      <w:lvlText w:val="%7."/>
      <w:lvlJc w:val="left"/>
      <w:pPr>
        <w:tabs>
          <w:tab w:val="num" w:pos="4349"/>
        </w:tabs>
        <w:ind w:left="4349" w:hanging="420"/>
      </w:pPr>
    </w:lvl>
    <w:lvl w:ilvl="7">
      <w:start w:val="1"/>
      <w:numFmt w:val="aiueoFullWidth"/>
      <w:lvlText w:val="(%8)"/>
      <w:lvlJc w:val="left"/>
      <w:pPr>
        <w:tabs>
          <w:tab w:val="num" w:pos="4769"/>
        </w:tabs>
        <w:ind w:left="4769" w:hanging="420"/>
      </w:pPr>
    </w:lvl>
    <w:lvl w:ilvl="8">
      <w:start w:val="1"/>
      <w:numFmt w:val="decimalEnclosedCircle"/>
      <w:lvlText w:val="%9"/>
      <w:lvlJc w:val="left"/>
      <w:pPr>
        <w:tabs>
          <w:tab w:val="num" w:pos="5189"/>
        </w:tabs>
        <w:ind w:left="5189" w:hanging="420"/>
      </w:pPr>
    </w:lvl>
  </w:abstractNum>
  <w:abstractNum w:abstractNumId="25" w15:restartNumberingAfterBreak="0">
    <w:nsid w:val="510C70DC"/>
    <w:multiLevelType w:val="hybridMultilevel"/>
    <w:tmpl w:val="7D0CCCB0"/>
    <w:lvl w:ilvl="0" w:tplc="BC9897A8">
      <w:start w:val="1"/>
      <w:numFmt w:val="decimal"/>
      <w:lvlText w:val="%1."/>
      <w:lvlJc w:val="left"/>
      <w:pPr>
        <w:tabs>
          <w:tab w:val="num" w:pos="1664"/>
        </w:tabs>
        <w:ind w:left="1664" w:hanging="360"/>
      </w:pPr>
      <w:rPr>
        <w:rFonts w:hint="eastAsia"/>
      </w:rPr>
    </w:lvl>
    <w:lvl w:ilvl="1" w:tplc="04090017" w:tentative="1">
      <w:start w:val="1"/>
      <w:numFmt w:val="aiueoFullWidth"/>
      <w:lvlText w:val="(%2)"/>
      <w:lvlJc w:val="left"/>
      <w:pPr>
        <w:tabs>
          <w:tab w:val="num" w:pos="2144"/>
        </w:tabs>
        <w:ind w:left="2144" w:hanging="420"/>
      </w:pPr>
    </w:lvl>
    <w:lvl w:ilvl="2" w:tplc="04090011" w:tentative="1">
      <w:start w:val="1"/>
      <w:numFmt w:val="decimalEnclosedCircle"/>
      <w:lvlText w:val="%3"/>
      <w:lvlJc w:val="left"/>
      <w:pPr>
        <w:tabs>
          <w:tab w:val="num" w:pos="2564"/>
        </w:tabs>
        <w:ind w:left="2564" w:hanging="420"/>
      </w:pPr>
    </w:lvl>
    <w:lvl w:ilvl="3" w:tplc="0409000F" w:tentative="1">
      <w:start w:val="1"/>
      <w:numFmt w:val="decimal"/>
      <w:lvlText w:val="%4."/>
      <w:lvlJc w:val="left"/>
      <w:pPr>
        <w:tabs>
          <w:tab w:val="num" w:pos="2984"/>
        </w:tabs>
        <w:ind w:left="2984" w:hanging="420"/>
      </w:pPr>
    </w:lvl>
    <w:lvl w:ilvl="4" w:tplc="04090017" w:tentative="1">
      <w:start w:val="1"/>
      <w:numFmt w:val="aiueoFullWidth"/>
      <w:lvlText w:val="(%5)"/>
      <w:lvlJc w:val="left"/>
      <w:pPr>
        <w:tabs>
          <w:tab w:val="num" w:pos="3404"/>
        </w:tabs>
        <w:ind w:left="3404" w:hanging="420"/>
      </w:pPr>
    </w:lvl>
    <w:lvl w:ilvl="5" w:tplc="04090011" w:tentative="1">
      <w:start w:val="1"/>
      <w:numFmt w:val="decimalEnclosedCircle"/>
      <w:lvlText w:val="%6"/>
      <w:lvlJc w:val="left"/>
      <w:pPr>
        <w:tabs>
          <w:tab w:val="num" w:pos="3824"/>
        </w:tabs>
        <w:ind w:left="3824" w:hanging="420"/>
      </w:pPr>
    </w:lvl>
    <w:lvl w:ilvl="6" w:tplc="0409000F" w:tentative="1">
      <w:start w:val="1"/>
      <w:numFmt w:val="decimal"/>
      <w:lvlText w:val="%7."/>
      <w:lvlJc w:val="left"/>
      <w:pPr>
        <w:tabs>
          <w:tab w:val="num" w:pos="4244"/>
        </w:tabs>
        <w:ind w:left="4244" w:hanging="420"/>
      </w:pPr>
    </w:lvl>
    <w:lvl w:ilvl="7" w:tplc="04090017" w:tentative="1">
      <w:start w:val="1"/>
      <w:numFmt w:val="aiueoFullWidth"/>
      <w:lvlText w:val="(%8)"/>
      <w:lvlJc w:val="left"/>
      <w:pPr>
        <w:tabs>
          <w:tab w:val="num" w:pos="4664"/>
        </w:tabs>
        <w:ind w:left="4664" w:hanging="420"/>
      </w:pPr>
    </w:lvl>
    <w:lvl w:ilvl="8" w:tplc="04090011" w:tentative="1">
      <w:start w:val="1"/>
      <w:numFmt w:val="decimalEnclosedCircle"/>
      <w:lvlText w:val="%9"/>
      <w:lvlJc w:val="left"/>
      <w:pPr>
        <w:tabs>
          <w:tab w:val="num" w:pos="5084"/>
        </w:tabs>
        <w:ind w:left="5084" w:hanging="420"/>
      </w:pPr>
    </w:lvl>
  </w:abstractNum>
  <w:abstractNum w:abstractNumId="26" w15:restartNumberingAfterBreak="0">
    <w:nsid w:val="51E63B71"/>
    <w:multiLevelType w:val="hybridMultilevel"/>
    <w:tmpl w:val="4E98B2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55F5242"/>
    <w:multiLevelType w:val="hybridMultilevel"/>
    <w:tmpl w:val="07163DA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9F95F3B"/>
    <w:multiLevelType w:val="hybridMultilevel"/>
    <w:tmpl w:val="1D98ACE4"/>
    <w:lvl w:ilvl="0" w:tplc="16620B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3B6CC8"/>
    <w:multiLevelType w:val="multilevel"/>
    <w:tmpl w:val="F1C25A86"/>
    <w:lvl w:ilvl="0">
      <w:start w:val="1"/>
      <w:numFmt w:val="decimal"/>
      <w:lvlText w:val="%1)"/>
      <w:lvlJc w:val="left"/>
      <w:pPr>
        <w:tabs>
          <w:tab w:val="num" w:pos="1769"/>
        </w:tabs>
        <w:ind w:left="1769" w:hanging="360"/>
      </w:pPr>
      <w:rPr>
        <w:rFonts w:hint="eastAsia"/>
      </w:rPr>
    </w:lvl>
    <w:lvl w:ilvl="1">
      <w:start w:val="1"/>
      <w:numFmt w:val="bullet"/>
      <w:lvlText w:val=""/>
      <w:lvlJc w:val="left"/>
      <w:pPr>
        <w:tabs>
          <w:tab w:val="num" w:pos="2000"/>
        </w:tabs>
        <w:ind w:left="2000" w:hanging="171"/>
      </w:pPr>
      <w:rPr>
        <w:rFonts w:hint="default" w:ascii="Symbol" w:hAnsi="Symbol"/>
        <w:color w:val="auto"/>
      </w:rPr>
    </w:lvl>
    <w:lvl w:ilvl="2">
      <w:start w:val="1"/>
      <w:numFmt w:val="decimalEnclosedCircle"/>
      <w:lvlText w:val="%3"/>
      <w:lvlJc w:val="left"/>
      <w:pPr>
        <w:tabs>
          <w:tab w:val="num" w:pos="2669"/>
        </w:tabs>
        <w:ind w:left="2669" w:hanging="420"/>
      </w:pPr>
    </w:lvl>
    <w:lvl w:ilvl="3">
      <w:start w:val="1"/>
      <w:numFmt w:val="decimal"/>
      <w:lvlText w:val="%4."/>
      <w:lvlJc w:val="left"/>
      <w:pPr>
        <w:tabs>
          <w:tab w:val="num" w:pos="3089"/>
        </w:tabs>
        <w:ind w:left="3089" w:hanging="420"/>
      </w:pPr>
    </w:lvl>
    <w:lvl w:ilvl="4">
      <w:start w:val="1"/>
      <w:numFmt w:val="aiueoFullWidth"/>
      <w:lvlText w:val="(%5)"/>
      <w:lvlJc w:val="left"/>
      <w:pPr>
        <w:tabs>
          <w:tab w:val="num" w:pos="3509"/>
        </w:tabs>
        <w:ind w:left="3509" w:hanging="420"/>
      </w:pPr>
    </w:lvl>
    <w:lvl w:ilvl="5">
      <w:start w:val="1"/>
      <w:numFmt w:val="decimalEnclosedCircle"/>
      <w:lvlText w:val="%6"/>
      <w:lvlJc w:val="left"/>
      <w:pPr>
        <w:tabs>
          <w:tab w:val="num" w:pos="3929"/>
        </w:tabs>
        <w:ind w:left="3929" w:hanging="420"/>
      </w:pPr>
    </w:lvl>
    <w:lvl w:ilvl="6">
      <w:start w:val="1"/>
      <w:numFmt w:val="decimal"/>
      <w:lvlText w:val="%7."/>
      <w:lvlJc w:val="left"/>
      <w:pPr>
        <w:tabs>
          <w:tab w:val="num" w:pos="4349"/>
        </w:tabs>
        <w:ind w:left="4349" w:hanging="420"/>
      </w:pPr>
    </w:lvl>
    <w:lvl w:ilvl="7">
      <w:start w:val="1"/>
      <w:numFmt w:val="aiueoFullWidth"/>
      <w:lvlText w:val="(%8)"/>
      <w:lvlJc w:val="left"/>
      <w:pPr>
        <w:tabs>
          <w:tab w:val="num" w:pos="4769"/>
        </w:tabs>
        <w:ind w:left="4769" w:hanging="420"/>
      </w:pPr>
    </w:lvl>
    <w:lvl w:ilvl="8">
      <w:start w:val="1"/>
      <w:numFmt w:val="decimalEnclosedCircle"/>
      <w:lvlText w:val="%9"/>
      <w:lvlJc w:val="left"/>
      <w:pPr>
        <w:tabs>
          <w:tab w:val="num" w:pos="5189"/>
        </w:tabs>
        <w:ind w:left="5189" w:hanging="420"/>
      </w:pPr>
    </w:lvl>
  </w:abstractNum>
  <w:abstractNum w:abstractNumId="30" w15:restartNumberingAfterBreak="0">
    <w:nsid w:val="60C064A3"/>
    <w:multiLevelType w:val="hybridMultilevel"/>
    <w:tmpl w:val="9BA0DD92"/>
    <w:lvl w:ilvl="0" w:tplc="7FE851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0DF07A1"/>
    <w:multiLevelType w:val="multilevel"/>
    <w:tmpl w:val="56CC4574"/>
    <w:lvl w:ilvl="0">
      <w:start w:val="1"/>
      <w:numFmt w:val="decimal"/>
      <w:lvlText w:val="%1)"/>
      <w:lvlJc w:val="left"/>
      <w:pPr>
        <w:tabs>
          <w:tab w:val="num" w:pos="1769"/>
        </w:tabs>
        <w:ind w:left="1769" w:hanging="360"/>
      </w:pPr>
      <w:rPr>
        <w:rFonts w:hint="eastAsia"/>
      </w:rPr>
    </w:lvl>
    <w:lvl w:ilvl="1">
      <w:start w:val="1"/>
      <w:numFmt w:val="bullet"/>
      <w:lvlText w:val=""/>
      <w:lvlJc w:val="left"/>
      <w:pPr>
        <w:tabs>
          <w:tab w:val="num" w:pos="1661"/>
        </w:tabs>
        <w:ind w:left="1661" w:hanging="187"/>
      </w:pPr>
      <w:rPr>
        <w:rFonts w:hint="default" w:ascii="Symbol" w:hAnsi="Symbol"/>
        <w:color w:val="auto"/>
      </w:rPr>
    </w:lvl>
    <w:lvl w:ilvl="2">
      <w:start w:val="1"/>
      <w:numFmt w:val="decimalEnclosedCircle"/>
      <w:lvlText w:val="%3"/>
      <w:lvlJc w:val="left"/>
      <w:pPr>
        <w:tabs>
          <w:tab w:val="num" w:pos="2669"/>
        </w:tabs>
        <w:ind w:left="2669" w:hanging="420"/>
      </w:pPr>
    </w:lvl>
    <w:lvl w:ilvl="3">
      <w:start w:val="1"/>
      <w:numFmt w:val="decimal"/>
      <w:lvlText w:val="%4."/>
      <w:lvlJc w:val="left"/>
      <w:pPr>
        <w:tabs>
          <w:tab w:val="num" w:pos="3089"/>
        </w:tabs>
        <w:ind w:left="3089" w:hanging="420"/>
      </w:pPr>
    </w:lvl>
    <w:lvl w:ilvl="4">
      <w:start w:val="1"/>
      <w:numFmt w:val="aiueoFullWidth"/>
      <w:lvlText w:val="(%5)"/>
      <w:lvlJc w:val="left"/>
      <w:pPr>
        <w:tabs>
          <w:tab w:val="num" w:pos="3509"/>
        </w:tabs>
        <w:ind w:left="3509" w:hanging="420"/>
      </w:pPr>
    </w:lvl>
    <w:lvl w:ilvl="5">
      <w:start w:val="1"/>
      <w:numFmt w:val="decimalEnclosedCircle"/>
      <w:lvlText w:val="%6"/>
      <w:lvlJc w:val="left"/>
      <w:pPr>
        <w:tabs>
          <w:tab w:val="num" w:pos="3929"/>
        </w:tabs>
        <w:ind w:left="3929" w:hanging="420"/>
      </w:pPr>
    </w:lvl>
    <w:lvl w:ilvl="6">
      <w:start w:val="1"/>
      <w:numFmt w:val="decimal"/>
      <w:lvlText w:val="%7."/>
      <w:lvlJc w:val="left"/>
      <w:pPr>
        <w:tabs>
          <w:tab w:val="num" w:pos="4349"/>
        </w:tabs>
        <w:ind w:left="4349" w:hanging="420"/>
      </w:pPr>
    </w:lvl>
    <w:lvl w:ilvl="7">
      <w:start w:val="1"/>
      <w:numFmt w:val="aiueoFullWidth"/>
      <w:lvlText w:val="(%8)"/>
      <w:lvlJc w:val="left"/>
      <w:pPr>
        <w:tabs>
          <w:tab w:val="num" w:pos="4769"/>
        </w:tabs>
        <w:ind w:left="4769" w:hanging="420"/>
      </w:pPr>
    </w:lvl>
    <w:lvl w:ilvl="8">
      <w:start w:val="1"/>
      <w:numFmt w:val="decimalEnclosedCircle"/>
      <w:lvlText w:val="%9"/>
      <w:lvlJc w:val="left"/>
      <w:pPr>
        <w:tabs>
          <w:tab w:val="num" w:pos="5189"/>
        </w:tabs>
        <w:ind w:left="5189" w:hanging="420"/>
      </w:pPr>
    </w:lvl>
  </w:abstractNum>
  <w:abstractNum w:abstractNumId="32" w15:restartNumberingAfterBreak="0">
    <w:nsid w:val="675E424D"/>
    <w:multiLevelType w:val="multilevel"/>
    <w:tmpl w:val="56CC4574"/>
    <w:lvl w:ilvl="0">
      <w:start w:val="1"/>
      <w:numFmt w:val="decimal"/>
      <w:lvlText w:val="%1)"/>
      <w:lvlJc w:val="left"/>
      <w:pPr>
        <w:tabs>
          <w:tab w:val="num" w:pos="1769"/>
        </w:tabs>
        <w:ind w:left="1769" w:hanging="360"/>
      </w:pPr>
      <w:rPr>
        <w:rFonts w:hint="eastAsia"/>
      </w:rPr>
    </w:lvl>
    <w:lvl w:ilvl="1">
      <w:start w:val="1"/>
      <w:numFmt w:val="bullet"/>
      <w:lvlText w:val=""/>
      <w:lvlJc w:val="left"/>
      <w:pPr>
        <w:tabs>
          <w:tab w:val="num" w:pos="1661"/>
        </w:tabs>
        <w:ind w:left="1661" w:hanging="187"/>
      </w:pPr>
      <w:rPr>
        <w:rFonts w:hint="default" w:ascii="Symbol" w:hAnsi="Symbol"/>
        <w:color w:val="auto"/>
      </w:rPr>
    </w:lvl>
    <w:lvl w:ilvl="2">
      <w:start w:val="1"/>
      <w:numFmt w:val="decimalEnclosedCircle"/>
      <w:lvlText w:val="%3"/>
      <w:lvlJc w:val="left"/>
      <w:pPr>
        <w:tabs>
          <w:tab w:val="num" w:pos="2669"/>
        </w:tabs>
        <w:ind w:left="2669" w:hanging="420"/>
      </w:pPr>
    </w:lvl>
    <w:lvl w:ilvl="3">
      <w:start w:val="1"/>
      <w:numFmt w:val="decimal"/>
      <w:lvlText w:val="%4."/>
      <w:lvlJc w:val="left"/>
      <w:pPr>
        <w:tabs>
          <w:tab w:val="num" w:pos="3089"/>
        </w:tabs>
        <w:ind w:left="3089" w:hanging="420"/>
      </w:pPr>
    </w:lvl>
    <w:lvl w:ilvl="4">
      <w:start w:val="1"/>
      <w:numFmt w:val="aiueoFullWidth"/>
      <w:lvlText w:val="(%5)"/>
      <w:lvlJc w:val="left"/>
      <w:pPr>
        <w:tabs>
          <w:tab w:val="num" w:pos="3509"/>
        </w:tabs>
        <w:ind w:left="3509" w:hanging="420"/>
      </w:pPr>
    </w:lvl>
    <w:lvl w:ilvl="5">
      <w:start w:val="1"/>
      <w:numFmt w:val="decimalEnclosedCircle"/>
      <w:lvlText w:val="%6"/>
      <w:lvlJc w:val="left"/>
      <w:pPr>
        <w:tabs>
          <w:tab w:val="num" w:pos="3929"/>
        </w:tabs>
        <w:ind w:left="3929" w:hanging="420"/>
      </w:pPr>
    </w:lvl>
    <w:lvl w:ilvl="6">
      <w:start w:val="1"/>
      <w:numFmt w:val="decimal"/>
      <w:lvlText w:val="%7."/>
      <w:lvlJc w:val="left"/>
      <w:pPr>
        <w:tabs>
          <w:tab w:val="num" w:pos="4349"/>
        </w:tabs>
        <w:ind w:left="4349" w:hanging="420"/>
      </w:pPr>
    </w:lvl>
    <w:lvl w:ilvl="7">
      <w:start w:val="1"/>
      <w:numFmt w:val="aiueoFullWidth"/>
      <w:lvlText w:val="(%8)"/>
      <w:lvlJc w:val="left"/>
      <w:pPr>
        <w:tabs>
          <w:tab w:val="num" w:pos="4769"/>
        </w:tabs>
        <w:ind w:left="4769" w:hanging="420"/>
      </w:pPr>
    </w:lvl>
    <w:lvl w:ilvl="8">
      <w:start w:val="1"/>
      <w:numFmt w:val="decimalEnclosedCircle"/>
      <w:lvlText w:val="%9"/>
      <w:lvlJc w:val="left"/>
      <w:pPr>
        <w:tabs>
          <w:tab w:val="num" w:pos="5189"/>
        </w:tabs>
        <w:ind w:left="5189" w:hanging="420"/>
      </w:pPr>
    </w:lvl>
  </w:abstractNum>
  <w:abstractNum w:abstractNumId="33" w15:restartNumberingAfterBreak="0">
    <w:nsid w:val="6922123C"/>
    <w:multiLevelType w:val="hybridMultilevel"/>
    <w:tmpl w:val="B956917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6B6E1C3D"/>
    <w:multiLevelType w:val="hybridMultilevel"/>
    <w:tmpl w:val="1AF813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44B332C"/>
    <w:multiLevelType w:val="multilevel"/>
    <w:tmpl w:val="D9ECE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870246D"/>
    <w:multiLevelType w:val="hybridMultilevel"/>
    <w:tmpl w:val="5D4A59A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8CF6B91"/>
    <w:multiLevelType w:val="multilevel"/>
    <w:tmpl w:val="29809BBA"/>
    <w:lvl w:ilvl="0">
      <w:start w:val="1"/>
      <w:numFmt w:val="decimal"/>
      <w:lvlText w:val="%1)"/>
      <w:lvlJc w:val="left"/>
      <w:pPr>
        <w:tabs>
          <w:tab w:val="num" w:pos="1769"/>
        </w:tabs>
        <w:ind w:left="1769" w:hanging="360"/>
      </w:pPr>
      <w:rPr>
        <w:rFonts w:hint="eastAsia"/>
      </w:rPr>
    </w:lvl>
    <w:lvl w:ilvl="1">
      <w:start w:val="1"/>
      <w:numFmt w:val="bullet"/>
      <w:lvlText w:val=""/>
      <w:lvlJc w:val="left"/>
      <w:pPr>
        <w:tabs>
          <w:tab w:val="num" w:pos="1661"/>
        </w:tabs>
        <w:ind w:left="1661" w:hanging="357"/>
      </w:pPr>
      <w:rPr>
        <w:rFonts w:hint="default" w:ascii="Symbol" w:hAnsi="Symbol"/>
        <w:color w:val="auto"/>
      </w:rPr>
    </w:lvl>
    <w:lvl w:ilvl="2">
      <w:start w:val="1"/>
      <w:numFmt w:val="decimalEnclosedCircle"/>
      <w:lvlText w:val="%3"/>
      <w:lvlJc w:val="left"/>
      <w:pPr>
        <w:tabs>
          <w:tab w:val="num" w:pos="2669"/>
        </w:tabs>
        <w:ind w:left="2669" w:hanging="420"/>
      </w:pPr>
    </w:lvl>
    <w:lvl w:ilvl="3">
      <w:start w:val="1"/>
      <w:numFmt w:val="decimal"/>
      <w:lvlText w:val="%4."/>
      <w:lvlJc w:val="left"/>
      <w:pPr>
        <w:tabs>
          <w:tab w:val="num" w:pos="3089"/>
        </w:tabs>
        <w:ind w:left="3089" w:hanging="420"/>
      </w:pPr>
    </w:lvl>
    <w:lvl w:ilvl="4">
      <w:start w:val="1"/>
      <w:numFmt w:val="aiueoFullWidth"/>
      <w:lvlText w:val="(%5)"/>
      <w:lvlJc w:val="left"/>
      <w:pPr>
        <w:tabs>
          <w:tab w:val="num" w:pos="3509"/>
        </w:tabs>
        <w:ind w:left="3509" w:hanging="420"/>
      </w:pPr>
    </w:lvl>
    <w:lvl w:ilvl="5">
      <w:start w:val="1"/>
      <w:numFmt w:val="decimalEnclosedCircle"/>
      <w:lvlText w:val="%6"/>
      <w:lvlJc w:val="left"/>
      <w:pPr>
        <w:tabs>
          <w:tab w:val="num" w:pos="3929"/>
        </w:tabs>
        <w:ind w:left="3929" w:hanging="420"/>
      </w:pPr>
    </w:lvl>
    <w:lvl w:ilvl="6">
      <w:start w:val="1"/>
      <w:numFmt w:val="decimal"/>
      <w:lvlText w:val="%7."/>
      <w:lvlJc w:val="left"/>
      <w:pPr>
        <w:tabs>
          <w:tab w:val="num" w:pos="4349"/>
        </w:tabs>
        <w:ind w:left="4349" w:hanging="420"/>
      </w:pPr>
    </w:lvl>
    <w:lvl w:ilvl="7">
      <w:start w:val="1"/>
      <w:numFmt w:val="aiueoFullWidth"/>
      <w:lvlText w:val="(%8)"/>
      <w:lvlJc w:val="left"/>
      <w:pPr>
        <w:tabs>
          <w:tab w:val="num" w:pos="4769"/>
        </w:tabs>
        <w:ind w:left="4769" w:hanging="420"/>
      </w:pPr>
    </w:lvl>
    <w:lvl w:ilvl="8">
      <w:start w:val="1"/>
      <w:numFmt w:val="decimalEnclosedCircle"/>
      <w:lvlText w:val="%9"/>
      <w:lvlJc w:val="left"/>
      <w:pPr>
        <w:tabs>
          <w:tab w:val="num" w:pos="5189"/>
        </w:tabs>
        <w:ind w:left="5189" w:hanging="420"/>
      </w:pPr>
    </w:lvl>
  </w:abstractNum>
  <w:abstractNum w:abstractNumId="38" w15:restartNumberingAfterBreak="0">
    <w:nsid w:val="7F1E05F2"/>
    <w:multiLevelType w:val="multilevel"/>
    <w:tmpl w:val="F1C25A86"/>
    <w:lvl w:ilvl="0">
      <w:start w:val="1"/>
      <w:numFmt w:val="decimal"/>
      <w:lvlText w:val="%1)"/>
      <w:lvlJc w:val="left"/>
      <w:pPr>
        <w:tabs>
          <w:tab w:val="num" w:pos="1769"/>
        </w:tabs>
        <w:ind w:left="1769" w:hanging="360"/>
      </w:pPr>
      <w:rPr>
        <w:rFonts w:hint="eastAsia"/>
      </w:rPr>
    </w:lvl>
    <w:lvl w:ilvl="1">
      <w:start w:val="1"/>
      <w:numFmt w:val="bullet"/>
      <w:lvlText w:val=""/>
      <w:lvlJc w:val="left"/>
      <w:pPr>
        <w:tabs>
          <w:tab w:val="num" w:pos="2000"/>
        </w:tabs>
        <w:ind w:left="2000" w:hanging="171"/>
      </w:pPr>
      <w:rPr>
        <w:rFonts w:hint="default" w:ascii="Symbol" w:hAnsi="Symbol"/>
        <w:color w:val="auto"/>
      </w:rPr>
    </w:lvl>
    <w:lvl w:ilvl="2">
      <w:start w:val="1"/>
      <w:numFmt w:val="decimalEnclosedCircle"/>
      <w:lvlText w:val="%3"/>
      <w:lvlJc w:val="left"/>
      <w:pPr>
        <w:tabs>
          <w:tab w:val="num" w:pos="2669"/>
        </w:tabs>
        <w:ind w:left="2669" w:hanging="420"/>
      </w:pPr>
    </w:lvl>
    <w:lvl w:ilvl="3">
      <w:start w:val="1"/>
      <w:numFmt w:val="decimal"/>
      <w:lvlText w:val="%4."/>
      <w:lvlJc w:val="left"/>
      <w:pPr>
        <w:tabs>
          <w:tab w:val="num" w:pos="3089"/>
        </w:tabs>
        <w:ind w:left="3089" w:hanging="420"/>
      </w:pPr>
    </w:lvl>
    <w:lvl w:ilvl="4">
      <w:start w:val="1"/>
      <w:numFmt w:val="aiueoFullWidth"/>
      <w:lvlText w:val="(%5)"/>
      <w:lvlJc w:val="left"/>
      <w:pPr>
        <w:tabs>
          <w:tab w:val="num" w:pos="3509"/>
        </w:tabs>
        <w:ind w:left="3509" w:hanging="420"/>
      </w:pPr>
    </w:lvl>
    <w:lvl w:ilvl="5">
      <w:start w:val="1"/>
      <w:numFmt w:val="decimalEnclosedCircle"/>
      <w:lvlText w:val="%6"/>
      <w:lvlJc w:val="left"/>
      <w:pPr>
        <w:tabs>
          <w:tab w:val="num" w:pos="3929"/>
        </w:tabs>
        <w:ind w:left="3929" w:hanging="420"/>
      </w:pPr>
    </w:lvl>
    <w:lvl w:ilvl="6">
      <w:start w:val="1"/>
      <w:numFmt w:val="decimal"/>
      <w:lvlText w:val="%7."/>
      <w:lvlJc w:val="left"/>
      <w:pPr>
        <w:tabs>
          <w:tab w:val="num" w:pos="4349"/>
        </w:tabs>
        <w:ind w:left="4349" w:hanging="420"/>
      </w:pPr>
    </w:lvl>
    <w:lvl w:ilvl="7">
      <w:start w:val="1"/>
      <w:numFmt w:val="aiueoFullWidth"/>
      <w:lvlText w:val="(%8)"/>
      <w:lvlJc w:val="left"/>
      <w:pPr>
        <w:tabs>
          <w:tab w:val="num" w:pos="4769"/>
        </w:tabs>
        <w:ind w:left="4769" w:hanging="420"/>
      </w:pPr>
    </w:lvl>
    <w:lvl w:ilvl="8">
      <w:start w:val="1"/>
      <w:numFmt w:val="decimalEnclosedCircle"/>
      <w:lvlText w:val="%9"/>
      <w:lvlJc w:val="left"/>
      <w:pPr>
        <w:tabs>
          <w:tab w:val="num" w:pos="5189"/>
        </w:tabs>
        <w:ind w:left="5189" w:hanging="420"/>
      </w:pPr>
    </w:lvl>
  </w:abstractNum>
  <w:num w:numId="1" w16cid:durableId="1145857973">
    <w:abstractNumId w:val="22"/>
  </w:num>
  <w:num w:numId="2" w16cid:durableId="1266962190">
    <w:abstractNumId w:val="5"/>
  </w:num>
  <w:num w:numId="3" w16cid:durableId="240330844">
    <w:abstractNumId w:val="0"/>
  </w:num>
  <w:num w:numId="4" w16cid:durableId="736900437">
    <w:abstractNumId w:val="30"/>
  </w:num>
  <w:num w:numId="5" w16cid:durableId="917442242">
    <w:abstractNumId w:val="13"/>
  </w:num>
  <w:num w:numId="6" w16cid:durableId="110443396">
    <w:abstractNumId w:val="18"/>
  </w:num>
  <w:num w:numId="7" w16cid:durableId="31077939">
    <w:abstractNumId w:val="1"/>
  </w:num>
  <w:num w:numId="8" w16cid:durableId="1197624246">
    <w:abstractNumId w:val="27"/>
  </w:num>
  <w:num w:numId="9" w16cid:durableId="758454268">
    <w:abstractNumId w:val="35"/>
  </w:num>
  <w:num w:numId="10" w16cid:durableId="211113383">
    <w:abstractNumId w:val="11"/>
  </w:num>
  <w:num w:numId="11" w16cid:durableId="1893420159">
    <w:abstractNumId w:val="36"/>
  </w:num>
  <w:num w:numId="12" w16cid:durableId="1753234962">
    <w:abstractNumId w:val="34"/>
  </w:num>
  <w:num w:numId="13" w16cid:durableId="155996650">
    <w:abstractNumId w:val="21"/>
  </w:num>
  <w:num w:numId="14" w16cid:durableId="619384228">
    <w:abstractNumId w:val="3"/>
  </w:num>
  <w:num w:numId="15" w16cid:durableId="65232243">
    <w:abstractNumId w:val="16"/>
  </w:num>
  <w:num w:numId="16" w16cid:durableId="727456975">
    <w:abstractNumId w:val="33"/>
  </w:num>
  <w:num w:numId="17" w16cid:durableId="673646938">
    <w:abstractNumId w:val="15"/>
  </w:num>
  <w:num w:numId="18" w16cid:durableId="1031565584">
    <w:abstractNumId w:val="17"/>
  </w:num>
  <w:num w:numId="19" w16cid:durableId="79299288">
    <w:abstractNumId w:val="14"/>
  </w:num>
  <w:num w:numId="20" w16cid:durableId="822745286">
    <w:abstractNumId w:val="8"/>
  </w:num>
  <w:num w:numId="21" w16cid:durableId="1147939125">
    <w:abstractNumId w:val="25"/>
  </w:num>
  <w:num w:numId="22" w16cid:durableId="645625997">
    <w:abstractNumId w:val="7"/>
  </w:num>
  <w:num w:numId="23" w16cid:durableId="1168594781">
    <w:abstractNumId w:val="38"/>
  </w:num>
  <w:num w:numId="24" w16cid:durableId="1445809163">
    <w:abstractNumId w:val="24"/>
  </w:num>
  <w:num w:numId="25" w16cid:durableId="1485583334">
    <w:abstractNumId w:val="29"/>
  </w:num>
  <w:num w:numId="26" w16cid:durableId="1094475332">
    <w:abstractNumId w:val="37"/>
  </w:num>
  <w:num w:numId="27" w16cid:durableId="725841059">
    <w:abstractNumId w:val="23"/>
  </w:num>
  <w:num w:numId="28" w16cid:durableId="1976333491">
    <w:abstractNumId w:val="9"/>
  </w:num>
  <w:num w:numId="29" w16cid:durableId="192883827">
    <w:abstractNumId w:val="10"/>
  </w:num>
  <w:num w:numId="30" w16cid:durableId="713819490">
    <w:abstractNumId w:val="2"/>
  </w:num>
  <w:num w:numId="31" w16cid:durableId="2123454755">
    <w:abstractNumId w:val="6"/>
  </w:num>
  <w:num w:numId="32" w16cid:durableId="103813716">
    <w:abstractNumId w:val="20"/>
  </w:num>
  <w:num w:numId="33" w16cid:durableId="664750715">
    <w:abstractNumId w:val="32"/>
  </w:num>
  <w:num w:numId="34" w16cid:durableId="1285505529">
    <w:abstractNumId w:val="31"/>
  </w:num>
  <w:num w:numId="35" w16cid:durableId="735008053">
    <w:abstractNumId w:val="4"/>
  </w:num>
  <w:num w:numId="36" w16cid:durableId="279411343">
    <w:abstractNumId w:val="28"/>
  </w:num>
  <w:num w:numId="37" w16cid:durableId="118885842">
    <w:abstractNumId w:val="26"/>
  </w:num>
  <w:num w:numId="38" w16cid:durableId="188875753">
    <w:abstractNumId w:val="12"/>
  </w:num>
  <w:num w:numId="39" w16cid:durableId="1750737633">
    <w:abstractNumId w:val="19"/>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attachedTemplate r:id="rId1"/>
  <w:linkStyle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DC"/>
    <w:rsid w:val="000008EE"/>
    <w:rsid w:val="00001397"/>
    <w:rsid w:val="0000148A"/>
    <w:rsid w:val="0000182D"/>
    <w:rsid w:val="00001C04"/>
    <w:rsid w:val="00004053"/>
    <w:rsid w:val="00004B4F"/>
    <w:rsid w:val="0000510D"/>
    <w:rsid w:val="0000565A"/>
    <w:rsid w:val="00005B6B"/>
    <w:rsid w:val="00006063"/>
    <w:rsid w:val="00012231"/>
    <w:rsid w:val="000128A9"/>
    <w:rsid w:val="0001331E"/>
    <w:rsid w:val="0001373F"/>
    <w:rsid w:val="000141A3"/>
    <w:rsid w:val="000152D7"/>
    <w:rsid w:val="000164B5"/>
    <w:rsid w:val="0001693D"/>
    <w:rsid w:val="00016D13"/>
    <w:rsid w:val="00020507"/>
    <w:rsid w:val="00021301"/>
    <w:rsid w:val="000248C6"/>
    <w:rsid w:val="00024CDD"/>
    <w:rsid w:val="00024ECD"/>
    <w:rsid w:val="000253BB"/>
    <w:rsid w:val="0002546F"/>
    <w:rsid w:val="00025D73"/>
    <w:rsid w:val="0002674D"/>
    <w:rsid w:val="00027917"/>
    <w:rsid w:val="00030D46"/>
    <w:rsid w:val="000319AF"/>
    <w:rsid w:val="00033341"/>
    <w:rsid w:val="00033AD4"/>
    <w:rsid w:val="000363A0"/>
    <w:rsid w:val="00036688"/>
    <w:rsid w:val="00036A4B"/>
    <w:rsid w:val="00037B65"/>
    <w:rsid w:val="00037C36"/>
    <w:rsid w:val="000401CD"/>
    <w:rsid w:val="000419A3"/>
    <w:rsid w:val="00041DD4"/>
    <w:rsid w:val="000425E2"/>
    <w:rsid w:val="00043445"/>
    <w:rsid w:val="0004356E"/>
    <w:rsid w:val="00043F8E"/>
    <w:rsid w:val="00044CDB"/>
    <w:rsid w:val="00046495"/>
    <w:rsid w:val="00046C0D"/>
    <w:rsid w:val="00046F69"/>
    <w:rsid w:val="0004772B"/>
    <w:rsid w:val="000503F2"/>
    <w:rsid w:val="00050BD4"/>
    <w:rsid w:val="00051B5E"/>
    <w:rsid w:val="000521F1"/>
    <w:rsid w:val="0005240F"/>
    <w:rsid w:val="000525ED"/>
    <w:rsid w:val="000526D5"/>
    <w:rsid w:val="000528D3"/>
    <w:rsid w:val="00052932"/>
    <w:rsid w:val="00052E2E"/>
    <w:rsid w:val="000534AB"/>
    <w:rsid w:val="00053908"/>
    <w:rsid w:val="00053A48"/>
    <w:rsid w:val="000542B2"/>
    <w:rsid w:val="000547DB"/>
    <w:rsid w:val="00055148"/>
    <w:rsid w:val="0005551A"/>
    <w:rsid w:val="00055721"/>
    <w:rsid w:val="00056A89"/>
    <w:rsid w:val="00057818"/>
    <w:rsid w:val="000578C1"/>
    <w:rsid w:val="0005796D"/>
    <w:rsid w:val="000610B4"/>
    <w:rsid w:val="00061120"/>
    <w:rsid w:val="0006190C"/>
    <w:rsid w:val="000624BA"/>
    <w:rsid w:val="00063BE1"/>
    <w:rsid w:val="00066119"/>
    <w:rsid w:val="00066418"/>
    <w:rsid w:val="00067369"/>
    <w:rsid w:val="00067484"/>
    <w:rsid w:val="00067BEA"/>
    <w:rsid w:val="00070B4A"/>
    <w:rsid w:val="0007120E"/>
    <w:rsid w:val="00071501"/>
    <w:rsid w:val="0007156F"/>
    <w:rsid w:val="00073543"/>
    <w:rsid w:val="00073FE5"/>
    <w:rsid w:val="000755DE"/>
    <w:rsid w:val="000758BD"/>
    <w:rsid w:val="00076351"/>
    <w:rsid w:val="00077E5E"/>
    <w:rsid w:val="000819FE"/>
    <w:rsid w:val="00082489"/>
    <w:rsid w:val="000837F8"/>
    <w:rsid w:val="000839A0"/>
    <w:rsid w:val="00084EAE"/>
    <w:rsid w:val="0008557C"/>
    <w:rsid w:val="00085640"/>
    <w:rsid w:val="00087280"/>
    <w:rsid w:val="00087CA2"/>
    <w:rsid w:val="00090405"/>
    <w:rsid w:val="00091CB5"/>
    <w:rsid w:val="00093C4A"/>
    <w:rsid w:val="00093CAF"/>
    <w:rsid w:val="00093D6F"/>
    <w:rsid w:val="00094233"/>
    <w:rsid w:val="000942E1"/>
    <w:rsid w:val="00094493"/>
    <w:rsid w:val="000946EA"/>
    <w:rsid w:val="00094FF1"/>
    <w:rsid w:val="000A2BF4"/>
    <w:rsid w:val="000A3A44"/>
    <w:rsid w:val="000A46D1"/>
    <w:rsid w:val="000A4897"/>
    <w:rsid w:val="000A4EA6"/>
    <w:rsid w:val="000A52C1"/>
    <w:rsid w:val="000A57BB"/>
    <w:rsid w:val="000B0BD3"/>
    <w:rsid w:val="000B1CD5"/>
    <w:rsid w:val="000B1F8E"/>
    <w:rsid w:val="000B2695"/>
    <w:rsid w:val="000B2876"/>
    <w:rsid w:val="000B5210"/>
    <w:rsid w:val="000B589D"/>
    <w:rsid w:val="000B71F1"/>
    <w:rsid w:val="000C1339"/>
    <w:rsid w:val="000C1E32"/>
    <w:rsid w:val="000C2121"/>
    <w:rsid w:val="000C307E"/>
    <w:rsid w:val="000C36C2"/>
    <w:rsid w:val="000C4194"/>
    <w:rsid w:val="000C488D"/>
    <w:rsid w:val="000C560C"/>
    <w:rsid w:val="000C7941"/>
    <w:rsid w:val="000D13C7"/>
    <w:rsid w:val="000D1590"/>
    <w:rsid w:val="000D1E44"/>
    <w:rsid w:val="000D413C"/>
    <w:rsid w:val="000D4DD3"/>
    <w:rsid w:val="000D5522"/>
    <w:rsid w:val="000D5CB2"/>
    <w:rsid w:val="000D5CE0"/>
    <w:rsid w:val="000D5CE8"/>
    <w:rsid w:val="000D5DB8"/>
    <w:rsid w:val="000D69F5"/>
    <w:rsid w:val="000D743D"/>
    <w:rsid w:val="000E032D"/>
    <w:rsid w:val="000E0357"/>
    <w:rsid w:val="000E05EA"/>
    <w:rsid w:val="000E1198"/>
    <w:rsid w:val="000E123A"/>
    <w:rsid w:val="000E1FCA"/>
    <w:rsid w:val="000E3A4B"/>
    <w:rsid w:val="000E4E37"/>
    <w:rsid w:val="000E5125"/>
    <w:rsid w:val="000E52F1"/>
    <w:rsid w:val="000E5861"/>
    <w:rsid w:val="000E5971"/>
    <w:rsid w:val="000E600B"/>
    <w:rsid w:val="000E621F"/>
    <w:rsid w:val="000E780E"/>
    <w:rsid w:val="000F0126"/>
    <w:rsid w:val="000F053B"/>
    <w:rsid w:val="000F1775"/>
    <w:rsid w:val="000F26B4"/>
    <w:rsid w:val="000F2945"/>
    <w:rsid w:val="000F349E"/>
    <w:rsid w:val="000F365A"/>
    <w:rsid w:val="000F3BDD"/>
    <w:rsid w:val="000F3CAF"/>
    <w:rsid w:val="000F4BFA"/>
    <w:rsid w:val="000F4E07"/>
    <w:rsid w:val="00101116"/>
    <w:rsid w:val="0010146B"/>
    <w:rsid w:val="00101A60"/>
    <w:rsid w:val="00101B80"/>
    <w:rsid w:val="0010260D"/>
    <w:rsid w:val="001069CC"/>
    <w:rsid w:val="00107771"/>
    <w:rsid w:val="00110812"/>
    <w:rsid w:val="001114BB"/>
    <w:rsid w:val="001116A1"/>
    <w:rsid w:val="001137D5"/>
    <w:rsid w:val="00113AE2"/>
    <w:rsid w:val="00114805"/>
    <w:rsid w:val="00114FBD"/>
    <w:rsid w:val="0011513B"/>
    <w:rsid w:val="00115786"/>
    <w:rsid w:val="0011609B"/>
    <w:rsid w:val="001167A5"/>
    <w:rsid w:val="00117DA6"/>
    <w:rsid w:val="0012209D"/>
    <w:rsid w:val="0012213D"/>
    <w:rsid w:val="00122664"/>
    <w:rsid w:val="00122757"/>
    <w:rsid w:val="00122AC2"/>
    <w:rsid w:val="00122DA6"/>
    <w:rsid w:val="00123EB2"/>
    <w:rsid w:val="00124055"/>
    <w:rsid w:val="00126BB6"/>
    <w:rsid w:val="00126D6E"/>
    <w:rsid w:val="00126DE0"/>
    <w:rsid w:val="00127A4A"/>
    <w:rsid w:val="00127F34"/>
    <w:rsid w:val="00130B76"/>
    <w:rsid w:val="00130F54"/>
    <w:rsid w:val="001328E9"/>
    <w:rsid w:val="00132E76"/>
    <w:rsid w:val="0013387D"/>
    <w:rsid w:val="00133F4D"/>
    <w:rsid w:val="00134FD7"/>
    <w:rsid w:val="00135097"/>
    <w:rsid w:val="0013552A"/>
    <w:rsid w:val="00135D6D"/>
    <w:rsid w:val="00135FC1"/>
    <w:rsid w:val="00137554"/>
    <w:rsid w:val="00137E1B"/>
    <w:rsid w:val="001400B5"/>
    <w:rsid w:val="00142737"/>
    <w:rsid w:val="00142BFD"/>
    <w:rsid w:val="001431BC"/>
    <w:rsid w:val="00143B7E"/>
    <w:rsid w:val="00143C25"/>
    <w:rsid w:val="00144E02"/>
    <w:rsid w:val="00146E13"/>
    <w:rsid w:val="00157E66"/>
    <w:rsid w:val="001600AD"/>
    <w:rsid w:val="00162358"/>
    <w:rsid w:val="001627B7"/>
    <w:rsid w:val="00162B57"/>
    <w:rsid w:val="00162BC2"/>
    <w:rsid w:val="0016302F"/>
    <w:rsid w:val="001630AD"/>
    <w:rsid w:val="00163194"/>
    <w:rsid w:val="0016460D"/>
    <w:rsid w:val="00164B3E"/>
    <w:rsid w:val="00164C13"/>
    <w:rsid w:val="0016626F"/>
    <w:rsid w:val="001666CF"/>
    <w:rsid w:val="00166822"/>
    <w:rsid w:val="00166BFF"/>
    <w:rsid w:val="00166E3C"/>
    <w:rsid w:val="00166FB9"/>
    <w:rsid w:val="00167350"/>
    <w:rsid w:val="00167F30"/>
    <w:rsid w:val="00167FF6"/>
    <w:rsid w:val="001701E8"/>
    <w:rsid w:val="00170587"/>
    <w:rsid w:val="00170A5B"/>
    <w:rsid w:val="001730E5"/>
    <w:rsid w:val="00173D66"/>
    <w:rsid w:val="00174E07"/>
    <w:rsid w:val="001758A8"/>
    <w:rsid w:val="00183CDC"/>
    <w:rsid w:val="001871D3"/>
    <w:rsid w:val="001879CE"/>
    <w:rsid w:val="00190437"/>
    <w:rsid w:val="00190525"/>
    <w:rsid w:val="0019057B"/>
    <w:rsid w:val="001906E3"/>
    <w:rsid w:val="00191AC6"/>
    <w:rsid w:val="001925E0"/>
    <w:rsid w:val="0019298E"/>
    <w:rsid w:val="0019397C"/>
    <w:rsid w:val="00194D41"/>
    <w:rsid w:val="00195002"/>
    <w:rsid w:val="001956DD"/>
    <w:rsid w:val="001958BD"/>
    <w:rsid w:val="00195C04"/>
    <w:rsid w:val="00196877"/>
    <w:rsid w:val="00196FE2"/>
    <w:rsid w:val="001A0212"/>
    <w:rsid w:val="001A28FA"/>
    <w:rsid w:val="001A3F52"/>
    <w:rsid w:val="001A44D2"/>
    <w:rsid w:val="001A4A90"/>
    <w:rsid w:val="001A4D31"/>
    <w:rsid w:val="001A4E2F"/>
    <w:rsid w:val="001A757B"/>
    <w:rsid w:val="001B0556"/>
    <w:rsid w:val="001B0F31"/>
    <w:rsid w:val="001B1376"/>
    <w:rsid w:val="001B3117"/>
    <w:rsid w:val="001B405B"/>
    <w:rsid w:val="001B4C4F"/>
    <w:rsid w:val="001B573D"/>
    <w:rsid w:val="001B6064"/>
    <w:rsid w:val="001B7842"/>
    <w:rsid w:val="001B799E"/>
    <w:rsid w:val="001C173A"/>
    <w:rsid w:val="001C2A52"/>
    <w:rsid w:val="001C3722"/>
    <w:rsid w:val="001C3F9C"/>
    <w:rsid w:val="001C4169"/>
    <w:rsid w:val="001C4CEC"/>
    <w:rsid w:val="001C643F"/>
    <w:rsid w:val="001C6F2C"/>
    <w:rsid w:val="001C7702"/>
    <w:rsid w:val="001C7959"/>
    <w:rsid w:val="001C7A6E"/>
    <w:rsid w:val="001D065A"/>
    <w:rsid w:val="001D2531"/>
    <w:rsid w:val="001D29AD"/>
    <w:rsid w:val="001D364C"/>
    <w:rsid w:val="001D475E"/>
    <w:rsid w:val="001D5B48"/>
    <w:rsid w:val="001E1AC0"/>
    <w:rsid w:val="001E20B9"/>
    <w:rsid w:val="001E340F"/>
    <w:rsid w:val="001E3D9E"/>
    <w:rsid w:val="001E4E20"/>
    <w:rsid w:val="001E5A2E"/>
    <w:rsid w:val="001E6CFB"/>
    <w:rsid w:val="001E73A0"/>
    <w:rsid w:val="001E741D"/>
    <w:rsid w:val="001E7659"/>
    <w:rsid w:val="001F094A"/>
    <w:rsid w:val="001F1A02"/>
    <w:rsid w:val="001F1D4E"/>
    <w:rsid w:val="001F2AF5"/>
    <w:rsid w:val="001F2C49"/>
    <w:rsid w:val="001F2F1A"/>
    <w:rsid w:val="001F2F4D"/>
    <w:rsid w:val="001F33A1"/>
    <w:rsid w:val="001F462C"/>
    <w:rsid w:val="001F4997"/>
    <w:rsid w:val="001F6D82"/>
    <w:rsid w:val="001F71BD"/>
    <w:rsid w:val="00200A1C"/>
    <w:rsid w:val="00201633"/>
    <w:rsid w:val="002017DC"/>
    <w:rsid w:val="0020230A"/>
    <w:rsid w:val="00202734"/>
    <w:rsid w:val="00202BF1"/>
    <w:rsid w:val="00203159"/>
    <w:rsid w:val="002031DD"/>
    <w:rsid w:val="00204863"/>
    <w:rsid w:val="0020531F"/>
    <w:rsid w:val="00206319"/>
    <w:rsid w:val="00206F5F"/>
    <w:rsid w:val="002073AE"/>
    <w:rsid w:val="00210F03"/>
    <w:rsid w:val="00211F5F"/>
    <w:rsid w:val="0021206D"/>
    <w:rsid w:val="0021331D"/>
    <w:rsid w:val="00213844"/>
    <w:rsid w:val="00213946"/>
    <w:rsid w:val="002141AF"/>
    <w:rsid w:val="0021505F"/>
    <w:rsid w:val="00215463"/>
    <w:rsid w:val="00215C44"/>
    <w:rsid w:val="00215EFA"/>
    <w:rsid w:val="00216B96"/>
    <w:rsid w:val="0022268F"/>
    <w:rsid w:val="00222C81"/>
    <w:rsid w:val="002235A9"/>
    <w:rsid w:val="00224C3B"/>
    <w:rsid w:val="00225C7D"/>
    <w:rsid w:val="0023102E"/>
    <w:rsid w:val="002311EE"/>
    <w:rsid w:val="0023186C"/>
    <w:rsid w:val="00232A8F"/>
    <w:rsid w:val="00232CE0"/>
    <w:rsid w:val="00232D64"/>
    <w:rsid w:val="00233543"/>
    <w:rsid w:val="00237B88"/>
    <w:rsid w:val="002404CF"/>
    <w:rsid w:val="00240955"/>
    <w:rsid w:val="0024160C"/>
    <w:rsid w:val="00241F44"/>
    <w:rsid w:val="002422D2"/>
    <w:rsid w:val="00242B1C"/>
    <w:rsid w:val="0024343D"/>
    <w:rsid w:val="0024430C"/>
    <w:rsid w:val="00244D36"/>
    <w:rsid w:val="00247510"/>
    <w:rsid w:val="00251EBE"/>
    <w:rsid w:val="00253BE6"/>
    <w:rsid w:val="00254F19"/>
    <w:rsid w:val="00254F58"/>
    <w:rsid w:val="002554CE"/>
    <w:rsid w:val="00255FD8"/>
    <w:rsid w:val="0025749F"/>
    <w:rsid w:val="00257DDC"/>
    <w:rsid w:val="00260A6A"/>
    <w:rsid w:val="00260A9A"/>
    <w:rsid w:val="00261389"/>
    <w:rsid w:val="0026328E"/>
    <w:rsid w:val="002650A5"/>
    <w:rsid w:val="00265CF1"/>
    <w:rsid w:val="002664A5"/>
    <w:rsid w:val="00266840"/>
    <w:rsid w:val="00266FEF"/>
    <w:rsid w:val="00272420"/>
    <w:rsid w:val="00272ADB"/>
    <w:rsid w:val="00273C48"/>
    <w:rsid w:val="00274C75"/>
    <w:rsid w:val="00276063"/>
    <w:rsid w:val="00276D78"/>
    <w:rsid w:val="0027770D"/>
    <w:rsid w:val="002777A3"/>
    <w:rsid w:val="00281F9E"/>
    <w:rsid w:val="002820B6"/>
    <w:rsid w:val="00284807"/>
    <w:rsid w:val="00287707"/>
    <w:rsid w:val="0028771B"/>
    <w:rsid w:val="00287B4D"/>
    <w:rsid w:val="00290050"/>
    <w:rsid w:val="00290450"/>
    <w:rsid w:val="00291954"/>
    <w:rsid w:val="002925BB"/>
    <w:rsid w:val="00292F77"/>
    <w:rsid w:val="00293699"/>
    <w:rsid w:val="00294144"/>
    <w:rsid w:val="002953A2"/>
    <w:rsid w:val="00295B0D"/>
    <w:rsid w:val="00295E7B"/>
    <w:rsid w:val="002A01D9"/>
    <w:rsid w:val="002A09A2"/>
    <w:rsid w:val="002A271F"/>
    <w:rsid w:val="002A2B12"/>
    <w:rsid w:val="002A2F93"/>
    <w:rsid w:val="002A3929"/>
    <w:rsid w:val="002A50C8"/>
    <w:rsid w:val="002A51E8"/>
    <w:rsid w:val="002A587F"/>
    <w:rsid w:val="002A6DE5"/>
    <w:rsid w:val="002A7638"/>
    <w:rsid w:val="002A77E7"/>
    <w:rsid w:val="002B0E7A"/>
    <w:rsid w:val="002B20A3"/>
    <w:rsid w:val="002B25CA"/>
    <w:rsid w:val="002B2CC0"/>
    <w:rsid w:val="002B40EE"/>
    <w:rsid w:val="002B4151"/>
    <w:rsid w:val="002B5AB1"/>
    <w:rsid w:val="002B5D73"/>
    <w:rsid w:val="002B622C"/>
    <w:rsid w:val="002B6C92"/>
    <w:rsid w:val="002B6F52"/>
    <w:rsid w:val="002B74AE"/>
    <w:rsid w:val="002B7C3F"/>
    <w:rsid w:val="002B7FF9"/>
    <w:rsid w:val="002C06AC"/>
    <w:rsid w:val="002C0F25"/>
    <w:rsid w:val="002C1663"/>
    <w:rsid w:val="002C2BC5"/>
    <w:rsid w:val="002C2EBA"/>
    <w:rsid w:val="002C3CCA"/>
    <w:rsid w:val="002C3D80"/>
    <w:rsid w:val="002C45EC"/>
    <w:rsid w:val="002D022D"/>
    <w:rsid w:val="002D02C9"/>
    <w:rsid w:val="002D1982"/>
    <w:rsid w:val="002D2DD5"/>
    <w:rsid w:val="002D43AD"/>
    <w:rsid w:val="002D4978"/>
    <w:rsid w:val="002D5BCB"/>
    <w:rsid w:val="002D66E4"/>
    <w:rsid w:val="002D7170"/>
    <w:rsid w:val="002D7232"/>
    <w:rsid w:val="002D7ED2"/>
    <w:rsid w:val="002E0101"/>
    <w:rsid w:val="002E0299"/>
    <w:rsid w:val="002E15D3"/>
    <w:rsid w:val="002E16F0"/>
    <w:rsid w:val="002E2BF7"/>
    <w:rsid w:val="002E3172"/>
    <w:rsid w:val="002E3405"/>
    <w:rsid w:val="002E50EF"/>
    <w:rsid w:val="002E5229"/>
    <w:rsid w:val="002E5703"/>
    <w:rsid w:val="002E65E0"/>
    <w:rsid w:val="002E6F99"/>
    <w:rsid w:val="002E72C0"/>
    <w:rsid w:val="002F06E9"/>
    <w:rsid w:val="002F0B7E"/>
    <w:rsid w:val="002F0CDC"/>
    <w:rsid w:val="002F145E"/>
    <w:rsid w:val="002F1BDB"/>
    <w:rsid w:val="002F2794"/>
    <w:rsid w:val="002F2F1D"/>
    <w:rsid w:val="002F30A1"/>
    <w:rsid w:val="002F3819"/>
    <w:rsid w:val="002F468C"/>
    <w:rsid w:val="002F596C"/>
    <w:rsid w:val="002F5D96"/>
    <w:rsid w:val="002F6C0A"/>
    <w:rsid w:val="00301F4D"/>
    <w:rsid w:val="00303B2F"/>
    <w:rsid w:val="003041C9"/>
    <w:rsid w:val="00304A05"/>
    <w:rsid w:val="00305A58"/>
    <w:rsid w:val="0030708C"/>
    <w:rsid w:val="003070B0"/>
    <w:rsid w:val="00307644"/>
    <w:rsid w:val="00307731"/>
    <w:rsid w:val="00307BAC"/>
    <w:rsid w:val="003105CC"/>
    <w:rsid w:val="00310C0B"/>
    <w:rsid w:val="003123B1"/>
    <w:rsid w:val="003127EC"/>
    <w:rsid w:val="0031408B"/>
    <w:rsid w:val="003144D7"/>
    <w:rsid w:val="00314C35"/>
    <w:rsid w:val="00315CFF"/>
    <w:rsid w:val="00316447"/>
    <w:rsid w:val="00316B3D"/>
    <w:rsid w:val="00317169"/>
    <w:rsid w:val="00317202"/>
    <w:rsid w:val="0032112C"/>
    <w:rsid w:val="00321C15"/>
    <w:rsid w:val="00322269"/>
    <w:rsid w:val="0032283E"/>
    <w:rsid w:val="00323850"/>
    <w:rsid w:val="003269FD"/>
    <w:rsid w:val="003278CA"/>
    <w:rsid w:val="003304D3"/>
    <w:rsid w:val="00330B81"/>
    <w:rsid w:val="00330FFC"/>
    <w:rsid w:val="00331095"/>
    <w:rsid w:val="00333812"/>
    <w:rsid w:val="00334355"/>
    <w:rsid w:val="003354F0"/>
    <w:rsid w:val="00335DB8"/>
    <w:rsid w:val="00336263"/>
    <w:rsid w:val="00337298"/>
    <w:rsid w:val="00337956"/>
    <w:rsid w:val="00340AA9"/>
    <w:rsid w:val="0034182B"/>
    <w:rsid w:val="00341E71"/>
    <w:rsid w:val="00343114"/>
    <w:rsid w:val="003439CB"/>
    <w:rsid w:val="00345281"/>
    <w:rsid w:val="00345C4D"/>
    <w:rsid w:val="00347588"/>
    <w:rsid w:val="00350645"/>
    <w:rsid w:val="0035068F"/>
    <w:rsid w:val="00351E17"/>
    <w:rsid w:val="00354A27"/>
    <w:rsid w:val="003565CE"/>
    <w:rsid w:val="0035699B"/>
    <w:rsid w:val="00357875"/>
    <w:rsid w:val="00360527"/>
    <w:rsid w:val="00361087"/>
    <w:rsid w:val="00362A60"/>
    <w:rsid w:val="00362EE7"/>
    <w:rsid w:val="00363245"/>
    <w:rsid w:val="00363CE0"/>
    <w:rsid w:val="00364CF4"/>
    <w:rsid w:val="00366532"/>
    <w:rsid w:val="0036735D"/>
    <w:rsid w:val="00370FD1"/>
    <w:rsid w:val="003717B5"/>
    <w:rsid w:val="00371DE4"/>
    <w:rsid w:val="00372103"/>
    <w:rsid w:val="00372358"/>
    <w:rsid w:val="003728C3"/>
    <w:rsid w:val="00374A98"/>
    <w:rsid w:val="00374BAD"/>
    <w:rsid w:val="00374D83"/>
    <w:rsid w:val="00375CF7"/>
    <w:rsid w:val="003762DD"/>
    <w:rsid w:val="00380B14"/>
    <w:rsid w:val="00380C8F"/>
    <w:rsid w:val="003810FA"/>
    <w:rsid w:val="00385219"/>
    <w:rsid w:val="003852BB"/>
    <w:rsid w:val="00387067"/>
    <w:rsid w:val="0038726D"/>
    <w:rsid w:val="003876A0"/>
    <w:rsid w:val="00387F6C"/>
    <w:rsid w:val="0039044E"/>
    <w:rsid w:val="0039063D"/>
    <w:rsid w:val="003914A2"/>
    <w:rsid w:val="0039431B"/>
    <w:rsid w:val="00395E85"/>
    <w:rsid w:val="00396A13"/>
    <w:rsid w:val="003A0EB2"/>
    <w:rsid w:val="003A0EB7"/>
    <w:rsid w:val="003A1529"/>
    <w:rsid w:val="003A1EDB"/>
    <w:rsid w:val="003A2147"/>
    <w:rsid w:val="003A2346"/>
    <w:rsid w:val="003A2797"/>
    <w:rsid w:val="003A36E9"/>
    <w:rsid w:val="003A3B46"/>
    <w:rsid w:val="003A4216"/>
    <w:rsid w:val="003A571C"/>
    <w:rsid w:val="003A6284"/>
    <w:rsid w:val="003A6410"/>
    <w:rsid w:val="003A6608"/>
    <w:rsid w:val="003A7C05"/>
    <w:rsid w:val="003B0F88"/>
    <w:rsid w:val="003B203A"/>
    <w:rsid w:val="003B2256"/>
    <w:rsid w:val="003B38B4"/>
    <w:rsid w:val="003B41B6"/>
    <w:rsid w:val="003B4B67"/>
    <w:rsid w:val="003B51E9"/>
    <w:rsid w:val="003B5678"/>
    <w:rsid w:val="003B75E2"/>
    <w:rsid w:val="003B7700"/>
    <w:rsid w:val="003C2724"/>
    <w:rsid w:val="003C28E5"/>
    <w:rsid w:val="003C47C9"/>
    <w:rsid w:val="003C7894"/>
    <w:rsid w:val="003C7ADF"/>
    <w:rsid w:val="003C7DA0"/>
    <w:rsid w:val="003C7ECD"/>
    <w:rsid w:val="003D03CF"/>
    <w:rsid w:val="003D1392"/>
    <w:rsid w:val="003D1928"/>
    <w:rsid w:val="003D222A"/>
    <w:rsid w:val="003D232F"/>
    <w:rsid w:val="003D31A5"/>
    <w:rsid w:val="003D3459"/>
    <w:rsid w:val="003D3807"/>
    <w:rsid w:val="003D387B"/>
    <w:rsid w:val="003D4FA9"/>
    <w:rsid w:val="003D5B1B"/>
    <w:rsid w:val="003D6378"/>
    <w:rsid w:val="003D75EA"/>
    <w:rsid w:val="003D7CF8"/>
    <w:rsid w:val="003E157B"/>
    <w:rsid w:val="003E1A4A"/>
    <w:rsid w:val="003E1E3F"/>
    <w:rsid w:val="003E1EDC"/>
    <w:rsid w:val="003E2C12"/>
    <w:rsid w:val="003E345F"/>
    <w:rsid w:val="003E38FA"/>
    <w:rsid w:val="003E4141"/>
    <w:rsid w:val="003E5E5B"/>
    <w:rsid w:val="003E77EA"/>
    <w:rsid w:val="003E7860"/>
    <w:rsid w:val="003F1773"/>
    <w:rsid w:val="003F20B7"/>
    <w:rsid w:val="003F2C65"/>
    <w:rsid w:val="003F2E1E"/>
    <w:rsid w:val="003F4911"/>
    <w:rsid w:val="003F51AA"/>
    <w:rsid w:val="003F7445"/>
    <w:rsid w:val="0040021F"/>
    <w:rsid w:val="004016C8"/>
    <w:rsid w:val="00404C50"/>
    <w:rsid w:val="00404D82"/>
    <w:rsid w:val="0040599C"/>
    <w:rsid w:val="00406FE3"/>
    <w:rsid w:val="00407672"/>
    <w:rsid w:val="00407950"/>
    <w:rsid w:val="00407961"/>
    <w:rsid w:val="00407BBF"/>
    <w:rsid w:val="0041045C"/>
    <w:rsid w:val="00411578"/>
    <w:rsid w:val="004117B4"/>
    <w:rsid w:val="00411BAE"/>
    <w:rsid w:val="00412CDF"/>
    <w:rsid w:val="00414870"/>
    <w:rsid w:val="00414B76"/>
    <w:rsid w:val="004157F6"/>
    <w:rsid w:val="0041746E"/>
    <w:rsid w:val="0042067A"/>
    <w:rsid w:val="0042075B"/>
    <w:rsid w:val="00420922"/>
    <w:rsid w:val="00420C04"/>
    <w:rsid w:val="004212BB"/>
    <w:rsid w:val="00422D32"/>
    <w:rsid w:val="00423152"/>
    <w:rsid w:val="004238DA"/>
    <w:rsid w:val="00424777"/>
    <w:rsid w:val="0042532C"/>
    <w:rsid w:val="004256A0"/>
    <w:rsid w:val="00427518"/>
    <w:rsid w:val="00430D02"/>
    <w:rsid w:val="004320F8"/>
    <w:rsid w:val="00432561"/>
    <w:rsid w:val="004340AE"/>
    <w:rsid w:val="0043631F"/>
    <w:rsid w:val="00436A81"/>
    <w:rsid w:val="0044021B"/>
    <w:rsid w:val="00440F11"/>
    <w:rsid w:val="00441206"/>
    <w:rsid w:val="00441EF1"/>
    <w:rsid w:val="0044228F"/>
    <w:rsid w:val="004427DD"/>
    <w:rsid w:val="0044331B"/>
    <w:rsid w:val="00444400"/>
    <w:rsid w:val="00445242"/>
    <w:rsid w:val="0044724F"/>
    <w:rsid w:val="00447DA2"/>
    <w:rsid w:val="004500F4"/>
    <w:rsid w:val="0045022C"/>
    <w:rsid w:val="00450519"/>
    <w:rsid w:val="00450A77"/>
    <w:rsid w:val="00452C29"/>
    <w:rsid w:val="0045383A"/>
    <w:rsid w:val="00456A10"/>
    <w:rsid w:val="00456B50"/>
    <w:rsid w:val="00462350"/>
    <w:rsid w:val="0046390C"/>
    <w:rsid w:val="00464D12"/>
    <w:rsid w:val="0046569D"/>
    <w:rsid w:val="00466689"/>
    <w:rsid w:val="004667BD"/>
    <w:rsid w:val="00470942"/>
    <w:rsid w:val="00470B43"/>
    <w:rsid w:val="0047114E"/>
    <w:rsid w:val="00473557"/>
    <w:rsid w:val="004739B1"/>
    <w:rsid w:val="00473CE8"/>
    <w:rsid w:val="00474D65"/>
    <w:rsid w:val="00474D95"/>
    <w:rsid w:val="00475075"/>
    <w:rsid w:val="00475456"/>
    <w:rsid w:val="00475FBF"/>
    <w:rsid w:val="00477FFE"/>
    <w:rsid w:val="00480C74"/>
    <w:rsid w:val="00481586"/>
    <w:rsid w:val="004821C7"/>
    <w:rsid w:val="0048220A"/>
    <w:rsid w:val="00484034"/>
    <w:rsid w:val="00486039"/>
    <w:rsid w:val="0048675A"/>
    <w:rsid w:val="00487C4D"/>
    <w:rsid w:val="00487FFC"/>
    <w:rsid w:val="004905F6"/>
    <w:rsid w:val="00491553"/>
    <w:rsid w:val="00491719"/>
    <w:rsid w:val="004936BE"/>
    <w:rsid w:val="00493E25"/>
    <w:rsid w:val="0049408C"/>
    <w:rsid w:val="00494894"/>
    <w:rsid w:val="00494F9E"/>
    <w:rsid w:val="0049586D"/>
    <w:rsid w:val="004965AD"/>
    <w:rsid w:val="00496620"/>
    <w:rsid w:val="00496B94"/>
    <w:rsid w:val="004A1433"/>
    <w:rsid w:val="004A1915"/>
    <w:rsid w:val="004A28E7"/>
    <w:rsid w:val="004A293A"/>
    <w:rsid w:val="004A3A45"/>
    <w:rsid w:val="004A500E"/>
    <w:rsid w:val="004A52C0"/>
    <w:rsid w:val="004A5C67"/>
    <w:rsid w:val="004A6E49"/>
    <w:rsid w:val="004A70B2"/>
    <w:rsid w:val="004A7A9D"/>
    <w:rsid w:val="004A7E5B"/>
    <w:rsid w:val="004B00CE"/>
    <w:rsid w:val="004B0CCB"/>
    <w:rsid w:val="004B27A3"/>
    <w:rsid w:val="004B387A"/>
    <w:rsid w:val="004B40CB"/>
    <w:rsid w:val="004B576B"/>
    <w:rsid w:val="004B6297"/>
    <w:rsid w:val="004B6578"/>
    <w:rsid w:val="004B6CE3"/>
    <w:rsid w:val="004C12EE"/>
    <w:rsid w:val="004C13AD"/>
    <w:rsid w:val="004C2ADE"/>
    <w:rsid w:val="004C315B"/>
    <w:rsid w:val="004C3A24"/>
    <w:rsid w:val="004C3F28"/>
    <w:rsid w:val="004C482F"/>
    <w:rsid w:val="004C5F69"/>
    <w:rsid w:val="004C62D7"/>
    <w:rsid w:val="004C630A"/>
    <w:rsid w:val="004C6DC9"/>
    <w:rsid w:val="004C7F12"/>
    <w:rsid w:val="004D3D9A"/>
    <w:rsid w:val="004D5453"/>
    <w:rsid w:val="004D58D7"/>
    <w:rsid w:val="004D6B06"/>
    <w:rsid w:val="004D7CF2"/>
    <w:rsid w:val="004E0C8B"/>
    <w:rsid w:val="004E2EA6"/>
    <w:rsid w:val="004E429C"/>
    <w:rsid w:val="004E4756"/>
    <w:rsid w:val="004E5B92"/>
    <w:rsid w:val="004E6A84"/>
    <w:rsid w:val="004F0155"/>
    <w:rsid w:val="004F1BCD"/>
    <w:rsid w:val="004F20F6"/>
    <w:rsid w:val="004F2F50"/>
    <w:rsid w:val="004F3137"/>
    <w:rsid w:val="004F31B5"/>
    <w:rsid w:val="004F361D"/>
    <w:rsid w:val="004F3C96"/>
    <w:rsid w:val="004F4C3C"/>
    <w:rsid w:val="004F56A8"/>
    <w:rsid w:val="004F6036"/>
    <w:rsid w:val="004F7F87"/>
    <w:rsid w:val="005008D0"/>
    <w:rsid w:val="00501866"/>
    <w:rsid w:val="00501D87"/>
    <w:rsid w:val="00501FB9"/>
    <w:rsid w:val="005020B4"/>
    <w:rsid w:val="005032B9"/>
    <w:rsid w:val="00503944"/>
    <w:rsid w:val="00503E8A"/>
    <w:rsid w:val="00504174"/>
    <w:rsid w:val="00504344"/>
    <w:rsid w:val="00504758"/>
    <w:rsid w:val="00507004"/>
    <w:rsid w:val="00507B3C"/>
    <w:rsid w:val="00507CC6"/>
    <w:rsid w:val="00510988"/>
    <w:rsid w:val="00510A13"/>
    <w:rsid w:val="00510D02"/>
    <w:rsid w:val="0051132D"/>
    <w:rsid w:val="00513155"/>
    <w:rsid w:val="00514B2E"/>
    <w:rsid w:val="00514E02"/>
    <w:rsid w:val="005151D6"/>
    <w:rsid w:val="00515631"/>
    <w:rsid w:val="00515C93"/>
    <w:rsid w:val="005162B8"/>
    <w:rsid w:val="00520102"/>
    <w:rsid w:val="00522D8F"/>
    <w:rsid w:val="005230B8"/>
    <w:rsid w:val="00523D91"/>
    <w:rsid w:val="00524A29"/>
    <w:rsid w:val="00526AE8"/>
    <w:rsid w:val="005272F2"/>
    <w:rsid w:val="00531563"/>
    <w:rsid w:val="005334C1"/>
    <w:rsid w:val="00535438"/>
    <w:rsid w:val="005359FE"/>
    <w:rsid w:val="00535B95"/>
    <w:rsid w:val="00535BFC"/>
    <w:rsid w:val="00537A9B"/>
    <w:rsid w:val="00541215"/>
    <w:rsid w:val="00542212"/>
    <w:rsid w:val="005430C0"/>
    <w:rsid w:val="005446B1"/>
    <w:rsid w:val="00544F63"/>
    <w:rsid w:val="0054574A"/>
    <w:rsid w:val="00546389"/>
    <w:rsid w:val="005465DF"/>
    <w:rsid w:val="00547FBB"/>
    <w:rsid w:val="00550643"/>
    <w:rsid w:val="005509DC"/>
    <w:rsid w:val="0055364C"/>
    <w:rsid w:val="00554DCC"/>
    <w:rsid w:val="005559AF"/>
    <w:rsid w:val="00555BAA"/>
    <w:rsid w:val="0056168F"/>
    <w:rsid w:val="00561B23"/>
    <w:rsid w:val="00561B5D"/>
    <w:rsid w:val="00562175"/>
    <w:rsid w:val="00563FCB"/>
    <w:rsid w:val="00563FEC"/>
    <w:rsid w:val="00564A9F"/>
    <w:rsid w:val="00565469"/>
    <w:rsid w:val="00565B1A"/>
    <w:rsid w:val="0056614F"/>
    <w:rsid w:val="00567047"/>
    <w:rsid w:val="00567204"/>
    <w:rsid w:val="00570E1C"/>
    <w:rsid w:val="00571459"/>
    <w:rsid w:val="00571EB6"/>
    <w:rsid w:val="0057247E"/>
    <w:rsid w:val="005803F9"/>
    <w:rsid w:val="00580C41"/>
    <w:rsid w:val="00581E3D"/>
    <w:rsid w:val="00582422"/>
    <w:rsid w:val="00582FF7"/>
    <w:rsid w:val="00584271"/>
    <w:rsid w:val="005859CA"/>
    <w:rsid w:val="00586302"/>
    <w:rsid w:val="00586B1B"/>
    <w:rsid w:val="005908C0"/>
    <w:rsid w:val="00590EB4"/>
    <w:rsid w:val="00592352"/>
    <w:rsid w:val="005925C7"/>
    <w:rsid w:val="005945C2"/>
    <w:rsid w:val="00594700"/>
    <w:rsid w:val="00594E0C"/>
    <w:rsid w:val="0059618C"/>
    <w:rsid w:val="0059621C"/>
    <w:rsid w:val="00596CF1"/>
    <w:rsid w:val="00597A4E"/>
    <w:rsid w:val="00597D30"/>
    <w:rsid w:val="005A0695"/>
    <w:rsid w:val="005A0B52"/>
    <w:rsid w:val="005A0C2D"/>
    <w:rsid w:val="005A1DDC"/>
    <w:rsid w:val="005A34CC"/>
    <w:rsid w:val="005A5EC3"/>
    <w:rsid w:val="005B1C97"/>
    <w:rsid w:val="005B2E20"/>
    <w:rsid w:val="005B325B"/>
    <w:rsid w:val="005B3959"/>
    <w:rsid w:val="005B4690"/>
    <w:rsid w:val="005B6613"/>
    <w:rsid w:val="005B68DE"/>
    <w:rsid w:val="005B6904"/>
    <w:rsid w:val="005B6A23"/>
    <w:rsid w:val="005B7F6A"/>
    <w:rsid w:val="005BEFDF"/>
    <w:rsid w:val="005C0B06"/>
    <w:rsid w:val="005C202A"/>
    <w:rsid w:val="005C2D74"/>
    <w:rsid w:val="005C33A2"/>
    <w:rsid w:val="005C56EB"/>
    <w:rsid w:val="005C654D"/>
    <w:rsid w:val="005C6EFA"/>
    <w:rsid w:val="005C7C58"/>
    <w:rsid w:val="005C7DDB"/>
    <w:rsid w:val="005D03DC"/>
    <w:rsid w:val="005D0431"/>
    <w:rsid w:val="005D1C62"/>
    <w:rsid w:val="005D2371"/>
    <w:rsid w:val="005D2AAA"/>
    <w:rsid w:val="005D2EE8"/>
    <w:rsid w:val="005D3709"/>
    <w:rsid w:val="005D4308"/>
    <w:rsid w:val="005D6E16"/>
    <w:rsid w:val="005E02C1"/>
    <w:rsid w:val="005E0999"/>
    <w:rsid w:val="005E1199"/>
    <w:rsid w:val="005E1B0D"/>
    <w:rsid w:val="005E2601"/>
    <w:rsid w:val="005E402E"/>
    <w:rsid w:val="005E41A8"/>
    <w:rsid w:val="005E5729"/>
    <w:rsid w:val="005E6708"/>
    <w:rsid w:val="005E6A59"/>
    <w:rsid w:val="005E72C2"/>
    <w:rsid w:val="005E7480"/>
    <w:rsid w:val="005F139B"/>
    <w:rsid w:val="005F157C"/>
    <w:rsid w:val="005F3165"/>
    <w:rsid w:val="005F3568"/>
    <w:rsid w:val="005F398D"/>
    <w:rsid w:val="005F711E"/>
    <w:rsid w:val="005F7E62"/>
    <w:rsid w:val="00600622"/>
    <w:rsid w:val="00604609"/>
    <w:rsid w:val="006055BD"/>
    <w:rsid w:val="0060571D"/>
    <w:rsid w:val="00605D45"/>
    <w:rsid w:val="00606846"/>
    <w:rsid w:val="00606D38"/>
    <w:rsid w:val="006074C2"/>
    <w:rsid w:val="00610245"/>
    <w:rsid w:val="00610F1A"/>
    <w:rsid w:val="0061144C"/>
    <w:rsid w:val="0061153A"/>
    <w:rsid w:val="00612B8D"/>
    <w:rsid w:val="00613EE4"/>
    <w:rsid w:val="00613F0A"/>
    <w:rsid w:val="006140A1"/>
    <w:rsid w:val="006164B5"/>
    <w:rsid w:val="00620670"/>
    <w:rsid w:val="00620734"/>
    <w:rsid w:val="006211E5"/>
    <w:rsid w:val="006229C8"/>
    <w:rsid w:val="00622C42"/>
    <w:rsid w:val="006262B4"/>
    <w:rsid w:val="00626499"/>
    <w:rsid w:val="006267F6"/>
    <w:rsid w:val="00627087"/>
    <w:rsid w:val="006300A4"/>
    <w:rsid w:val="00630D55"/>
    <w:rsid w:val="0063140D"/>
    <w:rsid w:val="00631F33"/>
    <w:rsid w:val="00631F76"/>
    <w:rsid w:val="006330C7"/>
    <w:rsid w:val="00633775"/>
    <w:rsid w:val="006344E4"/>
    <w:rsid w:val="00635F4F"/>
    <w:rsid w:val="0063757E"/>
    <w:rsid w:val="0064096C"/>
    <w:rsid w:val="00640C20"/>
    <w:rsid w:val="006413FC"/>
    <w:rsid w:val="0064182E"/>
    <w:rsid w:val="00641FF7"/>
    <w:rsid w:val="006423A6"/>
    <w:rsid w:val="006434E8"/>
    <w:rsid w:val="0064470F"/>
    <w:rsid w:val="00644EF0"/>
    <w:rsid w:val="00645F6C"/>
    <w:rsid w:val="0064691E"/>
    <w:rsid w:val="006469BE"/>
    <w:rsid w:val="00647892"/>
    <w:rsid w:val="00650788"/>
    <w:rsid w:val="00651962"/>
    <w:rsid w:val="00651A3C"/>
    <w:rsid w:val="006530C7"/>
    <w:rsid w:val="00653121"/>
    <w:rsid w:val="00653457"/>
    <w:rsid w:val="00655B68"/>
    <w:rsid w:val="00656010"/>
    <w:rsid w:val="00660453"/>
    <w:rsid w:val="00660620"/>
    <w:rsid w:val="00660CAE"/>
    <w:rsid w:val="00662DF3"/>
    <w:rsid w:val="00662E3E"/>
    <w:rsid w:val="006637CA"/>
    <w:rsid w:val="00664AE2"/>
    <w:rsid w:val="00665874"/>
    <w:rsid w:val="00667FC0"/>
    <w:rsid w:val="00670526"/>
    <w:rsid w:val="006706C2"/>
    <w:rsid w:val="00671754"/>
    <w:rsid w:val="00671CEF"/>
    <w:rsid w:val="00672821"/>
    <w:rsid w:val="00672C9A"/>
    <w:rsid w:val="00673A25"/>
    <w:rsid w:val="00673B49"/>
    <w:rsid w:val="00675988"/>
    <w:rsid w:val="00676A88"/>
    <w:rsid w:val="00681273"/>
    <w:rsid w:val="00682EF4"/>
    <w:rsid w:val="00683C04"/>
    <w:rsid w:val="00684095"/>
    <w:rsid w:val="006854A0"/>
    <w:rsid w:val="00685640"/>
    <w:rsid w:val="00687C26"/>
    <w:rsid w:val="00690954"/>
    <w:rsid w:val="00690EAC"/>
    <w:rsid w:val="00691CFA"/>
    <w:rsid w:val="00692408"/>
    <w:rsid w:val="00692430"/>
    <w:rsid w:val="006925F6"/>
    <w:rsid w:val="00692C7C"/>
    <w:rsid w:val="0069371F"/>
    <w:rsid w:val="00693ACA"/>
    <w:rsid w:val="00695184"/>
    <w:rsid w:val="006952A3"/>
    <w:rsid w:val="0069687F"/>
    <w:rsid w:val="006A008F"/>
    <w:rsid w:val="006A22E2"/>
    <w:rsid w:val="006A2759"/>
    <w:rsid w:val="006A2B55"/>
    <w:rsid w:val="006A2C67"/>
    <w:rsid w:val="006A3281"/>
    <w:rsid w:val="006A503E"/>
    <w:rsid w:val="006B07D1"/>
    <w:rsid w:val="006B0952"/>
    <w:rsid w:val="006B1571"/>
    <w:rsid w:val="006B1A97"/>
    <w:rsid w:val="006B215E"/>
    <w:rsid w:val="006B49B4"/>
    <w:rsid w:val="006B4F1D"/>
    <w:rsid w:val="006B54D1"/>
    <w:rsid w:val="006B5B09"/>
    <w:rsid w:val="006B60D0"/>
    <w:rsid w:val="006C046B"/>
    <w:rsid w:val="006C111C"/>
    <w:rsid w:val="006C144E"/>
    <w:rsid w:val="006C17CF"/>
    <w:rsid w:val="006C3559"/>
    <w:rsid w:val="006C38E6"/>
    <w:rsid w:val="006C3C9A"/>
    <w:rsid w:val="006C3E26"/>
    <w:rsid w:val="006C447F"/>
    <w:rsid w:val="006C5839"/>
    <w:rsid w:val="006C66CF"/>
    <w:rsid w:val="006C67C8"/>
    <w:rsid w:val="006C6940"/>
    <w:rsid w:val="006C7B08"/>
    <w:rsid w:val="006D051B"/>
    <w:rsid w:val="006D05C1"/>
    <w:rsid w:val="006D37EB"/>
    <w:rsid w:val="006D5863"/>
    <w:rsid w:val="006D5B5A"/>
    <w:rsid w:val="006D6290"/>
    <w:rsid w:val="006D650C"/>
    <w:rsid w:val="006D6992"/>
    <w:rsid w:val="006D6AFC"/>
    <w:rsid w:val="006D6B76"/>
    <w:rsid w:val="006E1184"/>
    <w:rsid w:val="006E1243"/>
    <w:rsid w:val="006E28BA"/>
    <w:rsid w:val="006E2DDF"/>
    <w:rsid w:val="006E3777"/>
    <w:rsid w:val="006E3D1D"/>
    <w:rsid w:val="006E4023"/>
    <w:rsid w:val="006E4320"/>
    <w:rsid w:val="006E64F1"/>
    <w:rsid w:val="006E6CDF"/>
    <w:rsid w:val="006F18E2"/>
    <w:rsid w:val="006F2017"/>
    <w:rsid w:val="006F27FA"/>
    <w:rsid w:val="006F2934"/>
    <w:rsid w:val="006F2970"/>
    <w:rsid w:val="006F3BFB"/>
    <w:rsid w:val="006F3C94"/>
    <w:rsid w:val="006F4472"/>
    <w:rsid w:val="006F5B56"/>
    <w:rsid w:val="006F5C3B"/>
    <w:rsid w:val="006F65E4"/>
    <w:rsid w:val="006F70B8"/>
    <w:rsid w:val="007003CD"/>
    <w:rsid w:val="00700612"/>
    <w:rsid w:val="00701B6F"/>
    <w:rsid w:val="00701DE9"/>
    <w:rsid w:val="007052C8"/>
    <w:rsid w:val="00705BB2"/>
    <w:rsid w:val="00706959"/>
    <w:rsid w:val="007111DA"/>
    <w:rsid w:val="007121EE"/>
    <w:rsid w:val="0071223C"/>
    <w:rsid w:val="00712786"/>
    <w:rsid w:val="00712E01"/>
    <w:rsid w:val="00712EE5"/>
    <w:rsid w:val="0071353C"/>
    <w:rsid w:val="00714C29"/>
    <w:rsid w:val="007152CF"/>
    <w:rsid w:val="00717662"/>
    <w:rsid w:val="007179B0"/>
    <w:rsid w:val="00717F7D"/>
    <w:rsid w:val="00720B33"/>
    <w:rsid w:val="0072103E"/>
    <w:rsid w:val="00721AC7"/>
    <w:rsid w:val="00722C4F"/>
    <w:rsid w:val="00722EC9"/>
    <w:rsid w:val="00724586"/>
    <w:rsid w:val="0072500F"/>
    <w:rsid w:val="0072504D"/>
    <w:rsid w:val="007268DB"/>
    <w:rsid w:val="007270F8"/>
    <w:rsid w:val="00727214"/>
    <w:rsid w:val="007274BA"/>
    <w:rsid w:val="0073036A"/>
    <w:rsid w:val="007306A7"/>
    <w:rsid w:val="0073147C"/>
    <w:rsid w:val="00731D52"/>
    <w:rsid w:val="0073372C"/>
    <w:rsid w:val="00735199"/>
    <w:rsid w:val="0073572E"/>
    <w:rsid w:val="00736999"/>
    <w:rsid w:val="00737637"/>
    <w:rsid w:val="0073768D"/>
    <w:rsid w:val="007408AA"/>
    <w:rsid w:val="00741BBC"/>
    <w:rsid w:val="00744710"/>
    <w:rsid w:val="007450B4"/>
    <w:rsid w:val="007457D7"/>
    <w:rsid w:val="007459AF"/>
    <w:rsid w:val="00746DE5"/>
    <w:rsid w:val="00747259"/>
    <w:rsid w:val="007502A9"/>
    <w:rsid w:val="00750807"/>
    <w:rsid w:val="007514BA"/>
    <w:rsid w:val="00751917"/>
    <w:rsid w:val="00752CA3"/>
    <w:rsid w:val="00754CAF"/>
    <w:rsid w:val="00755A42"/>
    <w:rsid w:val="00755AA6"/>
    <w:rsid w:val="0075637C"/>
    <w:rsid w:val="007563AC"/>
    <w:rsid w:val="00757A5A"/>
    <w:rsid w:val="00760A7E"/>
    <w:rsid w:val="007619BA"/>
    <w:rsid w:val="00761C60"/>
    <w:rsid w:val="0076241F"/>
    <w:rsid w:val="007625EE"/>
    <w:rsid w:val="00762ADD"/>
    <w:rsid w:val="00763826"/>
    <w:rsid w:val="00763993"/>
    <w:rsid w:val="00764085"/>
    <w:rsid w:val="0076675B"/>
    <w:rsid w:val="00770631"/>
    <w:rsid w:val="00772951"/>
    <w:rsid w:val="00773970"/>
    <w:rsid w:val="00773EDB"/>
    <w:rsid w:val="00774D7E"/>
    <w:rsid w:val="007804EA"/>
    <w:rsid w:val="00781296"/>
    <w:rsid w:val="007823E0"/>
    <w:rsid w:val="00782CFC"/>
    <w:rsid w:val="007854E7"/>
    <w:rsid w:val="007861DC"/>
    <w:rsid w:val="007863DA"/>
    <w:rsid w:val="00786471"/>
    <w:rsid w:val="00787A57"/>
    <w:rsid w:val="007906CB"/>
    <w:rsid w:val="00790888"/>
    <w:rsid w:val="007909A1"/>
    <w:rsid w:val="007913A6"/>
    <w:rsid w:val="007919AB"/>
    <w:rsid w:val="0079215E"/>
    <w:rsid w:val="00792C9F"/>
    <w:rsid w:val="00793684"/>
    <w:rsid w:val="00795A20"/>
    <w:rsid w:val="007967F7"/>
    <w:rsid w:val="00797668"/>
    <w:rsid w:val="00797CC2"/>
    <w:rsid w:val="007A173C"/>
    <w:rsid w:val="007A1B0D"/>
    <w:rsid w:val="007A1B32"/>
    <w:rsid w:val="007A311A"/>
    <w:rsid w:val="007A32F6"/>
    <w:rsid w:val="007A3872"/>
    <w:rsid w:val="007A3E82"/>
    <w:rsid w:val="007A4565"/>
    <w:rsid w:val="007A5341"/>
    <w:rsid w:val="007A5976"/>
    <w:rsid w:val="007B0BA0"/>
    <w:rsid w:val="007B0D70"/>
    <w:rsid w:val="007B147A"/>
    <w:rsid w:val="007B1638"/>
    <w:rsid w:val="007B2DC9"/>
    <w:rsid w:val="007B3070"/>
    <w:rsid w:val="007B342C"/>
    <w:rsid w:val="007B4233"/>
    <w:rsid w:val="007B441D"/>
    <w:rsid w:val="007B4FFE"/>
    <w:rsid w:val="007B623D"/>
    <w:rsid w:val="007B67B7"/>
    <w:rsid w:val="007C115B"/>
    <w:rsid w:val="007C1F28"/>
    <w:rsid w:val="007C3228"/>
    <w:rsid w:val="007C4193"/>
    <w:rsid w:val="007C4A1D"/>
    <w:rsid w:val="007D0AEA"/>
    <w:rsid w:val="007D0B24"/>
    <w:rsid w:val="007D0D6A"/>
    <w:rsid w:val="007D3DEC"/>
    <w:rsid w:val="007D3E5B"/>
    <w:rsid w:val="007D52A3"/>
    <w:rsid w:val="007D60D2"/>
    <w:rsid w:val="007D6E78"/>
    <w:rsid w:val="007E0788"/>
    <w:rsid w:val="007E2073"/>
    <w:rsid w:val="007E226F"/>
    <w:rsid w:val="007E4B10"/>
    <w:rsid w:val="007E558F"/>
    <w:rsid w:val="007E5FCA"/>
    <w:rsid w:val="007E65E8"/>
    <w:rsid w:val="007E66FF"/>
    <w:rsid w:val="007E7DED"/>
    <w:rsid w:val="007F0033"/>
    <w:rsid w:val="007F0316"/>
    <w:rsid w:val="007F03D5"/>
    <w:rsid w:val="007F0582"/>
    <w:rsid w:val="007F25F4"/>
    <w:rsid w:val="007F2855"/>
    <w:rsid w:val="007F2E09"/>
    <w:rsid w:val="007F2EAC"/>
    <w:rsid w:val="007F35B9"/>
    <w:rsid w:val="007F3985"/>
    <w:rsid w:val="007F3C0D"/>
    <w:rsid w:val="007F3E29"/>
    <w:rsid w:val="007F5A0D"/>
    <w:rsid w:val="007F6D5F"/>
    <w:rsid w:val="007F6E96"/>
    <w:rsid w:val="007F7E4D"/>
    <w:rsid w:val="00800B96"/>
    <w:rsid w:val="00800DC8"/>
    <w:rsid w:val="008011A8"/>
    <w:rsid w:val="008024B2"/>
    <w:rsid w:val="0080388A"/>
    <w:rsid w:val="00803D0B"/>
    <w:rsid w:val="0080669E"/>
    <w:rsid w:val="00806F4B"/>
    <w:rsid w:val="00810828"/>
    <w:rsid w:val="008121D4"/>
    <w:rsid w:val="00812E33"/>
    <w:rsid w:val="00813823"/>
    <w:rsid w:val="008138D8"/>
    <w:rsid w:val="008141C2"/>
    <w:rsid w:val="00815B16"/>
    <w:rsid w:val="008162F3"/>
    <w:rsid w:val="00816B9E"/>
    <w:rsid w:val="0081712D"/>
    <w:rsid w:val="00817AC8"/>
    <w:rsid w:val="0082011E"/>
    <w:rsid w:val="00820FDE"/>
    <w:rsid w:val="00822A50"/>
    <w:rsid w:val="00822E86"/>
    <w:rsid w:val="00823D50"/>
    <w:rsid w:val="00823FF7"/>
    <w:rsid w:val="00824D06"/>
    <w:rsid w:val="00824D3A"/>
    <w:rsid w:val="00824E84"/>
    <w:rsid w:val="0082599C"/>
    <w:rsid w:val="00826367"/>
    <w:rsid w:val="00826EBC"/>
    <w:rsid w:val="008276D8"/>
    <w:rsid w:val="00830225"/>
    <w:rsid w:val="008308DE"/>
    <w:rsid w:val="00830CF1"/>
    <w:rsid w:val="008313B3"/>
    <w:rsid w:val="00831413"/>
    <w:rsid w:val="00831FC3"/>
    <w:rsid w:val="0083320D"/>
    <w:rsid w:val="008340A8"/>
    <w:rsid w:val="008342EB"/>
    <w:rsid w:val="00834A28"/>
    <w:rsid w:val="00834A74"/>
    <w:rsid w:val="00835047"/>
    <w:rsid w:val="008357B7"/>
    <w:rsid w:val="00835EBA"/>
    <w:rsid w:val="00835F97"/>
    <w:rsid w:val="0083637D"/>
    <w:rsid w:val="00836487"/>
    <w:rsid w:val="00837648"/>
    <w:rsid w:val="00840334"/>
    <w:rsid w:val="00841319"/>
    <w:rsid w:val="00841575"/>
    <w:rsid w:val="00841F5A"/>
    <w:rsid w:val="00844DF9"/>
    <w:rsid w:val="00844E6B"/>
    <w:rsid w:val="008453F4"/>
    <w:rsid w:val="008469DA"/>
    <w:rsid w:val="00847047"/>
    <w:rsid w:val="00847E32"/>
    <w:rsid w:val="00850447"/>
    <w:rsid w:val="00850672"/>
    <w:rsid w:val="008510A5"/>
    <w:rsid w:val="00851A7E"/>
    <w:rsid w:val="00855729"/>
    <w:rsid w:val="008566BA"/>
    <w:rsid w:val="00856B6E"/>
    <w:rsid w:val="008572C2"/>
    <w:rsid w:val="00857E11"/>
    <w:rsid w:val="00860165"/>
    <w:rsid w:val="00860204"/>
    <w:rsid w:val="00860F49"/>
    <w:rsid w:val="00861C70"/>
    <w:rsid w:val="008627E5"/>
    <w:rsid w:val="00862F43"/>
    <w:rsid w:val="0086448A"/>
    <w:rsid w:val="00866A75"/>
    <w:rsid w:val="00866D68"/>
    <w:rsid w:val="00867B56"/>
    <w:rsid w:val="008710F1"/>
    <w:rsid w:val="0087122B"/>
    <w:rsid w:val="00871660"/>
    <w:rsid w:val="0087225F"/>
    <w:rsid w:val="008727C4"/>
    <w:rsid w:val="00872B73"/>
    <w:rsid w:val="00872B90"/>
    <w:rsid w:val="00873F4B"/>
    <w:rsid w:val="00875467"/>
    <w:rsid w:val="00875BD2"/>
    <w:rsid w:val="0087767B"/>
    <w:rsid w:val="008776D0"/>
    <w:rsid w:val="00877B59"/>
    <w:rsid w:val="00877B5A"/>
    <w:rsid w:val="00877E84"/>
    <w:rsid w:val="008810E1"/>
    <w:rsid w:val="008811D7"/>
    <w:rsid w:val="0088173F"/>
    <w:rsid w:val="008819A2"/>
    <w:rsid w:val="00881B48"/>
    <w:rsid w:val="00881C0D"/>
    <w:rsid w:val="0088330C"/>
    <w:rsid w:val="00885A38"/>
    <w:rsid w:val="00885A6A"/>
    <w:rsid w:val="008860B1"/>
    <w:rsid w:val="00886E12"/>
    <w:rsid w:val="00887D40"/>
    <w:rsid w:val="00887EA0"/>
    <w:rsid w:val="00890005"/>
    <w:rsid w:val="00891A50"/>
    <w:rsid w:val="00891AF0"/>
    <w:rsid w:val="008920D9"/>
    <w:rsid w:val="008936DA"/>
    <w:rsid w:val="008946F7"/>
    <w:rsid w:val="00896306"/>
    <w:rsid w:val="008A034A"/>
    <w:rsid w:val="008A05A7"/>
    <w:rsid w:val="008A0A57"/>
    <w:rsid w:val="008A2183"/>
    <w:rsid w:val="008A59AE"/>
    <w:rsid w:val="008A7186"/>
    <w:rsid w:val="008A786E"/>
    <w:rsid w:val="008A7EFC"/>
    <w:rsid w:val="008B0249"/>
    <w:rsid w:val="008B0F2B"/>
    <w:rsid w:val="008B1238"/>
    <w:rsid w:val="008B251F"/>
    <w:rsid w:val="008B2ED8"/>
    <w:rsid w:val="008B366E"/>
    <w:rsid w:val="008B4731"/>
    <w:rsid w:val="008B531B"/>
    <w:rsid w:val="008B582F"/>
    <w:rsid w:val="008B5BE4"/>
    <w:rsid w:val="008B7B01"/>
    <w:rsid w:val="008C1DBB"/>
    <w:rsid w:val="008C3BEA"/>
    <w:rsid w:val="008C4DE9"/>
    <w:rsid w:val="008C558E"/>
    <w:rsid w:val="008C5E80"/>
    <w:rsid w:val="008C6C27"/>
    <w:rsid w:val="008C7AB9"/>
    <w:rsid w:val="008D2195"/>
    <w:rsid w:val="008D2249"/>
    <w:rsid w:val="008D26CC"/>
    <w:rsid w:val="008D4D7D"/>
    <w:rsid w:val="008D600D"/>
    <w:rsid w:val="008E1958"/>
    <w:rsid w:val="008E1C09"/>
    <w:rsid w:val="008E26FC"/>
    <w:rsid w:val="008E4233"/>
    <w:rsid w:val="008E43F0"/>
    <w:rsid w:val="008E4404"/>
    <w:rsid w:val="008E486F"/>
    <w:rsid w:val="008E4D7C"/>
    <w:rsid w:val="008E5845"/>
    <w:rsid w:val="008E59FD"/>
    <w:rsid w:val="008E5B07"/>
    <w:rsid w:val="008E6491"/>
    <w:rsid w:val="008E6EB2"/>
    <w:rsid w:val="008E7088"/>
    <w:rsid w:val="008F0104"/>
    <w:rsid w:val="008F02CF"/>
    <w:rsid w:val="008F15AE"/>
    <w:rsid w:val="008F2B9E"/>
    <w:rsid w:val="008F3619"/>
    <w:rsid w:val="008F3D1F"/>
    <w:rsid w:val="008F494E"/>
    <w:rsid w:val="008F4BEB"/>
    <w:rsid w:val="008F50B6"/>
    <w:rsid w:val="008F6077"/>
    <w:rsid w:val="009026B6"/>
    <w:rsid w:val="00902E0F"/>
    <w:rsid w:val="0090327A"/>
    <w:rsid w:val="00903BDA"/>
    <w:rsid w:val="0090580E"/>
    <w:rsid w:val="00906F93"/>
    <w:rsid w:val="0090755D"/>
    <w:rsid w:val="00910139"/>
    <w:rsid w:val="00910ABE"/>
    <w:rsid w:val="00911162"/>
    <w:rsid w:val="00911D67"/>
    <w:rsid w:val="00912309"/>
    <w:rsid w:val="00913B4B"/>
    <w:rsid w:val="00913F98"/>
    <w:rsid w:val="0091405A"/>
    <w:rsid w:val="009145DD"/>
    <w:rsid w:val="00914A5B"/>
    <w:rsid w:val="00915029"/>
    <w:rsid w:val="009166EB"/>
    <w:rsid w:val="00917088"/>
    <w:rsid w:val="009174DF"/>
    <w:rsid w:val="00917569"/>
    <w:rsid w:val="00917C42"/>
    <w:rsid w:val="009211E3"/>
    <w:rsid w:val="00921556"/>
    <w:rsid w:val="00923106"/>
    <w:rsid w:val="00923E7F"/>
    <w:rsid w:val="009242B0"/>
    <w:rsid w:val="009253A8"/>
    <w:rsid w:val="00925893"/>
    <w:rsid w:val="00925DB6"/>
    <w:rsid w:val="009263DE"/>
    <w:rsid w:val="00926B2A"/>
    <w:rsid w:val="00926CF1"/>
    <w:rsid w:val="0092740A"/>
    <w:rsid w:val="00927BB6"/>
    <w:rsid w:val="00927FB4"/>
    <w:rsid w:val="0093138B"/>
    <w:rsid w:val="009324AF"/>
    <w:rsid w:val="009350EB"/>
    <w:rsid w:val="00935A9E"/>
    <w:rsid w:val="0093606D"/>
    <w:rsid w:val="00936392"/>
    <w:rsid w:val="00937D49"/>
    <w:rsid w:val="009409A0"/>
    <w:rsid w:val="009419D2"/>
    <w:rsid w:val="0094243B"/>
    <w:rsid w:val="00942D66"/>
    <w:rsid w:val="00942EAC"/>
    <w:rsid w:val="00942EB9"/>
    <w:rsid w:val="009444BC"/>
    <w:rsid w:val="00944AC2"/>
    <w:rsid w:val="009450E1"/>
    <w:rsid w:val="00946BCB"/>
    <w:rsid w:val="009476BF"/>
    <w:rsid w:val="00947E09"/>
    <w:rsid w:val="00950FE6"/>
    <w:rsid w:val="009517DE"/>
    <w:rsid w:val="00951DC6"/>
    <w:rsid w:val="0095434D"/>
    <w:rsid w:val="009551D8"/>
    <w:rsid w:val="00955981"/>
    <w:rsid w:val="00955C95"/>
    <w:rsid w:val="00956294"/>
    <w:rsid w:val="009562DC"/>
    <w:rsid w:val="009562F9"/>
    <w:rsid w:val="00957500"/>
    <w:rsid w:val="00957C41"/>
    <w:rsid w:val="00957CA8"/>
    <w:rsid w:val="00960277"/>
    <w:rsid w:val="009608EB"/>
    <w:rsid w:val="0096100B"/>
    <w:rsid w:val="009621DA"/>
    <w:rsid w:val="009626A1"/>
    <w:rsid w:val="00962CF6"/>
    <w:rsid w:val="009652C2"/>
    <w:rsid w:val="0096534F"/>
    <w:rsid w:val="00965684"/>
    <w:rsid w:val="00965E6F"/>
    <w:rsid w:val="00966068"/>
    <w:rsid w:val="00966788"/>
    <w:rsid w:val="009671BE"/>
    <w:rsid w:val="00967FCF"/>
    <w:rsid w:val="009706B3"/>
    <w:rsid w:val="00970B8B"/>
    <w:rsid w:val="009732DD"/>
    <w:rsid w:val="00973AA1"/>
    <w:rsid w:val="0097419D"/>
    <w:rsid w:val="00974261"/>
    <w:rsid w:val="00974B8B"/>
    <w:rsid w:val="0097578D"/>
    <w:rsid w:val="00975B62"/>
    <w:rsid w:val="00975F94"/>
    <w:rsid w:val="00976004"/>
    <w:rsid w:val="009770E5"/>
    <w:rsid w:val="00980100"/>
    <w:rsid w:val="009801AD"/>
    <w:rsid w:val="00981B52"/>
    <w:rsid w:val="00982126"/>
    <w:rsid w:val="00982987"/>
    <w:rsid w:val="00982CA0"/>
    <w:rsid w:val="009838D9"/>
    <w:rsid w:val="009851D8"/>
    <w:rsid w:val="00986734"/>
    <w:rsid w:val="0099070D"/>
    <w:rsid w:val="009914DC"/>
    <w:rsid w:val="00993528"/>
    <w:rsid w:val="009944BB"/>
    <w:rsid w:val="00995A2A"/>
    <w:rsid w:val="00995C5E"/>
    <w:rsid w:val="00995D27"/>
    <w:rsid w:val="00995F38"/>
    <w:rsid w:val="00996C3A"/>
    <w:rsid w:val="00997996"/>
    <w:rsid w:val="00997B5E"/>
    <w:rsid w:val="009A0344"/>
    <w:rsid w:val="009A14AC"/>
    <w:rsid w:val="009A1CC1"/>
    <w:rsid w:val="009A2347"/>
    <w:rsid w:val="009A2849"/>
    <w:rsid w:val="009A2B81"/>
    <w:rsid w:val="009A38DF"/>
    <w:rsid w:val="009A5884"/>
    <w:rsid w:val="009A5897"/>
    <w:rsid w:val="009B031E"/>
    <w:rsid w:val="009B3583"/>
    <w:rsid w:val="009B3C54"/>
    <w:rsid w:val="009B5148"/>
    <w:rsid w:val="009B51D7"/>
    <w:rsid w:val="009B5B18"/>
    <w:rsid w:val="009B69C7"/>
    <w:rsid w:val="009B6B80"/>
    <w:rsid w:val="009C094B"/>
    <w:rsid w:val="009C0E76"/>
    <w:rsid w:val="009C1C98"/>
    <w:rsid w:val="009C22C6"/>
    <w:rsid w:val="009C2662"/>
    <w:rsid w:val="009C2BB3"/>
    <w:rsid w:val="009C3B89"/>
    <w:rsid w:val="009C46D4"/>
    <w:rsid w:val="009C4F17"/>
    <w:rsid w:val="009C56EB"/>
    <w:rsid w:val="009C5E47"/>
    <w:rsid w:val="009C629B"/>
    <w:rsid w:val="009C68D4"/>
    <w:rsid w:val="009C70F3"/>
    <w:rsid w:val="009C761D"/>
    <w:rsid w:val="009D0BF5"/>
    <w:rsid w:val="009D1C5A"/>
    <w:rsid w:val="009D2153"/>
    <w:rsid w:val="009D3246"/>
    <w:rsid w:val="009D41BD"/>
    <w:rsid w:val="009D4624"/>
    <w:rsid w:val="009D5AA0"/>
    <w:rsid w:val="009D6AA9"/>
    <w:rsid w:val="009D7C53"/>
    <w:rsid w:val="009E0266"/>
    <w:rsid w:val="009E0DBF"/>
    <w:rsid w:val="009E1489"/>
    <w:rsid w:val="009E22DA"/>
    <w:rsid w:val="009E4579"/>
    <w:rsid w:val="009E5150"/>
    <w:rsid w:val="009E5730"/>
    <w:rsid w:val="009E68AD"/>
    <w:rsid w:val="009F057C"/>
    <w:rsid w:val="009F12DC"/>
    <w:rsid w:val="009F167D"/>
    <w:rsid w:val="009F1C82"/>
    <w:rsid w:val="009F317E"/>
    <w:rsid w:val="009F369F"/>
    <w:rsid w:val="009F59C0"/>
    <w:rsid w:val="00A0049D"/>
    <w:rsid w:val="00A01F21"/>
    <w:rsid w:val="00A0552A"/>
    <w:rsid w:val="00A05BEE"/>
    <w:rsid w:val="00A05EB0"/>
    <w:rsid w:val="00A05F19"/>
    <w:rsid w:val="00A0633C"/>
    <w:rsid w:val="00A06419"/>
    <w:rsid w:val="00A1185C"/>
    <w:rsid w:val="00A11AC1"/>
    <w:rsid w:val="00A12399"/>
    <w:rsid w:val="00A13F0C"/>
    <w:rsid w:val="00A15BF1"/>
    <w:rsid w:val="00A164E8"/>
    <w:rsid w:val="00A16AC6"/>
    <w:rsid w:val="00A16D19"/>
    <w:rsid w:val="00A20671"/>
    <w:rsid w:val="00A21C13"/>
    <w:rsid w:val="00A22180"/>
    <w:rsid w:val="00A23762"/>
    <w:rsid w:val="00A23783"/>
    <w:rsid w:val="00A23F54"/>
    <w:rsid w:val="00A24658"/>
    <w:rsid w:val="00A24EF1"/>
    <w:rsid w:val="00A25544"/>
    <w:rsid w:val="00A26AEB"/>
    <w:rsid w:val="00A27350"/>
    <w:rsid w:val="00A31134"/>
    <w:rsid w:val="00A3149A"/>
    <w:rsid w:val="00A31BA2"/>
    <w:rsid w:val="00A31D8E"/>
    <w:rsid w:val="00A32FB1"/>
    <w:rsid w:val="00A335DE"/>
    <w:rsid w:val="00A33F76"/>
    <w:rsid w:val="00A34381"/>
    <w:rsid w:val="00A34590"/>
    <w:rsid w:val="00A34DDB"/>
    <w:rsid w:val="00A413DE"/>
    <w:rsid w:val="00A4148D"/>
    <w:rsid w:val="00A41933"/>
    <w:rsid w:val="00A41FEC"/>
    <w:rsid w:val="00A42BF0"/>
    <w:rsid w:val="00A45F2A"/>
    <w:rsid w:val="00A46675"/>
    <w:rsid w:val="00A472E1"/>
    <w:rsid w:val="00A47B6C"/>
    <w:rsid w:val="00A47F4D"/>
    <w:rsid w:val="00A521DB"/>
    <w:rsid w:val="00A5286C"/>
    <w:rsid w:val="00A53085"/>
    <w:rsid w:val="00A53254"/>
    <w:rsid w:val="00A538F4"/>
    <w:rsid w:val="00A53A4D"/>
    <w:rsid w:val="00A54848"/>
    <w:rsid w:val="00A54A22"/>
    <w:rsid w:val="00A5578F"/>
    <w:rsid w:val="00A56B17"/>
    <w:rsid w:val="00A56B50"/>
    <w:rsid w:val="00A56F86"/>
    <w:rsid w:val="00A574D9"/>
    <w:rsid w:val="00A578B2"/>
    <w:rsid w:val="00A57D8B"/>
    <w:rsid w:val="00A60295"/>
    <w:rsid w:val="00A60657"/>
    <w:rsid w:val="00A60B04"/>
    <w:rsid w:val="00A6355F"/>
    <w:rsid w:val="00A6475D"/>
    <w:rsid w:val="00A649BB"/>
    <w:rsid w:val="00A65933"/>
    <w:rsid w:val="00A65AB2"/>
    <w:rsid w:val="00A66E84"/>
    <w:rsid w:val="00A66F41"/>
    <w:rsid w:val="00A71316"/>
    <w:rsid w:val="00A72232"/>
    <w:rsid w:val="00A740F4"/>
    <w:rsid w:val="00A74336"/>
    <w:rsid w:val="00A751AF"/>
    <w:rsid w:val="00A75FF2"/>
    <w:rsid w:val="00A769CC"/>
    <w:rsid w:val="00A77525"/>
    <w:rsid w:val="00A77697"/>
    <w:rsid w:val="00A77772"/>
    <w:rsid w:val="00A809E4"/>
    <w:rsid w:val="00A80C51"/>
    <w:rsid w:val="00A81C6D"/>
    <w:rsid w:val="00A84CF7"/>
    <w:rsid w:val="00A87DB1"/>
    <w:rsid w:val="00A902E4"/>
    <w:rsid w:val="00A92A5C"/>
    <w:rsid w:val="00A931D3"/>
    <w:rsid w:val="00A94AB7"/>
    <w:rsid w:val="00A94EFC"/>
    <w:rsid w:val="00AA0CD4"/>
    <w:rsid w:val="00AA14CD"/>
    <w:rsid w:val="00AA2ABC"/>
    <w:rsid w:val="00AA38DA"/>
    <w:rsid w:val="00AA4CB9"/>
    <w:rsid w:val="00AA5125"/>
    <w:rsid w:val="00AA54A8"/>
    <w:rsid w:val="00AA6E2E"/>
    <w:rsid w:val="00AA7140"/>
    <w:rsid w:val="00AA77C5"/>
    <w:rsid w:val="00AA7FD6"/>
    <w:rsid w:val="00AB00FB"/>
    <w:rsid w:val="00AB0FB5"/>
    <w:rsid w:val="00AB1958"/>
    <w:rsid w:val="00AB2D74"/>
    <w:rsid w:val="00AB2DC4"/>
    <w:rsid w:val="00AB3888"/>
    <w:rsid w:val="00AB673D"/>
    <w:rsid w:val="00AB7869"/>
    <w:rsid w:val="00AB7901"/>
    <w:rsid w:val="00AB7BA4"/>
    <w:rsid w:val="00AC08A4"/>
    <w:rsid w:val="00AC20F5"/>
    <w:rsid w:val="00AC2497"/>
    <w:rsid w:val="00AC2AC2"/>
    <w:rsid w:val="00AC2C84"/>
    <w:rsid w:val="00AC3283"/>
    <w:rsid w:val="00AC3BB5"/>
    <w:rsid w:val="00AC4AC7"/>
    <w:rsid w:val="00AC57E4"/>
    <w:rsid w:val="00AC75A2"/>
    <w:rsid w:val="00AC7651"/>
    <w:rsid w:val="00AC7C11"/>
    <w:rsid w:val="00AD17FA"/>
    <w:rsid w:val="00AD27F8"/>
    <w:rsid w:val="00AD2DA9"/>
    <w:rsid w:val="00AD4325"/>
    <w:rsid w:val="00AD472F"/>
    <w:rsid w:val="00AD4C50"/>
    <w:rsid w:val="00AD5F03"/>
    <w:rsid w:val="00AD6825"/>
    <w:rsid w:val="00AD711C"/>
    <w:rsid w:val="00AD757E"/>
    <w:rsid w:val="00AE0183"/>
    <w:rsid w:val="00AE0D6F"/>
    <w:rsid w:val="00AE125F"/>
    <w:rsid w:val="00AE13CA"/>
    <w:rsid w:val="00AE17CA"/>
    <w:rsid w:val="00AE19EA"/>
    <w:rsid w:val="00AE1A8F"/>
    <w:rsid w:val="00AE2183"/>
    <w:rsid w:val="00AE52CD"/>
    <w:rsid w:val="00AE5E00"/>
    <w:rsid w:val="00AE5F39"/>
    <w:rsid w:val="00AE6414"/>
    <w:rsid w:val="00AE7C92"/>
    <w:rsid w:val="00AF04C6"/>
    <w:rsid w:val="00AF0791"/>
    <w:rsid w:val="00AF0C40"/>
    <w:rsid w:val="00AF0FB7"/>
    <w:rsid w:val="00AF336D"/>
    <w:rsid w:val="00AF40A1"/>
    <w:rsid w:val="00AF493F"/>
    <w:rsid w:val="00AF6257"/>
    <w:rsid w:val="00AF6B22"/>
    <w:rsid w:val="00AF6CDF"/>
    <w:rsid w:val="00AF6D14"/>
    <w:rsid w:val="00AF7028"/>
    <w:rsid w:val="00AF73D5"/>
    <w:rsid w:val="00B0078B"/>
    <w:rsid w:val="00B00804"/>
    <w:rsid w:val="00B008A8"/>
    <w:rsid w:val="00B02416"/>
    <w:rsid w:val="00B02E5F"/>
    <w:rsid w:val="00B044E1"/>
    <w:rsid w:val="00B04861"/>
    <w:rsid w:val="00B0497E"/>
    <w:rsid w:val="00B04AFF"/>
    <w:rsid w:val="00B04CED"/>
    <w:rsid w:val="00B04E40"/>
    <w:rsid w:val="00B0657D"/>
    <w:rsid w:val="00B06AEC"/>
    <w:rsid w:val="00B078AA"/>
    <w:rsid w:val="00B07D09"/>
    <w:rsid w:val="00B10924"/>
    <w:rsid w:val="00B10A55"/>
    <w:rsid w:val="00B11186"/>
    <w:rsid w:val="00B11DCC"/>
    <w:rsid w:val="00B13CEC"/>
    <w:rsid w:val="00B16A57"/>
    <w:rsid w:val="00B1700A"/>
    <w:rsid w:val="00B17381"/>
    <w:rsid w:val="00B205CA"/>
    <w:rsid w:val="00B20BCB"/>
    <w:rsid w:val="00B21D74"/>
    <w:rsid w:val="00B22104"/>
    <w:rsid w:val="00B22173"/>
    <w:rsid w:val="00B22524"/>
    <w:rsid w:val="00B226BA"/>
    <w:rsid w:val="00B2293E"/>
    <w:rsid w:val="00B265F3"/>
    <w:rsid w:val="00B26B10"/>
    <w:rsid w:val="00B26F31"/>
    <w:rsid w:val="00B271D6"/>
    <w:rsid w:val="00B273C7"/>
    <w:rsid w:val="00B308E4"/>
    <w:rsid w:val="00B30A4C"/>
    <w:rsid w:val="00B31288"/>
    <w:rsid w:val="00B315E6"/>
    <w:rsid w:val="00B31D3B"/>
    <w:rsid w:val="00B320A0"/>
    <w:rsid w:val="00B32EA2"/>
    <w:rsid w:val="00B3375A"/>
    <w:rsid w:val="00B340D7"/>
    <w:rsid w:val="00B34E77"/>
    <w:rsid w:val="00B359A6"/>
    <w:rsid w:val="00B3672A"/>
    <w:rsid w:val="00B374B5"/>
    <w:rsid w:val="00B4007D"/>
    <w:rsid w:val="00B4080A"/>
    <w:rsid w:val="00B40FBC"/>
    <w:rsid w:val="00B4246E"/>
    <w:rsid w:val="00B42E25"/>
    <w:rsid w:val="00B42EFE"/>
    <w:rsid w:val="00B43066"/>
    <w:rsid w:val="00B448A9"/>
    <w:rsid w:val="00B50762"/>
    <w:rsid w:val="00B50C36"/>
    <w:rsid w:val="00B50D68"/>
    <w:rsid w:val="00B52B03"/>
    <w:rsid w:val="00B52D68"/>
    <w:rsid w:val="00B53F54"/>
    <w:rsid w:val="00B61C36"/>
    <w:rsid w:val="00B63859"/>
    <w:rsid w:val="00B64EC4"/>
    <w:rsid w:val="00B65EF9"/>
    <w:rsid w:val="00B66169"/>
    <w:rsid w:val="00B6724E"/>
    <w:rsid w:val="00B673FD"/>
    <w:rsid w:val="00B67686"/>
    <w:rsid w:val="00B72DB0"/>
    <w:rsid w:val="00B734CB"/>
    <w:rsid w:val="00B7409A"/>
    <w:rsid w:val="00B761F4"/>
    <w:rsid w:val="00B76734"/>
    <w:rsid w:val="00B7742D"/>
    <w:rsid w:val="00B776E6"/>
    <w:rsid w:val="00B777E2"/>
    <w:rsid w:val="00B77976"/>
    <w:rsid w:val="00B77EBB"/>
    <w:rsid w:val="00B808B4"/>
    <w:rsid w:val="00B8103E"/>
    <w:rsid w:val="00B814B3"/>
    <w:rsid w:val="00B81608"/>
    <w:rsid w:val="00B83A8E"/>
    <w:rsid w:val="00B86408"/>
    <w:rsid w:val="00B8761C"/>
    <w:rsid w:val="00B8777E"/>
    <w:rsid w:val="00B9095D"/>
    <w:rsid w:val="00B90EDB"/>
    <w:rsid w:val="00B9395B"/>
    <w:rsid w:val="00B93B7F"/>
    <w:rsid w:val="00B96C4E"/>
    <w:rsid w:val="00B970DB"/>
    <w:rsid w:val="00B97536"/>
    <w:rsid w:val="00B97758"/>
    <w:rsid w:val="00BA20FA"/>
    <w:rsid w:val="00BA30CD"/>
    <w:rsid w:val="00BA43F2"/>
    <w:rsid w:val="00BA449D"/>
    <w:rsid w:val="00BA49FD"/>
    <w:rsid w:val="00BA4C56"/>
    <w:rsid w:val="00BA66D7"/>
    <w:rsid w:val="00BA7A81"/>
    <w:rsid w:val="00BA7E93"/>
    <w:rsid w:val="00BB33C9"/>
    <w:rsid w:val="00BB3E5F"/>
    <w:rsid w:val="00BB3EFF"/>
    <w:rsid w:val="00BB4113"/>
    <w:rsid w:val="00BB4637"/>
    <w:rsid w:val="00BB490E"/>
    <w:rsid w:val="00BB5A67"/>
    <w:rsid w:val="00BB5F67"/>
    <w:rsid w:val="00BB6E8E"/>
    <w:rsid w:val="00BB7289"/>
    <w:rsid w:val="00BB7484"/>
    <w:rsid w:val="00BC1020"/>
    <w:rsid w:val="00BC1EA6"/>
    <w:rsid w:val="00BC34C3"/>
    <w:rsid w:val="00BC3AB9"/>
    <w:rsid w:val="00BC41DF"/>
    <w:rsid w:val="00BC4D2C"/>
    <w:rsid w:val="00BC5498"/>
    <w:rsid w:val="00BC5670"/>
    <w:rsid w:val="00BC7E5D"/>
    <w:rsid w:val="00BD0CD4"/>
    <w:rsid w:val="00BD1810"/>
    <w:rsid w:val="00BD21C5"/>
    <w:rsid w:val="00BD434F"/>
    <w:rsid w:val="00BD49BD"/>
    <w:rsid w:val="00BD6032"/>
    <w:rsid w:val="00BE0376"/>
    <w:rsid w:val="00BE1FBB"/>
    <w:rsid w:val="00BE26AE"/>
    <w:rsid w:val="00BE2BE4"/>
    <w:rsid w:val="00BE34FE"/>
    <w:rsid w:val="00BE3604"/>
    <w:rsid w:val="00BE42B1"/>
    <w:rsid w:val="00BE5B73"/>
    <w:rsid w:val="00BE66F0"/>
    <w:rsid w:val="00BE69CB"/>
    <w:rsid w:val="00BE6BC9"/>
    <w:rsid w:val="00BE7A81"/>
    <w:rsid w:val="00BF0771"/>
    <w:rsid w:val="00BF14BD"/>
    <w:rsid w:val="00BF1D7B"/>
    <w:rsid w:val="00BF4A59"/>
    <w:rsid w:val="00BF54EC"/>
    <w:rsid w:val="00BF5C54"/>
    <w:rsid w:val="00BF6D0E"/>
    <w:rsid w:val="00C00B10"/>
    <w:rsid w:val="00C00DCD"/>
    <w:rsid w:val="00C01657"/>
    <w:rsid w:val="00C01799"/>
    <w:rsid w:val="00C01885"/>
    <w:rsid w:val="00C01DFE"/>
    <w:rsid w:val="00C027C4"/>
    <w:rsid w:val="00C046F9"/>
    <w:rsid w:val="00C056DB"/>
    <w:rsid w:val="00C0671A"/>
    <w:rsid w:val="00C067BE"/>
    <w:rsid w:val="00C07A9E"/>
    <w:rsid w:val="00C10915"/>
    <w:rsid w:val="00C109F5"/>
    <w:rsid w:val="00C109FD"/>
    <w:rsid w:val="00C121FA"/>
    <w:rsid w:val="00C128C0"/>
    <w:rsid w:val="00C1351A"/>
    <w:rsid w:val="00C13E37"/>
    <w:rsid w:val="00C15683"/>
    <w:rsid w:val="00C15FCC"/>
    <w:rsid w:val="00C168C7"/>
    <w:rsid w:val="00C16CA2"/>
    <w:rsid w:val="00C178C1"/>
    <w:rsid w:val="00C207BF"/>
    <w:rsid w:val="00C20F95"/>
    <w:rsid w:val="00C213EC"/>
    <w:rsid w:val="00C21CB9"/>
    <w:rsid w:val="00C22345"/>
    <w:rsid w:val="00C245F5"/>
    <w:rsid w:val="00C24BF5"/>
    <w:rsid w:val="00C25374"/>
    <w:rsid w:val="00C253DD"/>
    <w:rsid w:val="00C2598A"/>
    <w:rsid w:val="00C25A7F"/>
    <w:rsid w:val="00C30D0F"/>
    <w:rsid w:val="00C30ED9"/>
    <w:rsid w:val="00C31A67"/>
    <w:rsid w:val="00C3260B"/>
    <w:rsid w:val="00C32B19"/>
    <w:rsid w:val="00C33072"/>
    <w:rsid w:val="00C349D4"/>
    <w:rsid w:val="00C34E6C"/>
    <w:rsid w:val="00C358BA"/>
    <w:rsid w:val="00C35C19"/>
    <w:rsid w:val="00C35EC0"/>
    <w:rsid w:val="00C36A07"/>
    <w:rsid w:val="00C36C28"/>
    <w:rsid w:val="00C36D1C"/>
    <w:rsid w:val="00C373BD"/>
    <w:rsid w:val="00C40066"/>
    <w:rsid w:val="00C40080"/>
    <w:rsid w:val="00C40C2B"/>
    <w:rsid w:val="00C41D11"/>
    <w:rsid w:val="00C421B6"/>
    <w:rsid w:val="00C433E1"/>
    <w:rsid w:val="00C4370B"/>
    <w:rsid w:val="00C44A73"/>
    <w:rsid w:val="00C45031"/>
    <w:rsid w:val="00C45F5C"/>
    <w:rsid w:val="00C47387"/>
    <w:rsid w:val="00C51420"/>
    <w:rsid w:val="00C51ADB"/>
    <w:rsid w:val="00C521DF"/>
    <w:rsid w:val="00C536DE"/>
    <w:rsid w:val="00C53B44"/>
    <w:rsid w:val="00C57746"/>
    <w:rsid w:val="00C6026F"/>
    <w:rsid w:val="00C60E9F"/>
    <w:rsid w:val="00C6210B"/>
    <w:rsid w:val="00C621CA"/>
    <w:rsid w:val="00C6282F"/>
    <w:rsid w:val="00C63122"/>
    <w:rsid w:val="00C63A9E"/>
    <w:rsid w:val="00C63EF8"/>
    <w:rsid w:val="00C6475F"/>
    <w:rsid w:val="00C6516D"/>
    <w:rsid w:val="00C65664"/>
    <w:rsid w:val="00C65996"/>
    <w:rsid w:val="00C65B2D"/>
    <w:rsid w:val="00C661B6"/>
    <w:rsid w:val="00C664FE"/>
    <w:rsid w:val="00C66926"/>
    <w:rsid w:val="00C67954"/>
    <w:rsid w:val="00C67AF5"/>
    <w:rsid w:val="00C724BB"/>
    <w:rsid w:val="00C72555"/>
    <w:rsid w:val="00C733B6"/>
    <w:rsid w:val="00C74939"/>
    <w:rsid w:val="00C74BA6"/>
    <w:rsid w:val="00C76740"/>
    <w:rsid w:val="00C768F6"/>
    <w:rsid w:val="00C801CF"/>
    <w:rsid w:val="00C80B53"/>
    <w:rsid w:val="00C81335"/>
    <w:rsid w:val="00C81512"/>
    <w:rsid w:val="00C82890"/>
    <w:rsid w:val="00C82F35"/>
    <w:rsid w:val="00C83C92"/>
    <w:rsid w:val="00C8528D"/>
    <w:rsid w:val="00C8696C"/>
    <w:rsid w:val="00C8699A"/>
    <w:rsid w:val="00C86C96"/>
    <w:rsid w:val="00C87552"/>
    <w:rsid w:val="00C87587"/>
    <w:rsid w:val="00C90455"/>
    <w:rsid w:val="00C9064C"/>
    <w:rsid w:val="00C91C79"/>
    <w:rsid w:val="00C92FE3"/>
    <w:rsid w:val="00C932A5"/>
    <w:rsid w:val="00C942F7"/>
    <w:rsid w:val="00C947EA"/>
    <w:rsid w:val="00C94A0F"/>
    <w:rsid w:val="00C955DA"/>
    <w:rsid w:val="00C95C31"/>
    <w:rsid w:val="00C964C6"/>
    <w:rsid w:val="00CA1006"/>
    <w:rsid w:val="00CA42B1"/>
    <w:rsid w:val="00CA464A"/>
    <w:rsid w:val="00CA5180"/>
    <w:rsid w:val="00CA5611"/>
    <w:rsid w:val="00CA5BCB"/>
    <w:rsid w:val="00CA5E08"/>
    <w:rsid w:val="00CA735B"/>
    <w:rsid w:val="00CA7D5B"/>
    <w:rsid w:val="00CA7E1B"/>
    <w:rsid w:val="00CB0943"/>
    <w:rsid w:val="00CB10EB"/>
    <w:rsid w:val="00CB131C"/>
    <w:rsid w:val="00CB16EE"/>
    <w:rsid w:val="00CB2538"/>
    <w:rsid w:val="00CB26F0"/>
    <w:rsid w:val="00CB499A"/>
    <w:rsid w:val="00CB58E2"/>
    <w:rsid w:val="00CB6671"/>
    <w:rsid w:val="00CB7D24"/>
    <w:rsid w:val="00CC08CD"/>
    <w:rsid w:val="00CC0B2B"/>
    <w:rsid w:val="00CC36E0"/>
    <w:rsid w:val="00CC4102"/>
    <w:rsid w:val="00CC41A9"/>
    <w:rsid w:val="00CC5C42"/>
    <w:rsid w:val="00CD0AD9"/>
    <w:rsid w:val="00CD0D6D"/>
    <w:rsid w:val="00CD0D98"/>
    <w:rsid w:val="00CD1B06"/>
    <w:rsid w:val="00CD2C0D"/>
    <w:rsid w:val="00CD3FA7"/>
    <w:rsid w:val="00CD461A"/>
    <w:rsid w:val="00CD56EF"/>
    <w:rsid w:val="00CD5FFD"/>
    <w:rsid w:val="00CD64E3"/>
    <w:rsid w:val="00CE05C7"/>
    <w:rsid w:val="00CE1DC7"/>
    <w:rsid w:val="00CE2C6F"/>
    <w:rsid w:val="00CE4856"/>
    <w:rsid w:val="00CE78C9"/>
    <w:rsid w:val="00CF073D"/>
    <w:rsid w:val="00CF0860"/>
    <w:rsid w:val="00CF3E65"/>
    <w:rsid w:val="00CF5C73"/>
    <w:rsid w:val="00CF7626"/>
    <w:rsid w:val="00D0022D"/>
    <w:rsid w:val="00D00FF3"/>
    <w:rsid w:val="00D02767"/>
    <w:rsid w:val="00D02800"/>
    <w:rsid w:val="00D03C42"/>
    <w:rsid w:val="00D04006"/>
    <w:rsid w:val="00D0477B"/>
    <w:rsid w:val="00D0530A"/>
    <w:rsid w:val="00D05638"/>
    <w:rsid w:val="00D05D2A"/>
    <w:rsid w:val="00D05D71"/>
    <w:rsid w:val="00D0659E"/>
    <w:rsid w:val="00D06BD6"/>
    <w:rsid w:val="00D102A2"/>
    <w:rsid w:val="00D10652"/>
    <w:rsid w:val="00D1130B"/>
    <w:rsid w:val="00D11718"/>
    <w:rsid w:val="00D11AB3"/>
    <w:rsid w:val="00D1434E"/>
    <w:rsid w:val="00D14354"/>
    <w:rsid w:val="00D1470C"/>
    <w:rsid w:val="00D153BA"/>
    <w:rsid w:val="00D1604F"/>
    <w:rsid w:val="00D161D6"/>
    <w:rsid w:val="00D16DD2"/>
    <w:rsid w:val="00D17D37"/>
    <w:rsid w:val="00D2016F"/>
    <w:rsid w:val="00D20BC4"/>
    <w:rsid w:val="00D20DC6"/>
    <w:rsid w:val="00D22E3B"/>
    <w:rsid w:val="00D237E7"/>
    <w:rsid w:val="00D23E19"/>
    <w:rsid w:val="00D23E3D"/>
    <w:rsid w:val="00D25836"/>
    <w:rsid w:val="00D26DF1"/>
    <w:rsid w:val="00D2700A"/>
    <w:rsid w:val="00D2760A"/>
    <w:rsid w:val="00D279AB"/>
    <w:rsid w:val="00D30470"/>
    <w:rsid w:val="00D31B46"/>
    <w:rsid w:val="00D31E74"/>
    <w:rsid w:val="00D32A19"/>
    <w:rsid w:val="00D33DAD"/>
    <w:rsid w:val="00D35450"/>
    <w:rsid w:val="00D3641B"/>
    <w:rsid w:val="00D37BD0"/>
    <w:rsid w:val="00D40E5B"/>
    <w:rsid w:val="00D4219E"/>
    <w:rsid w:val="00D4232E"/>
    <w:rsid w:val="00D423AB"/>
    <w:rsid w:val="00D43293"/>
    <w:rsid w:val="00D43567"/>
    <w:rsid w:val="00D43E80"/>
    <w:rsid w:val="00D43EDA"/>
    <w:rsid w:val="00D44CCD"/>
    <w:rsid w:val="00D45EB6"/>
    <w:rsid w:val="00D471DE"/>
    <w:rsid w:val="00D4749C"/>
    <w:rsid w:val="00D47F6B"/>
    <w:rsid w:val="00D507D0"/>
    <w:rsid w:val="00D50C40"/>
    <w:rsid w:val="00D514A4"/>
    <w:rsid w:val="00D518FE"/>
    <w:rsid w:val="00D533EC"/>
    <w:rsid w:val="00D55F0B"/>
    <w:rsid w:val="00D563B9"/>
    <w:rsid w:val="00D565A3"/>
    <w:rsid w:val="00D56D27"/>
    <w:rsid w:val="00D6031A"/>
    <w:rsid w:val="00D603A3"/>
    <w:rsid w:val="00D627D7"/>
    <w:rsid w:val="00D63416"/>
    <w:rsid w:val="00D644AF"/>
    <w:rsid w:val="00D64890"/>
    <w:rsid w:val="00D651B0"/>
    <w:rsid w:val="00D6710E"/>
    <w:rsid w:val="00D6752F"/>
    <w:rsid w:val="00D705A9"/>
    <w:rsid w:val="00D71F48"/>
    <w:rsid w:val="00D7255D"/>
    <w:rsid w:val="00D730B5"/>
    <w:rsid w:val="00D7512F"/>
    <w:rsid w:val="00D7570E"/>
    <w:rsid w:val="00D75E39"/>
    <w:rsid w:val="00D760D8"/>
    <w:rsid w:val="00D76272"/>
    <w:rsid w:val="00D77DF1"/>
    <w:rsid w:val="00D80532"/>
    <w:rsid w:val="00D813BC"/>
    <w:rsid w:val="00D81806"/>
    <w:rsid w:val="00D818B7"/>
    <w:rsid w:val="00D83546"/>
    <w:rsid w:val="00D83666"/>
    <w:rsid w:val="00D85256"/>
    <w:rsid w:val="00D85E76"/>
    <w:rsid w:val="00D85EFB"/>
    <w:rsid w:val="00D85F53"/>
    <w:rsid w:val="00D87407"/>
    <w:rsid w:val="00D9021D"/>
    <w:rsid w:val="00D907F4"/>
    <w:rsid w:val="00D9157A"/>
    <w:rsid w:val="00D92041"/>
    <w:rsid w:val="00D95A08"/>
    <w:rsid w:val="00D96D83"/>
    <w:rsid w:val="00DA1671"/>
    <w:rsid w:val="00DA1AFC"/>
    <w:rsid w:val="00DA2E0F"/>
    <w:rsid w:val="00DA396E"/>
    <w:rsid w:val="00DA4A91"/>
    <w:rsid w:val="00DA5131"/>
    <w:rsid w:val="00DA558D"/>
    <w:rsid w:val="00DA5950"/>
    <w:rsid w:val="00DA5FF8"/>
    <w:rsid w:val="00DB0544"/>
    <w:rsid w:val="00DB1E63"/>
    <w:rsid w:val="00DB3A6B"/>
    <w:rsid w:val="00DB4FBA"/>
    <w:rsid w:val="00DB5BF6"/>
    <w:rsid w:val="00DB639B"/>
    <w:rsid w:val="00DB6532"/>
    <w:rsid w:val="00DB6645"/>
    <w:rsid w:val="00DB6B17"/>
    <w:rsid w:val="00DB7120"/>
    <w:rsid w:val="00DB730D"/>
    <w:rsid w:val="00DB7541"/>
    <w:rsid w:val="00DC0721"/>
    <w:rsid w:val="00DC2AC2"/>
    <w:rsid w:val="00DC2CC0"/>
    <w:rsid w:val="00DC3632"/>
    <w:rsid w:val="00DC4858"/>
    <w:rsid w:val="00DC58F9"/>
    <w:rsid w:val="00DC5A71"/>
    <w:rsid w:val="00DC618E"/>
    <w:rsid w:val="00DC657F"/>
    <w:rsid w:val="00DC666C"/>
    <w:rsid w:val="00DC79E2"/>
    <w:rsid w:val="00DD2F5D"/>
    <w:rsid w:val="00DD3629"/>
    <w:rsid w:val="00DD3811"/>
    <w:rsid w:val="00DD52F7"/>
    <w:rsid w:val="00DD55BD"/>
    <w:rsid w:val="00DD645D"/>
    <w:rsid w:val="00DE0CB5"/>
    <w:rsid w:val="00DE242A"/>
    <w:rsid w:val="00DE3542"/>
    <w:rsid w:val="00DE3C25"/>
    <w:rsid w:val="00DE419A"/>
    <w:rsid w:val="00DE49C8"/>
    <w:rsid w:val="00DE6126"/>
    <w:rsid w:val="00DE70F9"/>
    <w:rsid w:val="00DE753F"/>
    <w:rsid w:val="00DE7D5F"/>
    <w:rsid w:val="00DF00FC"/>
    <w:rsid w:val="00DF19B3"/>
    <w:rsid w:val="00DF2476"/>
    <w:rsid w:val="00DF27B9"/>
    <w:rsid w:val="00DF2E58"/>
    <w:rsid w:val="00DF2F14"/>
    <w:rsid w:val="00DF2F65"/>
    <w:rsid w:val="00DF33D4"/>
    <w:rsid w:val="00DF48E3"/>
    <w:rsid w:val="00DF4CF2"/>
    <w:rsid w:val="00DF5077"/>
    <w:rsid w:val="00DF5413"/>
    <w:rsid w:val="00DF7EA8"/>
    <w:rsid w:val="00DF7EC1"/>
    <w:rsid w:val="00E001EC"/>
    <w:rsid w:val="00E00392"/>
    <w:rsid w:val="00E01C6F"/>
    <w:rsid w:val="00E026C7"/>
    <w:rsid w:val="00E034CB"/>
    <w:rsid w:val="00E0441A"/>
    <w:rsid w:val="00E06D9C"/>
    <w:rsid w:val="00E0736E"/>
    <w:rsid w:val="00E07DCB"/>
    <w:rsid w:val="00E07F67"/>
    <w:rsid w:val="00E119AC"/>
    <w:rsid w:val="00E11ED4"/>
    <w:rsid w:val="00E121F8"/>
    <w:rsid w:val="00E13D60"/>
    <w:rsid w:val="00E207BB"/>
    <w:rsid w:val="00E21182"/>
    <w:rsid w:val="00E222A9"/>
    <w:rsid w:val="00E233DC"/>
    <w:rsid w:val="00E24839"/>
    <w:rsid w:val="00E24B45"/>
    <w:rsid w:val="00E26326"/>
    <w:rsid w:val="00E26FAA"/>
    <w:rsid w:val="00E301A8"/>
    <w:rsid w:val="00E307EA"/>
    <w:rsid w:val="00E30840"/>
    <w:rsid w:val="00E30E3E"/>
    <w:rsid w:val="00E326A5"/>
    <w:rsid w:val="00E328DC"/>
    <w:rsid w:val="00E336B7"/>
    <w:rsid w:val="00E35FCB"/>
    <w:rsid w:val="00E36101"/>
    <w:rsid w:val="00E363D1"/>
    <w:rsid w:val="00E366EE"/>
    <w:rsid w:val="00E40F4E"/>
    <w:rsid w:val="00E41401"/>
    <w:rsid w:val="00E41ECF"/>
    <w:rsid w:val="00E420C5"/>
    <w:rsid w:val="00E42486"/>
    <w:rsid w:val="00E42B47"/>
    <w:rsid w:val="00E44927"/>
    <w:rsid w:val="00E45AD7"/>
    <w:rsid w:val="00E47946"/>
    <w:rsid w:val="00E50967"/>
    <w:rsid w:val="00E50E1D"/>
    <w:rsid w:val="00E5226F"/>
    <w:rsid w:val="00E52CE6"/>
    <w:rsid w:val="00E53768"/>
    <w:rsid w:val="00E5376E"/>
    <w:rsid w:val="00E53E5F"/>
    <w:rsid w:val="00E53E6F"/>
    <w:rsid w:val="00E549D9"/>
    <w:rsid w:val="00E54FDE"/>
    <w:rsid w:val="00E5513D"/>
    <w:rsid w:val="00E57989"/>
    <w:rsid w:val="00E57CA1"/>
    <w:rsid w:val="00E6095D"/>
    <w:rsid w:val="00E60E15"/>
    <w:rsid w:val="00E640F0"/>
    <w:rsid w:val="00E6456D"/>
    <w:rsid w:val="00E65149"/>
    <w:rsid w:val="00E65451"/>
    <w:rsid w:val="00E661D2"/>
    <w:rsid w:val="00E66A91"/>
    <w:rsid w:val="00E66DAD"/>
    <w:rsid w:val="00E673EE"/>
    <w:rsid w:val="00E705C7"/>
    <w:rsid w:val="00E729C0"/>
    <w:rsid w:val="00E72D29"/>
    <w:rsid w:val="00E7303A"/>
    <w:rsid w:val="00E730E0"/>
    <w:rsid w:val="00E7365C"/>
    <w:rsid w:val="00E73E14"/>
    <w:rsid w:val="00E742D1"/>
    <w:rsid w:val="00E74672"/>
    <w:rsid w:val="00E74758"/>
    <w:rsid w:val="00E7546F"/>
    <w:rsid w:val="00E7560E"/>
    <w:rsid w:val="00E764E8"/>
    <w:rsid w:val="00E7777A"/>
    <w:rsid w:val="00E77F56"/>
    <w:rsid w:val="00E802DE"/>
    <w:rsid w:val="00E80AA0"/>
    <w:rsid w:val="00E83081"/>
    <w:rsid w:val="00E8331A"/>
    <w:rsid w:val="00E84617"/>
    <w:rsid w:val="00E84F16"/>
    <w:rsid w:val="00E85634"/>
    <w:rsid w:val="00E85EBE"/>
    <w:rsid w:val="00E85FEA"/>
    <w:rsid w:val="00E86007"/>
    <w:rsid w:val="00E86EAE"/>
    <w:rsid w:val="00E872CC"/>
    <w:rsid w:val="00E87742"/>
    <w:rsid w:val="00E87C32"/>
    <w:rsid w:val="00E900EC"/>
    <w:rsid w:val="00E90223"/>
    <w:rsid w:val="00E927B4"/>
    <w:rsid w:val="00E9357E"/>
    <w:rsid w:val="00E9364C"/>
    <w:rsid w:val="00E960BA"/>
    <w:rsid w:val="00E9717B"/>
    <w:rsid w:val="00E978F1"/>
    <w:rsid w:val="00E97963"/>
    <w:rsid w:val="00E97A50"/>
    <w:rsid w:val="00E97DCF"/>
    <w:rsid w:val="00E97E81"/>
    <w:rsid w:val="00EA0207"/>
    <w:rsid w:val="00EA0488"/>
    <w:rsid w:val="00EA1A4A"/>
    <w:rsid w:val="00EA2323"/>
    <w:rsid w:val="00EA2BAC"/>
    <w:rsid w:val="00EA3DB3"/>
    <w:rsid w:val="00EA43CC"/>
    <w:rsid w:val="00EA4D46"/>
    <w:rsid w:val="00EA65F8"/>
    <w:rsid w:val="00EA7BCB"/>
    <w:rsid w:val="00EB051E"/>
    <w:rsid w:val="00EB19F6"/>
    <w:rsid w:val="00EB2FD3"/>
    <w:rsid w:val="00EB422C"/>
    <w:rsid w:val="00EB5B06"/>
    <w:rsid w:val="00EC045D"/>
    <w:rsid w:val="00EC0C1F"/>
    <w:rsid w:val="00EC16F2"/>
    <w:rsid w:val="00EC1EAA"/>
    <w:rsid w:val="00EC2999"/>
    <w:rsid w:val="00EC38D2"/>
    <w:rsid w:val="00EC4213"/>
    <w:rsid w:val="00EC4379"/>
    <w:rsid w:val="00EC6A2B"/>
    <w:rsid w:val="00EC6B6D"/>
    <w:rsid w:val="00ED1242"/>
    <w:rsid w:val="00ED3081"/>
    <w:rsid w:val="00ED3AF4"/>
    <w:rsid w:val="00ED3C8D"/>
    <w:rsid w:val="00ED4941"/>
    <w:rsid w:val="00ED594B"/>
    <w:rsid w:val="00ED678C"/>
    <w:rsid w:val="00ED6F75"/>
    <w:rsid w:val="00ED76D4"/>
    <w:rsid w:val="00EE140D"/>
    <w:rsid w:val="00EE1568"/>
    <w:rsid w:val="00EE1CC4"/>
    <w:rsid w:val="00EE2169"/>
    <w:rsid w:val="00EE23B4"/>
    <w:rsid w:val="00EE2E53"/>
    <w:rsid w:val="00EE3964"/>
    <w:rsid w:val="00EE3FED"/>
    <w:rsid w:val="00EE53E5"/>
    <w:rsid w:val="00EE64A5"/>
    <w:rsid w:val="00EE67A7"/>
    <w:rsid w:val="00EE6C1F"/>
    <w:rsid w:val="00EE78C9"/>
    <w:rsid w:val="00EE7EF1"/>
    <w:rsid w:val="00EF3BA0"/>
    <w:rsid w:val="00EF4B46"/>
    <w:rsid w:val="00EF4E86"/>
    <w:rsid w:val="00EF5FB8"/>
    <w:rsid w:val="00EF7121"/>
    <w:rsid w:val="00EF76F0"/>
    <w:rsid w:val="00EF7C79"/>
    <w:rsid w:val="00EF7D41"/>
    <w:rsid w:val="00F004F3"/>
    <w:rsid w:val="00F0180E"/>
    <w:rsid w:val="00F02B14"/>
    <w:rsid w:val="00F0330F"/>
    <w:rsid w:val="00F03779"/>
    <w:rsid w:val="00F05968"/>
    <w:rsid w:val="00F05DFE"/>
    <w:rsid w:val="00F06896"/>
    <w:rsid w:val="00F06CD8"/>
    <w:rsid w:val="00F06F60"/>
    <w:rsid w:val="00F070C3"/>
    <w:rsid w:val="00F07A38"/>
    <w:rsid w:val="00F10507"/>
    <w:rsid w:val="00F11F89"/>
    <w:rsid w:val="00F12049"/>
    <w:rsid w:val="00F1352E"/>
    <w:rsid w:val="00F135D4"/>
    <w:rsid w:val="00F15D78"/>
    <w:rsid w:val="00F16B87"/>
    <w:rsid w:val="00F1704A"/>
    <w:rsid w:val="00F17779"/>
    <w:rsid w:val="00F17893"/>
    <w:rsid w:val="00F17C92"/>
    <w:rsid w:val="00F2018A"/>
    <w:rsid w:val="00F21885"/>
    <w:rsid w:val="00F22957"/>
    <w:rsid w:val="00F22C66"/>
    <w:rsid w:val="00F23A81"/>
    <w:rsid w:val="00F24CE2"/>
    <w:rsid w:val="00F2585B"/>
    <w:rsid w:val="00F27969"/>
    <w:rsid w:val="00F33318"/>
    <w:rsid w:val="00F33914"/>
    <w:rsid w:val="00F34287"/>
    <w:rsid w:val="00F34E2C"/>
    <w:rsid w:val="00F358A4"/>
    <w:rsid w:val="00F3590C"/>
    <w:rsid w:val="00F35B48"/>
    <w:rsid w:val="00F360DF"/>
    <w:rsid w:val="00F365E5"/>
    <w:rsid w:val="00F36EE0"/>
    <w:rsid w:val="00F438E6"/>
    <w:rsid w:val="00F44005"/>
    <w:rsid w:val="00F444CB"/>
    <w:rsid w:val="00F447F8"/>
    <w:rsid w:val="00F44DBE"/>
    <w:rsid w:val="00F45560"/>
    <w:rsid w:val="00F46548"/>
    <w:rsid w:val="00F47BAB"/>
    <w:rsid w:val="00F47D44"/>
    <w:rsid w:val="00F5082C"/>
    <w:rsid w:val="00F510C2"/>
    <w:rsid w:val="00F514D6"/>
    <w:rsid w:val="00F51AD9"/>
    <w:rsid w:val="00F52006"/>
    <w:rsid w:val="00F527CD"/>
    <w:rsid w:val="00F53244"/>
    <w:rsid w:val="00F53427"/>
    <w:rsid w:val="00F561A0"/>
    <w:rsid w:val="00F56B19"/>
    <w:rsid w:val="00F602E1"/>
    <w:rsid w:val="00F610F8"/>
    <w:rsid w:val="00F61C6A"/>
    <w:rsid w:val="00F62024"/>
    <w:rsid w:val="00F62690"/>
    <w:rsid w:val="00F637CB"/>
    <w:rsid w:val="00F65476"/>
    <w:rsid w:val="00F660B1"/>
    <w:rsid w:val="00F66F99"/>
    <w:rsid w:val="00F670B8"/>
    <w:rsid w:val="00F6727C"/>
    <w:rsid w:val="00F70F3F"/>
    <w:rsid w:val="00F724C1"/>
    <w:rsid w:val="00F724D5"/>
    <w:rsid w:val="00F72E4B"/>
    <w:rsid w:val="00F73014"/>
    <w:rsid w:val="00F73713"/>
    <w:rsid w:val="00F7410B"/>
    <w:rsid w:val="00F74672"/>
    <w:rsid w:val="00F75DC8"/>
    <w:rsid w:val="00F77715"/>
    <w:rsid w:val="00F77C28"/>
    <w:rsid w:val="00F81797"/>
    <w:rsid w:val="00F81D30"/>
    <w:rsid w:val="00F82CBB"/>
    <w:rsid w:val="00F82CD1"/>
    <w:rsid w:val="00F8352D"/>
    <w:rsid w:val="00F83C1E"/>
    <w:rsid w:val="00F851BA"/>
    <w:rsid w:val="00F85E91"/>
    <w:rsid w:val="00F86D0C"/>
    <w:rsid w:val="00F877F3"/>
    <w:rsid w:val="00F87CDF"/>
    <w:rsid w:val="00F900CE"/>
    <w:rsid w:val="00F90555"/>
    <w:rsid w:val="00F915B9"/>
    <w:rsid w:val="00F9160B"/>
    <w:rsid w:val="00F91666"/>
    <w:rsid w:val="00F91ABC"/>
    <w:rsid w:val="00F91D9D"/>
    <w:rsid w:val="00F925C0"/>
    <w:rsid w:val="00F92664"/>
    <w:rsid w:val="00F9295D"/>
    <w:rsid w:val="00F9302B"/>
    <w:rsid w:val="00F9377D"/>
    <w:rsid w:val="00F93ED4"/>
    <w:rsid w:val="00F94321"/>
    <w:rsid w:val="00F94636"/>
    <w:rsid w:val="00F94D34"/>
    <w:rsid w:val="00F94DD3"/>
    <w:rsid w:val="00F968C5"/>
    <w:rsid w:val="00F96B22"/>
    <w:rsid w:val="00F97E77"/>
    <w:rsid w:val="00FA0875"/>
    <w:rsid w:val="00FA0A18"/>
    <w:rsid w:val="00FA12BB"/>
    <w:rsid w:val="00FA1532"/>
    <w:rsid w:val="00FA2253"/>
    <w:rsid w:val="00FA3EE5"/>
    <w:rsid w:val="00FA5C33"/>
    <w:rsid w:val="00FA75A8"/>
    <w:rsid w:val="00FB1231"/>
    <w:rsid w:val="00FB24BB"/>
    <w:rsid w:val="00FB313B"/>
    <w:rsid w:val="00FB326B"/>
    <w:rsid w:val="00FB3714"/>
    <w:rsid w:val="00FC0549"/>
    <w:rsid w:val="00FC122A"/>
    <w:rsid w:val="00FC23BB"/>
    <w:rsid w:val="00FC36FC"/>
    <w:rsid w:val="00FC3D7B"/>
    <w:rsid w:val="00FC4C60"/>
    <w:rsid w:val="00FC4EDD"/>
    <w:rsid w:val="00FC68C5"/>
    <w:rsid w:val="00FC7341"/>
    <w:rsid w:val="00FC7E89"/>
    <w:rsid w:val="00FD0521"/>
    <w:rsid w:val="00FD1690"/>
    <w:rsid w:val="00FD17D5"/>
    <w:rsid w:val="00FD2A8F"/>
    <w:rsid w:val="00FD2C5B"/>
    <w:rsid w:val="00FD34A3"/>
    <w:rsid w:val="00FD5366"/>
    <w:rsid w:val="00FD5911"/>
    <w:rsid w:val="00FD64F0"/>
    <w:rsid w:val="00FD71F0"/>
    <w:rsid w:val="00FE0871"/>
    <w:rsid w:val="00FE1915"/>
    <w:rsid w:val="00FE1B56"/>
    <w:rsid w:val="00FE2FF1"/>
    <w:rsid w:val="00FE30C1"/>
    <w:rsid w:val="00FE3E46"/>
    <w:rsid w:val="00FE479D"/>
    <w:rsid w:val="00FE65E4"/>
    <w:rsid w:val="00FE6884"/>
    <w:rsid w:val="00FE6A40"/>
    <w:rsid w:val="00FE7076"/>
    <w:rsid w:val="00FE7FF3"/>
    <w:rsid w:val="00FF1366"/>
    <w:rsid w:val="00FF14C4"/>
    <w:rsid w:val="00FF179F"/>
    <w:rsid w:val="00FF4211"/>
    <w:rsid w:val="00FF422B"/>
    <w:rsid w:val="00FF4A16"/>
    <w:rsid w:val="00FF67D8"/>
    <w:rsid w:val="00FF73FE"/>
    <w:rsid w:val="01F7A683"/>
    <w:rsid w:val="0638B578"/>
    <w:rsid w:val="07A0B0FA"/>
    <w:rsid w:val="097810AE"/>
    <w:rsid w:val="0A1A89F6"/>
    <w:rsid w:val="0D59A00C"/>
    <w:rsid w:val="168C40D6"/>
    <w:rsid w:val="1735A7F0"/>
    <w:rsid w:val="17B1E2CB"/>
    <w:rsid w:val="1CD653F1"/>
    <w:rsid w:val="26486E71"/>
    <w:rsid w:val="2742E44D"/>
    <w:rsid w:val="2E9FDEBB"/>
    <w:rsid w:val="2F63383B"/>
    <w:rsid w:val="3064C2E8"/>
    <w:rsid w:val="360FD8C4"/>
    <w:rsid w:val="3699445E"/>
    <w:rsid w:val="3B44ED3D"/>
    <w:rsid w:val="416D0BBE"/>
    <w:rsid w:val="494DD9F8"/>
    <w:rsid w:val="4C5F9BCA"/>
    <w:rsid w:val="50EC1DEA"/>
    <w:rsid w:val="51B40179"/>
    <w:rsid w:val="51E093A4"/>
    <w:rsid w:val="523F3D4E"/>
    <w:rsid w:val="56868D5D"/>
    <w:rsid w:val="5691611D"/>
    <w:rsid w:val="61277DDB"/>
    <w:rsid w:val="62F9C94F"/>
    <w:rsid w:val="67A97D4B"/>
    <w:rsid w:val="6B010D5E"/>
    <w:rsid w:val="6B4BBB1A"/>
    <w:rsid w:val="71CC2E15"/>
    <w:rsid w:val="73066301"/>
    <w:rsid w:val="751415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C1BA8"/>
  <w15:chartTrackingRefBased/>
  <w15:docId w15:val="{17D85B08-030F-469E-873B-1369F9E7DA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4379"/>
    <w:pPr>
      <w:widowControl w:val="0"/>
      <w:spacing w:after="0" w:line="240" w:lineRule="auto"/>
      <w:jc w:val="both"/>
    </w:pPr>
    <w:rPr>
      <w:rFonts w:ascii="Century" w:hAnsi="Century" w:eastAsia="MS Mincho" w:cs="Times New Roman"/>
      <w:sz w:val="21"/>
      <w:lang w:val="en-US" w:eastAsia="ja-JP"/>
      <w14:ligatures w14:val="none"/>
    </w:rPr>
  </w:style>
  <w:style w:type="paragraph" w:styleId="Heading1">
    <w:name w:val="heading 1"/>
    <w:basedOn w:val="Normal"/>
    <w:next w:val="Normal"/>
    <w:link w:val="Heading1Char"/>
    <w:qFormat/>
    <w:rsid w:val="00EC4379"/>
    <w:pPr>
      <w:keepNext/>
      <w:outlineLvl w:val="0"/>
    </w:pPr>
    <w:rPr>
      <w:rFonts w:ascii="Arial" w:hAnsi="Arial" w:eastAsia="MS Gothic"/>
      <w:sz w:val="24"/>
    </w:rPr>
  </w:style>
  <w:style w:type="paragraph" w:styleId="Heading2">
    <w:name w:val="heading 2"/>
    <w:basedOn w:val="Normal"/>
    <w:next w:val="Normal"/>
    <w:link w:val="Heading2Char"/>
    <w:uiPriority w:val="9"/>
    <w:semiHidden/>
    <w:unhideWhenUsed/>
    <w:qFormat/>
    <w:rsid w:val="00183CD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C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C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C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C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C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C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CD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183CDC"/>
    <w:rPr>
      <w:rFonts w:ascii="Arial" w:hAnsi="Arial" w:eastAsia="MS Gothic" w:cs="Times New Roman"/>
      <w:lang w:val="en-US" w:eastAsia="ja-JP"/>
      <w14:ligatures w14:val="none"/>
    </w:rPr>
  </w:style>
  <w:style w:type="character" w:styleId="Heading2Char" w:customStyle="1">
    <w:name w:val="Heading 2 Char"/>
    <w:basedOn w:val="DefaultParagraphFont"/>
    <w:link w:val="Heading2"/>
    <w:uiPriority w:val="9"/>
    <w:semiHidden/>
    <w:rsid w:val="00183CD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83CD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83CD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83CD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83CD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83CD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83CD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83CDC"/>
    <w:rPr>
      <w:rFonts w:eastAsiaTheme="majorEastAsia" w:cstheme="majorBidi"/>
      <w:color w:val="272727" w:themeColor="text1" w:themeTint="D8"/>
    </w:rPr>
  </w:style>
  <w:style w:type="paragraph" w:styleId="Title">
    <w:name w:val="Title"/>
    <w:basedOn w:val="Normal"/>
    <w:next w:val="Normal"/>
    <w:link w:val="TitleChar"/>
    <w:uiPriority w:val="10"/>
    <w:qFormat/>
    <w:rsid w:val="00183CD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83CD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83CD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83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CDC"/>
    <w:pPr>
      <w:spacing w:before="160"/>
      <w:jc w:val="center"/>
    </w:pPr>
    <w:rPr>
      <w:i/>
      <w:iCs/>
      <w:color w:val="404040" w:themeColor="text1" w:themeTint="BF"/>
    </w:rPr>
  </w:style>
  <w:style w:type="character" w:styleId="QuoteChar" w:customStyle="1">
    <w:name w:val="Quote Char"/>
    <w:basedOn w:val="DefaultParagraphFont"/>
    <w:link w:val="Quote"/>
    <w:uiPriority w:val="29"/>
    <w:rsid w:val="00183CDC"/>
    <w:rPr>
      <w:i/>
      <w:iCs/>
      <w:color w:val="404040" w:themeColor="text1" w:themeTint="BF"/>
    </w:rPr>
  </w:style>
  <w:style w:type="paragraph" w:styleId="ListParagraph">
    <w:name w:val="List Paragraph"/>
    <w:basedOn w:val="Normal"/>
    <w:uiPriority w:val="34"/>
    <w:qFormat/>
    <w:rsid w:val="00EC4379"/>
    <w:pPr>
      <w:ind w:left="720"/>
      <w:contextualSpacing/>
    </w:pPr>
  </w:style>
  <w:style w:type="character" w:styleId="IntenseEmphasis">
    <w:name w:val="Intense Emphasis"/>
    <w:basedOn w:val="DefaultParagraphFont"/>
    <w:uiPriority w:val="21"/>
    <w:qFormat/>
    <w:rsid w:val="00183CDC"/>
    <w:rPr>
      <w:i/>
      <w:iCs/>
      <w:color w:val="0F4761" w:themeColor="accent1" w:themeShade="BF"/>
    </w:rPr>
  </w:style>
  <w:style w:type="paragraph" w:styleId="IntenseQuote">
    <w:name w:val="Intense Quote"/>
    <w:basedOn w:val="Normal"/>
    <w:next w:val="Normal"/>
    <w:link w:val="IntenseQuoteChar"/>
    <w:uiPriority w:val="30"/>
    <w:qFormat/>
    <w:rsid w:val="00183CD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83CDC"/>
    <w:rPr>
      <w:i/>
      <w:iCs/>
      <w:color w:val="0F4761" w:themeColor="accent1" w:themeShade="BF"/>
    </w:rPr>
  </w:style>
  <w:style w:type="character" w:styleId="IntenseReference">
    <w:name w:val="Intense Reference"/>
    <w:basedOn w:val="DefaultParagraphFont"/>
    <w:uiPriority w:val="32"/>
    <w:qFormat/>
    <w:rsid w:val="00183CDC"/>
    <w:rPr>
      <w:b/>
      <w:bCs/>
      <w:smallCaps/>
      <w:color w:val="0F4761" w:themeColor="accent1" w:themeShade="BF"/>
      <w:spacing w:val="5"/>
    </w:rPr>
  </w:style>
  <w:style w:type="paragraph" w:styleId="BodyText">
    <w:name w:val="Body Text"/>
    <w:basedOn w:val="Normal"/>
    <w:link w:val="BodyTextChar"/>
    <w:qFormat/>
    <w:rsid w:val="007B0BA0"/>
    <w:pPr>
      <w:spacing w:after="240"/>
    </w:pPr>
    <w:rPr>
      <w:rFonts w:ascii="Times New Roman" w:hAnsi="Times New Roman" w:eastAsia="Times New Roman"/>
      <w:kern w:val="0"/>
    </w:rPr>
  </w:style>
  <w:style w:type="character" w:styleId="BodyTextChar" w:customStyle="1">
    <w:name w:val="Body Text Char"/>
    <w:basedOn w:val="DefaultParagraphFont"/>
    <w:link w:val="BodyText"/>
    <w:rsid w:val="007B0BA0"/>
    <w:rPr>
      <w:rFonts w:ascii="Times New Roman" w:hAnsi="Times New Roman" w:eastAsia="Times New Roman" w:cs="Times New Roman"/>
      <w:kern w:val="0"/>
      <w14:ligatures w14:val="none"/>
    </w:rPr>
  </w:style>
  <w:style w:type="paragraph" w:styleId="Default" w:customStyle="1">
    <w:name w:val="Default"/>
    <w:rsid w:val="00F05968"/>
    <w:pPr>
      <w:autoSpaceDE w:val="0"/>
      <w:autoSpaceDN w:val="0"/>
      <w:adjustRightInd w:val="0"/>
      <w:spacing w:after="0" w:line="240" w:lineRule="auto"/>
    </w:pPr>
    <w:rPr>
      <w:rFonts w:ascii="Arial" w:hAnsi="Arial" w:cs="Arial"/>
      <w:color w:val="000000"/>
      <w:kern w:val="0"/>
    </w:rPr>
  </w:style>
  <w:style w:type="table" w:styleId="TableGrid">
    <w:name w:val="Table Grid"/>
    <w:basedOn w:val="TableNormal"/>
    <w:uiPriority w:val="39"/>
    <w:rsid w:val="00C8133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EC4379"/>
    <w:rPr>
      <w:sz w:val="16"/>
      <w:szCs w:val="16"/>
    </w:rPr>
  </w:style>
  <w:style w:type="paragraph" w:styleId="CommentText">
    <w:name w:val="annotation text"/>
    <w:basedOn w:val="Normal"/>
    <w:link w:val="CommentTextChar"/>
    <w:uiPriority w:val="99"/>
    <w:unhideWhenUsed/>
    <w:rsid w:val="00EC4379"/>
    <w:rPr>
      <w:sz w:val="20"/>
      <w:szCs w:val="20"/>
    </w:rPr>
  </w:style>
  <w:style w:type="character" w:styleId="CommentTextChar" w:customStyle="1">
    <w:name w:val="Comment Text Char"/>
    <w:basedOn w:val="DefaultParagraphFont"/>
    <w:link w:val="CommentText"/>
    <w:uiPriority w:val="99"/>
    <w:rsid w:val="00EC4379"/>
    <w:rPr>
      <w:rFonts w:ascii="Century" w:hAnsi="Century" w:eastAsia="MS Mincho" w:cs="Times New Roman"/>
      <w:sz w:val="20"/>
      <w:szCs w:val="20"/>
      <w:lang w:val="en-US" w:eastAsia="ja-JP"/>
      <w14:ligatures w14:val="none"/>
    </w:rPr>
  </w:style>
  <w:style w:type="paragraph" w:styleId="Header">
    <w:name w:val="header"/>
    <w:basedOn w:val="Normal"/>
    <w:link w:val="HeaderChar"/>
    <w:rsid w:val="00EC4379"/>
    <w:pPr>
      <w:tabs>
        <w:tab w:val="center" w:pos="4252"/>
        <w:tab w:val="right" w:pos="8504"/>
      </w:tabs>
      <w:snapToGrid w:val="0"/>
    </w:pPr>
  </w:style>
  <w:style w:type="character" w:styleId="HeaderChar" w:customStyle="1">
    <w:name w:val="Header Char"/>
    <w:basedOn w:val="DefaultParagraphFont"/>
    <w:link w:val="Header"/>
    <w:rsid w:val="00F06F60"/>
    <w:rPr>
      <w:rFonts w:ascii="Century" w:hAnsi="Century" w:eastAsia="MS Mincho" w:cs="Times New Roman"/>
      <w:sz w:val="21"/>
      <w:lang w:val="en-US" w:eastAsia="ja-JP"/>
      <w14:ligatures w14:val="none"/>
    </w:rPr>
  </w:style>
  <w:style w:type="paragraph" w:styleId="Footer">
    <w:name w:val="footer"/>
    <w:basedOn w:val="Normal"/>
    <w:link w:val="FooterChar"/>
    <w:rsid w:val="00EC4379"/>
    <w:pPr>
      <w:tabs>
        <w:tab w:val="center" w:pos="4252"/>
        <w:tab w:val="right" w:pos="8504"/>
      </w:tabs>
      <w:snapToGrid w:val="0"/>
    </w:pPr>
  </w:style>
  <w:style w:type="character" w:styleId="FooterChar" w:customStyle="1">
    <w:name w:val="Footer Char"/>
    <w:basedOn w:val="DefaultParagraphFont"/>
    <w:link w:val="Footer"/>
    <w:rsid w:val="00EC4379"/>
    <w:rPr>
      <w:rFonts w:ascii="Century" w:hAnsi="Century" w:eastAsia="MS Mincho" w:cs="Times New Roman"/>
      <w:sz w:val="21"/>
      <w:lang w:val="en-US" w:eastAsia="ja-JP"/>
      <w14:ligatures w14:val="none"/>
    </w:rPr>
  </w:style>
  <w:style w:type="paragraph" w:styleId="CommentSubject">
    <w:name w:val="annotation subject"/>
    <w:basedOn w:val="CommentText"/>
    <w:next w:val="CommentText"/>
    <w:link w:val="CommentSubjectChar"/>
    <w:semiHidden/>
    <w:unhideWhenUsed/>
    <w:rsid w:val="00EC4379"/>
    <w:rPr>
      <w:b/>
      <w:bCs/>
    </w:rPr>
  </w:style>
  <w:style w:type="character" w:styleId="CommentSubjectChar" w:customStyle="1">
    <w:name w:val="Comment Subject Char"/>
    <w:basedOn w:val="CommentTextChar"/>
    <w:link w:val="CommentSubject"/>
    <w:semiHidden/>
    <w:rsid w:val="00EC4379"/>
    <w:rPr>
      <w:rFonts w:ascii="Century" w:hAnsi="Century" w:eastAsia="MS Mincho" w:cs="Times New Roman"/>
      <w:b/>
      <w:bCs/>
      <w:sz w:val="20"/>
      <w:szCs w:val="20"/>
      <w:lang w:val="en-US" w:eastAsia="ja-JP"/>
      <w14:ligatures w14:val="none"/>
    </w:rPr>
  </w:style>
  <w:style w:type="paragraph" w:styleId="Revision">
    <w:name w:val="Revision"/>
    <w:hidden/>
    <w:uiPriority w:val="99"/>
    <w:semiHidden/>
    <w:rsid w:val="00EC4379"/>
    <w:pPr>
      <w:spacing w:after="0" w:line="240" w:lineRule="auto"/>
    </w:pPr>
    <w:rPr>
      <w:rFonts w:ascii="Century" w:hAnsi="Century" w:eastAsia="MS Mincho" w:cs="Times New Roman"/>
      <w:sz w:val="21"/>
      <w:lang w:val="en-US" w:eastAsia="ja-JP"/>
      <w14:ligatures w14:val="none"/>
    </w:rPr>
  </w:style>
  <w:style w:type="character" w:styleId="Hyperlink">
    <w:name w:val="Hyperlink"/>
    <w:basedOn w:val="DefaultParagraphFont"/>
    <w:uiPriority w:val="99"/>
    <w:unhideWhenUsed/>
    <w:rsid w:val="00EC4379"/>
    <w:rPr>
      <w:color w:val="467886" w:themeColor="hyperlink"/>
      <w:u w:val="single"/>
    </w:rPr>
  </w:style>
  <w:style w:type="character" w:styleId="UnresolvedMention">
    <w:name w:val="Unresolved Mention"/>
    <w:basedOn w:val="DefaultParagraphFont"/>
    <w:uiPriority w:val="99"/>
    <w:semiHidden/>
    <w:unhideWhenUsed/>
    <w:rsid w:val="00EC4379"/>
    <w:rPr>
      <w:color w:val="605E5C"/>
      <w:shd w:val="clear" w:color="auto" w:fill="E1DFDD"/>
    </w:rPr>
  </w:style>
  <w:style w:type="character" w:styleId="Mention">
    <w:name w:val="Mention"/>
    <w:basedOn w:val="DefaultParagraphFont"/>
    <w:uiPriority w:val="99"/>
    <w:unhideWhenUsed/>
    <w:rsid w:val="002235A9"/>
    <w:rPr>
      <w:color w:val="2B579A"/>
      <w:shd w:val="clear" w:color="auto" w:fill="E1DFDD"/>
    </w:rPr>
  </w:style>
  <w:style w:type="paragraph" w:styleId="pf0" w:customStyle="1">
    <w:name w:val="pf0"/>
    <w:basedOn w:val="Normal"/>
    <w:rsid w:val="003A1529"/>
    <w:pPr>
      <w:spacing w:before="100" w:beforeAutospacing="1" w:after="100" w:afterAutospacing="1"/>
    </w:pPr>
    <w:rPr>
      <w:rFonts w:ascii="Times New Roman" w:hAnsi="Times New Roman" w:eastAsia="Times New Roman"/>
      <w:kern w:val="0"/>
      <w:lang w:eastAsia="en-GB"/>
    </w:rPr>
  </w:style>
  <w:style w:type="character" w:styleId="cf01" w:customStyle="1">
    <w:name w:val="cf01"/>
    <w:basedOn w:val="DefaultParagraphFont"/>
    <w:rsid w:val="003A1529"/>
    <w:rPr>
      <w:rFonts w:hint="default" w:ascii="Segoe UI" w:hAnsi="Segoe UI" w:cs="Segoe UI"/>
      <w:sz w:val="18"/>
      <w:szCs w:val="18"/>
    </w:rPr>
  </w:style>
  <w:style w:type="paragraph" w:styleId="Date">
    <w:name w:val="Date"/>
    <w:basedOn w:val="Normal"/>
    <w:next w:val="Normal"/>
    <w:link w:val="DateChar"/>
    <w:rsid w:val="00EC4379"/>
  </w:style>
  <w:style w:type="character" w:styleId="DateChar" w:customStyle="1">
    <w:name w:val="Date Char"/>
    <w:basedOn w:val="DefaultParagraphFont"/>
    <w:link w:val="Date"/>
    <w:rsid w:val="00DF4CF2"/>
    <w:rPr>
      <w:rFonts w:ascii="Century" w:hAnsi="Century" w:eastAsia="MS Mincho" w:cs="Times New Roman"/>
      <w:sz w:val="21"/>
      <w:lang w:val="en-US" w:eastAsia="ja-JP"/>
      <w14:ligatures w14:val="none"/>
    </w:rPr>
  </w:style>
  <w:style w:type="paragraph" w:styleId="Closing">
    <w:name w:val="Closing"/>
    <w:basedOn w:val="Normal"/>
    <w:link w:val="ClosingChar"/>
    <w:rsid w:val="00EC4379"/>
    <w:pPr>
      <w:jc w:val="right"/>
    </w:pPr>
    <w:rPr>
      <w:rFonts w:ascii="MS PMincho" w:hAnsi="MS PMincho" w:eastAsia="MS PMincho" w:cs="Arial"/>
      <w:sz w:val="24"/>
    </w:rPr>
  </w:style>
  <w:style w:type="character" w:styleId="ClosingChar" w:customStyle="1">
    <w:name w:val="Closing Char"/>
    <w:basedOn w:val="DefaultParagraphFont"/>
    <w:link w:val="Closing"/>
    <w:rsid w:val="00DF4CF2"/>
    <w:rPr>
      <w:rFonts w:ascii="MS PMincho" w:hAnsi="MS PMincho" w:eastAsia="MS PMincho" w:cs="Arial"/>
      <w:lang w:val="en-US" w:eastAsia="ja-JP"/>
      <w14:ligatures w14:val="none"/>
    </w:rPr>
  </w:style>
  <w:style w:type="paragraph" w:styleId="BalloonText">
    <w:name w:val="Balloon Text"/>
    <w:basedOn w:val="Normal"/>
    <w:link w:val="BalloonTextChar"/>
    <w:semiHidden/>
    <w:rsid w:val="00EC4379"/>
    <w:rPr>
      <w:rFonts w:ascii="Arial" w:hAnsi="Arial" w:eastAsia="MS Gothic"/>
      <w:sz w:val="18"/>
      <w:szCs w:val="18"/>
    </w:rPr>
  </w:style>
  <w:style w:type="character" w:styleId="BalloonTextChar" w:customStyle="1">
    <w:name w:val="Balloon Text Char"/>
    <w:basedOn w:val="DefaultParagraphFont"/>
    <w:link w:val="BalloonText"/>
    <w:semiHidden/>
    <w:rsid w:val="00DF4CF2"/>
    <w:rPr>
      <w:rFonts w:ascii="Arial" w:hAnsi="Arial" w:eastAsia="MS Gothic" w:cs="Times New Roman"/>
      <w:sz w:val="18"/>
      <w:szCs w:val="18"/>
      <w:lang w:val="en-US" w:eastAsia="ja-JP"/>
      <w14:ligatures w14:val="none"/>
    </w:rPr>
  </w:style>
  <w:style w:type="paragraph" w:styleId="EndnoteText">
    <w:name w:val="endnote text"/>
    <w:basedOn w:val="Normal"/>
    <w:link w:val="EndnoteTextChar"/>
    <w:uiPriority w:val="99"/>
    <w:semiHidden/>
    <w:unhideWhenUsed/>
    <w:rsid w:val="00EC4379"/>
    <w:pPr>
      <w:widowControl/>
      <w:jc w:val="left"/>
    </w:pPr>
    <w:rPr>
      <w:rFonts w:asciiTheme="minorHAnsi" w:hAnsiTheme="minorHAnsi" w:eastAsiaTheme="minorHAnsi" w:cstheme="minorBidi"/>
      <w:sz w:val="20"/>
      <w:szCs w:val="20"/>
      <w:lang w:val="en-GB" w:eastAsia="en-US"/>
      <w14:ligatures w14:val="standardContextual"/>
    </w:rPr>
  </w:style>
  <w:style w:type="character" w:styleId="EndnoteTextChar" w:customStyle="1">
    <w:name w:val="Endnote Text Char"/>
    <w:basedOn w:val="DefaultParagraphFont"/>
    <w:link w:val="EndnoteText"/>
    <w:uiPriority w:val="99"/>
    <w:semiHidden/>
    <w:rsid w:val="00EC4379"/>
    <w:rPr>
      <w:sz w:val="20"/>
      <w:szCs w:val="20"/>
    </w:rPr>
  </w:style>
  <w:style w:type="character" w:styleId="EndnoteReference">
    <w:name w:val="endnote reference"/>
    <w:basedOn w:val="DefaultParagraphFont"/>
    <w:uiPriority w:val="99"/>
    <w:semiHidden/>
    <w:unhideWhenUsed/>
    <w:rsid w:val="00EC4379"/>
    <w:rPr>
      <w:vertAlign w:val="superscript"/>
    </w:rPr>
  </w:style>
  <w:style w:type="paragraph" w:styleId="FootnoteText">
    <w:name w:val="footnote text"/>
    <w:basedOn w:val="Normal"/>
    <w:link w:val="FootnoteTextChar"/>
    <w:semiHidden/>
    <w:unhideWhenUsed/>
    <w:rsid w:val="00EC4379"/>
    <w:rPr>
      <w:sz w:val="20"/>
      <w:szCs w:val="20"/>
    </w:rPr>
  </w:style>
  <w:style w:type="character" w:styleId="FootnoteTextChar" w:customStyle="1">
    <w:name w:val="Footnote Text Char"/>
    <w:basedOn w:val="DefaultParagraphFont"/>
    <w:link w:val="FootnoteText"/>
    <w:semiHidden/>
    <w:rsid w:val="00EC4379"/>
    <w:rPr>
      <w:rFonts w:ascii="Century" w:hAnsi="Century" w:eastAsia="MS Mincho" w:cs="Times New Roman"/>
      <w:sz w:val="20"/>
      <w:szCs w:val="20"/>
      <w:lang w:val="en-US" w:eastAsia="ja-JP"/>
      <w14:ligatures w14:val="none"/>
    </w:rPr>
  </w:style>
  <w:style w:type="character" w:styleId="FootnoteReference">
    <w:name w:val="footnote reference"/>
    <w:basedOn w:val="DefaultParagraphFont"/>
    <w:semiHidden/>
    <w:unhideWhenUsed/>
    <w:rsid w:val="00EC43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2246">
      <w:bodyDiv w:val="1"/>
      <w:marLeft w:val="0"/>
      <w:marRight w:val="0"/>
      <w:marTop w:val="0"/>
      <w:marBottom w:val="0"/>
      <w:divBdr>
        <w:top w:val="none" w:sz="0" w:space="0" w:color="auto"/>
        <w:left w:val="none" w:sz="0" w:space="0" w:color="auto"/>
        <w:bottom w:val="none" w:sz="0" w:space="0" w:color="auto"/>
        <w:right w:val="none" w:sz="0" w:space="0" w:color="auto"/>
      </w:divBdr>
    </w:div>
    <w:div w:id="445463904">
      <w:bodyDiv w:val="1"/>
      <w:marLeft w:val="0"/>
      <w:marRight w:val="0"/>
      <w:marTop w:val="0"/>
      <w:marBottom w:val="0"/>
      <w:divBdr>
        <w:top w:val="none" w:sz="0" w:space="0" w:color="auto"/>
        <w:left w:val="none" w:sz="0" w:space="0" w:color="auto"/>
        <w:bottom w:val="none" w:sz="0" w:space="0" w:color="auto"/>
        <w:right w:val="none" w:sz="0" w:space="0" w:color="auto"/>
      </w:divBdr>
    </w:div>
    <w:div w:id="604312448">
      <w:bodyDiv w:val="1"/>
      <w:marLeft w:val="0"/>
      <w:marRight w:val="0"/>
      <w:marTop w:val="0"/>
      <w:marBottom w:val="0"/>
      <w:divBdr>
        <w:top w:val="none" w:sz="0" w:space="0" w:color="auto"/>
        <w:left w:val="none" w:sz="0" w:space="0" w:color="auto"/>
        <w:bottom w:val="none" w:sz="0" w:space="0" w:color="auto"/>
        <w:right w:val="none" w:sz="0" w:space="0" w:color="auto"/>
      </w:divBdr>
      <w:divsChild>
        <w:div w:id="102187097">
          <w:marLeft w:val="0"/>
          <w:marRight w:val="0"/>
          <w:marTop w:val="0"/>
          <w:marBottom w:val="0"/>
          <w:divBdr>
            <w:top w:val="none" w:sz="0" w:space="0" w:color="auto"/>
            <w:left w:val="none" w:sz="0" w:space="0" w:color="auto"/>
            <w:bottom w:val="none" w:sz="0" w:space="0" w:color="auto"/>
            <w:right w:val="none" w:sz="0" w:space="0" w:color="auto"/>
          </w:divBdr>
        </w:div>
        <w:div w:id="1259413742">
          <w:marLeft w:val="0"/>
          <w:marRight w:val="0"/>
          <w:marTop w:val="0"/>
          <w:marBottom w:val="0"/>
          <w:divBdr>
            <w:top w:val="none" w:sz="0" w:space="0" w:color="auto"/>
            <w:left w:val="none" w:sz="0" w:space="0" w:color="auto"/>
            <w:bottom w:val="none" w:sz="0" w:space="0" w:color="auto"/>
            <w:right w:val="none" w:sz="0" w:space="0" w:color="auto"/>
          </w:divBdr>
        </w:div>
        <w:div w:id="1574853502">
          <w:marLeft w:val="0"/>
          <w:marRight w:val="0"/>
          <w:marTop w:val="0"/>
          <w:marBottom w:val="0"/>
          <w:divBdr>
            <w:top w:val="none" w:sz="0" w:space="0" w:color="auto"/>
            <w:left w:val="none" w:sz="0" w:space="0" w:color="auto"/>
            <w:bottom w:val="none" w:sz="0" w:space="0" w:color="auto"/>
            <w:right w:val="none" w:sz="0" w:space="0" w:color="auto"/>
          </w:divBdr>
        </w:div>
      </w:divsChild>
    </w:div>
    <w:div w:id="676807859">
      <w:bodyDiv w:val="1"/>
      <w:marLeft w:val="0"/>
      <w:marRight w:val="0"/>
      <w:marTop w:val="0"/>
      <w:marBottom w:val="0"/>
      <w:divBdr>
        <w:top w:val="none" w:sz="0" w:space="0" w:color="auto"/>
        <w:left w:val="none" w:sz="0" w:space="0" w:color="auto"/>
        <w:bottom w:val="none" w:sz="0" w:space="0" w:color="auto"/>
        <w:right w:val="none" w:sz="0" w:space="0" w:color="auto"/>
      </w:divBdr>
    </w:div>
    <w:div w:id="707875909">
      <w:bodyDiv w:val="1"/>
      <w:marLeft w:val="0"/>
      <w:marRight w:val="0"/>
      <w:marTop w:val="0"/>
      <w:marBottom w:val="0"/>
      <w:divBdr>
        <w:top w:val="none" w:sz="0" w:space="0" w:color="auto"/>
        <w:left w:val="none" w:sz="0" w:space="0" w:color="auto"/>
        <w:bottom w:val="none" w:sz="0" w:space="0" w:color="auto"/>
        <w:right w:val="none" w:sz="0" w:space="0" w:color="auto"/>
      </w:divBdr>
    </w:div>
    <w:div w:id="735905252">
      <w:bodyDiv w:val="1"/>
      <w:marLeft w:val="0"/>
      <w:marRight w:val="0"/>
      <w:marTop w:val="0"/>
      <w:marBottom w:val="0"/>
      <w:divBdr>
        <w:top w:val="none" w:sz="0" w:space="0" w:color="auto"/>
        <w:left w:val="none" w:sz="0" w:space="0" w:color="auto"/>
        <w:bottom w:val="none" w:sz="0" w:space="0" w:color="auto"/>
        <w:right w:val="none" w:sz="0" w:space="0" w:color="auto"/>
      </w:divBdr>
      <w:divsChild>
        <w:div w:id="1648515843">
          <w:marLeft w:val="0"/>
          <w:marRight w:val="0"/>
          <w:marTop w:val="0"/>
          <w:marBottom w:val="0"/>
          <w:divBdr>
            <w:top w:val="none" w:sz="0" w:space="0" w:color="auto"/>
            <w:left w:val="none" w:sz="0" w:space="0" w:color="auto"/>
            <w:bottom w:val="none" w:sz="0" w:space="0" w:color="auto"/>
            <w:right w:val="none" w:sz="0" w:space="0" w:color="auto"/>
          </w:divBdr>
        </w:div>
      </w:divsChild>
    </w:div>
    <w:div w:id="799500593">
      <w:bodyDiv w:val="1"/>
      <w:marLeft w:val="0"/>
      <w:marRight w:val="0"/>
      <w:marTop w:val="0"/>
      <w:marBottom w:val="0"/>
      <w:divBdr>
        <w:top w:val="none" w:sz="0" w:space="0" w:color="auto"/>
        <w:left w:val="none" w:sz="0" w:space="0" w:color="auto"/>
        <w:bottom w:val="none" w:sz="0" w:space="0" w:color="auto"/>
        <w:right w:val="none" w:sz="0" w:space="0" w:color="auto"/>
      </w:divBdr>
    </w:div>
    <w:div w:id="830172487">
      <w:bodyDiv w:val="1"/>
      <w:marLeft w:val="0"/>
      <w:marRight w:val="0"/>
      <w:marTop w:val="0"/>
      <w:marBottom w:val="0"/>
      <w:divBdr>
        <w:top w:val="none" w:sz="0" w:space="0" w:color="auto"/>
        <w:left w:val="none" w:sz="0" w:space="0" w:color="auto"/>
        <w:bottom w:val="none" w:sz="0" w:space="0" w:color="auto"/>
        <w:right w:val="none" w:sz="0" w:space="0" w:color="auto"/>
      </w:divBdr>
    </w:div>
    <w:div w:id="953944544">
      <w:bodyDiv w:val="1"/>
      <w:marLeft w:val="0"/>
      <w:marRight w:val="0"/>
      <w:marTop w:val="0"/>
      <w:marBottom w:val="0"/>
      <w:divBdr>
        <w:top w:val="none" w:sz="0" w:space="0" w:color="auto"/>
        <w:left w:val="none" w:sz="0" w:space="0" w:color="auto"/>
        <w:bottom w:val="none" w:sz="0" w:space="0" w:color="auto"/>
        <w:right w:val="none" w:sz="0" w:space="0" w:color="auto"/>
      </w:divBdr>
      <w:divsChild>
        <w:div w:id="1654942966">
          <w:marLeft w:val="0"/>
          <w:marRight w:val="0"/>
          <w:marTop w:val="0"/>
          <w:marBottom w:val="0"/>
          <w:divBdr>
            <w:top w:val="none" w:sz="0" w:space="0" w:color="auto"/>
            <w:left w:val="none" w:sz="0" w:space="0" w:color="auto"/>
            <w:bottom w:val="none" w:sz="0" w:space="0" w:color="auto"/>
            <w:right w:val="none" w:sz="0" w:space="0" w:color="auto"/>
          </w:divBdr>
        </w:div>
      </w:divsChild>
    </w:div>
    <w:div w:id="1084229530">
      <w:bodyDiv w:val="1"/>
      <w:marLeft w:val="0"/>
      <w:marRight w:val="0"/>
      <w:marTop w:val="0"/>
      <w:marBottom w:val="0"/>
      <w:divBdr>
        <w:top w:val="none" w:sz="0" w:space="0" w:color="auto"/>
        <w:left w:val="none" w:sz="0" w:space="0" w:color="auto"/>
        <w:bottom w:val="none" w:sz="0" w:space="0" w:color="auto"/>
        <w:right w:val="none" w:sz="0" w:space="0" w:color="auto"/>
      </w:divBdr>
    </w:div>
    <w:div w:id="1303198398">
      <w:bodyDiv w:val="1"/>
      <w:marLeft w:val="0"/>
      <w:marRight w:val="0"/>
      <w:marTop w:val="0"/>
      <w:marBottom w:val="0"/>
      <w:divBdr>
        <w:top w:val="none" w:sz="0" w:space="0" w:color="auto"/>
        <w:left w:val="none" w:sz="0" w:space="0" w:color="auto"/>
        <w:bottom w:val="none" w:sz="0" w:space="0" w:color="auto"/>
        <w:right w:val="none" w:sz="0" w:space="0" w:color="auto"/>
      </w:divBdr>
      <w:divsChild>
        <w:div w:id="721829627">
          <w:marLeft w:val="0"/>
          <w:marRight w:val="0"/>
          <w:marTop w:val="0"/>
          <w:marBottom w:val="0"/>
          <w:divBdr>
            <w:top w:val="none" w:sz="0" w:space="0" w:color="auto"/>
            <w:left w:val="none" w:sz="0" w:space="0" w:color="auto"/>
            <w:bottom w:val="none" w:sz="0" w:space="0" w:color="auto"/>
            <w:right w:val="none" w:sz="0" w:space="0" w:color="auto"/>
          </w:divBdr>
        </w:div>
        <w:div w:id="1458529877">
          <w:marLeft w:val="0"/>
          <w:marRight w:val="0"/>
          <w:marTop w:val="0"/>
          <w:marBottom w:val="0"/>
          <w:divBdr>
            <w:top w:val="none" w:sz="0" w:space="0" w:color="auto"/>
            <w:left w:val="none" w:sz="0" w:space="0" w:color="auto"/>
            <w:bottom w:val="none" w:sz="0" w:space="0" w:color="auto"/>
            <w:right w:val="none" w:sz="0" w:space="0" w:color="auto"/>
          </w:divBdr>
        </w:div>
        <w:div w:id="1972440907">
          <w:marLeft w:val="0"/>
          <w:marRight w:val="0"/>
          <w:marTop w:val="0"/>
          <w:marBottom w:val="0"/>
          <w:divBdr>
            <w:top w:val="none" w:sz="0" w:space="0" w:color="auto"/>
            <w:left w:val="none" w:sz="0" w:space="0" w:color="auto"/>
            <w:bottom w:val="none" w:sz="0" w:space="0" w:color="auto"/>
            <w:right w:val="none" w:sz="0" w:space="0" w:color="auto"/>
          </w:divBdr>
        </w:div>
      </w:divsChild>
    </w:div>
    <w:div w:id="1503395853">
      <w:bodyDiv w:val="1"/>
      <w:marLeft w:val="0"/>
      <w:marRight w:val="0"/>
      <w:marTop w:val="0"/>
      <w:marBottom w:val="0"/>
      <w:divBdr>
        <w:top w:val="none" w:sz="0" w:space="0" w:color="auto"/>
        <w:left w:val="none" w:sz="0" w:space="0" w:color="auto"/>
        <w:bottom w:val="none" w:sz="0" w:space="0" w:color="auto"/>
        <w:right w:val="none" w:sz="0" w:space="0" w:color="auto"/>
      </w:divBdr>
    </w:div>
    <w:div w:id="1905722136">
      <w:bodyDiv w:val="1"/>
      <w:marLeft w:val="0"/>
      <w:marRight w:val="0"/>
      <w:marTop w:val="0"/>
      <w:marBottom w:val="0"/>
      <w:divBdr>
        <w:top w:val="none" w:sz="0" w:space="0" w:color="auto"/>
        <w:left w:val="none" w:sz="0" w:space="0" w:color="auto"/>
        <w:bottom w:val="none" w:sz="0" w:space="0" w:color="auto"/>
        <w:right w:val="none" w:sz="0" w:space="0" w:color="auto"/>
      </w:divBdr>
    </w:div>
    <w:div w:id="21343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L21208\OneDrive%20-%20Eisai\UK%20and%20ROI%20HTAs\Alzheimers%20Disease\Lecanemab\NICE%20submission\10.%20Appeal\Appeal\Eisai%20letter%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95adbcf419d9d33608bf0df25d48a56c">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eff57b8a4fa252ff1f4c864930a310bc"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B6103-6D53-4DD6-87C5-66EA85DC31D7}">
  <ds:schemaRefs>
    <ds:schemaRef ds:uri="http://www.w3.org/XML/1998/namespace"/>
    <ds:schemaRef ds:uri="http://purl.org/dc/terms/"/>
    <ds:schemaRef ds:uri="http://purl.org/dc/elements/1.1/"/>
    <ds:schemaRef ds:uri="http://schemas.microsoft.com/office/2006/documentManagement/types"/>
    <ds:schemaRef ds:uri="e1986a91-e2c4-4a7a-8704-e491629e6f77"/>
    <ds:schemaRef ds:uri="d752b07f-d7ad-46e7-bcbc-6fc7ba86ad0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26EB841-7D11-4968-8031-ABEF2837A5A7}">
  <ds:schemaRefs>
    <ds:schemaRef ds:uri="http://schemas.microsoft.com/sharepoint/v3/contenttype/forms"/>
  </ds:schemaRefs>
</ds:datastoreItem>
</file>

<file path=customXml/itemProps3.xml><?xml version="1.0" encoding="utf-8"?>
<ds:datastoreItem xmlns:ds="http://schemas.openxmlformats.org/officeDocument/2006/customXml" ds:itemID="{CC33F707-29F0-40FD-8C2C-3222ECF4DD6F}"/>
</file>

<file path=customXml/itemProps4.xml><?xml version="1.0" encoding="utf-8"?>
<ds:datastoreItem xmlns:ds="http://schemas.openxmlformats.org/officeDocument/2006/customXml" ds:itemID="{622302BD-C895-40AF-8CCC-583C386F01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Eisai%20letter%20template.dotx</ap:Template>
  <ap:Application>Microsoft Word for the web</ap:Application>
  <ap:DocSecurity>0</ap:DocSecurity>
  <ap:ScaleCrop>false</ap:ScaleCrop>
  <ap:Company>Eisai Europe Limited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Chan</dc:creator>
  <keywords/>
  <lastModifiedBy>Leah Murphy</lastModifiedBy>
  <revision>4</revision>
  <lastPrinted>2025-07-03T15:35:00.0000000Z</lastPrinted>
  <dcterms:created xsi:type="dcterms:W3CDTF">2025-07-14T12:20:00.0000000Z</dcterms:created>
  <dcterms:modified xsi:type="dcterms:W3CDTF">2026-01-09T14:28:52.2642021Z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ediaServiceImageTags">
    <vt:lpwstr/>
  </property>
  <property fmtid="{D5CDD505-2E9C-101B-9397-08002B2CF9AE}" pid="4" name="_AdHocReviewCycleID">
    <vt:i4>-40580516</vt:i4>
  </property>
  <property fmtid="{D5CDD505-2E9C-101B-9397-08002B2CF9AE}" pid="5" name="_NewReviewCycle">
    <vt:lpwstr/>
  </property>
  <property fmtid="{D5CDD505-2E9C-101B-9397-08002B2CF9AE}" pid="6" name="_EmailSubject">
    <vt:lpwstr>Appeal by Eisai against NICE FDG for lecanemab [ID4043]</vt:lpwstr>
  </property>
  <property fmtid="{D5CDD505-2E9C-101B-9397-08002B2CF9AE}" pid="7" name="_AuthorEmail">
    <vt:lpwstr>Katie_Chan@eisai.net</vt:lpwstr>
  </property>
  <property fmtid="{D5CDD505-2E9C-101B-9397-08002B2CF9AE}" pid="8" name="_AuthorEmailDisplayName">
    <vt:lpwstr>Katie Chan</vt:lpwstr>
  </property>
  <property fmtid="{D5CDD505-2E9C-101B-9397-08002B2CF9AE}" pid="9" name="MSIP_Label_c69d85d5-6d9e-4305-a294-1f636ec0f2d6_Enabled">
    <vt:lpwstr>true</vt:lpwstr>
  </property>
  <property fmtid="{D5CDD505-2E9C-101B-9397-08002B2CF9AE}" pid="10" name="MSIP_Label_c69d85d5-6d9e-4305-a294-1f636ec0f2d6_SetDate">
    <vt:lpwstr>2025-07-14T12:20:15Z</vt:lpwstr>
  </property>
  <property fmtid="{D5CDD505-2E9C-101B-9397-08002B2CF9AE}" pid="11" name="MSIP_Label_c69d85d5-6d9e-4305-a294-1f636ec0f2d6_Method">
    <vt:lpwstr>Standard</vt:lpwstr>
  </property>
  <property fmtid="{D5CDD505-2E9C-101B-9397-08002B2CF9AE}" pid="12" name="MSIP_Label_c69d85d5-6d9e-4305-a294-1f636ec0f2d6_Name">
    <vt:lpwstr>OFFICIAL</vt:lpwstr>
  </property>
  <property fmtid="{D5CDD505-2E9C-101B-9397-08002B2CF9AE}" pid="13" name="MSIP_Label_c69d85d5-6d9e-4305-a294-1f636ec0f2d6_SiteId">
    <vt:lpwstr>6030f479-b342-472d-a5dd-740ff7538de9</vt:lpwstr>
  </property>
  <property fmtid="{D5CDD505-2E9C-101B-9397-08002B2CF9AE}" pid="14" name="MSIP_Label_c69d85d5-6d9e-4305-a294-1f636ec0f2d6_ActionId">
    <vt:lpwstr>135f98a4-852e-4239-8afa-62aaaf142c72</vt:lpwstr>
  </property>
  <property fmtid="{D5CDD505-2E9C-101B-9397-08002B2CF9AE}" pid="15" name="MSIP_Label_c69d85d5-6d9e-4305-a294-1f636ec0f2d6_ContentBits">
    <vt:lpwstr>0</vt:lpwstr>
  </property>
  <property fmtid="{D5CDD505-2E9C-101B-9397-08002B2CF9AE}" pid="16" name="MSIP_Label_c69d85d5-6d9e-4305-a294-1f636ec0f2d6_Tag">
    <vt:lpwstr>10, 3, 0, 2</vt:lpwstr>
  </property>
</Properties>
</file>