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62DB8" w:rsidR="00593F3D" w:rsidP="00593F3D" w:rsidRDefault="00593F3D" w14:paraId="1B1C7D24" w14:textId="6C47F9C1">
      <w:pPr>
        <w:rPr>
          <w:rStyle w:val="Hyperlink"/>
          <w:rFonts w:ascii="Arial" w:hAnsi="Arial" w:cs="Arial"/>
          <w:color w:val="auto"/>
          <w:sz w:val="20"/>
          <w:szCs w:val="20"/>
          <w:u w:val="none"/>
        </w:rPr>
      </w:pPr>
      <w:r w:rsidRPr="00362DB8">
        <w:rPr>
          <w:rFonts w:ascii="Arial" w:hAnsi="Arial" w:cs="Arial"/>
          <w:sz w:val="20"/>
          <w:szCs w:val="20"/>
        </w:rPr>
        <w:t xml:space="preserve">Sent by e-mail only: </w:t>
      </w:r>
      <w:r w:rsidRPr="0061084F" w:rsidR="0061084F">
        <w:rPr>
          <w:rFonts w:ascii="Arial" w:hAnsi="Arial" w:cs="Arial"/>
          <w:sz w:val="20"/>
          <w:szCs w:val="20"/>
          <w:highlight w:val="black"/>
        </w:rPr>
        <w:t>XXXXXXXX</w:t>
      </w:r>
      <w:r w:rsidRPr="00362DB8" w:rsidR="00A84AF4">
        <w:rPr>
          <w:rFonts w:ascii="Arial" w:hAnsi="Arial" w:cs="Arial"/>
          <w:sz w:val="20"/>
          <w:szCs w:val="20"/>
        </w:rPr>
        <w:t xml:space="preserve"> </w:t>
      </w:r>
      <w:r w:rsidRPr="00362DB8" w:rsidR="00BC7BE7">
        <w:rPr>
          <w:rFonts w:ascii="Arial" w:hAnsi="Arial" w:cs="Arial"/>
          <w:sz w:val="20"/>
          <w:szCs w:val="20"/>
        </w:rPr>
        <w:t xml:space="preserve"> </w:t>
      </w:r>
      <w:r w:rsidRPr="00362DB8" w:rsidR="006628FF">
        <w:rPr>
          <w:rFonts w:ascii="Arial" w:hAnsi="Arial" w:cs="Arial"/>
          <w:sz w:val="20"/>
          <w:szCs w:val="20"/>
        </w:rPr>
        <w:t xml:space="preserve"> </w:t>
      </w:r>
    </w:p>
    <w:p w:rsidRPr="008C317E" w:rsidR="008C317E" w:rsidP="008C317E" w:rsidRDefault="008C317E" w14:paraId="089C6E60" w14:textId="53FB1DC5">
      <w:pPr>
        <w:spacing w:after="0" w:line="240" w:lineRule="auto"/>
        <w:rPr>
          <w:rFonts w:ascii="Arial" w:hAnsi="Arial" w:cs="Arial"/>
          <w:sz w:val="20"/>
          <w:szCs w:val="20"/>
        </w:rPr>
      </w:pPr>
      <w:r w:rsidRPr="008C317E">
        <w:rPr>
          <w:rFonts w:ascii="Arial" w:hAnsi="Arial" w:cs="Arial"/>
          <w:sz w:val="20"/>
          <w:szCs w:val="20"/>
        </w:rPr>
        <w:t xml:space="preserve">FAO </w:t>
      </w:r>
      <w:r w:rsidRPr="0061084F" w:rsidR="0061084F">
        <w:rPr>
          <w:rFonts w:ascii="Arial" w:hAnsi="Arial" w:cs="Arial"/>
          <w:sz w:val="20"/>
          <w:szCs w:val="20"/>
          <w:highlight w:val="black"/>
        </w:rPr>
        <w:t>XXXXXXX</w:t>
      </w:r>
      <w:r w:rsidRPr="008C317E">
        <w:rPr>
          <w:rFonts w:ascii="Arial" w:hAnsi="Arial" w:cs="Arial"/>
          <w:sz w:val="20"/>
          <w:szCs w:val="20"/>
        </w:rPr>
        <w:t> </w:t>
      </w:r>
    </w:p>
    <w:p w:rsidRPr="008C317E" w:rsidR="008C317E" w:rsidP="008C317E" w:rsidRDefault="008C317E" w14:paraId="7442FB44" w14:textId="77777777">
      <w:pPr>
        <w:spacing w:after="0" w:line="240" w:lineRule="auto"/>
        <w:rPr>
          <w:rFonts w:ascii="Arial" w:hAnsi="Arial" w:cs="Arial"/>
          <w:sz w:val="20"/>
          <w:szCs w:val="20"/>
        </w:rPr>
      </w:pPr>
      <w:r w:rsidRPr="008C317E">
        <w:rPr>
          <w:rFonts w:ascii="Arial" w:hAnsi="Arial" w:cs="Arial"/>
          <w:sz w:val="20"/>
          <w:szCs w:val="20"/>
        </w:rPr>
        <w:t>Eisai Europe Ltd  </w:t>
      </w:r>
    </w:p>
    <w:p w:rsidRPr="008C317E" w:rsidR="008C317E" w:rsidP="008C317E" w:rsidRDefault="008C317E" w14:paraId="48AE47DA" w14:textId="77777777">
      <w:pPr>
        <w:spacing w:after="0" w:line="240" w:lineRule="auto"/>
        <w:rPr>
          <w:rFonts w:ascii="Arial" w:hAnsi="Arial" w:cs="Arial"/>
          <w:sz w:val="20"/>
          <w:szCs w:val="20"/>
        </w:rPr>
      </w:pPr>
      <w:r w:rsidRPr="008C317E">
        <w:rPr>
          <w:rFonts w:ascii="Arial" w:hAnsi="Arial" w:cs="Arial"/>
          <w:sz w:val="20"/>
          <w:szCs w:val="20"/>
        </w:rPr>
        <w:t>EMEA Knowledge Centre  </w:t>
      </w:r>
    </w:p>
    <w:p w:rsidRPr="008C317E" w:rsidR="008C317E" w:rsidP="008C317E" w:rsidRDefault="008C317E" w14:paraId="6107629D" w14:textId="77777777">
      <w:pPr>
        <w:spacing w:after="0" w:line="240" w:lineRule="auto"/>
        <w:rPr>
          <w:rFonts w:ascii="Arial" w:hAnsi="Arial" w:cs="Arial"/>
          <w:sz w:val="20"/>
          <w:szCs w:val="20"/>
        </w:rPr>
      </w:pPr>
      <w:r w:rsidRPr="008C317E">
        <w:rPr>
          <w:rFonts w:ascii="Arial" w:hAnsi="Arial" w:cs="Arial"/>
          <w:sz w:val="20"/>
          <w:szCs w:val="20"/>
        </w:rPr>
        <w:t>Mosquito Way  </w:t>
      </w:r>
    </w:p>
    <w:p w:rsidRPr="008C317E" w:rsidR="008C317E" w:rsidP="008C317E" w:rsidRDefault="008C317E" w14:paraId="735F1ADE" w14:textId="77777777">
      <w:pPr>
        <w:spacing w:after="0" w:line="240" w:lineRule="auto"/>
        <w:rPr>
          <w:rFonts w:ascii="Arial" w:hAnsi="Arial" w:cs="Arial"/>
          <w:sz w:val="20"/>
          <w:szCs w:val="20"/>
        </w:rPr>
      </w:pPr>
      <w:r w:rsidRPr="008C317E">
        <w:rPr>
          <w:rFonts w:ascii="Arial" w:hAnsi="Arial" w:cs="Arial"/>
          <w:sz w:val="20"/>
          <w:szCs w:val="20"/>
        </w:rPr>
        <w:t>Hatfield  </w:t>
      </w:r>
    </w:p>
    <w:p w:rsidRPr="008C317E" w:rsidR="008C317E" w:rsidP="008C317E" w:rsidRDefault="008C317E" w14:paraId="22969DD4" w14:textId="77777777">
      <w:pPr>
        <w:spacing w:after="0" w:line="240" w:lineRule="auto"/>
        <w:rPr>
          <w:rFonts w:ascii="Arial" w:hAnsi="Arial" w:cs="Arial"/>
          <w:sz w:val="20"/>
          <w:szCs w:val="20"/>
        </w:rPr>
      </w:pPr>
      <w:r w:rsidRPr="008C317E">
        <w:rPr>
          <w:rFonts w:ascii="Arial" w:hAnsi="Arial" w:cs="Arial"/>
          <w:sz w:val="20"/>
          <w:szCs w:val="20"/>
        </w:rPr>
        <w:t>AL10 9SN </w:t>
      </w:r>
    </w:p>
    <w:p w:rsidRPr="00362DB8" w:rsidR="00F24B1D" w:rsidRDefault="00F24B1D" w14:paraId="1F256B99" w14:textId="77777777">
      <w:pPr>
        <w:rPr>
          <w:rFonts w:ascii="Arial" w:hAnsi="Arial" w:cs="Arial"/>
          <w:sz w:val="20"/>
          <w:szCs w:val="20"/>
        </w:rPr>
      </w:pPr>
    </w:p>
    <w:p w:rsidRPr="00362DB8" w:rsidR="00B737D4" w:rsidP="00B737D4" w:rsidRDefault="008C317E" w14:paraId="04E6623B" w14:textId="7AAB5144">
      <w:pPr>
        <w:rPr>
          <w:rFonts w:ascii="Arial" w:hAnsi="Arial" w:cs="Arial"/>
          <w:sz w:val="20"/>
          <w:szCs w:val="20"/>
        </w:rPr>
      </w:pPr>
      <w:r>
        <w:rPr>
          <w:rFonts w:ascii="Arial" w:hAnsi="Arial" w:cs="Arial"/>
          <w:sz w:val="20"/>
          <w:szCs w:val="20"/>
        </w:rPr>
        <w:t>31 July 2025</w:t>
      </w:r>
    </w:p>
    <w:p w:rsidRPr="00362DB8" w:rsidR="00B737D4" w:rsidP="00B737D4" w:rsidRDefault="00B737D4" w14:paraId="15532A62" w14:textId="77777777">
      <w:pPr>
        <w:rPr>
          <w:rStyle w:val="Hyperlink"/>
          <w:rFonts w:ascii="Arial" w:hAnsi="Arial" w:cs="Arial"/>
          <w:sz w:val="20"/>
          <w:szCs w:val="20"/>
        </w:rPr>
      </w:pPr>
    </w:p>
    <w:p w:rsidRPr="00362DB8" w:rsidR="00F24B1D" w:rsidP="00F24B1D" w:rsidRDefault="00F24B1D" w14:paraId="47BE397A" w14:textId="744F8B16">
      <w:pPr>
        <w:ind w:left="426" w:right="468" w:hanging="426"/>
        <w:jc w:val="both"/>
        <w:rPr>
          <w:rFonts w:ascii="Arial" w:hAnsi="Arial" w:cs="Arial"/>
          <w:noProof/>
          <w:spacing w:val="-3"/>
          <w:sz w:val="20"/>
          <w:szCs w:val="20"/>
          <w:lang w:eastAsia="en-GB"/>
        </w:rPr>
      </w:pPr>
      <w:bookmarkStart w:name="deartext" w:id="0"/>
      <w:r w:rsidRPr="00362DB8">
        <w:rPr>
          <w:rFonts w:ascii="Arial" w:hAnsi="Arial" w:cs="Arial"/>
          <w:sz w:val="20"/>
          <w:szCs w:val="20"/>
        </w:rPr>
        <w:t>Dear</w:t>
      </w:r>
      <w:bookmarkEnd w:id="0"/>
      <w:r w:rsidR="008C317E">
        <w:rPr>
          <w:rFonts w:ascii="Arial" w:hAnsi="Arial" w:cs="Arial"/>
          <w:sz w:val="20"/>
          <w:szCs w:val="20"/>
        </w:rPr>
        <w:t xml:space="preserve"> </w:t>
      </w:r>
      <w:r w:rsidRPr="0061084F" w:rsidR="0061084F">
        <w:rPr>
          <w:rFonts w:ascii="Arial" w:hAnsi="Arial" w:cs="Arial"/>
          <w:sz w:val="20"/>
          <w:szCs w:val="20"/>
          <w:highlight w:val="black"/>
        </w:rPr>
        <w:t>XXX</w:t>
      </w:r>
      <w:r w:rsidR="0061084F">
        <w:rPr>
          <w:rFonts w:ascii="Arial" w:hAnsi="Arial" w:cs="Arial"/>
          <w:sz w:val="20"/>
          <w:szCs w:val="20"/>
          <w:highlight w:val="black"/>
        </w:rPr>
        <w:t>X</w:t>
      </w:r>
      <w:r w:rsidRPr="0061084F" w:rsidR="0061084F">
        <w:rPr>
          <w:rFonts w:ascii="Arial" w:hAnsi="Arial" w:cs="Arial"/>
          <w:sz w:val="20"/>
          <w:szCs w:val="20"/>
          <w:highlight w:val="black"/>
        </w:rPr>
        <w:t>XXX</w:t>
      </w:r>
    </w:p>
    <w:p w:rsidRPr="00362DB8" w:rsidR="00F24B1D" w:rsidP="00F24B1D" w:rsidRDefault="00F24B1D" w14:paraId="67AFD44F" w14:textId="1F41A479">
      <w:pPr>
        <w:ind w:left="426" w:right="468" w:hanging="426"/>
        <w:jc w:val="both"/>
        <w:rPr>
          <w:rFonts w:ascii="Arial" w:hAnsi="Arial" w:cs="Arial"/>
          <w:b/>
          <w:sz w:val="20"/>
          <w:szCs w:val="20"/>
        </w:rPr>
      </w:pPr>
      <w:r w:rsidRPr="00362DB8">
        <w:rPr>
          <w:rFonts w:ascii="Arial" w:hAnsi="Arial" w:cs="Arial"/>
          <w:noProof/>
          <w:color w:val="333333"/>
          <w:sz w:val="20"/>
          <w:szCs w:val="20"/>
          <w:lang w:eastAsia="en-GB"/>
        </w:rPr>
        <mc:AlternateContent>
          <mc:Choice Requires="wps">
            <w:drawing>
              <wp:anchor distT="4294967294" distB="4294967294" distL="114300" distR="114300" simplePos="0" relativeHeight="251658240"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24D09925">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u/ygEAAIEDAAAOAAAAZHJzL2Uyb0RvYy54bWysU01vEzEQvSPxHyzfySZBhbLKpodE5VJB&#10;pAL3idfetfCXZkw2+feMnTRt4YbQStbYM/s8783z6u7onThoJBtDJxezuRQ6qNjbMHTy+7f7d7dS&#10;UIbQg4tBd/KkSd6t375ZTanVyzhG12sUDBKonVInx5xT2zSkRu2BZjHpwEkT0UPmLQ5NjzAxunfN&#10;cj7/0EwR+4RRaSI+3Z6Tcl3xjdEqfzWGdBauk9xbrivWdV/WZr2CdkBIo1WXNuAfuvBgA196hdpC&#10;BvEL7V9Q3iqMFE2eqeibaIxVunJgNov5H2weR0i6cmFxKF1lov8Hq74cdihs38mlFAE8j+gxI9hh&#10;zGITQ2ABI4pl0WlK1HL5JuywMFXH8JgeovpJnGteJcuG0rnsaNAL42z6wfaoEjFpcawTOF0noI9Z&#10;KD68XXxa3EihnjINtAWg3JeQ8mcdvShBJ50NRRpo4fBAubTwXFKOQ7y3ztXxuiCmTr5ffCzIwCYz&#10;DjKHPjFtCoMU4AZ2r8pYESk625e/Cw7hsN84FAdgB93My1fE4NtelZWmtkDjua6mLmUuFBhdvXjp&#10;9FmfEu1jf9rhk4g854p+8WQx0ss9xy9fzvo3AA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BLpbv8oBAACBAwAADgAA&#10;AAAAAAAAAAAAAAAuAgAAZHJzL2Uyb0RvYy54bWxQSwECLQAUAAYACAAAACEA2X1V2eAAAAALAQAA&#10;DwAAAAAAAAAAAAAAAAAkBAAAZHJzL2Rvd25yZXYueG1sUEsFBgAAAAAEAAQA8wAAADEFAAAAAA==&#10;" w14:anchorId="432FF0ED">
                <o:lock v:ext="edit" shapetype="f"/>
              </v:line>
            </w:pict>
          </mc:Fallback>
        </mc:AlternateContent>
      </w:r>
      <w:r w:rsidRPr="00362DB8">
        <w:rPr>
          <w:rFonts w:ascii="Arial" w:hAnsi="Arial" w:cs="Arial"/>
          <w:b/>
          <w:spacing w:val="-3"/>
          <w:sz w:val="20"/>
          <w:szCs w:val="20"/>
        </w:rPr>
        <w:t xml:space="preserve">Re: </w:t>
      </w:r>
      <w:r w:rsidRPr="00362DB8" w:rsidR="00E3229A">
        <w:rPr>
          <w:rFonts w:ascii="Arial" w:hAnsi="Arial" w:cs="Arial"/>
          <w:b/>
          <w:sz w:val="20"/>
          <w:szCs w:val="20"/>
        </w:rPr>
        <w:t xml:space="preserve">Final Draft Guidance </w:t>
      </w:r>
      <w:r w:rsidRPr="00362DB8" w:rsidR="00871476">
        <w:rPr>
          <w:rFonts w:ascii="Arial" w:hAnsi="Arial" w:cs="Arial"/>
          <w:b/>
          <w:sz w:val="20"/>
          <w:szCs w:val="20"/>
        </w:rPr>
        <w:t>-</w:t>
      </w:r>
      <w:r w:rsidRPr="00362DB8" w:rsidR="00E3229A">
        <w:rPr>
          <w:rFonts w:ascii="Arial" w:hAnsi="Arial" w:cs="Arial"/>
          <w:b/>
          <w:sz w:val="20"/>
          <w:szCs w:val="20"/>
        </w:rPr>
        <w:t xml:space="preserve"> </w:t>
      </w:r>
      <w:proofErr w:type="spellStart"/>
      <w:r w:rsidRPr="00362DB8" w:rsidR="00E3229A">
        <w:rPr>
          <w:rFonts w:ascii="Arial" w:hAnsi="Arial" w:cs="Arial"/>
          <w:b/>
          <w:sz w:val="20"/>
          <w:szCs w:val="20"/>
        </w:rPr>
        <w:t>lecanemab</w:t>
      </w:r>
      <w:proofErr w:type="spellEnd"/>
      <w:r w:rsidRPr="00362DB8" w:rsidR="00E3229A">
        <w:rPr>
          <w:rFonts w:ascii="Arial" w:hAnsi="Arial" w:cs="Arial"/>
          <w:b/>
          <w:sz w:val="20"/>
          <w:szCs w:val="20"/>
        </w:rPr>
        <w:t xml:space="preserve"> for treating mild cognitive impairment or mild dementia caused by Alzheimer’s disease [ID4043]</w:t>
      </w:r>
    </w:p>
    <w:p w:rsidRPr="00362DB8" w:rsidR="00DB178D" w:rsidP="00DB178D" w:rsidRDefault="00DB178D" w14:paraId="645F333C" w14:textId="17F748A1">
      <w:pPr>
        <w:spacing w:before="240" w:after="240"/>
        <w:jc w:val="both"/>
        <w:rPr>
          <w:rFonts w:ascii="Arial" w:hAnsi="Arial" w:eastAsia="Times New Roman" w:cs="Arial"/>
          <w:sz w:val="20"/>
          <w:szCs w:val="20"/>
        </w:rPr>
      </w:pPr>
      <w:r w:rsidRPr="00362DB8">
        <w:rPr>
          <w:rFonts w:ascii="Arial" w:hAnsi="Arial" w:eastAsia="Times New Roman" w:cs="Arial"/>
          <w:sz w:val="20"/>
          <w:szCs w:val="20"/>
        </w:rPr>
        <w:t xml:space="preserve">Thank you for your letter of </w:t>
      </w:r>
      <w:r w:rsidRPr="00362DB8" w:rsidR="00A6586B">
        <w:rPr>
          <w:rFonts w:ascii="Arial" w:hAnsi="Arial" w:eastAsia="Times New Roman" w:cs="Arial"/>
          <w:sz w:val="20"/>
          <w:szCs w:val="20"/>
        </w:rPr>
        <w:t>24 July 2025</w:t>
      </w:r>
      <w:r w:rsidRPr="00362DB8">
        <w:rPr>
          <w:rFonts w:ascii="Arial" w:hAnsi="Arial" w:eastAsia="Times New Roman" w:cs="Arial"/>
          <w:sz w:val="20"/>
          <w:szCs w:val="20"/>
        </w:rPr>
        <w:t xml:space="preserve"> responding to my initial scrutiny views.  This is my final decision on initial scrutiny.</w:t>
      </w:r>
    </w:p>
    <w:p w:rsidRPr="00362DB8" w:rsidR="00DB178D" w:rsidP="00DB178D" w:rsidRDefault="00DB178D" w14:paraId="55B1D5E2" w14:textId="28FD5E0E">
      <w:pPr>
        <w:spacing w:before="240" w:after="240"/>
        <w:jc w:val="both"/>
        <w:rPr>
          <w:rFonts w:ascii="Arial" w:hAnsi="Arial" w:eastAsia="Times New Roman" w:cs="Arial"/>
          <w:sz w:val="20"/>
          <w:szCs w:val="20"/>
        </w:rPr>
      </w:pPr>
      <w:r w:rsidRPr="00362DB8">
        <w:rPr>
          <w:rFonts w:ascii="Arial" w:hAnsi="Arial" w:eastAsia="Times New Roman" w:cs="Arial"/>
          <w:sz w:val="20"/>
          <w:szCs w:val="20"/>
        </w:rPr>
        <w:t xml:space="preserve">I </w:t>
      </w:r>
      <w:r w:rsidRPr="00362DB8" w:rsidR="00BB16DB">
        <w:rPr>
          <w:rFonts w:ascii="Arial" w:hAnsi="Arial" w:eastAsia="Times New Roman" w:cs="Arial"/>
          <w:sz w:val="20"/>
          <w:szCs w:val="20"/>
        </w:rPr>
        <w:t>assess each of your points in turn.</w:t>
      </w:r>
    </w:p>
    <w:p w:rsidRPr="00362DB8" w:rsidR="00CD7553" w:rsidP="00CD7553" w:rsidRDefault="00CD7553" w14:paraId="2373D9E9" w14:textId="77777777">
      <w:pPr>
        <w:spacing w:before="120" w:after="0" w:line="240" w:lineRule="auto"/>
        <w:rPr>
          <w:rFonts w:ascii="Arial" w:hAnsi="Arial" w:cs="Arial"/>
          <w:b/>
          <w:i/>
          <w:sz w:val="20"/>
          <w:szCs w:val="20"/>
          <w:lang w:eastAsia="en-GB"/>
        </w:rPr>
      </w:pPr>
      <w:r w:rsidRPr="00362DB8">
        <w:rPr>
          <w:rFonts w:ascii="Arial" w:hAnsi="Arial" w:cs="Arial"/>
          <w:b/>
          <w:i/>
          <w:sz w:val="20"/>
          <w:szCs w:val="20"/>
          <w:lang w:eastAsia="en-GB"/>
        </w:rPr>
        <w:t>Ground 1(a): In making the assessment that preceded the recommendation, NICE has failed to act fairly.</w:t>
      </w:r>
    </w:p>
    <w:p w:rsidRPr="00362DB8" w:rsidR="00A6586B" w:rsidP="00DB178D" w:rsidRDefault="00A6586B" w14:paraId="4519485E" w14:textId="77777777">
      <w:pPr>
        <w:spacing w:before="240" w:after="240"/>
        <w:jc w:val="both"/>
        <w:rPr>
          <w:rFonts w:ascii="Arial" w:hAnsi="Arial" w:eastAsia="Times New Roman" w:cs="Arial"/>
          <w:b/>
          <w:bCs/>
          <w:sz w:val="20"/>
          <w:szCs w:val="20"/>
          <w:u w:val="single"/>
        </w:rPr>
      </w:pPr>
      <w:r w:rsidRPr="00362DB8">
        <w:rPr>
          <w:rFonts w:ascii="Arial" w:hAnsi="Arial" w:eastAsia="Times New Roman" w:cs="Arial"/>
          <w:b/>
          <w:bCs/>
          <w:sz w:val="20"/>
          <w:szCs w:val="20"/>
          <w:u w:val="single"/>
        </w:rPr>
        <w:t xml:space="preserve">1(a).1 The disclosure of information regarding infusion costs very shortly before the third Appraisal Committee meeting (ACM3) without opportunity for consideration or comment by consultees was procedurally unfair </w:t>
      </w:r>
    </w:p>
    <w:p w:rsidRPr="00362DB8" w:rsidR="00B862DE" w:rsidP="00A6586B" w:rsidRDefault="00A6586B" w14:paraId="1D21671D" w14:textId="5840637F">
      <w:pPr>
        <w:spacing w:before="120" w:after="240"/>
        <w:rPr>
          <w:rFonts w:ascii="Arial" w:hAnsi="Arial" w:eastAsia="Times New Roman"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 xml:space="preserve">Having considered the additional arguments made in your letter of 24 July 2025, I agree that this is a valid appeal point.   </w:t>
      </w:r>
    </w:p>
    <w:p w:rsidRPr="00362DB8" w:rsidR="00B862DE" w:rsidP="00A6586B" w:rsidRDefault="00F71FE6" w14:paraId="525D86FC" w14:textId="636D1C07">
      <w:pPr>
        <w:spacing w:before="120" w:after="240"/>
        <w:rPr>
          <w:rFonts w:ascii="Arial" w:hAnsi="Arial" w:eastAsia="Times New Roman"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In reaching this view I note</w:t>
      </w:r>
      <w:r w:rsidRPr="00362DB8" w:rsidR="00B862DE">
        <w:rPr>
          <w:rFonts w:ascii="Arial" w:hAnsi="Arial" w:eastAsia="Times New Roman" w:cs="Arial"/>
          <w:color w:val="0D0D0D" w:themeColor="text1" w:themeTint="F2"/>
          <w:sz w:val="20"/>
          <w:szCs w:val="20"/>
          <w:lang w:eastAsia="en-GB"/>
        </w:rPr>
        <w:t xml:space="preserve"> you</w:t>
      </w:r>
      <w:r w:rsidRPr="00362DB8">
        <w:rPr>
          <w:rFonts w:ascii="Arial" w:hAnsi="Arial" w:eastAsia="Times New Roman" w:cs="Arial"/>
          <w:color w:val="0D0D0D" w:themeColor="text1" w:themeTint="F2"/>
          <w:sz w:val="20"/>
          <w:szCs w:val="20"/>
          <w:lang w:eastAsia="en-GB"/>
        </w:rPr>
        <w:t>r additional arguments that</w:t>
      </w:r>
      <w:r w:rsidRPr="00362DB8" w:rsidR="00B862DE">
        <w:rPr>
          <w:rFonts w:ascii="Arial" w:hAnsi="Arial" w:eastAsia="Times New Roman" w:cs="Arial"/>
          <w:color w:val="0D0D0D" w:themeColor="text1" w:themeTint="F2"/>
          <w:sz w:val="20"/>
          <w:szCs w:val="20"/>
          <w:lang w:eastAsia="en-GB"/>
        </w:rPr>
        <w:t xml:space="preserve"> </w:t>
      </w:r>
      <w:r w:rsidRPr="00362DB8">
        <w:rPr>
          <w:rFonts w:ascii="Arial" w:hAnsi="Arial" w:eastAsia="Times New Roman" w:cs="Arial"/>
          <w:color w:val="0D0D0D" w:themeColor="text1" w:themeTint="F2"/>
          <w:sz w:val="20"/>
          <w:szCs w:val="20"/>
          <w:lang w:eastAsia="en-GB"/>
        </w:rPr>
        <w:t>Eisai made</w:t>
      </w:r>
      <w:r w:rsidRPr="00362DB8" w:rsidR="00B862DE">
        <w:rPr>
          <w:rFonts w:ascii="Arial" w:hAnsi="Arial" w:eastAsia="Times New Roman" w:cs="Arial"/>
          <w:color w:val="0D0D0D" w:themeColor="text1" w:themeTint="F2"/>
          <w:sz w:val="20"/>
          <w:szCs w:val="20"/>
          <w:lang w:eastAsia="en-GB"/>
        </w:rPr>
        <w:t xml:space="preserve"> repeated requests to the Committee for NHS England's estimated infusion costs and that they could have been provided earlier in the process.  I also note </w:t>
      </w:r>
      <w:r w:rsidRPr="00362DB8" w:rsidR="00194281">
        <w:rPr>
          <w:rFonts w:ascii="Arial" w:hAnsi="Arial" w:eastAsia="Times New Roman" w:cs="Arial"/>
          <w:color w:val="0D0D0D" w:themeColor="text1" w:themeTint="F2"/>
          <w:sz w:val="20"/>
          <w:szCs w:val="20"/>
          <w:lang w:eastAsia="en-GB"/>
        </w:rPr>
        <w:t xml:space="preserve">your position </w:t>
      </w:r>
      <w:r w:rsidRPr="00362DB8" w:rsidR="00B862DE">
        <w:rPr>
          <w:rFonts w:ascii="Arial" w:hAnsi="Arial" w:eastAsia="Times New Roman" w:cs="Arial"/>
          <w:color w:val="0D0D0D" w:themeColor="text1" w:themeTint="F2"/>
          <w:sz w:val="20"/>
          <w:szCs w:val="20"/>
          <w:lang w:eastAsia="en-GB"/>
        </w:rPr>
        <w:t>that E</w:t>
      </w:r>
      <w:r w:rsidRPr="00362DB8" w:rsidR="00194281">
        <w:rPr>
          <w:rFonts w:ascii="Arial" w:hAnsi="Arial" w:eastAsia="Times New Roman" w:cs="Arial"/>
          <w:color w:val="0D0D0D" w:themeColor="text1" w:themeTint="F2"/>
          <w:sz w:val="20"/>
          <w:szCs w:val="20"/>
          <w:lang w:eastAsia="en-GB"/>
        </w:rPr>
        <w:t>i</w:t>
      </w:r>
      <w:r w:rsidRPr="00362DB8" w:rsidR="00B862DE">
        <w:rPr>
          <w:rFonts w:ascii="Arial" w:hAnsi="Arial" w:eastAsia="Times New Roman" w:cs="Arial"/>
          <w:color w:val="0D0D0D" w:themeColor="text1" w:themeTint="F2"/>
          <w:sz w:val="20"/>
          <w:szCs w:val="20"/>
          <w:lang w:eastAsia="en-GB"/>
        </w:rPr>
        <w:t>sai's preliminary response was not included in the Committee papers and there is no evidence that the EAG was able t</w:t>
      </w:r>
      <w:r w:rsidRPr="00362DB8">
        <w:rPr>
          <w:rFonts w:ascii="Arial" w:hAnsi="Arial" w:eastAsia="Times New Roman" w:cs="Arial"/>
          <w:color w:val="0D0D0D" w:themeColor="text1" w:themeTint="F2"/>
          <w:sz w:val="20"/>
          <w:szCs w:val="20"/>
          <w:lang w:eastAsia="en-GB"/>
        </w:rPr>
        <w:t>o</w:t>
      </w:r>
      <w:r w:rsidRPr="00362DB8" w:rsidR="00B862DE">
        <w:rPr>
          <w:rFonts w:ascii="Arial" w:hAnsi="Arial" w:eastAsia="Times New Roman" w:cs="Arial"/>
          <w:color w:val="0D0D0D" w:themeColor="text1" w:themeTint="F2"/>
          <w:sz w:val="20"/>
          <w:szCs w:val="20"/>
          <w:lang w:eastAsia="en-GB"/>
        </w:rPr>
        <w:t xml:space="preserve"> critique the </w:t>
      </w:r>
      <w:r w:rsidRPr="00362DB8">
        <w:rPr>
          <w:rFonts w:ascii="Arial" w:hAnsi="Arial" w:eastAsia="Times New Roman" w:cs="Arial"/>
          <w:color w:val="0D0D0D" w:themeColor="text1" w:themeTint="F2"/>
          <w:sz w:val="20"/>
          <w:szCs w:val="20"/>
          <w:lang w:eastAsia="en-GB"/>
        </w:rPr>
        <w:t>i</w:t>
      </w:r>
      <w:r w:rsidRPr="00362DB8" w:rsidR="00B862DE">
        <w:rPr>
          <w:rFonts w:ascii="Arial" w:hAnsi="Arial" w:eastAsia="Times New Roman" w:cs="Arial"/>
          <w:color w:val="0D0D0D" w:themeColor="text1" w:themeTint="F2"/>
          <w:sz w:val="20"/>
          <w:szCs w:val="20"/>
          <w:lang w:eastAsia="en-GB"/>
        </w:rPr>
        <w:t xml:space="preserve">nfusion </w:t>
      </w:r>
      <w:r w:rsidRPr="00362DB8">
        <w:rPr>
          <w:rFonts w:ascii="Arial" w:hAnsi="Arial" w:eastAsia="Times New Roman" w:cs="Arial"/>
          <w:color w:val="0D0D0D" w:themeColor="text1" w:themeTint="F2"/>
          <w:sz w:val="20"/>
          <w:szCs w:val="20"/>
          <w:lang w:eastAsia="en-GB"/>
        </w:rPr>
        <w:t>c</w:t>
      </w:r>
      <w:r w:rsidRPr="00362DB8" w:rsidR="00B862DE">
        <w:rPr>
          <w:rFonts w:ascii="Arial" w:hAnsi="Arial" w:eastAsia="Times New Roman" w:cs="Arial"/>
          <w:color w:val="0D0D0D" w:themeColor="text1" w:themeTint="F2"/>
          <w:sz w:val="20"/>
          <w:szCs w:val="20"/>
          <w:lang w:eastAsia="en-GB"/>
        </w:rPr>
        <w:t xml:space="preserve">osts estimate document.  </w:t>
      </w:r>
      <w:proofErr w:type="gramStart"/>
      <w:r w:rsidRPr="00362DB8">
        <w:rPr>
          <w:rFonts w:ascii="Arial" w:hAnsi="Arial" w:eastAsia="Times New Roman" w:cs="Arial"/>
          <w:color w:val="0D0D0D" w:themeColor="text1" w:themeTint="F2"/>
          <w:sz w:val="20"/>
          <w:szCs w:val="20"/>
          <w:lang w:eastAsia="en-GB"/>
        </w:rPr>
        <w:t>Therefore</w:t>
      </w:r>
      <w:proofErr w:type="gramEnd"/>
      <w:r w:rsidRPr="00362DB8">
        <w:rPr>
          <w:rFonts w:ascii="Arial" w:hAnsi="Arial" w:eastAsia="Times New Roman" w:cs="Arial"/>
          <w:color w:val="0D0D0D" w:themeColor="text1" w:themeTint="F2"/>
          <w:sz w:val="20"/>
          <w:szCs w:val="20"/>
          <w:lang w:eastAsia="en-GB"/>
        </w:rPr>
        <w:t xml:space="preserve"> </w:t>
      </w:r>
      <w:r w:rsidRPr="00362DB8" w:rsidR="00B862DE">
        <w:rPr>
          <w:rFonts w:ascii="Arial" w:hAnsi="Arial" w:eastAsia="Times New Roman" w:cs="Arial"/>
          <w:color w:val="0D0D0D" w:themeColor="text1" w:themeTint="F2"/>
          <w:sz w:val="20"/>
          <w:szCs w:val="20"/>
          <w:lang w:eastAsia="en-GB"/>
        </w:rPr>
        <w:t xml:space="preserve">I am </w:t>
      </w:r>
      <w:r w:rsidRPr="00362DB8">
        <w:rPr>
          <w:rFonts w:ascii="Arial" w:hAnsi="Arial" w:eastAsia="Times New Roman" w:cs="Arial"/>
          <w:color w:val="0D0D0D" w:themeColor="text1" w:themeTint="F2"/>
          <w:sz w:val="20"/>
          <w:szCs w:val="20"/>
          <w:lang w:eastAsia="en-GB"/>
        </w:rPr>
        <w:t xml:space="preserve">of </w:t>
      </w:r>
      <w:r w:rsidRPr="00362DB8" w:rsidR="00B862DE">
        <w:rPr>
          <w:rFonts w:ascii="Arial" w:hAnsi="Arial" w:eastAsia="Times New Roman" w:cs="Arial"/>
          <w:color w:val="0D0D0D" w:themeColor="text1" w:themeTint="F2"/>
          <w:sz w:val="20"/>
          <w:szCs w:val="20"/>
          <w:lang w:eastAsia="en-GB"/>
        </w:rPr>
        <w:t>the view that it is arguable that the consultation was procedurally unfair and did not allow sufficient time for the information to be fully considered.</w:t>
      </w:r>
    </w:p>
    <w:p w:rsidRPr="00362DB8" w:rsidR="00CD7553" w:rsidP="00A6586B" w:rsidRDefault="00A6586B" w14:paraId="3C3B2272" w14:textId="5F95B26D">
      <w:pPr>
        <w:spacing w:before="240" w:after="240"/>
        <w:jc w:val="both"/>
        <w:rPr>
          <w:rFonts w:ascii="Arial" w:hAnsi="Arial" w:cs="Arial"/>
          <w:b/>
          <w:bCs/>
          <w:sz w:val="20"/>
          <w:szCs w:val="20"/>
          <w:u w:val="single"/>
        </w:rPr>
      </w:pPr>
      <w:r w:rsidRPr="00362DB8">
        <w:rPr>
          <w:rFonts w:ascii="Arial" w:hAnsi="Arial" w:cs="Arial"/>
          <w:b/>
          <w:bCs/>
          <w:sz w:val="20"/>
          <w:szCs w:val="20"/>
          <w:u w:val="single"/>
        </w:rPr>
        <w:t xml:space="preserve">1(a).2 The evidence and reasoning of the Committee in relation to infusion costs lacks transparency despite the evidence submitted by NHS England prior to ACM3 </w:t>
      </w:r>
    </w:p>
    <w:p w:rsidRPr="00362DB8" w:rsidR="00801DB2" w:rsidP="00A6586B" w:rsidRDefault="00FB4D96" w14:paraId="38F35983" w14:textId="0D44E383">
      <w:pPr>
        <w:spacing w:before="240" w:after="240"/>
        <w:jc w:val="both"/>
        <w:rPr>
          <w:rFonts w:ascii="Arial" w:hAnsi="Arial" w:cs="Arial"/>
          <w:sz w:val="20"/>
          <w:szCs w:val="20"/>
        </w:rPr>
      </w:pPr>
      <w:r w:rsidRPr="00362DB8">
        <w:rPr>
          <w:rFonts w:ascii="Arial" w:hAnsi="Arial" w:cs="Arial"/>
          <w:sz w:val="20"/>
          <w:szCs w:val="20"/>
        </w:rPr>
        <w:t xml:space="preserve">I have considered your additional arguments in respect of the two </w:t>
      </w:r>
      <w:r w:rsidRPr="00362DB8" w:rsidR="00194281">
        <w:rPr>
          <w:rFonts w:ascii="Arial" w:hAnsi="Arial" w:cs="Arial"/>
          <w:sz w:val="20"/>
          <w:szCs w:val="20"/>
        </w:rPr>
        <w:t xml:space="preserve">parts to </w:t>
      </w:r>
      <w:r w:rsidRPr="00362DB8" w:rsidR="00F71FE6">
        <w:rPr>
          <w:rFonts w:ascii="Arial" w:hAnsi="Arial" w:cs="Arial"/>
          <w:sz w:val="20"/>
          <w:szCs w:val="20"/>
        </w:rPr>
        <w:t>this</w:t>
      </w:r>
      <w:r w:rsidRPr="00362DB8">
        <w:rPr>
          <w:rFonts w:ascii="Arial" w:hAnsi="Arial" w:cs="Arial"/>
          <w:sz w:val="20"/>
          <w:szCs w:val="20"/>
        </w:rPr>
        <w:t xml:space="preserve"> appeal point.</w:t>
      </w:r>
    </w:p>
    <w:p w:rsidRPr="00362DB8" w:rsidR="006D1524" w:rsidP="006D1524" w:rsidRDefault="006D1524" w14:paraId="108FAD31" w14:textId="61039519">
      <w:pPr>
        <w:pStyle w:val="ListParagraph"/>
        <w:numPr>
          <w:ilvl w:val="0"/>
          <w:numId w:val="11"/>
        </w:numPr>
        <w:spacing w:before="240" w:after="240"/>
        <w:jc w:val="both"/>
        <w:rPr>
          <w:rFonts w:cs="Arial"/>
          <w:i/>
          <w:iCs/>
        </w:rPr>
      </w:pPr>
      <w:r w:rsidRPr="00362DB8">
        <w:rPr>
          <w:rFonts w:cs="Arial"/>
          <w:i/>
          <w:iCs/>
        </w:rPr>
        <w:t>The evidence submitted by NHS England lacks transparency</w:t>
      </w:r>
    </w:p>
    <w:p w:rsidRPr="00362DB8" w:rsidR="00412EAE" w:rsidP="00412EAE" w:rsidRDefault="00412EAE" w14:paraId="4271928A" w14:textId="77777777">
      <w:pPr>
        <w:spacing w:before="120" w:after="240"/>
        <w:rPr>
          <w:rFonts w:ascii="Arial" w:hAnsi="Arial" w:cs="Arial"/>
          <w:color w:val="0D0D0D" w:themeColor="text1" w:themeTint="F2"/>
          <w:sz w:val="20"/>
          <w:szCs w:val="20"/>
          <w:lang w:eastAsia="en-GB"/>
        </w:rPr>
      </w:pPr>
      <w:r w:rsidRPr="00362DB8">
        <w:rPr>
          <w:rFonts w:ascii="Arial" w:hAnsi="Arial" w:cs="Arial"/>
          <w:color w:val="0D0D0D" w:themeColor="text1" w:themeTint="F2"/>
          <w:sz w:val="20"/>
          <w:szCs w:val="20"/>
          <w:lang w:eastAsia="en-GB"/>
        </w:rPr>
        <w:t xml:space="preserve">For the reasons I set out at initial scrutiny, I remain of the view that this appeal point should not proceed to an oral hearing.  </w:t>
      </w:r>
    </w:p>
    <w:p w:rsidRPr="00362DB8" w:rsidR="00412EAE" w:rsidP="00412EAE" w:rsidRDefault="00412EAE" w14:paraId="1A0F9B1E" w14:textId="77777777">
      <w:pPr>
        <w:spacing w:before="120" w:after="240"/>
        <w:rPr>
          <w:rFonts w:ascii="Arial" w:hAnsi="Arial" w:cs="Arial"/>
          <w:color w:val="0D0D0D" w:themeColor="text1" w:themeTint="F2"/>
          <w:sz w:val="20"/>
          <w:szCs w:val="20"/>
          <w:lang w:eastAsia="en-GB"/>
        </w:rPr>
      </w:pPr>
      <w:r w:rsidRPr="00362DB8">
        <w:rPr>
          <w:rFonts w:ascii="Arial" w:hAnsi="Arial" w:cs="Arial"/>
          <w:color w:val="0D0D0D" w:themeColor="text1" w:themeTint="F2"/>
          <w:sz w:val="20"/>
          <w:szCs w:val="20"/>
          <w:lang w:eastAsia="en-GB"/>
        </w:rPr>
        <w:t xml:space="preserve">I agree that transparency is a fundamental aspect of a fair procedure, and that, in line with the </w:t>
      </w:r>
      <w:r w:rsidRPr="00362DB8">
        <w:rPr>
          <w:rFonts w:ascii="Arial" w:hAnsi="Arial" w:cs="Arial"/>
          <w:i/>
          <w:iCs/>
          <w:color w:val="0D0D0D" w:themeColor="text1" w:themeTint="F2"/>
          <w:sz w:val="20"/>
          <w:szCs w:val="20"/>
          <w:lang w:eastAsia="en-GB"/>
        </w:rPr>
        <w:t xml:space="preserve">Eisai </w:t>
      </w:r>
      <w:r w:rsidRPr="00362DB8">
        <w:rPr>
          <w:rFonts w:ascii="Arial" w:hAnsi="Arial" w:cs="Arial"/>
          <w:color w:val="0D0D0D" w:themeColor="text1" w:themeTint="F2"/>
          <w:sz w:val="20"/>
          <w:szCs w:val="20"/>
          <w:lang w:eastAsia="en-GB"/>
        </w:rPr>
        <w:t xml:space="preserve">and </w:t>
      </w:r>
      <w:r w:rsidRPr="00362DB8">
        <w:rPr>
          <w:rFonts w:ascii="Arial" w:hAnsi="Arial" w:cs="Arial"/>
          <w:i/>
          <w:iCs/>
          <w:color w:val="0D0D0D" w:themeColor="text1" w:themeTint="F2"/>
          <w:sz w:val="20"/>
          <w:szCs w:val="20"/>
          <w:lang w:eastAsia="en-GB"/>
        </w:rPr>
        <w:t>Servier</w:t>
      </w:r>
      <w:r w:rsidRPr="00362DB8">
        <w:rPr>
          <w:rFonts w:ascii="Arial" w:hAnsi="Arial" w:cs="Arial"/>
          <w:color w:val="0D0D0D" w:themeColor="text1" w:themeTint="F2"/>
          <w:sz w:val="20"/>
          <w:szCs w:val="20"/>
          <w:lang w:eastAsia="en-GB"/>
        </w:rPr>
        <w:t xml:space="preserve"> cases, the standard of transparency applying to NICE appraisals is high.  I do not consider that the Committee's acceptance of NHS England's infusion estimate can arguably be challenged as a failure to ensure adequate transparency, in circumstances where in your view there are additional details underlying that estimate that: </w:t>
      </w:r>
    </w:p>
    <w:p w:rsidRPr="00362DB8" w:rsidR="00412EAE" w:rsidP="00412EAE" w:rsidRDefault="00412EAE" w14:paraId="63BE7F59" w14:textId="77777777">
      <w:pPr>
        <w:pStyle w:val="ListParagraph"/>
        <w:numPr>
          <w:ilvl w:val="0"/>
          <w:numId w:val="15"/>
        </w:numPr>
        <w:spacing w:before="120" w:after="240"/>
        <w:rPr>
          <w:rFonts w:cs="Arial"/>
          <w:color w:val="0D0D0D" w:themeColor="text1" w:themeTint="F2"/>
          <w:lang w:eastAsia="en-GB"/>
        </w:rPr>
      </w:pPr>
      <w:r w:rsidRPr="00362DB8">
        <w:rPr>
          <w:rFonts w:cs="Arial"/>
          <w:color w:val="0D0D0D" w:themeColor="text1" w:themeTint="F2"/>
          <w:lang w:eastAsia="en-GB"/>
        </w:rPr>
        <w:t xml:space="preserve">NHS England should have shared with the Committee; and </w:t>
      </w:r>
    </w:p>
    <w:p w:rsidRPr="00362DB8" w:rsidR="00412EAE" w:rsidP="00412EAE" w:rsidRDefault="00412EAE" w14:paraId="1E28750B" w14:textId="77777777">
      <w:pPr>
        <w:pStyle w:val="ListParagraph"/>
        <w:numPr>
          <w:ilvl w:val="0"/>
          <w:numId w:val="15"/>
        </w:numPr>
        <w:spacing w:before="120" w:after="240"/>
        <w:rPr>
          <w:rFonts w:cs="Arial"/>
          <w:color w:val="0D0D0D" w:themeColor="text1" w:themeTint="F2"/>
          <w:lang w:eastAsia="en-GB"/>
        </w:rPr>
      </w:pPr>
      <w:r w:rsidRPr="00362DB8">
        <w:rPr>
          <w:rFonts w:cs="Arial"/>
          <w:color w:val="0D0D0D" w:themeColor="text1" w:themeTint="F2"/>
          <w:lang w:eastAsia="en-GB"/>
        </w:rPr>
        <w:t>having received those additional details, the Committee should have shared with stakeholders.</w:t>
      </w:r>
    </w:p>
    <w:p w:rsidRPr="00362DB8" w:rsidR="00A239A5" w:rsidP="00A239A5" w:rsidRDefault="00412EAE" w14:paraId="144F5163" w14:textId="7CF700A2">
      <w:pPr>
        <w:spacing w:before="120" w:after="240"/>
        <w:rPr>
          <w:rFonts w:ascii="Arial" w:hAnsi="Arial" w:cs="Arial"/>
          <w:color w:val="0D0D0D" w:themeColor="text1" w:themeTint="F2"/>
          <w:sz w:val="20"/>
          <w:szCs w:val="20"/>
          <w:lang w:eastAsia="en-GB"/>
        </w:rPr>
      </w:pPr>
      <w:r w:rsidRPr="00362DB8">
        <w:rPr>
          <w:rFonts w:ascii="Arial" w:hAnsi="Arial" w:cs="Arial"/>
          <w:color w:val="0D0D0D" w:themeColor="text1" w:themeTint="F2"/>
          <w:sz w:val="20"/>
          <w:szCs w:val="20"/>
          <w:lang w:eastAsia="en-GB"/>
        </w:rPr>
        <w:t xml:space="preserve">Put shortly, I remain of the view that the duty of transparency owed by NICE does not oblige it to share </w:t>
      </w:r>
      <w:r w:rsidRPr="00362DB8" w:rsidR="00194281">
        <w:rPr>
          <w:rFonts w:ascii="Arial" w:hAnsi="Arial" w:cs="Arial"/>
          <w:color w:val="0D0D0D" w:themeColor="text1" w:themeTint="F2"/>
          <w:sz w:val="20"/>
          <w:szCs w:val="20"/>
          <w:lang w:eastAsia="en-GB"/>
        </w:rPr>
        <w:t xml:space="preserve">this </w:t>
      </w:r>
      <w:r w:rsidRPr="00362DB8">
        <w:rPr>
          <w:rFonts w:ascii="Arial" w:hAnsi="Arial" w:cs="Arial"/>
          <w:color w:val="0D0D0D" w:themeColor="text1" w:themeTint="F2"/>
          <w:sz w:val="20"/>
          <w:szCs w:val="20"/>
          <w:lang w:eastAsia="en-GB"/>
        </w:rPr>
        <w:t xml:space="preserve">information which it does not have.  This is the key distinction between the current circumstances and those of </w:t>
      </w:r>
      <w:r w:rsidRPr="00362DB8">
        <w:rPr>
          <w:rFonts w:ascii="Arial" w:hAnsi="Arial" w:cs="Arial"/>
          <w:i/>
          <w:iCs/>
          <w:color w:val="0D0D0D" w:themeColor="text1" w:themeTint="F2"/>
          <w:sz w:val="20"/>
          <w:szCs w:val="20"/>
          <w:lang w:eastAsia="en-GB"/>
        </w:rPr>
        <w:t xml:space="preserve">Eisai </w:t>
      </w:r>
      <w:r w:rsidRPr="00362DB8">
        <w:rPr>
          <w:rFonts w:ascii="Arial" w:hAnsi="Arial" w:cs="Arial"/>
          <w:color w:val="0D0D0D" w:themeColor="text1" w:themeTint="F2"/>
          <w:sz w:val="20"/>
          <w:szCs w:val="20"/>
          <w:lang w:eastAsia="en-GB"/>
        </w:rPr>
        <w:t xml:space="preserve">and </w:t>
      </w:r>
      <w:r w:rsidRPr="00362DB8">
        <w:rPr>
          <w:rFonts w:ascii="Arial" w:hAnsi="Arial" w:cs="Arial"/>
          <w:i/>
          <w:iCs/>
          <w:color w:val="0D0D0D" w:themeColor="text1" w:themeTint="F2"/>
          <w:sz w:val="20"/>
          <w:szCs w:val="20"/>
          <w:lang w:eastAsia="en-GB"/>
        </w:rPr>
        <w:t>Servier</w:t>
      </w:r>
      <w:r w:rsidRPr="00362DB8">
        <w:rPr>
          <w:rFonts w:ascii="Arial" w:hAnsi="Arial" w:cs="Arial"/>
          <w:color w:val="0D0D0D" w:themeColor="text1" w:themeTint="F2"/>
          <w:sz w:val="20"/>
          <w:szCs w:val="20"/>
          <w:lang w:eastAsia="en-GB"/>
        </w:rPr>
        <w:t xml:space="preserve">, which both considered NICE's duties in relation to information that was available to NICE.  </w:t>
      </w:r>
      <w:r w:rsidRPr="00362DB8" w:rsidR="00A239A5">
        <w:rPr>
          <w:rFonts w:ascii="Arial" w:hAnsi="Arial" w:cs="Arial"/>
          <w:color w:val="0D0D0D" w:themeColor="text1" w:themeTint="F2"/>
          <w:sz w:val="20"/>
          <w:szCs w:val="20"/>
          <w:lang w:eastAsia="en-GB"/>
        </w:rPr>
        <w:t xml:space="preserve"> </w:t>
      </w:r>
    </w:p>
    <w:p w:rsidRPr="00362DB8" w:rsidR="00733AEB" w:rsidP="00733AEB" w:rsidRDefault="00733AEB" w14:paraId="581686C4" w14:textId="1590E372">
      <w:pPr>
        <w:pStyle w:val="ListParagraph"/>
        <w:numPr>
          <w:ilvl w:val="0"/>
          <w:numId w:val="11"/>
        </w:numPr>
        <w:spacing w:before="120" w:after="240"/>
        <w:rPr>
          <w:rFonts w:cs="Arial"/>
          <w:i/>
          <w:iCs/>
          <w:color w:val="0D0D0D" w:themeColor="text1" w:themeTint="F2"/>
          <w:lang w:eastAsia="en-GB"/>
        </w:rPr>
      </w:pPr>
      <w:r w:rsidRPr="00362DB8">
        <w:rPr>
          <w:rFonts w:cs="Arial"/>
          <w:i/>
          <w:iCs/>
          <w:color w:val="0D0D0D" w:themeColor="text1" w:themeTint="F2"/>
          <w:lang w:eastAsia="en-GB"/>
        </w:rPr>
        <w:t>the lack of reasons explaining why the Committee rejected the estimated infusion costs proposed by Eisai</w:t>
      </w:r>
    </w:p>
    <w:p w:rsidRPr="00362DB8" w:rsidR="00412EAE" w:rsidP="00412EAE" w:rsidRDefault="00412EAE" w14:paraId="30F0E4AA" w14:textId="77777777">
      <w:pPr>
        <w:spacing w:before="120" w:after="240"/>
        <w:rPr>
          <w:rFonts w:ascii="Arial" w:hAnsi="Arial" w:eastAsia="Times New Roman"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 xml:space="preserve">Having considered the additional arguments made in your letter of </w:t>
      </w:r>
      <w:r w:rsidRPr="00362DB8">
        <w:rPr>
          <w:rFonts w:ascii="Arial" w:hAnsi="Arial" w:eastAsia="Times New Roman" w:cs="Arial"/>
          <w:sz w:val="20"/>
          <w:szCs w:val="20"/>
        </w:rPr>
        <w:t>24 July 2025</w:t>
      </w:r>
      <w:r w:rsidRPr="00362DB8">
        <w:rPr>
          <w:rFonts w:ascii="Arial" w:hAnsi="Arial" w:eastAsia="Times New Roman" w:cs="Arial"/>
          <w:color w:val="0D0D0D" w:themeColor="text1" w:themeTint="F2"/>
          <w:sz w:val="20"/>
          <w:szCs w:val="20"/>
          <w:lang w:eastAsia="en-GB"/>
        </w:rPr>
        <w:t xml:space="preserve">, I agree that this is a valid appeal point.   </w:t>
      </w:r>
    </w:p>
    <w:p w:rsidRPr="00362DB8" w:rsidR="00412EAE" w:rsidP="00412EAE" w:rsidRDefault="00412EAE" w14:paraId="0727094C" w14:textId="02E7AA78">
      <w:pPr>
        <w:spacing w:before="120" w:after="240"/>
        <w:rPr>
          <w:rFonts w:ascii="Arial" w:hAnsi="Arial" w:eastAsia="Times New Roman"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I accept that it is arguable that the Committee has not adequately explained its reasons for rejecting the infusion costs estimated by Eisai.</w:t>
      </w:r>
    </w:p>
    <w:p w:rsidRPr="00362DB8" w:rsidR="00412EAE" w:rsidP="00412EAE" w:rsidRDefault="00412EAE" w14:paraId="7F9C533D" w14:textId="0E122993">
      <w:pPr>
        <w:spacing w:before="120" w:after="240"/>
        <w:rPr>
          <w:rFonts w:ascii="Arial" w:hAnsi="Arial" w:eastAsia="Times New Roman"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I therefore refer this appeal point 1(a)</w:t>
      </w:r>
      <w:r w:rsidRPr="00362DB8" w:rsidR="00194281">
        <w:rPr>
          <w:rFonts w:ascii="Arial" w:hAnsi="Arial" w:eastAsia="Times New Roman" w:cs="Arial"/>
          <w:color w:val="0D0D0D" w:themeColor="text1" w:themeTint="F2"/>
          <w:sz w:val="20"/>
          <w:szCs w:val="20"/>
          <w:lang w:eastAsia="en-GB"/>
        </w:rPr>
        <w:t>2</w:t>
      </w:r>
      <w:r w:rsidRPr="00362DB8">
        <w:rPr>
          <w:rFonts w:ascii="Arial" w:hAnsi="Arial" w:eastAsia="Times New Roman" w:cs="Arial"/>
          <w:color w:val="0D0D0D" w:themeColor="text1" w:themeTint="F2"/>
          <w:sz w:val="20"/>
          <w:szCs w:val="20"/>
          <w:lang w:eastAsia="en-GB"/>
        </w:rPr>
        <w:t xml:space="preserve"> to the Appeal Panel as follows:</w:t>
      </w:r>
    </w:p>
    <w:p w:rsidRPr="00362DB8" w:rsidR="00412EAE" w:rsidP="00412EAE" w:rsidRDefault="00412EAE" w14:paraId="2B3258ED" w14:textId="77B7A0FB">
      <w:pPr>
        <w:spacing w:before="120" w:after="240"/>
        <w:ind w:left="720"/>
        <w:rPr>
          <w:rFonts w:ascii="Arial" w:hAnsi="Arial" w:eastAsia="Times New Roman" w:cs="Arial"/>
          <w:i/>
          <w:iCs/>
          <w:color w:val="0D0D0D" w:themeColor="text1" w:themeTint="F2"/>
          <w:sz w:val="20"/>
          <w:szCs w:val="20"/>
          <w:lang w:eastAsia="en-GB"/>
        </w:rPr>
      </w:pPr>
      <w:r w:rsidRPr="00362DB8">
        <w:rPr>
          <w:rFonts w:ascii="Arial" w:hAnsi="Arial" w:eastAsia="Times New Roman" w:cs="Arial"/>
          <w:i/>
          <w:iCs/>
          <w:color w:val="0D0D0D" w:themeColor="text1" w:themeTint="F2"/>
          <w:sz w:val="20"/>
          <w:szCs w:val="20"/>
          <w:lang w:eastAsia="en-GB"/>
        </w:rPr>
        <w:t xml:space="preserve">The Committee has not provided adequate reasons for rejecting </w:t>
      </w:r>
      <w:r w:rsidRPr="00362DB8" w:rsidR="009D6755">
        <w:rPr>
          <w:rFonts w:ascii="Arial" w:hAnsi="Arial" w:eastAsia="Times New Roman" w:cs="Arial"/>
          <w:i/>
          <w:iCs/>
          <w:color w:val="0D0D0D" w:themeColor="text1" w:themeTint="F2"/>
          <w:sz w:val="20"/>
          <w:szCs w:val="20"/>
          <w:lang w:eastAsia="en-GB"/>
        </w:rPr>
        <w:t>Eisai</w:t>
      </w:r>
      <w:r w:rsidRPr="00362DB8">
        <w:rPr>
          <w:rFonts w:ascii="Arial" w:hAnsi="Arial" w:eastAsia="Times New Roman" w:cs="Arial"/>
          <w:i/>
          <w:iCs/>
          <w:color w:val="0D0D0D" w:themeColor="text1" w:themeTint="F2"/>
          <w:sz w:val="20"/>
          <w:szCs w:val="20"/>
          <w:lang w:eastAsia="en-GB"/>
        </w:rPr>
        <w:t>'s infusion costs.</w:t>
      </w:r>
    </w:p>
    <w:p w:rsidRPr="00362DB8" w:rsidR="00FB4D96" w:rsidP="00FB4D96" w:rsidRDefault="00FB4D96" w14:paraId="36FF9B42" w14:textId="62D35C0E">
      <w:pPr>
        <w:spacing w:before="120" w:after="240"/>
        <w:rPr>
          <w:rFonts w:ascii="Arial" w:hAnsi="Arial" w:eastAsia="Times New Roman"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 xml:space="preserve">I also note your reference to </w:t>
      </w:r>
      <w:r w:rsidRPr="00362DB8" w:rsidR="00194281">
        <w:rPr>
          <w:rFonts w:ascii="Arial" w:hAnsi="Arial" w:eastAsia="Times New Roman" w:cs="Arial"/>
          <w:color w:val="0D0D0D" w:themeColor="text1" w:themeTint="F2"/>
          <w:sz w:val="20"/>
          <w:szCs w:val="20"/>
          <w:lang w:eastAsia="en-GB"/>
        </w:rPr>
        <w:t>the Company's</w:t>
      </w:r>
      <w:r w:rsidRPr="00362DB8">
        <w:rPr>
          <w:rFonts w:ascii="Arial" w:hAnsi="Arial" w:eastAsia="Times New Roman" w:cs="Arial"/>
          <w:color w:val="0D0D0D" w:themeColor="text1" w:themeTint="F2"/>
          <w:sz w:val="20"/>
          <w:szCs w:val="20"/>
          <w:lang w:eastAsia="en-GB"/>
        </w:rPr>
        <w:t xml:space="preserve"> freedom of information request to NHS England.  I anticipate the </w:t>
      </w:r>
      <w:r w:rsidRPr="00362DB8" w:rsidR="009D6755">
        <w:rPr>
          <w:rFonts w:ascii="Arial" w:hAnsi="Arial" w:eastAsia="Times New Roman" w:cs="Arial"/>
          <w:color w:val="0D0D0D" w:themeColor="text1" w:themeTint="F2"/>
          <w:sz w:val="20"/>
          <w:szCs w:val="20"/>
          <w:lang w:eastAsia="en-GB"/>
        </w:rPr>
        <w:t>A</w:t>
      </w:r>
      <w:r w:rsidRPr="00362DB8">
        <w:rPr>
          <w:rFonts w:ascii="Arial" w:hAnsi="Arial" w:eastAsia="Times New Roman" w:cs="Arial"/>
          <w:color w:val="0D0D0D" w:themeColor="text1" w:themeTint="F2"/>
          <w:sz w:val="20"/>
          <w:szCs w:val="20"/>
          <w:lang w:eastAsia="en-GB"/>
        </w:rPr>
        <w:t xml:space="preserve">ppeal </w:t>
      </w:r>
      <w:r w:rsidRPr="00362DB8" w:rsidR="009D6755">
        <w:rPr>
          <w:rFonts w:ascii="Arial" w:hAnsi="Arial" w:eastAsia="Times New Roman" w:cs="Arial"/>
          <w:color w:val="0D0D0D" w:themeColor="text1" w:themeTint="F2"/>
          <w:sz w:val="20"/>
          <w:szCs w:val="20"/>
          <w:lang w:eastAsia="en-GB"/>
        </w:rPr>
        <w:t>P</w:t>
      </w:r>
      <w:r w:rsidRPr="00362DB8">
        <w:rPr>
          <w:rFonts w:ascii="Arial" w:hAnsi="Arial" w:eastAsia="Times New Roman" w:cs="Arial"/>
          <w:color w:val="0D0D0D" w:themeColor="text1" w:themeTint="F2"/>
          <w:sz w:val="20"/>
          <w:szCs w:val="20"/>
          <w:lang w:eastAsia="en-GB"/>
        </w:rPr>
        <w:t xml:space="preserve">anel </w:t>
      </w:r>
      <w:r w:rsidRPr="00362DB8" w:rsidR="009D6755">
        <w:rPr>
          <w:rFonts w:ascii="Arial" w:hAnsi="Arial" w:eastAsia="Times New Roman" w:cs="Arial"/>
          <w:color w:val="0D0D0D" w:themeColor="text1" w:themeTint="F2"/>
          <w:sz w:val="20"/>
          <w:szCs w:val="20"/>
          <w:lang w:eastAsia="en-GB"/>
        </w:rPr>
        <w:t>may wish to understand the extent to which any additional information provided in response to the FOI request was available to the Committee</w:t>
      </w:r>
      <w:r w:rsidRPr="00362DB8">
        <w:rPr>
          <w:rFonts w:ascii="Arial" w:hAnsi="Arial" w:eastAsia="Times New Roman" w:cs="Arial"/>
          <w:color w:val="0D0D0D" w:themeColor="text1" w:themeTint="F2"/>
          <w:sz w:val="20"/>
          <w:szCs w:val="20"/>
          <w:lang w:eastAsia="en-GB"/>
        </w:rPr>
        <w:t>.</w:t>
      </w:r>
    </w:p>
    <w:p w:rsidRPr="00362DB8" w:rsidR="00A6586B" w:rsidP="00A6586B" w:rsidRDefault="00A6586B" w14:paraId="58C550A3" w14:textId="77777777">
      <w:pPr>
        <w:spacing w:before="240" w:after="240"/>
        <w:jc w:val="both"/>
        <w:rPr>
          <w:rFonts w:ascii="Arial" w:hAnsi="Arial" w:eastAsia="Times New Roman" w:cs="Arial"/>
          <w:b/>
          <w:bCs/>
          <w:sz w:val="20"/>
          <w:szCs w:val="20"/>
          <w:u w:val="single"/>
        </w:rPr>
      </w:pPr>
      <w:r w:rsidRPr="00362DB8">
        <w:rPr>
          <w:rFonts w:ascii="Arial" w:hAnsi="Arial" w:eastAsia="Times New Roman" w:cs="Arial"/>
          <w:b/>
          <w:bCs/>
          <w:sz w:val="20"/>
          <w:szCs w:val="20"/>
          <w:u w:val="single"/>
        </w:rPr>
        <w:t xml:space="preserve">1(a).3 The Committee has omitted to explain why it has rejected the data from Clarity AD in concluding no effect of </w:t>
      </w:r>
      <w:proofErr w:type="spellStart"/>
      <w:r w:rsidRPr="00362DB8">
        <w:rPr>
          <w:rFonts w:ascii="Arial" w:hAnsi="Arial" w:eastAsia="Times New Roman" w:cs="Arial"/>
          <w:b/>
          <w:bCs/>
          <w:sz w:val="20"/>
          <w:szCs w:val="20"/>
          <w:u w:val="single"/>
        </w:rPr>
        <w:t>lecanemab</w:t>
      </w:r>
      <w:proofErr w:type="spellEnd"/>
      <w:r w:rsidRPr="00362DB8">
        <w:rPr>
          <w:rFonts w:ascii="Arial" w:hAnsi="Arial" w:eastAsia="Times New Roman" w:cs="Arial"/>
          <w:b/>
          <w:bCs/>
          <w:sz w:val="20"/>
          <w:szCs w:val="20"/>
          <w:u w:val="single"/>
        </w:rPr>
        <w:t xml:space="preserve"> in delaying progression to moderate or severe AD and has adopted an inconsistent approach to that followed in the appraisal of donanemab </w:t>
      </w:r>
    </w:p>
    <w:p w:rsidRPr="00362DB8" w:rsidR="00A8068A" w:rsidP="008A22FA" w:rsidRDefault="008A22FA" w14:paraId="24D89FC3" w14:textId="77777777">
      <w:pPr>
        <w:spacing w:before="120" w:after="240"/>
        <w:rPr>
          <w:rFonts w:ascii="Arial" w:hAnsi="Arial" w:eastAsia="Times New Roman"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 xml:space="preserve">Having considered the additional arguments made in your letter of 24 July 2025, I agree that this is a valid appeal point.   </w:t>
      </w:r>
    </w:p>
    <w:p w:rsidRPr="00362DB8" w:rsidR="007B7F1A" w:rsidP="627E2F3E" w:rsidRDefault="008A22FA" w14:paraId="12A2F458" w14:textId="2FCF639C">
      <w:pPr>
        <w:pStyle w:val="Normal"/>
        <w:suppressLineNumbers w:val="0"/>
        <w:bidi w:val="0"/>
        <w:spacing w:before="120" w:beforeAutospacing="off" w:after="240" w:afterAutospacing="off" w:line="276" w:lineRule="auto"/>
        <w:ind w:left="0" w:right="0"/>
        <w:jc w:val="left"/>
        <w:rPr>
          <w:rFonts w:ascii="Arial" w:hAnsi="Arial" w:eastAsia="Times New Roman" w:cs="Arial"/>
          <w:color w:val="0D0D0D" w:themeColor="text1" w:themeTint="F2" w:themeShade="FF"/>
          <w:sz w:val="20"/>
          <w:szCs w:val="20"/>
          <w:lang w:eastAsia="en-GB"/>
        </w:rPr>
      </w:pPr>
      <w:r w:rsidRPr="627E2F3E" w:rsidR="008A22FA">
        <w:rPr>
          <w:rFonts w:ascii="Arial" w:hAnsi="Arial" w:eastAsia="Times New Roman" w:cs="Arial"/>
          <w:color w:val="0D0D0D" w:themeColor="text1" w:themeTint="F2" w:themeShade="FF"/>
          <w:sz w:val="20"/>
          <w:szCs w:val="20"/>
          <w:lang w:eastAsia="en-GB"/>
        </w:rPr>
        <w:t xml:space="preserve">In reaching this view I accept that it is arguable </w:t>
      </w:r>
      <w:r w:rsidRPr="627E2F3E" w:rsidR="00194281">
        <w:rPr>
          <w:rFonts w:ascii="Arial" w:hAnsi="Arial" w:eastAsia="Times New Roman" w:cs="Arial"/>
          <w:color w:val="0D0D0D" w:themeColor="text1" w:themeTint="F2" w:themeShade="FF"/>
          <w:sz w:val="20"/>
          <w:szCs w:val="20"/>
          <w:lang w:eastAsia="en-GB"/>
        </w:rPr>
        <w:t xml:space="preserve">that </w:t>
      </w:r>
      <w:r w:rsidRPr="627E2F3E" w:rsidR="008A22FA">
        <w:rPr>
          <w:rFonts w:ascii="Arial" w:hAnsi="Arial" w:eastAsia="Times New Roman" w:cs="Arial"/>
          <w:color w:val="0D0D0D" w:themeColor="text1" w:themeTint="F2" w:themeShade="FF"/>
          <w:sz w:val="20"/>
          <w:szCs w:val="20"/>
          <w:lang w:eastAsia="en-GB"/>
        </w:rPr>
        <w:t>the Committee ha</w:t>
      </w:r>
      <w:r w:rsidRPr="627E2F3E" w:rsidR="00194281">
        <w:rPr>
          <w:rFonts w:ascii="Arial" w:hAnsi="Arial" w:eastAsia="Times New Roman" w:cs="Arial"/>
          <w:color w:val="0D0D0D" w:themeColor="text1" w:themeTint="F2" w:themeShade="FF"/>
          <w:sz w:val="20"/>
          <w:szCs w:val="20"/>
          <w:lang w:eastAsia="en-GB"/>
        </w:rPr>
        <w:t>s</w:t>
      </w:r>
      <w:r w:rsidRPr="627E2F3E" w:rsidR="008A22FA">
        <w:rPr>
          <w:rFonts w:ascii="Arial" w:hAnsi="Arial" w:eastAsia="Times New Roman" w:cs="Arial"/>
          <w:color w:val="0D0D0D" w:themeColor="text1" w:themeTint="F2" w:themeShade="FF"/>
          <w:sz w:val="20"/>
          <w:szCs w:val="20"/>
          <w:lang w:eastAsia="en-GB"/>
        </w:rPr>
        <w:t xml:space="preserve"> failed to explain why </w:t>
      </w:r>
      <w:r w:rsidRPr="627E2F3E" w:rsidR="009D6755">
        <w:rPr>
          <w:rFonts w:ascii="Arial" w:hAnsi="Arial" w:eastAsia="Times New Roman" w:cs="Arial"/>
          <w:color w:val="0D0D0D" w:themeColor="text1" w:themeTint="F2" w:themeShade="FF"/>
          <w:sz w:val="20"/>
          <w:szCs w:val="20"/>
          <w:lang w:eastAsia="en-GB"/>
        </w:rPr>
        <w:t xml:space="preserve">it did not consider </w:t>
      </w:r>
      <w:r w:rsidRPr="627E2F3E" w:rsidR="008A22FA">
        <w:rPr>
          <w:rFonts w:ascii="Arial" w:hAnsi="Arial" w:eastAsia="Times New Roman" w:cs="Arial"/>
          <w:color w:val="0D0D0D" w:themeColor="text1" w:themeTint="F2" w:themeShade="FF"/>
          <w:sz w:val="20"/>
          <w:szCs w:val="20"/>
          <w:lang w:eastAsia="en-GB"/>
        </w:rPr>
        <w:t>th</w:t>
      </w:r>
      <w:r w:rsidRPr="627E2F3E" w:rsidR="009D6755">
        <w:rPr>
          <w:rFonts w:ascii="Arial" w:hAnsi="Arial" w:eastAsia="Times New Roman" w:cs="Arial"/>
          <w:color w:val="0D0D0D" w:themeColor="text1" w:themeTint="F2" w:themeShade="FF"/>
          <w:sz w:val="20"/>
          <w:szCs w:val="20"/>
          <w:lang w:eastAsia="en-GB"/>
        </w:rPr>
        <w:t xml:space="preserve">at there was a clear significant treatment effect in transitions from mild to severe dementia, </w:t>
      </w:r>
      <w:r w:rsidRPr="627E2F3E" w:rsidR="009D6755">
        <w:rPr>
          <w:rFonts w:ascii="Arial" w:hAnsi="Arial" w:eastAsia="Times New Roman" w:cs="Arial"/>
          <w:color w:val="0D0D0D" w:themeColor="text1" w:themeTint="F2" w:themeShade="FF"/>
          <w:sz w:val="20"/>
          <w:szCs w:val="20"/>
          <w:lang w:eastAsia="en-GB"/>
        </w:rPr>
        <w:t>in light of</w:t>
      </w:r>
      <w:r w:rsidRPr="627E2F3E" w:rsidR="009D6755">
        <w:rPr>
          <w:rFonts w:ascii="Arial" w:hAnsi="Arial" w:eastAsia="Times New Roman" w:cs="Arial"/>
          <w:color w:val="0D0D0D" w:themeColor="text1" w:themeTint="F2" w:themeShade="FF"/>
          <w:sz w:val="20"/>
          <w:szCs w:val="20"/>
          <w:lang w:eastAsia="en-GB"/>
        </w:rPr>
        <w:t xml:space="preserve"> </w:t>
      </w:r>
      <w:r w:rsidRPr="627E2F3E" w:rsidR="0E378538">
        <w:rPr>
          <w:rFonts w:ascii="Arial" w:hAnsi="Arial" w:eastAsia="Times New Roman" w:cs="Arial"/>
          <w:color w:val="0D0D0D" w:themeColor="text1" w:themeTint="F2" w:themeShade="FF"/>
          <w:sz w:val="20"/>
          <w:szCs w:val="20"/>
          <w:highlight w:val="black"/>
          <w:lang w:eastAsia="en-GB"/>
        </w:rPr>
        <w:t xml:space="preserve">XXXXX </w:t>
      </w:r>
      <w:r w:rsidRPr="627E2F3E" w:rsidR="008A22FA">
        <w:rPr>
          <w:rFonts w:ascii="Arial" w:hAnsi="Arial" w:eastAsia="Times New Roman" w:cs="Arial"/>
          <w:color w:val="0D0D0D" w:themeColor="text1" w:themeTint="F2" w:themeShade="FF"/>
          <w:sz w:val="20"/>
          <w:szCs w:val="20"/>
          <w:lang w:eastAsia="en-GB"/>
        </w:rPr>
        <w:t xml:space="preserve">patients in the </w:t>
      </w:r>
      <w:r w:rsidRPr="627E2F3E" w:rsidR="008A22FA">
        <w:rPr>
          <w:rFonts w:ascii="Arial" w:hAnsi="Arial" w:eastAsia="Times New Roman" w:cs="Arial"/>
          <w:color w:val="0D0D0D" w:themeColor="text1" w:themeTint="F2" w:themeShade="FF"/>
          <w:sz w:val="20"/>
          <w:szCs w:val="20"/>
          <w:lang w:eastAsia="en-GB"/>
        </w:rPr>
        <w:t>l</w:t>
      </w:r>
      <w:r w:rsidRPr="627E2F3E" w:rsidR="009138B1">
        <w:rPr>
          <w:rFonts w:ascii="Arial" w:hAnsi="Arial" w:eastAsia="Times New Roman" w:cs="Arial"/>
          <w:color w:val="0D0D0D" w:themeColor="text1" w:themeTint="F2" w:themeShade="FF"/>
          <w:sz w:val="20"/>
          <w:szCs w:val="20"/>
          <w:lang w:eastAsia="en-GB"/>
        </w:rPr>
        <w:t>e</w:t>
      </w:r>
      <w:r w:rsidRPr="627E2F3E" w:rsidR="008A22FA">
        <w:rPr>
          <w:rFonts w:ascii="Arial" w:hAnsi="Arial" w:eastAsia="Times New Roman" w:cs="Arial"/>
          <w:color w:val="0D0D0D" w:themeColor="text1" w:themeTint="F2" w:themeShade="FF"/>
          <w:sz w:val="20"/>
          <w:szCs w:val="20"/>
          <w:lang w:eastAsia="en-GB"/>
        </w:rPr>
        <w:t>canemab</w:t>
      </w:r>
      <w:r w:rsidRPr="627E2F3E" w:rsidR="008A22FA">
        <w:rPr>
          <w:rFonts w:ascii="Arial" w:hAnsi="Arial" w:eastAsia="Times New Roman" w:cs="Arial"/>
          <w:color w:val="0D0D0D" w:themeColor="text1" w:themeTint="F2" w:themeShade="FF"/>
          <w:sz w:val="20"/>
          <w:szCs w:val="20"/>
          <w:lang w:eastAsia="en-GB"/>
        </w:rPr>
        <w:t xml:space="preserve"> arm transitioning from mild to severe AD, compared with </w:t>
      </w:r>
      <w:r w:rsidRPr="627E2F3E" w:rsidR="64C1E3B1">
        <w:rPr>
          <w:rFonts w:ascii="Arial" w:hAnsi="Arial" w:eastAsia="Times New Roman" w:cs="Arial"/>
          <w:color w:val="0D0D0D" w:themeColor="text1" w:themeTint="F2" w:themeShade="FF"/>
          <w:sz w:val="20"/>
          <w:szCs w:val="20"/>
          <w:highlight w:val="black"/>
          <w:lang w:eastAsia="en-GB"/>
        </w:rPr>
        <w:t>X</w:t>
      </w:r>
      <w:r w:rsidRPr="627E2F3E" w:rsidR="64C1E3B1">
        <w:rPr>
          <w:rFonts w:ascii="Arial" w:hAnsi="Arial" w:eastAsia="Times New Roman" w:cs="Arial"/>
          <w:color w:val="0D0D0D" w:themeColor="text1" w:themeTint="F2" w:themeShade="FF"/>
          <w:sz w:val="20"/>
          <w:szCs w:val="20"/>
          <w:highlight w:val="black"/>
          <w:lang w:eastAsia="en-GB"/>
        </w:rPr>
        <w:t>XX</w:t>
      </w:r>
      <w:r w:rsidRPr="627E2F3E" w:rsidR="64C1E3B1">
        <w:rPr>
          <w:rFonts w:ascii="Arial" w:hAnsi="Arial" w:eastAsia="Times New Roman" w:cs="Arial"/>
          <w:color w:val="0D0D0D" w:themeColor="text1" w:themeTint="F2" w:themeShade="FF"/>
          <w:sz w:val="20"/>
          <w:szCs w:val="20"/>
          <w:highlight w:val="black"/>
          <w:lang w:eastAsia="en-GB"/>
        </w:rPr>
        <w:t>X</w:t>
      </w:r>
      <w:r w:rsidRPr="627E2F3E" w:rsidR="64C1E3B1">
        <w:rPr>
          <w:rFonts w:ascii="Arial" w:hAnsi="Arial" w:eastAsia="Times New Roman" w:cs="Arial"/>
          <w:color w:val="0D0D0D" w:themeColor="text1" w:themeTint="F2" w:themeShade="FF"/>
          <w:sz w:val="20"/>
          <w:szCs w:val="20"/>
          <w:lang w:eastAsia="en-GB"/>
        </w:rPr>
        <w:t xml:space="preserve"> i</w:t>
      </w:r>
      <w:r w:rsidRPr="627E2F3E" w:rsidR="008A22FA">
        <w:rPr>
          <w:rFonts w:ascii="Arial" w:hAnsi="Arial" w:eastAsia="Times New Roman" w:cs="Arial"/>
          <w:color w:val="0D0D0D" w:themeColor="text1" w:themeTint="F2" w:themeShade="FF"/>
          <w:sz w:val="20"/>
          <w:szCs w:val="20"/>
          <w:lang w:eastAsia="en-GB"/>
        </w:rPr>
        <w:t>n the placebo arm</w:t>
      </w:r>
      <w:r w:rsidRPr="627E2F3E" w:rsidR="00A8068A">
        <w:rPr>
          <w:rFonts w:ascii="Arial" w:hAnsi="Arial" w:eastAsia="Times New Roman" w:cs="Arial"/>
          <w:color w:val="0D0D0D" w:themeColor="text1" w:themeTint="F2" w:themeShade="FF"/>
          <w:sz w:val="20"/>
          <w:szCs w:val="20"/>
          <w:lang w:eastAsia="en-GB"/>
        </w:rPr>
        <w:t>.</w:t>
      </w:r>
      <w:r w:rsidRPr="627E2F3E" w:rsidR="008A22FA">
        <w:rPr>
          <w:rFonts w:ascii="Arial" w:hAnsi="Arial" w:eastAsia="Times New Roman" w:cs="Arial"/>
          <w:color w:val="0D0D0D" w:themeColor="text1" w:themeTint="F2" w:themeShade="FF"/>
          <w:sz w:val="20"/>
          <w:szCs w:val="20"/>
          <w:lang w:eastAsia="en-GB"/>
        </w:rPr>
        <w:t xml:space="preserve"> </w:t>
      </w:r>
    </w:p>
    <w:p w:rsidRPr="00362DB8" w:rsidR="008A22FA" w:rsidP="627E2F3E" w:rsidRDefault="007B7F1A" w14:paraId="62642824" w14:textId="66B3DBA9">
      <w:pPr>
        <w:spacing w:before="120" w:after="240"/>
        <w:rPr>
          <w:rFonts w:ascii="Arial" w:hAnsi="Arial" w:eastAsia="Times New Roman" w:cs="Arial"/>
          <w:color w:val="0D0D0D" w:themeColor="text1" w:themeTint="F2" w:themeShade="FF"/>
          <w:sz w:val="20"/>
          <w:szCs w:val="20"/>
          <w:lang w:eastAsia="en-GB"/>
        </w:rPr>
      </w:pPr>
      <w:r w:rsidRPr="627E2F3E" w:rsidR="007B7F1A">
        <w:rPr>
          <w:rFonts w:ascii="Arial" w:hAnsi="Arial" w:eastAsia="Times New Roman" w:cs="Arial"/>
          <w:color w:val="0D0D0D" w:themeColor="text1" w:themeTint="F2" w:themeShade="FF"/>
          <w:sz w:val="20"/>
          <w:szCs w:val="20"/>
          <w:lang w:eastAsia="en-GB"/>
        </w:rPr>
        <w:t xml:space="preserve">I also accept that it would be </w:t>
      </w:r>
      <w:r w:rsidRPr="627E2F3E" w:rsidR="007B7F1A">
        <w:rPr>
          <w:rFonts w:ascii="Arial" w:hAnsi="Arial" w:eastAsia="Times New Roman" w:cs="Arial"/>
          <w:color w:val="0D0D0D" w:themeColor="text1" w:themeTint="F2" w:themeShade="FF"/>
          <w:sz w:val="20"/>
          <w:szCs w:val="20"/>
          <w:lang w:eastAsia="en-GB"/>
        </w:rPr>
        <w:t>arguably unfair</w:t>
      </w:r>
      <w:r w:rsidRPr="627E2F3E" w:rsidR="007B7F1A">
        <w:rPr>
          <w:rFonts w:ascii="Arial" w:hAnsi="Arial" w:eastAsia="Times New Roman" w:cs="Arial"/>
          <w:color w:val="0D0D0D" w:themeColor="text1" w:themeTint="F2" w:themeShade="FF"/>
          <w:sz w:val="20"/>
          <w:szCs w:val="20"/>
          <w:lang w:eastAsia="en-GB"/>
        </w:rPr>
        <w:t xml:space="preserve"> to adopt an inconsistent approach to this issue with that taken in the donanemab evaluation without providing an adequate explanation.</w:t>
      </w:r>
    </w:p>
    <w:p w:rsidRPr="00362DB8" w:rsidR="00A6586B" w:rsidP="00A6586B" w:rsidRDefault="00A6586B" w14:paraId="1AE660E4" w14:textId="77777777">
      <w:pPr>
        <w:spacing w:before="240" w:after="240"/>
        <w:jc w:val="both"/>
        <w:rPr>
          <w:rFonts w:ascii="Arial" w:hAnsi="Arial" w:eastAsia="Times New Roman" w:cs="Arial"/>
          <w:b/>
          <w:bCs/>
          <w:sz w:val="20"/>
          <w:szCs w:val="20"/>
          <w:u w:val="single"/>
        </w:rPr>
      </w:pPr>
      <w:r w:rsidRPr="00362DB8">
        <w:rPr>
          <w:rFonts w:ascii="Arial" w:hAnsi="Arial" w:eastAsia="Times New Roman" w:cs="Arial"/>
          <w:b/>
          <w:bCs/>
          <w:sz w:val="20"/>
          <w:szCs w:val="20"/>
          <w:u w:val="single"/>
        </w:rPr>
        <w:t xml:space="preserve">1(a).4 The Committee’s consideration of a recommendation for use of </w:t>
      </w:r>
      <w:proofErr w:type="spellStart"/>
      <w:r w:rsidRPr="00362DB8">
        <w:rPr>
          <w:rFonts w:ascii="Arial" w:hAnsi="Arial" w:eastAsia="Times New Roman" w:cs="Arial"/>
          <w:b/>
          <w:bCs/>
          <w:sz w:val="20"/>
          <w:szCs w:val="20"/>
          <w:u w:val="single"/>
        </w:rPr>
        <w:t>lecanemab</w:t>
      </w:r>
      <w:proofErr w:type="spellEnd"/>
      <w:r w:rsidRPr="00362DB8">
        <w:rPr>
          <w:rFonts w:ascii="Arial" w:hAnsi="Arial" w:eastAsia="Times New Roman" w:cs="Arial"/>
          <w:b/>
          <w:bCs/>
          <w:sz w:val="20"/>
          <w:szCs w:val="20"/>
          <w:u w:val="single"/>
        </w:rPr>
        <w:t xml:space="preserve"> through managed access does not reflect the requirements of the Manual or the Innovative Medicines Fund principles and is unfair </w:t>
      </w:r>
    </w:p>
    <w:p w:rsidRPr="00362DB8" w:rsidR="00401EA3" w:rsidP="00401EA3" w:rsidRDefault="00401EA3" w14:paraId="7C3A79ED" w14:textId="03236355">
      <w:pPr>
        <w:spacing w:before="120" w:after="240"/>
        <w:rPr>
          <w:rFonts w:ascii="Arial" w:hAnsi="Arial"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 xml:space="preserve">Having considered the additional arguments made in your letter of </w:t>
      </w:r>
      <w:r w:rsidRPr="00362DB8">
        <w:rPr>
          <w:rFonts w:ascii="Arial" w:hAnsi="Arial" w:cs="Arial"/>
          <w:color w:val="0D0D0D" w:themeColor="text1" w:themeTint="F2"/>
          <w:sz w:val="20"/>
          <w:szCs w:val="20"/>
          <w:lang w:eastAsia="en-GB"/>
        </w:rPr>
        <w:t>24 July 2025</w:t>
      </w:r>
      <w:r w:rsidRPr="00362DB8">
        <w:rPr>
          <w:rFonts w:ascii="Arial" w:hAnsi="Arial" w:eastAsia="Times New Roman" w:cs="Arial"/>
          <w:color w:val="0D0D0D" w:themeColor="text1" w:themeTint="F2"/>
          <w:sz w:val="20"/>
          <w:szCs w:val="20"/>
          <w:lang w:eastAsia="en-GB"/>
        </w:rPr>
        <w:t xml:space="preserve"> I </w:t>
      </w:r>
      <w:r w:rsidRPr="00362DB8">
        <w:rPr>
          <w:rFonts w:ascii="Arial" w:hAnsi="Arial" w:cs="Arial"/>
          <w:color w:val="0D0D0D" w:themeColor="text1" w:themeTint="F2"/>
          <w:sz w:val="20"/>
          <w:szCs w:val="20"/>
          <w:lang w:eastAsia="en-GB"/>
        </w:rPr>
        <w:t>remain of the view that this appeal point should not proceed to an oral hearing.</w:t>
      </w:r>
    </w:p>
    <w:p w:rsidRPr="00362DB8" w:rsidR="007B7F1A" w:rsidP="007B7F1A" w:rsidRDefault="007B7F1A" w14:paraId="75F7DF67" w14:textId="2CD4CFC9">
      <w:pPr>
        <w:spacing w:before="240" w:after="240"/>
        <w:jc w:val="both"/>
        <w:rPr>
          <w:rFonts w:ascii="Arial" w:hAnsi="Arial" w:eastAsia="Times New Roman" w:cs="Arial"/>
          <w:sz w:val="20"/>
          <w:szCs w:val="20"/>
        </w:rPr>
      </w:pPr>
      <w:r w:rsidRPr="00362DB8">
        <w:rPr>
          <w:rFonts w:ascii="Arial" w:hAnsi="Arial" w:eastAsia="Times New Roman" w:cs="Arial"/>
          <w:sz w:val="20"/>
          <w:szCs w:val="20"/>
        </w:rPr>
        <w:t>The Manual is clear that without a plausibly cost effective ICER at the current price, the Committee cannot recommend managed access.  As the Committee had reached that view in this evaluation, there is no arguable case that the Committee should nevertheless have made a recommendation with managed access.</w:t>
      </w:r>
    </w:p>
    <w:p w:rsidRPr="00362DB8" w:rsidR="00A6586B" w:rsidP="00A6586B" w:rsidRDefault="00A6586B" w14:paraId="60FD6027" w14:textId="77777777">
      <w:pPr>
        <w:spacing w:before="240" w:after="240"/>
        <w:jc w:val="both"/>
        <w:rPr>
          <w:rFonts w:ascii="Arial" w:hAnsi="Arial" w:eastAsia="Times New Roman" w:cs="Arial"/>
          <w:b/>
          <w:bCs/>
          <w:sz w:val="20"/>
          <w:szCs w:val="20"/>
          <w:u w:val="single"/>
        </w:rPr>
      </w:pPr>
      <w:r w:rsidRPr="00362DB8">
        <w:rPr>
          <w:rFonts w:ascii="Arial" w:hAnsi="Arial" w:eastAsia="Times New Roman" w:cs="Arial"/>
          <w:b/>
          <w:bCs/>
          <w:sz w:val="20"/>
          <w:szCs w:val="20"/>
          <w:u w:val="single"/>
        </w:rPr>
        <w:t xml:space="preserve">1(a).5 The Committee has omitted consideration of health inequalities from its consideration of the appropriate ICER threshold for this appraisal </w:t>
      </w:r>
    </w:p>
    <w:p w:rsidRPr="00362DB8" w:rsidR="00665EE2" w:rsidP="00665EE2" w:rsidRDefault="00665EE2" w14:paraId="607F6123" w14:textId="77777777">
      <w:pPr>
        <w:spacing w:before="120" w:after="240"/>
        <w:rPr>
          <w:rFonts w:ascii="Arial" w:hAnsi="Arial"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 xml:space="preserve">Having considered the additional arguments made in your letter of </w:t>
      </w:r>
      <w:r w:rsidRPr="00362DB8">
        <w:rPr>
          <w:rFonts w:ascii="Arial" w:hAnsi="Arial" w:cs="Arial"/>
          <w:color w:val="0D0D0D" w:themeColor="text1" w:themeTint="F2"/>
          <w:sz w:val="20"/>
          <w:szCs w:val="20"/>
          <w:lang w:eastAsia="en-GB"/>
        </w:rPr>
        <w:t>24 July 2025</w:t>
      </w:r>
      <w:r w:rsidRPr="00362DB8">
        <w:rPr>
          <w:rFonts w:ascii="Arial" w:hAnsi="Arial" w:eastAsia="Times New Roman" w:cs="Arial"/>
          <w:color w:val="0D0D0D" w:themeColor="text1" w:themeTint="F2"/>
          <w:sz w:val="20"/>
          <w:szCs w:val="20"/>
          <w:lang w:eastAsia="en-GB"/>
        </w:rPr>
        <w:t xml:space="preserve"> I </w:t>
      </w:r>
      <w:r w:rsidRPr="00362DB8">
        <w:rPr>
          <w:rFonts w:ascii="Arial" w:hAnsi="Arial" w:cs="Arial"/>
          <w:color w:val="0D0D0D" w:themeColor="text1" w:themeTint="F2"/>
          <w:sz w:val="20"/>
          <w:szCs w:val="20"/>
          <w:lang w:eastAsia="en-GB"/>
        </w:rPr>
        <w:t>remain of the view that this appeal point should not proceed to an oral hearing.</w:t>
      </w:r>
    </w:p>
    <w:p w:rsidRPr="00362DB8" w:rsidR="00A239A5" w:rsidP="00A239A5" w:rsidRDefault="007B7F1A" w14:paraId="02A483E6" w14:textId="641C41D0">
      <w:pPr>
        <w:spacing w:before="120" w:after="240"/>
        <w:rPr>
          <w:rFonts w:ascii="Arial" w:hAnsi="Arial" w:cs="Arial"/>
          <w:color w:val="0D0D0D" w:themeColor="text1" w:themeTint="F2"/>
          <w:sz w:val="20"/>
          <w:szCs w:val="20"/>
          <w:lang w:eastAsia="en-GB"/>
        </w:rPr>
      </w:pPr>
      <w:r w:rsidRPr="00362DB8">
        <w:rPr>
          <w:rFonts w:ascii="Arial" w:hAnsi="Arial" w:cs="Arial"/>
          <w:color w:val="0D0D0D" w:themeColor="text1" w:themeTint="F2"/>
          <w:sz w:val="20"/>
          <w:szCs w:val="20"/>
          <w:lang w:eastAsia="en-GB"/>
        </w:rPr>
        <w:t xml:space="preserve">I agree with your analysis that the Manual does not expressly require the Committee to set an ICER threshold.  It is the case, however, that </w:t>
      </w:r>
      <w:proofErr w:type="gramStart"/>
      <w:r w:rsidRPr="00362DB8">
        <w:rPr>
          <w:rFonts w:ascii="Arial" w:hAnsi="Arial" w:cs="Arial"/>
          <w:color w:val="0D0D0D" w:themeColor="text1" w:themeTint="F2"/>
          <w:sz w:val="20"/>
          <w:szCs w:val="20"/>
          <w:lang w:eastAsia="en-GB"/>
        </w:rPr>
        <w:t>in order to</w:t>
      </w:r>
      <w:proofErr w:type="gramEnd"/>
      <w:r w:rsidRPr="00362DB8">
        <w:rPr>
          <w:rFonts w:ascii="Arial" w:hAnsi="Arial" w:cs="Arial"/>
          <w:color w:val="0D0D0D" w:themeColor="text1" w:themeTint="F2"/>
          <w:sz w:val="20"/>
          <w:szCs w:val="20"/>
          <w:lang w:eastAsia="en-GB"/>
        </w:rPr>
        <w:t xml:space="preserve"> reach a decision about whether to recommend a technology, the Committee </w:t>
      </w:r>
      <w:proofErr w:type="gramStart"/>
      <w:r w:rsidRPr="00362DB8">
        <w:rPr>
          <w:rFonts w:ascii="Arial" w:hAnsi="Arial" w:cs="Arial"/>
          <w:color w:val="0D0D0D" w:themeColor="text1" w:themeTint="F2"/>
          <w:sz w:val="20"/>
          <w:szCs w:val="20"/>
          <w:lang w:eastAsia="en-GB"/>
        </w:rPr>
        <w:t>has to</w:t>
      </w:r>
      <w:proofErr w:type="gramEnd"/>
      <w:r w:rsidRPr="00362DB8">
        <w:rPr>
          <w:rFonts w:ascii="Arial" w:hAnsi="Arial" w:cs="Arial"/>
          <w:color w:val="0D0D0D" w:themeColor="text1" w:themeTint="F2"/>
          <w:sz w:val="20"/>
          <w:szCs w:val="20"/>
          <w:lang w:eastAsia="en-GB"/>
        </w:rPr>
        <w:t xml:space="preserve"> consider both (1) the most plausible ICER for that technology; and (2) whether to depart from the usual threshold for a positive recommendation. I agree that a decision to recommend (or not recommend) a technology with a most plausible ICER above £20,000 should be taken following consideration of the factors listed in paragraph 6.3.5 of the Manual, including health inequalities.  Those factors have demonstrably been </w:t>
      </w:r>
      <w:proofErr w:type="gramStart"/>
      <w:r w:rsidRPr="00362DB8">
        <w:rPr>
          <w:rFonts w:ascii="Arial" w:hAnsi="Arial" w:cs="Arial"/>
          <w:color w:val="0D0D0D" w:themeColor="text1" w:themeTint="F2"/>
          <w:sz w:val="20"/>
          <w:szCs w:val="20"/>
          <w:lang w:eastAsia="en-GB"/>
        </w:rPr>
        <w:t>taken into account</w:t>
      </w:r>
      <w:proofErr w:type="gramEnd"/>
      <w:r w:rsidRPr="00362DB8">
        <w:rPr>
          <w:rFonts w:ascii="Arial" w:hAnsi="Arial" w:cs="Arial"/>
          <w:color w:val="0D0D0D" w:themeColor="text1" w:themeTint="F2"/>
          <w:sz w:val="20"/>
          <w:szCs w:val="20"/>
          <w:lang w:eastAsia="en-GB"/>
        </w:rPr>
        <w:t xml:space="preserve"> in this evaluation.  They have therefore been </w:t>
      </w:r>
      <w:proofErr w:type="gramStart"/>
      <w:r w:rsidRPr="00362DB8">
        <w:rPr>
          <w:rFonts w:ascii="Arial" w:hAnsi="Arial" w:cs="Arial"/>
          <w:color w:val="0D0D0D" w:themeColor="text1" w:themeTint="F2"/>
          <w:sz w:val="20"/>
          <w:szCs w:val="20"/>
          <w:lang w:eastAsia="en-GB"/>
        </w:rPr>
        <w:t>taken into account</w:t>
      </w:r>
      <w:proofErr w:type="gramEnd"/>
      <w:r w:rsidRPr="00362DB8">
        <w:rPr>
          <w:rFonts w:ascii="Arial" w:hAnsi="Arial" w:cs="Arial"/>
          <w:color w:val="0D0D0D" w:themeColor="text1" w:themeTint="F2"/>
          <w:sz w:val="20"/>
          <w:szCs w:val="20"/>
          <w:lang w:eastAsia="en-GB"/>
        </w:rPr>
        <w:t xml:space="preserve"> in the context of 'the acceptability of the technology as an effective use of NHS resources'.  I do not accept that there is arguably a separate or freestanding obligation on the Committee to expressly record its consideration of those factors in reaching a decision not to depart from the usual threshold.</w:t>
      </w:r>
    </w:p>
    <w:p w:rsidRPr="00362DB8" w:rsidR="00194281" w:rsidP="00194281" w:rsidRDefault="00194281" w14:paraId="1D226ABF" w14:textId="24F7B8DA">
      <w:pPr>
        <w:spacing w:before="120" w:after="0" w:line="240" w:lineRule="auto"/>
        <w:rPr>
          <w:rFonts w:ascii="Arial" w:hAnsi="Arial" w:cs="Arial"/>
          <w:b/>
          <w:i/>
          <w:sz w:val="20"/>
          <w:szCs w:val="20"/>
          <w:lang w:eastAsia="en-GB"/>
        </w:rPr>
      </w:pPr>
      <w:r w:rsidRPr="00362DB8">
        <w:rPr>
          <w:rFonts w:ascii="Arial" w:hAnsi="Arial" w:cs="Arial"/>
          <w:b/>
          <w:i/>
          <w:sz w:val="20"/>
          <w:szCs w:val="20"/>
          <w:lang w:eastAsia="en-GB"/>
        </w:rPr>
        <w:t>Ground 1(b): In making the assessment that preceded the recommendation, NICE has exceeded its powers.</w:t>
      </w:r>
    </w:p>
    <w:p w:rsidRPr="00362DB8" w:rsidR="00A6586B" w:rsidP="00A6586B" w:rsidRDefault="00A6586B" w14:paraId="3E13A80E" w14:textId="197828F1">
      <w:pPr>
        <w:spacing w:before="240" w:after="240"/>
        <w:jc w:val="both"/>
        <w:rPr>
          <w:rFonts w:ascii="Arial" w:hAnsi="Arial" w:eastAsia="Times New Roman" w:cs="Arial"/>
          <w:b/>
          <w:bCs/>
          <w:sz w:val="20"/>
          <w:szCs w:val="20"/>
          <w:u w:val="single"/>
        </w:rPr>
      </w:pPr>
      <w:r w:rsidRPr="00362DB8">
        <w:rPr>
          <w:rFonts w:ascii="Arial" w:hAnsi="Arial" w:eastAsia="Times New Roman" w:cs="Arial"/>
          <w:b/>
          <w:bCs/>
          <w:sz w:val="20"/>
          <w:szCs w:val="20"/>
          <w:u w:val="single"/>
        </w:rPr>
        <w:t xml:space="preserve">1(b).6 The Committee has concluded that the changes in NHS service delivery that would be required to implement </w:t>
      </w:r>
      <w:proofErr w:type="spellStart"/>
      <w:r w:rsidRPr="00362DB8">
        <w:rPr>
          <w:rFonts w:ascii="Arial" w:hAnsi="Arial" w:eastAsia="Times New Roman" w:cs="Arial"/>
          <w:b/>
          <w:bCs/>
          <w:sz w:val="20"/>
          <w:szCs w:val="20"/>
          <w:u w:val="single"/>
        </w:rPr>
        <w:t>lecanemab</w:t>
      </w:r>
      <w:proofErr w:type="spellEnd"/>
      <w:r w:rsidRPr="00362DB8">
        <w:rPr>
          <w:rFonts w:ascii="Arial" w:hAnsi="Arial" w:eastAsia="Times New Roman" w:cs="Arial"/>
          <w:b/>
          <w:bCs/>
          <w:sz w:val="20"/>
          <w:szCs w:val="20"/>
          <w:u w:val="single"/>
        </w:rPr>
        <w:t xml:space="preserve"> therapy should preclude access, outside its remit and without conducting an adequate investigation  </w:t>
      </w:r>
    </w:p>
    <w:p w:rsidRPr="00362DB8" w:rsidR="00665EE2" w:rsidP="00665EE2" w:rsidRDefault="00665EE2" w14:paraId="442EC169" w14:textId="4BD31013">
      <w:pPr>
        <w:spacing w:before="120" w:after="240"/>
        <w:rPr>
          <w:rFonts w:ascii="Arial" w:hAnsi="Arial"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 xml:space="preserve">Having considered the additional arguments made in your letter of </w:t>
      </w:r>
      <w:proofErr w:type="gramStart"/>
      <w:r w:rsidRPr="00362DB8">
        <w:rPr>
          <w:rFonts w:ascii="Arial" w:hAnsi="Arial" w:cs="Arial"/>
          <w:color w:val="0D0D0D" w:themeColor="text1" w:themeTint="F2"/>
          <w:sz w:val="20"/>
          <w:szCs w:val="20"/>
          <w:lang w:eastAsia="en-GB"/>
        </w:rPr>
        <w:t>24 July 2025</w:t>
      </w:r>
      <w:r w:rsidRPr="00362DB8" w:rsidR="007B7F1A">
        <w:rPr>
          <w:rFonts w:ascii="Arial" w:hAnsi="Arial" w:cs="Arial"/>
          <w:color w:val="0D0D0D" w:themeColor="text1" w:themeTint="F2"/>
          <w:sz w:val="20"/>
          <w:szCs w:val="20"/>
          <w:lang w:eastAsia="en-GB"/>
        </w:rPr>
        <w:t>, and</w:t>
      </w:r>
      <w:proofErr w:type="gramEnd"/>
      <w:r w:rsidRPr="00362DB8" w:rsidR="007B7F1A">
        <w:rPr>
          <w:rFonts w:ascii="Arial" w:hAnsi="Arial" w:cs="Arial"/>
          <w:color w:val="0D0D0D" w:themeColor="text1" w:themeTint="F2"/>
          <w:sz w:val="20"/>
          <w:szCs w:val="20"/>
          <w:lang w:eastAsia="en-GB"/>
        </w:rPr>
        <w:t xml:space="preserve"> noting that this appeal point is made under ground 1(b),</w:t>
      </w:r>
      <w:r w:rsidRPr="00362DB8">
        <w:rPr>
          <w:rFonts w:ascii="Arial" w:hAnsi="Arial" w:eastAsia="Times New Roman" w:cs="Arial"/>
          <w:color w:val="0D0D0D" w:themeColor="text1" w:themeTint="F2"/>
          <w:sz w:val="20"/>
          <w:szCs w:val="20"/>
          <w:lang w:eastAsia="en-GB"/>
        </w:rPr>
        <w:t xml:space="preserve"> I </w:t>
      </w:r>
      <w:r w:rsidRPr="00362DB8">
        <w:rPr>
          <w:rFonts w:ascii="Arial" w:hAnsi="Arial" w:cs="Arial"/>
          <w:color w:val="0D0D0D" w:themeColor="text1" w:themeTint="F2"/>
          <w:sz w:val="20"/>
          <w:szCs w:val="20"/>
          <w:lang w:eastAsia="en-GB"/>
        </w:rPr>
        <w:t>remain of the view that this appeal point should not proceed to an oral hearing.</w:t>
      </w:r>
    </w:p>
    <w:p w:rsidRPr="00362DB8" w:rsidR="007B7F1A" w:rsidP="007B7F1A" w:rsidRDefault="007B7F1A" w14:paraId="146BB935" w14:textId="53B6174D">
      <w:pPr>
        <w:spacing w:before="120" w:after="240"/>
        <w:rPr>
          <w:rFonts w:ascii="Arial" w:hAnsi="Arial" w:cs="Arial"/>
          <w:color w:val="0D0D0D" w:themeColor="text1" w:themeTint="F2"/>
          <w:sz w:val="20"/>
          <w:szCs w:val="20"/>
          <w:lang w:eastAsia="en-GB"/>
        </w:rPr>
      </w:pPr>
      <w:r w:rsidRPr="00362DB8">
        <w:rPr>
          <w:rFonts w:ascii="Arial" w:hAnsi="Arial" w:cs="Arial"/>
          <w:color w:val="0D0D0D" w:themeColor="text1" w:themeTint="F2"/>
          <w:sz w:val="20"/>
          <w:szCs w:val="20"/>
          <w:lang w:eastAsia="en-GB"/>
        </w:rPr>
        <w:t>I understand your argument to be that the Committee relied upon matters outside its remit in reaching the conclusions expressed as to decision risk and uncertainty in paragraph 3.28 and as to managed access in paragraph 3.</w:t>
      </w:r>
      <w:r w:rsidRPr="00362DB8" w:rsidR="000D38F9">
        <w:rPr>
          <w:rFonts w:ascii="Arial" w:hAnsi="Arial" w:cs="Arial"/>
          <w:color w:val="0D0D0D" w:themeColor="text1" w:themeTint="F2"/>
          <w:sz w:val="20"/>
          <w:szCs w:val="20"/>
          <w:lang w:eastAsia="en-GB"/>
        </w:rPr>
        <w:t>29</w:t>
      </w:r>
      <w:r w:rsidRPr="00362DB8">
        <w:rPr>
          <w:rFonts w:ascii="Arial" w:hAnsi="Arial" w:cs="Arial"/>
          <w:color w:val="0D0D0D" w:themeColor="text1" w:themeTint="F2"/>
          <w:sz w:val="20"/>
          <w:szCs w:val="20"/>
          <w:lang w:eastAsia="en-GB"/>
        </w:rPr>
        <w:t xml:space="preserve">.   </w:t>
      </w:r>
    </w:p>
    <w:p w:rsidRPr="00362DB8" w:rsidR="007B7F1A" w:rsidP="007B7F1A" w:rsidRDefault="007B7F1A" w14:paraId="03ACD65D" w14:textId="5066CCD5">
      <w:pPr>
        <w:spacing w:before="120" w:after="240"/>
        <w:rPr>
          <w:rFonts w:ascii="Arial" w:hAnsi="Arial" w:cs="Arial"/>
          <w:color w:val="0D0D0D" w:themeColor="text1" w:themeTint="F2"/>
          <w:sz w:val="20"/>
          <w:szCs w:val="20"/>
          <w:lang w:eastAsia="en-GB"/>
        </w:rPr>
      </w:pPr>
      <w:r w:rsidRPr="00362DB8">
        <w:rPr>
          <w:rFonts w:ascii="Arial" w:hAnsi="Arial" w:cs="Arial"/>
          <w:color w:val="0D0D0D" w:themeColor="text1" w:themeTint="F2"/>
          <w:sz w:val="20"/>
          <w:szCs w:val="20"/>
          <w:lang w:eastAsia="en-GB"/>
        </w:rPr>
        <w:t>Paragraph 3.2</w:t>
      </w:r>
      <w:r w:rsidRPr="00362DB8" w:rsidR="00A51E93">
        <w:rPr>
          <w:rFonts w:ascii="Arial" w:hAnsi="Arial" w:cs="Arial"/>
          <w:color w:val="0D0D0D" w:themeColor="text1" w:themeTint="F2"/>
          <w:sz w:val="20"/>
          <w:szCs w:val="20"/>
          <w:lang w:eastAsia="en-GB"/>
        </w:rPr>
        <w:t>8</w:t>
      </w:r>
      <w:r w:rsidRPr="00362DB8">
        <w:rPr>
          <w:rFonts w:ascii="Arial" w:hAnsi="Arial" w:cs="Arial"/>
          <w:color w:val="0D0D0D" w:themeColor="text1" w:themeTint="F2"/>
          <w:sz w:val="20"/>
          <w:szCs w:val="20"/>
          <w:lang w:eastAsia="en-GB"/>
        </w:rPr>
        <w:t xml:space="preserve"> records that the Committee took account of the fact that "</w:t>
      </w:r>
      <w:r w:rsidRPr="003C15E7">
        <w:rPr>
          <w:rFonts w:ascii="Arial" w:hAnsi="Arial" w:cs="Arial"/>
          <w:color w:val="0D0D0D" w:themeColor="text1" w:themeTint="F2"/>
          <w:sz w:val="20"/>
          <w:szCs w:val="20"/>
          <w:lang w:eastAsia="en-GB"/>
        </w:rPr>
        <w:t xml:space="preserve">substantial resources would be needed to implement access to </w:t>
      </w:r>
      <w:proofErr w:type="spellStart"/>
      <w:r w:rsidRPr="00362DB8" w:rsidR="000D38F9">
        <w:rPr>
          <w:rFonts w:ascii="Arial" w:hAnsi="Arial" w:cs="Arial"/>
          <w:color w:val="0D0D0D" w:themeColor="text1" w:themeTint="F2"/>
          <w:sz w:val="20"/>
          <w:szCs w:val="20"/>
          <w:lang w:eastAsia="en-GB"/>
        </w:rPr>
        <w:t>lecanemab</w:t>
      </w:r>
      <w:proofErr w:type="spellEnd"/>
      <w:r w:rsidRPr="003C15E7">
        <w:rPr>
          <w:rFonts w:ascii="Arial" w:hAnsi="Arial" w:cs="Arial"/>
          <w:color w:val="0D0D0D" w:themeColor="text1" w:themeTint="F2"/>
          <w:sz w:val="20"/>
          <w:szCs w:val="20"/>
          <w:lang w:eastAsia="en-GB"/>
        </w:rPr>
        <w:t xml:space="preserve"> in the NHS and that this may affect the provision of other services</w:t>
      </w:r>
      <w:r w:rsidRPr="00362DB8">
        <w:rPr>
          <w:rFonts w:ascii="Arial" w:hAnsi="Arial" w:cs="Arial"/>
          <w:color w:val="0D0D0D" w:themeColor="text1" w:themeTint="F2"/>
          <w:sz w:val="20"/>
          <w:szCs w:val="20"/>
          <w:lang w:eastAsia="en-GB"/>
        </w:rPr>
        <w:t xml:space="preserve">" as part of its consideration of decision risk, in line with paragraph 6.2.33 of the Manual.  </w:t>
      </w:r>
    </w:p>
    <w:p w:rsidRPr="00362DB8" w:rsidR="007B7F1A" w:rsidP="007B7F1A" w:rsidRDefault="007B7F1A" w14:paraId="18A8526E" w14:textId="24E1400C">
      <w:pPr>
        <w:spacing w:before="120" w:after="240"/>
        <w:rPr>
          <w:rFonts w:ascii="Arial" w:hAnsi="Arial" w:cs="Arial"/>
          <w:color w:val="0D0D0D" w:themeColor="text1" w:themeTint="F2"/>
          <w:sz w:val="20"/>
          <w:szCs w:val="20"/>
          <w:lang w:eastAsia="en-GB"/>
        </w:rPr>
      </w:pPr>
      <w:r w:rsidRPr="00362DB8">
        <w:rPr>
          <w:rFonts w:ascii="Arial" w:hAnsi="Arial" w:cs="Arial"/>
          <w:color w:val="0D0D0D" w:themeColor="text1" w:themeTint="F2"/>
          <w:sz w:val="20"/>
          <w:szCs w:val="20"/>
          <w:lang w:eastAsia="en-GB"/>
        </w:rPr>
        <w:t>Paragraph 3.</w:t>
      </w:r>
      <w:r w:rsidRPr="00362DB8" w:rsidR="000D38F9">
        <w:rPr>
          <w:rFonts w:ascii="Arial" w:hAnsi="Arial" w:cs="Arial"/>
          <w:color w:val="0D0D0D" w:themeColor="text1" w:themeTint="F2"/>
          <w:sz w:val="20"/>
          <w:szCs w:val="20"/>
          <w:lang w:eastAsia="en-GB"/>
        </w:rPr>
        <w:t>29</w:t>
      </w:r>
      <w:r w:rsidRPr="00362DB8">
        <w:rPr>
          <w:rFonts w:ascii="Arial" w:hAnsi="Arial" w:cs="Arial"/>
          <w:color w:val="0D0D0D" w:themeColor="text1" w:themeTint="F2"/>
          <w:sz w:val="20"/>
          <w:szCs w:val="20"/>
          <w:lang w:eastAsia="en-GB"/>
        </w:rPr>
        <w:t xml:space="preserve"> records (as noted </w:t>
      </w:r>
      <w:r w:rsidRPr="00362DB8" w:rsidR="00A51E93">
        <w:rPr>
          <w:rFonts w:ascii="Arial" w:hAnsi="Arial" w:cs="Arial"/>
          <w:color w:val="0D0D0D" w:themeColor="text1" w:themeTint="F2"/>
          <w:sz w:val="20"/>
          <w:szCs w:val="20"/>
          <w:lang w:eastAsia="en-GB"/>
        </w:rPr>
        <w:t>below in relation to appeal point 2.6</w:t>
      </w:r>
      <w:r w:rsidRPr="00362DB8">
        <w:rPr>
          <w:rFonts w:ascii="Arial" w:hAnsi="Arial" w:cs="Arial"/>
          <w:color w:val="0D0D0D" w:themeColor="text1" w:themeTint="F2"/>
          <w:sz w:val="20"/>
          <w:szCs w:val="20"/>
          <w:lang w:eastAsia="en-GB"/>
        </w:rPr>
        <w:t>) the Committee's conclusion that:</w:t>
      </w:r>
    </w:p>
    <w:p w:rsidRPr="00362DB8" w:rsidR="007B7F1A" w:rsidP="000D38F9" w:rsidRDefault="000D38F9" w14:paraId="0C6EF29F" w14:textId="6939DCEC">
      <w:pPr>
        <w:spacing w:before="120" w:after="240"/>
        <w:ind w:left="720"/>
        <w:rPr>
          <w:rFonts w:ascii="Arial" w:hAnsi="Arial" w:cs="Arial"/>
          <w:i/>
          <w:iCs/>
          <w:color w:val="0D0D0D" w:themeColor="text1" w:themeTint="F2"/>
          <w:sz w:val="20"/>
          <w:szCs w:val="20"/>
          <w:lang w:eastAsia="en-GB"/>
        </w:rPr>
      </w:pPr>
      <w:r w:rsidRPr="000D38F9">
        <w:rPr>
          <w:rFonts w:ascii="Arial" w:hAnsi="Arial" w:cs="Arial"/>
          <w:i/>
          <w:iCs/>
          <w:color w:val="0D0D0D" w:themeColor="text1" w:themeTint="F2"/>
          <w:sz w:val="20"/>
          <w:szCs w:val="20"/>
          <w:lang w:eastAsia="en-GB"/>
        </w:rPr>
        <w:t xml:space="preserve">the most plausible ICER was likely to be considerably above the range normally considered cost effective. </w:t>
      </w:r>
    </w:p>
    <w:p w:rsidRPr="00362DB8" w:rsidR="007B7F1A" w:rsidP="007B7F1A" w:rsidRDefault="007B7F1A" w14:paraId="175E7B21" w14:textId="77777777">
      <w:pPr>
        <w:spacing w:before="120" w:after="240"/>
        <w:rPr>
          <w:rFonts w:ascii="Arial" w:hAnsi="Arial" w:cs="Arial"/>
          <w:color w:val="0D0D0D" w:themeColor="text1" w:themeTint="F2"/>
          <w:sz w:val="20"/>
          <w:szCs w:val="20"/>
          <w:lang w:eastAsia="en-GB"/>
        </w:rPr>
      </w:pPr>
      <w:r w:rsidRPr="00362DB8">
        <w:rPr>
          <w:rFonts w:ascii="Arial" w:hAnsi="Arial" w:cs="Arial"/>
          <w:color w:val="0D0D0D" w:themeColor="text1" w:themeTint="F2"/>
          <w:sz w:val="20"/>
          <w:szCs w:val="20"/>
          <w:lang w:eastAsia="en-GB"/>
        </w:rPr>
        <w:t xml:space="preserve">That being the case, it was not open to the Committee to recommend with managed access.  </w:t>
      </w:r>
    </w:p>
    <w:p w:rsidRPr="003C15E7" w:rsidR="007B7F1A" w:rsidP="007B7F1A" w:rsidRDefault="007B7F1A" w14:paraId="1EA671C3" w14:textId="77777777">
      <w:pPr>
        <w:spacing w:before="120" w:after="240"/>
        <w:rPr>
          <w:rFonts w:ascii="Arial" w:hAnsi="Arial" w:cs="Arial"/>
          <w:color w:val="0D0D0D" w:themeColor="text1" w:themeTint="F2"/>
          <w:sz w:val="20"/>
          <w:szCs w:val="20"/>
          <w:lang w:eastAsia="en-GB"/>
        </w:rPr>
      </w:pPr>
      <w:r w:rsidRPr="00362DB8">
        <w:rPr>
          <w:rFonts w:ascii="Arial" w:hAnsi="Arial" w:cs="Arial"/>
          <w:color w:val="0D0D0D" w:themeColor="text1" w:themeTint="F2"/>
          <w:sz w:val="20"/>
          <w:szCs w:val="20"/>
          <w:lang w:eastAsia="en-GB"/>
        </w:rPr>
        <w:t>Given the above, it is not arguably the case that the Committee has based its decision on factors which are outside its remit.</w:t>
      </w:r>
    </w:p>
    <w:p w:rsidRPr="00362DB8" w:rsidR="00DB178D" w:rsidP="00DB178D" w:rsidRDefault="00DB178D" w14:paraId="4710A553" w14:textId="415E10D6">
      <w:pPr>
        <w:pStyle w:val="Paragraph"/>
        <w:numPr>
          <w:ilvl w:val="0"/>
          <w:numId w:val="0"/>
        </w:numPr>
        <w:spacing w:before="120"/>
        <w:jc w:val="both"/>
        <w:rPr>
          <w:rFonts w:cs="Arial"/>
          <w:b/>
          <w:i/>
          <w:sz w:val="20"/>
          <w:szCs w:val="20"/>
        </w:rPr>
      </w:pPr>
      <w:r w:rsidRPr="00362DB8">
        <w:rPr>
          <w:rFonts w:cs="Arial"/>
          <w:b/>
          <w:i/>
          <w:sz w:val="20"/>
          <w:szCs w:val="20"/>
        </w:rPr>
        <w:t>Ground 2:</w:t>
      </w:r>
      <w:r w:rsidRPr="00362DB8">
        <w:rPr>
          <w:rFonts w:cs="Arial"/>
          <w:i/>
          <w:sz w:val="20"/>
          <w:szCs w:val="20"/>
        </w:rPr>
        <w:t xml:space="preserve"> </w:t>
      </w:r>
      <w:r w:rsidRPr="00362DB8">
        <w:rPr>
          <w:rFonts w:cs="Arial"/>
          <w:b/>
          <w:i/>
          <w:sz w:val="20"/>
          <w:szCs w:val="20"/>
        </w:rPr>
        <w:t>the recommendation is unreasonable in the light of the evidence submitted to NICE</w:t>
      </w:r>
    </w:p>
    <w:p w:rsidRPr="00362DB8" w:rsidR="000D38F9" w:rsidP="000D38F9" w:rsidRDefault="000D38F9" w14:paraId="36A5E004" w14:textId="77777777">
      <w:pPr>
        <w:spacing w:before="120" w:after="240"/>
        <w:jc w:val="both"/>
        <w:rPr>
          <w:rFonts w:ascii="Arial" w:hAnsi="Arial" w:eastAsia="Times New Roman" w:cs="Arial"/>
          <w:sz w:val="20"/>
          <w:szCs w:val="20"/>
          <w:u w:val="single"/>
        </w:rPr>
      </w:pPr>
      <w:r w:rsidRPr="000D38F9">
        <w:rPr>
          <w:rFonts w:ascii="Arial" w:hAnsi="Arial" w:eastAsia="Times New Roman" w:cs="Arial"/>
          <w:b/>
          <w:bCs/>
          <w:sz w:val="20"/>
          <w:szCs w:val="20"/>
          <w:u w:val="single"/>
        </w:rPr>
        <w:t xml:space="preserve">2.1 The Committee’s assessment of utility values for carers does not reflect the balance of the available evidence </w:t>
      </w:r>
    </w:p>
    <w:p w:rsidRPr="000D38F9" w:rsidR="000D38F9" w:rsidP="000D38F9" w:rsidRDefault="000D38F9" w14:paraId="0B633108" w14:textId="531B4A58">
      <w:pPr>
        <w:spacing w:before="120" w:after="240"/>
        <w:jc w:val="both"/>
        <w:rPr>
          <w:rFonts w:ascii="Arial" w:hAnsi="Arial" w:eastAsia="Times New Roman" w:cs="Arial"/>
          <w:sz w:val="20"/>
          <w:szCs w:val="20"/>
        </w:rPr>
      </w:pPr>
      <w:r w:rsidRPr="00362DB8">
        <w:rPr>
          <w:rFonts w:ascii="Arial" w:hAnsi="Arial" w:eastAsia="Times New Roman" w:cs="Arial"/>
          <w:sz w:val="20"/>
          <w:szCs w:val="20"/>
        </w:rPr>
        <w:t>I confirm my decision to refer this appeal point to the Appeal Panel.</w:t>
      </w:r>
    </w:p>
    <w:p w:rsidRPr="00362DB8" w:rsidR="00CD7553" w:rsidP="005A7A7D" w:rsidRDefault="00A6586B" w14:paraId="12DAB18A" w14:textId="0F3CC3D6">
      <w:pPr>
        <w:spacing w:before="120" w:after="240"/>
        <w:jc w:val="both"/>
        <w:rPr>
          <w:rFonts w:ascii="Arial" w:hAnsi="Arial" w:eastAsia="Times New Roman" w:cs="Arial"/>
          <w:b/>
          <w:bCs/>
          <w:sz w:val="20"/>
          <w:szCs w:val="20"/>
          <w:u w:val="single"/>
        </w:rPr>
      </w:pPr>
      <w:r w:rsidRPr="00362DB8">
        <w:rPr>
          <w:rFonts w:ascii="Arial" w:hAnsi="Arial" w:eastAsia="Times New Roman" w:cs="Arial"/>
          <w:b/>
          <w:bCs/>
          <w:sz w:val="20"/>
          <w:szCs w:val="20"/>
          <w:u w:val="single"/>
        </w:rPr>
        <w:t xml:space="preserve">2.2 The Committee’s conclusion that the benefits of </w:t>
      </w:r>
      <w:proofErr w:type="spellStart"/>
      <w:r w:rsidRPr="00362DB8">
        <w:rPr>
          <w:rFonts w:ascii="Arial" w:hAnsi="Arial" w:eastAsia="Times New Roman" w:cs="Arial"/>
          <w:b/>
          <w:bCs/>
          <w:sz w:val="20"/>
          <w:szCs w:val="20"/>
          <w:u w:val="single"/>
        </w:rPr>
        <w:t>lecanemab</w:t>
      </w:r>
      <w:proofErr w:type="spellEnd"/>
      <w:r w:rsidRPr="00362DB8">
        <w:rPr>
          <w:rFonts w:ascii="Arial" w:hAnsi="Arial" w:eastAsia="Times New Roman" w:cs="Arial"/>
          <w:b/>
          <w:bCs/>
          <w:sz w:val="20"/>
          <w:szCs w:val="20"/>
          <w:u w:val="single"/>
        </w:rPr>
        <w:t xml:space="preserve"> are “small” is subjective, rather than scientific and therefore unreasonable</w:t>
      </w:r>
    </w:p>
    <w:p w:rsidRPr="00362DB8" w:rsidR="00665EE2" w:rsidP="00665EE2" w:rsidRDefault="00665EE2" w14:paraId="7DA4A6E1" w14:textId="77777777">
      <w:pPr>
        <w:spacing w:before="120" w:after="240"/>
        <w:rPr>
          <w:rFonts w:ascii="Arial" w:hAnsi="Arial"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 xml:space="preserve">Having considered the additional arguments made in your letter of </w:t>
      </w:r>
      <w:r w:rsidRPr="00362DB8">
        <w:rPr>
          <w:rFonts w:ascii="Arial" w:hAnsi="Arial" w:cs="Arial"/>
          <w:color w:val="0D0D0D" w:themeColor="text1" w:themeTint="F2"/>
          <w:sz w:val="20"/>
          <w:szCs w:val="20"/>
          <w:lang w:eastAsia="en-GB"/>
        </w:rPr>
        <w:t>24 July 2025</w:t>
      </w:r>
      <w:r w:rsidRPr="00362DB8">
        <w:rPr>
          <w:rFonts w:ascii="Arial" w:hAnsi="Arial" w:eastAsia="Times New Roman" w:cs="Arial"/>
          <w:color w:val="0D0D0D" w:themeColor="text1" w:themeTint="F2"/>
          <w:sz w:val="20"/>
          <w:szCs w:val="20"/>
          <w:lang w:eastAsia="en-GB"/>
        </w:rPr>
        <w:t xml:space="preserve"> I </w:t>
      </w:r>
      <w:r w:rsidRPr="00362DB8">
        <w:rPr>
          <w:rFonts w:ascii="Arial" w:hAnsi="Arial" w:cs="Arial"/>
          <w:color w:val="0D0D0D" w:themeColor="text1" w:themeTint="F2"/>
          <w:sz w:val="20"/>
          <w:szCs w:val="20"/>
          <w:lang w:eastAsia="en-GB"/>
        </w:rPr>
        <w:t>remain of the view that this appeal point should not proceed to an oral hearing.</w:t>
      </w:r>
    </w:p>
    <w:p w:rsidRPr="00362DB8" w:rsidR="009608EF" w:rsidP="009608EF" w:rsidRDefault="009608EF" w14:paraId="354693B0" w14:textId="6EC84F11">
      <w:pPr>
        <w:rPr>
          <w:rFonts w:ascii="Arial" w:hAnsi="Arial" w:eastAsia="Times New Roman" w:cs="Arial"/>
          <w:i/>
          <w:iCs/>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 xml:space="preserve">Paragraph 3.6 of the FDG </w:t>
      </w:r>
      <w:r w:rsidRPr="00362DB8" w:rsidR="000D38F9">
        <w:rPr>
          <w:rFonts w:ascii="Arial" w:hAnsi="Arial" w:eastAsia="Times New Roman" w:cs="Arial"/>
          <w:color w:val="0D0D0D" w:themeColor="text1" w:themeTint="F2"/>
          <w:sz w:val="20"/>
          <w:szCs w:val="20"/>
          <w:lang w:eastAsia="en-GB"/>
        </w:rPr>
        <w:t xml:space="preserve">discusses in detail the evidence that the Committee received and considered about </w:t>
      </w:r>
      <w:r w:rsidR="00CC0BCA">
        <w:rPr>
          <w:rFonts w:ascii="Arial" w:hAnsi="Arial" w:eastAsia="Times New Roman" w:cs="Arial"/>
          <w:color w:val="0D0D0D" w:themeColor="text1" w:themeTint="F2"/>
          <w:sz w:val="20"/>
          <w:szCs w:val="20"/>
          <w:lang w:eastAsia="en-GB"/>
        </w:rPr>
        <w:t xml:space="preserve">the minimum clinically important treatment effect and </w:t>
      </w:r>
      <w:r w:rsidRPr="00362DB8" w:rsidR="000D38F9">
        <w:rPr>
          <w:rFonts w:ascii="Arial" w:hAnsi="Arial" w:eastAsia="Times New Roman" w:cs="Arial"/>
          <w:color w:val="0D0D0D" w:themeColor="text1" w:themeTint="F2"/>
          <w:sz w:val="20"/>
          <w:szCs w:val="20"/>
          <w:lang w:eastAsia="en-GB"/>
        </w:rPr>
        <w:t xml:space="preserve">the treatment effect of </w:t>
      </w:r>
      <w:proofErr w:type="spellStart"/>
      <w:r w:rsidRPr="00362DB8" w:rsidR="000D38F9">
        <w:rPr>
          <w:rFonts w:ascii="Arial" w:hAnsi="Arial" w:eastAsia="Times New Roman" w:cs="Arial"/>
          <w:color w:val="0D0D0D" w:themeColor="text1" w:themeTint="F2"/>
          <w:sz w:val="20"/>
          <w:szCs w:val="20"/>
          <w:lang w:eastAsia="en-GB"/>
        </w:rPr>
        <w:t>lecanemab</w:t>
      </w:r>
      <w:proofErr w:type="spellEnd"/>
      <w:r w:rsidRPr="00362DB8" w:rsidR="000D38F9">
        <w:rPr>
          <w:rFonts w:ascii="Arial" w:hAnsi="Arial" w:eastAsia="Times New Roman" w:cs="Arial"/>
          <w:color w:val="0D0D0D" w:themeColor="text1" w:themeTint="F2"/>
          <w:sz w:val="20"/>
          <w:szCs w:val="20"/>
          <w:lang w:eastAsia="en-GB"/>
        </w:rPr>
        <w:t xml:space="preserve"> across three committee meetings</w:t>
      </w:r>
      <w:r w:rsidR="00CC0BCA">
        <w:rPr>
          <w:rFonts w:ascii="Arial" w:hAnsi="Arial" w:eastAsia="Times New Roman" w:cs="Arial"/>
          <w:color w:val="0D0D0D" w:themeColor="text1" w:themeTint="F2"/>
          <w:sz w:val="20"/>
          <w:szCs w:val="20"/>
          <w:lang w:eastAsia="en-GB"/>
        </w:rPr>
        <w:t xml:space="preserve"> relative to this.</w:t>
      </w:r>
      <w:r w:rsidR="00541083">
        <w:rPr>
          <w:rFonts w:ascii="Arial" w:hAnsi="Arial" w:eastAsia="Times New Roman" w:cs="Arial"/>
          <w:color w:val="0D0D0D" w:themeColor="text1" w:themeTint="F2"/>
          <w:sz w:val="20"/>
          <w:szCs w:val="20"/>
          <w:lang w:eastAsia="en-GB"/>
        </w:rPr>
        <w:t xml:space="preserve"> Its </w:t>
      </w:r>
      <w:r w:rsidRPr="00362DB8" w:rsidR="000D38F9">
        <w:rPr>
          <w:rFonts w:ascii="Arial" w:hAnsi="Arial" w:eastAsia="Times New Roman" w:cs="Arial"/>
          <w:color w:val="0D0D0D" w:themeColor="text1" w:themeTint="F2"/>
          <w:sz w:val="20"/>
          <w:szCs w:val="20"/>
          <w:lang w:eastAsia="en-GB"/>
        </w:rPr>
        <w:t xml:space="preserve">conclusion that the treatment effect was clinically meaningful but </w:t>
      </w:r>
      <w:r w:rsidR="00541083">
        <w:rPr>
          <w:rFonts w:ascii="Arial" w:hAnsi="Arial" w:eastAsia="Times New Roman" w:cs="Arial"/>
          <w:color w:val="0D0D0D" w:themeColor="text1" w:themeTint="F2"/>
          <w:sz w:val="20"/>
          <w:szCs w:val="20"/>
          <w:lang w:eastAsia="en-GB"/>
        </w:rPr>
        <w:t xml:space="preserve">relatively </w:t>
      </w:r>
      <w:r w:rsidRPr="00362DB8" w:rsidR="000D38F9">
        <w:rPr>
          <w:rFonts w:ascii="Arial" w:hAnsi="Arial" w:eastAsia="Times New Roman" w:cs="Arial"/>
          <w:color w:val="0D0D0D" w:themeColor="text1" w:themeTint="F2"/>
          <w:sz w:val="20"/>
          <w:szCs w:val="20"/>
          <w:lang w:eastAsia="en-GB"/>
        </w:rPr>
        <w:t xml:space="preserve">small and of uncertain duration is not an arguably unreasonable conclusion to reach </w:t>
      </w:r>
      <w:proofErr w:type="gramStart"/>
      <w:r w:rsidRPr="00362DB8" w:rsidR="000D38F9">
        <w:rPr>
          <w:rFonts w:ascii="Arial" w:hAnsi="Arial" w:eastAsia="Times New Roman" w:cs="Arial"/>
          <w:color w:val="0D0D0D" w:themeColor="text1" w:themeTint="F2"/>
          <w:sz w:val="20"/>
          <w:szCs w:val="20"/>
          <w:lang w:eastAsia="en-GB"/>
        </w:rPr>
        <w:t>in light of</w:t>
      </w:r>
      <w:proofErr w:type="gramEnd"/>
      <w:r w:rsidRPr="00362DB8" w:rsidR="000D38F9">
        <w:rPr>
          <w:rFonts w:ascii="Arial" w:hAnsi="Arial" w:eastAsia="Times New Roman" w:cs="Arial"/>
          <w:color w:val="0D0D0D" w:themeColor="text1" w:themeTint="F2"/>
          <w:sz w:val="20"/>
          <w:szCs w:val="20"/>
          <w:lang w:eastAsia="en-GB"/>
        </w:rPr>
        <w:t xml:space="preserve"> that evidence.  </w:t>
      </w:r>
    </w:p>
    <w:p w:rsidRPr="000D38F9" w:rsidR="000D38F9" w:rsidP="000D38F9" w:rsidRDefault="000D38F9" w14:paraId="2D0D85BD" w14:textId="50F4A5BE">
      <w:pPr>
        <w:spacing w:before="120" w:after="240"/>
        <w:jc w:val="both"/>
        <w:rPr>
          <w:rFonts w:ascii="Arial" w:hAnsi="Arial" w:eastAsia="Times New Roman" w:cs="Arial"/>
          <w:b/>
          <w:bCs/>
          <w:sz w:val="20"/>
          <w:szCs w:val="20"/>
          <w:u w:val="single"/>
        </w:rPr>
      </w:pPr>
      <w:r w:rsidRPr="00362DB8">
        <w:rPr>
          <w:rFonts w:ascii="Arial" w:hAnsi="Arial" w:eastAsia="Times New Roman" w:cs="Arial"/>
          <w:b/>
          <w:bCs/>
          <w:sz w:val="20"/>
          <w:szCs w:val="20"/>
          <w:u w:val="single"/>
        </w:rPr>
        <w:t xml:space="preserve">2.3 </w:t>
      </w:r>
      <w:r w:rsidRPr="000D38F9">
        <w:rPr>
          <w:rFonts w:ascii="Arial" w:hAnsi="Arial" w:eastAsia="Times New Roman" w:cs="Arial"/>
          <w:b/>
          <w:bCs/>
          <w:sz w:val="20"/>
          <w:szCs w:val="20"/>
          <w:u w:val="single"/>
        </w:rPr>
        <w:t xml:space="preserve">The assessment of the additional aspects of </w:t>
      </w:r>
      <w:proofErr w:type="spellStart"/>
      <w:r w:rsidRPr="000D38F9">
        <w:rPr>
          <w:rFonts w:ascii="Arial" w:hAnsi="Arial" w:eastAsia="Times New Roman" w:cs="Arial"/>
          <w:b/>
          <w:bCs/>
          <w:sz w:val="20"/>
          <w:szCs w:val="20"/>
          <w:u w:val="single"/>
        </w:rPr>
        <w:t>lecanemab</w:t>
      </w:r>
      <w:proofErr w:type="spellEnd"/>
      <w:r w:rsidRPr="000D38F9">
        <w:rPr>
          <w:rFonts w:ascii="Arial" w:hAnsi="Arial" w:eastAsia="Times New Roman" w:cs="Arial"/>
          <w:b/>
          <w:bCs/>
          <w:sz w:val="20"/>
          <w:szCs w:val="20"/>
          <w:u w:val="single"/>
        </w:rPr>
        <w:t xml:space="preserve"> treatment is unbalanced and unreasonable </w:t>
      </w:r>
    </w:p>
    <w:p w:rsidRPr="00362DB8" w:rsidR="000D38F9" w:rsidP="005A7A7D" w:rsidRDefault="000D38F9" w14:paraId="4DA74405" w14:textId="0FF3D90E">
      <w:pPr>
        <w:spacing w:before="120" w:after="240"/>
        <w:jc w:val="both"/>
        <w:rPr>
          <w:rFonts w:ascii="Arial" w:hAnsi="Arial" w:eastAsia="Times New Roman" w:cs="Arial"/>
          <w:sz w:val="20"/>
          <w:szCs w:val="20"/>
        </w:rPr>
      </w:pPr>
      <w:r w:rsidRPr="00362DB8">
        <w:rPr>
          <w:rFonts w:ascii="Arial" w:hAnsi="Arial" w:eastAsia="Times New Roman" w:cs="Arial"/>
          <w:sz w:val="20"/>
          <w:szCs w:val="20"/>
        </w:rPr>
        <w:t>I confirm my decision to refer this appeal point to the Appeal Panel.</w:t>
      </w:r>
    </w:p>
    <w:p w:rsidRPr="00362DB8" w:rsidR="000D38F9" w:rsidP="000D38F9" w:rsidRDefault="00194281" w14:paraId="4274DAC4" w14:textId="0B508967">
      <w:pPr>
        <w:spacing w:before="120" w:after="240"/>
        <w:jc w:val="both"/>
        <w:rPr>
          <w:rFonts w:ascii="Arial" w:hAnsi="Arial" w:eastAsia="Times New Roman" w:cs="Arial"/>
          <w:b/>
          <w:bCs/>
          <w:sz w:val="20"/>
          <w:szCs w:val="20"/>
          <w:u w:val="single"/>
        </w:rPr>
      </w:pPr>
      <w:r w:rsidRPr="00362DB8">
        <w:rPr>
          <w:rFonts w:ascii="Arial" w:hAnsi="Arial" w:eastAsia="Times New Roman" w:cs="Arial"/>
          <w:b/>
          <w:bCs/>
          <w:sz w:val="20"/>
          <w:szCs w:val="20"/>
          <w:u w:val="single"/>
        </w:rPr>
        <w:t xml:space="preserve">2.4. </w:t>
      </w:r>
      <w:r w:rsidRPr="00362DB8" w:rsidR="000D38F9">
        <w:rPr>
          <w:rFonts w:ascii="Arial" w:hAnsi="Arial" w:eastAsia="Times New Roman" w:cs="Arial"/>
          <w:b/>
          <w:bCs/>
          <w:sz w:val="20"/>
          <w:szCs w:val="20"/>
          <w:u w:val="single"/>
        </w:rPr>
        <w:t xml:space="preserve">The approach to treatment waning accepted by the Committee is arbitrary and unreasonable </w:t>
      </w:r>
    </w:p>
    <w:p w:rsidRPr="00362DB8" w:rsidR="000D38F9" w:rsidP="000D38F9" w:rsidRDefault="000D38F9" w14:paraId="0FA787EA" w14:textId="77777777">
      <w:pPr>
        <w:spacing w:before="120" w:after="240"/>
        <w:jc w:val="both"/>
        <w:rPr>
          <w:rFonts w:ascii="Arial" w:hAnsi="Arial" w:eastAsia="Times New Roman" w:cs="Arial"/>
          <w:sz w:val="20"/>
          <w:szCs w:val="20"/>
        </w:rPr>
      </w:pPr>
      <w:r w:rsidRPr="00362DB8">
        <w:rPr>
          <w:rFonts w:ascii="Arial" w:hAnsi="Arial" w:eastAsia="Times New Roman" w:cs="Arial"/>
          <w:sz w:val="20"/>
          <w:szCs w:val="20"/>
        </w:rPr>
        <w:t>I confirm my decision to refer this appeal point to the Appeal Panel.</w:t>
      </w:r>
    </w:p>
    <w:p w:rsidRPr="00362DB8" w:rsidR="00801DB2" w:rsidP="005A7A7D" w:rsidRDefault="00A6586B" w14:paraId="3322B7F9" w14:textId="20CA9541">
      <w:pPr>
        <w:spacing w:before="120" w:after="240"/>
        <w:jc w:val="both"/>
        <w:rPr>
          <w:rFonts w:ascii="Arial" w:hAnsi="Arial" w:eastAsia="Times New Roman" w:cs="Arial"/>
          <w:b/>
          <w:bCs/>
          <w:sz w:val="20"/>
          <w:szCs w:val="20"/>
          <w:u w:val="single"/>
        </w:rPr>
      </w:pPr>
      <w:r w:rsidRPr="00362DB8">
        <w:rPr>
          <w:rFonts w:ascii="Arial" w:hAnsi="Arial" w:eastAsia="Times New Roman" w:cs="Arial"/>
          <w:b/>
          <w:bCs/>
          <w:sz w:val="20"/>
          <w:szCs w:val="20"/>
          <w:u w:val="single"/>
        </w:rPr>
        <w:t>2.5 The Committee’s decision to rely on an unverified cost estimate for APOE4 gene testing costs rather than a transparent estimate from an alternative source is unreasonable</w:t>
      </w:r>
    </w:p>
    <w:p w:rsidRPr="00362DB8" w:rsidR="00665EE2" w:rsidP="00665EE2" w:rsidRDefault="00665EE2" w14:paraId="7A132036" w14:textId="77777777">
      <w:pPr>
        <w:spacing w:before="120" w:after="240"/>
        <w:rPr>
          <w:rFonts w:ascii="Arial" w:hAnsi="Arial" w:eastAsia="Times New Roman"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 xml:space="preserve">Having considered the additional arguments made in your letter of 24 July 2025, I agree that this is a valid appeal point.   </w:t>
      </w:r>
    </w:p>
    <w:p w:rsidRPr="00362DB8" w:rsidR="00CD7553" w:rsidP="005A7A7D" w:rsidRDefault="00665EE2" w14:paraId="3ABC177A" w14:textId="25B0FD1D">
      <w:pPr>
        <w:spacing w:before="120" w:after="240"/>
        <w:jc w:val="both"/>
        <w:rPr>
          <w:rFonts w:ascii="Arial" w:hAnsi="Arial" w:eastAsia="Times New Roman" w:cs="Arial"/>
          <w:b/>
          <w:bCs/>
          <w:sz w:val="20"/>
          <w:szCs w:val="20"/>
          <w:u w:val="single"/>
        </w:rPr>
      </w:pPr>
      <w:r w:rsidRPr="00362DB8">
        <w:rPr>
          <w:rFonts w:ascii="Arial" w:hAnsi="Arial" w:eastAsia="Times New Roman" w:cs="Arial"/>
          <w:b/>
          <w:bCs/>
          <w:sz w:val="20"/>
          <w:szCs w:val="20"/>
          <w:u w:val="single"/>
        </w:rPr>
        <w:t xml:space="preserve">2.6 The Committee’s consideration of a recommendation for use of </w:t>
      </w:r>
      <w:proofErr w:type="spellStart"/>
      <w:r w:rsidRPr="00362DB8">
        <w:rPr>
          <w:rFonts w:ascii="Arial" w:hAnsi="Arial" w:eastAsia="Times New Roman" w:cs="Arial"/>
          <w:b/>
          <w:bCs/>
          <w:sz w:val="20"/>
          <w:szCs w:val="20"/>
          <w:u w:val="single"/>
        </w:rPr>
        <w:t>lecanemab</w:t>
      </w:r>
      <w:proofErr w:type="spellEnd"/>
      <w:r w:rsidRPr="00362DB8">
        <w:rPr>
          <w:rFonts w:ascii="Arial" w:hAnsi="Arial" w:eastAsia="Times New Roman" w:cs="Arial"/>
          <w:b/>
          <w:bCs/>
          <w:sz w:val="20"/>
          <w:szCs w:val="20"/>
          <w:u w:val="single"/>
        </w:rPr>
        <w:t xml:space="preserve"> with managed access is inconsistent with the Manual and the Innovative Medicines Fund principles and is unreasonable</w:t>
      </w:r>
    </w:p>
    <w:p w:rsidRPr="00362DB8" w:rsidR="00665EE2" w:rsidP="00665EE2" w:rsidRDefault="00665EE2" w14:paraId="23787034" w14:textId="77777777">
      <w:pPr>
        <w:spacing w:before="120" w:after="240"/>
        <w:rPr>
          <w:rFonts w:ascii="Arial" w:hAnsi="Arial" w:cs="Arial"/>
          <w:color w:val="0D0D0D" w:themeColor="text1" w:themeTint="F2"/>
          <w:sz w:val="20"/>
          <w:szCs w:val="20"/>
          <w:lang w:eastAsia="en-GB"/>
        </w:rPr>
      </w:pPr>
      <w:r w:rsidRPr="00362DB8">
        <w:rPr>
          <w:rFonts w:ascii="Arial" w:hAnsi="Arial" w:eastAsia="Times New Roman" w:cs="Arial"/>
          <w:color w:val="0D0D0D" w:themeColor="text1" w:themeTint="F2"/>
          <w:sz w:val="20"/>
          <w:szCs w:val="20"/>
          <w:lang w:eastAsia="en-GB"/>
        </w:rPr>
        <w:t xml:space="preserve">Having considered the additional arguments made in your letter of </w:t>
      </w:r>
      <w:r w:rsidRPr="00362DB8">
        <w:rPr>
          <w:rFonts w:ascii="Arial" w:hAnsi="Arial" w:cs="Arial"/>
          <w:color w:val="0D0D0D" w:themeColor="text1" w:themeTint="F2"/>
          <w:sz w:val="20"/>
          <w:szCs w:val="20"/>
          <w:lang w:eastAsia="en-GB"/>
        </w:rPr>
        <w:t>24 July 2025</w:t>
      </w:r>
      <w:r w:rsidRPr="00362DB8">
        <w:rPr>
          <w:rFonts w:ascii="Arial" w:hAnsi="Arial" w:eastAsia="Times New Roman" w:cs="Arial"/>
          <w:color w:val="0D0D0D" w:themeColor="text1" w:themeTint="F2"/>
          <w:sz w:val="20"/>
          <w:szCs w:val="20"/>
          <w:lang w:eastAsia="en-GB"/>
        </w:rPr>
        <w:t xml:space="preserve"> I </w:t>
      </w:r>
      <w:r w:rsidRPr="00362DB8">
        <w:rPr>
          <w:rFonts w:ascii="Arial" w:hAnsi="Arial" w:cs="Arial"/>
          <w:color w:val="0D0D0D" w:themeColor="text1" w:themeTint="F2"/>
          <w:sz w:val="20"/>
          <w:szCs w:val="20"/>
          <w:lang w:eastAsia="en-GB"/>
        </w:rPr>
        <w:t>remain of the view that this appeal point should not proceed to an oral hearing.</w:t>
      </w:r>
    </w:p>
    <w:p w:rsidRPr="00362DB8" w:rsidR="00194281" w:rsidP="00194281" w:rsidRDefault="00194281" w14:paraId="3243D1CD" w14:textId="77777777">
      <w:pPr>
        <w:spacing w:before="240" w:after="240"/>
        <w:jc w:val="both"/>
        <w:rPr>
          <w:rFonts w:ascii="Arial" w:hAnsi="Arial" w:eastAsia="Times New Roman" w:cs="Arial"/>
          <w:sz w:val="20"/>
          <w:szCs w:val="20"/>
        </w:rPr>
      </w:pPr>
      <w:r w:rsidRPr="00362DB8">
        <w:rPr>
          <w:rFonts w:ascii="Arial" w:hAnsi="Arial" w:eastAsia="Times New Roman" w:cs="Arial"/>
          <w:sz w:val="20"/>
          <w:szCs w:val="20"/>
        </w:rPr>
        <w:t>The Manual is clear that without a plausibly cost effective ICER at the current price, the Committee cannot recommend managed access.  As the Committee had reached that view in this evaluation, there is no arguable case that the Committee should nevertheless have made a recommendation with managed access.</w:t>
      </w:r>
    </w:p>
    <w:p w:rsidRPr="00362DB8" w:rsidR="005A7A7D" w:rsidP="005A7A7D" w:rsidRDefault="005A7A7D" w14:paraId="2AADAF28" w14:textId="6AD9A5D7">
      <w:pPr>
        <w:spacing w:before="120" w:after="240"/>
        <w:jc w:val="both"/>
        <w:rPr>
          <w:rFonts w:ascii="Arial" w:hAnsi="Arial" w:eastAsia="Times New Roman" w:cs="Arial"/>
          <w:sz w:val="20"/>
          <w:szCs w:val="20"/>
          <w:u w:val="single"/>
        </w:rPr>
      </w:pPr>
      <w:r w:rsidRPr="00362DB8">
        <w:rPr>
          <w:rFonts w:ascii="Arial" w:hAnsi="Arial" w:eastAsia="Times New Roman" w:cs="Arial"/>
          <w:sz w:val="20"/>
          <w:szCs w:val="20"/>
          <w:u w:val="single"/>
        </w:rPr>
        <w:t>Conclusion</w:t>
      </w:r>
    </w:p>
    <w:p w:rsidRPr="00362DB8" w:rsidR="005A7A7D" w:rsidP="005A7A7D" w:rsidRDefault="005A7A7D" w14:paraId="64256DC4" w14:textId="77777777">
      <w:pPr>
        <w:spacing w:before="120" w:after="240"/>
        <w:jc w:val="both"/>
        <w:rPr>
          <w:rFonts w:ascii="Arial" w:hAnsi="Arial" w:eastAsia="Times New Roman" w:cs="Arial"/>
          <w:sz w:val="20"/>
          <w:szCs w:val="20"/>
        </w:rPr>
      </w:pPr>
      <w:proofErr w:type="gramStart"/>
      <w:r w:rsidRPr="00362DB8">
        <w:rPr>
          <w:rFonts w:ascii="Arial" w:hAnsi="Arial" w:eastAsia="Times New Roman" w:cs="Arial"/>
          <w:sz w:val="20"/>
          <w:szCs w:val="20"/>
        </w:rPr>
        <w:t>Therefore</w:t>
      </w:r>
      <w:proofErr w:type="gramEnd"/>
      <w:r w:rsidRPr="00362DB8">
        <w:rPr>
          <w:rFonts w:ascii="Arial" w:hAnsi="Arial" w:eastAsia="Times New Roman" w:cs="Arial"/>
          <w:sz w:val="20"/>
          <w:szCs w:val="20"/>
        </w:rPr>
        <w:t xml:space="preserve"> the valid appeal points are:</w:t>
      </w:r>
    </w:p>
    <w:p w:rsidRPr="00362DB8" w:rsidR="00194281" w:rsidP="00362DB8" w:rsidRDefault="00194281" w14:paraId="0FBBB0A9" w14:textId="7C41A029">
      <w:pPr>
        <w:pStyle w:val="ListParagraph"/>
        <w:numPr>
          <w:ilvl w:val="0"/>
          <w:numId w:val="14"/>
        </w:numPr>
        <w:spacing w:before="120" w:after="240"/>
        <w:ind w:left="720" w:hanging="360"/>
        <w:jc w:val="both"/>
        <w:rPr>
          <w:rFonts w:cs="Arial"/>
          <w:b/>
          <w:bCs/>
          <w:color w:val="0D0D0D" w:themeColor="text1" w:themeTint="F2"/>
          <w:lang w:eastAsia="en-GB"/>
        </w:rPr>
      </w:pPr>
      <w:r w:rsidRPr="00362DB8">
        <w:rPr>
          <w:rFonts w:cs="Arial"/>
          <w:b/>
          <w:bCs/>
          <w:color w:val="0D0D0D" w:themeColor="text1" w:themeTint="F2"/>
          <w:lang w:eastAsia="en-GB"/>
        </w:rPr>
        <w:t>1(a).1</w:t>
      </w:r>
      <w:r w:rsidRPr="00362DB8" w:rsidR="00362DB8">
        <w:rPr>
          <w:rFonts w:cs="Arial"/>
          <w:b/>
          <w:bCs/>
        </w:rPr>
        <w:t xml:space="preserve"> – </w:t>
      </w:r>
      <w:r w:rsidRPr="00362DB8">
        <w:rPr>
          <w:rFonts w:cs="Arial"/>
          <w:b/>
          <w:bCs/>
          <w:color w:val="0D0D0D" w:themeColor="text1" w:themeTint="F2"/>
          <w:lang w:eastAsia="en-GB"/>
        </w:rPr>
        <w:t>The disclosure of information regarding infusion costs very shortly before the third Appraisal Committee meeting (ACM3) without opportunity for consideration or comment by consultees was procedurally unfair</w:t>
      </w:r>
      <w:r w:rsidRPr="00362DB8" w:rsidR="00362DB8">
        <w:rPr>
          <w:rFonts w:cs="Arial"/>
          <w:b/>
          <w:bCs/>
          <w:color w:val="0D0D0D" w:themeColor="text1" w:themeTint="F2"/>
          <w:lang w:eastAsia="en-GB"/>
        </w:rPr>
        <w:t>.</w:t>
      </w:r>
      <w:r w:rsidRPr="00362DB8">
        <w:rPr>
          <w:rFonts w:cs="Arial"/>
          <w:b/>
          <w:bCs/>
          <w:color w:val="0D0D0D" w:themeColor="text1" w:themeTint="F2"/>
          <w:lang w:eastAsia="en-GB"/>
        </w:rPr>
        <w:t xml:space="preserve"> </w:t>
      </w:r>
    </w:p>
    <w:p w:rsidRPr="00362DB8" w:rsidR="00362DB8" w:rsidP="00362DB8" w:rsidRDefault="00362DB8" w14:paraId="62BBF8A8" w14:textId="77777777">
      <w:pPr>
        <w:pStyle w:val="ListParagraph"/>
        <w:spacing w:before="120" w:after="240"/>
        <w:jc w:val="both"/>
        <w:rPr>
          <w:rFonts w:cs="Arial"/>
          <w:b/>
          <w:bCs/>
          <w:color w:val="0D0D0D" w:themeColor="text1" w:themeTint="F2"/>
          <w:lang w:eastAsia="en-GB"/>
        </w:rPr>
      </w:pPr>
    </w:p>
    <w:p w:rsidRPr="00362DB8" w:rsidR="00194281" w:rsidP="00362DB8" w:rsidRDefault="00362DB8" w14:paraId="69D19A1B" w14:textId="7C069E66">
      <w:pPr>
        <w:pStyle w:val="ListParagraph"/>
        <w:numPr>
          <w:ilvl w:val="0"/>
          <w:numId w:val="14"/>
        </w:numPr>
        <w:spacing w:before="120" w:after="240"/>
        <w:ind w:left="720" w:hanging="360"/>
        <w:jc w:val="both"/>
        <w:rPr>
          <w:rFonts w:cs="Arial"/>
          <w:b/>
          <w:bCs/>
          <w:color w:val="0D0D0D" w:themeColor="text1" w:themeTint="F2"/>
          <w:lang w:eastAsia="en-GB"/>
        </w:rPr>
      </w:pPr>
      <w:r w:rsidRPr="00362DB8">
        <w:rPr>
          <w:rFonts w:cs="Arial"/>
          <w:b/>
          <w:bCs/>
          <w:color w:val="0D0D0D" w:themeColor="text1" w:themeTint="F2"/>
          <w:lang w:eastAsia="en-GB"/>
        </w:rPr>
        <w:t>1(a).2</w:t>
      </w:r>
      <w:r w:rsidRPr="00362DB8">
        <w:rPr>
          <w:rFonts w:cs="Arial"/>
          <w:b/>
          <w:bCs/>
        </w:rPr>
        <w:t xml:space="preserve"> – </w:t>
      </w:r>
      <w:r w:rsidRPr="00362DB8" w:rsidR="00194281">
        <w:rPr>
          <w:rFonts w:cs="Arial"/>
          <w:b/>
          <w:bCs/>
          <w:color w:val="0D0D0D" w:themeColor="text1" w:themeTint="F2"/>
          <w:lang w:eastAsia="en-GB"/>
        </w:rPr>
        <w:t>The Committee has not provided adequate reasons for rejecting Eisai's infusion costs</w:t>
      </w:r>
      <w:r w:rsidRPr="00362DB8">
        <w:rPr>
          <w:rFonts w:cs="Arial"/>
          <w:b/>
          <w:bCs/>
          <w:color w:val="0D0D0D" w:themeColor="text1" w:themeTint="F2"/>
          <w:lang w:eastAsia="en-GB"/>
        </w:rPr>
        <w:t>.</w:t>
      </w:r>
    </w:p>
    <w:p w:rsidRPr="00362DB8" w:rsidR="00362DB8" w:rsidP="00362DB8" w:rsidRDefault="00362DB8" w14:paraId="1DF861BD" w14:textId="77777777">
      <w:pPr>
        <w:pStyle w:val="ListParagraph"/>
        <w:rPr>
          <w:rFonts w:cs="Arial"/>
          <w:b/>
          <w:bCs/>
          <w:color w:val="0D0D0D" w:themeColor="text1" w:themeTint="F2"/>
          <w:lang w:eastAsia="en-GB"/>
        </w:rPr>
      </w:pPr>
    </w:p>
    <w:p w:rsidRPr="00362DB8" w:rsidR="00194281" w:rsidP="00362DB8" w:rsidRDefault="00194281" w14:paraId="69D1B691" w14:textId="0AE1EF67">
      <w:pPr>
        <w:pStyle w:val="ListParagraph"/>
        <w:numPr>
          <w:ilvl w:val="0"/>
          <w:numId w:val="14"/>
        </w:numPr>
        <w:spacing w:before="120" w:after="240"/>
        <w:ind w:left="720" w:hanging="360"/>
        <w:jc w:val="both"/>
        <w:rPr>
          <w:rFonts w:cs="Arial"/>
          <w:b/>
          <w:bCs/>
          <w:color w:val="0D0D0D" w:themeColor="text1" w:themeTint="F2"/>
          <w:lang w:eastAsia="en-GB"/>
        </w:rPr>
      </w:pPr>
      <w:r w:rsidRPr="00362DB8">
        <w:rPr>
          <w:rFonts w:cs="Arial"/>
          <w:b/>
          <w:bCs/>
          <w:color w:val="0D0D0D" w:themeColor="text1" w:themeTint="F2"/>
          <w:lang w:eastAsia="en-GB"/>
        </w:rPr>
        <w:t>1(a).3</w:t>
      </w:r>
      <w:r w:rsidRPr="00362DB8" w:rsidR="00362DB8">
        <w:rPr>
          <w:rFonts w:cs="Arial"/>
          <w:b/>
          <w:bCs/>
        </w:rPr>
        <w:t xml:space="preserve"> – </w:t>
      </w:r>
      <w:r w:rsidRPr="00362DB8">
        <w:rPr>
          <w:rFonts w:cs="Arial"/>
          <w:b/>
          <w:bCs/>
          <w:color w:val="0D0D0D" w:themeColor="text1" w:themeTint="F2"/>
          <w:lang w:eastAsia="en-GB"/>
        </w:rPr>
        <w:t xml:space="preserve">The Committee has omitted to explain why it has rejected the data from Clarity AD in concluding no effect of </w:t>
      </w:r>
      <w:proofErr w:type="spellStart"/>
      <w:r w:rsidRPr="00362DB8">
        <w:rPr>
          <w:rFonts w:cs="Arial"/>
          <w:b/>
          <w:bCs/>
          <w:color w:val="0D0D0D" w:themeColor="text1" w:themeTint="F2"/>
          <w:lang w:eastAsia="en-GB"/>
        </w:rPr>
        <w:t>lecanemab</w:t>
      </w:r>
      <w:proofErr w:type="spellEnd"/>
      <w:r w:rsidRPr="00362DB8">
        <w:rPr>
          <w:rFonts w:cs="Arial"/>
          <w:b/>
          <w:bCs/>
          <w:color w:val="0D0D0D" w:themeColor="text1" w:themeTint="F2"/>
          <w:lang w:eastAsia="en-GB"/>
        </w:rPr>
        <w:t xml:space="preserve"> in delaying progression to moderate or severe AD and has adopted an inconsistent approach to that followed in the appraisal of donanemab</w:t>
      </w:r>
      <w:r w:rsidRPr="00362DB8" w:rsidR="00362DB8">
        <w:rPr>
          <w:rFonts w:cs="Arial"/>
          <w:b/>
          <w:bCs/>
          <w:color w:val="0D0D0D" w:themeColor="text1" w:themeTint="F2"/>
          <w:lang w:eastAsia="en-GB"/>
        </w:rPr>
        <w:t>.</w:t>
      </w:r>
    </w:p>
    <w:p w:rsidRPr="00362DB8" w:rsidR="00362DB8" w:rsidP="00362DB8" w:rsidRDefault="00362DB8" w14:paraId="292E3B53" w14:textId="77777777">
      <w:pPr>
        <w:pStyle w:val="ListParagraph"/>
        <w:rPr>
          <w:rFonts w:cs="Arial"/>
          <w:b/>
          <w:bCs/>
          <w:color w:val="0D0D0D" w:themeColor="text1" w:themeTint="F2"/>
          <w:lang w:eastAsia="en-GB"/>
        </w:rPr>
      </w:pPr>
    </w:p>
    <w:p w:rsidRPr="00362DB8" w:rsidR="00362DB8" w:rsidP="00362DB8" w:rsidRDefault="00194281" w14:paraId="504486BB" w14:textId="59377F23">
      <w:pPr>
        <w:pStyle w:val="ListParagraph"/>
        <w:numPr>
          <w:ilvl w:val="0"/>
          <w:numId w:val="14"/>
        </w:numPr>
        <w:spacing w:before="120" w:after="240"/>
        <w:ind w:left="720" w:hanging="360"/>
        <w:jc w:val="both"/>
        <w:rPr>
          <w:rFonts w:cs="Arial"/>
          <w:b/>
          <w:bCs/>
          <w:color w:val="0D0D0D" w:themeColor="text1" w:themeTint="F2"/>
          <w:lang w:eastAsia="en-GB"/>
        </w:rPr>
      </w:pPr>
      <w:r w:rsidRPr="00362DB8">
        <w:rPr>
          <w:rFonts w:cs="Arial"/>
          <w:b/>
          <w:bCs/>
          <w:color w:val="0D0D0D" w:themeColor="text1" w:themeTint="F2"/>
          <w:lang w:eastAsia="en-GB"/>
        </w:rPr>
        <w:t>2.1</w:t>
      </w:r>
      <w:r w:rsidRPr="00362DB8" w:rsidR="00362DB8">
        <w:rPr>
          <w:rFonts w:cs="Arial"/>
          <w:b/>
          <w:bCs/>
        </w:rPr>
        <w:t xml:space="preserve"> – </w:t>
      </w:r>
      <w:r w:rsidRPr="00362DB8">
        <w:rPr>
          <w:rFonts w:cs="Arial"/>
          <w:b/>
          <w:bCs/>
          <w:color w:val="0D0D0D" w:themeColor="text1" w:themeTint="F2"/>
          <w:lang w:eastAsia="en-GB"/>
        </w:rPr>
        <w:t>The Committee’s assessment of utility values for carers does not reflect the balance of the available evidence</w:t>
      </w:r>
      <w:r w:rsidRPr="00362DB8" w:rsidR="00362DB8">
        <w:rPr>
          <w:rFonts w:cs="Arial"/>
          <w:b/>
          <w:bCs/>
          <w:color w:val="0D0D0D" w:themeColor="text1" w:themeTint="F2"/>
          <w:lang w:eastAsia="en-GB"/>
        </w:rPr>
        <w:t>.</w:t>
      </w:r>
    </w:p>
    <w:p w:rsidRPr="00362DB8" w:rsidR="00362DB8" w:rsidP="00362DB8" w:rsidRDefault="00362DB8" w14:paraId="6FF1872D" w14:textId="77777777">
      <w:pPr>
        <w:pStyle w:val="ListParagraph"/>
        <w:rPr>
          <w:rFonts w:cs="Arial"/>
          <w:b/>
          <w:bCs/>
          <w:color w:val="0D0D0D" w:themeColor="text1" w:themeTint="F2"/>
          <w:lang w:eastAsia="en-GB"/>
        </w:rPr>
      </w:pPr>
    </w:p>
    <w:p w:rsidRPr="00362DB8" w:rsidR="00362DB8" w:rsidP="00362DB8" w:rsidRDefault="00194281" w14:paraId="7EEF760B" w14:textId="128EDFF4">
      <w:pPr>
        <w:pStyle w:val="ListParagraph"/>
        <w:numPr>
          <w:ilvl w:val="0"/>
          <w:numId w:val="14"/>
        </w:numPr>
        <w:spacing w:before="120" w:after="240"/>
        <w:ind w:left="720" w:hanging="360"/>
        <w:jc w:val="both"/>
        <w:rPr>
          <w:rFonts w:cs="Arial"/>
          <w:b/>
          <w:bCs/>
          <w:color w:val="0D0D0D" w:themeColor="text1" w:themeTint="F2"/>
          <w:lang w:eastAsia="en-GB"/>
        </w:rPr>
      </w:pPr>
      <w:r w:rsidRPr="00362DB8">
        <w:rPr>
          <w:rFonts w:cs="Arial"/>
          <w:b/>
          <w:bCs/>
          <w:color w:val="0D0D0D" w:themeColor="text1" w:themeTint="F2"/>
          <w:lang w:eastAsia="en-GB"/>
        </w:rPr>
        <w:t>2.3</w:t>
      </w:r>
      <w:r w:rsidRPr="00362DB8" w:rsidR="00362DB8">
        <w:rPr>
          <w:rFonts w:cs="Arial"/>
          <w:b/>
          <w:bCs/>
        </w:rPr>
        <w:t xml:space="preserve"> – </w:t>
      </w:r>
      <w:r w:rsidRPr="00362DB8">
        <w:rPr>
          <w:rFonts w:cs="Arial"/>
          <w:b/>
          <w:bCs/>
          <w:color w:val="0D0D0D" w:themeColor="text1" w:themeTint="F2"/>
          <w:lang w:eastAsia="en-GB"/>
        </w:rPr>
        <w:t xml:space="preserve">The assessment of the additional aspects of </w:t>
      </w:r>
      <w:proofErr w:type="spellStart"/>
      <w:r w:rsidRPr="00362DB8">
        <w:rPr>
          <w:rFonts w:cs="Arial"/>
          <w:b/>
          <w:bCs/>
          <w:color w:val="0D0D0D" w:themeColor="text1" w:themeTint="F2"/>
          <w:lang w:eastAsia="en-GB"/>
        </w:rPr>
        <w:t>lecanemab</w:t>
      </w:r>
      <w:proofErr w:type="spellEnd"/>
      <w:r w:rsidRPr="00362DB8">
        <w:rPr>
          <w:rFonts w:cs="Arial"/>
          <w:b/>
          <w:bCs/>
          <w:color w:val="0D0D0D" w:themeColor="text1" w:themeTint="F2"/>
          <w:lang w:eastAsia="en-GB"/>
        </w:rPr>
        <w:t xml:space="preserve"> treatment is unbalanced and unreasonable</w:t>
      </w:r>
      <w:r w:rsidRPr="00362DB8" w:rsidR="00362DB8">
        <w:rPr>
          <w:rFonts w:cs="Arial"/>
          <w:b/>
          <w:bCs/>
          <w:color w:val="0D0D0D" w:themeColor="text1" w:themeTint="F2"/>
          <w:lang w:eastAsia="en-GB"/>
        </w:rPr>
        <w:t>.</w:t>
      </w:r>
    </w:p>
    <w:p w:rsidRPr="00362DB8" w:rsidR="00362DB8" w:rsidP="00362DB8" w:rsidRDefault="00362DB8" w14:paraId="439091C3" w14:textId="77777777">
      <w:pPr>
        <w:pStyle w:val="ListParagraph"/>
        <w:rPr>
          <w:rFonts w:cs="Arial"/>
          <w:b/>
          <w:bCs/>
          <w:color w:val="0D0D0D" w:themeColor="text1" w:themeTint="F2"/>
          <w:lang w:eastAsia="en-GB"/>
        </w:rPr>
      </w:pPr>
    </w:p>
    <w:p w:rsidRPr="00362DB8" w:rsidR="00194281" w:rsidP="00362DB8" w:rsidRDefault="00194281" w14:paraId="1D1E1F61" w14:textId="36611F0C">
      <w:pPr>
        <w:pStyle w:val="ListParagraph"/>
        <w:numPr>
          <w:ilvl w:val="0"/>
          <w:numId w:val="14"/>
        </w:numPr>
        <w:spacing w:before="120" w:after="240"/>
        <w:ind w:left="720" w:hanging="360"/>
        <w:jc w:val="both"/>
        <w:rPr>
          <w:rFonts w:cs="Arial"/>
          <w:b/>
          <w:bCs/>
          <w:color w:val="0D0D0D" w:themeColor="text1" w:themeTint="F2"/>
          <w:lang w:eastAsia="en-GB"/>
        </w:rPr>
      </w:pPr>
      <w:r w:rsidRPr="00362DB8">
        <w:rPr>
          <w:rFonts w:cs="Arial"/>
          <w:b/>
          <w:bCs/>
          <w:color w:val="0D0D0D" w:themeColor="text1" w:themeTint="F2"/>
          <w:lang w:eastAsia="en-GB"/>
        </w:rPr>
        <w:t>2.4</w:t>
      </w:r>
      <w:r w:rsidRPr="00362DB8" w:rsidR="00362DB8">
        <w:rPr>
          <w:rFonts w:cs="Arial"/>
          <w:b/>
          <w:bCs/>
        </w:rPr>
        <w:t xml:space="preserve"> – </w:t>
      </w:r>
      <w:r w:rsidRPr="00362DB8">
        <w:rPr>
          <w:rFonts w:cs="Arial"/>
          <w:b/>
          <w:bCs/>
          <w:color w:val="0D0D0D" w:themeColor="text1" w:themeTint="F2"/>
          <w:lang w:eastAsia="en-GB"/>
        </w:rPr>
        <w:t>The approach to treatment waning accepted by the Committee is arbitrary and unreasonable</w:t>
      </w:r>
      <w:r w:rsidRPr="00362DB8" w:rsidR="00362DB8">
        <w:rPr>
          <w:rFonts w:cs="Arial"/>
          <w:b/>
          <w:bCs/>
          <w:color w:val="0D0D0D" w:themeColor="text1" w:themeTint="F2"/>
          <w:lang w:eastAsia="en-GB"/>
        </w:rPr>
        <w:t>.</w:t>
      </w:r>
    </w:p>
    <w:p w:rsidRPr="00362DB8" w:rsidR="00362DB8" w:rsidP="00362DB8" w:rsidRDefault="00362DB8" w14:paraId="6777EF00" w14:textId="77777777">
      <w:pPr>
        <w:pStyle w:val="ListParagraph"/>
        <w:rPr>
          <w:rFonts w:cs="Arial"/>
          <w:b/>
          <w:bCs/>
          <w:color w:val="0D0D0D" w:themeColor="text1" w:themeTint="F2"/>
          <w:lang w:eastAsia="en-GB"/>
        </w:rPr>
      </w:pPr>
    </w:p>
    <w:p w:rsidRPr="00362DB8" w:rsidR="00194281" w:rsidP="00362DB8" w:rsidRDefault="00194281" w14:paraId="5C1EA527" w14:textId="4798FD5B">
      <w:pPr>
        <w:pStyle w:val="ListParagraph"/>
        <w:numPr>
          <w:ilvl w:val="0"/>
          <w:numId w:val="14"/>
        </w:numPr>
        <w:spacing w:before="120" w:after="240"/>
        <w:ind w:left="720" w:hanging="360"/>
        <w:jc w:val="both"/>
        <w:rPr>
          <w:rFonts w:cs="Arial"/>
          <w:b/>
          <w:bCs/>
          <w:color w:val="0D0D0D" w:themeColor="text1" w:themeTint="F2"/>
          <w:lang w:eastAsia="en-GB"/>
        </w:rPr>
      </w:pPr>
      <w:r w:rsidRPr="00362DB8">
        <w:rPr>
          <w:rFonts w:cs="Arial"/>
          <w:b/>
          <w:bCs/>
          <w:color w:val="0D0D0D" w:themeColor="text1" w:themeTint="F2"/>
          <w:lang w:eastAsia="en-GB"/>
        </w:rPr>
        <w:t>2.5</w:t>
      </w:r>
      <w:r w:rsidRPr="00362DB8" w:rsidR="00362DB8">
        <w:rPr>
          <w:rFonts w:cs="Arial"/>
          <w:b/>
          <w:bCs/>
        </w:rPr>
        <w:t xml:space="preserve"> – </w:t>
      </w:r>
      <w:r w:rsidRPr="00362DB8">
        <w:rPr>
          <w:rFonts w:cs="Arial"/>
          <w:b/>
          <w:bCs/>
          <w:color w:val="0D0D0D" w:themeColor="text1" w:themeTint="F2"/>
          <w:lang w:eastAsia="en-GB"/>
        </w:rPr>
        <w:t>The Committee’s decision to rely on an unverified cost estimate for APOE4 gene testing costs rather than a transparent estimate from an alternative source is unreasonable</w:t>
      </w:r>
      <w:r w:rsidRPr="00362DB8" w:rsidR="00362DB8">
        <w:rPr>
          <w:rFonts w:cs="Arial"/>
          <w:b/>
          <w:bCs/>
          <w:color w:val="0D0D0D" w:themeColor="text1" w:themeTint="F2"/>
          <w:lang w:eastAsia="en-GB"/>
        </w:rPr>
        <w:t>.</w:t>
      </w:r>
    </w:p>
    <w:p w:rsidRPr="00362DB8" w:rsidR="005A7A7D" w:rsidP="005A7A7D" w:rsidRDefault="005A7A7D" w14:paraId="5CCF2CB3" w14:textId="77777777">
      <w:pPr>
        <w:spacing w:before="120" w:after="240"/>
        <w:jc w:val="both"/>
        <w:rPr>
          <w:rFonts w:ascii="Arial" w:hAnsi="Arial" w:eastAsia="Times New Roman" w:cs="Arial"/>
          <w:sz w:val="20"/>
          <w:szCs w:val="20"/>
        </w:rPr>
      </w:pPr>
      <w:r w:rsidRPr="00362DB8">
        <w:rPr>
          <w:rFonts w:ascii="Arial" w:hAnsi="Arial" w:eastAsia="Times New Roman" w:cs="Arial"/>
          <w:sz w:val="20"/>
          <w:szCs w:val="20"/>
        </w:rPr>
        <w:t xml:space="preserve">NICE will be in contact with you regarding the administration of the appeal, which will be held orally. </w:t>
      </w:r>
    </w:p>
    <w:p w:rsidRPr="00362DB8" w:rsidR="007961D0" w:rsidP="005A7A7D" w:rsidRDefault="007961D0" w14:paraId="3397618C" w14:textId="77777777">
      <w:pPr>
        <w:spacing w:before="120" w:after="240"/>
        <w:jc w:val="both"/>
        <w:rPr>
          <w:rFonts w:ascii="Arial" w:hAnsi="Arial" w:eastAsia="Times New Roman" w:cs="Arial"/>
          <w:sz w:val="20"/>
          <w:szCs w:val="20"/>
        </w:rPr>
      </w:pPr>
    </w:p>
    <w:p w:rsidR="001148CD" w:rsidP="005A7A7D" w:rsidRDefault="005A7A7D" w14:paraId="04BAA200" w14:textId="6433D5A1">
      <w:pPr>
        <w:spacing w:before="120" w:after="240"/>
        <w:jc w:val="both"/>
        <w:rPr>
          <w:rFonts w:ascii="Arial" w:hAnsi="Arial" w:eastAsia="Times New Roman" w:cs="Arial"/>
          <w:sz w:val="20"/>
          <w:szCs w:val="20"/>
        </w:rPr>
      </w:pPr>
      <w:r w:rsidRPr="00362DB8">
        <w:rPr>
          <w:rFonts w:ascii="Arial" w:hAnsi="Arial" w:eastAsia="Times New Roman" w:cs="Arial"/>
          <w:sz w:val="20"/>
          <w:szCs w:val="20"/>
        </w:rPr>
        <w:t>Yours sincerely</w:t>
      </w:r>
    </w:p>
    <w:p w:rsidRPr="00362DB8" w:rsidR="001148CD" w:rsidP="005A7A7D" w:rsidRDefault="001A60CB" w14:paraId="44D2CF0F" w14:textId="181D1CFB">
      <w:pPr>
        <w:spacing w:before="120" w:after="240"/>
        <w:jc w:val="both"/>
        <w:rPr>
          <w:rFonts w:ascii="Arial" w:hAnsi="Arial" w:eastAsia="Times New Roman" w:cs="Arial"/>
          <w:sz w:val="20"/>
          <w:szCs w:val="20"/>
        </w:rPr>
      </w:pPr>
      <w:r w:rsidRPr="001A60CB">
        <w:rPr>
          <w:noProof/>
          <w:highlight w:val="black"/>
        </w:rPr>
        <w:t>XXXXXXXX</w:t>
      </w:r>
    </w:p>
    <w:p w:rsidRPr="00362DB8" w:rsidR="007961D0" w:rsidP="005A7A7D" w:rsidRDefault="007961D0" w14:paraId="53AB0D8E" w14:textId="77777777">
      <w:pPr>
        <w:spacing w:before="120" w:after="240"/>
        <w:jc w:val="both"/>
        <w:rPr>
          <w:rFonts w:ascii="Arial" w:hAnsi="Arial" w:eastAsia="Times New Roman" w:cs="Arial"/>
          <w:sz w:val="20"/>
          <w:szCs w:val="20"/>
        </w:rPr>
      </w:pPr>
      <w:r w:rsidRPr="00362DB8">
        <w:rPr>
          <w:rFonts w:ascii="Arial" w:hAnsi="Arial" w:eastAsia="Times New Roman" w:cs="Arial"/>
          <w:sz w:val="20"/>
          <w:szCs w:val="20"/>
        </w:rPr>
        <w:t xml:space="preserve">Dr Mark Chakravarty </w:t>
      </w:r>
    </w:p>
    <w:p w:rsidRPr="00362DB8" w:rsidR="00362DB8" w:rsidP="00362DB8" w:rsidRDefault="00362DB8" w14:paraId="1B269AC3" w14:textId="77777777">
      <w:pPr>
        <w:spacing w:line="360" w:lineRule="auto"/>
        <w:jc w:val="both"/>
        <w:rPr>
          <w:rFonts w:ascii="Arial" w:hAnsi="Arial" w:cs="Arial"/>
          <w:sz w:val="20"/>
          <w:szCs w:val="20"/>
        </w:rPr>
      </w:pPr>
      <w:r w:rsidRPr="00362DB8">
        <w:rPr>
          <w:rFonts w:ascii="Arial" w:hAnsi="Arial" w:cs="Arial"/>
          <w:sz w:val="20"/>
          <w:szCs w:val="20"/>
        </w:rPr>
        <w:t xml:space="preserve">Lead Non-Executive Director for Appeals </w:t>
      </w:r>
    </w:p>
    <w:p w:rsidRPr="00362DB8" w:rsidR="005A7A7D" w:rsidP="005A7A7D" w:rsidRDefault="005A7A7D" w14:paraId="40B9BBC0" w14:textId="77777777">
      <w:pPr>
        <w:spacing w:before="120" w:after="240"/>
        <w:jc w:val="both"/>
        <w:rPr>
          <w:rFonts w:ascii="Arial" w:hAnsi="Arial" w:eastAsia="Times New Roman" w:cs="Arial"/>
          <w:sz w:val="20"/>
          <w:szCs w:val="20"/>
        </w:rPr>
      </w:pPr>
      <w:r w:rsidRPr="00362DB8">
        <w:rPr>
          <w:rFonts w:ascii="Arial" w:hAnsi="Arial" w:eastAsia="Times New Roman" w:cs="Arial"/>
          <w:sz w:val="20"/>
          <w:szCs w:val="20"/>
        </w:rPr>
        <w:t>National Institute for Health and Care Excellence</w:t>
      </w:r>
    </w:p>
    <w:p w:rsidRPr="00362DB8" w:rsidR="000B36E1" w:rsidP="002B6A0D" w:rsidRDefault="000B36E1" w14:paraId="03E7BAFA" w14:textId="4811D299">
      <w:pPr>
        <w:spacing w:line="360" w:lineRule="auto"/>
        <w:rPr>
          <w:rFonts w:ascii="Arial" w:hAnsi="Arial" w:cs="Arial"/>
          <w:sz w:val="20"/>
          <w:szCs w:val="20"/>
        </w:rPr>
      </w:pPr>
    </w:p>
    <w:sectPr w:rsidRPr="00362DB8" w:rsidR="000B36E1" w:rsidSect="000B36E1">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B4A" w:rsidP="000B352B" w:rsidRDefault="00FE7B4A" w14:paraId="11BE2627" w14:textId="77777777">
      <w:pPr>
        <w:spacing w:after="0" w:line="240" w:lineRule="auto"/>
      </w:pPr>
      <w:r>
        <w:separator/>
      </w:r>
    </w:p>
  </w:endnote>
  <w:endnote w:type="continuationSeparator" w:id="0">
    <w:p w:rsidR="00FE7B4A" w:rsidP="000B352B" w:rsidRDefault="00FE7B4A" w14:paraId="5DDD89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DB" w:rsidRDefault="00BB16DB" w14:paraId="118258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6E1" w:rsidP="000B36E1" w:rsidRDefault="000B36E1" w14:paraId="5D4D323D" w14:textId="1CEBF2EA">
    <w:pPr>
      <w:pStyle w:val="Footer"/>
      <w:tabs>
        <w:tab w:val="clear" w:pos="4513"/>
        <w:tab w:val="clear" w:pos="9026"/>
        <w:tab w:val="left" w:pos="1758"/>
      </w:tabs>
      <w:rPr>
        <w:noProof/>
      </w:rPr>
    </w:pPr>
    <w:r>
      <w:tab/>
    </w:r>
    <w:r>
      <w:t xml:space="preserve">                                                                                                                                 Page | </w:t>
    </w:r>
    <w:r>
      <w:fldChar w:fldCharType="begin"/>
    </w:r>
    <w:r>
      <w:instrText xml:space="preserve"> PAGE   \* MERGEFORMAT </w:instrText>
    </w:r>
    <w:r>
      <w:fldChar w:fldCharType="separate"/>
    </w:r>
    <w:r w:rsidR="002B6A0D">
      <w:rPr>
        <w:noProof/>
      </w:rPr>
      <w:t>2</w:t>
    </w:r>
    <w:r>
      <w:rPr>
        <w:noProof/>
      </w:rPr>
      <w:fldChar w:fldCharType="end"/>
    </w:r>
  </w:p>
  <w:p w:rsidR="000B36E1" w:rsidP="000B36E1" w:rsidRDefault="000B36E1" w14:paraId="4B5AA96B" w14:textId="77777777">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36E1" w:rsidRDefault="000B36E1" w14:paraId="7283D9E9" w14:textId="65FFA284">
    <w:pPr>
      <w:pStyle w:val="Footer"/>
    </w:pPr>
    <w:r>
      <w:rPr>
        <w:noProof/>
        <w:lang w:eastAsia="en-GB"/>
      </w:rPr>
      <w:drawing>
        <wp:anchor distT="0" distB="0" distL="114300" distR="114300" simplePos="0" relativeHeight="251658241"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B4A" w:rsidP="000B352B" w:rsidRDefault="00FE7B4A" w14:paraId="05FE7A14" w14:textId="77777777">
      <w:pPr>
        <w:spacing w:after="0" w:line="240" w:lineRule="auto"/>
      </w:pPr>
      <w:r>
        <w:separator/>
      </w:r>
    </w:p>
  </w:footnote>
  <w:footnote w:type="continuationSeparator" w:id="0">
    <w:p w:rsidR="00FE7B4A" w:rsidP="000B352B" w:rsidRDefault="00FE7B4A" w14:paraId="5F50FC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DB" w:rsidRDefault="00BB16DB" w14:paraId="6ADB81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E0434" w:rsidR="009E2F15" w:rsidP="003A79BD" w:rsidRDefault="009E2F15" w14:paraId="18A30C4B" w14:textId="45456900">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36E1" w:rsidP="000B36E1" w:rsidRDefault="000B36E1" w14:paraId="7E317012" w14:textId="503FBB8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58240"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Pr="0003729F" w:rsid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rsidRPr="005E0434" w:rsidR="0003729F" w:rsidP="000B36E1" w:rsidRDefault="0003729F" w14:paraId="3809122A" w14:textId="119E090B">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rsidRPr="005E0434" w:rsidR="000B36E1" w:rsidP="000B36E1" w:rsidRDefault="000B36E1" w14:paraId="49A5672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rsidRPr="005E0434" w:rsidR="000B36E1" w:rsidP="000B36E1" w:rsidRDefault="0003729F" w14:paraId="69737D36" w14:textId="720B211D">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rsidRPr="005E0434" w:rsidR="000B36E1" w:rsidP="000B36E1" w:rsidRDefault="000B36E1" w14:paraId="0E97815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rsidRPr="005E0434" w:rsidR="000B36E1" w:rsidP="000B36E1" w:rsidRDefault="000B36E1" w14:paraId="6549E90E" w14:textId="77777777">
    <w:pPr>
      <w:pStyle w:val="Header"/>
      <w:tabs>
        <w:tab w:val="clear" w:pos="9026"/>
        <w:tab w:val="right" w:pos="10065"/>
      </w:tabs>
      <w:ind w:right="-1039"/>
      <w:jc w:val="right"/>
      <w:rPr>
        <w:rFonts w:ascii="Arial" w:hAnsi="Arial" w:cs="Arial"/>
        <w:color w:val="0E0E0E"/>
        <w:sz w:val="20"/>
        <w:szCs w:val="20"/>
      </w:rPr>
    </w:pPr>
  </w:p>
  <w:p w:rsidRPr="003A3E2E" w:rsidR="000B36E1" w:rsidP="003A3E2E" w:rsidRDefault="003A3E2E" w14:paraId="17F30120" w14:textId="7A0D7C0A">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rsidR="000B36E1" w:rsidP="000B36E1" w:rsidRDefault="000B36E1" w14:paraId="5D75BB6C" w14:textId="09F7B04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057DA"/>
    <w:multiLevelType w:val="hybridMultilevel"/>
    <w:tmpl w:val="018A73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442379"/>
    <w:multiLevelType w:val="hybridMultilevel"/>
    <w:tmpl w:val="87706036"/>
    <w:lvl w:ilvl="0" w:tplc="09E6128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B67384"/>
    <w:multiLevelType w:val="hybridMultilevel"/>
    <w:tmpl w:val="68AC1F94"/>
    <w:lvl w:ilvl="0" w:tplc="128CEC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6"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6F7D3D"/>
    <w:multiLevelType w:val="multilevel"/>
    <w:tmpl w:val="92F2C65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D75697"/>
    <w:multiLevelType w:val="multilevel"/>
    <w:tmpl w:val="57524674"/>
    <w:lvl w:ilvl="0">
      <w:start w:val="2"/>
      <w:numFmt w:val="decimal"/>
      <w:lvlText w:val="%1"/>
      <w:lvlJc w:val="left"/>
      <w:pPr>
        <w:ind w:left="36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1">
      <w:start w:val="3"/>
      <w:numFmt w:val="decimal"/>
      <w:lvlRestart w:val="0"/>
      <w:lvlText w:val="%1.%2"/>
      <w:lvlJc w:val="left"/>
      <w:pPr>
        <w:ind w:left="73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08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180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52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24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396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68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40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464512A1"/>
    <w:multiLevelType w:val="hybridMultilevel"/>
    <w:tmpl w:val="0D061612"/>
    <w:lvl w:ilvl="0" w:tplc="EC203BA8">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3"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2A000B"/>
    <w:multiLevelType w:val="hybridMultilevel"/>
    <w:tmpl w:val="7BB6749E"/>
    <w:lvl w:ilvl="0" w:tplc="1830465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14081330">
    <w:abstractNumId w:val="4"/>
  </w:num>
  <w:num w:numId="2" w16cid:durableId="1239897750">
    <w:abstractNumId w:val="11"/>
  </w:num>
  <w:num w:numId="3" w16cid:durableId="724110161">
    <w:abstractNumId w:val="5"/>
  </w:num>
  <w:num w:numId="4" w16cid:durableId="99180155">
    <w:abstractNumId w:val="12"/>
  </w:num>
  <w:num w:numId="5" w16cid:durableId="1481845086">
    <w:abstractNumId w:val="0"/>
  </w:num>
  <w:num w:numId="6" w16cid:durableId="423919277">
    <w:abstractNumId w:val="6"/>
  </w:num>
  <w:num w:numId="7" w16cid:durableId="2008357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10"/>
  </w:num>
  <w:num w:numId="9" w16cid:durableId="1504122631">
    <w:abstractNumId w:val="13"/>
  </w:num>
  <w:num w:numId="10" w16cid:durableId="2050908539">
    <w:abstractNumId w:val="3"/>
  </w:num>
  <w:num w:numId="11" w16cid:durableId="1609894982">
    <w:abstractNumId w:val="14"/>
  </w:num>
  <w:num w:numId="12" w16cid:durableId="1745566566">
    <w:abstractNumId w:val="2"/>
  </w:num>
  <w:num w:numId="13" w16cid:durableId="1162089379">
    <w:abstractNumId w:val="1"/>
  </w:num>
  <w:num w:numId="14" w16cid:durableId="973680325">
    <w:abstractNumId w:val="9"/>
  </w:num>
  <w:num w:numId="15" w16cid:durableId="477068352">
    <w:abstractNumId w:val="7"/>
  </w:num>
  <w:num w:numId="16" w16cid:durableId="38911107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503FB"/>
    <w:rsid w:val="000641E7"/>
    <w:rsid w:val="00085181"/>
    <w:rsid w:val="0008618B"/>
    <w:rsid w:val="000A75AF"/>
    <w:rsid w:val="000B104A"/>
    <w:rsid w:val="000B352B"/>
    <w:rsid w:val="000B36E1"/>
    <w:rsid w:val="000D38F9"/>
    <w:rsid w:val="000F2248"/>
    <w:rsid w:val="000F43C4"/>
    <w:rsid w:val="001148CD"/>
    <w:rsid w:val="00124A83"/>
    <w:rsid w:val="00144F73"/>
    <w:rsid w:val="0014732A"/>
    <w:rsid w:val="00176AA4"/>
    <w:rsid w:val="00183BD0"/>
    <w:rsid w:val="00194281"/>
    <w:rsid w:val="001A60CB"/>
    <w:rsid w:val="001D5BD2"/>
    <w:rsid w:val="001E0317"/>
    <w:rsid w:val="001F3962"/>
    <w:rsid w:val="0022689E"/>
    <w:rsid w:val="002862D6"/>
    <w:rsid w:val="002B6A0D"/>
    <w:rsid w:val="00320722"/>
    <w:rsid w:val="00321B75"/>
    <w:rsid w:val="00355A99"/>
    <w:rsid w:val="00362DB8"/>
    <w:rsid w:val="00371B99"/>
    <w:rsid w:val="003936B7"/>
    <w:rsid w:val="003A3E2E"/>
    <w:rsid w:val="003A79BD"/>
    <w:rsid w:val="003B2535"/>
    <w:rsid w:val="003C1421"/>
    <w:rsid w:val="003D614E"/>
    <w:rsid w:val="00401EA3"/>
    <w:rsid w:val="0040409D"/>
    <w:rsid w:val="00412EAE"/>
    <w:rsid w:val="004215D9"/>
    <w:rsid w:val="00421818"/>
    <w:rsid w:val="00427E93"/>
    <w:rsid w:val="0043022B"/>
    <w:rsid w:val="00453738"/>
    <w:rsid w:val="00453774"/>
    <w:rsid w:val="00455CD4"/>
    <w:rsid w:val="00466779"/>
    <w:rsid w:val="00480405"/>
    <w:rsid w:val="00490CDB"/>
    <w:rsid w:val="00493D2F"/>
    <w:rsid w:val="004C2D22"/>
    <w:rsid w:val="004E4493"/>
    <w:rsid w:val="004E4DF9"/>
    <w:rsid w:val="004F29D7"/>
    <w:rsid w:val="004F39B0"/>
    <w:rsid w:val="00541083"/>
    <w:rsid w:val="00545445"/>
    <w:rsid w:val="00593F3D"/>
    <w:rsid w:val="005A42E5"/>
    <w:rsid w:val="005A7A7D"/>
    <w:rsid w:val="005B078B"/>
    <w:rsid w:val="005C388B"/>
    <w:rsid w:val="005C7480"/>
    <w:rsid w:val="005E0434"/>
    <w:rsid w:val="005E2A58"/>
    <w:rsid w:val="0061084F"/>
    <w:rsid w:val="00641CEB"/>
    <w:rsid w:val="006422F9"/>
    <w:rsid w:val="006628FF"/>
    <w:rsid w:val="00665EE2"/>
    <w:rsid w:val="00671EF3"/>
    <w:rsid w:val="0069376C"/>
    <w:rsid w:val="006D0C62"/>
    <w:rsid w:val="006D1524"/>
    <w:rsid w:val="006F031D"/>
    <w:rsid w:val="0072577F"/>
    <w:rsid w:val="0073008B"/>
    <w:rsid w:val="00732227"/>
    <w:rsid w:val="00733AEB"/>
    <w:rsid w:val="00755348"/>
    <w:rsid w:val="00790459"/>
    <w:rsid w:val="0079326E"/>
    <w:rsid w:val="007961D0"/>
    <w:rsid w:val="007B36FA"/>
    <w:rsid w:val="007B7F1A"/>
    <w:rsid w:val="007C64C6"/>
    <w:rsid w:val="007D4914"/>
    <w:rsid w:val="00801DB2"/>
    <w:rsid w:val="00866617"/>
    <w:rsid w:val="00871476"/>
    <w:rsid w:val="008A22FA"/>
    <w:rsid w:val="008B286A"/>
    <w:rsid w:val="008C081A"/>
    <w:rsid w:val="008C317E"/>
    <w:rsid w:val="008E4AE4"/>
    <w:rsid w:val="009138B1"/>
    <w:rsid w:val="009608EF"/>
    <w:rsid w:val="00961369"/>
    <w:rsid w:val="009920DA"/>
    <w:rsid w:val="009926C5"/>
    <w:rsid w:val="009A01FD"/>
    <w:rsid w:val="009D6755"/>
    <w:rsid w:val="009E1E37"/>
    <w:rsid w:val="009E2F15"/>
    <w:rsid w:val="009E5151"/>
    <w:rsid w:val="009F0476"/>
    <w:rsid w:val="00A0226C"/>
    <w:rsid w:val="00A10854"/>
    <w:rsid w:val="00A239A5"/>
    <w:rsid w:val="00A32726"/>
    <w:rsid w:val="00A51E93"/>
    <w:rsid w:val="00A54F8E"/>
    <w:rsid w:val="00A62D47"/>
    <w:rsid w:val="00A6586B"/>
    <w:rsid w:val="00A72C5E"/>
    <w:rsid w:val="00A8068A"/>
    <w:rsid w:val="00A84AF4"/>
    <w:rsid w:val="00AD3112"/>
    <w:rsid w:val="00AD7658"/>
    <w:rsid w:val="00AE303D"/>
    <w:rsid w:val="00AE670F"/>
    <w:rsid w:val="00B24360"/>
    <w:rsid w:val="00B32B71"/>
    <w:rsid w:val="00B737D4"/>
    <w:rsid w:val="00B862DE"/>
    <w:rsid w:val="00BB16DB"/>
    <w:rsid w:val="00BC7BE7"/>
    <w:rsid w:val="00C11899"/>
    <w:rsid w:val="00C27F49"/>
    <w:rsid w:val="00C34F29"/>
    <w:rsid w:val="00C82F12"/>
    <w:rsid w:val="00C85906"/>
    <w:rsid w:val="00C96687"/>
    <w:rsid w:val="00CB4563"/>
    <w:rsid w:val="00CC0BCA"/>
    <w:rsid w:val="00CD2577"/>
    <w:rsid w:val="00CD7553"/>
    <w:rsid w:val="00CE085C"/>
    <w:rsid w:val="00D0641E"/>
    <w:rsid w:val="00D10055"/>
    <w:rsid w:val="00D22D3F"/>
    <w:rsid w:val="00D37DEC"/>
    <w:rsid w:val="00D433E9"/>
    <w:rsid w:val="00D43C5C"/>
    <w:rsid w:val="00D755E3"/>
    <w:rsid w:val="00D770E0"/>
    <w:rsid w:val="00D86E8A"/>
    <w:rsid w:val="00D937BC"/>
    <w:rsid w:val="00DB178D"/>
    <w:rsid w:val="00DC5EEE"/>
    <w:rsid w:val="00DD43C2"/>
    <w:rsid w:val="00E03263"/>
    <w:rsid w:val="00E27B48"/>
    <w:rsid w:val="00E3229A"/>
    <w:rsid w:val="00E467E2"/>
    <w:rsid w:val="00E46E51"/>
    <w:rsid w:val="00E60FCF"/>
    <w:rsid w:val="00E622D7"/>
    <w:rsid w:val="00E67BD1"/>
    <w:rsid w:val="00E70F23"/>
    <w:rsid w:val="00E72EB4"/>
    <w:rsid w:val="00E7772A"/>
    <w:rsid w:val="00EA3919"/>
    <w:rsid w:val="00EE6553"/>
    <w:rsid w:val="00F04994"/>
    <w:rsid w:val="00F0754F"/>
    <w:rsid w:val="00F1265E"/>
    <w:rsid w:val="00F15988"/>
    <w:rsid w:val="00F233EA"/>
    <w:rsid w:val="00F24B1D"/>
    <w:rsid w:val="00F47A04"/>
    <w:rsid w:val="00F70A40"/>
    <w:rsid w:val="00F71FE6"/>
    <w:rsid w:val="00F760AF"/>
    <w:rsid w:val="00FB225B"/>
    <w:rsid w:val="00FB4D96"/>
    <w:rsid w:val="00FC0EF1"/>
    <w:rsid w:val="00FC3FDB"/>
    <w:rsid w:val="00FE3296"/>
    <w:rsid w:val="00FE7B4A"/>
    <w:rsid w:val="0E378538"/>
    <w:rsid w:val="3BCA7B77"/>
    <w:rsid w:val="627E2F3E"/>
    <w:rsid w:val="64C1E3B1"/>
    <w:rsid w:val="6AD95220"/>
    <w:rsid w:val="78D8D1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F0BCCC7E-B6D7-487D-AC49-AD053819AF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4281"/>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B352B"/>
    <w:rPr>
      <w:rFonts w:ascii="Tahoma" w:hAnsi="Tahoma" w:cs="Tahoma"/>
      <w:sz w:val="16"/>
      <w:szCs w:val="16"/>
    </w:rPr>
  </w:style>
  <w:style w:type="paragraph" w:styleId="Paragraph" w:customStyle="1">
    <w:name w:val="Paragraph"/>
    <w:basedOn w:val="Normal"/>
    <w:uiPriority w:val="4"/>
    <w:qFormat/>
    <w:rsid w:val="009A01FD"/>
    <w:pPr>
      <w:numPr>
        <w:numId w:val="2"/>
      </w:numPr>
      <w:spacing w:before="240" w:after="240"/>
    </w:pPr>
    <w:rPr>
      <w:rFonts w:ascii="Arial" w:hAnsi="Arial" w:eastAsia="Times New Roman"/>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1" w:customStyle="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hAnsi="Arial" w:eastAsia="Times New Roman"/>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unhideWhenUsed/>
    <w:rsid w:val="00E467E2"/>
    <w:pPr>
      <w:spacing w:line="240" w:lineRule="auto"/>
    </w:pPr>
    <w:rPr>
      <w:sz w:val="20"/>
      <w:szCs w:val="20"/>
    </w:rPr>
  </w:style>
  <w:style w:type="character" w:styleId="CommentTextChar" w:customStyle="1">
    <w:name w:val="Comment Text Char"/>
    <w:basedOn w:val="DefaultParagraphFont"/>
    <w:link w:val="CommentText"/>
    <w:uiPriority w:val="99"/>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styleId="CommentSubjectChar" w:customStyle="1">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hAnsi="Arial" w:eastAsia="Times New Roman"/>
      <w:color w:val="333333"/>
      <w:sz w:val="20"/>
      <w:szCs w:val="20"/>
    </w:rPr>
  </w:style>
  <w:style w:type="character" w:styleId="BodyTextChar" w:customStyle="1">
    <w:name w:val="Body Text Char"/>
    <w:basedOn w:val="DefaultParagraphFont"/>
    <w:link w:val="BodyText"/>
    <w:rsid w:val="00671EF3"/>
    <w:rPr>
      <w:rFonts w:ascii="Arial" w:hAnsi="Arial" w:eastAsia="Times New Roman"/>
      <w:color w:val="3333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981">
      <w:bodyDiv w:val="1"/>
      <w:marLeft w:val="0"/>
      <w:marRight w:val="0"/>
      <w:marTop w:val="0"/>
      <w:marBottom w:val="0"/>
      <w:divBdr>
        <w:top w:val="none" w:sz="0" w:space="0" w:color="auto"/>
        <w:left w:val="none" w:sz="0" w:space="0" w:color="auto"/>
        <w:bottom w:val="none" w:sz="0" w:space="0" w:color="auto"/>
        <w:right w:val="none" w:sz="0" w:space="0" w:color="auto"/>
      </w:divBdr>
      <w:divsChild>
        <w:div w:id="203639310">
          <w:marLeft w:val="0"/>
          <w:marRight w:val="0"/>
          <w:marTop w:val="0"/>
          <w:marBottom w:val="0"/>
          <w:divBdr>
            <w:top w:val="none" w:sz="0" w:space="0" w:color="auto"/>
            <w:left w:val="none" w:sz="0" w:space="0" w:color="auto"/>
            <w:bottom w:val="none" w:sz="0" w:space="0" w:color="auto"/>
            <w:right w:val="none" w:sz="0" w:space="0" w:color="auto"/>
          </w:divBdr>
        </w:div>
        <w:div w:id="732773612">
          <w:marLeft w:val="0"/>
          <w:marRight w:val="0"/>
          <w:marTop w:val="0"/>
          <w:marBottom w:val="0"/>
          <w:divBdr>
            <w:top w:val="none" w:sz="0" w:space="0" w:color="auto"/>
            <w:left w:val="none" w:sz="0" w:space="0" w:color="auto"/>
            <w:bottom w:val="none" w:sz="0" w:space="0" w:color="auto"/>
            <w:right w:val="none" w:sz="0" w:space="0" w:color="auto"/>
          </w:divBdr>
        </w:div>
        <w:div w:id="938871380">
          <w:marLeft w:val="0"/>
          <w:marRight w:val="0"/>
          <w:marTop w:val="0"/>
          <w:marBottom w:val="0"/>
          <w:divBdr>
            <w:top w:val="none" w:sz="0" w:space="0" w:color="auto"/>
            <w:left w:val="none" w:sz="0" w:space="0" w:color="auto"/>
            <w:bottom w:val="none" w:sz="0" w:space="0" w:color="auto"/>
            <w:right w:val="none" w:sz="0" w:space="0" w:color="auto"/>
          </w:divBdr>
        </w:div>
        <w:div w:id="1063141898">
          <w:marLeft w:val="0"/>
          <w:marRight w:val="0"/>
          <w:marTop w:val="0"/>
          <w:marBottom w:val="0"/>
          <w:divBdr>
            <w:top w:val="none" w:sz="0" w:space="0" w:color="auto"/>
            <w:left w:val="none" w:sz="0" w:space="0" w:color="auto"/>
            <w:bottom w:val="none" w:sz="0" w:space="0" w:color="auto"/>
            <w:right w:val="none" w:sz="0" w:space="0" w:color="auto"/>
          </w:divBdr>
        </w:div>
        <w:div w:id="1174999819">
          <w:marLeft w:val="0"/>
          <w:marRight w:val="0"/>
          <w:marTop w:val="0"/>
          <w:marBottom w:val="0"/>
          <w:divBdr>
            <w:top w:val="none" w:sz="0" w:space="0" w:color="auto"/>
            <w:left w:val="none" w:sz="0" w:space="0" w:color="auto"/>
            <w:bottom w:val="none" w:sz="0" w:space="0" w:color="auto"/>
            <w:right w:val="none" w:sz="0" w:space="0" w:color="auto"/>
          </w:divBdr>
        </w:div>
        <w:div w:id="1348369518">
          <w:marLeft w:val="0"/>
          <w:marRight w:val="0"/>
          <w:marTop w:val="0"/>
          <w:marBottom w:val="0"/>
          <w:divBdr>
            <w:top w:val="none" w:sz="0" w:space="0" w:color="auto"/>
            <w:left w:val="none" w:sz="0" w:space="0" w:color="auto"/>
            <w:bottom w:val="none" w:sz="0" w:space="0" w:color="auto"/>
            <w:right w:val="none" w:sz="0" w:space="0" w:color="auto"/>
          </w:divBdr>
        </w:div>
      </w:divsChild>
    </w:div>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431823580">
      <w:bodyDiv w:val="1"/>
      <w:marLeft w:val="0"/>
      <w:marRight w:val="0"/>
      <w:marTop w:val="0"/>
      <w:marBottom w:val="0"/>
      <w:divBdr>
        <w:top w:val="none" w:sz="0" w:space="0" w:color="auto"/>
        <w:left w:val="none" w:sz="0" w:space="0" w:color="auto"/>
        <w:bottom w:val="none" w:sz="0" w:space="0" w:color="auto"/>
        <w:right w:val="none" w:sz="0" w:space="0" w:color="auto"/>
      </w:divBdr>
    </w:div>
    <w:div w:id="712192423">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894855668">
      <w:bodyDiv w:val="1"/>
      <w:marLeft w:val="0"/>
      <w:marRight w:val="0"/>
      <w:marTop w:val="0"/>
      <w:marBottom w:val="0"/>
      <w:divBdr>
        <w:top w:val="none" w:sz="0" w:space="0" w:color="auto"/>
        <w:left w:val="none" w:sz="0" w:space="0" w:color="auto"/>
        <w:bottom w:val="none" w:sz="0" w:space="0" w:color="auto"/>
        <w:right w:val="none" w:sz="0" w:space="0" w:color="auto"/>
      </w:divBdr>
      <w:divsChild>
        <w:div w:id="260526906">
          <w:marLeft w:val="0"/>
          <w:marRight w:val="0"/>
          <w:marTop w:val="0"/>
          <w:marBottom w:val="0"/>
          <w:divBdr>
            <w:top w:val="none" w:sz="0" w:space="0" w:color="auto"/>
            <w:left w:val="none" w:sz="0" w:space="0" w:color="auto"/>
            <w:bottom w:val="none" w:sz="0" w:space="0" w:color="auto"/>
            <w:right w:val="none" w:sz="0" w:space="0" w:color="auto"/>
          </w:divBdr>
        </w:div>
        <w:div w:id="1347946053">
          <w:marLeft w:val="0"/>
          <w:marRight w:val="0"/>
          <w:marTop w:val="0"/>
          <w:marBottom w:val="0"/>
          <w:divBdr>
            <w:top w:val="none" w:sz="0" w:space="0" w:color="auto"/>
            <w:left w:val="none" w:sz="0" w:space="0" w:color="auto"/>
            <w:bottom w:val="none" w:sz="0" w:space="0" w:color="auto"/>
            <w:right w:val="none" w:sz="0" w:space="0" w:color="auto"/>
          </w:divBdr>
        </w:div>
        <w:div w:id="1744109696">
          <w:marLeft w:val="0"/>
          <w:marRight w:val="0"/>
          <w:marTop w:val="0"/>
          <w:marBottom w:val="0"/>
          <w:divBdr>
            <w:top w:val="none" w:sz="0" w:space="0" w:color="auto"/>
            <w:left w:val="none" w:sz="0" w:space="0" w:color="auto"/>
            <w:bottom w:val="none" w:sz="0" w:space="0" w:color="auto"/>
            <w:right w:val="none" w:sz="0" w:space="0" w:color="auto"/>
          </w:divBdr>
        </w:div>
        <w:div w:id="1753165587">
          <w:marLeft w:val="0"/>
          <w:marRight w:val="0"/>
          <w:marTop w:val="0"/>
          <w:marBottom w:val="0"/>
          <w:divBdr>
            <w:top w:val="none" w:sz="0" w:space="0" w:color="auto"/>
            <w:left w:val="none" w:sz="0" w:space="0" w:color="auto"/>
            <w:bottom w:val="none" w:sz="0" w:space="0" w:color="auto"/>
            <w:right w:val="none" w:sz="0" w:space="0" w:color="auto"/>
          </w:divBdr>
        </w:div>
        <w:div w:id="1971276007">
          <w:marLeft w:val="0"/>
          <w:marRight w:val="0"/>
          <w:marTop w:val="0"/>
          <w:marBottom w:val="0"/>
          <w:divBdr>
            <w:top w:val="none" w:sz="0" w:space="0" w:color="auto"/>
            <w:left w:val="none" w:sz="0" w:space="0" w:color="auto"/>
            <w:bottom w:val="none" w:sz="0" w:space="0" w:color="auto"/>
            <w:right w:val="none" w:sz="0" w:space="0" w:color="auto"/>
          </w:divBdr>
        </w:div>
        <w:div w:id="1984508680">
          <w:marLeft w:val="0"/>
          <w:marRight w:val="0"/>
          <w:marTop w:val="0"/>
          <w:marBottom w:val="0"/>
          <w:divBdr>
            <w:top w:val="none" w:sz="0" w:space="0" w:color="auto"/>
            <w:left w:val="none" w:sz="0" w:space="0" w:color="auto"/>
            <w:bottom w:val="none" w:sz="0" w:space="0" w:color="auto"/>
            <w:right w:val="none" w:sz="0" w:space="0" w:color="auto"/>
          </w:divBdr>
        </w:div>
      </w:divsChild>
    </w:div>
    <w:div w:id="899367164">
      <w:bodyDiv w:val="1"/>
      <w:marLeft w:val="0"/>
      <w:marRight w:val="0"/>
      <w:marTop w:val="0"/>
      <w:marBottom w:val="0"/>
      <w:divBdr>
        <w:top w:val="none" w:sz="0" w:space="0" w:color="auto"/>
        <w:left w:val="none" w:sz="0" w:space="0" w:color="auto"/>
        <w:bottom w:val="none" w:sz="0" w:space="0" w:color="auto"/>
        <w:right w:val="none" w:sz="0" w:space="0" w:color="auto"/>
      </w:divBdr>
    </w:div>
    <w:div w:id="935021699">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291323754">
      <w:bodyDiv w:val="1"/>
      <w:marLeft w:val="0"/>
      <w:marRight w:val="0"/>
      <w:marTop w:val="0"/>
      <w:marBottom w:val="0"/>
      <w:divBdr>
        <w:top w:val="none" w:sz="0" w:space="0" w:color="auto"/>
        <w:left w:val="none" w:sz="0" w:space="0" w:color="auto"/>
        <w:bottom w:val="none" w:sz="0" w:space="0" w:color="auto"/>
        <w:right w:val="none" w:sz="0" w:space="0" w:color="auto"/>
      </w:divBdr>
    </w:div>
    <w:div w:id="1503858942">
      <w:bodyDiv w:val="1"/>
      <w:marLeft w:val="0"/>
      <w:marRight w:val="0"/>
      <w:marTop w:val="0"/>
      <w:marBottom w:val="0"/>
      <w:divBdr>
        <w:top w:val="none" w:sz="0" w:space="0" w:color="auto"/>
        <w:left w:val="none" w:sz="0" w:space="0" w:color="auto"/>
        <w:bottom w:val="none" w:sz="0" w:space="0" w:color="auto"/>
        <w:right w:val="none" w:sz="0" w:space="0" w:color="auto"/>
      </w:divBdr>
      <w:divsChild>
        <w:div w:id="197931534">
          <w:marLeft w:val="0"/>
          <w:marRight w:val="0"/>
          <w:marTop w:val="0"/>
          <w:marBottom w:val="0"/>
          <w:divBdr>
            <w:top w:val="none" w:sz="0" w:space="0" w:color="auto"/>
            <w:left w:val="none" w:sz="0" w:space="0" w:color="auto"/>
            <w:bottom w:val="none" w:sz="0" w:space="0" w:color="auto"/>
            <w:right w:val="none" w:sz="0" w:space="0" w:color="auto"/>
          </w:divBdr>
        </w:div>
        <w:div w:id="532036876">
          <w:marLeft w:val="0"/>
          <w:marRight w:val="0"/>
          <w:marTop w:val="0"/>
          <w:marBottom w:val="0"/>
          <w:divBdr>
            <w:top w:val="none" w:sz="0" w:space="0" w:color="auto"/>
            <w:left w:val="none" w:sz="0" w:space="0" w:color="auto"/>
            <w:bottom w:val="none" w:sz="0" w:space="0" w:color="auto"/>
            <w:right w:val="none" w:sz="0" w:space="0" w:color="auto"/>
          </w:divBdr>
        </w:div>
        <w:div w:id="1459640535">
          <w:marLeft w:val="0"/>
          <w:marRight w:val="0"/>
          <w:marTop w:val="0"/>
          <w:marBottom w:val="0"/>
          <w:divBdr>
            <w:top w:val="none" w:sz="0" w:space="0" w:color="auto"/>
            <w:left w:val="none" w:sz="0" w:space="0" w:color="auto"/>
            <w:bottom w:val="none" w:sz="0" w:space="0" w:color="auto"/>
            <w:right w:val="none" w:sz="0" w:space="0" w:color="auto"/>
          </w:divBdr>
        </w:div>
        <w:div w:id="1473013681">
          <w:marLeft w:val="0"/>
          <w:marRight w:val="0"/>
          <w:marTop w:val="0"/>
          <w:marBottom w:val="0"/>
          <w:divBdr>
            <w:top w:val="none" w:sz="0" w:space="0" w:color="auto"/>
            <w:left w:val="none" w:sz="0" w:space="0" w:color="auto"/>
            <w:bottom w:val="none" w:sz="0" w:space="0" w:color="auto"/>
            <w:right w:val="none" w:sz="0" w:space="0" w:color="auto"/>
          </w:divBdr>
        </w:div>
        <w:div w:id="1625189541">
          <w:marLeft w:val="0"/>
          <w:marRight w:val="0"/>
          <w:marTop w:val="0"/>
          <w:marBottom w:val="0"/>
          <w:divBdr>
            <w:top w:val="none" w:sz="0" w:space="0" w:color="auto"/>
            <w:left w:val="none" w:sz="0" w:space="0" w:color="auto"/>
            <w:bottom w:val="none" w:sz="0" w:space="0" w:color="auto"/>
            <w:right w:val="none" w:sz="0" w:space="0" w:color="auto"/>
          </w:divBdr>
        </w:div>
        <w:div w:id="2145200330">
          <w:marLeft w:val="0"/>
          <w:marRight w:val="0"/>
          <w:marTop w:val="0"/>
          <w:marBottom w:val="0"/>
          <w:divBdr>
            <w:top w:val="none" w:sz="0" w:space="0" w:color="auto"/>
            <w:left w:val="none" w:sz="0" w:space="0" w:color="auto"/>
            <w:bottom w:val="none" w:sz="0" w:space="0" w:color="auto"/>
            <w:right w:val="none" w:sz="0" w:space="0" w:color="auto"/>
          </w:divBdr>
        </w:div>
      </w:divsChild>
    </w:div>
    <w:div w:id="1575121322">
      <w:bodyDiv w:val="1"/>
      <w:marLeft w:val="0"/>
      <w:marRight w:val="0"/>
      <w:marTop w:val="0"/>
      <w:marBottom w:val="0"/>
      <w:divBdr>
        <w:top w:val="none" w:sz="0" w:space="0" w:color="auto"/>
        <w:left w:val="none" w:sz="0" w:space="0" w:color="auto"/>
        <w:bottom w:val="none" w:sz="0" w:space="0" w:color="auto"/>
        <w:right w:val="none" w:sz="0" w:space="0" w:color="auto"/>
      </w:divBdr>
    </w:div>
    <w:div w:id="1727603695">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1820001028">
      <w:bodyDiv w:val="1"/>
      <w:marLeft w:val="0"/>
      <w:marRight w:val="0"/>
      <w:marTop w:val="0"/>
      <w:marBottom w:val="0"/>
      <w:divBdr>
        <w:top w:val="none" w:sz="0" w:space="0" w:color="auto"/>
        <w:left w:val="none" w:sz="0" w:space="0" w:color="auto"/>
        <w:bottom w:val="none" w:sz="0" w:space="0" w:color="auto"/>
        <w:right w:val="none" w:sz="0" w:space="0" w:color="auto"/>
      </w:divBdr>
    </w:div>
    <w:div w:id="1969049299">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 w:id="21414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91FEE-1867-45F5-9160-7011E3E8E839}">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2.xml><?xml version="1.0" encoding="utf-8"?>
<ds:datastoreItem xmlns:ds="http://schemas.openxmlformats.org/officeDocument/2006/customXml" ds:itemID="{AB257D96-B6A3-4C06-8375-972928B15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B3A2A-AB31-46B2-A04A-F58D2349F8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Lyn Davies</cp:lastModifiedBy>
  <cp:revision>11</cp:revision>
  <cp:lastPrinted>1900-01-01T16:00:00Z</cp:lastPrinted>
  <dcterms:created xsi:type="dcterms:W3CDTF">2025-07-31T16:46:00Z</dcterms:created>
  <dcterms:modified xsi:type="dcterms:W3CDTF">2026-01-05T15:48:17Z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2025-07-31T08:46:50Z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9f87129a-17cf-4a16-87d5-62dfaf1af06b</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y fmtid="{D5CDD505-2E9C-101B-9397-08002B2CF9AE}" pid="11" name="MediaServiceImageTags">
    <vt:lpwstr/>
  </property>
</Properties>
</file>