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3022B" w:rsidR="0004302C" w:rsidP="0004302C" w:rsidRDefault="0004302C" w14:paraId="5F36C1A4" w14:textId="1043D7FF">
      <w:pPr>
        <w:rPr>
          <w:rStyle w:val="Hyperlink"/>
          <w:rFonts w:cs="Arial"/>
          <w:color w:val="auto"/>
        </w:rPr>
      </w:pPr>
      <w:r w:rsidRPr="28AD7694" w:rsidR="0869CD3C">
        <w:rPr>
          <w:rFonts w:cs="Arial"/>
        </w:rPr>
        <w:t xml:space="preserve">Sent by e-mail only: </w:t>
      </w:r>
      <w:r w:rsidRPr="28AD7694" w:rsidR="7EBFEF65">
        <w:rPr>
          <w:rFonts w:cs="Arial"/>
          <w:color w:val="auto"/>
          <w:highlight w:val="black"/>
        </w:rPr>
        <w:t>XXXXXXXXXX</w:t>
      </w:r>
    </w:p>
    <w:p w:rsidRPr="0043022B" w:rsidR="0004302C" w:rsidP="003E0C0E" w:rsidRDefault="0004302C" w14:paraId="52AF9A60" w14:textId="75BACF25">
      <w:pPr>
        <w:spacing w:after="0" w:line="240" w:lineRule="auto"/>
        <w:jc w:val="both"/>
        <w:rPr>
          <w:rFonts w:cs="Arial"/>
        </w:rPr>
      </w:pPr>
      <w:r w:rsidRPr="28AD7694" w:rsidR="0869CD3C">
        <w:rPr>
          <w:rFonts w:cs="Arial"/>
        </w:rPr>
        <w:t xml:space="preserve">FAO </w:t>
      </w:r>
      <w:r w:rsidRPr="28AD7694" w:rsidR="7EBFEF65">
        <w:rPr>
          <w:rFonts w:cs="Arial"/>
          <w:color w:val="auto"/>
          <w:highlight w:val="black"/>
        </w:rPr>
        <w:t>XXXXXXX</w:t>
      </w:r>
    </w:p>
    <w:p w:rsidR="003E0C0E" w:rsidP="003E0C0E" w:rsidRDefault="003E0C0E" w14:paraId="0899EF65" w14:textId="77777777">
      <w:pPr>
        <w:spacing w:after="0"/>
        <w:rPr>
          <w:rFonts w:cs="Arial"/>
        </w:rPr>
      </w:pPr>
      <w:r w:rsidRPr="003E0C0E">
        <w:rPr>
          <w:rFonts w:cs="Arial"/>
        </w:rPr>
        <w:t xml:space="preserve">Eisai Europe Ltd </w:t>
      </w:r>
    </w:p>
    <w:p w:rsidR="003E0C0E" w:rsidP="003E0C0E" w:rsidRDefault="003E0C0E" w14:paraId="067581DE" w14:textId="77777777">
      <w:pPr>
        <w:spacing w:after="0"/>
        <w:rPr>
          <w:rFonts w:cs="Arial"/>
        </w:rPr>
      </w:pPr>
      <w:r w:rsidRPr="003E0C0E">
        <w:rPr>
          <w:rFonts w:cs="Arial"/>
        </w:rPr>
        <w:t xml:space="preserve">EMEA Knowledge Centre </w:t>
      </w:r>
    </w:p>
    <w:p w:rsidR="003E0C0E" w:rsidP="003E0C0E" w:rsidRDefault="003E0C0E" w14:paraId="443D09B4" w14:textId="77777777">
      <w:pPr>
        <w:spacing w:after="0"/>
        <w:rPr>
          <w:rFonts w:cs="Arial"/>
        </w:rPr>
      </w:pPr>
      <w:r w:rsidRPr="003E0C0E">
        <w:rPr>
          <w:rFonts w:cs="Arial"/>
        </w:rPr>
        <w:t xml:space="preserve">Mosquito Way </w:t>
      </w:r>
    </w:p>
    <w:p w:rsidR="003E0C0E" w:rsidP="003E0C0E" w:rsidRDefault="003E0C0E" w14:paraId="3E84292E" w14:textId="77777777">
      <w:pPr>
        <w:spacing w:after="0"/>
        <w:rPr>
          <w:rFonts w:cs="Arial"/>
        </w:rPr>
      </w:pPr>
      <w:r w:rsidRPr="003E0C0E">
        <w:rPr>
          <w:rFonts w:cs="Arial"/>
        </w:rPr>
        <w:t xml:space="preserve">Hatfield </w:t>
      </w:r>
    </w:p>
    <w:p w:rsidRPr="0043022B" w:rsidR="0004302C" w:rsidP="003E0C0E" w:rsidRDefault="003E0C0E" w14:paraId="78445498" w14:textId="74AA2617">
      <w:pPr>
        <w:spacing w:after="0"/>
        <w:rPr>
          <w:rFonts w:cs="Arial"/>
        </w:rPr>
      </w:pPr>
      <w:r w:rsidRPr="003E0C0E">
        <w:rPr>
          <w:rFonts w:cs="Arial"/>
        </w:rPr>
        <w:t>AL10 9SN</w:t>
      </w:r>
    </w:p>
    <w:p w:rsidRPr="0043022B" w:rsidR="0004302C" w:rsidP="0004302C" w:rsidRDefault="0004302C" w14:paraId="706E42E0" w14:textId="77777777">
      <w:pPr>
        <w:rPr>
          <w:rFonts w:cs="Arial"/>
        </w:rPr>
      </w:pPr>
    </w:p>
    <w:p w:rsidRPr="0043022B" w:rsidR="0004302C" w:rsidP="0004302C" w:rsidRDefault="00DA3B73" w14:paraId="51088EB9" w14:textId="1E128729">
      <w:pPr>
        <w:rPr>
          <w:rFonts w:cs="Arial"/>
        </w:rPr>
      </w:pPr>
      <w:r w:rsidRPr="003E0C0E">
        <w:rPr>
          <w:rFonts w:cs="Arial"/>
        </w:rPr>
        <w:t>10 July 2025</w:t>
      </w:r>
    </w:p>
    <w:p w:rsidRPr="0043022B" w:rsidR="0004302C" w:rsidP="0004302C" w:rsidRDefault="0004302C" w14:paraId="50583914" w14:textId="77777777">
      <w:pPr>
        <w:rPr>
          <w:rStyle w:val="Hyperlink"/>
          <w:rFonts w:cs="Arial"/>
        </w:rPr>
      </w:pPr>
    </w:p>
    <w:p w:rsidRPr="0043022B" w:rsidR="0004302C" w:rsidP="0004302C" w:rsidRDefault="0004302C" w14:paraId="6392A75B" w14:textId="46AD6008">
      <w:pPr>
        <w:ind w:left="426" w:right="468" w:hanging="426"/>
        <w:jc w:val="both"/>
        <w:rPr>
          <w:rFonts w:cs="Arial"/>
          <w:noProof/>
          <w:spacing w:val="-3"/>
          <w:lang w:eastAsia="en-GB"/>
        </w:rPr>
      </w:pPr>
      <w:bookmarkStart w:name="deartext" w:id="0"/>
      <w:r w:rsidRPr="28AD7694" w:rsidR="0869CD3C">
        <w:rPr>
          <w:rFonts w:cs="Arial"/>
        </w:rPr>
        <w:t>Dear</w:t>
      </w:r>
      <w:bookmarkEnd w:id="0"/>
      <w:r w:rsidRPr="28AD7694" w:rsidR="0869CD3C">
        <w:rPr>
          <w:rFonts w:cs="Arial"/>
        </w:rPr>
        <w:t xml:space="preserve"> </w:t>
      </w:r>
      <w:bookmarkStart w:name="Sal" w:id="1"/>
      <w:bookmarkEnd w:id="1"/>
      <w:r w:rsidRPr="28AD7694" w:rsidR="7EBFEF65">
        <w:rPr>
          <w:rFonts w:cs="Arial"/>
          <w:color w:val="auto"/>
          <w:highlight w:val="black"/>
        </w:rPr>
        <w:t>XXXXXXX</w:t>
      </w:r>
    </w:p>
    <w:p w:rsidRPr="00D520BF" w:rsidR="0004302C" w:rsidP="0004302C" w:rsidRDefault="0004302C" w14:paraId="0C2B27E7" w14:textId="0D3A5B61">
      <w:pPr>
        <w:ind w:left="426" w:right="468" w:hanging="426"/>
        <w:jc w:val="both"/>
        <w:rPr>
          <w:rFonts w:cs="Arial"/>
          <w:b/>
          <w:color w:val="auto"/>
        </w:rPr>
      </w:pPr>
      <w:r w:rsidRPr="00D520BF">
        <w:rPr>
          <w:rFonts w:cs="Arial"/>
          <w:noProof/>
          <w:color w:val="auto"/>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31E45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D520BF">
        <w:rPr>
          <w:rFonts w:cs="Arial"/>
          <w:b/>
          <w:color w:val="auto"/>
          <w:spacing w:val="-3"/>
        </w:rPr>
        <w:t xml:space="preserve">Re: </w:t>
      </w:r>
      <w:r w:rsidRPr="00D520BF">
        <w:rPr>
          <w:rFonts w:cs="Arial"/>
          <w:b/>
          <w:color w:val="auto"/>
        </w:rPr>
        <w:t xml:space="preserve">Final </w:t>
      </w:r>
      <w:r w:rsidRPr="00D520BF" w:rsidR="00DA3B73">
        <w:rPr>
          <w:rFonts w:cs="Arial"/>
          <w:b/>
          <w:color w:val="auto"/>
        </w:rPr>
        <w:t xml:space="preserve">Draft Guidance for </w:t>
      </w:r>
      <w:proofErr w:type="spellStart"/>
      <w:r w:rsidRPr="00D520BF" w:rsidR="00B71D0C">
        <w:rPr>
          <w:rFonts w:cs="Arial"/>
          <w:b/>
          <w:color w:val="auto"/>
        </w:rPr>
        <w:t>lecanemab</w:t>
      </w:r>
      <w:proofErr w:type="spellEnd"/>
      <w:r w:rsidRPr="00D520BF" w:rsidR="00DA3B73">
        <w:rPr>
          <w:rFonts w:cs="Arial"/>
          <w:b/>
          <w:color w:val="auto"/>
        </w:rPr>
        <w:t xml:space="preserve"> for treating mild cognitive impairment or mild dementia caused by Alzheimer's disease [ID</w:t>
      </w:r>
      <w:r w:rsidRPr="00D520BF" w:rsidR="00B71D0C">
        <w:rPr>
          <w:rFonts w:cs="Arial"/>
          <w:b/>
          <w:color w:val="auto"/>
        </w:rPr>
        <w:t>4043</w:t>
      </w:r>
      <w:r w:rsidRPr="00D520BF" w:rsidR="00DA3B73">
        <w:rPr>
          <w:rFonts w:cs="Arial"/>
          <w:b/>
          <w:color w:val="auto"/>
        </w:rPr>
        <w:t>]</w:t>
      </w:r>
    </w:p>
    <w:p w:rsidRPr="00D520BF" w:rsidR="00003026" w:rsidP="00413F89" w:rsidRDefault="000223BD" w14:paraId="7414DC3E" w14:textId="26C53830">
      <w:pPr>
        <w:jc w:val="both"/>
        <w:rPr>
          <w:rFonts w:cs="Arial"/>
          <w:color w:val="auto"/>
        </w:rPr>
      </w:pPr>
      <w:r w:rsidRPr="00D520BF">
        <w:rPr>
          <w:rFonts w:cs="Arial"/>
          <w:color w:val="auto"/>
        </w:rPr>
        <w:t xml:space="preserve">Thank you for your letter of </w:t>
      </w:r>
      <w:r w:rsidRPr="00D520BF" w:rsidR="00B71D0C">
        <w:rPr>
          <w:rFonts w:cs="Arial"/>
          <w:color w:val="auto"/>
        </w:rPr>
        <w:t>03</w:t>
      </w:r>
      <w:r w:rsidRPr="00D520BF" w:rsidR="00DA3B73">
        <w:rPr>
          <w:rFonts w:cs="Arial"/>
          <w:color w:val="auto"/>
        </w:rPr>
        <w:t xml:space="preserve"> July 2025</w:t>
      </w:r>
      <w:r w:rsidRPr="00D520BF">
        <w:rPr>
          <w:rFonts w:cs="Arial"/>
          <w:color w:val="auto"/>
        </w:rPr>
        <w:t xml:space="preserve">, lodging </w:t>
      </w:r>
      <w:r w:rsidRPr="00D520BF" w:rsidR="00F4296D">
        <w:rPr>
          <w:rFonts w:cs="Arial"/>
          <w:color w:val="auto"/>
        </w:rPr>
        <w:t>an</w:t>
      </w:r>
      <w:r w:rsidRPr="00D520BF">
        <w:rPr>
          <w:rFonts w:cs="Arial"/>
          <w:color w:val="auto"/>
        </w:rPr>
        <w:t xml:space="preserve"> appeal against the above </w:t>
      </w:r>
      <w:r w:rsidRPr="00D520BF" w:rsidR="00DA3B73">
        <w:rPr>
          <w:rFonts w:cs="Arial"/>
          <w:color w:val="auto"/>
        </w:rPr>
        <w:t>Final Draft Guidance ("</w:t>
      </w:r>
      <w:r w:rsidRPr="00D520BF" w:rsidR="00DA3B73">
        <w:rPr>
          <w:rFonts w:cs="Arial"/>
          <w:b/>
          <w:bCs/>
          <w:color w:val="auto"/>
        </w:rPr>
        <w:t>FDG</w:t>
      </w:r>
      <w:r w:rsidRPr="00D520BF" w:rsidR="00DA3B73">
        <w:rPr>
          <w:rFonts w:cs="Arial"/>
          <w:color w:val="auto"/>
        </w:rPr>
        <w:t>").</w:t>
      </w:r>
      <w:r w:rsidRPr="00D520BF">
        <w:rPr>
          <w:rFonts w:cs="Arial"/>
          <w:color w:val="auto"/>
        </w:rPr>
        <w:t xml:space="preserve"> </w:t>
      </w:r>
      <w:r w:rsidRPr="00D520BF" w:rsidR="00262058">
        <w:rPr>
          <w:rFonts w:cs="Arial"/>
          <w:color w:val="auto"/>
        </w:rPr>
        <w:t xml:space="preserve"> </w:t>
      </w:r>
    </w:p>
    <w:p w:rsidRPr="00D520BF" w:rsidR="00C70019" w:rsidP="00413F89" w:rsidRDefault="00C70019" w14:paraId="5F523C58" w14:textId="77777777">
      <w:pPr>
        <w:jc w:val="both"/>
        <w:rPr>
          <w:rFonts w:cs="Arial"/>
          <w:color w:val="auto"/>
        </w:rPr>
      </w:pPr>
      <w:r w:rsidRPr="00D520BF">
        <w:rPr>
          <w:rFonts w:cs="Arial"/>
          <w:color w:val="auto"/>
          <w:u w:val="single"/>
        </w:rPr>
        <w:t>Introduction</w:t>
      </w:r>
      <w:r w:rsidRPr="00D520BF">
        <w:rPr>
          <w:rFonts w:cs="Arial"/>
          <w:color w:val="auto"/>
        </w:rPr>
        <w:t xml:space="preserve"> </w:t>
      </w:r>
    </w:p>
    <w:p w:rsidRPr="00D520BF" w:rsidR="00C70019" w:rsidP="00413F89" w:rsidRDefault="00C70019" w14:paraId="70E1E5B1" w14:textId="2DBAE3FD">
      <w:pPr>
        <w:jc w:val="both"/>
        <w:rPr>
          <w:rFonts w:cs="Arial"/>
          <w:color w:val="auto"/>
        </w:rPr>
      </w:pPr>
      <w:r w:rsidRPr="00D520BF">
        <w:rPr>
          <w:rFonts w:cs="Arial"/>
          <w:color w:val="auto"/>
        </w:rPr>
        <w:t xml:space="preserve">The Institute's appeal procedures provide for an initial scrutiny of points that an appellant wishes to raise, to </w:t>
      </w:r>
      <w:r w:rsidRPr="00D520BF" w:rsidR="006B6C22">
        <w:rPr>
          <w:rFonts w:cs="Arial"/>
          <w:color w:val="auto"/>
        </w:rPr>
        <w:t>provide an initial view on whether</w:t>
      </w:r>
      <w:r w:rsidRPr="00D520BF">
        <w:rPr>
          <w:rFonts w:cs="Arial"/>
          <w:color w:val="auto"/>
        </w:rPr>
        <w:t xml:space="preserve"> they are within the permitted grounds of appeal ("valid")</w:t>
      </w:r>
      <w:r w:rsidRPr="00D520BF" w:rsidR="006B6C22">
        <w:rPr>
          <w:rFonts w:cs="Arial"/>
          <w:color w:val="auto"/>
        </w:rPr>
        <w:t xml:space="preserve"> and are at least arguable</w:t>
      </w:r>
      <w:r w:rsidRPr="00D520BF">
        <w:rPr>
          <w:rFonts w:cs="Arial"/>
          <w:color w:val="auto"/>
        </w:rPr>
        <w:t xml:space="preserve">. The permitted grounds of appeal are: </w:t>
      </w:r>
    </w:p>
    <w:p w:rsidRPr="00D520BF" w:rsidR="00C70019" w:rsidP="00413F89" w:rsidRDefault="00C70019" w14:paraId="25359C75" w14:textId="4B145865">
      <w:pPr>
        <w:numPr>
          <w:ilvl w:val="0"/>
          <w:numId w:val="2"/>
        </w:numPr>
        <w:shd w:val="clear" w:color="auto" w:fill="FFFFFF"/>
        <w:spacing w:before="240" w:after="240" w:line="240" w:lineRule="auto"/>
        <w:jc w:val="both"/>
        <w:rPr>
          <w:rFonts w:cs="Arial"/>
          <w:color w:val="auto"/>
        </w:rPr>
      </w:pPr>
      <w:r w:rsidRPr="00D520BF">
        <w:rPr>
          <w:rFonts w:cs="Arial"/>
          <w:color w:val="auto"/>
        </w:rPr>
        <w:t xml:space="preserve">1(a) NICE has failed to act fairly, </w:t>
      </w:r>
    </w:p>
    <w:p w:rsidRPr="00D520BF" w:rsidR="00C70019" w:rsidP="00413F89" w:rsidRDefault="00C70019" w14:paraId="14BFF060" w14:textId="4C21F793">
      <w:pPr>
        <w:numPr>
          <w:ilvl w:val="0"/>
          <w:numId w:val="2"/>
        </w:numPr>
        <w:shd w:val="clear" w:color="auto" w:fill="FFFFFF"/>
        <w:spacing w:before="240" w:after="240" w:line="240" w:lineRule="auto"/>
        <w:jc w:val="both"/>
        <w:rPr>
          <w:rFonts w:cs="Arial"/>
          <w:color w:val="auto"/>
        </w:rPr>
      </w:pPr>
      <w:r w:rsidRPr="00D520BF">
        <w:rPr>
          <w:rFonts w:cs="Arial"/>
          <w:color w:val="auto"/>
        </w:rPr>
        <w:t>1(b) NICE has exceeded powers;</w:t>
      </w:r>
      <w:r w:rsidRPr="00AD5680" w:rsidR="00AD5680">
        <w:rPr>
          <w:rFonts w:cs="Arial"/>
          <w:color w:val="auto"/>
        </w:rPr>
        <w:t xml:space="preserve"> </w:t>
      </w:r>
      <w:r w:rsidRPr="00D520BF" w:rsidR="00AD5680">
        <w:rPr>
          <w:rFonts w:cs="Arial"/>
          <w:color w:val="auto"/>
        </w:rPr>
        <w:t>or</w:t>
      </w:r>
    </w:p>
    <w:p w:rsidRPr="00D520BF"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520BF">
        <w:rPr>
          <w:rFonts w:cs="Arial"/>
          <w:color w:val="auto"/>
        </w:rPr>
        <w:t>(2) the recommendation is unreasonable in the light of the evidence submitted to NICE</w:t>
      </w:r>
      <w:r w:rsidRPr="00D520BF" w:rsidR="006347AD">
        <w:rPr>
          <w:rFonts w:cs="Arial"/>
          <w:color w:val="auto"/>
        </w:rPr>
        <w:t>.</w:t>
      </w:r>
    </w:p>
    <w:p w:rsidRPr="00D520BF" w:rsidR="00C70019" w:rsidP="00413F89" w:rsidRDefault="00C70019" w14:paraId="08D953B5" w14:textId="1F340DBE">
      <w:pPr>
        <w:jc w:val="both"/>
        <w:rPr>
          <w:rFonts w:cs="Arial"/>
          <w:color w:val="auto"/>
        </w:rPr>
      </w:pPr>
      <w:r w:rsidRPr="00D520BF">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D520BF" w:rsidR="00F41597">
        <w:rPr>
          <w:rFonts w:cs="Arial"/>
          <w:color w:val="auto"/>
        </w:rPr>
        <w:t>, are arguable, and</w:t>
      </w:r>
      <w:r w:rsidRPr="00D520BF">
        <w:rPr>
          <w:rFonts w:cs="Arial"/>
          <w:color w:val="auto"/>
        </w:rPr>
        <w:t xml:space="preserve"> fall within any one of the grounds</w:t>
      </w:r>
      <w:r w:rsidR="00AD5680">
        <w:rPr>
          <w:rFonts w:cs="Arial"/>
          <w:color w:val="auto"/>
        </w:rPr>
        <w:t xml:space="preserve"> above</w:t>
      </w:r>
      <w:r w:rsidRPr="00D520BF">
        <w:rPr>
          <w:rFonts w:cs="Arial"/>
          <w:color w:val="auto"/>
        </w:rPr>
        <w:t xml:space="preserve"> will your appeal be referred to the Appeal Panel. </w:t>
      </w:r>
    </w:p>
    <w:p w:rsidRPr="00D520BF" w:rsidR="00500774" w:rsidP="00413F89" w:rsidRDefault="00C70019" w14:paraId="222A54ED" w14:textId="3D5A208A">
      <w:pPr>
        <w:jc w:val="both"/>
        <w:rPr>
          <w:rFonts w:cs="Arial"/>
          <w:color w:val="auto"/>
        </w:rPr>
      </w:pPr>
      <w:r w:rsidRPr="00D520BF">
        <w:rPr>
          <w:rFonts w:cs="Arial"/>
          <w:color w:val="auto"/>
        </w:rPr>
        <w:t xml:space="preserve">You </w:t>
      </w:r>
      <w:proofErr w:type="gramStart"/>
      <w:r w:rsidRPr="00D520BF">
        <w:rPr>
          <w:rFonts w:cs="Arial"/>
          <w:color w:val="auto"/>
        </w:rPr>
        <w:t>have the opportunity to</w:t>
      </w:r>
      <w:proofErr w:type="gramEnd"/>
      <w:r w:rsidRPr="00D520BF">
        <w:rPr>
          <w:rFonts w:cs="Arial"/>
          <w:color w:val="auto"/>
        </w:rPr>
        <w:t xml:space="preserve"> comment on this letter </w:t>
      </w:r>
      <w:proofErr w:type="gramStart"/>
      <w:r w:rsidRPr="00D520BF">
        <w:rPr>
          <w:rFonts w:cs="Arial"/>
          <w:color w:val="auto"/>
        </w:rPr>
        <w:t>in order to</w:t>
      </w:r>
      <w:proofErr w:type="gramEnd"/>
      <w:r w:rsidRPr="00D520BF">
        <w:rPr>
          <w:rFonts w:cs="Arial"/>
          <w:color w:val="auto"/>
        </w:rPr>
        <w:t xml:space="preserve"> elaborate on or clarify any of the points raised before I make my final decision as to whether each appeal point should be referred on to the Appeal Panel. </w:t>
      </w:r>
      <w:r w:rsidRPr="00D520BF" w:rsidR="00EA099F">
        <w:rPr>
          <w:rFonts w:cs="Arial"/>
          <w:color w:val="auto"/>
        </w:rPr>
        <w:t>Your r</w:t>
      </w:r>
      <w:r w:rsidRPr="00D520BF" w:rsidR="00500774">
        <w:rPr>
          <w:rFonts w:cs="Arial"/>
          <w:color w:val="auto"/>
        </w:rPr>
        <w:t>esponse to this letter must not contain new points of appeal. Responses must deal only with requested clarifications, arguments or comments about my initial view</w:t>
      </w:r>
      <w:r w:rsidRPr="00D520BF" w:rsidR="00EA099F">
        <w:rPr>
          <w:rFonts w:cs="Arial"/>
          <w:color w:val="auto"/>
        </w:rPr>
        <w:t>s</w:t>
      </w:r>
      <w:r w:rsidRPr="00D520BF" w:rsidR="00500774">
        <w:rPr>
          <w:rFonts w:cs="Arial"/>
          <w:color w:val="auto"/>
        </w:rPr>
        <w:t xml:space="preserve">. </w:t>
      </w:r>
    </w:p>
    <w:p w:rsidRPr="00D520BF" w:rsidR="00C70019" w:rsidP="00413F89" w:rsidRDefault="00500774" w14:paraId="146CF237" w14:textId="4D08CD1B">
      <w:pPr>
        <w:jc w:val="both"/>
        <w:rPr>
          <w:rFonts w:cs="Arial"/>
          <w:color w:val="auto"/>
        </w:rPr>
      </w:pPr>
      <w:r w:rsidRPr="00D520BF">
        <w:rPr>
          <w:rFonts w:cs="Arial"/>
          <w:color w:val="auto"/>
        </w:rPr>
        <w:lastRenderedPageBreak/>
        <w:t xml:space="preserve">Your response to this letter will usually be the last opportunity to elaborate or provide clarification to the appeal, unless you are specifically invited to submit material </w:t>
      </w:r>
      <w:proofErr w:type="gramStart"/>
      <w:r w:rsidRPr="00D520BF">
        <w:rPr>
          <w:rFonts w:cs="Arial"/>
          <w:color w:val="auto"/>
        </w:rPr>
        <w:t>at a later date</w:t>
      </w:r>
      <w:proofErr w:type="gramEnd"/>
      <w:r w:rsidRPr="00D520BF">
        <w:rPr>
          <w:rFonts w:cs="Arial"/>
          <w:color w:val="auto"/>
        </w:rPr>
        <w:t xml:space="preserve">. Any uninvited material submitted after your response to this letter will be rejected. </w:t>
      </w:r>
    </w:p>
    <w:p w:rsidRPr="00D520BF" w:rsidR="00C70019" w:rsidP="00413F89" w:rsidRDefault="00C70019" w14:paraId="3294E8F2" w14:textId="77777777">
      <w:pPr>
        <w:jc w:val="both"/>
        <w:rPr>
          <w:rFonts w:cs="Arial"/>
          <w:color w:val="auto"/>
          <w:u w:val="single"/>
        </w:rPr>
      </w:pPr>
      <w:r w:rsidRPr="00D520BF">
        <w:rPr>
          <w:rFonts w:cs="Arial"/>
          <w:color w:val="auto"/>
          <w:u w:val="single"/>
        </w:rPr>
        <w:t>Initial View</w:t>
      </w:r>
    </w:p>
    <w:p w:rsidRPr="00D520BF" w:rsidR="00262058" w:rsidP="00413F89" w:rsidRDefault="00BB43EC" w14:paraId="15B951E6" w14:textId="4A8D7BE4">
      <w:pPr>
        <w:jc w:val="both"/>
        <w:rPr>
          <w:rFonts w:cs="Arial"/>
          <w:color w:val="auto"/>
        </w:rPr>
      </w:pPr>
      <w:r w:rsidRPr="00D520BF">
        <w:rPr>
          <w:rFonts w:cs="Arial"/>
          <w:color w:val="auto"/>
        </w:rPr>
        <w:t>I</w:t>
      </w:r>
      <w:r w:rsidRPr="00D520BF" w:rsidR="00C70019">
        <w:rPr>
          <w:rFonts w:cs="Arial"/>
          <w:color w:val="auto"/>
        </w:rPr>
        <w:t xml:space="preserve"> assess each of your </w:t>
      </w:r>
      <w:r w:rsidRPr="00D520BF" w:rsidR="00B36320">
        <w:rPr>
          <w:rFonts w:cs="Arial"/>
          <w:color w:val="auto"/>
        </w:rPr>
        <w:t xml:space="preserve">points </w:t>
      </w:r>
      <w:r w:rsidRPr="00D520BF" w:rsidR="00C70019">
        <w:rPr>
          <w:rFonts w:cs="Arial"/>
          <w:color w:val="auto"/>
        </w:rPr>
        <w:t xml:space="preserve">in turn.  </w:t>
      </w:r>
    </w:p>
    <w:p w:rsidRPr="00D520BF" w:rsidR="00E87F1E" w:rsidP="00E87F1E" w:rsidRDefault="00E87F1E" w14:paraId="7ADCDE98" w14:textId="54A167CC">
      <w:pPr>
        <w:spacing w:before="120" w:after="0" w:line="240" w:lineRule="auto"/>
        <w:rPr>
          <w:rFonts w:cs="Arial"/>
          <w:b/>
          <w:i/>
          <w:lang w:eastAsia="en-GB"/>
        </w:rPr>
      </w:pPr>
      <w:r w:rsidRPr="00D520BF">
        <w:rPr>
          <w:rFonts w:cs="Arial"/>
          <w:b/>
          <w:i/>
          <w:lang w:eastAsia="en-GB"/>
        </w:rPr>
        <w:t>Ground 1(a): In making the assessment that preceded the recommendation, NICE has failed to act fairly</w:t>
      </w:r>
      <w:r w:rsidR="00AD5680">
        <w:rPr>
          <w:rFonts w:cs="Arial"/>
          <w:b/>
          <w:i/>
          <w:lang w:eastAsia="en-GB"/>
        </w:rPr>
        <w:t>.</w:t>
      </w:r>
    </w:p>
    <w:p w:rsidRPr="00D520BF" w:rsidR="00B71D0C" w:rsidP="00B71D0C" w:rsidRDefault="00B62869" w14:paraId="2FABC75B" w14:textId="4D93E275">
      <w:pPr>
        <w:spacing w:before="240" w:after="240" w:line="276" w:lineRule="auto"/>
        <w:jc w:val="both"/>
        <w:rPr>
          <w:rFonts w:cs="Arial"/>
          <w:b/>
          <w:color w:val="auto"/>
          <w:u w:val="single"/>
        </w:rPr>
      </w:pPr>
      <w:r w:rsidRPr="00D520BF">
        <w:rPr>
          <w:rFonts w:cs="Arial"/>
          <w:b/>
          <w:color w:val="auto"/>
          <w:u w:val="single"/>
        </w:rPr>
        <w:t xml:space="preserve">Appeal </w:t>
      </w:r>
      <w:proofErr w:type="gramStart"/>
      <w:r w:rsidRPr="00D520BF">
        <w:rPr>
          <w:rFonts w:cs="Arial"/>
          <w:b/>
          <w:color w:val="auto"/>
          <w:u w:val="single"/>
        </w:rPr>
        <w:t>point</w:t>
      </w:r>
      <w:proofErr w:type="gramEnd"/>
      <w:r w:rsidRPr="00D520BF">
        <w:rPr>
          <w:rFonts w:cs="Arial"/>
          <w:b/>
          <w:color w:val="auto"/>
          <w:u w:val="single"/>
        </w:rPr>
        <w:t xml:space="preserve"> 1(a).1</w:t>
      </w:r>
      <w:r w:rsidRPr="00D520BF" w:rsidR="007A7F07">
        <w:rPr>
          <w:rFonts w:cs="Arial"/>
          <w:b/>
          <w:color w:val="auto"/>
          <w:u w:val="single"/>
        </w:rPr>
        <w:t>:</w:t>
      </w:r>
      <w:r w:rsidRPr="00D520BF" w:rsidR="00B71D0C">
        <w:rPr>
          <w:rFonts w:cs="Arial"/>
          <w:b/>
          <w:color w:val="auto"/>
          <w:u w:val="single"/>
        </w:rPr>
        <w:t xml:space="preserve"> The disclosure of information regarding infusion costs very shortly before the third Appraisal Committee meeting (ACM3) without opportunity for consideration or comment by consultees was procedurally unfair. </w:t>
      </w:r>
    </w:p>
    <w:p w:rsidRPr="00D520BF" w:rsidR="007C6653" w:rsidP="00B71D0C" w:rsidRDefault="002C3468" w14:paraId="1984C810" w14:textId="34ADC735">
      <w:pPr>
        <w:spacing w:before="240" w:after="240" w:line="276" w:lineRule="auto"/>
        <w:jc w:val="both"/>
        <w:rPr>
          <w:rFonts w:cs="Arial"/>
          <w:color w:val="auto"/>
        </w:rPr>
      </w:pPr>
      <w:r w:rsidRPr="00D520BF">
        <w:rPr>
          <w:rFonts w:cs="Arial"/>
          <w:color w:val="auto"/>
        </w:rPr>
        <w:t xml:space="preserve">I am not provisionally minded </w:t>
      </w:r>
      <w:proofErr w:type="gramStart"/>
      <w:r w:rsidRPr="00D520BF">
        <w:rPr>
          <w:rFonts w:cs="Arial"/>
          <w:color w:val="auto"/>
        </w:rPr>
        <w:t>to refer</w:t>
      </w:r>
      <w:proofErr w:type="gramEnd"/>
      <w:r w:rsidRPr="00D520BF">
        <w:rPr>
          <w:rFonts w:cs="Arial"/>
          <w:color w:val="auto"/>
        </w:rPr>
        <w:t xml:space="preserve"> this appeal </w:t>
      </w:r>
      <w:proofErr w:type="gramStart"/>
      <w:r w:rsidRPr="00D520BF">
        <w:rPr>
          <w:rFonts w:cs="Arial"/>
          <w:color w:val="auto"/>
        </w:rPr>
        <w:t>point</w:t>
      </w:r>
      <w:proofErr w:type="gramEnd"/>
      <w:r w:rsidRPr="00D520BF">
        <w:rPr>
          <w:rFonts w:cs="Arial"/>
          <w:color w:val="auto"/>
        </w:rPr>
        <w:t xml:space="preserve"> to the Appeal Panel. I appreciate that four days in these circumstances is a very tight turnaround and that </w:t>
      </w:r>
      <w:r w:rsidR="00E8217F">
        <w:rPr>
          <w:rFonts w:cs="Arial"/>
          <w:color w:val="auto"/>
        </w:rPr>
        <w:t>the issue of infusion costs</w:t>
      </w:r>
      <w:r w:rsidRPr="00D520BF">
        <w:rPr>
          <w:rFonts w:cs="Arial"/>
          <w:color w:val="auto"/>
        </w:rPr>
        <w:t xml:space="preserve"> is an important one in the context of the evaluation. </w:t>
      </w:r>
      <w:r w:rsidRPr="00D520BF" w:rsidR="007C6653">
        <w:rPr>
          <w:rFonts w:cs="Arial"/>
          <w:color w:val="auto"/>
        </w:rPr>
        <w:t xml:space="preserve">I am reminded, however, of the difficult balance that a </w:t>
      </w:r>
      <w:proofErr w:type="gramStart"/>
      <w:r w:rsidRPr="00D520BF" w:rsidR="007C6653">
        <w:rPr>
          <w:rFonts w:cs="Arial"/>
          <w:color w:val="auto"/>
        </w:rPr>
        <w:t>Committee</w:t>
      </w:r>
      <w:proofErr w:type="gramEnd"/>
      <w:r w:rsidRPr="00D520BF" w:rsidR="007C6653">
        <w:rPr>
          <w:rFonts w:cs="Arial"/>
          <w:color w:val="auto"/>
        </w:rPr>
        <w:t xml:space="preserve"> needs to maintain to ensure stakeholders have a fair opportunity to participate whilst also ensuring the evaluation proceeds expeditiously, and that it is inevitably the case that at times, both the Committee and the Company </w:t>
      </w:r>
      <w:proofErr w:type="gramStart"/>
      <w:r w:rsidRPr="00D520BF" w:rsidR="007C6653">
        <w:rPr>
          <w:rFonts w:cs="Arial"/>
          <w:color w:val="auto"/>
        </w:rPr>
        <w:t>have to</w:t>
      </w:r>
      <w:proofErr w:type="gramEnd"/>
      <w:r w:rsidRPr="00D520BF" w:rsidR="007C6653">
        <w:rPr>
          <w:rFonts w:cs="Arial"/>
          <w:color w:val="auto"/>
        </w:rPr>
        <w:t xml:space="preserve"> be prepared to respond very promptly to developing evidence. </w:t>
      </w:r>
    </w:p>
    <w:p w:rsidRPr="00D520BF" w:rsidR="0097722B" w:rsidP="00B71D0C" w:rsidRDefault="002C3468" w14:paraId="119C4AAA" w14:textId="2F486D52">
      <w:pPr>
        <w:spacing w:before="240" w:after="240" w:line="276" w:lineRule="auto"/>
        <w:jc w:val="both"/>
        <w:rPr>
          <w:rFonts w:cs="Arial"/>
          <w:color w:val="auto"/>
        </w:rPr>
      </w:pPr>
      <w:r w:rsidRPr="00D520BF">
        <w:rPr>
          <w:rFonts w:cs="Arial"/>
          <w:color w:val="auto"/>
        </w:rPr>
        <w:t>I note</w:t>
      </w:r>
      <w:r w:rsidRPr="00D520BF" w:rsidR="004D26CF">
        <w:rPr>
          <w:rFonts w:cs="Arial"/>
          <w:color w:val="auto"/>
        </w:rPr>
        <w:t xml:space="preserve"> </w:t>
      </w:r>
      <w:r w:rsidRPr="00D520BF">
        <w:rPr>
          <w:rFonts w:cs="Arial"/>
          <w:color w:val="auto"/>
        </w:rPr>
        <w:t>that as a matter of fact the Company was able to respond in the time available</w:t>
      </w:r>
      <w:r w:rsidR="00E8217F">
        <w:rPr>
          <w:rFonts w:cs="Arial"/>
          <w:color w:val="auto"/>
        </w:rPr>
        <w:t>.</w:t>
      </w:r>
      <w:r w:rsidRPr="00D520BF">
        <w:rPr>
          <w:rFonts w:cs="Arial"/>
          <w:color w:val="auto"/>
        </w:rPr>
        <w:t xml:space="preserve"> Given that, I am not currently persuaded that the Company suffered any disadvantage </w:t>
      </w:r>
      <w:proofErr w:type="gramStart"/>
      <w:r w:rsidRPr="00D520BF">
        <w:rPr>
          <w:rFonts w:cs="Arial"/>
          <w:color w:val="auto"/>
        </w:rPr>
        <w:t>as a result of</w:t>
      </w:r>
      <w:proofErr w:type="gramEnd"/>
      <w:r w:rsidRPr="00D520BF">
        <w:rPr>
          <w:rFonts w:cs="Arial"/>
          <w:color w:val="auto"/>
        </w:rPr>
        <w:t xml:space="preserve"> the delay. If you are minded </w:t>
      </w:r>
      <w:proofErr w:type="gramStart"/>
      <w:r w:rsidRPr="00D520BF">
        <w:rPr>
          <w:rFonts w:cs="Arial"/>
          <w:color w:val="auto"/>
        </w:rPr>
        <w:t>to p</w:t>
      </w:r>
      <w:r w:rsidRPr="00D520BF" w:rsidR="007C6653">
        <w:rPr>
          <w:rFonts w:cs="Arial"/>
          <w:color w:val="auto"/>
        </w:rPr>
        <w:t>u</w:t>
      </w:r>
      <w:r w:rsidRPr="00D520BF">
        <w:rPr>
          <w:rFonts w:cs="Arial"/>
          <w:color w:val="auto"/>
        </w:rPr>
        <w:t>rsue</w:t>
      </w:r>
      <w:proofErr w:type="gramEnd"/>
      <w:r w:rsidRPr="00D520BF">
        <w:rPr>
          <w:rFonts w:cs="Arial"/>
          <w:color w:val="auto"/>
        </w:rPr>
        <w:t xml:space="preserve"> this appeal </w:t>
      </w:r>
      <w:proofErr w:type="gramStart"/>
      <w:r w:rsidRPr="00D520BF">
        <w:rPr>
          <w:rFonts w:cs="Arial"/>
          <w:color w:val="auto"/>
        </w:rPr>
        <w:t>poin</w:t>
      </w:r>
      <w:r w:rsidRPr="00D520BF" w:rsidR="004D26CF">
        <w:rPr>
          <w:rFonts w:cs="Arial"/>
          <w:color w:val="auto"/>
        </w:rPr>
        <w:t>t</w:t>
      </w:r>
      <w:proofErr w:type="gramEnd"/>
      <w:r w:rsidRPr="00D520BF" w:rsidR="004D26CF">
        <w:rPr>
          <w:rFonts w:cs="Arial"/>
          <w:color w:val="auto"/>
        </w:rPr>
        <w:t xml:space="preserve"> at final scrutiny, I would invite you to provide further details of any disadvantage, and of additional information the Company would have submitted had there been more time. </w:t>
      </w:r>
    </w:p>
    <w:p w:rsidRPr="00D520BF" w:rsidR="00BD7795" w:rsidP="00B71D0C" w:rsidRDefault="00DA3B73" w14:paraId="2D920302" w14:textId="3C0065D7">
      <w:pPr>
        <w:spacing w:before="240" w:after="240" w:line="276" w:lineRule="auto"/>
        <w:jc w:val="both"/>
        <w:rPr>
          <w:rFonts w:cs="Arial"/>
          <w:b/>
          <w:color w:val="auto"/>
          <w:u w:val="single"/>
        </w:rPr>
      </w:pPr>
      <w:r w:rsidRPr="00D520BF">
        <w:rPr>
          <w:rFonts w:cs="Arial"/>
          <w:b/>
          <w:color w:val="auto"/>
          <w:u w:val="single"/>
        </w:rPr>
        <w:t xml:space="preserve">Appeal </w:t>
      </w:r>
      <w:proofErr w:type="gramStart"/>
      <w:r w:rsidRPr="00D520BF">
        <w:rPr>
          <w:rFonts w:cs="Arial"/>
          <w:b/>
          <w:color w:val="auto"/>
          <w:u w:val="single"/>
        </w:rPr>
        <w:t>point</w:t>
      </w:r>
      <w:proofErr w:type="gramEnd"/>
      <w:r w:rsidRPr="00D520BF">
        <w:rPr>
          <w:rFonts w:cs="Arial"/>
          <w:b/>
          <w:color w:val="auto"/>
          <w:u w:val="single"/>
        </w:rPr>
        <w:t xml:space="preserve"> 1(a).2: </w:t>
      </w:r>
      <w:r w:rsidRPr="00D520BF" w:rsidR="00B71D0C">
        <w:rPr>
          <w:rFonts w:cs="Arial"/>
          <w:b/>
          <w:color w:val="auto"/>
          <w:u w:val="single"/>
        </w:rPr>
        <w:t>The evidence and reasoning of the Committee in relation to infusion costs lacks transparency despite the evidence submitted by NHS England prior to ACM3.</w:t>
      </w:r>
    </w:p>
    <w:p w:rsidRPr="00D520BF" w:rsidR="00981577" w:rsidP="00B71D0C" w:rsidRDefault="00981577" w14:paraId="5EDEF34C" w14:textId="1BB7FAF3">
      <w:pPr>
        <w:spacing w:before="240" w:after="240" w:line="276" w:lineRule="auto"/>
        <w:jc w:val="both"/>
        <w:rPr>
          <w:rFonts w:cs="Arial"/>
          <w:color w:val="auto"/>
        </w:rPr>
      </w:pPr>
      <w:r w:rsidRPr="00D520BF">
        <w:rPr>
          <w:rFonts w:cs="Arial"/>
          <w:color w:val="auto"/>
        </w:rPr>
        <w:t>I understand your appeal point 1(a)</w:t>
      </w:r>
      <w:r w:rsidR="00AD5680">
        <w:rPr>
          <w:rFonts w:cs="Arial"/>
          <w:color w:val="auto"/>
        </w:rPr>
        <w:t>.</w:t>
      </w:r>
      <w:r w:rsidRPr="00D520BF">
        <w:rPr>
          <w:rFonts w:cs="Arial"/>
          <w:color w:val="auto"/>
        </w:rPr>
        <w:t>2 to be two-fold. First, that NHS England's estimate</w:t>
      </w:r>
      <w:r w:rsidR="00E8217F">
        <w:rPr>
          <w:rFonts w:cs="Arial"/>
          <w:color w:val="auto"/>
        </w:rPr>
        <w:t>d</w:t>
      </w:r>
      <w:r w:rsidRPr="00D520BF">
        <w:rPr>
          <w:rFonts w:cs="Arial"/>
          <w:color w:val="auto"/>
        </w:rPr>
        <w:t xml:space="preserve"> infusion costs lack transparency, and second, that the Committee's reasons for rejecting the infusion cost estimations proposed by Eisai</w:t>
      </w:r>
      <w:r w:rsidR="00AD5680">
        <w:rPr>
          <w:rFonts w:cs="Arial"/>
          <w:color w:val="auto"/>
        </w:rPr>
        <w:t xml:space="preserve"> Ltd</w:t>
      </w:r>
      <w:r w:rsidRPr="00D520BF">
        <w:rPr>
          <w:rFonts w:cs="Arial"/>
          <w:color w:val="auto"/>
        </w:rPr>
        <w:t xml:space="preserve"> are unsupported by or do not </w:t>
      </w:r>
      <w:proofErr w:type="gramStart"/>
      <w:r w:rsidRPr="00D520BF">
        <w:rPr>
          <w:rFonts w:cs="Arial"/>
          <w:color w:val="auto"/>
        </w:rPr>
        <w:t>take into account</w:t>
      </w:r>
      <w:proofErr w:type="gramEnd"/>
      <w:r w:rsidRPr="00D520BF">
        <w:rPr>
          <w:rFonts w:cs="Arial"/>
          <w:color w:val="auto"/>
        </w:rPr>
        <w:t xml:space="preserve"> the evidence available to the Committee. </w:t>
      </w:r>
    </w:p>
    <w:p w:rsidRPr="00D520BF" w:rsidR="004D26CF" w:rsidP="00B71D0C" w:rsidRDefault="00981577" w14:paraId="3439151F" w14:textId="3853A6F4">
      <w:pPr>
        <w:spacing w:before="240" w:after="240" w:line="276" w:lineRule="auto"/>
        <w:jc w:val="both"/>
        <w:rPr>
          <w:rFonts w:cs="Arial"/>
          <w:color w:val="auto"/>
        </w:rPr>
      </w:pPr>
      <w:r w:rsidRPr="00D520BF">
        <w:rPr>
          <w:rFonts w:cs="Arial"/>
          <w:color w:val="auto"/>
        </w:rPr>
        <w:t>In respect of the first, t</w:t>
      </w:r>
      <w:r w:rsidRPr="00D520BF" w:rsidR="004D26CF">
        <w:rPr>
          <w:rFonts w:cs="Arial"/>
          <w:color w:val="auto"/>
        </w:rPr>
        <w:t xml:space="preserve">he "lack of transparency" asserted is NHS England's, rather than NICE's, and I note that you have not sought to appeal on the basis that it was unreasonable for the Committee to accept NHS England's estimated infusion costs. </w:t>
      </w:r>
      <w:proofErr w:type="gramStart"/>
      <w:r w:rsidRPr="00D520BF" w:rsidR="004D26CF">
        <w:rPr>
          <w:rFonts w:cs="Arial"/>
          <w:color w:val="auto"/>
        </w:rPr>
        <w:t>In order for</w:t>
      </w:r>
      <w:proofErr w:type="gramEnd"/>
      <w:r w:rsidRPr="00D520BF" w:rsidR="004D26CF">
        <w:rPr>
          <w:rFonts w:cs="Arial"/>
          <w:color w:val="auto"/>
        </w:rPr>
        <w:t xml:space="preserve"> this to be arguable under Ground 1, I consider that there would have to be an arguable case that the Committee departed from the Manual or otherwise acted unfairly in accepting the NHS England estimate, e.g. by holding NHS England to a lower standard than is prescribed. </w:t>
      </w:r>
    </w:p>
    <w:p w:rsidRPr="00D520BF" w:rsidR="00981577" w:rsidP="00B71D0C" w:rsidRDefault="00981577" w14:paraId="11BCC34C" w14:textId="215E14AB">
      <w:pPr>
        <w:spacing w:before="240" w:after="240" w:line="276" w:lineRule="auto"/>
        <w:jc w:val="both"/>
        <w:rPr>
          <w:rFonts w:cs="Arial"/>
          <w:color w:val="auto"/>
        </w:rPr>
      </w:pPr>
      <w:r w:rsidRPr="00D520BF">
        <w:rPr>
          <w:rFonts w:cs="Arial"/>
          <w:color w:val="auto"/>
        </w:rPr>
        <w:t xml:space="preserve">I have not seen any evidence that that is the </w:t>
      </w:r>
      <w:proofErr w:type="gramStart"/>
      <w:r w:rsidRPr="00D520BF">
        <w:rPr>
          <w:rFonts w:cs="Arial"/>
          <w:color w:val="auto"/>
        </w:rPr>
        <w:t>case, and</w:t>
      </w:r>
      <w:proofErr w:type="gramEnd"/>
      <w:r w:rsidRPr="00D520BF">
        <w:rPr>
          <w:rFonts w:cs="Arial"/>
          <w:color w:val="auto"/>
        </w:rPr>
        <w:t xml:space="preserve"> accordingly am not minded </w:t>
      </w:r>
      <w:proofErr w:type="gramStart"/>
      <w:r w:rsidRPr="00D520BF">
        <w:rPr>
          <w:rFonts w:cs="Arial"/>
          <w:color w:val="auto"/>
        </w:rPr>
        <w:t>to refer</w:t>
      </w:r>
      <w:proofErr w:type="gramEnd"/>
      <w:r w:rsidRPr="00D520BF">
        <w:rPr>
          <w:rFonts w:cs="Arial"/>
          <w:color w:val="auto"/>
        </w:rPr>
        <w:t xml:space="preserve"> this element of appeal </w:t>
      </w:r>
      <w:proofErr w:type="gramStart"/>
      <w:r w:rsidRPr="00D520BF">
        <w:rPr>
          <w:rFonts w:cs="Arial"/>
          <w:color w:val="auto"/>
        </w:rPr>
        <w:t>point</w:t>
      </w:r>
      <w:proofErr w:type="gramEnd"/>
      <w:r w:rsidRPr="00D520BF">
        <w:rPr>
          <w:rFonts w:cs="Arial"/>
          <w:color w:val="auto"/>
        </w:rPr>
        <w:t xml:space="preserve"> 1(a)</w:t>
      </w:r>
      <w:r w:rsidR="00AD5680">
        <w:rPr>
          <w:rFonts w:cs="Arial"/>
          <w:color w:val="auto"/>
        </w:rPr>
        <w:t>.</w:t>
      </w:r>
      <w:r w:rsidRPr="00D520BF">
        <w:rPr>
          <w:rFonts w:cs="Arial"/>
          <w:color w:val="auto"/>
        </w:rPr>
        <w:t xml:space="preserve">2 to the Appeal Panel. </w:t>
      </w:r>
    </w:p>
    <w:p w:rsidRPr="00D520BF" w:rsidR="004D26CF" w:rsidP="00B71D0C" w:rsidRDefault="004D26CF" w14:paraId="599218E5" w14:textId="4AF884C1">
      <w:pPr>
        <w:spacing w:before="240" w:after="240" w:line="276" w:lineRule="auto"/>
        <w:jc w:val="both"/>
        <w:rPr>
          <w:rFonts w:cs="Arial"/>
          <w:color w:val="auto"/>
        </w:rPr>
      </w:pPr>
      <w:r w:rsidRPr="00D520BF">
        <w:rPr>
          <w:rFonts w:cs="Arial"/>
          <w:color w:val="auto"/>
        </w:rPr>
        <w:t>I understand th</w:t>
      </w:r>
      <w:r w:rsidRPr="00D520BF" w:rsidR="00981577">
        <w:rPr>
          <w:rFonts w:cs="Arial"/>
          <w:color w:val="auto"/>
        </w:rPr>
        <w:t>e second part of th</w:t>
      </w:r>
      <w:r w:rsidRPr="00D520BF">
        <w:rPr>
          <w:rFonts w:cs="Arial"/>
          <w:color w:val="auto"/>
        </w:rPr>
        <w:t xml:space="preserve">is appeal point to relate to the adequacy of explanation provided by the Committee for preferring NHS England's estimated infusion costs over the Company's estimated infusion costs. I note that the Committee has explained in detail at paragraph 3.20 of the FDG why it did not prefer the Company's infusion cost estimates, and do not consider it arguable that the reasons given by the Committee </w:t>
      </w:r>
      <w:r w:rsidR="00764ECC">
        <w:rPr>
          <w:rFonts w:cs="Arial"/>
          <w:color w:val="auto"/>
        </w:rPr>
        <w:t xml:space="preserve">in reaching that conclusion </w:t>
      </w:r>
      <w:r w:rsidRPr="00D520BF">
        <w:rPr>
          <w:rFonts w:cs="Arial"/>
          <w:color w:val="auto"/>
        </w:rPr>
        <w:t xml:space="preserve">are procedurally unfair. </w:t>
      </w:r>
    </w:p>
    <w:p w:rsidRPr="00D520BF" w:rsidR="004D26CF" w:rsidP="00B71D0C" w:rsidRDefault="00764ECC" w14:paraId="32683724" w14:textId="71C0321C">
      <w:pPr>
        <w:spacing w:before="240" w:after="240" w:line="276" w:lineRule="auto"/>
        <w:jc w:val="both"/>
        <w:rPr>
          <w:rFonts w:cs="Arial"/>
          <w:color w:val="auto"/>
        </w:rPr>
      </w:pPr>
      <w:r>
        <w:rPr>
          <w:rFonts w:cs="Arial"/>
          <w:color w:val="auto"/>
        </w:rPr>
        <w:lastRenderedPageBreak/>
        <w:t xml:space="preserve">However, </w:t>
      </w:r>
      <w:r w:rsidRPr="00D520BF" w:rsidR="00981577">
        <w:rPr>
          <w:rFonts w:cs="Arial"/>
          <w:color w:val="auto"/>
        </w:rPr>
        <w:t xml:space="preserve">I provisionally consider that the Committee's decision to prefer the NHS England estimated infusion costs may form the basis for an arguable Ground 2 appeal point. I should be grateful if you would provide the Company's view on this in your response to this initial scrutiny letter. </w:t>
      </w:r>
    </w:p>
    <w:p w:rsidRPr="00D520BF" w:rsidR="00943606" w:rsidP="00B71D0C" w:rsidRDefault="00DA3B73" w14:paraId="4FB25735" w14:textId="59FBEE5B">
      <w:pPr>
        <w:spacing w:before="240" w:after="240" w:line="276" w:lineRule="auto"/>
        <w:jc w:val="both"/>
        <w:rPr>
          <w:rFonts w:cs="Arial"/>
          <w:b/>
          <w:color w:val="auto"/>
          <w:u w:val="single"/>
        </w:rPr>
      </w:pPr>
      <w:r w:rsidRPr="00D520BF">
        <w:rPr>
          <w:rFonts w:cs="Arial"/>
          <w:b/>
          <w:color w:val="auto"/>
          <w:u w:val="single"/>
        </w:rPr>
        <w:t xml:space="preserve">Appeal </w:t>
      </w:r>
      <w:proofErr w:type="gramStart"/>
      <w:r w:rsidRPr="00D520BF">
        <w:rPr>
          <w:rFonts w:cs="Arial"/>
          <w:b/>
          <w:color w:val="auto"/>
          <w:u w:val="single"/>
        </w:rPr>
        <w:t>point</w:t>
      </w:r>
      <w:proofErr w:type="gramEnd"/>
      <w:r w:rsidRPr="00D520BF">
        <w:rPr>
          <w:rFonts w:cs="Arial"/>
          <w:b/>
          <w:color w:val="auto"/>
          <w:u w:val="single"/>
        </w:rPr>
        <w:t xml:space="preserve"> 1(a).3: </w:t>
      </w:r>
      <w:r w:rsidRPr="00D520BF" w:rsidR="00B71D0C">
        <w:rPr>
          <w:rFonts w:cs="Arial"/>
          <w:b/>
          <w:color w:val="auto"/>
          <w:u w:val="single"/>
        </w:rPr>
        <w:t xml:space="preserve">The Committee has omitted to explain why it has rejected the data from Clarity AD in concluding no effect of </w:t>
      </w:r>
      <w:proofErr w:type="spellStart"/>
      <w:r w:rsidRPr="00D520BF" w:rsidR="00B71D0C">
        <w:rPr>
          <w:rFonts w:cs="Arial"/>
          <w:b/>
          <w:color w:val="auto"/>
          <w:u w:val="single"/>
        </w:rPr>
        <w:t>lecanemab</w:t>
      </w:r>
      <w:proofErr w:type="spellEnd"/>
      <w:r w:rsidRPr="00D520BF" w:rsidR="00B71D0C">
        <w:rPr>
          <w:rFonts w:cs="Arial"/>
          <w:b/>
          <w:color w:val="auto"/>
          <w:u w:val="single"/>
        </w:rPr>
        <w:t xml:space="preserve"> in delaying progression to moderate or severe A</w:t>
      </w:r>
      <w:r w:rsidR="00AD5680">
        <w:rPr>
          <w:rFonts w:cs="Arial"/>
          <w:b/>
          <w:color w:val="auto"/>
          <w:u w:val="single"/>
        </w:rPr>
        <w:t xml:space="preserve">lzheimer's </w:t>
      </w:r>
      <w:r w:rsidRPr="00D520BF" w:rsidR="00B71D0C">
        <w:rPr>
          <w:rFonts w:cs="Arial"/>
          <w:b/>
          <w:color w:val="auto"/>
          <w:u w:val="single"/>
        </w:rPr>
        <w:t>D</w:t>
      </w:r>
      <w:r w:rsidR="00AD5680">
        <w:rPr>
          <w:rFonts w:cs="Arial"/>
          <w:b/>
          <w:color w:val="auto"/>
          <w:u w:val="single"/>
        </w:rPr>
        <w:t>isease</w:t>
      </w:r>
      <w:r w:rsidRPr="00D520BF" w:rsidR="00B71D0C">
        <w:rPr>
          <w:rFonts w:cs="Arial"/>
          <w:b/>
          <w:color w:val="auto"/>
          <w:u w:val="single"/>
        </w:rPr>
        <w:t xml:space="preserve"> and has adopted an inconsistent approach to that followed in the appraisal of donanemab.</w:t>
      </w:r>
    </w:p>
    <w:p w:rsidRPr="00D520BF" w:rsidR="00FC186E" w:rsidP="00B71D0C" w:rsidRDefault="00FC186E" w14:paraId="18FDDD41" w14:textId="1B743DDF">
      <w:pPr>
        <w:spacing w:before="240" w:after="240" w:line="276" w:lineRule="auto"/>
        <w:jc w:val="both"/>
        <w:rPr>
          <w:rFonts w:cs="Arial"/>
        </w:rPr>
      </w:pPr>
      <w:r w:rsidRPr="00D520BF">
        <w:rPr>
          <w:rFonts w:cs="Arial"/>
        </w:rPr>
        <w:t>I understand your appeal point 1(a)</w:t>
      </w:r>
      <w:r w:rsidR="00AD5680">
        <w:rPr>
          <w:rFonts w:cs="Arial"/>
        </w:rPr>
        <w:t>.</w:t>
      </w:r>
      <w:r w:rsidRPr="00D520BF">
        <w:rPr>
          <w:rFonts w:cs="Arial"/>
        </w:rPr>
        <w:t xml:space="preserve">3 to be two-fold, and I address both in turn below. </w:t>
      </w:r>
    </w:p>
    <w:p w:rsidRPr="00D520BF" w:rsidR="00FC186E" w:rsidP="00B71D0C" w:rsidRDefault="00FC186E" w14:paraId="73E1A9F5" w14:textId="3E11E97E">
      <w:pPr>
        <w:spacing w:before="240" w:after="240" w:line="276" w:lineRule="auto"/>
        <w:jc w:val="both"/>
        <w:rPr>
          <w:rFonts w:cs="Arial"/>
        </w:rPr>
      </w:pPr>
      <w:r w:rsidRPr="00D520BF">
        <w:rPr>
          <w:rFonts w:cs="Arial"/>
        </w:rPr>
        <w:t xml:space="preserve">First, that the Committee has omitted to explain why it has rejected the data from Clarity AD in concluding no effect of </w:t>
      </w:r>
      <w:proofErr w:type="spellStart"/>
      <w:r w:rsidRPr="00D520BF">
        <w:rPr>
          <w:rFonts w:cs="Arial"/>
        </w:rPr>
        <w:t>lecanemab</w:t>
      </w:r>
      <w:proofErr w:type="spellEnd"/>
      <w:r w:rsidRPr="00D520BF">
        <w:rPr>
          <w:rFonts w:cs="Arial"/>
        </w:rPr>
        <w:t xml:space="preserve"> in delaying progression to moderate or severe Alzheimer's Disease.</w:t>
      </w:r>
    </w:p>
    <w:p w:rsidRPr="00D520BF" w:rsidR="00FC186E" w:rsidP="00B71D0C" w:rsidRDefault="00D31672" w14:paraId="743DBE57" w14:textId="3629A139">
      <w:pPr>
        <w:spacing w:before="240" w:after="240" w:line="276" w:lineRule="auto"/>
        <w:jc w:val="both"/>
        <w:rPr>
          <w:rFonts w:cs="Arial"/>
        </w:rPr>
      </w:pPr>
      <w:r w:rsidRPr="00D520BF">
        <w:rPr>
          <w:rFonts w:cs="Arial"/>
        </w:rPr>
        <w:t xml:space="preserve">I consider that, on the face of the FDG (paragraph 3.15 in particular), the Committee has explained </w:t>
      </w:r>
      <w:r w:rsidRPr="00D520BF" w:rsidR="00EC357A">
        <w:rPr>
          <w:rFonts w:cs="Arial"/>
        </w:rPr>
        <w:t>its approach towards the data from Clarity AD. This is because it has considered both the Company and the EAG's model by reference to the observed state occupancy and efficacy data in Clarity AD.</w:t>
      </w:r>
      <w:r w:rsidR="003309D9">
        <w:rPr>
          <w:rFonts w:cs="Arial"/>
        </w:rPr>
        <w:t xml:space="preserve"> I note that the level of explanation offered in the FDG may have been affected by the need to protect confidential information submitted by the Company.</w:t>
      </w:r>
      <w:r w:rsidRPr="00D520BF" w:rsidR="00EC357A">
        <w:rPr>
          <w:rFonts w:cs="Arial"/>
        </w:rPr>
        <w:t xml:space="preserve"> </w:t>
      </w:r>
      <w:r w:rsidR="003309D9">
        <w:rPr>
          <w:rFonts w:cs="Arial"/>
        </w:rPr>
        <w:t>Having reviewed paragraph 3.15</w:t>
      </w:r>
      <w:r w:rsidRPr="00D520BF" w:rsidR="00EC357A">
        <w:rPr>
          <w:rFonts w:cs="Arial"/>
        </w:rPr>
        <w:t>, I do not consider there to be arguable procedural unfairness.</w:t>
      </w:r>
    </w:p>
    <w:p w:rsidRPr="00D520BF" w:rsidR="00C364AF" w:rsidP="00B71D0C" w:rsidRDefault="00FC186E" w14:paraId="66EFB212" w14:textId="4873BAE8">
      <w:pPr>
        <w:spacing w:before="240" w:after="240" w:line="276" w:lineRule="auto"/>
        <w:jc w:val="both"/>
        <w:rPr>
          <w:rFonts w:cs="Arial"/>
        </w:rPr>
      </w:pPr>
      <w:r w:rsidRPr="00D520BF">
        <w:rPr>
          <w:rFonts w:cs="Arial"/>
        </w:rPr>
        <w:t>Second</w:t>
      </w:r>
      <w:r w:rsidR="003309D9">
        <w:rPr>
          <w:rFonts w:cs="Arial"/>
        </w:rPr>
        <w:t>ly</w:t>
      </w:r>
      <w:r w:rsidRPr="00D520BF">
        <w:rPr>
          <w:rFonts w:cs="Arial"/>
        </w:rPr>
        <w:t xml:space="preserve">, that the Committee has acted inconsistently in its decision-making regarding the transition from mild to severe Alzheimer's </w:t>
      </w:r>
      <w:r w:rsidR="00AD5680">
        <w:rPr>
          <w:rFonts w:cs="Arial"/>
        </w:rPr>
        <w:t>D</w:t>
      </w:r>
      <w:r w:rsidRPr="00D520BF">
        <w:rPr>
          <w:rFonts w:cs="Arial"/>
        </w:rPr>
        <w:t xml:space="preserve">isease in the </w:t>
      </w:r>
      <w:proofErr w:type="spellStart"/>
      <w:r w:rsidRPr="00D520BF">
        <w:rPr>
          <w:rFonts w:cs="Arial"/>
        </w:rPr>
        <w:t>lecanemab</w:t>
      </w:r>
      <w:proofErr w:type="spellEnd"/>
      <w:r w:rsidRPr="00D520BF">
        <w:rPr>
          <w:rFonts w:cs="Arial"/>
        </w:rPr>
        <w:t xml:space="preserve"> appraisal compared with the donanemab appraisal [ID6222].</w:t>
      </w:r>
    </w:p>
    <w:p w:rsidRPr="00D520BF" w:rsidR="00C364AF" w:rsidP="00B71D0C" w:rsidRDefault="00EC357A" w14:paraId="586D5325" w14:textId="3C06C9B9">
      <w:pPr>
        <w:spacing w:before="240" w:after="240" w:line="276" w:lineRule="auto"/>
        <w:jc w:val="both"/>
        <w:rPr>
          <w:rFonts w:cs="Arial"/>
        </w:rPr>
      </w:pPr>
      <w:r w:rsidRPr="00D520BF">
        <w:rPr>
          <w:rFonts w:cs="Arial"/>
        </w:rPr>
        <w:t xml:space="preserve">Although I do not consider </w:t>
      </w:r>
      <w:r w:rsidRPr="00D520BF" w:rsidR="00C364AF">
        <w:rPr>
          <w:rFonts w:cs="Arial"/>
        </w:rPr>
        <w:t xml:space="preserve">the fact of two appraisals reaching different conclusions to be procedurally unfair per se, I am provisionally minded to refer this appeal point to the Appeal Panel under Ground 2, on the basis that it is arguable that </w:t>
      </w:r>
      <w:r w:rsidR="00B460B3">
        <w:rPr>
          <w:rFonts w:cs="Arial"/>
        </w:rPr>
        <w:t xml:space="preserve">the </w:t>
      </w:r>
      <w:r w:rsidRPr="00D520BF" w:rsidR="00C364AF">
        <w:rPr>
          <w:rFonts w:cs="Arial"/>
        </w:rPr>
        <w:t>Committee</w:t>
      </w:r>
      <w:r w:rsidR="00B460B3">
        <w:rPr>
          <w:rFonts w:cs="Arial"/>
        </w:rPr>
        <w:t xml:space="preserve">'s conclusion on this point is unreasonable, </w:t>
      </w:r>
      <w:r w:rsidR="005C15D3">
        <w:rPr>
          <w:rFonts w:cs="Arial"/>
        </w:rPr>
        <w:t xml:space="preserve">particularly </w:t>
      </w:r>
      <w:r w:rsidR="00B460B3">
        <w:rPr>
          <w:rFonts w:cs="Arial"/>
        </w:rPr>
        <w:t>in light of its</w:t>
      </w:r>
      <w:r w:rsidR="005C15D3">
        <w:rPr>
          <w:rFonts w:cs="Arial"/>
        </w:rPr>
        <w:t xml:space="preserve"> (in your view)</w:t>
      </w:r>
      <w:r w:rsidR="00B460B3">
        <w:rPr>
          <w:rFonts w:cs="Arial"/>
        </w:rPr>
        <w:t xml:space="preserve"> </w:t>
      </w:r>
      <w:r w:rsidRPr="00D520BF" w:rsidR="00C364AF">
        <w:rPr>
          <w:rFonts w:cs="Arial"/>
        </w:rPr>
        <w:t xml:space="preserve">different conclusion on the basis of ostensibly the same underlying evidence. </w:t>
      </w:r>
    </w:p>
    <w:p w:rsidRPr="00D520BF" w:rsidR="00FC186E" w:rsidP="00B71D0C" w:rsidRDefault="00EC357A" w14:paraId="68649BCF" w14:textId="1ADF4B6A">
      <w:pPr>
        <w:spacing w:before="240" w:after="240" w:line="276" w:lineRule="auto"/>
        <w:jc w:val="both"/>
        <w:rPr>
          <w:rFonts w:cs="Arial"/>
        </w:rPr>
      </w:pPr>
      <w:r w:rsidRPr="00D520BF">
        <w:rPr>
          <w:rFonts w:cs="Arial"/>
        </w:rPr>
        <w:t>I should be grateful if you would provide the Company's view on this in your response to this initial scrutiny</w:t>
      </w:r>
      <w:r w:rsidRPr="00D520BF" w:rsidR="00C364AF">
        <w:rPr>
          <w:rFonts w:cs="Arial"/>
        </w:rPr>
        <w:t xml:space="preserve">. </w:t>
      </w:r>
    </w:p>
    <w:p w:rsidRPr="00D520BF" w:rsidR="0083388A" w:rsidP="00B71D0C" w:rsidRDefault="00DA3B73" w14:paraId="1F4AFD5F" w14:textId="7EB69777">
      <w:pPr>
        <w:spacing w:before="240" w:after="240" w:line="276" w:lineRule="auto"/>
        <w:jc w:val="both"/>
        <w:rPr>
          <w:rFonts w:cs="Arial"/>
          <w:b/>
          <w:color w:val="auto"/>
          <w:u w:val="single"/>
        </w:rPr>
      </w:pPr>
      <w:r w:rsidRPr="00D520BF">
        <w:rPr>
          <w:rFonts w:cs="Arial"/>
          <w:b/>
          <w:color w:val="auto"/>
          <w:u w:val="single"/>
        </w:rPr>
        <w:t xml:space="preserve">Appeal </w:t>
      </w:r>
      <w:proofErr w:type="gramStart"/>
      <w:r w:rsidRPr="00D520BF">
        <w:rPr>
          <w:rFonts w:cs="Arial"/>
          <w:b/>
          <w:color w:val="auto"/>
          <w:u w:val="single"/>
        </w:rPr>
        <w:t>point</w:t>
      </w:r>
      <w:proofErr w:type="gramEnd"/>
      <w:r w:rsidRPr="00D520BF">
        <w:rPr>
          <w:rFonts w:cs="Arial"/>
          <w:b/>
          <w:color w:val="auto"/>
          <w:u w:val="single"/>
        </w:rPr>
        <w:t xml:space="preserve"> 1(a).4: </w:t>
      </w:r>
      <w:r w:rsidRPr="00D520BF" w:rsidR="00B71D0C">
        <w:rPr>
          <w:rFonts w:cs="Arial"/>
          <w:b/>
          <w:color w:val="auto"/>
          <w:u w:val="single"/>
        </w:rPr>
        <w:t xml:space="preserve">The Committee's consideration of a recommendation for use of </w:t>
      </w:r>
      <w:proofErr w:type="spellStart"/>
      <w:r w:rsidRPr="00D520BF" w:rsidR="00B71D0C">
        <w:rPr>
          <w:rFonts w:cs="Arial"/>
          <w:b/>
          <w:color w:val="auto"/>
          <w:u w:val="single"/>
        </w:rPr>
        <w:t>lecanemab</w:t>
      </w:r>
      <w:proofErr w:type="spellEnd"/>
      <w:r w:rsidRPr="00D520BF" w:rsidR="00B71D0C">
        <w:rPr>
          <w:rFonts w:cs="Arial"/>
          <w:b/>
          <w:color w:val="auto"/>
          <w:u w:val="single"/>
        </w:rPr>
        <w:t xml:space="preserve"> through managed access does not reflect the requirements of the Manual or the Innovative Medicines Fund principles and is unfair.</w:t>
      </w:r>
    </w:p>
    <w:p w:rsidRPr="00D520BF" w:rsidR="00FC2363" w:rsidP="00FC2363" w:rsidRDefault="00FC2363" w14:paraId="253A4F13" w14:textId="79D40EFA">
      <w:pPr>
        <w:pStyle w:val="BodyText"/>
        <w:jc w:val="both"/>
        <w:rPr>
          <w:rFonts w:cs="Arial"/>
          <w:color w:val="auto"/>
        </w:rPr>
      </w:pPr>
      <w:r w:rsidRPr="00D520BF">
        <w:rPr>
          <w:rFonts w:cs="Arial"/>
          <w:color w:val="auto"/>
        </w:rPr>
        <w:t xml:space="preserve">As you refer to in your letter, </w:t>
      </w:r>
      <w:r w:rsidR="004E7BE1">
        <w:rPr>
          <w:rFonts w:cs="Arial"/>
          <w:color w:val="auto"/>
        </w:rPr>
        <w:t>paragraph</w:t>
      </w:r>
      <w:r w:rsidRPr="00D520BF">
        <w:rPr>
          <w:rFonts w:cs="Arial"/>
          <w:color w:val="auto"/>
        </w:rPr>
        <w:t xml:space="preserve"> 6.4.6 of the Manual provides that a committee can consider a recommendation with managed access when: </w:t>
      </w:r>
    </w:p>
    <w:p w:rsidRPr="00D520BF" w:rsidR="00FC2363" w:rsidP="00FC2363" w:rsidRDefault="00FC2363" w14:paraId="48F85EB3" w14:textId="77777777">
      <w:pPr>
        <w:pStyle w:val="BodyText"/>
        <w:numPr>
          <w:ilvl w:val="0"/>
          <w:numId w:val="39"/>
        </w:numPr>
        <w:jc w:val="both"/>
        <w:rPr>
          <w:rFonts w:cs="Arial"/>
          <w:i/>
          <w:iCs/>
          <w:color w:val="auto"/>
        </w:rPr>
      </w:pPr>
      <w:r w:rsidRPr="00D520BF">
        <w:rPr>
          <w:rFonts w:cs="Arial"/>
          <w:i/>
          <w:iCs/>
          <w:color w:val="auto"/>
        </w:rPr>
        <w:t>"The medicine has not been recommended</w:t>
      </w:r>
      <w:r w:rsidRPr="00D520BF">
        <w:rPr>
          <w:rFonts w:cs="Arial"/>
          <w:b/>
          <w:bCs/>
          <w:i/>
          <w:iCs/>
          <w:color w:val="auto"/>
        </w:rPr>
        <w:t>, it has the plausible potential to be cost effective at the currently agreed price</w:t>
      </w:r>
      <w:r w:rsidRPr="00D520BF">
        <w:rPr>
          <w:rFonts w:cs="Arial"/>
          <w:i/>
          <w:iCs/>
          <w:color w:val="auto"/>
        </w:rPr>
        <w:t xml:space="preserve">, but the evidence is currently too uncertain, </w:t>
      </w:r>
      <w:r w:rsidRPr="00D520BF">
        <w:rPr>
          <w:rFonts w:cs="Arial"/>
          <w:b/>
          <w:bCs/>
          <w:i/>
          <w:iCs/>
          <w:color w:val="auto"/>
        </w:rPr>
        <w:t xml:space="preserve">and </w:t>
      </w:r>
    </w:p>
    <w:p w:rsidRPr="00D520BF" w:rsidR="00FC2363" w:rsidP="00FC2363" w:rsidRDefault="00FC2363" w14:paraId="7B55C7D9" w14:textId="77777777">
      <w:pPr>
        <w:pStyle w:val="BodyText"/>
        <w:numPr>
          <w:ilvl w:val="0"/>
          <w:numId w:val="39"/>
        </w:numPr>
        <w:jc w:val="both"/>
        <w:rPr>
          <w:rFonts w:cs="Arial"/>
          <w:i/>
          <w:iCs/>
          <w:color w:val="auto"/>
        </w:rPr>
      </w:pPr>
      <w:r w:rsidRPr="00D520BF">
        <w:rPr>
          <w:rFonts w:cs="Arial"/>
          <w:i/>
          <w:iCs/>
          <w:color w:val="auto"/>
        </w:rPr>
        <w:t>New evidence that could sufficiently support the case for recommendation is expected from ongoing or planned clinical trials, or could be collected from patients having the medicine in clinical practice, and</w:t>
      </w:r>
    </w:p>
    <w:p w:rsidRPr="00D520BF" w:rsidR="00FC2363" w:rsidP="00FC2363" w:rsidRDefault="00FC2363" w14:paraId="24E0D355" w14:textId="77777777">
      <w:pPr>
        <w:pStyle w:val="BodyText"/>
        <w:numPr>
          <w:ilvl w:val="0"/>
          <w:numId w:val="39"/>
        </w:numPr>
        <w:jc w:val="both"/>
        <w:rPr>
          <w:rFonts w:cs="Arial"/>
          <w:color w:val="auto"/>
        </w:rPr>
      </w:pPr>
      <w:r w:rsidRPr="00D520BF">
        <w:rPr>
          <w:rFonts w:cs="Arial"/>
          <w:i/>
          <w:iCs/>
          <w:color w:val="auto"/>
        </w:rPr>
        <w:t>These data could feasibly be collected within a reasonable timeframe (up to a maximum of 5 years) without undue burden</w:t>
      </w:r>
      <w:r w:rsidRPr="00D520BF">
        <w:rPr>
          <w:rFonts w:cs="Arial"/>
          <w:color w:val="auto"/>
        </w:rPr>
        <w:t>". (emphasis added)</w:t>
      </w:r>
    </w:p>
    <w:p w:rsidRPr="00D520BF" w:rsidR="00FC2363" w:rsidP="00FC2363" w:rsidRDefault="00FC2363" w14:paraId="60183553" w14:textId="77777777">
      <w:pPr>
        <w:pStyle w:val="BodyText"/>
        <w:jc w:val="both"/>
        <w:rPr>
          <w:rFonts w:cs="Arial"/>
          <w:color w:val="auto"/>
        </w:rPr>
      </w:pPr>
      <w:r w:rsidRPr="00D520BF">
        <w:rPr>
          <w:rFonts w:cs="Arial"/>
          <w:color w:val="auto"/>
        </w:rPr>
        <w:t xml:space="preserve">The Innovative Medicines Fund Principles Document also provides at Principle 3 that: </w:t>
      </w:r>
    </w:p>
    <w:p w:rsidRPr="00D520BF" w:rsidR="00FC2363" w:rsidP="00FC2363" w:rsidRDefault="00FC2363" w14:paraId="1BC29C01" w14:textId="54E4EC8F">
      <w:pPr>
        <w:pStyle w:val="BodyText"/>
        <w:ind w:left="720"/>
        <w:jc w:val="both"/>
        <w:rPr>
          <w:rFonts w:cs="Arial"/>
          <w:i/>
          <w:iCs/>
          <w:color w:val="auto"/>
        </w:rPr>
      </w:pPr>
      <w:r w:rsidRPr="00D520BF">
        <w:rPr>
          <w:rFonts w:cs="Arial"/>
          <w:color w:val="auto"/>
        </w:rPr>
        <w:lastRenderedPageBreak/>
        <w:t>"</w:t>
      </w:r>
      <w:r w:rsidRPr="00D520BF">
        <w:rPr>
          <w:rFonts w:cs="Arial"/>
          <w:i/>
          <w:iCs/>
          <w:color w:val="auto"/>
        </w:rPr>
        <w:t xml:space="preserve">Recommendations with managed access should be reserved for medicines that (a) demonstrate plausible potential to be cost-effective; and (b) are priced responsibly during the </w:t>
      </w:r>
      <w:r w:rsidR="007E6CB7">
        <w:rPr>
          <w:rFonts w:cs="Arial"/>
          <w:i/>
          <w:iCs/>
          <w:color w:val="auto"/>
        </w:rPr>
        <w:t xml:space="preserve">period of </w:t>
      </w:r>
      <w:r w:rsidRPr="00D520BF">
        <w:rPr>
          <w:rFonts w:cs="Arial"/>
          <w:i/>
          <w:iCs/>
          <w:color w:val="auto"/>
        </w:rPr>
        <w:t xml:space="preserve">managed access, reflecting their uncertain cost effectiveness." </w:t>
      </w:r>
    </w:p>
    <w:p w:rsidRPr="00D520BF" w:rsidR="00FC2363" w:rsidP="00FC2363" w:rsidRDefault="00FC2363" w14:paraId="13E78697" w14:textId="4754F6AA">
      <w:pPr>
        <w:pStyle w:val="BodyText"/>
        <w:jc w:val="both"/>
        <w:rPr>
          <w:rFonts w:cs="Arial"/>
          <w:color w:val="auto"/>
        </w:rPr>
      </w:pPr>
      <w:r w:rsidRPr="00D520BF">
        <w:rPr>
          <w:rFonts w:cs="Arial"/>
          <w:color w:val="auto"/>
        </w:rPr>
        <w:t xml:space="preserve">I do not consider it arguable that the Committee failed properly </w:t>
      </w:r>
      <w:r w:rsidRPr="00D520BF" w:rsidR="00B460B3">
        <w:rPr>
          <w:rFonts w:cs="Arial"/>
          <w:color w:val="auto"/>
        </w:rPr>
        <w:t xml:space="preserve">to </w:t>
      </w:r>
      <w:r w:rsidRPr="00D520BF">
        <w:rPr>
          <w:rFonts w:cs="Arial"/>
          <w:color w:val="auto"/>
        </w:rPr>
        <w:t xml:space="preserve">apply the provisions of the managed access scheme or the Innovative Medicines Fund. </w:t>
      </w:r>
    </w:p>
    <w:p w:rsidR="00FC2363" w:rsidP="00FC2363" w:rsidRDefault="00FC2363" w14:paraId="3423197C" w14:textId="3307D23C">
      <w:pPr>
        <w:pStyle w:val="BodyText"/>
        <w:jc w:val="both"/>
        <w:rPr>
          <w:rFonts w:cs="Arial"/>
          <w:color w:val="auto"/>
        </w:rPr>
      </w:pPr>
      <w:r w:rsidRPr="00D520BF">
        <w:rPr>
          <w:rFonts w:cs="Arial"/>
          <w:color w:val="auto"/>
        </w:rPr>
        <w:t xml:space="preserve">Fundamentally, your proposition that </w:t>
      </w:r>
      <w:proofErr w:type="spellStart"/>
      <w:r w:rsidRPr="00D520BF">
        <w:rPr>
          <w:rFonts w:cs="Arial"/>
          <w:color w:val="auto"/>
        </w:rPr>
        <w:t>lecanemab</w:t>
      </w:r>
      <w:proofErr w:type="spellEnd"/>
      <w:r w:rsidRPr="00D520BF">
        <w:rPr>
          <w:rFonts w:cs="Arial"/>
          <w:color w:val="auto"/>
        </w:rPr>
        <w:t xml:space="preserve"> be recommended with managed access falls as the Committee did not consider there to be a plausible potential for </w:t>
      </w:r>
      <w:proofErr w:type="spellStart"/>
      <w:r w:rsidRPr="00D520BF">
        <w:rPr>
          <w:rFonts w:cs="Arial"/>
          <w:color w:val="auto"/>
        </w:rPr>
        <w:t>lecanemab</w:t>
      </w:r>
      <w:proofErr w:type="spellEnd"/>
      <w:r w:rsidRPr="00D520BF">
        <w:rPr>
          <w:rFonts w:cs="Arial"/>
          <w:color w:val="auto"/>
        </w:rPr>
        <w:t xml:space="preserve"> to be cost-effective</w:t>
      </w:r>
      <w:r w:rsidR="00B460B3">
        <w:rPr>
          <w:rFonts w:cs="Arial"/>
          <w:color w:val="auto"/>
        </w:rPr>
        <w:t xml:space="preserve"> at the currently agreed price</w:t>
      </w:r>
      <w:r w:rsidRPr="00D520BF">
        <w:rPr>
          <w:rFonts w:cs="Arial"/>
          <w:color w:val="auto"/>
        </w:rPr>
        <w:t xml:space="preserve">. It was not therefore open to the Committee to reach any other conclusion. This is explained at paragraph 3.29 of the FDG. </w:t>
      </w:r>
    </w:p>
    <w:p w:rsidRPr="00D520BF" w:rsidR="005F25B1" w:rsidP="005F25B1" w:rsidRDefault="005F25B1" w14:paraId="1BC639D9" w14:textId="32F7505C">
      <w:pPr>
        <w:pStyle w:val="BodyText"/>
        <w:jc w:val="both"/>
        <w:rPr>
          <w:rFonts w:cs="Arial"/>
          <w:color w:val="auto"/>
        </w:rPr>
      </w:pPr>
      <w:r w:rsidRPr="00D520BF">
        <w:rPr>
          <w:rFonts w:cs="Arial"/>
          <w:color w:val="auto"/>
        </w:rPr>
        <w:t xml:space="preserve">Consequently, I am not minded </w:t>
      </w:r>
      <w:proofErr w:type="gramStart"/>
      <w:r w:rsidRPr="00D520BF">
        <w:rPr>
          <w:rFonts w:cs="Arial"/>
          <w:color w:val="auto"/>
        </w:rPr>
        <w:t>to refer</w:t>
      </w:r>
      <w:proofErr w:type="gramEnd"/>
      <w:r w:rsidRPr="00D520BF">
        <w:rPr>
          <w:rFonts w:cs="Arial"/>
          <w:color w:val="auto"/>
        </w:rPr>
        <w:t xml:space="preserve"> this appeal </w:t>
      </w:r>
      <w:proofErr w:type="gramStart"/>
      <w:r w:rsidRPr="00D520BF">
        <w:rPr>
          <w:rFonts w:cs="Arial"/>
          <w:color w:val="auto"/>
        </w:rPr>
        <w:t>point</w:t>
      </w:r>
      <w:proofErr w:type="gramEnd"/>
      <w:r w:rsidRPr="00D520BF">
        <w:rPr>
          <w:rFonts w:cs="Arial"/>
          <w:color w:val="auto"/>
        </w:rPr>
        <w:t xml:space="preserve"> to the Appeal Panel. If you are minded </w:t>
      </w:r>
      <w:proofErr w:type="gramStart"/>
      <w:r w:rsidRPr="00D520BF">
        <w:rPr>
          <w:rFonts w:cs="Arial"/>
          <w:color w:val="auto"/>
        </w:rPr>
        <w:t>to pursue</w:t>
      </w:r>
      <w:proofErr w:type="gramEnd"/>
      <w:r w:rsidRPr="00D520BF">
        <w:rPr>
          <w:rFonts w:cs="Arial"/>
          <w:color w:val="auto"/>
        </w:rPr>
        <w:t xml:space="preserve"> this appeal </w:t>
      </w:r>
      <w:proofErr w:type="gramStart"/>
      <w:r w:rsidRPr="00D520BF">
        <w:rPr>
          <w:rFonts w:cs="Arial"/>
          <w:color w:val="auto"/>
        </w:rPr>
        <w:t>point</w:t>
      </w:r>
      <w:proofErr w:type="gramEnd"/>
      <w:r w:rsidRPr="00D520BF">
        <w:rPr>
          <w:rFonts w:cs="Arial"/>
          <w:color w:val="auto"/>
        </w:rPr>
        <w:t xml:space="preserve"> at final scrutiny, I would invite you to provide further details of </w:t>
      </w:r>
      <w:r w:rsidRPr="005F25B1">
        <w:rPr>
          <w:rFonts w:cs="Arial"/>
          <w:color w:val="auto"/>
        </w:rPr>
        <w:t xml:space="preserve">evidence that could </w:t>
      </w:r>
      <w:r>
        <w:rPr>
          <w:rFonts w:cs="Arial"/>
          <w:color w:val="auto"/>
        </w:rPr>
        <w:t xml:space="preserve">be generated through managed access that could </w:t>
      </w:r>
      <w:r w:rsidRPr="005F25B1">
        <w:rPr>
          <w:rFonts w:cs="Arial"/>
          <w:color w:val="auto"/>
        </w:rPr>
        <w:t xml:space="preserve">sufficiently support the case for recommendation </w:t>
      </w:r>
      <w:r>
        <w:rPr>
          <w:rFonts w:cs="Arial"/>
          <w:color w:val="auto"/>
        </w:rPr>
        <w:t xml:space="preserve">of </w:t>
      </w:r>
      <w:proofErr w:type="spellStart"/>
      <w:r>
        <w:rPr>
          <w:rFonts w:cs="Arial"/>
          <w:color w:val="auto"/>
        </w:rPr>
        <w:t>lecanemab</w:t>
      </w:r>
      <w:proofErr w:type="spellEnd"/>
      <w:r>
        <w:rPr>
          <w:rFonts w:cs="Arial"/>
          <w:color w:val="auto"/>
        </w:rPr>
        <w:t xml:space="preserve"> as </w:t>
      </w:r>
      <w:r w:rsidRPr="005F25B1">
        <w:rPr>
          <w:rFonts w:cs="Arial"/>
          <w:color w:val="auto"/>
        </w:rPr>
        <w:t>be</w:t>
      </w:r>
      <w:r w:rsidR="00CF5142">
        <w:rPr>
          <w:rFonts w:cs="Arial"/>
          <w:color w:val="auto"/>
        </w:rPr>
        <w:t>ing</w:t>
      </w:r>
      <w:r w:rsidRPr="005F25B1">
        <w:rPr>
          <w:rFonts w:cs="Arial"/>
          <w:color w:val="auto"/>
        </w:rPr>
        <w:t xml:space="preserve"> cost effective at the currently agreed price</w:t>
      </w:r>
      <w:r>
        <w:rPr>
          <w:rFonts w:cs="Arial"/>
          <w:color w:val="auto"/>
        </w:rPr>
        <w:t>.</w:t>
      </w:r>
    </w:p>
    <w:p w:rsidRPr="00D520BF" w:rsidR="00032A36" w:rsidP="00B71D0C" w:rsidRDefault="00DA3B73" w14:paraId="38BDBF06" w14:textId="08736C2B">
      <w:pPr>
        <w:spacing w:before="240" w:after="240" w:line="276" w:lineRule="auto"/>
        <w:jc w:val="both"/>
        <w:rPr>
          <w:rFonts w:cs="Arial"/>
          <w:b/>
          <w:color w:val="auto"/>
          <w:u w:val="single"/>
        </w:rPr>
      </w:pPr>
      <w:r w:rsidRPr="00D520BF">
        <w:rPr>
          <w:rFonts w:cs="Arial"/>
          <w:b/>
          <w:color w:val="auto"/>
          <w:u w:val="single"/>
        </w:rPr>
        <w:t xml:space="preserve">Appeal </w:t>
      </w:r>
      <w:proofErr w:type="gramStart"/>
      <w:r w:rsidRPr="00D520BF">
        <w:rPr>
          <w:rFonts w:cs="Arial"/>
          <w:b/>
          <w:color w:val="auto"/>
          <w:u w:val="single"/>
        </w:rPr>
        <w:t>point</w:t>
      </w:r>
      <w:proofErr w:type="gramEnd"/>
      <w:r w:rsidRPr="00D520BF">
        <w:rPr>
          <w:rFonts w:cs="Arial"/>
          <w:b/>
          <w:color w:val="auto"/>
          <w:u w:val="single"/>
        </w:rPr>
        <w:t xml:space="preserve"> 1(a).5: </w:t>
      </w:r>
      <w:r w:rsidRPr="00D520BF" w:rsidR="00B71D0C">
        <w:rPr>
          <w:rFonts w:cs="Arial"/>
          <w:b/>
          <w:color w:val="auto"/>
          <w:u w:val="single"/>
        </w:rPr>
        <w:t>The Committee has omitted consideration of health inequalities from its consideration of the appropriate ICER threshold for this appraisal.</w:t>
      </w:r>
    </w:p>
    <w:p w:rsidRPr="00D520BF" w:rsidR="00FC2363" w:rsidP="00FC2363" w:rsidRDefault="00FC2363" w14:paraId="68F10090" w14:textId="77777777">
      <w:pPr>
        <w:pStyle w:val="BodyText"/>
        <w:jc w:val="both"/>
        <w:rPr>
          <w:rFonts w:cs="Arial"/>
        </w:rPr>
      </w:pPr>
      <w:r w:rsidRPr="00D520BF">
        <w:rPr>
          <w:rFonts w:cs="Arial"/>
        </w:rPr>
        <w:t xml:space="preserve">I am not minded </w:t>
      </w:r>
      <w:proofErr w:type="gramStart"/>
      <w:r w:rsidRPr="00D520BF">
        <w:rPr>
          <w:rFonts w:cs="Arial"/>
        </w:rPr>
        <w:t>to refer</w:t>
      </w:r>
      <w:proofErr w:type="gramEnd"/>
      <w:r w:rsidRPr="00D520BF">
        <w:rPr>
          <w:rFonts w:cs="Arial"/>
        </w:rPr>
        <w:t xml:space="preserve"> this appeal </w:t>
      </w:r>
      <w:proofErr w:type="gramStart"/>
      <w:r w:rsidRPr="00D520BF">
        <w:rPr>
          <w:rFonts w:cs="Arial"/>
        </w:rPr>
        <w:t>point</w:t>
      </w:r>
      <w:proofErr w:type="gramEnd"/>
      <w:r w:rsidRPr="00D520BF">
        <w:rPr>
          <w:rFonts w:cs="Arial"/>
        </w:rPr>
        <w:t xml:space="preserve"> to the Appeal Panel. </w:t>
      </w:r>
    </w:p>
    <w:p w:rsidRPr="00D520BF" w:rsidR="00FC2363" w:rsidP="00FC2363" w:rsidRDefault="00FC2363" w14:paraId="00AF7772" w14:textId="3420DABA">
      <w:pPr>
        <w:pStyle w:val="BodyText"/>
        <w:jc w:val="both"/>
        <w:rPr>
          <w:rFonts w:cs="Arial"/>
        </w:rPr>
      </w:pPr>
      <w:r w:rsidRPr="00D520BF">
        <w:rPr>
          <w:rFonts w:cs="Arial"/>
        </w:rPr>
        <w:t>Paragraph 6.3.5</w:t>
      </w:r>
      <w:r w:rsidR="004E7BE1">
        <w:rPr>
          <w:rFonts w:cs="Arial"/>
        </w:rPr>
        <w:t xml:space="preserve"> of the Manual</w:t>
      </w:r>
      <w:r w:rsidRPr="00D520BF">
        <w:rPr>
          <w:rFonts w:cs="Arial"/>
        </w:rPr>
        <w:t>, which is set out in your appeal letter, provides as follows:</w:t>
      </w:r>
    </w:p>
    <w:p w:rsidRPr="00D520BF" w:rsidR="00FC2363" w:rsidP="00FC2363" w:rsidRDefault="00FC2363" w14:paraId="66860FCD" w14:textId="4454E0DB">
      <w:pPr>
        <w:pStyle w:val="BodyText"/>
        <w:ind w:left="360"/>
        <w:jc w:val="both"/>
        <w:rPr>
          <w:rFonts w:cs="Arial"/>
          <w:i/>
          <w:iCs/>
        </w:rPr>
      </w:pPr>
      <w:r w:rsidRPr="00D520BF">
        <w:rPr>
          <w:rFonts w:cs="Arial"/>
          <w:i/>
          <w:iCs/>
        </w:rPr>
        <w:t xml:space="preserve">"Above a most plausible ICER of £20,000 per QALY gained, or £100,000 per QALY gained for highly specialised technologies, decisions about the acceptability of the technology as an effective use of NHS resources will specifically consider the following factors: </w:t>
      </w:r>
    </w:p>
    <w:p w:rsidRPr="00D520BF" w:rsidR="00FC2363" w:rsidP="00FC2363" w:rsidRDefault="00FC2363" w14:paraId="40191EF0" w14:textId="77777777">
      <w:pPr>
        <w:pStyle w:val="BodyText"/>
        <w:numPr>
          <w:ilvl w:val="0"/>
          <w:numId w:val="2"/>
        </w:numPr>
        <w:tabs>
          <w:tab w:val="clear" w:pos="720"/>
          <w:tab w:val="num" w:pos="1080"/>
        </w:tabs>
        <w:ind w:left="1080"/>
        <w:jc w:val="both"/>
        <w:rPr>
          <w:rFonts w:cs="Arial"/>
          <w:i/>
          <w:iCs/>
        </w:rPr>
      </w:pPr>
      <w:r w:rsidRPr="00D520BF">
        <w:rPr>
          <w:rFonts w:cs="Arial"/>
          <w:i/>
          <w:iCs/>
        </w:rPr>
        <w:t xml:space="preserve">the degree of certainty and uncertainty around the ICER </w:t>
      </w:r>
    </w:p>
    <w:p w:rsidRPr="00D520BF" w:rsidR="00FC2363" w:rsidP="00FC2363" w:rsidRDefault="00FC2363" w14:paraId="1EC4BEF9" w14:textId="77777777">
      <w:pPr>
        <w:pStyle w:val="BodyText"/>
        <w:numPr>
          <w:ilvl w:val="0"/>
          <w:numId w:val="2"/>
        </w:numPr>
        <w:tabs>
          <w:tab w:val="clear" w:pos="720"/>
          <w:tab w:val="num" w:pos="1080"/>
        </w:tabs>
        <w:ind w:left="1080"/>
        <w:jc w:val="both"/>
        <w:rPr>
          <w:rFonts w:cs="Arial"/>
          <w:i/>
          <w:iCs/>
        </w:rPr>
      </w:pPr>
      <w:r w:rsidRPr="00D520BF">
        <w:rPr>
          <w:rFonts w:cs="Arial"/>
          <w:i/>
          <w:iCs/>
        </w:rPr>
        <w:t xml:space="preserve">aspects that relate to uncaptured benefits and non-health factors </w:t>
      </w:r>
    </w:p>
    <w:p w:rsidRPr="00D520BF" w:rsidR="00FC2363" w:rsidP="00FC2363" w:rsidRDefault="00FC2363" w14:paraId="7CDF0B81" w14:textId="0742F872">
      <w:pPr>
        <w:pStyle w:val="BodyText"/>
        <w:numPr>
          <w:ilvl w:val="0"/>
          <w:numId w:val="2"/>
        </w:numPr>
        <w:tabs>
          <w:tab w:val="clear" w:pos="720"/>
          <w:tab w:val="num" w:pos="1080"/>
        </w:tabs>
        <w:ind w:left="1080"/>
        <w:jc w:val="both"/>
        <w:rPr>
          <w:rFonts w:cs="Arial"/>
          <w:i/>
          <w:iCs/>
        </w:rPr>
      </w:pPr>
      <w:r w:rsidRPr="00D520BF">
        <w:rPr>
          <w:rFonts w:cs="Arial"/>
          <w:i/>
          <w:iCs/>
        </w:rPr>
        <w:t xml:space="preserve">aspects that relate to health inequalities". </w:t>
      </w:r>
    </w:p>
    <w:p w:rsidRPr="00D520BF" w:rsidR="00FC2363" w:rsidP="00FC2363" w:rsidRDefault="00FC2363" w14:paraId="13C944C9" w14:textId="79DF9608">
      <w:pPr>
        <w:pStyle w:val="BodyText"/>
        <w:jc w:val="both"/>
        <w:rPr>
          <w:rFonts w:cs="Arial"/>
        </w:rPr>
      </w:pPr>
      <w:r w:rsidRPr="00D520BF">
        <w:rPr>
          <w:rFonts w:cs="Arial"/>
        </w:rPr>
        <w:t xml:space="preserve">As I understand the appeal point, the Company relies on this paragraph to argue that the Committee should </w:t>
      </w:r>
      <w:proofErr w:type="gramStart"/>
      <w:r w:rsidRPr="00D520BF">
        <w:rPr>
          <w:rFonts w:cs="Arial"/>
        </w:rPr>
        <w:t>have, and</w:t>
      </w:r>
      <w:proofErr w:type="gramEnd"/>
      <w:r w:rsidRPr="00D520BF">
        <w:rPr>
          <w:rFonts w:cs="Arial"/>
        </w:rPr>
        <w:t xml:space="preserve"> did not 'specifically consider' health inequalities when determining that the most appropriate ICER threshold should not depart from the standard threshold of around £20,000 per QALY gained.  </w:t>
      </w:r>
    </w:p>
    <w:p w:rsidRPr="00D520BF" w:rsidR="00FC2363" w:rsidP="00FC2363" w:rsidRDefault="00FC2363" w14:paraId="2B607C4E" w14:textId="77777777">
      <w:pPr>
        <w:pStyle w:val="BodyText"/>
        <w:jc w:val="both"/>
        <w:rPr>
          <w:rFonts w:cs="Arial"/>
        </w:rPr>
      </w:pPr>
      <w:r w:rsidRPr="00D520BF">
        <w:rPr>
          <w:rFonts w:cs="Arial"/>
        </w:rPr>
        <w:t>My provisional view is that this argument arises from a misreading of paragraph 6.3.5 of the Manual. It applies "</w:t>
      </w:r>
      <w:r w:rsidRPr="00D520BF">
        <w:rPr>
          <w:rFonts w:cs="Arial"/>
          <w:i/>
          <w:iCs/>
          <w:u w:val="single"/>
        </w:rPr>
        <w:t>above</w:t>
      </w:r>
      <w:r w:rsidRPr="00D520BF">
        <w:rPr>
          <w:rFonts w:cs="Arial"/>
          <w:i/>
          <w:iCs/>
        </w:rPr>
        <w:t xml:space="preserve"> a most plausible ICER of £20,000 per QALY gained</w:t>
      </w:r>
      <w:r w:rsidRPr="00D520BF">
        <w:rPr>
          <w:rFonts w:cs="Arial"/>
        </w:rPr>
        <w:t xml:space="preserve">" (emphasis added). Paragraph 3.25 of the FDG is clear that, for the reasons explained in that paragraph, the Committee concluded that an acceptable ICER would be around £20,000 per QALY gained, not above that usual threshold. </w:t>
      </w:r>
    </w:p>
    <w:p w:rsidRPr="00D520BF" w:rsidR="00FC2363" w:rsidP="00FC2363" w:rsidRDefault="00FC2363" w14:paraId="2F8D9966" w14:textId="77777777">
      <w:pPr>
        <w:pStyle w:val="BodyText"/>
        <w:jc w:val="both"/>
        <w:rPr>
          <w:rFonts w:cs="Arial"/>
        </w:rPr>
      </w:pPr>
      <w:r w:rsidRPr="00D520BF">
        <w:rPr>
          <w:rFonts w:cs="Arial"/>
        </w:rPr>
        <w:t>This is in line with:</w:t>
      </w:r>
    </w:p>
    <w:p w:rsidRPr="00D520BF" w:rsidR="00FC2363" w:rsidP="00FC2363" w:rsidRDefault="00FC2363" w14:paraId="6642A875" w14:textId="77777777">
      <w:pPr>
        <w:pStyle w:val="BodyText"/>
        <w:ind w:left="720"/>
        <w:jc w:val="both"/>
        <w:rPr>
          <w:rFonts w:cs="Arial"/>
        </w:rPr>
      </w:pPr>
      <w:r w:rsidRPr="00D520BF">
        <w:rPr>
          <w:rFonts w:cs="Arial"/>
        </w:rPr>
        <w:t>paragraph 6.3.4 of the Manual, which provides that "</w:t>
      </w:r>
      <w:r w:rsidRPr="00D520BF">
        <w:rPr>
          <w:rFonts w:cs="Arial"/>
          <w:b/>
          <w:bCs/>
          <w:i/>
          <w:iCs/>
          <w:u w:val="single"/>
        </w:rPr>
        <w:t>below</w:t>
      </w:r>
      <w:r w:rsidRPr="00D520BF">
        <w:rPr>
          <w:rFonts w:cs="Arial"/>
          <w:i/>
          <w:iCs/>
        </w:rPr>
        <w:t xml:space="preserve"> a most plausible ICER of £20,000 per QALY gained … the decision to recommend a technology is normally based on the cost-effectiveness estimate and the acceptability of a technology as an effective use of NHS resources" </w:t>
      </w:r>
      <w:r w:rsidRPr="00D520BF">
        <w:rPr>
          <w:rFonts w:cs="Arial"/>
        </w:rPr>
        <w:t>(emphasis added); and</w:t>
      </w:r>
    </w:p>
    <w:p w:rsidRPr="00D520BF" w:rsidR="00FC2363" w:rsidP="00FC2363" w:rsidRDefault="00FC2363" w14:paraId="26457882" w14:textId="77777777">
      <w:pPr>
        <w:pStyle w:val="BodyText"/>
        <w:ind w:left="720"/>
        <w:jc w:val="both"/>
        <w:rPr>
          <w:rFonts w:cs="Arial"/>
        </w:rPr>
      </w:pPr>
      <w:r w:rsidRPr="00D520BF">
        <w:rPr>
          <w:rFonts w:cs="Arial"/>
        </w:rPr>
        <w:t>paragraph 6.3.7 of the Manual, which provides that "a</w:t>
      </w:r>
      <w:r w:rsidRPr="00D520BF">
        <w:rPr>
          <w:rFonts w:cs="Arial"/>
          <w:i/>
          <w:iCs/>
        </w:rPr>
        <w:t xml:space="preserve">s the ICER for a technology increases in the range of £20,000 to £30,000 per QALY gained, the committee's decisions about the </w:t>
      </w:r>
      <w:r w:rsidRPr="00D520BF">
        <w:rPr>
          <w:rFonts w:cs="Arial"/>
          <w:i/>
          <w:iCs/>
        </w:rPr>
        <w:lastRenderedPageBreak/>
        <w:t>acceptability of the technology as an effective use of NHS resources will make explicit reference to the relevant factors listed in section 6.3.5</w:t>
      </w:r>
      <w:r w:rsidRPr="00D520BF">
        <w:rPr>
          <w:rFonts w:cs="Arial"/>
        </w:rPr>
        <w:t xml:space="preserve">". </w:t>
      </w:r>
    </w:p>
    <w:p w:rsidRPr="00D520BF" w:rsidR="00FC2363" w:rsidP="00FC2363" w:rsidRDefault="00FC2363" w14:paraId="522CCB32" w14:textId="481FA798">
      <w:pPr>
        <w:pStyle w:val="BodyText"/>
        <w:jc w:val="both"/>
        <w:rPr>
          <w:rFonts w:cs="Arial"/>
        </w:rPr>
      </w:pPr>
      <w:proofErr w:type="gramStart"/>
      <w:r w:rsidRPr="00D520BF">
        <w:rPr>
          <w:rFonts w:cs="Arial"/>
        </w:rPr>
        <w:t>On the basis of</w:t>
      </w:r>
      <w:proofErr w:type="gramEnd"/>
      <w:r w:rsidRPr="00D520BF">
        <w:rPr>
          <w:rFonts w:cs="Arial"/>
        </w:rPr>
        <w:t xml:space="preserve"> the above, I do not consider that there is a requirement in the Manual for the Committee to expressly set out its consideration of health inequalities in reaching its view that the appropriate ICER threshold should not depart from around £20,000. In any event, the Committee has set out its consideration of health inequalities at paragraph 3.30 of the FDG.</w:t>
      </w:r>
    </w:p>
    <w:p w:rsidRPr="00D520BF" w:rsidR="00B71D0C" w:rsidP="00B71D0C" w:rsidRDefault="00B71D0C" w14:paraId="2F00452B" w14:textId="0CEE3753">
      <w:pPr>
        <w:spacing w:before="240" w:after="240" w:line="276" w:lineRule="auto"/>
        <w:jc w:val="both"/>
        <w:rPr>
          <w:rFonts w:cs="Arial"/>
          <w:b/>
          <w:i/>
          <w:iCs/>
          <w:color w:val="auto"/>
        </w:rPr>
      </w:pPr>
      <w:r w:rsidRPr="00D520BF">
        <w:rPr>
          <w:rFonts w:cs="Arial"/>
          <w:b/>
          <w:i/>
          <w:iCs/>
          <w:color w:val="auto"/>
        </w:rPr>
        <w:t xml:space="preserve">Ground 1(b): In making the assessment that preceded the recommendation, NICE has exceeded its powers. </w:t>
      </w:r>
    </w:p>
    <w:p w:rsidRPr="00D520BF" w:rsidR="00D36DCD" w:rsidP="00B71D0C" w:rsidRDefault="00DA3B73" w14:paraId="38C140C7" w14:textId="683C1E1C">
      <w:pPr>
        <w:spacing w:before="240" w:after="240" w:line="276" w:lineRule="auto"/>
        <w:jc w:val="both"/>
        <w:rPr>
          <w:rFonts w:cs="Arial"/>
          <w:b/>
          <w:color w:val="auto"/>
          <w:u w:val="single"/>
        </w:rPr>
      </w:pPr>
      <w:r w:rsidRPr="00D520BF">
        <w:rPr>
          <w:rFonts w:cs="Arial"/>
          <w:b/>
          <w:color w:val="auto"/>
          <w:u w:val="single"/>
        </w:rPr>
        <w:t xml:space="preserve">Appeal </w:t>
      </w:r>
      <w:proofErr w:type="gramStart"/>
      <w:r w:rsidRPr="00D520BF">
        <w:rPr>
          <w:rFonts w:cs="Arial"/>
          <w:b/>
          <w:color w:val="auto"/>
          <w:u w:val="single"/>
        </w:rPr>
        <w:t>point</w:t>
      </w:r>
      <w:proofErr w:type="gramEnd"/>
      <w:r w:rsidRPr="00D520BF">
        <w:rPr>
          <w:rFonts w:cs="Arial"/>
          <w:b/>
          <w:color w:val="auto"/>
          <w:u w:val="single"/>
        </w:rPr>
        <w:t xml:space="preserve"> 1(</w:t>
      </w:r>
      <w:r w:rsidRPr="00D520BF" w:rsidR="00B71D0C">
        <w:rPr>
          <w:rFonts w:cs="Arial"/>
          <w:b/>
          <w:color w:val="auto"/>
          <w:u w:val="single"/>
        </w:rPr>
        <w:t>b</w:t>
      </w:r>
      <w:r w:rsidRPr="00D520BF">
        <w:rPr>
          <w:rFonts w:cs="Arial"/>
          <w:b/>
          <w:color w:val="auto"/>
          <w:u w:val="single"/>
        </w:rPr>
        <w:t>).</w:t>
      </w:r>
      <w:r w:rsidRPr="00D520BF" w:rsidR="00B71D0C">
        <w:rPr>
          <w:rFonts w:cs="Arial"/>
          <w:b/>
          <w:color w:val="auto"/>
          <w:u w:val="single"/>
        </w:rPr>
        <w:t>1</w:t>
      </w:r>
      <w:r w:rsidRPr="00D520BF">
        <w:rPr>
          <w:rFonts w:cs="Arial"/>
          <w:b/>
          <w:color w:val="auto"/>
          <w:u w:val="single"/>
        </w:rPr>
        <w:t xml:space="preserve">: </w:t>
      </w:r>
      <w:r w:rsidRPr="00D520BF" w:rsidR="00B71D0C">
        <w:rPr>
          <w:rFonts w:cs="Arial"/>
          <w:b/>
          <w:color w:val="auto"/>
          <w:u w:val="single"/>
        </w:rPr>
        <w:t xml:space="preserve">The Committee has concluded that the changes in NHS service delivery that would be required to implement </w:t>
      </w:r>
      <w:proofErr w:type="spellStart"/>
      <w:r w:rsidRPr="00D520BF" w:rsidR="00B71D0C">
        <w:rPr>
          <w:rFonts w:cs="Arial"/>
          <w:b/>
          <w:color w:val="auto"/>
          <w:u w:val="single"/>
        </w:rPr>
        <w:t>lecanemab</w:t>
      </w:r>
      <w:proofErr w:type="spellEnd"/>
      <w:r w:rsidRPr="00D520BF" w:rsidR="00B71D0C">
        <w:rPr>
          <w:rFonts w:cs="Arial"/>
          <w:b/>
          <w:color w:val="auto"/>
          <w:u w:val="single"/>
        </w:rPr>
        <w:t xml:space="preserve"> therapy should preclude access, outside its remit and without conducting an adequate investigation. </w:t>
      </w:r>
    </w:p>
    <w:p w:rsidRPr="00D520BF" w:rsidR="006F6F07" w:rsidP="006F6F07" w:rsidRDefault="006F6F07" w14:paraId="6FE65D2C" w14:textId="6955858A">
      <w:pPr>
        <w:pStyle w:val="BodyText"/>
        <w:jc w:val="both"/>
        <w:rPr>
          <w:rFonts w:cs="Arial"/>
          <w:color w:val="auto"/>
        </w:rPr>
      </w:pPr>
      <w:r w:rsidRPr="00D520BF">
        <w:rPr>
          <w:rFonts w:cs="Arial"/>
          <w:color w:val="auto"/>
        </w:rPr>
        <w:t xml:space="preserve">As I understand the appeal point, the Company's argument is that the references to the impact on NHS resources of recommending </w:t>
      </w:r>
      <w:proofErr w:type="spellStart"/>
      <w:r w:rsidRPr="00D520BF">
        <w:rPr>
          <w:rFonts w:cs="Arial"/>
          <w:color w:val="auto"/>
        </w:rPr>
        <w:t>lecanemab</w:t>
      </w:r>
      <w:proofErr w:type="spellEnd"/>
      <w:r w:rsidRPr="00D520BF">
        <w:rPr>
          <w:rFonts w:cs="Arial"/>
          <w:color w:val="auto"/>
        </w:rPr>
        <w:t xml:space="preserve"> in paragraphs 3.28 and 3.</w:t>
      </w:r>
      <w:r w:rsidRPr="00D520BF" w:rsidR="00D520BF">
        <w:rPr>
          <w:rFonts w:cs="Arial"/>
          <w:color w:val="auto"/>
        </w:rPr>
        <w:t>32</w:t>
      </w:r>
      <w:r w:rsidRPr="00D520BF">
        <w:rPr>
          <w:rFonts w:cs="Arial"/>
          <w:color w:val="auto"/>
        </w:rPr>
        <w:t xml:space="preserve"> of the FDG are evidence of procedural unfairness.</w:t>
      </w:r>
    </w:p>
    <w:p w:rsidRPr="00D520BF" w:rsidR="006F6F07" w:rsidP="006F6F07" w:rsidRDefault="006F6F07" w14:paraId="73914E9A" w14:textId="77777777">
      <w:pPr>
        <w:pStyle w:val="BodyText"/>
        <w:jc w:val="both"/>
        <w:rPr>
          <w:rFonts w:cs="Arial"/>
          <w:color w:val="auto"/>
        </w:rPr>
      </w:pPr>
      <w:r w:rsidRPr="00D520BF">
        <w:rPr>
          <w:rFonts w:cs="Arial"/>
          <w:color w:val="auto"/>
        </w:rPr>
        <w:t xml:space="preserve">Paragraph 6.2.33 of the Manual provides as follows: </w:t>
      </w:r>
    </w:p>
    <w:p w:rsidRPr="00D520BF" w:rsidR="006F6F07" w:rsidP="006F6F07" w:rsidRDefault="007E6CB7" w14:paraId="28816042" w14:textId="4155F928">
      <w:pPr>
        <w:pStyle w:val="BodyText"/>
        <w:ind w:left="720"/>
        <w:jc w:val="both"/>
        <w:rPr>
          <w:rFonts w:cs="Arial"/>
          <w:color w:val="auto"/>
        </w:rPr>
      </w:pPr>
      <w:r>
        <w:rPr>
          <w:rFonts w:cs="Arial"/>
          <w:i/>
          <w:iCs/>
          <w:color w:val="auto"/>
        </w:rPr>
        <w:t>"</w:t>
      </w:r>
      <w:r w:rsidRPr="00D520BF" w:rsidR="006F6F07">
        <w:rPr>
          <w:rFonts w:cs="Arial"/>
          <w:i/>
          <w:iCs/>
          <w:color w:val="auto"/>
        </w:rPr>
        <w:t xml:space="preserve">When considering uncertainty, the committee should take into account the likelihood of decision error and its consequences for patients and the NHS. There should be an explicit reference to the potential benefits and risks to patients based on the level of decision uncertainty and whether this can or cannot be mitigated. The committee should also consider the risks to the NHS of using the technology, based on the most plausible ICER </w:t>
      </w:r>
      <w:r w:rsidRPr="00D520BF" w:rsidR="006F6F07">
        <w:rPr>
          <w:rFonts w:cs="Arial"/>
          <w:b/>
          <w:bCs/>
          <w:i/>
          <w:iCs/>
          <w:color w:val="auto"/>
        </w:rPr>
        <w:t>and the impact of adopting the technology on NHS resources</w:t>
      </w:r>
      <w:r w:rsidRPr="00D520BF" w:rsidR="006F6F07">
        <w:rPr>
          <w:rFonts w:cs="Arial"/>
          <w:i/>
          <w:iCs/>
          <w:color w:val="auto"/>
        </w:rPr>
        <w:t>.</w:t>
      </w:r>
      <w:r>
        <w:rPr>
          <w:rFonts w:cs="Arial"/>
          <w:i/>
          <w:iCs/>
          <w:color w:val="auto"/>
        </w:rPr>
        <w:t>"</w:t>
      </w:r>
      <w:r w:rsidRPr="00D520BF" w:rsidR="006F6F07">
        <w:rPr>
          <w:rFonts w:cs="Arial"/>
          <w:color w:val="auto"/>
        </w:rPr>
        <w:t xml:space="preserve"> (emphasis added)</w:t>
      </w:r>
    </w:p>
    <w:p w:rsidRPr="00D520BF" w:rsidR="006F6F07" w:rsidP="006F6F07" w:rsidRDefault="006F6F07" w14:paraId="065696A0" w14:textId="44EBB007">
      <w:pPr>
        <w:pStyle w:val="BodyText"/>
        <w:jc w:val="both"/>
        <w:rPr>
          <w:rFonts w:cs="Arial"/>
          <w:color w:val="auto"/>
        </w:rPr>
      </w:pPr>
      <w:r w:rsidRPr="00D520BF">
        <w:rPr>
          <w:rFonts w:cs="Arial"/>
          <w:color w:val="auto"/>
        </w:rPr>
        <w:t xml:space="preserve">In </w:t>
      </w:r>
      <w:r w:rsidR="00AA2DD9">
        <w:rPr>
          <w:rFonts w:cs="Arial"/>
          <w:color w:val="auto"/>
        </w:rPr>
        <w:t xml:space="preserve">both </w:t>
      </w:r>
      <w:r w:rsidRPr="00D520BF">
        <w:rPr>
          <w:rFonts w:cs="Arial"/>
          <w:color w:val="auto"/>
        </w:rPr>
        <w:t>paragraph</w:t>
      </w:r>
      <w:r w:rsidR="00AA2DD9">
        <w:rPr>
          <w:rFonts w:cs="Arial"/>
          <w:color w:val="auto"/>
        </w:rPr>
        <w:t>s</w:t>
      </w:r>
      <w:r w:rsidRPr="00D520BF">
        <w:rPr>
          <w:rFonts w:cs="Arial"/>
          <w:color w:val="auto"/>
        </w:rPr>
        <w:t xml:space="preserve"> 3.2</w:t>
      </w:r>
      <w:r w:rsidRPr="00D520BF" w:rsidR="00D520BF">
        <w:rPr>
          <w:rFonts w:cs="Arial"/>
          <w:color w:val="auto"/>
        </w:rPr>
        <w:t>8</w:t>
      </w:r>
      <w:r w:rsidR="00AA2DD9">
        <w:rPr>
          <w:rFonts w:cs="Arial"/>
          <w:color w:val="auto"/>
        </w:rPr>
        <w:t xml:space="preserve"> and 3.32</w:t>
      </w:r>
      <w:r w:rsidRPr="00D520BF">
        <w:rPr>
          <w:rFonts w:cs="Arial"/>
          <w:color w:val="auto"/>
        </w:rPr>
        <w:t xml:space="preserve"> of the FDG, the Committee notes that substantial resources would be needed to implement access to </w:t>
      </w:r>
      <w:proofErr w:type="spellStart"/>
      <w:r w:rsidRPr="00D520BF" w:rsidR="00D520BF">
        <w:rPr>
          <w:rFonts w:cs="Arial"/>
          <w:color w:val="auto"/>
        </w:rPr>
        <w:t>lecanemab</w:t>
      </w:r>
      <w:proofErr w:type="spellEnd"/>
      <w:r w:rsidRPr="00D520BF">
        <w:rPr>
          <w:rFonts w:cs="Arial"/>
          <w:color w:val="auto"/>
        </w:rPr>
        <w:t xml:space="preserve"> in the NHS and that this may affect the provision of other services, in the context of its consideration of decision risk, in line with paragraph 6.2.33 of the Manual.</w:t>
      </w:r>
      <w:r w:rsidR="00B731CD">
        <w:rPr>
          <w:rFonts w:cs="Arial"/>
          <w:color w:val="auto"/>
        </w:rPr>
        <w:t xml:space="preserve">  In paragraph 3.31 of the FDG, the Committee records the stakeholder concern raised that the substantial investment requirement may be a potential uncaptured harm of the technology, and then expressly does not reach a conclusion on the impact of uncaptured benefits and costs.</w:t>
      </w:r>
    </w:p>
    <w:p w:rsidRPr="00D520BF" w:rsidR="006F6F07" w:rsidP="006F6F07" w:rsidRDefault="006F6F07" w14:paraId="43CE8537" w14:textId="2452CE4A">
      <w:pPr>
        <w:pStyle w:val="BodyText"/>
        <w:jc w:val="both"/>
        <w:rPr>
          <w:rFonts w:cs="Arial"/>
        </w:rPr>
      </w:pPr>
      <w:r w:rsidRPr="00D520BF">
        <w:rPr>
          <w:rFonts w:cs="Arial"/>
          <w:color w:val="auto"/>
        </w:rPr>
        <w:t xml:space="preserve">I do not consider it arguable that </w:t>
      </w:r>
      <w:r w:rsidR="00B731CD">
        <w:rPr>
          <w:rFonts w:cs="Arial"/>
          <w:color w:val="auto"/>
        </w:rPr>
        <w:t>any</w:t>
      </w:r>
      <w:r w:rsidRPr="00D520BF">
        <w:rPr>
          <w:rFonts w:cs="Arial"/>
          <w:color w:val="auto"/>
        </w:rPr>
        <w:t xml:space="preserve"> of these references demonstrate procedural unfairness.  </w:t>
      </w:r>
    </w:p>
    <w:p w:rsidRPr="00D520BF" w:rsidR="00B62869" w:rsidP="00B62869" w:rsidRDefault="007A7F07" w14:paraId="25FB955A" w14:textId="598FEDE6">
      <w:pPr>
        <w:spacing w:before="240" w:after="240" w:line="276" w:lineRule="auto"/>
        <w:jc w:val="both"/>
        <w:rPr>
          <w:rFonts w:cs="Arial"/>
          <w:b/>
          <w:i/>
          <w:color w:val="auto"/>
        </w:rPr>
      </w:pPr>
      <w:r w:rsidRPr="00D520BF">
        <w:rPr>
          <w:rFonts w:cs="Arial"/>
          <w:b/>
          <w:i/>
          <w:color w:val="auto"/>
        </w:rPr>
        <w:t>G</w:t>
      </w:r>
      <w:r w:rsidRPr="00D520BF" w:rsidR="00491045">
        <w:rPr>
          <w:rFonts w:cs="Arial"/>
          <w:b/>
          <w:i/>
          <w:color w:val="auto"/>
        </w:rPr>
        <w:t xml:space="preserve">round 2: </w:t>
      </w:r>
      <w:r w:rsidRPr="00D520BF" w:rsidR="00B62869">
        <w:rPr>
          <w:rFonts w:cs="Arial"/>
          <w:b/>
          <w:i/>
          <w:color w:val="auto"/>
        </w:rPr>
        <w:t>the recommendation is unreasonable in the light of the evidence submitted to NIC</w:t>
      </w:r>
      <w:r w:rsidR="007E6CB7">
        <w:rPr>
          <w:rFonts w:cs="Arial"/>
          <w:b/>
          <w:i/>
          <w:color w:val="auto"/>
        </w:rPr>
        <w:t>E.</w:t>
      </w:r>
    </w:p>
    <w:p w:rsidRPr="00D520BF" w:rsidR="00491045" w:rsidP="00B71D0C" w:rsidRDefault="00B62869" w14:paraId="2664B26B" w14:textId="24BD8EFD">
      <w:pPr>
        <w:pStyle w:val="Paragraph"/>
        <w:numPr>
          <w:ilvl w:val="0"/>
          <w:numId w:val="0"/>
        </w:numPr>
        <w:jc w:val="both"/>
        <w:rPr>
          <w:rFonts w:cs="Arial"/>
          <w:b/>
          <w:sz w:val="20"/>
          <w:szCs w:val="20"/>
          <w:u w:val="single"/>
        </w:rPr>
      </w:pPr>
      <w:r w:rsidRPr="00D520BF">
        <w:rPr>
          <w:rFonts w:cs="Arial"/>
          <w:b/>
          <w:sz w:val="20"/>
          <w:szCs w:val="20"/>
          <w:u w:val="single"/>
        </w:rPr>
        <w:t xml:space="preserve">Appeal </w:t>
      </w:r>
      <w:proofErr w:type="gramStart"/>
      <w:r w:rsidRPr="00D520BF">
        <w:rPr>
          <w:rFonts w:cs="Arial"/>
          <w:b/>
          <w:sz w:val="20"/>
          <w:szCs w:val="20"/>
          <w:u w:val="single"/>
        </w:rPr>
        <w:t>point</w:t>
      </w:r>
      <w:proofErr w:type="gramEnd"/>
      <w:r w:rsidRPr="00D520BF">
        <w:rPr>
          <w:rFonts w:cs="Arial"/>
          <w:b/>
          <w:sz w:val="20"/>
          <w:szCs w:val="20"/>
          <w:u w:val="single"/>
        </w:rPr>
        <w:t xml:space="preserve"> 2.1: </w:t>
      </w:r>
      <w:r w:rsidRPr="00D520BF" w:rsidR="00B71D0C">
        <w:rPr>
          <w:rFonts w:cs="Arial"/>
          <w:b/>
          <w:sz w:val="20"/>
          <w:szCs w:val="20"/>
          <w:u w:val="single"/>
        </w:rPr>
        <w:t xml:space="preserve">The Committee's assessment of utility values for carers does not reflect the balance of the available evidence. </w:t>
      </w:r>
    </w:p>
    <w:p w:rsidRPr="00D520BF" w:rsidR="0097722B" w:rsidP="00B71D0C" w:rsidRDefault="00D520BF" w14:paraId="5C1A6977" w14:textId="76162841">
      <w:pPr>
        <w:pStyle w:val="Paragraph"/>
        <w:numPr>
          <w:ilvl w:val="0"/>
          <w:numId w:val="0"/>
        </w:numPr>
        <w:jc w:val="both"/>
        <w:rPr>
          <w:rFonts w:cs="Arial"/>
          <w:sz w:val="20"/>
          <w:szCs w:val="20"/>
        </w:rPr>
      </w:pPr>
      <w:r w:rsidRPr="00D520BF">
        <w:rPr>
          <w:rFonts w:cs="Arial"/>
          <w:sz w:val="20"/>
          <w:szCs w:val="20"/>
        </w:rPr>
        <w:t xml:space="preserve">I am minded </w:t>
      </w:r>
      <w:proofErr w:type="gramStart"/>
      <w:r w:rsidRPr="00D520BF">
        <w:rPr>
          <w:rFonts w:cs="Arial"/>
          <w:sz w:val="20"/>
          <w:szCs w:val="20"/>
        </w:rPr>
        <w:t>to refer</w:t>
      </w:r>
      <w:proofErr w:type="gramEnd"/>
      <w:r w:rsidRPr="00D520BF">
        <w:rPr>
          <w:rFonts w:cs="Arial"/>
          <w:sz w:val="20"/>
          <w:szCs w:val="20"/>
        </w:rPr>
        <w:t xml:space="preserve"> this appeal </w:t>
      </w:r>
      <w:proofErr w:type="gramStart"/>
      <w:r w:rsidRPr="00D520BF">
        <w:rPr>
          <w:rFonts w:cs="Arial"/>
          <w:sz w:val="20"/>
          <w:szCs w:val="20"/>
        </w:rPr>
        <w:t>point</w:t>
      </w:r>
      <w:proofErr w:type="gramEnd"/>
      <w:r w:rsidRPr="00D520BF">
        <w:rPr>
          <w:rFonts w:cs="Arial"/>
          <w:sz w:val="20"/>
          <w:szCs w:val="20"/>
        </w:rPr>
        <w:t xml:space="preserve"> to the Appeal Panel. </w:t>
      </w:r>
    </w:p>
    <w:p w:rsidRPr="00D520BF" w:rsidR="003130C6" w:rsidP="00B71D0C" w:rsidRDefault="00FD462B" w14:paraId="169D4416" w14:textId="7E547892">
      <w:pPr>
        <w:pStyle w:val="Paragraph"/>
        <w:numPr>
          <w:ilvl w:val="0"/>
          <w:numId w:val="0"/>
        </w:numPr>
        <w:jc w:val="both"/>
        <w:rPr>
          <w:rFonts w:cs="Arial"/>
          <w:b/>
          <w:sz w:val="20"/>
          <w:szCs w:val="20"/>
          <w:u w:val="single"/>
        </w:rPr>
      </w:pPr>
      <w:r w:rsidRPr="00D520BF">
        <w:rPr>
          <w:rFonts w:cs="Arial"/>
          <w:b/>
          <w:sz w:val="20"/>
          <w:szCs w:val="20"/>
          <w:u w:val="single"/>
        </w:rPr>
        <w:t xml:space="preserve">Appeal </w:t>
      </w:r>
      <w:proofErr w:type="gramStart"/>
      <w:r w:rsidRPr="00D520BF">
        <w:rPr>
          <w:rFonts w:cs="Arial"/>
          <w:b/>
          <w:sz w:val="20"/>
          <w:szCs w:val="20"/>
          <w:u w:val="single"/>
        </w:rPr>
        <w:t>point</w:t>
      </w:r>
      <w:proofErr w:type="gramEnd"/>
      <w:r w:rsidRPr="00D520BF">
        <w:rPr>
          <w:rFonts w:cs="Arial"/>
          <w:b/>
          <w:sz w:val="20"/>
          <w:szCs w:val="20"/>
          <w:u w:val="single"/>
        </w:rPr>
        <w:t xml:space="preserve"> 2.2: </w:t>
      </w:r>
      <w:r w:rsidRPr="00D520BF" w:rsidR="000C6B26">
        <w:rPr>
          <w:rFonts w:cs="Arial"/>
          <w:b/>
          <w:sz w:val="20"/>
          <w:szCs w:val="20"/>
          <w:u w:val="single"/>
        </w:rPr>
        <w:t xml:space="preserve">The Committee's conclusion that the benefits of </w:t>
      </w:r>
      <w:proofErr w:type="spellStart"/>
      <w:r w:rsidRPr="00D520BF" w:rsidR="000C6B26">
        <w:rPr>
          <w:rFonts w:cs="Arial"/>
          <w:b/>
          <w:sz w:val="20"/>
          <w:szCs w:val="20"/>
          <w:u w:val="single"/>
        </w:rPr>
        <w:t>lecanemab</w:t>
      </w:r>
      <w:proofErr w:type="spellEnd"/>
      <w:r w:rsidRPr="00D520BF" w:rsidR="000C6B26">
        <w:rPr>
          <w:rFonts w:cs="Arial"/>
          <w:b/>
          <w:sz w:val="20"/>
          <w:szCs w:val="20"/>
          <w:u w:val="single"/>
        </w:rPr>
        <w:t xml:space="preserve"> are "small" is subjective, rather than scientific, and unreasonable. </w:t>
      </w:r>
    </w:p>
    <w:p w:rsidR="00D520BF" w:rsidP="00B71D0C" w:rsidRDefault="00D520BF" w14:paraId="25AF6CD0" w14:textId="75A03288">
      <w:pPr>
        <w:pStyle w:val="Paragraph"/>
        <w:numPr>
          <w:ilvl w:val="0"/>
          <w:numId w:val="0"/>
        </w:numPr>
        <w:jc w:val="both"/>
        <w:rPr>
          <w:rFonts w:cs="Arial"/>
          <w:sz w:val="20"/>
          <w:szCs w:val="20"/>
        </w:rPr>
      </w:pPr>
      <w:r>
        <w:rPr>
          <w:rFonts w:cs="Arial"/>
          <w:sz w:val="20"/>
          <w:szCs w:val="20"/>
        </w:rPr>
        <w:t xml:space="preserve">I am not currently minded </w:t>
      </w:r>
      <w:proofErr w:type="gramStart"/>
      <w:r>
        <w:rPr>
          <w:rFonts w:cs="Arial"/>
          <w:sz w:val="20"/>
          <w:szCs w:val="20"/>
        </w:rPr>
        <w:t>to refer</w:t>
      </w:r>
      <w:proofErr w:type="gramEnd"/>
      <w:r>
        <w:rPr>
          <w:rFonts w:cs="Arial"/>
          <w:sz w:val="20"/>
          <w:szCs w:val="20"/>
        </w:rPr>
        <w:t xml:space="preserve"> this appeal </w:t>
      </w:r>
      <w:proofErr w:type="gramStart"/>
      <w:r>
        <w:rPr>
          <w:rFonts w:cs="Arial"/>
          <w:sz w:val="20"/>
          <w:szCs w:val="20"/>
        </w:rPr>
        <w:t>point</w:t>
      </w:r>
      <w:proofErr w:type="gramEnd"/>
      <w:r>
        <w:rPr>
          <w:rFonts w:cs="Arial"/>
          <w:sz w:val="20"/>
          <w:szCs w:val="20"/>
        </w:rPr>
        <w:t xml:space="preserve"> to the Appeal Panel. Th</w:t>
      </w:r>
      <w:r w:rsidR="00B731CD">
        <w:rPr>
          <w:rFonts w:cs="Arial"/>
          <w:sz w:val="20"/>
          <w:szCs w:val="20"/>
        </w:rPr>
        <w:t>e Committee's conclusion on treatment effect seems to me to be clearly grounded in the evidence presented to it. T</w:t>
      </w:r>
      <w:r>
        <w:rPr>
          <w:rFonts w:cs="Arial"/>
          <w:sz w:val="20"/>
          <w:szCs w:val="20"/>
        </w:rPr>
        <w:t xml:space="preserve">he Committee's conclusion that the benefits of </w:t>
      </w:r>
      <w:proofErr w:type="spellStart"/>
      <w:r>
        <w:rPr>
          <w:rFonts w:cs="Arial"/>
          <w:sz w:val="20"/>
          <w:szCs w:val="20"/>
        </w:rPr>
        <w:t>lecanemab</w:t>
      </w:r>
      <w:proofErr w:type="spellEnd"/>
      <w:r>
        <w:rPr>
          <w:rFonts w:cs="Arial"/>
          <w:sz w:val="20"/>
          <w:szCs w:val="20"/>
        </w:rPr>
        <w:t xml:space="preserve"> are </w:t>
      </w:r>
      <w:r w:rsidR="00AA2DD9">
        <w:rPr>
          <w:rFonts w:cs="Arial"/>
          <w:sz w:val="20"/>
          <w:szCs w:val="20"/>
        </w:rPr>
        <w:t>'</w:t>
      </w:r>
      <w:r>
        <w:rPr>
          <w:rFonts w:cs="Arial"/>
          <w:sz w:val="20"/>
          <w:szCs w:val="20"/>
        </w:rPr>
        <w:t>small</w:t>
      </w:r>
      <w:r w:rsidR="00AA2DD9">
        <w:rPr>
          <w:rFonts w:cs="Arial"/>
          <w:sz w:val="20"/>
          <w:szCs w:val="20"/>
        </w:rPr>
        <w:t>'</w:t>
      </w:r>
      <w:r>
        <w:rPr>
          <w:rFonts w:cs="Arial"/>
          <w:sz w:val="20"/>
          <w:szCs w:val="20"/>
        </w:rPr>
        <w:t xml:space="preserve"> and </w:t>
      </w:r>
      <w:r w:rsidR="00B731CD">
        <w:rPr>
          <w:rFonts w:cs="Arial"/>
          <w:sz w:val="20"/>
          <w:szCs w:val="20"/>
        </w:rPr>
        <w:t xml:space="preserve">its recognition </w:t>
      </w:r>
      <w:r>
        <w:rPr>
          <w:rFonts w:cs="Arial"/>
          <w:sz w:val="20"/>
          <w:szCs w:val="20"/>
        </w:rPr>
        <w:t xml:space="preserve">that </w:t>
      </w:r>
      <w:proofErr w:type="spellStart"/>
      <w:r w:rsidR="00B731CD">
        <w:rPr>
          <w:rFonts w:cs="Arial"/>
          <w:sz w:val="20"/>
          <w:szCs w:val="20"/>
        </w:rPr>
        <w:t>lecanemab</w:t>
      </w:r>
      <w:proofErr w:type="spellEnd"/>
      <w:r>
        <w:rPr>
          <w:rFonts w:cs="Arial"/>
          <w:sz w:val="20"/>
          <w:szCs w:val="20"/>
        </w:rPr>
        <w:t xml:space="preserve"> has a clinically significant treatment effect </w:t>
      </w:r>
      <w:r w:rsidR="00B731CD">
        <w:rPr>
          <w:rFonts w:cs="Arial"/>
          <w:sz w:val="20"/>
          <w:szCs w:val="20"/>
        </w:rPr>
        <w:t>are not</w:t>
      </w:r>
      <w:r>
        <w:rPr>
          <w:rFonts w:cs="Arial"/>
          <w:sz w:val="20"/>
          <w:szCs w:val="20"/>
        </w:rPr>
        <w:t xml:space="preserve"> mutually exclusive. </w:t>
      </w:r>
    </w:p>
    <w:p w:rsidR="00D520BF" w:rsidP="00B71D0C" w:rsidRDefault="00D520BF" w14:paraId="19BA92EA" w14:textId="5A0B0B5C">
      <w:pPr>
        <w:pStyle w:val="Paragraph"/>
        <w:numPr>
          <w:ilvl w:val="0"/>
          <w:numId w:val="0"/>
        </w:numPr>
        <w:jc w:val="both"/>
        <w:rPr>
          <w:rFonts w:cs="Arial"/>
          <w:i/>
          <w:iCs/>
          <w:sz w:val="20"/>
          <w:szCs w:val="20"/>
        </w:rPr>
      </w:pPr>
      <w:r>
        <w:rPr>
          <w:rFonts w:cs="Arial"/>
          <w:sz w:val="20"/>
          <w:szCs w:val="20"/>
        </w:rPr>
        <w:lastRenderedPageBreak/>
        <w:t xml:space="preserve">The FDG relies (at paragraph 3.6) on the treatment effect of </w:t>
      </w:r>
      <w:proofErr w:type="spellStart"/>
      <w:r>
        <w:rPr>
          <w:rFonts w:cs="Arial"/>
          <w:sz w:val="20"/>
          <w:szCs w:val="20"/>
        </w:rPr>
        <w:t>lecanemab</w:t>
      </w:r>
      <w:proofErr w:type="spellEnd"/>
      <w:r>
        <w:rPr>
          <w:rFonts w:cs="Arial"/>
          <w:sz w:val="20"/>
          <w:szCs w:val="20"/>
        </w:rPr>
        <w:t xml:space="preserve"> as observed in the Clarity AD trial to conclude that the treatment effect was smaller in practice than in the EAG and Faculty of Public Health literature submissions. The Committee concludes at paragraph 3.6 of the FDG that "</w:t>
      </w:r>
      <w:proofErr w:type="spellStart"/>
      <w:r>
        <w:rPr>
          <w:rFonts w:cs="Arial"/>
          <w:i/>
          <w:iCs/>
          <w:sz w:val="20"/>
          <w:szCs w:val="20"/>
        </w:rPr>
        <w:t>lecanemab</w:t>
      </w:r>
      <w:proofErr w:type="spellEnd"/>
      <w:r>
        <w:rPr>
          <w:rFonts w:cs="Arial"/>
          <w:i/>
          <w:iCs/>
          <w:sz w:val="20"/>
          <w:szCs w:val="20"/>
        </w:rPr>
        <w:t xml:space="preserve"> had a significant treatment effect. But it noted that the treatment effect was small and that the duration of treatment effect was uncertain". </w:t>
      </w:r>
    </w:p>
    <w:p w:rsidRPr="00D520BF" w:rsidR="00D520BF" w:rsidP="00B71D0C" w:rsidRDefault="00D520BF" w14:paraId="751711A5" w14:textId="693205F4">
      <w:pPr>
        <w:pStyle w:val="Paragraph"/>
        <w:numPr>
          <w:ilvl w:val="0"/>
          <w:numId w:val="0"/>
        </w:numPr>
        <w:jc w:val="both"/>
        <w:rPr>
          <w:rFonts w:cs="Arial"/>
          <w:sz w:val="20"/>
          <w:szCs w:val="20"/>
        </w:rPr>
      </w:pPr>
      <w:r>
        <w:rPr>
          <w:rFonts w:cs="Arial"/>
          <w:sz w:val="20"/>
          <w:szCs w:val="20"/>
        </w:rPr>
        <w:t>I therefore do not consider it arguable that this conclusion was subjective, as it is supported and underpinned by the evidence put before the Committee.</w:t>
      </w:r>
    </w:p>
    <w:p w:rsidRPr="00D520BF" w:rsidR="00B71D0C" w:rsidP="00B71D0C" w:rsidRDefault="00FD462B" w14:paraId="05C09829" w14:textId="66FE83F5">
      <w:pPr>
        <w:pStyle w:val="Paragraph"/>
        <w:numPr>
          <w:ilvl w:val="0"/>
          <w:numId w:val="0"/>
        </w:numPr>
        <w:jc w:val="both"/>
        <w:rPr>
          <w:rFonts w:cs="Arial"/>
          <w:b/>
          <w:sz w:val="20"/>
          <w:szCs w:val="20"/>
          <w:u w:val="single"/>
        </w:rPr>
      </w:pPr>
      <w:r w:rsidRPr="00D520BF">
        <w:rPr>
          <w:rFonts w:cs="Arial"/>
          <w:b/>
          <w:sz w:val="20"/>
          <w:szCs w:val="20"/>
          <w:u w:val="single"/>
        </w:rPr>
        <w:t xml:space="preserve">Appeal </w:t>
      </w:r>
      <w:proofErr w:type="gramStart"/>
      <w:r w:rsidRPr="00D520BF">
        <w:rPr>
          <w:rFonts w:cs="Arial"/>
          <w:b/>
          <w:sz w:val="20"/>
          <w:szCs w:val="20"/>
          <w:u w:val="single"/>
        </w:rPr>
        <w:t>point</w:t>
      </w:r>
      <w:proofErr w:type="gramEnd"/>
      <w:r w:rsidRPr="00D520BF">
        <w:rPr>
          <w:rFonts w:cs="Arial"/>
          <w:b/>
          <w:sz w:val="20"/>
          <w:szCs w:val="20"/>
          <w:u w:val="single"/>
        </w:rPr>
        <w:t xml:space="preserve"> 2.3: </w:t>
      </w:r>
      <w:r w:rsidRPr="00D520BF" w:rsidR="000C6B26">
        <w:rPr>
          <w:rFonts w:cs="Arial"/>
          <w:b/>
          <w:sz w:val="20"/>
          <w:szCs w:val="20"/>
          <w:u w:val="single"/>
        </w:rPr>
        <w:t xml:space="preserve">The assessment of the additional aspects of </w:t>
      </w:r>
      <w:proofErr w:type="spellStart"/>
      <w:r w:rsidRPr="00D520BF" w:rsidR="000C6B26">
        <w:rPr>
          <w:rFonts w:cs="Arial"/>
          <w:b/>
          <w:sz w:val="20"/>
          <w:szCs w:val="20"/>
          <w:u w:val="single"/>
        </w:rPr>
        <w:t>lecanemab</w:t>
      </w:r>
      <w:proofErr w:type="spellEnd"/>
      <w:r w:rsidRPr="00D520BF" w:rsidR="000C6B26">
        <w:rPr>
          <w:rFonts w:cs="Arial"/>
          <w:b/>
          <w:sz w:val="20"/>
          <w:szCs w:val="20"/>
          <w:u w:val="single"/>
        </w:rPr>
        <w:t xml:space="preserve"> treatment is unbalanced and unreasonable.</w:t>
      </w:r>
    </w:p>
    <w:p w:rsidRPr="00FE2A13" w:rsidR="0097722B" w:rsidP="00B71D0C" w:rsidRDefault="00FE2A13" w14:paraId="6407AE25" w14:textId="66A605C9">
      <w:pPr>
        <w:pStyle w:val="Paragraph"/>
        <w:numPr>
          <w:ilvl w:val="0"/>
          <w:numId w:val="0"/>
        </w:numPr>
        <w:jc w:val="both"/>
        <w:rPr>
          <w:rFonts w:cs="Arial"/>
          <w:bCs/>
          <w:sz w:val="20"/>
          <w:szCs w:val="20"/>
        </w:rPr>
      </w:pPr>
      <w:r>
        <w:rPr>
          <w:rFonts w:cs="Arial"/>
          <w:bCs/>
          <w:sz w:val="20"/>
          <w:szCs w:val="20"/>
        </w:rPr>
        <w:t xml:space="preserve">I am minded </w:t>
      </w:r>
      <w:proofErr w:type="gramStart"/>
      <w:r>
        <w:rPr>
          <w:rFonts w:cs="Arial"/>
          <w:bCs/>
          <w:sz w:val="20"/>
          <w:szCs w:val="20"/>
        </w:rPr>
        <w:t>to refer</w:t>
      </w:r>
      <w:proofErr w:type="gramEnd"/>
      <w:r>
        <w:rPr>
          <w:rFonts w:cs="Arial"/>
          <w:bCs/>
          <w:sz w:val="20"/>
          <w:szCs w:val="20"/>
        </w:rPr>
        <w:t xml:space="preserve"> this appeal </w:t>
      </w:r>
      <w:proofErr w:type="gramStart"/>
      <w:r>
        <w:rPr>
          <w:rFonts w:cs="Arial"/>
          <w:bCs/>
          <w:sz w:val="20"/>
          <w:szCs w:val="20"/>
        </w:rPr>
        <w:t>point</w:t>
      </w:r>
      <w:proofErr w:type="gramEnd"/>
      <w:r>
        <w:rPr>
          <w:rFonts w:cs="Arial"/>
          <w:bCs/>
          <w:sz w:val="20"/>
          <w:szCs w:val="20"/>
        </w:rPr>
        <w:t xml:space="preserve"> to the Appeal Panel. </w:t>
      </w:r>
    </w:p>
    <w:p w:rsidRPr="00D520BF" w:rsidR="000C6B26" w:rsidP="00B71D0C" w:rsidRDefault="000C6B26" w14:paraId="5D89C80E" w14:textId="31933A8C">
      <w:pPr>
        <w:pStyle w:val="Paragraph"/>
        <w:numPr>
          <w:ilvl w:val="0"/>
          <w:numId w:val="0"/>
        </w:numPr>
        <w:jc w:val="both"/>
        <w:rPr>
          <w:rFonts w:cs="Arial"/>
          <w:b/>
          <w:sz w:val="20"/>
          <w:szCs w:val="20"/>
          <w:u w:val="single"/>
        </w:rPr>
      </w:pPr>
      <w:r w:rsidRPr="00D520BF">
        <w:rPr>
          <w:rFonts w:cs="Arial"/>
          <w:b/>
          <w:sz w:val="20"/>
          <w:szCs w:val="20"/>
          <w:u w:val="single"/>
        </w:rPr>
        <w:t xml:space="preserve">Appeal </w:t>
      </w:r>
      <w:proofErr w:type="gramStart"/>
      <w:r w:rsidRPr="00D520BF">
        <w:rPr>
          <w:rFonts w:cs="Arial"/>
          <w:b/>
          <w:sz w:val="20"/>
          <w:szCs w:val="20"/>
          <w:u w:val="single"/>
        </w:rPr>
        <w:t>point</w:t>
      </w:r>
      <w:proofErr w:type="gramEnd"/>
      <w:r w:rsidRPr="00D520BF">
        <w:rPr>
          <w:rFonts w:cs="Arial"/>
          <w:b/>
          <w:sz w:val="20"/>
          <w:szCs w:val="20"/>
          <w:u w:val="single"/>
        </w:rPr>
        <w:t xml:space="preserve"> 2.4: The approach to treatment waning accepted by the Committee is arbitrary and unreasonable.</w:t>
      </w:r>
    </w:p>
    <w:p w:rsidRPr="00FE2A13" w:rsidR="0097722B" w:rsidP="00B71D0C" w:rsidRDefault="00FE2A13" w14:paraId="3416A142" w14:textId="00898023">
      <w:pPr>
        <w:pStyle w:val="Paragraph"/>
        <w:numPr>
          <w:ilvl w:val="0"/>
          <w:numId w:val="0"/>
        </w:numPr>
        <w:jc w:val="both"/>
        <w:rPr>
          <w:rFonts w:cs="Arial"/>
          <w:bCs/>
          <w:sz w:val="20"/>
          <w:szCs w:val="20"/>
        </w:rPr>
      </w:pPr>
      <w:r>
        <w:rPr>
          <w:rFonts w:cs="Arial"/>
          <w:bCs/>
          <w:sz w:val="20"/>
          <w:szCs w:val="20"/>
        </w:rPr>
        <w:t xml:space="preserve">I am minded </w:t>
      </w:r>
      <w:proofErr w:type="gramStart"/>
      <w:r>
        <w:rPr>
          <w:rFonts w:cs="Arial"/>
          <w:bCs/>
          <w:sz w:val="20"/>
          <w:szCs w:val="20"/>
        </w:rPr>
        <w:t>to refer</w:t>
      </w:r>
      <w:proofErr w:type="gramEnd"/>
      <w:r>
        <w:rPr>
          <w:rFonts w:cs="Arial"/>
          <w:bCs/>
          <w:sz w:val="20"/>
          <w:szCs w:val="20"/>
        </w:rPr>
        <w:t xml:space="preserve"> this appeal </w:t>
      </w:r>
      <w:proofErr w:type="gramStart"/>
      <w:r>
        <w:rPr>
          <w:rFonts w:cs="Arial"/>
          <w:bCs/>
          <w:sz w:val="20"/>
          <w:szCs w:val="20"/>
        </w:rPr>
        <w:t>point</w:t>
      </w:r>
      <w:proofErr w:type="gramEnd"/>
      <w:r>
        <w:rPr>
          <w:rFonts w:cs="Arial"/>
          <w:bCs/>
          <w:sz w:val="20"/>
          <w:szCs w:val="20"/>
        </w:rPr>
        <w:t xml:space="preserve"> to the Appeal Panel.</w:t>
      </w:r>
      <w:r w:rsidRPr="00BD13F0" w:rsidR="005C15D3">
        <w:rPr>
          <w:rFonts w:cs="Arial"/>
          <w:bCs/>
          <w:sz w:val="20"/>
          <w:szCs w:val="20"/>
        </w:rPr>
        <w:t xml:space="preserve"> It is arguable that the Committee's conclusion on this point is unreasonable, particularly </w:t>
      </w:r>
      <w:proofErr w:type="gramStart"/>
      <w:r w:rsidRPr="00BD13F0" w:rsidR="005C15D3">
        <w:rPr>
          <w:rFonts w:cs="Arial"/>
          <w:bCs/>
          <w:sz w:val="20"/>
          <w:szCs w:val="20"/>
        </w:rPr>
        <w:t>in light of</w:t>
      </w:r>
      <w:proofErr w:type="gramEnd"/>
      <w:r w:rsidRPr="00BD13F0" w:rsidR="005C15D3">
        <w:rPr>
          <w:rFonts w:cs="Arial"/>
          <w:bCs/>
          <w:sz w:val="20"/>
          <w:szCs w:val="20"/>
        </w:rPr>
        <w:t xml:space="preserve"> its (in your view) different conclusion </w:t>
      </w:r>
      <w:proofErr w:type="gramStart"/>
      <w:r w:rsidRPr="00BD13F0" w:rsidR="005C15D3">
        <w:rPr>
          <w:rFonts w:cs="Arial"/>
          <w:bCs/>
          <w:sz w:val="20"/>
          <w:szCs w:val="20"/>
        </w:rPr>
        <w:t>on the basis of</w:t>
      </w:r>
      <w:proofErr w:type="gramEnd"/>
      <w:r w:rsidRPr="00BD13F0" w:rsidR="005C15D3">
        <w:rPr>
          <w:rFonts w:cs="Arial"/>
          <w:bCs/>
          <w:sz w:val="20"/>
          <w:szCs w:val="20"/>
        </w:rPr>
        <w:t xml:space="preserve"> ostensibly the same underlying evidence.</w:t>
      </w:r>
    </w:p>
    <w:p w:rsidRPr="00D520BF" w:rsidR="000C6B26" w:rsidP="00B71D0C" w:rsidRDefault="000C6B26" w14:paraId="77631546" w14:textId="67E0A6A5">
      <w:pPr>
        <w:pStyle w:val="Paragraph"/>
        <w:numPr>
          <w:ilvl w:val="0"/>
          <w:numId w:val="0"/>
        </w:numPr>
        <w:jc w:val="both"/>
        <w:rPr>
          <w:rFonts w:cs="Arial"/>
          <w:b/>
          <w:sz w:val="20"/>
          <w:szCs w:val="20"/>
          <w:u w:val="single"/>
        </w:rPr>
      </w:pPr>
      <w:r w:rsidRPr="00D520BF">
        <w:rPr>
          <w:rFonts w:cs="Arial"/>
          <w:b/>
          <w:sz w:val="20"/>
          <w:szCs w:val="20"/>
          <w:u w:val="single"/>
        </w:rPr>
        <w:t xml:space="preserve">Appeal </w:t>
      </w:r>
      <w:proofErr w:type="gramStart"/>
      <w:r w:rsidRPr="00D520BF">
        <w:rPr>
          <w:rFonts w:cs="Arial"/>
          <w:b/>
          <w:sz w:val="20"/>
          <w:szCs w:val="20"/>
          <w:u w:val="single"/>
        </w:rPr>
        <w:t>point</w:t>
      </w:r>
      <w:proofErr w:type="gramEnd"/>
      <w:r w:rsidRPr="00D520BF">
        <w:rPr>
          <w:rFonts w:cs="Arial"/>
          <w:b/>
          <w:sz w:val="20"/>
          <w:szCs w:val="20"/>
          <w:u w:val="single"/>
        </w:rPr>
        <w:t xml:space="preserve"> 2.5: The Committee's decision to rely on an unverified cost estimate for APOE4 gene testing costs rather than a transparent estimate from an alternative source is unreasonable. </w:t>
      </w:r>
    </w:p>
    <w:p w:rsidR="0097722B" w:rsidP="00B71D0C" w:rsidRDefault="00FE2A13" w14:paraId="0C57B304" w14:textId="02778D2A">
      <w:pPr>
        <w:pStyle w:val="Paragraph"/>
        <w:numPr>
          <w:ilvl w:val="0"/>
          <w:numId w:val="0"/>
        </w:numPr>
        <w:jc w:val="both"/>
        <w:rPr>
          <w:rFonts w:cs="Arial"/>
          <w:bCs/>
          <w:sz w:val="20"/>
          <w:szCs w:val="20"/>
        </w:rPr>
      </w:pPr>
      <w:r>
        <w:rPr>
          <w:rFonts w:cs="Arial"/>
          <w:bCs/>
          <w:sz w:val="20"/>
          <w:szCs w:val="20"/>
        </w:rPr>
        <w:t xml:space="preserve">I am not currently minded </w:t>
      </w:r>
      <w:proofErr w:type="gramStart"/>
      <w:r>
        <w:rPr>
          <w:rFonts w:cs="Arial"/>
          <w:bCs/>
          <w:sz w:val="20"/>
          <w:szCs w:val="20"/>
        </w:rPr>
        <w:t>to refer</w:t>
      </w:r>
      <w:proofErr w:type="gramEnd"/>
      <w:r>
        <w:rPr>
          <w:rFonts w:cs="Arial"/>
          <w:bCs/>
          <w:sz w:val="20"/>
          <w:szCs w:val="20"/>
        </w:rPr>
        <w:t xml:space="preserve"> this appeal </w:t>
      </w:r>
      <w:proofErr w:type="gramStart"/>
      <w:r>
        <w:rPr>
          <w:rFonts w:cs="Arial"/>
          <w:bCs/>
          <w:sz w:val="20"/>
          <w:szCs w:val="20"/>
        </w:rPr>
        <w:t>point</w:t>
      </w:r>
      <w:proofErr w:type="gramEnd"/>
      <w:r>
        <w:rPr>
          <w:rFonts w:cs="Arial"/>
          <w:bCs/>
          <w:sz w:val="20"/>
          <w:szCs w:val="20"/>
        </w:rPr>
        <w:t xml:space="preserve"> to the Appeal Panel. That is because NHS England explained that the estimated testing cost was based on a comparable test available in England, and the Committee concluded that the modelled costs must reflect the costs incurred in real-world practice as much as possible.</w:t>
      </w:r>
    </w:p>
    <w:p w:rsidR="00FE2A13" w:rsidP="00B71D0C" w:rsidRDefault="00FE2A13" w14:paraId="737C0AA8" w14:textId="38928F0D">
      <w:pPr>
        <w:pStyle w:val="Paragraph"/>
        <w:numPr>
          <w:ilvl w:val="0"/>
          <w:numId w:val="0"/>
        </w:numPr>
        <w:jc w:val="both"/>
        <w:rPr>
          <w:rFonts w:cs="Arial"/>
          <w:bCs/>
          <w:sz w:val="20"/>
          <w:szCs w:val="20"/>
        </w:rPr>
      </w:pPr>
      <w:r>
        <w:rPr>
          <w:rFonts w:cs="Arial"/>
          <w:bCs/>
          <w:sz w:val="20"/>
          <w:szCs w:val="20"/>
        </w:rPr>
        <w:t xml:space="preserve">You have not explained in your letter why you consider the Scottish Health Service estimate on which the Company rely to be a better approximation of real-world cost for the APOE4 gene testing in England, </w:t>
      </w:r>
      <w:r w:rsidR="00764ECC">
        <w:rPr>
          <w:rFonts w:cs="Arial"/>
          <w:bCs/>
          <w:sz w:val="20"/>
          <w:szCs w:val="20"/>
        </w:rPr>
        <w:t xml:space="preserve">than the estimate provided by NHS England. </w:t>
      </w:r>
    </w:p>
    <w:p w:rsidR="006C7966" w:rsidP="00B71D0C" w:rsidRDefault="006C7966" w14:paraId="2724AB35" w14:textId="36058260">
      <w:pPr>
        <w:pStyle w:val="Paragraph"/>
        <w:numPr>
          <w:ilvl w:val="0"/>
          <w:numId w:val="0"/>
        </w:numPr>
        <w:jc w:val="both"/>
        <w:rPr>
          <w:rFonts w:cs="Arial"/>
          <w:bCs/>
          <w:sz w:val="20"/>
          <w:szCs w:val="20"/>
        </w:rPr>
      </w:pPr>
      <w:r>
        <w:rPr>
          <w:rFonts w:cs="Arial"/>
          <w:bCs/>
          <w:sz w:val="20"/>
          <w:szCs w:val="20"/>
        </w:rPr>
        <w:t>Further, I note that the impact of adopting NHS England's BIA submission model over the Scottish Health Service estimate was very small on the ICER</w:t>
      </w:r>
      <w:r w:rsidR="007E6CB7">
        <w:rPr>
          <w:rFonts w:cs="Arial"/>
          <w:bCs/>
          <w:sz w:val="20"/>
          <w:szCs w:val="20"/>
        </w:rPr>
        <w:t>.</w:t>
      </w:r>
    </w:p>
    <w:p w:rsidRPr="00FE2A13" w:rsidR="00764ECC" w:rsidP="00B71D0C" w:rsidRDefault="00764ECC" w14:paraId="70339735" w14:textId="4B3C040B">
      <w:pPr>
        <w:pStyle w:val="Paragraph"/>
        <w:numPr>
          <w:ilvl w:val="0"/>
          <w:numId w:val="0"/>
        </w:numPr>
        <w:jc w:val="both"/>
        <w:rPr>
          <w:rFonts w:cs="Arial"/>
          <w:bCs/>
          <w:sz w:val="20"/>
          <w:szCs w:val="20"/>
        </w:rPr>
      </w:pPr>
      <w:r>
        <w:rPr>
          <w:rFonts w:cs="Arial"/>
          <w:bCs/>
          <w:sz w:val="20"/>
          <w:szCs w:val="20"/>
        </w:rPr>
        <w:t xml:space="preserve">I consider that the Committee has explained its reasons for reaching this conclusion at paragraph 3.23 of the FDG, and do not consider this approach to be arguably unreasonable. </w:t>
      </w:r>
    </w:p>
    <w:p w:rsidRPr="00D520BF" w:rsidR="000C6B26" w:rsidP="00B71D0C" w:rsidRDefault="000C6B26" w14:paraId="5056FE89" w14:textId="2C7FC035">
      <w:pPr>
        <w:pStyle w:val="Paragraph"/>
        <w:numPr>
          <w:ilvl w:val="0"/>
          <w:numId w:val="0"/>
        </w:numPr>
        <w:jc w:val="both"/>
        <w:rPr>
          <w:rFonts w:cs="Arial"/>
          <w:b/>
          <w:sz w:val="20"/>
          <w:szCs w:val="20"/>
          <w:u w:val="single"/>
        </w:rPr>
      </w:pPr>
      <w:r w:rsidRPr="00D520BF">
        <w:rPr>
          <w:rFonts w:cs="Arial"/>
          <w:b/>
          <w:sz w:val="20"/>
          <w:szCs w:val="20"/>
          <w:u w:val="single"/>
        </w:rPr>
        <w:t xml:space="preserve">Appeal </w:t>
      </w:r>
      <w:proofErr w:type="gramStart"/>
      <w:r w:rsidRPr="00D520BF">
        <w:rPr>
          <w:rFonts w:cs="Arial"/>
          <w:b/>
          <w:sz w:val="20"/>
          <w:szCs w:val="20"/>
          <w:u w:val="single"/>
        </w:rPr>
        <w:t>point</w:t>
      </w:r>
      <w:proofErr w:type="gramEnd"/>
      <w:r w:rsidRPr="00D520BF">
        <w:rPr>
          <w:rFonts w:cs="Arial"/>
          <w:b/>
          <w:sz w:val="20"/>
          <w:szCs w:val="20"/>
          <w:u w:val="single"/>
        </w:rPr>
        <w:t xml:space="preserve"> 2.6: The Committee's consideration of a recommendation for use of </w:t>
      </w:r>
      <w:proofErr w:type="spellStart"/>
      <w:r w:rsidRPr="00D520BF">
        <w:rPr>
          <w:rFonts w:cs="Arial"/>
          <w:b/>
          <w:sz w:val="20"/>
          <w:szCs w:val="20"/>
          <w:u w:val="single"/>
        </w:rPr>
        <w:t>lecanemab</w:t>
      </w:r>
      <w:proofErr w:type="spellEnd"/>
      <w:r w:rsidRPr="00D520BF">
        <w:rPr>
          <w:rFonts w:cs="Arial"/>
          <w:b/>
          <w:sz w:val="20"/>
          <w:szCs w:val="20"/>
          <w:u w:val="single"/>
        </w:rPr>
        <w:t xml:space="preserve"> with managed access is inconsistent with the Manual and the Innovative Medicines Fund principles and is unreasonable. </w:t>
      </w:r>
    </w:p>
    <w:p w:rsidR="00764ECC" w:rsidP="00B71D0C" w:rsidRDefault="00764ECC" w14:paraId="3A480CA7" w14:textId="77555D95">
      <w:pPr>
        <w:pStyle w:val="Paragraph"/>
        <w:numPr>
          <w:ilvl w:val="0"/>
          <w:numId w:val="0"/>
        </w:numPr>
        <w:jc w:val="both"/>
        <w:rPr>
          <w:rFonts w:cs="Arial"/>
          <w:bCs/>
          <w:sz w:val="20"/>
          <w:szCs w:val="20"/>
        </w:rPr>
      </w:pPr>
      <w:r>
        <w:rPr>
          <w:rFonts w:cs="Arial"/>
          <w:bCs/>
          <w:sz w:val="20"/>
          <w:szCs w:val="20"/>
        </w:rPr>
        <w:t xml:space="preserve">I have provided my reasons </w:t>
      </w:r>
      <w:r w:rsidR="007E6CB7">
        <w:rPr>
          <w:rFonts w:cs="Arial"/>
          <w:bCs/>
          <w:sz w:val="20"/>
          <w:szCs w:val="20"/>
        </w:rPr>
        <w:t xml:space="preserve">above </w:t>
      </w:r>
      <w:r>
        <w:rPr>
          <w:rFonts w:cs="Arial"/>
          <w:bCs/>
          <w:sz w:val="20"/>
          <w:szCs w:val="20"/>
        </w:rPr>
        <w:t xml:space="preserve">as to why I am not minded </w:t>
      </w:r>
      <w:proofErr w:type="gramStart"/>
      <w:r>
        <w:rPr>
          <w:rFonts w:cs="Arial"/>
          <w:bCs/>
          <w:sz w:val="20"/>
          <w:szCs w:val="20"/>
        </w:rPr>
        <w:t>to refer</w:t>
      </w:r>
      <w:proofErr w:type="gramEnd"/>
      <w:r>
        <w:rPr>
          <w:rFonts w:cs="Arial"/>
          <w:bCs/>
          <w:sz w:val="20"/>
          <w:szCs w:val="20"/>
        </w:rPr>
        <w:t xml:space="preserve"> appeal point 1.4 to the Appeal Panel as I do not consider the Committee's consideration of managed access to be inconsistent with the Manual and the Innovative Medicines Fund </w:t>
      </w:r>
      <w:proofErr w:type="gramStart"/>
      <w:r>
        <w:rPr>
          <w:rFonts w:cs="Arial"/>
          <w:bCs/>
          <w:sz w:val="20"/>
          <w:szCs w:val="20"/>
        </w:rPr>
        <w:t>so as to</w:t>
      </w:r>
      <w:proofErr w:type="gramEnd"/>
      <w:r>
        <w:rPr>
          <w:rFonts w:cs="Arial"/>
          <w:bCs/>
          <w:sz w:val="20"/>
          <w:szCs w:val="20"/>
        </w:rPr>
        <w:t xml:space="preserve"> amount to procedural unfairness. </w:t>
      </w:r>
    </w:p>
    <w:p w:rsidRPr="00764ECC" w:rsidR="0097722B" w:rsidP="00B71D0C" w:rsidRDefault="00764ECC" w14:paraId="6463EDBC" w14:textId="36DD71F7">
      <w:pPr>
        <w:pStyle w:val="Paragraph"/>
        <w:numPr>
          <w:ilvl w:val="0"/>
          <w:numId w:val="0"/>
        </w:numPr>
        <w:jc w:val="both"/>
        <w:rPr>
          <w:rFonts w:cs="Arial"/>
          <w:bCs/>
          <w:sz w:val="20"/>
          <w:szCs w:val="20"/>
        </w:rPr>
      </w:pPr>
      <w:r>
        <w:rPr>
          <w:rFonts w:cs="Arial"/>
          <w:bCs/>
          <w:sz w:val="20"/>
          <w:szCs w:val="20"/>
        </w:rPr>
        <w:t xml:space="preserve">Similarly, and for the same reasons outlined in respect of appeal point 1.4, I do not consider it arguable that the Committee's conclusion was unreasonable, and therefore I am not minded </w:t>
      </w:r>
      <w:proofErr w:type="gramStart"/>
      <w:r>
        <w:rPr>
          <w:rFonts w:cs="Arial"/>
          <w:bCs/>
          <w:sz w:val="20"/>
          <w:szCs w:val="20"/>
        </w:rPr>
        <w:t>to refer</w:t>
      </w:r>
      <w:proofErr w:type="gramEnd"/>
      <w:r>
        <w:rPr>
          <w:rFonts w:cs="Arial"/>
          <w:bCs/>
          <w:sz w:val="20"/>
          <w:szCs w:val="20"/>
        </w:rPr>
        <w:t xml:space="preserve"> this appeal </w:t>
      </w:r>
      <w:proofErr w:type="gramStart"/>
      <w:r>
        <w:rPr>
          <w:rFonts w:cs="Arial"/>
          <w:bCs/>
          <w:sz w:val="20"/>
          <w:szCs w:val="20"/>
        </w:rPr>
        <w:t>point</w:t>
      </w:r>
      <w:proofErr w:type="gramEnd"/>
      <w:r>
        <w:rPr>
          <w:rFonts w:cs="Arial"/>
          <w:bCs/>
          <w:sz w:val="20"/>
          <w:szCs w:val="20"/>
        </w:rPr>
        <w:t xml:space="preserve"> to the Appeal Panel.  </w:t>
      </w:r>
    </w:p>
    <w:p w:rsidRPr="00D520BF" w:rsidR="007E4EDC" w:rsidP="00623213" w:rsidRDefault="007E4EDC" w14:paraId="4AE6A487" w14:textId="6BDD7B15">
      <w:pPr>
        <w:pStyle w:val="Paragraph"/>
        <w:numPr>
          <w:ilvl w:val="0"/>
          <w:numId w:val="0"/>
        </w:numPr>
        <w:jc w:val="both"/>
        <w:rPr>
          <w:rFonts w:cs="Arial"/>
          <w:sz w:val="20"/>
          <w:szCs w:val="20"/>
          <w:u w:val="single"/>
          <w:lang w:eastAsia="en-US"/>
        </w:rPr>
      </w:pPr>
      <w:r w:rsidRPr="00D520BF">
        <w:rPr>
          <w:rFonts w:cs="Arial"/>
          <w:sz w:val="20"/>
          <w:szCs w:val="20"/>
          <w:u w:val="single"/>
          <w:lang w:eastAsia="en-US"/>
        </w:rPr>
        <w:t xml:space="preserve">Conclusion </w:t>
      </w:r>
    </w:p>
    <w:p w:rsidRPr="00D520BF" w:rsidR="00613CE8" w:rsidP="00613CE8" w:rsidRDefault="00613CE8" w14:paraId="259A7A09" w14:textId="78E81C51">
      <w:pPr>
        <w:pStyle w:val="Paragraph"/>
        <w:numPr>
          <w:ilvl w:val="0"/>
          <w:numId w:val="0"/>
        </w:numPr>
        <w:spacing w:before="120"/>
        <w:jc w:val="both"/>
        <w:rPr>
          <w:rFonts w:cs="Arial"/>
          <w:sz w:val="20"/>
          <w:szCs w:val="20"/>
          <w:lang w:eastAsia="en-US"/>
        </w:rPr>
      </w:pPr>
      <w:r w:rsidRPr="00D520BF">
        <w:rPr>
          <w:rFonts w:cs="Arial"/>
          <w:sz w:val="20"/>
          <w:szCs w:val="20"/>
          <w:lang w:eastAsia="en-US"/>
        </w:rPr>
        <w:lastRenderedPageBreak/>
        <w:t xml:space="preserve">The above sets out my initial views on </w:t>
      </w:r>
      <w:proofErr w:type="gramStart"/>
      <w:r w:rsidRPr="00D520BF">
        <w:rPr>
          <w:rFonts w:cs="Arial"/>
          <w:sz w:val="20"/>
          <w:szCs w:val="20"/>
          <w:lang w:eastAsia="en-US"/>
        </w:rPr>
        <w:t>all of</w:t>
      </w:r>
      <w:proofErr w:type="gramEnd"/>
      <w:r w:rsidRPr="00D520BF">
        <w:rPr>
          <w:rFonts w:cs="Arial"/>
          <w:sz w:val="20"/>
          <w:szCs w:val="20"/>
          <w:lang w:eastAsia="en-US"/>
        </w:rPr>
        <w:t xml:space="preserve"> your appeal points.</w:t>
      </w:r>
    </w:p>
    <w:p w:rsidRPr="00D520BF" w:rsidR="00613CE8" w:rsidP="00613CE8" w:rsidRDefault="00613CE8" w14:paraId="324863C4" w14:textId="0E9C2BF7">
      <w:pPr>
        <w:pStyle w:val="Paragraph"/>
        <w:numPr>
          <w:ilvl w:val="0"/>
          <w:numId w:val="0"/>
        </w:numPr>
        <w:spacing w:before="120"/>
        <w:jc w:val="both"/>
        <w:rPr>
          <w:rFonts w:cs="Arial"/>
          <w:sz w:val="20"/>
          <w:szCs w:val="20"/>
          <w:lang w:eastAsia="en-US"/>
        </w:rPr>
      </w:pPr>
      <w:r w:rsidRPr="00D520BF">
        <w:rPr>
          <w:rFonts w:cs="Arial"/>
          <w:sz w:val="20"/>
          <w:szCs w:val="20"/>
          <w:lang w:eastAsia="en-US"/>
        </w:rPr>
        <w:t xml:space="preserve">In respect of your points which I am not minded </w:t>
      </w:r>
      <w:proofErr w:type="gramStart"/>
      <w:r w:rsidRPr="00D520BF">
        <w:rPr>
          <w:rFonts w:cs="Arial"/>
          <w:sz w:val="20"/>
          <w:szCs w:val="20"/>
          <w:lang w:eastAsia="en-US"/>
        </w:rPr>
        <w:t>to refer</w:t>
      </w:r>
      <w:proofErr w:type="gramEnd"/>
      <w:r w:rsidRPr="00D520BF">
        <w:rPr>
          <w:rFonts w:cs="Arial"/>
          <w:sz w:val="20"/>
          <w:szCs w:val="20"/>
          <w:lang w:eastAsia="en-US"/>
        </w:rPr>
        <w:t xml:space="preserve"> on you are entitled to submit further clarification and/or evidence to me within the next 10 working days, and I will then give a final decision on the points to put before an appeal panel. Responses must deal only with requested clarifications, arguments or comments about the lead non-executive director for appeals' initial view that an appeal point is not valid. For the points I am already content to refer on, an oral appeal will be held which is likely to be held remotely</w:t>
      </w:r>
      <w:r w:rsidRPr="00D520BF" w:rsidR="00407EC9">
        <w:rPr>
          <w:rFonts w:cs="Arial"/>
          <w:sz w:val="20"/>
          <w:szCs w:val="20"/>
          <w:lang w:eastAsia="en-US"/>
        </w:rPr>
        <w:t>.</w:t>
      </w:r>
    </w:p>
    <w:p w:rsidRPr="00D520BF" w:rsidR="00613CE8" w:rsidP="00613CE8" w:rsidRDefault="00613CE8" w14:paraId="1E282E65" w14:textId="5B94EC19">
      <w:pPr>
        <w:pStyle w:val="Paragraph"/>
        <w:numPr>
          <w:ilvl w:val="0"/>
          <w:numId w:val="0"/>
        </w:numPr>
        <w:spacing w:before="120"/>
        <w:jc w:val="both"/>
        <w:rPr>
          <w:rFonts w:cs="Arial"/>
          <w:sz w:val="20"/>
          <w:szCs w:val="20"/>
        </w:rPr>
      </w:pPr>
      <w:r w:rsidRPr="00D520BF">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D520BF">
        <w:rPr>
          <w:rFonts w:cs="Arial"/>
          <w:sz w:val="20"/>
          <w:szCs w:val="20"/>
          <w:lang w:eastAsia="en-US"/>
        </w:rPr>
        <w:t>information</w:t>
      </w:r>
      <w:proofErr w:type="gramEnd"/>
      <w:r w:rsidRPr="00D520BF">
        <w:rPr>
          <w:rFonts w:cs="Arial"/>
          <w:sz w:val="20"/>
          <w:szCs w:val="20"/>
        </w:rPr>
        <w:t xml:space="preserve"> please ensure you have provided a version with this information redacted by</w:t>
      </w:r>
      <w:r w:rsidR="00582388">
        <w:rPr>
          <w:rFonts w:cs="Arial"/>
          <w:sz w:val="20"/>
          <w:szCs w:val="20"/>
        </w:rPr>
        <w:t xml:space="preserve"> 24 July 2025</w:t>
      </w:r>
      <w:r w:rsidRPr="00D520BF">
        <w:rPr>
          <w:rFonts w:cs="Arial"/>
          <w:sz w:val="20"/>
          <w:szCs w:val="20"/>
        </w:rPr>
        <w:t>.</w:t>
      </w:r>
    </w:p>
    <w:p w:rsidRPr="00D520BF" w:rsidR="00613CE8" w:rsidP="00613CE8" w:rsidRDefault="00613CE8" w14:paraId="0688AA84" w14:textId="35676072">
      <w:pPr>
        <w:pStyle w:val="Paragraph"/>
        <w:numPr>
          <w:ilvl w:val="0"/>
          <w:numId w:val="0"/>
        </w:numPr>
        <w:spacing w:before="120"/>
        <w:jc w:val="both"/>
        <w:rPr>
          <w:rFonts w:cs="Arial"/>
          <w:sz w:val="20"/>
          <w:szCs w:val="20"/>
        </w:rPr>
      </w:pPr>
      <w:r w:rsidRPr="00D520BF">
        <w:rPr>
          <w:rFonts w:cs="Arial"/>
          <w:sz w:val="20"/>
          <w:szCs w:val="20"/>
        </w:rPr>
        <w:t>Ordinarily</w:t>
      </w:r>
      <w:r w:rsidR="000A5CE1">
        <w:rPr>
          <w:rFonts w:cs="Arial"/>
          <w:sz w:val="20"/>
          <w:szCs w:val="20"/>
        </w:rPr>
        <w:t>,</w:t>
      </w:r>
      <w:r w:rsidRPr="00D520BF">
        <w:rPr>
          <w:rFonts w:cs="Arial"/>
          <w:sz w:val="20"/>
          <w:szCs w:val="20"/>
        </w:rPr>
        <w:t xml:space="preserve"> appeals are conducted </w:t>
      </w:r>
      <w:proofErr w:type="gramStart"/>
      <w:r w:rsidRPr="00D520BF">
        <w:rPr>
          <w:rFonts w:cs="Arial"/>
          <w:sz w:val="20"/>
          <w:szCs w:val="20"/>
        </w:rPr>
        <w:t>on the basis of</w:t>
      </w:r>
      <w:proofErr w:type="gramEnd"/>
      <w:r w:rsidRPr="00D520BF">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582388">
        <w:rPr>
          <w:rFonts w:cs="Arial"/>
          <w:sz w:val="20"/>
          <w:szCs w:val="20"/>
        </w:rPr>
        <w:t>25 July 2025</w:t>
      </w:r>
      <w:r w:rsidRPr="00D520BF">
        <w:rPr>
          <w:rFonts w:cs="Arial"/>
          <w:sz w:val="20"/>
          <w:szCs w:val="20"/>
        </w:rPr>
        <w:t xml:space="preserve">. Please note that the </w:t>
      </w:r>
      <w:r w:rsidR="000A5CE1">
        <w:rPr>
          <w:rFonts w:cs="Arial"/>
          <w:sz w:val="20"/>
          <w:szCs w:val="20"/>
        </w:rPr>
        <w:t>A</w:t>
      </w:r>
      <w:r w:rsidRPr="00D520BF">
        <w:rPr>
          <w:rFonts w:cs="Arial"/>
          <w:sz w:val="20"/>
          <w:szCs w:val="20"/>
        </w:rPr>
        <w:t xml:space="preserve">ppeal </w:t>
      </w:r>
      <w:r w:rsidR="000A5CE1">
        <w:rPr>
          <w:rFonts w:cs="Arial"/>
          <w:sz w:val="20"/>
          <w:szCs w:val="20"/>
        </w:rPr>
        <w:t>P</w:t>
      </w:r>
      <w:r w:rsidRPr="00D520BF">
        <w:rPr>
          <w:rFonts w:cs="Arial"/>
          <w:sz w:val="20"/>
          <w:szCs w:val="20"/>
        </w:rPr>
        <w:t>anel cannot accept papers that are tabled late or ad hoc, as this affects the preparation of the panel and other parties for the appeal.</w:t>
      </w:r>
    </w:p>
    <w:p w:rsidRPr="00D520BF" w:rsidR="00613CE8" w:rsidP="00613CE8" w:rsidRDefault="00613CE8" w14:paraId="44024AEB" w14:textId="77777777">
      <w:pPr>
        <w:jc w:val="both"/>
        <w:rPr>
          <w:rFonts w:cs="Arial"/>
          <w:color w:val="auto"/>
        </w:rPr>
      </w:pPr>
      <w:r w:rsidRPr="00D520BF">
        <w:rPr>
          <w:rFonts w:cs="Arial"/>
          <w:color w:val="auto"/>
        </w:rPr>
        <w:t>Yours sincerely</w:t>
      </w:r>
    </w:p>
    <w:p w:rsidRPr="00D520BF" w:rsidR="006A35FC" w:rsidP="00613CE8" w:rsidRDefault="009512BD" w14:paraId="54664002" w14:textId="33327C13">
      <w:pPr>
        <w:jc w:val="both"/>
        <w:rPr>
          <w:rFonts w:cs="Arial"/>
          <w:color w:val="auto"/>
        </w:rPr>
      </w:pPr>
      <w:r w:rsidRPr="28AD7694" w:rsidR="009512BD">
        <w:rPr>
          <w:rFonts w:cs="Arial"/>
          <w:noProof/>
          <w:color w:val="auto"/>
          <w:highlight w:val="black"/>
        </w:rPr>
        <w:t>XXXXXXXX</w:t>
      </w:r>
    </w:p>
    <w:p w:rsidRPr="00D520BF" w:rsidR="00613CE8" w:rsidP="00613CE8" w:rsidRDefault="00407EC9" w14:paraId="0588C340" w14:textId="01CCEE46">
      <w:pPr>
        <w:spacing w:line="360" w:lineRule="auto"/>
        <w:jc w:val="both"/>
        <w:rPr>
          <w:rFonts w:cs="Arial"/>
          <w:color w:val="auto"/>
        </w:rPr>
      </w:pPr>
      <w:r w:rsidRPr="00D520BF">
        <w:rPr>
          <w:rFonts w:cs="Arial"/>
          <w:color w:val="auto"/>
        </w:rPr>
        <w:t>Dr Mark Chakravarty</w:t>
      </w:r>
    </w:p>
    <w:p w:rsidRPr="00D520BF" w:rsidR="00407EC9" w:rsidP="00613CE8" w:rsidRDefault="00407EC9" w14:paraId="1DED6187" w14:textId="240F80CD">
      <w:pPr>
        <w:spacing w:line="360" w:lineRule="auto"/>
        <w:jc w:val="both"/>
        <w:rPr>
          <w:rFonts w:cs="Arial"/>
          <w:color w:val="auto"/>
        </w:rPr>
      </w:pPr>
      <w:r w:rsidRPr="00D520BF">
        <w:rPr>
          <w:rFonts w:cs="Arial"/>
          <w:color w:val="auto"/>
        </w:rPr>
        <w:t xml:space="preserve">Lead Non-Executive Director for Appeals </w:t>
      </w:r>
    </w:p>
    <w:p w:rsidRPr="00D520BF" w:rsidR="00613CE8" w:rsidP="00613CE8" w:rsidRDefault="00613CE8" w14:paraId="6AB725EB" w14:textId="77777777">
      <w:pPr>
        <w:spacing w:line="360" w:lineRule="auto"/>
        <w:jc w:val="both"/>
        <w:rPr>
          <w:rFonts w:cs="Arial"/>
          <w:color w:val="auto"/>
        </w:rPr>
      </w:pPr>
      <w:r w:rsidRPr="00D520BF">
        <w:rPr>
          <w:rFonts w:cs="Arial"/>
          <w:color w:val="auto"/>
        </w:rPr>
        <w:t>National Institute for Health and Care Excellence</w:t>
      </w:r>
    </w:p>
    <w:p w:rsidRPr="003327D3" w:rsidR="00613CE8" w:rsidP="00613CE8" w:rsidRDefault="00613CE8" w14:paraId="0F36A701" w14:textId="77777777">
      <w:pPr>
        <w:jc w:val="both"/>
        <w:rPr>
          <w:rFonts w:cs="Arial"/>
          <w:color w:val="auto"/>
        </w:rPr>
      </w:pPr>
    </w:p>
    <w:p w:rsidRPr="003327D3" w:rsidR="00613CE8" w:rsidP="00613CE8" w:rsidRDefault="00613CE8" w14:paraId="3EB183CA" w14:textId="77777777">
      <w:pPr>
        <w:jc w:val="both"/>
        <w:rPr>
          <w:rFonts w:cs="Arial"/>
          <w:color w:val="auto"/>
        </w:rPr>
      </w:pPr>
    </w:p>
    <w:p w:rsidRPr="00DD7697" w:rsidR="002B21D4" w:rsidP="00613CE8" w:rsidRDefault="002B21D4" w14:paraId="0C61E456" w14:textId="77777777">
      <w:pPr>
        <w:pStyle w:val="Paragraph"/>
        <w:numPr>
          <w:ilvl w:val="0"/>
          <w:numId w:val="0"/>
        </w:numPr>
        <w:spacing w:before="120"/>
        <w:jc w:val="both"/>
        <w:rPr>
          <w:rFonts w:cs="Arial"/>
        </w:rPr>
      </w:pPr>
    </w:p>
    <w:sectPr w:rsidRPr="00DD7697" w:rsidR="002B21D4" w:rsidSect="00DC03BB">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D38" w:rsidRDefault="00893D38" w14:paraId="6877A5A4" w14:textId="77777777">
      <w:r>
        <w:separator/>
      </w:r>
    </w:p>
  </w:endnote>
  <w:endnote w:type="continuationSeparator" w:id="0">
    <w:p w:rsidR="00893D38" w:rsidRDefault="00893D38" w14:paraId="009B87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99F" w:rsidRDefault="00EA099F" w14:paraId="0A200B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D38" w:rsidRDefault="00893D38" w14:paraId="7F021187" w14:textId="77777777">
      <w:r>
        <w:separator/>
      </w:r>
    </w:p>
  </w:footnote>
  <w:footnote w:type="continuationSeparator" w:id="0">
    <w:p w:rsidR="00893D38" w:rsidRDefault="00893D38" w14:paraId="5198BB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99F" w:rsidRDefault="00EA099F" w14:paraId="3F82B5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99F" w:rsidRDefault="00EA099F" w14:paraId="6D2DC0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FD226B5"/>
    <w:multiLevelType w:val="hybridMultilevel"/>
    <w:tmpl w:val="54DE2EE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508AE"/>
    <w:multiLevelType w:val="hybridMultilevel"/>
    <w:tmpl w:val="722A53B2"/>
    <w:lvl w:ilvl="0" w:tplc="7CBA5F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956795"/>
    <w:multiLevelType w:val="hybridMultilevel"/>
    <w:tmpl w:val="2D0EC704"/>
    <w:lvl w:ilvl="0" w:tplc="38464D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5"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9"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44597A"/>
    <w:multiLevelType w:val="hybridMultilevel"/>
    <w:tmpl w:val="C3D436A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9B4CE1"/>
    <w:multiLevelType w:val="hybridMultilevel"/>
    <w:tmpl w:val="B50880F6"/>
    <w:lvl w:ilvl="0" w:tplc="130295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5"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9913029"/>
    <w:multiLevelType w:val="hybridMultilevel"/>
    <w:tmpl w:val="A80C686A"/>
    <w:lvl w:ilvl="0" w:tplc="08090003">
      <w:start w:val="1"/>
      <w:numFmt w:val="bullet"/>
      <w:lvlText w:val="o"/>
      <w:lvlJc w:val="left"/>
      <w:pPr>
        <w:ind w:left="2214" w:hanging="360"/>
      </w:pPr>
      <w:rPr>
        <w:rFonts w:hint="default" w:ascii="Courier New" w:hAnsi="Courier New" w:cs="Courier New"/>
      </w:rPr>
    </w:lvl>
    <w:lvl w:ilvl="1" w:tplc="08090003">
      <w:start w:val="1"/>
      <w:numFmt w:val="bullet"/>
      <w:lvlText w:val="o"/>
      <w:lvlJc w:val="left"/>
      <w:pPr>
        <w:ind w:left="2934" w:hanging="360"/>
      </w:pPr>
      <w:rPr>
        <w:rFonts w:hint="default" w:ascii="Courier New" w:hAnsi="Courier New" w:cs="Courier New"/>
      </w:rPr>
    </w:lvl>
    <w:lvl w:ilvl="2" w:tplc="08090005" w:tentative="1">
      <w:start w:val="1"/>
      <w:numFmt w:val="bullet"/>
      <w:lvlText w:val=""/>
      <w:lvlJc w:val="left"/>
      <w:pPr>
        <w:ind w:left="3654" w:hanging="360"/>
      </w:pPr>
      <w:rPr>
        <w:rFonts w:hint="default" w:ascii="Wingdings" w:hAnsi="Wingdings"/>
      </w:rPr>
    </w:lvl>
    <w:lvl w:ilvl="3" w:tplc="08090001" w:tentative="1">
      <w:start w:val="1"/>
      <w:numFmt w:val="bullet"/>
      <w:lvlText w:val=""/>
      <w:lvlJc w:val="left"/>
      <w:pPr>
        <w:ind w:left="4374" w:hanging="360"/>
      </w:pPr>
      <w:rPr>
        <w:rFonts w:hint="default" w:ascii="Symbol" w:hAnsi="Symbol"/>
      </w:rPr>
    </w:lvl>
    <w:lvl w:ilvl="4" w:tplc="08090003" w:tentative="1">
      <w:start w:val="1"/>
      <w:numFmt w:val="bullet"/>
      <w:lvlText w:val="o"/>
      <w:lvlJc w:val="left"/>
      <w:pPr>
        <w:ind w:left="5094" w:hanging="360"/>
      </w:pPr>
      <w:rPr>
        <w:rFonts w:hint="default" w:ascii="Courier New" w:hAnsi="Courier New" w:cs="Courier New"/>
      </w:rPr>
    </w:lvl>
    <w:lvl w:ilvl="5" w:tplc="08090005" w:tentative="1">
      <w:start w:val="1"/>
      <w:numFmt w:val="bullet"/>
      <w:lvlText w:val=""/>
      <w:lvlJc w:val="left"/>
      <w:pPr>
        <w:ind w:left="5814" w:hanging="360"/>
      </w:pPr>
      <w:rPr>
        <w:rFonts w:hint="default" w:ascii="Wingdings" w:hAnsi="Wingdings"/>
      </w:rPr>
    </w:lvl>
    <w:lvl w:ilvl="6" w:tplc="08090001" w:tentative="1">
      <w:start w:val="1"/>
      <w:numFmt w:val="bullet"/>
      <w:lvlText w:val=""/>
      <w:lvlJc w:val="left"/>
      <w:pPr>
        <w:ind w:left="6534" w:hanging="360"/>
      </w:pPr>
      <w:rPr>
        <w:rFonts w:hint="default" w:ascii="Symbol" w:hAnsi="Symbol"/>
      </w:rPr>
    </w:lvl>
    <w:lvl w:ilvl="7" w:tplc="08090003" w:tentative="1">
      <w:start w:val="1"/>
      <w:numFmt w:val="bullet"/>
      <w:lvlText w:val="o"/>
      <w:lvlJc w:val="left"/>
      <w:pPr>
        <w:ind w:left="7254" w:hanging="360"/>
      </w:pPr>
      <w:rPr>
        <w:rFonts w:hint="default" w:ascii="Courier New" w:hAnsi="Courier New" w:cs="Courier New"/>
      </w:rPr>
    </w:lvl>
    <w:lvl w:ilvl="8" w:tplc="08090005" w:tentative="1">
      <w:start w:val="1"/>
      <w:numFmt w:val="bullet"/>
      <w:lvlText w:val=""/>
      <w:lvlJc w:val="left"/>
      <w:pPr>
        <w:ind w:left="7974" w:hanging="360"/>
      </w:pPr>
      <w:rPr>
        <w:rFonts w:hint="default" w:ascii="Wingdings" w:hAnsi="Wingdings"/>
      </w:rPr>
    </w:lvl>
  </w:abstractNum>
  <w:abstractNum w:abstractNumId="27" w15:restartNumberingAfterBreak="0">
    <w:nsid w:val="6F130118"/>
    <w:multiLevelType w:val="hybridMultilevel"/>
    <w:tmpl w:val="888839DA"/>
    <w:lvl w:ilvl="0" w:tplc="606EEA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5A2C5A"/>
    <w:multiLevelType w:val="hybridMultilevel"/>
    <w:tmpl w:val="98C43788"/>
    <w:lvl w:ilvl="0" w:tplc="02782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6"/>
  </w:num>
  <w:num w:numId="3" w16cid:durableId="735858711">
    <w:abstractNumId w:val="23"/>
  </w:num>
  <w:num w:numId="4" w16cid:durableId="791437817">
    <w:abstractNumId w:val="23"/>
  </w:num>
  <w:num w:numId="5" w16cid:durableId="589656231">
    <w:abstractNumId w:val="24"/>
  </w:num>
  <w:num w:numId="6" w16cid:durableId="1033071542">
    <w:abstractNumId w:val="0"/>
  </w:num>
  <w:num w:numId="7" w16cid:durableId="692002320">
    <w:abstractNumId w:val="23"/>
  </w:num>
  <w:num w:numId="8" w16cid:durableId="893390988">
    <w:abstractNumId w:val="23"/>
  </w:num>
  <w:num w:numId="9" w16cid:durableId="1036344506">
    <w:abstractNumId w:val="23"/>
  </w:num>
  <w:num w:numId="10" w16cid:durableId="1081758715">
    <w:abstractNumId w:val="16"/>
  </w:num>
  <w:num w:numId="11" w16cid:durableId="1324700156">
    <w:abstractNumId w:val="4"/>
  </w:num>
  <w:num w:numId="12" w16cid:durableId="297996532">
    <w:abstractNumId w:val="15"/>
  </w:num>
  <w:num w:numId="13" w16cid:durableId="1315715874">
    <w:abstractNumId w:val="17"/>
  </w:num>
  <w:num w:numId="14" w16cid:durableId="1234002226">
    <w:abstractNumId w:val="22"/>
  </w:num>
  <w:num w:numId="15" w16cid:durableId="682052213">
    <w:abstractNumId w:val="11"/>
  </w:num>
  <w:num w:numId="16" w16cid:durableId="1741825062">
    <w:abstractNumId w:val="19"/>
  </w:num>
  <w:num w:numId="17" w16cid:durableId="1644236023">
    <w:abstractNumId w:val="30"/>
  </w:num>
  <w:num w:numId="18" w16cid:durableId="530655038">
    <w:abstractNumId w:val="5"/>
  </w:num>
  <w:num w:numId="19" w16cid:durableId="2126733805">
    <w:abstractNumId w:val="25"/>
  </w:num>
  <w:num w:numId="20" w16cid:durableId="621762274">
    <w:abstractNumId w:val="14"/>
  </w:num>
  <w:num w:numId="21" w16cid:durableId="170607788">
    <w:abstractNumId w:val="7"/>
  </w:num>
  <w:num w:numId="22" w16cid:durableId="460727966">
    <w:abstractNumId w:val="31"/>
  </w:num>
  <w:num w:numId="23" w16cid:durableId="2105420001">
    <w:abstractNumId w:val="1"/>
  </w:num>
  <w:num w:numId="24" w16cid:durableId="2048407580">
    <w:abstractNumId w:val="18"/>
  </w:num>
  <w:num w:numId="25" w16cid:durableId="1798986414">
    <w:abstractNumId w:val="9"/>
  </w:num>
  <w:num w:numId="26" w16cid:durableId="1415205502">
    <w:abstractNumId w:val="29"/>
  </w:num>
  <w:num w:numId="27" w16cid:durableId="368603691">
    <w:abstractNumId w:val="8"/>
  </w:num>
  <w:num w:numId="28" w16cid:durableId="217009139">
    <w:abstractNumId w:val="23"/>
  </w:num>
  <w:num w:numId="29" w16cid:durableId="1991011021">
    <w:abstractNumId w:val="23"/>
  </w:num>
  <w:num w:numId="30" w16cid:durableId="840006877">
    <w:abstractNumId w:val="10"/>
  </w:num>
  <w:num w:numId="31" w16cid:durableId="324751170">
    <w:abstractNumId w:val="23"/>
  </w:num>
  <w:num w:numId="32" w16cid:durableId="1909340188">
    <w:abstractNumId w:val="23"/>
  </w:num>
  <w:num w:numId="33" w16cid:durableId="334496126">
    <w:abstractNumId w:val="32"/>
  </w:num>
  <w:num w:numId="34" w16cid:durableId="2036537632">
    <w:abstractNumId w:val="21"/>
  </w:num>
  <w:num w:numId="35" w16cid:durableId="1681660289">
    <w:abstractNumId w:val="13"/>
  </w:num>
  <w:num w:numId="36" w16cid:durableId="2067339708">
    <w:abstractNumId w:val="26"/>
  </w:num>
  <w:num w:numId="37" w16cid:durableId="1744910479">
    <w:abstractNumId w:val="3"/>
  </w:num>
  <w:num w:numId="38" w16cid:durableId="79764566">
    <w:abstractNumId w:val="20"/>
  </w:num>
  <w:num w:numId="39" w16cid:durableId="2096322680">
    <w:abstractNumId w:val="27"/>
  </w:num>
  <w:num w:numId="40" w16cid:durableId="659231497">
    <w:abstractNumId w:val="28"/>
  </w:num>
  <w:num w:numId="41" w16cid:durableId="14405496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17AB0"/>
    <w:rsid w:val="0002043D"/>
    <w:rsid w:val="000218C9"/>
    <w:rsid w:val="000223BD"/>
    <w:rsid w:val="00024DA5"/>
    <w:rsid w:val="00025D77"/>
    <w:rsid w:val="000329FE"/>
    <w:rsid w:val="00032A36"/>
    <w:rsid w:val="0004302C"/>
    <w:rsid w:val="000470BB"/>
    <w:rsid w:val="00047383"/>
    <w:rsid w:val="00052894"/>
    <w:rsid w:val="000532DA"/>
    <w:rsid w:val="00056CD2"/>
    <w:rsid w:val="0006534F"/>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18E3"/>
    <w:rsid w:val="000A490C"/>
    <w:rsid w:val="000A4DFC"/>
    <w:rsid w:val="000A5CE1"/>
    <w:rsid w:val="000B1D36"/>
    <w:rsid w:val="000B3C21"/>
    <w:rsid w:val="000B5760"/>
    <w:rsid w:val="000B73F9"/>
    <w:rsid w:val="000C6B26"/>
    <w:rsid w:val="000C7DFE"/>
    <w:rsid w:val="000D1E58"/>
    <w:rsid w:val="000E020F"/>
    <w:rsid w:val="000E16D3"/>
    <w:rsid w:val="000E40C4"/>
    <w:rsid w:val="000F014D"/>
    <w:rsid w:val="000F3523"/>
    <w:rsid w:val="000F6BB5"/>
    <w:rsid w:val="00102F59"/>
    <w:rsid w:val="00106505"/>
    <w:rsid w:val="00107520"/>
    <w:rsid w:val="00111749"/>
    <w:rsid w:val="00116523"/>
    <w:rsid w:val="00120071"/>
    <w:rsid w:val="00120FFA"/>
    <w:rsid w:val="001232BE"/>
    <w:rsid w:val="00123922"/>
    <w:rsid w:val="00123B83"/>
    <w:rsid w:val="00123E00"/>
    <w:rsid w:val="00131602"/>
    <w:rsid w:val="001319CF"/>
    <w:rsid w:val="00132DDC"/>
    <w:rsid w:val="00136C94"/>
    <w:rsid w:val="00145246"/>
    <w:rsid w:val="001465BD"/>
    <w:rsid w:val="0014692A"/>
    <w:rsid w:val="001470EF"/>
    <w:rsid w:val="00150421"/>
    <w:rsid w:val="00151269"/>
    <w:rsid w:val="001561EF"/>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6E74"/>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273AB"/>
    <w:rsid w:val="00232FF4"/>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21D4"/>
    <w:rsid w:val="002C14B2"/>
    <w:rsid w:val="002C1B43"/>
    <w:rsid w:val="002C3468"/>
    <w:rsid w:val="002C3E42"/>
    <w:rsid w:val="002C4202"/>
    <w:rsid w:val="002C5356"/>
    <w:rsid w:val="002D2F52"/>
    <w:rsid w:val="002D412A"/>
    <w:rsid w:val="002D4715"/>
    <w:rsid w:val="002E4D13"/>
    <w:rsid w:val="002E6A1E"/>
    <w:rsid w:val="002E7FE1"/>
    <w:rsid w:val="002F02D4"/>
    <w:rsid w:val="002F25FC"/>
    <w:rsid w:val="002F374D"/>
    <w:rsid w:val="002F6526"/>
    <w:rsid w:val="003027BC"/>
    <w:rsid w:val="00310279"/>
    <w:rsid w:val="003130C6"/>
    <w:rsid w:val="00314589"/>
    <w:rsid w:val="00316D28"/>
    <w:rsid w:val="00317646"/>
    <w:rsid w:val="003210E2"/>
    <w:rsid w:val="00321A60"/>
    <w:rsid w:val="00323185"/>
    <w:rsid w:val="00326AFE"/>
    <w:rsid w:val="00326E72"/>
    <w:rsid w:val="003308CE"/>
    <w:rsid w:val="003309D9"/>
    <w:rsid w:val="00332149"/>
    <w:rsid w:val="00332C05"/>
    <w:rsid w:val="0033740C"/>
    <w:rsid w:val="00343CE3"/>
    <w:rsid w:val="00345918"/>
    <w:rsid w:val="003478F6"/>
    <w:rsid w:val="0035004E"/>
    <w:rsid w:val="00351496"/>
    <w:rsid w:val="003627D7"/>
    <w:rsid w:val="0036323C"/>
    <w:rsid w:val="00371C6B"/>
    <w:rsid w:val="00372CDB"/>
    <w:rsid w:val="00381E46"/>
    <w:rsid w:val="00382D01"/>
    <w:rsid w:val="00383DDC"/>
    <w:rsid w:val="0038454F"/>
    <w:rsid w:val="00393619"/>
    <w:rsid w:val="00395196"/>
    <w:rsid w:val="0039570A"/>
    <w:rsid w:val="00396B85"/>
    <w:rsid w:val="003A74FD"/>
    <w:rsid w:val="003A78CC"/>
    <w:rsid w:val="003A7A38"/>
    <w:rsid w:val="003B056B"/>
    <w:rsid w:val="003B0952"/>
    <w:rsid w:val="003B1DD0"/>
    <w:rsid w:val="003B29ED"/>
    <w:rsid w:val="003B5308"/>
    <w:rsid w:val="003C4D96"/>
    <w:rsid w:val="003C5792"/>
    <w:rsid w:val="003C7489"/>
    <w:rsid w:val="003D1A18"/>
    <w:rsid w:val="003D2B50"/>
    <w:rsid w:val="003D3448"/>
    <w:rsid w:val="003D6BD0"/>
    <w:rsid w:val="003E09ED"/>
    <w:rsid w:val="003E0C0E"/>
    <w:rsid w:val="003E2CBA"/>
    <w:rsid w:val="003E5293"/>
    <w:rsid w:val="003E64E4"/>
    <w:rsid w:val="003E67E7"/>
    <w:rsid w:val="003F0380"/>
    <w:rsid w:val="0040061D"/>
    <w:rsid w:val="00406D54"/>
    <w:rsid w:val="00407EC9"/>
    <w:rsid w:val="00413F89"/>
    <w:rsid w:val="00414D6F"/>
    <w:rsid w:val="00417F57"/>
    <w:rsid w:val="00424E76"/>
    <w:rsid w:val="004309B6"/>
    <w:rsid w:val="00431B23"/>
    <w:rsid w:val="00434670"/>
    <w:rsid w:val="00436264"/>
    <w:rsid w:val="00444494"/>
    <w:rsid w:val="004445BE"/>
    <w:rsid w:val="00445001"/>
    <w:rsid w:val="0045311D"/>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422"/>
    <w:rsid w:val="004C4AED"/>
    <w:rsid w:val="004D0511"/>
    <w:rsid w:val="004D1394"/>
    <w:rsid w:val="004D24D5"/>
    <w:rsid w:val="004D26CF"/>
    <w:rsid w:val="004D284F"/>
    <w:rsid w:val="004D2CE5"/>
    <w:rsid w:val="004D3D80"/>
    <w:rsid w:val="004D44D5"/>
    <w:rsid w:val="004D4E54"/>
    <w:rsid w:val="004D5E08"/>
    <w:rsid w:val="004D6F91"/>
    <w:rsid w:val="004D7840"/>
    <w:rsid w:val="004E5E43"/>
    <w:rsid w:val="004E7BE1"/>
    <w:rsid w:val="004F1061"/>
    <w:rsid w:val="004F44BE"/>
    <w:rsid w:val="004F531C"/>
    <w:rsid w:val="00500774"/>
    <w:rsid w:val="00500AEB"/>
    <w:rsid w:val="005053C0"/>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388"/>
    <w:rsid w:val="00582449"/>
    <w:rsid w:val="00582FC4"/>
    <w:rsid w:val="00583F62"/>
    <w:rsid w:val="00584E26"/>
    <w:rsid w:val="00587762"/>
    <w:rsid w:val="00597A7F"/>
    <w:rsid w:val="005A0B8C"/>
    <w:rsid w:val="005B066D"/>
    <w:rsid w:val="005B0EA5"/>
    <w:rsid w:val="005B160A"/>
    <w:rsid w:val="005B2FEC"/>
    <w:rsid w:val="005B7585"/>
    <w:rsid w:val="005B775D"/>
    <w:rsid w:val="005C15D3"/>
    <w:rsid w:val="005C4A8E"/>
    <w:rsid w:val="005D2833"/>
    <w:rsid w:val="005E0186"/>
    <w:rsid w:val="005E20D0"/>
    <w:rsid w:val="005E339C"/>
    <w:rsid w:val="005E70E7"/>
    <w:rsid w:val="005E7923"/>
    <w:rsid w:val="005E7DAF"/>
    <w:rsid w:val="005F25B1"/>
    <w:rsid w:val="005F6045"/>
    <w:rsid w:val="005F75A8"/>
    <w:rsid w:val="005F7C6F"/>
    <w:rsid w:val="0060170A"/>
    <w:rsid w:val="0060349F"/>
    <w:rsid w:val="006053B6"/>
    <w:rsid w:val="00605766"/>
    <w:rsid w:val="00611D77"/>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471E1"/>
    <w:rsid w:val="00654046"/>
    <w:rsid w:val="006574D6"/>
    <w:rsid w:val="00664690"/>
    <w:rsid w:val="00664C74"/>
    <w:rsid w:val="00666041"/>
    <w:rsid w:val="00671AC5"/>
    <w:rsid w:val="00671DEA"/>
    <w:rsid w:val="0067289D"/>
    <w:rsid w:val="00674F8C"/>
    <w:rsid w:val="0067697E"/>
    <w:rsid w:val="00676F1B"/>
    <w:rsid w:val="006830F2"/>
    <w:rsid w:val="006833B7"/>
    <w:rsid w:val="00683436"/>
    <w:rsid w:val="00683585"/>
    <w:rsid w:val="006845FA"/>
    <w:rsid w:val="006863D5"/>
    <w:rsid w:val="006869AE"/>
    <w:rsid w:val="006941C5"/>
    <w:rsid w:val="00694D09"/>
    <w:rsid w:val="00697B78"/>
    <w:rsid w:val="006A35FC"/>
    <w:rsid w:val="006A7179"/>
    <w:rsid w:val="006B04FF"/>
    <w:rsid w:val="006B1F0D"/>
    <w:rsid w:val="006B5A98"/>
    <w:rsid w:val="006B66E3"/>
    <w:rsid w:val="006B6C22"/>
    <w:rsid w:val="006C1B69"/>
    <w:rsid w:val="006C2992"/>
    <w:rsid w:val="006C3215"/>
    <w:rsid w:val="006C4724"/>
    <w:rsid w:val="006C5225"/>
    <w:rsid w:val="006C6463"/>
    <w:rsid w:val="006C7966"/>
    <w:rsid w:val="006C7DD0"/>
    <w:rsid w:val="006D0BE6"/>
    <w:rsid w:val="006D2130"/>
    <w:rsid w:val="006D2A19"/>
    <w:rsid w:val="006D3EE0"/>
    <w:rsid w:val="006D5A72"/>
    <w:rsid w:val="006D629B"/>
    <w:rsid w:val="006E1BA8"/>
    <w:rsid w:val="006E289A"/>
    <w:rsid w:val="006E5424"/>
    <w:rsid w:val="006E5BFE"/>
    <w:rsid w:val="006E73D2"/>
    <w:rsid w:val="006F0230"/>
    <w:rsid w:val="006F031B"/>
    <w:rsid w:val="006F0B11"/>
    <w:rsid w:val="006F417A"/>
    <w:rsid w:val="006F4507"/>
    <w:rsid w:val="006F57FC"/>
    <w:rsid w:val="006F64A0"/>
    <w:rsid w:val="006F6F07"/>
    <w:rsid w:val="00700624"/>
    <w:rsid w:val="007016D8"/>
    <w:rsid w:val="00704DBF"/>
    <w:rsid w:val="007050BA"/>
    <w:rsid w:val="00717A94"/>
    <w:rsid w:val="007232A5"/>
    <w:rsid w:val="0072474B"/>
    <w:rsid w:val="00726B3B"/>
    <w:rsid w:val="00726F5A"/>
    <w:rsid w:val="00730789"/>
    <w:rsid w:val="00732580"/>
    <w:rsid w:val="00732B6F"/>
    <w:rsid w:val="00732C0C"/>
    <w:rsid w:val="00733DBF"/>
    <w:rsid w:val="007353F9"/>
    <w:rsid w:val="007354E1"/>
    <w:rsid w:val="00736022"/>
    <w:rsid w:val="007405AA"/>
    <w:rsid w:val="00743499"/>
    <w:rsid w:val="00750A27"/>
    <w:rsid w:val="00750BB6"/>
    <w:rsid w:val="0075253A"/>
    <w:rsid w:val="00754E19"/>
    <w:rsid w:val="00755AA9"/>
    <w:rsid w:val="00763715"/>
    <w:rsid w:val="00764ECC"/>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C0D4C"/>
    <w:rsid w:val="007C57A8"/>
    <w:rsid w:val="007C6653"/>
    <w:rsid w:val="007D0762"/>
    <w:rsid w:val="007D2528"/>
    <w:rsid w:val="007D7791"/>
    <w:rsid w:val="007D7C74"/>
    <w:rsid w:val="007E32CB"/>
    <w:rsid w:val="007E48AD"/>
    <w:rsid w:val="007E4EDC"/>
    <w:rsid w:val="007E6CB7"/>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388A"/>
    <w:rsid w:val="008349BD"/>
    <w:rsid w:val="00836768"/>
    <w:rsid w:val="00836849"/>
    <w:rsid w:val="00841DE5"/>
    <w:rsid w:val="00841F3D"/>
    <w:rsid w:val="00842D0D"/>
    <w:rsid w:val="00844BE5"/>
    <w:rsid w:val="0084519D"/>
    <w:rsid w:val="00855278"/>
    <w:rsid w:val="008576D4"/>
    <w:rsid w:val="00861527"/>
    <w:rsid w:val="00862B47"/>
    <w:rsid w:val="00862C1A"/>
    <w:rsid w:val="008630DF"/>
    <w:rsid w:val="008651F9"/>
    <w:rsid w:val="00870284"/>
    <w:rsid w:val="0087462B"/>
    <w:rsid w:val="008763B3"/>
    <w:rsid w:val="008765DE"/>
    <w:rsid w:val="008847CD"/>
    <w:rsid w:val="00891B24"/>
    <w:rsid w:val="00893D38"/>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400F"/>
    <w:rsid w:val="008E5DA7"/>
    <w:rsid w:val="008E6AF9"/>
    <w:rsid w:val="008E722E"/>
    <w:rsid w:val="008F2130"/>
    <w:rsid w:val="008F4CCF"/>
    <w:rsid w:val="008F4D41"/>
    <w:rsid w:val="00900450"/>
    <w:rsid w:val="00903256"/>
    <w:rsid w:val="0090619B"/>
    <w:rsid w:val="00906CBF"/>
    <w:rsid w:val="009110D1"/>
    <w:rsid w:val="00913200"/>
    <w:rsid w:val="00915F8D"/>
    <w:rsid w:val="00917ADE"/>
    <w:rsid w:val="00917DBD"/>
    <w:rsid w:val="009230E2"/>
    <w:rsid w:val="009270E5"/>
    <w:rsid w:val="00930029"/>
    <w:rsid w:val="00930425"/>
    <w:rsid w:val="0093112A"/>
    <w:rsid w:val="009324E9"/>
    <w:rsid w:val="00933199"/>
    <w:rsid w:val="00936354"/>
    <w:rsid w:val="009376A0"/>
    <w:rsid w:val="00940811"/>
    <w:rsid w:val="00942F13"/>
    <w:rsid w:val="00943606"/>
    <w:rsid w:val="0094600E"/>
    <w:rsid w:val="009512BD"/>
    <w:rsid w:val="00951D67"/>
    <w:rsid w:val="00965082"/>
    <w:rsid w:val="00973C62"/>
    <w:rsid w:val="009742BF"/>
    <w:rsid w:val="00976F99"/>
    <w:rsid w:val="0097722B"/>
    <w:rsid w:val="00981577"/>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7143"/>
    <w:rsid w:val="00A879C0"/>
    <w:rsid w:val="00A87CC1"/>
    <w:rsid w:val="00A90555"/>
    <w:rsid w:val="00A95771"/>
    <w:rsid w:val="00A96044"/>
    <w:rsid w:val="00A9793D"/>
    <w:rsid w:val="00AA07E3"/>
    <w:rsid w:val="00AA0FC2"/>
    <w:rsid w:val="00AA12CA"/>
    <w:rsid w:val="00AA2694"/>
    <w:rsid w:val="00AA2DD9"/>
    <w:rsid w:val="00AB16DA"/>
    <w:rsid w:val="00AB36CF"/>
    <w:rsid w:val="00AC2FE8"/>
    <w:rsid w:val="00AC320B"/>
    <w:rsid w:val="00AC3CAE"/>
    <w:rsid w:val="00AC61E2"/>
    <w:rsid w:val="00AC67D3"/>
    <w:rsid w:val="00AC6A97"/>
    <w:rsid w:val="00AD1760"/>
    <w:rsid w:val="00AD210E"/>
    <w:rsid w:val="00AD5680"/>
    <w:rsid w:val="00AD7649"/>
    <w:rsid w:val="00AD7ADD"/>
    <w:rsid w:val="00AE090B"/>
    <w:rsid w:val="00AE0C2D"/>
    <w:rsid w:val="00AE3388"/>
    <w:rsid w:val="00AE3C3D"/>
    <w:rsid w:val="00AE51B1"/>
    <w:rsid w:val="00AE58A1"/>
    <w:rsid w:val="00AF1A26"/>
    <w:rsid w:val="00AF26DD"/>
    <w:rsid w:val="00AF2C0F"/>
    <w:rsid w:val="00AF35E5"/>
    <w:rsid w:val="00AF4D25"/>
    <w:rsid w:val="00B01601"/>
    <w:rsid w:val="00B0180D"/>
    <w:rsid w:val="00B11119"/>
    <w:rsid w:val="00B15DE3"/>
    <w:rsid w:val="00B2538A"/>
    <w:rsid w:val="00B26CD7"/>
    <w:rsid w:val="00B270BD"/>
    <w:rsid w:val="00B32249"/>
    <w:rsid w:val="00B36320"/>
    <w:rsid w:val="00B37654"/>
    <w:rsid w:val="00B40DA1"/>
    <w:rsid w:val="00B4260A"/>
    <w:rsid w:val="00B46004"/>
    <w:rsid w:val="00B460B3"/>
    <w:rsid w:val="00B4629A"/>
    <w:rsid w:val="00B53800"/>
    <w:rsid w:val="00B60AF4"/>
    <w:rsid w:val="00B62757"/>
    <w:rsid w:val="00B62869"/>
    <w:rsid w:val="00B65B79"/>
    <w:rsid w:val="00B67A28"/>
    <w:rsid w:val="00B7076F"/>
    <w:rsid w:val="00B71887"/>
    <w:rsid w:val="00B71D0C"/>
    <w:rsid w:val="00B731CD"/>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13F0"/>
    <w:rsid w:val="00BD2637"/>
    <w:rsid w:val="00BD2C9A"/>
    <w:rsid w:val="00BD4BF4"/>
    <w:rsid w:val="00BD54FF"/>
    <w:rsid w:val="00BD5A2B"/>
    <w:rsid w:val="00BD7795"/>
    <w:rsid w:val="00BE2210"/>
    <w:rsid w:val="00BE323B"/>
    <w:rsid w:val="00BE3A86"/>
    <w:rsid w:val="00BE3D27"/>
    <w:rsid w:val="00BE3F08"/>
    <w:rsid w:val="00BF15F6"/>
    <w:rsid w:val="00BF4FF8"/>
    <w:rsid w:val="00BF5EBB"/>
    <w:rsid w:val="00BF6B5B"/>
    <w:rsid w:val="00BF6BA1"/>
    <w:rsid w:val="00C00668"/>
    <w:rsid w:val="00C020FA"/>
    <w:rsid w:val="00C03935"/>
    <w:rsid w:val="00C11255"/>
    <w:rsid w:val="00C154D5"/>
    <w:rsid w:val="00C2049A"/>
    <w:rsid w:val="00C204DE"/>
    <w:rsid w:val="00C214C1"/>
    <w:rsid w:val="00C26381"/>
    <w:rsid w:val="00C32256"/>
    <w:rsid w:val="00C34C6E"/>
    <w:rsid w:val="00C364AF"/>
    <w:rsid w:val="00C37918"/>
    <w:rsid w:val="00C46B59"/>
    <w:rsid w:val="00C47D95"/>
    <w:rsid w:val="00C5006F"/>
    <w:rsid w:val="00C511EF"/>
    <w:rsid w:val="00C53573"/>
    <w:rsid w:val="00C54282"/>
    <w:rsid w:val="00C54ED3"/>
    <w:rsid w:val="00C60B7F"/>
    <w:rsid w:val="00C610C3"/>
    <w:rsid w:val="00C638BF"/>
    <w:rsid w:val="00C70019"/>
    <w:rsid w:val="00C74328"/>
    <w:rsid w:val="00C743C2"/>
    <w:rsid w:val="00C74693"/>
    <w:rsid w:val="00C74C78"/>
    <w:rsid w:val="00C75521"/>
    <w:rsid w:val="00C821E5"/>
    <w:rsid w:val="00C9104F"/>
    <w:rsid w:val="00C92F2A"/>
    <w:rsid w:val="00C9408E"/>
    <w:rsid w:val="00CA270F"/>
    <w:rsid w:val="00CA554E"/>
    <w:rsid w:val="00CB4BB7"/>
    <w:rsid w:val="00CB4C80"/>
    <w:rsid w:val="00CB7FD7"/>
    <w:rsid w:val="00CC1355"/>
    <w:rsid w:val="00CC2B62"/>
    <w:rsid w:val="00CC4BC2"/>
    <w:rsid w:val="00CC5A2C"/>
    <w:rsid w:val="00CD0242"/>
    <w:rsid w:val="00CD1D19"/>
    <w:rsid w:val="00CD2F35"/>
    <w:rsid w:val="00CD6C88"/>
    <w:rsid w:val="00CE450F"/>
    <w:rsid w:val="00CE49D2"/>
    <w:rsid w:val="00CF1FD6"/>
    <w:rsid w:val="00CF2EA0"/>
    <w:rsid w:val="00CF2FAD"/>
    <w:rsid w:val="00CF4345"/>
    <w:rsid w:val="00CF5142"/>
    <w:rsid w:val="00CF6F1B"/>
    <w:rsid w:val="00CF766D"/>
    <w:rsid w:val="00D131CC"/>
    <w:rsid w:val="00D13C31"/>
    <w:rsid w:val="00D1448F"/>
    <w:rsid w:val="00D159BE"/>
    <w:rsid w:val="00D22D12"/>
    <w:rsid w:val="00D235CC"/>
    <w:rsid w:val="00D2633B"/>
    <w:rsid w:val="00D31672"/>
    <w:rsid w:val="00D325D1"/>
    <w:rsid w:val="00D32D4E"/>
    <w:rsid w:val="00D336E0"/>
    <w:rsid w:val="00D36888"/>
    <w:rsid w:val="00D36DCD"/>
    <w:rsid w:val="00D50626"/>
    <w:rsid w:val="00D520BF"/>
    <w:rsid w:val="00D5473E"/>
    <w:rsid w:val="00D60DCA"/>
    <w:rsid w:val="00D622DA"/>
    <w:rsid w:val="00D67484"/>
    <w:rsid w:val="00D70D75"/>
    <w:rsid w:val="00D7181B"/>
    <w:rsid w:val="00D72C12"/>
    <w:rsid w:val="00D751F7"/>
    <w:rsid w:val="00D759C6"/>
    <w:rsid w:val="00D800C5"/>
    <w:rsid w:val="00D81B09"/>
    <w:rsid w:val="00D83A27"/>
    <w:rsid w:val="00D84024"/>
    <w:rsid w:val="00D95A0F"/>
    <w:rsid w:val="00DA35E1"/>
    <w:rsid w:val="00DA3B73"/>
    <w:rsid w:val="00DA623F"/>
    <w:rsid w:val="00DC0168"/>
    <w:rsid w:val="00DC03BB"/>
    <w:rsid w:val="00DC3C9A"/>
    <w:rsid w:val="00DC669A"/>
    <w:rsid w:val="00DD5E1F"/>
    <w:rsid w:val="00DD73C1"/>
    <w:rsid w:val="00DD7697"/>
    <w:rsid w:val="00DE1FEB"/>
    <w:rsid w:val="00DE4223"/>
    <w:rsid w:val="00DE52A4"/>
    <w:rsid w:val="00DF654A"/>
    <w:rsid w:val="00DF782D"/>
    <w:rsid w:val="00DF79CC"/>
    <w:rsid w:val="00E10345"/>
    <w:rsid w:val="00E10819"/>
    <w:rsid w:val="00E10C0E"/>
    <w:rsid w:val="00E11762"/>
    <w:rsid w:val="00E140BF"/>
    <w:rsid w:val="00E15CAE"/>
    <w:rsid w:val="00E16BC6"/>
    <w:rsid w:val="00E1774B"/>
    <w:rsid w:val="00E20DF8"/>
    <w:rsid w:val="00E27656"/>
    <w:rsid w:val="00E308B8"/>
    <w:rsid w:val="00E4124D"/>
    <w:rsid w:val="00E44353"/>
    <w:rsid w:val="00E45413"/>
    <w:rsid w:val="00E52A48"/>
    <w:rsid w:val="00E613A5"/>
    <w:rsid w:val="00E63295"/>
    <w:rsid w:val="00E64324"/>
    <w:rsid w:val="00E66927"/>
    <w:rsid w:val="00E671C3"/>
    <w:rsid w:val="00E70310"/>
    <w:rsid w:val="00E71E47"/>
    <w:rsid w:val="00E7553E"/>
    <w:rsid w:val="00E76DAD"/>
    <w:rsid w:val="00E76ECF"/>
    <w:rsid w:val="00E80CA5"/>
    <w:rsid w:val="00E8217F"/>
    <w:rsid w:val="00E83B14"/>
    <w:rsid w:val="00E855E3"/>
    <w:rsid w:val="00E8776B"/>
    <w:rsid w:val="00E877ED"/>
    <w:rsid w:val="00E87F1E"/>
    <w:rsid w:val="00E91831"/>
    <w:rsid w:val="00E93CB4"/>
    <w:rsid w:val="00EA099F"/>
    <w:rsid w:val="00EA155E"/>
    <w:rsid w:val="00EA1D7B"/>
    <w:rsid w:val="00EA440D"/>
    <w:rsid w:val="00EA725B"/>
    <w:rsid w:val="00EB4615"/>
    <w:rsid w:val="00EB7F04"/>
    <w:rsid w:val="00EC1824"/>
    <w:rsid w:val="00EC20D2"/>
    <w:rsid w:val="00EC2D3C"/>
    <w:rsid w:val="00EC357A"/>
    <w:rsid w:val="00EC73B3"/>
    <w:rsid w:val="00ED0C09"/>
    <w:rsid w:val="00ED66BC"/>
    <w:rsid w:val="00EE03EE"/>
    <w:rsid w:val="00EE42AF"/>
    <w:rsid w:val="00EE5403"/>
    <w:rsid w:val="00EE5599"/>
    <w:rsid w:val="00EE5D52"/>
    <w:rsid w:val="00EF043B"/>
    <w:rsid w:val="00EF237E"/>
    <w:rsid w:val="00EF23DF"/>
    <w:rsid w:val="00EF2575"/>
    <w:rsid w:val="00F0780D"/>
    <w:rsid w:val="00F16D65"/>
    <w:rsid w:val="00F17B83"/>
    <w:rsid w:val="00F20790"/>
    <w:rsid w:val="00F22258"/>
    <w:rsid w:val="00F2351B"/>
    <w:rsid w:val="00F27AB5"/>
    <w:rsid w:val="00F32B29"/>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B9C"/>
    <w:rsid w:val="00F97147"/>
    <w:rsid w:val="00FA0AF2"/>
    <w:rsid w:val="00FA6626"/>
    <w:rsid w:val="00FB033D"/>
    <w:rsid w:val="00FB0DAB"/>
    <w:rsid w:val="00FB3AE9"/>
    <w:rsid w:val="00FB79C9"/>
    <w:rsid w:val="00FC0076"/>
    <w:rsid w:val="00FC1156"/>
    <w:rsid w:val="00FC186E"/>
    <w:rsid w:val="00FC2363"/>
    <w:rsid w:val="00FC342C"/>
    <w:rsid w:val="00FD13E3"/>
    <w:rsid w:val="00FD462B"/>
    <w:rsid w:val="00FD5516"/>
    <w:rsid w:val="00FD6D44"/>
    <w:rsid w:val="00FD72D9"/>
    <w:rsid w:val="00FD7366"/>
    <w:rsid w:val="00FE2A13"/>
    <w:rsid w:val="00FE2E3E"/>
    <w:rsid w:val="00FE7C65"/>
    <w:rsid w:val="00FF2267"/>
    <w:rsid w:val="00FF4009"/>
    <w:rsid w:val="00FF49EB"/>
    <w:rsid w:val="040C830A"/>
    <w:rsid w:val="0869CD3C"/>
    <w:rsid w:val="2614D0B3"/>
    <w:rsid w:val="28AD7694"/>
    <w:rsid w:val="2CF4CD24"/>
    <w:rsid w:val="624CFC26"/>
    <w:rsid w:val="7EBFEF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Active1!162210707.2</documentid>
  <senderid>AWNE</senderid>
  <senderemail>AEDWARDS@DACBEACHCROFT.COM</senderemail>
  <lastmodified>2025-07-10T10:57:00.0000000+01:00</lastmodified>
  <database>Active1</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81EF4-258B-4324-8F74-AC9814F64C5F}">
  <ds:schemaRefs>
    <ds:schemaRef ds:uri="http://schemas.microsoft.com/sharepoint/v3/contenttype/forms"/>
  </ds:schemaRefs>
</ds:datastoreItem>
</file>

<file path=customXml/itemProps2.xml><?xml version="1.0" encoding="utf-8"?>
<ds:datastoreItem xmlns:ds="http://schemas.openxmlformats.org/officeDocument/2006/customXml" ds:itemID="{08D415B7-80CA-4C75-AE62-1BBDBBD68C96}">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3E8D43B2-3054-48D7-93A7-5016A70DCD81}">
  <ds:schemaRefs>
    <ds:schemaRef ds:uri="http://schemas.microsoft.com/office/2006/documentManagement/types"/>
    <ds:schemaRef ds:uri="http://purl.org/dc/elements/1.1/"/>
    <ds:schemaRef ds:uri="http://purl.org/dc/dcmitype/"/>
    <ds:schemaRef ds:uri="http://schemas.microsoft.com/office/infopath/2007/PartnerControls"/>
    <ds:schemaRef ds:uri="68f19371-ebe6-4483-8e72-73d36cd7064e"/>
    <ds:schemaRef ds:uri="http://www.w3.org/XML/1998/namespace"/>
    <ds:schemaRef ds:uri="http://purl.org/dc/terms/"/>
    <ds:schemaRef ds:uri="http://schemas.openxmlformats.org/package/2006/metadata/core-properties"/>
    <ds:schemaRef ds:uri="465a54fe-435b-4423-8fe2-c9a3626b31f7"/>
    <ds:schemaRef ds:uri="http://schemas.microsoft.com/office/2006/metadata/properties"/>
    <ds:schemaRef ds:uri="0eb656aa-4e79-4e95-9076-bc119a23e0cc"/>
  </ds:schemaRefs>
</ds:datastoreItem>
</file>

<file path=customXml/itemProps4.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5.xml><?xml version="1.0" encoding="utf-8"?>
<ds:datastoreItem xmlns:ds="http://schemas.openxmlformats.org/officeDocument/2006/customXml" ds:itemID="{03DFA8E4-EEBC-4946-AB9D-150C8B94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Titmus, Scott</dc:creator>
  <cp:lastModifiedBy>Lyn Davies</cp:lastModifiedBy>
  <cp:revision>24</cp:revision>
  <dcterms:created xsi:type="dcterms:W3CDTF">2025-07-10T14:56:00Z</dcterms:created>
  <dcterms:modified xsi:type="dcterms:W3CDTF">2025-12-23T16:05:42Z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2025-07-10T14:56:35Z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c5268240-d5f4-4582-beed-c6d0d9441000</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