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1BCE3" w14:textId="66345F4C" w:rsidR="009A5897" w:rsidRPr="004A293A" w:rsidRDefault="002B74AE">
      <w:pPr>
        <w:rPr>
          <w:rFonts w:ascii="Times New Roman Bold" w:hAnsi="Times New Roman Bold"/>
          <w:b/>
          <w:bCs/>
          <w:u w:val="single"/>
        </w:rPr>
      </w:pPr>
      <w:r w:rsidRPr="004A293A">
        <w:rPr>
          <w:rFonts w:ascii="Times New Roman Bold" w:hAnsi="Times New Roman Bold"/>
          <w:b/>
          <w:bCs/>
          <w:u w:val="single"/>
        </w:rPr>
        <w:t xml:space="preserve">APPEAL BY </w:t>
      </w:r>
      <w:r w:rsidR="00294C83">
        <w:rPr>
          <w:rFonts w:ascii="Times New Roman Bold" w:hAnsi="Times New Roman Bold"/>
          <w:b/>
          <w:bCs/>
          <w:u w:val="single"/>
        </w:rPr>
        <w:t xml:space="preserve">ELI LILLY </w:t>
      </w:r>
      <w:r w:rsidR="00311B37">
        <w:rPr>
          <w:rFonts w:ascii="Times New Roman Bold" w:hAnsi="Times New Roman Bold"/>
          <w:b/>
          <w:bCs/>
          <w:u w:val="single"/>
        </w:rPr>
        <w:t xml:space="preserve">&amp; COMPANY LTD </w:t>
      </w:r>
      <w:r w:rsidR="00594E0C" w:rsidRPr="004A293A">
        <w:rPr>
          <w:rFonts w:ascii="Times New Roman Bold" w:hAnsi="Times New Roman Bold"/>
          <w:b/>
          <w:bCs/>
          <w:u w:val="single"/>
        </w:rPr>
        <w:t xml:space="preserve">AGAINST THE </w:t>
      </w:r>
      <w:r w:rsidR="00684095" w:rsidRPr="004A293A">
        <w:rPr>
          <w:rFonts w:ascii="Times New Roman Bold" w:hAnsi="Times New Roman Bold"/>
          <w:b/>
          <w:bCs/>
          <w:u w:val="single"/>
        </w:rPr>
        <w:t>F</w:t>
      </w:r>
      <w:r w:rsidR="00183CDC" w:rsidRPr="004A293A">
        <w:rPr>
          <w:rFonts w:ascii="Times New Roman Bold" w:hAnsi="Times New Roman Bold"/>
          <w:b/>
          <w:bCs/>
          <w:u w:val="single"/>
        </w:rPr>
        <w:t xml:space="preserve">INAL DRAFT GUIDANCE FOR </w:t>
      </w:r>
      <w:r w:rsidR="00311B37">
        <w:rPr>
          <w:rFonts w:ascii="Times New Roman Bold" w:hAnsi="Times New Roman Bold"/>
          <w:b/>
          <w:bCs/>
          <w:u w:val="single"/>
        </w:rPr>
        <w:t>DON</w:t>
      </w:r>
      <w:r w:rsidR="00183CDC" w:rsidRPr="004A293A">
        <w:rPr>
          <w:rFonts w:ascii="Times New Roman Bold" w:hAnsi="Times New Roman Bold"/>
          <w:b/>
          <w:bCs/>
          <w:u w:val="single"/>
        </w:rPr>
        <w:t>ANEMAB FOR TREATING MILD COGNITIVE IMPAIRMENT OR MILD DEMENTIA CAUSED BY ALZHEIMER’S DISEASE [ID</w:t>
      </w:r>
      <w:r w:rsidR="00F34F44">
        <w:rPr>
          <w:rFonts w:ascii="Times New Roman Bold" w:hAnsi="Times New Roman Bold"/>
          <w:b/>
          <w:bCs/>
          <w:u w:val="single"/>
        </w:rPr>
        <w:t>6222</w:t>
      </w:r>
      <w:r w:rsidR="00183CDC" w:rsidRPr="004A293A">
        <w:rPr>
          <w:rFonts w:ascii="Times New Roman Bold" w:hAnsi="Times New Roman Bold"/>
          <w:b/>
          <w:bCs/>
          <w:u w:val="single"/>
        </w:rPr>
        <w:t>]</w:t>
      </w:r>
    </w:p>
    <w:p w14:paraId="16518035" w14:textId="77777777" w:rsidR="00594E0C" w:rsidRPr="004A293A" w:rsidRDefault="00594E0C">
      <w:pPr>
        <w:rPr>
          <w:rFonts w:ascii="Times New Roman Bold" w:hAnsi="Times New Roman Bold"/>
          <w:b/>
          <w:bCs/>
          <w:u w:val="single"/>
        </w:rPr>
      </w:pPr>
    </w:p>
    <w:p w14:paraId="372FA10F" w14:textId="4B7D0A51" w:rsidR="00594E0C" w:rsidRPr="004A293A" w:rsidRDefault="0000565A">
      <w:pPr>
        <w:rPr>
          <w:rFonts w:ascii="Times New Roman Bold" w:hAnsi="Times New Roman Bold"/>
          <w:b/>
          <w:bCs/>
          <w:u w:val="single"/>
        </w:rPr>
      </w:pPr>
      <w:r w:rsidRPr="004A293A">
        <w:rPr>
          <w:rFonts w:ascii="Times New Roman Bold" w:hAnsi="Times New Roman Bold"/>
          <w:b/>
          <w:bCs/>
          <w:u w:val="single"/>
        </w:rPr>
        <w:t>EXECUTIVE SUMMARY</w:t>
      </w:r>
    </w:p>
    <w:p w14:paraId="4535D40E" w14:textId="77777777" w:rsidR="00A20FBA" w:rsidRPr="00D16636" w:rsidRDefault="00A20FBA" w:rsidP="00A20FBA">
      <w:pPr>
        <w:rPr>
          <w:rFonts w:ascii="Times New Roman" w:hAnsi="Times New Roman"/>
        </w:rPr>
      </w:pPr>
      <w:r w:rsidRPr="00D16636">
        <w:rPr>
          <w:rFonts w:ascii="Times New Roman" w:hAnsi="Times New Roman"/>
        </w:rPr>
        <w:t>The appeal by Eli Lilly &amp; Company is submitted under the following grounds:</w:t>
      </w:r>
    </w:p>
    <w:p w14:paraId="3D1507B6" w14:textId="77777777" w:rsidR="00A20FBA" w:rsidRPr="00D16636" w:rsidRDefault="00A20FBA" w:rsidP="00A20FBA">
      <w:pPr>
        <w:rPr>
          <w:rFonts w:ascii="Times New Roman" w:hAnsi="Times New Roman"/>
        </w:rPr>
      </w:pPr>
      <w:r w:rsidRPr="00D16636">
        <w:rPr>
          <w:rFonts w:ascii="Times New Roman" w:hAnsi="Times New Roman"/>
        </w:rPr>
        <w:t>Ground 1</w:t>
      </w:r>
    </w:p>
    <w:p w14:paraId="6AD596CC" w14:textId="0821D0C5" w:rsidR="00A20FBA" w:rsidRPr="00D16636" w:rsidRDefault="00A20FBA" w:rsidP="00A20FBA">
      <w:pPr>
        <w:numPr>
          <w:ilvl w:val="0"/>
          <w:numId w:val="41"/>
        </w:numPr>
        <w:rPr>
          <w:rFonts w:ascii="Times New Roman" w:hAnsi="Times New Roman"/>
        </w:rPr>
      </w:pPr>
      <w:r w:rsidRPr="00D16636">
        <w:rPr>
          <w:rFonts w:ascii="Times New Roman" w:hAnsi="Times New Roman"/>
        </w:rPr>
        <w:t>The Committee’s assessment of caregiver utilities is inadequately explained and inconsistent with NICE’s Manual</w:t>
      </w:r>
      <w:r w:rsidR="00C34153">
        <w:rPr>
          <w:rFonts w:ascii="Times New Roman" w:hAnsi="Times New Roman"/>
        </w:rPr>
        <w:t>.</w:t>
      </w:r>
    </w:p>
    <w:p w14:paraId="1F070D77" w14:textId="3AF2217E" w:rsidR="00A20FBA" w:rsidRPr="00D16636" w:rsidRDefault="00A20FBA" w:rsidP="00A20FBA">
      <w:pPr>
        <w:numPr>
          <w:ilvl w:val="0"/>
          <w:numId w:val="41"/>
        </w:numPr>
        <w:rPr>
          <w:rFonts w:ascii="Times New Roman" w:hAnsi="Times New Roman"/>
        </w:rPr>
      </w:pPr>
      <w:r w:rsidRPr="00D16636">
        <w:rPr>
          <w:rFonts w:ascii="Times New Roman" w:hAnsi="Times New Roman"/>
        </w:rPr>
        <w:t xml:space="preserve">The infusion costs relied upon by the Committee lack transparency and have not been subject to adequate </w:t>
      </w:r>
      <w:r w:rsidR="00C34153" w:rsidRPr="00D16636">
        <w:rPr>
          <w:rFonts w:ascii="Times New Roman" w:hAnsi="Times New Roman"/>
        </w:rPr>
        <w:t>consultation.</w:t>
      </w:r>
    </w:p>
    <w:p w14:paraId="6C9C63B9" w14:textId="1452DA81" w:rsidR="00A20FBA" w:rsidRPr="00D16636" w:rsidRDefault="00A20FBA" w:rsidP="00A20FBA">
      <w:pPr>
        <w:numPr>
          <w:ilvl w:val="0"/>
          <w:numId w:val="41"/>
        </w:numPr>
        <w:rPr>
          <w:rFonts w:ascii="Times New Roman" w:hAnsi="Times New Roman"/>
        </w:rPr>
      </w:pPr>
      <w:r w:rsidRPr="00D16636">
        <w:rPr>
          <w:rFonts w:ascii="Times New Roman" w:hAnsi="Times New Roman"/>
        </w:rPr>
        <w:t>The Committee’s reasons for rejecting the infusion costs estimated by Lilly are inadequately explained and the Committee does not appear to have taken into account the evidence submitted by Lilly in response to the second Draft Guidance</w:t>
      </w:r>
      <w:r w:rsidR="00C34153">
        <w:rPr>
          <w:rFonts w:ascii="Times New Roman" w:hAnsi="Times New Roman"/>
        </w:rPr>
        <w:t>.</w:t>
      </w:r>
    </w:p>
    <w:p w14:paraId="46AA93B6" w14:textId="558FC913" w:rsidR="00A20FBA" w:rsidRPr="00D16636" w:rsidRDefault="00A20FBA" w:rsidP="00A20FBA">
      <w:pPr>
        <w:numPr>
          <w:ilvl w:val="0"/>
          <w:numId w:val="41"/>
        </w:numPr>
        <w:rPr>
          <w:rFonts w:ascii="Times New Roman" w:hAnsi="Times New Roman"/>
        </w:rPr>
      </w:pPr>
      <w:r w:rsidRPr="00D16636">
        <w:rPr>
          <w:rFonts w:ascii="Times New Roman" w:hAnsi="Times New Roman"/>
        </w:rPr>
        <w:t xml:space="preserve">The Committee has relied on the EAG’s </w:t>
      </w:r>
      <w:r w:rsidR="00376B1E" w:rsidRPr="00D16636">
        <w:rPr>
          <w:rFonts w:ascii="Times New Roman" w:hAnsi="Times New Roman"/>
        </w:rPr>
        <w:t>criticisms</w:t>
      </w:r>
      <w:r w:rsidRPr="00D16636">
        <w:rPr>
          <w:rFonts w:ascii="Times New Roman" w:hAnsi="Times New Roman"/>
        </w:rPr>
        <w:t xml:space="preserve"> of the long term data for donanemab, even though Lilly was given no opportunity to respond to or clarify these issues</w:t>
      </w:r>
      <w:r w:rsidR="00C34153">
        <w:rPr>
          <w:rFonts w:ascii="Times New Roman" w:hAnsi="Times New Roman"/>
        </w:rPr>
        <w:t>.</w:t>
      </w:r>
    </w:p>
    <w:p w14:paraId="18F18F5A" w14:textId="496DD7E1" w:rsidR="00A20FBA" w:rsidRPr="00D16636" w:rsidRDefault="00A20FBA" w:rsidP="00A20FBA">
      <w:pPr>
        <w:numPr>
          <w:ilvl w:val="0"/>
          <w:numId w:val="41"/>
        </w:numPr>
        <w:rPr>
          <w:rFonts w:ascii="Times New Roman" w:hAnsi="Times New Roman"/>
        </w:rPr>
      </w:pPr>
      <w:r w:rsidRPr="00D16636">
        <w:rPr>
          <w:rFonts w:ascii="Times New Roman" w:hAnsi="Times New Roman"/>
        </w:rPr>
        <w:t xml:space="preserve">The Committee has failed to give due consideration to use of donanemab through managed access in accordance with the Manual and the Innovative Medicines Fund Principles </w:t>
      </w:r>
      <w:r w:rsidR="002223CA" w:rsidRPr="00D16636">
        <w:rPr>
          <w:rFonts w:ascii="Times New Roman" w:hAnsi="Times New Roman"/>
        </w:rPr>
        <w:t>document.</w:t>
      </w:r>
    </w:p>
    <w:p w14:paraId="06152832" w14:textId="257824CE" w:rsidR="00A20FBA" w:rsidRPr="00D16636" w:rsidRDefault="00A20FBA" w:rsidP="00A20FBA">
      <w:pPr>
        <w:numPr>
          <w:ilvl w:val="0"/>
          <w:numId w:val="41"/>
        </w:numPr>
        <w:rPr>
          <w:rFonts w:ascii="Times New Roman" w:hAnsi="Times New Roman"/>
        </w:rPr>
      </w:pPr>
      <w:r w:rsidRPr="00D16636">
        <w:rPr>
          <w:rFonts w:ascii="Times New Roman" w:hAnsi="Times New Roman"/>
        </w:rPr>
        <w:t xml:space="preserve">The Committee’s consideration of the appropriate ICER threshold for this appraisal has failed to take into account the factors listed in the </w:t>
      </w:r>
      <w:r w:rsidR="002223CA" w:rsidRPr="00D16636">
        <w:rPr>
          <w:rFonts w:ascii="Times New Roman" w:hAnsi="Times New Roman"/>
        </w:rPr>
        <w:t>Manual.</w:t>
      </w:r>
    </w:p>
    <w:p w14:paraId="74B3B7FD" w14:textId="691BBFF5" w:rsidR="00A20FBA" w:rsidRPr="00D16636" w:rsidRDefault="00A20FBA" w:rsidP="00A20FBA">
      <w:pPr>
        <w:numPr>
          <w:ilvl w:val="0"/>
          <w:numId w:val="41"/>
        </w:numPr>
        <w:rPr>
          <w:rFonts w:ascii="Times New Roman" w:hAnsi="Times New Roman"/>
        </w:rPr>
      </w:pPr>
      <w:r w:rsidRPr="00D16636">
        <w:rPr>
          <w:rFonts w:ascii="Times New Roman" w:hAnsi="Times New Roman"/>
        </w:rPr>
        <w:t xml:space="preserve">The Committee has failed to consider scenario analyses which include unpaid care </w:t>
      </w:r>
      <w:r w:rsidR="00F76777" w:rsidRPr="00D16636">
        <w:rPr>
          <w:rFonts w:ascii="Times New Roman" w:hAnsi="Times New Roman"/>
        </w:rPr>
        <w:t>costs.</w:t>
      </w:r>
    </w:p>
    <w:p w14:paraId="2DA65D19" w14:textId="7AD83E07" w:rsidR="00A20FBA" w:rsidRPr="00D16636" w:rsidRDefault="00A20FBA" w:rsidP="00A20FBA">
      <w:pPr>
        <w:numPr>
          <w:ilvl w:val="0"/>
          <w:numId w:val="41"/>
        </w:numPr>
        <w:rPr>
          <w:rFonts w:ascii="Times New Roman" w:hAnsi="Times New Roman"/>
        </w:rPr>
      </w:pPr>
      <w:r w:rsidRPr="00D16636">
        <w:rPr>
          <w:rFonts w:ascii="Times New Roman" w:hAnsi="Times New Roman"/>
        </w:rPr>
        <w:t xml:space="preserve">The Committee has taken into account an irrelevant factor when deciding not to recommend </w:t>
      </w:r>
      <w:r w:rsidR="00F76777" w:rsidRPr="00D16636">
        <w:rPr>
          <w:rFonts w:ascii="Times New Roman" w:hAnsi="Times New Roman"/>
        </w:rPr>
        <w:t>donanemab.</w:t>
      </w:r>
    </w:p>
    <w:p w14:paraId="624E490B" w14:textId="77777777" w:rsidR="00A20FBA" w:rsidRPr="00D16636" w:rsidRDefault="00A20FBA" w:rsidP="00A20FBA">
      <w:pPr>
        <w:rPr>
          <w:rFonts w:ascii="Times New Roman" w:hAnsi="Times New Roman"/>
        </w:rPr>
      </w:pPr>
      <w:r w:rsidRPr="00D16636">
        <w:rPr>
          <w:rFonts w:ascii="Times New Roman" w:hAnsi="Times New Roman"/>
        </w:rPr>
        <w:t>Ground 2</w:t>
      </w:r>
    </w:p>
    <w:p w14:paraId="70551757" w14:textId="74BB4162" w:rsidR="00A20FBA" w:rsidRPr="00D16636" w:rsidRDefault="00A20FBA" w:rsidP="00A20FBA">
      <w:pPr>
        <w:numPr>
          <w:ilvl w:val="0"/>
          <w:numId w:val="42"/>
        </w:numPr>
        <w:rPr>
          <w:rFonts w:ascii="Times New Roman" w:hAnsi="Times New Roman"/>
        </w:rPr>
      </w:pPr>
      <w:r w:rsidRPr="00D16636">
        <w:rPr>
          <w:rFonts w:ascii="Times New Roman" w:hAnsi="Times New Roman"/>
        </w:rPr>
        <w:t xml:space="preserve">The Committee’s conclusions on caregiver utilities do not reflect the evidence available and are therefore </w:t>
      </w:r>
      <w:r w:rsidR="00F76777" w:rsidRPr="00D16636">
        <w:rPr>
          <w:rFonts w:ascii="Times New Roman" w:hAnsi="Times New Roman"/>
        </w:rPr>
        <w:t>unreasonable.</w:t>
      </w:r>
    </w:p>
    <w:p w14:paraId="0B6D5779" w14:textId="36A54BE3" w:rsidR="00A20FBA" w:rsidRPr="00D16636" w:rsidRDefault="00A20FBA" w:rsidP="00A20FBA">
      <w:pPr>
        <w:numPr>
          <w:ilvl w:val="0"/>
          <w:numId w:val="42"/>
        </w:numPr>
        <w:rPr>
          <w:rFonts w:ascii="Times New Roman" w:hAnsi="Times New Roman"/>
        </w:rPr>
      </w:pPr>
      <w:r w:rsidRPr="00D16636">
        <w:rPr>
          <w:rFonts w:ascii="Times New Roman" w:hAnsi="Times New Roman"/>
        </w:rPr>
        <w:t xml:space="preserve">The Committee’s approach to the proportion of patients initiating treatment in mild </w:t>
      </w:r>
      <w:r w:rsidR="003C5648" w:rsidRPr="00D16636">
        <w:rPr>
          <w:rFonts w:ascii="Times New Roman" w:hAnsi="Times New Roman"/>
        </w:rPr>
        <w:t>Alzheimer’s</w:t>
      </w:r>
      <w:r w:rsidRPr="00D16636">
        <w:rPr>
          <w:rFonts w:ascii="Times New Roman" w:hAnsi="Times New Roman"/>
        </w:rPr>
        <w:t xml:space="preserve"> Disease is inconsistent and </w:t>
      </w:r>
      <w:r w:rsidR="00F76777" w:rsidRPr="00D16636">
        <w:rPr>
          <w:rFonts w:ascii="Times New Roman" w:hAnsi="Times New Roman"/>
        </w:rPr>
        <w:t>unreasonable.</w:t>
      </w:r>
    </w:p>
    <w:p w14:paraId="7CC181F6" w14:textId="685B4141" w:rsidR="00A20FBA" w:rsidRPr="00D16636" w:rsidRDefault="00A20FBA" w:rsidP="00A20FBA">
      <w:pPr>
        <w:numPr>
          <w:ilvl w:val="0"/>
          <w:numId w:val="42"/>
        </w:numPr>
        <w:rPr>
          <w:rFonts w:ascii="Times New Roman" w:hAnsi="Times New Roman"/>
        </w:rPr>
      </w:pPr>
      <w:r w:rsidRPr="00D16636">
        <w:rPr>
          <w:rFonts w:ascii="Times New Roman" w:hAnsi="Times New Roman"/>
        </w:rPr>
        <w:t xml:space="preserve">The Committee’s assessment of the additional aspects of donanemab treatment is unreasonable and </w:t>
      </w:r>
      <w:r w:rsidR="00F76777" w:rsidRPr="00D16636">
        <w:rPr>
          <w:rFonts w:ascii="Times New Roman" w:hAnsi="Times New Roman"/>
        </w:rPr>
        <w:t>arbitrary.</w:t>
      </w:r>
    </w:p>
    <w:p w14:paraId="4A1FAA84" w14:textId="77777777" w:rsidR="003762DD" w:rsidRDefault="003762DD">
      <w:pPr>
        <w:rPr>
          <w:rFonts w:ascii="Times New Roman Bold" w:hAnsi="Times New Roman Bold"/>
          <w:b/>
          <w:bCs/>
          <w:u w:val="single"/>
        </w:rPr>
      </w:pPr>
    </w:p>
    <w:p w14:paraId="03BD8E8D" w14:textId="77777777" w:rsidR="00FC0400" w:rsidRPr="004A293A" w:rsidRDefault="00FC0400">
      <w:pPr>
        <w:rPr>
          <w:rFonts w:ascii="Times New Roman Bold" w:hAnsi="Times New Roman Bold"/>
          <w:b/>
          <w:bCs/>
          <w:u w:val="single"/>
        </w:rPr>
      </w:pPr>
    </w:p>
    <w:p w14:paraId="6806B55E" w14:textId="05967BE9" w:rsidR="00DF27B9" w:rsidRPr="004A293A" w:rsidRDefault="0000565A">
      <w:pPr>
        <w:rPr>
          <w:rFonts w:ascii="Times New Roman Bold" w:hAnsi="Times New Roman Bold"/>
          <w:b/>
          <w:bCs/>
          <w:u w:val="single"/>
        </w:rPr>
      </w:pPr>
      <w:r w:rsidRPr="004A293A">
        <w:rPr>
          <w:rFonts w:ascii="Times New Roman Bold" w:hAnsi="Times New Roman Bold"/>
          <w:b/>
          <w:bCs/>
          <w:u w:val="single"/>
        </w:rPr>
        <w:t>INTRODUCTION</w:t>
      </w:r>
    </w:p>
    <w:p w14:paraId="645F6E32" w14:textId="52233A9C" w:rsidR="0000565A" w:rsidRDefault="00264C9A" w:rsidP="0000565A">
      <w:pPr>
        <w:jc w:val="both"/>
        <w:rPr>
          <w:rFonts w:ascii="Times New Roman" w:eastAsia="Times New Roman" w:hAnsi="Times New Roman" w:cs="Times New Roman"/>
          <w:bCs/>
        </w:rPr>
      </w:pPr>
      <w:r>
        <w:rPr>
          <w:rFonts w:ascii="Times New Roman" w:eastAsia="Times New Roman" w:hAnsi="Times New Roman" w:cs="Times New Roman"/>
          <w:bCs/>
        </w:rPr>
        <w:t xml:space="preserve">Eli Lilly &amp; Company Ltd (“Lilly”) </w:t>
      </w:r>
      <w:r w:rsidR="0000565A" w:rsidRPr="00082416">
        <w:rPr>
          <w:rFonts w:ascii="Times New Roman" w:eastAsia="Times New Roman" w:hAnsi="Times New Roman" w:cs="Times New Roman"/>
          <w:bCs/>
        </w:rPr>
        <w:t>provide</w:t>
      </w:r>
      <w:r w:rsidR="006669E2">
        <w:rPr>
          <w:rFonts w:ascii="Times New Roman" w:eastAsia="Times New Roman" w:hAnsi="Times New Roman" w:cs="Times New Roman"/>
          <w:bCs/>
        </w:rPr>
        <w:t>s</w:t>
      </w:r>
      <w:r w:rsidR="0000565A" w:rsidRPr="00082416">
        <w:rPr>
          <w:rFonts w:ascii="Times New Roman" w:eastAsia="Times New Roman" w:hAnsi="Times New Roman" w:cs="Times New Roman"/>
          <w:bCs/>
        </w:rPr>
        <w:t xml:space="preserve"> </w:t>
      </w:r>
      <w:r w:rsidR="006669E2">
        <w:rPr>
          <w:rFonts w:ascii="Times New Roman" w:eastAsia="Times New Roman" w:hAnsi="Times New Roman" w:cs="Times New Roman"/>
          <w:bCs/>
        </w:rPr>
        <w:t xml:space="preserve">certain </w:t>
      </w:r>
      <w:r w:rsidR="0000565A" w:rsidRPr="00082416">
        <w:rPr>
          <w:rFonts w:ascii="Times New Roman" w:eastAsia="Times New Roman" w:hAnsi="Times New Roman" w:cs="Times New Roman"/>
          <w:bCs/>
        </w:rPr>
        <w:t xml:space="preserve">background information in relation to </w:t>
      </w:r>
      <w:r w:rsidR="0000565A">
        <w:rPr>
          <w:rFonts w:ascii="Times New Roman" w:eastAsia="Times New Roman" w:hAnsi="Times New Roman" w:cs="Times New Roman"/>
          <w:bCs/>
        </w:rPr>
        <w:t xml:space="preserve">mild cognitive impairment </w:t>
      </w:r>
      <w:r w:rsidR="006669E2">
        <w:rPr>
          <w:rFonts w:ascii="Times New Roman" w:eastAsia="Times New Roman" w:hAnsi="Times New Roman" w:cs="Times New Roman"/>
          <w:bCs/>
        </w:rPr>
        <w:t xml:space="preserve">(“MCI”) </w:t>
      </w:r>
      <w:r w:rsidR="0000565A">
        <w:rPr>
          <w:rFonts w:ascii="Times New Roman" w:eastAsia="Times New Roman" w:hAnsi="Times New Roman" w:cs="Times New Roman"/>
          <w:bCs/>
        </w:rPr>
        <w:t xml:space="preserve">and </w:t>
      </w:r>
      <w:r w:rsidR="00B81608">
        <w:rPr>
          <w:rFonts w:ascii="Times New Roman" w:eastAsia="Times New Roman" w:hAnsi="Times New Roman" w:cs="Times New Roman"/>
          <w:bCs/>
        </w:rPr>
        <w:t>mild dementia caused by Alzheimer’s Disease</w:t>
      </w:r>
      <w:r w:rsidR="0000565A">
        <w:rPr>
          <w:rFonts w:ascii="Times New Roman" w:eastAsia="Times New Roman" w:hAnsi="Times New Roman" w:cs="Times New Roman"/>
          <w:bCs/>
        </w:rPr>
        <w:t xml:space="preserve"> </w:t>
      </w:r>
      <w:r w:rsidR="0011447F">
        <w:rPr>
          <w:rFonts w:ascii="Times New Roman" w:eastAsia="Times New Roman" w:hAnsi="Times New Roman" w:cs="Times New Roman"/>
          <w:bCs/>
        </w:rPr>
        <w:t xml:space="preserve">(“AD”) </w:t>
      </w:r>
      <w:r w:rsidR="0000565A" w:rsidRPr="00082416">
        <w:rPr>
          <w:rFonts w:ascii="Times New Roman" w:eastAsia="Times New Roman" w:hAnsi="Times New Roman" w:cs="Times New Roman"/>
          <w:bCs/>
        </w:rPr>
        <w:t>in order to assist the Appeal Panel. This summary</w:t>
      </w:r>
      <w:r w:rsidR="00F561A0">
        <w:rPr>
          <w:rFonts w:ascii="Times New Roman" w:eastAsia="Times New Roman" w:hAnsi="Times New Roman" w:cs="Times New Roman"/>
          <w:bCs/>
        </w:rPr>
        <w:t xml:space="preserve"> does</w:t>
      </w:r>
      <w:r w:rsidR="00470942">
        <w:rPr>
          <w:rFonts w:ascii="Times New Roman" w:eastAsia="Times New Roman" w:hAnsi="Times New Roman" w:cs="Times New Roman"/>
          <w:bCs/>
        </w:rPr>
        <w:t xml:space="preserve"> </w:t>
      </w:r>
      <w:r w:rsidR="0000565A" w:rsidRPr="00082416">
        <w:rPr>
          <w:rFonts w:ascii="Times New Roman" w:eastAsia="Times New Roman" w:hAnsi="Times New Roman" w:cs="Times New Roman"/>
          <w:bCs/>
        </w:rPr>
        <w:t xml:space="preserve">not replace the more detailed information provided by </w:t>
      </w:r>
      <w:r w:rsidR="00BC0163">
        <w:rPr>
          <w:rFonts w:ascii="Times New Roman" w:eastAsia="Times New Roman" w:hAnsi="Times New Roman" w:cs="Times New Roman"/>
          <w:bCs/>
        </w:rPr>
        <w:t xml:space="preserve">Lilly </w:t>
      </w:r>
      <w:r w:rsidR="0000565A" w:rsidRPr="00082416">
        <w:rPr>
          <w:rFonts w:ascii="Times New Roman" w:eastAsia="Times New Roman" w:hAnsi="Times New Roman" w:cs="Times New Roman"/>
          <w:bCs/>
        </w:rPr>
        <w:t xml:space="preserve">in its original submission </w:t>
      </w:r>
      <w:r w:rsidR="00BC0163">
        <w:rPr>
          <w:rFonts w:ascii="Times New Roman" w:eastAsia="Times New Roman" w:hAnsi="Times New Roman" w:cs="Times New Roman"/>
          <w:bCs/>
        </w:rPr>
        <w:t xml:space="preserve">dated </w:t>
      </w:r>
      <w:r w:rsidR="0011447F">
        <w:rPr>
          <w:rFonts w:ascii="Times New Roman" w:eastAsia="Times New Roman" w:hAnsi="Times New Roman" w:cs="Times New Roman"/>
          <w:bCs/>
        </w:rPr>
        <w:t>19 March 202</w:t>
      </w:r>
      <w:r w:rsidR="00E33F4E">
        <w:rPr>
          <w:rFonts w:ascii="Times New Roman" w:eastAsia="Times New Roman" w:hAnsi="Times New Roman" w:cs="Times New Roman"/>
          <w:bCs/>
        </w:rPr>
        <w:t>4</w:t>
      </w:r>
      <w:r w:rsidR="00BC0163">
        <w:rPr>
          <w:rFonts w:ascii="Times New Roman" w:eastAsia="Times New Roman" w:hAnsi="Times New Roman" w:cs="Times New Roman"/>
          <w:bCs/>
        </w:rPr>
        <w:t xml:space="preserve"> </w:t>
      </w:r>
      <w:r w:rsidR="0000565A" w:rsidRPr="00082416">
        <w:rPr>
          <w:rFonts w:ascii="Times New Roman" w:eastAsia="Times New Roman" w:hAnsi="Times New Roman" w:cs="Times New Roman"/>
          <w:bCs/>
        </w:rPr>
        <w:t>f</w:t>
      </w:r>
      <w:r w:rsidR="0000565A">
        <w:rPr>
          <w:rFonts w:ascii="Times New Roman" w:eastAsia="Times New Roman" w:hAnsi="Times New Roman" w:cs="Times New Roman"/>
          <w:bCs/>
        </w:rPr>
        <w:t>or the purposes of</w:t>
      </w:r>
      <w:r w:rsidR="00330FFC">
        <w:rPr>
          <w:rFonts w:ascii="Times New Roman" w:eastAsia="Times New Roman" w:hAnsi="Times New Roman" w:cs="Times New Roman"/>
          <w:bCs/>
        </w:rPr>
        <w:t xml:space="preserve"> this appraisal</w:t>
      </w:r>
      <w:r w:rsidR="0000565A" w:rsidRPr="00082416">
        <w:rPr>
          <w:rFonts w:ascii="Times New Roman" w:eastAsia="Times New Roman" w:hAnsi="Times New Roman" w:cs="Times New Roman"/>
          <w:bCs/>
        </w:rPr>
        <w:t xml:space="preserve">. </w:t>
      </w:r>
    </w:p>
    <w:p w14:paraId="39AD1AB8" w14:textId="77777777" w:rsidR="00DA070E" w:rsidRDefault="00DA070E" w:rsidP="00DA070E">
      <w:pPr>
        <w:jc w:val="both"/>
        <w:rPr>
          <w:rFonts w:ascii="Times New Roman" w:eastAsia="Times New Roman" w:hAnsi="Times New Roman" w:cs="Times New Roman"/>
          <w:bCs/>
          <w:u w:val="single"/>
        </w:rPr>
      </w:pPr>
      <w:r w:rsidRPr="004B40CB">
        <w:rPr>
          <w:rFonts w:ascii="Times New Roman" w:eastAsia="Times New Roman" w:hAnsi="Times New Roman" w:cs="Times New Roman"/>
          <w:bCs/>
          <w:u w:val="single"/>
        </w:rPr>
        <w:t>Mild cognitive impairment and mild dementia caused by Alzheimer’s Disease</w:t>
      </w:r>
    </w:p>
    <w:p w14:paraId="66B88816" w14:textId="64BEE6FD" w:rsidR="00A33646" w:rsidRDefault="00BC0163" w:rsidP="0000565A">
      <w:pPr>
        <w:jc w:val="both"/>
        <w:rPr>
          <w:rFonts w:ascii="Times New Roman" w:eastAsia="Times New Roman" w:hAnsi="Times New Roman" w:cs="Times New Roman"/>
          <w:bCs/>
        </w:rPr>
      </w:pPr>
      <w:r w:rsidRPr="00BC0163">
        <w:rPr>
          <w:rFonts w:ascii="Times New Roman" w:eastAsia="Times New Roman" w:hAnsi="Times New Roman" w:cs="Times New Roman"/>
          <w:bCs/>
        </w:rPr>
        <w:t>AD is an age-related progressive neurodegenerative disease, characterised by the accumulation of Aβ protein plaques and neurofibrillary tangles (</w:t>
      </w:r>
      <w:r w:rsidR="00E33F4E">
        <w:rPr>
          <w:rFonts w:ascii="Times New Roman" w:eastAsia="Times New Roman" w:hAnsi="Times New Roman" w:cs="Times New Roman"/>
          <w:bCs/>
        </w:rPr>
        <w:t>“</w:t>
      </w:r>
      <w:r w:rsidRPr="00BC0163">
        <w:rPr>
          <w:rFonts w:ascii="Times New Roman" w:eastAsia="Times New Roman" w:hAnsi="Times New Roman" w:cs="Times New Roman"/>
          <w:bCs/>
        </w:rPr>
        <w:t>NFTs</w:t>
      </w:r>
      <w:r w:rsidR="00E33F4E">
        <w:rPr>
          <w:rFonts w:ascii="Times New Roman" w:eastAsia="Times New Roman" w:hAnsi="Times New Roman" w:cs="Times New Roman"/>
          <w:bCs/>
        </w:rPr>
        <w:t>”</w:t>
      </w:r>
      <w:r w:rsidRPr="00BC0163">
        <w:rPr>
          <w:rFonts w:ascii="Times New Roman" w:eastAsia="Times New Roman" w:hAnsi="Times New Roman" w:cs="Times New Roman"/>
          <w:bCs/>
        </w:rPr>
        <w:t>) in the brain</w:t>
      </w:r>
      <w:r w:rsidR="00EC1159">
        <w:rPr>
          <w:rFonts w:ascii="Times New Roman" w:eastAsia="Times New Roman" w:hAnsi="Times New Roman" w:cs="Times New Roman"/>
          <w:bCs/>
        </w:rPr>
        <w:t>,</w:t>
      </w:r>
      <w:r w:rsidRPr="00BC0163">
        <w:rPr>
          <w:rFonts w:ascii="Times New Roman" w:eastAsia="Times New Roman" w:hAnsi="Times New Roman" w:cs="Times New Roman"/>
          <w:bCs/>
        </w:rPr>
        <w:t xml:space="preserve"> </w:t>
      </w:r>
      <w:r w:rsidR="00D63105">
        <w:rPr>
          <w:rFonts w:ascii="Times New Roman" w:eastAsia="Times New Roman" w:hAnsi="Times New Roman" w:cs="Times New Roman"/>
          <w:bCs/>
        </w:rPr>
        <w:t xml:space="preserve">resulting in neuronal loss and </w:t>
      </w:r>
      <w:r w:rsidRPr="00BC0163">
        <w:rPr>
          <w:rFonts w:ascii="Times New Roman" w:eastAsia="Times New Roman" w:hAnsi="Times New Roman" w:cs="Times New Roman"/>
          <w:bCs/>
        </w:rPr>
        <w:t>clinically manifesting as cognitive and functional impairment. AD typically presents with memory loss, but there are many associated cognitive, behavioural and neuropsychiatric features</w:t>
      </w:r>
      <w:r w:rsidR="00D85231">
        <w:rPr>
          <w:rFonts w:ascii="Times New Roman" w:eastAsia="Times New Roman" w:hAnsi="Times New Roman" w:cs="Times New Roman"/>
          <w:bCs/>
        </w:rPr>
        <w:t xml:space="preserve">, which </w:t>
      </w:r>
      <w:r w:rsidRPr="00BC0163">
        <w:rPr>
          <w:rFonts w:ascii="Times New Roman" w:eastAsia="Times New Roman" w:hAnsi="Times New Roman" w:cs="Times New Roman"/>
          <w:bCs/>
        </w:rPr>
        <w:t xml:space="preserve">become more profound as the disease progresses, advancing from more subtle symptoms (such as ability to manage personal finances) eventually impacting </w:t>
      </w:r>
      <w:r w:rsidR="00D85231">
        <w:rPr>
          <w:rFonts w:ascii="Times New Roman" w:eastAsia="Times New Roman" w:hAnsi="Times New Roman" w:cs="Times New Roman"/>
          <w:bCs/>
        </w:rPr>
        <w:t>the</w:t>
      </w:r>
      <w:r w:rsidRPr="00BC0163">
        <w:rPr>
          <w:rFonts w:ascii="Times New Roman" w:eastAsia="Times New Roman" w:hAnsi="Times New Roman" w:cs="Times New Roman"/>
          <w:bCs/>
        </w:rPr>
        <w:t xml:space="preserve"> ability to perform basic activities of daily living (ADLs)</w:t>
      </w:r>
      <w:r w:rsidR="00D85231">
        <w:rPr>
          <w:rFonts w:ascii="Times New Roman" w:eastAsia="Times New Roman" w:hAnsi="Times New Roman" w:cs="Times New Roman"/>
          <w:bCs/>
        </w:rPr>
        <w:t xml:space="preserve"> and even to recognise </w:t>
      </w:r>
      <w:r w:rsidR="00A33646">
        <w:rPr>
          <w:rFonts w:ascii="Times New Roman" w:eastAsia="Times New Roman" w:hAnsi="Times New Roman" w:cs="Times New Roman"/>
          <w:bCs/>
        </w:rPr>
        <w:t>family members</w:t>
      </w:r>
      <w:r w:rsidRPr="00BC0163">
        <w:rPr>
          <w:rFonts w:ascii="Times New Roman" w:eastAsia="Times New Roman" w:hAnsi="Times New Roman" w:cs="Times New Roman"/>
          <w:bCs/>
        </w:rPr>
        <w:t xml:space="preserve">. </w:t>
      </w:r>
      <w:r w:rsidR="00A33646">
        <w:rPr>
          <w:rFonts w:ascii="Times New Roman" w:eastAsia="Times New Roman" w:hAnsi="Times New Roman" w:cs="Times New Roman"/>
          <w:bCs/>
        </w:rPr>
        <w:t xml:space="preserve"> </w:t>
      </w:r>
    </w:p>
    <w:p w14:paraId="7830D43E" w14:textId="2CE7BD2A" w:rsidR="00BC0163" w:rsidRPr="00082416" w:rsidRDefault="00BC0163" w:rsidP="0000565A">
      <w:pPr>
        <w:jc w:val="both"/>
        <w:rPr>
          <w:rFonts w:ascii="Times New Roman" w:eastAsia="Times New Roman" w:hAnsi="Times New Roman" w:cs="Times New Roman"/>
          <w:bCs/>
        </w:rPr>
      </w:pPr>
      <w:r w:rsidRPr="00BC0163">
        <w:rPr>
          <w:rFonts w:ascii="Times New Roman" w:eastAsia="Times New Roman" w:hAnsi="Times New Roman" w:cs="Times New Roman"/>
          <w:bCs/>
        </w:rPr>
        <w:t xml:space="preserve">The progression of AD </w:t>
      </w:r>
      <w:r w:rsidR="00A33646">
        <w:rPr>
          <w:rFonts w:ascii="Times New Roman" w:eastAsia="Times New Roman" w:hAnsi="Times New Roman" w:cs="Times New Roman"/>
          <w:bCs/>
        </w:rPr>
        <w:t xml:space="preserve">may be </w:t>
      </w:r>
      <w:r w:rsidRPr="00BC0163">
        <w:rPr>
          <w:rFonts w:ascii="Times New Roman" w:eastAsia="Times New Roman" w:hAnsi="Times New Roman" w:cs="Times New Roman"/>
          <w:bCs/>
        </w:rPr>
        <w:t xml:space="preserve">broken down into three broad stages: preclinical, MCI due to AD, and dementia due to AD. </w:t>
      </w:r>
    </w:p>
    <w:p w14:paraId="384D6291" w14:textId="188DFBC0" w:rsidR="00DA070E" w:rsidRDefault="00DA070E" w:rsidP="0000565A">
      <w:pPr>
        <w:jc w:val="both"/>
        <w:rPr>
          <w:rFonts w:ascii="Times New Roman" w:eastAsia="Times New Roman" w:hAnsi="Times New Roman" w:cs="Times New Roman"/>
          <w:bCs/>
        </w:rPr>
      </w:pPr>
      <w:r>
        <w:rPr>
          <w:rFonts w:ascii="Times New Roman" w:eastAsia="Times New Roman" w:hAnsi="Times New Roman" w:cs="Times New Roman"/>
          <w:bCs/>
        </w:rPr>
        <w:t>A</w:t>
      </w:r>
      <w:r w:rsidRPr="00DA070E">
        <w:rPr>
          <w:rFonts w:ascii="Times New Roman" w:eastAsia="Times New Roman" w:hAnsi="Times New Roman" w:cs="Times New Roman"/>
          <w:bCs/>
        </w:rPr>
        <w:t>ge is the strongest risk factor for AD</w:t>
      </w:r>
      <w:r w:rsidR="006E38DA">
        <w:rPr>
          <w:rFonts w:ascii="Times New Roman" w:eastAsia="Times New Roman" w:hAnsi="Times New Roman" w:cs="Times New Roman"/>
          <w:bCs/>
        </w:rPr>
        <w:t xml:space="preserve">, affecting </w:t>
      </w:r>
      <w:r w:rsidR="004A2CA1">
        <w:rPr>
          <w:rFonts w:ascii="Times New Roman" w:eastAsia="Times New Roman" w:hAnsi="Times New Roman" w:cs="Times New Roman"/>
          <w:bCs/>
        </w:rPr>
        <w:t>a</w:t>
      </w:r>
      <w:r w:rsidRPr="00DA070E">
        <w:rPr>
          <w:rFonts w:ascii="Times New Roman" w:eastAsia="Times New Roman" w:hAnsi="Times New Roman" w:cs="Times New Roman"/>
          <w:bCs/>
        </w:rPr>
        <w:t xml:space="preserve">n estimated 19% </w:t>
      </w:r>
      <w:r w:rsidR="006903D8">
        <w:rPr>
          <w:rFonts w:ascii="Times New Roman" w:eastAsia="Times New Roman" w:hAnsi="Times New Roman" w:cs="Times New Roman"/>
          <w:bCs/>
        </w:rPr>
        <w:t>of i</w:t>
      </w:r>
      <w:r w:rsidRPr="00DA070E">
        <w:rPr>
          <w:rFonts w:ascii="Times New Roman" w:eastAsia="Times New Roman" w:hAnsi="Times New Roman" w:cs="Times New Roman"/>
          <w:bCs/>
        </w:rPr>
        <w:t xml:space="preserve">ndividuals </w:t>
      </w:r>
      <w:r w:rsidR="004A2CA1">
        <w:rPr>
          <w:rFonts w:ascii="Times New Roman" w:eastAsia="Times New Roman" w:hAnsi="Times New Roman" w:cs="Times New Roman"/>
          <w:bCs/>
        </w:rPr>
        <w:t xml:space="preserve">aged </w:t>
      </w:r>
      <w:r w:rsidRPr="00DA070E">
        <w:rPr>
          <w:rFonts w:ascii="Times New Roman" w:eastAsia="Times New Roman" w:hAnsi="Times New Roman" w:cs="Times New Roman"/>
          <w:bCs/>
        </w:rPr>
        <w:t xml:space="preserve">75–84 years and </w:t>
      </w:r>
      <w:r w:rsidR="004A2CA1">
        <w:rPr>
          <w:rFonts w:ascii="Times New Roman" w:eastAsia="Times New Roman" w:hAnsi="Times New Roman" w:cs="Times New Roman"/>
          <w:bCs/>
        </w:rPr>
        <w:t xml:space="preserve">increasing to </w:t>
      </w:r>
      <w:r w:rsidRPr="00DA070E">
        <w:rPr>
          <w:rFonts w:ascii="Times New Roman" w:eastAsia="Times New Roman" w:hAnsi="Times New Roman" w:cs="Times New Roman"/>
          <w:bCs/>
        </w:rPr>
        <w:t xml:space="preserve">30–35% </w:t>
      </w:r>
      <w:r w:rsidR="006F35D5">
        <w:rPr>
          <w:rFonts w:ascii="Times New Roman" w:eastAsia="Times New Roman" w:hAnsi="Times New Roman" w:cs="Times New Roman"/>
          <w:bCs/>
        </w:rPr>
        <w:t xml:space="preserve">of </w:t>
      </w:r>
      <w:r w:rsidRPr="00DA070E">
        <w:rPr>
          <w:rFonts w:ascii="Times New Roman" w:eastAsia="Times New Roman" w:hAnsi="Times New Roman" w:cs="Times New Roman"/>
          <w:bCs/>
        </w:rPr>
        <w:t xml:space="preserve">those older than 85 years. Other demographic risk factors for AD include </w:t>
      </w:r>
      <w:r w:rsidR="00210B8F">
        <w:rPr>
          <w:rFonts w:ascii="Times New Roman" w:eastAsia="Times New Roman" w:hAnsi="Times New Roman" w:cs="Times New Roman"/>
          <w:bCs/>
        </w:rPr>
        <w:t xml:space="preserve">female </w:t>
      </w:r>
      <w:r w:rsidRPr="00DA070E">
        <w:rPr>
          <w:rFonts w:ascii="Times New Roman" w:eastAsia="Times New Roman" w:hAnsi="Times New Roman" w:cs="Times New Roman"/>
          <w:bCs/>
        </w:rPr>
        <w:t>gender, race and socio-economic status.</w:t>
      </w:r>
    </w:p>
    <w:p w14:paraId="08ACC7F4" w14:textId="72D8BD34" w:rsidR="00BA73FA" w:rsidRDefault="00831BBE" w:rsidP="0000565A">
      <w:pPr>
        <w:jc w:val="both"/>
        <w:rPr>
          <w:rFonts w:ascii="Times New Roman" w:eastAsia="Times New Roman" w:hAnsi="Times New Roman" w:cs="Times New Roman"/>
          <w:bCs/>
        </w:rPr>
      </w:pPr>
      <w:r w:rsidRPr="00BC0163">
        <w:rPr>
          <w:rFonts w:ascii="Times New Roman" w:eastAsia="Times New Roman" w:hAnsi="Times New Roman" w:cs="Times New Roman"/>
          <w:bCs/>
        </w:rPr>
        <w:t xml:space="preserve">The disease has a devastating impact </w:t>
      </w:r>
      <w:r>
        <w:rPr>
          <w:rFonts w:ascii="Times New Roman" w:eastAsia="Times New Roman" w:hAnsi="Times New Roman" w:cs="Times New Roman"/>
          <w:bCs/>
        </w:rPr>
        <w:t xml:space="preserve">on </w:t>
      </w:r>
      <w:r w:rsidR="00BC4B26">
        <w:rPr>
          <w:rFonts w:ascii="Times New Roman" w:eastAsia="Times New Roman" w:hAnsi="Times New Roman" w:cs="Times New Roman"/>
          <w:bCs/>
        </w:rPr>
        <w:t>the</w:t>
      </w:r>
      <w:r>
        <w:rPr>
          <w:rFonts w:ascii="Times New Roman" w:eastAsia="Times New Roman" w:hAnsi="Times New Roman" w:cs="Times New Roman"/>
          <w:bCs/>
        </w:rPr>
        <w:t xml:space="preserve"> quality of life</w:t>
      </w:r>
      <w:r w:rsidR="00BC4B26">
        <w:rPr>
          <w:rFonts w:ascii="Times New Roman" w:eastAsia="Times New Roman" w:hAnsi="Times New Roman" w:cs="Times New Roman"/>
          <w:bCs/>
        </w:rPr>
        <w:t xml:space="preserve"> </w:t>
      </w:r>
      <w:r w:rsidR="006246C4">
        <w:rPr>
          <w:rFonts w:ascii="Times New Roman" w:eastAsia="Times New Roman" w:hAnsi="Times New Roman" w:cs="Times New Roman"/>
          <w:bCs/>
        </w:rPr>
        <w:t xml:space="preserve">(“QoL”) </w:t>
      </w:r>
      <w:r w:rsidR="00BC4B26">
        <w:rPr>
          <w:rFonts w:ascii="Times New Roman" w:eastAsia="Times New Roman" w:hAnsi="Times New Roman" w:cs="Times New Roman"/>
          <w:bCs/>
        </w:rPr>
        <w:t>of, not only affected individuals</w:t>
      </w:r>
      <w:r w:rsidR="002524F6">
        <w:rPr>
          <w:rFonts w:ascii="Times New Roman" w:eastAsia="Times New Roman" w:hAnsi="Times New Roman" w:cs="Times New Roman"/>
          <w:bCs/>
        </w:rPr>
        <w:t xml:space="preserve">, </w:t>
      </w:r>
      <w:r w:rsidRPr="00BC0163">
        <w:rPr>
          <w:rFonts w:ascii="Times New Roman" w:eastAsia="Times New Roman" w:hAnsi="Times New Roman" w:cs="Times New Roman"/>
          <w:bCs/>
        </w:rPr>
        <w:t xml:space="preserve">but </w:t>
      </w:r>
      <w:r>
        <w:rPr>
          <w:rFonts w:ascii="Times New Roman" w:eastAsia="Times New Roman" w:hAnsi="Times New Roman" w:cs="Times New Roman"/>
          <w:bCs/>
        </w:rPr>
        <w:t xml:space="preserve">also </w:t>
      </w:r>
      <w:r w:rsidRPr="00BC0163">
        <w:rPr>
          <w:rFonts w:ascii="Times New Roman" w:eastAsia="Times New Roman" w:hAnsi="Times New Roman" w:cs="Times New Roman"/>
          <w:bCs/>
        </w:rPr>
        <w:t>family</w:t>
      </w:r>
      <w:r w:rsidR="002524F6">
        <w:rPr>
          <w:rFonts w:ascii="Times New Roman" w:eastAsia="Times New Roman" w:hAnsi="Times New Roman" w:cs="Times New Roman"/>
          <w:bCs/>
        </w:rPr>
        <w:t xml:space="preserve">, </w:t>
      </w:r>
      <w:r w:rsidRPr="00BC0163">
        <w:rPr>
          <w:rFonts w:ascii="Times New Roman" w:eastAsia="Times New Roman" w:hAnsi="Times New Roman" w:cs="Times New Roman"/>
          <w:bCs/>
        </w:rPr>
        <w:t xml:space="preserve">friends </w:t>
      </w:r>
      <w:r w:rsidR="002524F6">
        <w:rPr>
          <w:rFonts w:ascii="Times New Roman" w:eastAsia="Times New Roman" w:hAnsi="Times New Roman" w:cs="Times New Roman"/>
          <w:bCs/>
        </w:rPr>
        <w:t xml:space="preserve">and caregivers. </w:t>
      </w:r>
      <w:r w:rsidR="006246C4" w:rsidRPr="006246C4">
        <w:rPr>
          <w:rFonts w:ascii="Times New Roman" w:eastAsia="Times New Roman" w:hAnsi="Times New Roman" w:cs="Times New Roman"/>
          <w:bCs/>
        </w:rPr>
        <w:t>It is possible, however, to maintain a good QoL in the early stages of disease</w:t>
      </w:r>
      <w:r w:rsidR="00DF1423">
        <w:rPr>
          <w:rFonts w:ascii="Times New Roman" w:eastAsia="Times New Roman" w:hAnsi="Times New Roman" w:cs="Times New Roman"/>
          <w:bCs/>
        </w:rPr>
        <w:t>; w</w:t>
      </w:r>
      <w:r w:rsidR="006246C4" w:rsidRPr="006246C4">
        <w:rPr>
          <w:rFonts w:ascii="Times New Roman" w:eastAsia="Times New Roman" w:hAnsi="Times New Roman" w:cs="Times New Roman"/>
          <w:bCs/>
        </w:rPr>
        <w:t xml:space="preserve">ith early diagnosis and subsequent access to the right services, support and treatment, people </w:t>
      </w:r>
      <w:r w:rsidR="00DF1423">
        <w:rPr>
          <w:rFonts w:ascii="Times New Roman" w:eastAsia="Times New Roman" w:hAnsi="Times New Roman" w:cs="Times New Roman"/>
          <w:bCs/>
        </w:rPr>
        <w:t xml:space="preserve">may delay progression to </w:t>
      </w:r>
      <w:r w:rsidR="00DA6CC6">
        <w:rPr>
          <w:rFonts w:ascii="Times New Roman" w:eastAsia="Times New Roman" w:hAnsi="Times New Roman" w:cs="Times New Roman"/>
          <w:bCs/>
        </w:rPr>
        <w:t xml:space="preserve">more severe disease and </w:t>
      </w:r>
      <w:r w:rsidR="006246C4" w:rsidRPr="006246C4">
        <w:rPr>
          <w:rFonts w:ascii="Times New Roman" w:eastAsia="Times New Roman" w:hAnsi="Times New Roman" w:cs="Times New Roman"/>
          <w:bCs/>
        </w:rPr>
        <w:t>live independently for longer</w:t>
      </w:r>
      <w:r w:rsidR="00DA6CC6">
        <w:rPr>
          <w:rFonts w:ascii="Times New Roman" w:eastAsia="Times New Roman" w:hAnsi="Times New Roman" w:cs="Times New Roman"/>
          <w:bCs/>
        </w:rPr>
        <w:t xml:space="preserve">. </w:t>
      </w:r>
      <w:r w:rsidR="006246C4" w:rsidRPr="006246C4">
        <w:rPr>
          <w:rFonts w:ascii="Times New Roman" w:eastAsia="Times New Roman" w:hAnsi="Times New Roman" w:cs="Times New Roman"/>
          <w:bCs/>
        </w:rPr>
        <w:t>Overall</w:t>
      </w:r>
      <w:r w:rsidR="00931A1D">
        <w:rPr>
          <w:rFonts w:ascii="Times New Roman" w:eastAsia="Times New Roman" w:hAnsi="Times New Roman" w:cs="Times New Roman"/>
          <w:bCs/>
        </w:rPr>
        <w:t>,</w:t>
      </w:r>
      <w:r w:rsidR="006246C4" w:rsidRPr="006246C4">
        <w:rPr>
          <w:rFonts w:ascii="Times New Roman" w:eastAsia="Times New Roman" w:hAnsi="Times New Roman" w:cs="Times New Roman"/>
          <w:bCs/>
        </w:rPr>
        <w:t xml:space="preserve"> there is a substantial and increasing unmet need for treatments which slow or halt the disease at early stages</w:t>
      </w:r>
      <w:r w:rsidR="00DA6CC6">
        <w:rPr>
          <w:rFonts w:ascii="Times New Roman" w:eastAsia="Times New Roman" w:hAnsi="Times New Roman" w:cs="Times New Roman"/>
          <w:bCs/>
        </w:rPr>
        <w:t xml:space="preserve">. </w:t>
      </w:r>
      <w:r w:rsidR="006246C4" w:rsidRPr="006246C4">
        <w:rPr>
          <w:rFonts w:ascii="Times New Roman" w:eastAsia="Times New Roman" w:hAnsi="Times New Roman" w:cs="Times New Roman"/>
          <w:bCs/>
        </w:rPr>
        <w:t xml:space="preserve"> </w:t>
      </w:r>
      <w:r w:rsidR="002524F6">
        <w:rPr>
          <w:rFonts w:ascii="Times New Roman" w:eastAsia="Times New Roman" w:hAnsi="Times New Roman" w:cs="Times New Roman"/>
          <w:bCs/>
        </w:rPr>
        <w:t>T</w:t>
      </w:r>
      <w:r w:rsidR="00BA73FA" w:rsidRPr="00BA73FA">
        <w:rPr>
          <w:rFonts w:ascii="Times New Roman" w:eastAsia="Times New Roman" w:hAnsi="Times New Roman" w:cs="Times New Roman"/>
          <w:bCs/>
        </w:rPr>
        <w:t>here is currently no cure for AD and no disease-modifying therapies available in the UK to slow or halt the progression of the disease.</w:t>
      </w:r>
      <w:r w:rsidR="002524F6">
        <w:rPr>
          <w:rFonts w:ascii="Times New Roman" w:eastAsia="Times New Roman" w:hAnsi="Times New Roman" w:cs="Times New Roman"/>
          <w:bCs/>
        </w:rPr>
        <w:t xml:space="preserve"> </w:t>
      </w:r>
      <w:r w:rsidR="00BA73FA" w:rsidRPr="00BA73FA">
        <w:rPr>
          <w:rFonts w:ascii="Times New Roman" w:eastAsia="Times New Roman" w:hAnsi="Times New Roman" w:cs="Times New Roman"/>
          <w:bCs/>
        </w:rPr>
        <w:t xml:space="preserve">Dementia and AD were the leading cause of death in </w:t>
      </w:r>
      <w:r w:rsidR="002524F6">
        <w:rPr>
          <w:rFonts w:ascii="Times New Roman" w:eastAsia="Times New Roman" w:hAnsi="Times New Roman" w:cs="Times New Roman"/>
          <w:bCs/>
        </w:rPr>
        <w:t xml:space="preserve">the UK in </w:t>
      </w:r>
      <w:r w:rsidR="00BA73FA" w:rsidRPr="00BA73FA">
        <w:rPr>
          <w:rFonts w:ascii="Times New Roman" w:eastAsia="Times New Roman" w:hAnsi="Times New Roman" w:cs="Times New Roman"/>
          <w:bCs/>
        </w:rPr>
        <w:t>2022 and are the only major cause of death without a treatment to prevent, slow or stop disease progression.</w:t>
      </w:r>
    </w:p>
    <w:p w14:paraId="63D33B75" w14:textId="68032C41" w:rsidR="00477572" w:rsidRDefault="00222ED1" w:rsidP="0000565A">
      <w:pPr>
        <w:jc w:val="both"/>
        <w:rPr>
          <w:rFonts w:ascii="Times New Roman" w:eastAsia="Times New Roman" w:hAnsi="Times New Roman" w:cs="Times New Roman"/>
          <w:bCs/>
        </w:rPr>
      </w:pPr>
      <w:r>
        <w:rPr>
          <w:rFonts w:ascii="Times New Roman" w:eastAsia="Times New Roman" w:hAnsi="Times New Roman" w:cs="Times New Roman"/>
          <w:bCs/>
        </w:rPr>
        <w:t xml:space="preserve">Around 40% </w:t>
      </w:r>
      <w:r w:rsidRPr="00222ED1">
        <w:rPr>
          <w:rFonts w:ascii="Times New Roman" w:eastAsia="Times New Roman" w:hAnsi="Times New Roman" w:cs="Times New Roman"/>
          <w:bCs/>
        </w:rPr>
        <w:t>(£13.9 billion in 2019) of total dementia care costs</w:t>
      </w:r>
      <w:r w:rsidR="00E461DF">
        <w:rPr>
          <w:rFonts w:ascii="Times New Roman" w:eastAsia="Times New Roman" w:hAnsi="Times New Roman" w:cs="Times New Roman"/>
          <w:bCs/>
        </w:rPr>
        <w:t xml:space="preserve"> are funded by patients and their families. </w:t>
      </w:r>
      <w:r w:rsidRPr="00222ED1">
        <w:rPr>
          <w:rFonts w:ascii="Times New Roman" w:eastAsia="Times New Roman" w:hAnsi="Times New Roman" w:cs="Times New Roman"/>
          <w:bCs/>
        </w:rPr>
        <w:t xml:space="preserve">It is estimated that </w:t>
      </w:r>
      <w:r w:rsidR="007428FA">
        <w:rPr>
          <w:rFonts w:ascii="Times New Roman" w:eastAsia="Times New Roman" w:hAnsi="Times New Roman" w:cs="Times New Roman"/>
          <w:bCs/>
        </w:rPr>
        <w:t xml:space="preserve">around </w:t>
      </w:r>
      <w:r w:rsidRPr="00222ED1">
        <w:rPr>
          <w:rFonts w:ascii="Times New Roman" w:eastAsia="Times New Roman" w:hAnsi="Times New Roman" w:cs="Times New Roman"/>
          <w:bCs/>
        </w:rPr>
        <w:t xml:space="preserve">700,000 friends and family members care for a person with dementia in the UK. The dependence on the caregiver for everyday functioning can impact on the caregiver’s ability to work. The loss of productivity of people living with AD and their caregivers is one of the largest cost drivers of AD, yet value frameworks often </w:t>
      </w:r>
      <w:r w:rsidR="00254BEA">
        <w:rPr>
          <w:rFonts w:ascii="Times New Roman" w:eastAsia="Times New Roman" w:hAnsi="Times New Roman" w:cs="Times New Roman"/>
          <w:bCs/>
        </w:rPr>
        <w:t xml:space="preserve">fail to take into account </w:t>
      </w:r>
      <w:r w:rsidRPr="00222ED1">
        <w:rPr>
          <w:rFonts w:ascii="Times New Roman" w:eastAsia="Times New Roman" w:hAnsi="Times New Roman" w:cs="Times New Roman"/>
          <w:bCs/>
        </w:rPr>
        <w:t>productivity losses. The caregiver burden is generally excluded from traditional cost-effectiveness frameworks, which do not fully capture the burdens on families</w:t>
      </w:r>
      <w:r w:rsidR="00254BEA">
        <w:rPr>
          <w:rFonts w:ascii="Times New Roman" w:eastAsia="Times New Roman" w:hAnsi="Times New Roman" w:cs="Times New Roman"/>
          <w:bCs/>
        </w:rPr>
        <w:t xml:space="preserve"> and</w:t>
      </w:r>
      <w:r w:rsidRPr="00222ED1">
        <w:rPr>
          <w:rFonts w:ascii="Times New Roman" w:eastAsia="Times New Roman" w:hAnsi="Times New Roman" w:cs="Times New Roman"/>
          <w:bCs/>
        </w:rPr>
        <w:t xml:space="preserve"> economies.</w:t>
      </w:r>
    </w:p>
    <w:p w14:paraId="2A17DF0C" w14:textId="693DAA06" w:rsidR="0012213D" w:rsidRPr="00D30470" w:rsidRDefault="00F9719A">
      <w:pPr>
        <w:rPr>
          <w:rFonts w:ascii="Times New Roman" w:hAnsi="Times New Roman"/>
          <w:u w:val="single"/>
        </w:rPr>
      </w:pPr>
      <w:r>
        <w:rPr>
          <w:rFonts w:ascii="Times New Roman" w:hAnsi="Times New Roman"/>
          <w:u w:val="single"/>
        </w:rPr>
        <w:t>Donan</w:t>
      </w:r>
      <w:r w:rsidR="0012213D" w:rsidRPr="00D30470">
        <w:rPr>
          <w:rFonts w:ascii="Times New Roman" w:hAnsi="Times New Roman"/>
          <w:u w:val="single"/>
        </w:rPr>
        <w:t>emab</w:t>
      </w:r>
    </w:p>
    <w:p w14:paraId="06AEB28D" w14:textId="365EB86F" w:rsidR="001D2CDC" w:rsidRPr="00D30470" w:rsidRDefault="001D2CDC" w:rsidP="00DF33D4">
      <w:pPr>
        <w:pStyle w:val="Default"/>
        <w:spacing w:line="276" w:lineRule="auto"/>
        <w:rPr>
          <w:rFonts w:ascii="Times New Roman" w:hAnsi="Times New Roman"/>
          <w:color w:val="auto"/>
          <w:szCs w:val="22"/>
        </w:rPr>
      </w:pPr>
      <w:r w:rsidRPr="001D2CDC">
        <w:rPr>
          <w:rFonts w:ascii="Times New Roman" w:hAnsi="Times New Roman"/>
          <w:color w:val="auto"/>
          <w:szCs w:val="22"/>
        </w:rPr>
        <w:t xml:space="preserve">Donanemab is an immunoglobulin gamma 1 (IgG1) monoclonal antibody directed against </w:t>
      </w:r>
      <w:r w:rsidR="001E72E3">
        <w:rPr>
          <w:rFonts w:ascii="Times New Roman" w:hAnsi="Times New Roman"/>
          <w:color w:val="auto"/>
          <w:szCs w:val="22"/>
        </w:rPr>
        <w:t>a</w:t>
      </w:r>
      <w:r w:rsidRPr="001D2CDC">
        <w:rPr>
          <w:rFonts w:ascii="Times New Roman" w:hAnsi="Times New Roman"/>
          <w:color w:val="auto"/>
          <w:szCs w:val="22"/>
        </w:rPr>
        <w:t xml:space="preserve"> form of amyloid beta (N3pG Aβ) present only in brain amyloid plaques</w:t>
      </w:r>
      <w:r w:rsidR="004770E1">
        <w:rPr>
          <w:rFonts w:ascii="Times New Roman" w:hAnsi="Times New Roman"/>
          <w:color w:val="auto"/>
          <w:szCs w:val="22"/>
        </w:rPr>
        <w:t>, which are a defining feature of Alzheimer’s Disease</w:t>
      </w:r>
      <w:r w:rsidR="00B04BE8">
        <w:rPr>
          <w:rFonts w:ascii="Times New Roman" w:hAnsi="Times New Roman"/>
          <w:color w:val="auto"/>
          <w:szCs w:val="22"/>
        </w:rPr>
        <w:t xml:space="preserve"> (“AD”)</w:t>
      </w:r>
      <w:r w:rsidRPr="001D2CDC">
        <w:rPr>
          <w:rFonts w:ascii="Times New Roman" w:hAnsi="Times New Roman"/>
          <w:color w:val="auto"/>
          <w:szCs w:val="22"/>
        </w:rPr>
        <w:t xml:space="preserve">. Donanemab binds to N3pG Aβ and </w:t>
      </w:r>
      <w:r w:rsidR="001E72E3">
        <w:rPr>
          <w:rFonts w:ascii="Times New Roman" w:hAnsi="Times New Roman"/>
          <w:color w:val="auto"/>
          <w:szCs w:val="22"/>
        </w:rPr>
        <w:t xml:space="preserve">assists with </w:t>
      </w:r>
      <w:r w:rsidRPr="001D2CDC">
        <w:rPr>
          <w:rFonts w:ascii="Times New Roman" w:hAnsi="Times New Roman"/>
          <w:color w:val="auto"/>
          <w:szCs w:val="22"/>
        </w:rPr>
        <w:t>plaque removal.</w:t>
      </w:r>
      <w:r w:rsidR="00891BD2" w:rsidRPr="00891BD2">
        <w:rPr>
          <w:rFonts w:ascii="Times New Roman" w:hAnsi="Times New Roman"/>
          <w:color w:val="auto"/>
        </w:rPr>
        <w:t xml:space="preserve"> </w:t>
      </w:r>
      <w:r w:rsidR="00891BD2">
        <w:rPr>
          <w:rFonts w:ascii="Times New Roman" w:hAnsi="Times New Roman"/>
          <w:color w:val="auto"/>
        </w:rPr>
        <w:t xml:space="preserve">It </w:t>
      </w:r>
      <w:r w:rsidR="00891BD2" w:rsidRPr="00891BD2">
        <w:rPr>
          <w:rFonts w:ascii="Times New Roman" w:hAnsi="Times New Roman"/>
          <w:color w:val="auto"/>
        </w:rPr>
        <w:t>targets the underlying disease pathology in AD</w:t>
      </w:r>
      <w:r w:rsidR="00D92D03">
        <w:rPr>
          <w:rFonts w:ascii="Times New Roman" w:hAnsi="Times New Roman"/>
          <w:color w:val="auto"/>
        </w:rPr>
        <w:t xml:space="preserve"> to modify disease progression</w:t>
      </w:r>
      <w:r w:rsidR="00891BD2" w:rsidRPr="00891BD2">
        <w:rPr>
          <w:rFonts w:ascii="Times New Roman" w:hAnsi="Times New Roman"/>
          <w:color w:val="auto"/>
        </w:rPr>
        <w:t xml:space="preserve">, rather than simply relieving </w:t>
      </w:r>
      <w:r w:rsidR="00AA67B4" w:rsidRPr="00891BD2">
        <w:rPr>
          <w:rFonts w:ascii="Times New Roman" w:hAnsi="Times New Roman"/>
          <w:color w:val="auto"/>
        </w:rPr>
        <w:t>symptoms.</w:t>
      </w:r>
    </w:p>
    <w:p w14:paraId="0A0A64B0" w14:textId="57BB9E59" w:rsidR="00316B3D" w:rsidRDefault="005258BF" w:rsidP="00CE6A49">
      <w:pPr>
        <w:pStyle w:val="Default"/>
        <w:spacing w:before="240" w:line="276" w:lineRule="auto"/>
        <w:rPr>
          <w:rFonts w:ascii="Times New Roman" w:hAnsi="Times New Roman"/>
          <w:color w:val="auto"/>
        </w:rPr>
      </w:pPr>
      <w:r>
        <w:rPr>
          <w:rFonts w:ascii="Times New Roman" w:hAnsi="Times New Roman"/>
          <w:color w:val="auto"/>
        </w:rPr>
        <w:t>Donanemab i</w:t>
      </w:r>
      <w:r w:rsidR="00AE5F39" w:rsidRPr="00D30470">
        <w:rPr>
          <w:rFonts w:ascii="Times New Roman" w:hAnsi="Times New Roman"/>
          <w:color w:val="auto"/>
        </w:rPr>
        <w:t xml:space="preserve">s </w:t>
      </w:r>
      <w:r w:rsidR="00B04BE8" w:rsidRPr="00B04BE8">
        <w:rPr>
          <w:rFonts w:ascii="Times New Roman" w:hAnsi="Times New Roman"/>
          <w:color w:val="auto"/>
        </w:rPr>
        <w:t xml:space="preserve">indicated for the treatment of mild cognitive impairment </w:t>
      </w:r>
      <w:r w:rsidR="00B04BE8">
        <w:rPr>
          <w:rFonts w:ascii="Times New Roman" w:hAnsi="Times New Roman"/>
          <w:color w:val="auto"/>
        </w:rPr>
        <w:t xml:space="preserve">(“MCI”) </w:t>
      </w:r>
      <w:r w:rsidR="00B04BE8" w:rsidRPr="00B04BE8">
        <w:rPr>
          <w:rFonts w:ascii="Times New Roman" w:hAnsi="Times New Roman"/>
          <w:color w:val="auto"/>
        </w:rPr>
        <w:t>and mild dementia due to AD in adult patients that are apolipoprotein E ε4 (</w:t>
      </w:r>
      <w:proofErr w:type="spellStart"/>
      <w:r w:rsidR="00B04BE8" w:rsidRPr="00B04BE8">
        <w:rPr>
          <w:rFonts w:ascii="Times New Roman" w:hAnsi="Times New Roman"/>
          <w:color w:val="auto"/>
        </w:rPr>
        <w:t>ApoE</w:t>
      </w:r>
      <w:proofErr w:type="spellEnd"/>
      <w:r w:rsidR="00B04BE8" w:rsidRPr="00B04BE8">
        <w:rPr>
          <w:rFonts w:ascii="Times New Roman" w:hAnsi="Times New Roman"/>
          <w:color w:val="auto"/>
        </w:rPr>
        <w:t xml:space="preserve"> ε4) heterozygotes or non-carriers</w:t>
      </w:r>
      <w:r w:rsidR="00891BD2">
        <w:rPr>
          <w:rFonts w:ascii="Times New Roman" w:hAnsi="Times New Roman"/>
          <w:color w:val="auto"/>
        </w:rPr>
        <w:t xml:space="preserve">. </w:t>
      </w:r>
      <w:r w:rsidR="00B04BE8" w:rsidRPr="00B04BE8">
        <w:rPr>
          <w:rFonts w:ascii="Times New Roman" w:hAnsi="Times New Roman"/>
          <w:color w:val="auto"/>
        </w:rPr>
        <w:t xml:space="preserve"> </w:t>
      </w:r>
    </w:p>
    <w:p w14:paraId="4102453C" w14:textId="7903EBE2" w:rsidR="00B346FA" w:rsidRPr="00D30470" w:rsidRDefault="00BD09E3" w:rsidP="00CE6A49">
      <w:pPr>
        <w:pStyle w:val="Default"/>
        <w:spacing w:before="240" w:line="276" w:lineRule="auto"/>
        <w:rPr>
          <w:rFonts w:ascii="Times New Roman" w:hAnsi="Times New Roman"/>
          <w:color w:val="auto"/>
          <w:szCs w:val="22"/>
        </w:rPr>
      </w:pPr>
      <w:r>
        <w:rPr>
          <w:rFonts w:ascii="Times New Roman" w:hAnsi="Times New Roman"/>
          <w:color w:val="auto"/>
          <w:szCs w:val="22"/>
        </w:rPr>
        <w:t xml:space="preserve">It is administered </w:t>
      </w:r>
      <w:r w:rsidR="00FD5339">
        <w:rPr>
          <w:rFonts w:ascii="Times New Roman" w:hAnsi="Times New Roman"/>
          <w:color w:val="auto"/>
          <w:szCs w:val="22"/>
        </w:rPr>
        <w:t xml:space="preserve">by intravenous infusion over at least 30 minutes, </w:t>
      </w:r>
      <w:r w:rsidRPr="00BD09E3">
        <w:rPr>
          <w:rFonts w:ascii="Times New Roman" w:hAnsi="Times New Roman"/>
          <w:color w:val="auto"/>
          <w:szCs w:val="22"/>
        </w:rPr>
        <w:t>every 4 weeks.</w:t>
      </w:r>
      <w:r w:rsidR="00FD5339" w:rsidRPr="00FD5339">
        <w:rPr>
          <w:rFonts w:ascii="Montserrat" w:hAnsi="Montserrat" w:cstheme="minorBidi"/>
          <w:color w:val="161616"/>
          <w:kern w:val="2"/>
          <w:sz w:val="21"/>
          <w:szCs w:val="21"/>
          <w:shd w:val="clear" w:color="auto" w:fill="FFFFFF"/>
        </w:rPr>
        <w:t xml:space="preserve"> </w:t>
      </w:r>
      <w:r w:rsidR="00FD5339" w:rsidRPr="00FD5339">
        <w:rPr>
          <w:rFonts w:ascii="Times New Roman" w:hAnsi="Times New Roman"/>
          <w:color w:val="auto"/>
          <w:szCs w:val="22"/>
        </w:rPr>
        <w:t>Patients should be observed post-infusion for a minimum of 30 minutes.</w:t>
      </w:r>
      <w:r w:rsidR="00376144">
        <w:rPr>
          <w:rFonts w:ascii="Times New Roman" w:hAnsi="Times New Roman"/>
          <w:color w:val="auto"/>
          <w:szCs w:val="22"/>
        </w:rPr>
        <w:t xml:space="preserve"> </w:t>
      </w:r>
      <w:r w:rsidR="00B346FA" w:rsidRPr="00B346FA">
        <w:rPr>
          <w:rFonts w:ascii="Times New Roman" w:hAnsi="Times New Roman"/>
          <w:szCs w:val="22"/>
        </w:rPr>
        <w:t>Treatment should be continued until amyloid plaques are cleared as confirmed using a validated method up to a maximum of 18 months.</w:t>
      </w:r>
      <w:r w:rsidR="00B346FA">
        <w:rPr>
          <w:rFonts w:ascii="Times New Roman" w:hAnsi="Times New Roman"/>
          <w:szCs w:val="22"/>
        </w:rPr>
        <w:t xml:space="preserve"> </w:t>
      </w:r>
      <w:r w:rsidR="00B346FA" w:rsidRPr="00B346FA">
        <w:rPr>
          <w:rFonts w:ascii="Times New Roman" w:hAnsi="Times New Roman"/>
          <w:szCs w:val="22"/>
        </w:rPr>
        <w:t xml:space="preserve">Treatment should be continued for up to 18 months if monitoring of amyloid plaque clearance with a validated method is not </w:t>
      </w:r>
      <w:r w:rsidR="0012314E" w:rsidRPr="00B346FA">
        <w:rPr>
          <w:rFonts w:ascii="Times New Roman" w:hAnsi="Times New Roman"/>
          <w:szCs w:val="22"/>
        </w:rPr>
        <w:t>possible.</w:t>
      </w:r>
      <w:r w:rsidR="00B346FA" w:rsidRPr="00B346FA">
        <w:rPr>
          <w:rFonts w:ascii="Times New Roman" w:hAnsi="Times New Roman"/>
          <w:szCs w:val="22"/>
        </w:rPr>
        <w:t> </w:t>
      </w:r>
    </w:p>
    <w:p w14:paraId="719D268B" w14:textId="3B3E5829" w:rsidR="00BF6D0E" w:rsidRPr="00D30470" w:rsidRDefault="00BF6D0E" w:rsidP="00DF33D4">
      <w:pPr>
        <w:spacing w:line="276" w:lineRule="auto"/>
        <w:rPr>
          <w:rFonts w:ascii="Times New Roman" w:hAnsi="Times New Roman"/>
        </w:rPr>
      </w:pPr>
    </w:p>
    <w:p w14:paraId="3E35CB90" w14:textId="30CF3AA4" w:rsidR="00915029" w:rsidRPr="002E5703" w:rsidRDefault="00915029">
      <w:pPr>
        <w:rPr>
          <w:rFonts w:ascii="Times New Roman" w:eastAsia="Times New Roman" w:hAnsi="Times New Roman" w:cs="Times New Roman"/>
          <w:b/>
          <w:u w:val="single"/>
        </w:rPr>
      </w:pPr>
      <w:r w:rsidRPr="002E5703">
        <w:rPr>
          <w:rFonts w:ascii="Times New Roman" w:eastAsia="Times New Roman" w:hAnsi="Times New Roman" w:cs="Times New Roman"/>
          <w:b/>
          <w:u w:val="single"/>
        </w:rPr>
        <w:t>PROCEDURAL HISTORY OF THE APPRAISAL</w:t>
      </w:r>
    </w:p>
    <w:p w14:paraId="66CDA397" w14:textId="77777777" w:rsidR="002E5703" w:rsidRPr="002E5703" w:rsidRDefault="002E5703">
      <w:pPr>
        <w:rPr>
          <w:rFonts w:ascii="Times New Roman" w:eastAsia="Times New Roman" w:hAnsi="Times New Roman" w:cs="Times New Roman"/>
          <w:b/>
          <w:u w:val="single"/>
        </w:rPr>
      </w:pPr>
    </w:p>
    <w:tbl>
      <w:tblPr>
        <w:tblStyle w:val="TableGrid"/>
        <w:tblW w:w="0" w:type="auto"/>
        <w:tblLook w:val="04A0" w:firstRow="1" w:lastRow="0" w:firstColumn="1" w:lastColumn="0" w:noHBand="0" w:noVBand="1"/>
      </w:tblPr>
      <w:tblGrid>
        <w:gridCol w:w="4508"/>
        <w:gridCol w:w="4508"/>
      </w:tblGrid>
      <w:tr w:rsidR="002E5703" w:rsidRPr="002E5703" w14:paraId="79699CF6" w14:textId="77777777" w:rsidTr="00491C69">
        <w:tc>
          <w:tcPr>
            <w:tcW w:w="4508" w:type="dxa"/>
          </w:tcPr>
          <w:p w14:paraId="15BBF623" w14:textId="12F36DCB" w:rsidR="00C81335" w:rsidRPr="002E5703" w:rsidRDefault="00C81335">
            <w:pPr>
              <w:rPr>
                <w:rFonts w:ascii="Times New Roman" w:hAnsi="Times New Roman"/>
                <w:b/>
                <w:bCs/>
              </w:rPr>
            </w:pPr>
            <w:r w:rsidRPr="002E5703">
              <w:rPr>
                <w:rFonts w:ascii="Times New Roman" w:hAnsi="Times New Roman"/>
                <w:b/>
                <w:bCs/>
              </w:rPr>
              <w:t>Date</w:t>
            </w:r>
          </w:p>
        </w:tc>
        <w:tc>
          <w:tcPr>
            <w:tcW w:w="4508" w:type="dxa"/>
          </w:tcPr>
          <w:p w14:paraId="66DE4E2A" w14:textId="2EF97D63" w:rsidR="00C81335" w:rsidRPr="002E5703" w:rsidRDefault="002E5703">
            <w:pPr>
              <w:rPr>
                <w:rFonts w:ascii="Times New Roman" w:hAnsi="Times New Roman"/>
                <w:b/>
                <w:bCs/>
              </w:rPr>
            </w:pPr>
            <w:r w:rsidRPr="002E5703">
              <w:rPr>
                <w:rFonts w:ascii="Times New Roman" w:hAnsi="Times New Roman"/>
                <w:b/>
                <w:bCs/>
              </w:rPr>
              <w:t>Event</w:t>
            </w:r>
          </w:p>
        </w:tc>
      </w:tr>
      <w:tr w:rsidR="002E5703" w:rsidRPr="002E5703" w14:paraId="6134B531" w14:textId="77777777" w:rsidTr="00491C69">
        <w:tc>
          <w:tcPr>
            <w:tcW w:w="4508" w:type="dxa"/>
          </w:tcPr>
          <w:p w14:paraId="28D7160C" w14:textId="37C7EE49" w:rsidR="002E5703" w:rsidRPr="002E5703" w:rsidRDefault="008645A1">
            <w:pPr>
              <w:rPr>
                <w:rFonts w:ascii="Times New Roman" w:hAnsi="Times New Roman"/>
              </w:rPr>
            </w:pPr>
            <w:r>
              <w:rPr>
                <w:rFonts w:ascii="Times New Roman" w:hAnsi="Times New Roman"/>
              </w:rPr>
              <w:t>21 November 2023</w:t>
            </w:r>
          </w:p>
        </w:tc>
        <w:tc>
          <w:tcPr>
            <w:tcW w:w="4508" w:type="dxa"/>
          </w:tcPr>
          <w:p w14:paraId="5E759DD4" w14:textId="658677C1" w:rsidR="002E5703" w:rsidRPr="002E5703" w:rsidRDefault="002E5703">
            <w:pPr>
              <w:rPr>
                <w:rFonts w:ascii="Times New Roman" w:hAnsi="Times New Roman"/>
              </w:rPr>
            </w:pPr>
            <w:r w:rsidRPr="002E5703">
              <w:rPr>
                <w:rFonts w:ascii="Times New Roman" w:hAnsi="Times New Roman"/>
              </w:rPr>
              <w:t>Invitation to participate in appraisal</w:t>
            </w:r>
          </w:p>
        </w:tc>
      </w:tr>
      <w:tr w:rsidR="0039063D" w:rsidRPr="002E5703" w14:paraId="7D31C3EE" w14:textId="77777777" w:rsidTr="00491C69">
        <w:tc>
          <w:tcPr>
            <w:tcW w:w="4508" w:type="dxa"/>
          </w:tcPr>
          <w:p w14:paraId="7BF43AD2" w14:textId="5EE01602" w:rsidR="0039063D" w:rsidRPr="002E5703" w:rsidRDefault="00665015">
            <w:pPr>
              <w:rPr>
                <w:rFonts w:ascii="Times New Roman" w:hAnsi="Times New Roman"/>
              </w:rPr>
            </w:pPr>
            <w:r>
              <w:rPr>
                <w:rFonts w:ascii="Times New Roman" w:hAnsi="Times New Roman"/>
              </w:rPr>
              <w:t>21 November 202</w:t>
            </w:r>
            <w:r w:rsidR="00EB2258">
              <w:rPr>
                <w:rFonts w:ascii="Times New Roman" w:hAnsi="Times New Roman"/>
              </w:rPr>
              <w:t>3</w:t>
            </w:r>
          </w:p>
        </w:tc>
        <w:tc>
          <w:tcPr>
            <w:tcW w:w="4508" w:type="dxa"/>
          </w:tcPr>
          <w:p w14:paraId="638194AE" w14:textId="6E5A727C" w:rsidR="0039063D" w:rsidRPr="002E5703" w:rsidRDefault="00A77697">
            <w:pPr>
              <w:rPr>
                <w:rFonts w:ascii="Times New Roman" w:hAnsi="Times New Roman"/>
              </w:rPr>
            </w:pPr>
            <w:r w:rsidRPr="002E5703">
              <w:rPr>
                <w:rFonts w:ascii="Times New Roman" w:hAnsi="Times New Roman"/>
              </w:rPr>
              <w:t>Final Scope for appraisal</w:t>
            </w:r>
          </w:p>
        </w:tc>
      </w:tr>
      <w:tr w:rsidR="0039063D" w:rsidRPr="002E5703" w14:paraId="48AE824C" w14:textId="77777777" w:rsidTr="00491C69">
        <w:tc>
          <w:tcPr>
            <w:tcW w:w="4508" w:type="dxa"/>
          </w:tcPr>
          <w:p w14:paraId="6311436C" w14:textId="5418EDD4" w:rsidR="0039063D" w:rsidRPr="002E5703" w:rsidRDefault="00EB2258">
            <w:pPr>
              <w:rPr>
                <w:rFonts w:ascii="Times New Roman" w:hAnsi="Times New Roman"/>
              </w:rPr>
            </w:pPr>
            <w:r>
              <w:rPr>
                <w:rFonts w:ascii="Times New Roman" w:hAnsi="Times New Roman"/>
              </w:rPr>
              <w:t>19 March 2024</w:t>
            </w:r>
          </w:p>
        </w:tc>
        <w:tc>
          <w:tcPr>
            <w:tcW w:w="4508" w:type="dxa"/>
          </w:tcPr>
          <w:p w14:paraId="285464DF" w14:textId="39103315" w:rsidR="0039063D" w:rsidRPr="002E5703" w:rsidRDefault="008645A1">
            <w:pPr>
              <w:rPr>
                <w:rFonts w:ascii="Times New Roman" w:hAnsi="Times New Roman"/>
              </w:rPr>
            </w:pPr>
            <w:r>
              <w:rPr>
                <w:rFonts w:ascii="Times New Roman" w:hAnsi="Times New Roman"/>
              </w:rPr>
              <w:t xml:space="preserve">Lilly </w:t>
            </w:r>
            <w:r w:rsidR="00222C81" w:rsidRPr="002E5703">
              <w:rPr>
                <w:rFonts w:ascii="Times New Roman" w:hAnsi="Times New Roman"/>
              </w:rPr>
              <w:t>provides submission to NICE for the purposes of appraisal</w:t>
            </w:r>
          </w:p>
        </w:tc>
      </w:tr>
      <w:tr w:rsidR="002E5703" w:rsidRPr="002E5703" w14:paraId="445176A4" w14:textId="77777777" w:rsidTr="00491C69">
        <w:tc>
          <w:tcPr>
            <w:tcW w:w="4508" w:type="dxa"/>
          </w:tcPr>
          <w:p w14:paraId="33726058" w14:textId="1E8C7BF9" w:rsidR="003A6410" w:rsidRPr="002E5703" w:rsidRDefault="00EB2258">
            <w:pPr>
              <w:rPr>
                <w:rFonts w:ascii="Times New Roman" w:hAnsi="Times New Roman"/>
              </w:rPr>
            </w:pPr>
            <w:r>
              <w:rPr>
                <w:rFonts w:ascii="Times New Roman" w:hAnsi="Times New Roman"/>
              </w:rPr>
              <w:t>17 April 2024</w:t>
            </w:r>
          </w:p>
        </w:tc>
        <w:tc>
          <w:tcPr>
            <w:tcW w:w="4508" w:type="dxa"/>
          </w:tcPr>
          <w:p w14:paraId="45E6DA4C" w14:textId="1A3E3151" w:rsidR="003A6410" w:rsidRPr="002E5703" w:rsidRDefault="00123EB2" w:rsidP="00123EB2">
            <w:pPr>
              <w:pStyle w:val="Default"/>
              <w:rPr>
                <w:rFonts w:ascii="Times New Roman" w:hAnsi="Times New Roman"/>
                <w:color w:val="auto"/>
              </w:rPr>
            </w:pPr>
            <w:r w:rsidRPr="002E5703">
              <w:rPr>
                <w:rFonts w:ascii="Times New Roman" w:hAnsi="Times New Roman"/>
                <w:color w:val="auto"/>
                <w:szCs w:val="22"/>
              </w:rPr>
              <w:t xml:space="preserve">EAG Report prepared by </w:t>
            </w:r>
            <w:r w:rsidR="00F07353">
              <w:rPr>
                <w:rFonts w:ascii="Times New Roman" w:hAnsi="Times New Roman"/>
                <w:color w:val="auto"/>
                <w:szCs w:val="22"/>
              </w:rPr>
              <w:t>Southampton Health Technology Assessments Centre (SHTAC)</w:t>
            </w:r>
          </w:p>
        </w:tc>
      </w:tr>
      <w:tr w:rsidR="0039063D" w:rsidRPr="002E5703" w14:paraId="55634924" w14:textId="77777777" w:rsidTr="00491C69">
        <w:tc>
          <w:tcPr>
            <w:tcW w:w="4508" w:type="dxa"/>
          </w:tcPr>
          <w:p w14:paraId="07FB002A" w14:textId="2F969739" w:rsidR="0039063D" w:rsidRPr="002E5703" w:rsidRDefault="008645A1">
            <w:pPr>
              <w:rPr>
                <w:rFonts w:ascii="Times New Roman" w:hAnsi="Times New Roman"/>
              </w:rPr>
            </w:pPr>
            <w:r>
              <w:rPr>
                <w:rFonts w:ascii="Times New Roman" w:hAnsi="Times New Roman"/>
              </w:rPr>
              <w:t>3 July 20</w:t>
            </w:r>
            <w:r w:rsidR="00B3529F">
              <w:rPr>
                <w:rFonts w:ascii="Times New Roman" w:hAnsi="Times New Roman"/>
              </w:rPr>
              <w:t>24</w:t>
            </w:r>
          </w:p>
        </w:tc>
        <w:tc>
          <w:tcPr>
            <w:tcW w:w="4508" w:type="dxa"/>
          </w:tcPr>
          <w:p w14:paraId="4341FBBD" w14:textId="49F648F7" w:rsidR="0039063D" w:rsidRPr="002E5703" w:rsidRDefault="0039063D">
            <w:pPr>
              <w:rPr>
                <w:rFonts w:ascii="Times New Roman" w:hAnsi="Times New Roman"/>
              </w:rPr>
            </w:pPr>
            <w:r w:rsidRPr="002E5703">
              <w:rPr>
                <w:rFonts w:ascii="Times New Roman" w:hAnsi="Times New Roman"/>
              </w:rPr>
              <w:t>First meeting of the App</w:t>
            </w:r>
            <w:r w:rsidR="00BF4A59" w:rsidRPr="002E5703">
              <w:rPr>
                <w:rFonts w:ascii="Times New Roman" w:hAnsi="Times New Roman"/>
              </w:rPr>
              <w:t>raisal Committee (held in private)</w:t>
            </w:r>
          </w:p>
        </w:tc>
      </w:tr>
      <w:tr w:rsidR="003C47C9" w:rsidRPr="002E5703" w14:paraId="27292172" w14:textId="77777777" w:rsidTr="00491C69">
        <w:tc>
          <w:tcPr>
            <w:tcW w:w="4508" w:type="dxa"/>
          </w:tcPr>
          <w:p w14:paraId="69C5D50C" w14:textId="4E497BBE" w:rsidR="003C47C9" w:rsidRPr="002E5703" w:rsidRDefault="003C3F69">
            <w:pPr>
              <w:rPr>
                <w:rFonts w:ascii="Times New Roman" w:hAnsi="Times New Roman"/>
              </w:rPr>
            </w:pPr>
            <w:r>
              <w:rPr>
                <w:rFonts w:ascii="Times New Roman" w:hAnsi="Times New Roman"/>
              </w:rPr>
              <w:t>23 October 2024</w:t>
            </w:r>
          </w:p>
        </w:tc>
        <w:tc>
          <w:tcPr>
            <w:tcW w:w="4508" w:type="dxa"/>
          </w:tcPr>
          <w:p w14:paraId="658B2C23" w14:textId="4D39E3E3" w:rsidR="003C47C9" w:rsidRPr="002E5703" w:rsidRDefault="003C47C9">
            <w:pPr>
              <w:rPr>
                <w:rFonts w:ascii="Times New Roman" w:hAnsi="Times New Roman"/>
              </w:rPr>
            </w:pPr>
            <w:r w:rsidRPr="002E5703">
              <w:rPr>
                <w:rFonts w:ascii="Times New Roman" w:hAnsi="Times New Roman"/>
              </w:rPr>
              <w:t>Marketing authorisation granted by UK Licensing Authority</w:t>
            </w:r>
          </w:p>
        </w:tc>
      </w:tr>
      <w:tr w:rsidR="002E5703" w:rsidRPr="002E5703" w14:paraId="11C6867C" w14:textId="77777777" w:rsidTr="00491C69">
        <w:tc>
          <w:tcPr>
            <w:tcW w:w="4508" w:type="dxa"/>
          </w:tcPr>
          <w:p w14:paraId="63B7854C" w14:textId="075923C0" w:rsidR="00C81335" w:rsidRPr="002E5703" w:rsidRDefault="00B3529F">
            <w:pPr>
              <w:rPr>
                <w:rFonts w:ascii="Times New Roman" w:hAnsi="Times New Roman"/>
              </w:rPr>
            </w:pPr>
            <w:r>
              <w:rPr>
                <w:rFonts w:ascii="Times New Roman" w:hAnsi="Times New Roman"/>
              </w:rPr>
              <w:t>23 October 2024 – 20 November 2024</w:t>
            </w:r>
          </w:p>
        </w:tc>
        <w:tc>
          <w:tcPr>
            <w:tcW w:w="4508" w:type="dxa"/>
          </w:tcPr>
          <w:p w14:paraId="12819F3C" w14:textId="432709C2" w:rsidR="00C81335" w:rsidRPr="002E5703" w:rsidRDefault="00640C20">
            <w:pPr>
              <w:rPr>
                <w:rFonts w:ascii="Times New Roman" w:hAnsi="Times New Roman"/>
              </w:rPr>
            </w:pPr>
            <w:r w:rsidRPr="002E5703">
              <w:rPr>
                <w:rFonts w:ascii="Times New Roman" w:hAnsi="Times New Roman"/>
              </w:rPr>
              <w:t>Consultation on Draft Guidance</w:t>
            </w:r>
          </w:p>
        </w:tc>
      </w:tr>
      <w:tr w:rsidR="00412CDF" w:rsidRPr="002E5703" w14:paraId="3AEB8DD2" w14:textId="77777777" w:rsidTr="00491C69">
        <w:tc>
          <w:tcPr>
            <w:tcW w:w="4508" w:type="dxa"/>
          </w:tcPr>
          <w:p w14:paraId="6543E033" w14:textId="504268E5" w:rsidR="00412CDF" w:rsidRPr="002E5703" w:rsidRDefault="00B3529F">
            <w:pPr>
              <w:rPr>
                <w:rFonts w:ascii="Times New Roman" w:hAnsi="Times New Roman"/>
              </w:rPr>
            </w:pPr>
            <w:r>
              <w:rPr>
                <w:rFonts w:ascii="Times New Roman" w:hAnsi="Times New Roman"/>
              </w:rPr>
              <w:t>20 November 2024</w:t>
            </w:r>
          </w:p>
        </w:tc>
        <w:tc>
          <w:tcPr>
            <w:tcW w:w="4508" w:type="dxa"/>
          </w:tcPr>
          <w:p w14:paraId="77FCDE5D" w14:textId="73CE00E0" w:rsidR="00412CDF" w:rsidRPr="002E5703" w:rsidRDefault="008645A1">
            <w:pPr>
              <w:rPr>
                <w:rFonts w:ascii="Times New Roman" w:hAnsi="Times New Roman"/>
              </w:rPr>
            </w:pPr>
            <w:r>
              <w:rPr>
                <w:rFonts w:ascii="Times New Roman" w:hAnsi="Times New Roman"/>
              </w:rPr>
              <w:t xml:space="preserve">Lilly </w:t>
            </w:r>
            <w:r w:rsidR="00412CDF" w:rsidRPr="002E5703">
              <w:rPr>
                <w:rFonts w:ascii="Times New Roman" w:hAnsi="Times New Roman"/>
              </w:rPr>
              <w:t xml:space="preserve">submits response to </w:t>
            </w:r>
            <w:r w:rsidR="00D818B7" w:rsidRPr="002E5703">
              <w:rPr>
                <w:rFonts w:ascii="Times New Roman" w:hAnsi="Times New Roman"/>
              </w:rPr>
              <w:t>Draft Guidance</w:t>
            </w:r>
          </w:p>
        </w:tc>
      </w:tr>
      <w:tr w:rsidR="002E5703" w:rsidRPr="002E5703" w14:paraId="7906523D" w14:textId="77777777" w:rsidTr="00491C69">
        <w:tc>
          <w:tcPr>
            <w:tcW w:w="4508" w:type="dxa"/>
          </w:tcPr>
          <w:p w14:paraId="0821F3AE" w14:textId="119A23DD" w:rsidR="00C81335" w:rsidRPr="002E5703" w:rsidRDefault="00B3529F">
            <w:pPr>
              <w:rPr>
                <w:rFonts w:ascii="Times New Roman" w:hAnsi="Times New Roman"/>
              </w:rPr>
            </w:pPr>
            <w:r>
              <w:rPr>
                <w:rFonts w:ascii="Times New Roman" w:hAnsi="Times New Roman"/>
              </w:rPr>
              <w:t>15 January 2025</w:t>
            </w:r>
          </w:p>
        </w:tc>
        <w:tc>
          <w:tcPr>
            <w:tcW w:w="4508" w:type="dxa"/>
          </w:tcPr>
          <w:p w14:paraId="198E0945" w14:textId="36BAA6CC" w:rsidR="00C81335" w:rsidRPr="002E5703" w:rsidRDefault="00D02767">
            <w:pPr>
              <w:rPr>
                <w:rFonts w:ascii="Times New Roman" w:hAnsi="Times New Roman"/>
              </w:rPr>
            </w:pPr>
            <w:r w:rsidRPr="002E5703">
              <w:rPr>
                <w:rFonts w:ascii="Times New Roman" w:hAnsi="Times New Roman"/>
              </w:rPr>
              <w:t>Second meeting of the Appraisal Committee</w:t>
            </w:r>
          </w:p>
        </w:tc>
      </w:tr>
      <w:tr w:rsidR="002E5703" w:rsidRPr="002E5703" w14:paraId="2BC3685C" w14:textId="77777777" w:rsidTr="00491C69">
        <w:tc>
          <w:tcPr>
            <w:tcW w:w="4508" w:type="dxa"/>
          </w:tcPr>
          <w:p w14:paraId="028DD484" w14:textId="36FEE6C0" w:rsidR="00C81335" w:rsidRPr="002E5703" w:rsidRDefault="00B3529F">
            <w:pPr>
              <w:rPr>
                <w:rFonts w:ascii="Times New Roman" w:hAnsi="Times New Roman"/>
              </w:rPr>
            </w:pPr>
            <w:r>
              <w:rPr>
                <w:rFonts w:ascii="Times New Roman" w:hAnsi="Times New Roman"/>
              </w:rPr>
              <w:t xml:space="preserve">6 </w:t>
            </w:r>
            <w:r w:rsidR="009338FD">
              <w:rPr>
                <w:rFonts w:ascii="Times New Roman" w:hAnsi="Times New Roman"/>
              </w:rPr>
              <w:t>March 2025 – 27 March 2025</w:t>
            </w:r>
          </w:p>
        </w:tc>
        <w:tc>
          <w:tcPr>
            <w:tcW w:w="4508" w:type="dxa"/>
          </w:tcPr>
          <w:p w14:paraId="161E843A" w14:textId="7A0CECEF" w:rsidR="00C81335" w:rsidRPr="002E5703" w:rsidRDefault="00D02767">
            <w:pPr>
              <w:rPr>
                <w:rFonts w:ascii="Times New Roman" w:hAnsi="Times New Roman"/>
              </w:rPr>
            </w:pPr>
            <w:r w:rsidRPr="002E5703">
              <w:rPr>
                <w:rFonts w:ascii="Times New Roman" w:hAnsi="Times New Roman"/>
              </w:rPr>
              <w:t>Consultation on Second Draft Guidance</w:t>
            </w:r>
          </w:p>
        </w:tc>
      </w:tr>
      <w:tr w:rsidR="00123EB2" w:rsidRPr="002E5703" w14:paraId="13929AC7" w14:textId="77777777" w:rsidTr="00491C69">
        <w:tc>
          <w:tcPr>
            <w:tcW w:w="4508" w:type="dxa"/>
          </w:tcPr>
          <w:p w14:paraId="32B83D28" w14:textId="3C1ABC04" w:rsidR="00123EB2" w:rsidRPr="002E5703" w:rsidRDefault="009338FD">
            <w:pPr>
              <w:rPr>
                <w:rFonts w:ascii="Times New Roman" w:hAnsi="Times New Roman"/>
              </w:rPr>
            </w:pPr>
            <w:r>
              <w:rPr>
                <w:rFonts w:ascii="Times New Roman" w:hAnsi="Times New Roman"/>
              </w:rPr>
              <w:t>27 March 2025</w:t>
            </w:r>
          </w:p>
        </w:tc>
        <w:tc>
          <w:tcPr>
            <w:tcW w:w="4508" w:type="dxa"/>
          </w:tcPr>
          <w:p w14:paraId="610EE5CC" w14:textId="477DAB8A" w:rsidR="00123EB2" w:rsidRPr="002E5703" w:rsidRDefault="008645A1">
            <w:pPr>
              <w:rPr>
                <w:rFonts w:ascii="Times New Roman" w:hAnsi="Times New Roman"/>
              </w:rPr>
            </w:pPr>
            <w:r>
              <w:rPr>
                <w:rFonts w:ascii="Times New Roman" w:hAnsi="Times New Roman"/>
              </w:rPr>
              <w:t xml:space="preserve">Lilly </w:t>
            </w:r>
            <w:r w:rsidR="00123EB2" w:rsidRPr="002E5703">
              <w:rPr>
                <w:rFonts w:ascii="Times New Roman" w:hAnsi="Times New Roman"/>
              </w:rPr>
              <w:t>submi</w:t>
            </w:r>
            <w:r w:rsidR="004320F8" w:rsidRPr="002E5703">
              <w:rPr>
                <w:rFonts w:ascii="Times New Roman" w:hAnsi="Times New Roman"/>
              </w:rPr>
              <w:t>ts response to Second Draft Guidance</w:t>
            </w:r>
          </w:p>
        </w:tc>
      </w:tr>
      <w:tr w:rsidR="00D05D2A" w:rsidRPr="002E5703" w14:paraId="205648FC" w14:textId="77777777" w:rsidTr="00491C69">
        <w:tc>
          <w:tcPr>
            <w:tcW w:w="4508" w:type="dxa"/>
          </w:tcPr>
          <w:p w14:paraId="3322E570" w14:textId="3FBD1741" w:rsidR="00D05D2A" w:rsidRPr="002E5703" w:rsidRDefault="0088151B">
            <w:pPr>
              <w:rPr>
                <w:rFonts w:ascii="Times New Roman" w:hAnsi="Times New Roman"/>
              </w:rPr>
            </w:pPr>
            <w:r>
              <w:rPr>
                <w:rFonts w:ascii="Times New Roman" w:hAnsi="Times New Roman"/>
              </w:rPr>
              <w:t>8</w:t>
            </w:r>
            <w:r w:rsidR="005D0A19" w:rsidRPr="005D0A19">
              <w:rPr>
                <w:rFonts w:ascii="Times New Roman" w:hAnsi="Times New Roman"/>
              </w:rPr>
              <w:t xml:space="preserve"> May 2025</w:t>
            </w:r>
          </w:p>
        </w:tc>
        <w:tc>
          <w:tcPr>
            <w:tcW w:w="4508" w:type="dxa"/>
          </w:tcPr>
          <w:p w14:paraId="5CC8D9BE" w14:textId="18C5F7DE" w:rsidR="00D05D2A" w:rsidRPr="002E5703" w:rsidRDefault="00DF5E7F">
            <w:pPr>
              <w:rPr>
                <w:rFonts w:ascii="Times New Roman" w:hAnsi="Times New Roman"/>
              </w:rPr>
            </w:pPr>
            <w:r>
              <w:rPr>
                <w:rFonts w:ascii="Times New Roman" w:hAnsi="Times New Roman"/>
              </w:rPr>
              <w:t xml:space="preserve">Some information </w:t>
            </w:r>
            <w:r w:rsidR="002F30A1" w:rsidRPr="002E5703">
              <w:rPr>
                <w:rFonts w:ascii="Times New Roman" w:hAnsi="Times New Roman"/>
              </w:rPr>
              <w:t xml:space="preserve">regarding NHS </w:t>
            </w:r>
            <w:r w:rsidR="00D05D2A" w:rsidRPr="002E5703">
              <w:rPr>
                <w:rFonts w:ascii="Times New Roman" w:hAnsi="Times New Roman"/>
              </w:rPr>
              <w:t>England</w:t>
            </w:r>
            <w:r w:rsidR="002F30A1" w:rsidRPr="002E5703">
              <w:rPr>
                <w:rFonts w:ascii="Times New Roman" w:hAnsi="Times New Roman"/>
              </w:rPr>
              <w:t xml:space="preserve">’s claimed infusion costs </w:t>
            </w:r>
            <w:r>
              <w:rPr>
                <w:rFonts w:ascii="Times New Roman" w:hAnsi="Times New Roman"/>
              </w:rPr>
              <w:t xml:space="preserve">disclosed </w:t>
            </w:r>
            <w:r w:rsidR="002F30A1" w:rsidRPr="002E5703">
              <w:rPr>
                <w:rFonts w:ascii="Times New Roman" w:hAnsi="Times New Roman"/>
              </w:rPr>
              <w:t xml:space="preserve">to </w:t>
            </w:r>
            <w:r w:rsidR="00EA4C2E">
              <w:rPr>
                <w:rFonts w:ascii="Times New Roman" w:hAnsi="Times New Roman"/>
              </w:rPr>
              <w:t>Lilly</w:t>
            </w:r>
          </w:p>
        </w:tc>
      </w:tr>
      <w:tr w:rsidR="00192C69" w:rsidRPr="002E5703" w14:paraId="35772A17" w14:textId="77777777" w:rsidTr="00491C69">
        <w:tc>
          <w:tcPr>
            <w:tcW w:w="4508" w:type="dxa"/>
          </w:tcPr>
          <w:p w14:paraId="36EF38D8" w14:textId="2467C3F6" w:rsidR="00192C69" w:rsidRDefault="00192C69">
            <w:pPr>
              <w:rPr>
                <w:rFonts w:ascii="Times New Roman" w:hAnsi="Times New Roman"/>
              </w:rPr>
            </w:pPr>
            <w:r>
              <w:rPr>
                <w:rFonts w:ascii="Times New Roman" w:hAnsi="Times New Roman"/>
              </w:rPr>
              <w:t>DATE</w:t>
            </w:r>
          </w:p>
        </w:tc>
        <w:tc>
          <w:tcPr>
            <w:tcW w:w="4508" w:type="dxa"/>
          </w:tcPr>
          <w:p w14:paraId="1264860C" w14:textId="5E6315F0" w:rsidR="00192C69" w:rsidRDefault="00192C69">
            <w:pPr>
              <w:rPr>
                <w:rFonts w:ascii="Times New Roman" w:hAnsi="Times New Roman"/>
              </w:rPr>
            </w:pPr>
            <w:r>
              <w:rPr>
                <w:rFonts w:ascii="Times New Roman" w:hAnsi="Times New Roman"/>
              </w:rPr>
              <w:t xml:space="preserve">Lilly requests clarification </w:t>
            </w:r>
            <w:r w:rsidR="00721428">
              <w:rPr>
                <w:rFonts w:ascii="Times New Roman" w:hAnsi="Times New Roman"/>
              </w:rPr>
              <w:t>of NHS England’s infusion costs (no response received)</w:t>
            </w:r>
          </w:p>
        </w:tc>
      </w:tr>
      <w:tr w:rsidR="002E5703" w:rsidRPr="002E5703" w14:paraId="4FE66D8E" w14:textId="77777777" w:rsidTr="00491C69">
        <w:tc>
          <w:tcPr>
            <w:tcW w:w="4508" w:type="dxa"/>
          </w:tcPr>
          <w:p w14:paraId="02876040" w14:textId="453DE359" w:rsidR="00C81335" w:rsidRPr="002E5703" w:rsidRDefault="003E4185">
            <w:pPr>
              <w:rPr>
                <w:rFonts w:ascii="Times New Roman" w:hAnsi="Times New Roman"/>
              </w:rPr>
            </w:pPr>
            <w:r>
              <w:rPr>
                <w:rFonts w:ascii="Times New Roman" w:hAnsi="Times New Roman"/>
              </w:rPr>
              <w:t>14 May 2025</w:t>
            </w:r>
          </w:p>
        </w:tc>
        <w:tc>
          <w:tcPr>
            <w:tcW w:w="4508" w:type="dxa"/>
          </w:tcPr>
          <w:p w14:paraId="1E842E06" w14:textId="1F344A2A" w:rsidR="00C81335" w:rsidRPr="002E5703" w:rsidRDefault="007152CF">
            <w:pPr>
              <w:rPr>
                <w:rFonts w:ascii="Times New Roman" w:hAnsi="Times New Roman"/>
              </w:rPr>
            </w:pPr>
            <w:r w:rsidRPr="002E5703">
              <w:rPr>
                <w:rFonts w:ascii="Times New Roman" w:hAnsi="Times New Roman"/>
              </w:rPr>
              <w:t>Third meeting of the Appraisal Committee</w:t>
            </w:r>
          </w:p>
        </w:tc>
      </w:tr>
      <w:tr w:rsidR="002E5703" w:rsidRPr="002E5703" w14:paraId="3DC20738" w14:textId="77777777" w:rsidTr="00491C69">
        <w:tc>
          <w:tcPr>
            <w:tcW w:w="4508" w:type="dxa"/>
          </w:tcPr>
          <w:p w14:paraId="5605B51B" w14:textId="1C810124" w:rsidR="00C81335" w:rsidRPr="002E5703" w:rsidRDefault="00E44680">
            <w:pPr>
              <w:rPr>
                <w:rFonts w:ascii="Times New Roman" w:hAnsi="Times New Roman"/>
              </w:rPr>
            </w:pPr>
            <w:r>
              <w:rPr>
                <w:rFonts w:ascii="Times New Roman" w:hAnsi="Times New Roman"/>
              </w:rPr>
              <w:t>12 June 2025</w:t>
            </w:r>
          </w:p>
        </w:tc>
        <w:tc>
          <w:tcPr>
            <w:tcW w:w="4508" w:type="dxa"/>
          </w:tcPr>
          <w:p w14:paraId="3401A274" w14:textId="3FD7A61E" w:rsidR="00C81335" w:rsidRPr="002E5703" w:rsidRDefault="002B40EE">
            <w:pPr>
              <w:rPr>
                <w:rFonts w:ascii="Times New Roman" w:hAnsi="Times New Roman"/>
              </w:rPr>
            </w:pPr>
            <w:r w:rsidRPr="002E5703">
              <w:rPr>
                <w:rFonts w:ascii="Times New Roman" w:hAnsi="Times New Roman"/>
              </w:rPr>
              <w:t>Final Draft Guidance is issued</w:t>
            </w:r>
          </w:p>
        </w:tc>
      </w:tr>
      <w:tr w:rsidR="002E5703" w:rsidRPr="002E5703" w14:paraId="044B0990" w14:textId="77777777" w:rsidTr="00491C69">
        <w:tc>
          <w:tcPr>
            <w:tcW w:w="4508" w:type="dxa"/>
          </w:tcPr>
          <w:p w14:paraId="579BC955" w14:textId="36DA800B" w:rsidR="00C81335" w:rsidRPr="002E5703" w:rsidRDefault="00E44680">
            <w:pPr>
              <w:rPr>
                <w:rFonts w:ascii="Times New Roman" w:hAnsi="Times New Roman"/>
              </w:rPr>
            </w:pPr>
            <w:r>
              <w:rPr>
                <w:rFonts w:ascii="Times New Roman" w:hAnsi="Times New Roman"/>
              </w:rPr>
              <w:t>3 July 2025</w:t>
            </w:r>
          </w:p>
        </w:tc>
        <w:tc>
          <w:tcPr>
            <w:tcW w:w="4508" w:type="dxa"/>
          </w:tcPr>
          <w:p w14:paraId="0E87A17E" w14:textId="229BA64D" w:rsidR="00C81335" w:rsidRPr="002E5703" w:rsidRDefault="000758BD">
            <w:pPr>
              <w:rPr>
                <w:rFonts w:ascii="Times New Roman" w:hAnsi="Times New Roman"/>
              </w:rPr>
            </w:pPr>
            <w:r w:rsidRPr="002E5703">
              <w:rPr>
                <w:rFonts w:ascii="Times New Roman" w:hAnsi="Times New Roman"/>
              </w:rPr>
              <w:t xml:space="preserve">Date for submission </w:t>
            </w:r>
            <w:r w:rsidR="00F365E5" w:rsidRPr="002E5703">
              <w:rPr>
                <w:rFonts w:ascii="Times New Roman" w:hAnsi="Times New Roman"/>
              </w:rPr>
              <w:t>of appeal</w:t>
            </w:r>
          </w:p>
        </w:tc>
      </w:tr>
    </w:tbl>
    <w:p w14:paraId="03A6F8D1" w14:textId="77777777" w:rsidR="00915029" w:rsidRDefault="00915029">
      <w:pPr>
        <w:rPr>
          <w:rFonts w:ascii="Times New Roman" w:hAnsi="Times New Roman"/>
          <w:u w:val="single"/>
        </w:rPr>
      </w:pPr>
    </w:p>
    <w:p w14:paraId="520C8A3F" w14:textId="77777777" w:rsidR="00FC0400" w:rsidRDefault="00FC0400">
      <w:pPr>
        <w:rPr>
          <w:rFonts w:ascii="Times New Roman" w:hAnsi="Times New Roman"/>
          <w:u w:val="single"/>
        </w:rPr>
      </w:pPr>
    </w:p>
    <w:p w14:paraId="670315B4" w14:textId="77777777" w:rsidR="00FC0400" w:rsidRPr="002E5703" w:rsidRDefault="00FC0400">
      <w:pPr>
        <w:rPr>
          <w:rFonts w:ascii="Times New Roman" w:hAnsi="Times New Roman"/>
          <w:u w:val="single"/>
        </w:rPr>
      </w:pPr>
    </w:p>
    <w:p w14:paraId="06B3FBAA" w14:textId="77777777" w:rsidR="007B0BA0" w:rsidRPr="002E5703" w:rsidRDefault="007B0BA0" w:rsidP="007B0BA0">
      <w:pPr>
        <w:pStyle w:val="BodyText"/>
        <w:rPr>
          <w:b/>
          <w:u w:val="single"/>
        </w:rPr>
      </w:pPr>
      <w:r w:rsidRPr="002E5703">
        <w:rPr>
          <w:b/>
          <w:u w:val="single"/>
        </w:rPr>
        <w:t>GROUNDS OF APPEAL</w:t>
      </w:r>
    </w:p>
    <w:p w14:paraId="41CA6F1E" w14:textId="77777777" w:rsidR="007B0BA0" w:rsidRPr="002E5703" w:rsidRDefault="007B0BA0" w:rsidP="007B0BA0">
      <w:pPr>
        <w:pStyle w:val="ListParagraph"/>
        <w:numPr>
          <w:ilvl w:val="0"/>
          <w:numId w:val="1"/>
        </w:numPr>
        <w:spacing w:after="0"/>
        <w:jc w:val="both"/>
        <w:rPr>
          <w:rFonts w:ascii="Times New Roman" w:hAnsi="Times New Roman"/>
        </w:rPr>
      </w:pPr>
      <w:r w:rsidRPr="002E5703">
        <w:rPr>
          <w:rFonts w:ascii="Times New Roman" w:hAnsi="Times New Roman"/>
          <w:b/>
        </w:rPr>
        <w:t xml:space="preserve">GROUND 1a: IN MAKING THE ASSESSMENT THAT PRECEDED THE RECOMMENDATION, NICE HAS FAILED TO ACT FAIRLY </w:t>
      </w:r>
    </w:p>
    <w:p w14:paraId="34DC68FA" w14:textId="77777777" w:rsidR="007B0BA0" w:rsidRPr="002E5703" w:rsidRDefault="007B0BA0">
      <w:pPr>
        <w:rPr>
          <w:rFonts w:ascii="Times New Roman" w:hAnsi="Times New Roman"/>
          <w:u w:val="single"/>
        </w:rPr>
      </w:pPr>
    </w:p>
    <w:p w14:paraId="27CA4756" w14:textId="7D8CE608" w:rsidR="00636E39" w:rsidRDefault="00636E39" w:rsidP="00183CDC">
      <w:pPr>
        <w:pStyle w:val="ListParagraph"/>
        <w:numPr>
          <w:ilvl w:val="1"/>
          <w:numId w:val="1"/>
        </w:numPr>
        <w:jc w:val="both"/>
        <w:rPr>
          <w:rFonts w:ascii="Times New Roman" w:hAnsi="Times New Roman"/>
          <w:b/>
          <w:bCs/>
        </w:rPr>
      </w:pPr>
      <w:r>
        <w:rPr>
          <w:rFonts w:ascii="Times New Roman" w:hAnsi="Times New Roman"/>
          <w:b/>
          <w:bCs/>
        </w:rPr>
        <w:t>The Committee’s assessment of caregiver utilities is inadequately explained and inconsistent with NICE’s Manual</w:t>
      </w:r>
      <w:r w:rsidR="00C34153">
        <w:rPr>
          <w:rFonts w:ascii="Times New Roman" w:hAnsi="Times New Roman"/>
          <w:b/>
          <w:bCs/>
        </w:rPr>
        <w:t>.</w:t>
      </w:r>
    </w:p>
    <w:p w14:paraId="4D5A0E2A" w14:textId="4F33ED42" w:rsidR="008878AF" w:rsidRDefault="00CB2580" w:rsidP="00D51B77">
      <w:pPr>
        <w:jc w:val="both"/>
        <w:rPr>
          <w:rFonts w:ascii="Times New Roman" w:hAnsi="Times New Roman"/>
        </w:rPr>
      </w:pPr>
      <w:r>
        <w:rPr>
          <w:rFonts w:ascii="Times New Roman" w:hAnsi="Times New Roman"/>
        </w:rPr>
        <w:t xml:space="preserve">The Committee considers the assessment of utility values in carers for people with early AD at paragraph 3.19 of </w:t>
      </w:r>
      <w:r w:rsidR="4C553596" w:rsidRPr="61790F0F">
        <w:rPr>
          <w:rFonts w:ascii="Times New Roman" w:hAnsi="Times New Roman"/>
        </w:rPr>
        <w:t>t</w:t>
      </w:r>
      <w:r w:rsidRPr="61790F0F">
        <w:rPr>
          <w:rFonts w:ascii="Times New Roman" w:hAnsi="Times New Roman"/>
        </w:rPr>
        <w:t>he</w:t>
      </w:r>
      <w:r>
        <w:rPr>
          <w:rFonts w:ascii="Times New Roman" w:hAnsi="Times New Roman"/>
        </w:rPr>
        <w:t xml:space="preserve"> FDG. </w:t>
      </w:r>
      <w:r w:rsidR="00C34153">
        <w:rPr>
          <w:rFonts w:ascii="Times New Roman" w:hAnsi="Times New Roman"/>
        </w:rPr>
        <w:t xml:space="preserve"> </w:t>
      </w:r>
      <w:r w:rsidR="008878AF">
        <w:rPr>
          <w:rFonts w:ascii="Times New Roman" w:hAnsi="Times New Roman"/>
        </w:rPr>
        <w:t>This assessment lacks transparency and conflicts with the provisions of the Manual</w:t>
      </w:r>
      <w:r w:rsidR="00C34153">
        <w:rPr>
          <w:rFonts w:ascii="Times New Roman" w:hAnsi="Times New Roman"/>
        </w:rPr>
        <w:t>.</w:t>
      </w:r>
      <w:r w:rsidR="008878AF">
        <w:rPr>
          <w:rFonts w:ascii="Times New Roman" w:hAnsi="Times New Roman"/>
        </w:rPr>
        <w:t xml:space="preserve"> </w:t>
      </w:r>
    </w:p>
    <w:p w14:paraId="7786207B" w14:textId="366DD29C" w:rsidR="008878AF" w:rsidRPr="007A3E72" w:rsidRDefault="008878AF" w:rsidP="007A3E72">
      <w:pPr>
        <w:pStyle w:val="ListParagraph"/>
        <w:numPr>
          <w:ilvl w:val="0"/>
          <w:numId w:val="39"/>
        </w:numPr>
        <w:jc w:val="both"/>
        <w:rPr>
          <w:rFonts w:ascii="Times New Roman" w:hAnsi="Times New Roman"/>
          <w:u w:val="single"/>
        </w:rPr>
      </w:pPr>
      <w:r w:rsidRPr="007A3E72">
        <w:rPr>
          <w:rFonts w:ascii="Times New Roman" w:hAnsi="Times New Roman"/>
          <w:u w:val="single"/>
        </w:rPr>
        <w:t>The distinction between health-related quality of life and quality of life experienced by carers of persons with Alzheimer’s Disease conflicts with definitions in the Manual and is inadequately explained</w:t>
      </w:r>
    </w:p>
    <w:p w14:paraId="7498EEC2" w14:textId="6F2AE310" w:rsidR="00CB2580" w:rsidRDefault="00CB2580" w:rsidP="00D51B77">
      <w:pPr>
        <w:jc w:val="both"/>
        <w:rPr>
          <w:rFonts w:ascii="Times New Roman" w:hAnsi="Times New Roman"/>
        </w:rPr>
      </w:pPr>
      <w:r>
        <w:rPr>
          <w:rFonts w:ascii="Times New Roman" w:hAnsi="Times New Roman"/>
        </w:rPr>
        <w:t xml:space="preserve">In determining the way in which health related quality of life in carers should be measured, the Committee sought to distinguish between </w:t>
      </w:r>
      <w:r w:rsidR="00B86ABC">
        <w:rPr>
          <w:rFonts w:ascii="Times New Roman" w:hAnsi="Times New Roman"/>
        </w:rPr>
        <w:t>health-related</w:t>
      </w:r>
      <w:r>
        <w:rPr>
          <w:rFonts w:ascii="Times New Roman" w:hAnsi="Times New Roman"/>
        </w:rPr>
        <w:t xml:space="preserve"> quality of life (</w:t>
      </w:r>
      <w:proofErr w:type="spellStart"/>
      <w:r>
        <w:rPr>
          <w:rFonts w:ascii="Times New Roman" w:hAnsi="Times New Roman"/>
        </w:rPr>
        <w:t>HRQoL</w:t>
      </w:r>
      <w:proofErr w:type="spellEnd"/>
      <w:r>
        <w:rPr>
          <w:rFonts w:ascii="Times New Roman" w:hAnsi="Times New Roman"/>
        </w:rPr>
        <w:t>) and quality of life (QoL) and stated:</w:t>
      </w:r>
    </w:p>
    <w:p w14:paraId="7D6DC70E" w14:textId="107A9C07" w:rsidR="00CB2580" w:rsidRPr="00CB2580" w:rsidRDefault="00CB2580" w:rsidP="007A3E72">
      <w:pPr>
        <w:ind w:left="720"/>
        <w:jc w:val="both"/>
        <w:rPr>
          <w:rFonts w:ascii="Times New Roman" w:hAnsi="Times New Roman"/>
        </w:rPr>
      </w:pPr>
      <w:r>
        <w:rPr>
          <w:rFonts w:ascii="Times New Roman" w:hAnsi="Times New Roman"/>
        </w:rPr>
        <w:t>“</w:t>
      </w:r>
      <w:r w:rsidRPr="007A3E72">
        <w:rPr>
          <w:rFonts w:ascii="Times New Roman" w:hAnsi="Times New Roman"/>
          <w:i/>
          <w:iCs/>
        </w:rPr>
        <w:t>The committee understood that the bu</w:t>
      </w:r>
      <w:r w:rsidR="0090656A" w:rsidRPr="007A3E72">
        <w:rPr>
          <w:rFonts w:ascii="Times New Roman" w:hAnsi="Times New Roman"/>
          <w:i/>
          <w:iCs/>
        </w:rPr>
        <w:t>r</w:t>
      </w:r>
      <w:r w:rsidRPr="007A3E72">
        <w:rPr>
          <w:rFonts w:ascii="Times New Roman" w:hAnsi="Times New Roman"/>
          <w:i/>
          <w:iCs/>
        </w:rPr>
        <w:t xml:space="preserve">den of being a carer for a spouse of other family member with Alzheimer’s disease could have wide-ranging </w:t>
      </w:r>
      <w:r w:rsidR="0090656A" w:rsidRPr="007A3E72">
        <w:rPr>
          <w:rFonts w:ascii="Times New Roman" w:hAnsi="Times New Roman"/>
          <w:i/>
          <w:iCs/>
        </w:rPr>
        <w:t>quality-of-life effects including physical, psychological, social and financial.  But it agreed with the EAG that many of the aspects that c</w:t>
      </w:r>
      <w:r w:rsidR="002F2EBC">
        <w:rPr>
          <w:rFonts w:ascii="Times New Roman" w:hAnsi="Times New Roman"/>
          <w:i/>
          <w:iCs/>
        </w:rPr>
        <w:t>ar</w:t>
      </w:r>
      <w:r w:rsidR="0090656A" w:rsidRPr="007A3E72">
        <w:rPr>
          <w:rFonts w:ascii="Times New Roman" w:hAnsi="Times New Roman"/>
          <w:i/>
          <w:iCs/>
        </w:rPr>
        <w:t xml:space="preserve">ers of people with </w:t>
      </w:r>
      <w:r w:rsidR="31F4D15E" w:rsidRPr="1B87298E">
        <w:rPr>
          <w:rFonts w:ascii="Times New Roman" w:hAnsi="Times New Roman"/>
          <w:i/>
          <w:iCs/>
        </w:rPr>
        <w:t>Alzheimer's</w:t>
      </w:r>
      <w:r w:rsidR="0090656A" w:rsidRPr="007A3E72">
        <w:rPr>
          <w:rFonts w:ascii="Times New Roman" w:hAnsi="Times New Roman"/>
          <w:i/>
          <w:iCs/>
        </w:rPr>
        <w:t xml:space="preserve"> disease reported to affect their dail</w:t>
      </w:r>
      <w:r w:rsidR="002F2EBC">
        <w:rPr>
          <w:rFonts w:ascii="Times New Roman" w:hAnsi="Times New Roman"/>
          <w:i/>
          <w:iCs/>
        </w:rPr>
        <w:t>y</w:t>
      </w:r>
      <w:r w:rsidR="0090656A" w:rsidRPr="007A3E72">
        <w:rPr>
          <w:rFonts w:ascii="Times New Roman" w:hAnsi="Times New Roman"/>
          <w:i/>
          <w:iCs/>
        </w:rPr>
        <w:t xml:space="preserve"> quality of life may not be directly related to health.  The exception is mental health, which is included in </w:t>
      </w:r>
      <w:r w:rsidR="00DC45C6">
        <w:rPr>
          <w:rFonts w:ascii="Times New Roman" w:hAnsi="Times New Roman"/>
          <w:i/>
          <w:iCs/>
        </w:rPr>
        <w:t>t</w:t>
      </w:r>
      <w:r w:rsidR="0090656A" w:rsidRPr="007A3E72">
        <w:rPr>
          <w:rFonts w:ascii="Times New Roman" w:hAnsi="Times New Roman"/>
          <w:i/>
          <w:iCs/>
        </w:rPr>
        <w:t>he EQ-5D.  The committee noted that although quality of life and health-related quality of life are sometimes used interchangeably by patients and carers when describing the impact of a disease or condition, NICE’s methods specifically incorporate health effects (only) in the adjusted quality-adjusted life year (QALY) calculation.”</w:t>
      </w:r>
      <w:r w:rsidR="0090656A">
        <w:rPr>
          <w:rFonts w:ascii="Times New Roman" w:hAnsi="Times New Roman"/>
        </w:rPr>
        <w:t xml:space="preserve"> </w:t>
      </w:r>
    </w:p>
    <w:p w14:paraId="147D8A8F" w14:textId="02F17FB3" w:rsidR="00CB2580" w:rsidRDefault="0090656A" w:rsidP="00D51B77">
      <w:pPr>
        <w:jc w:val="both"/>
        <w:rPr>
          <w:rFonts w:ascii="Times New Roman" w:hAnsi="Times New Roman"/>
        </w:rPr>
      </w:pPr>
      <w:r w:rsidRPr="007A3E72">
        <w:rPr>
          <w:rFonts w:ascii="Times New Roman" w:hAnsi="Times New Roman"/>
        </w:rPr>
        <w:t xml:space="preserve">It is unclear why the Appraisal </w:t>
      </w:r>
      <w:r>
        <w:rPr>
          <w:rFonts w:ascii="Times New Roman" w:hAnsi="Times New Roman"/>
        </w:rPr>
        <w:t xml:space="preserve">Committee sought to make a distinction between </w:t>
      </w:r>
      <w:proofErr w:type="spellStart"/>
      <w:r w:rsidRPr="0090656A">
        <w:rPr>
          <w:rFonts w:ascii="Times New Roman" w:hAnsi="Times New Roman"/>
        </w:rPr>
        <w:t>HRQoL</w:t>
      </w:r>
      <w:proofErr w:type="spellEnd"/>
      <w:r w:rsidRPr="0090656A">
        <w:rPr>
          <w:rFonts w:ascii="Times New Roman" w:hAnsi="Times New Roman"/>
        </w:rPr>
        <w:t xml:space="preserve"> and QoL</w:t>
      </w:r>
      <w:r>
        <w:rPr>
          <w:rFonts w:ascii="Times New Roman" w:hAnsi="Times New Roman"/>
        </w:rPr>
        <w:t xml:space="preserve"> at ACM3</w:t>
      </w:r>
      <w:r w:rsidR="002F2EBC">
        <w:rPr>
          <w:rFonts w:ascii="Times New Roman" w:hAnsi="Times New Roman"/>
        </w:rPr>
        <w:t>, with the inference that only aspects that are “directly related to health”, being considered.  It is Lilly’s firm view that such a distinction is inappropriate and unfair and, s</w:t>
      </w:r>
      <w:r>
        <w:rPr>
          <w:rFonts w:ascii="Times New Roman" w:hAnsi="Times New Roman"/>
        </w:rPr>
        <w:t>o far as Lilly is aware</w:t>
      </w:r>
      <w:r w:rsidR="002F2EBC">
        <w:rPr>
          <w:rFonts w:ascii="Times New Roman" w:hAnsi="Times New Roman"/>
        </w:rPr>
        <w:t>,</w:t>
      </w:r>
      <w:r>
        <w:rPr>
          <w:rFonts w:ascii="Times New Roman" w:hAnsi="Times New Roman"/>
        </w:rPr>
        <w:t xml:space="preserve"> NICE</w:t>
      </w:r>
      <w:r w:rsidR="002F2EBC">
        <w:rPr>
          <w:rFonts w:ascii="Times New Roman" w:hAnsi="Times New Roman"/>
        </w:rPr>
        <w:t xml:space="preserve"> has not previously attempted to exclude aspects of QoL simply because they do not relate “directly” to health. </w:t>
      </w:r>
    </w:p>
    <w:p w14:paraId="4F821E1C" w14:textId="77777777" w:rsidR="002F2EBC" w:rsidRDefault="002F2EBC" w:rsidP="002F2EBC">
      <w:pPr>
        <w:jc w:val="both"/>
        <w:rPr>
          <w:rFonts w:ascii="Times New Roman" w:hAnsi="Times New Roman"/>
        </w:rPr>
      </w:pPr>
      <w:r w:rsidRPr="007A3E72">
        <w:rPr>
          <w:rFonts w:ascii="Times New Roman" w:hAnsi="Times New Roman"/>
        </w:rPr>
        <w:t>“Health” is a broad concept, defined by the WHO as “</w:t>
      </w:r>
      <w:r w:rsidR="0090656A" w:rsidRPr="007A3E72">
        <w:rPr>
          <w:rFonts w:ascii="Times New Roman" w:hAnsi="Times New Roman"/>
          <w:i/>
          <w:iCs/>
        </w:rPr>
        <w:t>a state of complete physical, mental, and social well-being, not merely the absence of disease or infirmity</w:t>
      </w:r>
      <w:r w:rsidRPr="007A3E72">
        <w:rPr>
          <w:rFonts w:ascii="Times New Roman" w:hAnsi="Times New Roman"/>
          <w:i/>
          <w:iCs/>
        </w:rPr>
        <w:t>”</w:t>
      </w:r>
      <w:r w:rsidRPr="007A3E72">
        <w:rPr>
          <w:rFonts w:ascii="Times New Roman" w:hAnsi="Times New Roman"/>
        </w:rPr>
        <w:t xml:space="preserve"> and illness may impact social and financial well-being as well as physical and psychological status. </w:t>
      </w:r>
      <w:r>
        <w:rPr>
          <w:rFonts w:ascii="Times New Roman" w:hAnsi="Times New Roman"/>
        </w:rPr>
        <w:t xml:space="preserve"> This is confirmed by the glossary to the NICE Manual, which defines </w:t>
      </w:r>
      <w:proofErr w:type="spellStart"/>
      <w:r>
        <w:rPr>
          <w:rFonts w:ascii="Times New Roman" w:hAnsi="Times New Roman"/>
        </w:rPr>
        <w:t>HRQoL</w:t>
      </w:r>
      <w:proofErr w:type="spellEnd"/>
      <w:r>
        <w:rPr>
          <w:rFonts w:ascii="Times New Roman" w:hAnsi="Times New Roman"/>
        </w:rPr>
        <w:t xml:space="preserve"> as:</w:t>
      </w:r>
    </w:p>
    <w:p w14:paraId="6EFD1170" w14:textId="704C23C1" w:rsidR="0090656A" w:rsidRDefault="002F2EBC" w:rsidP="002F2EBC">
      <w:pPr>
        <w:ind w:left="720"/>
        <w:jc w:val="both"/>
        <w:rPr>
          <w:rFonts w:ascii="Times New Roman" w:hAnsi="Times New Roman"/>
          <w:i/>
          <w:iCs/>
        </w:rPr>
      </w:pPr>
      <w:r>
        <w:rPr>
          <w:rFonts w:ascii="Times New Roman" w:hAnsi="Times New Roman"/>
        </w:rPr>
        <w:t xml:space="preserve"> “</w:t>
      </w:r>
      <w:r w:rsidRPr="007A3E72">
        <w:rPr>
          <w:rFonts w:ascii="Times New Roman" w:hAnsi="Times New Roman"/>
          <w:i/>
          <w:iCs/>
        </w:rPr>
        <w:t>A combination of a person's overall physical, mental and social wellbeing; not merely the absence of disease”.</w:t>
      </w:r>
    </w:p>
    <w:p w14:paraId="3996ED33" w14:textId="457CA24F" w:rsidR="00156215" w:rsidRDefault="00156215" w:rsidP="00156215">
      <w:pPr>
        <w:jc w:val="both"/>
        <w:rPr>
          <w:rFonts w:ascii="Times New Roman" w:hAnsi="Times New Roman"/>
        </w:rPr>
      </w:pPr>
      <w:r>
        <w:rPr>
          <w:rFonts w:ascii="Times New Roman" w:hAnsi="Times New Roman"/>
        </w:rPr>
        <w:t xml:space="preserve">In these circumstances it is unclear which QoL effects experienced by carers of persons with early AD are discounted by the Committee as unrelated to health, the basis for the requirement that aspects should be “directly” related to health and how this has been construed by the Committee. </w:t>
      </w:r>
    </w:p>
    <w:p w14:paraId="42063052" w14:textId="3A8C9C5A" w:rsidR="00156215" w:rsidRDefault="00156215" w:rsidP="00156215">
      <w:pPr>
        <w:jc w:val="both"/>
        <w:rPr>
          <w:rFonts w:ascii="Times New Roman" w:hAnsi="Times New Roman"/>
        </w:rPr>
      </w:pPr>
      <w:r>
        <w:rPr>
          <w:rFonts w:ascii="Times New Roman" w:hAnsi="Times New Roman"/>
        </w:rPr>
        <w:t>This is a matter of substantial concern.  Carers for patients with AD carry an enormous burden</w:t>
      </w:r>
      <w:r w:rsidR="00265A6C">
        <w:rPr>
          <w:rFonts w:ascii="Times New Roman" w:hAnsi="Times New Roman"/>
        </w:rPr>
        <w:t xml:space="preserve"> which increases as the disease progresses,</w:t>
      </w:r>
      <w:r>
        <w:rPr>
          <w:rFonts w:ascii="Times New Roman" w:hAnsi="Times New Roman"/>
        </w:rPr>
        <w:t xml:space="preserve"> and if aspects of the impact </w:t>
      </w:r>
      <w:r w:rsidR="00ED606E">
        <w:rPr>
          <w:rFonts w:ascii="Times New Roman" w:hAnsi="Times New Roman"/>
        </w:rPr>
        <w:t xml:space="preserve">of a disease (AD and its management) </w:t>
      </w:r>
      <w:r>
        <w:rPr>
          <w:rFonts w:ascii="Times New Roman" w:hAnsi="Times New Roman"/>
        </w:rPr>
        <w:t xml:space="preserve">on their QoL are to be excluded from consideration (an approach disputed by Lilly), the basis for the determination and the reasons for this should be fair and </w:t>
      </w:r>
      <w:r w:rsidR="00E061F4">
        <w:rPr>
          <w:rFonts w:ascii="Times New Roman" w:hAnsi="Times New Roman"/>
        </w:rPr>
        <w:t xml:space="preserve">fully </w:t>
      </w:r>
      <w:r>
        <w:rPr>
          <w:rFonts w:ascii="Times New Roman" w:hAnsi="Times New Roman"/>
        </w:rPr>
        <w:t xml:space="preserve">explained.    </w:t>
      </w:r>
    </w:p>
    <w:p w14:paraId="174F6491" w14:textId="36A55DD6" w:rsidR="008878AF" w:rsidRPr="007A3E72" w:rsidRDefault="008878AF" w:rsidP="00156215">
      <w:pPr>
        <w:jc w:val="both"/>
        <w:rPr>
          <w:rFonts w:ascii="Times New Roman" w:hAnsi="Times New Roman"/>
          <w:u w:val="single"/>
        </w:rPr>
      </w:pPr>
      <w:r>
        <w:rPr>
          <w:rFonts w:ascii="Times New Roman" w:hAnsi="Times New Roman"/>
        </w:rPr>
        <w:t xml:space="preserve">(b) </w:t>
      </w:r>
      <w:r w:rsidRPr="007A3E72">
        <w:rPr>
          <w:rFonts w:ascii="Times New Roman" w:hAnsi="Times New Roman"/>
          <w:u w:val="single"/>
        </w:rPr>
        <w:t>In making its decision, the Committee has disregarded evidence that the EQ</w:t>
      </w:r>
      <w:r w:rsidR="004715AA">
        <w:rPr>
          <w:rFonts w:ascii="Times New Roman" w:hAnsi="Times New Roman"/>
          <w:u w:val="single"/>
        </w:rPr>
        <w:t>-</w:t>
      </w:r>
      <w:r w:rsidRPr="007A3E72">
        <w:rPr>
          <w:rFonts w:ascii="Times New Roman" w:hAnsi="Times New Roman"/>
          <w:u w:val="single"/>
        </w:rPr>
        <w:t xml:space="preserve">5D is not sensitive enough to measure </w:t>
      </w:r>
      <w:r w:rsidR="00B22FF5">
        <w:rPr>
          <w:rFonts w:ascii="Times New Roman" w:hAnsi="Times New Roman"/>
          <w:u w:val="single"/>
        </w:rPr>
        <w:t xml:space="preserve">all relevant aspects of </w:t>
      </w:r>
      <w:r w:rsidRPr="007A3E72">
        <w:rPr>
          <w:rFonts w:ascii="Times New Roman" w:hAnsi="Times New Roman"/>
          <w:u w:val="single"/>
        </w:rPr>
        <w:t>health-related quality of life in carers of people with Alzheimer’s Disease</w:t>
      </w:r>
    </w:p>
    <w:p w14:paraId="0543CA22" w14:textId="5185F7A4" w:rsidR="00702866" w:rsidRDefault="00702866" w:rsidP="00156215">
      <w:pPr>
        <w:jc w:val="both"/>
        <w:rPr>
          <w:rFonts w:ascii="Times New Roman" w:hAnsi="Times New Roman"/>
        </w:rPr>
      </w:pPr>
      <w:r>
        <w:rPr>
          <w:rFonts w:ascii="Times New Roman" w:hAnsi="Times New Roman"/>
        </w:rPr>
        <w:t>At paragraph 3.19 of the FDG, the Committee provides various reasons for concluding that it preferred to use EQ</w:t>
      </w:r>
      <w:r w:rsidR="004715AA">
        <w:rPr>
          <w:rFonts w:ascii="Times New Roman" w:hAnsi="Times New Roman"/>
        </w:rPr>
        <w:t>-</w:t>
      </w:r>
      <w:r>
        <w:rPr>
          <w:rFonts w:ascii="Times New Roman" w:hAnsi="Times New Roman"/>
        </w:rPr>
        <w:t>5D scores from the GERAS study as the basis for decision-making on carer utilities.  However, evidence indicating that the EQ</w:t>
      </w:r>
      <w:r w:rsidR="004715AA">
        <w:rPr>
          <w:rFonts w:ascii="Times New Roman" w:hAnsi="Times New Roman"/>
        </w:rPr>
        <w:t>-</w:t>
      </w:r>
      <w:r>
        <w:rPr>
          <w:rFonts w:ascii="Times New Roman" w:hAnsi="Times New Roman"/>
        </w:rPr>
        <w:t xml:space="preserve">5D was likely to be insensitive in this scenario was submitted by multiple stakeholders including clinicians with experience treating people with early AD and patient organisations.  However the Committee </w:t>
      </w:r>
      <w:r w:rsidR="00DC2645">
        <w:rPr>
          <w:rFonts w:ascii="Times New Roman" w:hAnsi="Times New Roman"/>
        </w:rPr>
        <w:t xml:space="preserve">has </w:t>
      </w:r>
      <w:r>
        <w:rPr>
          <w:rFonts w:ascii="Times New Roman" w:hAnsi="Times New Roman"/>
        </w:rPr>
        <w:t xml:space="preserve">failed to </w:t>
      </w:r>
      <w:r w:rsidR="00DC2645">
        <w:rPr>
          <w:rFonts w:ascii="Times New Roman" w:hAnsi="Times New Roman"/>
        </w:rPr>
        <w:t xml:space="preserve">give adequate or any consideration to important parts of </w:t>
      </w:r>
      <w:r>
        <w:rPr>
          <w:rFonts w:ascii="Times New Roman" w:hAnsi="Times New Roman"/>
        </w:rPr>
        <w:t>this evidence, when reaching its conclusions, including:</w:t>
      </w:r>
    </w:p>
    <w:p w14:paraId="5F81A618" w14:textId="77777777" w:rsidR="00E061F4" w:rsidRDefault="00CF3B27" w:rsidP="009812FF">
      <w:pPr>
        <w:pStyle w:val="ListParagraph"/>
        <w:numPr>
          <w:ilvl w:val="0"/>
          <w:numId w:val="40"/>
        </w:numPr>
        <w:jc w:val="both"/>
        <w:rPr>
          <w:rFonts w:ascii="Times New Roman" w:hAnsi="Times New Roman"/>
        </w:rPr>
      </w:pPr>
      <w:r>
        <w:rPr>
          <w:rFonts w:ascii="Times New Roman" w:hAnsi="Times New Roman"/>
        </w:rPr>
        <w:t xml:space="preserve">The fact that the authors of the GERAS study themselves concluded that EQ5D was not suitable for measuring </w:t>
      </w:r>
      <w:proofErr w:type="spellStart"/>
      <w:r w:rsidR="00E061F4">
        <w:rPr>
          <w:rFonts w:ascii="Times New Roman" w:hAnsi="Times New Roman"/>
        </w:rPr>
        <w:t>HRQoL</w:t>
      </w:r>
      <w:proofErr w:type="spellEnd"/>
      <w:r w:rsidR="00E061F4">
        <w:rPr>
          <w:rFonts w:ascii="Times New Roman" w:hAnsi="Times New Roman"/>
        </w:rPr>
        <w:t xml:space="preserve"> in carers for people with AD.  They stated:</w:t>
      </w:r>
    </w:p>
    <w:p w14:paraId="5A6C380F" w14:textId="3A590D3F" w:rsidR="00CF3B27" w:rsidRPr="007A3E72" w:rsidRDefault="00E061F4" w:rsidP="007A3E72">
      <w:pPr>
        <w:ind w:left="1440"/>
        <w:jc w:val="both"/>
        <w:rPr>
          <w:rFonts w:ascii="Times New Roman" w:hAnsi="Times New Roman"/>
        </w:rPr>
      </w:pPr>
      <w:r>
        <w:rPr>
          <w:rFonts w:ascii="Times New Roman" w:hAnsi="Times New Roman"/>
        </w:rPr>
        <w:t>“….</w:t>
      </w:r>
      <w:r w:rsidR="00CF3B27" w:rsidRPr="007A3E72">
        <w:rPr>
          <w:rFonts w:ascii="Times New Roman" w:hAnsi="Times New Roman"/>
          <w:i/>
          <w:iCs/>
        </w:rPr>
        <w:t>the results of our analysis suggest that the EQ-5D is not particularly effective for capturing the true impact on caregivers of caring for people with AD dementia: the EQ-5D index score had a low sensitivity to change over an 18-month period and was not clearly differentiated by patient AD dementia severity</w:t>
      </w:r>
      <w:r w:rsidRPr="007A3E72">
        <w:rPr>
          <w:rFonts w:ascii="Times New Roman" w:hAnsi="Times New Roman"/>
          <w:i/>
          <w:iCs/>
        </w:rPr>
        <w:t>”</w:t>
      </w:r>
      <w:r w:rsidR="00CF3B27" w:rsidRPr="007A3E72">
        <w:rPr>
          <w:rFonts w:ascii="Times New Roman" w:hAnsi="Times New Roman"/>
          <w:i/>
          <w:iCs/>
        </w:rPr>
        <w:t>.</w:t>
      </w:r>
    </w:p>
    <w:p w14:paraId="15F1FD49" w14:textId="6C50CCF2" w:rsidR="0009098F" w:rsidRPr="009E4101" w:rsidRDefault="0009098F" w:rsidP="009E4101">
      <w:pPr>
        <w:pStyle w:val="ListParagraph"/>
        <w:numPr>
          <w:ilvl w:val="0"/>
          <w:numId w:val="40"/>
        </w:numPr>
        <w:jc w:val="both"/>
        <w:rPr>
          <w:rFonts w:ascii="Times New Roman" w:hAnsi="Times New Roman"/>
        </w:rPr>
      </w:pPr>
      <w:r w:rsidRPr="009E4101">
        <w:rPr>
          <w:rFonts w:ascii="Times New Roman" w:hAnsi="Times New Roman"/>
        </w:rPr>
        <w:t>The</w:t>
      </w:r>
      <w:r w:rsidR="00DF23DD" w:rsidRPr="009E4101">
        <w:rPr>
          <w:rFonts w:ascii="Times New Roman" w:hAnsi="Times New Roman"/>
        </w:rPr>
        <w:t xml:space="preserve"> lack of sensitivity to change across</w:t>
      </w:r>
      <w:r w:rsidR="001D7B2D" w:rsidRPr="009E4101">
        <w:rPr>
          <w:rFonts w:ascii="Times New Roman" w:hAnsi="Times New Roman"/>
        </w:rPr>
        <w:t xml:space="preserve"> patient AD dementia severity is </w:t>
      </w:r>
      <w:r w:rsidR="00921178" w:rsidRPr="009E4101">
        <w:rPr>
          <w:rFonts w:ascii="Times New Roman" w:hAnsi="Times New Roman"/>
        </w:rPr>
        <w:t xml:space="preserve">demonstrated both by the utility values generated by the EQ-5D tool </w:t>
      </w:r>
      <w:r w:rsidR="007D2486" w:rsidRPr="009E4101">
        <w:rPr>
          <w:rFonts w:ascii="Times New Roman" w:hAnsi="Times New Roman"/>
        </w:rPr>
        <w:t xml:space="preserve">and the </w:t>
      </w:r>
      <w:r w:rsidR="00F526CB" w:rsidRPr="009E4101">
        <w:rPr>
          <w:rFonts w:ascii="Times New Roman" w:hAnsi="Times New Roman"/>
        </w:rPr>
        <w:t xml:space="preserve">distribution of </w:t>
      </w:r>
      <w:r w:rsidR="00DD13AB" w:rsidRPr="009E4101">
        <w:rPr>
          <w:rFonts w:ascii="Times New Roman" w:hAnsi="Times New Roman"/>
        </w:rPr>
        <w:t>careg</w:t>
      </w:r>
      <w:r w:rsidR="009A340F" w:rsidRPr="009E4101">
        <w:rPr>
          <w:rFonts w:ascii="Times New Roman" w:hAnsi="Times New Roman"/>
        </w:rPr>
        <w:t>iver EQ-5D responses across health states (</w:t>
      </w:r>
      <w:r w:rsidR="00B97548" w:rsidRPr="009E4101">
        <w:rPr>
          <w:rFonts w:ascii="Times New Roman" w:hAnsi="Times New Roman"/>
        </w:rPr>
        <w:t xml:space="preserve">Lilly’s response to </w:t>
      </w:r>
      <w:r w:rsidR="001D5A50" w:rsidRPr="009E4101">
        <w:rPr>
          <w:rFonts w:ascii="Times New Roman" w:hAnsi="Times New Roman"/>
        </w:rPr>
        <w:t>consultation</w:t>
      </w:r>
      <w:r w:rsidR="00B97548" w:rsidRPr="009E4101">
        <w:rPr>
          <w:rFonts w:ascii="Times New Roman" w:hAnsi="Times New Roman"/>
        </w:rPr>
        <w:t xml:space="preserve"> on the </w:t>
      </w:r>
      <w:r w:rsidR="009A2BF9" w:rsidRPr="009E4101">
        <w:rPr>
          <w:rFonts w:ascii="Times New Roman" w:hAnsi="Times New Roman"/>
        </w:rPr>
        <w:t xml:space="preserve">second </w:t>
      </w:r>
      <w:r w:rsidR="00B97548" w:rsidRPr="009E4101">
        <w:rPr>
          <w:rFonts w:ascii="Times New Roman" w:hAnsi="Times New Roman"/>
        </w:rPr>
        <w:t>Draft Guidance</w:t>
      </w:r>
      <w:r w:rsidR="001D5A50" w:rsidRPr="009E4101">
        <w:rPr>
          <w:rFonts w:ascii="Times New Roman" w:hAnsi="Times New Roman"/>
        </w:rPr>
        <w:t>, Figure 7)</w:t>
      </w:r>
      <w:r w:rsidR="00341EA8" w:rsidRPr="009E4101">
        <w:rPr>
          <w:rFonts w:ascii="Times New Roman" w:hAnsi="Times New Roman"/>
        </w:rPr>
        <w:t xml:space="preserve">, </w:t>
      </w:r>
      <w:r w:rsidR="009F6C7E" w:rsidRPr="009E4101">
        <w:rPr>
          <w:rFonts w:ascii="Times New Roman" w:hAnsi="Times New Roman"/>
        </w:rPr>
        <w:t xml:space="preserve">showing that </w:t>
      </w:r>
      <w:r w:rsidR="00BF6648" w:rsidRPr="009E4101">
        <w:rPr>
          <w:rFonts w:ascii="Times New Roman" w:hAnsi="Times New Roman"/>
        </w:rPr>
        <w:t xml:space="preserve">37.8% of caregivers </w:t>
      </w:r>
      <w:r w:rsidR="002A2E00" w:rsidRPr="009E4101">
        <w:rPr>
          <w:rFonts w:ascii="Times New Roman" w:hAnsi="Times New Roman"/>
        </w:rPr>
        <w:t xml:space="preserve">of patients with mild AD </w:t>
      </w:r>
      <w:r w:rsidR="003414AF" w:rsidRPr="009E4101">
        <w:rPr>
          <w:rFonts w:ascii="Times New Roman" w:hAnsi="Times New Roman"/>
        </w:rPr>
        <w:t xml:space="preserve">and </w:t>
      </w:r>
      <w:r w:rsidR="009826A6" w:rsidRPr="009E4101">
        <w:rPr>
          <w:rFonts w:ascii="Times New Roman" w:hAnsi="Times New Roman"/>
        </w:rPr>
        <w:t>38.6% of caregivers of patients with severe AD reported perfect health, respectively.</w:t>
      </w:r>
      <w:r w:rsidR="009E4101" w:rsidRPr="00237074">
        <w:rPr>
          <w:rFonts w:ascii="Times New Roman" w:eastAsia="Times New Roman" w:hAnsi="Times New Roman" w:cs="Segoe UI"/>
          <w:kern w:val="0"/>
          <w:szCs w:val="18"/>
          <w:lang w:eastAsia="en-GB"/>
          <w14:ligatures w14:val="none"/>
        </w:rPr>
        <w:t xml:space="preserve"> Significantly one third </w:t>
      </w:r>
      <w:r w:rsidR="009E4101" w:rsidRPr="009E4101">
        <w:rPr>
          <w:rFonts w:ascii="Times New Roman" w:hAnsi="Times New Roman"/>
        </w:rPr>
        <w:t xml:space="preserve">of the respondents irrespective of the disease severity of the patient they were caring for responded with perfect health, underlining the lack of sensitivity of the EQ-5D in this </w:t>
      </w:r>
      <w:r w:rsidR="00B86ABC" w:rsidRPr="009E4101">
        <w:rPr>
          <w:rFonts w:ascii="Times New Roman" w:hAnsi="Times New Roman"/>
        </w:rPr>
        <w:t>scenario.</w:t>
      </w:r>
    </w:p>
    <w:p w14:paraId="0E2C248F" w14:textId="42C83730" w:rsidR="009812FF" w:rsidRDefault="009812FF" w:rsidP="009812FF">
      <w:pPr>
        <w:pStyle w:val="ListParagraph"/>
        <w:numPr>
          <w:ilvl w:val="0"/>
          <w:numId w:val="40"/>
        </w:numPr>
        <w:jc w:val="both"/>
        <w:rPr>
          <w:rFonts w:ascii="Times New Roman" w:hAnsi="Times New Roman"/>
        </w:rPr>
      </w:pPr>
      <w:r w:rsidRPr="009812FF">
        <w:rPr>
          <w:rFonts w:ascii="Times New Roman" w:hAnsi="Times New Roman"/>
        </w:rPr>
        <w:t>The response by the Alzheimer’s Society to consultation on the second Draft Guidance that the true impact on carers’ quality of life was not being incorporated in the evaluation process.</w:t>
      </w:r>
    </w:p>
    <w:p w14:paraId="0E63447E" w14:textId="6BE5A1A7" w:rsidR="009812FF" w:rsidRDefault="009812FF" w:rsidP="00702866">
      <w:pPr>
        <w:pStyle w:val="ListParagraph"/>
        <w:numPr>
          <w:ilvl w:val="0"/>
          <w:numId w:val="40"/>
        </w:numPr>
        <w:jc w:val="both"/>
        <w:rPr>
          <w:rFonts w:ascii="Times New Roman" w:hAnsi="Times New Roman"/>
        </w:rPr>
      </w:pPr>
      <w:r>
        <w:rPr>
          <w:rFonts w:ascii="Times New Roman" w:hAnsi="Times New Roman"/>
        </w:rPr>
        <w:t>Evidence from the Dementia Research Centre that the GERAS figures</w:t>
      </w:r>
      <w:r w:rsidR="0027642F">
        <w:rPr>
          <w:rFonts w:ascii="Times New Roman" w:hAnsi="Times New Roman"/>
        </w:rPr>
        <w:t>,</w:t>
      </w:r>
      <w:r>
        <w:rPr>
          <w:rFonts w:ascii="Times New Roman" w:hAnsi="Times New Roman"/>
        </w:rPr>
        <w:t xml:space="preserve"> relied upon for the purposes of the FDG</w:t>
      </w:r>
      <w:r w:rsidR="0027642F">
        <w:rPr>
          <w:rFonts w:ascii="Times New Roman" w:hAnsi="Times New Roman"/>
        </w:rPr>
        <w:t>,</w:t>
      </w:r>
      <w:r>
        <w:rPr>
          <w:rFonts w:ascii="Times New Roman" w:hAnsi="Times New Roman"/>
        </w:rPr>
        <w:t xml:space="preserve"> do not reflect experience obtained through clinical contact with carers of people with early </w:t>
      </w:r>
      <w:r w:rsidR="00B86ABC">
        <w:rPr>
          <w:rFonts w:ascii="Times New Roman" w:hAnsi="Times New Roman"/>
        </w:rPr>
        <w:t>AD.</w:t>
      </w:r>
    </w:p>
    <w:p w14:paraId="176B6DE0" w14:textId="7E8AE798" w:rsidR="00702866" w:rsidRDefault="009812FF" w:rsidP="00702866">
      <w:pPr>
        <w:pStyle w:val="ListParagraph"/>
        <w:numPr>
          <w:ilvl w:val="0"/>
          <w:numId w:val="40"/>
        </w:numPr>
        <w:jc w:val="both"/>
        <w:rPr>
          <w:rFonts w:ascii="Times New Roman" w:hAnsi="Times New Roman"/>
        </w:rPr>
      </w:pPr>
      <w:r>
        <w:rPr>
          <w:rFonts w:ascii="Times New Roman" w:hAnsi="Times New Roman"/>
        </w:rPr>
        <w:t xml:space="preserve">Results of a study </w:t>
      </w:r>
      <w:r w:rsidR="00702866">
        <w:rPr>
          <w:rFonts w:ascii="Times New Roman" w:hAnsi="Times New Roman"/>
        </w:rPr>
        <w:t>submitted by the Dementia Research Centre in response to consultation on the Second Draft Guidance</w:t>
      </w:r>
      <w:r>
        <w:rPr>
          <w:rFonts w:ascii="Times New Roman" w:hAnsi="Times New Roman"/>
        </w:rPr>
        <w:t xml:space="preserve">, </w:t>
      </w:r>
      <w:r w:rsidR="0027642F">
        <w:rPr>
          <w:rFonts w:ascii="Times New Roman" w:hAnsi="Times New Roman"/>
        </w:rPr>
        <w:t xml:space="preserve">involving </w:t>
      </w:r>
      <w:r>
        <w:rPr>
          <w:rFonts w:ascii="Times New Roman" w:hAnsi="Times New Roman"/>
        </w:rPr>
        <w:t xml:space="preserve">250 responses to a questionnaire sent to attendees at the </w:t>
      </w:r>
      <w:r w:rsidRPr="009812FF">
        <w:rPr>
          <w:rFonts w:ascii="Times New Roman" w:hAnsi="Times New Roman"/>
        </w:rPr>
        <w:t xml:space="preserve">Alzheimer’s Research UK Conference </w:t>
      </w:r>
      <w:r>
        <w:rPr>
          <w:rFonts w:ascii="Times New Roman" w:hAnsi="Times New Roman"/>
        </w:rPr>
        <w:t xml:space="preserve">in </w:t>
      </w:r>
      <w:r w:rsidRPr="009812FF">
        <w:rPr>
          <w:rFonts w:ascii="Times New Roman" w:hAnsi="Times New Roman"/>
        </w:rPr>
        <w:t>March 2025</w:t>
      </w:r>
      <w:r>
        <w:rPr>
          <w:rFonts w:ascii="Times New Roman" w:hAnsi="Times New Roman"/>
        </w:rPr>
        <w:t>, which confirmed the severe impact of caring for someone with severe versus mild dementia.</w:t>
      </w:r>
      <w:r w:rsidR="00702866">
        <w:rPr>
          <w:rFonts w:ascii="Times New Roman" w:hAnsi="Times New Roman"/>
        </w:rPr>
        <w:t xml:space="preserve"> </w:t>
      </w:r>
    </w:p>
    <w:p w14:paraId="096DE6B5" w14:textId="61198F67" w:rsidR="00DC2645" w:rsidRDefault="00DC2645" w:rsidP="00702866">
      <w:pPr>
        <w:pStyle w:val="ListParagraph"/>
        <w:numPr>
          <w:ilvl w:val="0"/>
          <w:numId w:val="40"/>
        </w:numPr>
        <w:jc w:val="both"/>
        <w:rPr>
          <w:rFonts w:ascii="Times New Roman" w:hAnsi="Times New Roman"/>
        </w:rPr>
      </w:pPr>
      <w:r w:rsidRPr="00DC2645">
        <w:rPr>
          <w:rFonts w:ascii="Times New Roman" w:hAnsi="Times New Roman"/>
        </w:rPr>
        <w:t xml:space="preserve">Caregiver </w:t>
      </w:r>
      <w:r>
        <w:rPr>
          <w:rFonts w:ascii="Times New Roman" w:hAnsi="Times New Roman"/>
        </w:rPr>
        <w:t>m</w:t>
      </w:r>
      <w:r w:rsidRPr="00DC2645">
        <w:rPr>
          <w:rFonts w:ascii="Times New Roman" w:hAnsi="Times New Roman"/>
        </w:rPr>
        <w:t xml:space="preserve">arket </w:t>
      </w:r>
      <w:r>
        <w:rPr>
          <w:rFonts w:ascii="Times New Roman" w:hAnsi="Times New Roman"/>
        </w:rPr>
        <w:t>r</w:t>
      </w:r>
      <w:r w:rsidRPr="00DC2645">
        <w:rPr>
          <w:rFonts w:ascii="Times New Roman" w:hAnsi="Times New Roman"/>
        </w:rPr>
        <w:t xml:space="preserve">esearch conducted </w:t>
      </w:r>
      <w:r>
        <w:rPr>
          <w:rFonts w:ascii="Times New Roman" w:hAnsi="Times New Roman"/>
        </w:rPr>
        <w:t xml:space="preserve">by Lilly and submitted to NICE in response to consultation on the second Draft Guidance which aimed </w:t>
      </w:r>
      <w:r w:rsidRPr="00DC2645">
        <w:rPr>
          <w:rFonts w:ascii="Times New Roman" w:hAnsi="Times New Roman"/>
        </w:rPr>
        <w:t>to understand the emotional and task-specific burden of caring for a loved one with AD at different severity stages and how this burden evolves as the disease progresses.</w:t>
      </w:r>
    </w:p>
    <w:p w14:paraId="15DEBEED" w14:textId="641EEAD8" w:rsidR="00DC2645" w:rsidRDefault="00DC2645" w:rsidP="00702866">
      <w:pPr>
        <w:pStyle w:val="ListParagraph"/>
        <w:numPr>
          <w:ilvl w:val="0"/>
          <w:numId w:val="40"/>
        </w:numPr>
        <w:jc w:val="both"/>
        <w:rPr>
          <w:rFonts w:ascii="Times New Roman" w:hAnsi="Times New Roman"/>
        </w:rPr>
      </w:pPr>
      <w:r w:rsidRPr="001D3A65">
        <w:rPr>
          <w:rFonts w:ascii="Times New Roman" w:hAnsi="Times New Roman"/>
        </w:rPr>
        <w:t>An Alzheimer’s Europe Caregiver Focus Group</w:t>
      </w:r>
      <w:r w:rsidR="00971E7F">
        <w:rPr>
          <w:rFonts w:ascii="Times New Roman" w:hAnsi="Times New Roman"/>
        </w:rPr>
        <w:t>,</w:t>
      </w:r>
      <w:r w:rsidRPr="001D3A65">
        <w:rPr>
          <w:rFonts w:ascii="Times New Roman" w:hAnsi="Times New Roman"/>
        </w:rPr>
        <w:t xml:space="preserve"> commissioned by Lilly </w:t>
      </w:r>
      <w:r>
        <w:rPr>
          <w:rFonts w:ascii="Times New Roman" w:hAnsi="Times New Roman"/>
        </w:rPr>
        <w:t>and submitted in response to consul</w:t>
      </w:r>
      <w:r w:rsidR="0012414D">
        <w:rPr>
          <w:rFonts w:ascii="Times New Roman" w:hAnsi="Times New Roman"/>
        </w:rPr>
        <w:t>ta</w:t>
      </w:r>
      <w:r>
        <w:rPr>
          <w:rFonts w:ascii="Times New Roman" w:hAnsi="Times New Roman"/>
        </w:rPr>
        <w:t>tion on the second Draft Guidance</w:t>
      </w:r>
      <w:r w:rsidR="00971E7F">
        <w:rPr>
          <w:rFonts w:ascii="Times New Roman" w:hAnsi="Times New Roman"/>
        </w:rPr>
        <w:t>,</w:t>
      </w:r>
      <w:r w:rsidR="001D3A65">
        <w:rPr>
          <w:rFonts w:ascii="Times New Roman" w:hAnsi="Times New Roman"/>
        </w:rPr>
        <w:t xml:space="preserve"> </w:t>
      </w:r>
      <w:r w:rsidRPr="001D3A65">
        <w:rPr>
          <w:rFonts w:ascii="Times New Roman" w:hAnsi="Times New Roman"/>
        </w:rPr>
        <w:t>consider</w:t>
      </w:r>
      <w:r w:rsidR="003644AE">
        <w:rPr>
          <w:rFonts w:ascii="Times New Roman" w:hAnsi="Times New Roman"/>
        </w:rPr>
        <w:t>s</w:t>
      </w:r>
      <w:r w:rsidRPr="001D3A65">
        <w:rPr>
          <w:rFonts w:ascii="Times New Roman" w:hAnsi="Times New Roman"/>
        </w:rPr>
        <w:t xml:space="preserve"> how the Lilly vignettes and the EQ-5D instrument</w:t>
      </w:r>
      <w:r w:rsidR="00795F95">
        <w:rPr>
          <w:rFonts w:ascii="Times New Roman" w:hAnsi="Times New Roman"/>
        </w:rPr>
        <w:t xml:space="preserve"> were able to capture </w:t>
      </w:r>
      <w:r w:rsidR="005E58DE">
        <w:rPr>
          <w:rFonts w:ascii="Times New Roman" w:hAnsi="Times New Roman"/>
        </w:rPr>
        <w:t>impact for difference AD severity stages</w:t>
      </w:r>
      <w:r w:rsidRPr="001D3A65">
        <w:rPr>
          <w:rFonts w:ascii="Times New Roman" w:hAnsi="Times New Roman"/>
        </w:rPr>
        <w:t xml:space="preserve"> related to personal experience of being a caregiver.</w:t>
      </w:r>
    </w:p>
    <w:p w14:paraId="080E9787" w14:textId="5BFC5277" w:rsidR="00557907" w:rsidRPr="001F16B4" w:rsidRDefault="00557907" w:rsidP="001F16B4">
      <w:pPr>
        <w:pStyle w:val="ListParagraph"/>
        <w:numPr>
          <w:ilvl w:val="0"/>
          <w:numId w:val="40"/>
        </w:numPr>
        <w:jc w:val="both"/>
        <w:rPr>
          <w:rFonts w:ascii="Times New Roman" w:hAnsi="Times New Roman"/>
        </w:rPr>
      </w:pPr>
      <w:r>
        <w:rPr>
          <w:rFonts w:ascii="Times New Roman" w:hAnsi="Times New Roman"/>
        </w:rPr>
        <w:t xml:space="preserve">In contrast, the utility values adopted by the EAG and preferred by the </w:t>
      </w:r>
      <w:r w:rsidR="00352C1F">
        <w:rPr>
          <w:rFonts w:ascii="Times New Roman" w:hAnsi="Times New Roman"/>
        </w:rPr>
        <w:t>C</w:t>
      </w:r>
      <w:r>
        <w:rPr>
          <w:rFonts w:ascii="Times New Roman" w:hAnsi="Times New Roman"/>
        </w:rPr>
        <w:t xml:space="preserve">ommittee, informing the economic model from the GERAS EQ-5D study, were simply manually adjusted down such that they were below general population age-and-sex adjusted population norms, in order to avoid the implication that caring for a patient with mild, moderate, or severe AD improves a person’s </w:t>
      </w:r>
      <w:proofErr w:type="spellStart"/>
      <w:r>
        <w:rPr>
          <w:rFonts w:ascii="Times New Roman" w:hAnsi="Times New Roman"/>
        </w:rPr>
        <w:t>HRQoL</w:t>
      </w:r>
      <w:proofErr w:type="spellEnd"/>
      <w:r>
        <w:rPr>
          <w:rFonts w:ascii="Times New Roman" w:hAnsi="Times New Roman"/>
        </w:rPr>
        <w:t>.</w:t>
      </w:r>
    </w:p>
    <w:p w14:paraId="2EBB6EC4" w14:textId="6728DF5B" w:rsidR="00DC2645" w:rsidRDefault="00E061F4" w:rsidP="001F16B4">
      <w:pPr>
        <w:ind w:left="475"/>
        <w:jc w:val="both"/>
        <w:rPr>
          <w:rFonts w:ascii="Times New Roman" w:hAnsi="Times New Roman"/>
        </w:rPr>
      </w:pPr>
      <w:r>
        <w:rPr>
          <w:rFonts w:ascii="Times New Roman" w:hAnsi="Times New Roman"/>
        </w:rPr>
        <w:t xml:space="preserve">In summary, the Committee has not explained its approach to assessment of </w:t>
      </w:r>
      <w:proofErr w:type="spellStart"/>
      <w:r>
        <w:rPr>
          <w:rFonts w:ascii="Times New Roman" w:hAnsi="Times New Roman"/>
        </w:rPr>
        <w:t>HRQoL</w:t>
      </w:r>
      <w:proofErr w:type="spellEnd"/>
      <w:r>
        <w:rPr>
          <w:rFonts w:ascii="Times New Roman" w:hAnsi="Times New Roman"/>
        </w:rPr>
        <w:t xml:space="preserve"> in carers of people with AD or taken into account the concerns and evidence from multiple stakeholders and the GERAS investigators regarding reliance on EQ</w:t>
      </w:r>
      <w:r w:rsidR="00947442">
        <w:rPr>
          <w:rFonts w:ascii="Times New Roman" w:hAnsi="Times New Roman"/>
        </w:rPr>
        <w:t>-</w:t>
      </w:r>
      <w:r>
        <w:rPr>
          <w:rFonts w:ascii="Times New Roman" w:hAnsi="Times New Roman"/>
        </w:rPr>
        <w:t>5D</w:t>
      </w:r>
      <w:r w:rsidR="007263FE">
        <w:rPr>
          <w:rFonts w:ascii="Times New Roman" w:hAnsi="Times New Roman"/>
        </w:rPr>
        <w:t>.  The assessment of carer utilities is a key issue in this appraisal and such lack of transparency is procedurally unfair and has prejudiced Lilly in its ability to respond to the FDG.</w:t>
      </w:r>
      <w:r>
        <w:rPr>
          <w:rFonts w:ascii="Times New Roman" w:hAnsi="Times New Roman"/>
        </w:rPr>
        <w:t xml:space="preserve"> </w:t>
      </w:r>
    </w:p>
    <w:p w14:paraId="17CA05E5" w14:textId="77777777" w:rsidR="00DC2645" w:rsidRPr="001F16B4" w:rsidRDefault="00DC2645" w:rsidP="00DC2645">
      <w:pPr>
        <w:jc w:val="both"/>
        <w:rPr>
          <w:rFonts w:ascii="Times New Roman" w:hAnsi="Times New Roman"/>
        </w:rPr>
      </w:pPr>
    </w:p>
    <w:p w14:paraId="7BE6ADB4" w14:textId="5EADE73C" w:rsidR="00EA43CC" w:rsidRDefault="00EA43CC" w:rsidP="00183CDC">
      <w:pPr>
        <w:pStyle w:val="ListParagraph"/>
        <w:numPr>
          <w:ilvl w:val="1"/>
          <w:numId w:val="1"/>
        </w:numPr>
        <w:jc w:val="both"/>
        <w:rPr>
          <w:rFonts w:ascii="Times New Roman" w:hAnsi="Times New Roman"/>
          <w:b/>
          <w:bCs/>
        </w:rPr>
      </w:pPr>
      <w:r w:rsidRPr="002E5703">
        <w:rPr>
          <w:rFonts w:ascii="Times New Roman" w:hAnsi="Times New Roman"/>
          <w:b/>
          <w:bCs/>
        </w:rPr>
        <w:t xml:space="preserve">The infusion costs </w:t>
      </w:r>
      <w:r w:rsidR="003F35A2">
        <w:rPr>
          <w:rFonts w:ascii="Times New Roman" w:hAnsi="Times New Roman"/>
          <w:b/>
          <w:bCs/>
        </w:rPr>
        <w:t xml:space="preserve">relied upon by the Committee lack transparency and have not been subject to adequate </w:t>
      </w:r>
      <w:r w:rsidR="00B86ABC">
        <w:rPr>
          <w:rFonts w:ascii="Times New Roman" w:hAnsi="Times New Roman"/>
          <w:b/>
          <w:bCs/>
        </w:rPr>
        <w:t>consultation</w:t>
      </w:r>
      <w:r w:rsidR="00EC2DC6">
        <w:rPr>
          <w:rFonts w:ascii="Times New Roman" w:hAnsi="Times New Roman"/>
          <w:b/>
          <w:bCs/>
        </w:rPr>
        <w:t>.</w:t>
      </w:r>
    </w:p>
    <w:p w14:paraId="7F467341" w14:textId="6034C200" w:rsidR="00EE158A" w:rsidRDefault="006B7E39" w:rsidP="006C38E6">
      <w:pPr>
        <w:ind w:left="720"/>
        <w:jc w:val="both"/>
        <w:rPr>
          <w:rFonts w:ascii="Times New Roman" w:hAnsi="Times New Roman"/>
        </w:rPr>
      </w:pPr>
      <w:r>
        <w:rPr>
          <w:rFonts w:ascii="Times New Roman" w:hAnsi="Times New Roman"/>
        </w:rPr>
        <w:t xml:space="preserve">The infusion costs associated with administration </w:t>
      </w:r>
      <w:r w:rsidR="009E0513">
        <w:rPr>
          <w:rFonts w:ascii="Times New Roman" w:hAnsi="Times New Roman"/>
        </w:rPr>
        <w:t xml:space="preserve">of donanemab </w:t>
      </w:r>
      <w:r w:rsidR="002B47F7">
        <w:rPr>
          <w:rFonts w:ascii="Times New Roman" w:hAnsi="Times New Roman"/>
        </w:rPr>
        <w:t xml:space="preserve">comprise a high proportion of the </w:t>
      </w:r>
      <w:r w:rsidR="00EE158A">
        <w:rPr>
          <w:rFonts w:ascii="Times New Roman" w:hAnsi="Times New Roman"/>
        </w:rPr>
        <w:t xml:space="preserve">associated costs and materially contribute to the </w:t>
      </w:r>
      <w:r w:rsidR="00391E28">
        <w:rPr>
          <w:rFonts w:ascii="Times New Roman" w:hAnsi="Times New Roman"/>
        </w:rPr>
        <w:t xml:space="preserve">Committee’s </w:t>
      </w:r>
      <w:r w:rsidR="001F6FC8">
        <w:rPr>
          <w:rFonts w:ascii="Times New Roman" w:hAnsi="Times New Roman"/>
        </w:rPr>
        <w:t>conclusion that donanemab is not cost-effective</w:t>
      </w:r>
      <w:r w:rsidR="007D7C59">
        <w:rPr>
          <w:rFonts w:ascii="Times New Roman" w:hAnsi="Times New Roman"/>
        </w:rPr>
        <w:t xml:space="preserve">. </w:t>
      </w:r>
    </w:p>
    <w:p w14:paraId="00AA2FC4" w14:textId="77777777" w:rsidR="00A64170" w:rsidRPr="00A64170" w:rsidRDefault="00A64170" w:rsidP="006C38E6">
      <w:pPr>
        <w:ind w:left="720"/>
        <w:jc w:val="both"/>
        <w:rPr>
          <w:rFonts w:ascii="Times New Roman" w:hAnsi="Times New Roman"/>
          <w:u w:val="single"/>
        </w:rPr>
      </w:pPr>
      <w:r w:rsidRPr="00A64170">
        <w:rPr>
          <w:rFonts w:ascii="Times New Roman" w:hAnsi="Times New Roman"/>
          <w:u w:val="single"/>
        </w:rPr>
        <w:t>Infusion costs proposed by Lilly and by NHS England</w:t>
      </w:r>
    </w:p>
    <w:p w14:paraId="5FFC5F95" w14:textId="6FDB2751" w:rsidR="00336263" w:rsidRDefault="006049F3" w:rsidP="006C38E6">
      <w:pPr>
        <w:ind w:left="720"/>
        <w:jc w:val="both"/>
        <w:rPr>
          <w:rFonts w:ascii="Times New Roman" w:hAnsi="Times New Roman"/>
        </w:rPr>
      </w:pPr>
      <w:r w:rsidRPr="006049F3">
        <w:rPr>
          <w:rFonts w:ascii="Times New Roman" w:hAnsi="Times New Roman"/>
        </w:rPr>
        <w:t>The NHS current</w:t>
      </w:r>
      <w:r w:rsidR="00B45922">
        <w:rPr>
          <w:rFonts w:ascii="Times New Roman" w:hAnsi="Times New Roman"/>
        </w:rPr>
        <w:t>ly</w:t>
      </w:r>
      <w:r w:rsidRPr="006049F3">
        <w:rPr>
          <w:rFonts w:ascii="Times New Roman" w:hAnsi="Times New Roman"/>
        </w:rPr>
        <w:t xml:space="preserve"> does not </w:t>
      </w:r>
      <w:r w:rsidR="007F5166">
        <w:rPr>
          <w:rFonts w:ascii="Times New Roman" w:hAnsi="Times New Roman"/>
        </w:rPr>
        <w:t>provide</w:t>
      </w:r>
      <w:r w:rsidRPr="006049F3">
        <w:rPr>
          <w:rFonts w:ascii="Times New Roman" w:hAnsi="Times New Roman"/>
        </w:rPr>
        <w:t xml:space="preserve"> IV infusion</w:t>
      </w:r>
      <w:r w:rsidR="00E03BA4">
        <w:rPr>
          <w:rFonts w:ascii="Times New Roman" w:hAnsi="Times New Roman"/>
        </w:rPr>
        <w:t>s</w:t>
      </w:r>
      <w:r w:rsidRPr="006049F3">
        <w:rPr>
          <w:rFonts w:ascii="Times New Roman" w:hAnsi="Times New Roman"/>
        </w:rPr>
        <w:t xml:space="preserve"> for AD treatments</w:t>
      </w:r>
      <w:r w:rsidR="007F5166">
        <w:rPr>
          <w:rFonts w:ascii="Times New Roman" w:hAnsi="Times New Roman"/>
        </w:rPr>
        <w:t xml:space="preserve">, and therefore an estimate of </w:t>
      </w:r>
      <w:r w:rsidR="0080075C">
        <w:rPr>
          <w:rFonts w:ascii="Times New Roman" w:hAnsi="Times New Roman"/>
        </w:rPr>
        <w:t>the donanemab IV cost was required</w:t>
      </w:r>
      <w:r w:rsidRPr="006049F3">
        <w:rPr>
          <w:rFonts w:ascii="Times New Roman" w:hAnsi="Times New Roman"/>
        </w:rPr>
        <w:t>.</w:t>
      </w:r>
      <w:r>
        <w:rPr>
          <w:rFonts w:ascii="Times New Roman" w:hAnsi="Times New Roman"/>
        </w:rPr>
        <w:t xml:space="preserve"> </w:t>
      </w:r>
      <w:r w:rsidR="00CE6CF8">
        <w:rPr>
          <w:rFonts w:ascii="Times New Roman" w:hAnsi="Times New Roman"/>
        </w:rPr>
        <w:t>I</w:t>
      </w:r>
      <w:r w:rsidR="00D644AF">
        <w:rPr>
          <w:rFonts w:ascii="Times New Roman" w:hAnsi="Times New Roman"/>
        </w:rPr>
        <w:t xml:space="preserve">n its initial submission to NICE, </w:t>
      </w:r>
      <w:r w:rsidR="00140C51">
        <w:rPr>
          <w:rFonts w:ascii="Times New Roman" w:hAnsi="Times New Roman"/>
        </w:rPr>
        <w:t xml:space="preserve">the administration costs calculated by Lilly </w:t>
      </w:r>
      <w:r w:rsidR="00F2521F">
        <w:rPr>
          <w:rFonts w:ascii="Times New Roman" w:hAnsi="Times New Roman"/>
        </w:rPr>
        <w:t xml:space="preserve">and accepted by the EAG </w:t>
      </w:r>
      <w:r w:rsidR="00140C51">
        <w:rPr>
          <w:rFonts w:ascii="Times New Roman" w:hAnsi="Times New Roman"/>
        </w:rPr>
        <w:t xml:space="preserve">were </w:t>
      </w:r>
      <w:r w:rsidR="00CE6CF8" w:rsidRPr="00CE6CF8">
        <w:rPr>
          <w:rFonts w:ascii="Times New Roman" w:hAnsi="Times New Roman"/>
        </w:rPr>
        <w:t xml:space="preserve">based on 30 minutes of treatment administration followed by 30 minutes of observation </w:t>
      </w:r>
      <w:r w:rsidR="00140C51">
        <w:rPr>
          <w:rFonts w:ascii="Times New Roman" w:hAnsi="Times New Roman"/>
        </w:rPr>
        <w:t xml:space="preserve">(consistent with </w:t>
      </w:r>
      <w:r w:rsidR="00CE6CF8" w:rsidRPr="00CE6CF8">
        <w:rPr>
          <w:rFonts w:ascii="Times New Roman" w:hAnsi="Times New Roman"/>
        </w:rPr>
        <w:t>the TRAILBLAZER-ALZ 2 trial</w:t>
      </w:r>
      <w:r w:rsidR="00140C51">
        <w:rPr>
          <w:rFonts w:ascii="Times New Roman" w:hAnsi="Times New Roman"/>
        </w:rPr>
        <w:t>) and</w:t>
      </w:r>
      <w:r w:rsidR="00CE6CF8" w:rsidRPr="00CE6CF8">
        <w:rPr>
          <w:rFonts w:ascii="Times New Roman" w:hAnsi="Times New Roman"/>
        </w:rPr>
        <w:t xml:space="preserve"> unit costs from the NHS costs</w:t>
      </w:r>
      <w:r w:rsidR="0049191C">
        <w:rPr>
          <w:rFonts w:ascii="Times New Roman" w:hAnsi="Times New Roman"/>
        </w:rPr>
        <w:t xml:space="preserve"> based on the </w:t>
      </w:r>
      <w:r w:rsidR="00AC3CA0">
        <w:rPr>
          <w:rFonts w:ascii="Times New Roman" w:hAnsi="Times New Roman"/>
        </w:rPr>
        <w:t xml:space="preserve">NHS tariff code for chemotherapy infusion </w:t>
      </w:r>
      <w:r w:rsidR="000435CD">
        <w:rPr>
          <w:rFonts w:ascii="Times New Roman" w:hAnsi="Times New Roman"/>
        </w:rPr>
        <w:t xml:space="preserve">as these treatments are comparable in </w:t>
      </w:r>
      <w:r w:rsidR="00C77D2F">
        <w:rPr>
          <w:rFonts w:ascii="Times New Roman" w:hAnsi="Times New Roman"/>
        </w:rPr>
        <w:t>IV infusion time</w:t>
      </w:r>
      <w:r w:rsidR="00AC3CA0">
        <w:rPr>
          <w:rFonts w:ascii="Times New Roman" w:hAnsi="Times New Roman"/>
        </w:rPr>
        <w:t xml:space="preserve"> </w:t>
      </w:r>
      <w:r w:rsidR="00CE6CF8" w:rsidRPr="00CE6CF8">
        <w:rPr>
          <w:rFonts w:ascii="Times New Roman" w:hAnsi="Times New Roman"/>
        </w:rPr>
        <w:t>(£2</w:t>
      </w:r>
      <w:r w:rsidR="00232C66">
        <w:rPr>
          <w:rFonts w:ascii="Times New Roman" w:hAnsi="Times New Roman"/>
        </w:rPr>
        <w:t>07.59</w:t>
      </w:r>
      <w:r w:rsidR="00CE6CF8" w:rsidRPr="00CE6CF8">
        <w:rPr>
          <w:rFonts w:ascii="Times New Roman" w:hAnsi="Times New Roman"/>
        </w:rPr>
        <w:t>; cost inclusive of subsequent observation; currency code SB1</w:t>
      </w:r>
      <w:r w:rsidR="009A5C90">
        <w:rPr>
          <w:rFonts w:ascii="Times New Roman" w:hAnsi="Times New Roman"/>
        </w:rPr>
        <w:t>2</w:t>
      </w:r>
      <w:r w:rsidR="00CE6CF8" w:rsidRPr="00CE6CF8">
        <w:rPr>
          <w:rFonts w:ascii="Times New Roman" w:hAnsi="Times New Roman"/>
        </w:rPr>
        <w:t>Z)</w:t>
      </w:r>
      <w:r w:rsidR="0003134C">
        <w:rPr>
          <w:rFonts w:ascii="Times New Roman" w:hAnsi="Times New Roman"/>
        </w:rPr>
        <w:t>.</w:t>
      </w:r>
    </w:p>
    <w:p w14:paraId="08F20AC4" w14:textId="78644EC0" w:rsidR="00363CE0" w:rsidRDefault="007E558F" w:rsidP="006C38E6">
      <w:pPr>
        <w:ind w:left="720"/>
        <w:jc w:val="both"/>
        <w:rPr>
          <w:rFonts w:ascii="Times New Roman" w:hAnsi="Times New Roman"/>
        </w:rPr>
      </w:pPr>
      <w:r>
        <w:rPr>
          <w:rFonts w:ascii="Times New Roman" w:hAnsi="Times New Roman"/>
        </w:rPr>
        <w:t xml:space="preserve">In its submission, </w:t>
      </w:r>
      <w:r w:rsidR="00363CE0" w:rsidRPr="00363CE0">
        <w:rPr>
          <w:rFonts w:ascii="Times New Roman" w:hAnsi="Times New Roman"/>
        </w:rPr>
        <w:t xml:space="preserve">NHS England suggested </w:t>
      </w:r>
      <w:r w:rsidR="00002D64">
        <w:rPr>
          <w:rFonts w:ascii="Times New Roman" w:hAnsi="Times New Roman"/>
        </w:rPr>
        <w:t xml:space="preserve">an infusion cost of </w:t>
      </w:r>
      <w:r w:rsidR="009B4145">
        <w:rPr>
          <w:rFonts w:ascii="Times New Roman" w:hAnsi="Times New Roman"/>
        </w:rPr>
        <w:t xml:space="preserve">£565 based on </w:t>
      </w:r>
      <w:r w:rsidR="00363CE0" w:rsidRPr="00363CE0">
        <w:rPr>
          <w:rFonts w:ascii="Times New Roman" w:hAnsi="Times New Roman"/>
        </w:rPr>
        <w:t>an alternative HRG code, WD02Z (Alzheimer’s Disease or Dementia, treated by a Non-Specialist Mental Health Service Provider, Day case)</w:t>
      </w:r>
      <w:r w:rsidR="009B4145">
        <w:rPr>
          <w:rFonts w:ascii="Times New Roman" w:hAnsi="Times New Roman"/>
        </w:rPr>
        <w:t>.</w:t>
      </w:r>
      <w:r>
        <w:rPr>
          <w:rFonts w:ascii="Times New Roman" w:hAnsi="Times New Roman"/>
        </w:rPr>
        <w:t xml:space="preserve">  This code had </w:t>
      </w:r>
      <w:r w:rsidR="00337956">
        <w:rPr>
          <w:rFonts w:ascii="Times New Roman" w:hAnsi="Times New Roman"/>
        </w:rPr>
        <w:t xml:space="preserve">however </w:t>
      </w:r>
      <w:r>
        <w:rPr>
          <w:rFonts w:ascii="Times New Roman" w:hAnsi="Times New Roman"/>
        </w:rPr>
        <w:t xml:space="preserve">been </w:t>
      </w:r>
      <w:r w:rsidR="00363CE0" w:rsidRPr="00363CE0">
        <w:rPr>
          <w:rFonts w:ascii="Times New Roman" w:hAnsi="Times New Roman"/>
        </w:rPr>
        <w:t>withdrawn from the national tariff in 2020/21</w:t>
      </w:r>
      <w:r w:rsidR="00337956">
        <w:rPr>
          <w:rFonts w:ascii="Times New Roman" w:hAnsi="Times New Roman"/>
        </w:rPr>
        <w:t>.</w:t>
      </w:r>
      <w:r w:rsidR="00EB7746">
        <w:rPr>
          <w:rFonts w:ascii="Times New Roman" w:hAnsi="Times New Roman"/>
        </w:rPr>
        <w:t xml:space="preserve"> </w:t>
      </w:r>
    </w:p>
    <w:p w14:paraId="7D4ECD26" w14:textId="5546F7F1" w:rsidR="00A168B1" w:rsidRDefault="00403C27" w:rsidP="006C38E6">
      <w:pPr>
        <w:ind w:left="720"/>
        <w:jc w:val="both"/>
        <w:rPr>
          <w:rFonts w:ascii="Times New Roman" w:hAnsi="Times New Roman"/>
        </w:rPr>
      </w:pPr>
      <w:r>
        <w:rPr>
          <w:rFonts w:ascii="Times New Roman" w:hAnsi="Times New Roman"/>
        </w:rPr>
        <w:t>In the Draft Guidance issued on 23 October 2024, the Committee noted the diff</w:t>
      </w:r>
      <w:r w:rsidR="001532BF">
        <w:rPr>
          <w:rFonts w:ascii="Times New Roman" w:hAnsi="Times New Roman"/>
        </w:rPr>
        <w:t>erence between the infusion costs estimated by Lilly and by NHS England and stated:</w:t>
      </w:r>
    </w:p>
    <w:p w14:paraId="65A7B536" w14:textId="46D299D4" w:rsidR="001532BF" w:rsidRDefault="001532BF" w:rsidP="001532BF">
      <w:pPr>
        <w:ind w:left="1440"/>
        <w:jc w:val="both"/>
        <w:rPr>
          <w:rFonts w:ascii="Times New Roman" w:hAnsi="Times New Roman"/>
        </w:rPr>
      </w:pPr>
      <w:r>
        <w:rPr>
          <w:rFonts w:ascii="Times New Roman" w:hAnsi="Times New Roman"/>
        </w:rPr>
        <w:t>“</w:t>
      </w:r>
      <w:r w:rsidRPr="001532BF">
        <w:rPr>
          <w:rFonts w:ascii="Times New Roman" w:hAnsi="Times New Roman"/>
          <w:i/>
          <w:iCs/>
        </w:rPr>
        <w:t>….So, it was unable to determine a preferred cost for use in modelling. It concluded that it would like to see further information, including a breakdown of expected resource use, from the company and NHS England that fully explained the estimated costs and explored alternatives”.</w:t>
      </w:r>
    </w:p>
    <w:p w14:paraId="3020D09A" w14:textId="3E2D4AAF" w:rsidR="007A4BF5" w:rsidRDefault="001B1024" w:rsidP="00273C48">
      <w:pPr>
        <w:ind w:left="720"/>
        <w:jc w:val="both"/>
        <w:rPr>
          <w:rFonts w:ascii="Times New Roman" w:hAnsi="Times New Roman"/>
        </w:rPr>
      </w:pPr>
      <w:r>
        <w:rPr>
          <w:rFonts w:ascii="Times New Roman" w:hAnsi="Times New Roman"/>
        </w:rPr>
        <w:t xml:space="preserve">In response to consultation on the Draft Guidance, NHS England </w:t>
      </w:r>
      <w:r w:rsidR="002617AC">
        <w:rPr>
          <w:rFonts w:ascii="Times New Roman" w:hAnsi="Times New Roman"/>
        </w:rPr>
        <w:t xml:space="preserve">provided </w:t>
      </w:r>
      <w:r w:rsidR="00A83521">
        <w:rPr>
          <w:rFonts w:ascii="Times New Roman" w:hAnsi="Times New Roman"/>
        </w:rPr>
        <w:t xml:space="preserve">a document </w:t>
      </w:r>
      <w:r w:rsidR="0063006A">
        <w:rPr>
          <w:rFonts w:ascii="Times New Roman" w:hAnsi="Times New Roman"/>
        </w:rPr>
        <w:t>entitled “</w:t>
      </w:r>
      <w:r w:rsidR="00997B3C" w:rsidRPr="00997B3C">
        <w:rPr>
          <w:rFonts w:ascii="Times New Roman" w:hAnsi="Times New Roman"/>
        </w:rPr>
        <w:t>Donanemab Consultation Response to NICE on Infusion Costs and Treatment Duration</w:t>
      </w:r>
      <w:r w:rsidR="0063006A">
        <w:rPr>
          <w:rFonts w:ascii="Times New Roman" w:hAnsi="Times New Roman"/>
        </w:rPr>
        <w:t>”</w:t>
      </w:r>
      <w:r w:rsidR="00A10D08">
        <w:rPr>
          <w:rFonts w:ascii="Times New Roman" w:hAnsi="Times New Roman"/>
        </w:rPr>
        <w:t xml:space="preserve">, which </w:t>
      </w:r>
      <w:r w:rsidR="007A4BF5">
        <w:rPr>
          <w:rFonts w:ascii="Times New Roman" w:hAnsi="Times New Roman"/>
        </w:rPr>
        <w:t>concluded:</w:t>
      </w:r>
    </w:p>
    <w:p w14:paraId="7685BE55" w14:textId="443B2C61" w:rsidR="0063006A" w:rsidRDefault="007A4BF5" w:rsidP="007A4BF5">
      <w:pPr>
        <w:ind w:left="1440"/>
        <w:jc w:val="both"/>
        <w:rPr>
          <w:rFonts w:ascii="Times New Roman" w:hAnsi="Times New Roman"/>
        </w:rPr>
      </w:pPr>
      <w:r>
        <w:rPr>
          <w:rFonts w:ascii="Times New Roman" w:hAnsi="Times New Roman"/>
        </w:rPr>
        <w:t>“</w:t>
      </w:r>
      <w:r w:rsidRPr="007A4BF5">
        <w:rPr>
          <w:rFonts w:ascii="Times New Roman" w:hAnsi="Times New Roman"/>
          <w:i/>
          <w:iCs/>
        </w:rPr>
        <w:t>We believe that an appropriate alternative method for estimating the costs for modelling and appraisal purposes is to use an approach consistent with the pricing assumed within the NICE appraisal process for monoclonal antibodies (MABs) administered in the management of a confirmed COVID infection. Using this method, and subject to a coding guidance and practice change, NHS England’s pricing team estimate a resulting indicative unit price, including Market Forces Factor (MFF), of £432</w:t>
      </w:r>
      <w:r w:rsidRPr="64D6C7CD">
        <w:rPr>
          <w:rFonts w:ascii="Times New Roman" w:hAnsi="Times New Roman"/>
          <w:i/>
          <w:iCs/>
        </w:rPr>
        <w:t>”.</w:t>
      </w:r>
      <w:r w:rsidR="0063006A">
        <w:rPr>
          <w:rFonts w:ascii="Times New Roman" w:hAnsi="Times New Roman"/>
        </w:rPr>
        <w:t xml:space="preserve">  </w:t>
      </w:r>
    </w:p>
    <w:p w14:paraId="2604EF74" w14:textId="32A6ADF0" w:rsidR="005D2629" w:rsidRPr="0049191C" w:rsidRDefault="001B77E2" w:rsidP="00273C48">
      <w:pPr>
        <w:ind w:left="720"/>
        <w:jc w:val="both"/>
        <w:rPr>
          <w:rFonts w:ascii="Times New Roman" w:hAnsi="Times New Roman"/>
        </w:rPr>
      </w:pPr>
      <w:r>
        <w:rPr>
          <w:rFonts w:ascii="Times New Roman" w:hAnsi="Times New Roman"/>
        </w:rPr>
        <w:t>Importantly</w:t>
      </w:r>
      <w:r w:rsidR="00806771">
        <w:rPr>
          <w:rFonts w:ascii="Times New Roman" w:hAnsi="Times New Roman"/>
        </w:rPr>
        <w:t xml:space="preserve">, while NHS England stated that there is not currently a specific NHS price for infusion of donanemab in </w:t>
      </w:r>
      <w:r w:rsidR="005D2629">
        <w:rPr>
          <w:rFonts w:ascii="Times New Roman" w:hAnsi="Times New Roman"/>
        </w:rPr>
        <w:t>AD, it did not provide the “</w:t>
      </w:r>
      <w:r w:rsidR="005D2629" w:rsidRPr="001532BF">
        <w:rPr>
          <w:rFonts w:ascii="Times New Roman" w:hAnsi="Times New Roman"/>
          <w:i/>
          <w:iCs/>
        </w:rPr>
        <w:t>breakdown of expected resource use</w:t>
      </w:r>
      <w:r w:rsidR="005D2629">
        <w:rPr>
          <w:rFonts w:ascii="Times New Roman" w:hAnsi="Times New Roman"/>
          <w:i/>
          <w:iCs/>
        </w:rPr>
        <w:t>”</w:t>
      </w:r>
      <w:r w:rsidR="005D2629" w:rsidRPr="001532BF">
        <w:rPr>
          <w:rFonts w:ascii="Times New Roman" w:hAnsi="Times New Roman"/>
          <w:i/>
          <w:iCs/>
        </w:rPr>
        <w:t>,</w:t>
      </w:r>
      <w:r w:rsidR="0049191C">
        <w:rPr>
          <w:rFonts w:ascii="Times New Roman" w:hAnsi="Times New Roman"/>
          <w:i/>
          <w:iCs/>
        </w:rPr>
        <w:t xml:space="preserve"> </w:t>
      </w:r>
      <w:r w:rsidR="0049191C" w:rsidRPr="0049191C">
        <w:rPr>
          <w:rFonts w:ascii="Times New Roman" w:hAnsi="Times New Roman"/>
        </w:rPr>
        <w:t>which formed the basis for its estimates of infusion costs, as requested by the Committee in the Draft Guidance.</w:t>
      </w:r>
    </w:p>
    <w:p w14:paraId="02DAB88C" w14:textId="4580499C" w:rsidR="00AF6792" w:rsidRDefault="005D2629" w:rsidP="00273C48">
      <w:pPr>
        <w:ind w:left="720"/>
        <w:jc w:val="both"/>
        <w:rPr>
          <w:rFonts w:ascii="Times New Roman" w:hAnsi="Times New Roman"/>
        </w:rPr>
      </w:pPr>
      <w:r w:rsidRPr="005D2629">
        <w:rPr>
          <w:rFonts w:ascii="Times New Roman" w:hAnsi="Times New Roman"/>
        </w:rPr>
        <w:t xml:space="preserve">NHS England </w:t>
      </w:r>
      <w:r w:rsidR="00A64170">
        <w:rPr>
          <w:rFonts w:ascii="Times New Roman" w:hAnsi="Times New Roman"/>
        </w:rPr>
        <w:t>disagreed with Lilly’s</w:t>
      </w:r>
      <w:r w:rsidR="00893E3B">
        <w:rPr>
          <w:rFonts w:ascii="Times New Roman" w:hAnsi="Times New Roman"/>
        </w:rPr>
        <w:t xml:space="preserve"> proposed costs, on the basis</w:t>
      </w:r>
      <w:r w:rsidR="007A0EC6">
        <w:rPr>
          <w:rFonts w:ascii="Times New Roman" w:hAnsi="Times New Roman"/>
        </w:rPr>
        <w:t xml:space="preserve"> that it suggested: (a)</w:t>
      </w:r>
      <w:r w:rsidR="00893E3B">
        <w:rPr>
          <w:rFonts w:ascii="Times New Roman" w:hAnsi="Times New Roman"/>
        </w:rPr>
        <w:t xml:space="preserve">  </w:t>
      </w:r>
      <w:r w:rsidR="007A0EC6">
        <w:rPr>
          <w:rFonts w:ascii="Times New Roman" w:hAnsi="Times New Roman"/>
        </w:rPr>
        <w:t xml:space="preserve">donanemab </w:t>
      </w:r>
      <w:r w:rsidRPr="005D2629">
        <w:rPr>
          <w:rFonts w:ascii="Times New Roman" w:hAnsi="Times New Roman"/>
        </w:rPr>
        <w:t>requires more complex preparation</w:t>
      </w:r>
      <w:r w:rsidR="0075232D">
        <w:rPr>
          <w:rFonts w:ascii="Times New Roman" w:hAnsi="Times New Roman"/>
        </w:rPr>
        <w:t xml:space="preserve">; </w:t>
      </w:r>
      <w:r w:rsidR="00AF6792">
        <w:rPr>
          <w:rFonts w:ascii="Times New Roman" w:hAnsi="Times New Roman"/>
        </w:rPr>
        <w:t xml:space="preserve">(b) </w:t>
      </w:r>
      <w:r w:rsidR="00F110A7">
        <w:rPr>
          <w:rFonts w:ascii="Times New Roman" w:hAnsi="Times New Roman"/>
        </w:rPr>
        <w:t xml:space="preserve">it </w:t>
      </w:r>
      <w:r w:rsidRPr="005D2629">
        <w:rPr>
          <w:rFonts w:ascii="Times New Roman" w:hAnsi="Times New Roman"/>
        </w:rPr>
        <w:t>carries a higher risk of infusion reactions</w:t>
      </w:r>
      <w:r w:rsidR="00F110A7">
        <w:rPr>
          <w:rFonts w:ascii="Times New Roman" w:hAnsi="Times New Roman"/>
        </w:rPr>
        <w:t xml:space="preserve">; and </w:t>
      </w:r>
      <w:r w:rsidR="00AF6792">
        <w:rPr>
          <w:rFonts w:ascii="Times New Roman" w:hAnsi="Times New Roman"/>
        </w:rPr>
        <w:t xml:space="preserve">(c) </w:t>
      </w:r>
      <w:r w:rsidRPr="005D2629">
        <w:rPr>
          <w:rFonts w:ascii="Times New Roman" w:hAnsi="Times New Roman"/>
        </w:rPr>
        <w:t>patients potentially eligible for donanemab will be older, and may also have more complex needs, on average, than those receiving chemotherapy</w:t>
      </w:r>
      <w:r w:rsidR="0003134C">
        <w:rPr>
          <w:rFonts w:ascii="Times New Roman" w:hAnsi="Times New Roman"/>
        </w:rPr>
        <w:t>.</w:t>
      </w:r>
      <w:r w:rsidR="001B77E2">
        <w:rPr>
          <w:rFonts w:ascii="Times New Roman" w:hAnsi="Times New Roman"/>
        </w:rPr>
        <w:t xml:space="preserve"> </w:t>
      </w:r>
    </w:p>
    <w:p w14:paraId="703EA048" w14:textId="3F17BF9E" w:rsidR="00B544AD" w:rsidRDefault="00C90ACE" w:rsidP="00273C48">
      <w:pPr>
        <w:ind w:left="720"/>
        <w:jc w:val="both"/>
        <w:rPr>
          <w:rFonts w:ascii="Times New Roman" w:hAnsi="Times New Roman"/>
        </w:rPr>
      </w:pPr>
      <w:r>
        <w:rPr>
          <w:rFonts w:ascii="Times New Roman" w:hAnsi="Times New Roman"/>
        </w:rPr>
        <w:t>In the Second Draft Guidance issued on 6 March 2025, the Committee</w:t>
      </w:r>
      <w:r w:rsidR="00B544AD">
        <w:rPr>
          <w:rFonts w:ascii="Times New Roman" w:hAnsi="Times New Roman"/>
        </w:rPr>
        <w:t xml:space="preserve"> referred to infusion costs and stated:</w:t>
      </w:r>
    </w:p>
    <w:p w14:paraId="76B97012" w14:textId="7B59C47B" w:rsidR="00B544AD" w:rsidRPr="00213E6F" w:rsidRDefault="00B544AD" w:rsidP="00B544AD">
      <w:pPr>
        <w:ind w:left="1440"/>
        <w:jc w:val="both"/>
        <w:rPr>
          <w:rFonts w:ascii="Times New Roman" w:hAnsi="Times New Roman"/>
          <w:i/>
          <w:iCs/>
        </w:rPr>
      </w:pPr>
      <w:r>
        <w:rPr>
          <w:rFonts w:ascii="Times New Roman" w:hAnsi="Times New Roman"/>
        </w:rPr>
        <w:t>“</w:t>
      </w:r>
      <w:r w:rsidR="0096447C" w:rsidRPr="00213E6F">
        <w:rPr>
          <w:rFonts w:ascii="Times New Roman" w:hAnsi="Times New Roman"/>
          <w:i/>
          <w:iCs/>
        </w:rPr>
        <w:t>The committee noted a lack of transparency on how the cost was estimated and how it related to specific donanemab resource requirements. So, it was unable to determine a preferred cost for use in modelling. The committee concluded that the most appropriate cost is likely closer to the NHS England estimate than the company’s but noted the uncertainties with how it was estimated. It also concluded that it would use both the company and NHS England infusion cost estimates when considering the most plausible ICER range</w:t>
      </w:r>
      <w:r w:rsidR="00213E6F" w:rsidRPr="00213E6F">
        <w:rPr>
          <w:rFonts w:ascii="Times New Roman" w:hAnsi="Times New Roman"/>
          <w:i/>
          <w:iCs/>
        </w:rPr>
        <w:t>”</w:t>
      </w:r>
    </w:p>
    <w:p w14:paraId="2D146CC0" w14:textId="3C8F7F2F" w:rsidR="00273C48" w:rsidRDefault="00BE481B" w:rsidP="005C147E">
      <w:pPr>
        <w:ind w:left="720"/>
        <w:jc w:val="both"/>
        <w:rPr>
          <w:rFonts w:ascii="Times New Roman" w:hAnsi="Times New Roman"/>
        </w:rPr>
      </w:pPr>
      <w:r>
        <w:rPr>
          <w:rFonts w:ascii="Times New Roman" w:hAnsi="Times New Roman"/>
        </w:rPr>
        <w:t>In advance of the third meeting of the Appraisal Committee</w:t>
      </w:r>
      <w:r w:rsidR="002A6C23">
        <w:rPr>
          <w:rFonts w:ascii="Times New Roman" w:hAnsi="Times New Roman"/>
        </w:rPr>
        <w:t xml:space="preserve"> (“ACM3”)</w:t>
      </w:r>
      <w:r>
        <w:rPr>
          <w:rFonts w:ascii="Times New Roman" w:hAnsi="Times New Roman"/>
        </w:rPr>
        <w:t xml:space="preserve">, NHS England provided </w:t>
      </w:r>
      <w:r w:rsidR="00863183">
        <w:rPr>
          <w:rFonts w:ascii="Times New Roman" w:hAnsi="Times New Roman"/>
        </w:rPr>
        <w:t xml:space="preserve">a further document entitled “Infusion Cost </w:t>
      </w:r>
      <w:r w:rsidR="00503D41">
        <w:rPr>
          <w:rFonts w:ascii="Times New Roman" w:hAnsi="Times New Roman"/>
        </w:rPr>
        <w:t xml:space="preserve">Estimates”.  This document was disclosed to Lilly only four working days before </w:t>
      </w:r>
      <w:r w:rsidR="002A6C23">
        <w:rPr>
          <w:rFonts w:ascii="Times New Roman" w:hAnsi="Times New Roman"/>
        </w:rPr>
        <w:t>ACM3</w:t>
      </w:r>
      <w:r w:rsidR="0035181B">
        <w:rPr>
          <w:rFonts w:ascii="Times New Roman" w:hAnsi="Times New Roman"/>
        </w:rPr>
        <w:t xml:space="preserve">, with no opportunity for </w:t>
      </w:r>
      <w:r w:rsidR="00DA7DF5">
        <w:rPr>
          <w:rFonts w:ascii="Times New Roman" w:hAnsi="Times New Roman"/>
        </w:rPr>
        <w:t xml:space="preserve">adequate review before the meeting. </w:t>
      </w:r>
      <w:r w:rsidR="002A6C23">
        <w:rPr>
          <w:rFonts w:ascii="Times New Roman" w:hAnsi="Times New Roman"/>
        </w:rPr>
        <w:t xml:space="preserve"> </w:t>
      </w:r>
      <w:r w:rsidR="003D3C42">
        <w:rPr>
          <w:rFonts w:ascii="Times New Roman" w:hAnsi="Times New Roman"/>
        </w:rPr>
        <w:t xml:space="preserve">The document provided information regarding various HRG codes used by NHS England </w:t>
      </w:r>
      <w:r w:rsidR="00F12A2E">
        <w:rPr>
          <w:rFonts w:ascii="Times New Roman" w:hAnsi="Times New Roman"/>
        </w:rPr>
        <w:t xml:space="preserve">together with </w:t>
      </w:r>
      <w:r w:rsidR="009B1B7D">
        <w:rPr>
          <w:rFonts w:ascii="Times New Roman" w:hAnsi="Times New Roman"/>
        </w:rPr>
        <w:t xml:space="preserve">COVID and other </w:t>
      </w:r>
      <w:r w:rsidR="00F12A2E">
        <w:rPr>
          <w:rFonts w:ascii="Times New Roman" w:hAnsi="Times New Roman"/>
        </w:rPr>
        <w:t>adjustment factors.  Again however it provided no breakdown of the costs included in the various code</w:t>
      </w:r>
      <w:r w:rsidR="008D2DF2">
        <w:rPr>
          <w:rFonts w:ascii="Times New Roman" w:hAnsi="Times New Roman"/>
        </w:rPr>
        <w:t>s</w:t>
      </w:r>
      <w:r w:rsidR="0074140A">
        <w:rPr>
          <w:rFonts w:ascii="Times New Roman" w:hAnsi="Times New Roman"/>
        </w:rPr>
        <w:t xml:space="preserve"> or the medicines (or other therapies) to which they relate, so that their relevance to the infusion of donanemab could not be </w:t>
      </w:r>
      <w:r w:rsidR="0094596C">
        <w:rPr>
          <w:rFonts w:ascii="Times New Roman" w:hAnsi="Times New Roman"/>
        </w:rPr>
        <w:t>considered.</w:t>
      </w:r>
      <w:r w:rsidR="008D2DF2">
        <w:rPr>
          <w:rFonts w:ascii="Times New Roman" w:hAnsi="Times New Roman"/>
        </w:rPr>
        <w:t xml:space="preserve"> </w:t>
      </w:r>
    </w:p>
    <w:p w14:paraId="6466B81B" w14:textId="0530D66B" w:rsidR="0008314B" w:rsidRDefault="00D82EE1" w:rsidP="005C147E">
      <w:pPr>
        <w:ind w:left="720"/>
        <w:jc w:val="both"/>
        <w:rPr>
          <w:rFonts w:ascii="Times New Roman" w:hAnsi="Times New Roman"/>
        </w:rPr>
      </w:pPr>
      <w:r>
        <w:rPr>
          <w:rFonts w:ascii="Times New Roman" w:hAnsi="Times New Roman"/>
        </w:rPr>
        <w:t xml:space="preserve">At paragraph </w:t>
      </w:r>
      <w:r w:rsidR="00381C47">
        <w:rPr>
          <w:rFonts w:ascii="Times New Roman" w:hAnsi="Times New Roman"/>
        </w:rPr>
        <w:t>3.20 of the FDG, the Committee states:</w:t>
      </w:r>
    </w:p>
    <w:p w14:paraId="0294E7D9" w14:textId="5851209B" w:rsidR="00381C47" w:rsidRPr="00562175" w:rsidRDefault="00381C47" w:rsidP="00381C47">
      <w:pPr>
        <w:ind w:left="1440"/>
        <w:jc w:val="both"/>
        <w:rPr>
          <w:rFonts w:ascii="Times New Roman" w:hAnsi="Times New Roman"/>
        </w:rPr>
      </w:pPr>
      <w:r>
        <w:rPr>
          <w:rFonts w:ascii="Times New Roman" w:hAnsi="Times New Roman"/>
        </w:rPr>
        <w:t>“</w:t>
      </w:r>
      <w:r w:rsidR="00BC5590" w:rsidRPr="00A85F9C">
        <w:rPr>
          <w:rFonts w:ascii="Times New Roman" w:hAnsi="Times New Roman"/>
          <w:i/>
          <w:iCs/>
        </w:rPr>
        <w:t>The committee carefully considered all of the evidence it had been presented on infusion costs over the 3 committee meetings</w:t>
      </w:r>
      <w:r w:rsidR="00863847" w:rsidRPr="00A85F9C">
        <w:rPr>
          <w:rFonts w:ascii="Times New Roman" w:hAnsi="Times New Roman"/>
          <w:i/>
          <w:iCs/>
        </w:rPr>
        <w:t xml:space="preserve">.  It noted the large impact that the estimates had on the ICER&gt;  The committee concluded that its preferred infusion cost must reflect the costs in real world practice </w:t>
      </w:r>
      <w:r w:rsidR="00A85F9C" w:rsidRPr="00A85F9C">
        <w:rPr>
          <w:rFonts w:ascii="Times New Roman" w:hAnsi="Times New Roman"/>
          <w:i/>
          <w:iCs/>
        </w:rPr>
        <w:t>as much as possible.  So, its preferred assumption was to use the £432 cost estimated by NHS England because this cost is most likely to reflect what would be charged in NHS practice”.</w:t>
      </w:r>
      <w:r w:rsidR="00BC5590" w:rsidRPr="00A85F9C">
        <w:rPr>
          <w:rFonts w:ascii="Times New Roman" w:hAnsi="Times New Roman"/>
          <w:i/>
          <w:iCs/>
        </w:rPr>
        <w:t xml:space="preserve"> </w:t>
      </w:r>
    </w:p>
    <w:p w14:paraId="47B8C567" w14:textId="39B58A95" w:rsidR="00DC6984" w:rsidRDefault="00DC6984" w:rsidP="00C178C1">
      <w:pPr>
        <w:ind w:left="720"/>
        <w:jc w:val="both"/>
        <w:rPr>
          <w:rFonts w:ascii="Times New Roman" w:hAnsi="Times New Roman"/>
          <w:u w:val="single"/>
        </w:rPr>
      </w:pPr>
      <w:r>
        <w:rPr>
          <w:rFonts w:ascii="Times New Roman" w:hAnsi="Times New Roman"/>
          <w:u w:val="single"/>
        </w:rPr>
        <w:t>The requirements of the Manual</w:t>
      </w:r>
    </w:p>
    <w:p w14:paraId="49D0970B" w14:textId="77777777" w:rsidR="00DC6984" w:rsidRPr="00DC6984" w:rsidRDefault="00DC6984" w:rsidP="00C178C1">
      <w:pPr>
        <w:ind w:left="720"/>
        <w:jc w:val="both"/>
        <w:rPr>
          <w:rFonts w:ascii="Times New Roman" w:hAnsi="Times New Roman"/>
        </w:rPr>
      </w:pPr>
      <w:r w:rsidRPr="00DC6984">
        <w:rPr>
          <w:rFonts w:ascii="Times New Roman" w:hAnsi="Times New Roman"/>
        </w:rPr>
        <w:t>Paragraph 4.4.1 of the Manual states:</w:t>
      </w:r>
    </w:p>
    <w:p w14:paraId="5C915DD1" w14:textId="7AD9BFE1" w:rsidR="00DC6984" w:rsidRDefault="00DC6984" w:rsidP="00DC6984">
      <w:pPr>
        <w:ind w:left="1440"/>
        <w:jc w:val="both"/>
        <w:rPr>
          <w:rFonts w:ascii="Times New Roman" w:hAnsi="Times New Roman"/>
          <w:i/>
          <w:iCs/>
        </w:rPr>
      </w:pPr>
      <w:r>
        <w:rPr>
          <w:rFonts w:ascii="Times New Roman" w:hAnsi="Times New Roman"/>
        </w:rPr>
        <w:t>“</w:t>
      </w:r>
      <w:r w:rsidRPr="00DC6984">
        <w:rPr>
          <w:rFonts w:ascii="Times New Roman" w:hAnsi="Times New Roman"/>
          <w:i/>
          <w:iCs/>
        </w:rPr>
        <w:t>For the reference case, costs should relate to resources that are under the control of the NHS and PSS. Value these resources using the prices relevant to the NHS and PSS. Present evidence to show that resource use and cost data have been identified systematically”.</w:t>
      </w:r>
    </w:p>
    <w:p w14:paraId="6EFCB8FD" w14:textId="7E3400A4" w:rsidR="00D97009" w:rsidRDefault="00D97009" w:rsidP="00D97009">
      <w:pPr>
        <w:ind w:left="720"/>
        <w:jc w:val="both"/>
        <w:rPr>
          <w:rFonts w:ascii="Times New Roman" w:hAnsi="Times New Roman"/>
        </w:rPr>
      </w:pPr>
      <w:r>
        <w:rPr>
          <w:rFonts w:ascii="Times New Roman" w:hAnsi="Times New Roman"/>
        </w:rPr>
        <w:t>Further details are provided in paragraph 4.4.3:</w:t>
      </w:r>
    </w:p>
    <w:p w14:paraId="0485E7DB" w14:textId="48BBA644" w:rsidR="00D97009" w:rsidRPr="00D97009" w:rsidRDefault="00D97009" w:rsidP="00D97009">
      <w:pPr>
        <w:ind w:left="1440"/>
        <w:jc w:val="both"/>
        <w:rPr>
          <w:rFonts w:ascii="Times New Roman" w:hAnsi="Times New Roman"/>
        </w:rPr>
      </w:pPr>
      <w:r>
        <w:rPr>
          <w:rFonts w:ascii="Times New Roman" w:hAnsi="Times New Roman"/>
        </w:rPr>
        <w:t>“</w:t>
      </w:r>
      <w:r w:rsidRPr="00D97009">
        <w:rPr>
          <w:rFonts w:ascii="Times New Roman" w:hAnsi="Times New Roman"/>
          <w:i/>
          <w:iCs/>
        </w:rPr>
        <w:t>When judgement on the appropriate price is needed, the committee should consider the limitations around the price source in its deliberations. This should consider transparency to the NHS and the period for which the prices are guaranteed. Any uncertainty should be acknowledged and explored”.</w:t>
      </w:r>
    </w:p>
    <w:p w14:paraId="2B48BDD9" w14:textId="6594BC5D" w:rsidR="00734995" w:rsidRPr="00734995" w:rsidRDefault="008D2DF2" w:rsidP="00C178C1">
      <w:pPr>
        <w:ind w:left="720"/>
        <w:jc w:val="both"/>
        <w:rPr>
          <w:rFonts w:ascii="Times New Roman" w:hAnsi="Times New Roman"/>
          <w:u w:val="single"/>
        </w:rPr>
      </w:pPr>
      <w:r w:rsidRPr="00734995">
        <w:rPr>
          <w:rFonts w:ascii="Times New Roman" w:hAnsi="Times New Roman"/>
          <w:u w:val="single"/>
        </w:rPr>
        <w:t xml:space="preserve">NHS England’s </w:t>
      </w:r>
      <w:r w:rsidR="00734995" w:rsidRPr="00734995">
        <w:rPr>
          <w:rFonts w:ascii="Times New Roman" w:hAnsi="Times New Roman"/>
          <w:u w:val="single"/>
        </w:rPr>
        <w:t xml:space="preserve">estimated infusion costs lack </w:t>
      </w:r>
      <w:r w:rsidR="00BE4939" w:rsidRPr="00734995">
        <w:rPr>
          <w:rFonts w:ascii="Times New Roman" w:hAnsi="Times New Roman"/>
          <w:u w:val="single"/>
        </w:rPr>
        <w:t>transparency</w:t>
      </w:r>
    </w:p>
    <w:p w14:paraId="56B2FE9F" w14:textId="5D63BA4A" w:rsidR="00734995" w:rsidRDefault="0020051C" w:rsidP="00C178C1">
      <w:pPr>
        <w:ind w:left="720"/>
        <w:jc w:val="both"/>
        <w:rPr>
          <w:rFonts w:ascii="Times New Roman" w:hAnsi="Times New Roman"/>
        </w:rPr>
      </w:pPr>
      <w:r>
        <w:rPr>
          <w:rFonts w:ascii="Times New Roman" w:hAnsi="Times New Roman"/>
        </w:rPr>
        <w:t xml:space="preserve">The estimated infusion costs proposed by NHS England </w:t>
      </w:r>
      <w:r w:rsidR="005B02B2">
        <w:rPr>
          <w:rFonts w:ascii="Times New Roman" w:hAnsi="Times New Roman"/>
        </w:rPr>
        <w:t>are uncertain and it is unclear whether these are relevant to infusion costs associated with administration of donanemab</w:t>
      </w:r>
      <w:r w:rsidR="00744494">
        <w:rPr>
          <w:rFonts w:ascii="Times New Roman" w:hAnsi="Times New Roman"/>
        </w:rPr>
        <w:t>.  In particular:</w:t>
      </w:r>
    </w:p>
    <w:p w14:paraId="3E529441" w14:textId="6FEFA261" w:rsidR="00744494" w:rsidRDefault="00744494" w:rsidP="00744494">
      <w:pPr>
        <w:pStyle w:val="ListParagraph"/>
        <w:numPr>
          <w:ilvl w:val="0"/>
          <w:numId w:val="29"/>
        </w:numPr>
        <w:jc w:val="both"/>
        <w:rPr>
          <w:rFonts w:ascii="Times New Roman" w:hAnsi="Times New Roman"/>
        </w:rPr>
      </w:pPr>
      <w:r>
        <w:rPr>
          <w:rFonts w:ascii="Times New Roman" w:hAnsi="Times New Roman"/>
        </w:rPr>
        <w:t xml:space="preserve">NHS England has based its estimated </w:t>
      </w:r>
      <w:r w:rsidR="00B7377A">
        <w:rPr>
          <w:rFonts w:ascii="Times New Roman" w:hAnsi="Times New Roman"/>
        </w:rPr>
        <w:t>infusion costs on HRG codes</w:t>
      </w:r>
      <w:r w:rsidR="00862797">
        <w:rPr>
          <w:rFonts w:ascii="Times New Roman" w:hAnsi="Times New Roman"/>
        </w:rPr>
        <w:t xml:space="preserve">, which are </w:t>
      </w:r>
      <w:r w:rsidR="00807CA7">
        <w:rPr>
          <w:rFonts w:ascii="Times New Roman" w:hAnsi="Times New Roman"/>
        </w:rPr>
        <w:t>developed by NHS England and</w:t>
      </w:r>
      <w:r w:rsidR="00B7377A">
        <w:rPr>
          <w:rFonts w:ascii="Times New Roman" w:hAnsi="Times New Roman"/>
        </w:rPr>
        <w:t xml:space="preserve"> </w:t>
      </w:r>
      <w:r w:rsidR="00862797">
        <w:rPr>
          <w:rFonts w:ascii="Times New Roman" w:hAnsi="Times New Roman"/>
        </w:rPr>
        <w:t>applied to “patient spells</w:t>
      </w:r>
      <w:r w:rsidR="007263FE">
        <w:rPr>
          <w:rFonts w:ascii="Times New Roman" w:hAnsi="Times New Roman"/>
        </w:rPr>
        <w:t>”</w:t>
      </w:r>
      <w:r w:rsidR="00862797">
        <w:rPr>
          <w:rFonts w:ascii="Times New Roman" w:hAnsi="Times New Roman"/>
        </w:rPr>
        <w:t xml:space="preserve"> (a particular period of investigation or treatment) </w:t>
      </w:r>
      <w:r w:rsidR="00807CA7">
        <w:rPr>
          <w:rFonts w:ascii="Times New Roman" w:hAnsi="Times New Roman"/>
        </w:rPr>
        <w:t xml:space="preserve">to determine the amount to be paid to </w:t>
      </w:r>
      <w:r w:rsidR="00B7377A">
        <w:rPr>
          <w:rFonts w:ascii="Times New Roman" w:hAnsi="Times New Roman"/>
        </w:rPr>
        <w:t xml:space="preserve">healthcare service providers within the health service.  </w:t>
      </w:r>
      <w:r w:rsidR="00807CA7">
        <w:rPr>
          <w:rFonts w:ascii="Times New Roman" w:hAnsi="Times New Roman"/>
        </w:rPr>
        <w:t xml:space="preserve"> HRG codes </w:t>
      </w:r>
      <w:r w:rsidR="00244489">
        <w:rPr>
          <w:rFonts w:ascii="Times New Roman" w:hAnsi="Times New Roman"/>
        </w:rPr>
        <w:t xml:space="preserve">therefore </w:t>
      </w:r>
      <w:r w:rsidR="00807CA7">
        <w:rPr>
          <w:rFonts w:ascii="Times New Roman" w:hAnsi="Times New Roman"/>
        </w:rPr>
        <w:t xml:space="preserve">cover broader elements than </w:t>
      </w:r>
      <w:r w:rsidR="00244489">
        <w:rPr>
          <w:rFonts w:ascii="Times New Roman" w:hAnsi="Times New Roman"/>
        </w:rPr>
        <w:t xml:space="preserve">simply a specific procedure and may include wider overheads and non-specific costs which extend </w:t>
      </w:r>
      <w:r w:rsidR="009E47F4">
        <w:rPr>
          <w:rFonts w:ascii="Times New Roman" w:hAnsi="Times New Roman"/>
        </w:rPr>
        <w:t xml:space="preserve">beyond, matters such as the costs of infusion of a particular medicinal product.  In circumstances where </w:t>
      </w:r>
      <w:r w:rsidR="007E61AC">
        <w:rPr>
          <w:rFonts w:ascii="Times New Roman" w:hAnsi="Times New Roman"/>
        </w:rPr>
        <w:t>NHS England has declined to provide any breakdown</w:t>
      </w:r>
      <w:r w:rsidR="009E47F4">
        <w:rPr>
          <w:rFonts w:ascii="Times New Roman" w:hAnsi="Times New Roman"/>
        </w:rPr>
        <w:t xml:space="preserve"> </w:t>
      </w:r>
      <w:r w:rsidR="007E61AC">
        <w:rPr>
          <w:rFonts w:ascii="Times New Roman" w:hAnsi="Times New Roman"/>
        </w:rPr>
        <w:t xml:space="preserve">of the elements included in its </w:t>
      </w:r>
      <w:r w:rsidR="00CC12E6">
        <w:rPr>
          <w:rFonts w:ascii="Times New Roman" w:hAnsi="Times New Roman"/>
        </w:rPr>
        <w:t xml:space="preserve">estimated infusion costs for donanemab, it is impossible to determine </w:t>
      </w:r>
      <w:r w:rsidR="00710574">
        <w:rPr>
          <w:rFonts w:ascii="Times New Roman" w:hAnsi="Times New Roman"/>
        </w:rPr>
        <w:t xml:space="preserve">whether the elements included in HRG costings </w:t>
      </w:r>
      <w:r w:rsidR="000D376F">
        <w:rPr>
          <w:rFonts w:ascii="Times New Roman" w:hAnsi="Times New Roman"/>
        </w:rPr>
        <w:t xml:space="preserve">are limited to costs of an infusion procedure </w:t>
      </w:r>
      <w:r w:rsidR="00E72666">
        <w:rPr>
          <w:rFonts w:ascii="Times New Roman" w:hAnsi="Times New Roman"/>
        </w:rPr>
        <w:t xml:space="preserve">of similar duration to donanemab or, as Lilly believes to be the case, </w:t>
      </w:r>
      <w:r w:rsidR="000D376F">
        <w:rPr>
          <w:rFonts w:ascii="Times New Roman" w:hAnsi="Times New Roman"/>
        </w:rPr>
        <w:t>are broader in scope than these elements</w:t>
      </w:r>
      <w:r w:rsidR="00E72666">
        <w:rPr>
          <w:rFonts w:ascii="Times New Roman" w:hAnsi="Times New Roman"/>
        </w:rPr>
        <w:t xml:space="preserve"> and include costs </w:t>
      </w:r>
      <w:r w:rsidR="00C12B4B">
        <w:rPr>
          <w:rFonts w:ascii="Times New Roman" w:hAnsi="Times New Roman"/>
        </w:rPr>
        <w:t xml:space="preserve">for treatments longer than the 30 minute infusion time required for donanemab </w:t>
      </w:r>
      <w:r w:rsidR="001F377E">
        <w:rPr>
          <w:rFonts w:ascii="Times New Roman" w:hAnsi="Times New Roman"/>
        </w:rPr>
        <w:t xml:space="preserve">and costs of </w:t>
      </w:r>
      <w:r w:rsidR="00E72666">
        <w:rPr>
          <w:rFonts w:ascii="Times New Roman" w:hAnsi="Times New Roman"/>
        </w:rPr>
        <w:t>day case or overnight stays, which are not applicable here</w:t>
      </w:r>
      <w:r w:rsidR="000D376F">
        <w:rPr>
          <w:rFonts w:ascii="Times New Roman" w:hAnsi="Times New Roman"/>
        </w:rPr>
        <w:t>.</w:t>
      </w:r>
      <w:r w:rsidR="00E72666">
        <w:rPr>
          <w:rFonts w:ascii="Times New Roman" w:hAnsi="Times New Roman"/>
        </w:rPr>
        <w:t xml:space="preserve"> </w:t>
      </w:r>
    </w:p>
    <w:p w14:paraId="2B2714F7" w14:textId="636FC7B0" w:rsidR="00BE1230" w:rsidRDefault="00BE1230" w:rsidP="00744494">
      <w:pPr>
        <w:pStyle w:val="ListParagraph"/>
        <w:numPr>
          <w:ilvl w:val="0"/>
          <w:numId w:val="29"/>
        </w:numPr>
        <w:jc w:val="both"/>
        <w:rPr>
          <w:rFonts w:ascii="Times New Roman" w:hAnsi="Times New Roman"/>
        </w:rPr>
      </w:pPr>
      <w:r>
        <w:rPr>
          <w:rFonts w:ascii="Times New Roman" w:hAnsi="Times New Roman"/>
        </w:rPr>
        <w:t xml:space="preserve">NHS England has provided no explanation to justify proposing costs based on infusion of </w:t>
      </w:r>
      <w:r w:rsidR="001C5001">
        <w:rPr>
          <w:rFonts w:ascii="Times New Roman" w:hAnsi="Times New Roman"/>
        </w:rPr>
        <w:t>monoclonal antibodies in patients who are seriously unwell with SARS-CoV-</w:t>
      </w:r>
      <w:r w:rsidR="00F6066B">
        <w:rPr>
          <w:rFonts w:ascii="Times New Roman" w:hAnsi="Times New Roman"/>
        </w:rPr>
        <w:t>2 infection, for a routine infusion in stable patients with early AD.</w:t>
      </w:r>
    </w:p>
    <w:p w14:paraId="06EFFF81" w14:textId="100CEB81" w:rsidR="00E618C4" w:rsidRPr="00744494" w:rsidRDefault="004E2A4E" w:rsidP="00744494">
      <w:pPr>
        <w:pStyle w:val="ListParagraph"/>
        <w:numPr>
          <w:ilvl w:val="0"/>
          <w:numId w:val="29"/>
        </w:numPr>
        <w:jc w:val="both"/>
        <w:rPr>
          <w:rFonts w:ascii="Times New Roman" w:hAnsi="Times New Roman"/>
        </w:rPr>
      </w:pPr>
      <w:r>
        <w:rPr>
          <w:rFonts w:ascii="Times New Roman" w:hAnsi="Times New Roman"/>
        </w:rPr>
        <w:t>It is not possible to determine which medicines or other therapies are covered by</w:t>
      </w:r>
      <w:r w:rsidR="00636E39">
        <w:rPr>
          <w:rFonts w:ascii="Times New Roman" w:hAnsi="Times New Roman"/>
        </w:rPr>
        <w:t xml:space="preserve"> the various codes proposed by NHS England to determine whether these are comparable to </w:t>
      </w:r>
      <w:r w:rsidR="00BE4939">
        <w:rPr>
          <w:rFonts w:ascii="Times New Roman" w:hAnsi="Times New Roman"/>
        </w:rPr>
        <w:t>donanemab.</w:t>
      </w:r>
      <w:r>
        <w:rPr>
          <w:rFonts w:ascii="Times New Roman" w:hAnsi="Times New Roman"/>
        </w:rPr>
        <w:t xml:space="preserve"> </w:t>
      </w:r>
    </w:p>
    <w:p w14:paraId="756F681D" w14:textId="576307E9" w:rsidR="00B4501D" w:rsidRDefault="00E618C4" w:rsidP="00C178C1">
      <w:pPr>
        <w:ind w:left="720"/>
        <w:jc w:val="both"/>
        <w:rPr>
          <w:rFonts w:ascii="Times New Roman" w:hAnsi="Times New Roman"/>
        </w:rPr>
      </w:pPr>
      <w:r>
        <w:rPr>
          <w:rFonts w:ascii="Times New Roman" w:hAnsi="Times New Roman"/>
        </w:rPr>
        <w:t xml:space="preserve">NHS England has been asked repeatedly to provide </w:t>
      </w:r>
      <w:r w:rsidR="004F28C8">
        <w:rPr>
          <w:rFonts w:ascii="Times New Roman" w:hAnsi="Times New Roman"/>
        </w:rPr>
        <w:t xml:space="preserve">a breakdown </w:t>
      </w:r>
      <w:r w:rsidR="0008314B">
        <w:rPr>
          <w:rFonts w:ascii="Times New Roman" w:hAnsi="Times New Roman"/>
        </w:rPr>
        <w:t xml:space="preserve">of the costs included in </w:t>
      </w:r>
      <w:r w:rsidR="00A7335F">
        <w:rPr>
          <w:rFonts w:ascii="Times New Roman" w:hAnsi="Times New Roman"/>
        </w:rPr>
        <w:t>its estimated £432 figure, but has declined to do so.</w:t>
      </w:r>
      <w:r w:rsidR="001F5251">
        <w:rPr>
          <w:rFonts w:ascii="Times New Roman" w:hAnsi="Times New Roman"/>
        </w:rPr>
        <w:t xml:space="preserve">  Instead the various documents submitted in the context of the current appraisal,</w:t>
      </w:r>
      <w:r w:rsidR="00D133C8">
        <w:rPr>
          <w:rFonts w:ascii="Times New Roman" w:hAnsi="Times New Roman"/>
        </w:rPr>
        <w:t xml:space="preserve"> provide some general information about HRG coding but</w:t>
      </w:r>
      <w:r w:rsidR="000F3847">
        <w:rPr>
          <w:rFonts w:ascii="Times New Roman" w:hAnsi="Times New Roman"/>
        </w:rPr>
        <w:t xml:space="preserve"> provide no detail about the elements included in </w:t>
      </w:r>
      <w:r w:rsidR="00470347">
        <w:rPr>
          <w:rFonts w:ascii="Times New Roman" w:hAnsi="Times New Roman"/>
        </w:rPr>
        <w:t>the estimated costs figure submitted to NICE</w:t>
      </w:r>
      <w:r w:rsidR="00632941">
        <w:rPr>
          <w:rFonts w:ascii="Times New Roman" w:hAnsi="Times New Roman"/>
        </w:rPr>
        <w:t xml:space="preserve">.  </w:t>
      </w:r>
      <w:r w:rsidR="00CE1947">
        <w:rPr>
          <w:rFonts w:ascii="Times New Roman" w:hAnsi="Times New Roman"/>
        </w:rPr>
        <w:t xml:space="preserve">For the avoidance of doubt, the fact that </w:t>
      </w:r>
      <w:r w:rsidR="008918AF">
        <w:rPr>
          <w:rFonts w:ascii="Times New Roman" w:hAnsi="Times New Roman"/>
        </w:rPr>
        <w:t xml:space="preserve">the HRG codes determine the amount paid by NHS England for “patient spells” does not </w:t>
      </w:r>
      <w:r w:rsidR="008A06F5">
        <w:rPr>
          <w:rFonts w:ascii="Times New Roman" w:hAnsi="Times New Roman"/>
        </w:rPr>
        <w:t>determine the issue</w:t>
      </w:r>
      <w:r w:rsidR="006E2F69">
        <w:rPr>
          <w:rFonts w:ascii="Times New Roman" w:hAnsi="Times New Roman"/>
        </w:rPr>
        <w:t>,</w:t>
      </w:r>
      <w:r w:rsidR="008A06F5">
        <w:rPr>
          <w:rFonts w:ascii="Times New Roman" w:hAnsi="Times New Roman"/>
        </w:rPr>
        <w:t xml:space="preserve"> in circumstances where </w:t>
      </w:r>
      <w:r w:rsidR="00797BCD">
        <w:rPr>
          <w:rFonts w:ascii="Times New Roman" w:hAnsi="Times New Roman"/>
        </w:rPr>
        <w:t>an</w:t>
      </w:r>
      <w:r w:rsidR="008A06F5">
        <w:rPr>
          <w:rFonts w:ascii="Times New Roman" w:hAnsi="Times New Roman"/>
        </w:rPr>
        <w:t xml:space="preserve"> HRG code may be covering a different an</w:t>
      </w:r>
      <w:r w:rsidR="00E81E3D">
        <w:rPr>
          <w:rFonts w:ascii="Times New Roman" w:hAnsi="Times New Roman"/>
        </w:rPr>
        <w:t>d</w:t>
      </w:r>
      <w:r w:rsidR="008A06F5">
        <w:rPr>
          <w:rFonts w:ascii="Times New Roman" w:hAnsi="Times New Roman"/>
        </w:rPr>
        <w:t xml:space="preserve"> potentially broader range of </w:t>
      </w:r>
      <w:r w:rsidR="00E81E3D">
        <w:rPr>
          <w:rFonts w:ascii="Times New Roman" w:hAnsi="Times New Roman"/>
        </w:rPr>
        <w:t xml:space="preserve">costs than those required to be considered in the context of an appraisal by NICE </w:t>
      </w:r>
      <w:r w:rsidR="00B4501D">
        <w:rPr>
          <w:rFonts w:ascii="Times New Roman" w:hAnsi="Times New Roman"/>
        </w:rPr>
        <w:t xml:space="preserve">in accordance with the Manual. </w:t>
      </w:r>
    </w:p>
    <w:p w14:paraId="1C5E1607" w14:textId="3FF5A745" w:rsidR="00E4222F" w:rsidRPr="00A436B0" w:rsidRDefault="00A436B0" w:rsidP="00A436B0">
      <w:pPr>
        <w:tabs>
          <w:tab w:val="left" w:pos="6237"/>
        </w:tabs>
        <w:ind w:left="720"/>
        <w:jc w:val="both"/>
        <w:rPr>
          <w:rFonts w:ascii="Times New Roman" w:hAnsi="Times New Roman"/>
          <w:u w:val="single"/>
        </w:rPr>
      </w:pPr>
      <w:r w:rsidRPr="00A436B0">
        <w:rPr>
          <w:rFonts w:ascii="Times New Roman" w:hAnsi="Times New Roman"/>
          <w:u w:val="single"/>
        </w:rPr>
        <w:t xml:space="preserve">Late disclosure of </w:t>
      </w:r>
      <w:r w:rsidR="00E03B53">
        <w:rPr>
          <w:rFonts w:ascii="Times New Roman" w:hAnsi="Times New Roman"/>
          <w:u w:val="single"/>
        </w:rPr>
        <w:t xml:space="preserve">information regarding </w:t>
      </w:r>
      <w:r w:rsidRPr="00A436B0">
        <w:rPr>
          <w:rFonts w:ascii="Times New Roman" w:hAnsi="Times New Roman"/>
          <w:u w:val="single"/>
        </w:rPr>
        <w:t>NHS England</w:t>
      </w:r>
      <w:r w:rsidR="00E03B53">
        <w:rPr>
          <w:rFonts w:ascii="Times New Roman" w:hAnsi="Times New Roman"/>
          <w:u w:val="single"/>
        </w:rPr>
        <w:t>’s</w:t>
      </w:r>
      <w:r w:rsidRPr="00A436B0">
        <w:rPr>
          <w:rFonts w:ascii="Times New Roman" w:hAnsi="Times New Roman"/>
          <w:u w:val="single"/>
        </w:rPr>
        <w:t xml:space="preserve"> estimated costs</w:t>
      </w:r>
    </w:p>
    <w:p w14:paraId="028776A0" w14:textId="6B2A5CB0" w:rsidR="00A436B0" w:rsidRDefault="00A436B0" w:rsidP="00C178C1">
      <w:pPr>
        <w:ind w:left="720"/>
        <w:jc w:val="both"/>
        <w:rPr>
          <w:rFonts w:ascii="Times New Roman" w:hAnsi="Times New Roman"/>
        </w:rPr>
      </w:pPr>
      <w:r>
        <w:rPr>
          <w:rFonts w:ascii="Times New Roman" w:hAnsi="Times New Roman"/>
        </w:rPr>
        <w:t xml:space="preserve">The </w:t>
      </w:r>
      <w:r w:rsidR="00146B3B">
        <w:rPr>
          <w:rFonts w:ascii="Times New Roman" w:hAnsi="Times New Roman"/>
        </w:rPr>
        <w:t xml:space="preserve">estimation of infusion costs </w:t>
      </w:r>
      <w:r w:rsidR="00FB3266">
        <w:rPr>
          <w:rFonts w:ascii="Times New Roman" w:hAnsi="Times New Roman"/>
        </w:rPr>
        <w:t>has, from the Draft Guidance in October 2024</w:t>
      </w:r>
      <w:r w:rsidR="00FA4135">
        <w:rPr>
          <w:rFonts w:ascii="Times New Roman" w:hAnsi="Times New Roman"/>
        </w:rPr>
        <w:t>,</w:t>
      </w:r>
      <w:r w:rsidR="00FB3266">
        <w:rPr>
          <w:rFonts w:ascii="Times New Roman" w:hAnsi="Times New Roman"/>
        </w:rPr>
        <w:t xml:space="preserve"> been a </w:t>
      </w:r>
      <w:r w:rsidR="00FA4135">
        <w:rPr>
          <w:rFonts w:ascii="Times New Roman" w:hAnsi="Times New Roman"/>
        </w:rPr>
        <w:t>challenging and controversial issue in this appraisal and an area where Lilly has repeatedly sought clarification from NICE and NHS England regarding the pr</w:t>
      </w:r>
      <w:r w:rsidR="00E03B53">
        <w:rPr>
          <w:rFonts w:ascii="Times New Roman" w:hAnsi="Times New Roman"/>
        </w:rPr>
        <w:t>o</w:t>
      </w:r>
      <w:r w:rsidR="00FA4135">
        <w:rPr>
          <w:rFonts w:ascii="Times New Roman" w:hAnsi="Times New Roman"/>
        </w:rPr>
        <w:t>posals by other stakeholders.</w:t>
      </w:r>
    </w:p>
    <w:p w14:paraId="7DF1CF46" w14:textId="5D9AC096" w:rsidR="002264FF" w:rsidRDefault="002264FF" w:rsidP="00C178C1">
      <w:pPr>
        <w:ind w:left="720"/>
        <w:jc w:val="both"/>
        <w:rPr>
          <w:rFonts w:ascii="Times New Roman" w:hAnsi="Times New Roman"/>
        </w:rPr>
      </w:pPr>
      <w:r>
        <w:rPr>
          <w:rFonts w:ascii="Times New Roman" w:hAnsi="Times New Roman"/>
        </w:rPr>
        <w:t xml:space="preserve">In these circumstances </w:t>
      </w:r>
      <w:r w:rsidR="009C008B">
        <w:rPr>
          <w:rFonts w:ascii="Times New Roman" w:hAnsi="Times New Roman"/>
        </w:rPr>
        <w:t xml:space="preserve">we were </w:t>
      </w:r>
      <w:r w:rsidR="002B54F6">
        <w:rPr>
          <w:rFonts w:ascii="Times New Roman" w:hAnsi="Times New Roman"/>
        </w:rPr>
        <w:t xml:space="preserve">concerned that new information regarding NHS England’s estimated costs was disclosed to </w:t>
      </w:r>
      <w:r w:rsidR="009C008B">
        <w:rPr>
          <w:rFonts w:ascii="Times New Roman" w:hAnsi="Times New Roman"/>
        </w:rPr>
        <w:t>us only 4 working days before</w:t>
      </w:r>
      <w:r w:rsidR="00497278">
        <w:rPr>
          <w:rFonts w:ascii="Times New Roman" w:hAnsi="Times New Roman"/>
        </w:rPr>
        <w:t xml:space="preserve"> ACM3,</w:t>
      </w:r>
      <w:r w:rsidR="006B439F">
        <w:rPr>
          <w:rFonts w:ascii="Times New Roman" w:hAnsi="Times New Roman"/>
        </w:rPr>
        <w:t xml:space="preserve"> with no adequate time for review and no opportunity to comment. </w:t>
      </w:r>
      <w:r w:rsidR="009C008B">
        <w:rPr>
          <w:rFonts w:ascii="Times New Roman" w:hAnsi="Times New Roman"/>
        </w:rPr>
        <w:t xml:space="preserve"> </w:t>
      </w:r>
      <w:r w:rsidR="00AD0C28">
        <w:rPr>
          <w:rFonts w:ascii="Times New Roman" w:hAnsi="Times New Roman"/>
        </w:rPr>
        <w:t xml:space="preserve">It is unclear </w:t>
      </w:r>
      <w:r w:rsidR="004E2A4E">
        <w:rPr>
          <w:rFonts w:ascii="Times New Roman" w:hAnsi="Times New Roman"/>
        </w:rPr>
        <w:t>why this new information was not provided by NHS England at a substantially earlier date in the appraisal process when there would have been appropriate opportunity for review and consideration.  NHS England is supposedly subject to the same timelines as other stakeholders in this appraisal and should therefore have submitted the new information, at the latest, during the period of consultation on the second Draft Guidance</w:t>
      </w:r>
      <w:r w:rsidR="00841C20">
        <w:rPr>
          <w:rFonts w:ascii="Times New Roman" w:hAnsi="Times New Roman"/>
        </w:rPr>
        <w:t xml:space="preserve"> and prior to the committee papers first being circulated</w:t>
      </w:r>
      <w:r w:rsidR="004E2A4E">
        <w:rPr>
          <w:rFonts w:ascii="Times New Roman" w:hAnsi="Times New Roman"/>
        </w:rPr>
        <w:t xml:space="preserve">.  No explanation for the delay has been provided.  Furthermore, it is unclear </w:t>
      </w:r>
      <w:r w:rsidR="00AD0C28">
        <w:rPr>
          <w:rFonts w:ascii="Times New Roman" w:hAnsi="Times New Roman"/>
        </w:rPr>
        <w:t>when the new information was submitt</w:t>
      </w:r>
      <w:r w:rsidR="00650084">
        <w:rPr>
          <w:rFonts w:ascii="Times New Roman" w:hAnsi="Times New Roman"/>
        </w:rPr>
        <w:t>ed to NICE</w:t>
      </w:r>
      <w:r w:rsidR="006E7965">
        <w:rPr>
          <w:rFonts w:ascii="Times New Roman" w:hAnsi="Times New Roman"/>
        </w:rPr>
        <w:t xml:space="preserve"> by NHS England</w:t>
      </w:r>
      <w:r w:rsidR="00497278">
        <w:rPr>
          <w:rFonts w:ascii="Times New Roman" w:hAnsi="Times New Roman"/>
        </w:rPr>
        <w:t>,</w:t>
      </w:r>
      <w:r w:rsidR="0074140A">
        <w:rPr>
          <w:rFonts w:ascii="Times New Roman" w:hAnsi="Times New Roman"/>
        </w:rPr>
        <w:t xml:space="preserve"> and when it was disclosed to other stakeholders</w:t>
      </w:r>
      <w:r w:rsidR="004E2A4E">
        <w:rPr>
          <w:rFonts w:ascii="Times New Roman" w:hAnsi="Times New Roman"/>
        </w:rPr>
        <w:t>.</w:t>
      </w:r>
      <w:r w:rsidR="00C9037D">
        <w:rPr>
          <w:rFonts w:ascii="Times New Roman" w:hAnsi="Times New Roman"/>
        </w:rPr>
        <w:t xml:space="preserve"> </w:t>
      </w:r>
      <w:r w:rsidR="00497278">
        <w:rPr>
          <w:rFonts w:ascii="Times New Roman" w:hAnsi="Times New Roman"/>
        </w:rPr>
        <w:t xml:space="preserve">NICE </w:t>
      </w:r>
      <w:r w:rsidR="004E2A4E">
        <w:rPr>
          <w:rFonts w:ascii="Times New Roman" w:hAnsi="Times New Roman"/>
        </w:rPr>
        <w:t xml:space="preserve">correctly </w:t>
      </w:r>
      <w:r w:rsidR="00497278">
        <w:rPr>
          <w:rFonts w:ascii="Times New Roman" w:hAnsi="Times New Roman"/>
        </w:rPr>
        <w:t xml:space="preserve">considered that fairness required that it was provided to Lilly in advance of ACM3.  </w:t>
      </w:r>
      <w:r w:rsidR="004E2A4E">
        <w:rPr>
          <w:rFonts w:ascii="Times New Roman" w:hAnsi="Times New Roman"/>
        </w:rPr>
        <w:t>However</w:t>
      </w:r>
      <w:r w:rsidR="0074140A">
        <w:rPr>
          <w:rFonts w:ascii="Times New Roman" w:hAnsi="Times New Roman"/>
        </w:rPr>
        <w:t>, such</w:t>
      </w:r>
      <w:r w:rsidR="005907BD">
        <w:rPr>
          <w:rFonts w:ascii="Times New Roman" w:hAnsi="Times New Roman"/>
        </w:rPr>
        <w:t xml:space="preserve"> </w:t>
      </w:r>
      <w:r w:rsidR="00174F35">
        <w:rPr>
          <w:rFonts w:ascii="Times New Roman" w:hAnsi="Times New Roman"/>
        </w:rPr>
        <w:t xml:space="preserve">late </w:t>
      </w:r>
      <w:r w:rsidR="005907BD">
        <w:rPr>
          <w:rFonts w:ascii="Times New Roman" w:hAnsi="Times New Roman"/>
        </w:rPr>
        <w:t>disclosure of information</w:t>
      </w:r>
      <w:r w:rsidR="009A748F">
        <w:rPr>
          <w:rFonts w:ascii="Times New Roman" w:hAnsi="Times New Roman"/>
        </w:rPr>
        <w:t xml:space="preserve">, with no opportunity for </w:t>
      </w:r>
      <w:r w:rsidR="00174F35">
        <w:rPr>
          <w:rFonts w:ascii="Times New Roman" w:hAnsi="Times New Roman"/>
        </w:rPr>
        <w:t xml:space="preserve">consideration and response </w:t>
      </w:r>
      <w:r w:rsidR="0074140A">
        <w:rPr>
          <w:rFonts w:ascii="Times New Roman" w:hAnsi="Times New Roman"/>
        </w:rPr>
        <w:t xml:space="preserve">by Lilly in advance of ACM3 </w:t>
      </w:r>
      <w:r w:rsidR="004E2A4E">
        <w:rPr>
          <w:rFonts w:ascii="Times New Roman" w:hAnsi="Times New Roman"/>
        </w:rPr>
        <w:t xml:space="preserve">does not meet the necessary </w:t>
      </w:r>
      <w:r w:rsidR="00B07370">
        <w:rPr>
          <w:rFonts w:ascii="Times New Roman" w:hAnsi="Times New Roman"/>
        </w:rPr>
        <w:t>standards of procedural fairness.</w:t>
      </w:r>
    </w:p>
    <w:p w14:paraId="437C466D" w14:textId="14DB26D7" w:rsidR="00E127F1" w:rsidRPr="00E127F1" w:rsidRDefault="00174F35" w:rsidP="00C178C1">
      <w:pPr>
        <w:ind w:left="720"/>
        <w:jc w:val="both"/>
        <w:rPr>
          <w:rFonts w:ascii="Times New Roman" w:hAnsi="Times New Roman"/>
          <w:u w:val="single"/>
        </w:rPr>
      </w:pPr>
      <w:r w:rsidRPr="00E127F1">
        <w:rPr>
          <w:rFonts w:ascii="Times New Roman" w:hAnsi="Times New Roman"/>
          <w:u w:val="single"/>
        </w:rPr>
        <w:t xml:space="preserve">NICE’s obligation to </w:t>
      </w:r>
      <w:r w:rsidR="00E127F1" w:rsidRPr="00E127F1">
        <w:rPr>
          <w:rFonts w:ascii="Times New Roman" w:hAnsi="Times New Roman"/>
          <w:u w:val="single"/>
        </w:rPr>
        <w:t xml:space="preserve">provide </w:t>
      </w:r>
      <w:r w:rsidR="00BE4939" w:rsidRPr="00E127F1">
        <w:rPr>
          <w:rFonts w:ascii="Times New Roman" w:hAnsi="Times New Roman"/>
          <w:u w:val="single"/>
        </w:rPr>
        <w:t>transparency</w:t>
      </w:r>
    </w:p>
    <w:p w14:paraId="095B5D4A" w14:textId="0F0428E9" w:rsidR="00E43688" w:rsidRPr="00E43688" w:rsidRDefault="00E127F1" w:rsidP="00E43688">
      <w:pPr>
        <w:ind w:left="720"/>
        <w:jc w:val="both"/>
        <w:rPr>
          <w:rFonts w:ascii="Times New Roman" w:hAnsi="Times New Roman"/>
        </w:rPr>
      </w:pPr>
      <w:r>
        <w:rPr>
          <w:rFonts w:ascii="Times New Roman" w:hAnsi="Times New Roman"/>
        </w:rPr>
        <w:t xml:space="preserve">While the </w:t>
      </w:r>
      <w:r w:rsidR="00D16EB1">
        <w:rPr>
          <w:rFonts w:ascii="Times New Roman" w:hAnsi="Times New Roman"/>
        </w:rPr>
        <w:t xml:space="preserve">estimated infusion costs relied upon by the Committee </w:t>
      </w:r>
      <w:r w:rsidR="0002069F">
        <w:rPr>
          <w:rFonts w:ascii="Times New Roman" w:hAnsi="Times New Roman"/>
        </w:rPr>
        <w:t xml:space="preserve">at paragraph 3.20 of the FDG </w:t>
      </w:r>
      <w:r w:rsidR="007E4064">
        <w:rPr>
          <w:rFonts w:ascii="Times New Roman" w:hAnsi="Times New Roman"/>
        </w:rPr>
        <w:t xml:space="preserve">were provided by NHS England, it is NICE that has the obligation to ensure that </w:t>
      </w:r>
      <w:r w:rsidR="00DB074A">
        <w:rPr>
          <w:rFonts w:ascii="Times New Roman" w:hAnsi="Times New Roman"/>
        </w:rPr>
        <w:t xml:space="preserve">its guidance is transparent.  This obligation is a high one.  </w:t>
      </w:r>
      <w:r w:rsidR="00A81057">
        <w:rPr>
          <w:rFonts w:ascii="Times New Roman" w:hAnsi="Times New Roman"/>
        </w:rPr>
        <w:t>As confirmed by the Court of Appeal in</w:t>
      </w:r>
      <w:r w:rsidR="00A81057" w:rsidRPr="00A81057">
        <w:rPr>
          <w:rFonts w:ascii="Times New Roman" w:hAnsi="Times New Roman"/>
          <w:u w:val="single"/>
        </w:rPr>
        <w:t xml:space="preserve"> </w:t>
      </w:r>
      <w:r w:rsidR="00E43688" w:rsidRPr="00E43688">
        <w:rPr>
          <w:rFonts w:ascii="Times New Roman" w:hAnsi="Times New Roman"/>
          <w:u w:val="single"/>
        </w:rPr>
        <w:t>R (on the application of Eisai Ltd) v National Institute for Health &amp; Clinical Excellence (NICE) &amp; (1) Shire Pharmaceuticals Ltd (2) Association of the British Pharmaceutical Industry (Interveners)</w:t>
      </w:r>
      <w:r w:rsidR="00E43688">
        <w:rPr>
          <w:rFonts w:ascii="Times New Roman" w:hAnsi="Times New Roman"/>
        </w:rPr>
        <w:t xml:space="preserve"> </w:t>
      </w:r>
      <w:r w:rsidR="00E43688" w:rsidRPr="00E43688">
        <w:rPr>
          <w:rFonts w:ascii="Times New Roman" w:hAnsi="Times New Roman"/>
        </w:rPr>
        <w:t xml:space="preserve">[2008] EWCA </w:t>
      </w:r>
      <w:proofErr w:type="spellStart"/>
      <w:r w:rsidR="00E43688" w:rsidRPr="00E43688">
        <w:rPr>
          <w:rFonts w:ascii="Times New Roman" w:hAnsi="Times New Roman"/>
        </w:rPr>
        <w:t>Civ</w:t>
      </w:r>
      <w:proofErr w:type="spellEnd"/>
      <w:r w:rsidR="00E43688" w:rsidRPr="00E43688">
        <w:rPr>
          <w:rFonts w:ascii="Times New Roman" w:hAnsi="Times New Roman"/>
        </w:rPr>
        <w:t xml:space="preserve"> 438</w:t>
      </w:r>
      <w:r w:rsidR="00A81057">
        <w:rPr>
          <w:rFonts w:ascii="Times New Roman" w:hAnsi="Times New Roman"/>
        </w:rPr>
        <w:t>, NICE</w:t>
      </w:r>
      <w:r w:rsidR="002A46C8">
        <w:rPr>
          <w:rFonts w:ascii="Times New Roman" w:hAnsi="Times New Roman"/>
        </w:rPr>
        <w:t xml:space="preserve">’s procedures </w:t>
      </w:r>
      <w:r w:rsidR="00D95C73">
        <w:rPr>
          <w:rFonts w:ascii="Times New Roman" w:hAnsi="Times New Roman"/>
        </w:rPr>
        <w:t xml:space="preserve">require disclosure </w:t>
      </w:r>
      <w:r w:rsidR="00736D3B">
        <w:rPr>
          <w:rFonts w:ascii="Times New Roman" w:hAnsi="Times New Roman"/>
        </w:rPr>
        <w:t xml:space="preserve">to consultees </w:t>
      </w:r>
      <w:r w:rsidR="00D95C73">
        <w:rPr>
          <w:rFonts w:ascii="Times New Roman" w:hAnsi="Times New Roman"/>
        </w:rPr>
        <w:t xml:space="preserve">of key evidence relied upon for the purposes of </w:t>
      </w:r>
      <w:r w:rsidR="00736D3B">
        <w:rPr>
          <w:rFonts w:ascii="Times New Roman" w:hAnsi="Times New Roman"/>
        </w:rPr>
        <w:t xml:space="preserve">its </w:t>
      </w:r>
      <w:r w:rsidR="00D95C73">
        <w:rPr>
          <w:rFonts w:ascii="Times New Roman" w:hAnsi="Times New Roman"/>
        </w:rPr>
        <w:t xml:space="preserve">decision making </w:t>
      </w:r>
      <w:r w:rsidR="005D6DD7">
        <w:rPr>
          <w:rFonts w:ascii="Times New Roman" w:hAnsi="Times New Roman"/>
        </w:rPr>
        <w:t xml:space="preserve">(in that case, an executable version of the economic model|) </w:t>
      </w:r>
      <w:r w:rsidR="00736D3B">
        <w:rPr>
          <w:rFonts w:ascii="Times New Roman" w:hAnsi="Times New Roman"/>
        </w:rPr>
        <w:t xml:space="preserve">so that this can be tested to confirm reliability.  </w:t>
      </w:r>
      <w:r w:rsidR="005D6DD7">
        <w:rPr>
          <w:rFonts w:ascii="Times New Roman" w:hAnsi="Times New Roman"/>
        </w:rPr>
        <w:t>The position with respect to infusion costs in this appraisal is comparable</w:t>
      </w:r>
      <w:r w:rsidR="006A0DCF">
        <w:rPr>
          <w:rFonts w:ascii="Times New Roman" w:hAnsi="Times New Roman"/>
        </w:rPr>
        <w:t>.  NHS England has not claimed confidential</w:t>
      </w:r>
      <w:r w:rsidR="005A238C">
        <w:rPr>
          <w:rFonts w:ascii="Times New Roman" w:hAnsi="Times New Roman"/>
        </w:rPr>
        <w:t>ity over its estimated infusion costs but</w:t>
      </w:r>
      <w:r w:rsidR="0025628E">
        <w:rPr>
          <w:rFonts w:ascii="Times New Roman" w:hAnsi="Times New Roman"/>
        </w:rPr>
        <w:t>,</w:t>
      </w:r>
      <w:r w:rsidR="005A238C">
        <w:rPr>
          <w:rFonts w:ascii="Times New Roman" w:hAnsi="Times New Roman"/>
        </w:rPr>
        <w:t xml:space="preserve"> were it to do so, NICE would be required to consider whether particular arrangements can be put in place </w:t>
      </w:r>
      <w:r w:rsidR="0025628E">
        <w:rPr>
          <w:rFonts w:ascii="Times New Roman" w:hAnsi="Times New Roman"/>
        </w:rPr>
        <w:t xml:space="preserve">to permit disclosure to be provided. </w:t>
      </w:r>
      <w:r w:rsidR="00483C43">
        <w:rPr>
          <w:rFonts w:ascii="Times New Roman" w:hAnsi="Times New Roman"/>
        </w:rPr>
        <w:t xml:space="preserve">There is however no indication that it has done so here, other than a simple request for a cost breakdown in the Draft Guidance, quoted above (which request was disregarded by NHS England). </w:t>
      </w:r>
      <w:r w:rsidR="006A0DCF">
        <w:rPr>
          <w:rFonts w:ascii="Times New Roman" w:hAnsi="Times New Roman"/>
        </w:rPr>
        <w:t xml:space="preserve"> </w:t>
      </w:r>
    </w:p>
    <w:p w14:paraId="03EC1052" w14:textId="77777777" w:rsidR="001052BC" w:rsidRPr="00874CDE" w:rsidRDefault="001052BC" w:rsidP="00C178C1">
      <w:pPr>
        <w:ind w:left="720"/>
        <w:jc w:val="both"/>
        <w:rPr>
          <w:rFonts w:ascii="Times New Roman" w:hAnsi="Times New Roman"/>
          <w:u w:val="single"/>
        </w:rPr>
      </w:pPr>
      <w:r w:rsidRPr="00874CDE">
        <w:rPr>
          <w:rFonts w:ascii="Times New Roman" w:hAnsi="Times New Roman"/>
          <w:u w:val="single"/>
        </w:rPr>
        <w:t>Summary</w:t>
      </w:r>
    </w:p>
    <w:p w14:paraId="408DEC5F" w14:textId="77777777" w:rsidR="000B7CE2" w:rsidRDefault="00206BB4" w:rsidP="00C178C1">
      <w:pPr>
        <w:ind w:left="720"/>
        <w:jc w:val="both"/>
        <w:rPr>
          <w:rFonts w:ascii="Times New Roman" w:hAnsi="Times New Roman"/>
        </w:rPr>
      </w:pPr>
      <w:r>
        <w:rPr>
          <w:rFonts w:ascii="Times New Roman" w:hAnsi="Times New Roman"/>
        </w:rPr>
        <w:t>In the</w:t>
      </w:r>
      <w:r w:rsidR="001052BC">
        <w:rPr>
          <w:rFonts w:ascii="Times New Roman" w:hAnsi="Times New Roman"/>
        </w:rPr>
        <w:t xml:space="preserve"> above</w:t>
      </w:r>
      <w:r>
        <w:rPr>
          <w:rFonts w:ascii="Times New Roman" w:hAnsi="Times New Roman"/>
        </w:rPr>
        <w:t xml:space="preserve"> circumstances, we respectfully suggest that</w:t>
      </w:r>
      <w:r w:rsidR="00C66F6E">
        <w:rPr>
          <w:rFonts w:ascii="Times New Roman" w:hAnsi="Times New Roman"/>
        </w:rPr>
        <w:t>,</w:t>
      </w:r>
      <w:r>
        <w:rPr>
          <w:rFonts w:ascii="Times New Roman" w:hAnsi="Times New Roman"/>
        </w:rPr>
        <w:t xml:space="preserve"> </w:t>
      </w:r>
      <w:r w:rsidR="001052BC">
        <w:rPr>
          <w:rFonts w:ascii="Times New Roman" w:hAnsi="Times New Roman"/>
        </w:rPr>
        <w:t xml:space="preserve">in view of the </w:t>
      </w:r>
      <w:r w:rsidR="00C51814">
        <w:rPr>
          <w:rFonts w:ascii="Times New Roman" w:hAnsi="Times New Roman"/>
        </w:rPr>
        <w:t xml:space="preserve">significance of infusion costs to this appraisal, NICE should have permitted consultation on the new information </w:t>
      </w:r>
      <w:r w:rsidR="00EC3D4C">
        <w:rPr>
          <w:rFonts w:ascii="Times New Roman" w:hAnsi="Times New Roman"/>
        </w:rPr>
        <w:t xml:space="preserve">from </w:t>
      </w:r>
      <w:r w:rsidR="000D3CAD">
        <w:rPr>
          <w:rFonts w:ascii="Times New Roman" w:hAnsi="Times New Roman"/>
        </w:rPr>
        <w:t xml:space="preserve">NHS England </w:t>
      </w:r>
      <w:r w:rsidR="00EC3D4C">
        <w:rPr>
          <w:rFonts w:ascii="Times New Roman" w:hAnsi="Times New Roman"/>
        </w:rPr>
        <w:t xml:space="preserve">provided </w:t>
      </w:r>
      <w:r w:rsidR="000D3CAD">
        <w:rPr>
          <w:rFonts w:ascii="Times New Roman" w:hAnsi="Times New Roman"/>
        </w:rPr>
        <w:t>on 8 May</w:t>
      </w:r>
      <w:r w:rsidR="00EC3D4C">
        <w:rPr>
          <w:rFonts w:ascii="Times New Roman" w:hAnsi="Times New Roman"/>
        </w:rPr>
        <w:t xml:space="preserve">, after ACM3 so that this could be taken into account by the Committee before preparation of the FDG. </w:t>
      </w:r>
    </w:p>
    <w:p w14:paraId="0C908793" w14:textId="39DA678A" w:rsidR="00E43688" w:rsidRDefault="000B7CE2" w:rsidP="00C178C1">
      <w:pPr>
        <w:ind w:left="720"/>
        <w:jc w:val="both"/>
        <w:rPr>
          <w:rFonts w:ascii="Times New Roman" w:hAnsi="Times New Roman"/>
        </w:rPr>
      </w:pPr>
      <w:r>
        <w:rPr>
          <w:rFonts w:ascii="Times New Roman" w:hAnsi="Times New Roman"/>
        </w:rPr>
        <w:t>Further</w:t>
      </w:r>
      <w:r w:rsidR="00430FAC">
        <w:rPr>
          <w:rFonts w:ascii="Times New Roman" w:hAnsi="Times New Roman"/>
        </w:rPr>
        <w:t xml:space="preserve">, in view of the fact that, despite the additional information provided by NHS England, </w:t>
      </w:r>
      <w:r w:rsidR="00511EA9">
        <w:rPr>
          <w:rFonts w:ascii="Times New Roman" w:hAnsi="Times New Roman"/>
        </w:rPr>
        <w:t xml:space="preserve">the estimated infusion costs are still substantially lacking in </w:t>
      </w:r>
      <w:r w:rsidR="00B46A16">
        <w:rPr>
          <w:rFonts w:ascii="Times New Roman" w:hAnsi="Times New Roman"/>
        </w:rPr>
        <w:t>transparency, NICE should explain the efforts it has made to obtain a detailed breakdown of included costs from NHS England.</w:t>
      </w:r>
      <w:r w:rsidR="00EA5213">
        <w:rPr>
          <w:rFonts w:ascii="Times New Roman" w:hAnsi="Times New Roman"/>
        </w:rPr>
        <w:t xml:space="preserve"> </w:t>
      </w:r>
      <w:r w:rsidR="00B46A16">
        <w:rPr>
          <w:rFonts w:ascii="Times New Roman" w:hAnsi="Times New Roman"/>
        </w:rPr>
        <w:t xml:space="preserve"> </w:t>
      </w:r>
      <w:r w:rsidR="00EA5213">
        <w:rPr>
          <w:rFonts w:ascii="Times New Roman" w:hAnsi="Times New Roman"/>
        </w:rPr>
        <w:t>I</w:t>
      </w:r>
      <w:r w:rsidR="00206BB4">
        <w:rPr>
          <w:rFonts w:ascii="Times New Roman" w:hAnsi="Times New Roman"/>
        </w:rPr>
        <w:t xml:space="preserve">f NHS England refuses to provide </w:t>
      </w:r>
      <w:r w:rsidR="00EA5213">
        <w:rPr>
          <w:rFonts w:ascii="Times New Roman" w:hAnsi="Times New Roman"/>
        </w:rPr>
        <w:t xml:space="preserve">(a) </w:t>
      </w:r>
      <w:r w:rsidR="00206BB4">
        <w:rPr>
          <w:rFonts w:ascii="Times New Roman" w:hAnsi="Times New Roman"/>
        </w:rPr>
        <w:t xml:space="preserve">a breakdown of the costs included in the £432 figure it has </w:t>
      </w:r>
      <w:r w:rsidR="00C66F6E">
        <w:rPr>
          <w:rFonts w:ascii="Times New Roman" w:hAnsi="Times New Roman"/>
        </w:rPr>
        <w:t xml:space="preserve">proposed and </w:t>
      </w:r>
      <w:r w:rsidR="00EA5213">
        <w:rPr>
          <w:rFonts w:ascii="Times New Roman" w:hAnsi="Times New Roman"/>
        </w:rPr>
        <w:t xml:space="preserve">(b) </w:t>
      </w:r>
      <w:r w:rsidR="00C66F6E">
        <w:rPr>
          <w:rFonts w:ascii="Times New Roman" w:hAnsi="Times New Roman"/>
        </w:rPr>
        <w:t xml:space="preserve">an explanation of why </w:t>
      </w:r>
      <w:r w:rsidR="00EA5213">
        <w:rPr>
          <w:rFonts w:ascii="Times New Roman" w:hAnsi="Times New Roman"/>
        </w:rPr>
        <w:t xml:space="preserve">these costs are considered </w:t>
      </w:r>
      <w:r w:rsidR="00C66F6E">
        <w:rPr>
          <w:rFonts w:ascii="Times New Roman" w:hAnsi="Times New Roman"/>
        </w:rPr>
        <w:t>appropriate</w:t>
      </w:r>
      <w:r w:rsidR="00E72666">
        <w:rPr>
          <w:rFonts w:ascii="Times New Roman" w:hAnsi="Times New Roman"/>
        </w:rPr>
        <w:t xml:space="preserve"> for donanemab</w:t>
      </w:r>
      <w:r w:rsidR="00C66F6E">
        <w:rPr>
          <w:rFonts w:ascii="Times New Roman" w:hAnsi="Times New Roman"/>
        </w:rPr>
        <w:t xml:space="preserve">, so that </w:t>
      </w:r>
      <w:r w:rsidR="00EA5213">
        <w:rPr>
          <w:rFonts w:ascii="Times New Roman" w:hAnsi="Times New Roman"/>
        </w:rPr>
        <w:t xml:space="preserve">the </w:t>
      </w:r>
      <w:r w:rsidR="00C66F6E">
        <w:rPr>
          <w:rFonts w:ascii="Times New Roman" w:hAnsi="Times New Roman"/>
        </w:rPr>
        <w:t xml:space="preserve">reliability </w:t>
      </w:r>
      <w:r w:rsidR="00EA5213">
        <w:rPr>
          <w:rFonts w:ascii="Times New Roman" w:hAnsi="Times New Roman"/>
        </w:rPr>
        <w:t xml:space="preserve">of </w:t>
      </w:r>
      <w:r w:rsidR="00874CDE">
        <w:rPr>
          <w:rFonts w:ascii="Times New Roman" w:hAnsi="Times New Roman"/>
        </w:rPr>
        <w:t xml:space="preserve">their costs estimate </w:t>
      </w:r>
      <w:r w:rsidR="00C66F6E">
        <w:rPr>
          <w:rFonts w:ascii="Times New Roman" w:hAnsi="Times New Roman"/>
        </w:rPr>
        <w:t xml:space="preserve">can be </w:t>
      </w:r>
      <w:r w:rsidR="00874CDE">
        <w:rPr>
          <w:rFonts w:ascii="Times New Roman" w:hAnsi="Times New Roman"/>
        </w:rPr>
        <w:t>investigated</w:t>
      </w:r>
      <w:r w:rsidR="00BF7355">
        <w:rPr>
          <w:rFonts w:ascii="Times New Roman" w:hAnsi="Times New Roman"/>
        </w:rPr>
        <w:t xml:space="preserve">, </w:t>
      </w:r>
      <w:r w:rsidR="00124C66">
        <w:rPr>
          <w:rFonts w:ascii="Times New Roman" w:hAnsi="Times New Roman"/>
        </w:rPr>
        <w:t xml:space="preserve">fairness requires that </w:t>
      </w:r>
      <w:r w:rsidR="00BF7355">
        <w:rPr>
          <w:rFonts w:ascii="Times New Roman" w:hAnsi="Times New Roman"/>
        </w:rPr>
        <w:t xml:space="preserve">NICE should disregard NHS England’s estimated costs in favour of </w:t>
      </w:r>
      <w:r w:rsidR="00172A0E">
        <w:rPr>
          <w:rFonts w:ascii="Times New Roman" w:hAnsi="Times New Roman"/>
        </w:rPr>
        <w:t xml:space="preserve">a transparent </w:t>
      </w:r>
      <w:r w:rsidR="00BF7355">
        <w:rPr>
          <w:rFonts w:ascii="Times New Roman" w:hAnsi="Times New Roman"/>
        </w:rPr>
        <w:t xml:space="preserve">estimation that can be </w:t>
      </w:r>
      <w:r w:rsidR="00124C66">
        <w:rPr>
          <w:rFonts w:ascii="Times New Roman" w:hAnsi="Times New Roman"/>
        </w:rPr>
        <w:t xml:space="preserve">adequately considered and tested. </w:t>
      </w:r>
      <w:r w:rsidR="00C66F6E">
        <w:rPr>
          <w:rFonts w:ascii="Times New Roman" w:hAnsi="Times New Roman"/>
        </w:rPr>
        <w:t xml:space="preserve"> </w:t>
      </w:r>
    </w:p>
    <w:p w14:paraId="502069A2" w14:textId="508CC196" w:rsidR="00183CDC" w:rsidRPr="00F0180E" w:rsidRDefault="00183CDC" w:rsidP="00183CDC">
      <w:pPr>
        <w:pStyle w:val="ListParagraph"/>
        <w:numPr>
          <w:ilvl w:val="1"/>
          <w:numId w:val="1"/>
        </w:numPr>
        <w:jc w:val="both"/>
        <w:rPr>
          <w:rFonts w:ascii="Times New Roman" w:hAnsi="Times New Roman"/>
          <w:b/>
          <w:bCs/>
        </w:rPr>
      </w:pPr>
      <w:r w:rsidRPr="00F0180E">
        <w:rPr>
          <w:rFonts w:ascii="Times New Roman" w:hAnsi="Times New Roman"/>
          <w:b/>
          <w:bCs/>
        </w:rPr>
        <w:t xml:space="preserve">The </w:t>
      </w:r>
      <w:r w:rsidR="0084560D">
        <w:rPr>
          <w:rFonts w:ascii="Times New Roman" w:hAnsi="Times New Roman"/>
          <w:b/>
          <w:bCs/>
        </w:rPr>
        <w:t>Committee</w:t>
      </w:r>
      <w:r w:rsidR="00176249">
        <w:rPr>
          <w:rFonts w:ascii="Times New Roman" w:hAnsi="Times New Roman"/>
          <w:b/>
          <w:bCs/>
        </w:rPr>
        <w:t>’s reasons for rejecting the infusion costs estimated by Lilly are</w:t>
      </w:r>
      <w:r w:rsidR="001B502D">
        <w:rPr>
          <w:rFonts w:ascii="Times New Roman" w:hAnsi="Times New Roman"/>
          <w:b/>
          <w:bCs/>
        </w:rPr>
        <w:t xml:space="preserve"> inadequately explained </w:t>
      </w:r>
      <w:r w:rsidR="00425104">
        <w:rPr>
          <w:rFonts w:ascii="Times New Roman" w:hAnsi="Times New Roman"/>
          <w:b/>
          <w:bCs/>
        </w:rPr>
        <w:t xml:space="preserve">and </w:t>
      </w:r>
      <w:r w:rsidR="003B24E4">
        <w:rPr>
          <w:rFonts w:ascii="Times New Roman" w:hAnsi="Times New Roman"/>
          <w:b/>
          <w:bCs/>
        </w:rPr>
        <w:t xml:space="preserve">the Committee does not appear to have taken into account the </w:t>
      </w:r>
      <w:r w:rsidR="00425104">
        <w:rPr>
          <w:rFonts w:ascii="Times New Roman" w:hAnsi="Times New Roman"/>
          <w:b/>
          <w:bCs/>
        </w:rPr>
        <w:t>evidence</w:t>
      </w:r>
      <w:r w:rsidR="003B24E4">
        <w:rPr>
          <w:rFonts w:ascii="Times New Roman" w:hAnsi="Times New Roman"/>
          <w:b/>
          <w:bCs/>
        </w:rPr>
        <w:t xml:space="preserve"> submitted by Lilly in response to the second Draft Guidance</w:t>
      </w:r>
      <w:r w:rsidR="00EC2DC6">
        <w:rPr>
          <w:rFonts w:ascii="Times New Roman" w:hAnsi="Times New Roman"/>
          <w:b/>
          <w:bCs/>
        </w:rPr>
        <w:t>.</w:t>
      </w:r>
    </w:p>
    <w:p w14:paraId="269CC2F5" w14:textId="51B025CD" w:rsidR="00101B80" w:rsidRPr="00137343" w:rsidRDefault="004A7AE4" w:rsidP="00425104">
      <w:pPr>
        <w:ind w:left="720"/>
        <w:jc w:val="both"/>
        <w:rPr>
          <w:rFonts w:ascii="Times New Roman" w:hAnsi="Times New Roman"/>
        </w:rPr>
      </w:pPr>
      <w:r w:rsidRPr="00137343">
        <w:rPr>
          <w:rFonts w:ascii="Times New Roman" w:hAnsi="Times New Roman"/>
        </w:rPr>
        <w:t xml:space="preserve">As explained under </w:t>
      </w:r>
      <w:r w:rsidR="00447F04" w:rsidRPr="00137343">
        <w:rPr>
          <w:rFonts w:ascii="Times New Roman" w:hAnsi="Times New Roman"/>
        </w:rPr>
        <w:t xml:space="preserve">appeal point </w:t>
      </w:r>
      <w:r w:rsidR="003C5B60">
        <w:rPr>
          <w:rFonts w:ascii="Times New Roman" w:hAnsi="Times New Roman"/>
        </w:rPr>
        <w:t>1.</w:t>
      </w:r>
      <w:r w:rsidR="00E72666">
        <w:rPr>
          <w:rFonts w:ascii="Times New Roman" w:hAnsi="Times New Roman"/>
        </w:rPr>
        <w:t>2</w:t>
      </w:r>
      <w:r w:rsidR="003C5B60">
        <w:rPr>
          <w:rFonts w:ascii="Times New Roman" w:hAnsi="Times New Roman"/>
        </w:rPr>
        <w:t xml:space="preserve"> </w:t>
      </w:r>
      <w:r w:rsidR="00447F04" w:rsidRPr="00137343">
        <w:rPr>
          <w:rFonts w:ascii="Times New Roman" w:hAnsi="Times New Roman"/>
        </w:rPr>
        <w:t xml:space="preserve">above, the infusion costs </w:t>
      </w:r>
      <w:r w:rsidR="00B42BB2" w:rsidRPr="00137343">
        <w:rPr>
          <w:rFonts w:ascii="Times New Roman" w:hAnsi="Times New Roman"/>
        </w:rPr>
        <w:t xml:space="preserve">relied upon for the purposes of </w:t>
      </w:r>
      <w:r w:rsidR="000419A3" w:rsidRPr="00137343">
        <w:rPr>
          <w:rFonts w:ascii="Times New Roman" w:hAnsi="Times New Roman"/>
        </w:rPr>
        <w:t xml:space="preserve">this appraisal </w:t>
      </w:r>
      <w:r w:rsidR="00B42BB2" w:rsidRPr="00137343">
        <w:rPr>
          <w:rFonts w:ascii="Times New Roman" w:hAnsi="Times New Roman"/>
        </w:rPr>
        <w:t xml:space="preserve">exert a </w:t>
      </w:r>
      <w:r w:rsidR="00A6042C" w:rsidRPr="00137343">
        <w:rPr>
          <w:rFonts w:ascii="Times New Roman" w:hAnsi="Times New Roman"/>
        </w:rPr>
        <w:t>substantial influence on the ICER.</w:t>
      </w:r>
      <w:r w:rsidR="001515A1" w:rsidRPr="00137343">
        <w:rPr>
          <w:rFonts w:ascii="Times New Roman" w:hAnsi="Times New Roman"/>
        </w:rPr>
        <w:t xml:space="preserve">  The background information </w:t>
      </w:r>
      <w:r w:rsidR="00380100" w:rsidRPr="00137343">
        <w:rPr>
          <w:rFonts w:ascii="Times New Roman" w:hAnsi="Times New Roman"/>
        </w:rPr>
        <w:t>set out under that appeal point is repeated here.</w:t>
      </w:r>
    </w:p>
    <w:p w14:paraId="703B46F0" w14:textId="7C556335" w:rsidR="00527C66" w:rsidRDefault="00044C06" w:rsidP="00044C06">
      <w:pPr>
        <w:spacing w:after="0" w:line="259" w:lineRule="auto"/>
        <w:ind w:left="720"/>
        <w:jc w:val="both"/>
        <w:rPr>
          <w:rFonts w:ascii="Times New Roman" w:hAnsi="Times New Roman"/>
        </w:rPr>
      </w:pPr>
      <w:r>
        <w:rPr>
          <w:rFonts w:ascii="Times New Roman" w:hAnsi="Times New Roman"/>
        </w:rPr>
        <w:t xml:space="preserve">The </w:t>
      </w:r>
      <w:r w:rsidR="00E65715">
        <w:rPr>
          <w:rFonts w:ascii="Times New Roman" w:hAnsi="Times New Roman"/>
        </w:rPr>
        <w:t xml:space="preserve">estimated infusion cost proposed by Lilly </w:t>
      </w:r>
      <w:r w:rsidR="009E0190">
        <w:rPr>
          <w:rFonts w:ascii="Times New Roman" w:hAnsi="Times New Roman"/>
        </w:rPr>
        <w:t>was £20</w:t>
      </w:r>
      <w:r w:rsidR="00875686">
        <w:rPr>
          <w:rFonts w:ascii="Times New Roman" w:hAnsi="Times New Roman"/>
        </w:rPr>
        <w:t>7.59</w:t>
      </w:r>
      <w:r w:rsidR="009E0190">
        <w:rPr>
          <w:rFonts w:ascii="Times New Roman" w:hAnsi="Times New Roman"/>
        </w:rPr>
        <w:t xml:space="preserve">, being the figure </w:t>
      </w:r>
      <w:r w:rsidR="00A074A3">
        <w:rPr>
          <w:rFonts w:ascii="Times New Roman" w:hAnsi="Times New Roman"/>
        </w:rPr>
        <w:t xml:space="preserve">calculated by NHS England relating to simple parenteral chemotherapy </w:t>
      </w:r>
      <w:r w:rsidR="00621AAA">
        <w:rPr>
          <w:rFonts w:ascii="Times New Roman" w:hAnsi="Times New Roman"/>
        </w:rPr>
        <w:t>infusion costs</w:t>
      </w:r>
      <w:r w:rsidR="00AC70AD">
        <w:rPr>
          <w:rFonts w:ascii="Times New Roman" w:hAnsi="Times New Roman"/>
        </w:rPr>
        <w:t xml:space="preserve">.  (In circumstances where it is uncertain whether additional costs, </w:t>
      </w:r>
      <w:r w:rsidR="00687183">
        <w:rPr>
          <w:rFonts w:ascii="Times New Roman" w:hAnsi="Times New Roman"/>
        </w:rPr>
        <w:t>beyond those specifically related to infusion of medicinal product,</w:t>
      </w:r>
      <w:r w:rsidR="00AC70AD">
        <w:rPr>
          <w:rFonts w:ascii="Times New Roman" w:hAnsi="Times New Roman"/>
        </w:rPr>
        <w:t xml:space="preserve"> may have been included in this figure</w:t>
      </w:r>
      <w:r w:rsidR="00687183">
        <w:rPr>
          <w:rFonts w:ascii="Times New Roman" w:hAnsi="Times New Roman"/>
        </w:rPr>
        <w:t xml:space="preserve">, it is possible that the </w:t>
      </w:r>
      <w:r w:rsidR="002C1CB5">
        <w:rPr>
          <w:rFonts w:ascii="Times New Roman" w:hAnsi="Times New Roman"/>
        </w:rPr>
        <w:t>use of these costs may have been an over-estimate.)</w:t>
      </w:r>
      <w:r w:rsidR="00621AAA">
        <w:rPr>
          <w:rFonts w:ascii="Times New Roman" w:hAnsi="Times New Roman"/>
        </w:rPr>
        <w:t>.</w:t>
      </w:r>
      <w:r w:rsidR="009E0190">
        <w:rPr>
          <w:rFonts w:ascii="Times New Roman" w:hAnsi="Times New Roman"/>
        </w:rPr>
        <w:t xml:space="preserve">  Lilly’s figure was however rejected by the Committee</w:t>
      </w:r>
      <w:r w:rsidR="00527C66">
        <w:rPr>
          <w:rFonts w:ascii="Times New Roman" w:hAnsi="Times New Roman"/>
        </w:rPr>
        <w:t>, seemingly on advice from NHS England.  The FDG states at paragraph 3.20:</w:t>
      </w:r>
    </w:p>
    <w:p w14:paraId="0DFB039A" w14:textId="4529094B" w:rsidR="00956294" w:rsidRDefault="00527C66" w:rsidP="00A84F17">
      <w:pPr>
        <w:spacing w:before="240" w:after="0" w:line="259" w:lineRule="auto"/>
        <w:ind w:left="1080"/>
        <w:jc w:val="both"/>
        <w:rPr>
          <w:rFonts w:ascii="Times New Roman" w:hAnsi="Times New Roman"/>
        </w:rPr>
      </w:pPr>
      <w:r>
        <w:rPr>
          <w:rFonts w:ascii="Times New Roman" w:hAnsi="Times New Roman"/>
        </w:rPr>
        <w:t>“</w:t>
      </w:r>
      <w:r w:rsidR="00735FC6" w:rsidRPr="00A84F17">
        <w:rPr>
          <w:rFonts w:ascii="Times New Roman" w:hAnsi="Times New Roman"/>
          <w:i/>
          <w:iCs/>
        </w:rPr>
        <w:t xml:space="preserve">[NHS England] advised against using </w:t>
      </w:r>
      <w:r w:rsidR="00472120" w:rsidRPr="00A84F17">
        <w:rPr>
          <w:rFonts w:ascii="Times New Roman" w:hAnsi="Times New Roman"/>
          <w:i/>
          <w:iCs/>
        </w:rPr>
        <w:t xml:space="preserve">the simple parenteral chemotherapy infusion cost because donanemab is </w:t>
      </w:r>
      <w:r w:rsidR="00A84F17" w:rsidRPr="00A84F17">
        <w:rPr>
          <w:rFonts w:ascii="Times New Roman" w:hAnsi="Times New Roman"/>
          <w:i/>
          <w:iCs/>
        </w:rPr>
        <w:t>more</w:t>
      </w:r>
      <w:r w:rsidR="00472120" w:rsidRPr="00A84F17">
        <w:rPr>
          <w:rFonts w:ascii="Times New Roman" w:hAnsi="Times New Roman"/>
          <w:i/>
          <w:iCs/>
        </w:rPr>
        <w:t xml:space="preserve"> complex to prepare</w:t>
      </w:r>
      <w:r w:rsidR="00A84F17" w:rsidRPr="00A84F17">
        <w:rPr>
          <w:rFonts w:ascii="Times New Roman" w:hAnsi="Times New Roman"/>
          <w:i/>
          <w:iCs/>
        </w:rPr>
        <w:t>, has the potential for more adverse reactions and people might have more complex needs”.</w:t>
      </w:r>
      <w:r w:rsidRPr="00A84F17">
        <w:rPr>
          <w:rFonts w:ascii="Times New Roman" w:hAnsi="Times New Roman"/>
          <w:i/>
          <w:iCs/>
        </w:rPr>
        <w:t xml:space="preserve"> </w:t>
      </w:r>
      <w:r w:rsidR="009E0190" w:rsidRPr="00A84F17">
        <w:rPr>
          <w:rFonts w:ascii="Times New Roman" w:hAnsi="Times New Roman"/>
          <w:i/>
          <w:iCs/>
        </w:rPr>
        <w:t xml:space="preserve"> </w:t>
      </w:r>
      <w:r w:rsidR="00621AAA" w:rsidRPr="00A84F17">
        <w:rPr>
          <w:rFonts w:ascii="Times New Roman" w:hAnsi="Times New Roman"/>
          <w:i/>
          <w:iCs/>
        </w:rPr>
        <w:t xml:space="preserve"> </w:t>
      </w:r>
    </w:p>
    <w:p w14:paraId="70BBE62B" w14:textId="1143A9FB" w:rsidR="00A074A3" w:rsidRDefault="00A84F17" w:rsidP="00A84F17">
      <w:pPr>
        <w:spacing w:before="240" w:after="0" w:line="259" w:lineRule="auto"/>
        <w:ind w:left="720"/>
        <w:jc w:val="both"/>
        <w:rPr>
          <w:rFonts w:ascii="Times New Roman" w:hAnsi="Times New Roman"/>
        </w:rPr>
      </w:pPr>
      <w:r>
        <w:rPr>
          <w:rFonts w:ascii="Times New Roman" w:hAnsi="Times New Roman"/>
        </w:rPr>
        <w:t xml:space="preserve">No evidence was provided to support these assertions by NHS England </w:t>
      </w:r>
      <w:r w:rsidR="005F2D62">
        <w:rPr>
          <w:rFonts w:ascii="Times New Roman" w:hAnsi="Times New Roman"/>
        </w:rPr>
        <w:t>and they are implausible.</w:t>
      </w:r>
    </w:p>
    <w:p w14:paraId="4A853F26" w14:textId="2CC3EEDD" w:rsidR="00684A1F" w:rsidRDefault="006F0848" w:rsidP="005F2D62">
      <w:pPr>
        <w:pStyle w:val="ListParagraph"/>
        <w:numPr>
          <w:ilvl w:val="0"/>
          <w:numId w:val="30"/>
        </w:numPr>
        <w:spacing w:before="240" w:after="0" w:line="259" w:lineRule="auto"/>
        <w:jc w:val="both"/>
        <w:rPr>
          <w:rFonts w:ascii="Times New Roman" w:hAnsi="Times New Roman"/>
        </w:rPr>
      </w:pPr>
      <w:r>
        <w:rPr>
          <w:rFonts w:ascii="Times New Roman" w:hAnsi="Times New Roman"/>
        </w:rPr>
        <w:t>The FDG provides no explan</w:t>
      </w:r>
      <w:r w:rsidR="00B51D40">
        <w:rPr>
          <w:rFonts w:ascii="Times New Roman" w:hAnsi="Times New Roman"/>
        </w:rPr>
        <w:t xml:space="preserve">ation for the conclusion that </w:t>
      </w:r>
      <w:r w:rsidR="00FD449F" w:rsidRPr="33557B2B">
        <w:rPr>
          <w:rFonts w:ascii="Times New Roman" w:hAnsi="Times New Roman"/>
        </w:rPr>
        <w:t>dona</w:t>
      </w:r>
      <w:r w:rsidR="000E62F9">
        <w:rPr>
          <w:rFonts w:ascii="Times New Roman" w:hAnsi="Times New Roman"/>
        </w:rPr>
        <w:t>n</w:t>
      </w:r>
      <w:r w:rsidR="64491B49" w:rsidRPr="33557B2B">
        <w:rPr>
          <w:rFonts w:ascii="Times New Roman" w:hAnsi="Times New Roman"/>
        </w:rPr>
        <w:t>e</w:t>
      </w:r>
      <w:r w:rsidR="00FD449F">
        <w:rPr>
          <w:rFonts w:ascii="Times New Roman" w:hAnsi="Times New Roman"/>
        </w:rPr>
        <w:t xml:space="preserve">mab is regarded as </w:t>
      </w:r>
      <w:r w:rsidR="00B51D40">
        <w:rPr>
          <w:rFonts w:ascii="Times New Roman" w:hAnsi="Times New Roman"/>
        </w:rPr>
        <w:t>“complex to prepare”</w:t>
      </w:r>
      <w:r w:rsidR="00653893">
        <w:rPr>
          <w:rFonts w:ascii="Times New Roman" w:hAnsi="Times New Roman"/>
        </w:rPr>
        <w:t xml:space="preserve"> and this is disputed by Lilly. </w:t>
      </w:r>
      <w:r w:rsidR="00A77F26">
        <w:rPr>
          <w:rFonts w:ascii="Times New Roman" w:hAnsi="Times New Roman"/>
        </w:rPr>
        <w:t xml:space="preserve"> In its response to the </w:t>
      </w:r>
      <w:r w:rsidR="009E63DD">
        <w:rPr>
          <w:rFonts w:ascii="Times New Roman" w:hAnsi="Times New Roman"/>
        </w:rPr>
        <w:t xml:space="preserve">second Draft Guidance, Lilly compared preparation of donanemab with preparation of trastuzumab, </w:t>
      </w:r>
      <w:r w:rsidR="00E32D24">
        <w:rPr>
          <w:rFonts w:ascii="Times New Roman" w:hAnsi="Times New Roman"/>
        </w:rPr>
        <w:t xml:space="preserve">where NHS England uses the same </w:t>
      </w:r>
      <w:r w:rsidR="00D9789F">
        <w:rPr>
          <w:rFonts w:ascii="Times New Roman" w:hAnsi="Times New Roman"/>
        </w:rPr>
        <w:t>infusion costs</w:t>
      </w:r>
      <w:r w:rsidR="00E32D24">
        <w:rPr>
          <w:rFonts w:ascii="Times New Roman" w:hAnsi="Times New Roman"/>
        </w:rPr>
        <w:t xml:space="preserve"> as th</w:t>
      </w:r>
      <w:r w:rsidR="00D9789F">
        <w:rPr>
          <w:rFonts w:ascii="Times New Roman" w:hAnsi="Times New Roman"/>
        </w:rPr>
        <w:t>ose</w:t>
      </w:r>
      <w:r w:rsidR="00E32D24">
        <w:rPr>
          <w:rFonts w:ascii="Times New Roman" w:hAnsi="Times New Roman"/>
        </w:rPr>
        <w:t xml:space="preserve"> proposed by </w:t>
      </w:r>
      <w:r w:rsidR="00D9789F">
        <w:rPr>
          <w:rFonts w:ascii="Times New Roman" w:hAnsi="Times New Roman"/>
        </w:rPr>
        <w:t>Lilly in this appraisal</w:t>
      </w:r>
      <w:r w:rsidR="005C3B0C">
        <w:rPr>
          <w:rFonts w:ascii="Times New Roman" w:hAnsi="Times New Roman"/>
        </w:rPr>
        <w:t xml:space="preserve">, even though the preparation of trastuzumab is more complex than donanemab, requiring preparation in a </w:t>
      </w:r>
      <w:r w:rsidR="00684A1F">
        <w:rPr>
          <w:rFonts w:ascii="Times New Roman" w:hAnsi="Times New Roman"/>
        </w:rPr>
        <w:t>laminar flow hood.</w:t>
      </w:r>
    </w:p>
    <w:p w14:paraId="359E3508" w14:textId="77777777" w:rsidR="00581138" w:rsidRDefault="00DF14FA" w:rsidP="005F2D62">
      <w:pPr>
        <w:pStyle w:val="ListParagraph"/>
        <w:numPr>
          <w:ilvl w:val="0"/>
          <w:numId w:val="30"/>
        </w:numPr>
        <w:spacing w:before="240" w:after="0" w:line="259" w:lineRule="auto"/>
        <w:jc w:val="both"/>
        <w:rPr>
          <w:rFonts w:ascii="Times New Roman" w:hAnsi="Times New Roman"/>
        </w:rPr>
      </w:pPr>
      <w:r>
        <w:rPr>
          <w:rFonts w:ascii="Times New Roman" w:hAnsi="Times New Roman"/>
        </w:rPr>
        <w:t xml:space="preserve">Similarly, the FDG </w:t>
      </w:r>
      <w:r w:rsidR="00C40D4B">
        <w:rPr>
          <w:rFonts w:ascii="Times New Roman" w:hAnsi="Times New Roman"/>
        </w:rPr>
        <w:t xml:space="preserve">does not explain </w:t>
      </w:r>
      <w:r w:rsidR="00584B3D">
        <w:rPr>
          <w:rFonts w:ascii="Times New Roman" w:hAnsi="Times New Roman"/>
        </w:rPr>
        <w:t>the basis for the</w:t>
      </w:r>
      <w:r w:rsidR="00581138">
        <w:rPr>
          <w:rFonts w:ascii="Times New Roman" w:hAnsi="Times New Roman"/>
        </w:rPr>
        <w:t xml:space="preserve"> conclusion</w:t>
      </w:r>
      <w:r w:rsidR="00C40D4B">
        <w:rPr>
          <w:rFonts w:ascii="Times New Roman" w:hAnsi="Times New Roman"/>
        </w:rPr>
        <w:t xml:space="preserve"> that donanemab has the potential for more adverse </w:t>
      </w:r>
      <w:r w:rsidR="005B6BBB">
        <w:rPr>
          <w:rFonts w:ascii="Times New Roman" w:hAnsi="Times New Roman"/>
        </w:rPr>
        <w:t xml:space="preserve">reactions.  Lilly’s comparison with trastuzumab, provided in response to consultation on </w:t>
      </w:r>
      <w:r w:rsidR="007661D8">
        <w:rPr>
          <w:rFonts w:ascii="Times New Roman" w:hAnsi="Times New Roman"/>
        </w:rPr>
        <w:t xml:space="preserve">the second Draft Guidance </w:t>
      </w:r>
      <w:r w:rsidR="00F942D3">
        <w:rPr>
          <w:rFonts w:ascii="Times New Roman" w:hAnsi="Times New Roman"/>
        </w:rPr>
        <w:t xml:space="preserve">indicates that </w:t>
      </w:r>
      <w:r w:rsidR="008E41EC">
        <w:rPr>
          <w:rFonts w:ascii="Times New Roman" w:hAnsi="Times New Roman"/>
        </w:rPr>
        <w:t xml:space="preserve">trastuzumab is associated with a substantially higher </w:t>
      </w:r>
      <w:r w:rsidR="007B7297">
        <w:rPr>
          <w:rFonts w:ascii="Times New Roman" w:hAnsi="Times New Roman"/>
        </w:rPr>
        <w:t>rate of infusion reactions (40%</w:t>
      </w:r>
      <w:r w:rsidR="00584B3D">
        <w:rPr>
          <w:rFonts w:ascii="Times New Roman" w:hAnsi="Times New Roman"/>
        </w:rPr>
        <w:t>) relative to donanemab (8.5</w:t>
      </w:r>
      <w:r w:rsidR="00584B3D" w:rsidRPr="710D47A9">
        <w:rPr>
          <w:rFonts w:ascii="Times New Roman" w:hAnsi="Times New Roman"/>
        </w:rPr>
        <w:t>%)</w:t>
      </w:r>
      <w:r w:rsidR="00581138" w:rsidRPr="710D47A9">
        <w:rPr>
          <w:rFonts w:ascii="Times New Roman" w:hAnsi="Times New Roman"/>
        </w:rPr>
        <w:t>.</w:t>
      </w:r>
    </w:p>
    <w:p w14:paraId="1025E40F" w14:textId="3D4D2894" w:rsidR="005F2D62" w:rsidRPr="005F2D62" w:rsidRDefault="007B617D" w:rsidP="005F2D62">
      <w:pPr>
        <w:pStyle w:val="ListParagraph"/>
        <w:numPr>
          <w:ilvl w:val="0"/>
          <w:numId w:val="30"/>
        </w:numPr>
        <w:spacing w:before="240" w:after="0" w:line="259" w:lineRule="auto"/>
        <w:jc w:val="both"/>
        <w:rPr>
          <w:rFonts w:ascii="Times New Roman" w:hAnsi="Times New Roman"/>
        </w:rPr>
      </w:pPr>
      <w:r>
        <w:rPr>
          <w:rFonts w:ascii="Times New Roman" w:hAnsi="Times New Roman"/>
        </w:rPr>
        <w:t>Finally,</w:t>
      </w:r>
      <w:r w:rsidR="00AD7B63">
        <w:rPr>
          <w:rFonts w:ascii="Times New Roman" w:hAnsi="Times New Roman"/>
        </w:rPr>
        <w:t xml:space="preserve"> the statement that people receiving treatment with donanemab</w:t>
      </w:r>
      <w:r w:rsidR="00173C2B">
        <w:rPr>
          <w:rFonts w:ascii="Times New Roman" w:hAnsi="Times New Roman"/>
        </w:rPr>
        <w:t xml:space="preserve">, who are in a stable condition, receiving a routine infusion for early AD, </w:t>
      </w:r>
      <w:r w:rsidR="00AD7B63">
        <w:rPr>
          <w:rFonts w:ascii="Times New Roman" w:hAnsi="Times New Roman"/>
        </w:rPr>
        <w:t xml:space="preserve">might have more complex needs than those </w:t>
      </w:r>
      <w:r w:rsidR="00CC71B8">
        <w:rPr>
          <w:rFonts w:ascii="Times New Roman" w:hAnsi="Times New Roman"/>
        </w:rPr>
        <w:t xml:space="preserve">with malignancies </w:t>
      </w:r>
      <w:r w:rsidR="005474EE">
        <w:rPr>
          <w:rFonts w:ascii="Times New Roman" w:hAnsi="Times New Roman"/>
        </w:rPr>
        <w:t>receiving chemotherapy</w:t>
      </w:r>
      <w:r w:rsidR="00CC71B8">
        <w:rPr>
          <w:rFonts w:ascii="Times New Roman" w:hAnsi="Times New Roman"/>
        </w:rPr>
        <w:t>,</w:t>
      </w:r>
      <w:r w:rsidR="005474EE">
        <w:rPr>
          <w:rFonts w:ascii="Times New Roman" w:hAnsi="Times New Roman"/>
        </w:rPr>
        <w:t xml:space="preserve"> is not </w:t>
      </w:r>
      <w:r w:rsidR="00CC71B8">
        <w:rPr>
          <w:rFonts w:ascii="Times New Roman" w:hAnsi="Times New Roman"/>
        </w:rPr>
        <w:t xml:space="preserve">explained and is not </w:t>
      </w:r>
      <w:r w:rsidR="005474EE">
        <w:rPr>
          <w:rFonts w:ascii="Times New Roman" w:hAnsi="Times New Roman"/>
        </w:rPr>
        <w:t xml:space="preserve">understood. </w:t>
      </w:r>
      <w:r w:rsidR="005B6BBB">
        <w:rPr>
          <w:rFonts w:ascii="Times New Roman" w:hAnsi="Times New Roman"/>
        </w:rPr>
        <w:t xml:space="preserve"> </w:t>
      </w:r>
      <w:r w:rsidR="009E63DD">
        <w:rPr>
          <w:rFonts w:ascii="Times New Roman" w:hAnsi="Times New Roman"/>
        </w:rPr>
        <w:t xml:space="preserve"> </w:t>
      </w:r>
      <w:r w:rsidR="00FD449F">
        <w:rPr>
          <w:rFonts w:ascii="Times New Roman" w:hAnsi="Times New Roman"/>
        </w:rPr>
        <w:t xml:space="preserve"> </w:t>
      </w:r>
    </w:p>
    <w:p w14:paraId="55261487" w14:textId="77777777" w:rsidR="00A84F17" w:rsidRDefault="00A84F17" w:rsidP="00044C06">
      <w:pPr>
        <w:spacing w:after="0" w:line="259" w:lineRule="auto"/>
        <w:ind w:left="720"/>
        <w:jc w:val="both"/>
        <w:rPr>
          <w:rFonts w:ascii="Times New Roman" w:hAnsi="Times New Roman"/>
        </w:rPr>
      </w:pPr>
    </w:p>
    <w:p w14:paraId="29555F0A" w14:textId="14FD98A1" w:rsidR="00A074A3" w:rsidRPr="00137343" w:rsidRDefault="00A15EB6" w:rsidP="00044C06">
      <w:pPr>
        <w:spacing w:after="0" w:line="259" w:lineRule="auto"/>
        <w:ind w:left="720"/>
        <w:jc w:val="both"/>
        <w:rPr>
          <w:rFonts w:ascii="Times New Roman" w:hAnsi="Times New Roman"/>
        </w:rPr>
      </w:pPr>
      <w:r>
        <w:rPr>
          <w:rFonts w:ascii="Times New Roman" w:hAnsi="Times New Roman"/>
        </w:rPr>
        <w:t>In summary, the Committee</w:t>
      </w:r>
      <w:r w:rsidR="00DA1A3E">
        <w:rPr>
          <w:rFonts w:ascii="Times New Roman" w:hAnsi="Times New Roman"/>
        </w:rPr>
        <w:t xml:space="preserve"> </w:t>
      </w:r>
      <w:r w:rsidR="009C736A">
        <w:rPr>
          <w:rFonts w:ascii="Times New Roman" w:hAnsi="Times New Roman"/>
        </w:rPr>
        <w:t xml:space="preserve">has provided no reasons for </w:t>
      </w:r>
      <w:r w:rsidR="00DA1A3E">
        <w:rPr>
          <w:rFonts w:ascii="Times New Roman" w:hAnsi="Times New Roman"/>
        </w:rPr>
        <w:t>accept</w:t>
      </w:r>
      <w:r w:rsidR="009C736A">
        <w:rPr>
          <w:rFonts w:ascii="Times New Roman" w:hAnsi="Times New Roman"/>
        </w:rPr>
        <w:t>ing</w:t>
      </w:r>
      <w:r w:rsidR="00DA1A3E">
        <w:rPr>
          <w:rFonts w:ascii="Times New Roman" w:hAnsi="Times New Roman"/>
        </w:rPr>
        <w:t xml:space="preserve"> NHS England’s objections to </w:t>
      </w:r>
      <w:r w:rsidR="008A5BBC">
        <w:rPr>
          <w:rFonts w:ascii="Times New Roman" w:hAnsi="Times New Roman"/>
        </w:rPr>
        <w:t xml:space="preserve">Lilly’s estimation of </w:t>
      </w:r>
      <w:r w:rsidR="00DA1A3E">
        <w:rPr>
          <w:rFonts w:ascii="Times New Roman" w:hAnsi="Times New Roman"/>
        </w:rPr>
        <w:t>infusion costs</w:t>
      </w:r>
      <w:r w:rsidR="009C736A">
        <w:rPr>
          <w:rFonts w:ascii="Times New Roman" w:hAnsi="Times New Roman"/>
        </w:rPr>
        <w:t xml:space="preserve">, </w:t>
      </w:r>
      <w:r w:rsidR="00BB2E64">
        <w:rPr>
          <w:rFonts w:ascii="Times New Roman" w:hAnsi="Times New Roman"/>
        </w:rPr>
        <w:t>even though these are unsupported by evidence and appear counter-intuitive.  It has also seemingly failed to take into account the evidence provided by Lilly in response to consultation on the second Draft Guidance responding to such matters</w:t>
      </w:r>
      <w:r w:rsidR="00717100">
        <w:rPr>
          <w:rFonts w:ascii="Times New Roman" w:hAnsi="Times New Roman"/>
        </w:rPr>
        <w:t>, which are not addressed in the FDG</w:t>
      </w:r>
      <w:r w:rsidR="00BB2E64">
        <w:rPr>
          <w:rFonts w:ascii="Times New Roman" w:hAnsi="Times New Roman"/>
        </w:rPr>
        <w:t>.</w:t>
      </w:r>
      <w:r w:rsidR="009C736A">
        <w:rPr>
          <w:rFonts w:ascii="Times New Roman" w:hAnsi="Times New Roman"/>
        </w:rPr>
        <w:t xml:space="preserve"> </w:t>
      </w:r>
    </w:p>
    <w:p w14:paraId="55B90349" w14:textId="77777777" w:rsidR="00BB5A67" w:rsidRPr="00E01C6F" w:rsidRDefault="00BB5A67" w:rsidP="005032B9">
      <w:pPr>
        <w:spacing w:after="0" w:line="259" w:lineRule="auto"/>
        <w:ind w:left="1440"/>
        <w:jc w:val="both"/>
        <w:rPr>
          <w:rFonts w:ascii="Times New Roman" w:hAnsi="Times New Roman"/>
        </w:rPr>
      </w:pPr>
    </w:p>
    <w:p w14:paraId="0887EC64" w14:textId="6D6123C4" w:rsidR="00B3415C" w:rsidRDefault="00B3415C" w:rsidP="00F21885">
      <w:pPr>
        <w:pStyle w:val="ListParagraph"/>
        <w:numPr>
          <w:ilvl w:val="1"/>
          <w:numId w:val="1"/>
        </w:numPr>
        <w:spacing w:after="0"/>
        <w:jc w:val="both"/>
        <w:rPr>
          <w:rFonts w:ascii="Times New Roman" w:hAnsi="Times New Roman"/>
          <w:b/>
          <w:bCs/>
          <w:u w:val="single"/>
        </w:rPr>
      </w:pPr>
      <w:r>
        <w:rPr>
          <w:rFonts w:ascii="Times New Roman" w:hAnsi="Times New Roman"/>
          <w:b/>
          <w:bCs/>
          <w:u w:val="single"/>
        </w:rPr>
        <w:t xml:space="preserve">The Committee has relied on the EAG’s </w:t>
      </w:r>
      <w:r w:rsidR="00745D39">
        <w:rPr>
          <w:rFonts w:ascii="Times New Roman" w:hAnsi="Times New Roman"/>
          <w:b/>
          <w:bCs/>
          <w:u w:val="single"/>
        </w:rPr>
        <w:t>criticisms</w:t>
      </w:r>
      <w:r>
        <w:rPr>
          <w:rFonts w:ascii="Times New Roman" w:hAnsi="Times New Roman"/>
          <w:b/>
          <w:bCs/>
          <w:u w:val="single"/>
        </w:rPr>
        <w:t xml:space="preserve"> of the long term data for donanemab, even though Lilly was given no opportunity to respond to or clarify these issues</w:t>
      </w:r>
      <w:r w:rsidR="00EC2DC6">
        <w:rPr>
          <w:rFonts w:ascii="Times New Roman" w:hAnsi="Times New Roman"/>
          <w:b/>
          <w:bCs/>
          <w:u w:val="single"/>
        </w:rPr>
        <w:t>.</w:t>
      </w:r>
    </w:p>
    <w:p w14:paraId="61847F95" w14:textId="77777777" w:rsidR="00B3415C" w:rsidRDefault="00B3415C" w:rsidP="00B3415C">
      <w:pPr>
        <w:pStyle w:val="ListParagraph"/>
        <w:rPr>
          <w:rFonts w:ascii="Times New Roman" w:hAnsi="Times New Roman"/>
          <w:b/>
          <w:bCs/>
          <w:u w:val="single"/>
        </w:rPr>
      </w:pPr>
    </w:p>
    <w:p w14:paraId="58BC32F0" w14:textId="256D915E" w:rsidR="00B3415C" w:rsidRDefault="00B3415C" w:rsidP="00B3415C">
      <w:pPr>
        <w:pStyle w:val="ListParagraph"/>
        <w:ind w:left="792"/>
        <w:rPr>
          <w:rFonts w:ascii="Times New Roman" w:hAnsi="Times New Roman"/>
        </w:rPr>
      </w:pPr>
      <w:r w:rsidRPr="0001044F">
        <w:rPr>
          <w:rFonts w:ascii="Times New Roman" w:hAnsi="Times New Roman"/>
        </w:rPr>
        <w:t xml:space="preserve">In </w:t>
      </w:r>
      <w:r>
        <w:rPr>
          <w:rFonts w:ascii="Times New Roman" w:hAnsi="Times New Roman"/>
        </w:rPr>
        <w:t>response to consultation on the second Draft Guidance, Lilly was permitted to submit additional evidence on the long term effectiveness of donanemab from the TRAILBLAZER-ALZ 2 long term extension study.  The EAG considered these data and raised a number of concerns which were not communicated to Lilly prior to disclosure of the Committee Papers for ACM3.  Lilly had no opportunity either prior to or during ACM3 to respond to these matters.</w:t>
      </w:r>
    </w:p>
    <w:p w14:paraId="6BEA5110" w14:textId="77777777" w:rsidR="00B3415C" w:rsidRDefault="00B3415C" w:rsidP="00B3415C">
      <w:pPr>
        <w:pStyle w:val="ListParagraph"/>
        <w:ind w:left="792"/>
        <w:rPr>
          <w:rFonts w:ascii="Times New Roman" w:hAnsi="Times New Roman"/>
        </w:rPr>
      </w:pPr>
    </w:p>
    <w:p w14:paraId="11B445D6" w14:textId="2583D537" w:rsidR="00FC47F6" w:rsidRDefault="00B3415C" w:rsidP="00B3415C">
      <w:pPr>
        <w:pStyle w:val="ListParagraph"/>
        <w:ind w:left="792"/>
        <w:rPr>
          <w:rFonts w:ascii="Times New Roman" w:hAnsi="Times New Roman"/>
        </w:rPr>
      </w:pPr>
      <w:r>
        <w:rPr>
          <w:rFonts w:ascii="Times New Roman" w:hAnsi="Times New Roman"/>
        </w:rPr>
        <w:t xml:space="preserve">The additional evidence submitted by Lilly, which provides up to three years of follow-up and shows that donanemab has effects extending beyond the period of treatment, is referenced at paragraph 3.11 of the FDG. </w:t>
      </w:r>
      <w:r w:rsidR="00FC47F6">
        <w:rPr>
          <w:rFonts w:ascii="Times New Roman" w:hAnsi="Times New Roman"/>
        </w:rPr>
        <w:t xml:space="preserve"> After considering the concerns raised by the EAG, the Committee concluded:</w:t>
      </w:r>
    </w:p>
    <w:p w14:paraId="4A6E3C54" w14:textId="272D3CD9" w:rsidR="00FC47F6" w:rsidRDefault="00FC47F6" w:rsidP="0001044F">
      <w:pPr>
        <w:pStyle w:val="ListParagraph"/>
        <w:ind w:left="1440"/>
        <w:rPr>
          <w:rFonts w:ascii="Times New Roman" w:hAnsi="Times New Roman"/>
        </w:rPr>
      </w:pPr>
      <w:r>
        <w:rPr>
          <w:rFonts w:ascii="Times New Roman" w:hAnsi="Times New Roman"/>
        </w:rPr>
        <w:t>“</w:t>
      </w:r>
      <w:r w:rsidRPr="0001044F">
        <w:rPr>
          <w:rFonts w:ascii="Times New Roman" w:hAnsi="Times New Roman"/>
          <w:i/>
          <w:iCs/>
        </w:rPr>
        <w:t xml:space="preserve">The committee noted that the longer term evidence may not reflect how </w:t>
      </w:r>
      <w:r w:rsidR="00745D39" w:rsidRPr="0001044F">
        <w:rPr>
          <w:rFonts w:ascii="Times New Roman" w:hAnsi="Times New Roman"/>
          <w:i/>
          <w:iCs/>
        </w:rPr>
        <w:t>donanemab</w:t>
      </w:r>
      <w:r w:rsidRPr="0001044F">
        <w:rPr>
          <w:rFonts w:ascii="Times New Roman" w:hAnsi="Times New Roman"/>
          <w:i/>
          <w:iCs/>
        </w:rPr>
        <w:t xml:space="preserve"> would be used in clinical practice.  The EAG also had some concerns about the suitability of the company’s external control arm.  The committee concluded that the long-term extension data provided additional useful evidence about the clinical effect of </w:t>
      </w:r>
      <w:r w:rsidR="00745D39" w:rsidRPr="0001044F">
        <w:rPr>
          <w:rFonts w:ascii="Times New Roman" w:hAnsi="Times New Roman"/>
          <w:i/>
          <w:iCs/>
        </w:rPr>
        <w:t>donanemab</w:t>
      </w:r>
      <w:r w:rsidRPr="0001044F">
        <w:rPr>
          <w:rFonts w:ascii="Times New Roman" w:hAnsi="Times New Roman"/>
          <w:i/>
          <w:iCs/>
        </w:rPr>
        <w:t xml:space="preserve"> after stopping treatment.  But the results are uncertain because there was no randomised comparison with placebo after stopping treatment</w:t>
      </w:r>
      <w:r w:rsidR="00A22DCD" w:rsidRPr="0001044F">
        <w:rPr>
          <w:rFonts w:ascii="Times New Roman" w:hAnsi="Times New Roman"/>
          <w:i/>
          <w:iCs/>
        </w:rPr>
        <w:t>”</w:t>
      </w:r>
      <w:r>
        <w:rPr>
          <w:rFonts w:ascii="Times New Roman" w:hAnsi="Times New Roman"/>
        </w:rPr>
        <w:t xml:space="preserve">. </w:t>
      </w:r>
    </w:p>
    <w:p w14:paraId="59079B41" w14:textId="68DC02D6" w:rsidR="00B3415C" w:rsidRDefault="00B3415C" w:rsidP="00B3415C">
      <w:pPr>
        <w:pStyle w:val="ListParagraph"/>
        <w:ind w:left="792"/>
        <w:rPr>
          <w:rFonts w:ascii="Times New Roman" w:hAnsi="Times New Roman"/>
        </w:rPr>
      </w:pPr>
    </w:p>
    <w:p w14:paraId="2748FE21" w14:textId="50AC7255" w:rsidR="00A22DCD" w:rsidRPr="00B3415C" w:rsidRDefault="630DE6EF" w:rsidP="00B3415C">
      <w:pPr>
        <w:pStyle w:val="ListParagraph"/>
        <w:ind w:left="792"/>
        <w:rPr>
          <w:rFonts w:ascii="Times New Roman" w:hAnsi="Times New Roman"/>
        </w:rPr>
      </w:pPr>
      <w:r w:rsidRPr="7D1AB002">
        <w:rPr>
          <w:rFonts w:ascii="Times New Roman" w:hAnsi="Times New Roman"/>
        </w:rPr>
        <w:t xml:space="preserve">Lilly could and would have addressed the concerns raised by the EAG if it had been given an opportunity to do so.  The fact that these concerns were accepted by the Committee without permitting Lilly to respond to them is inconsistent with a fair procedure.  </w:t>
      </w:r>
      <w:r w:rsidR="532C2EE3" w:rsidRPr="7D1AB002">
        <w:rPr>
          <w:rFonts w:ascii="Times New Roman" w:hAnsi="Times New Roman"/>
        </w:rPr>
        <w:t>T</w:t>
      </w:r>
      <w:r w:rsidR="69AF13CD" w:rsidRPr="7D1AB002">
        <w:rPr>
          <w:rFonts w:ascii="Times New Roman" w:hAnsi="Times New Roman"/>
        </w:rPr>
        <w:t xml:space="preserve">he long-term extension data is </w:t>
      </w:r>
      <w:r w:rsidR="00BC29A0">
        <w:rPr>
          <w:rFonts w:ascii="Times New Roman" w:hAnsi="Times New Roman"/>
        </w:rPr>
        <w:t xml:space="preserve">central to this appraisal </w:t>
      </w:r>
      <w:r w:rsidR="69AF13CD" w:rsidRPr="7D1AB002">
        <w:rPr>
          <w:rFonts w:ascii="Times New Roman" w:hAnsi="Times New Roman"/>
        </w:rPr>
        <w:t xml:space="preserve">as it underpins the </w:t>
      </w:r>
      <w:r w:rsidR="5BCA616E" w:rsidRPr="7D1AB002">
        <w:rPr>
          <w:rFonts w:ascii="Times New Roman" w:hAnsi="Times New Roman"/>
        </w:rPr>
        <w:t xml:space="preserve">significant and enduring clinical effect of </w:t>
      </w:r>
      <w:r w:rsidR="3E16CA6F" w:rsidRPr="7D1AB002">
        <w:rPr>
          <w:rFonts w:ascii="Times New Roman" w:hAnsi="Times New Roman"/>
        </w:rPr>
        <w:t>donanemab</w:t>
      </w:r>
      <w:r w:rsidR="5BCA616E" w:rsidRPr="7D1AB002">
        <w:rPr>
          <w:rFonts w:ascii="Times New Roman" w:hAnsi="Times New Roman"/>
        </w:rPr>
        <w:t xml:space="preserve"> beyond treatment discontinuation, highlighting its disease-modifying effect. </w:t>
      </w:r>
      <w:r w:rsidR="7F3D2343" w:rsidRPr="7D1AB002">
        <w:rPr>
          <w:rFonts w:ascii="Times New Roman" w:hAnsi="Times New Roman"/>
        </w:rPr>
        <w:t xml:space="preserve">In turn, </w:t>
      </w:r>
      <w:r w:rsidR="2EB0467D" w:rsidRPr="7D1AB002">
        <w:rPr>
          <w:rFonts w:ascii="Times New Roman" w:hAnsi="Times New Roman"/>
        </w:rPr>
        <w:t xml:space="preserve">a considered discussion of the long-term data would allow for a more thoughtful </w:t>
      </w:r>
      <w:r w:rsidR="01E7BB7F" w:rsidRPr="7D1AB002">
        <w:rPr>
          <w:rFonts w:ascii="Times New Roman" w:hAnsi="Times New Roman"/>
        </w:rPr>
        <w:t xml:space="preserve">and informed </w:t>
      </w:r>
      <w:r w:rsidR="2EB0467D" w:rsidRPr="7D1AB002">
        <w:rPr>
          <w:rFonts w:ascii="Times New Roman" w:hAnsi="Times New Roman"/>
        </w:rPr>
        <w:t xml:space="preserve">application of the </w:t>
      </w:r>
      <w:r w:rsidR="78C12009" w:rsidRPr="7D1AB002">
        <w:rPr>
          <w:rFonts w:ascii="Times New Roman" w:hAnsi="Times New Roman"/>
        </w:rPr>
        <w:t xml:space="preserve">IMF principles. </w:t>
      </w:r>
      <w:r w:rsidR="02AEFFA9" w:rsidRPr="7D1AB002">
        <w:rPr>
          <w:rFonts w:ascii="Times New Roman" w:hAnsi="Times New Roman"/>
        </w:rPr>
        <w:t>Lilly contends that NICE should have included consultation on the EAG’s critique of the long term extension data before the FDG was issued or, at the least, Lilly should have been allowed to address the EAG’s concerns at ACM3.</w:t>
      </w:r>
      <w:r w:rsidRPr="7D1AB002">
        <w:rPr>
          <w:rFonts w:ascii="Times New Roman" w:hAnsi="Times New Roman"/>
        </w:rPr>
        <w:t xml:space="preserve"> </w:t>
      </w:r>
    </w:p>
    <w:p w14:paraId="763437C0" w14:textId="13DBE808" w:rsidR="00B3415C" w:rsidRPr="0001044F" w:rsidRDefault="00B3415C" w:rsidP="005D172C">
      <w:pPr>
        <w:pStyle w:val="ListParagraph"/>
        <w:ind w:left="792"/>
        <w:rPr>
          <w:rFonts w:ascii="Times New Roman" w:hAnsi="Times New Roman"/>
        </w:rPr>
      </w:pPr>
    </w:p>
    <w:p w14:paraId="1A630E12" w14:textId="43F91F7E" w:rsidR="00183CDC" w:rsidRPr="00E01C6F" w:rsidRDefault="00891AF0" w:rsidP="00F21885">
      <w:pPr>
        <w:pStyle w:val="ListParagraph"/>
        <w:numPr>
          <w:ilvl w:val="1"/>
          <w:numId w:val="1"/>
        </w:numPr>
        <w:spacing w:after="0"/>
        <w:jc w:val="both"/>
        <w:rPr>
          <w:rFonts w:ascii="Times New Roman" w:hAnsi="Times New Roman"/>
          <w:b/>
          <w:bCs/>
          <w:u w:val="single"/>
        </w:rPr>
      </w:pPr>
      <w:r w:rsidRPr="00E01C6F">
        <w:rPr>
          <w:rFonts w:ascii="Times New Roman" w:hAnsi="Times New Roman"/>
          <w:b/>
          <w:bCs/>
          <w:u w:val="single"/>
        </w:rPr>
        <w:t>The Committee</w:t>
      </w:r>
      <w:r w:rsidR="00F07E22">
        <w:rPr>
          <w:rFonts w:ascii="Times New Roman" w:hAnsi="Times New Roman"/>
          <w:b/>
          <w:bCs/>
          <w:u w:val="single"/>
        </w:rPr>
        <w:t xml:space="preserve"> has failed to give due </w:t>
      </w:r>
      <w:r w:rsidRPr="00E01C6F">
        <w:rPr>
          <w:rFonts w:ascii="Times New Roman" w:hAnsi="Times New Roman"/>
          <w:b/>
          <w:bCs/>
          <w:u w:val="single"/>
        </w:rPr>
        <w:t xml:space="preserve">consideration </w:t>
      </w:r>
      <w:r w:rsidR="00F07E22">
        <w:rPr>
          <w:rFonts w:ascii="Times New Roman" w:hAnsi="Times New Roman"/>
          <w:b/>
          <w:bCs/>
          <w:u w:val="single"/>
        </w:rPr>
        <w:t xml:space="preserve">to </w:t>
      </w:r>
      <w:r w:rsidR="00510988" w:rsidRPr="00E01C6F">
        <w:rPr>
          <w:rFonts w:ascii="Times New Roman" w:hAnsi="Times New Roman"/>
          <w:b/>
          <w:bCs/>
          <w:u w:val="single"/>
        </w:rPr>
        <w:t xml:space="preserve">use of </w:t>
      </w:r>
      <w:r w:rsidR="00726486">
        <w:rPr>
          <w:rFonts w:ascii="Times New Roman" w:hAnsi="Times New Roman"/>
          <w:b/>
          <w:bCs/>
          <w:u w:val="single"/>
        </w:rPr>
        <w:t xml:space="preserve">donanemab </w:t>
      </w:r>
      <w:r w:rsidR="00510988" w:rsidRPr="00E01C6F">
        <w:rPr>
          <w:rFonts w:ascii="Times New Roman" w:hAnsi="Times New Roman"/>
          <w:b/>
          <w:bCs/>
          <w:u w:val="single"/>
        </w:rPr>
        <w:t>through m</w:t>
      </w:r>
      <w:r w:rsidR="00183CDC" w:rsidRPr="00E01C6F">
        <w:rPr>
          <w:rFonts w:ascii="Times New Roman" w:hAnsi="Times New Roman"/>
          <w:b/>
          <w:bCs/>
          <w:u w:val="single"/>
        </w:rPr>
        <w:t xml:space="preserve">anaged </w:t>
      </w:r>
      <w:r w:rsidR="006F18E2" w:rsidRPr="00E01C6F">
        <w:rPr>
          <w:rFonts w:ascii="Times New Roman" w:hAnsi="Times New Roman"/>
          <w:b/>
          <w:bCs/>
          <w:u w:val="single"/>
        </w:rPr>
        <w:t>a</w:t>
      </w:r>
      <w:r w:rsidR="00F77715" w:rsidRPr="00E01C6F">
        <w:rPr>
          <w:rFonts w:ascii="Times New Roman" w:hAnsi="Times New Roman"/>
          <w:b/>
          <w:bCs/>
          <w:u w:val="single"/>
        </w:rPr>
        <w:t>c</w:t>
      </w:r>
      <w:r w:rsidR="00183CDC" w:rsidRPr="00E01C6F">
        <w:rPr>
          <w:rFonts w:ascii="Times New Roman" w:hAnsi="Times New Roman"/>
          <w:b/>
          <w:bCs/>
          <w:u w:val="single"/>
        </w:rPr>
        <w:t>cess</w:t>
      </w:r>
      <w:r w:rsidR="00E06D9C">
        <w:rPr>
          <w:rFonts w:ascii="Times New Roman" w:hAnsi="Times New Roman"/>
          <w:b/>
          <w:bCs/>
          <w:u w:val="single"/>
        </w:rPr>
        <w:t xml:space="preserve"> </w:t>
      </w:r>
      <w:r w:rsidR="00F07E22">
        <w:rPr>
          <w:rFonts w:ascii="Times New Roman" w:hAnsi="Times New Roman"/>
          <w:b/>
          <w:bCs/>
          <w:u w:val="single"/>
        </w:rPr>
        <w:t>in accordance with the Manual</w:t>
      </w:r>
      <w:r w:rsidR="00C6532B">
        <w:rPr>
          <w:rFonts w:ascii="Times New Roman" w:hAnsi="Times New Roman"/>
          <w:b/>
          <w:bCs/>
          <w:u w:val="single"/>
        </w:rPr>
        <w:t xml:space="preserve"> </w:t>
      </w:r>
      <w:r w:rsidR="00A9214B">
        <w:rPr>
          <w:rFonts w:ascii="Times New Roman" w:hAnsi="Times New Roman"/>
          <w:b/>
          <w:bCs/>
          <w:u w:val="single"/>
        </w:rPr>
        <w:t>and the I</w:t>
      </w:r>
      <w:r w:rsidR="00A9214B" w:rsidRPr="00A9214B">
        <w:rPr>
          <w:rFonts w:ascii="Times New Roman" w:hAnsi="Times New Roman"/>
          <w:b/>
          <w:bCs/>
          <w:u w:val="single"/>
        </w:rPr>
        <w:t xml:space="preserve">nnovative Medicines Fund Principles </w:t>
      </w:r>
      <w:r w:rsidR="007B617D" w:rsidRPr="00A9214B">
        <w:rPr>
          <w:rFonts w:ascii="Times New Roman" w:hAnsi="Times New Roman"/>
          <w:b/>
          <w:bCs/>
          <w:u w:val="single"/>
        </w:rPr>
        <w:t>document.</w:t>
      </w:r>
    </w:p>
    <w:p w14:paraId="1409C20A" w14:textId="76CDB1A6" w:rsidR="00295E7B" w:rsidRPr="00E01C6F" w:rsidRDefault="00295E7B" w:rsidP="00EC38D2">
      <w:pPr>
        <w:pStyle w:val="Default"/>
        <w:rPr>
          <w:rFonts w:ascii="Times New Roman" w:hAnsi="Times New Roman"/>
          <w:szCs w:val="23"/>
        </w:rPr>
      </w:pPr>
    </w:p>
    <w:p w14:paraId="2D7E1408" w14:textId="2D2F199F" w:rsidR="00E01C6F" w:rsidRDefault="00AC648E" w:rsidP="0051376C">
      <w:pPr>
        <w:pStyle w:val="Default"/>
        <w:spacing w:line="276" w:lineRule="auto"/>
        <w:rPr>
          <w:rFonts w:ascii="Times New Roman" w:hAnsi="Times New Roman"/>
          <w:szCs w:val="23"/>
        </w:rPr>
      </w:pPr>
      <w:r>
        <w:rPr>
          <w:rFonts w:ascii="Times New Roman" w:hAnsi="Times New Roman"/>
          <w:szCs w:val="23"/>
        </w:rPr>
        <w:t xml:space="preserve">At paragraph 3.26 of the FDG, the Committee concludes that donanemab should not </w:t>
      </w:r>
      <w:r w:rsidR="00CF54DC">
        <w:rPr>
          <w:rFonts w:ascii="Times New Roman" w:hAnsi="Times New Roman"/>
          <w:szCs w:val="23"/>
        </w:rPr>
        <w:t xml:space="preserve">be recommended </w:t>
      </w:r>
      <w:r w:rsidR="004C63E7">
        <w:rPr>
          <w:rFonts w:ascii="Times New Roman" w:hAnsi="Times New Roman"/>
          <w:szCs w:val="23"/>
        </w:rPr>
        <w:t>with managed access for treating MCI or mild</w:t>
      </w:r>
      <w:r w:rsidR="007654EB">
        <w:rPr>
          <w:rFonts w:ascii="Times New Roman" w:hAnsi="Times New Roman"/>
          <w:szCs w:val="23"/>
        </w:rPr>
        <w:t xml:space="preserve"> dementia caused by AD. </w:t>
      </w:r>
      <w:r w:rsidR="003539DD">
        <w:rPr>
          <w:rFonts w:ascii="Times New Roman" w:hAnsi="Times New Roman"/>
          <w:szCs w:val="23"/>
        </w:rPr>
        <w:t xml:space="preserve">  The Committee’s reasons </w:t>
      </w:r>
      <w:r w:rsidR="006A7531">
        <w:rPr>
          <w:rFonts w:ascii="Times New Roman" w:hAnsi="Times New Roman"/>
          <w:szCs w:val="23"/>
        </w:rPr>
        <w:t xml:space="preserve">were </w:t>
      </w:r>
      <w:r w:rsidR="0007407A">
        <w:rPr>
          <w:rFonts w:ascii="Times New Roman" w:hAnsi="Times New Roman"/>
          <w:szCs w:val="23"/>
        </w:rPr>
        <w:t xml:space="preserve">(a) </w:t>
      </w:r>
      <w:r w:rsidR="001F7456">
        <w:rPr>
          <w:rFonts w:ascii="Times New Roman" w:hAnsi="Times New Roman"/>
          <w:szCs w:val="23"/>
        </w:rPr>
        <w:t xml:space="preserve">that </w:t>
      </w:r>
      <w:r w:rsidR="00A9214B">
        <w:rPr>
          <w:rFonts w:ascii="Times New Roman" w:hAnsi="Times New Roman"/>
          <w:szCs w:val="23"/>
        </w:rPr>
        <w:t xml:space="preserve">“the benefit donanemab provides is small”; (b) </w:t>
      </w:r>
      <w:r w:rsidR="001F7456">
        <w:rPr>
          <w:rFonts w:ascii="Times New Roman" w:hAnsi="Times New Roman"/>
          <w:szCs w:val="23"/>
        </w:rPr>
        <w:t>“some uncertainties may not be addressed by further data collection, including health-related quality of life of c</w:t>
      </w:r>
      <w:r w:rsidR="0009764F">
        <w:rPr>
          <w:rFonts w:ascii="Times New Roman" w:hAnsi="Times New Roman"/>
          <w:szCs w:val="23"/>
        </w:rPr>
        <w:t>arers”; (</w:t>
      </w:r>
      <w:r w:rsidR="00A9214B">
        <w:rPr>
          <w:rFonts w:ascii="Times New Roman" w:hAnsi="Times New Roman"/>
          <w:szCs w:val="23"/>
        </w:rPr>
        <w:t>c</w:t>
      </w:r>
      <w:r w:rsidR="0009764F">
        <w:rPr>
          <w:rFonts w:ascii="Times New Roman" w:hAnsi="Times New Roman"/>
          <w:szCs w:val="23"/>
        </w:rPr>
        <w:t xml:space="preserve">) “some of the </w:t>
      </w:r>
      <w:r w:rsidR="004425D8">
        <w:rPr>
          <w:rFonts w:ascii="Times New Roman" w:hAnsi="Times New Roman"/>
          <w:szCs w:val="23"/>
        </w:rPr>
        <w:t>treatment waning scenarios cannot be tested within the time allowed for managed access”</w:t>
      </w:r>
      <w:r w:rsidR="00964BB5">
        <w:rPr>
          <w:rFonts w:ascii="Times New Roman" w:hAnsi="Times New Roman"/>
          <w:szCs w:val="23"/>
        </w:rPr>
        <w:t xml:space="preserve">; </w:t>
      </w:r>
      <w:r w:rsidR="00836272">
        <w:rPr>
          <w:rFonts w:ascii="Times New Roman" w:hAnsi="Times New Roman"/>
          <w:szCs w:val="23"/>
        </w:rPr>
        <w:t>(</w:t>
      </w:r>
      <w:r w:rsidR="00A9214B">
        <w:rPr>
          <w:rFonts w:ascii="Times New Roman" w:hAnsi="Times New Roman"/>
          <w:szCs w:val="23"/>
        </w:rPr>
        <w:t>d</w:t>
      </w:r>
      <w:r w:rsidR="00836272">
        <w:rPr>
          <w:rFonts w:ascii="Times New Roman" w:hAnsi="Times New Roman"/>
          <w:szCs w:val="23"/>
        </w:rPr>
        <w:t xml:space="preserve">) the fact that the </w:t>
      </w:r>
      <w:r w:rsidR="008B2808">
        <w:rPr>
          <w:rFonts w:ascii="Times New Roman" w:hAnsi="Times New Roman"/>
          <w:szCs w:val="23"/>
        </w:rPr>
        <w:t xml:space="preserve">randomised </w:t>
      </w:r>
      <w:r w:rsidR="00091C80">
        <w:rPr>
          <w:rFonts w:ascii="Times New Roman" w:hAnsi="Times New Roman"/>
          <w:szCs w:val="23"/>
        </w:rPr>
        <w:t>placebo-controlled data would not be c</w:t>
      </w:r>
      <w:r w:rsidR="00836272">
        <w:rPr>
          <w:rFonts w:ascii="Times New Roman" w:hAnsi="Times New Roman"/>
          <w:szCs w:val="23"/>
        </w:rPr>
        <w:t>ollected during the managed access period</w:t>
      </w:r>
      <w:r w:rsidR="00091C80">
        <w:rPr>
          <w:rFonts w:ascii="Times New Roman" w:hAnsi="Times New Roman"/>
          <w:szCs w:val="23"/>
        </w:rPr>
        <w:t>; (</w:t>
      </w:r>
      <w:r w:rsidR="00A9214B">
        <w:rPr>
          <w:rFonts w:ascii="Times New Roman" w:hAnsi="Times New Roman"/>
          <w:szCs w:val="23"/>
        </w:rPr>
        <w:t>e</w:t>
      </w:r>
      <w:r w:rsidR="00091C80">
        <w:rPr>
          <w:rFonts w:ascii="Times New Roman" w:hAnsi="Times New Roman"/>
          <w:szCs w:val="23"/>
        </w:rPr>
        <w:t>)</w:t>
      </w:r>
      <w:r w:rsidR="00D055A4">
        <w:rPr>
          <w:rFonts w:ascii="Times New Roman" w:hAnsi="Times New Roman"/>
          <w:szCs w:val="23"/>
        </w:rPr>
        <w:t xml:space="preserve"> </w:t>
      </w:r>
      <w:r w:rsidR="0051376C">
        <w:rPr>
          <w:rFonts w:ascii="Times New Roman" w:hAnsi="Times New Roman"/>
          <w:szCs w:val="23"/>
        </w:rPr>
        <w:t>“the ICER for donanemab incorporating the committee’s preferred assumptions was not plausibly cost effective; and (</w:t>
      </w:r>
      <w:r w:rsidR="00A9214B">
        <w:rPr>
          <w:rFonts w:ascii="Times New Roman" w:hAnsi="Times New Roman"/>
          <w:szCs w:val="23"/>
        </w:rPr>
        <w:t>f</w:t>
      </w:r>
      <w:r w:rsidR="0051376C">
        <w:rPr>
          <w:rFonts w:ascii="Times New Roman" w:hAnsi="Times New Roman"/>
          <w:szCs w:val="23"/>
        </w:rPr>
        <w:t>)</w:t>
      </w:r>
      <w:r w:rsidR="003C44EF">
        <w:rPr>
          <w:rFonts w:ascii="Times New Roman" w:hAnsi="Times New Roman"/>
          <w:szCs w:val="23"/>
        </w:rPr>
        <w:t>”there were significant concerns that implementation would lead to considerable burden with or without data collection in the NHS”</w:t>
      </w:r>
      <w:r w:rsidR="00A75938">
        <w:rPr>
          <w:rFonts w:ascii="Times New Roman" w:hAnsi="Times New Roman"/>
          <w:szCs w:val="23"/>
        </w:rPr>
        <w:t>.</w:t>
      </w:r>
      <w:r w:rsidR="0051376C">
        <w:rPr>
          <w:rFonts w:ascii="Times New Roman" w:hAnsi="Times New Roman"/>
          <w:szCs w:val="23"/>
        </w:rPr>
        <w:t xml:space="preserve"> </w:t>
      </w:r>
    </w:p>
    <w:p w14:paraId="5B27BF0D" w14:textId="77777777" w:rsidR="007654EB" w:rsidRPr="00E01C6F" w:rsidRDefault="007654EB" w:rsidP="0051376C">
      <w:pPr>
        <w:pStyle w:val="Default"/>
        <w:spacing w:line="276" w:lineRule="auto"/>
        <w:rPr>
          <w:rFonts w:ascii="Times New Roman" w:hAnsi="Times New Roman"/>
          <w:szCs w:val="23"/>
        </w:rPr>
      </w:pPr>
    </w:p>
    <w:p w14:paraId="7FEBA857" w14:textId="25BA635D" w:rsidR="00C24BF5" w:rsidRDefault="00DF5E23" w:rsidP="00A75938">
      <w:pPr>
        <w:pStyle w:val="Default"/>
        <w:spacing w:after="240"/>
        <w:rPr>
          <w:rFonts w:ascii="Times New Roman" w:hAnsi="Times New Roman"/>
        </w:rPr>
      </w:pPr>
      <w:r>
        <w:rPr>
          <w:rFonts w:ascii="Times New Roman" w:hAnsi="Times New Roman"/>
        </w:rPr>
        <w:t xml:space="preserve">NICE’s Manual addresses </w:t>
      </w:r>
      <w:r w:rsidR="00DC3632" w:rsidRPr="00E01C6F">
        <w:rPr>
          <w:rFonts w:ascii="Times New Roman" w:hAnsi="Times New Roman"/>
        </w:rPr>
        <w:t xml:space="preserve">managed access </w:t>
      </w:r>
      <w:r w:rsidR="00C24BF5">
        <w:rPr>
          <w:rFonts w:ascii="Times New Roman" w:hAnsi="Times New Roman"/>
        </w:rPr>
        <w:t>at paragraphs 6.</w:t>
      </w:r>
      <w:r w:rsidR="00647892">
        <w:rPr>
          <w:rFonts w:ascii="Times New Roman" w:hAnsi="Times New Roman"/>
        </w:rPr>
        <w:t>4.6 – 6.4.11</w:t>
      </w:r>
      <w:r>
        <w:rPr>
          <w:rFonts w:ascii="Times New Roman" w:hAnsi="Times New Roman"/>
        </w:rPr>
        <w:t>:</w:t>
      </w:r>
    </w:p>
    <w:p w14:paraId="35CC3CD0" w14:textId="37B8405B" w:rsidR="0031408B" w:rsidRPr="0031408B" w:rsidRDefault="003E345F" w:rsidP="003E345F">
      <w:pPr>
        <w:pStyle w:val="Default"/>
        <w:ind w:left="360"/>
        <w:rPr>
          <w:rFonts w:ascii="Times New Roman" w:hAnsi="Times New Roman"/>
          <w:i/>
          <w:iCs/>
        </w:rPr>
      </w:pPr>
      <w:r w:rsidRPr="003E345F">
        <w:rPr>
          <w:rFonts w:ascii="Times New Roman" w:hAnsi="Times New Roman"/>
          <w:i/>
          <w:iCs/>
        </w:rPr>
        <w:t>“6.4.6</w:t>
      </w:r>
      <w:r w:rsidRPr="003E345F">
        <w:rPr>
          <w:rFonts w:ascii="Times New Roman" w:hAnsi="Times New Roman"/>
          <w:i/>
          <w:iCs/>
        </w:rPr>
        <w:tab/>
      </w:r>
      <w:r w:rsidR="0031408B" w:rsidRPr="0031408B">
        <w:rPr>
          <w:rFonts w:ascii="Times New Roman" w:hAnsi="Times New Roman"/>
          <w:i/>
          <w:iCs/>
        </w:rPr>
        <w:t>When a committee is unable to recommend a medicine because there is still significant resolvable uncertainty, it can make a recommendation for further evidence to be gathered subject to managed access. The committee can consider a recommendation with managed access when:</w:t>
      </w:r>
    </w:p>
    <w:p w14:paraId="7745D96A" w14:textId="77777777" w:rsidR="0031408B" w:rsidRPr="0031408B" w:rsidRDefault="0031408B" w:rsidP="003E345F">
      <w:pPr>
        <w:pStyle w:val="Default"/>
        <w:numPr>
          <w:ilvl w:val="0"/>
          <w:numId w:val="22"/>
        </w:numPr>
        <w:tabs>
          <w:tab w:val="clear" w:pos="720"/>
          <w:tab w:val="num" w:pos="1080"/>
        </w:tabs>
        <w:ind w:left="1080"/>
        <w:rPr>
          <w:rFonts w:ascii="Times New Roman" w:hAnsi="Times New Roman"/>
          <w:i/>
          <w:iCs/>
        </w:rPr>
      </w:pPr>
      <w:r w:rsidRPr="0031408B">
        <w:rPr>
          <w:rFonts w:ascii="Times New Roman" w:hAnsi="Times New Roman"/>
          <w:i/>
          <w:iCs/>
        </w:rPr>
        <w:t>the medicine has not been recommended, it has the plausible potential to be cost effective at the currently agreed price, but the evidence is currently too uncertain, and</w:t>
      </w:r>
    </w:p>
    <w:p w14:paraId="4DB2C040" w14:textId="77777777" w:rsidR="0031408B" w:rsidRPr="0031408B" w:rsidRDefault="0031408B" w:rsidP="003E345F">
      <w:pPr>
        <w:pStyle w:val="Default"/>
        <w:numPr>
          <w:ilvl w:val="0"/>
          <w:numId w:val="22"/>
        </w:numPr>
        <w:tabs>
          <w:tab w:val="clear" w:pos="720"/>
          <w:tab w:val="num" w:pos="1080"/>
        </w:tabs>
        <w:ind w:left="1080"/>
        <w:rPr>
          <w:rFonts w:ascii="Times New Roman" w:hAnsi="Times New Roman"/>
          <w:i/>
          <w:iCs/>
        </w:rPr>
      </w:pPr>
      <w:r w:rsidRPr="0031408B">
        <w:rPr>
          <w:rFonts w:ascii="Times New Roman" w:hAnsi="Times New Roman"/>
          <w:i/>
          <w:iCs/>
        </w:rPr>
        <w:t>new evidence that could sufficiently support the case for recommendation is expected from ongoing or planned clinical trials, or could be collected from patients having the medicine in clinical practice, and</w:t>
      </w:r>
    </w:p>
    <w:p w14:paraId="5D86441F" w14:textId="77777777" w:rsidR="0031408B" w:rsidRPr="0031408B" w:rsidRDefault="0031408B" w:rsidP="003E345F">
      <w:pPr>
        <w:pStyle w:val="Default"/>
        <w:numPr>
          <w:ilvl w:val="0"/>
          <w:numId w:val="22"/>
        </w:numPr>
        <w:tabs>
          <w:tab w:val="clear" w:pos="720"/>
          <w:tab w:val="num" w:pos="1080"/>
        </w:tabs>
        <w:ind w:left="1080"/>
        <w:rPr>
          <w:rFonts w:ascii="Times New Roman" w:hAnsi="Times New Roman"/>
          <w:i/>
          <w:iCs/>
        </w:rPr>
      </w:pPr>
      <w:r w:rsidRPr="0031408B">
        <w:rPr>
          <w:rFonts w:ascii="Times New Roman" w:hAnsi="Times New Roman"/>
          <w:i/>
          <w:iCs/>
        </w:rPr>
        <w:t>these data could feasibly be collected within a reasonable timeframe (up to a maximum of 5 years) without undue burden.</w:t>
      </w:r>
    </w:p>
    <w:p w14:paraId="53752329" w14:textId="7E9A7E24" w:rsidR="0031408B" w:rsidRPr="0031408B" w:rsidRDefault="00A75938" w:rsidP="003E345F">
      <w:pPr>
        <w:pStyle w:val="Default"/>
        <w:ind w:left="360"/>
        <w:rPr>
          <w:rFonts w:ascii="Times New Roman" w:hAnsi="Times New Roman"/>
          <w:i/>
          <w:iCs/>
        </w:rPr>
      </w:pPr>
      <w:r>
        <w:rPr>
          <w:rFonts w:ascii="Times New Roman" w:hAnsi="Times New Roman"/>
          <w:i/>
          <w:iCs/>
        </w:rPr>
        <w:t>…….</w:t>
      </w:r>
    </w:p>
    <w:p w14:paraId="62986A34" w14:textId="548E9868" w:rsidR="0031408B" w:rsidRPr="001F2EA8" w:rsidRDefault="0031408B" w:rsidP="003E345F">
      <w:pPr>
        <w:pStyle w:val="Default"/>
        <w:ind w:left="360"/>
        <w:rPr>
          <w:rFonts w:ascii="Times New Roman" w:hAnsi="Times New Roman"/>
        </w:rPr>
      </w:pPr>
      <w:r w:rsidRPr="0031408B">
        <w:rPr>
          <w:rFonts w:ascii="Times New Roman" w:hAnsi="Times New Roman"/>
          <w:i/>
          <w:iCs/>
        </w:rPr>
        <w:t>6.4.8</w:t>
      </w:r>
      <w:r w:rsidR="003E345F" w:rsidRPr="003E345F">
        <w:rPr>
          <w:rFonts w:ascii="Times New Roman" w:hAnsi="Times New Roman"/>
          <w:i/>
          <w:iCs/>
        </w:rPr>
        <w:tab/>
      </w:r>
      <w:r w:rsidRPr="0031408B">
        <w:rPr>
          <w:rFonts w:ascii="Times New Roman" w:hAnsi="Times New Roman"/>
          <w:i/>
          <w:iCs/>
        </w:rPr>
        <w:t>A recommendation with managed access is intended to reduce uncertainty about specific evidential issues identified by the committee</w:t>
      </w:r>
      <w:r w:rsidR="003E345F" w:rsidRPr="003E345F">
        <w:rPr>
          <w:rFonts w:ascii="Times New Roman" w:hAnsi="Times New Roman"/>
          <w:i/>
          <w:iCs/>
        </w:rPr>
        <w:t>”</w:t>
      </w:r>
      <w:r w:rsidRPr="0031408B">
        <w:rPr>
          <w:rFonts w:ascii="Times New Roman" w:hAnsi="Times New Roman"/>
          <w:i/>
          <w:iCs/>
        </w:rPr>
        <w:t>.</w:t>
      </w:r>
    </w:p>
    <w:p w14:paraId="697C9692" w14:textId="77777777" w:rsidR="0031408B" w:rsidRDefault="0031408B" w:rsidP="00DE0CB5">
      <w:pPr>
        <w:pStyle w:val="Default"/>
        <w:rPr>
          <w:rFonts w:ascii="Times New Roman" w:hAnsi="Times New Roman"/>
          <w:i/>
          <w:iCs/>
        </w:rPr>
      </w:pPr>
    </w:p>
    <w:p w14:paraId="65AA7142" w14:textId="7A2A5B43" w:rsidR="00A9214B" w:rsidRPr="001F2EA8" w:rsidRDefault="00A9214B" w:rsidP="001F2EA8">
      <w:pPr>
        <w:ind w:left="360"/>
        <w:jc w:val="both"/>
        <w:rPr>
          <w:rFonts w:ascii="Times New Roman" w:hAnsi="Times New Roman"/>
        </w:rPr>
      </w:pPr>
      <w:r>
        <w:rPr>
          <w:rFonts w:ascii="Times New Roman" w:hAnsi="Times New Roman"/>
        </w:rPr>
        <w:t>T</w:t>
      </w:r>
      <w:r w:rsidRPr="001F2EA8">
        <w:rPr>
          <w:rFonts w:ascii="Times New Roman" w:hAnsi="Times New Roman"/>
        </w:rPr>
        <w:t xml:space="preserve">he </w:t>
      </w:r>
      <w:r>
        <w:rPr>
          <w:rFonts w:ascii="Times New Roman" w:hAnsi="Times New Roman"/>
        </w:rPr>
        <w:t>I</w:t>
      </w:r>
      <w:r w:rsidRPr="001F2EA8">
        <w:rPr>
          <w:rFonts w:ascii="Times New Roman" w:hAnsi="Times New Roman"/>
        </w:rPr>
        <w:t>nnovative Medicines Fund Principles document dated 6 June 2022</w:t>
      </w:r>
      <w:r>
        <w:rPr>
          <w:rFonts w:ascii="Times New Roman" w:hAnsi="Times New Roman"/>
        </w:rPr>
        <w:t xml:space="preserve"> (“the IMF Document”)</w:t>
      </w:r>
      <w:r w:rsidRPr="001F2EA8">
        <w:rPr>
          <w:rFonts w:ascii="Times New Roman" w:hAnsi="Times New Roman"/>
        </w:rPr>
        <w:t xml:space="preserve">, lists the requirements for entry </w:t>
      </w:r>
      <w:r>
        <w:rPr>
          <w:rFonts w:ascii="Times New Roman" w:hAnsi="Times New Roman"/>
        </w:rPr>
        <w:t xml:space="preserve">to the Fund </w:t>
      </w:r>
      <w:r w:rsidRPr="001F2EA8">
        <w:rPr>
          <w:rFonts w:ascii="Times New Roman" w:hAnsi="Times New Roman"/>
        </w:rPr>
        <w:t>at paragraph 25.</w:t>
      </w:r>
    </w:p>
    <w:p w14:paraId="56C7E317" w14:textId="07C9A305" w:rsidR="00A9214B" w:rsidRPr="001F2EA8" w:rsidRDefault="00A9214B" w:rsidP="00A9214B">
      <w:pPr>
        <w:pStyle w:val="ListParagraph"/>
        <w:numPr>
          <w:ilvl w:val="0"/>
          <w:numId w:val="37"/>
        </w:numPr>
        <w:autoSpaceDE w:val="0"/>
        <w:autoSpaceDN w:val="0"/>
        <w:adjustRightInd w:val="0"/>
        <w:spacing w:after="153" w:line="240" w:lineRule="auto"/>
        <w:rPr>
          <w:rFonts w:ascii="Times New Roman" w:hAnsi="Times New Roman" w:cs="Arial"/>
          <w:i/>
          <w:iCs/>
          <w:color w:val="000000"/>
          <w:kern w:val="0"/>
          <w:szCs w:val="23"/>
        </w:rPr>
      </w:pPr>
      <w:r>
        <w:rPr>
          <w:rFonts w:ascii="Times New Roman" w:hAnsi="Times New Roman" w:cs="Arial"/>
          <w:color w:val="221F1F"/>
          <w:kern w:val="0"/>
          <w:szCs w:val="23"/>
        </w:rPr>
        <w:t>“</w:t>
      </w:r>
      <w:r w:rsidRPr="001F2EA8">
        <w:rPr>
          <w:rFonts w:ascii="Times New Roman" w:hAnsi="Times New Roman" w:cs="Arial"/>
          <w:i/>
          <w:iCs/>
          <w:color w:val="221F1F"/>
          <w:kern w:val="0"/>
          <w:szCs w:val="23"/>
        </w:rPr>
        <w:t xml:space="preserve">the technology has the potential to address a high unmet need; </w:t>
      </w:r>
    </w:p>
    <w:p w14:paraId="4D5FDBB2" w14:textId="77777777" w:rsidR="00A9214B" w:rsidRPr="001F2EA8" w:rsidRDefault="00A9214B" w:rsidP="00A9214B">
      <w:pPr>
        <w:pStyle w:val="ListParagraph"/>
        <w:numPr>
          <w:ilvl w:val="0"/>
          <w:numId w:val="37"/>
        </w:numPr>
        <w:autoSpaceDE w:val="0"/>
        <w:autoSpaceDN w:val="0"/>
        <w:adjustRightInd w:val="0"/>
        <w:spacing w:after="153" w:line="240" w:lineRule="auto"/>
        <w:rPr>
          <w:rFonts w:ascii="Times New Roman" w:hAnsi="Times New Roman" w:cs="Arial"/>
          <w:i/>
          <w:iCs/>
          <w:color w:val="000000"/>
          <w:kern w:val="0"/>
          <w:szCs w:val="23"/>
        </w:rPr>
      </w:pPr>
      <w:r w:rsidRPr="001F2EA8">
        <w:rPr>
          <w:rFonts w:ascii="Times New Roman" w:hAnsi="Times New Roman" w:cs="Arial"/>
          <w:i/>
          <w:iCs/>
          <w:color w:val="221F1F"/>
          <w:kern w:val="0"/>
          <w:szCs w:val="23"/>
        </w:rPr>
        <w:t xml:space="preserve">the technology has the potential to provide significant clinical benefits to patients; </w:t>
      </w:r>
      <w:r w:rsidRPr="001F2EA8">
        <w:rPr>
          <w:rFonts w:ascii="Times New Roman" w:hAnsi="Times New Roman" w:cs="Arial"/>
          <w:b/>
          <w:bCs/>
          <w:i/>
          <w:iCs/>
          <w:color w:val="221F1F"/>
          <w:kern w:val="0"/>
          <w:szCs w:val="23"/>
        </w:rPr>
        <w:t>or</w:t>
      </w:r>
      <w:r w:rsidRPr="001F2EA8">
        <w:rPr>
          <w:rFonts w:ascii="Times New Roman" w:hAnsi="Times New Roman" w:cs="Arial"/>
          <w:i/>
          <w:iCs/>
          <w:color w:val="221F1F"/>
          <w:kern w:val="0"/>
          <w:szCs w:val="23"/>
        </w:rPr>
        <w:t xml:space="preserve"> </w:t>
      </w:r>
    </w:p>
    <w:p w14:paraId="717C1C8B" w14:textId="77777777" w:rsidR="00A9214B" w:rsidRPr="001F2EA8" w:rsidRDefault="00A9214B" w:rsidP="00A9214B">
      <w:pPr>
        <w:pStyle w:val="ListParagraph"/>
        <w:numPr>
          <w:ilvl w:val="0"/>
          <w:numId w:val="37"/>
        </w:numPr>
        <w:autoSpaceDE w:val="0"/>
        <w:autoSpaceDN w:val="0"/>
        <w:adjustRightInd w:val="0"/>
        <w:spacing w:after="153" w:line="240" w:lineRule="auto"/>
        <w:rPr>
          <w:rFonts w:ascii="Times New Roman" w:hAnsi="Times New Roman" w:cs="Arial"/>
          <w:i/>
          <w:iCs/>
          <w:color w:val="000000"/>
          <w:kern w:val="0"/>
          <w:szCs w:val="23"/>
        </w:rPr>
      </w:pPr>
      <w:r w:rsidRPr="001F2EA8">
        <w:rPr>
          <w:rFonts w:ascii="Times New Roman" w:hAnsi="Times New Roman" w:cs="Arial"/>
          <w:i/>
          <w:iCs/>
          <w:color w:val="221F1F"/>
          <w:kern w:val="0"/>
          <w:szCs w:val="23"/>
        </w:rPr>
        <w:t xml:space="preserve">the technology represents a step-change in medicine for patients and clinicians; and </w:t>
      </w:r>
    </w:p>
    <w:p w14:paraId="415FFB61" w14:textId="68408905" w:rsidR="00A9214B" w:rsidRPr="001F2EA8" w:rsidRDefault="00A9214B" w:rsidP="00A9214B">
      <w:pPr>
        <w:pStyle w:val="ListParagraph"/>
        <w:numPr>
          <w:ilvl w:val="0"/>
          <w:numId w:val="37"/>
        </w:numPr>
        <w:autoSpaceDE w:val="0"/>
        <w:autoSpaceDN w:val="0"/>
        <w:adjustRightInd w:val="0"/>
        <w:spacing w:after="153" w:line="240" w:lineRule="auto"/>
        <w:rPr>
          <w:rFonts w:ascii="Times New Roman" w:hAnsi="Times New Roman" w:cs="Arial"/>
          <w:i/>
          <w:iCs/>
          <w:color w:val="000000"/>
          <w:kern w:val="0"/>
          <w:szCs w:val="23"/>
        </w:rPr>
      </w:pPr>
      <w:r w:rsidRPr="001F2EA8">
        <w:rPr>
          <w:rFonts w:ascii="Times New Roman" w:hAnsi="Times New Roman" w:cs="Arial"/>
          <w:i/>
          <w:iCs/>
          <w:color w:val="221F1F"/>
          <w:kern w:val="0"/>
          <w:szCs w:val="23"/>
        </w:rPr>
        <w:t xml:space="preserve">the new evidence to be generated is considered meaningful and could sufficiently reduce uncertainty”. </w:t>
      </w:r>
    </w:p>
    <w:p w14:paraId="00B715EA" w14:textId="77777777" w:rsidR="00A9214B" w:rsidRPr="001F2EA8" w:rsidRDefault="00A9214B" w:rsidP="00DE0CB5">
      <w:pPr>
        <w:pStyle w:val="Default"/>
        <w:rPr>
          <w:rFonts w:ascii="Times New Roman" w:hAnsi="Times New Roman"/>
        </w:rPr>
      </w:pPr>
    </w:p>
    <w:p w14:paraId="6E370DEE" w14:textId="09ADFB4C" w:rsidR="00562C1C" w:rsidRPr="00EE475C" w:rsidRDefault="003D3459" w:rsidP="00EE475C">
      <w:pPr>
        <w:ind w:left="360"/>
        <w:jc w:val="both"/>
        <w:rPr>
          <w:rFonts w:ascii="Times New Roman" w:hAnsi="Times New Roman"/>
        </w:rPr>
      </w:pPr>
      <w:r w:rsidRPr="004B6297">
        <w:rPr>
          <w:rFonts w:ascii="Times New Roman" w:hAnsi="Times New Roman"/>
        </w:rPr>
        <w:t>T</w:t>
      </w:r>
      <w:r w:rsidR="00F877F3" w:rsidRPr="004B6297">
        <w:rPr>
          <w:rFonts w:ascii="Times New Roman" w:hAnsi="Times New Roman"/>
        </w:rPr>
        <w:t>he Committee</w:t>
      </w:r>
      <w:r w:rsidR="008B1238" w:rsidRPr="004B6297">
        <w:rPr>
          <w:rFonts w:ascii="Times New Roman" w:hAnsi="Times New Roman"/>
        </w:rPr>
        <w:t xml:space="preserve">’s </w:t>
      </w:r>
      <w:r w:rsidR="00B555DF">
        <w:rPr>
          <w:rFonts w:ascii="Times New Roman" w:hAnsi="Times New Roman"/>
        </w:rPr>
        <w:t xml:space="preserve">assessment and reasons for refusing a recommendation with managed access </w:t>
      </w:r>
      <w:r w:rsidR="008C6CA4">
        <w:rPr>
          <w:rFonts w:ascii="Times New Roman" w:hAnsi="Times New Roman"/>
        </w:rPr>
        <w:t xml:space="preserve">are </w:t>
      </w:r>
      <w:r w:rsidR="00F77C28" w:rsidRPr="004B6297">
        <w:rPr>
          <w:rFonts w:ascii="Times New Roman" w:hAnsi="Times New Roman"/>
        </w:rPr>
        <w:t xml:space="preserve">not consistent with </w:t>
      </w:r>
      <w:r w:rsidRPr="004B6297">
        <w:rPr>
          <w:rFonts w:ascii="Times New Roman" w:hAnsi="Times New Roman"/>
        </w:rPr>
        <w:t>the Manual</w:t>
      </w:r>
      <w:r w:rsidR="00A9214B">
        <w:rPr>
          <w:rFonts w:ascii="Times New Roman" w:hAnsi="Times New Roman"/>
        </w:rPr>
        <w:t xml:space="preserve"> and the IMF Document</w:t>
      </w:r>
      <w:r w:rsidRPr="004B6297">
        <w:rPr>
          <w:rFonts w:ascii="Times New Roman" w:hAnsi="Times New Roman"/>
        </w:rPr>
        <w:t xml:space="preserve"> and </w:t>
      </w:r>
      <w:r w:rsidR="008C6CA4">
        <w:rPr>
          <w:rFonts w:ascii="Times New Roman" w:hAnsi="Times New Roman"/>
        </w:rPr>
        <w:t xml:space="preserve">are </w:t>
      </w:r>
      <w:r w:rsidRPr="004B6297">
        <w:rPr>
          <w:rFonts w:ascii="Times New Roman" w:hAnsi="Times New Roman"/>
        </w:rPr>
        <w:t>otherwise unfair</w:t>
      </w:r>
      <w:r w:rsidR="00D97AE5">
        <w:rPr>
          <w:rFonts w:ascii="Times New Roman" w:hAnsi="Times New Roman"/>
        </w:rPr>
        <w:t>:</w:t>
      </w:r>
    </w:p>
    <w:p w14:paraId="3B5A26DF" w14:textId="06CE3B3A" w:rsidR="00A9214B" w:rsidRDefault="00A9214B" w:rsidP="00A9214B">
      <w:pPr>
        <w:pStyle w:val="ListParagraph"/>
        <w:numPr>
          <w:ilvl w:val="0"/>
          <w:numId w:val="31"/>
        </w:numPr>
        <w:jc w:val="both"/>
        <w:rPr>
          <w:rFonts w:ascii="Times New Roman" w:hAnsi="Times New Roman"/>
        </w:rPr>
      </w:pPr>
      <w:r>
        <w:rPr>
          <w:rFonts w:ascii="Times New Roman" w:hAnsi="Times New Roman"/>
        </w:rPr>
        <w:t>The Committee</w:t>
      </w:r>
      <w:r w:rsidR="00AB3CD8">
        <w:rPr>
          <w:rFonts w:ascii="Times New Roman" w:hAnsi="Times New Roman"/>
        </w:rPr>
        <w:t xml:space="preserve">’s reasons for rejecting managed access for donanemab relied upon a statement from the IMF clinical lead that “managed access is a vehicle for patients to access promising treatments with significant clinical benefit” and that the Committee had concluded that </w:t>
      </w:r>
      <w:r w:rsidR="00AB3CD8" w:rsidRPr="00AB3CD8">
        <w:rPr>
          <w:rFonts w:ascii="Times New Roman" w:hAnsi="Times New Roman"/>
        </w:rPr>
        <w:t>“the benefit donanemab provides is small”</w:t>
      </w:r>
      <w:r w:rsidR="00AB3CD8">
        <w:rPr>
          <w:rFonts w:ascii="Times New Roman" w:hAnsi="Times New Roman"/>
        </w:rPr>
        <w:t xml:space="preserve">.  Lilly does not accept that this assessment is correct, however in any </w:t>
      </w:r>
      <w:r w:rsidR="00745D39">
        <w:rPr>
          <w:rFonts w:ascii="Times New Roman" w:hAnsi="Times New Roman"/>
        </w:rPr>
        <w:t>event</w:t>
      </w:r>
      <w:r w:rsidR="00AB3CD8">
        <w:rPr>
          <w:rFonts w:ascii="Times New Roman" w:hAnsi="Times New Roman"/>
        </w:rPr>
        <w:t xml:space="preserve">, the </w:t>
      </w:r>
      <w:r w:rsidR="00C359E7">
        <w:rPr>
          <w:rFonts w:ascii="Times New Roman" w:hAnsi="Times New Roman"/>
        </w:rPr>
        <w:t xml:space="preserve">FDG </w:t>
      </w:r>
      <w:r w:rsidR="00AB3CD8">
        <w:rPr>
          <w:rFonts w:ascii="Times New Roman" w:hAnsi="Times New Roman"/>
        </w:rPr>
        <w:t xml:space="preserve">misrepresents the entry criteria set out in the IMF Document, set out above.  </w:t>
      </w:r>
      <w:r w:rsidR="00C359E7">
        <w:rPr>
          <w:rFonts w:ascii="Times New Roman" w:hAnsi="Times New Roman"/>
        </w:rPr>
        <w:t>The requirement for “</w:t>
      </w:r>
      <w:r w:rsidR="00C359E7" w:rsidRPr="001F2EA8">
        <w:rPr>
          <w:rFonts w:ascii="Times New Roman" w:hAnsi="Times New Roman"/>
          <w:i/>
          <w:iCs/>
        </w:rPr>
        <w:t>significant clinical benefit</w:t>
      </w:r>
      <w:r w:rsidR="00C359E7">
        <w:rPr>
          <w:rFonts w:ascii="Times New Roman" w:hAnsi="Times New Roman"/>
        </w:rPr>
        <w:t>” is an alternative to “</w:t>
      </w:r>
      <w:r w:rsidR="00C359E7" w:rsidRPr="001F2EA8">
        <w:rPr>
          <w:rFonts w:ascii="Times New Roman" w:hAnsi="Times New Roman"/>
          <w:i/>
          <w:iCs/>
        </w:rPr>
        <w:t>the technology represents a step-change”</w:t>
      </w:r>
      <w:r>
        <w:rPr>
          <w:rFonts w:ascii="Times New Roman" w:hAnsi="Times New Roman"/>
        </w:rPr>
        <w:t xml:space="preserve"> </w:t>
      </w:r>
      <w:r w:rsidR="00C359E7">
        <w:rPr>
          <w:rFonts w:ascii="Times New Roman" w:hAnsi="Times New Roman"/>
        </w:rPr>
        <w:t>and “</w:t>
      </w:r>
      <w:r w:rsidR="00C359E7" w:rsidRPr="001F2EA8">
        <w:rPr>
          <w:rFonts w:ascii="Times New Roman" w:hAnsi="Times New Roman"/>
          <w:i/>
          <w:iCs/>
        </w:rPr>
        <w:t>the evidence to be generated is considered meaningful and could sufficiently reduce uncertainty</w:t>
      </w:r>
      <w:r w:rsidR="00C359E7">
        <w:rPr>
          <w:rFonts w:ascii="Times New Roman" w:hAnsi="Times New Roman"/>
        </w:rPr>
        <w:t>”.  The Committee gave no consideration to the second arm of the entry criteria, even though there are strong reason</w:t>
      </w:r>
      <w:r w:rsidR="008D7C55">
        <w:rPr>
          <w:rFonts w:ascii="Times New Roman" w:hAnsi="Times New Roman"/>
        </w:rPr>
        <w:t xml:space="preserve">s for concluding that </w:t>
      </w:r>
      <w:r w:rsidR="00745D39">
        <w:rPr>
          <w:rFonts w:ascii="Times New Roman" w:hAnsi="Times New Roman"/>
        </w:rPr>
        <w:t>donanemab</w:t>
      </w:r>
      <w:r w:rsidR="00C359E7">
        <w:rPr>
          <w:rFonts w:ascii="Times New Roman" w:hAnsi="Times New Roman"/>
        </w:rPr>
        <w:t xml:space="preserve"> </w:t>
      </w:r>
      <w:r w:rsidR="008D7C55">
        <w:rPr>
          <w:rFonts w:ascii="Times New Roman" w:hAnsi="Times New Roman"/>
        </w:rPr>
        <w:t>is a step change in treatment for early AD and the evidence to be generated meets the meaningful and sufficiently reduce uncertainty tests.</w:t>
      </w:r>
    </w:p>
    <w:p w14:paraId="7CE3E3E0" w14:textId="77777777" w:rsidR="008D7C55" w:rsidRPr="001F2EA8" w:rsidRDefault="008D7C55" w:rsidP="00D16636">
      <w:pPr>
        <w:jc w:val="both"/>
        <w:rPr>
          <w:rFonts w:ascii="Times New Roman" w:hAnsi="Times New Roman"/>
        </w:rPr>
      </w:pPr>
    </w:p>
    <w:p w14:paraId="6DF7D756" w14:textId="133A51D1" w:rsidR="0095575B" w:rsidRDefault="0095575B" w:rsidP="00EE475C">
      <w:pPr>
        <w:pStyle w:val="ListParagraph"/>
        <w:numPr>
          <w:ilvl w:val="0"/>
          <w:numId w:val="31"/>
        </w:numPr>
        <w:jc w:val="both"/>
        <w:rPr>
          <w:rFonts w:ascii="Times New Roman" w:hAnsi="Times New Roman"/>
        </w:rPr>
      </w:pPr>
      <w:r>
        <w:rPr>
          <w:rFonts w:ascii="Times New Roman" w:hAnsi="Times New Roman"/>
        </w:rPr>
        <w:t xml:space="preserve">It is not a requirement of the Manual </w:t>
      </w:r>
      <w:r w:rsidR="000E7C41">
        <w:rPr>
          <w:rFonts w:ascii="Times New Roman" w:hAnsi="Times New Roman"/>
        </w:rPr>
        <w:t>that managed access sh</w:t>
      </w:r>
      <w:r w:rsidR="00D32520">
        <w:rPr>
          <w:rFonts w:ascii="Times New Roman" w:hAnsi="Times New Roman"/>
        </w:rPr>
        <w:t>ould resolve all uncertainties</w:t>
      </w:r>
      <w:r w:rsidR="002F572E">
        <w:rPr>
          <w:rFonts w:ascii="Times New Roman" w:hAnsi="Times New Roman"/>
        </w:rPr>
        <w:t xml:space="preserve"> – rather than simply “</w:t>
      </w:r>
      <w:r w:rsidR="002F572E" w:rsidRPr="002F572E">
        <w:rPr>
          <w:rFonts w:ascii="Times New Roman" w:hAnsi="Times New Roman"/>
          <w:i/>
          <w:iCs/>
        </w:rPr>
        <w:t>reduce uncertainty</w:t>
      </w:r>
      <w:r w:rsidR="002F572E">
        <w:rPr>
          <w:rFonts w:ascii="Times New Roman" w:hAnsi="Times New Roman"/>
        </w:rPr>
        <w:t xml:space="preserve">”.  </w:t>
      </w:r>
      <w:r w:rsidR="00994EEE">
        <w:rPr>
          <w:rFonts w:ascii="Times New Roman" w:hAnsi="Times New Roman"/>
        </w:rPr>
        <w:t>In these circums</w:t>
      </w:r>
      <w:r w:rsidR="000B38CE">
        <w:rPr>
          <w:rFonts w:ascii="Times New Roman" w:hAnsi="Times New Roman"/>
        </w:rPr>
        <w:t>t</w:t>
      </w:r>
      <w:r w:rsidR="00994EEE">
        <w:rPr>
          <w:rFonts w:ascii="Times New Roman" w:hAnsi="Times New Roman"/>
        </w:rPr>
        <w:t>an</w:t>
      </w:r>
      <w:r w:rsidR="00DE6A28">
        <w:rPr>
          <w:rFonts w:ascii="Times New Roman" w:hAnsi="Times New Roman"/>
        </w:rPr>
        <w:t>ces</w:t>
      </w:r>
      <w:r w:rsidR="00994EEE">
        <w:rPr>
          <w:rFonts w:ascii="Times New Roman" w:hAnsi="Times New Roman"/>
        </w:rPr>
        <w:t xml:space="preserve"> the Committee’s rejection of managed access because it will not resolve all </w:t>
      </w:r>
      <w:r w:rsidR="007B21A4">
        <w:rPr>
          <w:rFonts w:ascii="Times New Roman" w:hAnsi="Times New Roman"/>
        </w:rPr>
        <w:t>uncertainty conflicts with the Manual.  Importantly, c</w:t>
      </w:r>
      <w:r w:rsidR="002F572E">
        <w:rPr>
          <w:rFonts w:ascii="Times New Roman" w:hAnsi="Times New Roman"/>
        </w:rPr>
        <w:t>onsidering</w:t>
      </w:r>
      <w:r w:rsidR="00201E40">
        <w:rPr>
          <w:rFonts w:ascii="Times New Roman" w:hAnsi="Times New Roman"/>
        </w:rPr>
        <w:t xml:space="preserve"> the uncertainties identified by the Committee </w:t>
      </w:r>
      <w:r w:rsidR="001025E4">
        <w:rPr>
          <w:rFonts w:ascii="Times New Roman" w:hAnsi="Times New Roman"/>
        </w:rPr>
        <w:t xml:space="preserve">at paragraph 3.25 of the FDG, </w:t>
      </w:r>
      <w:r w:rsidR="007254AE">
        <w:rPr>
          <w:rFonts w:ascii="Times New Roman" w:hAnsi="Times New Roman"/>
        </w:rPr>
        <w:t xml:space="preserve">it is clear that data collection through managed access could </w:t>
      </w:r>
      <w:r w:rsidR="00914EFB">
        <w:rPr>
          <w:rFonts w:ascii="Times New Roman" w:hAnsi="Times New Roman"/>
        </w:rPr>
        <w:t xml:space="preserve">reduce uncertainties in all or </w:t>
      </w:r>
      <w:r w:rsidR="007A2645">
        <w:rPr>
          <w:rFonts w:ascii="Times New Roman" w:hAnsi="Times New Roman"/>
        </w:rPr>
        <w:t>most of these.</w:t>
      </w:r>
    </w:p>
    <w:p w14:paraId="0EFB31FB" w14:textId="77777777" w:rsidR="007263FE" w:rsidRDefault="007263FE" w:rsidP="00D16636">
      <w:pPr>
        <w:pStyle w:val="ListParagraph"/>
        <w:rPr>
          <w:rFonts w:ascii="Times New Roman" w:hAnsi="Times New Roman"/>
        </w:rPr>
      </w:pPr>
    </w:p>
    <w:p w14:paraId="28756C7C" w14:textId="77777777" w:rsidR="003C3739" w:rsidRPr="003C3739" w:rsidRDefault="003C3739" w:rsidP="003C3739">
      <w:pPr>
        <w:jc w:val="both"/>
        <w:rPr>
          <w:rFonts w:ascii="Times New Roman" w:hAnsi="Times New Roman"/>
        </w:rPr>
      </w:pPr>
    </w:p>
    <w:p w14:paraId="7784343D" w14:textId="5EC34021" w:rsidR="002A6C54" w:rsidRDefault="00EE475C" w:rsidP="003C3739">
      <w:pPr>
        <w:pStyle w:val="ListParagraph"/>
        <w:numPr>
          <w:ilvl w:val="0"/>
          <w:numId w:val="31"/>
        </w:numPr>
        <w:spacing w:after="0"/>
        <w:jc w:val="both"/>
        <w:rPr>
          <w:rFonts w:ascii="Times New Roman" w:hAnsi="Times New Roman"/>
        </w:rPr>
      </w:pPr>
      <w:r>
        <w:rPr>
          <w:rFonts w:ascii="Times New Roman" w:hAnsi="Times New Roman"/>
        </w:rPr>
        <w:t>the</w:t>
      </w:r>
      <w:r w:rsidR="00D97AE5">
        <w:rPr>
          <w:rFonts w:ascii="Times New Roman" w:hAnsi="Times New Roman"/>
        </w:rPr>
        <w:t>re seems no reason why the</w:t>
      </w:r>
      <w:r>
        <w:rPr>
          <w:rFonts w:ascii="Times New Roman" w:hAnsi="Times New Roman"/>
        </w:rPr>
        <w:t xml:space="preserve"> </w:t>
      </w:r>
      <w:r w:rsidR="007A2645">
        <w:rPr>
          <w:rFonts w:ascii="Times New Roman" w:hAnsi="Times New Roman"/>
        </w:rPr>
        <w:t xml:space="preserve">specific </w:t>
      </w:r>
      <w:r w:rsidR="006B03C0">
        <w:rPr>
          <w:rFonts w:ascii="Times New Roman" w:hAnsi="Times New Roman"/>
        </w:rPr>
        <w:t xml:space="preserve">uncertainties </w:t>
      </w:r>
      <w:r w:rsidR="00D97AE5">
        <w:rPr>
          <w:rFonts w:ascii="Times New Roman" w:hAnsi="Times New Roman"/>
        </w:rPr>
        <w:t xml:space="preserve">identified by </w:t>
      </w:r>
      <w:r w:rsidR="006B03C0">
        <w:rPr>
          <w:rFonts w:ascii="Times New Roman" w:hAnsi="Times New Roman"/>
        </w:rPr>
        <w:t>the Committee</w:t>
      </w:r>
      <w:r w:rsidR="00D97AE5">
        <w:rPr>
          <w:rFonts w:ascii="Times New Roman" w:hAnsi="Times New Roman"/>
        </w:rPr>
        <w:t xml:space="preserve"> should not be addressed through </w:t>
      </w:r>
      <w:r w:rsidR="00583893">
        <w:rPr>
          <w:rFonts w:ascii="Times New Roman" w:hAnsi="Times New Roman"/>
        </w:rPr>
        <w:t>managed access.  In particular</w:t>
      </w:r>
      <w:r w:rsidR="002A6C54">
        <w:rPr>
          <w:rFonts w:ascii="Times New Roman" w:hAnsi="Times New Roman"/>
        </w:rPr>
        <w:t>:</w:t>
      </w:r>
    </w:p>
    <w:p w14:paraId="55B9241A" w14:textId="77777777" w:rsidR="007263FE" w:rsidRPr="007E5CC4" w:rsidRDefault="007263FE" w:rsidP="00D16636">
      <w:pPr>
        <w:pStyle w:val="ListParagraph"/>
        <w:rPr>
          <w:rFonts w:ascii="Times New Roman" w:hAnsi="Times New Roman"/>
        </w:rPr>
      </w:pPr>
    </w:p>
    <w:p w14:paraId="29AEA04F" w14:textId="406A5078" w:rsidR="002A6C54" w:rsidRDefault="00583893" w:rsidP="002A6C54">
      <w:pPr>
        <w:pStyle w:val="ListParagraph"/>
        <w:numPr>
          <w:ilvl w:val="0"/>
          <w:numId w:val="32"/>
        </w:numPr>
        <w:jc w:val="both"/>
        <w:rPr>
          <w:rFonts w:ascii="Times New Roman" w:hAnsi="Times New Roman"/>
        </w:rPr>
      </w:pPr>
      <w:r w:rsidRPr="002A6C54">
        <w:rPr>
          <w:rFonts w:ascii="Times New Roman" w:hAnsi="Times New Roman"/>
        </w:rPr>
        <w:t xml:space="preserve">data relating to carer health-related quality of life </w:t>
      </w:r>
      <w:r w:rsidR="002A6C54" w:rsidRPr="002A6C54">
        <w:rPr>
          <w:rFonts w:ascii="Times New Roman" w:hAnsi="Times New Roman"/>
        </w:rPr>
        <w:t>could be collected during a period of managed access</w:t>
      </w:r>
      <w:r w:rsidR="002A6C54">
        <w:rPr>
          <w:rFonts w:ascii="Times New Roman" w:hAnsi="Times New Roman"/>
        </w:rPr>
        <w:t>; and</w:t>
      </w:r>
    </w:p>
    <w:p w14:paraId="13A63C2B" w14:textId="3DF9B6EE" w:rsidR="00562C1C" w:rsidRDefault="00646A30" w:rsidP="003C3739">
      <w:pPr>
        <w:pStyle w:val="ListParagraph"/>
        <w:numPr>
          <w:ilvl w:val="0"/>
          <w:numId w:val="32"/>
        </w:numPr>
        <w:spacing w:after="0"/>
        <w:jc w:val="both"/>
        <w:rPr>
          <w:rFonts w:ascii="Times New Roman" w:hAnsi="Times New Roman"/>
        </w:rPr>
      </w:pPr>
      <w:r>
        <w:rPr>
          <w:rFonts w:ascii="Times New Roman" w:hAnsi="Times New Roman"/>
        </w:rPr>
        <w:t xml:space="preserve">evidence of treatment waning could be collected within the periods of managed access </w:t>
      </w:r>
      <w:r w:rsidR="00CB1423">
        <w:rPr>
          <w:rFonts w:ascii="Times New Roman" w:hAnsi="Times New Roman"/>
        </w:rPr>
        <w:t>(e.g. the five year period referenced in the Manual)</w:t>
      </w:r>
      <w:r w:rsidR="00AC390D">
        <w:rPr>
          <w:rFonts w:ascii="Times New Roman" w:hAnsi="Times New Roman"/>
        </w:rPr>
        <w:t xml:space="preserve">, even if the data </w:t>
      </w:r>
      <w:r w:rsidR="00CB1423">
        <w:rPr>
          <w:rFonts w:ascii="Times New Roman" w:hAnsi="Times New Roman"/>
        </w:rPr>
        <w:t xml:space="preserve">did not cover all the suggested periods of </w:t>
      </w:r>
      <w:r w:rsidR="0021028F">
        <w:rPr>
          <w:rFonts w:ascii="Times New Roman" w:hAnsi="Times New Roman"/>
        </w:rPr>
        <w:t xml:space="preserve">waning, such evidence would </w:t>
      </w:r>
      <w:r w:rsidR="003B63EF">
        <w:rPr>
          <w:rFonts w:ascii="Times New Roman" w:hAnsi="Times New Roman"/>
        </w:rPr>
        <w:t xml:space="preserve">nevertheless </w:t>
      </w:r>
      <w:r w:rsidR="0021028F">
        <w:rPr>
          <w:rFonts w:ascii="Times New Roman" w:hAnsi="Times New Roman"/>
        </w:rPr>
        <w:t xml:space="preserve">reduce uncertainty and </w:t>
      </w:r>
      <w:r w:rsidR="003B63EF">
        <w:rPr>
          <w:rFonts w:ascii="Times New Roman" w:hAnsi="Times New Roman"/>
        </w:rPr>
        <w:t>assist in consideration of donanemab.</w:t>
      </w:r>
      <w:r w:rsidR="00AC390D">
        <w:rPr>
          <w:rFonts w:ascii="Times New Roman" w:hAnsi="Times New Roman"/>
        </w:rPr>
        <w:t xml:space="preserve"> </w:t>
      </w:r>
      <w:r w:rsidR="002A6C54" w:rsidRPr="002A6C54">
        <w:rPr>
          <w:rFonts w:ascii="Times New Roman" w:hAnsi="Times New Roman"/>
        </w:rPr>
        <w:t xml:space="preserve"> </w:t>
      </w:r>
      <w:r w:rsidR="00D97AE5" w:rsidRPr="002A6C54">
        <w:rPr>
          <w:rFonts w:ascii="Times New Roman" w:hAnsi="Times New Roman"/>
        </w:rPr>
        <w:t xml:space="preserve"> </w:t>
      </w:r>
      <w:r w:rsidR="006B03C0" w:rsidRPr="002A6C54">
        <w:rPr>
          <w:rFonts w:ascii="Times New Roman" w:hAnsi="Times New Roman"/>
        </w:rPr>
        <w:t xml:space="preserve"> </w:t>
      </w:r>
    </w:p>
    <w:p w14:paraId="6EAD39E9" w14:textId="77777777" w:rsidR="003C3739" w:rsidRPr="003C3739" w:rsidRDefault="003C3739" w:rsidP="003C3739">
      <w:pPr>
        <w:spacing w:after="0"/>
        <w:jc w:val="both"/>
        <w:rPr>
          <w:rFonts w:ascii="Times New Roman" w:hAnsi="Times New Roman"/>
        </w:rPr>
      </w:pPr>
    </w:p>
    <w:p w14:paraId="41E66B76" w14:textId="73C6582C" w:rsidR="00754428" w:rsidRDefault="00D055A4">
      <w:pPr>
        <w:pStyle w:val="ListParagraph"/>
        <w:numPr>
          <w:ilvl w:val="0"/>
          <w:numId w:val="31"/>
        </w:numPr>
        <w:jc w:val="both"/>
        <w:rPr>
          <w:rFonts w:ascii="Times New Roman" w:hAnsi="Times New Roman"/>
        </w:rPr>
      </w:pPr>
      <w:r w:rsidRPr="00754428">
        <w:rPr>
          <w:rFonts w:ascii="Times New Roman" w:hAnsi="Times New Roman"/>
        </w:rPr>
        <w:t xml:space="preserve">There is no requirement for </w:t>
      </w:r>
      <w:r w:rsidR="004E1125" w:rsidRPr="00754428">
        <w:rPr>
          <w:rFonts w:ascii="Times New Roman" w:hAnsi="Times New Roman"/>
        </w:rPr>
        <w:t xml:space="preserve">managed access to include </w:t>
      </w:r>
      <w:r w:rsidRPr="00754428">
        <w:rPr>
          <w:rFonts w:ascii="Times New Roman" w:hAnsi="Times New Roman"/>
        </w:rPr>
        <w:t>collection of placebo-controlled data and</w:t>
      </w:r>
      <w:r w:rsidR="007C2666" w:rsidRPr="00754428">
        <w:rPr>
          <w:rFonts w:ascii="Times New Roman" w:hAnsi="Times New Roman"/>
        </w:rPr>
        <w:t>, following grant of marketing authorisation in the UK, EU</w:t>
      </w:r>
      <w:r w:rsidRPr="00754428">
        <w:rPr>
          <w:rFonts w:ascii="Times New Roman" w:hAnsi="Times New Roman"/>
        </w:rPr>
        <w:t xml:space="preserve"> </w:t>
      </w:r>
      <w:r w:rsidR="007C2666" w:rsidRPr="00754428">
        <w:rPr>
          <w:rFonts w:ascii="Times New Roman" w:hAnsi="Times New Roman"/>
        </w:rPr>
        <w:t xml:space="preserve">and US, </w:t>
      </w:r>
      <w:r w:rsidR="004E1125" w:rsidRPr="00754428">
        <w:rPr>
          <w:rFonts w:ascii="Times New Roman" w:hAnsi="Times New Roman"/>
        </w:rPr>
        <w:t xml:space="preserve">any trial that </w:t>
      </w:r>
      <w:r w:rsidR="00754428" w:rsidRPr="00754428">
        <w:rPr>
          <w:rFonts w:ascii="Times New Roman" w:hAnsi="Times New Roman"/>
        </w:rPr>
        <w:t>involved collection of such data would almost certainly be unethical.</w:t>
      </w:r>
      <w:r w:rsidR="00683F8D">
        <w:rPr>
          <w:rFonts w:ascii="Times New Roman" w:hAnsi="Times New Roman"/>
        </w:rPr>
        <w:t xml:space="preserve">  The Committee does not seem to have given adequate consideration to the data that will be collected through the </w:t>
      </w:r>
      <w:r w:rsidR="007171BA">
        <w:rPr>
          <w:rFonts w:ascii="Times New Roman" w:hAnsi="Times New Roman"/>
        </w:rPr>
        <w:t xml:space="preserve">extension phase of </w:t>
      </w:r>
      <w:r w:rsidR="007171BA" w:rsidRPr="386B4392">
        <w:rPr>
          <w:rFonts w:ascii="Times New Roman" w:hAnsi="Times New Roman"/>
        </w:rPr>
        <w:t>TRAIL</w:t>
      </w:r>
      <w:r w:rsidR="0AE3C570" w:rsidRPr="386B4392">
        <w:rPr>
          <w:rFonts w:ascii="Times New Roman" w:hAnsi="Times New Roman"/>
        </w:rPr>
        <w:t>B</w:t>
      </w:r>
      <w:r w:rsidR="007171BA" w:rsidRPr="386B4392">
        <w:rPr>
          <w:rFonts w:ascii="Times New Roman" w:hAnsi="Times New Roman"/>
        </w:rPr>
        <w:t>LAZER</w:t>
      </w:r>
      <w:r w:rsidR="007171BA">
        <w:rPr>
          <w:rFonts w:ascii="Times New Roman" w:hAnsi="Times New Roman"/>
        </w:rPr>
        <w:t>-ALZ 2</w:t>
      </w:r>
      <w:r w:rsidR="003B63EF">
        <w:rPr>
          <w:rFonts w:ascii="Times New Roman" w:hAnsi="Times New Roman"/>
        </w:rPr>
        <w:t xml:space="preserve"> and how this would reduce uncertaint</w:t>
      </w:r>
      <w:r w:rsidR="00701E45">
        <w:rPr>
          <w:rFonts w:ascii="Times New Roman" w:hAnsi="Times New Roman"/>
        </w:rPr>
        <w:t>ies including in relation to the areas identified at paragraph 3.25 of the FDG.</w:t>
      </w:r>
    </w:p>
    <w:p w14:paraId="6E474FCA" w14:textId="77777777" w:rsidR="001E2034" w:rsidRPr="001E2034" w:rsidRDefault="001E2034" w:rsidP="001E2034">
      <w:pPr>
        <w:jc w:val="both"/>
        <w:rPr>
          <w:rFonts w:ascii="Times New Roman" w:hAnsi="Times New Roman"/>
        </w:rPr>
      </w:pPr>
    </w:p>
    <w:p w14:paraId="66016B44" w14:textId="0857B326" w:rsidR="007A2645" w:rsidRPr="007A2645" w:rsidRDefault="002377BD" w:rsidP="002377BD">
      <w:pPr>
        <w:pStyle w:val="ListParagraph"/>
        <w:numPr>
          <w:ilvl w:val="0"/>
          <w:numId w:val="31"/>
        </w:numPr>
        <w:jc w:val="both"/>
        <w:rPr>
          <w:rFonts w:ascii="Times New Roman" w:hAnsi="Times New Roman"/>
        </w:rPr>
      </w:pPr>
      <w:r>
        <w:rPr>
          <w:rFonts w:ascii="Times New Roman" w:hAnsi="Times New Roman"/>
        </w:rPr>
        <w:t xml:space="preserve">The </w:t>
      </w:r>
      <w:r w:rsidR="00EE5569">
        <w:rPr>
          <w:rFonts w:ascii="Times New Roman" w:hAnsi="Times New Roman"/>
        </w:rPr>
        <w:t xml:space="preserve">concern </w:t>
      </w:r>
      <w:r w:rsidR="00EE5569" w:rsidRPr="00712559">
        <w:rPr>
          <w:rFonts w:ascii="Times New Roman" w:hAnsi="Times New Roman"/>
          <w:i/>
          <w:iCs/>
        </w:rPr>
        <w:t>“</w:t>
      </w:r>
      <w:r w:rsidR="00EE5569" w:rsidRPr="3C3FFDE8">
        <w:rPr>
          <w:rFonts w:ascii="Times New Roman" w:hAnsi="Times New Roman"/>
          <w:i/>
        </w:rPr>
        <w:t>that implementation would lead to considerable burden with or without data collection in the NHS</w:t>
      </w:r>
      <w:r w:rsidR="00EE5569" w:rsidRPr="3C3FFDE8">
        <w:rPr>
          <w:rFonts w:ascii="Times New Roman" w:hAnsi="Times New Roman"/>
        </w:rPr>
        <w:t xml:space="preserve">” is </w:t>
      </w:r>
      <w:r w:rsidR="00170F10" w:rsidRPr="3C3FFDE8">
        <w:rPr>
          <w:rFonts w:ascii="Times New Roman" w:hAnsi="Times New Roman"/>
        </w:rPr>
        <w:t xml:space="preserve">outside </w:t>
      </w:r>
      <w:r w:rsidR="00EE5569" w:rsidRPr="3C3FFDE8">
        <w:rPr>
          <w:rFonts w:ascii="Times New Roman" w:hAnsi="Times New Roman"/>
        </w:rPr>
        <w:t>NICE</w:t>
      </w:r>
      <w:r w:rsidR="00403197" w:rsidRPr="3C3FFDE8">
        <w:rPr>
          <w:rFonts w:ascii="Times New Roman" w:hAnsi="Times New Roman"/>
        </w:rPr>
        <w:t>’s remit as recognised at paragraph 3.27 of the FDG.</w:t>
      </w:r>
      <w:r w:rsidR="00712559" w:rsidRPr="3C3FFDE8">
        <w:rPr>
          <w:rFonts w:ascii="Times New Roman" w:hAnsi="Times New Roman"/>
        </w:rPr>
        <w:t xml:space="preserve"> </w:t>
      </w:r>
      <w:r w:rsidR="00EE5569" w:rsidRPr="3C3FFDE8">
        <w:rPr>
          <w:rFonts w:ascii="Times New Roman" w:hAnsi="Times New Roman"/>
        </w:rPr>
        <w:t xml:space="preserve"> </w:t>
      </w:r>
      <w:r w:rsidR="00502BB1" w:rsidRPr="3C3FFDE8">
        <w:rPr>
          <w:rFonts w:ascii="Times New Roman" w:hAnsi="Times New Roman"/>
        </w:rPr>
        <w:t xml:space="preserve">Furthermore, the fact that AD services </w:t>
      </w:r>
      <w:r w:rsidR="001A67E4" w:rsidRPr="3C3FFDE8">
        <w:rPr>
          <w:rFonts w:ascii="Times New Roman" w:hAnsi="Times New Roman"/>
        </w:rPr>
        <w:t xml:space="preserve">in England require investment is not a reason </w:t>
      </w:r>
      <w:r w:rsidR="00DE2830" w:rsidRPr="3C3FFDE8">
        <w:rPr>
          <w:rFonts w:ascii="Times New Roman" w:hAnsi="Times New Roman"/>
        </w:rPr>
        <w:t>to reject new and innovative therapies</w:t>
      </w:r>
      <w:r w:rsidR="00F1283D" w:rsidRPr="3C3FFDE8">
        <w:rPr>
          <w:rFonts w:ascii="Times New Roman" w:hAnsi="Times New Roman"/>
        </w:rPr>
        <w:t>, particularly given the fact that multiple treatments for AD are being developed and will</w:t>
      </w:r>
      <w:r w:rsidR="00DE2830" w:rsidRPr="3C3FFDE8">
        <w:rPr>
          <w:rFonts w:ascii="Times New Roman" w:hAnsi="Times New Roman"/>
        </w:rPr>
        <w:t xml:space="preserve"> </w:t>
      </w:r>
      <w:r w:rsidR="00F1283D" w:rsidRPr="3C3FFDE8">
        <w:rPr>
          <w:rFonts w:ascii="Times New Roman" w:hAnsi="Times New Roman"/>
        </w:rPr>
        <w:t xml:space="preserve">require </w:t>
      </w:r>
      <w:r w:rsidR="00A92FF9" w:rsidRPr="3C3FFDE8">
        <w:rPr>
          <w:rFonts w:ascii="Times New Roman" w:hAnsi="Times New Roman"/>
        </w:rPr>
        <w:t xml:space="preserve">improvement in existing pathways for diagnosis and delivery. </w:t>
      </w:r>
    </w:p>
    <w:p w14:paraId="7E733652" w14:textId="77777777" w:rsidR="007263FE" w:rsidRDefault="007263FE" w:rsidP="00D16636">
      <w:pPr>
        <w:pStyle w:val="ListParagraph"/>
        <w:rPr>
          <w:rFonts w:ascii="Times New Roman" w:hAnsi="Times New Roman"/>
        </w:rPr>
      </w:pPr>
    </w:p>
    <w:p w14:paraId="1F7A3EFC" w14:textId="77777777" w:rsidR="00562C1C" w:rsidRPr="00562C1C" w:rsidRDefault="00562C1C" w:rsidP="00562C1C">
      <w:pPr>
        <w:jc w:val="both"/>
        <w:rPr>
          <w:rFonts w:ascii="Times New Roman" w:hAnsi="Times New Roman"/>
        </w:rPr>
      </w:pPr>
    </w:p>
    <w:p w14:paraId="10745290" w14:textId="77777777" w:rsidR="008A6E72" w:rsidRDefault="00351AA5">
      <w:pPr>
        <w:pStyle w:val="ListParagraph"/>
        <w:numPr>
          <w:ilvl w:val="0"/>
          <w:numId w:val="31"/>
        </w:numPr>
        <w:jc w:val="both"/>
        <w:rPr>
          <w:rFonts w:ascii="Times New Roman" w:hAnsi="Times New Roman"/>
        </w:rPr>
      </w:pPr>
      <w:r w:rsidRPr="008A6E72">
        <w:rPr>
          <w:rFonts w:ascii="Times New Roman" w:hAnsi="Times New Roman"/>
        </w:rPr>
        <w:t xml:space="preserve">Lilly accepts that the current ICER for donanemab incorporating the Committee’s preferred assumptions </w:t>
      </w:r>
      <w:r w:rsidR="009F4256" w:rsidRPr="008A6E72">
        <w:rPr>
          <w:rFonts w:ascii="Times New Roman" w:hAnsi="Times New Roman"/>
        </w:rPr>
        <w:t>is outside the range generally recommended by NICE.  However as explained in this appeal</w:t>
      </w:r>
      <w:r w:rsidR="00DA62CB" w:rsidRPr="008A6E72">
        <w:rPr>
          <w:rFonts w:ascii="Times New Roman" w:hAnsi="Times New Roman"/>
        </w:rPr>
        <w:t xml:space="preserve">, we consider that the assessment of cost-effectiveness is </w:t>
      </w:r>
      <w:r w:rsidR="00F23C4E" w:rsidRPr="008A6E72">
        <w:rPr>
          <w:rFonts w:ascii="Times New Roman" w:hAnsi="Times New Roman"/>
        </w:rPr>
        <w:t xml:space="preserve">deficient in multiple areas and that, </w:t>
      </w:r>
      <w:r w:rsidR="005C7974" w:rsidRPr="008A6E72">
        <w:rPr>
          <w:rFonts w:ascii="Times New Roman" w:hAnsi="Times New Roman"/>
        </w:rPr>
        <w:t xml:space="preserve">had </w:t>
      </w:r>
      <w:r w:rsidR="00F23C4E" w:rsidRPr="008A6E72">
        <w:rPr>
          <w:rFonts w:ascii="Times New Roman" w:hAnsi="Times New Roman"/>
        </w:rPr>
        <w:t xml:space="preserve">those areas </w:t>
      </w:r>
      <w:r w:rsidR="008A6E72" w:rsidRPr="008A6E72">
        <w:rPr>
          <w:rFonts w:ascii="Times New Roman" w:hAnsi="Times New Roman"/>
        </w:rPr>
        <w:t xml:space="preserve">been correctly </w:t>
      </w:r>
      <w:r w:rsidR="00F23C4E" w:rsidRPr="008A6E72">
        <w:rPr>
          <w:rFonts w:ascii="Times New Roman" w:hAnsi="Times New Roman"/>
        </w:rPr>
        <w:t xml:space="preserve">considered, </w:t>
      </w:r>
      <w:r w:rsidR="005C7974" w:rsidRPr="008A6E72">
        <w:rPr>
          <w:rFonts w:ascii="Times New Roman" w:hAnsi="Times New Roman"/>
        </w:rPr>
        <w:t xml:space="preserve">the ICER for </w:t>
      </w:r>
      <w:r w:rsidR="00F23C4E" w:rsidRPr="008A6E72">
        <w:rPr>
          <w:rFonts w:ascii="Times New Roman" w:hAnsi="Times New Roman"/>
        </w:rPr>
        <w:t xml:space="preserve">donanemab </w:t>
      </w:r>
      <w:r w:rsidR="008A6E72" w:rsidRPr="008A6E72">
        <w:rPr>
          <w:rFonts w:ascii="Times New Roman" w:hAnsi="Times New Roman"/>
        </w:rPr>
        <w:t xml:space="preserve">would be viewed as falling </w:t>
      </w:r>
      <w:r w:rsidR="005C7974" w:rsidRPr="008A6E72">
        <w:rPr>
          <w:rFonts w:ascii="Times New Roman" w:hAnsi="Times New Roman"/>
        </w:rPr>
        <w:t xml:space="preserve">within the acceptable range.  </w:t>
      </w:r>
      <w:r w:rsidR="00F23C4E" w:rsidRPr="008A6E72">
        <w:rPr>
          <w:rFonts w:ascii="Times New Roman" w:hAnsi="Times New Roman"/>
        </w:rPr>
        <w:t xml:space="preserve"> </w:t>
      </w:r>
      <w:r w:rsidR="009F4256" w:rsidRPr="008A6E72">
        <w:rPr>
          <w:rFonts w:ascii="Times New Roman" w:hAnsi="Times New Roman"/>
        </w:rPr>
        <w:t xml:space="preserve"> </w:t>
      </w:r>
    </w:p>
    <w:p w14:paraId="24F7D915" w14:textId="77777777" w:rsidR="007263FE" w:rsidRDefault="007263FE" w:rsidP="007263FE">
      <w:pPr>
        <w:pStyle w:val="ListParagraph"/>
        <w:rPr>
          <w:rFonts w:ascii="Times New Roman" w:hAnsi="Times New Roman"/>
        </w:rPr>
      </w:pPr>
    </w:p>
    <w:p w14:paraId="599019CE" w14:textId="77777777" w:rsidR="008A6E72" w:rsidRPr="008A6E72" w:rsidRDefault="008A6E72" w:rsidP="008A6E72">
      <w:pPr>
        <w:pStyle w:val="ListParagraph"/>
        <w:rPr>
          <w:rFonts w:ascii="Times New Roman" w:hAnsi="Times New Roman"/>
        </w:rPr>
      </w:pPr>
    </w:p>
    <w:p w14:paraId="241D3211" w14:textId="5D2264AC" w:rsidR="00DC5A71" w:rsidRPr="008A6E72" w:rsidRDefault="001E2034" w:rsidP="008A6E72">
      <w:pPr>
        <w:ind w:left="360"/>
        <w:jc w:val="both"/>
        <w:rPr>
          <w:rFonts w:ascii="Times New Roman" w:hAnsi="Times New Roman"/>
        </w:rPr>
      </w:pPr>
      <w:r w:rsidRPr="008A6E72">
        <w:rPr>
          <w:rFonts w:ascii="Times New Roman" w:hAnsi="Times New Roman"/>
        </w:rPr>
        <w:t xml:space="preserve">In summary, </w:t>
      </w:r>
      <w:r w:rsidR="00EC5E12" w:rsidRPr="008A6E72">
        <w:rPr>
          <w:rFonts w:ascii="Times New Roman" w:hAnsi="Times New Roman"/>
        </w:rPr>
        <w:t xml:space="preserve">we </w:t>
      </w:r>
      <w:r w:rsidR="008A6E72">
        <w:rPr>
          <w:rFonts w:ascii="Times New Roman" w:hAnsi="Times New Roman"/>
        </w:rPr>
        <w:t xml:space="preserve">believe </w:t>
      </w:r>
      <w:r w:rsidR="00EC5E12" w:rsidRPr="008A6E72">
        <w:rPr>
          <w:rFonts w:ascii="Times New Roman" w:hAnsi="Times New Roman"/>
        </w:rPr>
        <w:t xml:space="preserve">that </w:t>
      </w:r>
      <w:r w:rsidR="00820D7A" w:rsidRPr="008A6E72">
        <w:rPr>
          <w:rFonts w:ascii="Times New Roman" w:hAnsi="Times New Roman"/>
        </w:rPr>
        <w:t xml:space="preserve">the Committee’s objections to </w:t>
      </w:r>
      <w:r w:rsidR="00EC5E12" w:rsidRPr="008A6E72">
        <w:rPr>
          <w:rFonts w:ascii="Times New Roman" w:hAnsi="Times New Roman"/>
        </w:rPr>
        <w:t xml:space="preserve">managed access </w:t>
      </w:r>
      <w:r w:rsidR="00820D7A" w:rsidRPr="008A6E72">
        <w:rPr>
          <w:rFonts w:ascii="Times New Roman" w:hAnsi="Times New Roman"/>
        </w:rPr>
        <w:t>in this case are inconsistent with the Manual</w:t>
      </w:r>
      <w:r w:rsidR="007F78E9" w:rsidRPr="008A6E72">
        <w:rPr>
          <w:rFonts w:ascii="Times New Roman" w:hAnsi="Times New Roman"/>
        </w:rPr>
        <w:t xml:space="preserve">.  Contrary to the conclusions of the Committee, managed access </w:t>
      </w:r>
      <w:r w:rsidR="008109F4" w:rsidRPr="008A6E72">
        <w:rPr>
          <w:rFonts w:ascii="Times New Roman" w:hAnsi="Times New Roman"/>
        </w:rPr>
        <w:t xml:space="preserve">is wholly appropriate </w:t>
      </w:r>
      <w:r w:rsidR="0041122B">
        <w:rPr>
          <w:rFonts w:ascii="Times New Roman" w:hAnsi="Times New Roman"/>
        </w:rPr>
        <w:t xml:space="preserve">– and indeed the most appropriate route </w:t>
      </w:r>
      <w:r w:rsidR="007263FE">
        <w:rPr>
          <w:rFonts w:ascii="Times New Roman" w:hAnsi="Times New Roman"/>
        </w:rPr>
        <w:t>–</w:t>
      </w:r>
      <w:r w:rsidR="0041122B">
        <w:rPr>
          <w:rFonts w:ascii="Times New Roman" w:hAnsi="Times New Roman"/>
        </w:rPr>
        <w:t xml:space="preserve"> </w:t>
      </w:r>
      <w:r w:rsidR="008109F4" w:rsidRPr="008A6E72">
        <w:rPr>
          <w:rFonts w:ascii="Times New Roman" w:hAnsi="Times New Roman"/>
        </w:rPr>
        <w:t xml:space="preserve">for </w:t>
      </w:r>
      <w:r w:rsidRPr="008A6E72">
        <w:rPr>
          <w:rFonts w:ascii="Times New Roman" w:hAnsi="Times New Roman"/>
        </w:rPr>
        <w:t xml:space="preserve">health technologies such as donanemab, which involve a novel therapy and a new treatment pathway, </w:t>
      </w:r>
      <w:r w:rsidR="008109F4" w:rsidRPr="008A6E72">
        <w:rPr>
          <w:rFonts w:ascii="Times New Roman" w:hAnsi="Times New Roman"/>
        </w:rPr>
        <w:t xml:space="preserve">and where further data will assist in understanding use within the NHS. </w:t>
      </w:r>
    </w:p>
    <w:p w14:paraId="73887BE1" w14:textId="77C8F8B5" w:rsidR="00183CDC" w:rsidRPr="00E01C6F" w:rsidRDefault="00690954" w:rsidP="00B17125">
      <w:pPr>
        <w:pStyle w:val="ListParagraph"/>
        <w:numPr>
          <w:ilvl w:val="1"/>
          <w:numId w:val="1"/>
        </w:numPr>
        <w:spacing w:after="0"/>
        <w:jc w:val="both"/>
        <w:rPr>
          <w:rFonts w:ascii="Times New Roman" w:hAnsi="Times New Roman"/>
          <w:b/>
          <w:bCs/>
        </w:rPr>
      </w:pPr>
      <w:r w:rsidRPr="00E01C6F">
        <w:rPr>
          <w:rFonts w:ascii="Times New Roman" w:hAnsi="Times New Roman"/>
          <w:b/>
          <w:bCs/>
        </w:rPr>
        <w:t>The Committee</w:t>
      </w:r>
      <w:r w:rsidR="00011940">
        <w:rPr>
          <w:rFonts w:ascii="Times New Roman" w:hAnsi="Times New Roman"/>
          <w:b/>
          <w:bCs/>
        </w:rPr>
        <w:t xml:space="preserve">’s </w:t>
      </w:r>
      <w:r w:rsidR="00923E7F">
        <w:rPr>
          <w:rFonts w:ascii="Times New Roman" w:hAnsi="Times New Roman"/>
          <w:b/>
          <w:bCs/>
        </w:rPr>
        <w:t xml:space="preserve">consideration of </w:t>
      </w:r>
      <w:r w:rsidR="006F5C3B">
        <w:rPr>
          <w:rFonts w:ascii="Times New Roman" w:hAnsi="Times New Roman"/>
          <w:b/>
          <w:bCs/>
        </w:rPr>
        <w:t xml:space="preserve">the appropriate ICER threshold for this appraisal </w:t>
      </w:r>
      <w:r w:rsidR="00011940">
        <w:rPr>
          <w:rFonts w:ascii="Times New Roman" w:hAnsi="Times New Roman"/>
          <w:b/>
          <w:bCs/>
        </w:rPr>
        <w:t xml:space="preserve">has failed to take into account </w:t>
      </w:r>
      <w:r w:rsidR="00AE0B7B">
        <w:rPr>
          <w:rFonts w:ascii="Times New Roman" w:hAnsi="Times New Roman"/>
          <w:b/>
          <w:bCs/>
        </w:rPr>
        <w:t xml:space="preserve">the factors listed in the </w:t>
      </w:r>
      <w:r w:rsidR="007B617D">
        <w:rPr>
          <w:rFonts w:ascii="Times New Roman" w:hAnsi="Times New Roman"/>
          <w:b/>
          <w:bCs/>
        </w:rPr>
        <w:t>Manual.</w:t>
      </w:r>
    </w:p>
    <w:p w14:paraId="46B0D146" w14:textId="52184278" w:rsidR="008A7186" w:rsidRDefault="00F968C5" w:rsidP="00011940">
      <w:pPr>
        <w:spacing w:before="240"/>
        <w:jc w:val="both"/>
        <w:rPr>
          <w:rFonts w:ascii="Times New Roman" w:hAnsi="Times New Roman"/>
        </w:rPr>
      </w:pPr>
      <w:r>
        <w:rPr>
          <w:rFonts w:ascii="Times New Roman" w:hAnsi="Times New Roman"/>
        </w:rPr>
        <w:t>The factors to be taken into account by the Committee when defini</w:t>
      </w:r>
      <w:r w:rsidR="00051B5E">
        <w:rPr>
          <w:rFonts w:ascii="Times New Roman" w:hAnsi="Times New Roman"/>
        </w:rPr>
        <w:t>ng the ICER threshold for an appraisal are set out a</w:t>
      </w:r>
      <w:r w:rsidR="00C57746">
        <w:rPr>
          <w:rFonts w:ascii="Times New Roman" w:hAnsi="Times New Roman"/>
        </w:rPr>
        <w:t xml:space="preserve">t paragraph 6.3.5 of </w:t>
      </w:r>
      <w:r w:rsidR="00051B5E">
        <w:rPr>
          <w:rFonts w:ascii="Times New Roman" w:hAnsi="Times New Roman"/>
        </w:rPr>
        <w:t xml:space="preserve">NICE’s </w:t>
      </w:r>
      <w:r w:rsidR="00C57746">
        <w:rPr>
          <w:rFonts w:ascii="Times New Roman" w:hAnsi="Times New Roman"/>
        </w:rPr>
        <w:t>Manual</w:t>
      </w:r>
      <w:r w:rsidR="00051B5E">
        <w:rPr>
          <w:rFonts w:ascii="Times New Roman" w:hAnsi="Times New Roman"/>
        </w:rPr>
        <w:t>.</w:t>
      </w:r>
    </w:p>
    <w:p w14:paraId="00B46070" w14:textId="1E4D53B9" w:rsidR="00051B5E" w:rsidRPr="00051B5E" w:rsidRDefault="00051B5E" w:rsidP="00051B5E">
      <w:pPr>
        <w:ind w:left="360"/>
        <w:jc w:val="both"/>
        <w:rPr>
          <w:rFonts w:ascii="Times New Roman" w:hAnsi="Times New Roman"/>
          <w:i/>
          <w:iCs/>
        </w:rPr>
      </w:pPr>
      <w:r>
        <w:rPr>
          <w:rFonts w:ascii="Times New Roman" w:hAnsi="Times New Roman"/>
        </w:rPr>
        <w:t>“</w:t>
      </w:r>
      <w:r w:rsidRPr="00051B5E">
        <w:rPr>
          <w:rFonts w:ascii="Times New Roman" w:hAnsi="Times New Roman"/>
          <w:i/>
          <w:iCs/>
        </w:rPr>
        <w:t>6.3.5</w:t>
      </w:r>
      <w:r w:rsidRPr="00051B5E">
        <w:rPr>
          <w:rFonts w:ascii="Times New Roman" w:hAnsi="Times New Roman"/>
          <w:i/>
          <w:iCs/>
        </w:rPr>
        <w:tab/>
        <w:t>Above a most plausible ICER of £20,000 per QALY gained, or £100,000 per QALY gained for highly specialised technologies, decisions about the acceptability of the technology as an effective use of NHS resources will specifically consider the following factors:</w:t>
      </w:r>
    </w:p>
    <w:p w14:paraId="22E44CE1" w14:textId="77777777" w:rsidR="00051B5E" w:rsidRPr="00051B5E" w:rsidRDefault="00051B5E" w:rsidP="00051B5E">
      <w:pPr>
        <w:numPr>
          <w:ilvl w:val="0"/>
          <w:numId w:val="26"/>
        </w:numPr>
        <w:tabs>
          <w:tab w:val="clear" w:pos="720"/>
          <w:tab w:val="num" w:pos="1080"/>
        </w:tabs>
        <w:ind w:left="1080"/>
        <w:jc w:val="both"/>
        <w:rPr>
          <w:rFonts w:ascii="Times New Roman" w:hAnsi="Times New Roman"/>
          <w:i/>
          <w:iCs/>
        </w:rPr>
      </w:pPr>
      <w:r w:rsidRPr="00051B5E">
        <w:rPr>
          <w:rFonts w:ascii="Times New Roman" w:hAnsi="Times New Roman"/>
          <w:i/>
          <w:iCs/>
        </w:rPr>
        <w:t>the degree of certainty and uncertainty around the ICER</w:t>
      </w:r>
    </w:p>
    <w:p w14:paraId="2B662351" w14:textId="77777777" w:rsidR="00051B5E" w:rsidRPr="00051B5E" w:rsidRDefault="00051B5E" w:rsidP="00051B5E">
      <w:pPr>
        <w:numPr>
          <w:ilvl w:val="0"/>
          <w:numId w:val="26"/>
        </w:numPr>
        <w:tabs>
          <w:tab w:val="clear" w:pos="720"/>
          <w:tab w:val="num" w:pos="1080"/>
        </w:tabs>
        <w:ind w:left="1080"/>
        <w:jc w:val="both"/>
        <w:rPr>
          <w:rFonts w:ascii="Times New Roman" w:hAnsi="Times New Roman"/>
          <w:i/>
          <w:iCs/>
        </w:rPr>
      </w:pPr>
      <w:r w:rsidRPr="00051B5E">
        <w:rPr>
          <w:rFonts w:ascii="Times New Roman" w:hAnsi="Times New Roman"/>
          <w:i/>
          <w:iCs/>
        </w:rPr>
        <w:t>aspects that relate to uncaptured benefits and non-health factors</w:t>
      </w:r>
    </w:p>
    <w:p w14:paraId="086595A9" w14:textId="522753B2" w:rsidR="00051B5E" w:rsidRPr="00051B5E" w:rsidRDefault="00051B5E" w:rsidP="00051B5E">
      <w:pPr>
        <w:numPr>
          <w:ilvl w:val="0"/>
          <w:numId w:val="26"/>
        </w:numPr>
        <w:tabs>
          <w:tab w:val="clear" w:pos="720"/>
          <w:tab w:val="num" w:pos="1080"/>
        </w:tabs>
        <w:ind w:left="1080"/>
        <w:jc w:val="both"/>
        <w:rPr>
          <w:rFonts w:ascii="Times New Roman" w:hAnsi="Times New Roman"/>
          <w:i/>
          <w:iCs/>
        </w:rPr>
      </w:pPr>
      <w:r w:rsidRPr="00051B5E">
        <w:rPr>
          <w:rFonts w:ascii="Times New Roman" w:hAnsi="Times New Roman"/>
          <w:i/>
          <w:iCs/>
        </w:rPr>
        <w:t>aspects that relate to health inequalities”.</w:t>
      </w:r>
    </w:p>
    <w:p w14:paraId="50BA558F" w14:textId="77777777" w:rsidR="0063290C" w:rsidRDefault="002565F7" w:rsidP="00FD5911">
      <w:pPr>
        <w:jc w:val="both"/>
        <w:rPr>
          <w:rFonts w:ascii="Times New Roman" w:hAnsi="Times New Roman"/>
        </w:rPr>
      </w:pPr>
      <w:r>
        <w:rPr>
          <w:rFonts w:ascii="Times New Roman" w:hAnsi="Times New Roman"/>
        </w:rPr>
        <w:t xml:space="preserve">At paragraph </w:t>
      </w:r>
      <w:r w:rsidR="00A467D1">
        <w:rPr>
          <w:rFonts w:ascii="Times New Roman" w:hAnsi="Times New Roman"/>
        </w:rPr>
        <w:t>3.25 of the FDG, t</w:t>
      </w:r>
      <w:r w:rsidR="00051B5E">
        <w:rPr>
          <w:rFonts w:ascii="Times New Roman" w:hAnsi="Times New Roman"/>
        </w:rPr>
        <w:t>he Committee</w:t>
      </w:r>
      <w:r w:rsidR="00A467D1">
        <w:rPr>
          <w:rFonts w:ascii="Times New Roman" w:hAnsi="Times New Roman"/>
        </w:rPr>
        <w:t xml:space="preserve"> references </w:t>
      </w:r>
      <w:r w:rsidR="00FA3EBC">
        <w:rPr>
          <w:rFonts w:ascii="Times New Roman" w:hAnsi="Times New Roman"/>
        </w:rPr>
        <w:t xml:space="preserve">the </w:t>
      </w:r>
      <w:r w:rsidR="0063290C">
        <w:rPr>
          <w:rFonts w:ascii="Times New Roman" w:hAnsi="Times New Roman"/>
        </w:rPr>
        <w:t>Manual and states:</w:t>
      </w:r>
    </w:p>
    <w:p w14:paraId="6A144C1D" w14:textId="7EE8AE63" w:rsidR="0063290C" w:rsidRDefault="0063290C" w:rsidP="0063290C">
      <w:pPr>
        <w:ind w:left="720"/>
        <w:jc w:val="both"/>
        <w:rPr>
          <w:rFonts w:ascii="Times New Roman" w:hAnsi="Times New Roman"/>
        </w:rPr>
      </w:pPr>
      <w:r>
        <w:rPr>
          <w:rFonts w:ascii="Times New Roman" w:hAnsi="Times New Roman"/>
        </w:rPr>
        <w:t>“</w:t>
      </w:r>
      <w:r w:rsidRPr="00600228">
        <w:rPr>
          <w:rFonts w:ascii="Times New Roman" w:hAnsi="Times New Roman"/>
          <w:i/>
          <w:iCs/>
        </w:rPr>
        <w:t xml:space="preserve">The </w:t>
      </w:r>
      <w:r w:rsidR="009F1208" w:rsidRPr="00600228">
        <w:rPr>
          <w:rFonts w:ascii="Times New Roman" w:hAnsi="Times New Roman"/>
          <w:i/>
          <w:iCs/>
        </w:rPr>
        <w:t>c</w:t>
      </w:r>
      <w:r w:rsidRPr="00600228">
        <w:rPr>
          <w:rFonts w:ascii="Times New Roman" w:hAnsi="Times New Roman"/>
          <w:i/>
          <w:iCs/>
        </w:rPr>
        <w:t xml:space="preserve">ommittee will be </w:t>
      </w:r>
      <w:r w:rsidR="009F1208" w:rsidRPr="00600228">
        <w:rPr>
          <w:rFonts w:ascii="Times New Roman" w:hAnsi="Times New Roman"/>
          <w:i/>
          <w:iCs/>
        </w:rPr>
        <w:t xml:space="preserve">more cautious about recommending a technology if it is less certain about the ICERs presented.  But it will also take into account other aspects including uncaptured health </w:t>
      </w:r>
      <w:r w:rsidR="00CE7D73" w:rsidRPr="00600228">
        <w:rPr>
          <w:rFonts w:ascii="Times New Roman" w:hAnsi="Times New Roman"/>
          <w:i/>
          <w:iCs/>
        </w:rPr>
        <w:t>benefits</w:t>
      </w:r>
      <w:r w:rsidR="00CE7D73">
        <w:rPr>
          <w:rFonts w:ascii="Times New Roman" w:hAnsi="Times New Roman"/>
        </w:rPr>
        <w:t>”.</w:t>
      </w:r>
      <w:r w:rsidR="009F1208">
        <w:rPr>
          <w:rFonts w:ascii="Times New Roman" w:hAnsi="Times New Roman"/>
        </w:rPr>
        <w:t xml:space="preserve">  </w:t>
      </w:r>
    </w:p>
    <w:p w14:paraId="25446088" w14:textId="7F5A3860" w:rsidR="00051B5E" w:rsidRDefault="00BC7E5D" w:rsidP="00FD5911">
      <w:pPr>
        <w:jc w:val="both"/>
        <w:rPr>
          <w:rFonts w:ascii="Times New Roman" w:hAnsi="Times New Roman"/>
        </w:rPr>
      </w:pPr>
      <w:r>
        <w:rPr>
          <w:rFonts w:ascii="Times New Roman" w:hAnsi="Times New Roman"/>
        </w:rPr>
        <w:t xml:space="preserve">The Committee </w:t>
      </w:r>
      <w:r w:rsidR="00600228">
        <w:rPr>
          <w:rFonts w:ascii="Times New Roman" w:hAnsi="Times New Roman"/>
        </w:rPr>
        <w:t xml:space="preserve">then refers to </w:t>
      </w:r>
      <w:r w:rsidR="00175692">
        <w:rPr>
          <w:rFonts w:ascii="Times New Roman" w:hAnsi="Times New Roman"/>
        </w:rPr>
        <w:t xml:space="preserve">uncertainties </w:t>
      </w:r>
      <w:r w:rsidR="005D4D6D">
        <w:rPr>
          <w:rFonts w:ascii="Times New Roman" w:hAnsi="Times New Roman"/>
        </w:rPr>
        <w:t>in relation to various assumptions</w:t>
      </w:r>
      <w:r w:rsidR="00175692">
        <w:rPr>
          <w:rFonts w:ascii="Times New Roman" w:hAnsi="Times New Roman"/>
        </w:rPr>
        <w:t xml:space="preserve"> in relation to </w:t>
      </w:r>
      <w:r>
        <w:rPr>
          <w:rFonts w:ascii="Times New Roman" w:hAnsi="Times New Roman"/>
        </w:rPr>
        <w:t xml:space="preserve">lists various uncertainties in relation to the data and assumptions </w:t>
      </w:r>
      <w:r w:rsidR="008340A8">
        <w:rPr>
          <w:rFonts w:ascii="Times New Roman" w:hAnsi="Times New Roman"/>
        </w:rPr>
        <w:t xml:space="preserve">and </w:t>
      </w:r>
      <w:r w:rsidR="000F3088">
        <w:rPr>
          <w:rFonts w:ascii="Times New Roman" w:hAnsi="Times New Roman"/>
        </w:rPr>
        <w:t>concludes</w:t>
      </w:r>
      <w:r w:rsidR="008340A8">
        <w:rPr>
          <w:rFonts w:ascii="Times New Roman" w:hAnsi="Times New Roman"/>
        </w:rPr>
        <w:t>:</w:t>
      </w:r>
    </w:p>
    <w:p w14:paraId="687462FF" w14:textId="42E75EA5" w:rsidR="008340A8" w:rsidRDefault="008340A8" w:rsidP="008340A8">
      <w:pPr>
        <w:ind w:left="720"/>
        <w:jc w:val="both"/>
        <w:rPr>
          <w:rFonts w:ascii="Times New Roman" w:hAnsi="Times New Roman"/>
        </w:rPr>
      </w:pPr>
      <w:r>
        <w:rPr>
          <w:rFonts w:ascii="Times New Roman" w:hAnsi="Times New Roman"/>
        </w:rPr>
        <w:t>“</w:t>
      </w:r>
      <w:r w:rsidRPr="006E7977">
        <w:rPr>
          <w:rFonts w:ascii="Times New Roman" w:hAnsi="Times New Roman"/>
          <w:i/>
          <w:iCs/>
        </w:rPr>
        <w:t xml:space="preserve">So, the committee concluded that an acceptable ICER would be around £20,000 per QALY gained. It noted that there are both uncaptured benefits and costs or harms of </w:t>
      </w:r>
      <w:r w:rsidR="00027B0D">
        <w:rPr>
          <w:rFonts w:ascii="Times New Roman" w:hAnsi="Times New Roman"/>
          <w:i/>
          <w:iCs/>
        </w:rPr>
        <w:t>don</w:t>
      </w:r>
      <w:r w:rsidRPr="006E7977">
        <w:rPr>
          <w:rFonts w:ascii="Times New Roman" w:hAnsi="Times New Roman"/>
          <w:i/>
          <w:iCs/>
        </w:rPr>
        <w:t>anemab (see section 3.</w:t>
      </w:r>
      <w:r w:rsidR="00621091">
        <w:rPr>
          <w:rFonts w:ascii="Times New Roman" w:hAnsi="Times New Roman"/>
          <w:i/>
          <w:iCs/>
        </w:rPr>
        <w:t>28</w:t>
      </w:r>
      <w:r w:rsidRPr="006E7977">
        <w:rPr>
          <w:rFonts w:ascii="Times New Roman" w:hAnsi="Times New Roman"/>
          <w:i/>
          <w:iCs/>
        </w:rPr>
        <w:t>) so it did not consider that there were strong reasons to change the acceptable ICER from around £20,000 per QALY gained</w:t>
      </w:r>
      <w:r>
        <w:rPr>
          <w:rFonts w:ascii="Times New Roman" w:hAnsi="Times New Roman"/>
        </w:rPr>
        <w:t>”.</w:t>
      </w:r>
      <w:r w:rsidRPr="008340A8">
        <w:rPr>
          <w:rFonts w:ascii="Times New Roman" w:hAnsi="Times New Roman"/>
        </w:rPr>
        <w:t xml:space="preserve"> </w:t>
      </w:r>
    </w:p>
    <w:p w14:paraId="2EF94B52" w14:textId="338D3DBB" w:rsidR="00BA66D7" w:rsidRPr="008340A8" w:rsidRDefault="00BF5FAB" w:rsidP="002B5D73">
      <w:pPr>
        <w:jc w:val="both"/>
        <w:rPr>
          <w:rFonts w:ascii="Times New Roman" w:hAnsi="Times New Roman"/>
        </w:rPr>
      </w:pPr>
      <w:r>
        <w:rPr>
          <w:rFonts w:ascii="Times New Roman" w:hAnsi="Times New Roman"/>
        </w:rPr>
        <w:t xml:space="preserve">The Committee’s </w:t>
      </w:r>
      <w:r w:rsidR="008F6D4F">
        <w:rPr>
          <w:rFonts w:ascii="Times New Roman" w:hAnsi="Times New Roman"/>
        </w:rPr>
        <w:t xml:space="preserve">decision </w:t>
      </w:r>
      <w:r w:rsidR="00FD373E">
        <w:rPr>
          <w:rFonts w:ascii="Times New Roman" w:hAnsi="Times New Roman"/>
        </w:rPr>
        <w:t xml:space="preserve">in relation to </w:t>
      </w:r>
      <w:r w:rsidR="007674AA">
        <w:rPr>
          <w:rFonts w:ascii="Times New Roman" w:hAnsi="Times New Roman"/>
        </w:rPr>
        <w:t xml:space="preserve">the ICER threshold </w:t>
      </w:r>
      <w:r w:rsidR="008F6D4F">
        <w:rPr>
          <w:rFonts w:ascii="Times New Roman" w:hAnsi="Times New Roman"/>
        </w:rPr>
        <w:t>is therefore based principally</w:t>
      </w:r>
      <w:r w:rsidR="007B61AA">
        <w:rPr>
          <w:rFonts w:ascii="Times New Roman" w:hAnsi="Times New Roman"/>
        </w:rPr>
        <w:t>,</w:t>
      </w:r>
      <w:r w:rsidR="008F6D4F">
        <w:rPr>
          <w:rFonts w:ascii="Times New Roman" w:hAnsi="Times New Roman"/>
        </w:rPr>
        <w:t xml:space="preserve"> if not entirely</w:t>
      </w:r>
      <w:r w:rsidR="007B61AA">
        <w:rPr>
          <w:rFonts w:ascii="Times New Roman" w:hAnsi="Times New Roman"/>
        </w:rPr>
        <w:t>,</w:t>
      </w:r>
      <w:r w:rsidR="008F6D4F">
        <w:rPr>
          <w:rFonts w:ascii="Times New Roman" w:hAnsi="Times New Roman"/>
        </w:rPr>
        <w:t xml:space="preserve"> on uncertainties and the other factors which are required to be taken into account in accordance with the Manual</w:t>
      </w:r>
      <w:r w:rsidR="007B61AA">
        <w:rPr>
          <w:rFonts w:ascii="Times New Roman" w:hAnsi="Times New Roman"/>
        </w:rPr>
        <w:t xml:space="preserve"> </w:t>
      </w:r>
      <w:r w:rsidR="00D2769D">
        <w:rPr>
          <w:rFonts w:ascii="Times New Roman" w:hAnsi="Times New Roman"/>
        </w:rPr>
        <w:t>have either been disregarded (health inequalities) or there is no explanation of how they have been assessed (uncaptured health benefits)</w:t>
      </w:r>
      <w:r w:rsidR="007674AA">
        <w:rPr>
          <w:rFonts w:ascii="Times New Roman" w:hAnsi="Times New Roman"/>
        </w:rPr>
        <w:t xml:space="preserve">. </w:t>
      </w:r>
      <w:r w:rsidR="00954211">
        <w:rPr>
          <w:rFonts w:ascii="Times New Roman" w:hAnsi="Times New Roman"/>
        </w:rPr>
        <w:t xml:space="preserve">Lilly </w:t>
      </w:r>
      <w:r w:rsidR="00A649BB">
        <w:rPr>
          <w:rFonts w:ascii="Times New Roman" w:hAnsi="Times New Roman"/>
        </w:rPr>
        <w:t xml:space="preserve">considers that the Committee’s conclusions </w:t>
      </w:r>
      <w:r w:rsidR="00813823">
        <w:rPr>
          <w:rFonts w:ascii="Times New Roman" w:hAnsi="Times New Roman"/>
        </w:rPr>
        <w:t>on uncaptured benefits and non-health factors are clearly unreasonable</w:t>
      </w:r>
      <w:r w:rsidR="00954211">
        <w:rPr>
          <w:rFonts w:ascii="Times New Roman" w:hAnsi="Times New Roman"/>
        </w:rPr>
        <w:t xml:space="preserve"> as considered </w:t>
      </w:r>
      <w:r w:rsidR="00813823">
        <w:rPr>
          <w:rFonts w:ascii="Times New Roman" w:hAnsi="Times New Roman"/>
        </w:rPr>
        <w:t>at appeal point 2.1 below</w:t>
      </w:r>
      <w:r w:rsidR="00954211">
        <w:rPr>
          <w:rFonts w:ascii="Times New Roman" w:hAnsi="Times New Roman"/>
        </w:rPr>
        <w:t xml:space="preserve">; these matters are also relevant </w:t>
      </w:r>
      <w:r w:rsidR="00EB4D5D">
        <w:rPr>
          <w:rFonts w:ascii="Times New Roman" w:hAnsi="Times New Roman"/>
        </w:rPr>
        <w:t xml:space="preserve">here </w:t>
      </w:r>
      <w:r w:rsidR="00954211">
        <w:rPr>
          <w:rFonts w:ascii="Times New Roman" w:hAnsi="Times New Roman"/>
        </w:rPr>
        <w:t xml:space="preserve">in the </w:t>
      </w:r>
      <w:r w:rsidR="00EB4D5D">
        <w:rPr>
          <w:rFonts w:ascii="Times New Roman" w:hAnsi="Times New Roman"/>
        </w:rPr>
        <w:t>context of consideration of the ICER threshold</w:t>
      </w:r>
      <w:r w:rsidR="00BA66D7">
        <w:rPr>
          <w:rFonts w:ascii="Times New Roman" w:hAnsi="Times New Roman"/>
        </w:rPr>
        <w:t>.</w:t>
      </w:r>
      <w:r w:rsidR="00813823">
        <w:rPr>
          <w:rFonts w:ascii="Times New Roman" w:hAnsi="Times New Roman"/>
        </w:rPr>
        <w:t xml:space="preserve">  </w:t>
      </w:r>
      <w:r w:rsidR="00BA66D7">
        <w:rPr>
          <w:rFonts w:ascii="Times New Roman" w:hAnsi="Times New Roman"/>
        </w:rPr>
        <w:t>However</w:t>
      </w:r>
      <w:r w:rsidR="00D50C40">
        <w:rPr>
          <w:rFonts w:ascii="Times New Roman" w:hAnsi="Times New Roman"/>
        </w:rPr>
        <w:t xml:space="preserve">, the Committee </w:t>
      </w:r>
      <w:r w:rsidR="007E7E3A">
        <w:rPr>
          <w:rFonts w:ascii="Times New Roman" w:hAnsi="Times New Roman"/>
        </w:rPr>
        <w:t xml:space="preserve">has given </w:t>
      </w:r>
      <w:r w:rsidR="00D50C40">
        <w:rPr>
          <w:rFonts w:ascii="Times New Roman" w:hAnsi="Times New Roman"/>
        </w:rPr>
        <w:t xml:space="preserve">no consideration </w:t>
      </w:r>
      <w:r w:rsidR="007E7E3A">
        <w:rPr>
          <w:rFonts w:ascii="Times New Roman" w:hAnsi="Times New Roman"/>
        </w:rPr>
        <w:t xml:space="preserve">at all </w:t>
      </w:r>
      <w:r w:rsidR="00D50C40">
        <w:rPr>
          <w:rFonts w:ascii="Times New Roman" w:hAnsi="Times New Roman"/>
        </w:rPr>
        <w:t>to</w:t>
      </w:r>
      <w:r w:rsidR="00695184">
        <w:rPr>
          <w:rFonts w:ascii="Times New Roman" w:hAnsi="Times New Roman"/>
        </w:rPr>
        <w:t xml:space="preserve"> </w:t>
      </w:r>
      <w:r w:rsidR="0039044E">
        <w:rPr>
          <w:rFonts w:ascii="Times New Roman" w:hAnsi="Times New Roman"/>
        </w:rPr>
        <w:t xml:space="preserve">health inequalities </w:t>
      </w:r>
      <w:r w:rsidR="007E7E3A">
        <w:rPr>
          <w:rFonts w:ascii="Times New Roman" w:hAnsi="Times New Roman"/>
        </w:rPr>
        <w:t xml:space="preserve">when determining the </w:t>
      </w:r>
      <w:r w:rsidR="0039044E">
        <w:rPr>
          <w:rFonts w:ascii="Times New Roman" w:hAnsi="Times New Roman"/>
        </w:rPr>
        <w:t>ICER threshold, despite the requirement at paragraph 6.3.5 of the Manual</w:t>
      </w:r>
      <w:r w:rsidR="007E7E3A">
        <w:rPr>
          <w:rFonts w:ascii="Times New Roman" w:hAnsi="Times New Roman"/>
        </w:rPr>
        <w:t xml:space="preserve"> to do so</w:t>
      </w:r>
      <w:r w:rsidR="00DB7E05">
        <w:rPr>
          <w:rFonts w:ascii="Times New Roman" w:hAnsi="Times New Roman"/>
        </w:rPr>
        <w:t xml:space="preserve"> and the evidence made available to the Committee </w:t>
      </w:r>
      <w:r w:rsidR="0022055E">
        <w:rPr>
          <w:rFonts w:ascii="Times New Roman" w:hAnsi="Times New Roman"/>
        </w:rPr>
        <w:t xml:space="preserve">(see e.g. </w:t>
      </w:r>
      <w:r w:rsidR="00C20059">
        <w:rPr>
          <w:rFonts w:ascii="Times New Roman" w:hAnsi="Times New Roman"/>
        </w:rPr>
        <w:t>submission</w:t>
      </w:r>
      <w:r w:rsidR="00441B44">
        <w:rPr>
          <w:rFonts w:ascii="Times New Roman" w:hAnsi="Times New Roman"/>
        </w:rPr>
        <w:t>s</w:t>
      </w:r>
      <w:r w:rsidR="00C20059">
        <w:rPr>
          <w:rFonts w:ascii="Times New Roman" w:hAnsi="Times New Roman"/>
        </w:rPr>
        <w:t xml:space="preserve"> by Alzheimer’s Research UK </w:t>
      </w:r>
      <w:r w:rsidR="00441B44">
        <w:rPr>
          <w:rFonts w:ascii="Times New Roman" w:hAnsi="Times New Roman"/>
        </w:rPr>
        <w:t xml:space="preserve">and by the Alzheimer’s Society </w:t>
      </w:r>
      <w:r w:rsidR="00E9163A">
        <w:rPr>
          <w:rFonts w:ascii="Times New Roman" w:hAnsi="Times New Roman"/>
        </w:rPr>
        <w:t xml:space="preserve">both </w:t>
      </w:r>
      <w:r w:rsidR="00C20059">
        <w:rPr>
          <w:rFonts w:ascii="Times New Roman" w:hAnsi="Times New Roman"/>
        </w:rPr>
        <w:t xml:space="preserve">dated </w:t>
      </w:r>
      <w:r w:rsidR="00820E27">
        <w:rPr>
          <w:rFonts w:ascii="Times New Roman" w:hAnsi="Times New Roman"/>
        </w:rPr>
        <w:t xml:space="preserve">March </w:t>
      </w:r>
      <w:r w:rsidR="00C20059">
        <w:rPr>
          <w:rFonts w:ascii="Times New Roman" w:hAnsi="Times New Roman"/>
        </w:rPr>
        <w:t xml:space="preserve">2024  </w:t>
      </w:r>
      <w:r w:rsidR="00DB7E05">
        <w:rPr>
          <w:rFonts w:ascii="Times New Roman" w:hAnsi="Times New Roman"/>
        </w:rPr>
        <w:t>in relation to such matters</w:t>
      </w:r>
      <w:r w:rsidR="00E9163A">
        <w:rPr>
          <w:rFonts w:ascii="Times New Roman" w:hAnsi="Times New Roman"/>
        </w:rPr>
        <w:t>)</w:t>
      </w:r>
      <w:r w:rsidR="0039044E">
        <w:rPr>
          <w:rFonts w:ascii="Times New Roman" w:hAnsi="Times New Roman"/>
        </w:rPr>
        <w:t>.</w:t>
      </w:r>
      <w:r w:rsidR="00D50C40">
        <w:rPr>
          <w:rFonts w:ascii="Times New Roman" w:hAnsi="Times New Roman"/>
        </w:rPr>
        <w:t xml:space="preserve"> </w:t>
      </w:r>
      <w:r w:rsidR="00BA66D7">
        <w:rPr>
          <w:rFonts w:ascii="Times New Roman" w:hAnsi="Times New Roman"/>
        </w:rPr>
        <w:t xml:space="preserve"> </w:t>
      </w:r>
    </w:p>
    <w:p w14:paraId="0222CB0A" w14:textId="61B3318F" w:rsidR="00AA7FD6" w:rsidRPr="00F610F8" w:rsidRDefault="00AC5D9C" w:rsidP="00FD5911">
      <w:pPr>
        <w:jc w:val="both"/>
        <w:rPr>
          <w:rFonts w:ascii="Times New Roman" w:hAnsi="Times New Roman"/>
        </w:rPr>
      </w:pPr>
      <w:r>
        <w:rPr>
          <w:rFonts w:ascii="Times New Roman" w:hAnsi="Times New Roman"/>
        </w:rPr>
        <w:t xml:space="preserve">The issues of uncaptured benefits and health inequalities are clearly hugely important in the context of early AD and the population of </w:t>
      </w:r>
      <w:r w:rsidR="000E4231">
        <w:rPr>
          <w:rFonts w:ascii="Times New Roman" w:hAnsi="Times New Roman"/>
        </w:rPr>
        <w:t xml:space="preserve">patients eligible for donanemab treatment and their </w:t>
      </w:r>
      <w:proofErr w:type="spellStart"/>
      <w:r w:rsidR="000E4231">
        <w:rPr>
          <w:rFonts w:ascii="Times New Roman" w:hAnsi="Times New Roman"/>
        </w:rPr>
        <w:t>carers</w:t>
      </w:r>
      <w:proofErr w:type="spellEnd"/>
      <w:r w:rsidR="000E4231">
        <w:rPr>
          <w:rFonts w:ascii="Times New Roman" w:hAnsi="Times New Roman"/>
        </w:rPr>
        <w:t>. In these circumstances the failure by the Committee to give adequate or any recogni</w:t>
      </w:r>
      <w:r w:rsidR="007E2163">
        <w:rPr>
          <w:rFonts w:ascii="Times New Roman" w:hAnsi="Times New Roman"/>
        </w:rPr>
        <w:t xml:space="preserve">tion to these matters in the context of </w:t>
      </w:r>
      <w:r w:rsidR="00A47037">
        <w:rPr>
          <w:rFonts w:ascii="Times New Roman" w:hAnsi="Times New Roman"/>
        </w:rPr>
        <w:t>its determination of the ICER threshold is inconsistent with the requirements of the Manual and procedurally unfair.</w:t>
      </w:r>
    </w:p>
    <w:p w14:paraId="708BED16" w14:textId="425E380B" w:rsidR="00420C04" w:rsidRPr="003F51AA" w:rsidRDefault="00BC3AB9" w:rsidP="00BC3AB9">
      <w:pPr>
        <w:pStyle w:val="ListParagraph"/>
        <w:numPr>
          <w:ilvl w:val="1"/>
          <w:numId w:val="1"/>
        </w:numPr>
        <w:jc w:val="both"/>
        <w:rPr>
          <w:rFonts w:ascii="Times New Roman" w:hAnsi="Times New Roman"/>
          <w:b/>
          <w:bCs/>
        </w:rPr>
      </w:pPr>
      <w:r w:rsidRPr="003F51AA">
        <w:rPr>
          <w:rFonts w:ascii="Times New Roman" w:hAnsi="Times New Roman"/>
          <w:b/>
          <w:bCs/>
        </w:rPr>
        <w:t xml:space="preserve">The Committee has failed to consider </w:t>
      </w:r>
      <w:r w:rsidR="00EA4D46" w:rsidRPr="003F51AA">
        <w:rPr>
          <w:rFonts w:ascii="Times New Roman" w:hAnsi="Times New Roman"/>
          <w:b/>
          <w:bCs/>
        </w:rPr>
        <w:t xml:space="preserve">scenario analyses which </w:t>
      </w:r>
      <w:r w:rsidR="00420C04" w:rsidRPr="003F51AA">
        <w:rPr>
          <w:rFonts w:ascii="Times New Roman" w:hAnsi="Times New Roman"/>
          <w:b/>
          <w:bCs/>
        </w:rPr>
        <w:t xml:space="preserve">include </w:t>
      </w:r>
      <w:r w:rsidR="008C0A22">
        <w:rPr>
          <w:rFonts w:ascii="Times New Roman" w:hAnsi="Times New Roman"/>
          <w:b/>
          <w:bCs/>
        </w:rPr>
        <w:t xml:space="preserve">unpaid care </w:t>
      </w:r>
      <w:r w:rsidR="00653880">
        <w:rPr>
          <w:rFonts w:ascii="Times New Roman" w:hAnsi="Times New Roman"/>
          <w:b/>
          <w:bCs/>
        </w:rPr>
        <w:t>costs.</w:t>
      </w:r>
    </w:p>
    <w:p w14:paraId="4AA4CEBD" w14:textId="23BF58BF" w:rsidR="00203AD3" w:rsidRDefault="003C7894" w:rsidP="00420C04">
      <w:pPr>
        <w:ind w:left="360"/>
        <w:jc w:val="both"/>
        <w:rPr>
          <w:rFonts w:ascii="Times New Roman" w:hAnsi="Times New Roman"/>
        </w:rPr>
      </w:pPr>
      <w:r w:rsidRPr="003F51AA">
        <w:rPr>
          <w:rFonts w:ascii="Times New Roman" w:hAnsi="Times New Roman"/>
        </w:rPr>
        <w:t>At para</w:t>
      </w:r>
      <w:r w:rsidR="006434E8" w:rsidRPr="003F51AA">
        <w:rPr>
          <w:rFonts w:ascii="Times New Roman" w:hAnsi="Times New Roman"/>
        </w:rPr>
        <w:t xml:space="preserve">graph </w:t>
      </w:r>
      <w:r w:rsidRPr="003F51AA">
        <w:rPr>
          <w:rFonts w:ascii="Times New Roman" w:hAnsi="Times New Roman"/>
        </w:rPr>
        <w:t xml:space="preserve">3.21 </w:t>
      </w:r>
      <w:r w:rsidR="006434E8" w:rsidRPr="003F51AA">
        <w:rPr>
          <w:rFonts w:ascii="Times New Roman" w:hAnsi="Times New Roman"/>
        </w:rPr>
        <w:t xml:space="preserve">of the FDG, </w:t>
      </w:r>
      <w:r w:rsidRPr="003F51AA">
        <w:rPr>
          <w:rFonts w:ascii="Times New Roman" w:hAnsi="Times New Roman"/>
        </w:rPr>
        <w:t>the Committee</w:t>
      </w:r>
      <w:r w:rsidR="002311EE" w:rsidRPr="003F51AA">
        <w:rPr>
          <w:rFonts w:ascii="Times New Roman" w:hAnsi="Times New Roman"/>
        </w:rPr>
        <w:t xml:space="preserve"> considers the </w:t>
      </w:r>
      <w:r w:rsidR="00E31CEB">
        <w:rPr>
          <w:rFonts w:ascii="Times New Roman" w:hAnsi="Times New Roman"/>
        </w:rPr>
        <w:t xml:space="preserve">cost perspective and </w:t>
      </w:r>
      <w:r w:rsidR="008C0A22">
        <w:rPr>
          <w:rFonts w:ascii="Times New Roman" w:hAnsi="Times New Roman"/>
        </w:rPr>
        <w:t>the approach to unpaid care costs</w:t>
      </w:r>
      <w:r w:rsidR="002311EE" w:rsidRPr="003F51AA">
        <w:rPr>
          <w:rFonts w:ascii="Times New Roman" w:hAnsi="Times New Roman"/>
        </w:rPr>
        <w:t xml:space="preserve"> associated with AD</w:t>
      </w:r>
      <w:r w:rsidR="00203AD3">
        <w:rPr>
          <w:rFonts w:ascii="Times New Roman" w:hAnsi="Times New Roman"/>
        </w:rPr>
        <w:t xml:space="preserve">.  The Committee </w:t>
      </w:r>
      <w:r w:rsidR="007A2B17">
        <w:rPr>
          <w:rFonts w:ascii="Times New Roman" w:hAnsi="Times New Roman"/>
        </w:rPr>
        <w:t>states:</w:t>
      </w:r>
    </w:p>
    <w:p w14:paraId="1D425BE7" w14:textId="1F0FD923" w:rsidR="007A2B17" w:rsidRDefault="007A2B17" w:rsidP="007A2B17">
      <w:pPr>
        <w:ind w:left="720"/>
        <w:jc w:val="both"/>
        <w:rPr>
          <w:rFonts w:ascii="Times New Roman" w:hAnsi="Times New Roman"/>
        </w:rPr>
      </w:pPr>
      <w:r>
        <w:rPr>
          <w:rFonts w:ascii="Times New Roman" w:hAnsi="Times New Roman"/>
        </w:rPr>
        <w:t>“The committee noted that it was not appropriate for unpaid care costs to be included in the model</w:t>
      </w:r>
      <w:r w:rsidR="009E0405">
        <w:rPr>
          <w:rFonts w:ascii="Times New Roman" w:hAnsi="Times New Roman"/>
        </w:rPr>
        <w:t xml:space="preserve">”. </w:t>
      </w:r>
    </w:p>
    <w:p w14:paraId="3F7DE76B" w14:textId="10859E17" w:rsidR="008F3005" w:rsidRDefault="00E26E18" w:rsidP="008D7C55">
      <w:pPr>
        <w:ind w:left="360"/>
        <w:jc w:val="both"/>
        <w:rPr>
          <w:rFonts w:ascii="Times New Roman" w:hAnsi="Times New Roman"/>
        </w:rPr>
      </w:pPr>
      <w:r w:rsidRPr="003F51AA">
        <w:rPr>
          <w:rFonts w:ascii="Times New Roman" w:hAnsi="Times New Roman"/>
        </w:rPr>
        <w:t>NICE’s Manual provides at paragraph 4.2.7 that, for the purposes of the reference case</w:t>
      </w:r>
      <w:r>
        <w:rPr>
          <w:rFonts w:ascii="Times New Roman" w:hAnsi="Times New Roman"/>
        </w:rPr>
        <w:t>,</w:t>
      </w:r>
      <w:r w:rsidRPr="003F51AA">
        <w:rPr>
          <w:rFonts w:ascii="Times New Roman" w:hAnsi="Times New Roman"/>
        </w:rPr>
        <w:t xml:space="preserve"> “</w:t>
      </w:r>
      <w:r w:rsidRPr="00A57D8B">
        <w:rPr>
          <w:rFonts w:ascii="Times New Roman" w:hAnsi="Times New Roman"/>
          <w:i/>
          <w:iCs/>
        </w:rPr>
        <w:t>the perspective adopted on costs should be that of the NHS and PSS</w:t>
      </w:r>
      <w:r w:rsidRPr="003F51AA">
        <w:rPr>
          <w:rFonts w:ascii="Times New Roman" w:hAnsi="Times New Roman"/>
        </w:rPr>
        <w:t xml:space="preserve">”.  </w:t>
      </w:r>
      <w:r w:rsidR="00653880" w:rsidRPr="003F51AA">
        <w:rPr>
          <w:rFonts w:ascii="Times New Roman" w:hAnsi="Times New Roman"/>
        </w:rPr>
        <w:t>However,</w:t>
      </w:r>
      <w:r w:rsidRPr="003F51AA">
        <w:rPr>
          <w:rFonts w:ascii="Times New Roman" w:hAnsi="Times New Roman"/>
        </w:rPr>
        <w:t xml:space="preserve"> the Manual is clear that the Committee is not precluded from considering non-reference case analyses where appropriate. </w:t>
      </w:r>
      <w:r>
        <w:rPr>
          <w:rFonts w:ascii="Times New Roman" w:hAnsi="Times New Roman"/>
        </w:rPr>
        <w:t xml:space="preserve"> </w:t>
      </w:r>
      <w:r w:rsidR="008D7C55">
        <w:rPr>
          <w:rFonts w:ascii="Times New Roman" w:hAnsi="Times New Roman"/>
        </w:rPr>
        <w:t xml:space="preserve">This approach was explicitly endorsed in NICE’s HTA Innovation Laboratory Report dated November 2023, </w:t>
      </w:r>
      <w:r w:rsidR="00C52FB0">
        <w:rPr>
          <w:rFonts w:ascii="Times New Roman" w:hAnsi="Times New Roman"/>
        </w:rPr>
        <w:t xml:space="preserve">on </w:t>
      </w:r>
      <w:r w:rsidR="008D7C55" w:rsidRPr="00C52FB0">
        <w:rPr>
          <w:rFonts w:ascii="Times New Roman" w:hAnsi="Times New Roman"/>
        </w:rPr>
        <w:t>Potential issues and challenges in evaluation of disease-modifying dementia treatments</w:t>
      </w:r>
      <w:r w:rsidR="00C52FB0">
        <w:rPr>
          <w:rFonts w:ascii="Times New Roman" w:hAnsi="Times New Roman"/>
        </w:rPr>
        <w:t xml:space="preserve">.  </w:t>
      </w:r>
      <w:r>
        <w:rPr>
          <w:rFonts w:ascii="Times New Roman" w:hAnsi="Times New Roman"/>
        </w:rPr>
        <w:t>In th</w:t>
      </w:r>
      <w:r w:rsidR="00C52FB0">
        <w:rPr>
          <w:rFonts w:ascii="Times New Roman" w:hAnsi="Times New Roman"/>
        </w:rPr>
        <w:t>e current appraisal</w:t>
      </w:r>
      <w:r>
        <w:rPr>
          <w:rFonts w:ascii="Times New Roman" w:hAnsi="Times New Roman"/>
        </w:rPr>
        <w:t xml:space="preserve"> however, there is no indication that the Committee took into account or even considered any non-reference case analyses, including the analyses which incorporated non-NHS care </w:t>
      </w:r>
      <w:r w:rsidR="001A4E1B">
        <w:rPr>
          <w:rFonts w:ascii="Times New Roman" w:hAnsi="Times New Roman"/>
        </w:rPr>
        <w:t>costs.</w:t>
      </w:r>
      <w:r>
        <w:rPr>
          <w:rFonts w:ascii="Times New Roman" w:hAnsi="Times New Roman"/>
        </w:rPr>
        <w:t xml:space="preserve"> </w:t>
      </w:r>
      <w:r w:rsidR="00364CF4" w:rsidRPr="003F51AA">
        <w:rPr>
          <w:rFonts w:ascii="Times New Roman" w:hAnsi="Times New Roman"/>
        </w:rPr>
        <w:t xml:space="preserve"> </w:t>
      </w:r>
    </w:p>
    <w:p w14:paraId="54005A9E" w14:textId="0D04CB67" w:rsidR="00D9021D" w:rsidRDefault="008F3005" w:rsidP="00AC7C11">
      <w:pPr>
        <w:ind w:left="360"/>
        <w:jc w:val="both"/>
        <w:rPr>
          <w:rFonts w:ascii="Times New Roman" w:hAnsi="Times New Roman"/>
        </w:rPr>
      </w:pPr>
      <w:r>
        <w:rPr>
          <w:rFonts w:ascii="Times New Roman" w:hAnsi="Times New Roman"/>
        </w:rPr>
        <w:t>T</w:t>
      </w:r>
      <w:r w:rsidR="00364CF4" w:rsidRPr="003F51AA">
        <w:rPr>
          <w:rFonts w:ascii="Times New Roman" w:hAnsi="Times New Roman"/>
        </w:rPr>
        <w:t>he Alzheimer’s Society</w:t>
      </w:r>
      <w:r>
        <w:rPr>
          <w:rFonts w:ascii="Times New Roman" w:hAnsi="Times New Roman"/>
        </w:rPr>
        <w:t xml:space="preserve"> has </w:t>
      </w:r>
      <w:r w:rsidR="00AC20F5" w:rsidRPr="003F51AA">
        <w:rPr>
          <w:rFonts w:ascii="Times New Roman" w:hAnsi="Times New Roman"/>
        </w:rPr>
        <w:t>estimat</w:t>
      </w:r>
      <w:r>
        <w:rPr>
          <w:rFonts w:ascii="Times New Roman" w:hAnsi="Times New Roman"/>
        </w:rPr>
        <w:t>ed</w:t>
      </w:r>
      <w:r w:rsidR="00AC20F5" w:rsidRPr="003F51AA">
        <w:rPr>
          <w:rFonts w:ascii="Times New Roman" w:hAnsi="Times New Roman"/>
        </w:rPr>
        <w:t xml:space="preserve"> that two thirds of costs </w:t>
      </w:r>
      <w:r>
        <w:rPr>
          <w:rFonts w:ascii="Times New Roman" w:hAnsi="Times New Roman"/>
        </w:rPr>
        <w:t xml:space="preserve">associated with AD </w:t>
      </w:r>
      <w:r w:rsidR="00AC20F5" w:rsidRPr="003F51AA">
        <w:rPr>
          <w:rFonts w:ascii="Times New Roman" w:hAnsi="Times New Roman"/>
        </w:rPr>
        <w:t>are paid for by people with dementia and their familie</w:t>
      </w:r>
      <w:r w:rsidR="00142737" w:rsidRPr="003F51AA">
        <w:rPr>
          <w:rFonts w:ascii="Times New Roman" w:hAnsi="Times New Roman"/>
        </w:rPr>
        <w:t>s)</w:t>
      </w:r>
      <w:r w:rsidR="00BB3E05">
        <w:rPr>
          <w:rFonts w:ascii="Times New Roman" w:hAnsi="Times New Roman"/>
        </w:rPr>
        <w:t>.</w:t>
      </w:r>
      <w:r>
        <w:rPr>
          <w:rFonts w:ascii="Times New Roman" w:hAnsi="Times New Roman"/>
        </w:rPr>
        <w:t xml:space="preserve">  </w:t>
      </w:r>
      <w:r w:rsidR="009914E7">
        <w:rPr>
          <w:rFonts w:ascii="Times New Roman" w:hAnsi="Times New Roman"/>
        </w:rPr>
        <w:t xml:space="preserve">In </w:t>
      </w:r>
      <w:r w:rsidR="00D9021D" w:rsidRPr="00AC7C11">
        <w:rPr>
          <w:rFonts w:ascii="Times New Roman" w:hAnsi="Times New Roman"/>
        </w:rPr>
        <w:t>circumstances where AD imposes a huge burden on carers and</w:t>
      </w:r>
      <w:r w:rsidR="009914E7">
        <w:rPr>
          <w:rFonts w:ascii="Times New Roman" w:hAnsi="Times New Roman"/>
        </w:rPr>
        <w:t xml:space="preserve"> their families</w:t>
      </w:r>
      <w:r w:rsidR="00D9021D" w:rsidRPr="00AC7C11">
        <w:rPr>
          <w:rFonts w:ascii="Times New Roman" w:hAnsi="Times New Roman"/>
        </w:rPr>
        <w:t>, the fail</w:t>
      </w:r>
      <w:r w:rsidR="004F20F6" w:rsidRPr="00AC7C11">
        <w:rPr>
          <w:rFonts w:ascii="Times New Roman" w:hAnsi="Times New Roman"/>
        </w:rPr>
        <w:t xml:space="preserve">ure to </w:t>
      </w:r>
      <w:r w:rsidR="008A0A57">
        <w:rPr>
          <w:rFonts w:ascii="Times New Roman" w:hAnsi="Times New Roman"/>
        </w:rPr>
        <w:t xml:space="preserve">consider scenario analyses which include the associated costs, </w:t>
      </w:r>
      <w:r w:rsidR="00C87552" w:rsidRPr="00AC7C11">
        <w:rPr>
          <w:rFonts w:ascii="Times New Roman" w:hAnsi="Times New Roman"/>
        </w:rPr>
        <w:t xml:space="preserve">disregards the </w:t>
      </w:r>
      <w:r w:rsidR="009914E7">
        <w:rPr>
          <w:rFonts w:ascii="Times New Roman" w:hAnsi="Times New Roman"/>
        </w:rPr>
        <w:t xml:space="preserve">contribution </w:t>
      </w:r>
      <w:r w:rsidR="008A0A57">
        <w:rPr>
          <w:rFonts w:ascii="Times New Roman" w:hAnsi="Times New Roman"/>
        </w:rPr>
        <w:t>by f</w:t>
      </w:r>
      <w:r w:rsidR="00C87552" w:rsidRPr="00AC7C11">
        <w:rPr>
          <w:rFonts w:ascii="Times New Roman" w:hAnsi="Times New Roman"/>
        </w:rPr>
        <w:t>amilies</w:t>
      </w:r>
      <w:r w:rsidR="008A0A57">
        <w:rPr>
          <w:rFonts w:ascii="Times New Roman" w:hAnsi="Times New Roman"/>
        </w:rPr>
        <w:t>, carers</w:t>
      </w:r>
      <w:r w:rsidR="00C87552" w:rsidRPr="00AC7C11">
        <w:rPr>
          <w:rFonts w:ascii="Times New Roman" w:hAnsi="Times New Roman"/>
        </w:rPr>
        <w:t xml:space="preserve"> and the third sector, </w:t>
      </w:r>
      <w:r w:rsidR="004F20F6" w:rsidRPr="00AC7C11">
        <w:rPr>
          <w:rFonts w:ascii="Times New Roman" w:hAnsi="Times New Roman"/>
        </w:rPr>
        <w:t xml:space="preserve">is unbalanced and </w:t>
      </w:r>
      <w:r w:rsidR="001A4E1B" w:rsidRPr="00AC7C11">
        <w:rPr>
          <w:rFonts w:ascii="Times New Roman" w:hAnsi="Times New Roman"/>
        </w:rPr>
        <w:t>unfair.</w:t>
      </w:r>
      <w:r w:rsidR="00D9021D" w:rsidRPr="00AC7C11">
        <w:rPr>
          <w:rFonts w:ascii="Times New Roman" w:hAnsi="Times New Roman"/>
        </w:rPr>
        <w:t xml:space="preserve"> </w:t>
      </w:r>
    </w:p>
    <w:p w14:paraId="729DF143" w14:textId="717B696A" w:rsidR="00C01DFE" w:rsidRPr="00345C4D" w:rsidRDefault="00C01DFE" w:rsidP="00C01DFE">
      <w:pPr>
        <w:pStyle w:val="ListParagraph"/>
        <w:numPr>
          <w:ilvl w:val="1"/>
          <w:numId w:val="1"/>
        </w:numPr>
        <w:jc w:val="both"/>
        <w:rPr>
          <w:rFonts w:ascii="Times New Roman" w:hAnsi="Times New Roman"/>
          <w:b/>
          <w:bCs/>
        </w:rPr>
      </w:pPr>
      <w:r w:rsidRPr="00345C4D">
        <w:rPr>
          <w:rFonts w:ascii="Times New Roman" w:hAnsi="Times New Roman"/>
          <w:b/>
          <w:bCs/>
        </w:rPr>
        <w:t xml:space="preserve">The </w:t>
      </w:r>
      <w:r w:rsidR="001A4E1B" w:rsidRPr="00345C4D">
        <w:rPr>
          <w:rFonts w:ascii="Times New Roman" w:hAnsi="Times New Roman"/>
          <w:b/>
          <w:bCs/>
        </w:rPr>
        <w:t>Committee</w:t>
      </w:r>
      <w:r w:rsidR="001A4E1B">
        <w:rPr>
          <w:rFonts w:ascii="Times New Roman" w:hAnsi="Times New Roman"/>
          <w:b/>
          <w:bCs/>
        </w:rPr>
        <w:t xml:space="preserve"> </w:t>
      </w:r>
      <w:r w:rsidR="001A4E1B" w:rsidRPr="00345C4D">
        <w:rPr>
          <w:rFonts w:ascii="Times New Roman" w:hAnsi="Times New Roman"/>
          <w:b/>
          <w:bCs/>
        </w:rPr>
        <w:t>has</w:t>
      </w:r>
      <w:r w:rsidRPr="00345C4D">
        <w:rPr>
          <w:rFonts w:ascii="Times New Roman" w:hAnsi="Times New Roman"/>
          <w:b/>
          <w:bCs/>
        </w:rPr>
        <w:t xml:space="preserve"> </w:t>
      </w:r>
      <w:r w:rsidR="00BB2D75">
        <w:rPr>
          <w:rFonts w:ascii="Times New Roman" w:hAnsi="Times New Roman"/>
          <w:b/>
          <w:bCs/>
        </w:rPr>
        <w:t xml:space="preserve">taken into account an irrelevant factor </w:t>
      </w:r>
      <w:r w:rsidR="001413E1">
        <w:rPr>
          <w:rFonts w:ascii="Times New Roman" w:hAnsi="Times New Roman"/>
          <w:b/>
          <w:bCs/>
        </w:rPr>
        <w:t xml:space="preserve">when deciding not to recommend </w:t>
      </w:r>
      <w:r w:rsidR="001A4E1B">
        <w:rPr>
          <w:rFonts w:ascii="Times New Roman" w:hAnsi="Times New Roman"/>
          <w:b/>
          <w:bCs/>
        </w:rPr>
        <w:t>donanemab.</w:t>
      </w:r>
    </w:p>
    <w:p w14:paraId="6EF65DB6" w14:textId="42ED574E" w:rsidR="000A060A" w:rsidRDefault="00D67BF1" w:rsidP="00C01DFE">
      <w:pPr>
        <w:ind w:left="360"/>
        <w:jc w:val="both"/>
        <w:rPr>
          <w:rFonts w:ascii="Times New Roman" w:hAnsi="Times New Roman"/>
        </w:rPr>
      </w:pPr>
      <w:r>
        <w:rPr>
          <w:rFonts w:ascii="Times New Roman" w:hAnsi="Times New Roman"/>
        </w:rPr>
        <w:t xml:space="preserve">One of the factors relied upon by the Committee </w:t>
      </w:r>
      <w:r w:rsidR="00135F4B">
        <w:rPr>
          <w:rFonts w:ascii="Times New Roman" w:hAnsi="Times New Roman"/>
        </w:rPr>
        <w:t xml:space="preserve">to support its decision not to recommend treatment with donanemab patients in </w:t>
      </w:r>
      <w:r w:rsidR="00DA627F">
        <w:rPr>
          <w:rFonts w:ascii="Times New Roman" w:hAnsi="Times New Roman"/>
        </w:rPr>
        <w:t xml:space="preserve">patients with MCI </w:t>
      </w:r>
      <w:r w:rsidR="00407CAE">
        <w:rPr>
          <w:rFonts w:ascii="Times New Roman" w:hAnsi="Times New Roman"/>
        </w:rPr>
        <w:t>or mild dementia due to AD</w:t>
      </w:r>
      <w:r w:rsidR="00A65449">
        <w:rPr>
          <w:rFonts w:ascii="Times New Roman" w:hAnsi="Times New Roman"/>
        </w:rPr>
        <w:t xml:space="preserve">, </w:t>
      </w:r>
      <w:r w:rsidR="00730945">
        <w:rPr>
          <w:rFonts w:ascii="Times New Roman" w:hAnsi="Times New Roman"/>
        </w:rPr>
        <w:t>is its conclusion that</w:t>
      </w:r>
      <w:r w:rsidR="00E210B6">
        <w:rPr>
          <w:rFonts w:ascii="Times New Roman" w:hAnsi="Times New Roman"/>
        </w:rPr>
        <w:t xml:space="preserve"> </w:t>
      </w:r>
      <w:r w:rsidR="00F47EEE">
        <w:rPr>
          <w:rFonts w:ascii="Times New Roman" w:hAnsi="Times New Roman"/>
        </w:rPr>
        <w:t xml:space="preserve">substantial resources would need to be allocated to </w:t>
      </w:r>
      <w:r w:rsidR="0012646B">
        <w:rPr>
          <w:rFonts w:ascii="Times New Roman" w:hAnsi="Times New Roman"/>
        </w:rPr>
        <w:t>implement access in the NHS</w:t>
      </w:r>
      <w:r w:rsidR="000A060A">
        <w:rPr>
          <w:rFonts w:ascii="Times New Roman" w:hAnsi="Times New Roman"/>
        </w:rPr>
        <w:t>:</w:t>
      </w:r>
    </w:p>
    <w:p w14:paraId="520895FF" w14:textId="5836F927" w:rsidR="003B23D0" w:rsidRDefault="00B3370F" w:rsidP="0049186D">
      <w:pPr>
        <w:pStyle w:val="ListParagraph"/>
        <w:numPr>
          <w:ilvl w:val="0"/>
          <w:numId w:val="33"/>
        </w:numPr>
        <w:jc w:val="both"/>
        <w:rPr>
          <w:rFonts w:ascii="Times New Roman" w:hAnsi="Times New Roman"/>
        </w:rPr>
      </w:pPr>
      <w:r>
        <w:rPr>
          <w:rFonts w:ascii="Times New Roman" w:hAnsi="Times New Roman"/>
        </w:rPr>
        <w:t>“</w:t>
      </w:r>
      <w:r w:rsidR="007D3ABB" w:rsidRPr="009511E1">
        <w:rPr>
          <w:rFonts w:ascii="Times New Roman" w:hAnsi="Times New Roman"/>
          <w:i/>
          <w:iCs/>
        </w:rPr>
        <w:t xml:space="preserve">introducing disease </w:t>
      </w:r>
      <w:r w:rsidR="00144DA5" w:rsidRPr="009511E1">
        <w:rPr>
          <w:rFonts w:ascii="Times New Roman" w:hAnsi="Times New Roman"/>
          <w:i/>
          <w:iCs/>
        </w:rPr>
        <w:t xml:space="preserve">-modifying treatments would substantially increase demand on primary care and memory clinics because of increased awareness of MCI and availability of treatment </w:t>
      </w:r>
      <w:r w:rsidR="00705245" w:rsidRPr="009511E1">
        <w:rPr>
          <w:rFonts w:ascii="Times New Roman" w:hAnsi="Times New Roman"/>
          <w:i/>
          <w:iCs/>
        </w:rPr>
        <w:t>options</w:t>
      </w:r>
      <w:r w:rsidR="003E552C" w:rsidRPr="009511E1">
        <w:rPr>
          <w:rFonts w:ascii="Times New Roman" w:hAnsi="Times New Roman"/>
          <w:i/>
          <w:iCs/>
        </w:rPr>
        <w:t>”</w:t>
      </w:r>
      <w:r w:rsidR="00196D8C">
        <w:rPr>
          <w:rFonts w:ascii="Times New Roman" w:hAnsi="Times New Roman"/>
          <w:i/>
          <w:iCs/>
        </w:rPr>
        <w:t>.</w:t>
      </w:r>
    </w:p>
    <w:p w14:paraId="4C799830" w14:textId="0EEA6A9C" w:rsidR="00730945" w:rsidRDefault="003E4C21" w:rsidP="0049186D">
      <w:pPr>
        <w:pStyle w:val="ListParagraph"/>
        <w:numPr>
          <w:ilvl w:val="0"/>
          <w:numId w:val="33"/>
        </w:numPr>
        <w:jc w:val="both"/>
        <w:rPr>
          <w:rFonts w:ascii="Times New Roman" w:hAnsi="Times New Roman"/>
        </w:rPr>
      </w:pPr>
      <w:r w:rsidRPr="0049186D">
        <w:rPr>
          <w:rFonts w:ascii="Times New Roman" w:hAnsi="Times New Roman"/>
        </w:rPr>
        <w:t>“</w:t>
      </w:r>
      <w:r w:rsidRPr="0049186D">
        <w:rPr>
          <w:rFonts w:ascii="Times New Roman" w:hAnsi="Times New Roman"/>
          <w:i/>
          <w:iCs/>
        </w:rPr>
        <w:t>substantial resources would be needed to</w:t>
      </w:r>
      <w:r w:rsidR="00D4502D" w:rsidRPr="0049186D">
        <w:rPr>
          <w:rFonts w:ascii="Times New Roman" w:hAnsi="Times New Roman"/>
          <w:i/>
          <w:iCs/>
        </w:rPr>
        <w:t xml:space="preserve"> </w:t>
      </w:r>
      <w:r w:rsidR="00A44566" w:rsidRPr="0049186D">
        <w:rPr>
          <w:rFonts w:ascii="Times New Roman" w:hAnsi="Times New Roman"/>
          <w:i/>
          <w:iCs/>
        </w:rPr>
        <w:t xml:space="preserve">implement </w:t>
      </w:r>
      <w:r w:rsidR="00D4502D" w:rsidRPr="0049186D">
        <w:rPr>
          <w:rFonts w:ascii="Times New Roman" w:hAnsi="Times New Roman"/>
          <w:i/>
          <w:iCs/>
        </w:rPr>
        <w:t xml:space="preserve">access to </w:t>
      </w:r>
      <w:r w:rsidR="00A23677" w:rsidRPr="0049186D">
        <w:rPr>
          <w:rFonts w:ascii="Times New Roman" w:hAnsi="Times New Roman"/>
          <w:i/>
          <w:iCs/>
        </w:rPr>
        <w:t>donanemab in the NHS and that this may affect the provision of other services</w:t>
      </w:r>
      <w:r w:rsidR="00A23677" w:rsidRPr="0049186D">
        <w:rPr>
          <w:rFonts w:ascii="Times New Roman" w:hAnsi="Times New Roman"/>
        </w:rPr>
        <w:t xml:space="preserve">”. </w:t>
      </w:r>
    </w:p>
    <w:p w14:paraId="5A6CE4ED" w14:textId="7E6849DB" w:rsidR="00196D8C" w:rsidRPr="005225ED" w:rsidRDefault="00196D8C" w:rsidP="0049186D">
      <w:pPr>
        <w:pStyle w:val="ListParagraph"/>
        <w:numPr>
          <w:ilvl w:val="0"/>
          <w:numId w:val="33"/>
        </w:numPr>
        <w:jc w:val="both"/>
        <w:rPr>
          <w:rFonts w:ascii="Times New Roman" w:hAnsi="Times New Roman"/>
        </w:rPr>
      </w:pPr>
      <w:r>
        <w:rPr>
          <w:rFonts w:ascii="Times New Roman" w:hAnsi="Times New Roman"/>
        </w:rPr>
        <w:t>“</w:t>
      </w:r>
      <w:r w:rsidRPr="00E210B6">
        <w:rPr>
          <w:rFonts w:ascii="Times New Roman" w:hAnsi="Times New Roman"/>
          <w:i/>
          <w:iCs/>
        </w:rPr>
        <w:t xml:space="preserve">…the substantial resources the NHS </w:t>
      </w:r>
      <w:r w:rsidR="00E210B6" w:rsidRPr="00E210B6">
        <w:rPr>
          <w:rFonts w:ascii="Times New Roman" w:hAnsi="Times New Roman"/>
          <w:i/>
          <w:iCs/>
        </w:rPr>
        <w:t>would need to commit to implement access to donanemab would be too great even with a managed access agreement”</w:t>
      </w:r>
      <w:r w:rsidR="00E210B6">
        <w:rPr>
          <w:rFonts w:ascii="Times New Roman" w:hAnsi="Times New Roman"/>
          <w:i/>
          <w:iCs/>
        </w:rPr>
        <w:t>.</w:t>
      </w:r>
    </w:p>
    <w:p w14:paraId="4286A41E" w14:textId="203AF085" w:rsidR="006B1777" w:rsidRDefault="00E277F2" w:rsidP="00C01DFE">
      <w:pPr>
        <w:ind w:left="360"/>
        <w:jc w:val="both"/>
        <w:rPr>
          <w:rFonts w:ascii="Times New Roman" w:hAnsi="Times New Roman"/>
        </w:rPr>
      </w:pPr>
      <w:r>
        <w:rPr>
          <w:rFonts w:ascii="Times New Roman" w:hAnsi="Times New Roman"/>
        </w:rPr>
        <w:t xml:space="preserve">The </w:t>
      </w:r>
      <w:r w:rsidR="003E072D">
        <w:rPr>
          <w:rFonts w:ascii="Times New Roman" w:hAnsi="Times New Roman"/>
        </w:rPr>
        <w:t xml:space="preserve">requirement </w:t>
      </w:r>
      <w:r w:rsidR="007A50E5">
        <w:rPr>
          <w:rFonts w:ascii="Times New Roman" w:hAnsi="Times New Roman"/>
        </w:rPr>
        <w:t xml:space="preserve">for </w:t>
      </w:r>
      <w:r>
        <w:rPr>
          <w:rFonts w:ascii="Times New Roman" w:hAnsi="Times New Roman"/>
        </w:rPr>
        <w:t xml:space="preserve">overall improvement in AD services in </w:t>
      </w:r>
      <w:r w:rsidR="00135F4B">
        <w:rPr>
          <w:rFonts w:ascii="Times New Roman" w:hAnsi="Times New Roman"/>
        </w:rPr>
        <w:t xml:space="preserve">England </w:t>
      </w:r>
      <w:r>
        <w:rPr>
          <w:rFonts w:ascii="Times New Roman" w:hAnsi="Times New Roman"/>
        </w:rPr>
        <w:t xml:space="preserve">is not a relevant </w:t>
      </w:r>
      <w:r w:rsidR="008D6946">
        <w:rPr>
          <w:rFonts w:ascii="Times New Roman" w:hAnsi="Times New Roman"/>
        </w:rPr>
        <w:t xml:space="preserve">factor to be taken into account by the Committee in making its decisions on </w:t>
      </w:r>
      <w:r w:rsidR="003A5E52">
        <w:rPr>
          <w:rFonts w:ascii="Times New Roman" w:hAnsi="Times New Roman"/>
        </w:rPr>
        <w:t xml:space="preserve">access to </w:t>
      </w:r>
      <w:r w:rsidR="006822AD">
        <w:rPr>
          <w:rFonts w:ascii="Times New Roman" w:hAnsi="Times New Roman"/>
        </w:rPr>
        <w:t>new therapies</w:t>
      </w:r>
      <w:r w:rsidR="00944F3D">
        <w:rPr>
          <w:rFonts w:ascii="Times New Roman" w:hAnsi="Times New Roman"/>
        </w:rPr>
        <w:t xml:space="preserve">, such as donanemab. </w:t>
      </w:r>
      <w:r w:rsidR="0013012D">
        <w:rPr>
          <w:rFonts w:ascii="Times New Roman" w:hAnsi="Times New Roman"/>
        </w:rPr>
        <w:t xml:space="preserve">These changes would be needed in order to </w:t>
      </w:r>
      <w:r w:rsidR="00706490">
        <w:rPr>
          <w:rFonts w:ascii="Times New Roman" w:hAnsi="Times New Roman"/>
        </w:rPr>
        <w:t xml:space="preserve">improve diagnostic capabilities and monitoring associated with </w:t>
      </w:r>
      <w:r w:rsidR="006953F7">
        <w:rPr>
          <w:rFonts w:ascii="Times New Roman" w:hAnsi="Times New Roman"/>
        </w:rPr>
        <w:t>introduc</w:t>
      </w:r>
      <w:r w:rsidR="006B1777">
        <w:rPr>
          <w:rFonts w:ascii="Times New Roman" w:hAnsi="Times New Roman"/>
        </w:rPr>
        <w:t>tion of</w:t>
      </w:r>
      <w:r w:rsidR="006953F7">
        <w:rPr>
          <w:rFonts w:ascii="Times New Roman" w:hAnsi="Times New Roman"/>
        </w:rPr>
        <w:t xml:space="preserve"> any disease modifying </w:t>
      </w:r>
      <w:r w:rsidR="00706490">
        <w:rPr>
          <w:rFonts w:ascii="Times New Roman" w:hAnsi="Times New Roman"/>
        </w:rPr>
        <w:t xml:space="preserve">treatment </w:t>
      </w:r>
      <w:r w:rsidR="006B1777">
        <w:rPr>
          <w:rFonts w:ascii="Times New Roman" w:hAnsi="Times New Roman"/>
        </w:rPr>
        <w:t xml:space="preserve">and simply reflect much needed investment in AD services. </w:t>
      </w:r>
    </w:p>
    <w:p w14:paraId="33D75714" w14:textId="317BFEC2" w:rsidR="003E072D" w:rsidRDefault="0049300D" w:rsidP="00C01DFE">
      <w:pPr>
        <w:ind w:left="360"/>
        <w:jc w:val="both"/>
        <w:rPr>
          <w:rFonts w:ascii="Times New Roman" w:hAnsi="Times New Roman"/>
        </w:rPr>
      </w:pPr>
      <w:r>
        <w:rPr>
          <w:rFonts w:ascii="Times New Roman" w:hAnsi="Times New Roman"/>
        </w:rPr>
        <w:t xml:space="preserve">At paragraph </w:t>
      </w:r>
      <w:r w:rsidR="00D163C9">
        <w:rPr>
          <w:rFonts w:ascii="Times New Roman" w:hAnsi="Times New Roman"/>
        </w:rPr>
        <w:t>3.27</w:t>
      </w:r>
      <w:r w:rsidR="00561AE6">
        <w:rPr>
          <w:rFonts w:ascii="Times New Roman" w:hAnsi="Times New Roman"/>
        </w:rPr>
        <w:t xml:space="preserve"> of the FDG</w:t>
      </w:r>
      <w:r w:rsidR="00D163C9">
        <w:rPr>
          <w:rFonts w:ascii="Times New Roman" w:hAnsi="Times New Roman"/>
        </w:rPr>
        <w:t xml:space="preserve">, the Committee recognises that these matters are </w:t>
      </w:r>
      <w:r w:rsidR="00561AE6">
        <w:rPr>
          <w:rFonts w:ascii="Times New Roman" w:hAnsi="Times New Roman"/>
        </w:rPr>
        <w:t>“</w:t>
      </w:r>
      <w:r w:rsidR="00561AE6" w:rsidRPr="00B519D8">
        <w:rPr>
          <w:rFonts w:ascii="Times New Roman" w:hAnsi="Times New Roman"/>
          <w:i/>
          <w:iCs/>
        </w:rPr>
        <w:t>outside of its remit</w:t>
      </w:r>
      <w:r w:rsidR="00561AE6">
        <w:rPr>
          <w:rFonts w:ascii="Times New Roman" w:hAnsi="Times New Roman"/>
        </w:rPr>
        <w:t>”</w:t>
      </w:r>
      <w:r w:rsidR="00B519D8">
        <w:rPr>
          <w:rFonts w:ascii="Times New Roman" w:hAnsi="Times New Roman"/>
        </w:rPr>
        <w:t xml:space="preserve">. </w:t>
      </w:r>
      <w:r w:rsidR="00561AE6">
        <w:rPr>
          <w:rFonts w:ascii="Times New Roman" w:hAnsi="Times New Roman"/>
        </w:rPr>
        <w:t xml:space="preserve"> </w:t>
      </w:r>
      <w:r w:rsidR="00B519D8">
        <w:rPr>
          <w:rFonts w:ascii="Times New Roman" w:hAnsi="Times New Roman"/>
        </w:rPr>
        <w:t>H</w:t>
      </w:r>
      <w:r w:rsidR="00561AE6">
        <w:rPr>
          <w:rFonts w:ascii="Times New Roman" w:hAnsi="Times New Roman"/>
        </w:rPr>
        <w:t xml:space="preserve">owever it nevertheless </w:t>
      </w:r>
      <w:r w:rsidR="00540569">
        <w:rPr>
          <w:rFonts w:ascii="Times New Roman" w:hAnsi="Times New Roman"/>
        </w:rPr>
        <w:t>proceeds to refer to “</w:t>
      </w:r>
      <w:r w:rsidR="00EC4F1E" w:rsidRPr="0017481D">
        <w:rPr>
          <w:rFonts w:ascii="Times New Roman" w:hAnsi="Times New Roman"/>
          <w:i/>
          <w:iCs/>
        </w:rPr>
        <w:t>significant concerns that implementation would lead to considerable burden with o</w:t>
      </w:r>
      <w:r w:rsidR="007E2CC2" w:rsidRPr="0017481D">
        <w:rPr>
          <w:rFonts w:ascii="Times New Roman" w:hAnsi="Times New Roman"/>
          <w:i/>
          <w:iCs/>
        </w:rPr>
        <w:t>r without data collection in the NHS</w:t>
      </w:r>
      <w:r w:rsidR="007E2CC2">
        <w:rPr>
          <w:rFonts w:ascii="Times New Roman" w:hAnsi="Times New Roman"/>
        </w:rPr>
        <w:t>” (paragra</w:t>
      </w:r>
      <w:r w:rsidR="003C4E4F">
        <w:rPr>
          <w:rFonts w:ascii="Times New Roman" w:hAnsi="Times New Roman"/>
        </w:rPr>
        <w:t>p</w:t>
      </w:r>
      <w:r w:rsidR="007E2CC2">
        <w:rPr>
          <w:rFonts w:ascii="Times New Roman" w:hAnsi="Times New Roman"/>
        </w:rPr>
        <w:t xml:space="preserve">h </w:t>
      </w:r>
      <w:r w:rsidR="003C4E4F">
        <w:rPr>
          <w:rFonts w:ascii="Times New Roman" w:hAnsi="Times New Roman"/>
        </w:rPr>
        <w:t>3.26)</w:t>
      </w:r>
      <w:r w:rsidR="00561AE6">
        <w:rPr>
          <w:rFonts w:ascii="Times New Roman" w:hAnsi="Times New Roman"/>
        </w:rPr>
        <w:t xml:space="preserve"> </w:t>
      </w:r>
      <w:r w:rsidR="00384DE7">
        <w:rPr>
          <w:rFonts w:ascii="Times New Roman" w:hAnsi="Times New Roman"/>
        </w:rPr>
        <w:t>and “s</w:t>
      </w:r>
      <w:r w:rsidR="00384DE7" w:rsidRPr="0017481D">
        <w:rPr>
          <w:rFonts w:ascii="Times New Roman" w:hAnsi="Times New Roman"/>
          <w:i/>
          <w:iCs/>
        </w:rPr>
        <w:t>ubstantial resources would be needed to implement access to donane</w:t>
      </w:r>
      <w:r w:rsidR="0000508C" w:rsidRPr="0017481D">
        <w:rPr>
          <w:rFonts w:ascii="Times New Roman" w:hAnsi="Times New Roman"/>
          <w:i/>
          <w:iCs/>
        </w:rPr>
        <w:t>mab in the NHS and that this may affect the provision of other services</w:t>
      </w:r>
      <w:r w:rsidR="0017481D">
        <w:rPr>
          <w:rFonts w:ascii="Times New Roman" w:hAnsi="Times New Roman"/>
        </w:rPr>
        <w:t>”</w:t>
      </w:r>
      <w:r w:rsidR="003C4E4F">
        <w:rPr>
          <w:rFonts w:ascii="Times New Roman" w:hAnsi="Times New Roman"/>
        </w:rPr>
        <w:t xml:space="preserve"> </w:t>
      </w:r>
      <w:r w:rsidR="0017481D">
        <w:rPr>
          <w:rFonts w:ascii="Times New Roman" w:hAnsi="Times New Roman"/>
        </w:rPr>
        <w:t>(paragraph 3.25)</w:t>
      </w:r>
      <w:r w:rsidR="009D253F">
        <w:rPr>
          <w:rFonts w:ascii="Times New Roman" w:hAnsi="Times New Roman"/>
        </w:rPr>
        <w:t xml:space="preserve">. </w:t>
      </w:r>
    </w:p>
    <w:p w14:paraId="0145650F" w14:textId="634F3049" w:rsidR="00C01DFE" w:rsidRDefault="008C670C" w:rsidP="00C01DFE">
      <w:pPr>
        <w:ind w:left="360"/>
        <w:jc w:val="both"/>
        <w:rPr>
          <w:rFonts w:ascii="Times New Roman" w:hAnsi="Times New Roman"/>
        </w:rPr>
      </w:pPr>
      <w:r>
        <w:rPr>
          <w:rFonts w:ascii="Times New Roman" w:hAnsi="Times New Roman"/>
        </w:rPr>
        <w:t xml:space="preserve">Lilly contends that the existing underinvestment in AD services should not act as a barrier to introduction of new therapies for the condition.  </w:t>
      </w:r>
      <w:r w:rsidR="008D4083">
        <w:rPr>
          <w:rFonts w:ascii="Times New Roman" w:hAnsi="Times New Roman"/>
        </w:rPr>
        <w:t xml:space="preserve">In circumstances where </w:t>
      </w:r>
      <w:r w:rsidR="0051139E">
        <w:rPr>
          <w:rFonts w:ascii="Times New Roman" w:hAnsi="Times New Roman"/>
        </w:rPr>
        <w:t>any new treatments will require development of existing AD services</w:t>
      </w:r>
      <w:r w:rsidR="002359F5">
        <w:rPr>
          <w:rFonts w:ascii="Times New Roman" w:hAnsi="Times New Roman"/>
        </w:rPr>
        <w:t xml:space="preserve">, </w:t>
      </w:r>
      <w:r w:rsidR="003F3BEA">
        <w:rPr>
          <w:rFonts w:ascii="Times New Roman" w:hAnsi="Times New Roman"/>
        </w:rPr>
        <w:t xml:space="preserve">such changes are </w:t>
      </w:r>
      <w:r w:rsidR="002359F5">
        <w:rPr>
          <w:rFonts w:ascii="Times New Roman" w:hAnsi="Times New Roman"/>
        </w:rPr>
        <w:t xml:space="preserve">not specific to </w:t>
      </w:r>
      <w:r w:rsidR="00C60B17">
        <w:rPr>
          <w:rFonts w:ascii="Times New Roman" w:hAnsi="Times New Roman"/>
        </w:rPr>
        <w:t>don</w:t>
      </w:r>
      <w:r w:rsidR="003F3BEA">
        <w:rPr>
          <w:rFonts w:ascii="Times New Roman" w:hAnsi="Times New Roman"/>
        </w:rPr>
        <w:t xml:space="preserve">anemab.  Furthermore, the Committee has </w:t>
      </w:r>
      <w:r w:rsidR="00C01DFE">
        <w:rPr>
          <w:rFonts w:ascii="Times New Roman" w:hAnsi="Times New Roman"/>
        </w:rPr>
        <w:t>provide</w:t>
      </w:r>
      <w:r w:rsidR="003F3BEA">
        <w:rPr>
          <w:rFonts w:ascii="Times New Roman" w:hAnsi="Times New Roman"/>
        </w:rPr>
        <w:t>d</w:t>
      </w:r>
      <w:r w:rsidR="00C01DFE">
        <w:rPr>
          <w:rFonts w:ascii="Times New Roman" w:hAnsi="Times New Roman"/>
        </w:rPr>
        <w:t xml:space="preserve"> no explanation of its investigation of the service changes </w:t>
      </w:r>
      <w:r w:rsidR="00C01DFE" w:rsidRPr="0072103E">
        <w:rPr>
          <w:rFonts w:ascii="Times New Roman" w:hAnsi="Times New Roman"/>
        </w:rPr>
        <w:t xml:space="preserve">the NHS would need to implement </w:t>
      </w:r>
      <w:r w:rsidR="00C01DFE">
        <w:rPr>
          <w:rFonts w:ascii="Times New Roman" w:hAnsi="Times New Roman"/>
        </w:rPr>
        <w:t xml:space="preserve">for patients to be able to </w:t>
      </w:r>
      <w:r w:rsidR="00C01DFE" w:rsidRPr="0072103E">
        <w:rPr>
          <w:rFonts w:ascii="Times New Roman" w:hAnsi="Times New Roman"/>
        </w:rPr>
        <w:t>access</w:t>
      </w:r>
      <w:r w:rsidR="00AA38FC">
        <w:rPr>
          <w:rFonts w:ascii="Times New Roman" w:hAnsi="Times New Roman"/>
        </w:rPr>
        <w:t xml:space="preserve"> new therapies for AD</w:t>
      </w:r>
      <w:r w:rsidR="00C01DFE">
        <w:rPr>
          <w:rFonts w:ascii="Times New Roman" w:hAnsi="Times New Roman"/>
        </w:rPr>
        <w:t xml:space="preserve">, what such changes comprise or why they would be needed.  In these circumstances it is impossible to assess the validity of the concerns expressed.  </w:t>
      </w:r>
    </w:p>
    <w:p w14:paraId="5E42AE43" w14:textId="6B99C432" w:rsidR="00C01DFE" w:rsidRPr="0072103E" w:rsidRDefault="00C01DFE" w:rsidP="00C01DFE">
      <w:pPr>
        <w:ind w:left="360"/>
        <w:jc w:val="both"/>
        <w:rPr>
          <w:rFonts w:ascii="Times New Roman" w:hAnsi="Times New Roman"/>
        </w:rPr>
      </w:pPr>
      <w:r>
        <w:rPr>
          <w:rFonts w:ascii="Times New Roman" w:hAnsi="Times New Roman"/>
        </w:rPr>
        <w:t xml:space="preserve">In summary, while the Committee has referred to necessary investment in NHS service provision as a reason not to recommend use of </w:t>
      </w:r>
      <w:r w:rsidR="00827A3B">
        <w:rPr>
          <w:rFonts w:ascii="Times New Roman" w:hAnsi="Times New Roman"/>
        </w:rPr>
        <w:t>don</w:t>
      </w:r>
      <w:r>
        <w:rPr>
          <w:rFonts w:ascii="Times New Roman" w:hAnsi="Times New Roman"/>
        </w:rPr>
        <w:t xml:space="preserve">anemab, the poor quality of AD services in parts of the country, including inadequate provision for AD diagnosis is a matter outside its remit.  Furthermore, the Committee has not explained its assessment of the service changes that would be required so the conclusions reached lack transparency and cannot be understood and tested.   </w:t>
      </w:r>
    </w:p>
    <w:p w14:paraId="4453D544" w14:textId="77777777" w:rsidR="000B0BD3" w:rsidRPr="003F51AA" w:rsidRDefault="000B0BD3" w:rsidP="000B0BD3">
      <w:pPr>
        <w:pStyle w:val="ListParagraph"/>
        <w:numPr>
          <w:ilvl w:val="0"/>
          <w:numId w:val="1"/>
        </w:numPr>
        <w:spacing w:after="0"/>
        <w:jc w:val="both"/>
        <w:rPr>
          <w:rFonts w:ascii="Times New Roman" w:hAnsi="Times New Roman"/>
        </w:rPr>
      </w:pPr>
      <w:r w:rsidRPr="003F51AA">
        <w:rPr>
          <w:rFonts w:ascii="Times New Roman" w:hAnsi="Times New Roman"/>
          <w:b/>
        </w:rPr>
        <w:t>GROUND 2: THE RECOMMENDATION IS UNREASONABLE IN THE LIGHT OF THE EVIDENCE SUBMITTED TO NICE</w:t>
      </w:r>
    </w:p>
    <w:p w14:paraId="359F88E7" w14:textId="77777777" w:rsidR="000B0BD3" w:rsidRPr="003F51AA" w:rsidRDefault="000B0BD3" w:rsidP="000B0BD3">
      <w:pPr>
        <w:jc w:val="both"/>
        <w:rPr>
          <w:rFonts w:ascii="Times New Roman" w:hAnsi="Times New Roman"/>
          <w:u w:val="single"/>
        </w:rPr>
      </w:pPr>
    </w:p>
    <w:p w14:paraId="560C5CBB" w14:textId="5D41BE5E" w:rsidR="00636E39" w:rsidRDefault="00636E39">
      <w:pPr>
        <w:pStyle w:val="ListParagraph"/>
        <w:numPr>
          <w:ilvl w:val="1"/>
          <w:numId w:val="1"/>
        </w:numPr>
        <w:jc w:val="both"/>
        <w:rPr>
          <w:rFonts w:ascii="Times New Roman" w:hAnsi="Times New Roman"/>
          <w:b/>
          <w:bCs/>
        </w:rPr>
      </w:pPr>
      <w:r>
        <w:rPr>
          <w:rFonts w:ascii="Times New Roman" w:hAnsi="Times New Roman"/>
          <w:b/>
          <w:bCs/>
        </w:rPr>
        <w:t xml:space="preserve">The Committee’s conclusions on caregiver utilities do not reflect the evidence available and are therefore </w:t>
      </w:r>
      <w:r w:rsidR="001A4E1B">
        <w:rPr>
          <w:rFonts w:ascii="Times New Roman" w:hAnsi="Times New Roman"/>
          <w:b/>
          <w:bCs/>
        </w:rPr>
        <w:t>unreasonable.</w:t>
      </w:r>
    </w:p>
    <w:p w14:paraId="23EAB858" w14:textId="24FE7452" w:rsidR="00636E39" w:rsidRDefault="007263FE" w:rsidP="007263FE">
      <w:pPr>
        <w:ind w:left="360"/>
        <w:jc w:val="both"/>
        <w:rPr>
          <w:rFonts w:ascii="Times New Roman" w:hAnsi="Times New Roman"/>
        </w:rPr>
      </w:pPr>
      <w:r w:rsidRPr="00D16636">
        <w:rPr>
          <w:rFonts w:ascii="Times New Roman" w:hAnsi="Times New Roman"/>
        </w:rPr>
        <w:t xml:space="preserve">We have referred at </w:t>
      </w:r>
      <w:r>
        <w:rPr>
          <w:rFonts w:ascii="Times New Roman" w:hAnsi="Times New Roman"/>
        </w:rPr>
        <w:t>appeal point 1.1 above, to the fact that the Committee appears to have disregarded important evidence in reaching its conclusion at paragraph 3.19 of the FDG that it preferred to use the carer utility values from the GERAS study despite the concerns raised in relation to the sensitivity of the EQ5D in this context.  The facts and matters raised at appeal point 1.1 are also applicable to this appeal point under Ground 2.</w:t>
      </w:r>
    </w:p>
    <w:p w14:paraId="280E9D78" w14:textId="49B4537B" w:rsidR="007263FE" w:rsidRPr="00D16636" w:rsidRDefault="007263FE" w:rsidP="00D16636">
      <w:pPr>
        <w:ind w:left="360"/>
        <w:jc w:val="both"/>
        <w:rPr>
          <w:rFonts w:ascii="Times New Roman" w:hAnsi="Times New Roman"/>
        </w:rPr>
      </w:pPr>
      <w:r>
        <w:rPr>
          <w:rFonts w:ascii="Times New Roman" w:hAnsi="Times New Roman"/>
        </w:rPr>
        <w:t xml:space="preserve">While paragraph 3.19 of the FDG is difficult to understand in view of the lack of transparency surrounding the Committee’s conclusions, it is Lilly’s position that the evidence clearly indicates that </w:t>
      </w:r>
      <w:r w:rsidR="0080582D">
        <w:rPr>
          <w:rFonts w:ascii="Times New Roman" w:hAnsi="Times New Roman"/>
        </w:rPr>
        <w:t xml:space="preserve">the EQ5D is not sensitive to the </w:t>
      </w:r>
      <w:proofErr w:type="spellStart"/>
      <w:r w:rsidR="0080582D">
        <w:rPr>
          <w:rFonts w:ascii="Times New Roman" w:hAnsi="Times New Roman"/>
        </w:rPr>
        <w:t>HRQoL</w:t>
      </w:r>
      <w:proofErr w:type="spellEnd"/>
      <w:r w:rsidR="0080582D">
        <w:rPr>
          <w:rFonts w:ascii="Times New Roman" w:hAnsi="Times New Roman"/>
        </w:rPr>
        <w:t xml:space="preserve"> of carers for people with AD and that, in these circumstances, the reliance by the Committee on the GERAS study rather than the studies submitted by Lilly and others and evidence from clinical and patient experts is unreasonable.</w:t>
      </w:r>
    </w:p>
    <w:p w14:paraId="3F199E9F" w14:textId="6DFE89CC" w:rsidR="00636E39" w:rsidRDefault="00636E39">
      <w:pPr>
        <w:pStyle w:val="ListParagraph"/>
        <w:numPr>
          <w:ilvl w:val="1"/>
          <w:numId w:val="1"/>
        </w:numPr>
        <w:jc w:val="both"/>
        <w:rPr>
          <w:rFonts w:ascii="Times New Roman" w:hAnsi="Times New Roman"/>
          <w:b/>
          <w:bCs/>
        </w:rPr>
      </w:pPr>
      <w:r>
        <w:rPr>
          <w:rFonts w:ascii="Times New Roman" w:hAnsi="Times New Roman"/>
          <w:b/>
          <w:bCs/>
        </w:rPr>
        <w:t xml:space="preserve">The Committee’s approach to the proportion of patients initiating treatment in mild </w:t>
      </w:r>
      <w:r w:rsidR="00745D39">
        <w:rPr>
          <w:rFonts w:ascii="Times New Roman" w:hAnsi="Times New Roman"/>
          <w:b/>
          <w:bCs/>
        </w:rPr>
        <w:t>Alzheimer’s</w:t>
      </w:r>
      <w:r>
        <w:rPr>
          <w:rFonts w:ascii="Times New Roman" w:hAnsi="Times New Roman"/>
          <w:b/>
          <w:bCs/>
        </w:rPr>
        <w:t xml:space="preserve"> Disease is inconsistent and </w:t>
      </w:r>
      <w:r w:rsidR="001A4E1B">
        <w:rPr>
          <w:rFonts w:ascii="Times New Roman" w:hAnsi="Times New Roman"/>
          <w:b/>
          <w:bCs/>
        </w:rPr>
        <w:t>unreasonable.</w:t>
      </w:r>
    </w:p>
    <w:p w14:paraId="54E7164C" w14:textId="77777777" w:rsidR="00636E39" w:rsidRDefault="00636E39" w:rsidP="00636E39">
      <w:pPr>
        <w:pStyle w:val="ListParagraph"/>
        <w:rPr>
          <w:rFonts w:ascii="Times New Roman" w:hAnsi="Times New Roman"/>
          <w:b/>
          <w:bCs/>
        </w:rPr>
      </w:pPr>
    </w:p>
    <w:p w14:paraId="1BB9B7DA" w14:textId="15664594" w:rsidR="00D9060C" w:rsidRDefault="003026D1" w:rsidP="003026D1">
      <w:pPr>
        <w:pStyle w:val="ListParagraph"/>
        <w:ind w:left="792"/>
        <w:rPr>
          <w:rFonts w:ascii="Times New Roman" w:hAnsi="Times New Roman"/>
        </w:rPr>
      </w:pPr>
      <w:r>
        <w:rPr>
          <w:rFonts w:ascii="Times New Roman" w:hAnsi="Times New Roman"/>
        </w:rPr>
        <w:t>At paragraph 3.13 of the FDG, the Committee consider</w:t>
      </w:r>
      <w:r w:rsidR="00935AF6">
        <w:rPr>
          <w:rFonts w:ascii="Times New Roman" w:hAnsi="Times New Roman"/>
        </w:rPr>
        <w:t>ed</w:t>
      </w:r>
      <w:r>
        <w:rPr>
          <w:rFonts w:ascii="Times New Roman" w:hAnsi="Times New Roman"/>
        </w:rPr>
        <w:t xml:space="preserve"> the proportion of people in the economic model who commence donanemab treatment in the MCI health state and the proportion who commence in the mild AD due to AD health state. </w:t>
      </w:r>
      <w:r w:rsidR="00935AF6">
        <w:rPr>
          <w:rFonts w:ascii="Times New Roman" w:hAnsi="Times New Roman"/>
        </w:rPr>
        <w:t xml:space="preserve"> </w:t>
      </w:r>
      <w:r w:rsidR="00D9060C">
        <w:rPr>
          <w:rFonts w:ascii="Times New Roman" w:hAnsi="Times New Roman"/>
        </w:rPr>
        <w:t xml:space="preserve"> Lilly provided expert evidence supported by data </w:t>
      </w:r>
      <w:r w:rsidR="00582D33">
        <w:rPr>
          <w:rFonts w:ascii="Times New Roman" w:hAnsi="Times New Roman"/>
        </w:rPr>
        <w:t xml:space="preserve">relating to </w:t>
      </w:r>
      <w:proofErr w:type="spellStart"/>
      <w:r w:rsidR="00582D33">
        <w:rPr>
          <w:rFonts w:ascii="Times New Roman" w:hAnsi="Times New Roman"/>
        </w:rPr>
        <w:t>lecanemab</w:t>
      </w:r>
      <w:proofErr w:type="spellEnd"/>
      <w:r w:rsidR="00582D33">
        <w:rPr>
          <w:rFonts w:ascii="Times New Roman" w:hAnsi="Times New Roman"/>
        </w:rPr>
        <w:t xml:space="preserve"> </w:t>
      </w:r>
      <w:r w:rsidR="00D9060C">
        <w:rPr>
          <w:rFonts w:ascii="Times New Roman" w:hAnsi="Times New Roman"/>
        </w:rPr>
        <w:t xml:space="preserve">from a US based community health care system (Kile et al (2024)) and </w:t>
      </w:r>
      <w:r w:rsidR="005D44E2">
        <w:rPr>
          <w:rFonts w:ascii="Times New Roman" w:hAnsi="Times New Roman"/>
        </w:rPr>
        <w:t xml:space="preserve">information presented from the </w:t>
      </w:r>
      <w:r w:rsidR="00582D33">
        <w:rPr>
          <w:rFonts w:ascii="Times New Roman" w:hAnsi="Times New Roman"/>
        </w:rPr>
        <w:t xml:space="preserve"> UK controlled access programme for donanemab, which supported the position that treatment is likely to start earlier than seen in the TRAILBLAZER-ALZ 2 trial.</w:t>
      </w:r>
      <w:r w:rsidR="00D9060C">
        <w:rPr>
          <w:rFonts w:ascii="Times New Roman" w:hAnsi="Times New Roman"/>
        </w:rPr>
        <w:t xml:space="preserve"> </w:t>
      </w:r>
    </w:p>
    <w:p w14:paraId="336653BA" w14:textId="77777777" w:rsidR="00D9060C" w:rsidRDefault="00D9060C" w:rsidP="003026D1">
      <w:pPr>
        <w:pStyle w:val="ListParagraph"/>
        <w:ind w:left="792"/>
        <w:rPr>
          <w:rFonts w:ascii="Times New Roman" w:hAnsi="Times New Roman"/>
        </w:rPr>
      </w:pPr>
    </w:p>
    <w:p w14:paraId="555FE8EC" w14:textId="77777777" w:rsidR="00582D33" w:rsidRDefault="00935AF6" w:rsidP="003026D1">
      <w:pPr>
        <w:pStyle w:val="ListParagraph"/>
        <w:ind w:left="792"/>
        <w:rPr>
          <w:rFonts w:ascii="Times New Roman" w:hAnsi="Times New Roman"/>
        </w:rPr>
      </w:pPr>
      <w:r>
        <w:rPr>
          <w:rFonts w:ascii="Times New Roman" w:hAnsi="Times New Roman"/>
        </w:rPr>
        <w:t xml:space="preserve">While the Committee noted evidence from professional organisations that “ </w:t>
      </w:r>
      <w:r w:rsidRPr="00D16636">
        <w:rPr>
          <w:rFonts w:ascii="Times New Roman" w:hAnsi="Times New Roman"/>
          <w:i/>
          <w:iCs/>
        </w:rPr>
        <w:t>a shift to earlier presentation is expected as awareness of potential disease-modifying therapies grows”</w:t>
      </w:r>
      <w:r>
        <w:rPr>
          <w:rFonts w:ascii="Times New Roman" w:hAnsi="Times New Roman"/>
        </w:rPr>
        <w:t>, it stated that “</w:t>
      </w:r>
      <w:r w:rsidRPr="00D16636">
        <w:rPr>
          <w:rFonts w:ascii="Times New Roman" w:hAnsi="Times New Roman"/>
          <w:i/>
          <w:iCs/>
        </w:rPr>
        <w:t>opinions differ on whether this being seen already in practice”</w:t>
      </w:r>
      <w:r>
        <w:rPr>
          <w:rFonts w:ascii="Times New Roman" w:hAnsi="Times New Roman"/>
        </w:rPr>
        <w:t xml:space="preserve">.  </w:t>
      </w:r>
      <w:r w:rsidR="00582D33">
        <w:rPr>
          <w:rFonts w:ascii="Times New Roman" w:hAnsi="Times New Roman"/>
        </w:rPr>
        <w:t>The Committee concluded that:</w:t>
      </w:r>
    </w:p>
    <w:p w14:paraId="66D24101" w14:textId="1B089615" w:rsidR="003026D1" w:rsidRDefault="00582D33" w:rsidP="00582D33">
      <w:pPr>
        <w:pStyle w:val="ListParagraph"/>
        <w:ind w:left="1440"/>
        <w:rPr>
          <w:rFonts w:ascii="Times New Roman" w:hAnsi="Times New Roman"/>
          <w:i/>
          <w:iCs/>
        </w:rPr>
      </w:pPr>
      <w:r>
        <w:rPr>
          <w:rFonts w:ascii="Times New Roman" w:hAnsi="Times New Roman"/>
        </w:rPr>
        <w:t>“</w:t>
      </w:r>
      <w:r w:rsidRPr="00D16636">
        <w:rPr>
          <w:rFonts w:ascii="Times New Roman" w:hAnsi="Times New Roman"/>
          <w:i/>
          <w:iCs/>
        </w:rPr>
        <w:t>…the starting proportions should be aligned with the clinical data and that moving away fr</w:t>
      </w:r>
      <w:r w:rsidR="00EA3594">
        <w:rPr>
          <w:rFonts w:ascii="Times New Roman" w:hAnsi="Times New Roman"/>
          <w:i/>
          <w:iCs/>
        </w:rPr>
        <w:t>o</w:t>
      </w:r>
      <w:r w:rsidRPr="00D16636">
        <w:rPr>
          <w:rFonts w:ascii="Times New Roman" w:hAnsi="Times New Roman"/>
          <w:i/>
          <w:iCs/>
        </w:rPr>
        <w:t xml:space="preserve">m these would not be consistent with the rest of the model.  It noted that the trial proportions were similar to the case mix of people currently using NHS memory services (all cause dementia)”.  </w:t>
      </w:r>
      <w:r w:rsidR="00935AF6" w:rsidRPr="00D16636">
        <w:rPr>
          <w:rFonts w:ascii="Times New Roman" w:hAnsi="Times New Roman"/>
          <w:i/>
          <w:iCs/>
        </w:rPr>
        <w:t xml:space="preserve"> </w:t>
      </w:r>
    </w:p>
    <w:p w14:paraId="08430CDD" w14:textId="77777777" w:rsidR="00582D33" w:rsidRDefault="00582D33" w:rsidP="00582D33">
      <w:pPr>
        <w:pStyle w:val="ListParagraph"/>
        <w:ind w:left="1440"/>
        <w:rPr>
          <w:rFonts w:ascii="Times New Roman" w:hAnsi="Times New Roman"/>
        </w:rPr>
      </w:pPr>
    </w:p>
    <w:p w14:paraId="01DFC59B" w14:textId="77777777" w:rsidR="00A079CD" w:rsidRDefault="00582D33" w:rsidP="00A079CD">
      <w:pPr>
        <w:pStyle w:val="ListParagraph"/>
        <w:ind w:left="792"/>
        <w:rPr>
          <w:rFonts w:ascii="Times New Roman" w:hAnsi="Times New Roman"/>
        </w:rPr>
      </w:pPr>
      <w:r>
        <w:rPr>
          <w:rFonts w:ascii="Times New Roman" w:hAnsi="Times New Roman"/>
        </w:rPr>
        <w:t xml:space="preserve">This conclusion is not only inconsistent with the expert opinion and real world evidence submitted to NICE, it adopts an approach different to that followed in the appraisal of </w:t>
      </w:r>
      <w:proofErr w:type="spellStart"/>
      <w:r>
        <w:rPr>
          <w:rFonts w:ascii="Times New Roman" w:hAnsi="Times New Roman"/>
        </w:rPr>
        <w:t>lecanemab</w:t>
      </w:r>
      <w:proofErr w:type="spellEnd"/>
      <w:r>
        <w:rPr>
          <w:rFonts w:ascii="Times New Roman" w:hAnsi="Times New Roman"/>
        </w:rPr>
        <w:t xml:space="preserve">, where the Committee </w:t>
      </w:r>
      <w:r w:rsidR="00A079CD">
        <w:rPr>
          <w:rFonts w:ascii="Times New Roman" w:hAnsi="Times New Roman"/>
        </w:rPr>
        <w:t xml:space="preserve">concluded that, while it would have preferred to </w:t>
      </w:r>
      <w:r w:rsidR="00A079CD" w:rsidRPr="00A079CD">
        <w:rPr>
          <w:rFonts w:ascii="Times New Roman" w:hAnsi="Times New Roman"/>
        </w:rPr>
        <w:t xml:space="preserve">use the baseline characteristics from </w:t>
      </w:r>
      <w:r w:rsidR="00A079CD">
        <w:rPr>
          <w:rFonts w:ascii="Times New Roman" w:hAnsi="Times New Roman"/>
        </w:rPr>
        <w:t xml:space="preserve">the </w:t>
      </w:r>
      <w:proofErr w:type="spellStart"/>
      <w:r w:rsidR="00A079CD">
        <w:rPr>
          <w:rFonts w:ascii="Times New Roman" w:hAnsi="Times New Roman"/>
        </w:rPr>
        <w:t>lecanemab</w:t>
      </w:r>
      <w:proofErr w:type="spellEnd"/>
      <w:r w:rsidR="00A079CD">
        <w:rPr>
          <w:rFonts w:ascii="Times New Roman" w:hAnsi="Times New Roman"/>
        </w:rPr>
        <w:t xml:space="preserve"> trial </w:t>
      </w:r>
    </w:p>
    <w:p w14:paraId="706DA89E" w14:textId="77777777" w:rsidR="00A079CD" w:rsidRDefault="00A079CD" w:rsidP="00A079CD">
      <w:pPr>
        <w:pStyle w:val="ListParagraph"/>
        <w:ind w:left="792"/>
        <w:rPr>
          <w:rFonts w:ascii="Times New Roman" w:hAnsi="Times New Roman"/>
        </w:rPr>
      </w:pPr>
    </w:p>
    <w:p w14:paraId="535A7CFA" w14:textId="6B355407" w:rsidR="00A079CD" w:rsidRDefault="00A079CD" w:rsidP="00A079CD">
      <w:pPr>
        <w:pStyle w:val="ListParagraph"/>
        <w:ind w:left="1440"/>
        <w:rPr>
          <w:rFonts w:ascii="Times New Roman" w:hAnsi="Times New Roman"/>
          <w:i/>
          <w:iCs/>
        </w:rPr>
      </w:pPr>
      <w:r>
        <w:rPr>
          <w:rFonts w:ascii="Times New Roman" w:hAnsi="Times New Roman"/>
        </w:rPr>
        <w:t>“</w:t>
      </w:r>
      <w:r w:rsidRPr="00D16636">
        <w:rPr>
          <w:rFonts w:ascii="Times New Roman" w:hAnsi="Times New Roman"/>
          <w:i/>
          <w:iCs/>
        </w:rPr>
        <w:t>…..these did not align with clinical expert opinion of NHS clinical practice. So, it concluded that it was appropriate to use the baseline proportions of MCI and mild dementia from TRAILBLAZER-ALZ 2 “.</w:t>
      </w:r>
    </w:p>
    <w:p w14:paraId="229E0A8A" w14:textId="77777777" w:rsidR="00A079CD" w:rsidRDefault="00A079CD" w:rsidP="00A079CD">
      <w:pPr>
        <w:pStyle w:val="ListParagraph"/>
        <w:spacing w:before="240"/>
        <w:ind w:left="792"/>
        <w:rPr>
          <w:rFonts w:ascii="Times New Roman" w:hAnsi="Times New Roman"/>
        </w:rPr>
      </w:pPr>
    </w:p>
    <w:p w14:paraId="1C31BDC9" w14:textId="4D55B39A" w:rsidR="00A079CD" w:rsidRPr="00D16636" w:rsidRDefault="00A079CD" w:rsidP="00D16636">
      <w:pPr>
        <w:pStyle w:val="ListParagraph"/>
        <w:spacing w:before="240"/>
        <w:ind w:left="792"/>
        <w:rPr>
          <w:rFonts w:ascii="Times New Roman" w:hAnsi="Times New Roman"/>
          <w:i/>
          <w:iCs/>
        </w:rPr>
      </w:pPr>
      <w:r>
        <w:rPr>
          <w:rFonts w:ascii="Times New Roman" w:hAnsi="Times New Roman"/>
        </w:rPr>
        <w:t>The decision to mandate use of the trial data for the relevant product in one appraisal but to reject the data relating to another product in another appraisal is inconsistent and therefore arbitrary and unreasonable.  It is Lilly’s position that a balanced approach is to base the proportion of people in MC</w:t>
      </w:r>
      <w:r w:rsidR="00CB25F2">
        <w:rPr>
          <w:rFonts w:ascii="Times New Roman" w:hAnsi="Times New Roman"/>
        </w:rPr>
        <w:t>I</w:t>
      </w:r>
      <w:r>
        <w:rPr>
          <w:rFonts w:ascii="Times New Roman" w:hAnsi="Times New Roman"/>
        </w:rPr>
        <w:t xml:space="preserve"> and mild AD health states on real world evidence obtained after introduction of disease modifying treatments rather than data from trials which expert opinion considers are likely to be </w:t>
      </w:r>
      <w:r w:rsidR="00745D39">
        <w:rPr>
          <w:rFonts w:ascii="Times New Roman" w:hAnsi="Times New Roman"/>
        </w:rPr>
        <w:t>unrealistic</w:t>
      </w:r>
      <w:r>
        <w:rPr>
          <w:rFonts w:ascii="Times New Roman" w:hAnsi="Times New Roman"/>
        </w:rPr>
        <w:t xml:space="preserve">. </w:t>
      </w:r>
    </w:p>
    <w:p w14:paraId="2C649801" w14:textId="77777777" w:rsidR="00935AF6" w:rsidRPr="00D16636" w:rsidRDefault="00935AF6" w:rsidP="00D16636">
      <w:pPr>
        <w:pStyle w:val="ListParagraph"/>
        <w:ind w:left="792"/>
        <w:rPr>
          <w:rFonts w:ascii="Times New Roman" w:hAnsi="Times New Roman"/>
        </w:rPr>
      </w:pPr>
    </w:p>
    <w:p w14:paraId="30AF20D9" w14:textId="46E8EEE2" w:rsidR="00183CDC" w:rsidRPr="00284807" w:rsidRDefault="0005551A">
      <w:pPr>
        <w:pStyle w:val="ListParagraph"/>
        <w:numPr>
          <w:ilvl w:val="1"/>
          <w:numId w:val="1"/>
        </w:numPr>
        <w:jc w:val="both"/>
        <w:rPr>
          <w:rFonts w:ascii="Times New Roman" w:hAnsi="Times New Roman"/>
          <w:b/>
          <w:bCs/>
        </w:rPr>
      </w:pPr>
      <w:r w:rsidRPr="00284807">
        <w:rPr>
          <w:rFonts w:ascii="Times New Roman" w:hAnsi="Times New Roman"/>
          <w:b/>
          <w:bCs/>
        </w:rPr>
        <w:t xml:space="preserve">The </w:t>
      </w:r>
      <w:r w:rsidR="00637CCA">
        <w:rPr>
          <w:rFonts w:ascii="Times New Roman" w:hAnsi="Times New Roman"/>
          <w:b/>
          <w:bCs/>
        </w:rPr>
        <w:t xml:space="preserve">Committee’s </w:t>
      </w:r>
      <w:r w:rsidRPr="00284807">
        <w:rPr>
          <w:rFonts w:ascii="Times New Roman" w:hAnsi="Times New Roman"/>
          <w:b/>
          <w:bCs/>
        </w:rPr>
        <w:t xml:space="preserve">assessment of the additional </w:t>
      </w:r>
      <w:r w:rsidR="00284807" w:rsidRPr="00284807">
        <w:rPr>
          <w:rFonts w:ascii="Times New Roman" w:hAnsi="Times New Roman"/>
          <w:b/>
          <w:bCs/>
        </w:rPr>
        <w:t xml:space="preserve">aspects </w:t>
      </w:r>
      <w:r w:rsidRPr="00284807">
        <w:rPr>
          <w:rFonts w:ascii="Times New Roman" w:hAnsi="Times New Roman"/>
          <w:b/>
          <w:bCs/>
        </w:rPr>
        <w:t xml:space="preserve">of </w:t>
      </w:r>
      <w:r w:rsidR="00E975E4">
        <w:rPr>
          <w:rFonts w:ascii="Times New Roman" w:hAnsi="Times New Roman"/>
          <w:b/>
          <w:bCs/>
        </w:rPr>
        <w:t>donan</w:t>
      </w:r>
      <w:r w:rsidRPr="00284807">
        <w:rPr>
          <w:rFonts w:ascii="Times New Roman" w:hAnsi="Times New Roman"/>
          <w:b/>
          <w:bCs/>
        </w:rPr>
        <w:t>emab treatment is unreasonable</w:t>
      </w:r>
      <w:r w:rsidR="002C01A5">
        <w:rPr>
          <w:rFonts w:ascii="Times New Roman" w:hAnsi="Times New Roman"/>
          <w:b/>
          <w:bCs/>
        </w:rPr>
        <w:t xml:space="preserve"> and </w:t>
      </w:r>
      <w:r w:rsidR="00960BFC">
        <w:rPr>
          <w:rFonts w:ascii="Times New Roman" w:hAnsi="Times New Roman"/>
          <w:b/>
          <w:bCs/>
        </w:rPr>
        <w:t>arbitrary.</w:t>
      </w:r>
    </w:p>
    <w:p w14:paraId="4859D6A9" w14:textId="7B039832" w:rsidR="00681273" w:rsidRPr="00AB673D" w:rsidRDefault="00655444" w:rsidP="00284807">
      <w:pPr>
        <w:ind w:left="360"/>
        <w:jc w:val="both"/>
        <w:rPr>
          <w:rFonts w:ascii="Times New Roman" w:hAnsi="Times New Roman"/>
        </w:rPr>
      </w:pPr>
      <w:r>
        <w:rPr>
          <w:rFonts w:ascii="Times New Roman" w:hAnsi="Times New Roman"/>
        </w:rPr>
        <w:t xml:space="preserve">At paragraph 3.28 of the FDG, the Committee identifies </w:t>
      </w:r>
      <w:r w:rsidR="00D77AD6">
        <w:rPr>
          <w:rFonts w:ascii="Times New Roman" w:hAnsi="Times New Roman"/>
        </w:rPr>
        <w:t xml:space="preserve">certain uncaptured </w:t>
      </w:r>
      <w:r w:rsidR="00955981" w:rsidRPr="00AB673D">
        <w:rPr>
          <w:rFonts w:ascii="Times New Roman" w:hAnsi="Times New Roman"/>
        </w:rPr>
        <w:t xml:space="preserve">benefits </w:t>
      </w:r>
      <w:r w:rsidR="00D77AD6">
        <w:rPr>
          <w:rFonts w:ascii="Times New Roman" w:hAnsi="Times New Roman"/>
        </w:rPr>
        <w:t xml:space="preserve">and harms </w:t>
      </w:r>
      <w:r w:rsidR="00B64EC4" w:rsidRPr="00AB673D">
        <w:rPr>
          <w:rFonts w:ascii="Times New Roman" w:hAnsi="Times New Roman"/>
        </w:rPr>
        <w:t xml:space="preserve">of </w:t>
      </w:r>
      <w:r w:rsidR="00816EF0">
        <w:rPr>
          <w:rFonts w:ascii="Times New Roman" w:hAnsi="Times New Roman"/>
        </w:rPr>
        <w:t xml:space="preserve">donanemab </w:t>
      </w:r>
      <w:r w:rsidR="00B64EC4" w:rsidRPr="00AB673D">
        <w:rPr>
          <w:rFonts w:ascii="Times New Roman" w:hAnsi="Times New Roman"/>
        </w:rPr>
        <w:t>treatment</w:t>
      </w:r>
      <w:r w:rsidR="00D77AD6">
        <w:rPr>
          <w:rFonts w:ascii="Times New Roman" w:hAnsi="Times New Roman"/>
        </w:rPr>
        <w:t>.</w:t>
      </w:r>
      <w:r w:rsidR="00BD21C5" w:rsidRPr="00AB673D">
        <w:rPr>
          <w:rFonts w:ascii="Times New Roman" w:hAnsi="Times New Roman"/>
        </w:rPr>
        <w:t xml:space="preserve"> </w:t>
      </w:r>
    </w:p>
    <w:p w14:paraId="1FCCB482" w14:textId="1CD68B8E" w:rsidR="00A56B17" w:rsidRPr="00AB673D" w:rsidRDefault="00A56B17" w:rsidP="00A56B17">
      <w:pPr>
        <w:pStyle w:val="ListParagraph"/>
        <w:numPr>
          <w:ilvl w:val="0"/>
          <w:numId w:val="27"/>
        </w:numPr>
        <w:jc w:val="both"/>
        <w:rPr>
          <w:rFonts w:ascii="Times New Roman" w:hAnsi="Times New Roman"/>
        </w:rPr>
      </w:pPr>
      <w:r w:rsidRPr="00AB673D">
        <w:rPr>
          <w:rFonts w:ascii="Times New Roman" w:hAnsi="Times New Roman"/>
        </w:rPr>
        <w:t>The uncaptured benefits listed at paragraph 3.</w:t>
      </w:r>
      <w:r w:rsidR="009A525D">
        <w:rPr>
          <w:rFonts w:ascii="Times New Roman" w:hAnsi="Times New Roman"/>
        </w:rPr>
        <w:t>28</w:t>
      </w:r>
      <w:r w:rsidRPr="00AB673D">
        <w:rPr>
          <w:rFonts w:ascii="Times New Roman" w:hAnsi="Times New Roman"/>
        </w:rPr>
        <w:t xml:space="preserve"> </w:t>
      </w:r>
      <w:r w:rsidR="00957C41" w:rsidRPr="00AB673D">
        <w:rPr>
          <w:rFonts w:ascii="Times New Roman" w:hAnsi="Times New Roman"/>
        </w:rPr>
        <w:t>comprise:</w:t>
      </w:r>
    </w:p>
    <w:p w14:paraId="0237E728" w14:textId="77777777" w:rsidR="00CE2272" w:rsidRDefault="00F925C0" w:rsidP="00CE2272">
      <w:pPr>
        <w:pStyle w:val="Default"/>
        <w:numPr>
          <w:ilvl w:val="1"/>
          <w:numId w:val="27"/>
        </w:numPr>
        <w:rPr>
          <w:rFonts w:ascii="Times New Roman" w:hAnsi="Times New Roman"/>
          <w:szCs w:val="23"/>
        </w:rPr>
      </w:pPr>
      <w:r w:rsidRPr="00AB673D">
        <w:rPr>
          <w:rFonts w:ascii="Times New Roman" w:hAnsi="Times New Roman"/>
          <w:szCs w:val="23"/>
        </w:rPr>
        <w:t xml:space="preserve"> </w:t>
      </w:r>
      <w:r w:rsidR="00CE2272" w:rsidRPr="00CE2272">
        <w:rPr>
          <w:rFonts w:ascii="Times New Roman" w:hAnsi="Times New Roman"/>
          <w:szCs w:val="23"/>
        </w:rPr>
        <w:t xml:space="preserve">Access to a new potentially disease-modifying treatment such as donanemab could reduce the fear associated with having Alzheimer’s disease and is likely to lead to the evolution of clinical care pathways in the NHS and overall improvements in the care provided for patients. </w:t>
      </w:r>
    </w:p>
    <w:p w14:paraId="5A09F25D" w14:textId="3067F86C" w:rsidR="00F925C0" w:rsidRDefault="00CE2272" w:rsidP="00CE2272">
      <w:pPr>
        <w:pStyle w:val="Default"/>
        <w:numPr>
          <w:ilvl w:val="1"/>
          <w:numId w:val="27"/>
        </w:numPr>
        <w:rPr>
          <w:rFonts w:ascii="Times New Roman" w:hAnsi="Times New Roman"/>
          <w:szCs w:val="23"/>
        </w:rPr>
      </w:pPr>
      <w:r w:rsidRPr="00CE2272">
        <w:rPr>
          <w:rFonts w:ascii="Times New Roman" w:hAnsi="Times New Roman"/>
          <w:szCs w:val="23"/>
        </w:rPr>
        <w:t>•</w:t>
      </w:r>
      <w:r w:rsidR="008436EC">
        <w:rPr>
          <w:rFonts w:ascii="Times New Roman" w:hAnsi="Times New Roman"/>
          <w:szCs w:val="23"/>
        </w:rPr>
        <w:t xml:space="preserve"> </w:t>
      </w:r>
      <w:r w:rsidRPr="00CE2272">
        <w:rPr>
          <w:rFonts w:ascii="Times New Roman" w:hAnsi="Times New Roman"/>
          <w:szCs w:val="23"/>
        </w:rPr>
        <w:t>Use of proxy-reported patient utility data from the GERAS study may not have captured the more severe cases of Alzheimer’s disease because it was done in the community setting.</w:t>
      </w:r>
    </w:p>
    <w:p w14:paraId="1E57F375" w14:textId="77777777" w:rsidR="00057F6C" w:rsidRDefault="00057F6C" w:rsidP="00CE2272">
      <w:pPr>
        <w:pStyle w:val="Default"/>
        <w:numPr>
          <w:ilvl w:val="1"/>
          <w:numId w:val="27"/>
        </w:numPr>
        <w:rPr>
          <w:rFonts w:ascii="Times New Roman" w:hAnsi="Times New Roman"/>
          <w:szCs w:val="23"/>
        </w:rPr>
      </w:pPr>
      <w:r w:rsidRPr="00057F6C">
        <w:rPr>
          <w:rFonts w:ascii="Times New Roman" w:hAnsi="Times New Roman"/>
          <w:szCs w:val="23"/>
        </w:rPr>
        <w:t xml:space="preserve">The impact on the finances and productivity of unpaid carers for people with Alzheimer’s disease were not captured in the model. The committee noted that these costs fall outside of NICE’s reference case. </w:t>
      </w:r>
    </w:p>
    <w:p w14:paraId="01B7D999" w14:textId="6A5FAA31" w:rsidR="00057F6C" w:rsidRDefault="00057F6C" w:rsidP="00CE2272">
      <w:pPr>
        <w:pStyle w:val="Default"/>
        <w:numPr>
          <w:ilvl w:val="1"/>
          <w:numId w:val="27"/>
        </w:numPr>
        <w:rPr>
          <w:rFonts w:ascii="Times New Roman" w:hAnsi="Times New Roman"/>
          <w:szCs w:val="23"/>
        </w:rPr>
      </w:pPr>
      <w:r w:rsidRPr="00057F6C">
        <w:rPr>
          <w:rFonts w:ascii="Times New Roman" w:hAnsi="Times New Roman"/>
          <w:szCs w:val="23"/>
        </w:rPr>
        <w:t>•Donanemab is not eligible for the severity modifier (see section 3.23):</w:t>
      </w:r>
    </w:p>
    <w:p w14:paraId="7469A1BA" w14:textId="0F9DBAC1" w:rsidR="00057F6C" w:rsidRDefault="00057F6C" w:rsidP="00057F6C">
      <w:pPr>
        <w:pStyle w:val="Default"/>
        <w:numPr>
          <w:ilvl w:val="2"/>
          <w:numId w:val="27"/>
        </w:numPr>
        <w:rPr>
          <w:rFonts w:ascii="Times New Roman" w:hAnsi="Times New Roman"/>
          <w:szCs w:val="23"/>
        </w:rPr>
      </w:pPr>
      <w:r w:rsidRPr="00057F6C">
        <w:rPr>
          <w:rFonts w:ascii="Times New Roman" w:hAnsi="Times New Roman"/>
          <w:szCs w:val="23"/>
        </w:rPr>
        <w:t xml:space="preserve">people living with Alzheimer’s disease typically become dependent on their carer for everyday functioning, which makes the burden on carers an essential aspect of the </w:t>
      </w:r>
      <w:r w:rsidR="00960BFC" w:rsidRPr="00057F6C">
        <w:rPr>
          <w:rFonts w:ascii="Times New Roman" w:hAnsi="Times New Roman"/>
          <w:szCs w:val="23"/>
        </w:rPr>
        <w:t>disease.</w:t>
      </w:r>
    </w:p>
    <w:p w14:paraId="3EE07FC6" w14:textId="31935DFA" w:rsidR="00057F6C" w:rsidRDefault="00057F6C" w:rsidP="00057F6C">
      <w:pPr>
        <w:pStyle w:val="Default"/>
        <w:numPr>
          <w:ilvl w:val="2"/>
          <w:numId w:val="27"/>
        </w:numPr>
        <w:rPr>
          <w:rFonts w:ascii="Times New Roman" w:hAnsi="Times New Roman"/>
          <w:szCs w:val="23"/>
        </w:rPr>
      </w:pPr>
      <w:r w:rsidRPr="00057F6C">
        <w:rPr>
          <w:rFonts w:ascii="Times New Roman" w:hAnsi="Times New Roman"/>
          <w:szCs w:val="23"/>
        </w:rPr>
        <w:t>there is a perceived disconnect between NICE’s reference case perspective, which can include both patient and carer quality of life, and the calculation of the severity modifier which only includes patient quality of life.</w:t>
      </w:r>
    </w:p>
    <w:p w14:paraId="0D1517D1" w14:textId="77777777" w:rsidR="00057F6C" w:rsidRPr="00AB673D" w:rsidRDefault="00057F6C" w:rsidP="00057F6C">
      <w:pPr>
        <w:pStyle w:val="Default"/>
        <w:rPr>
          <w:rFonts w:ascii="Times New Roman" w:hAnsi="Times New Roman"/>
          <w:szCs w:val="23"/>
        </w:rPr>
      </w:pPr>
    </w:p>
    <w:p w14:paraId="4AA3D15F" w14:textId="096B9718" w:rsidR="00F925C0" w:rsidRPr="00AB673D" w:rsidRDefault="00201633" w:rsidP="00F925C0">
      <w:pPr>
        <w:pStyle w:val="Default"/>
        <w:numPr>
          <w:ilvl w:val="0"/>
          <w:numId w:val="27"/>
        </w:numPr>
        <w:rPr>
          <w:rFonts w:ascii="Times New Roman" w:hAnsi="Times New Roman"/>
          <w:szCs w:val="23"/>
        </w:rPr>
      </w:pPr>
      <w:r w:rsidRPr="00AB673D">
        <w:rPr>
          <w:rFonts w:ascii="Times New Roman" w:hAnsi="Times New Roman"/>
          <w:szCs w:val="23"/>
        </w:rPr>
        <w:t xml:space="preserve">The Committee also identified what were described as </w:t>
      </w:r>
      <w:r w:rsidR="00841F5A" w:rsidRPr="00AB673D">
        <w:rPr>
          <w:rFonts w:ascii="Times New Roman" w:hAnsi="Times New Roman"/>
          <w:szCs w:val="23"/>
        </w:rPr>
        <w:t>potential uncaptured harms</w:t>
      </w:r>
      <w:r w:rsidR="002A51E8" w:rsidRPr="00AB673D">
        <w:rPr>
          <w:rFonts w:ascii="Times New Roman" w:hAnsi="Times New Roman"/>
          <w:szCs w:val="23"/>
        </w:rPr>
        <w:t>:</w:t>
      </w:r>
    </w:p>
    <w:p w14:paraId="5B2AB915" w14:textId="77777777" w:rsidR="002A51E8" w:rsidRPr="00AB673D" w:rsidRDefault="002A51E8" w:rsidP="002A51E8">
      <w:pPr>
        <w:pStyle w:val="Default"/>
        <w:rPr>
          <w:rFonts w:ascii="Times New Roman" w:hAnsi="Times New Roman"/>
          <w:szCs w:val="23"/>
        </w:rPr>
      </w:pPr>
    </w:p>
    <w:p w14:paraId="26B32D59" w14:textId="2820EA8E" w:rsidR="00E35B26" w:rsidRDefault="00E35B26" w:rsidP="001C6F2C">
      <w:pPr>
        <w:pStyle w:val="Default"/>
        <w:numPr>
          <w:ilvl w:val="1"/>
          <w:numId w:val="27"/>
        </w:numPr>
        <w:rPr>
          <w:rFonts w:ascii="Times New Roman" w:hAnsi="Times New Roman"/>
          <w:szCs w:val="23"/>
        </w:rPr>
      </w:pPr>
      <w:r w:rsidRPr="00E35B26">
        <w:rPr>
          <w:rFonts w:ascii="Times New Roman" w:hAnsi="Times New Roman"/>
          <w:szCs w:val="23"/>
        </w:rPr>
        <w:t xml:space="preserve">‘false hope’ for people who are not eligible for donanemab, or who may find out they are APOE4 carriers and may experience worse outcomes than </w:t>
      </w:r>
      <w:r w:rsidR="00960BFC" w:rsidRPr="00E35B26">
        <w:rPr>
          <w:rFonts w:ascii="Times New Roman" w:hAnsi="Times New Roman"/>
          <w:szCs w:val="23"/>
        </w:rPr>
        <w:t>others.</w:t>
      </w:r>
      <w:r w:rsidRPr="00E35B26">
        <w:rPr>
          <w:rFonts w:ascii="Times New Roman" w:hAnsi="Times New Roman"/>
          <w:szCs w:val="23"/>
        </w:rPr>
        <w:t xml:space="preserve"> </w:t>
      </w:r>
    </w:p>
    <w:p w14:paraId="284F559C" w14:textId="6AAE20F3" w:rsidR="00E35B26" w:rsidRDefault="00E35B26" w:rsidP="001C6F2C">
      <w:pPr>
        <w:pStyle w:val="Default"/>
        <w:numPr>
          <w:ilvl w:val="1"/>
          <w:numId w:val="27"/>
        </w:numPr>
        <w:rPr>
          <w:rFonts w:ascii="Times New Roman" w:hAnsi="Times New Roman"/>
          <w:szCs w:val="23"/>
        </w:rPr>
      </w:pPr>
      <w:r w:rsidRPr="00E35B26">
        <w:rPr>
          <w:rFonts w:ascii="Times New Roman" w:hAnsi="Times New Roman"/>
          <w:szCs w:val="23"/>
        </w:rPr>
        <w:t xml:space="preserve">‘false hope’ for people who believe that donanemab is a cure for Alzheimer’s disease rather than a treatment that aims to slow disease progression for an uncertain amount of </w:t>
      </w:r>
      <w:r w:rsidR="00960BFC" w:rsidRPr="00E35B26">
        <w:rPr>
          <w:rFonts w:ascii="Times New Roman" w:hAnsi="Times New Roman"/>
          <w:szCs w:val="23"/>
        </w:rPr>
        <w:t>time.</w:t>
      </w:r>
      <w:r w:rsidRPr="00E35B26">
        <w:rPr>
          <w:rFonts w:ascii="Times New Roman" w:hAnsi="Times New Roman"/>
          <w:szCs w:val="23"/>
        </w:rPr>
        <w:t xml:space="preserve"> </w:t>
      </w:r>
    </w:p>
    <w:p w14:paraId="61712CA0" w14:textId="74DB1FC9" w:rsidR="00E35B26" w:rsidRDefault="00E35B26" w:rsidP="001C6F2C">
      <w:pPr>
        <w:pStyle w:val="Default"/>
        <w:numPr>
          <w:ilvl w:val="1"/>
          <w:numId w:val="27"/>
        </w:numPr>
        <w:rPr>
          <w:rFonts w:ascii="Times New Roman" w:hAnsi="Times New Roman"/>
          <w:szCs w:val="23"/>
        </w:rPr>
      </w:pPr>
      <w:r w:rsidRPr="00E35B26">
        <w:rPr>
          <w:rFonts w:ascii="Times New Roman" w:hAnsi="Times New Roman"/>
          <w:szCs w:val="23"/>
        </w:rPr>
        <w:t xml:space="preserve">burdens on patients and carers associated with treatment including need for lumbar puncture, frequent infusions and MRI </w:t>
      </w:r>
      <w:r w:rsidR="00960BFC" w:rsidRPr="00E35B26">
        <w:rPr>
          <w:rFonts w:ascii="Times New Roman" w:hAnsi="Times New Roman"/>
          <w:szCs w:val="23"/>
        </w:rPr>
        <w:t>scans.</w:t>
      </w:r>
      <w:r w:rsidRPr="00E35B26">
        <w:rPr>
          <w:rFonts w:ascii="Times New Roman" w:hAnsi="Times New Roman"/>
          <w:szCs w:val="23"/>
        </w:rPr>
        <w:t xml:space="preserve"> </w:t>
      </w:r>
    </w:p>
    <w:p w14:paraId="59CD106B" w14:textId="74E7C65F" w:rsidR="00E35B26" w:rsidRDefault="00E35B26" w:rsidP="001C6F2C">
      <w:pPr>
        <w:pStyle w:val="Default"/>
        <w:numPr>
          <w:ilvl w:val="1"/>
          <w:numId w:val="27"/>
        </w:numPr>
        <w:rPr>
          <w:rFonts w:ascii="Times New Roman" w:hAnsi="Times New Roman"/>
          <w:szCs w:val="23"/>
        </w:rPr>
      </w:pPr>
      <w:r w:rsidRPr="00E35B26">
        <w:rPr>
          <w:rFonts w:ascii="Times New Roman" w:hAnsi="Times New Roman"/>
          <w:szCs w:val="23"/>
        </w:rPr>
        <w:t xml:space="preserve">significant increase in demand for NHS primary and secondary care services that may affect the provision of other </w:t>
      </w:r>
      <w:r w:rsidR="00960BFC" w:rsidRPr="00E35B26">
        <w:rPr>
          <w:rFonts w:ascii="Times New Roman" w:hAnsi="Times New Roman"/>
          <w:szCs w:val="23"/>
        </w:rPr>
        <w:t>services.</w:t>
      </w:r>
      <w:r w:rsidRPr="00E35B26">
        <w:rPr>
          <w:rFonts w:ascii="Times New Roman" w:hAnsi="Times New Roman"/>
          <w:szCs w:val="23"/>
        </w:rPr>
        <w:t xml:space="preserve"> </w:t>
      </w:r>
    </w:p>
    <w:p w14:paraId="7E395DDF" w14:textId="0DDA9217" w:rsidR="00E35B26" w:rsidRDefault="00E35B26" w:rsidP="001C6F2C">
      <w:pPr>
        <w:pStyle w:val="Default"/>
        <w:numPr>
          <w:ilvl w:val="1"/>
          <w:numId w:val="27"/>
        </w:numPr>
        <w:rPr>
          <w:rFonts w:ascii="Times New Roman" w:hAnsi="Times New Roman"/>
          <w:szCs w:val="23"/>
        </w:rPr>
      </w:pPr>
      <w:r w:rsidRPr="00E35B26">
        <w:rPr>
          <w:rFonts w:ascii="Times New Roman" w:hAnsi="Times New Roman"/>
          <w:szCs w:val="23"/>
        </w:rPr>
        <w:t xml:space="preserve">substantial investment in infrastructure and training for NHS care pathways to be redesigned to accommodate new </w:t>
      </w:r>
      <w:r w:rsidR="00960BFC" w:rsidRPr="00E35B26">
        <w:rPr>
          <w:rFonts w:ascii="Times New Roman" w:hAnsi="Times New Roman"/>
          <w:szCs w:val="23"/>
        </w:rPr>
        <w:t>treatments</w:t>
      </w:r>
      <w:r w:rsidR="00960BFC">
        <w:rPr>
          <w:rFonts w:ascii="Times New Roman" w:hAnsi="Times New Roman"/>
          <w:szCs w:val="23"/>
        </w:rPr>
        <w:t>”.</w:t>
      </w:r>
      <w:r w:rsidRPr="00E35B26">
        <w:rPr>
          <w:rFonts w:ascii="Times New Roman" w:hAnsi="Times New Roman"/>
          <w:szCs w:val="23"/>
        </w:rPr>
        <w:t xml:space="preserve"> </w:t>
      </w:r>
    </w:p>
    <w:p w14:paraId="6B0F5BE2" w14:textId="77777777" w:rsidR="001D364C" w:rsidRPr="00AB673D" w:rsidRDefault="001D364C" w:rsidP="00284807">
      <w:pPr>
        <w:ind w:left="360"/>
        <w:jc w:val="both"/>
        <w:rPr>
          <w:rFonts w:ascii="Times New Roman" w:hAnsi="Times New Roman"/>
        </w:rPr>
      </w:pPr>
    </w:p>
    <w:p w14:paraId="22AEE85D" w14:textId="159CC1B8" w:rsidR="002C01A5" w:rsidRDefault="002C01A5" w:rsidP="002C01A5">
      <w:pPr>
        <w:jc w:val="both"/>
        <w:rPr>
          <w:rFonts w:ascii="Times New Roman" w:hAnsi="Times New Roman"/>
        </w:rPr>
      </w:pPr>
      <w:r>
        <w:rPr>
          <w:rFonts w:ascii="Times New Roman" w:hAnsi="Times New Roman"/>
        </w:rPr>
        <w:t>The Committee concludes:</w:t>
      </w:r>
    </w:p>
    <w:p w14:paraId="2B15093C" w14:textId="69D44225" w:rsidR="002C01A5" w:rsidRDefault="002C01A5" w:rsidP="002C01A5">
      <w:pPr>
        <w:ind w:left="720"/>
        <w:jc w:val="both"/>
        <w:rPr>
          <w:rFonts w:ascii="Times New Roman" w:hAnsi="Times New Roman"/>
          <w:i/>
          <w:iCs/>
        </w:rPr>
      </w:pPr>
      <w:r>
        <w:rPr>
          <w:rFonts w:ascii="Times New Roman" w:hAnsi="Times New Roman"/>
        </w:rPr>
        <w:t>“</w:t>
      </w:r>
      <w:r w:rsidRPr="009044B4">
        <w:rPr>
          <w:rFonts w:ascii="Times New Roman" w:hAnsi="Times New Roman"/>
          <w:i/>
          <w:iCs/>
        </w:rPr>
        <w:t xml:space="preserve">….the uncaptured benefits and costs or harms of donanemab may increase or decrease the most plausible ICER.  But it decided that capturing the benefits and costs would not significantly change the most plausible estimated ICER.  So it decided that uncaptured benefits and costs would not change </w:t>
      </w:r>
      <w:r>
        <w:rPr>
          <w:rFonts w:ascii="Times New Roman" w:hAnsi="Times New Roman"/>
          <w:i/>
          <w:iCs/>
        </w:rPr>
        <w:t>its</w:t>
      </w:r>
      <w:r w:rsidRPr="009044B4">
        <w:rPr>
          <w:rFonts w:ascii="Times New Roman" w:hAnsi="Times New Roman"/>
          <w:i/>
          <w:iCs/>
        </w:rPr>
        <w:t xml:space="preserve"> conclusions on the cost effectiveness of donanemab”.</w:t>
      </w:r>
    </w:p>
    <w:p w14:paraId="10B37DD8" w14:textId="77777777" w:rsidR="00593D0A" w:rsidRDefault="002C01A5" w:rsidP="002C01A5">
      <w:pPr>
        <w:jc w:val="both"/>
        <w:rPr>
          <w:rFonts w:ascii="Times New Roman" w:hAnsi="Times New Roman"/>
        </w:rPr>
      </w:pPr>
      <w:r>
        <w:rPr>
          <w:rFonts w:ascii="Times New Roman" w:hAnsi="Times New Roman"/>
        </w:rPr>
        <w:t xml:space="preserve">The </w:t>
      </w:r>
      <w:r w:rsidR="008E1D0F">
        <w:rPr>
          <w:rFonts w:ascii="Times New Roman" w:hAnsi="Times New Roman"/>
        </w:rPr>
        <w:t xml:space="preserve">assessment by the Committee at paragraph 3.28 </w:t>
      </w:r>
      <w:r w:rsidR="0066438B">
        <w:rPr>
          <w:rFonts w:ascii="Times New Roman" w:hAnsi="Times New Roman"/>
        </w:rPr>
        <w:t>of the FDG is unb</w:t>
      </w:r>
      <w:r w:rsidR="007849F6">
        <w:rPr>
          <w:rFonts w:ascii="Times New Roman" w:hAnsi="Times New Roman"/>
        </w:rPr>
        <w:t>a</w:t>
      </w:r>
      <w:r w:rsidR="0066438B">
        <w:rPr>
          <w:rFonts w:ascii="Times New Roman" w:hAnsi="Times New Roman"/>
        </w:rPr>
        <w:t>la</w:t>
      </w:r>
      <w:r w:rsidR="007849F6">
        <w:rPr>
          <w:rFonts w:ascii="Times New Roman" w:hAnsi="Times New Roman"/>
        </w:rPr>
        <w:t xml:space="preserve">nced, unexplained and arbitrary. </w:t>
      </w:r>
    </w:p>
    <w:p w14:paraId="4B8C2AC4" w14:textId="7494F353" w:rsidR="00B356A8" w:rsidRDefault="00B356A8" w:rsidP="00593D0A">
      <w:pPr>
        <w:pStyle w:val="ListParagraph"/>
        <w:numPr>
          <w:ilvl w:val="0"/>
          <w:numId w:val="34"/>
        </w:numPr>
        <w:jc w:val="both"/>
        <w:rPr>
          <w:rFonts w:ascii="Times New Roman" w:hAnsi="Times New Roman"/>
        </w:rPr>
      </w:pPr>
      <w:r>
        <w:rPr>
          <w:rFonts w:ascii="Times New Roman" w:hAnsi="Times New Roman"/>
        </w:rPr>
        <w:t xml:space="preserve">While </w:t>
      </w:r>
      <w:r w:rsidRPr="00AB673D">
        <w:rPr>
          <w:rFonts w:ascii="Times New Roman" w:hAnsi="Times New Roman"/>
        </w:rPr>
        <w:t>the uncaptured benefits listed at paragraph 3.</w:t>
      </w:r>
      <w:r>
        <w:rPr>
          <w:rFonts w:ascii="Times New Roman" w:hAnsi="Times New Roman"/>
        </w:rPr>
        <w:t>28</w:t>
      </w:r>
      <w:r w:rsidRPr="00AB673D">
        <w:rPr>
          <w:rFonts w:ascii="Times New Roman" w:hAnsi="Times New Roman"/>
        </w:rPr>
        <w:t xml:space="preserve"> </w:t>
      </w:r>
      <w:r>
        <w:rPr>
          <w:rFonts w:ascii="Times New Roman" w:hAnsi="Times New Roman"/>
        </w:rPr>
        <w:t>are well established</w:t>
      </w:r>
      <w:r w:rsidR="00451EEB">
        <w:rPr>
          <w:rFonts w:ascii="Times New Roman" w:hAnsi="Times New Roman"/>
        </w:rPr>
        <w:t xml:space="preserve"> and</w:t>
      </w:r>
      <w:r>
        <w:rPr>
          <w:rFonts w:ascii="Times New Roman" w:hAnsi="Times New Roman"/>
        </w:rPr>
        <w:t xml:space="preserve"> </w:t>
      </w:r>
      <w:r w:rsidR="00451EEB">
        <w:rPr>
          <w:rFonts w:ascii="Times New Roman" w:hAnsi="Times New Roman"/>
        </w:rPr>
        <w:t xml:space="preserve">evidenced by extensive, robust data which confirm the </w:t>
      </w:r>
      <w:r w:rsidR="00D87CC3">
        <w:rPr>
          <w:rFonts w:ascii="Times New Roman" w:hAnsi="Times New Roman"/>
        </w:rPr>
        <w:t xml:space="preserve">substantial financial and personal burden borne by </w:t>
      </w:r>
      <w:r w:rsidR="00530246">
        <w:rPr>
          <w:rFonts w:ascii="Times New Roman" w:hAnsi="Times New Roman"/>
        </w:rPr>
        <w:t xml:space="preserve">individuals with AD, their </w:t>
      </w:r>
      <w:proofErr w:type="spellStart"/>
      <w:r w:rsidR="00530246">
        <w:rPr>
          <w:rFonts w:ascii="Times New Roman" w:hAnsi="Times New Roman"/>
        </w:rPr>
        <w:t>carers</w:t>
      </w:r>
      <w:proofErr w:type="spellEnd"/>
      <w:r w:rsidR="00530246">
        <w:rPr>
          <w:rFonts w:ascii="Times New Roman" w:hAnsi="Times New Roman"/>
        </w:rPr>
        <w:t xml:space="preserve"> </w:t>
      </w:r>
      <w:r w:rsidR="007E0375">
        <w:rPr>
          <w:rFonts w:ascii="Times New Roman" w:hAnsi="Times New Roman"/>
        </w:rPr>
        <w:t xml:space="preserve">and the third sector, which are not currently taken into account in the assessment of cost-effectiveness </w:t>
      </w:r>
      <w:r w:rsidR="0072657C">
        <w:rPr>
          <w:rFonts w:ascii="Times New Roman" w:hAnsi="Times New Roman"/>
        </w:rPr>
        <w:t>of treatments for MCI and dementia due to AD</w:t>
      </w:r>
      <w:r w:rsidR="005371BD">
        <w:rPr>
          <w:rFonts w:ascii="Times New Roman" w:hAnsi="Times New Roman"/>
        </w:rPr>
        <w:t xml:space="preserve">, the matters suggested as </w:t>
      </w:r>
      <w:r w:rsidR="00002F6D">
        <w:rPr>
          <w:rFonts w:ascii="Times New Roman" w:hAnsi="Times New Roman"/>
        </w:rPr>
        <w:t xml:space="preserve">potential harms are either irrelevant or speculative and not </w:t>
      </w:r>
      <w:r w:rsidR="00B3496F">
        <w:rPr>
          <w:rFonts w:ascii="Times New Roman" w:hAnsi="Times New Roman"/>
        </w:rPr>
        <w:t xml:space="preserve">supported by evidence. </w:t>
      </w:r>
      <w:r w:rsidR="0072657C">
        <w:rPr>
          <w:rFonts w:ascii="Times New Roman" w:hAnsi="Times New Roman"/>
        </w:rPr>
        <w:t xml:space="preserve"> </w:t>
      </w:r>
    </w:p>
    <w:p w14:paraId="4D1718A7" w14:textId="77777777" w:rsidR="00966F31" w:rsidRDefault="00B3496F" w:rsidP="00593D0A">
      <w:pPr>
        <w:pStyle w:val="ListParagraph"/>
        <w:numPr>
          <w:ilvl w:val="0"/>
          <w:numId w:val="34"/>
        </w:numPr>
        <w:jc w:val="both"/>
        <w:rPr>
          <w:rFonts w:ascii="Times New Roman" w:hAnsi="Times New Roman"/>
        </w:rPr>
      </w:pPr>
      <w:r>
        <w:rPr>
          <w:rFonts w:ascii="Times New Roman" w:hAnsi="Times New Roman"/>
        </w:rPr>
        <w:t xml:space="preserve">The matters described as “false hopes” </w:t>
      </w:r>
      <w:r w:rsidR="00F13343">
        <w:rPr>
          <w:rFonts w:ascii="Times New Roman" w:hAnsi="Times New Roman"/>
        </w:rPr>
        <w:t xml:space="preserve">are potential factors relevant to all targeted therapies and many other treatments for other conditions.  </w:t>
      </w:r>
      <w:r w:rsidR="009B20DB">
        <w:rPr>
          <w:rFonts w:ascii="Times New Roman" w:hAnsi="Times New Roman"/>
        </w:rPr>
        <w:t xml:space="preserve">Such matters are generally addressed through adequate counselling </w:t>
      </w:r>
      <w:r w:rsidR="00C87181">
        <w:rPr>
          <w:rFonts w:ascii="Times New Roman" w:hAnsi="Times New Roman"/>
        </w:rPr>
        <w:t xml:space="preserve">by healthcare professionals when therapy is being considered.  We are aware of no other appraisal where “false hopes” have been incorporated in the analysis and to the extent that the Committee </w:t>
      </w:r>
      <w:r w:rsidR="00CB2E1B">
        <w:rPr>
          <w:rFonts w:ascii="Times New Roman" w:hAnsi="Times New Roman"/>
        </w:rPr>
        <w:t xml:space="preserve">now </w:t>
      </w:r>
      <w:r w:rsidR="00C87181">
        <w:rPr>
          <w:rFonts w:ascii="Times New Roman" w:hAnsi="Times New Roman"/>
        </w:rPr>
        <w:t xml:space="preserve">considers it appropriate to </w:t>
      </w:r>
      <w:r w:rsidR="00CB2E1B">
        <w:rPr>
          <w:rFonts w:ascii="Times New Roman" w:hAnsi="Times New Roman"/>
        </w:rPr>
        <w:t xml:space="preserve">introduce </w:t>
      </w:r>
      <w:r w:rsidR="00C87181">
        <w:rPr>
          <w:rFonts w:ascii="Times New Roman" w:hAnsi="Times New Roman"/>
        </w:rPr>
        <w:t xml:space="preserve">them for </w:t>
      </w:r>
      <w:r w:rsidR="00CB2E1B">
        <w:rPr>
          <w:rFonts w:ascii="Times New Roman" w:hAnsi="Times New Roman"/>
        </w:rPr>
        <w:t xml:space="preserve">AD, the reasons for this new approach should be provided and adequate </w:t>
      </w:r>
      <w:r w:rsidR="00966F31">
        <w:rPr>
          <w:rFonts w:ascii="Times New Roman" w:hAnsi="Times New Roman"/>
        </w:rPr>
        <w:t xml:space="preserve">evidence to support the conclusions identified. </w:t>
      </w:r>
    </w:p>
    <w:p w14:paraId="5B6D24F3" w14:textId="77777777" w:rsidR="00D76471" w:rsidRDefault="00966F31" w:rsidP="00593D0A">
      <w:pPr>
        <w:pStyle w:val="ListParagraph"/>
        <w:numPr>
          <w:ilvl w:val="0"/>
          <w:numId w:val="34"/>
        </w:numPr>
        <w:jc w:val="both"/>
        <w:rPr>
          <w:rFonts w:ascii="Times New Roman" w:hAnsi="Times New Roman"/>
        </w:rPr>
      </w:pPr>
      <w:r>
        <w:rPr>
          <w:rFonts w:ascii="Times New Roman" w:hAnsi="Times New Roman"/>
        </w:rPr>
        <w:t xml:space="preserve">The </w:t>
      </w:r>
      <w:r w:rsidR="007602F9">
        <w:rPr>
          <w:rFonts w:ascii="Times New Roman" w:hAnsi="Times New Roman"/>
        </w:rPr>
        <w:t xml:space="preserve">assertion that improvements in AD services are characterised as harms of donanemab treatment is not understood.  </w:t>
      </w:r>
      <w:r w:rsidR="00957D0F">
        <w:rPr>
          <w:rFonts w:ascii="Times New Roman" w:hAnsi="Times New Roman"/>
        </w:rPr>
        <w:t xml:space="preserve">To the extent that these are necessitated due to current inadequacies in AD </w:t>
      </w:r>
      <w:r w:rsidR="00D76471">
        <w:rPr>
          <w:rFonts w:ascii="Times New Roman" w:hAnsi="Times New Roman"/>
        </w:rPr>
        <w:t xml:space="preserve">service provision, the changes are beneficial rather than harms and, in any event such service developments are not specific to donanemab but would be needed if any new treatment were to be introduced. </w:t>
      </w:r>
      <w:r w:rsidR="00CB2E1B">
        <w:rPr>
          <w:rFonts w:ascii="Times New Roman" w:hAnsi="Times New Roman"/>
        </w:rPr>
        <w:t xml:space="preserve"> </w:t>
      </w:r>
    </w:p>
    <w:p w14:paraId="611012C8" w14:textId="3A89EBAB" w:rsidR="002C01A5" w:rsidRPr="00593D0A" w:rsidRDefault="00D76471" w:rsidP="00593D0A">
      <w:pPr>
        <w:pStyle w:val="ListParagraph"/>
        <w:numPr>
          <w:ilvl w:val="0"/>
          <w:numId w:val="34"/>
        </w:numPr>
        <w:jc w:val="both"/>
        <w:rPr>
          <w:rFonts w:ascii="Times New Roman" w:hAnsi="Times New Roman"/>
        </w:rPr>
      </w:pPr>
      <w:r>
        <w:rPr>
          <w:rFonts w:ascii="Times New Roman" w:hAnsi="Times New Roman"/>
        </w:rPr>
        <w:t xml:space="preserve">Finally there is no analysis of the various </w:t>
      </w:r>
      <w:r w:rsidR="00045CB3">
        <w:rPr>
          <w:rFonts w:ascii="Times New Roman" w:hAnsi="Times New Roman"/>
        </w:rPr>
        <w:t xml:space="preserve">benefits and harms listed or how these balance each other and the Committee’s </w:t>
      </w:r>
      <w:r w:rsidR="002C01A5" w:rsidRPr="00593D0A">
        <w:rPr>
          <w:rFonts w:ascii="Times New Roman" w:hAnsi="Times New Roman"/>
        </w:rPr>
        <w:t xml:space="preserve">conclusion that capturing the benefits and costs listed would not significantly change the most plausible estimated ICER </w:t>
      </w:r>
      <w:r w:rsidR="00045CB3">
        <w:rPr>
          <w:rFonts w:ascii="Times New Roman" w:hAnsi="Times New Roman"/>
        </w:rPr>
        <w:t xml:space="preserve">is </w:t>
      </w:r>
      <w:r w:rsidR="001274D8">
        <w:rPr>
          <w:rFonts w:ascii="Times New Roman" w:hAnsi="Times New Roman"/>
        </w:rPr>
        <w:t xml:space="preserve">both </w:t>
      </w:r>
      <w:r w:rsidR="00027B0D">
        <w:rPr>
          <w:rFonts w:ascii="Times New Roman" w:hAnsi="Times New Roman"/>
        </w:rPr>
        <w:t>unexplained</w:t>
      </w:r>
      <w:r w:rsidR="001274D8">
        <w:rPr>
          <w:rFonts w:ascii="Times New Roman" w:hAnsi="Times New Roman"/>
        </w:rPr>
        <w:t xml:space="preserve"> and, in Lilly’s view inconsistent with the evidence available to the Committee which indicates that </w:t>
      </w:r>
      <w:r w:rsidR="004E2762">
        <w:rPr>
          <w:rFonts w:ascii="Times New Roman" w:hAnsi="Times New Roman"/>
        </w:rPr>
        <w:t>merely including more realistic assessments of carer utility benefits, unpaid carer costs and lost productivity in the economic modelling would make a substantial difference to the ICER calculation</w:t>
      </w:r>
      <w:r w:rsidR="002C01A5" w:rsidRPr="00593D0A">
        <w:rPr>
          <w:rFonts w:ascii="Times New Roman" w:hAnsi="Times New Roman"/>
        </w:rPr>
        <w:t xml:space="preserve">.  </w:t>
      </w:r>
    </w:p>
    <w:p w14:paraId="45690279" w14:textId="5CB349DF" w:rsidR="007619BA" w:rsidRPr="00C01DFE" w:rsidRDefault="004E2762" w:rsidP="00027B0D">
      <w:pPr>
        <w:jc w:val="both"/>
        <w:rPr>
          <w:rFonts w:ascii="Times New Roman" w:hAnsi="Times New Roman"/>
        </w:rPr>
      </w:pPr>
      <w:r>
        <w:rPr>
          <w:rFonts w:ascii="Times New Roman" w:hAnsi="Times New Roman"/>
        </w:rPr>
        <w:t>I</w:t>
      </w:r>
      <w:r w:rsidR="002C01A5">
        <w:rPr>
          <w:rFonts w:ascii="Times New Roman" w:hAnsi="Times New Roman"/>
        </w:rPr>
        <w:t xml:space="preserve">t is Lilly’s firm view that the Committee’s conclusion </w:t>
      </w:r>
      <w:r>
        <w:rPr>
          <w:rFonts w:ascii="Times New Roman" w:hAnsi="Times New Roman"/>
        </w:rPr>
        <w:t xml:space="preserve">on uncaptured benefits </w:t>
      </w:r>
      <w:r w:rsidR="002C01A5">
        <w:rPr>
          <w:rFonts w:ascii="Times New Roman" w:hAnsi="Times New Roman"/>
        </w:rPr>
        <w:t>is unreasonable</w:t>
      </w:r>
      <w:r>
        <w:rPr>
          <w:rFonts w:ascii="Times New Roman" w:hAnsi="Times New Roman"/>
        </w:rPr>
        <w:t xml:space="preserve">.  In addition, </w:t>
      </w:r>
      <w:r w:rsidR="002C01A5">
        <w:rPr>
          <w:rFonts w:ascii="Times New Roman" w:hAnsi="Times New Roman"/>
        </w:rPr>
        <w:t xml:space="preserve">the lack of adequate or any reasons for its assessment is </w:t>
      </w:r>
      <w:r w:rsidR="00027B0D">
        <w:rPr>
          <w:rFonts w:ascii="Times New Roman" w:hAnsi="Times New Roman"/>
        </w:rPr>
        <w:t xml:space="preserve">arbitrary and </w:t>
      </w:r>
      <w:r w:rsidR="002C01A5">
        <w:rPr>
          <w:rFonts w:ascii="Times New Roman" w:hAnsi="Times New Roman"/>
        </w:rPr>
        <w:t xml:space="preserve">inconsistent with standards of good </w:t>
      </w:r>
      <w:r w:rsidR="00BF610E">
        <w:rPr>
          <w:rFonts w:ascii="Times New Roman" w:hAnsi="Times New Roman"/>
        </w:rPr>
        <w:t>decision-making.</w:t>
      </w:r>
      <w:r w:rsidR="002C01A5">
        <w:rPr>
          <w:rFonts w:ascii="Times New Roman" w:hAnsi="Times New Roman"/>
        </w:rPr>
        <w:t xml:space="preserve"> </w:t>
      </w:r>
    </w:p>
    <w:p w14:paraId="7FD1BDA0" w14:textId="58E14166" w:rsidR="00507004" w:rsidRPr="00345C4D" w:rsidRDefault="00507004" w:rsidP="00507004">
      <w:pPr>
        <w:pStyle w:val="BodyText"/>
        <w:rPr>
          <w:b/>
          <w:u w:val="single"/>
        </w:rPr>
      </w:pPr>
      <w:r w:rsidRPr="00345C4D">
        <w:rPr>
          <w:b/>
          <w:u w:val="single"/>
        </w:rPr>
        <w:t>THE DETERMINATION OF THIS APPEAL</w:t>
      </w:r>
    </w:p>
    <w:p w14:paraId="2C64A068" w14:textId="54B91493" w:rsidR="00507004" w:rsidRPr="00345C4D" w:rsidRDefault="00027B0D" w:rsidP="00507004">
      <w:pPr>
        <w:pStyle w:val="BodyText"/>
      </w:pPr>
      <w:r>
        <w:t xml:space="preserve">Lilly </w:t>
      </w:r>
      <w:r w:rsidR="00507004" w:rsidRPr="00345C4D">
        <w:t xml:space="preserve">requests that this appeal should be determined at an oral hearing. </w:t>
      </w:r>
    </w:p>
    <w:p w14:paraId="2B6A843C" w14:textId="77777777" w:rsidR="00507004" w:rsidRPr="00345C4D" w:rsidRDefault="00507004" w:rsidP="00507004">
      <w:pPr>
        <w:pStyle w:val="BodyText"/>
        <w:rPr>
          <w:b/>
          <w:u w:val="single"/>
        </w:rPr>
      </w:pPr>
      <w:r w:rsidRPr="00345C4D">
        <w:rPr>
          <w:b/>
          <w:u w:val="single"/>
        </w:rPr>
        <w:t>REQUESTED OUTCOME FOLLOWING APPEAL</w:t>
      </w:r>
    </w:p>
    <w:p w14:paraId="093F1E88" w14:textId="0D4E3F23" w:rsidR="00A20FBA" w:rsidRPr="00E62F2C" w:rsidRDefault="00A20FBA" w:rsidP="00A20FBA">
      <w:pPr>
        <w:jc w:val="both"/>
        <w:rPr>
          <w:rFonts w:ascii="Times New Roman" w:hAnsi="Times New Roman"/>
        </w:rPr>
      </w:pPr>
      <w:r w:rsidRPr="00A20FBA">
        <w:rPr>
          <w:rFonts w:ascii="Times New Roman" w:hAnsi="Times New Roman"/>
        </w:rPr>
        <w:t xml:space="preserve"> </w:t>
      </w:r>
      <w:r w:rsidRPr="00E62F2C">
        <w:rPr>
          <w:rFonts w:ascii="Times New Roman" w:hAnsi="Times New Roman"/>
        </w:rPr>
        <w:t>Lilly asks the Appeal Panel to return this appraisal to the Appraisal Committee for further consideration, with the following directions:</w:t>
      </w:r>
    </w:p>
    <w:p w14:paraId="55830D50" w14:textId="6DAD9C85" w:rsidR="00A20FBA" w:rsidRPr="00E62F2C" w:rsidRDefault="00A20FBA" w:rsidP="00A20FBA">
      <w:pPr>
        <w:numPr>
          <w:ilvl w:val="0"/>
          <w:numId w:val="43"/>
        </w:numPr>
        <w:jc w:val="both"/>
        <w:rPr>
          <w:rFonts w:ascii="Times New Roman" w:hAnsi="Times New Roman"/>
        </w:rPr>
      </w:pPr>
      <w:r w:rsidRPr="00E62F2C">
        <w:rPr>
          <w:rFonts w:ascii="Times New Roman" w:hAnsi="Times New Roman"/>
        </w:rPr>
        <w:t xml:space="preserve">The assessment of carer utilities should be </w:t>
      </w:r>
      <w:r w:rsidR="00FB761C" w:rsidRPr="00E62F2C">
        <w:rPr>
          <w:rFonts w:ascii="Times New Roman" w:hAnsi="Times New Roman"/>
        </w:rPr>
        <w:t>reconsidered</w:t>
      </w:r>
      <w:r w:rsidRPr="00E62F2C">
        <w:rPr>
          <w:rFonts w:ascii="Times New Roman" w:hAnsi="Times New Roman"/>
        </w:rPr>
        <w:t>,</w:t>
      </w:r>
      <w:r w:rsidR="003B75EC">
        <w:rPr>
          <w:rFonts w:ascii="Times New Roman" w:hAnsi="Times New Roman"/>
        </w:rPr>
        <w:t xml:space="preserve"> </w:t>
      </w:r>
      <w:r w:rsidR="00E42E02">
        <w:rPr>
          <w:rFonts w:ascii="Times New Roman" w:hAnsi="Times New Roman"/>
        </w:rPr>
        <w:t xml:space="preserve">taking into account </w:t>
      </w:r>
      <w:r w:rsidRPr="00E62F2C">
        <w:rPr>
          <w:rFonts w:ascii="Times New Roman" w:hAnsi="Times New Roman"/>
        </w:rPr>
        <w:t xml:space="preserve">the data submitted by stakeholders and the Committee’s conclusions </w:t>
      </w:r>
      <w:r w:rsidR="00E42E02">
        <w:rPr>
          <w:rFonts w:ascii="Times New Roman" w:hAnsi="Times New Roman"/>
        </w:rPr>
        <w:t xml:space="preserve">should be </w:t>
      </w:r>
      <w:r w:rsidRPr="00E62F2C">
        <w:rPr>
          <w:rFonts w:ascii="Times New Roman" w:hAnsi="Times New Roman"/>
        </w:rPr>
        <w:t>explained in the context of the clear limitations of EQ-5D in reflecting the impact of treatment with donanemab on carers of people with early AD</w:t>
      </w:r>
      <w:r w:rsidR="00E42E02">
        <w:rPr>
          <w:rFonts w:ascii="Times New Roman" w:hAnsi="Times New Roman"/>
        </w:rPr>
        <w:t>,</w:t>
      </w:r>
      <w:r w:rsidRPr="00E62F2C">
        <w:rPr>
          <w:rFonts w:ascii="Times New Roman" w:hAnsi="Times New Roman"/>
        </w:rPr>
        <w:t xml:space="preserve"> and the committee should consider using more appropriate alternatives.</w:t>
      </w:r>
    </w:p>
    <w:p w14:paraId="1FA2A1F6" w14:textId="76F6D3C5" w:rsidR="00A20FBA" w:rsidRPr="00E62F2C" w:rsidRDefault="00A20FBA" w:rsidP="00A20FBA">
      <w:pPr>
        <w:numPr>
          <w:ilvl w:val="0"/>
          <w:numId w:val="43"/>
        </w:numPr>
        <w:jc w:val="both"/>
        <w:rPr>
          <w:rFonts w:ascii="Times New Roman" w:hAnsi="Times New Roman"/>
        </w:rPr>
      </w:pPr>
      <w:r w:rsidRPr="00E62F2C">
        <w:rPr>
          <w:rFonts w:ascii="Times New Roman" w:hAnsi="Times New Roman"/>
        </w:rPr>
        <w:t xml:space="preserve">The Committee should ensure that IV infusion </w:t>
      </w:r>
      <w:r w:rsidR="00BF610E" w:rsidRPr="00E62F2C">
        <w:rPr>
          <w:rFonts w:ascii="Times New Roman" w:hAnsi="Times New Roman"/>
        </w:rPr>
        <w:t>costs taken</w:t>
      </w:r>
      <w:r w:rsidRPr="00E62F2C">
        <w:rPr>
          <w:rFonts w:ascii="Times New Roman" w:hAnsi="Times New Roman"/>
        </w:rPr>
        <w:t xml:space="preserve"> into account for the purposes of assessment of cost effectiveness of donanemab are transparent and verifiable, and appropriately reflect the level of resource use associated with the infusion of donanemab.</w:t>
      </w:r>
    </w:p>
    <w:p w14:paraId="3D2C236C" w14:textId="53C8A31C" w:rsidR="00A20FBA" w:rsidRPr="00E62F2C" w:rsidRDefault="00A20FBA" w:rsidP="00A20FBA">
      <w:pPr>
        <w:numPr>
          <w:ilvl w:val="0"/>
          <w:numId w:val="43"/>
        </w:numPr>
        <w:jc w:val="both"/>
        <w:rPr>
          <w:rFonts w:ascii="Times New Roman" w:hAnsi="Times New Roman"/>
        </w:rPr>
      </w:pPr>
      <w:r w:rsidRPr="00E62F2C">
        <w:rPr>
          <w:rFonts w:ascii="Times New Roman" w:hAnsi="Times New Roman"/>
        </w:rPr>
        <w:t>Further consideration should be given to a recommendation for donanemab with managed access, reflecting the provisions of the Manual and the Innovative Medicines Fund principles</w:t>
      </w:r>
      <w:r w:rsidR="00BF610E">
        <w:rPr>
          <w:rFonts w:ascii="Times New Roman" w:hAnsi="Times New Roman"/>
        </w:rPr>
        <w:t>.</w:t>
      </w:r>
    </w:p>
    <w:p w14:paraId="6157C3E5" w14:textId="77777777" w:rsidR="00A20FBA" w:rsidRPr="00E62F2C" w:rsidRDefault="00A20FBA" w:rsidP="00A20FBA">
      <w:pPr>
        <w:numPr>
          <w:ilvl w:val="0"/>
          <w:numId w:val="43"/>
        </w:numPr>
        <w:jc w:val="both"/>
        <w:rPr>
          <w:rFonts w:ascii="Times New Roman" w:hAnsi="Times New Roman"/>
        </w:rPr>
      </w:pPr>
      <w:r w:rsidRPr="00E62F2C">
        <w:rPr>
          <w:rFonts w:ascii="Times New Roman" w:hAnsi="Times New Roman"/>
        </w:rPr>
        <w:t xml:space="preserve">The Committee should reconsider the additional benefits of donanemab, including the costs and other contributions which are not paid for by the NHS or PSS, excluding </w:t>
      </w:r>
      <w:proofErr w:type="spellStart"/>
      <w:r w:rsidRPr="00E62F2C">
        <w:rPr>
          <w:rFonts w:ascii="Times New Roman" w:hAnsi="Times New Roman"/>
        </w:rPr>
        <w:t>non specific</w:t>
      </w:r>
      <w:proofErr w:type="spellEnd"/>
      <w:r w:rsidRPr="00E62F2C">
        <w:rPr>
          <w:rFonts w:ascii="Times New Roman" w:hAnsi="Times New Roman"/>
        </w:rPr>
        <w:t xml:space="preserve"> issues such as “false hopes” or justifying why these are relevant only to AD and not to other medicines and explaining its conclusions.</w:t>
      </w:r>
    </w:p>
    <w:p w14:paraId="7F0303FA" w14:textId="77777777" w:rsidR="00A20FBA" w:rsidRPr="00E62F2C" w:rsidRDefault="00A20FBA" w:rsidP="00A20FBA">
      <w:pPr>
        <w:numPr>
          <w:ilvl w:val="0"/>
          <w:numId w:val="43"/>
        </w:numPr>
        <w:jc w:val="both"/>
        <w:rPr>
          <w:rFonts w:ascii="Times New Roman" w:hAnsi="Times New Roman"/>
        </w:rPr>
      </w:pPr>
      <w:r w:rsidRPr="00E62F2C">
        <w:rPr>
          <w:rFonts w:ascii="Times New Roman" w:hAnsi="Times New Roman"/>
        </w:rPr>
        <w:t xml:space="preserve"> The Committee should adopt an approach to the proportion of patients commencing on donanemab therapy by AD severity stage (MCI or Mild AD) consistent with expert opinion on likely approach within the NHS.</w:t>
      </w:r>
    </w:p>
    <w:p w14:paraId="31BC7B38" w14:textId="532642B6" w:rsidR="00A20FBA" w:rsidRPr="00E62F2C" w:rsidRDefault="00A20FBA" w:rsidP="00A20FBA">
      <w:pPr>
        <w:numPr>
          <w:ilvl w:val="0"/>
          <w:numId w:val="43"/>
        </w:numPr>
        <w:jc w:val="both"/>
        <w:rPr>
          <w:rFonts w:ascii="Times New Roman" w:hAnsi="Times New Roman"/>
        </w:rPr>
      </w:pPr>
      <w:r w:rsidRPr="00E62F2C">
        <w:rPr>
          <w:rFonts w:ascii="Times New Roman" w:hAnsi="Times New Roman"/>
        </w:rPr>
        <w:t>That the need for further investment in AD services generally is not a relevant factor for consideration in this appraisal or a reason to refuse access to donanemab</w:t>
      </w:r>
      <w:r w:rsidR="00BF610E">
        <w:rPr>
          <w:rFonts w:ascii="Times New Roman" w:hAnsi="Times New Roman"/>
        </w:rPr>
        <w:t>.</w:t>
      </w:r>
    </w:p>
    <w:p w14:paraId="26CFCE50" w14:textId="612F405B" w:rsidR="00A20FBA" w:rsidRPr="00E62F2C" w:rsidRDefault="00A20FBA" w:rsidP="00D16636">
      <w:pPr>
        <w:numPr>
          <w:ilvl w:val="0"/>
          <w:numId w:val="43"/>
        </w:numPr>
        <w:jc w:val="both"/>
        <w:rPr>
          <w:rFonts w:ascii="Times New Roman" w:hAnsi="Times New Roman"/>
        </w:rPr>
      </w:pPr>
      <w:r w:rsidRPr="00E62F2C">
        <w:rPr>
          <w:rFonts w:ascii="Times New Roman" w:hAnsi="Times New Roman"/>
        </w:rPr>
        <w:t xml:space="preserve">Lilly should be allowed to respond to the issues raised in this appeal, including the </w:t>
      </w:r>
      <w:r w:rsidR="00510EE7" w:rsidRPr="00E62F2C">
        <w:rPr>
          <w:rFonts w:ascii="Times New Roman" w:hAnsi="Times New Roman"/>
        </w:rPr>
        <w:t>criticisms</w:t>
      </w:r>
      <w:r w:rsidRPr="00E62F2C">
        <w:rPr>
          <w:rFonts w:ascii="Times New Roman" w:hAnsi="Times New Roman"/>
        </w:rPr>
        <w:t xml:space="preserve"> of the lon</w:t>
      </w:r>
      <w:r w:rsidR="0047221C">
        <w:rPr>
          <w:rFonts w:ascii="Times New Roman" w:hAnsi="Times New Roman"/>
        </w:rPr>
        <w:t>g-</w:t>
      </w:r>
      <w:r w:rsidRPr="00E62F2C">
        <w:rPr>
          <w:rFonts w:ascii="Times New Roman" w:hAnsi="Times New Roman"/>
        </w:rPr>
        <w:t>term extension study by the EAG</w:t>
      </w:r>
      <w:r w:rsidR="00BF610E">
        <w:rPr>
          <w:rFonts w:ascii="Times New Roman" w:hAnsi="Times New Roman"/>
        </w:rPr>
        <w:t>.</w:t>
      </w:r>
      <w:r w:rsidRPr="00E62F2C">
        <w:rPr>
          <w:rFonts w:ascii="Times New Roman" w:hAnsi="Times New Roman"/>
        </w:rPr>
        <w:t xml:space="preserve"> </w:t>
      </w:r>
    </w:p>
    <w:p w14:paraId="38D8C628" w14:textId="0D2AAB08" w:rsidR="00873F4B" w:rsidRPr="00345C4D" w:rsidRDefault="00873F4B" w:rsidP="00C213EC">
      <w:pPr>
        <w:jc w:val="both"/>
        <w:rPr>
          <w:rFonts w:ascii="Times New Roman" w:hAnsi="Times New Roman"/>
        </w:rPr>
      </w:pPr>
    </w:p>
    <w:sectPr w:rsidR="00873F4B" w:rsidRPr="00345C4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9A14F" w14:textId="77777777" w:rsidR="00EC39D8" w:rsidRDefault="00EC39D8" w:rsidP="00F06F60">
      <w:pPr>
        <w:spacing w:after="0" w:line="240" w:lineRule="auto"/>
      </w:pPr>
      <w:r>
        <w:separator/>
      </w:r>
    </w:p>
  </w:endnote>
  <w:endnote w:type="continuationSeparator" w:id="0">
    <w:p w14:paraId="59A61F45" w14:textId="77777777" w:rsidR="00EC39D8" w:rsidRDefault="00EC39D8" w:rsidP="00F06F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pitch w:val="default"/>
    <w:sig w:usb0="00000003" w:usb1="00000000" w:usb2="00000000" w:usb3="00000000" w:csb0="00000001"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08BC4" w14:textId="77777777" w:rsidR="00EC39D8" w:rsidRDefault="00EC39D8" w:rsidP="00F06F60">
      <w:pPr>
        <w:spacing w:after="0" w:line="240" w:lineRule="auto"/>
      </w:pPr>
      <w:r>
        <w:separator/>
      </w:r>
    </w:p>
  </w:footnote>
  <w:footnote w:type="continuationSeparator" w:id="0">
    <w:p w14:paraId="449801F6" w14:textId="77777777" w:rsidR="00EC39D8" w:rsidRDefault="00EC39D8" w:rsidP="00F06F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47D0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662C3"/>
    <w:multiLevelType w:val="multilevel"/>
    <w:tmpl w:val="1EE0F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9611D"/>
    <w:multiLevelType w:val="hybridMultilevel"/>
    <w:tmpl w:val="9E525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674327C"/>
    <w:multiLevelType w:val="hybridMultilevel"/>
    <w:tmpl w:val="FA46FE0A"/>
    <w:lvl w:ilvl="0" w:tplc="734ED6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8046B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3D2AAC"/>
    <w:multiLevelType w:val="hybridMultilevel"/>
    <w:tmpl w:val="6A280A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A6B6ED0"/>
    <w:multiLevelType w:val="hybridMultilevel"/>
    <w:tmpl w:val="02606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406C12"/>
    <w:multiLevelType w:val="hybridMultilevel"/>
    <w:tmpl w:val="92EE4E3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957027"/>
    <w:multiLevelType w:val="hybridMultilevel"/>
    <w:tmpl w:val="B32C1A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2F90FDF"/>
    <w:multiLevelType w:val="hybridMultilevel"/>
    <w:tmpl w:val="FC54D6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3542F6A"/>
    <w:multiLevelType w:val="hybridMultilevel"/>
    <w:tmpl w:val="3FCABA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466530E"/>
    <w:multiLevelType w:val="hybridMultilevel"/>
    <w:tmpl w:val="FE4896C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87D1901"/>
    <w:multiLevelType w:val="hybridMultilevel"/>
    <w:tmpl w:val="D312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845A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3A4C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36188C"/>
    <w:multiLevelType w:val="hybridMultilevel"/>
    <w:tmpl w:val="D6E46D8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A775C58"/>
    <w:multiLevelType w:val="hybridMultilevel"/>
    <w:tmpl w:val="CA26BE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0FE3829"/>
    <w:multiLevelType w:val="hybridMultilevel"/>
    <w:tmpl w:val="7F742D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937F44"/>
    <w:multiLevelType w:val="hybridMultilevel"/>
    <w:tmpl w:val="3984069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1D43FD8"/>
    <w:multiLevelType w:val="hybridMultilevel"/>
    <w:tmpl w:val="EB5A67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4155313"/>
    <w:multiLevelType w:val="multilevel"/>
    <w:tmpl w:val="6E40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6A5A95"/>
    <w:multiLevelType w:val="hybridMultilevel"/>
    <w:tmpl w:val="9AB0C7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D117A5F"/>
    <w:multiLevelType w:val="hybridMultilevel"/>
    <w:tmpl w:val="A838EA2E"/>
    <w:lvl w:ilvl="0" w:tplc="08090017">
      <w:start w:val="1"/>
      <w:numFmt w:val="lowerLetter"/>
      <w:lvlText w:val="%1)"/>
      <w:lvlJc w:val="left"/>
      <w:pPr>
        <w:ind w:left="782" w:hanging="360"/>
      </w:pPr>
    </w:lvl>
    <w:lvl w:ilvl="1" w:tplc="08090019" w:tentative="1">
      <w:start w:val="1"/>
      <w:numFmt w:val="lowerLetter"/>
      <w:lvlText w:val="%2."/>
      <w:lvlJc w:val="left"/>
      <w:pPr>
        <w:ind w:left="1502" w:hanging="360"/>
      </w:pPr>
    </w:lvl>
    <w:lvl w:ilvl="2" w:tplc="0809001B" w:tentative="1">
      <w:start w:val="1"/>
      <w:numFmt w:val="lowerRoman"/>
      <w:lvlText w:val="%3."/>
      <w:lvlJc w:val="right"/>
      <w:pPr>
        <w:ind w:left="2222" w:hanging="180"/>
      </w:pPr>
    </w:lvl>
    <w:lvl w:ilvl="3" w:tplc="0809000F" w:tentative="1">
      <w:start w:val="1"/>
      <w:numFmt w:val="decimal"/>
      <w:lvlText w:val="%4."/>
      <w:lvlJc w:val="left"/>
      <w:pPr>
        <w:ind w:left="2942" w:hanging="360"/>
      </w:pPr>
    </w:lvl>
    <w:lvl w:ilvl="4" w:tplc="08090019" w:tentative="1">
      <w:start w:val="1"/>
      <w:numFmt w:val="lowerLetter"/>
      <w:lvlText w:val="%5."/>
      <w:lvlJc w:val="left"/>
      <w:pPr>
        <w:ind w:left="3662" w:hanging="360"/>
      </w:pPr>
    </w:lvl>
    <w:lvl w:ilvl="5" w:tplc="0809001B" w:tentative="1">
      <w:start w:val="1"/>
      <w:numFmt w:val="lowerRoman"/>
      <w:lvlText w:val="%6."/>
      <w:lvlJc w:val="right"/>
      <w:pPr>
        <w:ind w:left="4382" w:hanging="180"/>
      </w:pPr>
    </w:lvl>
    <w:lvl w:ilvl="6" w:tplc="0809000F" w:tentative="1">
      <w:start w:val="1"/>
      <w:numFmt w:val="decimal"/>
      <w:lvlText w:val="%7."/>
      <w:lvlJc w:val="left"/>
      <w:pPr>
        <w:ind w:left="5102" w:hanging="360"/>
      </w:pPr>
    </w:lvl>
    <w:lvl w:ilvl="7" w:tplc="08090019" w:tentative="1">
      <w:start w:val="1"/>
      <w:numFmt w:val="lowerLetter"/>
      <w:lvlText w:val="%8."/>
      <w:lvlJc w:val="left"/>
      <w:pPr>
        <w:ind w:left="5822" w:hanging="360"/>
      </w:pPr>
    </w:lvl>
    <w:lvl w:ilvl="8" w:tplc="0809001B" w:tentative="1">
      <w:start w:val="1"/>
      <w:numFmt w:val="lowerRoman"/>
      <w:lvlText w:val="%9."/>
      <w:lvlJc w:val="right"/>
      <w:pPr>
        <w:ind w:left="6542" w:hanging="180"/>
      </w:pPr>
    </w:lvl>
  </w:abstractNum>
  <w:abstractNum w:abstractNumId="23" w15:restartNumberingAfterBreak="0">
    <w:nsid w:val="4134167D"/>
    <w:multiLevelType w:val="hybridMultilevel"/>
    <w:tmpl w:val="C04EE634"/>
    <w:lvl w:ilvl="0" w:tplc="08090001">
      <w:start w:val="1"/>
      <w:numFmt w:val="bullet"/>
      <w:lvlText w:val=""/>
      <w:lvlJc w:val="left"/>
      <w:pPr>
        <w:ind w:left="1136" w:hanging="360"/>
      </w:pPr>
      <w:rPr>
        <w:rFonts w:ascii="Symbol" w:hAnsi="Symbol" w:hint="default"/>
      </w:rPr>
    </w:lvl>
    <w:lvl w:ilvl="1" w:tplc="08090003" w:tentative="1">
      <w:start w:val="1"/>
      <w:numFmt w:val="bullet"/>
      <w:lvlText w:val="o"/>
      <w:lvlJc w:val="left"/>
      <w:pPr>
        <w:ind w:left="1856" w:hanging="360"/>
      </w:pPr>
      <w:rPr>
        <w:rFonts w:ascii="Courier New" w:hAnsi="Courier New" w:cs="Courier New" w:hint="default"/>
      </w:rPr>
    </w:lvl>
    <w:lvl w:ilvl="2" w:tplc="08090005" w:tentative="1">
      <w:start w:val="1"/>
      <w:numFmt w:val="bullet"/>
      <w:lvlText w:val=""/>
      <w:lvlJc w:val="left"/>
      <w:pPr>
        <w:ind w:left="2576" w:hanging="360"/>
      </w:pPr>
      <w:rPr>
        <w:rFonts w:ascii="Wingdings" w:hAnsi="Wingdings" w:hint="default"/>
      </w:rPr>
    </w:lvl>
    <w:lvl w:ilvl="3" w:tplc="08090001" w:tentative="1">
      <w:start w:val="1"/>
      <w:numFmt w:val="bullet"/>
      <w:lvlText w:val=""/>
      <w:lvlJc w:val="left"/>
      <w:pPr>
        <w:ind w:left="3296" w:hanging="360"/>
      </w:pPr>
      <w:rPr>
        <w:rFonts w:ascii="Symbol" w:hAnsi="Symbol" w:hint="default"/>
      </w:rPr>
    </w:lvl>
    <w:lvl w:ilvl="4" w:tplc="08090003" w:tentative="1">
      <w:start w:val="1"/>
      <w:numFmt w:val="bullet"/>
      <w:lvlText w:val="o"/>
      <w:lvlJc w:val="left"/>
      <w:pPr>
        <w:ind w:left="4016" w:hanging="360"/>
      </w:pPr>
      <w:rPr>
        <w:rFonts w:ascii="Courier New" w:hAnsi="Courier New" w:cs="Courier New" w:hint="default"/>
      </w:rPr>
    </w:lvl>
    <w:lvl w:ilvl="5" w:tplc="08090005" w:tentative="1">
      <w:start w:val="1"/>
      <w:numFmt w:val="bullet"/>
      <w:lvlText w:val=""/>
      <w:lvlJc w:val="left"/>
      <w:pPr>
        <w:ind w:left="4736" w:hanging="360"/>
      </w:pPr>
      <w:rPr>
        <w:rFonts w:ascii="Wingdings" w:hAnsi="Wingdings" w:hint="default"/>
      </w:rPr>
    </w:lvl>
    <w:lvl w:ilvl="6" w:tplc="08090001" w:tentative="1">
      <w:start w:val="1"/>
      <w:numFmt w:val="bullet"/>
      <w:lvlText w:val=""/>
      <w:lvlJc w:val="left"/>
      <w:pPr>
        <w:ind w:left="5456" w:hanging="360"/>
      </w:pPr>
      <w:rPr>
        <w:rFonts w:ascii="Symbol" w:hAnsi="Symbol" w:hint="default"/>
      </w:rPr>
    </w:lvl>
    <w:lvl w:ilvl="7" w:tplc="08090003" w:tentative="1">
      <w:start w:val="1"/>
      <w:numFmt w:val="bullet"/>
      <w:lvlText w:val="o"/>
      <w:lvlJc w:val="left"/>
      <w:pPr>
        <w:ind w:left="6176" w:hanging="360"/>
      </w:pPr>
      <w:rPr>
        <w:rFonts w:ascii="Courier New" w:hAnsi="Courier New" w:cs="Courier New" w:hint="default"/>
      </w:rPr>
    </w:lvl>
    <w:lvl w:ilvl="8" w:tplc="08090005" w:tentative="1">
      <w:start w:val="1"/>
      <w:numFmt w:val="bullet"/>
      <w:lvlText w:val=""/>
      <w:lvlJc w:val="left"/>
      <w:pPr>
        <w:ind w:left="6896" w:hanging="360"/>
      </w:pPr>
      <w:rPr>
        <w:rFonts w:ascii="Wingdings" w:hAnsi="Wingdings" w:hint="default"/>
      </w:rPr>
    </w:lvl>
  </w:abstractNum>
  <w:abstractNum w:abstractNumId="24" w15:restartNumberingAfterBreak="0">
    <w:nsid w:val="43BE07D1"/>
    <w:multiLevelType w:val="hybridMultilevel"/>
    <w:tmpl w:val="399CA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53E11A5"/>
    <w:multiLevelType w:val="hybridMultilevel"/>
    <w:tmpl w:val="F614293C"/>
    <w:lvl w:ilvl="0" w:tplc="08090001">
      <w:start w:val="1"/>
      <w:numFmt w:val="bullet"/>
      <w:lvlText w:val=""/>
      <w:lvlJc w:val="left"/>
      <w:pPr>
        <w:ind w:left="720" w:hanging="360"/>
      </w:pPr>
      <w:rPr>
        <w:rFonts w:ascii="Symbol" w:hAnsi="Symbol" w:hint="default"/>
      </w:rPr>
    </w:lvl>
    <w:lvl w:ilvl="1" w:tplc="6F1CF72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563DE7"/>
    <w:multiLevelType w:val="hybridMultilevel"/>
    <w:tmpl w:val="1BF29A1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6B84B8D"/>
    <w:multiLevelType w:val="hybridMultilevel"/>
    <w:tmpl w:val="3EBADC96"/>
    <w:lvl w:ilvl="0" w:tplc="00D8D2E6">
      <w:start w:val="1"/>
      <w:numFmt w:val="bullet"/>
      <w:lvlText w:val=""/>
      <w:lvlJc w:val="left"/>
      <w:pPr>
        <w:ind w:left="1020" w:hanging="360"/>
      </w:pPr>
      <w:rPr>
        <w:rFonts w:ascii="Symbol" w:hAnsi="Symbol"/>
      </w:rPr>
    </w:lvl>
    <w:lvl w:ilvl="1" w:tplc="7374C5D4">
      <w:start w:val="1"/>
      <w:numFmt w:val="bullet"/>
      <w:lvlText w:val=""/>
      <w:lvlJc w:val="left"/>
      <w:pPr>
        <w:ind w:left="1020" w:hanging="360"/>
      </w:pPr>
      <w:rPr>
        <w:rFonts w:ascii="Symbol" w:hAnsi="Symbol"/>
      </w:rPr>
    </w:lvl>
    <w:lvl w:ilvl="2" w:tplc="F3EAF64E">
      <w:start w:val="1"/>
      <w:numFmt w:val="bullet"/>
      <w:lvlText w:val=""/>
      <w:lvlJc w:val="left"/>
      <w:pPr>
        <w:ind w:left="1020" w:hanging="360"/>
      </w:pPr>
      <w:rPr>
        <w:rFonts w:ascii="Symbol" w:hAnsi="Symbol"/>
      </w:rPr>
    </w:lvl>
    <w:lvl w:ilvl="3" w:tplc="D9A660E8">
      <w:start w:val="1"/>
      <w:numFmt w:val="bullet"/>
      <w:lvlText w:val=""/>
      <w:lvlJc w:val="left"/>
      <w:pPr>
        <w:ind w:left="1020" w:hanging="360"/>
      </w:pPr>
      <w:rPr>
        <w:rFonts w:ascii="Symbol" w:hAnsi="Symbol"/>
      </w:rPr>
    </w:lvl>
    <w:lvl w:ilvl="4" w:tplc="3550C866">
      <w:start w:val="1"/>
      <w:numFmt w:val="bullet"/>
      <w:lvlText w:val=""/>
      <w:lvlJc w:val="left"/>
      <w:pPr>
        <w:ind w:left="1020" w:hanging="360"/>
      </w:pPr>
      <w:rPr>
        <w:rFonts w:ascii="Symbol" w:hAnsi="Symbol"/>
      </w:rPr>
    </w:lvl>
    <w:lvl w:ilvl="5" w:tplc="6902FA4A">
      <w:start w:val="1"/>
      <w:numFmt w:val="bullet"/>
      <w:lvlText w:val=""/>
      <w:lvlJc w:val="left"/>
      <w:pPr>
        <w:ind w:left="1020" w:hanging="360"/>
      </w:pPr>
      <w:rPr>
        <w:rFonts w:ascii="Symbol" w:hAnsi="Symbol"/>
      </w:rPr>
    </w:lvl>
    <w:lvl w:ilvl="6" w:tplc="72DAA8EE">
      <w:start w:val="1"/>
      <w:numFmt w:val="bullet"/>
      <w:lvlText w:val=""/>
      <w:lvlJc w:val="left"/>
      <w:pPr>
        <w:ind w:left="1020" w:hanging="360"/>
      </w:pPr>
      <w:rPr>
        <w:rFonts w:ascii="Symbol" w:hAnsi="Symbol"/>
      </w:rPr>
    </w:lvl>
    <w:lvl w:ilvl="7" w:tplc="57920398">
      <w:start w:val="1"/>
      <w:numFmt w:val="bullet"/>
      <w:lvlText w:val=""/>
      <w:lvlJc w:val="left"/>
      <w:pPr>
        <w:ind w:left="1020" w:hanging="360"/>
      </w:pPr>
      <w:rPr>
        <w:rFonts w:ascii="Symbol" w:hAnsi="Symbol"/>
      </w:rPr>
    </w:lvl>
    <w:lvl w:ilvl="8" w:tplc="4CF00B6C">
      <w:start w:val="1"/>
      <w:numFmt w:val="bullet"/>
      <w:lvlText w:val=""/>
      <w:lvlJc w:val="left"/>
      <w:pPr>
        <w:ind w:left="1020" w:hanging="360"/>
      </w:pPr>
      <w:rPr>
        <w:rFonts w:ascii="Symbol" w:hAnsi="Symbol"/>
      </w:rPr>
    </w:lvl>
  </w:abstractNum>
  <w:abstractNum w:abstractNumId="28" w15:restartNumberingAfterBreak="0">
    <w:nsid w:val="492A15FF"/>
    <w:multiLevelType w:val="hybridMultilevel"/>
    <w:tmpl w:val="FA9A6F4C"/>
    <w:lvl w:ilvl="0" w:tplc="FFFFFFFF">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A8443C"/>
    <w:multiLevelType w:val="hybridMultilevel"/>
    <w:tmpl w:val="D4E4BA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2E3D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55F5242"/>
    <w:multiLevelType w:val="hybridMultilevel"/>
    <w:tmpl w:val="07163D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66C28A7"/>
    <w:multiLevelType w:val="hybridMultilevel"/>
    <w:tmpl w:val="A4140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BC04C5"/>
    <w:multiLevelType w:val="hybridMultilevel"/>
    <w:tmpl w:val="365240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0C064A3"/>
    <w:multiLevelType w:val="hybridMultilevel"/>
    <w:tmpl w:val="9BA0DD92"/>
    <w:lvl w:ilvl="0" w:tplc="7FE851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3F04C06"/>
    <w:multiLevelType w:val="hybridMultilevel"/>
    <w:tmpl w:val="B1A204D6"/>
    <w:lvl w:ilvl="0" w:tplc="94121AB4">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7114618"/>
    <w:multiLevelType w:val="hybridMultilevel"/>
    <w:tmpl w:val="A424A7C4"/>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8E732C5"/>
    <w:multiLevelType w:val="hybridMultilevel"/>
    <w:tmpl w:val="CDF8427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15:restartNumberingAfterBreak="0">
    <w:nsid w:val="7023411F"/>
    <w:multiLevelType w:val="hybridMultilevel"/>
    <w:tmpl w:val="2C367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0FA078F"/>
    <w:multiLevelType w:val="hybridMultilevel"/>
    <w:tmpl w:val="4EE64EF6"/>
    <w:lvl w:ilvl="0" w:tplc="9E42B45A">
      <w:start w:val="1"/>
      <w:numFmt w:val="bullet"/>
      <w:lvlText w:val=""/>
      <w:lvlJc w:val="left"/>
      <w:pPr>
        <w:ind w:left="1080" w:hanging="360"/>
      </w:pPr>
      <w:rPr>
        <w:rFonts w:ascii="Symbol" w:hAnsi="Symbol"/>
      </w:rPr>
    </w:lvl>
    <w:lvl w:ilvl="1" w:tplc="6DFCD710">
      <w:start w:val="1"/>
      <w:numFmt w:val="bullet"/>
      <w:lvlText w:val=""/>
      <w:lvlJc w:val="left"/>
      <w:pPr>
        <w:ind w:left="1080" w:hanging="360"/>
      </w:pPr>
      <w:rPr>
        <w:rFonts w:ascii="Symbol" w:hAnsi="Symbol"/>
      </w:rPr>
    </w:lvl>
    <w:lvl w:ilvl="2" w:tplc="0108C846">
      <w:start w:val="1"/>
      <w:numFmt w:val="bullet"/>
      <w:lvlText w:val=""/>
      <w:lvlJc w:val="left"/>
      <w:pPr>
        <w:ind w:left="1080" w:hanging="360"/>
      </w:pPr>
      <w:rPr>
        <w:rFonts w:ascii="Symbol" w:hAnsi="Symbol"/>
      </w:rPr>
    </w:lvl>
    <w:lvl w:ilvl="3" w:tplc="987C4C42">
      <w:start w:val="1"/>
      <w:numFmt w:val="bullet"/>
      <w:lvlText w:val=""/>
      <w:lvlJc w:val="left"/>
      <w:pPr>
        <w:ind w:left="1080" w:hanging="360"/>
      </w:pPr>
      <w:rPr>
        <w:rFonts w:ascii="Symbol" w:hAnsi="Symbol"/>
      </w:rPr>
    </w:lvl>
    <w:lvl w:ilvl="4" w:tplc="E9AAC51A">
      <w:start w:val="1"/>
      <w:numFmt w:val="bullet"/>
      <w:lvlText w:val=""/>
      <w:lvlJc w:val="left"/>
      <w:pPr>
        <w:ind w:left="1080" w:hanging="360"/>
      </w:pPr>
      <w:rPr>
        <w:rFonts w:ascii="Symbol" w:hAnsi="Symbol"/>
      </w:rPr>
    </w:lvl>
    <w:lvl w:ilvl="5" w:tplc="1368DD0E">
      <w:start w:val="1"/>
      <w:numFmt w:val="bullet"/>
      <w:lvlText w:val=""/>
      <w:lvlJc w:val="left"/>
      <w:pPr>
        <w:ind w:left="1080" w:hanging="360"/>
      </w:pPr>
      <w:rPr>
        <w:rFonts w:ascii="Symbol" w:hAnsi="Symbol"/>
      </w:rPr>
    </w:lvl>
    <w:lvl w:ilvl="6" w:tplc="1B5AC41C">
      <w:start w:val="1"/>
      <w:numFmt w:val="bullet"/>
      <w:lvlText w:val=""/>
      <w:lvlJc w:val="left"/>
      <w:pPr>
        <w:ind w:left="1080" w:hanging="360"/>
      </w:pPr>
      <w:rPr>
        <w:rFonts w:ascii="Symbol" w:hAnsi="Symbol"/>
      </w:rPr>
    </w:lvl>
    <w:lvl w:ilvl="7" w:tplc="19C85A1A">
      <w:start w:val="1"/>
      <w:numFmt w:val="bullet"/>
      <w:lvlText w:val=""/>
      <w:lvlJc w:val="left"/>
      <w:pPr>
        <w:ind w:left="1080" w:hanging="360"/>
      </w:pPr>
      <w:rPr>
        <w:rFonts w:ascii="Symbol" w:hAnsi="Symbol"/>
      </w:rPr>
    </w:lvl>
    <w:lvl w:ilvl="8" w:tplc="E9F60EEE">
      <w:start w:val="1"/>
      <w:numFmt w:val="bullet"/>
      <w:lvlText w:val=""/>
      <w:lvlJc w:val="left"/>
      <w:pPr>
        <w:ind w:left="1080" w:hanging="360"/>
      </w:pPr>
      <w:rPr>
        <w:rFonts w:ascii="Symbol" w:hAnsi="Symbol"/>
      </w:rPr>
    </w:lvl>
  </w:abstractNum>
  <w:abstractNum w:abstractNumId="40" w15:restartNumberingAfterBreak="0">
    <w:nsid w:val="744B332C"/>
    <w:multiLevelType w:val="multilevel"/>
    <w:tmpl w:val="D9ECE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A802D3"/>
    <w:multiLevelType w:val="hybridMultilevel"/>
    <w:tmpl w:val="165E72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647295"/>
    <w:multiLevelType w:val="hybridMultilevel"/>
    <w:tmpl w:val="006C921C"/>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43" w15:restartNumberingAfterBreak="0">
    <w:nsid w:val="7870246D"/>
    <w:multiLevelType w:val="hybridMultilevel"/>
    <w:tmpl w:val="5D4A59A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45857973">
    <w:abstractNumId w:val="30"/>
  </w:num>
  <w:num w:numId="2" w16cid:durableId="1003976632">
    <w:abstractNumId w:val="13"/>
  </w:num>
  <w:num w:numId="3" w16cid:durableId="1463959116">
    <w:abstractNumId w:val="17"/>
  </w:num>
  <w:num w:numId="4" w16cid:durableId="1762143689">
    <w:abstractNumId w:val="19"/>
  </w:num>
  <w:num w:numId="5" w16cid:durableId="1266962190">
    <w:abstractNumId w:val="10"/>
  </w:num>
  <w:num w:numId="6" w16cid:durableId="1538393680">
    <w:abstractNumId w:val="36"/>
  </w:num>
  <w:num w:numId="7" w16cid:durableId="2113014692">
    <w:abstractNumId w:val="24"/>
  </w:num>
  <w:num w:numId="8" w16cid:durableId="110172566">
    <w:abstractNumId w:val="32"/>
  </w:num>
  <w:num w:numId="9" w16cid:durableId="1008560506">
    <w:abstractNumId w:val="29"/>
  </w:num>
  <w:num w:numId="10" w16cid:durableId="1617717081">
    <w:abstractNumId w:val="12"/>
  </w:num>
  <w:num w:numId="11" w16cid:durableId="495341409">
    <w:abstractNumId w:val="14"/>
  </w:num>
  <w:num w:numId="12" w16cid:durableId="1183937329">
    <w:abstractNumId w:val="0"/>
  </w:num>
  <w:num w:numId="13" w16cid:durableId="90323055">
    <w:abstractNumId w:val="4"/>
  </w:num>
  <w:num w:numId="14" w16cid:durableId="240330844">
    <w:abstractNumId w:val="5"/>
  </w:num>
  <w:num w:numId="15" w16cid:durableId="2097894108">
    <w:abstractNumId w:val="1"/>
  </w:num>
  <w:num w:numId="16" w16cid:durableId="736900437">
    <w:abstractNumId w:val="34"/>
  </w:num>
  <w:num w:numId="17" w16cid:durableId="1508448442">
    <w:abstractNumId w:val="26"/>
  </w:num>
  <w:num w:numId="18" w16cid:durableId="706216667">
    <w:abstractNumId w:val="35"/>
  </w:num>
  <w:num w:numId="19" w16cid:durableId="560596364">
    <w:abstractNumId w:val="37"/>
  </w:num>
  <w:num w:numId="20" w16cid:durableId="1288581077">
    <w:abstractNumId w:val="25"/>
  </w:num>
  <w:num w:numId="21" w16cid:durableId="1416782097">
    <w:abstractNumId w:val="7"/>
  </w:num>
  <w:num w:numId="22" w16cid:durableId="917442242">
    <w:abstractNumId w:val="20"/>
  </w:num>
  <w:num w:numId="23" w16cid:durableId="110443396">
    <w:abstractNumId w:val="28"/>
  </w:num>
  <w:num w:numId="24" w16cid:durableId="31077939">
    <w:abstractNumId w:val="6"/>
  </w:num>
  <w:num w:numId="25" w16cid:durableId="1197624246">
    <w:abstractNumId w:val="31"/>
  </w:num>
  <w:num w:numId="26" w16cid:durableId="758454268">
    <w:abstractNumId w:val="40"/>
  </w:num>
  <w:num w:numId="27" w16cid:durableId="211113383">
    <w:abstractNumId w:val="15"/>
  </w:num>
  <w:num w:numId="28" w16cid:durableId="1893420159">
    <w:abstractNumId w:val="43"/>
  </w:num>
  <w:num w:numId="29" w16cid:durableId="1822885514">
    <w:abstractNumId w:val="8"/>
  </w:num>
  <w:num w:numId="30" w16cid:durableId="1220630731">
    <w:abstractNumId w:val="21"/>
  </w:num>
  <w:num w:numId="31" w16cid:durableId="223682089">
    <w:abstractNumId w:val="3"/>
  </w:num>
  <w:num w:numId="32" w16cid:durableId="1019896403">
    <w:abstractNumId w:val="33"/>
  </w:num>
  <w:num w:numId="33" w16cid:durableId="818420745">
    <w:abstractNumId w:val="23"/>
  </w:num>
  <w:num w:numId="34" w16cid:durableId="960957842">
    <w:abstractNumId w:val="22"/>
  </w:num>
  <w:num w:numId="35" w16cid:durableId="978151517">
    <w:abstractNumId w:val="27"/>
  </w:num>
  <w:num w:numId="36" w16cid:durableId="144709370">
    <w:abstractNumId w:val="39"/>
  </w:num>
  <w:num w:numId="37" w16cid:durableId="358170384">
    <w:abstractNumId w:val="11"/>
  </w:num>
  <w:num w:numId="38" w16cid:durableId="1890992923">
    <w:abstractNumId w:val="18"/>
  </w:num>
  <w:num w:numId="39" w16cid:durableId="81993659">
    <w:abstractNumId w:val="41"/>
  </w:num>
  <w:num w:numId="40" w16cid:durableId="204997975">
    <w:abstractNumId w:val="42"/>
  </w:num>
  <w:num w:numId="41" w16cid:durableId="697631434">
    <w:abstractNumId w:val="9"/>
  </w:num>
  <w:num w:numId="42" w16cid:durableId="881941832">
    <w:abstractNumId w:val="16"/>
  </w:num>
  <w:num w:numId="43" w16cid:durableId="700589201">
    <w:abstractNumId w:val="38"/>
  </w:num>
  <w:num w:numId="44" w16cid:durableId="2127965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CDC"/>
    <w:rsid w:val="00001BDB"/>
    <w:rsid w:val="00002D64"/>
    <w:rsid w:val="00002F6D"/>
    <w:rsid w:val="00004053"/>
    <w:rsid w:val="0000508C"/>
    <w:rsid w:val="0000565A"/>
    <w:rsid w:val="0001044F"/>
    <w:rsid w:val="000108FB"/>
    <w:rsid w:val="00010DF3"/>
    <w:rsid w:val="00011940"/>
    <w:rsid w:val="00011DE6"/>
    <w:rsid w:val="00012231"/>
    <w:rsid w:val="000152D7"/>
    <w:rsid w:val="00015B25"/>
    <w:rsid w:val="00020507"/>
    <w:rsid w:val="0002069F"/>
    <w:rsid w:val="00024ECD"/>
    <w:rsid w:val="00025D73"/>
    <w:rsid w:val="00026602"/>
    <w:rsid w:val="00027917"/>
    <w:rsid w:val="00027B0D"/>
    <w:rsid w:val="0003007F"/>
    <w:rsid w:val="0003019E"/>
    <w:rsid w:val="00030D46"/>
    <w:rsid w:val="0003134C"/>
    <w:rsid w:val="00032AD7"/>
    <w:rsid w:val="00034435"/>
    <w:rsid w:val="00035B10"/>
    <w:rsid w:val="0003725F"/>
    <w:rsid w:val="0004019C"/>
    <w:rsid w:val="000401CD"/>
    <w:rsid w:val="0004050E"/>
    <w:rsid w:val="00040D60"/>
    <w:rsid w:val="00041791"/>
    <w:rsid w:val="0004195C"/>
    <w:rsid w:val="000419A3"/>
    <w:rsid w:val="00041A77"/>
    <w:rsid w:val="00042833"/>
    <w:rsid w:val="000435CD"/>
    <w:rsid w:val="00044C06"/>
    <w:rsid w:val="00044CDB"/>
    <w:rsid w:val="00045CB3"/>
    <w:rsid w:val="00046495"/>
    <w:rsid w:val="00046C0D"/>
    <w:rsid w:val="000478FA"/>
    <w:rsid w:val="00047B4B"/>
    <w:rsid w:val="000503F2"/>
    <w:rsid w:val="0005132C"/>
    <w:rsid w:val="00051B5E"/>
    <w:rsid w:val="000534AB"/>
    <w:rsid w:val="000547DB"/>
    <w:rsid w:val="00054C83"/>
    <w:rsid w:val="0005551A"/>
    <w:rsid w:val="00056E72"/>
    <w:rsid w:val="00056F7F"/>
    <w:rsid w:val="00057818"/>
    <w:rsid w:val="00057F6C"/>
    <w:rsid w:val="000603B4"/>
    <w:rsid w:val="00060B69"/>
    <w:rsid w:val="000613CB"/>
    <w:rsid w:val="000624BA"/>
    <w:rsid w:val="00062DE2"/>
    <w:rsid w:val="0006526B"/>
    <w:rsid w:val="0006597D"/>
    <w:rsid w:val="00065B1C"/>
    <w:rsid w:val="0006750B"/>
    <w:rsid w:val="00070B4A"/>
    <w:rsid w:val="0007156F"/>
    <w:rsid w:val="00072D63"/>
    <w:rsid w:val="00073FE5"/>
    <w:rsid w:val="0007407A"/>
    <w:rsid w:val="000758BD"/>
    <w:rsid w:val="00076351"/>
    <w:rsid w:val="000819FE"/>
    <w:rsid w:val="0008314B"/>
    <w:rsid w:val="00083648"/>
    <w:rsid w:val="000837F8"/>
    <w:rsid w:val="00085082"/>
    <w:rsid w:val="0008557C"/>
    <w:rsid w:val="00085640"/>
    <w:rsid w:val="00087CA2"/>
    <w:rsid w:val="0009091F"/>
    <w:rsid w:val="00090966"/>
    <w:rsid w:val="0009098F"/>
    <w:rsid w:val="00091C80"/>
    <w:rsid w:val="00093180"/>
    <w:rsid w:val="00094233"/>
    <w:rsid w:val="000946EA"/>
    <w:rsid w:val="00096494"/>
    <w:rsid w:val="0009764F"/>
    <w:rsid w:val="00097B1B"/>
    <w:rsid w:val="000A060A"/>
    <w:rsid w:val="000A3A44"/>
    <w:rsid w:val="000A3B85"/>
    <w:rsid w:val="000A3BA2"/>
    <w:rsid w:val="000A4897"/>
    <w:rsid w:val="000A4EA6"/>
    <w:rsid w:val="000A57BB"/>
    <w:rsid w:val="000A6E14"/>
    <w:rsid w:val="000A7849"/>
    <w:rsid w:val="000A7B49"/>
    <w:rsid w:val="000B0BD3"/>
    <w:rsid w:val="000B1F8E"/>
    <w:rsid w:val="000B38CE"/>
    <w:rsid w:val="000B589D"/>
    <w:rsid w:val="000B71F1"/>
    <w:rsid w:val="000B7CE2"/>
    <w:rsid w:val="000C1339"/>
    <w:rsid w:val="000C1E32"/>
    <w:rsid w:val="000C27AD"/>
    <w:rsid w:val="000C4156"/>
    <w:rsid w:val="000C62C9"/>
    <w:rsid w:val="000C76B0"/>
    <w:rsid w:val="000D13C7"/>
    <w:rsid w:val="000D1590"/>
    <w:rsid w:val="000D1BDF"/>
    <w:rsid w:val="000D1E44"/>
    <w:rsid w:val="000D376F"/>
    <w:rsid w:val="000D3CAD"/>
    <w:rsid w:val="000D4290"/>
    <w:rsid w:val="000D5DB8"/>
    <w:rsid w:val="000D5FBF"/>
    <w:rsid w:val="000D611D"/>
    <w:rsid w:val="000D695D"/>
    <w:rsid w:val="000D69F5"/>
    <w:rsid w:val="000E032D"/>
    <w:rsid w:val="000E1024"/>
    <w:rsid w:val="000E1198"/>
    <w:rsid w:val="000E29C3"/>
    <w:rsid w:val="000E2FA7"/>
    <w:rsid w:val="000E3D7F"/>
    <w:rsid w:val="000E3E8B"/>
    <w:rsid w:val="000E4231"/>
    <w:rsid w:val="000E4F27"/>
    <w:rsid w:val="000E62F9"/>
    <w:rsid w:val="000E7C41"/>
    <w:rsid w:val="000F0126"/>
    <w:rsid w:val="000F0BB1"/>
    <w:rsid w:val="000F1093"/>
    <w:rsid w:val="000F160E"/>
    <w:rsid w:val="000F2470"/>
    <w:rsid w:val="000F26B4"/>
    <w:rsid w:val="000F2945"/>
    <w:rsid w:val="000F3088"/>
    <w:rsid w:val="000F30BB"/>
    <w:rsid w:val="000F36E6"/>
    <w:rsid w:val="000F3847"/>
    <w:rsid w:val="000F3875"/>
    <w:rsid w:val="000F3BDD"/>
    <w:rsid w:val="000F4493"/>
    <w:rsid w:val="000F4BFA"/>
    <w:rsid w:val="000F5E95"/>
    <w:rsid w:val="00101B80"/>
    <w:rsid w:val="001025E4"/>
    <w:rsid w:val="0010260D"/>
    <w:rsid w:val="001052BC"/>
    <w:rsid w:val="001069CC"/>
    <w:rsid w:val="00106F39"/>
    <w:rsid w:val="00106FEA"/>
    <w:rsid w:val="00107D4B"/>
    <w:rsid w:val="00110193"/>
    <w:rsid w:val="00110812"/>
    <w:rsid w:val="001114BB"/>
    <w:rsid w:val="0011447F"/>
    <w:rsid w:val="00114BA5"/>
    <w:rsid w:val="00115786"/>
    <w:rsid w:val="00116A9D"/>
    <w:rsid w:val="0012213D"/>
    <w:rsid w:val="00122AC2"/>
    <w:rsid w:val="00122DA6"/>
    <w:rsid w:val="0012314E"/>
    <w:rsid w:val="00123EB2"/>
    <w:rsid w:val="00124055"/>
    <w:rsid w:val="0012414D"/>
    <w:rsid w:val="00124C66"/>
    <w:rsid w:val="00125A42"/>
    <w:rsid w:val="00126139"/>
    <w:rsid w:val="0012646B"/>
    <w:rsid w:val="00126D6E"/>
    <w:rsid w:val="001274D8"/>
    <w:rsid w:val="0012768F"/>
    <w:rsid w:val="00127A4A"/>
    <w:rsid w:val="00127F34"/>
    <w:rsid w:val="00127FCB"/>
    <w:rsid w:val="0013012D"/>
    <w:rsid w:val="00131CB8"/>
    <w:rsid w:val="00132152"/>
    <w:rsid w:val="001328E9"/>
    <w:rsid w:val="00132E76"/>
    <w:rsid w:val="00135D6D"/>
    <w:rsid w:val="00135F4B"/>
    <w:rsid w:val="00135FC1"/>
    <w:rsid w:val="00137343"/>
    <w:rsid w:val="001400B5"/>
    <w:rsid w:val="00140B32"/>
    <w:rsid w:val="00140C22"/>
    <w:rsid w:val="00140C51"/>
    <w:rsid w:val="001413E1"/>
    <w:rsid w:val="00142160"/>
    <w:rsid w:val="00142737"/>
    <w:rsid w:val="00142B56"/>
    <w:rsid w:val="00144DA5"/>
    <w:rsid w:val="00146B3B"/>
    <w:rsid w:val="0015023B"/>
    <w:rsid w:val="001515A1"/>
    <w:rsid w:val="00151761"/>
    <w:rsid w:val="001532BF"/>
    <w:rsid w:val="00153B52"/>
    <w:rsid w:val="00155ABB"/>
    <w:rsid w:val="00156215"/>
    <w:rsid w:val="001569D2"/>
    <w:rsid w:val="00157705"/>
    <w:rsid w:val="00157E66"/>
    <w:rsid w:val="00162358"/>
    <w:rsid w:val="0016460D"/>
    <w:rsid w:val="00164790"/>
    <w:rsid w:val="00164F95"/>
    <w:rsid w:val="001666CF"/>
    <w:rsid w:val="00166BFF"/>
    <w:rsid w:val="00167350"/>
    <w:rsid w:val="00167CD8"/>
    <w:rsid w:val="00170F10"/>
    <w:rsid w:val="001726B7"/>
    <w:rsid w:val="00172A0E"/>
    <w:rsid w:val="001731D5"/>
    <w:rsid w:val="00173C2B"/>
    <w:rsid w:val="001741FC"/>
    <w:rsid w:val="0017481D"/>
    <w:rsid w:val="00174F35"/>
    <w:rsid w:val="00175692"/>
    <w:rsid w:val="001758A8"/>
    <w:rsid w:val="001758DF"/>
    <w:rsid w:val="00176249"/>
    <w:rsid w:val="0017632A"/>
    <w:rsid w:val="00180288"/>
    <w:rsid w:val="00183CDC"/>
    <w:rsid w:val="001867CD"/>
    <w:rsid w:val="00187951"/>
    <w:rsid w:val="00190525"/>
    <w:rsid w:val="0019057B"/>
    <w:rsid w:val="001906E3"/>
    <w:rsid w:val="00190DD7"/>
    <w:rsid w:val="0019131B"/>
    <w:rsid w:val="001925E0"/>
    <w:rsid w:val="00192C69"/>
    <w:rsid w:val="00193DDB"/>
    <w:rsid w:val="001956DD"/>
    <w:rsid w:val="0019637A"/>
    <w:rsid w:val="00196877"/>
    <w:rsid w:val="00196D8C"/>
    <w:rsid w:val="001A084E"/>
    <w:rsid w:val="001A2B65"/>
    <w:rsid w:val="001A4810"/>
    <w:rsid w:val="001A4E1B"/>
    <w:rsid w:val="001A639D"/>
    <w:rsid w:val="001A67E4"/>
    <w:rsid w:val="001B0556"/>
    <w:rsid w:val="001B0F31"/>
    <w:rsid w:val="001B1024"/>
    <w:rsid w:val="001B1328"/>
    <w:rsid w:val="001B4375"/>
    <w:rsid w:val="001B451C"/>
    <w:rsid w:val="001B502D"/>
    <w:rsid w:val="001B5CCB"/>
    <w:rsid w:val="001B77E2"/>
    <w:rsid w:val="001B7842"/>
    <w:rsid w:val="001C064E"/>
    <w:rsid w:val="001C4169"/>
    <w:rsid w:val="001C5001"/>
    <w:rsid w:val="001C6308"/>
    <w:rsid w:val="001C6F24"/>
    <w:rsid w:val="001C6F2C"/>
    <w:rsid w:val="001D2531"/>
    <w:rsid w:val="001D2B2E"/>
    <w:rsid w:val="001D2CDC"/>
    <w:rsid w:val="001D364C"/>
    <w:rsid w:val="001D36BB"/>
    <w:rsid w:val="001D3A65"/>
    <w:rsid w:val="001D3B90"/>
    <w:rsid w:val="001D475E"/>
    <w:rsid w:val="001D59C1"/>
    <w:rsid w:val="001D5A50"/>
    <w:rsid w:val="001D5B7F"/>
    <w:rsid w:val="001D7B2D"/>
    <w:rsid w:val="001D7F0F"/>
    <w:rsid w:val="001E2034"/>
    <w:rsid w:val="001E5734"/>
    <w:rsid w:val="001E5C8E"/>
    <w:rsid w:val="001E6CFB"/>
    <w:rsid w:val="001E72E3"/>
    <w:rsid w:val="001E7659"/>
    <w:rsid w:val="001F16B4"/>
    <w:rsid w:val="001F2EA8"/>
    <w:rsid w:val="001F33F6"/>
    <w:rsid w:val="001F377E"/>
    <w:rsid w:val="001F462C"/>
    <w:rsid w:val="001F5251"/>
    <w:rsid w:val="001F6D82"/>
    <w:rsid w:val="001F6FC8"/>
    <w:rsid w:val="001F7456"/>
    <w:rsid w:val="0020051C"/>
    <w:rsid w:val="00201633"/>
    <w:rsid w:val="00201E40"/>
    <w:rsid w:val="00202BF1"/>
    <w:rsid w:val="00202C41"/>
    <w:rsid w:val="00203AD3"/>
    <w:rsid w:val="00204CEC"/>
    <w:rsid w:val="0020531F"/>
    <w:rsid w:val="00206319"/>
    <w:rsid w:val="00206BB4"/>
    <w:rsid w:val="00207C6A"/>
    <w:rsid w:val="0021028F"/>
    <w:rsid w:val="00210B8F"/>
    <w:rsid w:val="00213946"/>
    <w:rsid w:val="00213B6E"/>
    <w:rsid w:val="00213E6F"/>
    <w:rsid w:val="0021505F"/>
    <w:rsid w:val="00216AFD"/>
    <w:rsid w:val="0022055E"/>
    <w:rsid w:val="002223CA"/>
    <w:rsid w:val="0022268F"/>
    <w:rsid w:val="00222C81"/>
    <w:rsid w:val="00222ED1"/>
    <w:rsid w:val="002236D9"/>
    <w:rsid w:val="00223A4A"/>
    <w:rsid w:val="002264FF"/>
    <w:rsid w:val="002311EE"/>
    <w:rsid w:val="0023147C"/>
    <w:rsid w:val="002314A5"/>
    <w:rsid w:val="00232A8F"/>
    <w:rsid w:val="00232C66"/>
    <w:rsid w:val="002332A7"/>
    <w:rsid w:val="00233543"/>
    <w:rsid w:val="002359F5"/>
    <w:rsid w:val="00237074"/>
    <w:rsid w:val="002377BD"/>
    <w:rsid w:val="002404CF"/>
    <w:rsid w:val="002406BA"/>
    <w:rsid w:val="0024343D"/>
    <w:rsid w:val="00244489"/>
    <w:rsid w:val="00247510"/>
    <w:rsid w:val="00247FDF"/>
    <w:rsid w:val="002524F6"/>
    <w:rsid w:val="00254BEA"/>
    <w:rsid w:val="00254F19"/>
    <w:rsid w:val="00255FD8"/>
    <w:rsid w:val="0025628E"/>
    <w:rsid w:val="00256417"/>
    <w:rsid w:val="002565F7"/>
    <w:rsid w:val="00260A6A"/>
    <w:rsid w:val="00260A9A"/>
    <w:rsid w:val="002617AC"/>
    <w:rsid w:val="00263B77"/>
    <w:rsid w:val="00264C9A"/>
    <w:rsid w:val="00264F16"/>
    <w:rsid w:val="002650A5"/>
    <w:rsid w:val="00265A6C"/>
    <w:rsid w:val="00266840"/>
    <w:rsid w:val="00266FEF"/>
    <w:rsid w:val="00272A82"/>
    <w:rsid w:val="00273C48"/>
    <w:rsid w:val="0027642F"/>
    <w:rsid w:val="00276D78"/>
    <w:rsid w:val="00277173"/>
    <w:rsid w:val="0028372F"/>
    <w:rsid w:val="00284807"/>
    <w:rsid w:val="00287707"/>
    <w:rsid w:val="00291218"/>
    <w:rsid w:val="00292F77"/>
    <w:rsid w:val="00293B68"/>
    <w:rsid w:val="00294144"/>
    <w:rsid w:val="00294C83"/>
    <w:rsid w:val="00295B7A"/>
    <w:rsid w:val="00295E7B"/>
    <w:rsid w:val="002A2B12"/>
    <w:rsid w:val="002A2E00"/>
    <w:rsid w:val="002A46C8"/>
    <w:rsid w:val="002A51E8"/>
    <w:rsid w:val="002A6C23"/>
    <w:rsid w:val="002A6C54"/>
    <w:rsid w:val="002A74CE"/>
    <w:rsid w:val="002A7638"/>
    <w:rsid w:val="002A76B3"/>
    <w:rsid w:val="002B16DA"/>
    <w:rsid w:val="002B25CA"/>
    <w:rsid w:val="002B40EE"/>
    <w:rsid w:val="002B47F7"/>
    <w:rsid w:val="002B4CF6"/>
    <w:rsid w:val="002B54F6"/>
    <w:rsid w:val="002B5C53"/>
    <w:rsid w:val="002B5D73"/>
    <w:rsid w:val="002B60DC"/>
    <w:rsid w:val="002B6C92"/>
    <w:rsid w:val="002B74AE"/>
    <w:rsid w:val="002C01A5"/>
    <w:rsid w:val="002C0F25"/>
    <w:rsid w:val="002C1CB5"/>
    <w:rsid w:val="002C2EBA"/>
    <w:rsid w:val="002C3217"/>
    <w:rsid w:val="002C3D80"/>
    <w:rsid w:val="002C3E97"/>
    <w:rsid w:val="002C45EC"/>
    <w:rsid w:val="002C653D"/>
    <w:rsid w:val="002D15F7"/>
    <w:rsid w:val="002D4978"/>
    <w:rsid w:val="002D4C4D"/>
    <w:rsid w:val="002D4CE0"/>
    <w:rsid w:val="002D4E7A"/>
    <w:rsid w:val="002D6E20"/>
    <w:rsid w:val="002D6E42"/>
    <w:rsid w:val="002E0343"/>
    <w:rsid w:val="002E16F0"/>
    <w:rsid w:val="002E2BF7"/>
    <w:rsid w:val="002E38FA"/>
    <w:rsid w:val="002E5229"/>
    <w:rsid w:val="002E5703"/>
    <w:rsid w:val="002E5A37"/>
    <w:rsid w:val="002E6A67"/>
    <w:rsid w:val="002E736F"/>
    <w:rsid w:val="002F0270"/>
    <w:rsid w:val="002F0767"/>
    <w:rsid w:val="002F2398"/>
    <w:rsid w:val="002F2641"/>
    <w:rsid w:val="002F2EBC"/>
    <w:rsid w:val="002F30A1"/>
    <w:rsid w:val="002F3145"/>
    <w:rsid w:val="002F41CF"/>
    <w:rsid w:val="002F4DA0"/>
    <w:rsid w:val="002F572E"/>
    <w:rsid w:val="002F7E7F"/>
    <w:rsid w:val="00301301"/>
    <w:rsid w:val="00301AD2"/>
    <w:rsid w:val="00301F4D"/>
    <w:rsid w:val="003026D1"/>
    <w:rsid w:val="00303B2F"/>
    <w:rsid w:val="003041C9"/>
    <w:rsid w:val="0030461B"/>
    <w:rsid w:val="003061C8"/>
    <w:rsid w:val="003070B0"/>
    <w:rsid w:val="003075E9"/>
    <w:rsid w:val="00307644"/>
    <w:rsid w:val="00307BAC"/>
    <w:rsid w:val="003105CC"/>
    <w:rsid w:val="003111CC"/>
    <w:rsid w:val="00311B37"/>
    <w:rsid w:val="003130E2"/>
    <w:rsid w:val="00313481"/>
    <w:rsid w:val="003135F3"/>
    <w:rsid w:val="00313CB8"/>
    <w:rsid w:val="0031408B"/>
    <w:rsid w:val="00315CFF"/>
    <w:rsid w:val="00316B3D"/>
    <w:rsid w:val="00317169"/>
    <w:rsid w:val="0032035F"/>
    <w:rsid w:val="003204F4"/>
    <w:rsid w:val="00323D1C"/>
    <w:rsid w:val="00324058"/>
    <w:rsid w:val="003250F8"/>
    <w:rsid w:val="003269FD"/>
    <w:rsid w:val="003278CA"/>
    <w:rsid w:val="00327BA9"/>
    <w:rsid w:val="00327E12"/>
    <w:rsid w:val="003304D3"/>
    <w:rsid w:val="00330FFC"/>
    <w:rsid w:val="003321F2"/>
    <w:rsid w:val="00333812"/>
    <w:rsid w:val="00334355"/>
    <w:rsid w:val="00335DB8"/>
    <w:rsid w:val="00336263"/>
    <w:rsid w:val="003378F3"/>
    <w:rsid w:val="00337956"/>
    <w:rsid w:val="0034086A"/>
    <w:rsid w:val="00340AA9"/>
    <w:rsid w:val="003414AF"/>
    <w:rsid w:val="0034182B"/>
    <w:rsid w:val="00341EA8"/>
    <w:rsid w:val="00344DE7"/>
    <w:rsid w:val="00345C4D"/>
    <w:rsid w:val="00350645"/>
    <w:rsid w:val="0035068F"/>
    <w:rsid w:val="0035181B"/>
    <w:rsid w:val="00351AA5"/>
    <w:rsid w:val="00352464"/>
    <w:rsid w:val="003528F9"/>
    <w:rsid w:val="00352C1F"/>
    <w:rsid w:val="003539DD"/>
    <w:rsid w:val="00356B3B"/>
    <w:rsid w:val="00361087"/>
    <w:rsid w:val="00363CE0"/>
    <w:rsid w:val="003644AE"/>
    <w:rsid w:val="00364CF4"/>
    <w:rsid w:val="00364E70"/>
    <w:rsid w:val="00366532"/>
    <w:rsid w:val="00371DE4"/>
    <w:rsid w:val="00372103"/>
    <w:rsid w:val="00375E53"/>
    <w:rsid w:val="00376144"/>
    <w:rsid w:val="003762DD"/>
    <w:rsid w:val="00376874"/>
    <w:rsid w:val="00376B1E"/>
    <w:rsid w:val="00377D77"/>
    <w:rsid w:val="00380100"/>
    <w:rsid w:val="00380B14"/>
    <w:rsid w:val="00381C47"/>
    <w:rsid w:val="00382B60"/>
    <w:rsid w:val="003845EB"/>
    <w:rsid w:val="00384DE7"/>
    <w:rsid w:val="00385B41"/>
    <w:rsid w:val="00386D7A"/>
    <w:rsid w:val="00387F6C"/>
    <w:rsid w:val="00390057"/>
    <w:rsid w:val="0039044E"/>
    <w:rsid w:val="0039063D"/>
    <w:rsid w:val="003919DF"/>
    <w:rsid w:val="00391E28"/>
    <w:rsid w:val="003947A1"/>
    <w:rsid w:val="003965F9"/>
    <w:rsid w:val="003A0053"/>
    <w:rsid w:val="003A042A"/>
    <w:rsid w:val="003A0EB2"/>
    <w:rsid w:val="003A1314"/>
    <w:rsid w:val="003A3AF5"/>
    <w:rsid w:val="003A571C"/>
    <w:rsid w:val="003A5E52"/>
    <w:rsid w:val="003A6410"/>
    <w:rsid w:val="003A71A0"/>
    <w:rsid w:val="003A7C05"/>
    <w:rsid w:val="003B0F88"/>
    <w:rsid w:val="003B2256"/>
    <w:rsid w:val="003B23D0"/>
    <w:rsid w:val="003B24E4"/>
    <w:rsid w:val="003B38B4"/>
    <w:rsid w:val="003B41B6"/>
    <w:rsid w:val="003B4B67"/>
    <w:rsid w:val="003B5678"/>
    <w:rsid w:val="003B63EF"/>
    <w:rsid w:val="003B704B"/>
    <w:rsid w:val="003B75EC"/>
    <w:rsid w:val="003C2724"/>
    <w:rsid w:val="003C3739"/>
    <w:rsid w:val="003C3F69"/>
    <w:rsid w:val="003C4001"/>
    <w:rsid w:val="003C44EF"/>
    <w:rsid w:val="003C47C9"/>
    <w:rsid w:val="003C4D56"/>
    <w:rsid w:val="003C4E4F"/>
    <w:rsid w:val="003C5648"/>
    <w:rsid w:val="003C5B60"/>
    <w:rsid w:val="003C7894"/>
    <w:rsid w:val="003C7DA0"/>
    <w:rsid w:val="003D1500"/>
    <w:rsid w:val="003D2788"/>
    <w:rsid w:val="003D3039"/>
    <w:rsid w:val="003D3459"/>
    <w:rsid w:val="003D3C42"/>
    <w:rsid w:val="003D3E8E"/>
    <w:rsid w:val="003D4006"/>
    <w:rsid w:val="003D5B1B"/>
    <w:rsid w:val="003D619C"/>
    <w:rsid w:val="003E072D"/>
    <w:rsid w:val="003E157B"/>
    <w:rsid w:val="003E345F"/>
    <w:rsid w:val="003E4185"/>
    <w:rsid w:val="003E4C21"/>
    <w:rsid w:val="003E552C"/>
    <w:rsid w:val="003E6295"/>
    <w:rsid w:val="003E74FB"/>
    <w:rsid w:val="003E77EA"/>
    <w:rsid w:val="003E7860"/>
    <w:rsid w:val="003F1773"/>
    <w:rsid w:val="003F20B7"/>
    <w:rsid w:val="003F2AE0"/>
    <w:rsid w:val="003F2E1E"/>
    <w:rsid w:val="003F35A2"/>
    <w:rsid w:val="003F3BEA"/>
    <w:rsid w:val="003F51AA"/>
    <w:rsid w:val="003F55A9"/>
    <w:rsid w:val="004006A9"/>
    <w:rsid w:val="004016C8"/>
    <w:rsid w:val="00401DB7"/>
    <w:rsid w:val="00403197"/>
    <w:rsid w:val="00403C27"/>
    <w:rsid w:val="00404DF4"/>
    <w:rsid w:val="00406FE3"/>
    <w:rsid w:val="00407961"/>
    <w:rsid w:val="00407CAE"/>
    <w:rsid w:val="0041122B"/>
    <w:rsid w:val="00411BAE"/>
    <w:rsid w:val="00412042"/>
    <w:rsid w:val="00412CDF"/>
    <w:rsid w:val="00414870"/>
    <w:rsid w:val="00414893"/>
    <w:rsid w:val="004157F6"/>
    <w:rsid w:val="00420922"/>
    <w:rsid w:val="00420C04"/>
    <w:rsid w:val="00423F6B"/>
    <w:rsid w:val="00425104"/>
    <w:rsid w:val="0042532C"/>
    <w:rsid w:val="004256A0"/>
    <w:rsid w:val="00425813"/>
    <w:rsid w:val="00427011"/>
    <w:rsid w:val="00427D09"/>
    <w:rsid w:val="00430C2A"/>
    <w:rsid w:val="00430FAC"/>
    <w:rsid w:val="004320F8"/>
    <w:rsid w:val="00432561"/>
    <w:rsid w:val="0043725E"/>
    <w:rsid w:val="0044021B"/>
    <w:rsid w:val="00441206"/>
    <w:rsid w:val="00441B44"/>
    <w:rsid w:val="004424F1"/>
    <w:rsid w:val="004425D8"/>
    <w:rsid w:val="004427DD"/>
    <w:rsid w:val="00445242"/>
    <w:rsid w:val="0044724F"/>
    <w:rsid w:val="004477AA"/>
    <w:rsid w:val="00447F04"/>
    <w:rsid w:val="0045022C"/>
    <w:rsid w:val="00450519"/>
    <w:rsid w:val="00450A77"/>
    <w:rsid w:val="00451EEB"/>
    <w:rsid w:val="00455118"/>
    <w:rsid w:val="00455640"/>
    <w:rsid w:val="00456A10"/>
    <w:rsid w:val="00456B50"/>
    <w:rsid w:val="00460BA8"/>
    <w:rsid w:val="004615E6"/>
    <w:rsid w:val="00463B79"/>
    <w:rsid w:val="0046569D"/>
    <w:rsid w:val="00466689"/>
    <w:rsid w:val="00467448"/>
    <w:rsid w:val="00470347"/>
    <w:rsid w:val="00470942"/>
    <w:rsid w:val="0047114E"/>
    <w:rsid w:val="004715AA"/>
    <w:rsid w:val="00472120"/>
    <w:rsid w:val="0047221C"/>
    <w:rsid w:val="004725D9"/>
    <w:rsid w:val="0047371B"/>
    <w:rsid w:val="004770E1"/>
    <w:rsid w:val="00477572"/>
    <w:rsid w:val="00477D58"/>
    <w:rsid w:val="00477DBC"/>
    <w:rsid w:val="00480BA4"/>
    <w:rsid w:val="00481586"/>
    <w:rsid w:val="004819B2"/>
    <w:rsid w:val="004821C7"/>
    <w:rsid w:val="004837A9"/>
    <w:rsid w:val="00483C43"/>
    <w:rsid w:val="004845D9"/>
    <w:rsid w:val="004857F0"/>
    <w:rsid w:val="00487822"/>
    <w:rsid w:val="00487FFC"/>
    <w:rsid w:val="00491553"/>
    <w:rsid w:val="0049186D"/>
    <w:rsid w:val="0049191C"/>
    <w:rsid w:val="00491C69"/>
    <w:rsid w:val="004920AA"/>
    <w:rsid w:val="00492F5E"/>
    <w:rsid w:val="0049300D"/>
    <w:rsid w:val="00496B94"/>
    <w:rsid w:val="004971BF"/>
    <w:rsid w:val="00497278"/>
    <w:rsid w:val="004A2369"/>
    <w:rsid w:val="004A293A"/>
    <w:rsid w:val="004A2CA1"/>
    <w:rsid w:val="004A5202"/>
    <w:rsid w:val="004A7AE4"/>
    <w:rsid w:val="004B0CCB"/>
    <w:rsid w:val="004B27A3"/>
    <w:rsid w:val="004B37EF"/>
    <w:rsid w:val="004B3825"/>
    <w:rsid w:val="004B40CB"/>
    <w:rsid w:val="004B6297"/>
    <w:rsid w:val="004B7192"/>
    <w:rsid w:val="004C13AD"/>
    <w:rsid w:val="004C3E0B"/>
    <w:rsid w:val="004C414D"/>
    <w:rsid w:val="004C63E7"/>
    <w:rsid w:val="004D02A4"/>
    <w:rsid w:val="004D58D7"/>
    <w:rsid w:val="004D6B06"/>
    <w:rsid w:val="004E1125"/>
    <w:rsid w:val="004E2762"/>
    <w:rsid w:val="004E2A4E"/>
    <w:rsid w:val="004E429C"/>
    <w:rsid w:val="004E54C9"/>
    <w:rsid w:val="004F1BCD"/>
    <w:rsid w:val="004F20F6"/>
    <w:rsid w:val="004F28C8"/>
    <w:rsid w:val="004F3137"/>
    <w:rsid w:val="004F56A8"/>
    <w:rsid w:val="004F721E"/>
    <w:rsid w:val="004F72AB"/>
    <w:rsid w:val="004F7F87"/>
    <w:rsid w:val="00500017"/>
    <w:rsid w:val="005008D0"/>
    <w:rsid w:val="00501866"/>
    <w:rsid w:val="00502BB1"/>
    <w:rsid w:val="005032B9"/>
    <w:rsid w:val="00503D41"/>
    <w:rsid w:val="00507004"/>
    <w:rsid w:val="00510988"/>
    <w:rsid w:val="00510D02"/>
    <w:rsid w:val="00510EE7"/>
    <w:rsid w:val="005112EA"/>
    <w:rsid w:val="0051139E"/>
    <w:rsid w:val="00511CB8"/>
    <w:rsid w:val="00511EA9"/>
    <w:rsid w:val="0051376C"/>
    <w:rsid w:val="00520102"/>
    <w:rsid w:val="00521E9D"/>
    <w:rsid w:val="005225ED"/>
    <w:rsid w:val="00522E61"/>
    <w:rsid w:val="00523364"/>
    <w:rsid w:val="005235F7"/>
    <w:rsid w:val="00523D91"/>
    <w:rsid w:val="0052560D"/>
    <w:rsid w:val="005258BF"/>
    <w:rsid w:val="00527C66"/>
    <w:rsid w:val="00530246"/>
    <w:rsid w:val="00530EDA"/>
    <w:rsid w:val="00531563"/>
    <w:rsid w:val="00534CF8"/>
    <w:rsid w:val="00534DF8"/>
    <w:rsid w:val="005371BD"/>
    <w:rsid w:val="00537902"/>
    <w:rsid w:val="00537A9B"/>
    <w:rsid w:val="00540569"/>
    <w:rsid w:val="00542363"/>
    <w:rsid w:val="00544664"/>
    <w:rsid w:val="00545904"/>
    <w:rsid w:val="005474EE"/>
    <w:rsid w:val="005475BD"/>
    <w:rsid w:val="00550643"/>
    <w:rsid w:val="00551146"/>
    <w:rsid w:val="00557907"/>
    <w:rsid w:val="005619B2"/>
    <w:rsid w:val="00561AE6"/>
    <w:rsid w:val="00561B23"/>
    <w:rsid w:val="00562175"/>
    <w:rsid w:val="00562C1C"/>
    <w:rsid w:val="00565373"/>
    <w:rsid w:val="00565B1A"/>
    <w:rsid w:val="0056614F"/>
    <w:rsid w:val="005675F4"/>
    <w:rsid w:val="00570E1C"/>
    <w:rsid w:val="00573192"/>
    <w:rsid w:val="00581138"/>
    <w:rsid w:val="00581E3D"/>
    <w:rsid w:val="00582D33"/>
    <w:rsid w:val="00583893"/>
    <w:rsid w:val="00584271"/>
    <w:rsid w:val="00584B3D"/>
    <w:rsid w:val="00585346"/>
    <w:rsid w:val="00585DB1"/>
    <w:rsid w:val="005907BD"/>
    <w:rsid w:val="00590B94"/>
    <w:rsid w:val="0059203D"/>
    <w:rsid w:val="0059391C"/>
    <w:rsid w:val="00593D0A"/>
    <w:rsid w:val="00594700"/>
    <w:rsid w:val="00594E0C"/>
    <w:rsid w:val="00596CF1"/>
    <w:rsid w:val="0059796A"/>
    <w:rsid w:val="005A0C2D"/>
    <w:rsid w:val="005A238C"/>
    <w:rsid w:val="005A259A"/>
    <w:rsid w:val="005A2DE8"/>
    <w:rsid w:val="005A453E"/>
    <w:rsid w:val="005B02B2"/>
    <w:rsid w:val="005B3959"/>
    <w:rsid w:val="005B4690"/>
    <w:rsid w:val="005B6904"/>
    <w:rsid w:val="005B6BBB"/>
    <w:rsid w:val="005C0B06"/>
    <w:rsid w:val="005C147E"/>
    <w:rsid w:val="005C2945"/>
    <w:rsid w:val="005C3B0C"/>
    <w:rsid w:val="005C5D41"/>
    <w:rsid w:val="005C7974"/>
    <w:rsid w:val="005C7C58"/>
    <w:rsid w:val="005D03DC"/>
    <w:rsid w:val="005D0A19"/>
    <w:rsid w:val="005D172C"/>
    <w:rsid w:val="005D1C62"/>
    <w:rsid w:val="005D2629"/>
    <w:rsid w:val="005D2AAA"/>
    <w:rsid w:val="005D2EE8"/>
    <w:rsid w:val="005D32BA"/>
    <w:rsid w:val="005D3C33"/>
    <w:rsid w:val="005D4308"/>
    <w:rsid w:val="005D44E2"/>
    <w:rsid w:val="005D4D6D"/>
    <w:rsid w:val="005D51EC"/>
    <w:rsid w:val="005D5EF6"/>
    <w:rsid w:val="005D63BE"/>
    <w:rsid w:val="005D6DD7"/>
    <w:rsid w:val="005E402E"/>
    <w:rsid w:val="005E4BCD"/>
    <w:rsid w:val="005E58DE"/>
    <w:rsid w:val="005E6A59"/>
    <w:rsid w:val="005F139B"/>
    <w:rsid w:val="005F1A0B"/>
    <w:rsid w:val="005F2D62"/>
    <w:rsid w:val="005F3165"/>
    <w:rsid w:val="005F3691"/>
    <w:rsid w:val="005F398D"/>
    <w:rsid w:val="005F711E"/>
    <w:rsid w:val="005F75AC"/>
    <w:rsid w:val="00600228"/>
    <w:rsid w:val="00600622"/>
    <w:rsid w:val="006049F3"/>
    <w:rsid w:val="006055BD"/>
    <w:rsid w:val="0060571D"/>
    <w:rsid w:val="00605A74"/>
    <w:rsid w:val="00606BEF"/>
    <w:rsid w:val="00606D2D"/>
    <w:rsid w:val="006074C2"/>
    <w:rsid w:val="00610788"/>
    <w:rsid w:val="00610CDE"/>
    <w:rsid w:val="00610F1A"/>
    <w:rsid w:val="0061153A"/>
    <w:rsid w:val="00612B8D"/>
    <w:rsid w:val="00613EE4"/>
    <w:rsid w:val="00614EE6"/>
    <w:rsid w:val="006174A7"/>
    <w:rsid w:val="0061761A"/>
    <w:rsid w:val="00621091"/>
    <w:rsid w:val="006211E5"/>
    <w:rsid w:val="0062166E"/>
    <w:rsid w:val="00621AAA"/>
    <w:rsid w:val="006229C8"/>
    <w:rsid w:val="00622C42"/>
    <w:rsid w:val="006236DF"/>
    <w:rsid w:val="006246C4"/>
    <w:rsid w:val="00625FE2"/>
    <w:rsid w:val="00627966"/>
    <w:rsid w:val="0063006A"/>
    <w:rsid w:val="006300A4"/>
    <w:rsid w:val="00631129"/>
    <w:rsid w:val="00631F76"/>
    <w:rsid w:val="0063290C"/>
    <w:rsid w:val="00632941"/>
    <w:rsid w:val="00633775"/>
    <w:rsid w:val="006351B3"/>
    <w:rsid w:val="00636197"/>
    <w:rsid w:val="00636E39"/>
    <w:rsid w:val="00637C3F"/>
    <w:rsid w:val="00637CCA"/>
    <w:rsid w:val="00640C20"/>
    <w:rsid w:val="006413FC"/>
    <w:rsid w:val="006434E8"/>
    <w:rsid w:val="00646A30"/>
    <w:rsid w:val="00647245"/>
    <w:rsid w:val="00647892"/>
    <w:rsid w:val="00650084"/>
    <w:rsid w:val="00651A6B"/>
    <w:rsid w:val="00652473"/>
    <w:rsid w:val="006530C7"/>
    <w:rsid w:val="00653880"/>
    <w:rsid w:val="00653893"/>
    <w:rsid w:val="00655444"/>
    <w:rsid w:val="00655B68"/>
    <w:rsid w:val="00660CAE"/>
    <w:rsid w:val="00660E29"/>
    <w:rsid w:val="00664056"/>
    <w:rsid w:val="0066438B"/>
    <w:rsid w:val="00665015"/>
    <w:rsid w:val="006669E2"/>
    <w:rsid w:val="00670650"/>
    <w:rsid w:val="006716A2"/>
    <w:rsid w:val="00671CEF"/>
    <w:rsid w:val="0067204E"/>
    <w:rsid w:val="00675FB2"/>
    <w:rsid w:val="006808F4"/>
    <w:rsid w:val="00681273"/>
    <w:rsid w:val="006822AD"/>
    <w:rsid w:val="00682D96"/>
    <w:rsid w:val="00683F8D"/>
    <w:rsid w:val="00684095"/>
    <w:rsid w:val="00684A1F"/>
    <w:rsid w:val="0068502A"/>
    <w:rsid w:val="00685F8E"/>
    <w:rsid w:val="00687183"/>
    <w:rsid w:val="0068769F"/>
    <w:rsid w:val="006903D8"/>
    <w:rsid w:val="00690954"/>
    <w:rsid w:val="0069151D"/>
    <w:rsid w:val="00691618"/>
    <w:rsid w:val="00691CFA"/>
    <w:rsid w:val="00692430"/>
    <w:rsid w:val="00692C7C"/>
    <w:rsid w:val="006935DF"/>
    <w:rsid w:val="00695184"/>
    <w:rsid w:val="006953F7"/>
    <w:rsid w:val="006954BA"/>
    <w:rsid w:val="0069687F"/>
    <w:rsid w:val="006A0DCF"/>
    <w:rsid w:val="006A2759"/>
    <w:rsid w:val="006A2B55"/>
    <w:rsid w:val="006A2C67"/>
    <w:rsid w:val="006A2CD3"/>
    <w:rsid w:val="006A3639"/>
    <w:rsid w:val="006A3B0B"/>
    <w:rsid w:val="006A43FC"/>
    <w:rsid w:val="006A4F8E"/>
    <w:rsid w:val="006A7531"/>
    <w:rsid w:val="006B03C0"/>
    <w:rsid w:val="006B05A8"/>
    <w:rsid w:val="006B07B7"/>
    <w:rsid w:val="006B0952"/>
    <w:rsid w:val="006B1777"/>
    <w:rsid w:val="006B3398"/>
    <w:rsid w:val="006B439F"/>
    <w:rsid w:val="006B4F1D"/>
    <w:rsid w:val="006B54D1"/>
    <w:rsid w:val="006B7283"/>
    <w:rsid w:val="006B7E39"/>
    <w:rsid w:val="006B7EDE"/>
    <w:rsid w:val="006C046B"/>
    <w:rsid w:val="006C17CF"/>
    <w:rsid w:val="006C36FC"/>
    <w:rsid w:val="006C38E6"/>
    <w:rsid w:val="006C5839"/>
    <w:rsid w:val="006C5B70"/>
    <w:rsid w:val="006C60AB"/>
    <w:rsid w:val="006C6940"/>
    <w:rsid w:val="006C6B52"/>
    <w:rsid w:val="006C724E"/>
    <w:rsid w:val="006D1283"/>
    <w:rsid w:val="006D1850"/>
    <w:rsid w:val="006D19BB"/>
    <w:rsid w:val="006D5863"/>
    <w:rsid w:val="006D650C"/>
    <w:rsid w:val="006E1243"/>
    <w:rsid w:val="006E1D1E"/>
    <w:rsid w:val="006E28BA"/>
    <w:rsid w:val="006E2F69"/>
    <w:rsid w:val="006E38DA"/>
    <w:rsid w:val="006E3B25"/>
    <w:rsid w:val="006E4128"/>
    <w:rsid w:val="006E4320"/>
    <w:rsid w:val="006E509C"/>
    <w:rsid w:val="006E64F1"/>
    <w:rsid w:val="006E679C"/>
    <w:rsid w:val="006E7352"/>
    <w:rsid w:val="006E7965"/>
    <w:rsid w:val="006E7977"/>
    <w:rsid w:val="006E7BBD"/>
    <w:rsid w:val="006F0848"/>
    <w:rsid w:val="006F1073"/>
    <w:rsid w:val="006F18E2"/>
    <w:rsid w:val="006F2017"/>
    <w:rsid w:val="006F2303"/>
    <w:rsid w:val="006F2934"/>
    <w:rsid w:val="006F35D5"/>
    <w:rsid w:val="006F41E1"/>
    <w:rsid w:val="006F4472"/>
    <w:rsid w:val="006F5590"/>
    <w:rsid w:val="006F5B56"/>
    <w:rsid w:val="006F5C3B"/>
    <w:rsid w:val="006F70B8"/>
    <w:rsid w:val="006F75A9"/>
    <w:rsid w:val="006F7EB2"/>
    <w:rsid w:val="007003CD"/>
    <w:rsid w:val="00701352"/>
    <w:rsid w:val="00701E45"/>
    <w:rsid w:val="00702866"/>
    <w:rsid w:val="007029C8"/>
    <w:rsid w:val="00702B51"/>
    <w:rsid w:val="00705245"/>
    <w:rsid w:val="007052C8"/>
    <w:rsid w:val="00706490"/>
    <w:rsid w:val="0070675D"/>
    <w:rsid w:val="00710574"/>
    <w:rsid w:val="007111DA"/>
    <w:rsid w:val="00712559"/>
    <w:rsid w:val="00712DB6"/>
    <w:rsid w:val="00713B15"/>
    <w:rsid w:val="007148C6"/>
    <w:rsid w:val="00714C29"/>
    <w:rsid w:val="007152CF"/>
    <w:rsid w:val="00716B41"/>
    <w:rsid w:val="00717100"/>
    <w:rsid w:val="007171BA"/>
    <w:rsid w:val="007179B0"/>
    <w:rsid w:val="0072103E"/>
    <w:rsid w:val="00721428"/>
    <w:rsid w:val="00721AC7"/>
    <w:rsid w:val="00724BEA"/>
    <w:rsid w:val="007251D1"/>
    <w:rsid w:val="007254AE"/>
    <w:rsid w:val="00725643"/>
    <w:rsid w:val="007263FE"/>
    <w:rsid w:val="00726486"/>
    <w:rsid w:val="0072657C"/>
    <w:rsid w:val="007268DB"/>
    <w:rsid w:val="007270F8"/>
    <w:rsid w:val="00730945"/>
    <w:rsid w:val="007335E7"/>
    <w:rsid w:val="00734995"/>
    <w:rsid w:val="00735FC6"/>
    <w:rsid w:val="00736006"/>
    <w:rsid w:val="007362E1"/>
    <w:rsid w:val="00736D3B"/>
    <w:rsid w:val="00736EF4"/>
    <w:rsid w:val="00737637"/>
    <w:rsid w:val="0073768D"/>
    <w:rsid w:val="00737B36"/>
    <w:rsid w:val="0074027B"/>
    <w:rsid w:val="007408AA"/>
    <w:rsid w:val="0074140A"/>
    <w:rsid w:val="00741BBC"/>
    <w:rsid w:val="007428FA"/>
    <w:rsid w:val="00742FBD"/>
    <w:rsid w:val="007431D6"/>
    <w:rsid w:val="007440E5"/>
    <w:rsid w:val="00744494"/>
    <w:rsid w:val="007450B4"/>
    <w:rsid w:val="007457D7"/>
    <w:rsid w:val="007459AF"/>
    <w:rsid w:val="00745D39"/>
    <w:rsid w:val="00746DE1"/>
    <w:rsid w:val="00746DE5"/>
    <w:rsid w:val="00747192"/>
    <w:rsid w:val="007502A9"/>
    <w:rsid w:val="00750807"/>
    <w:rsid w:val="00751EB4"/>
    <w:rsid w:val="0075232D"/>
    <w:rsid w:val="0075284D"/>
    <w:rsid w:val="00752CA3"/>
    <w:rsid w:val="007538B9"/>
    <w:rsid w:val="00754428"/>
    <w:rsid w:val="00754CAF"/>
    <w:rsid w:val="00755AA6"/>
    <w:rsid w:val="007572C2"/>
    <w:rsid w:val="007602F9"/>
    <w:rsid w:val="007619BA"/>
    <w:rsid w:val="00762ADD"/>
    <w:rsid w:val="00763815"/>
    <w:rsid w:val="00763993"/>
    <w:rsid w:val="00764085"/>
    <w:rsid w:val="007654EB"/>
    <w:rsid w:val="007661D8"/>
    <w:rsid w:val="0076675B"/>
    <w:rsid w:val="007674AA"/>
    <w:rsid w:val="00770205"/>
    <w:rsid w:val="00770631"/>
    <w:rsid w:val="007709C4"/>
    <w:rsid w:val="00772951"/>
    <w:rsid w:val="00773EDB"/>
    <w:rsid w:val="007743FA"/>
    <w:rsid w:val="0077490E"/>
    <w:rsid w:val="007751F1"/>
    <w:rsid w:val="00775E45"/>
    <w:rsid w:val="007775F4"/>
    <w:rsid w:val="00780D70"/>
    <w:rsid w:val="00781296"/>
    <w:rsid w:val="007849F6"/>
    <w:rsid w:val="007861DC"/>
    <w:rsid w:val="00786471"/>
    <w:rsid w:val="007906CB"/>
    <w:rsid w:val="00790888"/>
    <w:rsid w:val="007913A6"/>
    <w:rsid w:val="00793684"/>
    <w:rsid w:val="00794670"/>
    <w:rsid w:val="00794678"/>
    <w:rsid w:val="00794D8C"/>
    <w:rsid w:val="00795F95"/>
    <w:rsid w:val="00797BCD"/>
    <w:rsid w:val="00797CC2"/>
    <w:rsid w:val="007A0EC6"/>
    <w:rsid w:val="007A2645"/>
    <w:rsid w:val="007A2B17"/>
    <w:rsid w:val="007A311A"/>
    <w:rsid w:val="007A32F6"/>
    <w:rsid w:val="007A3E72"/>
    <w:rsid w:val="007A4BF5"/>
    <w:rsid w:val="007A50E5"/>
    <w:rsid w:val="007A5AEB"/>
    <w:rsid w:val="007B0BA0"/>
    <w:rsid w:val="007B0D70"/>
    <w:rsid w:val="007B21A4"/>
    <w:rsid w:val="007B2C2A"/>
    <w:rsid w:val="007B2C5E"/>
    <w:rsid w:val="007B441D"/>
    <w:rsid w:val="007B4D9C"/>
    <w:rsid w:val="007B55AF"/>
    <w:rsid w:val="007B5E42"/>
    <w:rsid w:val="007B617D"/>
    <w:rsid w:val="007B61AA"/>
    <w:rsid w:val="007B7297"/>
    <w:rsid w:val="007C0094"/>
    <w:rsid w:val="007C05BB"/>
    <w:rsid w:val="007C2666"/>
    <w:rsid w:val="007C5FE1"/>
    <w:rsid w:val="007C603B"/>
    <w:rsid w:val="007D2121"/>
    <w:rsid w:val="007D2486"/>
    <w:rsid w:val="007D3ABB"/>
    <w:rsid w:val="007D3DEC"/>
    <w:rsid w:val="007D3E5B"/>
    <w:rsid w:val="007D40FB"/>
    <w:rsid w:val="007D57C0"/>
    <w:rsid w:val="007D5EDC"/>
    <w:rsid w:val="007D7C59"/>
    <w:rsid w:val="007E0375"/>
    <w:rsid w:val="007E0788"/>
    <w:rsid w:val="007E1A45"/>
    <w:rsid w:val="007E2073"/>
    <w:rsid w:val="007E2163"/>
    <w:rsid w:val="007E2CC2"/>
    <w:rsid w:val="007E4064"/>
    <w:rsid w:val="007E558F"/>
    <w:rsid w:val="007E5CC4"/>
    <w:rsid w:val="007E5FCA"/>
    <w:rsid w:val="007E61AC"/>
    <w:rsid w:val="007E65E8"/>
    <w:rsid w:val="007E710D"/>
    <w:rsid w:val="007E7E3A"/>
    <w:rsid w:val="007F0582"/>
    <w:rsid w:val="007F1844"/>
    <w:rsid w:val="007F2E09"/>
    <w:rsid w:val="007F5166"/>
    <w:rsid w:val="007F5349"/>
    <w:rsid w:val="007F73A6"/>
    <w:rsid w:val="007F78E9"/>
    <w:rsid w:val="0080075C"/>
    <w:rsid w:val="008011A8"/>
    <w:rsid w:val="00801A9E"/>
    <w:rsid w:val="0080582D"/>
    <w:rsid w:val="008058F6"/>
    <w:rsid w:val="008061A0"/>
    <w:rsid w:val="00806771"/>
    <w:rsid w:val="00806F4B"/>
    <w:rsid w:val="00807CA7"/>
    <w:rsid w:val="0081037B"/>
    <w:rsid w:val="00810828"/>
    <w:rsid w:val="008109F4"/>
    <w:rsid w:val="00811B4D"/>
    <w:rsid w:val="008121D4"/>
    <w:rsid w:val="00813823"/>
    <w:rsid w:val="008138D8"/>
    <w:rsid w:val="008141C2"/>
    <w:rsid w:val="00814259"/>
    <w:rsid w:val="00816BF3"/>
    <w:rsid w:val="00816EF0"/>
    <w:rsid w:val="00816F4A"/>
    <w:rsid w:val="00820090"/>
    <w:rsid w:val="00820D7A"/>
    <w:rsid w:val="00820E27"/>
    <w:rsid w:val="00822A50"/>
    <w:rsid w:val="00824975"/>
    <w:rsid w:val="00824D3A"/>
    <w:rsid w:val="0082599C"/>
    <w:rsid w:val="00826367"/>
    <w:rsid w:val="00826EBC"/>
    <w:rsid w:val="00827A3B"/>
    <w:rsid w:val="008313B3"/>
    <w:rsid w:val="00831BBE"/>
    <w:rsid w:val="008328EC"/>
    <w:rsid w:val="00832C00"/>
    <w:rsid w:val="0083354A"/>
    <w:rsid w:val="0083355D"/>
    <w:rsid w:val="008340A8"/>
    <w:rsid w:val="00834A28"/>
    <w:rsid w:val="00834A74"/>
    <w:rsid w:val="00835047"/>
    <w:rsid w:val="00835B8E"/>
    <w:rsid w:val="00836272"/>
    <w:rsid w:val="00836487"/>
    <w:rsid w:val="00836E1D"/>
    <w:rsid w:val="008417B6"/>
    <w:rsid w:val="00841C20"/>
    <w:rsid w:val="00841F5A"/>
    <w:rsid w:val="00842FA3"/>
    <w:rsid w:val="008436EC"/>
    <w:rsid w:val="008453F4"/>
    <w:rsid w:val="0084560D"/>
    <w:rsid w:val="008469DA"/>
    <w:rsid w:val="00847047"/>
    <w:rsid w:val="00847EF7"/>
    <w:rsid w:val="00851A7E"/>
    <w:rsid w:val="00852972"/>
    <w:rsid w:val="008566BA"/>
    <w:rsid w:val="00857473"/>
    <w:rsid w:val="00860F49"/>
    <w:rsid w:val="00860F57"/>
    <w:rsid w:val="00861C70"/>
    <w:rsid w:val="0086225E"/>
    <w:rsid w:val="00862797"/>
    <w:rsid w:val="008627E5"/>
    <w:rsid w:val="0086283A"/>
    <w:rsid w:val="00863183"/>
    <w:rsid w:val="00863847"/>
    <w:rsid w:val="00864352"/>
    <w:rsid w:val="0086448A"/>
    <w:rsid w:val="008645A1"/>
    <w:rsid w:val="00867B56"/>
    <w:rsid w:val="00867CB1"/>
    <w:rsid w:val="008720F2"/>
    <w:rsid w:val="008727C4"/>
    <w:rsid w:val="00872B90"/>
    <w:rsid w:val="00873D52"/>
    <w:rsid w:val="00873F4B"/>
    <w:rsid w:val="00874CDE"/>
    <w:rsid w:val="00875686"/>
    <w:rsid w:val="00877052"/>
    <w:rsid w:val="0087767B"/>
    <w:rsid w:val="00877B59"/>
    <w:rsid w:val="00877B5A"/>
    <w:rsid w:val="008803A0"/>
    <w:rsid w:val="008810E1"/>
    <w:rsid w:val="008811D7"/>
    <w:rsid w:val="0088151B"/>
    <w:rsid w:val="0088173F"/>
    <w:rsid w:val="00881C0D"/>
    <w:rsid w:val="0088545D"/>
    <w:rsid w:val="00885A38"/>
    <w:rsid w:val="008860B1"/>
    <w:rsid w:val="00886C74"/>
    <w:rsid w:val="00886E12"/>
    <w:rsid w:val="008878AF"/>
    <w:rsid w:val="00887D40"/>
    <w:rsid w:val="00887DC6"/>
    <w:rsid w:val="00887EA0"/>
    <w:rsid w:val="00890417"/>
    <w:rsid w:val="0089044F"/>
    <w:rsid w:val="008918AF"/>
    <w:rsid w:val="00891A50"/>
    <w:rsid w:val="00891AF0"/>
    <w:rsid w:val="00891BD2"/>
    <w:rsid w:val="008936DA"/>
    <w:rsid w:val="00893D91"/>
    <w:rsid w:val="00893E3B"/>
    <w:rsid w:val="00893FAE"/>
    <w:rsid w:val="0089467C"/>
    <w:rsid w:val="008959D1"/>
    <w:rsid w:val="00897F14"/>
    <w:rsid w:val="008A06F5"/>
    <w:rsid w:val="008A0A57"/>
    <w:rsid w:val="008A5BBC"/>
    <w:rsid w:val="008A6E72"/>
    <w:rsid w:val="008A7186"/>
    <w:rsid w:val="008A736C"/>
    <w:rsid w:val="008B0612"/>
    <w:rsid w:val="008B0F2B"/>
    <w:rsid w:val="008B1238"/>
    <w:rsid w:val="008B1FF9"/>
    <w:rsid w:val="008B2808"/>
    <w:rsid w:val="008B2ED8"/>
    <w:rsid w:val="008B365A"/>
    <w:rsid w:val="008B4731"/>
    <w:rsid w:val="008B7A15"/>
    <w:rsid w:val="008B7B01"/>
    <w:rsid w:val="008C0045"/>
    <w:rsid w:val="008C0A22"/>
    <w:rsid w:val="008C1DA0"/>
    <w:rsid w:val="008C3BEA"/>
    <w:rsid w:val="008C4DE9"/>
    <w:rsid w:val="008C52F8"/>
    <w:rsid w:val="008C670C"/>
    <w:rsid w:val="008C6BEF"/>
    <w:rsid w:val="008C6CA4"/>
    <w:rsid w:val="008D26CC"/>
    <w:rsid w:val="008D2DF2"/>
    <w:rsid w:val="008D4083"/>
    <w:rsid w:val="008D40CB"/>
    <w:rsid w:val="008D4D7D"/>
    <w:rsid w:val="008D6946"/>
    <w:rsid w:val="008D7C55"/>
    <w:rsid w:val="008E0740"/>
    <w:rsid w:val="008E18B2"/>
    <w:rsid w:val="008E1D0F"/>
    <w:rsid w:val="008E1F3E"/>
    <w:rsid w:val="008E41EC"/>
    <w:rsid w:val="008E5A4E"/>
    <w:rsid w:val="008E6491"/>
    <w:rsid w:val="008F15AE"/>
    <w:rsid w:val="008F3005"/>
    <w:rsid w:val="008F3619"/>
    <w:rsid w:val="008F5A47"/>
    <w:rsid w:val="008F6494"/>
    <w:rsid w:val="008F6D4F"/>
    <w:rsid w:val="0090327A"/>
    <w:rsid w:val="009044B4"/>
    <w:rsid w:val="0090656A"/>
    <w:rsid w:val="00906938"/>
    <w:rsid w:val="00910ABE"/>
    <w:rsid w:val="00911D67"/>
    <w:rsid w:val="00912309"/>
    <w:rsid w:val="00914EFB"/>
    <w:rsid w:val="00915029"/>
    <w:rsid w:val="0091502A"/>
    <w:rsid w:val="0092068F"/>
    <w:rsid w:val="00921178"/>
    <w:rsid w:val="009215E2"/>
    <w:rsid w:val="00921934"/>
    <w:rsid w:val="00923106"/>
    <w:rsid w:val="00923E7F"/>
    <w:rsid w:val="009242B0"/>
    <w:rsid w:val="00924DCD"/>
    <w:rsid w:val="009262DD"/>
    <w:rsid w:val="009263DE"/>
    <w:rsid w:val="00926B0F"/>
    <w:rsid w:val="0093138B"/>
    <w:rsid w:val="00931A1D"/>
    <w:rsid w:val="00932777"/>
    <w:rsid w:val="009338FD"/>
    <w:rsid w:val="009352B4"/>
    <w:rsid w:val="00935974"/>
    <w:rsid w:val="00935AF6"/>
    <w:rsid w:val="00935F93"/>
    <w:rsid w:val="009362AF"/>
    <w:rsid w:val="0093796A"/>
    <w:rsid w:val="00937D1A"/>
    <w:rsid w:val="00937D49"/>
    <w:rsid w:val="009409A0"/>
    <w:rsid w:val="0094243B"/>
    <w:rsid w:val="00944830"/>
    <w:rsid w:val="00944F3D"/>
    <w:rsid w:val="009450E1"/>
    <w:rsid w:val="0094596C"/>
    <w:rsid w:val="00947442"/>
    <w:rsid w:val="009509E3"/>
    <w:rsid w:val="00950C1B"/>
    <w:rsid w:val="00950FE6"/>
    <w:rsid w:val="009511E1"/>
    <w:rsid w:val="00954211"/>
    <w:rsid w:val="009551D8"/>
    <w:rsid w:val="0095575B"/>
    <w:rsid w:val="00955981"/>
    <w:rsid w:val="00955EDF"/>
    <w:rsid w:val="00956294"/>
    <w:rsid w:val="009562DC"/>
    <w:rsid w:val="009562F9"/>
    <w:rsid w:val="00956FC7"/>
    <w:rsid w:val="00957500"/>
    <w:rsid w:val="00957C41"/>
    <w:rsid w:val="00957D0F"/>
    <w:rsid w:val="00960BFC"/>
    <w:rsid w:val="009621DA"/>
    <w:rsid w:val="009626A1"/>
    <w:rsid w:val="00962CF6"/>
    <w:rsid w:val="0096447C"/>
    <w:rsid w:val="00964BB5"/>
    <w:rsid w:val="009652C2"/>
    <w:rsid w:val="00966068"/>
    <w:rsid w:val="00966F31"/>
    <w:rsid w:val="00970F24"/>
    <w:rsid w:val="00971E7F"/>
    <w:rsid w:val="00973AA1"/>
    <w:rsid w:val="00974D20"/>
    <w:rsid w:val="0097578D"/>
    <w:rsid w:val="00977635"/>
    <w:rsid w:val="009801AD"/>
    <w:rsid w:val="00980904"/>
    <w:rsid w:val="009812FF"/>
    <w:rsid w:val="009826A6"/>
    <w:rsid w:val="009826E4"/>
    <w:rsid w:val="009839A4"/>
    <w:rsid w:val="009914E7"/>
    <w:rsid w:val="009914F6"/>
    <w:rsid w:val="009941D3"/>
    <w:rsid w:val="00994EEE"/>
    <w:rsid w:val="00997B3C"/>
    <w:rsid w:val="00997B5E"/>
    <w:rsid w:val="009A14AC"/>
    <w:rsid w:val="009A1BCB"/>
    <w:rsid w:val="009A2BF9"/>
    <w:rsid w:val="009A340F"/>
    <w:rsid w:val="009A37AE"/>
    <w:rsid w:val="009A525D"/>
    <w:rsid w:val="009A5897"/>
    <w:rsid w:val="009A5C90"/>
    <w:rsid w:val="009A671B"/>
    <w:rsid w:val="009A6776"/>
    <w:rsid w:val="009A6794"/>
    <w:rsid w:val="009A71E5"/>
    <w:rsid w:val="009A748F"/>
    <w:rsid w:val="009B031E"/>
    <w:rsid w:val="009B1430"/>
    <w:rsid w:val="009B1B7D"/>
    <w:rsid w:val="009B20DB"/>
    <w:rsid w:val="009B3583"/>
    <w:rsid w:val="009B3C54"/>
    <w:rsid w:val="009B4145"/>
    <w:rsid w:val="009B5148"/>
    <w:rsid w:val="009C008B"/>
    <w:rsid w:val="009C2662"/>
    <w:rsid w:val="009C4F17"/>
    <w:rsid w:val="009C50B5"/>
    <w:rsid w:val="009C56EB"/>
    <w:rsid w:val="009C629B"/>
    <w:rsid w:val="009C63D1"/>
    <w:rsid w:val="009C7240"/>
    <w:rsid w:val="009C736A"/>
    <w:rsid w:val="009C761D"/>
    <w:rsid w:val="009D0BF5"/>
    <w:rsid w:val="009D1C5A"/>
    <w:rsid w:val="009D2153"/>
    <w:rsid w:val="009D253F"/>
    <w:rsid w:val="009D3246"/>
    <w:rsid w:val="009D420E"/>
    <w:rsid w:val="009D5F33"/>
    <w:rsid w:val="009D6AA9"/>
    <w:rsid w:val="009E0190"/>
    <w:rsid w:val="009E0405"/>
    <w:rsid w:val="009E0513"/>
    <w:rsid w:val="009E15E2"/>
    <w:rsid w:val="009E3779"/>
    <w:rsid w:val="009E4101"/>
    <w:rsid w:val="009E47F4"/>
    <w:rsid w:val="009E5633"/>
    <w:rsid w:val="009E63DD"/>
    <w:rsid w:val="009E68E6"/>
    <w:rsid w:val="009F057C"/>
    <w:rsid w:val="009F1208"/>
    <w:rsid w:val="009F1C82"/>
    <w:rsid w:val="009F1D49"/>
    <w:rsid w:val="009F2199"/>
    <w:rsid w:val="009F2CF8"/>
    <w:rsid w:val="009F4256"/>
    <w:rsid w:val="009F4551"/>
    <w:rsid w:val="009F59C0"/>
    <w:rsid w:val="009F6997"/>
    <w:rsid w:val="009F6C7E"/>
    <w:rsid w:val="009F6D19"/>
    <w:rsid w:val="00A0049D"/>
    <w:rsid w:val="00A00D5A"/>
    <w:rsid w:val="00A01D95"/>
    <w:rsid w:val="00A01F21"/>
    <w:rsid w:val="00A02CFC"/>
    <w:rsid w:val="00A04415"/>
    <w:rsid w:val="00A04483"/>
    <w:rsid w:val="00A044D6"/>
    <w:rsid w:val="00A04B6E"/>
    <w:rsid w:val="00A051CA"/>
    <w:rsid w:val="00A0552A"/>
    <w:rsid w:val="00A06419"/>
    <w:rsid w:val="00A06A25"/>
    <w:rsid w:val="00A074A3"/>
    <w:rsid w:val="00A079CD"/>
    <w:rsid w:val="00A10D08"/>
    <w:rsid w:val="00A11622"/>
    <w:rsid w:val="00A119E1"/>
    <w:rsid w:val="00A15341"/>
    <w:rsid w:val="00A15BF1"/>
    <w:rsid w:val="00A15EB6"/>
    <w:rsid w:val="00A168B1"/>
    <w:rsid w:val="00A16AC6"/>
    <w:rsid w:val="00A20466"/>
    <w:rsid w:val="00A20671"/>
    <w:rsid w:val="00A20FBA"/>
    <w:rsid w:val="00A22180"/>
    <w:rsid w:val="00A22DCD"/>
    <w:rsid w:val="00A23677"/>
    <w:rsid w:val="00A23F54"/>
    <w:rsid w:val="00A24658"/>
    <w:rsid w:val="00A24857"/>
    <w:rsid w:val="00A27350"/>
    <w:rsid w:val="00A31321"/>
    <w:rsid w:val="00A31BA2"/>
    <w:rsid w:val="00A31D8E"/>
    <w:rsid w:val="00A335DE"/>
    <w:rsid w:val="00A33646"/>
    <w:rsid w:val="00A33C35"/>
    <w:rsid w:val="00A33F76"/>
    <w:rsid w:val="00A3436A"/>
    <w:rsid w:val="00A35252"/>
    <w:rsid w:val="00A352CA"/>
    <w:rsid w:val="00A355AE"/>
    <w:rsid w:val="00A40874"/>
    <w:rsid w:val="00A41933"/>
    <w:rsid w:val="00A42BE0"/>
    <w:rsid w:val="00A42BF0"/>
    <w:rsid w:val="00A436B0"/>
    <w:rsid w:val="00A43A24"/>
    <w:rsid w:val="00A43B4B"/>
    <w:rsid w:val="00A43DFC"/>
    <w:rsid w:val="00A44566"/>
    <w:rsid w:val="00A45F2A"/>
    <w:rsid w:val="00A467D1"/>
    <w:rsid w:val="00A47037"/>
    <w:rsid w:val="00A4719E"/>
    <w:rsid w:val="00A472E1"/>
    <w:rsid w:val="00A47589"/>
    <w:rsid w:val="00A47F4D"/>
    <w:rsid w:val="00A50408"/>
    <w:rsid w:val="00A509AF"/>
    <w:rsid w:val="00A521DB"/>
    <w:rsid w:val="00A54848"/>
    <w:rsid w:val="00A5578F"/>
    <w:rsid w:val="00A56B17"/>
    <w:rsid w:val="00A57D8B"/>
    <w:rsid w:val="00A6042C"/>
    <w:rsid w:val="00A60657"/>
    <w:rsid w:val="00A6355F"/>
    <w:rsid w:val="00A64170"/>
    <w:rsid w:val="00A649A9"/>
    <w:rsid w:val="00A649BB"/>
    <w:rsid w:val="00A652E8"/>
    <w:rsid w:val="00A65449"/>
    <w:rsid w:val="00A66468"/>
    <w:rsid w:val="00A712FB"/>
    <w:rsid w:val="00A729B7"/>
    <w:rsid w:val="00A7335F"/>
    <w:rsid w:val="00A73B02"/>
    <w:rsid w:val="00A74336"/>
    <w:rsid w:val="00A747FD"/>
    <w:rsid w:val="00A74B3F"/>
    <w:rsid w:val="00A75938"/>
    <w:rsid w:val="00A75CA9"/>
    <w:rsid w:val="00A75ED5"/>
    <w:rsid w:val="00A75FB0"/>
    <w:rsid w:val="00A76AF2"/>
    <w:rsid w:val="00A77525"/>
    <w:rsid w:val="00A77697"/>
    <w:rsid w:val="00A77F26"/>
    <w:rsid w:val="00A809E4"/>
    <w:rsid w:val="00A81057"/>
    <w:rsid w:val="00A8128D"/>
    <w:rsid w:val="00A81C6D"/>
    <w:rsid w:val="00A83521"/>
    <w:rsid w:val="00A84930"/>
    <w:rsid w:val="00A84F17"/>
    <w:rsid w:val="00A85F9C"/>
    <w:rsid w:val="00A86C20"/>
    <w:rsid w:val="00A902E4"/>
    <w:rsid w:val="00A909E1"/>
    <w:rsid w:val="00A9214B"/>
    <w:rsid w:val="00A92FF9"/>
    <w:rsid w:val="00A94007"/>
    <w:rsid w:val="00A94751"/>
    <w:rsid w:val="00AA2A4B"/>
    <w:rsid w:val="00AA38FC"/>
    <w:rsid w:val="00AA54A8"/>
    <w:rsid w:val="00AA6799"/>
    <w:rsid w:val="00AA67B4"/>
    <w:rsid w:val="00AA71CC"/>
    <w:rsid w:val="00AA7FD6"/>
    <w:rsid w:val="00AB1746"/>
    <w:rsid w:val="00AB3CD8"/>
    <w:rsid w:val="00AB673D"/>
    <w:rsid w:val="00AC203F"/>
    <w:rsid w:val="00AC20F5"/>
    <w:rsid w:val="00AC2AC2"/>
    <w:rsid w:val="00AC390D"/>
    <w:rsid w:val="00AC3CA0"/>
    <w:rsid w:val="00AC51B1"/>
    <w:rsid w:val="00AC57E4"/>
    <w:rsid w:val="00AC5D9C"/>
    <w:rsid w:val="00AC648E"/>
    <w:rsid w:val="00AC6924"/>
    <w:rsid w:val="00AC70AD"/>
    <w:rsid w:val="00AC7374"/>
    <w:rsid w:val="00AC75A2"/>
    <w:rsid w:val="00AC7651"/>
    <w:rsid w:val="00AC7C11"/>
    <w:rsid w:val="00AD0C28"/>
    <w:rsid w:val="00AD1349"/>
    <w:rsid w:val="00AD2016"/>
    <w:rsid w:val="00AD27F8"/>
    <w:rsid w:val="00AD2DA9"/>
    <w:rsid w:val="00AD472F"/>
    <w:rsid w:val="00AD757E"/>
    <w:rsid w:val="00AD7779"/>
    <w:rsid w:val="00AD7B63"/>
    <w:rsid w:val="00AE0B7B"/>
    <w:rsid w:val="00AE125F"/>
    <w:rsid w:val="00AE2930"/>
    <w:rsid w:val="00AE37B1"/>
    <w:rsid w:val="00AE5F39"/>
    <w:rsid w:val="00AF04C6"/>
    <w:rsid w:val="00AF2136"/>
    <w:rsid w:val="00AF336D"/>
    <w:rsid w:val="00AF33A9"/>
    <w:rsid w:val="00AF427D"/>
    <w:rsid w:val="00AF4539"/>
    <w:rsid w:val="00AF52C7"/>
    <w:rsid w:val="00AF6257"/>
    <w:rsid w:val="00AF6792"/>
    <w:rsid w:val="00AF6B22"/>
    <w:rsid w:val="00B008A8"/>
    <w:rsid w:val="00B042F1"/>
    <w:rsid w:val="00B044E1"/>
    <w:rsid w:val="00B04861"/>
    <w:rsid w:val="00B04BE8"/>
    <w:rsid w:val="00B04CED"/>
    <w:rsid w:val="00B060CA"/>
    <w:rsid w:val="00B07370"/>
    <w:rsid w:val="00B10A55"/>
    <w:rsid w:val="00B13CEC"/>
    <w:rsid w:val="00B1420E"/>
    <w:rsid w:val="00B16A57"/>
    <w:rsid w:val="00B17125"/>
    <w:rsid w:val="00B205CA"/>
    <w:rsid w:val="00B21D74"/>
    <w:rsid w:val="00B22173"/>
    <w:rsid w:val="00B22524"/>
    <w:rsid w:val="00B226BA"/>
    <w:rsid w:val="00B2293E"/>
    <w:rsid w:val="00B22FF5"/>
    <w:rsid w:val="00B3021C"/>
    <w:rsid w:val="00B32EA2"/>
    <w:rsid w:val="00B3370F"/>
    <w:rsid w:val="00B3375A"/>
    <w:rsid w:val="00B340D7"/>
    <w:rsid w:val="00B3415C"/>
    <w:rsid w:val="00B346FA"/>
    <w:rsid w:val="00B3496F"/>
    <w:rsid w:val="00B35172"/>
    <w:rsid w:val="00B3529F"/>
    <w:rsid w:val="00B356A8"/>
    <w:rsid w:val="00B3672A"/>
    <w:rsid w:val="00B4007D"/>
    <w:rsid w:val="00B403C2"/>
    <w:rsid w:val="00B40DEF"/>
    <w:rsid w:val="00B42BB2"/>
    <w:rsid w:val="00B43D9B"/>
    <w:rsid w:val="00B4501D"/>
    <w:rsid w:val="00B450BC"/>
    <w:rsid w:val="00B4525D"/>
    <w:rsid w:val="00B45922"/>
    <w:rsid w:val="00B46A16"/>
    <w:rsid w:val="00B50762"/>
    <w:rsid w:val="00B50A5C"/>
    <w:rsid w:val="00B50C36"/>
    <w:rsid w:val="00B519D8"/>
    <w:rsid w:val="00B51D40"/>
    <w:rsid w:val="00B5297D"/>
    <w:rsid w:val="00B532BB"/>
    <w:rsid w:val="00B543C7"/>
    <w:rsid w:val="00B544AD"/>
    <w:rsid w:val="00B55087"/>
    <w:rsid w:val="00B555DF"/>
    <w:rsid w:val="00B60B42"/>
    <w:rsid w:val="00B60D12"/>
    <w:rsid w:val="00B61272"/>
    <w:rsid w:val="00B6444F"/>
    <w:rsid w:val="00B64EC4"/>
    <w:rsid w:val="00B66169"/>
    <w:rsid w:val="00B66720"/>
    <w:rsid w:val="00B6724E"/>
    <w:rsid w:val="00B70FFD"/>
    <w:rsid w:val="00B7377A"/>
    <w:rsid w:val="00B7409A"/>
    <w:rsid w:val="00B761F4"/>
    <w:rsid w:val="00B76734"/>
    <w:rsid w:val="00B772C7"/>
    <w:rsid w:val="00B777E2"/>
    <w:rsid w:val="00B808B4"/>
    <w:rsid w:val="00B814B3"/>
    <w:rsid w:val="00B81608"/>
    <w:rsid w:val="00B84B34"/>
    <w:rsid w:val="00B85C4F"/>
    <w:rsid w:val="00B86ABC"/>
    <w:rsid w:val="00B87057"/>
    <w:rsid w:val="00B8761C"/>
    <w:rsid w:val="00B912D0"/>
    <w:rsid w:val="00B92AFA"/>
    <w:rsid w:val="00B9395B"/>
    <w:rsid w:val="00B93CE2"/>
    <w:rsid w:val="00B95C38"/>
    <w:rsid w:val="00B97428"/>
    <w:rsid w:val="00B97536"/>
    <w:rsid w:val="00B97548"/>
    <w:rsid w:val="00B97723"/>
    <w:rsid w:val="00BA4119"/>
    <w:rsid w:val="00BA43F2"/>
    <w:rsid w:val="00BA66D7"/>
    <w:rsid w:val="00BA73FA"/>
    <w:rsid w:val="00BA7A81"/>
    <w:rsid w:val="00BB0A6E"/>
    <w:rsid w:val="00BB1DE8"/>
    <w:rsid w:val="00BB2D75"/>
    <w:rsid w:val="00BB2E64"/>
    <w:rsid w:val="00BB33C9"/>
    <w:rsid w:val="00BB3E05"/>
    <w:rsid w:val="00BB3E5F"/>
    <w:rsid w:val="00BB44C5"/>
    <w:rsid w:val="00BB4637"/>
    <w:rsid w:val="00BB5A67"/>
    <w:rsid w:val="00BB5CA6"/>
    <w:rsid w:val="00BC0163"/>
    <w:rsid w:val="00BC1020"/>
    <w:rsid w:val="00BC10AF"/>
    <w:rsid w:val="00BC1133"/>
    <w:rsid w:val="00BC13F6"/>
    <w:rsid w:val="00BC1CE8"/>
    <w:rsid w:val="00BC29A0"/>
    <w:rsid w:val="00BC34C3"/>
    <w:rsid w:val="00BC3AB9"/>
    <w:rsid w:val="00BC3C20"/>
    <w:rsid w:val="00BC4B26"/>
    <w:rsid w:val="00BC4D2C"/>
    <w:rsid w:val="00BC5590"/>
    <w:rsid w:val="00BC7ABC"/>
    <w:rsid w:val="00BC7E5D"/>
    <w:rsid w:val="00BD09E3"/>
    <w:rsid w:val="00BD0CD4"/>
    <w:rsid w:val="00BD20EB"/>
    <w:rsid w:val="00BD21C5"/>
    <w:rsid w:val="00BD297B"/>
    <w:rsid w:val="00BD7EAA"/>
    <w:rsid w:val="00BE0376"/>
    <w:rsid w:val="00BE110E"/>
    <w:rsid w:val="00BE1230"/>
    <w:rsid w:val="00BE1BA9"/>
    <w:rsid w:val="00BE1BD2"/>
    <w:rsid w:val="00BE1FBB"/>
    <w:rsid w:val="00BE34FE"/>
    <w:rsid w:val="00BE3604"/>
    <w:rsid w:val="00BE481B"/>
    <w:rsid w:val="00BE4939"/>
    <w:rsid w:val="00BE542C"/>
    <w:rsid w:val="00BE6BC9"/>
    <w:rsid w:val="00BE7A81"/>
    <w:rsid w:val="00BF2C0D"/>
    <w:rsid w:val="00BF322F"/>
    <w:rsid w:val="00BF3330"/>
    <w:rsid w:val="00BF4A59"/>
    <w:rsid w:val="00BF5C54"/>
    <w:rsid w:val="00BF5FAB"/>
    <w:rsid w:val="00BF610E"/>
    <w:rsid w:val="00BF6648"/>
    <w:rsid w:val="00BF6C4D"/>
    <w:rsid w:val="00BF6D0E"/>
    <w:rsid w:val="00BF7355"/>
    <w:rsid w:val="00C00B27"/>
    <w:rsid w:val="00C00DCD"/>
    <w:rsid w:val="00C01885"/>
    <w:rsid w:val="00C01DFE"/>
    <w:rsid w:val="00C031EF"/>
    <w:rsid w:val="00C04B47"/>
    <w:rsid w:val="00C050FD"/>
    <w:rsid w:val="00C056DB"/>
    <w:rsid w:val="00C07A9E"/>
    <w:rsid w:val="00C1082F"/>
    <w:rsid w:val="00C12B4B"/>
    <w:rsid w:val="00C1351A"/>
    <w:rsid w:val="00C13CB7"/>
    <w:rsid w:val="00C13E37"/>
    <w:rsid w:val="00C15FCC"/>
    <w:rsid w:val="00C164F0"/>
    <w:rsid w:val="00C168C7"/>
    <w:rsid w:val="00C178C1"/>
    <w:rsid w:val="00C20059"/>
    <w:rsid w:val="00C207BF"/>
    <w:rsid w:val="00C213EC"/>
    <w:rsid w:val="00C22244"/>
    <w:rsid w:val="00C22345"/>
    <w:rsid w:val="00C245F5"/>
    <w:rsid w:val="00C24BF5"/>
    <w:rsid w:val="00C24FE6"/>
    <w:rsid w:val="00C26169"/>
    <w:rsid w:val="00C30087"/>
    <w:rsid w:val="00C30ED9"/>
    <w:rsid w:val="00C31A67"/>
    <w:rsid w:val="00C33072"/>
    <w:rsid w:val="00C34153"/>
    <w:rsid w:val="00C34E6C"/>
    <w:rsid w:val="00C359E7"/>
    <w:rsid w:val="00C37DED"/>
    <w:rsid w:val="00C40C2B"/>
    <w:rsid w:val="00C40D4B"/>
    <w:rsid w:val="00C41497"/>
    <w:rsid w:val="00C418E5"/>
    <w:rsid w:val="00C41D11"/>
    <w:rsid w:val="00C433E1"/>
    <w:rsid w:val="00C449CA"/>
    <w:rsid w:val="00C44A73"/>
    <w:rsid w:val="00C45031"/>
    <w:rsid w:val="00C452AD"/>
    <w:rsid w:val="00C45931"/>
    <w:rsid w:val="00C46272"/>
    <w:rsid w:val="00C46505"/>
    <w:rsid w:val="00C46B3A"/>
    <w:rsid w:val="00C47387"/>
    <w:rsid w:val="00C47DD7"/>
    <w:rsid w:val="00C50B22"/>
    <w:rsid w:val="00C51814"/>
    <w:rsid w:val="00C52BE7"/>
    <w:rsid w:val="00C52FB0"/>
    <w:rsid w:val="00C56954"/>
    <w:rsid w:val="00C57746"/>
    <w:rsid w:val="00C60B17"/>
    <w:rsid w:val="00C60E9F"/>
    <w:rsid w:val="00C626A1"/>
    <w:rsid w:val="00C63122"/>
    <w:rsid w:val="00C63A9E"/>
    <w:rsid w:val="00C63C52"/>
    <w:rsid w:val="00C644E9"/>
    <w:rsid w:val="00C6532B"/>
    <w:rsid w:val="00C65664"/>
    <w:rsid w:val="00C66F6E"/>
    <w:rsid w:val="00C70702"/>
    <w:rsid w:val="00C71231"/>
    <w:rsid w:val="00C724BB"/>
    <w:rsid w:val="00C733B6"/>
    <w:rsid w:val="00C74331"/>
    <w:rsid w:val="00C74939"/>
    <w:rsid w:val="00C74BA6"/>
    <w:rsid w:val="00C768DE"/>
    <w:rsid w:val="00C77068"/>
    <w:rsid w:val="00C77D2F"/>
    <w:rsid w:val="00C8057B"/>
    <w:rsid w:val="00C80B53"/>
    <w:rsid w:val="00C81335"/>
    <w:rsid w:val="00C82890"/>
    <w:rsid w:val="00C82F35"/>
    <w:rsid w:val="00C83301"/>
    <w:rsid w:val="00C84755"/>
    <w:rsid w:val="00C85B19"/>
    <w:rsid w:val="00C85CB7"/>
    <w:rsid w:val="00C8696C"/>
    <w:rsid w:val="00C86C96"/>
    <w:rsid w:val="00C87181"/>
    <w:rsid w:val="00C87552"/>
    <w:rsid w:val="00C9037D"/>
    <w:rsid w:val="00C9064C"/>
    <w:rsid w:val="00C908FB"/>
    <w:rsid w:val="00C909EB"/>
    <w:rsid w:val="00C90ACE"/>
    <w:rsid w:val="00C92843"/>
    <w:rsid w:val="00C92B81"/>
    <w:rsid w:val="00C92FE3"/>
    <w:rsid w:val="00C93ECA"/>
    <w:rsid w:val="00C947EA"/>
    <w:rsid w:val="00C949CB"/>
    <w:rsid w:val="00C955DA"/>
    <w:rsid w:val="00C97439"/>
    <w:rsid w:val="00CA1006"/>
    <w:rsid w:val="00CA1960"/>
    <w:rsid w:val="00CA2437"/>
    <w:rsid w:val="00CA5180"/>
    <w:rsid w:val="00CA62AF"/>
    <w:rsid w:val="00CA735B"/>
    <w:rsid w:val="00CB07ED"/>
    <w:rsid w:val="00CB1423"/>
    <w:rsid w:val="00CB2538"/>
    <w:rsid w:val="00CB2580"/>
    <w:rsid w:val="00CB25F2"/>
    <w:rsid w:val="00CB26F0"/>
    <w:rsid w:val="00CB2E1B"/>
    <w:rsid w:val="00CB499A"/>
    <w:rsid w:val="00CB4C0E"/>
    <w:rsid w:val="00CB5BBF"/>
    <w:rsid w:val="00CB7D24"/>
    <w:rsid w:val="00CC12E6"/>
    <w:rsid w:val="00CC230D"/>
    <w:rsid w:val="00CC2DE9"/>
    <w:rsid w:val="00CC36E0"/>
    <w:rsid w:val="00CC58F2"/>
    <w:rsid w:val="00CC5C42"/>
    <w:rsid w:val="00CC6505"/>
    <w:rsid w:val="00CC71B8"/>
    <w:rsid w:val="00CC73DB"/>
    <w:rsid w:val="00CD05C0"/>
    <w:rsid w:val="00CD0700"/>
    <w:rsid w:val="00CD0AD9"/>
    <w:rsid w:val="00CD0D98"/>
    <w:rsid w:val="00CD3FA7"/>
    <w:rsid w:val="00CD64E3"/>
    <w:rsid w:val="00CD7634"/>
    <w:rsid w:val="00CE1947"/>
    <w:rsid w:val="00CE1DC7"/>
    <w:rsid w:val="00CE2272"/>
    <w:rsid w:val="00CE4158"/>
    <w:rsid w:val="00CE4F06"/>
    <w:rsid w:val="00CE5BA0"/>
    <w:rsid w:val="00CE6A49"/>
    <w:rsid w:val="00CE6CF8"/>
    <w:rsid w:val="00CE75E0"/>
    <w:rsid w:val="00CE77DE"/>
    <w:rsid w:val="00CE7D73"/>
    <w:rsid w:val="00CF0860"/>
    <w:rsid w:val="00CF2BF4"/>
    <w:rsid w:val="00CF3B27"/>
    <w:rsid w:val="00CF3FFA"/>
    <w:rsid w:val="00CF54DC"/>
    <w:rsid w:val="00CF797D"/>
    <w:rsid w:val="00D00E64"/>
    <w:rsid w:val="00D01AAC"/>
    <w:rsid w:val="00D01C27"/>
    <w:rsid w:val="00D020F1"/>
    <w:rsid w:val="00D02767"/>
    <w:rsid w:val="00D03C42"/>
    <w:rsid w:val="00D041FA"/>
    <w:rsid w:val="00D0530A"/>
    <w:rsid w:val="00D055A4"/>
    <w:rsid w:val="00D05638"/>
    <w:rsid w:val="00D05D2A"/>
    <w:rsid w:val="00D06BD6"/>
    <w:rsid w:val="00D10D72"/>
    <w:rsid w:val="00D11718"/>
    <w:rsid w:val="00D133C8"/>
    <w:rsid w:val="00D163C9"/>
    <w:rsid w:val="00D16636"/>
    <w:rsid w:val="00D16EB1"/>
    <w:rsid w:val="00D17004"/>
    <w:rsid w:val="00D176C5"/>
    <w:rsid w:val="00D20BC4"/>
    <w:rsid w:val="00D23E3D"/>
    <w:rsid w:val="00D25836"/>
    <w:rsid w:val="00D2769D"/>
    <w:rsid w:val="00D30470"/>
    <w:rsid w:val="00D32520"/>
    <w:rsid w:val="00D32A19"/>
    <w:rsid w:val="00D33A4E"/>
    <w:rsid w:val="00D33DAD"/>
    <w:rsid w:val="00D37BD0"/>
    <w:rsid w:val="00D423AB"/>
    <w:rsid w:val="00D43567"/>
    <w:rsid w:val="00D43E80"/>
    <w:rsid w:val="00D44CCD"/>
    <w:rsid w:val="00D4502D"/>
    <w:rsid w:val="00D45B28"/>
    <w:rsid w:val="00D4669A"/>
    <w:rsid w:val="00D507D0"/>
    <w:rsid w:val="00D50C40"/>
    <w:rsid w:val="00D51279"/>
    <w:rsid w:val="00D512AC"/>
    <w:rsid w:val="00D514A4"/>
    <w:rsid w:val="00D51B77"/>
    <w:rsid w:val="00D53A4D"/>
    <w:rsid w:val="00D563B9"/>
    <w:rsid w:val="00D565A3"/>
    <w:rsid w:val="00D63105"/>
    <w:rsid w:val="00D6379F"/>
    <w:rsid w:val="00D64324"/>
    <w:rsid w:val="00D644AF"/>
    <w:rsid w:val="00D66AB0"/>
    <w:rsid w:val="00D67024"/>
    <w:rsid w:val="00D67BF1"/>
    <w:rsid w:val="00D704B5"/>
    <w:rsid w:val="00D705A9"/>
    <w:rsid w:val="00D71F48"/>
    <w:rsid w:val="00D7255D"/>
    <w:rsid w:val="00D76213"/>
    <w:rsid w:val="00D76471"/>
    <w:rsid w:val="00D77AD6"/>
    <w:rsid w:val="00D813BC"/>
    <w:rsid w:val="00D81806"/>
    <w:rsid w:val="00D818B7"/>
    <w:rsid w:val="00D8193F"/>
    <w:rsid w:val="00D82EE1"/>
    <w:rsid w:val="00D82F4F"/>
    <w:rsid w:val="00D83546"/>
    <w:rsid w:val="00D843F9"/>
    <w:rsid w:val="00D85231"/>
    <w:rsid w:val="00D85256"/>
    <w:rsid w:val="00D852B3"/>
    <w:rsid w:val="00D85E76"/>
    <w:rsid w:val="00D87407"/>
    <w:rsid w:val="00D87CC3"/>
    <w:rsid w:val="00D9021D"/>
    <w:rsid w:val="00D9060C"/>
    <w:rsid w:val="00D91141"/>
    <w:rsid w:val="00D92041"/>
    <w:rsid w:val="00D92D03"/>
    <w:rsid w:val="00D95C73"/>
    <w:rsid w:val="00D96D83"/>
    <w:rsid w:val="00D97009"/>
    <w:rsid w:val="00D9789F"/>
    <w:rsid w:val="00D97AE5"/>
    <w:rsid w:val="00DA070E"/>
    <w:rsid w:val="00DA1A3E"/>
    <w:rsid w:val="00DA3E1D"/>
    <w:rsid w:val="00DA3ED0"/>
    <w:rsid w:val="00DA4553"/>
    <w:rsid w:val="00DA4A67"/>
    <w:rsid w:val="00DA627F"/>
    <w:rsid w:val="00DA62CB"/>
    <w:rsid w:val="00DA64D9"/>
    <w:rsid w:val="00DA685D"/>
    <w:rsid w:val="00DA6CC6"/>
    <w:rsid w:val="00DA7DF5"/>
    <w:rsid w:val="00DB074A"/>
    <w:rsid w:val="00DB0E6B"/>
    <w:rsid w:val="00DB23B9"/>
    <w:rsid w:val="00DB2972"/>
    <w:rsid w:val="00DB383B"/>
    <w:rsid w:val="00DB5BF6"/>
    <w:rsid w:val="00DB639B"/>
    <w:rsid w:val="00DB7120"/>
    <w:rsid w:val="00DB730D"/>
    <w:rsid w:val="00DB789B"/>
    <w:rsid w:val="00DB7E05"/>
    <w:rsid w:val="00DC0721"/>
    <w:rsid w:val="00DC1480"/>
    <w:rsid w:val="00DC2645"/>
    <w:rsid w:val="00DC2AC2"/>
    <w:rsid w:val="00DC3632"/>
    <w:rsid w:val="00DC383E"/>
    <w:rsid w:val="00DC45C6"/>
    <w:rsid w:val="00DC5A71"/>
    <w:rsid w:val="00DC6984"/>
    <w:rsid w:val="00DC71A0"/>
    <w:rsid w:val="00DC79E2"/>
    <w:rsid w:val="00DC7DC7"/>
    <w:rsid w:val="00DC7E6D"/>
    <w:rsid w:val="00DD13AB"/>
    <w:rsid w:val="00DD2CA9"/>
    <w:rsid w:val="00DD3381"/>
    <w:rsid w:val="00DD4200"/>
    <w:rsid w:val="00DD4B4A"/>
    <w:rsid w:val="00DD7289"/>
    <w:rsid w:val="00DE048D"/>
    <w:rsid w:val="00DE0CB5"/>
    <w:rsid w:val="00DE242A"/>
    <w:rsid w:val="00DE2830"/>
    <w:rsid w:val="00DE49C8"/>
    <w:rsid w:val="00DE4DCF"/>
    <w:rsid w:val="00DE51B7"/>
    <w:rsid w:val="00DE6126"/>
    <w:rsid w:val="00DE646D"/>
    <w:rsid w:val="00DE6A28"/>
    <w:rsid w:val="00DF1423"/>
    <w:rsid w:val="00DF14FA"/>
    <w:rsid w:val="00DF1658"/>
    <w:rsid w:val="00DF23DD"/>
    <w:rsid w:val="00DF27B9"/>
    <w:rsid w:val="00DF33D4"/>
    <w:rsid w:val="00DF46D3"/>
    <w:rsid w:val="00DF4E18"/>
    <w:rsid w:val="00DF505F"/>
    <w:rsid w:val="00DF5E23"/>
    <w:rsid w:val="00DF5E7F"/>
    <w:rsid w:val="00DF6126"/>
    <w:rsid w:val="00DF7DA1"/>
    <w:rsid w:val="00E00392"/>
    <w:rsid w:val="00E0116F"/>
    <w:rsid w:val="00E012EC"/>
    <w:rsid w:val="00E01C6F"/>
    <w:rsid w:val="00E034CB"/>
    <w:rsid w:val="00E03B53"/>
    <w:rsid w:val="00E03BA4"/>
    <w:rsid w:val="00E03CD9"/>
    <w:rsid w:val="00E04963"/>
    <w:rsid w:val="00E061F4"/>
    <w:rsid w:val="00E06D9C"/>
    <w:rsid w:val="00E11FCD"/>
    <w:rsid w:val="00E127F1"/>
    <w:rsid w:val="00E13B0C"/>
    <w:rsid w:val="00E13D60"/>
    <w:rsid w:val="00E15F98"/>
    <w:rsid w:val="00E1796F"/>
    <w:rsid w:val="00E210B6"/>
    <w:rsid w:val="00E22F34"/>
    <w:rsid w:val="00E23F29"/>
    <w:rsid w:val="00E24B45"/>
    <w:rsid w:val="00E2548D"/>
    <w:rsid w:val="00E26326"/>
    <w:rsid w:val="00E26E18"/>
    <w:rsid w:val="00E26F6E"/>
    <w:rsid w:val="00E277F2"/>
    <w:rsid w:val="00E301A8"/>
    <w:rsid w:val="00E30BA1"/>
    <w:rsid w:val="00E3117F"/>
    <w:rsid w:val="00E31CEB"/>
    <w:rsid w:val="00E32D24"/>
    <w:rsid w:val="00E33309"/>
    <w:rsid w:val="00E33F4E"/>
    <w:rsid w:val="00E34A3F"/>
    <w:rsid w:val="00E35B26"/>
    <w:rsid w:val="00E35E1D"/>
    <w:rsid w:val="00E36319"/>
    <w:rsid w:val="00E3634B"/>
    <w:rsid w:val="00E40B83"/>
    <w:rsid w:val="00E41401"/>
    <w:rsid w:val="00E4222F"/>
    <w:rsid w:val="00E42E02"/>
    <w:rsid w:val="00E43688"/>
    <w:rsid w:val="00E44680"/>
    <w:rsid w:val="00E44AC8"/>
    <w:rsid w:val="00E44B30"/>
    <w:rsid w:val="00E44DF0"/>
    <w:rsid w:val="00E461DF"/>
    <w:rsid w:val="00E462B2"/>
    <w:rsid w:val="00E46EBD"/>
    <w:rsid w:val="00E47290"/>
    <w:rsid w:val="00E50E1D"/>
    <w:rsid w:val="00E5226F"/>
    <w:rsid w:val="00E52CE6"/>
    <w:rsid w:val="00E549D9"/>
    <w:rsid w:val="00E54FDE"/>
    <w:rsid w:val="00E5523C"/>
    <w:rsid w:val="00E603BA"/>
    <w:rsid w:val="00E60E15"/>
    <w:rsid w:val="00E618C4"/>
    <w:rsid w:val="00E620DB"/>
    <w:rsid w:val="00E640F0"/>
    <w:rsid w:val="00E65715"/>
    <w:rsid w:val="00E705C7"/>
    <w:rsid w:val="00E72666"/>
    <w:rsid w:val="00E72D29"/>
    <w:rsid w:val="00E73E14"/>
    <w:rsid w:val="00E74E5D"/>
    <w:rsid w:val="00E7560E"/>
    <w:rsid w:val="00E76055"/>
    <w:rsid w:val="00E7777A"/>
    <w:rsid w:val="00E80AA0"/>
    <w:rsid w:val="00E81C27"/>
    <w:rsid w:val="00E81E3D"/>
    <w:rsid w:val="00E8331A"/>
    <w:rsid w:val="00E84617"/>
    <w:rsid w:val="00E85FEA"/>
    <w:rsid w:val="00E8614F"/>
    <w:rsid w:val="00E87278"/>
    <w:rsid w:val="00E874DB"/>
    <w:rsid w:val="00E90223"/>
    <w:rsid w:val="00E90AC6"/>
    <w:rsid w:val="00E911F6"/>
    <w:rsid w:val="00E9135C"/>
    <w:rsid w:val="00E9163A"/>
    <w:rsid w:val="00E927B4"/>
    <w:rsid w:val="00E9364C"/>
    <w:rsid w:val="00E97051"/>
    <w:rsid w:val="00E975E4"/>
    <w:rsid w:val="00EA12E3"/>
    <w:rsid w:val="00EA2D5F"/>
    <w:rsid w:val="00EA3594"/>
    <w:rsid w:val="00EA43CC"/>
    <w:rsid w:val="00EA4C2E"/>
    <w:rsid w:val="00EA4D46"/>
    <w:rsid w:val="00EA5213"/>
    <w:rsid w:val="00EA65F8"/>
    <w:rsid w:val="00EA682B"/>
    <w:rsid w:val="00EA68D7"/>
    <w:rsid w:val="00EB051E"/>
    <w:rsid w:val="00EB1BB9"/>
    <w:rsid w:val="00EB2258"/>
    <w:rsid w:val="00EB2590"/>
    <w:rsid w:val="00EB4D5D"/>
    <w:rsid w:val="00EB585F"/>
    <w:rsid w:val="00EB629C"/>
    <w:rsid w:val="00EB7746"/>
    <w:rsid w:val="00EC1159"/>
    <w:rsid w:val="00EC1252"/>
    <w:rsid w:val="00EC16F2"/>
    <w:rsid w:val="00EC18E6"/>
    <w:rsid w:val="00EC23B7"/>
    <w:rsid w:val="00EC2DC6"/>
    <w:rsid w:val="00EC38D2"/>
    <w:rsid w:val="00EC39D8"/>
    <w:rsid w:val="00EC3D4C"/>
    <w:rsid w:val="00EC4F1E"/>
    <w:rsid w:val="00EC5E12"/>
    <w:rsid w:val="00EC6597"/>
    <w:rsid w:val="00EC6A2B"/>
    <w:rsid w:val="00EC6B6D"/>
    <w:rsid w:val="00EC720C"/>
    <w:rsid w:val="00ED06D8"/>
    <w:rsid w:val="00ED1242"/>
    <w:rsid w:val="00ED3081"/>
    <w:rsid w:val="00ED3AF2"/>
    <w:rsid w:val="00ED3FDC"/>
    <w:rsid w:val="00ED48A8"/>
    <w:rsid w:val="00ED606E"/>
    <w:rsid w:val="00ED6A59"/>
    <w:rsid w:val="00EE158A"/>
    <w:rsid w:val="00EE1DE0"/>
    <w:rsid w:val="00EE1DE6"/>
    <w:rsid w:val="00EE3081"/>
    <w:rsid w:val="00EE3964"/>
    <w:rsid w:val="00EE475C"/>
    <w:rsid w:val="00EE53E5"/>
    <w:rsid w:val="00EE5569"/>
    <w:rsid w:val="00EE64A5"/>
    <w:rsid w:val="00EE6BB4"/>
    <w:rsid w:val="00EF63BE"/>
    <w:rsid w:val="00EF7870"/>
    <w:rsid w:val="00EF7C79"/>
    <w:rsid w:val="00EF7D41"/>
    <w:rsid w:val="00F0071D"/>
    <w:rsid w:val="00F0180E"/>
    <w:rsid w:val="00F02377"/>
    <w:rsid w:val="00F02B14"/>
    <w:rsid w:val="00F04949"/>
    <w:rsid w:val="00F05968"/>
    <w:rsid w:val="00F06302"/>
    <w:rsid w:val="00F06F60"/>
    <w:rsid w:val="00F070C3"/>
    <w:rsid w:val="00F07353"/>
    <w:rsid w:val="00F07A38"/>
    <w:rsid w:val="00F07E22"/>
    <w:rsid w:val="00F110A7"/>
    <w:rsid w:val="00F1184E"/>
    <w:rsid w:val="00F12049"/>
    <w:rsid w:val="00F1245A"/>
    <w:rsid w:val="00F1283D"/>
    <w:rsid w:val="00F12A2E"/>
    <w:rsid w:val="00F13307"/>
    <w:rsid w:val="00F13343"/>
    <w:rsid w:val="00F1397C"/>
    <w:rsid w:val="00F13ACB"/>
    <w:rsid w:val="00F15106"/>
    <w:rsid w:val="00F16913"/>
    <w:rsid w:val="00F16EF6"/>
    <w:rsid w:val="00F20DAE"/>
    <w:rsid w:val="00F21885"/>
    <w:rsid w:val="00F22527"/>
    <w:rsid w:val="00F23A81"/>
    <w:rsid w:val="00F23C4E"/>
    <w:rsid w:val="00F2521F"/>
    <w:rsid w:val="00F26516"/>
    <w:rsid w:val="00F273EE"/>
    <w:rsid w:val="00F27754"/>
    <w:rsid w:val="00F30D5E"/>
    <w:rsid w:val="00F33914"/>
    <w:rsid w:val="00F34287"/>
    <w:rsid w:val="00F34F44"/>
    <w:rsid w:val="00F358A4"/>
    <w:rsid w:val="00F3590C"/>
    <w:rsid w:val="00F35930"/>
    <w:rsid w:val="00F35B8A"/>
    <w:rsid w:val="00F365E5"/>
    <w:rsid w:val="00F438E6"/>
    <w:rsid w:val="00F43B49"/>
    <w:rsid w:val="00F444CB"/>
    <w:rsid w:val="00F447F8"/>
    <w:rsid w:val="00F44DBE"/>
    <w:rsid w:val="00F46548"/>
    <w:rsid w:val="00F47BAB"/>
    <w:rsid w:val="00F47EEE"/>
    <w:rsid w:val="00F47FD2"/>
    <w:rsid w:val="00F51AD9"/>
    <w:rsid w:val="00F526CB"/>
    <w:rsid w:val="00F527CD"/>
    <w:rsid w:val="00F532D2"/>
    <w:rsid w:val="00F545CC"/>
    <w:rsid w:val="00F561A0"/>
    <w:rsid w:val="00F6066B"/>
    <w:rsid w:val="00F610F8"/>
    <w:rsid w:val="00F61C6A"/>
    <w:rsid w:val="00F62024"/>
    <w:rsid w:val="00F62D6A"/>
    <w:rsid w:val="00F6497A"/>
    <w:rsid w:val="00F654A7"/>
    <w:rsid w:val="00F660AE"/>
    <w:rsid w:val="00F660B1"/>
    <w:rsid w:val="00F66592"/>
    <w:rsid w:val="00F66B06"/>
    <w:rsid w:val="00F66F99"/>
    <w:rsid w:val="00F67E4B"/>
    <w:rsid w:val="00F70F3F"/>
    <w:rsid w:val="00F71544"/>
    <w:rsid w:val="00F720B6"/>
    <w:rsid w:val="00F73A7A"/>
    <w:rsid w:val="00F7410B"/>
    <w:rsid w:val="00F743EB"/>
    <w:rsid w:val="00F75DC8"/>
    <w:rsid w:val="00F76777"/>
    <w:rsid w:val="00F76E8B"/>
    <w:rsid w:val="00F77715"/>
    <w:rsid w:val="00F77C28"/>
    <w:rsid w:val="00F80E65"/>
    <w:rsid w:val="00F82BFE"/>
    <w:rsid w:val="00F83C1E"/>
    <w:rsid w:val="00F846E3"/>
    <w:rsid w:val="00F85480"/>
    <w:rsid w:val="00F85E91"/>
    <w:rsid w:val="00F877F3"/>
    <w:rsid w:val="00F90555"/>
    <w:rsid w:val="00F915B9"/>
    <w:rsid w:val="00F92370"/>
    <w:rsid w:val="00F925C0"/>
    <w:rsid w:val="00F9295D"/>
    <w:rsid w:val="00F93ED4"/>
    <w:rsid w:val="00F942D3"/>
    <w:rsid w:val="00F94D34"/>
    <w:rsid w:val="00F9514C"/>
    <w:rsid w:val="00F95A0C"/>
    <w:rsid w:val="00F968C5"/>
    <w:rsid w:val="00F9719A"/>
    <w:rsid w:val="00F97A29"/>
    <w:rsid w:val="00F97E77"/>
    <w:rsid w:val="00FA2253"/>
    <w:rsid w:val="00FA2A7B"/>
    <w:rsid w:val="00FA3EBC"/>
    <w:rsid w:val="00FA4135"/>
    <w:rsid w:val="00FB24BB"/>
    <w:rsid w:val="00FB3266"/>
    <w:rsid w:val="00FB4807"/>
    <w:rsid w:val="00FB64BC"/>
    <w:rsid w:val="00FB6C1F"/>
    <w:rsid w:val="00FB761C"/>
    <w:rsid w:val="00FC0400"/>
    <w:rsid w:val="00FC141E"/>
    <w:rsid w:val="00FC47F6"/>
    <w:rsid w:val="00FC49DD"/>
    <w:rsid w:val="00FC4C60"/>
    <w:rsid w:val="00FC6188"/>
    <w:rsid w:val="00FC68C5"/>
    <w:rsid w:val="00FC7341"/>
    <w:rsid w:val="00FC7E89"/>
    <w:rsid w:val="00FD0521"/>
    <w:rsid w:val="00FD0786"/>
    <w:rsid w:val="00FD0A0F"/>
    <w:rsid w:val="00FD1139"/>
    <w:rsid w:val="00FD1966"/>
    <w:rsid w:val="00FD373E"/>
    <w:rsid w:val="00FD449F"/>
    <w:rsid w:val="00FD5339"/>
    <w:rsid w:val="00FD5366"/>
    <w:rsid w:val="00FD5911"/>
    <w:rsid w:val="00FD61AC"/>
    <w:rsid w:val="00FD67FE"/>
    <w:rsid w:val="00FD7DA4"/>
    <w:rsid w:val="00FE0871"/>
    <w:rsid w:val="00FE0908"/>
    <w:rsid w:val="00FE1915"/>
    <w:rsid w:val="00FE2A98"/>
    <w:rsid w:val="00FE30C1"/>
    <w:rsid w:val="00FE3E46"/>
    <w:rsid w:val="00FE479D"/>
    <w:rsid w:val="00FE6FEE"/>
    <w:rsid w:val="00FE7076"/>
    <w:rsid w:val="00FE7DFE"/>
    <w:rsid w:val="00FF13A1"/>
    <w:rsid w:val="00FF467E"/>
    <w:rsid w:val="00FF5EDF"/>
    <w:rsid w:val="00FF6A75"/>
    <w:rsid w:val="00FF76B9"/>
    <w:rsid w:val="01E7BB7F"/>
    <w:rsid w:val="02AEFFA9"/>
    <w:rsid w:val="09A2B938"/>
    <w:rsid w:val="0AE3C570"/>
    <w:rsid w:val="0B7D4000"/>
    <w:rsid w:val="0FC3B444"/>
    <w:rsid w:val="1281AE07"/>
    <w:rsid w:val="13312A8F"/>
    <w:rsid w:val="13BC09B8"/>
    <w:rsid w:val="1474AA21"/>
    <w:rsid w:val="157169C3"/>
    <w:rsid w:val="15CAEAB4"/>
    <w:rsid w:val="198668F6"/>
    <w:rsid w:val="19A9A3B3"/>
    <w:rsid w:val="1B87298E"/>
    <w:rsid w:val="254AA59A"/>
    <w:rsid w:val="2722DA53"/>
    <w:rsid w:val="28294018"/>
    <w:rsid w:val="2A264797"/>
    <w:rsid w:val="2EB0467D"/>
    <w:rsid w:val="2F76CD58"/>
    <w:rsid w:val="3196F446"/>
    <w:rsid w:val="31F4D15E"/>
    <w:rsid w:val="33557B2B"/>
    <w:rsid w:val="36EB57AF"/>
    <w:rsid w:val="386B4392"/>
    <w:rsid w:val="3C3FFDE8"/>
    <w:rsid w:val="3E16CA6F"/>
    <w:rsid w:val="4303B780"/>
    <w:rsid w:val="45E0FCED"/>
    <w:rsid w:val="46351576"/>
    <w:rsid w:val="4C553596"/>
    <w:rsid w:val="532C2EE3"/>
    <w:rsid w:val="550EDB48"/>
    <w:rsid w:val="575E99EE"/>
    <w:rsid w:val="59439A34"/>
    <w:rsid w:val="5BCA616E"/>
    <w:rsid w:val="60F536E4"/>
    <w:rsid w:val="61790F0F"/>
    <w:rsid w:val="62B8409D"/>
    <w:rsid w:val="630DE6EF"/>
    <w:rsid w:val="64491B49"/>
    <w:rsid w:val="64D6C7CD"/>
    <w:rsid w:val="654773DA"/>
    <w:rsid w:val="692C53B0"/>
    <w:rsid w:val="69AF13CD"/>
    <w:rsid w:val="6A268ACA"/>
    <w:rsid w:val="6F0769C2"/>
    <w:rsid w:val="710D47A9"/>
    <w:rsid w:val="77E18D86"/>
    <w:rsid w:val="78C12009"/>
    <w:rsid w:val="7D1AB002"/>
    <w:rsid w:val="7DA462CE"/>
    <w:rsid w:val="7F3D23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C1BA8"/>
  <w15:chartTrackingRefBased/>
  <w15:docId w15:val="{E26A092F-98D8-4167-B8C9-65BE26E68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C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C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C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C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C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C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C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C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C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C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C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C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C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C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C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C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C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CDC"/>
    <w:rPr>
      <w:rFonts w:eastAsiaTheme="majorEastAsia" w:cstheme="majorBidi"/>
      <w:color w:val="272727" w:themeColor="text1" w:themeTint="D8"/>
    </w:rPr>
  </w:style>
  <w:style w:type="paragraph" w:styleId="Title">
    <w:name w:val="Title"/>
    <w:basedOn w:val="Normal"/>
    <w:next w:val="Normal"/>
    <w:link w:val="TitleChar"/>
    <w:uiPriority w:val="10"/>
    <w:qFormat/>
    <w:rsid w:val="00183C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C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C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C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CDC"/>
    <w:pPr>
      <w:spacing w:before="160"/>
      <w:jc w:val="center"/>
    </w:pPr>
    <w:rPr>
      <w:i/>
      <w:iCs/>
      <w:color w:val="404040" w:themeColor="text1" w:themeTint="BF"/>
    </w:rPr>
  </w:style>
  <w:style w:type="character" w:customStyle="1" w:styleId="QuoteChar">
    <w:name w:val="Quote Char"/>
    <w:basedOn w:val="DefaultParagraphFont"/>
    <w:link w:val="Quote"/>
    <w:uiPriority w:val="29"/>
    <w:rsid w:val="00183CDC"/>
    <w:rPr>
      <w:i/>
      <w:iCs/>
      <w:color w:val="404040" w:themeColor="text1" w:themeTint="BF"/>
    </w:rPr>
  </w:style>
  <w:style w:type="paragraph" w:styleId="ListParagraph">
    <w:name w:val="List Paragraph"/>
    <w:basedOn w:val="Normal"/>
    <w:uiPriority w:val="34"/>
    <w:qFormat/>
    <w:rsid w:val="00183CDC"/>
    <w:pPr>
      <w:ind w:left="720"/>
      <w:contextualSpacing/>
    </w:pPr>
  </w:style>
  <w:style w:type="character" w:styleId="IntenseEmphasis">
    <w:name w:val="Intense Emphasis"/>
    <w:basedOn w:val="DefaultParagraphFont"/>
    <w:uiPriority w:val="21"/>
    <w:qFormat/>
    <w:rsid w:val="00183CDC"/>
    <w:rPr>
      <w:i/>
      <w:iCs/>
      <w:color w:val="0F4761" w:themeColor="accent1" w:themeShade="BF"/>
    </w:rPr>
  </w:style>
  <w:style w:type="paragraph" w:styleId="IntenseQuote">
    <w:name w:val="Intense Quote"/>
    <w:basedOn w:val="Normal"/>
    <w:next w:val="Normal"/>
    <w:link w:val="IntenseQuoteChar"/>
    <w:uiPriority w:val="30"/>
    <w:qFormat/>
    <w:rsid w:val="00183C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CDC"/>
    <w:rPr>
      <w:i/>
      <w:iCs/>
      <w:color w:val="0F4761" w:themeColor="accent1" w:themeShade="BF"/>
    </w:rPr>
  </w:style>
  <w:style w:type="character" w:styleId="IntenseReference">
    <w:name w:val="Intense Reference"/>
    <w:basedOn w:val="DefaultParagraphFont"/>
    <w:uiPriority w:val="32"/>
    <w:qFormat/>
    <w:rsid w:val="00183CDC"/>
    <w:rPr>
      <w:b/>
      <w:bCs/>
      <w:smallCaps/>
      <w:color w:val="0F4761" w:themeColor="accent1" w:themeShade="BF"/>
      <w:spacing w:val="5"/>
    </w:rPr>
  </w:style>
  <w:style w:type="paragraph" w:styleId="BodyText">
    <w:name w:val="Body Text"/>
    <w:basedOn w:val="Normal"/>
    <w:link w:val="BodyTextChar"/>
    <w:qFormat/>
    <w:rsid w:val="007B0BA0"/>
    <w:pPr>
      <w:spacing w:after="24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7B0BA0"/>
    <w:rPr>
      <w:rFonts w:ascii="Times New Roman" w:eastAsia="Times New Roman" w:hAnsi="Times New Roman" w:cs="Times New Roman"/>
      <w:kern w:val="0"/>
      <w14:ligatures w14:val="none"/>
    </w:rPr>
  </w:style>
  <w:style w:type="paragraph" w:customStyle="1" w:styleId="Default">
    <w:name w:val="Default"/>
    <w:rsid w:val="00F05968"/>
    <w:pPr>
      <w:autoSpaceDE w:val="0"/>
      <w:autoSpaceDN w:val="0"/>
      <w:adjustRightInd w:val="0"/>
      <w:spacing w:after="0" w:line="240" w:lineRule="auto"/>
    </w:pPr>
    <w:rPr>
      <w:rFonts w:ascii="Arial" w:hAnsi="Arial" w:cs="Arial"/>
      <w:color w:val="000000"/>
      <w:kern w:val="0"/>
    </w:rPr>
  </w:style>
  <w:style w:type="table" w:styleId="TableGrid">
    <w:name w:val="Table Grid"/>
    <w:basedOn w:val="TableNormal"/>
    <w:uiPriority w:val="39"/>
    <w:rsid w:val="00C8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0C2D"/>
    <w:rPr>
      <w:sz w:val="16"/>
      <w:szCs w:val="16"/>
    </w:rPr>
  </w:style>
  <w:style w:type="paragraph" w:styleId="CommentText">
    <w:name w:val="annotation text"/>
    <w:basedOn w:val="Normal"/>
    <w:link w:val="CommentTextChar"/>
    <w:uiPriority w:val="99"/>
    <w:unhideWhenUsed/>
    <w:rsid w:val="005A0C2D"/>
    <w:pPr>
      <w:spacing w:line="240" w:lineRule="auto"/>
    </w:pPr>
    <w:rPr>
      <w:sz w:val="20"/>
      <w:szCs w:val="20"/>
    </w:rPr>
  </w:style>
  <w:style w:type="character" w:customStyle="1" w:styleId="CommentTextChar">
    <w:name w:val="Comment Text Char"/>
    <w:basedOn w:val="DefaultParagraphFont"/>
    <w:link w:val="CommentText"/>
    <w:uiPriority w:val="99"/>
    <w:rsid w:val="005A0C2D"/>
    <w:rPr>
      <w:sz w:val="20"/>
      <w:szCs w:val="20"/>
    </w:rPr>
  </w:style>
  <w:style w:type="paragraph" w:styleId="Header">
    <w:name w:val="header"/>
    <w:basedOn w:val="Normal"/>
    <w:link w:val="HeaderChar"/>
    <w:uiPriority w:val="99"/>
    <w:unhideWhenUsed/>
    <w:rsid w:val="00F06F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6F60"/>
  </w:style>
  <w:style w:type="paragraph" w:styleId="Footer">
    <w:name w:val="footer"/>
    <w:basedOn w:val="Normal"/>
    <w:link w:val="FooterChar"/>
    <w:uiPriority w:val="99"/>
    <w:unhideWhenUsed/>
    <w:rsid w:val="00F06F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F60"/>
  </w:style>
  <w:style w:type="paragraph" w:styleId="CommentSubject">
    <w:name w:val="annotation subject"/>
    <w:basedOn w:val="CommentText"/>
    <w:next w:val="CommentText"/>
    <w:link w:val="CommentSubjectChar"/>
    <w:uiPriority w:val="99"/>
    <w:semiHidden/>
    <w:unhideWhenUsed/>
    <w:rsid w:val="00C955DA"/>
    <w:rPr>
      <w:b/>
      <w:bCs/>
    </w:rPr>
  </w:style>
  <w:style w:type="character" w:customStyle="1" w:styleId="CommentSubjectChar">
    <w:name w:val="Comment Subject Char"/>
    <w:basedOn w:val="CommentTextChar"/>
    <w:link w:val="CommentSubject"/>
    <w:uiPriority w:val="99"/>
    <w:semiHidden/>
    <w:rsid w:val="00C955DA"/>
    <w:rPr>
      <w:b/>
      <w:bCs/>
      <w:sz w:val="20"/>
      <w:szCs w:val="20"/>
    </w:rPr>
  </w:style>
  <w:style w:type="paragraph" w:styleId="Revision">
    <w:name w:val="Revision"/>
    <w:hidden/>
    <w:uiPriority w:val="99"/>
    <w:semiHidden/>
    <w:rsid w:val="003D2788"/>
    <w:pPr>
      <w:spacing w:after="0" w:line="240" w:lineRule="auto"/>
    </w:pPr>
  </w:style>
  <w:style w:type="character" w:styleId="Hyperlink">
    <w:name w:val="Hyperlink"/>
    <w:basedOn w:val="DefaultParagraphFont"/>
    <w:uiPriority w:val="99"/>
    <w:unhideWhenUsed/>
    <w:rsid w:val="007A5AEB"/>
    <w:rPr>
      <w:color w:val="467886" w:themeColor="hyperlink"/>
      <w:u w:val="single"/>
    </w:rPr>
  </w:style>
  <w:style w:type="character" w:styleId="UnresolvedMention">
    <w:name w:val="Unresolved Mention"/>
    <w:basedOn w:val="DefaultParagraphFont"/>
    <w:uiPriority w:val="99"/>
    <w:semiHidden/>
    <w:unhideWhenUsed/>
    <w:rsid w:val="007A5A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447919">
      <w:bodyDiv w:val="1"/>
      <w:marLeft w:val="0"/>
      <w:marRight w:val="0"/>
      <w:marTop w:val="0"/>
      <w:marBottom w:val="0"/>
      <w:divBdr>
        <w:top w:val="none" w:sz="0" w:space="0" w:color="auto"/>
        <w:left w:val="none" w:sz="0" w:space="0" w:color="auto"/>
        <w:bottom w:val="none" w:sz="0" w:space="0" w:color="auto"/>
        <w:right w:val="none" w:sz="0" w:space="0" w:color="auto"/>
      </w:divBdr>
    </w:div>
    <w:div w:id="445463904">
      <w:bodyDiv w:val="1"/>
      <w:marLeft w:val="0"/>
      <w:marRight w:val="0"/>
      <w:marTop w:val="0"/>
      <w:marBottom w:val="0"/>
      <w:divBdr>
        <w:top w:val="none" w:sz="0" w:space="0" w:color="auto"/>
        <w:left w:val="none" w:sz="0" w:space="0" w:color="auto"/>
        <w:bottom w:val="none" w:sz="0" w:space="0" w:color="auto"/>
        <w:right w:val="none" w:sz="0" w:space="0" w:color="auto"/>
      </w:divBdr>
    </w:div>
    <w:div w:id="475534393">
      <w:bodyDiv w:val="1"/>
      <w:marLeft w:val="0"/>
      <w:marRight w:val="0"/>
      <w:marTop w:val="0"/>
      <w:marBottom w:val="0"/>
      <w:divBdr>
        <w:top w:val="none" w:sz="0" w:space="0" w:color="auto"/>
        <w:left w:val="none" w:sz="0" w:space="0" w:color="auto"/>
        <w:bottom w:val="none" w:sz="0" w:space="0" w:color="auto"/>
        <w:right w:val="none" w:sz="0" w:space="0" w:color="auto"/>
      </w:divBdr>
    </w:div>
    <w:div w:id="498547981">
      <w:bodyDiv w:val="1"/>
      <w:marLeft w:val="0"/>
      <w:marRight w:val="0"/>
      <w:marTop w:val="0"/>
      <w:marBottom w:val="0"/>
      <w:divBdr>
        <w:top w:val="none" w:sz="0" w:space="0" w:color="auto"/>
        <w:left w:val="none" w:sz="0" w:space="0" w:color="auto"/>
        <w:bottom w:val="none" w:sz="0" w:space="0" w:color="auto"/>
        <w:right w:val="none" w:sz="0" w:space="0" w:color="auto"/>
      </w:divBdr>
    </w:div>
    <w:div w:id="604312448">
      <w:bodyDiv w:val="1"/>
      <w:marLeft w:val="0"/>
      <w:marRight w:val="0"/>
      <w:marTop w:val="0"/>
      <w:marBottom w:val="0"/>
      <w:divBdr>
        <w:top w:val="none" w:sz="0" w:space="0" w:color="auto"/>
        <w:left w:val="none" w:sz="0" w:space="0" w:color="auto"/>
        <w:bottom w:val="none" w:sz="0" w:space="0" w:color="auto"/>
        <w:right w:val="none" w:sz="0" w:space="0" w:color="auto"/>
      </w:divBdr>
      <w:divsChild>
        <w:div w:id="102187097">
          <w:marLeft w:val="0"/>
          <w:marRight w:val="0"/>
          <w:marTop w:val="0"/>
          <w:marBottom w:val="0"/>
          <w:divBdr>
            <w:top w:val="none" w:sz="0" w:space="0" w:color="auto"/>
            <w:left w:val="none" w:sz="0" w:space="0" w:color="auto"/>
            <w:bottom w:val="none" w:sz="0" w:space="0" w:color="auto"/>
            <w:right w:val="none" w:sz="0" w:space="0" w:color="auto"/>
          </w:divBdr>
        </w:div>
        <w:div w:id="1259413742">
          <w:marLeft w:val="0"/>
          <w:marRight w:val="0"/>
          <w:marTop w:val="0"/>
          <w:marBottom w:val="0"/>
          <w:divBdr>
            <w:top w:val="none" w:sz="0" w:space="0" w:color="auto"/>
            <w:left w:val="none" w:sz="0" w:space="0" w:color="auto"/>
            <w:bottom w:val="none" w:sz="0" w:space="0" w:color="auto"/>
            <w:right w:val="none" w:sz="0" w:space="0" w:color="auto"/>
          </w:divBdr>
        </w:div>
        <w:div w:id="1574853502">
          <w:marLeft w:val="0"/>
          <w:marRight w:val="0"/>
          <w:marTop w:val="0"/>
          <w:marBottom w:val="0"/>
          <w:divBdr>
            <w:top w:val="none" w:sz="0" w:space="0" w:color="auto"/>
            <w:left w:val="none" w:sz="0" w:space="0" w:color="auto"/>
            <w:bottom w:val="none" w:sz="0" w:space="0" w:color="auto"/>
            <w:right w:val="none" w:sz="0" w:space="0" w:color="auto"/>
          </w:divBdr>
        </w:div>
      </w:divsChild>
    </w:div>
    <w:div w:id="707875909">
      <w:bodyDiv w:val="1"/>
      <w:marLeft w:val="0"/>
      <w:marRight w:val="0"/>
      <w:marTop w:val="0"/>
      <w:marBottom w:val="0"/>
      <w:divBdr>
        <w:top w:val="none" w:sz="0" w:space="0" w:color="auto"/>
        <w:left w:val="none" w:sz="0" w:space="0" w:color="auto"/>
        <w:bottom w:val="none" w:sz="0" w:space="0" w:color="auto"/>
        <w:right w:val="none" w:sz="0" w:space="0" w:color="auto"/>
      </w:divBdr>
    </w:div>
    <w:div w:id="735905252">
      <w:bodyDiv w:val="1"/>
      <w:marLeft w:val="0"/>
      <w:marRight w:val="0"/>
      <w:marTop w:val="0"/>
      <w:marBottom w:val="0"/>
      <w:divBdr>
        <w:top w:val="none" w:sz="0" w:space="0" w:color="auto"/>
        <w:left w:val="none" w:sz="0" w:space="0" w:color="auto"/>
        <w:bottom w:val="none" w:sz="0" w:space="0" w:color="auto"/>
        <w:right w:val="none" w:sz="0" w:space="0" w:color="auto"/>
      </w:divBdr>
      <w:divsChild>
        <w:div w:id="1648515843">
          <w:marLeft w:val="0"/>
          <w:marRight w:val="0"/>
          <w:marTop w:val="0"/>
          <w:marBottom w:val="0"/>
          <w:divBdr>
            <w:top w:val="none" w:sz="0" w:space="0" w:color="auto"/>
            <w:left w:val="none" w:sz="0" w:space="0" w:color="auto"/>
            <w:bottom w:val="none" w:sz="0" w:space="0" w:color="auto"/>
            <w:right w:val="none" w:sz="0" w:space="0" w:color="auto"/>
          </w:divBdr>
        </w:div>
      </w:divsChild>
    </w:div>
    <w:div w:id="799500593">
      <w:bodyDiv w:val="1"/>
      <w:marLeft w:val="0"/>
      <w:marRight w:val="0"/>
      <w:marTop w:val="0"/>
      <w:marBottom w:val="0"/>
      <w:divBdr>
        <w:top w:val="none" w:sz="0" w:space="0" w:color="auto"/>
        <w:left w:val="none" w:sz="0" w:space="0" w:color="auto"/>
        <w:bottom w:val="none" w:sz="0" w:space="0" w:color="auto"/>
        <w:right w:val="none" w:sz="0" w:space="0" w:color="auto"/>
      </w:divBdr>
    </w:div>
    <w:div w:id="953944544">
      <w:bodyDiv w:val="1"/>
      <w:marLeft w:val="0"/>
      <w:marRight w:val="0"/>
      <w:marTop w:val="0"/>
      <w:marBottom w:val="0"/>
      <w:divBdr>
        <w:top w:val="none" w:sz="0" w:space="0" w:color="auto"/>
        <w:left w:val="none" w:sz="0" w:space="0" w:color="auto"/>
        <w:bottom w:val="none" w:sz="0" w:space="0" w:color="auto"/>
        <w:right w:val="none" w:sz="0" w:space="0" w:color="auto"/>
      </w:divBdr>
      <w:divsChild>
        <w:div w:id="1654942966">
          <w:marLeft w:val="0"/>
          <w:marRight w:val="0"/>
          <w:marTop w:val="0"/>
          <w:marBottom w:val="0"/>
          <w:divBdr>
            <w:top w:val="none" w:sz="0" w:space="0" w:color="auto"/>
            <w:left w:val="none" w:sz="0" w:space="0" w:color="auto"/>
            <w:bottom w:val="none" w:sz="0" w:space="0" w:color="auto"/>
            <w:right w:val="none" w:sz="0" w:space="0" w:color="auto"/>
          </w:divBdr>
        </w:div>
      </w:divsChild>
    </w:div>
    <w:div w:id="1009479268">
      <w:bodyDiv w:val="1"/>
      <w:marLeft w:val="0"/>
      <w:marRight w:val="0"/>
      <w:marTop w:val="0"/>
      <w:marBottom w:val="0"/>
      <w:divBdr>
        <w:top w:val="none" w:sz="0" w:space="0" w:color="auto"/>
        <w:left w:val="none" w:sz="0" w:space="0" w:color="auto"/>
        <w:bottom w:val="none" w:sz="0" w:space="0" w:color="auto"/>
        <w:right w:val="none" w:sz="0" w:space="0" w:color="auto"/>
      </w:divBdr>
    </w:div>
    <w:div w:id="1069813928">
      <w:bodyDiv w:val="1"/>
      <w:marLeft w:val="0"/>
      <w:marRight w:val="0"/>
      <w:marTop w:val="0"/>
      <w:marBottom w:val="0"/>
      <w:divBdr>
        <w:top w:val="none" w:sz="0" w:space="0" w:color="auto"/>
        <w:left w:val="none" w:sz="0" w:space="0" w:color="auto"/>
        <w:bottom w:val="none" w:sz="0" w:space="0" w:color="auto"/>
        <w:right w:val="none" w:sz="0" w:space="0" w:color="auto"/>
      </w:divBdr>
    </w:div>
    <w:div w:id="1084229530">
      <w:bodyDiv w:val="1"/>
      <w:marLeft w:val="0"/>
      <w:marRight w:val="0"/>
      <w:marTop w:val="0"/>
      <w:marBottom w:val="0"/>
      <w:divBdr>
        <w:top w:val="none" w:sz="0" w:space="0" w:color="auto"/>
        <w:left w:val="none" w:sz="0" w:space="0" w:color="auto"/>
        <w:bottom w:val="none" w:sz="0" w:space="0" w:color="auto"/>
        <w:right w:val="none" w:sz="0" w:space="0" w:color="auto"/>
      </w:divBdr>
    </w:div>
    <w:div w:id="1202128392">
      <w:bodyDiv w:val="1"/>
      <w:marLeft w:val="0"/>
      <w:marRight w:val="0"/>
      <w:marTop w:val="0"/>
      <w:marBottom w:val="0"/>
      <w:divBdr>
        <w:top w:val="none" w:sz="0" w:space="0" w:color="auto"/>
        <w:left w:val="none" w:sz="0" w:space="0" w:color="auto"/>
        <w:bottom w:val="none" w:sz="0" w:space="0" w:color="auto"/>
        <w:right w:val="none" w:sz="0" w:space="0" w:color="auto"/>
      </w:divBdr>
    </w:div>
    <w:div w:id="1255439643">
      <w:bodyDiv w:val="1"/>
      <w:marLeft w:val="0"/>
      <w:marRight w:val="0"/>
      <w:marTop w:val="0"/>
      <w:marBottom w:val="0"/>
      <w:divBdr>
        <w:top w:val="none" w:sz="0" w:space="0" w:color="auto"/>
        <w:left w:val="none" w:sz="0" w:space="0" w:color="auto"/>
        <w:bottom w:val="none" w:sz="0" w:space="0" w:color="auto"/>
        <w:right w:val="none" w:sz="0" w:space="0" w:color="auto"/>
      </w:divBdr>
    </w:div>
    <w:div w:id="1303198398">
      <w:bodyDiv w:val="1"/>
      <w:marLeft w:val="0"/>
      <w:marRight w:val="0"/>
      <w:marTop w:val="0"/>
      <w:marBottom w:val="0"/>
      <w:divBdr>
        <w:top w:val="none" w:sz="0" w:space="0" w:color="auto"/>
        <w:left w:val="none" w:sz="0" w:space="0" w:color="auto"/>
        <w:bottom w:val="none" w:sz="0" w:space="0" w:color="auto"/>
        <w:right w:val="none" w:sz="0" w:space="0" w:color="auto"/>
      </w:divBdr>
      <w:divsChild>
        <w:div w:id="721829627">
          <w:marLeft w:val="0"/>
          <w:marRight w:val="0"/>
          <w:marTop w:val="0"/>
          <w:marBottom w:val="0"/>
          <w:divBdr>
            <w:top w:val="none" w:sz="0" w:space="0" w:color="auto"/>
            <w:left w:val="none" w:sz="0" w:space="0" w:color="auto"/>
            <w:bottom w:val="none" w:sz="0" w:space="0" w:color="auto"/>
            <w:right w:val="none" w:sz="0" w:space="0" w:color="auto"/>
          </w:divBdr>
        </w:div>
        <w:div w:id="1458529877">
          <w:marLeft w:val="0"/>
          <w:marRight w:val="0"/>
          <w:marTop w:val="0"/>
          <w:marBottom w:val="0"/>
          <w:divBdr>
            <w:top w:val="none" w:sz="0" w:space="0" w:color="auto"/>
            <w:left w:val="none" w:sz="0" w:space="0" w:color="auto"/>
            <w:bottom w:val="none" w:sz="0" w:space="0" w:color="auto"/>
            <w:right w:val="none" w:sz="0" w:space="0" w:color="auto"/>
          </w:divBdr>
        </w:div>
        <w:div w:id="1972440907">
          <w:marLeft w:val="0"/>
          <w:marRight w:val="0"/>
          <w:marTop w:val="0"/>
          <w:marBottom w:val="0"/>
          <w:divBdr>
            <w:top w:val="none" w:sz="0" w:space="0" w:color="auto"/>
            <w:left w:val="none" w:sz="0" w:space="0" w:color="auto"/>
            <w:bottom w:val="none" w:sz="0" w:space="0" w:color="auto"/>
            <w:right w:val="none" w:sz="0" w:space="0" w:color="auto"/>
          </w:divBdr>
        </w:div>
      </w:divsChild>
    </w:div>
    <w:div w:id="1581716437">
      <w:bodyDiv w:val="1"/>
      <w:marLeft w:val="0"/>
      <w:marRight w:val="0"/>
      <w:marTop w:val="0"/>
      <w:marBottom w:val="0"/>
      <w:divBdr>
        <w:top w:val="none" w:sz="0" w:space="0" w:color="auto"/>
        <w:left w:val="none" w:sz="0" w:space="0" w:color="auto"/>
        <w:bottom w:val="none" w:sz="0" w:space="0" w:color="auto"/>
        <w:right w:val="none" w:sz="0" w:space="0" w:color="auto"/>
      </w:divBdr>
    </w:div>
    <w:div w:id="1680277790">
      <w:bodyDiv w:val="1"/>
      <w:marLeft w:val="0"/>
      <w:marRight w:val="0"/>
      <w:marTop w:val="0"/>
      <w:marBottom w:val="0"/>
      <w:divBdr>
        <w:top w:val="none" w:sz="0" w:space="0" w:color="auto"/>
        <w:left w:val="none" w:sz="0" w:space="0" w:color="auto"/>
        <w:bottom w:val="none" w:sz="0" w:space="0" w:color="auto"/>
        <w:right w:val="none" w:sz="0" w:space="0" w:color="auto"/>
      </w:divBdr>
    </w:div>
    <w:div w:id="185434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95adbcf419d9d33608bf0df25d48a56c">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eff57b8a4fa252ff1f4c864930a310bc"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9E4F5EC-CCD9-4426-B514-E9FD8FCE01BD}">
  <ds:schemaRefs>
    <ds:schemaRef ds:uri="http://schemas.microsoft.com/sharepoint/v3/contenttype/forms"/>
  </ds:schemaRefs>
</ds:datastoreItem>
</file>

<file path=customXml/itemProps2.xml><?xml version="1.0" encoding="utf-8"?>
<ds:datastoreItem xmlns:ds="http://schemas.openxmlformats.org/officeDocument/2006/customXml" ds:itemID="{A6C066CD-FED8-4F08-A244-AA6D1AFBB323}">
  <ds:schemaRefs>
    <ds:schemaRef ds:uri="http://schemas.openxmlformats.org/officeDocument/2006/bibliography"/>
  </ds:schemaRefs>
</ds:datastoreItem>
</file>

<file path=customXml/itemProps3.xml><?xml version="1.0" encoding="utf-8"?>
<ds:datastoreItem xmlns:ds="http://schemas.openxmlformats.org/officeDocument/2006/customXml" ds:itemID="{E2A99A41-5CAA-4053-AAF4-B5DDA8ADBB6F}"/>
</file>

<file path=customXml/itemProps4.xml><?xml version="1.0" encoding="utf-8"?>
<ds:datastoreItem xmlns:ds="http://schemas.openxmlformats.org/officeDocument/2006/customXml" ds:itemID="{F5F8707D-5A4D-42DC-80FD-581CB2A90EE3}">
  <ds:schemaRefs>
    <ds:schemaRef ds:uri="http://schemas.microsoft.com/office/2006/metadata/properties"/>
    <ds:schemaRef ds:uri="http://schemas.microsoft.com/office/infopath/2007/PartnerControls"/>
    <ds:schemaRef ds:uri="716c748f-0fed-49fb-b624-188d7c60e1d2"/>
    <ds:schemaRef ds:uri="12377d35-f4e6-4cc4-afb0-b3b3b391f8a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8217</Words>
  <Characters>46842</Characters>
  <Application>Microsoft Office Word</Application>
  <DocSecurity>0</DocSecurity>
  <Lines>390</Lines>
  <Paragraphs>109</Paragraphs>
  <ScaleCrop>false</ScaleCrop>
  <Company>Eli Lilly and Company</Company>
  <LinksUpToDate>false</LinksUpToDate>
  <CharactersWithSpaces>54950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Rothwell</dc:creator>
  <cp:keywords/>
  <cp:lastModifiedBy>Lyn Davies</cp:lastModifiedBy>
  <cp:revision>5</cp:revision>
  <dcterms:created xsi:type="dcterms:W3CDTF">2025-07-14T13:35:00Z</dcterms:created>
  <dcterms:modified xsi:type="dcterms:W3CDTF">2025-07-14T13:35:00Z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ediaServiceImageTags">
    <vt:lpwstr/>
  </property>
  <property fmtid="{D5CDD505-2E9C-101B-9397-08002B2CF9AE}" pid="4" name="MSIP_Label_c69d85d5-6d9e-4305-a294-1f636ec0f2d6_Enabled">
    <vt:lpwstr>true</vt:lpwstr>
  </property>
  <property fmtid="{D5CDD505-2E9C-101B-9397-08002B2CF9AE}" pid="5" name="MSIP_Label_c69d85d5-6d9e-4305-a294-1f636ec0f2d6_SetDate">
    <vt:lpwstr>2025-07-14T13:35:13Z</vt:lpwstr>
  </property>
  <property fmtid="{D5CDD505-2E9C-101B-9397-08002B2CF9AE}" pid="6" name="MSIP_Label_c69d85d5-6d9e-4305-a294-1f636ec0f2d6_Method">
    <vt:lpwstr>Standard</vt:lpwstr>
  </property>
  <property fmtid="{D5CDD505-2E9C-101B-9397-08002B2CF9AE}" pid="7" name="MSIP_Label_c69d85d5-6d9e-4305-a294-1f636ec0f2d6_Name">
    <vt:lpwstr>OFFICIAL</vt:lpwstr>
  </property>
  <property fmtid="{D5CDD505-2E9C-101B-9397-08002B2CF9AE}" pid="8" name="MSIP_Label_c69d85d5-6d9e-4305-a294-1f636ec0f2d6_SiteId">
    <vt:lpwstr>6030f479-b342-472d-a5dd-740ff7538de9</vt:lpwstr>
  </property>
  <property fmtid="{D5CDD505-2E9C-101B-9397-08002B2CF9AE}" pid="9" name="MSIP_Label_c69d85d5-6d9e-4305-a294-1f636ec0f2d6_ActionId">
    <vt:lpwstr>ef7de0c6-c675-4dea-bf9a-a28b54f4f50b</vt:lpwstr>
  </property>
  <property fmtid="{D5CDD505-2E9C-101B-9397-08002B2CF9AE}" pid="10" name="MSIP_Label_c69d85d5-6d9e-4305-a294-1f636ec0f2d6_ContentBits">
    <vt:lpwstr>0</vt:lpwstr>
  </property>
  <property fmtid="{D5CDD505-2E9C-101B-9397-08002B2CF9AE}" pid="11" name="MSIP_Label_c69d85d5-6d9e-4305-a294-1f636ec0f2d6_Tag">
    <vt:lpwstr>10, 3, 0, 2</vt:lpwstr>
  </property>
</Properties>
</file>