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7D24" w14:textId="7B242707" w:rsidR="00593F3D" w:rsidRPr="002B2A26" w:rsidRDefault="00593F3D" w:rsidP="00593F3D">
      <w:pPr>
        <w:rPr>
          <w:rStyle w:val="Hyperlink"/>
          <w:rFonts w:ascii="Arial" w:hAnsi="Arial" w:cs="Arial"/>
          <w:color w:val="auto"/>
          <w:sz w:val="20"/>
          <w:szCs w:val="20"/>
          <w:u w:val="none"/>
        </w:rPr>
      </w:pPr>
      <w:r w:rsidRPr="72464577">
        <w:rPr>
          <w:rFonts w:ascii="Arial" w:hAnsi="Arial" w:cs="Arial"/>
          <w:sz w:val="20"/>
          <w:szCs w:val="20"/>
        </w:rPr>
        <w:t>Sent by e-mail only:</w:t>
      </w:r>
      <w:r w:rsidR="00D50519">
        <w:rPr>
          <w:rFonts w:ascii="Arial" w:hAnsi="Arial" w:cs="Arial"/>
          <w:sz w:val="20"/>
          <w:szCs w:val="20"/>
        </w:rPr>
        <w:t xml:space="preserve"> </w:t>
      </w:r>
      <w:r w:rsidR="00D50519" w:rsidRPr="00D50519">
        <w:rPr>
          <w:highlight w:val="black"/>
        </w:rPr>
        <w:t>XXXXXXXX</w:t>
      </w:r>
      <w:r w:rsidR="00BC7BE7" w:rsidRPr="72464577">
        <w:rPr>
          <w:rFonts w:ascii="Arial" w:hAnsi="Arial" w:cs="Arial"/>
          <w:sz w:val="20"/>
          <w:szCs w:val="20"/>
        </w:rPr>
        <w:t xml:space="preserve"> </w:t>
      </w:r>
      <w:r w:rsidR="006628FF" w:rsidRPr="72464577">
        <w:rPr>
          <w:rFonts w:ascii="Arial" w:hAnsi="Arial" w:cs="Arial"/>
          <w:sz w:val="20"/>
          <w:szCs w:val="20"/>
        </w:rPr>
        <w:t xml:space="preserve"> </w:t>
      </w:r>
    </w:p>
    <w:p w14:paraId="4B3D1834" w14:textId="0C8C97D9" w:rsidR="00C77E0C" w:rsidRPr="00C77E0C" w:rsidRDefault="00C77E0C" w:rsidP="46F210AA">
      <w:pPr>
        <w:spacing w:after="0" w:line="240" w:lineRule="auto"/>
        <w:rPr>
          <w:rFonts w:ascii="Arial" w:hAnsi="Arial" w:cs="Arial"/>
          <w:sz w:val="20"/>
          <w:szCs w:val="20"/>
          <w:highlight w:val="darkBlue"/>
        </w:rPr>
      </w:pPr>
      <w:r w:rsidRPr="46F210AA">
        <w:rPr>
          <w:rFonts w:ascii="Arial" w:hAnsi="Arial" w:cs="Arial"/>
          <w:sz w:val="20"/>
          <w:szCs w:val="20"/>
        </w:rPr>
        <w:t xml:space="preserve">FAO </w:t>
      </w:r>
      <w:r w:rsidR="00D50519" w:rsidRPr="00D50519">
        <w:rPr>
          <w:rFonts w:ascii="Arial" w:hAnsi="Arial" w:cs="Arial"/>
          <w:sz w:val="20"/>
          <w:szCs w:val="20"/>
          <w:highlight w:val="black"/>
        </w:rPr>
        <w:t>XXXXXXX</w:t>
      </w:r>
      <w:r w:rsidRPr="46F210AA">
        <w:rPr>
          <w:rFonts w:ascii="Arial" w:hAnsi="Arial" w:cs="Arial"/>
          <w:sz w:val="20"/>
          <w:szCs w:val="20"/>
        </w:rPr>
        <w:t xml:space="preserve"> </w:t>
      </w:r>
    </w:p>
    <w:p w14:paraId="01D6638D" w14:textId="77777777" w:rsidR="00C77E0C" w:rsidRPr="00C77E0C" w:rsidRDefault="00C77E0C" w:rsidP="00C77E0C">
      <w:pPr>
        <w:spacing w:after="0" w:line="240" w:lineRule="auto"/>
        <w:rPr>
          <w:rFonts w:ascii="Arial" w:hAnsi="Arial" w:cs="Arial"/>
          <w:sz w:val="20"/>
          <w:szCs w:val="20"/>
        </w:rPr>
      </w:pPr>
    </w:p>
    <w:p w14:paraId="18B5D7D7" w14:textId="77777777" w:rsidR="00C77E0C" w:rsidRPr="00C77E0C" w:rsidRDefault="00C77E0C" w:rsidP="00C77E0C">
      <w:pPr>
        <w:spacing w:after="0" w:line="240" w:lineRule="auto"/>
        <w:rPr>
          <w:rFonts w:ascii="Arial" w:hAnsi="Arial" w:cs="Arial"/>
          <w:sz w:val="20"/>
          <w:szCs w:val="20"/>
        </w:rPr>
      </w:pPr>
      <w:r w:rsidRPr="00C77E0C">
        <w:rPr>
          <w:rFonts w:ascii="Arial" w:hAnsi="Arial" w:cs="Arial"/>
          <w:sz w:val="20"/>
          <w:szCs w:val="20"/>
        </w:rPr>
        <w:t xml:space="preserve">Eli Lilly and Company Limited </w:t>
      </w:r>
    </w:p>
    <w:p w14:paraId="3610BCB5" w14:textId="565A074A" w:rsidR="00C77E0C" w:rsidRPr="00C77E0C" w:rsidRDefault="00C77E0C" w:rsidP="00C77E0C">
      <w:pPr>
        <w:spacing w:after="0" w:line="240" w:lineRule="auto"/>
        <w:rPr>
          <w:rFonts w:ascii="Arial" w:hAnsi="Arial" w:cs="Arial"/>
          <w:sz w:val="20"/>
          <w:szCs w:val="20"/>
        </w:rPr>
      </w:pPr>
      <w:r w:rsidRPr="00C77E0C">
        <w:rPr>
          <w:rFonts w:ascii="Arial" w:hAnsi="Arial" w:cs="Arial"/>
          <w:sz w:val="20"/>
          <w:szCs w:val="20"/>
        </w:rPr>
        <w:t xml:space="preserve">Lilly House,  </w:t>
      </w:r>
    </w:p>
    <w:p w14:paraId="3B24473E" w14:textId="77777777" w:rsidR="00C77E0C" w:rsidRPr="00C77E0C" w:rsidRDefault="00C77E0C" w:rsidP="00C77E0C">
      <w:pPr>
        <w:spacing w:after="0" w:line="240" w:lineRule="auto"/>
        <w:rPr>
          <w:rFonts w:ascii="Arial" w:hAnsi="Arial" w:cs="Arial"/>
          <w:sz w:val="20"/>
          <w:szCs w:val="20"/>
        </w:rPr>
      </w:pPr>
      <w:r w:rsidRPr="00C77E0C">
        <w:rPr>
          <w:rFonts w:ascii="Arial" w:hAnsi="Arial" w:cs="Arial"/>
          <w:sz w:val="20"/>
          <w:szCs w:val="20"/>
        </w:rPr>
        <w:t xml:space="preserve">Basing View,  </w:t>
      </w:r>
    </w:p>
    <w:p w14:paraId="6B2582CF" w14:textId="77777777" w:rsidR="00C77E0C" w:rsidRPr="00C77E0C" w:rsidRDefault="00C77E0C" w:rsidP="00C77E0C">
      <w:pPr>
        <w:spacing w:after="0" w:line="240" w:lineRule="auto"/>
        <w:rPr>
          <w:rFonts w:ascii="Arial" w:hAnsi="Arial" w:cs="Arial"/>
          <w:sz w:val="20"/>
          <w:szCs w:val="20"/>
        </w:rPr>
      </w:pPr>
      <w:r w:rsidRPr="00C77E0C">
        <w:rPr>
          <w:rFonts w:ascii="Arial" w:hAnsi="Arial" w:cs="Arial"/>
          <w:sz w:val="20"/>
          <w:szCs w:val="20"/>
        </w:rPr>
        <w:t xml:space="preserve">Basingstoke,  </w:t>
      </w:r>
    </w:p>
    <w:p w14:paraId="51C6A9DB" w14:textId="77777777" w:rsidR="00C77E0C" w:rsidRPr="00C77E0C" w:rsidRDefault="00C77E0C" w:rsidP="00C77E0C">
      <w:pPr>
        <w:spacing w:after="0" w:line="240" w:lineRule="auto"/>
        <w:rPr>
          <w:rFonts w:ascii="Arial" w:hAnsi="Arial" w:cs="Arial"/>
          <w:sz w:val="20"/>
          <w:szCs w:val="20"/>
        </w:rPr>
      </w:pPr>
      <w:r w:rsidRPr="00C77E0C">
        <w:rPr>
          <w:rFonts w:ascii="Arial" w:hAnsi="Arial" w:cs="Arial"/>
          <w:sz w:val="20"/>
          <w:szCs w:val="20"/>
        </w:rPr>
        <w:t xml:space="preserve">Hampshire,  </w:t>
      </w:r>
    </w:p>
    <w:p w14:paraId="799D8680" w14:textId="383C9195" w:rsidR="00F24B1D" w:rsidRPr="002B2A26" w:rsidRDefault="00C77E0C" w:rsidP="00C77E0C">
      <w:pPr>
        <w:spacing w:after="0" w:line="240" w:lineRule="auto"/>
        <w:rPr>
          <w:rFonts w:ascii="Arial" w:hAnsi="Arial" w:cs="Arial"/>
          <w:sz w:val="20"/>
          <w:szCs w:val="20"/>
        </w:rPr>
      </w:pPr>
      <w:r w:rsidRPr="00C77E0C">
        <w:rPr>
          <w:rFonts w:ascii="Arial" w:hAnsi="Arial" w:cs="Arial"/>
          <w:sz w:val="20"/>
          <w:szCs w:val="20"/>
        </w:rPr>
        <w:t>RG21 4FA</w:t>
      </w:r>
    </w:p>
    <w:p w14:paraId="1F256B99" w14:textId="77777777" w:rsidR="00F24B1D" w:rsidRPr="002B2A26" w:rsidRDefault="00F24B1D">
      <w:pPr>
        <w:rPr>
          <w:rFonts w:ascii="Arial" w:hAnsi="Arial" w:cs="Arial"/>
          <w:sz w:val="20"/>
          <w:szCs w:val="20"/>
        </w:rPr>
      </w:pPr>
    </w:p>
    <w:p w14:paraId="04E6623B" w14:textId="3845074D" w:rsidR="00B737D4" w:rsidRPr="002B2A26" w:rsidRDefault="00C77E0C" w:rsidP="00B737D4">
      <w:pPr>
        <w:rPr>
          <w:rFonts w:ascii="Arial" w:hAnsi="Arial" w:cs="Arial"/>
          <w:sz w:val="20"/>
          <w:szCs w:val="20"/>
        </w:rPr>
      </w:pPr>
      <w:r>
        <w:rPr>
          <w:rFonts w:ascii="Arial" w:hAnsi="Arial" w:cs="Arial"/>
          <w:sz w:val="20"/>
          <w:szCs w:val="20"/>
        </w:rPr>
        <w:t>31 July 2025</w:t>
      </w:r>
    </w:p>
    <w:p w14:paraId="15532A62" w14:textId="77777777" w:rsidR="00B737D4" w:rsidRPr="002B2A26" w:rsidRDefault="00B737D4" w:rsidP="00B737D4">
      <w:pPr>
        <w:rPr>
          <w:rStyle w:val="Hyperlink"/>
          <w:rFonts w:ascii="Arial" w:hAnsi="Arial" w:cs="Arial"/>
          <w:sz w:val="20"/>
          <w:szCs w:val="20"/>
        </w:rPr>
      </w:pPr>
    </w:p>
    <w:p w14:paraId="47BE397A" w14:textId="2F8D380A" w:rsidR="00F24B1D" w:rsidRPr="002B2A26" w:rsidRDefault="00F24B1D" w:rsidP="46F210AA">
      <w:pPr>
        <w:ind w:left="426" w:right="468" w:hanging="426"/>
        <w:jc w:val="both"/>
        <w:rPr>
          <w:rFonts w:ascii="Arial" w:hAnsi="Arial" w:cs="Arial"/>
          <w:noProof/>
          <w:sz w:val="20"/>
          <w:szCs w:val="20"/>
          <w:highlight w:val="darkBlue"/>
        </w:rPr>
      </w:pPr>
      <w:bookmarkStart w:id="0" w:name="deartext"/>
      <w:r w:rsidRPr="46F210AA">
        <w:rPr>
          <w:rFonts w:ascii="Arial" w:hAnsi="Arial" w:cs="Arial"/>
          <w:sz w:val="20"/>
          <w:szCs w:val="20"/>
        </w:rPr>
        <w:t>Dear</w:t>
      </w:r>
      <w:bookmarkEnd w:id="0"/>
      <w:r w:rsidRPr="46F210AA">
        <w:rPr>
          <w:rFonts w:ascii="Arial" w:hAnsi="Arial" w:cs="Arial"/>
          <w:sz w:val="20"/>
          <w:szCs w:val="20"/>
        </w:rPr>
        <w:t xml:space="preserve"> </w:t>
      </w:r>
      <w:bookmarkStart w:id="1" w:name="Sal"/>
      <w:bookmarkEnd w:id="1"/>
      <w:r w:rsidR="00D50519" w:rsidRPr="00D50519">
        <w:rPr>
          <w:rFonts w:ascii="Arial" w:hAnsi="Arial" w:cs="Arial"/>
          <w:sz w:val="20"/>
          <w:szCs w:val="20"/>
          <w:highlight w:val="black"/>
        </w:rPr>
        <w:t>XXXXXXXX</w:t>
      </w:r>
    </w:p>
    <w:p w14:paraId="67AFD44F" w14:textId="6B320316" w:rsidR="00F24B1D" w:rsidRPr="002B2A26" w:rsidRDefault="00F24B1D" w:rsidP="00F24B1D">
      <w:pPr>
        <w:ind w:left="426" w:right="468" w:hanging="426"/>
        <w:jc w:val="both"/>
        <w:rPr>
          <w:rFonts w:ascii="Arial" w:hAnsi="Arial" w:cs="Arial"/>
          <w:b/>
          <w:sz w:val="20"/>
          <w:szCs w:val="20"/>
        </w:rPr>
      </w:pPr>
      <w:r w:rsidRPr="002B2A26">
        <w:rPr>
          <w:rFonts w:ascii="Arial" w:hAnsi="Arial" w:cs="Arial"/>
          <w:noProof/>
          <w:color w:val="333333"/>
          <w:sz w:val="20"/>
          <w:szCs w:val="20"/>
          <w:lang w:eastAsia="en-GB"/>
        </w:rPr>
        <mc:AlternateContent>
          <mc:Choice Requires="wps">
            <w:drawing>
              <wp:anchor distT="4294967294" distB="4294967294" distL="114300" distR="114300" simplePos="0" relativeHeight="251658240"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294FFB2">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w14:anchorId="432FF0ED">
                <o:lock v:ext="edit" shapetype="f"/>
              </v:line>
            </w:pict>
          </mc:Fallback>
        </mc:AlternateContent>
      </w:r>
      <w:r w:rsidRPr="002B2A26">
        <w:rPr>
          <w:rFonts w:ascii="Arial" w:hAnsi="Arial" w:cs="Arial"/>
          <w:b/>
          <w:spacing w:val="-3"/>
          <w:sz w:val="20"/>
          <w:szCs w:val="20"/>
        </w:rPr>
        <w:t xml:space="preserve">Re: </w:t>
      </w:r>
      <w:r w:rsidR="007A5CA5" w:rsidRPr="002B2A26">
        <w:rPr>
          <w:rFonts w:ascii="Arial" w:hAnsi="Arial" w:cs="Arial"/>
          <w:b/>
          <w:sz w:val="20"/>
          <w:szCs w:val="20"/>
        </w:rPr>
        <w:t>Final Draft Guidance - Donanemab for treating mild cognitive impairment or mild dementia caused by Alzheimer’s Disease [ID6222]</w:t>
      </w:r>
    </w:p>
    <w:p w14:paraId="645F333C" w14:textId="5714B8BA" w:rsidR="00DB178D" w:rsidRPr="002B2A26" w:rsidRDefault="00DB178D" w:rsidP="00DB178D">
      <w:pPr>
        <w:spacing w:before="240" w:after="240"/>
        <w:jc w:val="both"/>
        <w:rPr>
          <w:rFonts w:ascii="Arial" w:eastAsia="Times New Roman" w:hAnsi="Arial" w:cs="Arial"/>
          <w:sz w:val="20"/>
          <w:szCs w:val="20"/>
        </w:rPr>
      </w:pPr>
      <w:r w:rsidRPr="002B2A26">
        <w:rPr>
          <w:rFonts w:ascii="Arial" w:eastAsia="Times New Roman" w:hAnsi="Arial" w:cs="Arial"/>
          <w:sz w:val="20"/>
          <w:szCs w:val="20"/>
        </w:rPr>
        <w:t xml:space="preserve">Thank you for your letter of </w:t>
      </w:r>
      <w:r w:rsidR="008D718C" w:rsidRPr="002B2A26">
        <w:rPr>
          <w:rFonts w:ascii="Arial" w:eastAsia="Times New Roman" w:hAnsi="Arial" w:cs="Arial"/>
          <w:sz w:val="20"/>
          <w:szCs w:val="20"/>
        </w:rPr>
        <w:t>24 July 2025</w:t>
      </w:r>
      <w:r w:rsidRPr="002B2A26">
        <w:rPr>
          <w:rFonts w:ascii="Arial" w:eastAsia="Times New Roman" w:hAnsi="Arial" w:cs="Arial"/>
          <w:sz w:val="20"/>
          <w:szCs w:val="20"/>
        </w:rPr>
        <w:t xml:space="preserve"> responding to my initial scrutiny views.  This is my final decision on initial scrutiny.</w:t>
      </w:r>
    </w:p>
    <w:p w14:paraId="55B1D5E2" w14:textId="28FD5E0E" w:rsidR="00DB178D" w:rsidRPr="002B2A26" w:rsidRDefault="00DB178D" w:rsidP="00DB178D">
      <w:pPr>
        <w:spacing w:before="240" w:after="240"/>
        <w:jc w:val="both"/>
        <w:rPr>
          <w:rFonts w:ascii="Arial" w:eastAsia="Times New Roman" w:hAnsi="Arial" w:cs="Arial"/>
          <w:sz w:val="20"/>
          <w:szCs w:val="20"/>
        </w:rPr>
      </w:pPr>
      <w:r w:rsidRPr="002B2A26">
        <w:rPr>
          <w:rFonts w:ascii="Arial" w:eastAsia="Times New Roman" w:hAnsi="Arial" w:cs="Arial"/>
          <w:sz w:val="20"/>
          <w:szCs w:val="20"/>
        </w:rPr>
        <w:t xml:space="preserve">I </w:t>
      </w:r>
      <w:r w:rsidR="00BB16DB" w:rsidRPr="002B2A26">
        <w:rPr>
          <w:rFonts w:ascii="Arial" w:eastAsia="Times New Roman" w:hAnsi="Arial" w:cs="Arial"/>
          <w:sz w:val="20"/>
          <w:szCs w:val="20"/>
        </w:rPr>
        <w:t>assess each of your points in turn.</w:t>
      </w:r>
    </w:p>
    <w:p w14:paraId="2373D9E9" w14:textId="77777777" w:rsidR="00CD7553" w:rsidRPr="002B2A26" w:rsidRDefault="00CD7553" w:rsidP="00CD7553">
      <w:pPr>
        <w:spacing w:before="120" w:after="0" w:line="240" w:lineRule="auto"/>
        <w:rPr>
          <w:rFonts w:ascii="Arial" w:hAnsi="Arial" w:cs="Arial"/>
          <w:b/>
          <w:i/>
          <w:sz w:val="20"/>
          <w:szCs w:val="20"/>
          <w:lang w:eastAsia="en-GB"/>
        </w:rPr>
      </w:pPr>
      <w:r w:rsidRPr="002B2A26">
        <w:rPr>
          <w:rFonts w:ascii="Arial" w:hAnsi="Arial" w:cs="Arial"/>
          <w:b/>
          <w:i/>
          <w:sz w:val="20"/>
          <w:szCs w:val="20"/>
          <w:lang w:eastAsia="en-GB"/>
        </w:rPr>
        <w:t>Ground 1(a): In making the assessment that preceded the recommendation, NICE has failed to act fairly.</w:t>
      </w:r>
    </w:p>
    <w:p w14:paraId="5EFD21AD" w14:textId="2B182263" w:rsidR="00CD7553" w:rsidRPr="002B2A26" w:rsidRDefault="00CD7553" w:rsidP="00DB178D">
      <w:pPr>
        <w:spacing w:before="24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1(a).1</w:t>
      </w:r>
      <w:r w:rsidRPr="002B2A26">
        <w:rPr>
          <w:rFonts w:ascii="Arial" w:eastAsia="Times New Roman" w:hAnsi="Arial" w:cs="Arial"/>
          <w:b/>
          <w:bCs/>
          <w:sz w:val="20"/>
          <w:szCs w:val="20"/>
          <w:u w:val="single"/>
        </w:rPr>
        <w:tab/>
        <w:t>The Committee’s assessment of caregiver utilities is inadequately explained and inconsistent with NICE’s Manual</w:t>
      </w:r>
    </w:p>
    <w:p w14:paraId="1D967332" w14:textId="47AFF7A3" w:rsidR="00B43633" w:rsidRPr="002B2A26" w:rsidRDefault="008D718C" w:rsidP="008D718C">
      <w:pPr>
        <w:spacing w:before="120" w:after="240"/>
        <w:rPr>
          <w:rFonts w:ascii="Arial"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 xml:space="preserve">I </w:t>
      </w:r>
      <w:r w:rsidR="00F13285" w:rsidRPr="002B2A26">
        <w:rPr>
          <w:rFonts w:ascii="Arial" w:hAnsi="Arial" w:cs="Arial"/>
          <w:color w:val="0D0D0D" w:themeColor="text1" w:themeTint="F2"/>
          <w:sz w:val="20"/>
          <w:szCs w:val="20"/>
          <w:lang w:eastAsia="en-GB"/>
        </w:rPr>
        <w:t>confirm my</w:t>
      </w:r>
      <w:r w:rsidRPr="002B2A26">
        <w:rPr>
          <w:rFonts w:ascii="Arial" w:hAnsi="Arial" w:cs="Arial"/>
          <w:color w:val="0D0D0D" w:themeColor="text1" w:themeTint="F2"/>
          <w:sz w:val="20"/>
          <w:szCs w:val="20"/>
          <w:lang w:eastAsia="en-GB"/>
        </w:rPr>
        <w:t xml:space="preserve"> view that </w:t>
      </w:r>
      <w:r w:rsidR="008A1F28" w:rsidRPr="002B2A26">
        <w:rPr>
          <w:rFonts w:ascii="Arial" w:hAnsi="Arial" w:cs="Arial"/>
          <w:color w:val="0D0D0D" w:themeColor="text1" w:themeTint="F2"/>
          <w:sz w:val="20"/>
          <w:szCs w:val="20"/>
          <w:lang w:eastAsia="en-GB"/>
        </w:rPr>
        <w:t>part</w:t>
      </w:r>
      <w:r w:rsidR="00B43633" w:rsidRPr="002B2A26">
        <w:rPr>
          <w:rFonts w:ascii="Arial" w:hAnsi="Arial" w:cs="Arial"/>
          <w:color w:val="0D0D0D" w:themeColor="text1" w:themeTint="F2"/>
          <w:sz w:val="20"/>
          <w:szCs w:val="20"/>
          <w:lang w:eastAsia="en-GB"/>
        </w:rPr>
        <w:t xml:space="preserve"> (a) of this appeal point should be referred to the Appeal Panel.  This is referred as follows: </w:t>
      </w:r>
    </w:p>
    <w:p w14:paraId="31BFA090" w14:textId="05656313" w:rsidR="00B43633" w:rsidRPr="002B2A26" w:rsidRDefault="00B43633" w:rsidP="00B43633">
      <w:pPr>
        <w:spacing w:before="120" w:after="240"/>
        <w:ind w:left="720"/>
        <w:rPr>
          <w:rFonts w:ascii="Arial" w:hAnsi="Arial" w:cs="Arial"/>
          <w:color w:val="0D0D0D" w:themeColor="text1" w:themeTint="F2"/>
          <w:sz w:val="20"/>
          <w:szCs w:val="20"/>
          <w:lang w:eastAsia="en-GB"/>
        </w:rPr>
      </w:pPr>
      <w:r w:rsidRPr="002B2A26">
        <w:rPr>
          <w:rFonts w:ascii="Arial" w:hAnsi="Arial" w:cs="Arial"/>
          <w:i/>
          <w:iCs/>
          <w:color w:val="0D0D0D" w:themeColor="text1" w:themeTint="F2"/>
          <w:sz w:val="20"/>
          <w:szCs w:val="20"/>
          <w:lang w:eastAsia="en-GB"/>
        </w:rPr>
        <w:t xml:space="preserve">The distinction between </w:t>
      </w:r>
      <w:proofErr w:type="gramStart"/>
      <w:r w:rsidRPr="002B2A26">
        <w:rPr>
          <w:rFonts w:ascii="Arial" w:hAnsi="Arial" w:cs="Arial"/>
          <w:i/>
          <w:iCs/>
          <w:color w:val="0D0D0D" w:themeColor="text1" w:themeTint="F2"/>
          <w:sz w:val="20"/>
          <w:szCs w:val="20"/>
          <w:lang w:eastAsia="en-GB"/>
        </w:rPr>
        <w:t>health related</w:t>
      </w:r>
      <w:proofErr w:type="gramEnd"/>
      <w:r w:rsidRPr="002B2A26">
        <w:rPr>
          <w:rFonts w:ascii="Arial" w:hAnsi="Arial" w:cs="Arial"/>
          <w:i/>
          <w:iCs/>
          <w:color w:val="0D0D0D" w:themeColor="text1" w:themeTint="F2"/>
          <w:sz w:val="20"/>
          <w:szCs w:val="20"/>
          <w:lang w:eastAsia="en-GB"/>
        </w:rPr>
        <w:t xml:space="preserve"> quality of life and quality of life experiences by carers of persona with Alzheimer's Disease conflicts with definitions in the Manual and is inadequately explained.</w:t>
      </w:r>
    </w:p>
    <w:p w14:paraId="1D7BAE27" w14:textId="48FFAA1D" w:rsidR="008D718C" w:rsidRPr="002B2A26" w:rsidRDefault="00B43633" w:rsidP="008D718C">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I have considered carefully the additional </w:t>
      </w:r>
      <w:r w:rsidRPr="002B2A26">
        <w:rPr>
          <w:rFonts w:ascii="Arial" w:eastAsia="Times New Roman" w:hAnsi="Arial" w:cs="Arial"/>
          <w:color w:val="0D0D0D" w:themeColor="text1" w:themeTint="F2"/>
          <w:sz w:val="20"/>
          <w:szCs w:val="20"/>
          <w:lang w:eastAsia="en-GB"/>
        </w:rPr>
        <w:t xml:space="preserve">points made in your letter of </w:t>
      </w:r>
      <w:r w:rsidRPr="002B2A26">
        <w:rPr>
          <w:rFonts w:ascii="Arial" w:eastAsia="Times New Roman" w:hAnsi="Arial" w:cs="Arial"/>
          <w:sz w:val="20"/>
          <w:szCs w:val="20"/>
        </w:rPr>
        <w:t xml:space="preserve">24 July 2025 in relation to part (b) of this appeal point.  Having done so, I remain of the view that it is not arguable and </w:t>
      </w:r>
      <w:r w:rsidR="008D718C" w:rsidRPr="002B2A26">
        <w:rPr>
          <w:rFonts w:ascii="Arial" w:hAnsi="Arial" w:cs="Arial"/>
          <w:color w:val="0D0D0D" w:themeColor="text1" w:themeTint="F2"/>
          <w:sz w:val="20"/>
          <w:szCs w:val="20"/>
          <w:lang w:eastAsia="en-GB"/>
        </w:rPr>
        <w:t>should not proceed to an oral hearing.</w:t>
      </w:r>
    </w:p>
    <w:p w14:paraId="72E726C3" w14:textId="1AC35ED6" w:rsidR="005C0B3C" w:rsidRPr="002B2A26" w:rsidRDefault="005C0B3C" w:rsidP="00352CED">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I note your clarification that this appeal point relates to the procedural aspects of the Committee's decision to rely on the GERAS study rather than the vignette studies and </w:t>
      </w:r>
      <w:r w:rsidR="00B43633" w:rsidRPr="002B2A26">
        <w:rPr>
          <w:rFonts w:ascii="Arial" w:hAnsi="Arial" w:cs="Arial"/>
          <w:color w:val="0D0D0D" w:themeColor="text1" w:themeTint="F2"/>
          <w:sz w:val="20"/>
          <w:szCs w:val="20"/>
          <w:lang w:eastAsia="en-GB"/>
        </w:rPr>
        <w:t xml:space="preserve">your view that the Committee </w:t>
      </w:r>
      <w:r w:rsidRPr="002B2A26">
        <w:rPr>
          <w:rFonts w:ascii="Arial" w:hAnsi="Arial" w:cs="Arial"/>
          <w:color w:val="0D0D0D" w:themeColor="text1" w:themeTint="F2"/>
          <w:sz w:val="20"/>
          <w:szCs w:val="20"/>
          <w:lang w:eastAsia="en-GB"/>
        </w:rPr>
        <w:t>failed to take into account evidence submitted by Lilly and the patient groups</w:t>
      </w:r>
      <w:r w:rsidR="00B43633" w:rsidRPr="002B2A26">
        <w:rPr>
          <w:rFonts w:ascii="Arial" w:hAnsi="Arial" w:cs="Arial"/>
          <w:color w:val="0D0D0D" w:themeColor="text1" w:themeTint="F2"/>
          <w:sz w:val="20"/>
          <w:szCs w:val="20"/>
          <w:lang w:eastAsia="en-GB"/>
        </w:rPr>
        <w:t xml:space="preserve">, and the conclusions of the GERAS study investigators in relation to the apparent limitations of EQ5D in measuring </w:t>
      </w:r>
      <w:proofErr w:type="spellStart"/>
      <w:r w:rsidR="00B43633" w:rsidRPr="002B2A26">
        <w:rPr>
          <w:rFonts w:ascii="Arial" w:hAnsi="Arial" w:cs="Arial"/>
          <w:color w:val="0D0D0D" w:themeColor="text1" w:themeTint="F2"/>
          <w:sz w:val="20"/>
          <w:szCs w:val="20"/>
          <w:lang w:eastAsia="en-GB"/>
        </w:rPr>
        <w:t>HRQoL</w:t>
      </w:r>
      <w:proofErr w:type="spellEnd"/>
      <w:r w:rsidR="00B43633" w:rsidRPr="002B2A26">
        <w:rPr>
          <w:rFonts w:ascii="Arial" w:hAnsi="Arial" w:cs="Arial"/>
          <w:color w:val="0D0D0D" w:themeColor="text1" w:themeTint="F2"/>
          <w:sz w:val="20"/>
          <w:szCs w:val="20"/>
          <w:lang w:eastAsia="en-GB"/>
        </w:rPr>
        <w:t xml:space="preserve"> in carers of people with Alzheimer's Disease</w:t>
      </w:r>
      <w:r w:rsidRPr="002B2A26">
        <w:rPr>
          <w:rFonts w:ascii="Arial" w:hAnsi="Arial" w:cs="Arial"/>
          <w:color w:val="0D0D0D" w:themeColor="text1" w:themeTint="F2"/>
          <w:sz w:val="20"/>
          <w:szCs w:val="20"/>
          <w:lang w:eastAsia="en-GB"/>
        </w:rPr>
        <w:t>.</w:t>
      </w:r>
    </w:p>
    <w:p w14:paraId="6E094C89" w14:textId="2BFDCE07" w:rsidR="005C0B3C" w:rsidRPr="002B2A26" w:rsidRDefault="00B43633" w:rsidP="00352CED">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I have referred appeal point 2.1 to the Appeal Panel, on the basis that it is arguable that the Committee's conclusions on caregiver utilities are unreasonable.  </w:t>
      </w:r>
      <w:r w:rsidR="005C0B3C" w:rsidRPr="002B2A26">
        <w:rPr>
          <w:rFonts w:ascii="Arial" w:hAnsi="Arial" w:cs="Arial"/>
          <w:color w:val="0D0D0D" w:themeColor="text1" w:themeTint="F2"/>
          <w:sz w:val="20"/>
          <w:szCs w:val="20"/>
          <w:lang w:eastAsia="en-GB"/>
        </w:rPr>
        <w:t xml:space="preserve">I remain of the view that </w:t>
      </w:r>
      <w:r w:rsidRPr="002B2A26">
        <w:rPr>
          <w:rFonts w:ascii="Arial" w:hAnsi="Arial" w:cs="Arial"/>
          <w:color w:val="0D0D0D" w:themeColor="text1" w:themeTint="F2"/>
          <w:sz w:val="20"/>
          <w:szCs w:val="20"/>
          <w:lang w:eastAsia="en-GB"/>
        </w:rPr>
        <w:t xml:space="preserve">the basis for an additional appeal point founded in procedural unfairness is not arguably made out.  </w:t>
      </w:r>
      <w:r w:rsidR="005C0B3C" w:rsidRPr="002B2A26">
        <w:rPr>
          <w:rFonts w:ascii="Arial" w:hAnsi="Arial" w:cs="Arial"/>
          <w:color w:val="0D0D0D" w:themeColor="text1" w:themeTint="F2"/>
          <w:sz w:val="20"/>
          <w:szCs w:val="20"/>
          <w:lang w:eastAsia="en-GB"/>
        </w:rPr>
        <w:t>Paragraph 3.19</w:t>
      </w:r>
      <w:r w:rsidRPr="002B2A26">
        <w:rPr>
          <w:rFonts w:ascii="Arial" w:hAnsi="Arial" w:cs="Arial"/>
          <w:color w:val="0D0D0D" w:themeColor="text1" w:themeTint="F2"/>
          <w:sz w:val="20"/>
          <w:szCs w:val="20"/>
          <w:lang w:eastAsia="en-GB"/>
        </w:rPr>
        <w:t xml:space="preserve"> of the FDG</w:t>
      </w:r>
      <w:r w:rsidR="005C0B3C" w:rsidRPr="002B2A26">
        <w:rPr>
          <w:rFonts w:ascii="Arial" w:hAnsi="Arial" w:cs="Arial"/>
          <w:color w:val="0D0D0D" w:themeColor="text1" w:themeTint="F2"/>
          <w:sz w:val="20"/>
          <w:szCs w:val="20"/>
          <w:lang w:eastAsia="en-GB"/>
        </w:rPr>
        <w:t xml:space="preserve"> explains how the Committee considered the arguments presented by stakeholders across the three committee meetings before concluding </w:t>
      </w:r>
      <w:r w:rsidR="005C0B3C" w:rsidRPr="002B2A26">
        <w:rPr>
          <w:rFonts w:ascii="Arial" w:hAnsi="Arial" w:cs="Arial"/>
          <w:i/>
          <w:iCs/>
          <w:color w:val="0D0D0D" w:themeColor="text1" w:themeTint="F2"/>
          <w:sz w:val="20"/>
          <w:szCs w:val="20"/>
          <w:lang w:eastAsia="en-GB"/>
        </w:rPr>
        <w:t>"that it had not seen direct evidence of health-related quality of life effects on carers that could not be captured by the EQ-5D measure".</w:t>
      </w:r>
      <w:r w:rsidR="005C0B3C" w:rsidRPr="002B2A26">
        <w:rPr>
          <w:rFonts w:ascii="Arial" w:hAnsi="Arial" w:cs="Arial"/>
          <w:color w:val="0D0D0D" w:themeColor="text1" w:themeTint="F2"/>
          <w:sz w:val="20"/>
          <w:szCs w:val="20"/>
          <w:lang w:eastAsia="en-GB"/>
        </w:rPr>
        <w:t xml:space="preserve">  The </w:t>
      </w:r>
      <w:r w:rsidRPr="002B2A26">
        <w:rPr>
          <w:rFonts w:ascii="Arial" w:hAnsi="Arial" w:cs="Arial"/>
          <w:color w:val="0D0D0D" w:themeColor="text1" w:themeTint="F2"/>
          <w:sz w:val="20"/>
          <w:szCs w:val="20"/>
          <w:lang w:eastAsia="en-GB"/>
        </w:rPr>
        <w:t>FDG</w:t>
      </w:r>
      <w:r w:rsidR="005C0B3C" w:rsidRPr="002B2A26">
        <w:rPr>
          <w:rFonts w:ascii="Arial" w:hAnsi="Arial" w:cs="Arial"/>
          <w:color w:val="0D0D0D" w:themeColor="text1" w:themeTint="F2"/>
          <w:sz w:val="20"/>
          <w:szCs w:val="20"/>
          <w:lang w:eastAsia="en-GB"/>
        </w:rPr>
        <w:t xml:space="preserve"> expressly </w:t>
      </w:r>
      <w:r w:rsidRPr="002B2A26">
        <w:rPr>
          <w:rFonts w:ascii="Arial" w:hAnsi="Arial" w:cs="Arial"/>
          <w:color w:val="0D0D0D" w:themeColor="text1" w:themeTint="F2"/>
          <w:sz w:val="20"/>
          <w:szCs w:val="20"/>
          <w:lang w:eastAsia="en-GB"/>
        </w:rPr>
        <w:t xml:space="preserve">discusses the Committee's consideration of </w:t>
      </w:r>
      <w:r w:rsidR="005C0B3C" w:rsidRPr="002B2A26">
        <w:rPr>
          <w:rFonts w:ascii="Arial" w:hAnsi="Arial" w:cs="Arial"/>
          <w:color w:val="0D0D0D" w:themeColor="text1" w:themeTint="F2"/>
          <w:sz w:val="20"/>
          <w:szCs w:val="20"/>
          <w:lang w:eastAsia="en-GB"/>
        </w:rPr>
        <w:t xml:space="preserve">the vignette studies and evidence presented by Lilly and the patient groups and there is no procedural obligation on the Committee to </w:t>
      </w:r>
      <w:r w:rsidRPr="002B2A26">
        <w:rPr>
          <w:rFonts w:ascii="Arial" w:hAnsi="Arial" w:cs="Arial"/>
          <w:color w:val="0D0D0D" w:themeColor="text1" w:themeTint="F2"/>
          <w:sz w:val="20"/>
          <w:szCs w:val="20"/>
          <w:lang w:eastAsia="en-GB"/>
        </w:rPr>
        <w:t xml:space="preserve">discuss its response to every item of evidence </w:t>
      </w:r>
      <w:r w:rsidR="005C0B3C" w:rsidRPr="002B2A26">
        <w:rPr>
          <w:rFonts w:ascii="Arial" w:hAnsi="Arial" w:cs="Arial"/>
          <w:color w:val="0D0D0D" w:themeColor="text1" w:themeTint="F2"/>
          <w:sz w:val="20"/>
          <w:szCs w:val="20"/>
          <w:lang w:eastAsia="en-GB"/>
        </w:rPr>
        <w:t xml:space="preserve">submitted by every stakeholder in the FDG.   </w:t>
      </w:r>
    </w:p>
    <w:p w14:paraId="145AFFDB" w14:textId="6874125B" w:rsidR="00CD7553" w:rsidRPr="002B2A26" w:rsidRDefault="00CD7553" w:rsidP="00DB178D">
      <w:pPr>
        <w:spacing w:before="24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1(a).2</w:t>
      </w:r>
      <w:r w:rsidRPr="002B2A26">
        <w:rPr>
          <w:rFonts w:ascii="Arial" w:eastAsia="Times New Roman" w:hAnsi="Arial" w:cs="Arial"/>
          <w:b/>
          <w:bCs/>
          <w:sz w:val="20"/>
          <w:szCs w:val="20"/>
          <w:u w:val="single"/>
        </w:rPr>
        <w:tab/>
        <w:t>The infusion costs relied upon by the Committee lack transparency and have not been subject to adequate consultation</w:t>
      </w:r>
    </w:p>
    <w:p w14:paraId="57E50C56" w14:textId="77777777" w:rsidR="00352CED" w:rsidRPr="002B2A26" w:rsidRDefault="00352CED" w:rsidP="00352CED">
      <w:pPr>
        <w:spacing w:before="240" w:after="240"/>
        <w:jc w:val="both"/>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I have considered your additional arguments in respect of the two sections set out under this appeal point.</w:t>
      </w:r>
    </w:p>
    <w:p w14:paraId="4C4A06FC" w14:textId="6DAE7F69" w:rsidR="008D718C" w:rsidRPr="002B2A26" w:rsidRDefault="008D718C" w:rsidP="008D718C">
      <w:pPr>
        <w:pStyle w:val="ListParagraph"/>
        <w:numPr>
          <w:ilvl w:val="0"/>
          <w:numId w:val="11"/>
        </w:numPr>
        <w:spacing w:before="240" w:after="240"/>
        <w:jc w:val="both"/>
        <w:rPr>
          <w:rFonts w:eastAsia="Calibri" w:cs="Arial"/>
          <w:i/>
          <w:iCs/>
          <w:color w:val="0D0D0D" w:themeColor="text1" w:themeTint="F2"/>
          <w:lang w:eastAsia="en-GB"/>
        </w:rPr>
      </w:pPr>
      <w:r w:rsidRPr="002B2A26">
        <w:rPr>
          <w:rFonts w:eastAsia="Calibri" w:cs="Arial"/>
          <w:i/>
          <w:iCs/>
          <w:color w:val="0D0D0D" w:themeColor="text1" w:themeTint="F2"/>
          <w:lang w:eastAsia="en-GB"/>
        </w:rPr>
        <w:t>NHS England’s estimated infusion costs lack transparency</w:t>
      </w:r>
    </w:p>
    <w:p w14:paraId="1877ECE6" w14:textId="77777777" w:rsidR="00352CED" w:rsidRPr="002B2A26" w:rsidRDefault="00352CED" w:rsidP="00352CED">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For the reasons I set out at initial scrutiny, I remain of the view that this appeal point should not proceed to an oral hearing.  </w:t>
      </w:r>
    </w:p>
    <w:p w14:paraId="2DDBAF00" w14:textId="74416FBC" w:rsidR="00C91263" w:rsidRPr="002B2A26" w:rsidRDefault="00352CED" w:rsidP="00352CED">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I agree that </w:t>
      </w:r>
      <w:r w:rsidR="00516F6A" w:rsidRPr="002B2A26">
        <w:rPr>
          <w:rFonts w:ascii="Arial" w:hAnsi="Arial" w:cs="Arial"/>
          <w:color w:val="0D0D0D" w:themeColor="text1" w:themeTint="F2"/>
          <w:sz w:val="20"/>
          <w:szCs w:val="20"/>
          <w:lang w:eastAsia="en-GB"/>
        </w:rPr>
        <w:t xml:space="preserve">transparency is a fundamental aspect of a fair procedure, and that, in line with the </w:t>
      </w:r>
      <w:r w:rsidR="00516F6A" w:rsidRPr="002B2A26">
        <w:rPr>
          <w:rFonts w:ascii="Arial" w:hAnsi="Arial" w:cs="Arial"/>
          <w:i/>
          <w:iCs/>
          <w:color w:val="0D0D0D" w:themeColor="text1" w:themeTint="F2"/>
          <w:sz w:val="20"/>
          <w:szCs w:val="20"/>
          <w:lang w:eastAsia="en-GB"/>
        </w:rPr>
        <w:t xml:space="preserve">Eisai </w:t>
      </w:r>
      <w:r w:rsidR="00516F6A" w:rsidRPr="002B2A26">
        <w:rPr>
          <w:rFonts w:ascii="Arial" w:hAnsi="Arial" w:cs="Arial"/>
          <w:color w:val="0D0D0D" w:themeColor="text1" w:themeTint="F2"/>
          <w:sz w:val="20"/>
          <w:szCs w:val="20"/>
          <w:lang w:eastAsia="en-GB"/>
        </w:rPr>
        <w:t xml:space="preserve">and </w:t>
      </w:r>
      <w:r w:rsidR="00516F6A" w:rsidRPr="002B2A26">
        <w:rPr>
          <w:rFonts w:ascii="Arial" w:hAnsi="Arial" w:cs="Arial"/>
          <w:i/>
          <w:iCs/>
          <w:color w:val="0D0D0D" w:themeColor="text1" w:themeTint="F2"/>
          <w:sz w:val="20"/>
          <w:szCs w:val="20"/>
          <w:lang w:eastAsia="en-GB"/>
        </w:rPr>
        <w:t>Servier</w:t>
      </w:r>
      <w:r w:rsidR="00516F6A" w:rsidRPr="002B2A26">
        <w:rPr>
          <w:rFonts w:ascii="Arial" w:hAnsi="Arial" w:cs="Arial"/>
          <w:color w:val="0D0D0D" w:themeColor="text1" w:themeTint="F2"/>
          <w:sz w:val="20"/>
          <w:szCs w:val="20"/>
          <w:lang w:eastAsia="en-GB"/>
        </w:rPr>
        <w:t xml:space="preserve"> cases, the standard of transparency applying to NICE appraisals is high.  I do not consider that the Committee's </w:t>
      </w:r>
      <w:r w:rsidR="00F13285" w:rsidRPr="002B2A26">
        <w:rPr>
          <w:rFonts w:ascii="Arial" w:hAnsi="Arial" w:cs="Arial"/>
          <w:color w:val="0D0D0D" w:themeColor="text1" w:themeTint="F2"/>
          <w:sz w:val="20"/>
          <w:szCs w:val="20"/>
          <w:lang w:eastAsia="en-GB"/>
        </w:rPr>
        <w:t>acceptance of</w:t>
      </w:r>
      <w:r w:rsidR="00516F6A" w:rsidRPr="002B2A26">
        <w:rPr>
          <w:rFonts w:ascii="Arial" w:hAnsi="Arial" w:cs="Arial"/>
          <w:color w:val="0D0D0D" w:themeColor="text1" w:themeTint="F2"/>
          <w:sz w:val="20"/>
          <w:szCs w:val="20"/>
          <w:lang w:eastAsia="en-GB"/>
        </w:rPr>
        <w:t xml:space="preserve"> NHS England's infusion estimate</w:t>
      </w:r>
      <w:r w:rsidR="00EE0FDC" w:rsidRPr="002B2A26">
        <w:rPr>
          <w:rFonts w:ascii="Arial" w:hAnsi="Arial" w:cs="Arial"/>
          <w:color w:val="0D0D0D" w:themeColor="text1" w:themeTint="F2"/>
          <w:sz w:val="20"/>
          <w:szCs w:val="20"/>
          <w:lang w:eastAsia="en-GB"/>
        </w:rPr>
        <w:t xml:space="preserve"> can arguably be challenged as a failure to ensure adequate transparency</w:t>
      </w:r>
      <w:r w:rsidR="00516F6A" w:rsidRPr="002B2A26">
        <w:rPr>
          <w:rFonts w:ascii="Arial" w:hAnsi="Arial" w:cs="Arial"/>
          <w:color w:val="0D0D0D" w:themeColor="text1" w:themeTint="F2"/>
          <w:sz w:val="20"/>
          <w:szCs w:val="20"/>
          <w:lang w:eastAsia="en-GB"/>
        </w:rPr>
        <w:t>, in circumstances where in your view there are additional details underlying that estimate that</w:t>
      </w:r>
      <w:r w:rsidR="00C91263" w:rsidRPr="002B2A26">
        <w:rPr>
          <w:rFonts w:ascii="Arial" w:hAnsi="Arial" w:cs="Arial"/>
          <w:color w:val="0D0D0D" w:themeColor="text1" w:themeTint="F2"/>
          <w:sz w:val="20"/>
          <w:szCs w:val="20"/>
          <w:lang w:eastAsia="en-GB"/>
        </w:rPr>
        <w:t>:</w:t>
      </w:r>
      <w:r w:rsidR="00516F6A" w:rsidRPr="002B2A26">
        <w:rPr>
          <w:rFonts w:ascii="Arial" w:hAnsi="Arial" w:cs="Arial"/>
          <w:color w:val="0D0D0D" w:themeColor="text1" w:themeTint="F2"/>
          <w:sz w:val="20"/>
          <w:szCs w:val="20"/>
          <w:lang w:eastAsia="en-GB"/>
        </w:rPr>
        <w:t xml:space="preserve"> </w:t>
      </w:r>
    </w:p>
    <w:p w14:paraId="5D8BA32E" w14:textId="0D6877EF" w:rsidR="00C91263" w:rsidRPr="002B2A26" w:rsidRDefault="00516F6A" w:rsidP="00C91263">
      <w:pPr>
        <w:pStyle w:val="ListParagraph"/>
        <w:numPr>
          <w:ilvl w:val="0"/>
          <w:numId w:val="13"/>
        </w:numPr>
        <w:spacing w:before="120" w:after="240"/>
        <w:rPr>
          <w:rFonts w:cs="Arial"/>
          <w:color w:val="0D0D0D" w:themeColor="text1" w:themeTint="F2"/>
          <w:lang w:eastAsia="en-GB"/>
        </w:rPr>
      </w:pPr>
      <w:r w:rsidRPr="002B2A26">
        <w:rPr>
          <w:rFonts w:cs="Arial"/>
          <w:color w:val="0D0D0D" w:themeColor="text1" w:themeTint="F2"/>
          <w:lang w:eastAsia="en-GB"/>
        </w:rPr>
        <w:t>NHS England should have shared with the Committee</w:t>
      </w:r>
      <w:r w:rsidR="00F13285" w:rsidRPr="002B2A26">
        <w:rPr>
          <w:rFonts w:cs="Arial"/>
          <w:color w:val="0D0D0D" w:themeColor="text1" w:themeTint="F2"/>
          <w:lang w:eastAsia="en-GB"/>
        </w:rPr>
        <w:t>;</w:t>
      </w:r>
      <w:r w:rsidRPr="002B2A26">
        <w:rPr>
          <w:rFonts w:cs="Arial"/>
          <w:color w:val="0D0D0D" w:themeColor="text1" w:themeTint="F2"/>
          <w:lang w:eastAsia="en-GB"/>
        </w:rPr>
        <w:t xml:space="preserve"> and </w:t>
      </w:r>
    </w:p>
    <w:p w14:paraId="3CF95467" w14:textId="661C2A00" w:rsidR="00C91263" w:rsidRPr="002B2A26" w:rsidRDefault="00F13285" w:rsidP="00C91263">
      <w:pPr>
        <w:pStyle w:val="ListParagraph"/>
        <w:numPr>
          <w:ilvl w:val="0"/>
          <w:numId w:val="13"/>
        </w:numPr>
        <w:spacing w:before="120" w:after="240"/>
        <w:rPr>
          <w:rFonts w:cs="Arial"/>
          <w:color w:val="0D0D0D" w:themeColor="text1" w:themeTint="F2"/>
          <w:lang w:eastAsia="en-GB"/>
        </w:rPr>
      </w:pPr>
      <w:r w:rsidRPr="002B2A26">
        <w:rPr>
          <w:rFonts w:cs="Arial"/>
          <w:color w:val="0D0D0D" w:themeColor="text1" w:themeTint="F2"/>
          <w:lang w:eastAsia="en-GB"/>
        </w:rPr>
        <w:t>h</w:t>
      </w:r>
      <w:r w:rsidR="00C91263" w:rsidRPr="002B2A26">
        <w:rPr>
          <w:rFonts w:cs="Arial"/>
          <w:color w:val="0D0D0D" w:themeColor="text1" w:themeTint="F2"/>
          <w:lang w:eastAsia="en-GB"/>
        </w:rPr>
        <w:t xml:space="preserve">aving received those additional details, </w:t>
      </w:r>
      <w:r w:rsidR="00516F6A" w:rsidRPr="002B2A26">
        <w:rPr>
          <w:rFonts w:cs="Arial"/>
          <w:color w:val="0D0D0D" w:themeColor="text1" w:themeTint="F2"/>
          <w:lang w:eastAsia="en-GB"/>
        </w:rPr>
        <w:t xml:space="preserve">the </w:t>
      </w:r>
      <w:r w:rsidR="00C91263" w:rsidRPr="002B2A26">
        <w:rPr>
          <w:rFonts w:cs="Arial"/>
          <w:color w:val="0D0D0D" w:themeColor="text1" w:themeTint="F2"/>
          <w:lang w:eastAsia="en-GB"/>
        </w:rPr>
        <w:t>Committee should have shared with stakeholders</w:t>
      </w:r>
      <w:r w:rsidR="00EE0FDC" w:rsidRPr="002B2A26">
        <w:rPr>
          <w:rFonts w:cs="Arial"/>
          <w:color w:val="0D0D0D" w:themeColor="text1" w:themeTint="F2"/>
          <w:lang w:eastAsia="en-GB"/>
        </w:rPr>
        <w:t>.</w:t>
      </w:r>
    </w:p>
    <w:p w14:paraId="4BC7F03F" w14:textId="075D2A7D" w:rsidR="00352CED" w:rsidRPr="002B2A26" w:rsidRDefault="00516F6A" w:rsidP="00C91263">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Put shortly, I remain of the view that </w:t>
      </w:r>
      <w:r w:rsidR="00C91263" w:rsidRPr="002B2A26">
        <w:rPr>
          <w:rFonts w:ascii="Arial" w:hAnsi="Arial" w:cs="Arial"/>
          <w:color w:val="0D0D0D" w:themeColor="text1" w:themeTint="F2"/>
          <w:sz w:val="20"/>
          <w:szCs w:val="20"/>
          <w:lang w:eastAsia="en-GB"/>
        </w:rPr>
        <w:t xml:space="preserve">the duty of transparency owed by </w:t>
      </w:r>
      <w:r w:rsidR="00352CED" w:rsidRPr="002B2A26">
        <w:rPr>
          <w:rFonts w:ascii="Arial" w:hAnsi="Arial" w:cs="Arial"/>
          <w:color w:val="0D0D0D" w:themeColor="text1" w:themeTint="F2"/>
          <w:sz w:val="20"/>
          <w:szCs w:val="20"/>
          <w:lang w:eastAsia="en-GB"/>
        </w:rPr>
        <w:t xml:space="preserve">NICE </w:t>
      </w:r>
      <w:r w:rsidR="00EE0FDC" w:rsidRPr="002B2A26">
        <w:rPr>
          <w:rFonts w:ascii="Arial" w:hAnsi="Arial" w:cs="Arial"/>
          <w:color w:val="0D0D0D" w:themeColor="text1" w:themeTint="F2"/>
          <w:sz w:val="20"/>
          <w:szCs w:val="20"/>
          <w:lang w:eastAsia="en-GB"/>
        </w:rPr>
        <w:t>does not</w:t>
      </w:r>
      <w:r w:rsidR="00352CED" w:rsidRPr="002B2A26">
        <w:rPr>
          <w:rFonts w:ascii="Arial" w:hAnsi="Arial" w:cs="Arial"/>
          <w:color w:val="0D0D0D" w:themeColor="text1" w:themeTint="F2"/>
          <w:sz w:val="20"/>
          <w:szCs w:val="20"/>
          <w:lang w:eastAsia="en-GB"/>
        </w:rPr>
        <w:t xml:space="preserve"> </w:t>
      </w:r>
      <w:r w:rsidRPr="002B2A26">
        <w:rPr>
          <w:rFonts w:ascii="Arial" w:hAnsi="Arial" w:cs="Arial"/>
          <w:color w:val="0D0D0D" w:themeColor="text1" w:themeTint="F2"/>
          <w:sz w:val="20"/>
          <w:szCs w:val="20"/>
          <w:lang w:eastAsia="en-GB"/>
        </w:rPr>
        <w:t>oblige</w:t>
      </w:r>
      <w:r w:rsidR="00C91263" w:rsidRPr="002B2A26">
        <w:rPr>
          <w:rFonts w:ascii="Arial" w:hAnsi="Arial" w:cs="Arial"/>
          <w:color w:val="0D0D0D" w:themeColor="text1" w:themeTint="F2"/>
          <w:sz w:val="20"/>
          <w:szCs w:val="20"/>
          <w:lang w:eastAsia="en-GB"/>
        </w:rPr>
        <w:t xml:space="preserve"> it</w:t>
      </w:r>
      <w:r w:rsidRPr="002B2A26">
        <w:rPr>
          <w:rFonts w:ascii="Arial" w:hAnsi="Arial" w:cs="Arial"/>
          <w:color w:val="0D0D0D" w:themeColor="text1" w:themeTint="F2"/>
          <w:sz w:val="20"/>
          <w:szCs w:val="20"/>
          <w:lang w:eastAsia="en-GB"/>
        </w:rPr>
        <w:t xml:space="preserve"> to share </w:t>
      </w:r>
      <w:r w:rsidR="00BE5F5A" w:rsidRPr="002B2A26">
        <w:rPr>
          <w:rFonts w:ascii="Arial" w:hAnsi="Arial" w:cs="Arial"/>
          <w:color w:val="0D0D0D" w:themeColor="text1" w:themeTint="F2"/>
          <w:sz w:val="20"/>
          <w:szCs w:val="20"/>
          <w:lang w:eastAsia="en-GB"/>
        </w:rPr>
        <w:t xml:space="preserve">this </w:t>
      </w:r>
      <w:r w:rsidR="00352CED" w:rsidRPr="002B2A26">
        <w:rPr>
          <w:rFonts w:ascii="Arial" w:hAnsi="Arial" w:cs="Arial"/>
          <w:color w:val="0D0D0D" w:themeColor="text1" w:themeTint="F2"/>
          <w:sz w:val="20"/>
          <w:szCs w:val="20"/>
          <w:lang w:eastAsia="en-GB"/>
        </w:rPr>
        <w:t xml:space="preserve">information which it </w:t>
      </w:r>
      <w:r w:rsidR="00F13285" w:rsidRPr="002B2A26">
        <w:rPr>
          <w:rFonts w:ascii="Arial" w:hAnsi="Arial" w:cs="Arial"/>
          <w:color w:val="0D0D0D" w:themeColor="text1" w:themeTint="F2"/>
          <w:sz w:val="20"/>
          <w:szCs w:val="20"/>
          <w:lang w:eastAsia="en-GB"/>
        </w:rPr>
        <w:t>does not have</w:t>
      </w:r>
      <w:r w:rsidR="00352CED" w:rsidRPr="002B2A26">
        <w:rPr>
          <w:rFonts w:ascii="Arial" w:hAnsi="Arial" w:cs="Arial"/>
          <w:color w:val="0D0D0D" w:themeColor="text1" w:themeTint="F2"/>
          <w:sz w:val="20"/>
          <w:szCs w:val="20"/>
          <w:lang w:eastAsia="en-GB"/>
        </w:rPr>
        <w:t>.</w:t>
      </w:r>
      <w:r w:rsidRPr="002B2A26">
        <w:rPr>
          <w:rFonts w:ascii="Arial" w:hAnsi="Arial" w:cs="Arial"/>
          <w:color w:val="0D0D0D" w:themeColor="text1" w:themeTint="F2"/>
          <w:sz w:val="20"/>
          <w:szCs w:val="20"/>
          <w:lang w:eastAsia="en-GB"/>
        </w:rPr>
        <w:t xml:space="preserve">  This is the key distinction between the current circumstances and those of </w:t>
      </w:r>
      <w:r w:rsidRPr="002B2A26">
        <w:rPr>
          <w:rFonts w:ascii="Arial" w:hAnsi="Arial" w:cs="Arial"/>
          <w:i/>
          <w:iCs/>
          <w:color w:val="0D0D0D" w:themeColor="text1" w:themeTint="F2"/>
          <w:sz w:val="20"/>
          <w:szCs w:val="20"/>
          <w:lang w:eastAsia="en-GB"/>
        </w:rPr>
        <w:t xml:space="preserve">Eisai </w:t>
      </w:r>
      <w:r w:rsidRPr="002B2A26">
        <w:rPr>
          <w:rFonts w:ascii="Arial" w:hAnsi="Arial" w:cs="Arial"/>
          <w:color w:val="0D0D0D" w:themeColor="text1" w:themeTint="F2"/>
          <w:sz w:val="20"/>
          <w:szCs w:val="20"/>
          <w:lang w:eastAsia="en-GB"/>
        </w:rPr>
        <w:t xml:space="preserve">and </w:t>
      </w:r>
      <w:r w:rsidRPr="002B2A26">
        <w:rPr>
          <w:rFonts w:ascii="Arial" w:hAnsi="Arial" w:cs="Arial"/>
          <w:i/>
          <w:iCs/>
          <w:color w:val="0D0D0D" w:themeColor="text1" w:themeTint="F2"/>
          <w:sz w:val="20"/>
          <w:szCs w:val="20"/>
          <w:lang w:eastAsia="en-GB"/>
        </w:rPr>
        <w:t>Servier</w:t>
      </w:r>
      <w:r w:rsidRPr="002B2A26">
        <w:rPr>
          <w:rFonts w:ascii="Arial" w:hAnsi="Arial" w:cs="Arial"/>
          <w:color w:val="0D0D0D" w:themeColor="text1" w:themeTint="F2"/>
          <w:sz w:val="20"/>
          <w:szCs w:val="20"/>
          <w:lang w:eastAsia="en-GB"/>
        </w:rPr>
        <w:t xml:space="preserve">, which both considered NICE's duties in relation to information that was available to NICE. </w:t>
      </w:r>
      <w:r w:rsidR="00352CED" w:rsidRPr="002B2A26">
        <w:rPr>
          <w:rFonts w:ascii="Arial" w:hAnsi="Arial" w:cs="Arial"/>
          <w:color w:val="0D0D0D" w:themeColor="text1" w:themeTint="F2"/>
          <w:sz w:val="20"/>
          <w:szCs w:val="20"/>
          <w:lang w:eastAsia="en-GB"/>
        </w:rPr>
        <w:t xml:space="preserve"> </w:t>
      </w:r>
    </w:p>
    <w:p w14:paraId="238DF812" w14:textId="1F98F766" w:rsidR="00C91263" w:rsidRPr="002B2A26" w:rsidRDefault="00C91263" w:rsidP="00C91263">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I note your additional argument as follows:</w:t>
      </w:r>
    </w:p>
    <w:p w14:paraId="1468EF47" w14:textId="77777777" w:rsidR="00C91263" w:rsidRPr="002B2A26" w:rsidRDefault="00C91263" w:rsidP="00C91263">
      <w:pPr>
        <w:pStyle w:val="Paragraph"/>
        <w:numPr>
          <w:ilvl w:val="0"/>
          <w:numId w:val="0"/>
        </w:numPr>
        <w:spacing w:before="0" w:after="0"/>
        <w:ind w:left="720"/>
        <w:jc w:val="both"/>
        <w:rPr>
          <w:rFonts w:cs="Arial"/>
          <w:sz w:val="20"/>
          <w:szCs w:val="20"/>
        </w:rPr>
      </w:pPr>
      <w:r w:rsidRPr="002B2A26">
        <w:rPr>
          <w:rFonts w:cs="Arial"/>
          <w:i/>
          <w:iCs/>
          <w:sz w:val="20"/>
          <w:szCs w:val="20"/>
        </w:rPr>
        <w:t>If NHS England refuses to provide (a) a breakdown of the costs included in the £432 figure it has proposed and (b) an explanation of why these costs are considered appropriate for donanemab, so that the reliability of their costs estimate can be investigated, fairness requires that NICE should disregard NHS England’s estimated costs in favour of a transparent estimation that can be adequately considered and tested”.</w:t>
      </w:r>
    </w:p>
    <w:p w14:paraId="21C6F27A" w14:textId="26C84485" w:rsidR="00C91263" w:rsidRPr="002B2A26" w:rsidRDefault="00C91263" w:rsidP="00C91263">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I accept that it would arguably be procedurally unfair for the Committee to apply different standards to </w:t>
      </w:r>
      <w:r w:rsidR="00A24296" w:rsidRPr="002B2A26">
        <w:rPr>
          <w:rFonts w:ascii="Arial" w:hAnsi="Arial" w:cs="Arial"/>
          <w:color w:val="0D0D0D" w:themeColor="text1" w:themeTint="F2"/>
          <w:sz w:val="20"/>
          <w:szCs w:val="20"/>
          <w:lang w:eastAsia="en-GB"/>
        </w:rPr>
        <w:t>the evidence it is prepared to accept from different stakeholders</w:t>
      </w:r>
      <w:r w:rsidR="009E48BD">
        <w:rPr>
          <w:rFonts w:ascii="Arial" w:hAnsi="Arial" w:cs="Arial"/>
          <w:color w:val="0D0D0D" w:themeColor="text1" w:themeTint="F2"/>
          <w:sz w:val="20"/>
          <w:szCs w:val="20"/>
          <w:lang w:eastAsia="en-GB"/>
        </w:rPr>
        <w:t xml:space="preserve">. </w:t>
      </w:r>
      <w:r w:rsidR="00A24296" w:rsidRPr="002B2A26">
        <w:rPr>
          <w:rFonts w:ascii="Arial" w:hAnsi="Arial" w:cs="Arial"/>
          <w:color w:val="0D0D0D" w:themeColor="text1" w:themeTint="F2"/>
          <w:sz w:val="20"/>
          <w:szCs w:val="20"/>
          <w:lang w:eastAsia="en-GB"/>
        </w:rPr>
        <w:t>I consider that this point is covered by appeal point 1(a).3, which I have referred to the Appeal Panel.</w:t>
      </w:r>
    </w:p>
    <w:p w14:paraId="1A7E14A6" w14:textId="78F43119" w:rsidR="008D718C" w:rsidRPr="002B2A26" w:rsidRDefault="008D718C" w:rsidP="008D718C">
      <w:pPr>
        <w:pStyle w:val="ListParagraph"/>
        <w:numPr>
          <w:ilvl w:val="0"/>
          <w:numId w:val="11"/>
        </w:numPr>
        <w:spacing w:before="240" w:after="240"/>
        <w:jc w:val="both"/>
        <w:rPr>
          <w:rFonts w:eastAsia="Calibri" w:cs="Arial"/>
          <w:i/>
          <w:iCs/>
          <w:color w:val="0D0D0D" w:themeColor="text1" w:themeTint="F2"/>
          <w:lang w:eastAsia="en-GB"/>
        </w:rPr>
      </w:pPr>
      <w:r w:rsidRPr="002B2A26">
        <w:rPr>
          <w:rFonts w:eastAsia="Calibri" w:cs="Arial"/>
          <w:i/>
          <w:iCs/>
          <w:color w:val="0D0D0D" w:themeColor="text1" w:themeTint="F2"/>
          <w:lang w:eastAsia="en-GB"/>
        </w:rPr>
        <w:t xml:space="preserve">There was inadequate time for consultation following disclosure of NHS England’s “Infusion Costs Estimates” document.  </w:t>
      </w:r>
    </w:p>
    <w:p w14:paraId="211B8532" w14:textId="53A28BC3" w:rsidR="008D718C" w:rsidRPr="002B2A26" w:rsidRDefault="008D718C" w:rsidP="008D718C">
      <w:pPr>
        <w:spacing w:before="240" w:after="240"/>
        <w:jc w:val="both"/>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I agree that this is a valid appeal point and refer</w:t>
      </w:r>
      <w:r w:rsidR="00F13285" w:rsidRPr="002B2A26">
        <w:rPr>
          <w:rFonts w:ascii="Arial" w:hAnsi="Arial" w:cs="Arial"/>
          <w:color w:val="0D0D0D" w:themeColor="text1" w:themeTint="F2"/>
          <w:sz w:val="20"/>
          <w:szCs w:val="20"/>
          <w:lang w:eastAsia="en-GB"/>
        </w:rPr>
        <w:t xml:space="preserve"> it to the Appeal Panel</w:t>
      </w:r>
      <w:r w:rsidRPr="002B2A26">
        <w:rPr>
          <w:rFonts w:ascii="Arial" w:hAnsi="Arial" w:cs="Arial"/>
          <w:color w:val="0D0D0D" w:themeColor="text1" w:themeTint="F2"/>
          <w:sz w:val="20"/>
          <w:szCs w:val="20"/>
          <w:lang w:eastAsia="en-GB"/>
        </w:rPr>
        <w:t>.</w:t>
      </w:r>
    </w:p>
    <w:p w14:paraId="7359CEAF" w14:textId="719532F9" w:rsidR="00352CED" w:rsidRPr="002B2A26" w:rsidRDefault="00455930" w:rsidP="00352CED">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In reaching this view I note that stakeholders were required to consider substantial information which was significant to the outcome of this appraisal.  </w:t>
      </w:r>
      <w:proofErr w:type="gramStart"/>
      <w:r w:rsidRPr="002B2A26">
        <w:rPr>
          <w:rFonts w:ascii="Arial" w:hAnsi="Arial" w:cs="Arial"/>
          <w:color w:val="0D0D0D" w:themeColor="text1" w:themeTint="F2"/>
          <w:sz w:val="20"/>
          <w:szCs w:val="20"/>
          <w:lang w:eastAsia="en-GB"/>
        </w:rPr>
        <w:t>Therefore</w:t>
      </w:r>
      <w:proofErr w:type="gramEnd"/>
      <w:r w:rsidRPr="002B2A26">
        <w:rPr>
          <w:rFonts w:ascii="Arial" w:hAnsi="Arial" w:cs="Arial"/>
          <w:color w:val="0D0D0D" w:themeColor="text1" w:themeTint="F2"/>
          <w:sz w:val="20"/>
          <w:szCs w:val="20"/>
          <w:lang w:eastAsia="en-GB"/>
        </w:rPr>
        <w:t xml:space="preserve"> I agree that it is arguable that the consultation time </w:t>
      </w:r>
      <w:r w:rsidR="00FD2459" w:rsidRPr="002B2A26">
        <w:rPr>
          <w:rFonts w:ascii="Arial" w:hAnsi="Arial" w:cs="Arial"/>
          <w:color w:val="0D0D0D" w:themeColor="text1" w:themeTint="F2"/>
          <w:sz w:val="20"/>
          <w:szCs w:val="20"/>
          <w:lang w:eastAsia="en-GB"/>
        </w:rPr>
        <w:t xml:space="preserve">provided </w:t>
      </w:r>
      <w:r w:rsidRPr="002B2A26">
        <w:rPr>
          <w:rFonts w:ascii="Arial" w:hAnsi="Arial" w:cs="Arial"/>
          <w:color w:val="0D0D0D" w:themeColor="text1" w:themeTint="F2"/>
          <w:sz w:val="20"/>
          <w:szCs w:val="20"/>
          <w:lang w:eastAsia="en-GB"/>
        </w:rPr>
        <w:t>was procedurally unfair and did not allow sufficient time for the information to be fully considered.</w:t>
      </w:r>
    </w:p>
    <w:p w14:paraId="34C1CDC3" w14:textId="52F16C1A" w:rsidR="00CD7553" w:rsidRPr="002B2A26" w:rsidRDefault="00CD7553" w:rsidP="00DB178D">
      <w:pPr>
        <w:spacing w:before="24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1(a).3</w:t>
      </w:r>
      <w:r w:rsidRPr="002B2A26">
        <w:rPr>
          <w:rFonts w:ascii="Arial" w:eastAsia="Times New Roman" w:hAnsi="Arial" w:cs="Arial"/>
          <w:b/>
          <w:bCs/>
          <w:sz w:val="20"/>
          <w:szCs w:val="20"/>
          <w:u w:val="single"/>
        </w:rPr>
        <w:tab/>
        <w:t xml:space="preserve">The Committee’s reasons for rejecting the infusion costs estimated by Lilly are inadequately explained and the Committee does not appear to have </w:t>
      </w:r>
      <w:proofErr w:type="gramStart"/>
      <w:r w:rsidRPr="002B2A26">
        <w:rPr>
          <w:rFonts w:ascii="Arial" w:eastAsia="Times New Roman" w:hAnsi="Arial" w:cs="Arial"/>
          <w:b/>
          <w:bCs/>
          <w:sz w:val="20"/>
          <w:szCs w:val="20"/>
          <w:u w:val="single"/>
        </w:rPr>
        <w:t>taken into account</w:t>
      </w:r>
      <w:proofErr w:type="gramEnd"/>
      <w:r w:rsidRPr="002B2A26">
        <w:rPr>
          <w:rFonts w:ascii="Arial" w:eastAsia="Times New Roman" w:hAnsi="Arial" w:cs="Arial"/>
          <w:b/>
          <w:bCs/>
          <w:sz w:val="20"/>
          <w:szCs w:val="20"/>
          <w:u w:val="single"/>
        </w:rPr>
        <w:t xml:space="preserve"> the evidence submitted by Lilly in response to the second Draft Guidance</w:t>
      </w:r>
    </w:p>
    <w:p w14:paraId="01005AED" w14:textId="76DF438E" w:rsidR="008D718C" w:rsidRPr="002B2A26" w:rsidRDefault="008D718C" w:rsidP="008D718C">
      <w:pPr>
        <w:spacing w:before="120" w:after="240"/>
        <w:rPr>
          <w:rFonts w:ascii="Arial" w:eastAsia="Times New Roman"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 xml:space="preserve">Having considered the additional arguments made </w:t>
      </w:r>
      <w:r w:rsidR="00455930" w:rsidRPr="002B2A26">
        <w:rPr>
          <w:rFonts w:ascii="Arial" w:eastAsia="Times New Roman" w:hAnsi="Arial" w:cs="Arial"/>
          <w:color w:val="0D0D0D" w:themeColor="text1" w:themeTint="F2"/>
          <w:sz w:val="20"/>
          <w:szCs w:val="20"/>
          <w:lang w:eastAsia="en-GB"/>
        </w:rPr>
        <w:t xml:space="preserve">in your letter of </w:t>
      </w:r>
      <w:r w:rsidR="00455930" w:rsidRPr="002B2A26">
        <w:rPr>
          <w:rFonts w:ascii="Arial" w:eastAsia="Times New Roman" w:hAnsi="Arial" w:cs="Arial"/>
          <w:sz w:val="20"/>
          <w:szCs w:val="20"/>
        </w:rPr>
        <w:t>24 July 2025</w:t>
      </w:r>
      <w:r w:rsidRPr="002B2A26">
        <w:rPr>
          <w:rFonts w:ascii="Arial" w:eastAsia="Times New Roman" w:hAnsi="Arial" w:cs="Arial"/>
          <w:color w:val="0D0D0D" w:themeColor="text1" w:themeTint="F2"/>
          <w:sz w:val="20"/>
          <w:szCs w:val="20"/>
          <w:lang w:eastAsia="en-GB"/>
        </w:rPr>
        <w:t xml:space="preserve">, I agree that this is a valid appeal point.   </w:t>
      </w:r>
    </w:p>
    <w:p w14:paraId="66D4C7E3" w14:textId="03DB1D72" w:rsidR="00352CED" w:rsidRPr="002B2A26" w:rsidRDefault="00352CED" w:rsidP="00352CED">
      <w:pPr>
        <w:spacing w:before="120" w:after="240"/>
        <w:rPr>
          <w:rFonts w:ascii="Arial" w:eastAsia="Times New Roman"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 xml:space="preserve">I </w:t>
      </w:r>
      <w:r w:rsidR="00A24296" w:rsidRPr="002B2A26">
        <w:rPr>
          <w:rFonts w:ascii="Arial" w:hAnsi="Arial" w:cs="Arial"/>
          <w:color w:val="0D0D0D" w:themeColor="text1" w:themeTint="F2"/>
          <w:sz w:val="20"/>
          <w:szCs w:val="20"/>
          <w:lang w:eastAsia="en-GB"/>
        </w:rPr>
        <w:t xml:space="preserve">accept that it would arguably be procedurally unfair for the Committee to apply different standards to the evidence it is prepared to accept from different stakeholders.  </w:t>
      </w:r>
    </w:p>
    <w:p w14:paraId="38F655D6" w14:textId="56BCF863" w:rsidR="00EE0FDC" w:rsidRPr="002B2A26" w:rsidRDefault="00385252" w:rsidP="00352CED">
      <w:pPr>
        <w:spacing w:before="120" w:after="240"/>
        <w:rPr>
          <w:rFonts w:ascii="Arial" w:eastAsia="Times New Roman"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 xml:space="preserve">I also </w:t>
      </w:r>
      <w:r w:rsidR="00EE0FDC" w:rsidRPr="002B2A26">
        <w:rPr>
          <w:rFonts w:ascii="Arial" w:eastAsia="Times New Roman" w:hAnsi="Arial" w:cs="Arial"/>
          <w:color w:val="0D0D0D" w:themeColor="text1" w:themeTint="F2"/>
          <w:sz w:val="20"/>
          <w:szCs w:val="20"/>
          <w:lang w:eastAsia="en-GB"/>
        </w:rPr>
        <w:t xml:space="preserve">accept </w:t>
      </w:r>
      <w:r w:rsidRPr="002B2A26">
        <w:rPr>
          <w:rFonts w:ascii="Arial" w:eastAsia="Times New Roman" w:hAnsi="Arial" w:cs="Arial"/>
          <w:color w:val="0D0D0D" w:themeColor="text1" w:themeTint="F2"/>
          <w:sz w:val="20"/>
          <w:szCs w:val="20"/>
          <w:lang w:eastAsia="en-GB"/>
        </w:rPr>
        <w:t>that it is arguable that the Committee ha</w:t>
      </w:r>
      <w:r w:rsidR="00EE0FDC" w:rsidRPr="002B2A26">
        <w:rPr>
          <w:rFonts w:ascii="Arial" w:eastAsia="Times New Roman" w:hAnsi="Arial" w:cs="Arial"/>
          <w:color w:val="0D0D0D" w:themeColor="text1" w:themeTint="F2"/>
          <w:sz w:val="20"/>
          <w:szCs w:val="20"/>
          <w:lang w:eastAsia="en-GB"/>
        </w:rPr>
        <w:t>s</w:t>
      </w:r>
      <w:r w:rsidRPr="002B2A26">
        <w:rPr>
          <w:rFonts w:ascii="Arial" w:eastAsia="Times New Roman" w:hAnsi="Arial" w:cs="Arial"/>
          <w:color w:val="0D0D0D" w:themeColor="text1" w:themeTint="F2"/>
          <w:sz w:val="20"/>
          <w:szCs w:val="20"/>
          <w:lang w:eastAsia="en-GB"/>
        </w:rPr>
        <w:t xml:space="preserve"> not </w:t>
      </w:r>
      <w:r w:rsidR="00F13285" w:rsidRPr="002B2A26">
        <w:rPr>
          <w:rFonts w:ascii="Arial" w:eastAsia="Times New Roman" w:hAnsi="Arial" w:cs="Arial"/>
          <w:color w:val="0D0D0D" w:themeColor="text1" w:themeTint="F2"/>
          <w:sz w:val="20"/>
          <w:szCs w:val="20"/>
          <w:lang w:eastAsia="en-GB"/>
        </w:rPr>
        <w:t xml:space="preserve">adequately </w:t>
      </w:r>
      <w:r w:rsidRPr="002B2A26">
        <w:rPr>
          <w:rFonts w:ascii="Arial" w:eastAsia="Times New Roman" w:hAnsi="Arial" w:cs="Arial"/>
          <w:color w:val="0D0D0D" w:themeColor="text1" w:themeTint="F2"/>
          <w:sz w:val="20"/>
          <w:szCs w:val="20"/>
          <w:lang w:eastAsia="en-GB"/>
        </w:rPr>
        <w:t xml:space="preserve">explained </w:t>
      </w:r>
      <w:r w:rsidR="00F13285" w:rsidRPr="002B2A26">
        <w:rPr>
          <w:rFonts w:ascii="Arial" w:eastAsia="Times New Roman" w:hAnsi="Arial" w:cs="Arial"/>
          <w:color w:val="0D0D0D" w:themeColor="text1" w:themeTint="F2"/>
          <w:sz w:val="20"/>
          <w:szCs w:val="20"/>
          <w:lang w:eastAsia="en-GB"/>
        </w:rPr>
        <w:t xml:space="preserve">its reasons for rejecting the infusion costs estimated by Lily or </w:t>
      </w:r>
      <w:r w:rsidRPr="002B2A26">
        <w:rPr>
          <w:rFonts w:ascii="Arial" w:eastAsia="Times New Roman" w:hAnsi="Arial" w:cs="Arial"/>
          <w:color w:val="0D0D0D" w:themeColor="text1" w:themeTint="F2"/>
          <w:sz w:val="20"/>
          <w:szCs w:val="20"/>
          <w:lang w:eastAsia="en-GB"/>
        </w:rPr>
        <w:t>how the evidence presented by Lilly in response to the consultation on the second Draft Guidance has been considered</w:t>
      </w:r>
      <w:r w:rsidR="00EE0FDC" w:rsidRPr="002B2A26">
        <w:rPr>
          <w:rFonts w:ascii="Arial" w:eastAsia="Times New Roman" w:hAnsi="Arial" w:cs="Arial"/>
          <w:color w:val="0D0D0D" w:themeColor="text1" w:themeTint="F2"/>
          <w:sz w:val="20"/>
          <w:szCs w:val="20"/>
          <w:lang w:eastAsia="en-GB"/>
        </w:rPr>
        <w:t>.</w:t>
      </w:r>
    </w:p>
    <w:p w14:paraId="219A0A97" w14:textId="1E4349C2" w:rsidR="00385252" w:rsidRPr="002B2A26" w:rsidRDefault="00EE0FDC" w:rsidP="00CF6A39">
      <w:pPr>
        <w:spacing w:before="120" w:after="240"/>
        <w:rPr>
          <w:rFonts w:ascii="Arial" w:eastAsia="Times New Roman" w:hAnsi="Arial" w:cs="Arial"/>
          <w:i/>
          <w:iCs/>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I therefore refer this appeal point 1(a)3 to the Appeal Panel</w:t>
      </w:r>
      <w:r w:rsidR="009E48BD">
        <w:rPr>
          <w:rFonts w:ascii="Arial" w:eastAsia="Times New Roman" w:hAnsi="Arial" w:cs="Arial"/>
          <w:color w:val="0D0D0D" w:themeColor="text1" w:themeTint="F2"/>
          <w:sz w:val="20"/>
          <w:szCs w:val="20"/>
          <w:lang w:eastAsia="en-GB"/>
        </w:rPr>
        <w:t>.</w:t>
      </w:r>
    </w:p>
    <w:p w14:paraId="5BC59D38" w14:textId="203EAC34" w:rsidR="00CD7553" w:rsidRPr="002B2A26" w:rsidRDefault="00CD7553" w:rsidP="00DB178D">
      <w:pPr>
        <w:spacing w:before="24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1(a).4</w:t>
      </w:r>
      <w:r w:rsidRPr="002B2A26">
        <w:rPr>
          <w:rFonts w:ascii="Arial" w:eastAsia="Times New Roman" w:hAnsi="Arial" w:cs="Arial"/>
          <w:b/>
          <w:bCs/>
          <w:sz w:val="20"/>
          <w:szCs w:val="20"/>
          <w:u w:val="single"/>
        </w:rPr>
        <w:tab/>
        <w:t xml:space="preserve">The Committee has relied on the EAG’s criticisms of the </w:t>
      </w:r>
      <w:proofErr w:type="gramStart"/>
      <w:r w:rsidRPr="002B2A26">
        <w:rPr>
          <w:rFonts w:ascii="Arial" w:eastAsia="Times New Roman" w:hAnsi="Arial" w:cs="Arial"/>
          <w:b/>
          <w:bCs/>
          <w:sz w:val="20"/>
          <w:szCs w:val="20"/>
          <w:u w:val="single"/>
        </w:rPr>
        <w:t>long term</w:t>
      </w:r>
      <w:proofErr w:type="gramEnd"/>
      <w:r w:rsidRPr="002B2A26">
        <w:rPr>
          <w:rFonts w:ascii="Arial" w:eastAsia="Times New Roman" w:hAnsi="Arial" w:cs="Arial"/>
          <w:b/>
          <w:bCs/>
          <w:sz w:val="20"/>
          <w:szCs w:val="20"/>
          <w:u w:val="single"/>
        </w:rPr>
        <w:t xml:space="preserve"> data for donanemab, even though Lilly was given no opportunity to respond to or clarify these issues</w:t>
      </w:r>
    </w:p>
    <w:p w14:paraId="17F33A3D" w14:textId="77777777" w:rsidR="00385252" w:rsidRPr="002B2A26" w:rsidRDefault="008D718C" w:rsidP="008D718C">
      <w:pPr>
        <w:spacing w:before="120" w:after="240"/>
        <w:rPr>
          <w:rFonts w:ascii="Arial" w:eastAsia="Times New Roman"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 xml:space="preserve">Having considered the additional arguments made in your letter of </w:t>
      </w:r>
      <w:r w:rsidRPr="002B2A26">
        <w:rPr>
          <w:rFonts w:ascii="Arial" w:eastAsia="Times New Roman" w:hAnsi="Arial" w:cs="Arial"/>
          <w:sz w:val="20"/>
          <w:szCs w:val="20"/>
        </w:rPr>
        <w:t>24 July 2025</w:t>
      </w:r>
      <w:r w:rsidRPr="002B2A26">
        <w:rPr>
          <w:rFonts w:ascii="Arial" w:eastAsia="Times New Roman" w:hAnsi="Arial" w:cs="Arial"/>
          <w:color w:val="0D0D0D" w:themeColor="text1" w:themeTint="F2"/>
          <w:sz w:val="20"/>
          <w:szCs w:val="20"/>
          <w:lang w:eastAsia="en-GB"/>
        </w:rPr>
        <w:t xml:space="preserve">, I agree that this is a valid appeal point.  </w:t>
      </w:r>
    </w:p>
    <w:p w14:paraId="5C2FD1EC" w14:textId="7A783512" w:rsidR="00385252" w:rsidRPr="002B2A26" w:rsidRDefault="00385252" w:rsidP="008D718C">
      <w:pPr>
        <w:spacing w:before="120" w:after="240"/>
        <w:rPr>
          <w:rFonts w:ascii="Arial" w:eastAsia="Times New Roman"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 xml:space="preserve">I </w:t>
      </w:r>
      <w:r w:rsidR="007D0CF2" w:rsidRPr="002B2A26">
        <w:rPr>
          <w:rFonts w:ascii="Arial" w:eastAsia="Times New Roman" w:hAnsi="Arial" w:cs="Arial"/>
          <w:color w:val="0D0D0D" w:themeColor="text1" w:themeTint="F2"/>
          <w:sz w:val="20"/>
          <w:szCs w:val="20"/>
          <w:lang w:eastAsia="en-GB"/>
        </w:rPr>
        <w:t>understand your letter to be saying that there were further points the Company wished to make in response to the EAG's position and that the Company</w:t>
      </w:r>
      <w:r w:rsidR="00A7211F" w:rsidRPr="002B2A26">
        <w:rPr>
          <w:rFonts w:ascii="Arial" w:eastAsia="Times New Roman" w:hAnsi="Arial" w:cs="Arial"/>
          <w:color w:val="0D0D0D" w:themeColor="text1" w:themeTint="F2"/>
          <w:sz w:val="20"/>
          <w:szCs w:val="20"/>
          <w:lang w:eastAsia="en-GB"/>
        </w:rPr>
        <w:t xml:space="preserve"> was</w:t>
      </w:r>
      <w:r w:rsidR="007D0CF2" w:rsidRPr="002B2A26">
        <w:rPr>
          <w:rFonts w:ascii="Arial" w:eastAsia="Times New Roman" w:hAnsi="Arial" w:cs="Arial"/>
          <w:color w:val="0D0D0D" w:themeColor="text1" w:themeTint="F2"/>
          <w:sz w:val="20"/>
          <w:szCs w:val="20"/>
          <w:lang w:eastAsia="en-GB"/>
        </w:rPr>
        <w:t xml:space="preserve"> not permitted to do so either before or during ACM3.  I accept that is arguably procedurally unfair. I anticipate that</w:t>
      </w:r>
      <w:r w:rsidRPr="002B2A26">
        <w:rPr>
          <w:rFonts w:ascii="Arial" w:eastAsia="Times New Roman" w:hAnsi="Arial" w:cs="Arial"/>
          <w:color w:val="0D0D0D" w:themeColor="text1" w:themeTint="F2"/>
          <w:sz w:val="20"/>
          <w:szCs w:val="20"/>
          <w:lang w:eastAsia="en-GB"/>
        </w:rPr>
        <w:t xml:space="preserve"> the </w:t>
      </w:r>
      <w:r w:rsidR="007D0CF2" w:rsidRPr="002B2A26">
        <w:rPr>
          <w:rFonts w:ascii="Arial" w:eastAsia="Times New Roman" w:hAnsi="Arial" w:cs="Arial"/>
          <w:color w:val="0D0D0D" w:themeColor="text1" w:themeTint="F2"/>
          <w:sz w:val="20"/>
          <w:szCs w:val="20"/>
          <w:lang w:eastAsia="en-GB"/>
        </w:rPr>
        <w:t>A</w:t>
      </w:r>
      <w:r w:rsidRPr="002B2A26">
        <w:rPr>
          <w:rFonts w:ascii="Arial" w:eastAsia="Times New Roman" w:hAnsi="Arial" w:cs="Arial"/>
          <w:color w:val="0D0D0D" w:themeColor="text1" w:themeTint="F2"/>
          <w:sz w:val="20"/>
          <w:szCs w:val="20"/>
          <w:lang w:eastAsia="en-GB"/>
        </w:rPr>
        <w:t xml:space="preserve">ppeal </w:t>
      </w:r>
      <w:r w:rsidR="007D0CF2" w:rsidRPr="002B2A26">
        <w:rPr>
          <w:rFonts w:ascii="Arial" w:eastAsia="Times New Roman" w:hAnsi="Arial" w:cs="Arial"/>
          <w:color w:val="0D0D0D" w:themeColor="text1" w:themeTint="F2"/>
          <w:sz w:val="20"/>
          <w:szCs w:val="20"/>
          <w:lang w:eastAsia="en-GB"/>
        </w:rPr>
        <w:t>P</w:t>
      </w:r>
      <w:r w:rsidR="00A7211F" w:rsidRPr="002B2A26">
        <w:rPr>
          <w:rFonts w:ascii="Arial" w:eastAsia="Times New Roman" w:hAnsi="Arial" w:cs="Arial"/>
          <w:color w:val="0D0D0D" w:themeColor="text1" w:themeTint="F2"/>
          <w:sz w:val="20"/>
          <w:szCs w:val="20"/>
          <w:lang w:eastAsia="en-GB"/>
        </w:rPr>
        <w:t>anel</w:t>
      </w:r>
      <w:r w:rsidRPr="002B2A26">
        <w:rPr>
          <w:rFonts w:ascii="Arial" w:eastAsia="Times New Roman" w:hAnsi="Arial" w:cs="Arial"/>
          <w:color w:val="0D0D0D" w:themeColor="text1" w:themeTint="F2"/>
          <w:sz w:val="20"/>
          <w:szCs w:val="20"/>
          <w:lang w:eastAsia="en-GB"/>
        </w:rPr>
        <w:t xml:space="preserve"> will require evidence that </w:t>
      </w:r>
      <w:r w:rsidR="00A7211F" w:rsidRPr="002B2A26">
        <w:rPr>
          <w:rFonts w:ascii="Arial" w:eastAsia="Times New Roman" w:hAnsi="Arial" w:cs="Arial"/>
          <w:color w:val="0D0D0D" w:themeColor="text1" w:themeTint="F2"/>
          <w:sz w:val="20"/>
          <w:szCs w:val="20"/>
          <w:lang w:eastAsia="en-GB"/>
        </w:rPr>
        <w:t>the Company was</w:t>
      </w:r>
      <w:r w:rsidRPr="002B2A26">
        <w:rPr>
          <w:rFonts w:ascii="Arial" w:eastAsia="Times New Roman" w:hAnsi="Arial" w:cs="Arial"/>
          <w:color w:val="0D0D0D" w:themeColor="text1" w:themeTint="F2"/>
          <w:sz w:val="20"/>
          <w:szCs w:val="20"/>
          <w:lang w:eastAsia="en-GB"/>
        </w:rPr>
        <w:t xml:space="preserve"> denied the opportunity to ensure the Committee understood the evidence before it.  </w:t>
      </w:r>
    </w:p>
    <w:p w14:paraId="663B1C47" w14:textId="08A77C88" w:rsidR="00CD7553" w:rsidRPr="002B2A26" w:rsidRDefault="00CD7553" w:rsidP="00DB178D">
      <w:pPr>
        <w:spacing w:before="24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1(a).5</w:t>
      </w:r>
      <w:r w:rsidRPr="002B2A26">
        <w:rPr>
          <w:rFonts w:ascii="Arial" w:eastAsia="Times New Roman" w:hAnsi="Arial" w:cs="Arial"/>
          <w:b/>
          <w:bCs/>
          <w:sz w:val="20"/>
          <w:szCs w:val="20"/>
          <w:u w:val="single"/>
        </w:rPr>
        <w:tab/>
        <w:t>The Committee has failed to give due consideration to use of donanemab through managed access in accordance with the Manual and the Innovative Medicines Fund Principles document</w:t>
      </w:r>
    </w:p>
    <w:p w14:paraId="4F11F508" w14:textId="77777777" w:rsidR="008D718C" w:rsidRPr="002B2A26" w:rsidRDefault="008D718C" w:rsidP="008D718C">
      <w:pPr>
        <w:spacing w:before="120" w:after="240"/>
        <w:rPr>
          <w:rFonts w:ascii="Arial"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 xml:space="preserve">Having considered the additional arguments made in your letter of </w:t>
      </w:r>
      <w:r w:rsidRPr="002B2A26">
        <w:rPr>
          <w:rFonts w:ascii="Arial" w:eastAsia="Times New Roman" w:hAnsi="Arial" w:cs="Arial"/>
          <w:sz w:val="20"/>
          <w:szCs w:val="20"/>
        </w:rPr>
        <w:t xml:space="preserve">24 July 2025 </w:t>
      </w:r>
      <w:r w:rsidRPr="002B2A26">
        <w:rPr>
          <w:rFonts w:ascii="Arial" w:eastAsia="Times New Roman" w:hAnsi="Arial" w:cs="Arial"/>
          <w:color w:val="0D0D0D" w:themeColor="text1" w:themeTint="F2"/>
          <w:sz w:val="20"/>
          <w:szCs w:val="20"/>
          <w:lang w:eastAsia="en-GB"/>
        </w:rPr>
        <w:t xml:space="preserve">I </w:t>
      </w:r>
      <w:r w:rsidRPr="002B2A26">
        <w:rPr>
          <w:rFonts w:ascii="Arial" w:hAnsi="Arial" w:cs="Arial"/>
          <w:color w:val="0D0D0D" w:themeColor="text1" w:themeTint="F2"/>
          <w:sz w:val="20"/>
          <w:szCs w:val="20"/>
          <w:lang w:eastAsia="en-GB"/>
        </w:rPr>
        <w:t>remain of the view that this appeal point should not proceed to an oral hearing.</w:t>
      </w:r>
    </w:p>
    <w:p w14:paraId="5930F288" w14:textId="04ABF4B1" w:rsidR="00A7211F" w:rsidRPr="002B2A26" w:rsidRDefault="00A7211F" w:rsidP="008D718C">
      <w:pPr>
        <w:spacing w:before="240" w:after="240"/>
        <w:jc w:val="both"/>
        <w:rPr>
          <w:rFonts w:ascii="Arial" w:eastAsia="Times New Roman" w:hAnsi="Arial" w:cs="Arial"/>
          <w:sz w:val="20"/>
          <w:szCs w:val="20"/>
        </w:rPr>
      </w:pPr>
      <w:bookmarkStart w:id="2" w:name="_Hlk204780923"/>
      <w:r w:rsidRPr="002B2A26">
        <w:rPr>
          <w:rFonts w:ascii="Arial" w:eastAsia="Times New Roman" w:hAnsi="Arial" w:cs="Arial"/>
          <w:sz w:val="20"/>
          <w:szCs w:val="20"/>
        </w:rPr>
        <w:t>The Manual is clear that w</w:t>
      </w:r>
      <w:r w:rsidR="009C0C9A" w:rsidRPr="002B2A26">
        <w:rPr>
          <w:rFonts w:ascii="Arial" w:eastAsia="Times New Roman" w:hAnsi="Arial" w:cs="Arial"/>
          <w:sz w:val="20"/>
          <w:szCs w:val="20"/>
        </w:rPr>
        <w:t>ithout a plausibly cost effective ICER</w:t>
      </w:r>
      <w:r w:rsidRPr="002B2A26">
        <w:rPr>
          <w:rFonts w:ascii="Arial" w:eastAsia="Times New Roman" w:hAnsi="Arial" w:cs="Arial"/>
          <w:sz w:val="20"/>
          <w:szCs w:val="20"/>
        </w:rPr>
        <w:t xml:space="preserve"> at the current price,</w:t>
      </w:r>
      <w:r w:rsidR="009C0C9A" w:rsidRPr="002B2A26">
        <w:rPr>
          <w:rFonts w:ascii="Arial" w:eastAsia="Times New Roman" w:hAnsi="Arial" w:cs="Arial"/>
          <w:sz w:val="20"/>
          <w:szCs w:val="20"/>
        </w:rPr>
        <w:t xml:space="preserve"> the Committee cannot recommend managed access</w:t>
      </w:r>
      <w:r w:rsidRPr="002B2A26">
        <w:rPr>
          <w:rFonts w:ascii="Arial" w:eastAsia="Times New Roman" w:hAnsi="Arial" w:cs="Arial"/>
          <w:sz w:val="20"/>
          <w:szCs w:val="20"/>
        </w:rPr>
        <w:t xml:space="preserve">.  As the Committee had reached that view in this </w:t>
      </w:r>
      <w:r w:rsidR="002D7B46" w:rsidRPr="002B2A26">
        <w:rPr>
          <w:rFonts w:ascii="Arial" w:eastAsia="Times New Roman" w:hAnsi="Arial" w:cs="Arial"/>
          <w:sz w:val="20"/>
          <w:szCs w:val="20"/>
        </w:rPr>
        <w:t>evaluation</w:t>
      </w:r>
      <w:r w:rsidRPr="002B2A26">
        <w:rPr>
          <w:rFonts w:ascii="Arial" w:eastAsia="Times New Roman" w:hAnsi="Arial" w:cs="Arial"/>
          <w:sz w:val="20"/>
          <w:szCs w:val="20"/>
        </w:rPr>
        <w:t>, there is no arguable case that the Committee should nevertheless have made a recommendation with managed access.</w:t>
      </w:r>
    </w:p>
    <w:bookmarkEnd w:id="2"/>
    <w:p w14:paraId="7518C0EB" w14:textId="56D04639" w:rsidR="009C0C9A" w:rsidRPr="002B2A26" w:rsidRDefault="00A7211F" w:rsidP="008D718C">
      <w:pPr>
        <w:spacing w:before="240" w:after="240"/>
        <w:jc w:val="both"/>
        <w:rPr>
          <w:rFonts w:ascii="Arial" w:eastAsia="Times New Roman" w:hAnsi="Arial" w:cs="Arial"/>
          <w:sz w:val="20"/>
          <w:szCs w:val="20"/>
        </w:rPr>
      </w:pPr>
      <w:r w:rsidRPr="002B2A26">
        <w:rPr>
          <w:rFonts w:ascii="Arial" w:eastAsia="Times New Roman" w:hAnsi="Arial" w:cs="Arial"/>
          <w:sz w:val="20"/>
          <w:szCs w:val="20"/>
        </w:rPr>
        <w:t>I note the Company's position that "</w:t>
      </w:r>
      <w:r w:rsidRPr="002B2A26">
        <w:rPr>
          <w:rFonts w:ascii="Arial" w:hAnsi="Arial" w:cs="Arial"/>
          <w:sz w:val="20"/>
          <w:szCs w:val="20"/>
        </w:rPr>
        <w:t>if donanemab is assessed fairly and using assumptions that are reasonable, the ICER values are cost-effective".  That is a separate issue, which is covered by the other appeal points.</w:t>
      </w:r>
      <w:r w:rsidR="009C0C9A" w:rsidRPr="002B2A26">
        <w:rPr>
          <w:rFonts w:ascii="Arial" w:eastAsia="Times New Roman" w:hAnsi="Arial" w:cs="Arial"/>
          <w:sz w:val="20"/>
          <w:szCs w:val="20"/>
        </w:rPr>
        <w:t xml:space="preserve"> </w:t>
      </w:r>
    </w:p>
    <w:p w14:paraId="61D9771A" w14:textId="178DEBDA" w:rsidR="00CD7553" w:rsidRPr="002B2A26" w:rsidRDefault="00CD7553" w:rsidP="00DB178D">
      <w:pPr>
        <w:spacing w:before="24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1(a).6</w:t>
      </w:r>
      <w:r w:rsidRPr="002B2A26">
        <w:rPr>
          <w:rFonts w:ascii="Arial" w:eastAsia="Times New Roman" w:hAnsi="Arial" w:cs="Arial"/>
          <w:b/>
          <w:bCs/>
          <w:sz w:val="20"/>
          <w:szCs w:val="20"/>
          <w:u w:val="single"/>
        </w:rPr>
        <w:tab/>
        <w:t xml:space="preserve">The Committee’s consideration of the appropriate ICER threshold for this appraisal has failed to </w:t>
      </w:r>
      <w:proofErr w:type="gramStart"/>
      <w:r w:rsidRPr="002B2A26">
        <w:rPr>
          <w:rFonts w:ascii="Arial" w:eastAsia="Times New Roman" w:hAnsi="Arial" w:cs="Arial"/>
          <w:b/>
          <w:bCs/>
          <w:sz w:val="20"/>
          <w:szCs w:val="20"/>
          <w:u w:val="single"/>
        </w:rPr>
        <w:t>take into account</w:t>
      </w:r>
      <w:proofErr w:type="gramEnd"/>
      <w:r w:rsidRPr="002B2A26">
        <w:rPr>
          <w:rFonts w:ascii="Arial" w:eastAsia="Times New Roman" w:hAnsi="Arial" w:cs="Arial"/>
          <w:b/>
          <w:bCs/>
          <w:sz w:val="20"/>
          <w:szCs w:val="20"/>
          <w:u w:val="single"/>
        </w:rPr>
        <w:t xml:space="preserve"> the factors listed in the Manual</w:t>
      </w:r>
    </w:p>
    <w:p w14:paraId="56E5F5C2" w14:textId="77777777" w:rsidR="008D718C" w:rsidRPr="002B2A26" w:rsidRDefault="008D718C" w:rsidP="008D718C">
      <w:pPr>
        <w:spacing w:before="120" w:after="240"/>
        <w:rPr>
          <w:rFonts w:ascii="Arial"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 xml:space="preserve">Having considered the additional arguments made in your letter of </w:t>
      </w:r>
      <w:r w:rsidRPr="002B2A26">
        <w:rPr>
          <w:rFonts w:ascii="Arial" w:eastAsia="Times New Roman" w:hAnsi="Arial" w:cs="Arial"/>
          <w:sz w:val="20"/>
          <w:szCs w:val="20"/>
        </w:rPr>
        <w:t xml:space="preserve">24 July 2025 </w:t>
      </w:r>
      <w:r w:rsidRPr="002B2A26">
        <w:rPr>
          <w:rFonts w:ascii="Arial" w:eastAsia="Times New Roman" w:hAnsi="Arial" w:cs="Arial"/>
          <w:color w:val="0D0D0D" w:themeColor="text1" w:themeTint="F2"/>
          <w:sz w:val="20"/>
          <w:szCs w:val="20"/>
          <w:lang w:eastAsia="en-GB"/>
        </w:rPr>
        <w:t xml:space="preserve">I </w:t>
      </w:r>
      <w:r w:rsidRPr="002B2A26">
        <w:rPr>
          <w:rFonts w:ascii="Arial" w:hAnsi="Arial" w:cs="Arial"/>
          <w:color w:val="0D0D0D" w:themeColor="text1" w:themeTint="F2"/>
          <w:sz w:val="20"/>
          <w:szCs w:val="20"/>
          <w:lang w:eastAsia="en-GB"/>
        </w:rPr>
        <w:t>remain of the view that this appeal point should not proceed to an oral hearing.</w:t>
      </w:r>
    </w:p>
    <w:p w14:paraId="1E67BB0C" w14:textId="757BC3CD" w:rsidR="00D516C6" w:rsidRPr="002B2A26" w:rsidRDefault="00D516C6" w:rsidP="00D516C6">
      <w:pPr>
        <w:spacing w:before="120" w:after="240"/>
        <w:rPr>
          <w:rFonts w:ascii="Arial" w:hAnsi="Arial" w:cs="Arial"/>
          <w:color w:val="0D0D0D" w:themeColor="text1" w:themeTint="F2"/>
          <w:sz w:val="20"/>
          <w:szCs w:val="20"/>
          <w:lang w:eastAsia="en-GB"/>
        </w:rPr>
      </w:pPr>
      <w:bookmarkStart w:id="3" w:name="_Hlk204780069"/>
      <w:r w:rsidRPr="002B2A26">
        <w:rPr>
          <w:rFonts w:ascii="Arial" w:hAnsi="Arial" w:cs="Arial"/>
          <w:color w:val="0D0D0D" w:themeColor="text1" w:themeTint="F2"/>
          <w:sz w:val="20"/>
          <w:szCs w:val="20"/>
          <w:lang w:eastAsia="en-GB"/>
        </w:rPr>
        <w:t>I agree with your analysis that the Manual does not expressly r</w:t>
      </w:r>
      <w:r w:rsidR="00352CED" w:rsidRPr="002B2A26">
        <w:rPr>
          <w:rFonts w:ascii="Arial" w:hAnsi="Arial" w:cs="Arial"/>
          <w:color w:val="0D0D0D" w:themeColor="text1" w:themeTint="F2"/>
          <w:sz w:val="20"/>
          <w:szCs w:val="20"/>
          <w:lang w:eastAsia="en-GB"/>
        </w:rPr>
        <w:t>equire the Committee to set an ICER threshold</w:t>
      </w:r>
      <w:r w:rsidRPr="002B2A26">
        <w:rPr>
          <w:rFonts w:ascii="Arial" w:hAnsi="Arial" w:cs="Arial"/>
          <w:color w:val="0D0D0D" w:themeColor="text1" w:themeTint="F2"/>
          <w:sz w:val="20"/>
          <w:szCs w:val="20"/>
          <w:lang w:eastAsia="en-GB"/>
        </w:rPr>
        <w:t xml:space="preserve">.  It is the case, however, that </w:t>
      </w:r>
      <w:proofErr w:type="gramStart"/>
      <w:r w:rsidRPr="002B2A26">
        <w:rPr>
          <w:rFonts w:ascii="Arial" w:hAnsi="Arial" w:cs="Arial"/>
          <w:color w:val="0D0D0D" w:themeColor="text1" w:themeTint="F2"/>
          <w:sz w:val="20"/>
          <w:szCs w:val="20"/>
          <w:lang w:eastAsia="en-GB"/>
        </w:rPr>
        <w:t>in order to</w:t>
      </w:r>
      <w:proofErr w:type="gramEnd"/>
      <w:r w:rsidRPr="002B2A26">
        <w:rPr>
          <w:rFonts w:ascii="Arial" w:hAnsi="Arial" w:cs="Arial"/>
          <w:color w:val="0D0D0D" w:themeColor="text1" w:themeTint="F2"/>
          <w:sz w:val="20"/>
          <w:szCs w:val="20"/>
          <w:lang w:eastAsia="en-GB"/>
        </w:rPr>
        <w:t xml:space="preserve"> reach a decision about whether to recommend a technology, the Committee </w:t>
      </w:r>
      <w:proofErr w:type="gramStart"/>
      <w:r w:rsidRPr="002B2A26">
        <w:rPr>
          <w:rFonts w:ascii="Arial" w:hAnsi="Arial" w:cs="Arial"/>
          <w:color w:val="0D0D0D" w:themeColor="text1" w:themeTint="F2"/>
          <w:sz w:val="20"/>
          <w:szCs w:val="20"/>
          <w:lang w:eastAsia="en-GB"/>
        </w:rPr>
        <w:t>has to</w:t>
      </w:r>
      <w:proofErr w:type="gramEnd"/>
      <w:r w:rsidRPr="002B2A26">
        <w:rPr>
          <w:rFonts w:ascii="Arial" w:hAnsi="Arial" w:cs="Arial"/>
          <w:color w:val="0D0D0D" w:themeColor="text1" w:themeTint="F2"/>
          <w:sz w:val="20"/>
          <w:szCs w:val="20"/>
          <w:lang w:eastAsia="en-GB"/>
        </w:rPr>
        <w:t xml:space="preserve"> consider both (1) the most plausible ICER for that technology; and (2) whether to depart from the usual threshold for a positive recommendation. I agree that a decision to recommend (or not recommend) a technology with a most plausible ICER above £20,000 should be taken following consideration of the factors listed in paragraph 6.3.5 of the Manual.  Those factors have demonstrably been </w:t>
      </w:r>
      <w:proofErr w:type="gramStart"/>
      <w:r w:rsidRPr="002B2A26">
        <w:rPr>
          <w:rFonts w:ascii="Arial" w:hAnsi="Arial" w:cs="Arial"/>
          <w:color w:val="0D0D0D" w:themeColor="text1" w:themeTint="F2"/>
          <w:sz w:val="20"/>
          <w:szCs w:val="20"/>
          <w:lang w:eastAsia="en-GB"/>
        </w:rPr>
        <w:t>taken into account</w:t>
      </w:r>
      <w:proofErr w:type="gramEnd"/>
      <w:r w:rsidRPr="002B2A26">
        <w:rPr>
          <w:rFonts w:ascii="Arial" w:hAnsi="Arial" w:cs="Arial"/>
          <w:color w:val="0D0D0D" w:themeColor="text1" w:themeTint="F2"/>
          <w:sz w:val="20"/>
          <w:szCs w:val="20"/>
          <w:lang w:eastAsia="en-GB"/>
        </w:rPr>
        <w:t xml:space="preserve"> in this evaluation.  They have therefore been </w:t>
      </w:r>
      <w:proofErr w:type="gramStart"/>
      <w:r w:rsidRPr="002B2A26">
        <w:rPr>
          <w:rFonts w:ascii="Arial" w:hAnsi="Arial" w:cs="Arial"/>
          <w:color w:val="0D0D0D" w:themeColor="text1" w:themeTint="F2"/>
          <w:sz w:val="20"/>
          <w:szCs w:val="20"/>
          <w:lang w:eastAsia="en-GB"/>
        </w:rPr>
        <w:t>taken into account</w:t>
      </w:r>
      <w:proofErr w:type="gramEnd"/>
      <w:r w:rsidRPr="002B2A26">
        <w:rPr>
          <w:rFonts w:ascii="Arial" w:hAnsi="Arial" w:cs="Arial"/>
          <w:color w:val="0D0D0D" w:themeColor="text1" w:themeTint="F2"/>
          <w:sz w:val="20"/>
          <w:szCs w:val="20"/>
          <w:lang w:eastAsia="en-GB"/>
        </w:rPr>
        <w:t xml:space="preserve"> in the context of 'the acceptability of the technology as an effective use of NHS resources'.  I do not accept that there is arguably a separate or freestanding obligation on the Committee to expressly record its consideration of those factors in reaching a decision not to depart from the usual threshold</w:t>
      </w:r>
      <w:r w:rsidR="00ED1955" w:rsidRPr="002B2A26">
        <w:rPr>
          <w:rFonts w:ascii="Arial" w:hAnsi="Arial" w:cs="Arial"/>
          <w:color w:val="0D0D0D" w:themeColor="text1" w:themeTint="F2"/>
          <w:sz w:val="20"/>
          <w:szCs w:val="20"/>
          <w:lang w:eastAsia="en-GB"/>
        </w:rPr>
        <w:t>.</w:t>
      </w:r>
    </w:p>
    <w:bookmarkEnd w:id="3"/>
    <w:p w14:paraId="4BA2D449" w14:textId="77777777" w:rsidR="00D516C6" w:rsidRPr="002B2A26" w:rsidRDefault="00D516C6" w:rsidP="00D516C6">
      <w:pPr>
        <w:spacing w:before="24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1(a).7</w:t>
      </w:r>
      <w:r w:rsidRPr="002B2A26">
        <w:rPr>
          <w:rFonts w:ascii="Arial" w:eastAsia="Times New Roman" w:hAnsi="Arial" w:cs="Arial"/>
          <w:b/>
          <w:bCs/>
          <w:sz w:val="20"/>
          <w:szCs w:val="20"/>
          <w:u w:val="single"/>
        </w:rPr>
        <w:tab/>
        <w:t>The Committee has failed to consider scenario analyses which include unpaid care costs</w:t>
      </w:r>
    </w:p>
    <w:p w14:paraId="41B860D7" w14:textId="291A73F8" w:rsidR="00D516C6" w:rsidRPr="002B2A26" w:rsidRDefault="00D516C6" w:rsidP="00D516C6">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I confirm my decision to refer this appeal point to the Appeal Panel.</w:t>
      </w:r>
    </w:p>
    <w:p w14:paraId="352B291B" w14:textId="5050AAE1" w:rsidR="00CD7553" w:rsidRPr="002B2A26" w:rsidRDefault="00CD7553" w:rsidP="00DB178D">
      <w:pPr>
        <w:spacing w:before="24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1(a).8</w:t>
      </w:r>
      <w:r w:rsidRPr="002B2A26">
        <w:rPr>
          <w:rFonts w:ascii="Arial" w:eastAsia="Times New Roman" w:hAnsi="Arial" w:cs="Arial"/>
          <w:b/>
          <w:bCs/>
          <w:sz w:val="20"/>
          <w:szCs w:val="20"/>
          <w:u w:val="single"/>
        </w:rPr>
        <w:tab/>
        <w:t xml:space="preserve">The </w:t>
      </w:r>
      <w:proofErr w:type="gramStart"/>
      <w:r w:rsidRPr="002B2A26">
        <w:rPr>
          <w:rFonts w:ascii="Arial" w:eastAsia="Times New Roman" w:hAnsi="Arial" w:cs="Arial"/>
          <w:b/>
          <w:bCs/>
          <w:sz w:val="20"/>
          <w:szCs w:val="20"/>
          <w:u w:val="single"/>
        </w:rPr>
        <w:t>Committee  has</w:t>
      </w:r>
      <w:proofErr w:type="gramEnd"/>
      <w:r w:rsidRPr="002B2A26">
        <w:rPr>
          <w:rFonts w:ascii="Arial" w:eastAsia="Times New Roman" w:hAnsi="Arial" w:cs="Arial"/>
          <w:b/>
          <w:bCs/>
          <w:sz w:val="20"/>
          <w:szCs w:val="20"/>
          <w:u w:val="single"/>
        </w:rPr>
        <w:t xml:space="preserve"> </w:t>
      </w:r>
      <w:proofErr w:type="gramStart"/>
      <w:r w:rsidRPr="002B2A26">
        <w:rPr>
          <w:rFonts w:ascii="Arial" w:eastAsia="Times New Roman" w:hAnsi="Arial" w:cs="Arial"/>
          <w:b/>
          <w:bCs/>
          <w:sz w:val="20"/>
          <w:szCs w:val="20"/>
          <w:u w:val="single"/>
        </w:rPr>
        <w:t>taken into account</w:t>
      </w:r>
      <w:proofErr w:type="gramEnd"/>
      <w:r w:rsidRPr="002B2A26">
        <w:rPr>
          <w:rFonts w:ascii="Arial" w:eastAsia="Times New Roman" w:hAnsi="Arial" w:cs="Arial"/>
          <w:b/>
          <w:bCs/>
          <w:sz w:val="20"/>
          <w:szCs w:val="20"/>
          <w:u w:val="single"/>
        </w:rPr>
        <w:t xml:space="preserve"> an irrelevant factor when deciding not to recommend donanemab</w:t>
      </w:r>
    </w:p>
    <w:p w14:paraId="382335E2" w14:textId="77777777" w:rsidR="008D718C" w:rsidRPr="002B2A26" w:rsidRDefault="008D718C" w:rsidP="008D718C">
      <w:pPr>
        <w:spacing w:before="120" w:after="240"/>
        <w:rPr>
          <w:rFonts w:ascii="Arial"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 xml:space="preserve">Having considered the additional arguments made in your letter of </w:t>
      </w:r>
      <w:r w:rsidRPr="002B2A26">
        <w:rPr>
          <w:rFonts w:ascii="Arial" w:eastAsia="Times New Roman" w:hAnsi="Arial" w:cs="Arial"/>
          <w:sz w:val="20"/>
          <w:szCs w:val="20"/>
        </w:rPr>
        <w:t xml:space="preserve">24 July 2025 </w:t>
      </w:r>
      <w:r w:rsidRPr="002B2A26">
        <w:rPr>
          <w:rFonts w:ascii="Arial" w:eastAsia="Times New Roman" w:hAnsi="Arial" w:cs="Arial"/>
          <w:color w:val="0D0D0D" w:themeColor="text1" w:themeTint="F2"/>
          <w:sz w:val="20"/>
          <w:szCs w:val="20"/>
          <w:lang w:eastAsia="en-GB"/>
        </w:rPr>
        <w:t xml:space="preserve">I </w:t>
      </w:r>
      <w:r w:rsidRPr="002B2A26">
        <w:rPr>
          <w:rFonts w:ascii="Arial" w:hAnsi="Arial" w:cs="Arial"/>
          <w:color w:val="0D0D0D" w:themeColor="text1" w:themeTint="F2"/>
          <w:sz w:val="20"/>
          <w:szCs w:val="20"/>
          <w:lang w:eastAsia="en-GB"/>
        </w:rPr>
        <w:t>remain of the view that this appeal point should not proceed to an oral hearing.</w:t>
      </w:r>
    </w:p>
    <w:p w14:paraId="7A0A041D" w14:textId="4741EF6C" w:rsidR="003C15E7" w:rsidRPr="002B2A26" w:rsidRDefault="00ED1955" w:rsidP="003C15E7">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I have considered your additional summary of the appeal point carefully, and </w:t>
      </w:r>
      <w:r w:rsidR="00F13285" w:rsidRPr="002B2A26">
        <w:rPr>
          <w:rFonts w:ascii="Arial" w:hAnsi="Arial" w:cs="Arial"/>
          <w:color w:val="0D0D0D" w:themeColor="text1" w:themeTint="F2"/>
          <w:sz w:val="20"/>
          <w:szCs w:val="20"/>
          <w:lang w:eastAsia="en-GB"/>
        </w:rPr>
        <w:t>it is</w:t>
      </w:r>
      <w:r w:rsidRPr="002B2A26">
        <w:rPr>
          <w:rFonts w:ascii="Arial" w:hAnsi="Arial" w:cs="Arial"/>
          <w:color w:val="0D0D0D" w:themeColor="text1" w:themeTint="F2"/>
          <w:sz w:val="20"/>
          <w:szCs w:val="20"/>
          <w:lang w:eastAsia="en-GB"/>
        </w:rPr>
        <w:t xml:space="preserve"> unclear where any misunderstanding of it in my initial scrutiny letter is said to have arisen.</w:t>
      </w:r>
      <w:r w:rsidR="003C15E7" w:rsidRPr="002B2A26">
        <w:rPr>
          <w:rFonts w:ascii="Arial" w:hAnsi="Arial" w:cs="Arial"/>
          <w:color w:val="0D0D0D" w:themeColor="text1" w:themeTint="F2"/>
          <w:sz w:val="20"/>
          <w:szCs w:val="20"/>
          <w:lang w:eastAsia="en-GB"/>
        </w:rPr>
        <w:t xml:space="preserve">  </w:t>
      </w:r>
      <w:bookmarkStart w:id="4" w:name="_Hlk204780206"/>
      <w:r w:rsidRPr="002B2A26">
        <w:rPr>
          <w:rFonts w:ascii="Arial" w:hAnsi="Arial" w:cs="Arial"/>
          <w:color w:val="0D0D0D" w:themeColor="text1" w:themeTint="F2"/>
          <w:sz w:val="20"/>
          <w:szCs w:val="20"/>
          <w:lang w:eastAsia="en-GB"/>
        </w:rPr>
        <w:t xml:space="preserve">I understand your argument to be that the Committee relied upon matters outside its remit </w:t>
      </w:r>
      <w:r w:rsidR="00C54534" w:rsidRPr="002B2A26">
        <w:rPr>
          <w:rFonts w:ascii="Arial" w:hAnsi="Arial" w:cs="Arial"/>
          <w:color w:val="0D0D0D" w:themeColor="text1" w:themeTint="F2"/>
          <w:sz w:val="20"/>
          <w:szCs w:val="20"/>
          <w:lang w:eastAsia="en-GB"/>
        </w:rPr>
        <w:t xml:space="preserve">(and therefore irrelevant) </w:t>
      </w:r>
      <w:r w:rsidRPr="002B2A26">
        <w:rPr>
          <w:rFonts w:ascii="Arial" w:hAnsi="Arial" w:cs="Arial"/>
          <w:color w:val="0D0D0D" w:themeColor="text1" w:themeTint="F2"/>
          <w:sz w:val="20"/>
          <w:szCs w:val="20"/>
          <w:lang w:eastAsia="en-GB"/>
        </w:rPr>
        <w:t xml:space="preserve">in reaching the conclusions expressed as to decision risk and uncertainty in paragraph 3.25 and as to managed access in paragraph 3.26.   </w:t>
      </w:r>
    </w:p>
    <w:p w14:paraId="359C68E4" w14:textId="33ECD8FA" w:rsidR="003C15E7" w:rsidRPr="002B2A26" w:rsidRDefault="003C15E7" w:rsidP="003C15E7">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Paragraph 3.25 records that the Committee took account of the fact that "</w:t>
      </w:r>
      <w:r w:rsidRPr="003C15E7">
        <w:rPr>
          <w:rFonts w:ascii="Arial" w:hAnsi="Arial" w:cs="Arial"/>
          <w:color w:val="0D0D0D" w:themeColor="text1" w:themeTint="F2"/>
          <w:sz w:val="20"/>
          <w:szCs w:val="20"/>
          <w:lang w:eastAsia="en-GB"/>
        </w:rPr>
        <w:t>substantial resources would be needed to implement access to donanemab in the NHS and that this may affect the provision of other services</w:t>
      </w:r>
      <w:r w:rsidRPr="002B2A26">
        <w:rPr>
          <w:rFonts w:ascii="Arial" w:hAnsi="Arial" w:cs="Arial"/>
          <w:color w:val="0D0D0D" w:themeColor="text1" w:themeTint="F2"/>
          <w:sz w:val="20"/>
          <w:szCs w:val="20"/>
          <w:lang w:eastAsia="en-GB"/>
        </w:rPr>
        <w:t xml:space="preserve">" as part of its consideration of decision risk, in line with paragraph 6.2.33 of the Manual.  </w:t>
      </w:r>
    </w:p>
    <w:p w14:paraId="708E17CD" w14:textId="204CB88D" w:rsidR="003C15E7" w:rsidRPr="002B2A26" w:rsidRDefault="003C15E7" w:rsidP="003C15E7">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Paragraph 3.26 records (as noted above) the Committee's conclusion that:</w:t>
      </w:r>
    </w:p>
    <w:p w14:paraId="345E6B9E" w14:textId="77777777" w:rsidR="003C15E7" w:rsidRPr="002B2A26" w:rsidRDefault="003C15E7" w:rsidP="003C15E7">
      <w:pPr>
        <w:spacing w:before="120" w:after="240"/>
        <w:ind w:left="720"/>
        <w:rPr>
          <w:rFonts w:ascii="Arial" w:hAnsi="Arial" w:cs="Arial"/>
          <w:color w:val="0D0D0D" w:themeColor="text1" w:themeTint="F2"/>
          <w:sz w:val="20"/>
          <w:szCs w:val="20"/>
          <w:lang w:eastAsia="en-GB"/>
        </w:rPr>
      </w:pPr>
      <w:r w:rsidRPr="002B2A26">
        <w:rPr>
          <w:rFonts w:ascii="Arial" w:hAnsi="Arial" w:cs="Arial"/>
          <w:i/>
          <w:iCs/>
          <w:color w:val="0D0D0D" w:themeColor="text1" w:themeTint="F2"/>
          <w:sz w:val="20"/>
          <w:szCs w:val="20"/>
          <w:lang w:eastAsia="en-GB"/>
        </w:rPr>
        <w:t>Specifically, the ICER for donanemab incorporating the committee's preferred assumptions was not plausibly cost effective.</w:t>
      </w:r>
    </w:p>
    <w:p w14:paraId="53902FFF" w14:textId="3FD3D754" w:rsidR="003C15E7" w:rsidRPr="002B2A26" w:rsidRDefault="003C15E7" w:rsidP="003C15E7">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That being the case, it was not open to the Committee to recommend with managed access.  </w:t>
      </w:r>
    </w:p>
    <w:p w14:paraId="1A9739C4" w14:textId="357F2B5B" w:rsidR="003C15E7" w:rsidRPr="003C15E7" w:rsidRDefault="003C15E7" w:rsidP="003C15E7">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Given the above, it is not arguably the case that the Committee has based its decision on factors which are outside its remit.</w:t>
      </w:r>
    </w:p>
    <w:bookmarkEnd w:id="4"/>
    <w:p w14:paraId="4710A553" w14:textId="308FE8CA" w:rsidR="00DB178D" w:rsidRPr="002B2A26" w:rsidRDefault="00DB178D" w:rsidP="00DB178D">
      <w:pPr>
        <w:pStyle w:val="Paragraph"/>
        <w:numPr>
          <w:ilvl w:val="0"/>
          <w:numId w:val="0"/>
        </w:numPr>
        <w:spacing w:before="120"/>
        <w:jc w:val="both"/>
        <w:rPr>
          <w:rFonts w:cs="Arial"/>
          <w:b/>
          <w:i/>
          <w:sz w:val="20"/>
          <w:szCs w:val="20"/>
        </w:rPr>
      </w:pPr>
      <w:r w:rsidRPr="002B2A26">
        <w:rPr>
          <w:rFonts w:cs="Arial"/>
          <w:b/>
          <w:i/>
          <w:sz w:val="20"/>
          <w:szCs w:val="20"/>
        </w:rPr>
        <w:t>Ground 2:</w:t>
      </w:r>
      <w:r w:rsidRPr="002B2A26">
        <w:rPr>
          <w:rFonts w:cs="Arial"/>
          <w:i/>
          <w:sz w:val="20"/>
          <w:szCs w:val="20"/>
        </w:rPr>
        <w:t xml:space="preserve"> </w:t>
      </w:r>
      <w:r w:rsidRPr="002B2A26">
        <w:rPr>
          <w:rFonts w:cs="Arial"/>
          <w:b/>
          <w:i/>
          <w:sz w:val="20"/>
          <w:szCs w:val="20"/>
        </w:rPr>
        <w:t>the recommendation is unreasonable in the light of the evidence submitted to NICE</w:t>
      </w:r>
    </w:p>
    <w:p w14:paraId="38A41F6E" w14:textId="3715D32E" w:rsidR="00CD7553" w:rsidRPr="002B2A26" w:rsidRDefault="00CD7553" w:rsidP="00CD7553">
      <w:pPr>
        <w:spacing w:before="12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2.1</w:t>
      </w:r>
      <w:r w:rsidRPr="002B2A26">
        <w:rPr>
          <w:rFonts w:ascii="Arial" w:eastAsia="Times New Roman" w:hAnsi="Arial" w:cs="Arial"/>
          <w:b/>
          <w:bCs/>
          <w:sz w:val="20"/>
          <w:szCs w:val="20"/>
          <w:u w:val="single"/>
        </w:rPr>
        <w:tab/>
        <w:t>The Committee’s conclusions on caregiver utilities do not reflect the evidence available and are therefore unreasonable</w:t>
      </w:r>
    </w:p>
    <w:p w14:paraId="12DAB18A" w14:textId="3CD915A1" w:rsidR="00CD7553" w:rsidRPr="002B2A26" w:rsidRDefault="003C15E7" w:rsidP="005A7A7D">
      <w:pPr>
        <w:spacing w:before="120" w:after="240"/>
        <w:jc w:val="both"/>
        <w:rPr>
          <w:rFonts w:ascii="Arial" w:eastAsia="Times New Roman" w:hAnsi="Arial" w:cs="Arial"/>
          <w:sz w:val="20"/>
          <w:szCs w:val="20"/>
        </w:rPr>
      </w:pPr>
      <w:r w:rsidRPr="002B2A26">
        <w:rPr>
          <w:rFonts w:ascii="Arial" w:eastAsia="Times New Roman" w:hAnsi="Arial" w:cs="Arial"/>
          <w:color w:val="0D0D0D" w:themeColor="text1" w:themeTint="F2"/>
          <w:sz w:val="20"/>
          <w:szCs w:val="20"/>
          <w:lang w:eastAsia="en-GB"/>
        </w:rPr>
        <w:t>I confirm my decision to refer this appeal point to the Appeal Panel.</w:t>
      </w:r>
    </w:p>
    <w:p w14:paraId="3C6222CE" w14:textId="5B4570C2" w:rsidR="00801DB2" w:rsidRPr="002B2A26" w:rsidRDefault="00801DB2" w:rsidP="005A7A7D">
      <w:pPr>
        <w:spacing w:before="12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2.2</w:t>
      </w:r>
      <w:r w:rsidRPr="002B2A26">
        <w:rPr>
          <w:rFonts w:ascii="Arial" w:eastAsia="Times New Roman" w:hAnsi="Arial" w:cs="Arial"/>
          <w:b/>
          <w:bCs/>
          <w:sz w:val="20"/>
          <w:szCs w:val="20"/>
          <w:u w:val="single"/>
        </w:rPr>
        <w:tab/>
        <w:t>The Committee’s approach to the proportion of patients initiating treatment in mild Alzheimer’s Disease is inconsistent and unreasonable</w:t>
      </w:r>
    </w:p>
    <w:p w14:paraId="3682CAF2" w14:textId="77777777" w:rsidR="008D718C" w:rsidRPr="002B2A26" w:rsidRDefault="008D718C" w:rsidP="008D718C">
      <w:pPr>
        <w:spacing w:before="120" w:after="240"/>
        <w:rPr>
          <w:rFonts w:ascii="Arial"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 xml:space="preserve">Having considered the additional arguments made in your letter of </w:t>
      </w:r>
      <w:r w:rsidRPr="002B2A26">
        <w:rPr>
          <w:rFonts w:ascii="Arial" w:eastAsia="Times New Roman" w:hAnsi="Arial" w:cs="Arial"/>
          <w:sz w:val="20"/>
          <w:szCs w:val="20"/>
        </w:rPr>
        <w:t xml:space="preserve">24 July 2025 </w:t>
      </w:r>
      <w:r w:rsidRPr="002B2A26">
        <w:rPr>
          <w:rFonts w:ascii="Arial" w:eastAsia="Times New Roman" w:hAnsi="Arial" w:cs="Arial"/>
          <w:color w:val="0D0D0D" w:themeColor="text1" w:themeTint="F2"/>
          <w:sz w:val="20"/>
          <w:szCs w:val="20"/>
          <w:lang w:eastAsia="en-GB"/>
        </w:rPr>
        <w:t xml:space="preserve">I </w:t>
      </w:r>
      <w:r w:rsidRPr="002B2A26">
        <w:rPr>
          <w:rFonts w:ascii="Arial" w:hAnsi="Arial" w:cs="Arial"/>
          <w:color w:val="0D0D0D" w:themeColor="text1" w:themeTint="F2"/>
          <w:sz w:val="20"/>
          <w:szCs w:val="20"/>
          <w:lang w:eastAsia="en-GB"/>
        </w:rPr>
        <w:t>remain of the view that this appeal point should not proceed to an oral hearing.</w:t>
      </w:r>
    </w:p>
    <w:p w14:paraId="391BCD9A" w14:textId="2C2AECFC" w:rsidR="003B779D" w:rsidRPr="002B2A26" w:rsidRDefault="001849B8" w:rsidP="008D718C">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I remain of the view that the Committee has demonstrated </w:t>
      </w:r>
      <w:r w:rsidR="00F13285" w:rsidRPr="002B2A26">
        <w:rPr>
          <w:rFonts w:ascii="Arial" w:hAnsi="Arial" w:cs="Arial"/>
          <w:color w:val="0D0D0D" w:themeColor="text1" w:themeTint="F2"/>
          <w:sz w:val="20"/>
          <w:szCs w:val="20"/>
          <w:lang w:eastAsia="en-GB"/>
        </w:rPr>
        <w:t>in</w:t>
      </w:r>
      <w:r w:rsidRPr="002B2A26">
        <w:rPr>
          <w:rFonts w:ascii="Arial" w:hAnsi="Arial" w:cs="Arial"/>
          <w:color w:val="0D0D0D" w:themeColor="text1" w:themeTint="F2"/>
          <w:sz w:val="20"/>
          <w:szCs w:val="20"/>
          <w:lang w:eastAsia="en-GB"/>
        </w:rPr>
        <w:t xml:space="preserve"> paragraph 3.1</w:t>
      </w:r>
      <w:r w:rsidR="003B779D" w:rsidRPr="002B2A26">
        <w:rPr>
          <w:rFonts w:ascii="Arial" w:hAnsi="Arial" w:cs="Arial"/>
          <w:color w:val="0D0D0D" w:themeColor="text1" w:themeTint="F2"/>
          <w:sz w:val="20"/>
          <w:szCs w:val="20"/>
          <w:lang w:eastAsia="en-GB"/>
        </w:rPr>
        <w:t>3</w:t>
      </w:r>
      <w:r w:rsidRPr="002B2A26">
        <w:rPr>
          <w:rFonts w:ascii="Arial" w:hAnsi="Arial" w:cs="Arial"/>
          <w:color w:val="0D0D0D" w:themeColor="text1" w:themeTint="F2"/>
          <w:sz w:val="20"/>
          <w:szCs w:val="20"/>
          <w:lang w:eastAsia="en-GB"/>
        </w:rPr>
        <w:t xml:space="preserve"> of the FDG that </w:t>
      </w:r>
      <w:r w:rsidR="00F13285" w:rsidRPr="002B2A26">
        <w:rPr>
          <w:rFonts w:ascii="Arial" w:hAnsi="Arial" w:cs="Arial"/>
          <w:color w:val="0D0D0D" w:themeColor="text1" w:themeTint="F2"/>
          <w:sz w:val="20"/>
          <w:szCs w:val="20"/>
          <w:lang w:eastAsia="en-GB"/>
        </w:rPr>
        <w:t>it</w:t>
      </w:r>
      <w:r w:rsidRPr="002B2A26">
        <w:rPr>
          <w:rFonts w:ascii="Arial" w:hAnsi="Arial" w:cs="Arial"/>
          <w:color w:val="0D0D0D" w:themeColor="text1" w:themeTint="F2"/>
          <w:sz w:val="20"/>
          <w:szCs w:val="20"/>
          <w:lang w:eastAsia="en-GB"/>
        </w:rPr>
        <w:t xml:space="preserve"> understood the challenges of the data</w:t>
      </w:r>
      <w:r w:rsidR="003B779D" w:rsidRPr="002B2A26">
        <w:rPr>
          <w:rFonts w:ascii="Arial" w:hAnsi="Arial" w:cs="Arial"/>
          <w:color w:val="0D0D0D" w:themeColor="text1" w:themeTint="F2"/>
          <w:sz w:val="20"/>
          <w:szCs w:val="20"/>
          <w:lang w:eastAsia="en-GB"/>
        </w:rPr>
        <w:t xml:space="preserve">, and that a fundamentally similar approach was taken across the donanemab and </w:t>
      </w:r>
      <w:proofErr w:type="spellStart"/>
      <w:r w:rsidR="003B779D" w:rsidRPr="002B2A26">
        <w:rPr>
          <w:rFonts w:ascii="Arial" w:hAnsi="Arial" w:cs="Arial"/>
          <w:color w:val="0D0D0D" w:themeColor="text1" w:themeTint="F2"/>
          <w:sz w:val="20"/>
          <w:szCs w:val="20"/>
          <w:lang w:eastAsia="en-GB"/>
        </w:rPr>
        <w:t>lecanemab</w:t>
      </w:r>
      <w:proofErr w:type="spellEnd"/>
      <w:r w:rsidR="003B779D" w:rsidRPr="002B2A26">
        <w:rPr>
          <w:rFonts w:ascii="Arial" w:hAnsi="Arial" w:cs="Arial"/>
          <w:color w:val="0D0D0D" w:themeColor="text1" w:themeTint="F2"/>
          <w:sz w:val="20"/>
          <w:szCs w:val="20"/>
          <w:lang w:eastAsia="en-GB"/>
        </w:rPr>
        <w:t xml:space="preserve"> evaluations, with considerable cross-pollination between the two, owing at least in part to the helpful input from the companies involved</w:t>
      </w:r>
      <w:r w:rsidRPr="002B2A26">
        <w:rPr>
          <w:rFonts w:ascii="Arial" w:hAnsi="Arial" w:cs="Arial"/>
          <w:color w:val="0D0D0D" w:themeColor="text1" w:themeTint="F2"/>
          <w:sz w:val="20"/>
          <w:szCs w:val="20"/>
          <w:lang w:eastAsia="en-GB"/>
        </w:rPr>
        <w:t>.</w:t>
      </w:r>
      <w:r w:rsidR="003B779D" w:rsidRPr="002B2A26">
        <w:rPr>
          <w:rFonts w:ascii="Arial" w:hAnsi="Arial" w:cs="Arial"/>
          <w:color w:val="0D0D0D" w:themeColor="text1" w:themeTint="F2"/>
          <w:sz w:val="20"/>
          <w:szCs w:val="20"/>
          <w:lang w:eastAsia="en-GB"/>
        </w:rPr>
        <w:t xml:space="preserve">  </w:t>
      </w:r>
    </w:p>
    <w:p w14:paraId="1CF4BA4C" w14:textId="529BE5BD" w:rsidR="003B779D" w:rsidRPr="002B2A26" w:rsidRDefault="003B779D" w:rsidP="008D718C">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Paragraph 3.13 explains that the Company's model for ACM 1 assumed starting proportions informed by TRAILBLAZERALZ-2, of 20:80 </w:t>
      </w:r>
      <w:proofErr w:type="spellStart"/>
      <w:proofErr w:type="gramStart"/>
      <w:r w:rsidR="007A37F5" w:rsidRPr="002B2A26">
        <w:rPr>
          <w:rFonts w:ascii="Arial" w:hAnsi="Arial" w:cs="Arial"/>
          <w:color w:val="0D0D0D" w:themeColor="text1" w:themeTint="F2"/>
          <w:sz w:val="20"/>
          <w:szCs w:val="20"/>
          <w:lang w:eastAsia="en-GB"/>
        </w:rPr>
        <w:t>MCI:</w:t>
      </w:r>
      <w:r w:rsidR="00982660" w:rsidRPr="002B2A26">
        <w:rPr>
          <w:rFonts w:ascii="Arial" w:hAnsi="Arial" w:cs="Arial"/>
          <w:color w:val="0D0D0D" w:themeColor="text1" w:themeTint="F2"/>
          <w:sz w:val="20"/>
          <w:szCs w:val="20"/>
          <w:lang w:eastAsia="en-GB"/>
        </w:rPr>
        <w:t>m</w:t>
      </w:r>
      <w:r w:rsidR="007A37F5" w:rsidRPr="002B2A26">
        <w:rPr>
          <w:rFonts w:ascii="Arial" w:hAnsi="Arial" w:cs="Arial"/>
          <w:color w:val="0D0D0D" w:themeColor="text1" w:themeTint="F2"/>
          <w:sz w:val="20"/>
          <w:szCs w:val="20"/>
          <w:lang w:eastAsia="en-GB"/>
        </w:rPr>
        <w:t>ild</w:t>
      </w:r>
      <w:proofErr w:type="spellEnd"/>
      <w:proofErr w:type="gramEnd"/>
      <w:r w:rsidR="007A37F5" w:rsidRPr="002B2A26">
        <w:rPr>
          <w:rFonts w:ascii="Arial" w:hAnsi="Arial" w:cs="Arial"/>
          <w:color w:val="0D0D0D" w:themeColor="text1" w:themeTint="F2"/>
          <w:sz w:val="20"/>
          <w:szCs w:val="20"/>
          <w:lang w:eastAsia="en-GB"/>
        </w:rPr>
        <w:t xml:space="preserve"> </w:t>
      </w:r>
      <w:r w:rsidR="00982660" w:rsidRPr="002B2A26">
        <w:rPr>
          <w:rFonts w:ascii="Arial" w:hAnsi="Arial" w:cs="Arial"/>
          <w:color w:val="0D0D0D" w:themeColor="text1" w:themeTint="F2"/>
          <w:sz w:val="20"/>
          <w:szCs w:val="20"/>
          <w:lang w:eastAsia="en-GB"/>
        </w:rPr>
        <w:t>dementia</w:t>
      </w:r>
      <w:r w:rsidR="007A37F5" w:rsidRPr="002B2A26">
        <w:rPr>
          <w:rFonts w:ascii="Arial" w:hAnsi="Arial" w:cs="Arial"/>
          <w:color w:val="0D0D0D" w:themeColor="text1" w:themeTint="F2"/>
          <w:sz w:val="20"/>
          <w:szCs w:val="20"/>
          <w:lang w:eastAsia="en-GB"/>
        </w:rPr>
        <w:t xml:space="preserve">.  At ACM 2 the Company proposed very different proportions, of 70:30 </w:t>
      </w:r>
      <w:proofErr w:type="spellStart"/>
      <w:proofErr w:type="gramStart"/>
      <w:r w:rsidR="007A37F5" w:rsidRPr="002B2A26">
        <w:rPr>
          <w:rFonts w:ascii="Arial" w:hAnsi="Arial" w:cs="Arial"/>
          <w:color w:val="0D0D0D" w:themeColor="text1" w:themeTint="F2"/>
          <w:sz w:val="20"/>
          <w:szCs w:val="20"/>
          <w:lang w:eastAsia="en-GB"/>
        </w:rPr>
        <w:t>MCI:</w:t>
      </w:r>
      <w:r w:rsidR="00982660" w:rsidRPr="002B2A26">
        <w:rPr>
          <w:rFonts w:ascii="Arial" w:hAnsi="Arial" w:cs="Arial"/>
          <w:color w:val="0D0D0D" w:themeColor="text1" w:themeTint="F2"/>
          <w:sz w:val="20"/>
          <w:szCs w:val="20"/>
          <w:lang w:eastAsia="en-GB"/>
        </w:rPr>
        <w:t>m</w:t>
      </w:r>
      <w:r w:rsidR="007A37F5" w:rsidRPr="002B2A26">
        <w:rPr>
          <w:rFonts w:ascii="Arial" w:hAnsi="Arial" w:cs="Arial"/>
          <w:color w:val="0D0D0D" w:themeColor="text1" w:themeTint="F2"/>
          <w:sz w:val="20"/>
          <w:szCs w:val="20"/>
          <w:lang w:eastAsia="en-GB"/>
        </w:rPr>
        <w:t>ild</w:t>
      </w:r>
      <w:proofErr w:type="spellEnd"/>
      <w:proofErr w:type="gramEnd"/>
      <w:r w:rsidR="007A37F5" w:rsidRPr="002B2A26">
        <w:rPr>
          <w:rFonts w:ascii="Arial" w:hAnsi="Arial" w:cs="Arial"/>
          <w:color w:val="0D0D0D" w:themeColor="text1" w:themeTint="F2"/>
          <w:sz w:val="20"/>
          <w:szCs w:val="20"/>
          <w:lang w:eastAsia="en-GB"/>
        </w:rPr>
        <w:t xml:space="preserve"> </w:t>
      </w:r>
      <w:r w:rsidR="00982660" w:rsidRPr="002B2A26">
        <w:rPr>
          <w:rFonts w:ascii="Arial" w:hAnsi="Arial" w:cs="Arial"/>
          <w:color w:val="0D0D0D" w:themeColor="text1" w:themeTint="F2"/>
          <w:sz w:val="20"/>
          <w:szCs w:val="20"/>
          <w:lang w:eastAsia="en-GB"/>
        </w:rPr>
        <w:t>dementia</w:t>
      </w:r>
      <w:r w:rsidR="007A37F5" w:rsidRPr="002B2A26">
        <w:rPr>
          <w:rFonts w:ascii="Arial" w:hAnsi="Arial" w:cs="Arial"/>
          <w:color w:val="0D0D0D" w:themeColor="text1" w:themeTint="F2"/>
          <w:sz w:val="20"/>
          <w:szCs w:val="20"/>
          <w:lang w:eastAsia="en-GB"/>
        </w:rPr>
        <w:t xml:space="preserve">, based on a US study of </w:t>
      </w:r>
      <w:proofErr w:type="spellStart"/>
      <w:r w:rsidR="007A37F5" w:rsidRPr="002B2A26">
        <w:rPr>
          <w:rFonts w:ascii="Arial" w:hAnsi="Arial" w:cs="Arial"/>
          <w:color w:val="0D0D0D" w:themeColor="text1" w:themeTint="F2"/>
          <w:sz w:val="20"/>
          <w:szCs w:val="20"/>
          <w:lang w:eastAsia="en-GB"/>
        </w:rPr>
        <w:t>Lecanemab</w:t>
      </w:r>
      <w:proofErr w:type="spellEnd"/>
      <w:r w:rsidR="007A37F5" w:rsidRPr="002B2A26">
        <w:rPr>
          <w:rFonts w:ascii="Arial" w:hAnsi="Arial" w:cs="Arial"/>
          <w:color w:val="0D0D0D" w:themeColor="text1" w:themeTint="F2"/>
          <w:sz w:val="20"/>
          <w:szCs w:val="20"/>
          <w:lang w:eastAsia="en-GB"/>
        </w:rPr>
        <w:t xml:space="preserve"> use.  At ACM 3 the Company proposed different proportions again, of 38:62 </w:t>
      </w:r>
      <w:proofErr w:type="spellStart"/>
      <w:proofErr w:type="gramStart"/>
      <w:r w:rsidR="007A37F5" w:rsidRPr="002B2A26">
        <w:rPr>
          <w:rFonts w:ascii="Arial" w:hAnsi="Arial" w:cs="Arial"/>
          <w:color w:val="0D0D0D" w:themeColor="text1" w:themeTint="F2"/>
          <w:sz w:val="20"/>
          <w:szCs w:val="20"/>
          <w:lang w:eastAsia="en-GB"/>
        </w:rPr>
        <w:t>MCI:</w:t>
      </w:r>
      <w:r w:rsidR="00982660" w:rsidRPr="002B2A26">
        <w:rPr>
          <w:rFonts w:ascii="Arial" w:hAnsi="Arial" w:cs="Arial"/>
          <w:color w:val="0D0D0D" w:themeColor="text1" w:themeTint="F2"/>
          <w:sz w:val="20"/>
          <w:szCs w:val="20"/>
          <w:lang w:eastAsia="en-GB"/>
        </w:rPr>
        <w:t>m</w:t>
      </w:r>
      <w:r w:rsidR="007A37F5" w:rsidRPr="002B2A26">
        <w:rPr>
          <w:rFonts w:ascii="Arial" w:hAnsi="Arial" w:cs="Arial"/>
          <w:color w:val="0D0D0D" w:themeColor="text1" w:themeTint="F2"/>
          <w:sz w:val="20"/>
          <w:szCs w:val="20"/>
          <w:lang w:eastAsia="en-GB"/>
        </w:rPr>
        <w:t>ild</w:t>
      </w:r>
      <w:proofErr w:type="spellEnd"/>
      <w:proofErr w:type="gramEnd"/>
      <w:r w:rsidR="007A37F5" w:rsidRPr="002B2A26">
        <w:rPr>
          <w:rFonts w:ascii="Arial" w:hAnsi="Arial" w:cs="Arial"/>
          <w:color w:val="0D0D0D" w:themeColor="text1" w:themeTint="F2"/>
          <w:sz w:val="20"/>
          <w:szCs w:val="20"/>
          <w:lang w:eastAsia="en-GB"/>
        </w:rPr>
        <w:t xml:space="preserve"> </w:t>
      </w:r>
      <w:r w:rsidR="00982660" w:rsidRPr="002B2A26">
        <w:rPr>
          <w:rFonts w:ascii="Arial" w:hAnsi="Arial" w:cs="Arial"/>
          <w:color w:val="0D0D0D" w:themeColor="text1" w:themeTint="F2"/>
          <w:sz w:val="20"/>
          <w:szCs w:val="20"/>
          <w:lang w:eastAsia="en-GB"/>
        </w:rPr>
        <w:t>dementia</w:t>
      </w:r>
      <w:r w:rsidR="007A37F5" w:rsidRPr="002B2A26">
        <w:rPr>
          <w:rFonts w:ascii="Arial" w:hAnsi="Arial" w:cs="Arial"/>
          <w:color w:val="0D0D0D" w:themeColor="text1" w:themeTint="F2"/>
          <w:sz w:val="20"/>
          <w:szCs w:val="20"/>
          <w:lang w:eastAsia="en-GB"/>
        </w:rPr>
        <w:t xml:space="preserve">, based on clinical expert opinion to the EAG in the </w:t>
      </w:r>
      <w:proofErr w:type="spellStart"/>
      <w:r w:rsidR="007A37F5" w:rsidRPr="002B2A26">
        <w:rPr>
          <w:rFonts w:ascii="Arial" w:hAnsi="Arial" w:cs="Arial"/>
          <w:color w:val="0D0D0D" w:themeColor="text1" w:themeTint="F2"/>
          <w:sz w:val="20"/>
          <w:szCs w:val="20"/>
          <w:lang w:eastAsia="en-GB"/>
        </w:rPr>
        <w:t>lec</w:t>
      </w:r>
      <w:r w:rsidR="00982660" w:rsidRPr="002B2A26">
        <w:rPr>
          <w:rFonts w:ascii="Arial" w:hAnsi="Arial" w:cs="Arial"/>
          <w:color w:val="0D0D0D" w:themeColor="text1" w:themeTint="F2"/>
          <w:sz w:val="20"/>
          <w:szCs w:val="20"/>
          <w:lang w:eastAsia="en-GB"/>
        </w:rPr>
        <w:t>a</w:t>
      </w:r>
      <w:r w:rsidR="007A37F5" w:rsidRPr="002B2A26">
        <w:rPr>
          <w:rFonts w:ascii="Arial" w:hAnsi="Arial" w:cs="Arial"/>
          <w:color w:val="0D0D0D" w:themeColor="text1" w:themeTint="F2"/>
          <w:sz w:val="20"/>
          <w:szCs w:val="20"/>
          <w:lang w:eastAsia="en-GB"/>
        </w:rPr>
        <w:t>nemab</w:t>
      </w:r>
      <w:proofErr w:type="spellEnd"/>
      <w:r w:rsidR="007A37F5" w:rsidRPr="002B2A26">
        <w:rPr>
          <w:rFonts w:ascii="Arial" w:hAnsi="Arial" w:cs="Arial"/>
          <w:color w:val="0D0D0D" w:themeColor="text1" w:themeTint="F2"/>
          <w:sz w:val="20"/>
          <w:szCs w:val="20"/>
          <w:lang w:eastAsia="en-GB"/>
        </w:rPr>
        <w:t xml:space="preserve"> appraisal at draft guidance stage</w:t>
      </w:r>
      <w:r w:rsidR="00F13285" w:rsidRPr="002B2A26">
        <w:rPr>
          <w:rFonts w:ascii="Arial" w:hAnsi="Arial" w:cs="Arial"/>
          <w:color w:val="0D0D0D" w:themeColor="text1" w:themeTint="F2"/>
          <w:sz w:val="20"/>
          <w:szCs w:val="20"/>
          <w:lang w:eastAsia="en-GB"/>
        </w:rPr>
        <w:t>, which was not accepted in that appraisal</w:t>
      </w:r>
      <w:r w:rsidR="007A37F5" w:rsidRPr="002B2A26">
        <w:rPr>
          <w:rFonts w:ascii="Arial" w:hAnsi="Arial" w:cs="Arial"/>
          <w:color w:val="0D0D0D" w:themeColor="text1" w:themeTint="F2"/>
          <w:sz w:val="20"/>
          <w:szCs w:val="20"/>
          <w:lang w:eastAsia="en-GB"/>
        </w:rPr>
        <w:t xml:space="preserve">. </w:t>
      </w:r>
      <w:r w:rsidR="00F13285" w:rsidRPr="002B2A26">
        <w:rPr>
          <w:rFonts w:ascii="Arial" w:hAnsi="Arial" w:cs="Arial"/>
          <w:color w:val="0D0D0D" w:themeColor="text1" w:themeTint="F2"/>
          <w:sz w:val="20"/>
          <w:szCs w:val="20"/>
          <w:lang w:eastAsia="en-GB"/>
        </w:rPr>
        <w:t>P</w:t>
      </w:r>
      <w:r w:rsidR="007A37F5" w:rsidRPr="002B2A26">
        <w:rPr>
          <w:rFonts w:ascii="Arial" w:hAnsi="Arial" w:cs="Arial"/>
          <w:color w:val="0D0D0D" w:themeColor="text1" w:themeTint="F2"/>
          <w:sz w:val="20"/>
          <w:szCs w:val="20"/>
          <w:lang w:eastAsia="en-GB"/>
        </w:rPr>
        <w:t>aragraph</w:t>
      </w:r>
      <w:r w:rsidR="00F13285" w:rsidRPr="002B2A26">
        <w:rPr>
          <w:rFonts w:ascii="Arial" w:hAnsi="Arial" w:cs="Arial"/>
          <w:color w:val="0D0D0D" w:themeColor="text1" w:themeTint="F2"/>
          <w:sz w:val="20"/>
          <w:szCs w:val="20"/>
          <w:lang w:eastAsia="en-GB"/>
        </w:rPr>
        <w:t xml:space="preserve"> 3.13</w:t>
      </w:r>
      <w:r w:rsidR="007A37F5" w:rsidRPr="002B2A26">
        <w:rPr>
          <w:rFonts w:ascii="Arial" w:hAnsi="Arial" w:cs="Arial"/>
          <w:color w:val="0D0D0D" w:themeColor="text1" w:themeTint="F2"/>
          <w:sz w:val="20"/>
          <w:szCs w:val="20"/>
          <w:lang w:eastAsia="en-GB"/>
        </w:rPr>
        <w:t xml:space="preserve"> explains in detail why the Committee ultimately preferred the starting proportions proposed by the EAG that aligned with the clinical data.</w:t>
      </w:r>
    </w:p>
    <w:p w14:paraId="01CF32B9" w14:textId="42C42516" w:rsidR="00EF6F68" w:rsidRPr="002B2A26" w:rsidRDefault="007A37F5" w:rsidP="008D718C">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The FDG for the </w:t>
      </w:r>
      <w:proofErr w:type="spellStart"/>
      <w:r w:rsidRPr="002B2A26">
        <w:rPr>
          <w:rFonts w:ascii="Arial" w:hAnsi="Arial" w:cs="Arial"/>
          <w:color w:val="0D0D0D" w:themeColor="text1" w:themeTint="F2"/>
          <w:sz w:val="20"/>
          <w:szCs w:val="20"/>
          <w:lang w:eastAsia="en-GB"/>
        </w:rPr>
        <w:t>lecanemab</w:t>
      </w:r>
      <w:proofErr w:type="spellEnd"/>
      <w:r w:rsidRPr="002B2A26">
        <w:rPr>
          <w:rFonts w:ascii="Arial" w:hAnsi="Arial" w:cs="Arial"/>
          <w:color w:val="0D0D0D" w:themeColor="text1" w:themeTint="F2"/>
          <w:sz w:val="20"/>
          <w:szCs w:val="20"/>
          <w:lang w:eastAsia="en-GB"/>
        </w:rPr>
        <w:t xml:space="preserve"> evaluation considers starting proportions in paragraphs 3.8 and 3.11.  The FDG explains that at ACM 1 the company in that evaluation aligned its modelled starting proportions with Clarity AD, being 62:38 </w:t>
      </w:r>
      <w:proofErr w:type="spellStart"/>
      <w:proofErr w:type="gramStart"/>
      <w:r w:rsidRPr="002B2A26">
        <w:rPr>
          <w:rFonts w:ascii="Arial" w:hAnsi="Arial" w:cs="Arial"/>
          <w:color w:val="0D0D0D" w:themeColor="text1" w:themeTint="F2"/>
          <w:sz w:val="20"/>
          <w:szCs w:val="20"/>
          <w:lang w:eastAsia="en-GB"/>
        </w:rPr>
        <w:t>MCI:</w:t>
      </w:r>
      <w:r w:rsidR="00982660" w:rsidRPr="002B2A26">
        <w:rPr>
          <w:rFonts w:ascii="Arial" w:hAnsi="Arial" w:cs="Arial"/>
          <w:color w:val="0D0D0D" w:themeColor="text1" w:themeTint="F2"/>
          <w:sz w:val="20"/>
          <w:szCs w:val="20"/>
          <w:lang w:eastAsia="en-GB"/>
        </w:rPr>
        <w:t>m</w:t>
      </w:r>
      <w:r w:rsidRPr="002B2A26">
        <w:rPr>
          <w:rFonts w:ascii="Arial" w:hAnsi="Arial" w:cs="Arial"/>
          <w:color w:val="0D0D0D" w:themeColor="text1" w:themeTint="F2"/>
          <w:sz w:val="20"/>
          <w:szCs w:val="20"/>
          <w:lang w:eastAsia="en-GB"/>
        </w:rPr>
        <w:t>ild</w:t>
      </w:r>
      <w:proofErr w:type="spellEnd"/>
      <w:proofErr w:type="gramEnd"/>
      <w:r w:rsidRPr="002B2A26">
        <w:rPr>
          <w:rFonts w:ascii="Arial" w:hAnsi="Arial" w:cs="Arial"/>
          <w:color w:val="0D0D0D" w:themeColor="text1" w:themeTint="F2"/>
          <w:sz w:val="20"/>
          <w:szCs w:val="20"/>
          <w:lang w:eastAsia="en-GB"/>
        </w:rPr>
        <w:t xml:space="preserve"> </w:t>
      </w:r>
      <w:r w:rsidR="00982660" w:rsidRPr="002B2A26">
        <w:rPr>
          <w:rFonts w:ascii="Arial" w:hAnsi="Arial" w:cs="Arial"/>
          <w:color w:val="0D0D0D" w:themeColor="text1" w:themeTint="F2"/>
          <w:sz w:val="20"/>
          <w:szCs w:val="20"/>
          <w:lang w:eastAsia="en-GB"/>
        </w:rPr>
        <w:t>dementia</w:t>
      </w:r>
      <w:r w:rsidRPr="002B2A26">
        <w:rPr>
          <w:rFonts w:ascii="Arial" w:hAnsi="Arial" w:cs="Arial"/>
          <w:color w:val="0D0D0D" w:themeColor="text1" w:themeTint="F2"/>
          <w:sz w:val="20"/>
          <w:szCs w:val="20"/>
          <w:lang w:eastAsia="en-GB"/>
        </w:rPr>
        <w:t xml:space="preserve">.  By ACM 3, however, the company in that evaluation </w:t>
      </w:r>
      <w:r w:rsidR="00EF6F68" w:rsidRPr="002B2A26">
        <w:rPr>
          <w:rFonts w:ascii="Arial" w:hAnsi="Arial" w:cs="Arial"/>
          <w:color w:val="0D0D0D" w:themeColor="text1" w:themeTint="F2"/>
          <w:sz w:val="20"/>
          <w:szCs w:val="20"/>
          <w:lang w:eastAsia="en-GB"/>
        </w:rPr>
        <w:t xml:space="preserve">proposed the starting proportions of TRAILBLAZER-ALZ 2, </w:t>
      </w:r>
      <w:r w:rsidR="00AB06D3" w:rsidRPr="002B2A26">
        <w:rPr>
          <w:rFonts w:ascii="Arial" w:hAnsi="Arial" w:cs="Arial"/>
          <w:color w:val="0D0D0D" w:themeColor="text1" w:themeTint="F2"/>
          <w:sz w:val="20"/>
          <w:szCs w:val="20"/>
          <w:lang w:eastAsia="en-GB"/>
        </w:rPr>
        <w:t xml:space="preserve">i.e. </w:t>
      </w:r>
      <w:r w:rsidR="00EF6F68" w:rsidRPr="002B2A26">
        <w:rPr>
          <w:rFonts w:ascii="Arial" w:hAnsi="Arial" w:cs="Arial"/>
          <w:color w:val="0D0D0D" w:themeColor="text1" w:themeTint="F2"/>
          <w:sz w:val="20"/>
          <w:szCs w:val="20"/>
          <w:lang w:eastAsia="en-GB"/>
        </w:rPr>
        <w:t xml:space="preserve">20:80 </w:t>
      </w:r>
      <w:proofErr w:type="spellStart"/>
      <w:proofErr w:type="gramStart"/>
      <w:r w:rsidR="00EF6F68" w:rsidRPr="002B2A26">
        <w:rPr>
          <w:rFonts w:ascii="Arial" w:hAnsi="Arial" w:cs="Arial"/>
          <w:color w:val="0D0D0D" w:themeColor="text1" w:themeTint="F2"/>
          <w:sz w:val="20"/>
          <w:szCs w:val="20"/>
          <w:lang w:eastAsia="en-GB"/>
        </w:rPr>
        <w:t>MCI:</w:t>
      </w:r>
      <w:r w:rsidR="00982660" w:rsidRPr="002B2A26">
        <w:rPr>
          <w:rFonts w:ascii="Arial" w:hAnsi="Arial" w:cs="Arial"/>
          <w:color w:val="0D0D0D" w:themeColor="text1" w:themeTint="F2"/>
          <w:sz w:val="20"/>
          <w:szCs w:val="20"/>
          <w:lang w:eastAsia="en-GB"/>
        </w:rPr>
        <w:t>m</w:t>
      </w:r>
      <w:r w:rsidR="00EF6F68" w:rsidRPr="002B2A26">
        <w:rPr>
          <w:rFonts w:ascii="Arial" w:hAnsi="Arial" w:cs="Arial"/>
          <w:color w:val="0D0D0D" w:themeColor="text1" w:themeTint="F2"/>
          <w:sz w:val="20"/>
          <w:szCs w:val="20"/>
          <w:lang w:eastAsia="en-GB"/>
        </w:rPr>
        <w:t>ild</w:t>
      </w:r>
      <w:proofErr w:type="spellEnd"/>
      <w:proofErr w:type="gramEnd"/>
      <w:r w:rsidR="00EF6F68" w:rsidRPr="002B2A26">
        <w:rPr>
          <w:rFonts w:ascii="Arial" w:hAnsi="Arial" w:cs="Arial"/>
          <w:color w:val="0D0D0D" w:themeColor="text1" w:themeTint="F2"/>
          <w:sz w:val="20"/>
          <w:szCs w:val="20"/>
          <w:lang w:eastAsia="en-GB"/>
        </w:rPr>
        <w:t xml:space="preserve"> </w:t>
      </w:r>
      <w:r w:rsidR="00982660" w:rsidRPr="002B2A26">
        <w:rPr>
          <w:rFonts w:ascii="Arial" w:hAnsi="Arial" w:cs="Arial"/>
          <w:color w:val="0D0D0D" w:themeColor="text1" w:themeTint="F2"/>
          <w:sz w:val="20"/>
          <w:szCs w:val="20"/>
          <w:lang w:eastAsia="en-GB"/>
        </w:rPr>
        <w:t>dementia</w:t>
      </w:r>
      <w:r w:rsidR="00EF6F68" w:rsidRPr="002B2A26">
        <w:rPr>
          <w:rFonts w:ascii="Arial" w:hAnsi="Arial" w:cs="Arial"/>
          <w:color w:val="0D0D0D" w:themeColor="text1" w:themeTint="F2"/>
          <w:sz w:val="20"/>
          <w:szCs w:val="20"/>
          <w:lang w:eastAsia="en-GB"/>
        </w:rPr>
        <w:t>.  Again, there is considerable discussion in that FDG of the Committee's reasons for preferring the starting proportions of TRAILBLAZER-ALZ 2, including that (</w:t>
      </w:r>
      <w:proofErr w:type="spellStart"/>
      <w:r w:rsidR="00EF6F68" w:rsidRPr="002B2A26">
        <w:rPr>
          <w:rFonts w:ascii="Arial" w:hAnsi="Arial" w:cs="Arial"/>
          <w:color w:val="0D0D0D" w:themeColor="text1" w:themeTint="F2"/>
          <w:sz w:val="20"/>
          <w:szCs w:val="20"/>
          <w:lang w:eastAsia="en-GB"/>
        </w:rPr>
        <w:t>i</w:t>
      </w:r>
      <w:proofErr w:type="spellEnd"/>
      <w:r w:rsidR="00EF6F68" w:rsidRPr="002B2A26">
        <w:rPr>
          <w:rFonts w:ascii="Arial" w:hAnsi="Arial" w:cs="Arial"/>
          <w:color w:val="0D0D0D" w:themeColor="text1" w:themeTint="F2"/>
          <w:sz w:val="20"/>
          <w:szCs w:val="20"/>
          <w:lang w:eastAsia="en-GB"/>
        </w:rPr>
        <w:t xml:space="preserve">) the proportion of people with MCI and mild dementia caused by Alzheimer's disease in the UK is uncertain and likely to change, and (ii) that the proportion of people with MCI and mild dementia in TRAILBLAZER-ALZ 2 was more aligned to expectations in UK clinical practice.  </w:t>
      </w:r>
    </w:p>
    <w:p w14:paraId="7C00E1B3" w14:textId="6786EBC8" w:rsidR="007A37F5" w:rsidRPr="002B2A26" w:rsidRDefault="00EF6F68" w:rsidP="008D718C">
      <w:pPr>
        <w:spacing w:before="120" w:after="240"/>
        <w:rPr>
          <w:rFonts w:ascii="Arial" w:hAnsi="Arial" w:cs="Arial"/>
          <w:color w:val="0D0D0D" w:themeColor="text1" w:themeTint="F2"/>
          <w:sz w:val="20"/>
          <w:szCs w:val="20"/>
          <w:lang w:eastAsia="en-GB"/>
        </w:rPr>
      </w:pPr>
      <w:r w:rsidRPr="002B2A26">
        <w:rPr>
          <w:rFonts w:ascii="Arial" w:hAnsi="Arial" w:cs="Arial"/>
          <w:color w:val="0D0D0D" w:themeColor="text1" w:themeTint="F2"/>
          <w:sz w:val="20"/>
          <w:szCs w:val="20"/>
          <w:lang w:eastAsia="en-GB"/>
        </w:rPr>
        <w:t xml:space="preserve">The committee in the </w:t>
      </w:r>
      <w:proofErr w:type="spellStart"/>
      <w:r w:rsidRPr="002B2A26">
        <w:rPr>
          <w:rFonts w:ascii="Arial" w:hAnsi="Arial" w:cs="Arial"/>
          <w:color w:val="0D0D0D" w:themeColor="text1" w:themeTint="F2"/>
          <w:sz w:val="20"/>
          <w:szCs w:val="20"/>
          <w:lang w:eastAsia="en-GB"/>
        </w:rPr>
        <w:t>lecanemab</w:t>
      </w:r>
      <w:proofErr w:type="spellEnd"/>
      <w:r w:rsidRPr="002B2A26">
        <w:rPr>
          <w:rFonts w:ascii="Arial" w:hAnsi="Arial" w:cs="Arial"/>
          <w:color w:val="0D0D0D" w:themeColor="text1" w:themeTint="F2"/>
          <w:sz w:val="20"/>
          <w:szCs w:val="20"/>
          <w:lang w:eastAsia="en-GB"/>
        </w:rPr>
        <w:t xml:space="preserve"> evaluation concluded that the proportions of Clarity AD did not align with clinical expert opinion of NHS clinical practice.  By contrast, the Committee in donanemab did not reach a similar conclusion in relation to TRAILBLAZER-ALZ </w:t>
      </w:r>
      <w:proofErr w:type="gramStart"/>
      <w:r w:rsidRPr="002B2A26">
        <w:rPr>
          <w:rFonts w:ascii="Arial" w:hAnsi="Arial" w:cs="Arial"/>
          <w:color w:val="0D0D0D" w:themeColor="text1" w:themeTint="F2"/>
          <w:sz w:val="20"/>
          <w:szCs w:val="20"/>
          <w:lang w:eastAsia="en-GB"/>
        </w:rPr>
        <w:t>2, but</w:t>
      </w:r>
      <w:proofErr w:type="gramEnd"/>
      <w:r w:rsidRPr="002B2A26">
        <w:rPr>
          <w:rFonts w:ascii="Arial" w:hAnsi="Arial" w:cs="Arial"/>
          <w:color w:val="0D0D0D" w:themeColor="text1" w:themeTint="F2"/>
          <w:sz w:val="20"/>
          <w:szCs w:val="20"/>
          <w:lang w:eastAsia="en-GB"/>
        </w:rPr>
        <w:t xml:space="preserve"> rather concluded that the starting proportions should be aligned with the clinical data, having considered the evidence as to clinical use submitted by the Company and others.  I note also that the committee in </w:t>
      </w:r>
      <w:proofErr w:type="spellStart"/>
      <w:r w:rsidRPr="002B2A26">
        <w:rPr>
          <w:rFonts w:ascii="Arial" w:hAnsi="Arial" w:cs="Arial"/>
          <w:color w:val="0D0D0D" w:themeColor="text1" w:themeTint="F2"/>
          <w:sz w:val="20"/>
          <w:szCs w:val="20"/>
          <w:lang w:eastAsia="en-GB"/>
        </w:rPr>
        <w:t>lecanemab</w:t>
      </w:r>
      <w:proofErr w:type="spellEnd"/>
      <w:r w:rsidRPr="002B2A26">
        <w:rPr>
          <w:rFonts w:ascii="Arial" w:hAnsi="Arial" w:cs="Arial"/>
          <w:color w:val="0D0D0D" w:themeColor="text1" w:themeTint="F2"/>
          <w:sz w:val="20"/>
          <w:szCs w:val="20"/>
          <w:lang w:eastAsia="en-GB"/>
        </w:rPr>
        <w:t xml:space="preserve"> concluded that TRAILBLAZER-ALZ 2 proportions were more aligned with expectation in UK clinical practice.</w:t>
      </w:r>
    </w:p>
    <w:p w14:paraId="40B83106" w14:textId="44B96A80" w:rsidR="001849B8" w:rsidRPr="002B2A26" w:rsidRDefault="00EF6F68" w:rsidP="008D718C">
      <w:pPr>
        <w:spacing w:before="120" w:after="240"/>
        <w:rPr>
          <w:rFonts w:ascii="Arial" w:hAnsi="Arial" w:cs="Arial"/>
          <w:color w:val="0D0D0D" w:themeColor="text1" w:themeTint="F2"/>
          <w:sz w:val="20"/>
          <w:szCs w:val="20"/>
          <w:lang w:eastAsia="en-GB"/>
        </w:rPr>
      </w:pPr>
      <w:proofErr w:type="gramStart"/>
      <w:r w:rsidRPr="002B2A26">
        <w:rPr>
          <w:rFonts w:ascii="Arial" w:hAnsi="Arial" w:cs="Arial"/>
          <w:color w:val="0D0D0D" w:themeColor="text1" w:themeTint="F2"/>
          <w:sz w:val="20"/>
          <w:szCs w:val="20"/>
          <w:lang w:eastAsia="en-GB"/>
        </w:rPr>
        <w:t>In light of</w:t>
      </w:r>
      <w:proofErr w:type="gramEnd"/>
      <w:r w:rsidRPr="002B2A26">
        <w:rPr>
          <w:rFonts w:ascii="Arial" w:hAnsi="Arial" w:cs="Arial"/>
          <w:color w:val="0D0D0D" w:themeColor="text1" w:themeTint="F2"/>
          <w:sz w:val="20"/>
          <w:szCs w:val="20"/>
          <w:lang w:eastAsia="en-GB"/>
        </w:rPr>
        <w:t xml:space="preserve"> the above, I do not consider that the Committee's approach to the proportion of patients initiating treatment in MCI was arguably unreasonable for inconsistency with the approach taken in </w:t>
      </w:r>
      <w:r w:rsidR="00AB06D3" w:rsidRPr="002B2A26">
        <w:rPr>
          <w:rFonts w:ascii="Arial" w:hAnsi="Arial" w:cs="Arial"/>
          <w:color w:val="0D0D0D" w:themeColor="text1" w:themeTint="F2"/>
          <w:sz w:val="20"/>
          <w:szCs w:val="20"/>
          <w:lang w:eastAsia="en-GB"/>
        </w:rPr>
        <w:t xml:space="preserve">the </w:t>
      </w:r>
      <w:proofErr w:type="spellStart"/>
      <w:r w:rsidR="00AB06D3" w:rsidRPr="002B2A26">
        <w:rPr>
          <w:rFonts w:ascii="Arial" w:hAnsi="Arial" w:cs="Arial"/>
          <w:color w:val="0D0D0D" w:themeColor="text1" w:themeTint="F2"/>
          <w:sz w:val="20"/>
          <w:szCs w:val="20"/>
          <w:lang w:eastAsia="en-GB"/>
        </w:rPr>
        <w:t>lecanemab</w:t>
      </w:r>
      <w:proofErr w:type="spellEnd"/>
      <w:r w:rsidR="00AB06D3" w:rsidRPr="002B2A26">
        <w:rPr>
          <w:rFonts w:ascii="Arial" w:hAnsi="Arial" w:cs="Arial"/>
          <w:color w:val="0D0D0D" w:themeColor="text1" w:themeTint="F2"/>
          <w:sz w:val="20"/>
          <w:szCs w:val="20"/>
          <w:lang w:eastAsia="en-GB"/>
        </w:rPr>
        <w:t xml:space="preserve"> evaluation</w:t>
      </w:r>
      <w:r w:rsidRPr="002B2A26">
        <w:rPr>
          <w:rFonts w:ascii="Arial" w:hAnsi="Arial" w:cs="Arial"/>
          <w:color w:val="0D0D0D" w:themeColor="text1" w:themeTint="F2"/>
          <w:sz w:val="20"/>
          <w:szCs w:val="20"/>
          <w:lang w:eastAsia="en-GB"/>
        </w:rPr>
        <w:t>, or at all.</w:t>
      </w:r>
    </w:p>
    <w:p w14:paraId="6D9E2C3A" w14:textId="77777777" w:rsidR="003B779D" w:rsidRPr="002B2A26" w:rsidRDefault="003B779D" w:rsidP="003B779D">
      <w:pPr>
        <w:spacing w:before="120" w:after="240"/>
        <w:jc w:val="both"/>
        <w:rPr>
          <w:rFonts w:ascii="Arial" w:eastAsia="Times New Roman" w:hAnsi="Arial" w:cs="Arial"/>
          <w:b/>
          <w:bCs/>
          <w:sz w:val="20"/>
          <w:szCs w:val="20"/>
          <w:u w:val="single"/>
        </w:rPr>
      </w:pPr>
      <w:r w:rsidRPr="002B2A26">
        <w:rPr>
          <w:rFonts w:ascii="Arial" w:eastAsia="Times New Roman" w:hAnsi="Arial" w:cs="Arial"/>
          <w:b/>
          <w:bCs/>
          <w:sz w:val="20"/>
          <w:szCs w:val="20"/>
          <w:u w:val="single"/>
        </w:rPr>
        <w:t>2.3</w:t>
      </w:r>
      <w:r w:rsidRPr="002B2A26">
        <w:rPr>
          <w:rFonts w:ascii="Arial" w:eastAsia="Times New Roman" w:hAnsi="Arial" w:cs="Arial"/>
          <w:b/>
          <w:bCs/>
          <w:sz w:val="20"/>
          <w:szCs w:val="20"/>
          <w:u w:val="single"/>
        </w:rPr>
        <w:tab/>
        <w:t>The Committee’s assessment of the additional aspects of donanemab treatment is unreasonable and arbitrary</w:t>
      </w:r>
    </w:p>
    <w:p w14:paraId="3ABC177A" w14:textId="23E80B73" w:rsidR="00CD7553" w:rsidRPr="002B2A26" w:rsidRDefault="003B779D" w:rsidP="005A7A7D">
      <w:pPr>
        <w:spacing w:before="120" w:after="240"/>
        <w:jc w:val="both"/>
        <w:rPr>
          <w:rFonts w:ascii="Arial" w:eastAsia="Times New Roman" w:hAnsi="Arial" w:cs="Arial"/>
          <w:color w:val="0D0D0D" w:themeColor="text1" w:themeTint="F2"/>
          <w:sz w:val="20"/>
          <w:szCs w:val="20"/>
          <w:lang w:eastAsia="en-GB"/>
        </w:rPr>
      </w:pPr>
      <w:r w:rsidRPr="002B2A26">
        <w:rPr>
          <w:rFonts w:ascii="Arial" w:eastAsia="Times New Roman" w:hAnsi="Arial" w:cs="Arial"/>
          <w:color w:val="0D0D0D" w:themeColor="text1" w:themeTint="F2"/>
          <w:sz w:val="20"/>
          <w:szCs w:val="20"/>
          <w:lang w:eastAsia="en-GB"/>
        </w:rPr>
        <w:t>I confirm my decision to refer this appeal point to the Appeal Panel</w:t>
      </w:r>
    </w:p>
    <w:p w14:paraId="2AADAF28" w14:textId="6AD9A5D7" w:rsidR="005A7A7D" w:rsidRPr="002B2A26" w:rsidRDefault="005A7A7D" w:rsidP="005A7A7D">
      <w:pPr>
        <w:spacing w:before="120" w:after="240"/>
        <w:jc w:val="both"/>
        <w:rPr>
          <w:rFonts w:ascii="Arial" w:eastAsia="Times New Roman" w:hAnsi="Arial" w:cs="Arial"/>
          <w:sz w:val="20"/>
          <w:szCs w:val="20"/>
          <w:u w:val="single"/>
        </w:rPr>
      </w:pPr>
      <w:r w:rsidRPr="002B2A26">
        <w:rPr>
          <w:rFonts w:ascii="Arial" w:eastAsia="Times New Roman" w:hAnsi="Arial" w:cs="Arial"/>
          <w:sz w:val="20"/>
          <w:szCs w:val="20"/>
          <w:u w:val="single"/>
        </w:rPr>
        <w:t>Conclusion</w:t>
      </w:r>
    </w:p>
    <w:p w14:paraId="64256DC4" w14:textId="77777777" w:rsidR="005A7A7D" w:rsidRPr="002B2A26" w:rsidRDefault="005A7A7D" w:rsidP="005A7A7D">
      <w:pPr>
        <w:spacing w:before="120" w:after="240"/>
        <w:jc w:val="both"/>
        <w:rPr>
          <w:rFonts w:ascii="Arial" w:eastAsia="Times New Roman" w:hAnsi="Arial" w:cs="Arial"/>
          <w:sz w:val="20"/>
          <w:szCs w:val="20"/>
        </w:rPr>
      </w:pPr>
      <w:proofErr w:type="gramStart"/>
      <w:r w:rsidRPr="002B2A26">
        <w:rPr>
          <w:rFonts w:ascii="Arial" w:eastAsia="Times New Roman" w:hAnsi="Arial" w:cs="Arial"/>
          <w:sz w:val="20"/>
          <w:szCs w:val="20"/>
        </w:rPr>
        <w:t>Therefore</w:t>
      </w:r>
      <w:proofErr w:type="gramEnd"/>
      <w:r w:rsidRPr="002B2A26">
        <w:rPr>
          <w:rFonts w:ascii="Arial" w:eastAsia="Times New Roman" w:hAnsi="Arial" w:cs="Arial"/>
          <w:sz w:val="20"/>
          <w:szCs w:val="20"/>
        </w:rPr>
        <w:t xml:space="preserve"> the valid appeal points are:</w:t>
      </w:r>
    </w:p>
    <w:p w14:paraId="19D3D03D" w14:textId="767A05C3" w:rsidR="00890D3F" w:rsidRPr="002B2A26" w:rsidRDefault="00890D3F" w:rsidP="00890D3F">
      <w:pPr>
        <w:pStyle w:val="ListParagraph"/>
        <w:numPr>
          <w:ilvl w:val="0"/>
          <w:numId w:val="12"/>
        </w:numPr>
        <w:spacing w:before="120" w:after="240"/>
        <w:jc w:val="both"/>
        <w:rPr>
          <w:rFonts w:cs="Arial"/>
          <w:b/>
          <w:bCs/>
        </w:rPr>
      </w:pPr>
      <w:r w:rsidRPr="002B2A26">
        <w:rPr>
          <w:rFonts w:cs="Arial"/>
          <w:b/>
          <w:bCs/>
        </w:rPr>
        <w:t>1(a).1</w:t>
      </w:r>
      <w:bookmarkStart w:id="5" w:name="_Hlk204782204"/>
      <w:r w:rsidRPr="002B2A26">
        <w:rPr>
          <w:rFonts w:cs="Arial"/>
          <w:b/>
          <w:bCs/>
        </w:rPr>
        <w:t xml:space="preserve"> – </w:t>
      </w:r>
      <w:bookmarkEnd w:id="5"/>
      <w:r w:rsidR="00982660" w:rsidRPr="002B2A26">
        <w:rPr>
          <w:rFonts w:cs="Arial"/>
          <w:b/>
          <w:bCs/>
          <w:color w:val="0D0D0D" w:themeColor="text1" w:themeTint="F2"/>
          <w:lang w:eastAsia="en-GB"/>
        </w:rPr>
        <w:t xml:space="preserve">The distinction between </w:t>
      </w:r>
      <w:proofErr w:type="gramStart"/>
      <w:r w:rsidR="00982660" w:rsidRPr="002B2A26">
        <w:rPr>
          <w:rFonts w:cs="Arial"/>
          <w:b/>
          <w:bCs/>
          <w:color w:val="0D0D0D" w:themeColor="text1" w:themeTint="F2"/>
          <w:lang w:eastAsia="en-GB"/>
        </w:rPr>
        <w:t>health related</w:t>
      </w:r>
      <w:proofErr w:type="gramEnd"/>
      <w:r w:rsidR="00982660" w:rsidRPr="002B2A26">
        <w:rPr>
          <w:rFonts w:cs="Arial"/>
          <w:b/>
          <w:bCs/>
          <w:color w:val="0D0D0D" w:themeColor="text1" w:themeTint="F2"/>
          <w:lang w:eastAsia="en-GB"/>
        </w:rPr>
        <w:t xml:space="preserve"> quality of life and quality of life experiences by carers of persona with Alzheimer's Disease conflicts with definitions in the Manual and is inadequately explained.</w:t>
      </w:r>
    </w:p>
    <w:p w14:paraId="1382835F" w14:textId="77777777" w:rsidR="00982660" w:rsidRPr="002B2A26" w:rsidRDefault="00982660" w:rsidP="00982660">
      <w:pPr>
        <w:pStyle w:val="ListParagraph"/>
        <w:spacing w:before="120" w:after="240"/>
        <w:jc w:val="both"/>
        <w:rPr>
          <w:rFonts w:cs="Arial"/>
          <w:b/>
          <w:bCs/>
        </w:rPr>
      </w:pPr>
    </w:p>
    <w:p w14:paraId="0977EF47" w14:textId="7DBAEEEB" w:rsidR="00890D3F" w:rsidRPr="002B2A26" w:rsidRDefault="00890D3F" w:rsidP="00890D3F">
      <w:pPr>
        <w:pStyle w:val="ListParagraph"/>
        <w:numPr>
          <w:ilvl w:val="0"/>
          <w:numId w:val="12"/>
        </w:numPr>
        <w:spacing w:before="120" w:after="240"/>
        <w:jc w:val="both"/>
        <w:rPr>
          <w:rFonts w:cs="Arial"/>
          <w:b/>
          <w:bCs/>
        </w:rPr>
      </w:pPr>
      <w:r w:rsidRPr="002B2A26">
        <w:rPr>
          <w:rFonts w:cs="Arial"/>
          <w:b/>
          <w:bCs/>
        </w:rPr>
        <w:t xml:space="preserve">1(a).2 – </w:t>
      </w:r>
      <w:r w:rsidR="00982660" w:rsidRPr="002B2A26">
        <w:rPr>
          <w:rFonts w:eastAsia="Calibri" w:cs="Arial"/>
          <w:b/>
          <w:bCs/>
          <w:color w:val="0D0D0D" w:themeColor="text1" w:themeTint="F2"/>
          <w:lang w:eastAsia="en-GB"/>
        </w:rPr>
        <w:t xml:space="preserve">There was inadequate time for consultation following disclosure of NHS England’s “Infusion Costs Estimates” document.  </w:t>
      </w:r>
    </w:p>
    <w:p w14:paraId="3923D601" w14:textId="77777777" w:rsidR="00982660" w:rsidRPr="002B2A26" w:rsidRDefault="00982660" w:rsidP="00982660">
      <w:pPr>
        <w:pStyle w:val="ListParagraph"/>
        <w:rPr>
          <w:rFonts w:cs="Arial"/>
          <w:b/>
          <w:bCs/>
        </w:rPr>
      </w:pPr>
    </w:p>
    <w:p w14:paraId="5D382877" w14:textId="428E047E" w:rsidR="00464825" w:rsidRPr="00B6749C" w:rsidRDefault="00890D3F" w:rsidP="00B6749C">
      <w:pPr>
        <w:pStyle w:val="ListParagraph"/>
        <w:numPr>
          <w:ilvl w:val="0"/>
          <w:numId w:val="12"/>
        </w:numPr>
        <w:spacing w:before="120" w:after="240"/>
        <w:jc w:val="both"/>
        <w:rPr>
          <w:rFonts w:eastAsia="Calibri" w:cs="Arial"/>
          <w:b/>
          <w:bCs/>
          <w:color w:val="0D0D0D" w:themeColor="text1" w:themeTint="F2"/>
          <w:lang w:eastAsia="en-GB"/>
        </w:rPr>
      </w:pPr>
      <w:r w:rsidRPr="00B6749C">
        <w:rPr>
          <w:rFonts w:eastAsia="Calibri" w:cs="Arial"/>
          <w:b/>
          <w:bCs/>
          <w:color w:val="0D0D0D" w:themeColor="text1" w:themeTint="F2"/>
          <w:lang w:eastAsia="en-GB"/>
        </w:rPr>
        <w:t xml:space="preserve">1(a).3 </w:t>
      </w:r>
      <w:r w:rsidR="00982660" w:rsidRPr="00B6749C">
        <w:rPr>
          <w:rFonts w:eastAsia="Calibri" w:cs="Arial"/>
          <w:b/>
          <w:bCs/>
          <w:color w:val="0D0D0D" w:themeColor="text1" w:themeTint="F2"/>
          <w:lang w:eastAsia="en-GB"/>
        </w:rPr>
        <w:t xml:space="preserve">– </w:t>
      </w:r>
      <w:r w:rsidR="00464825" w:rsidRPr="00B6749C">
        <w:rPr>
          <w:rFonts w:eastAsia="Calibri" w:cs="Arial"/>
          <w:b/>
          <w:bCs/>
          <w:color w:val="0D0D0D" w:themeColor="text1" w:themeTint="F2"/>
          <w:lang w:eastAsia="en-GB"/>
        </w:rPr>
        <w:t xml:space="preserve">The Committee’s reasons for rejecting the infusion costs estimated by Lilly are inadequately explained and the Committee does not appear to have </w:t>
      </w:r>
      <w:proofErr w:type="gramStart"/>
      <w:r w:rsidR="00464825" w:rsidRPr="00B6749C">
        <w:rPr>
          <w:rFonts w:eastAsia="Calibri" w:cs="Arial"/>
          <w:b/>
          <w:bCs/>
          <w:color w:val="0D0D0D" w:themeColor="text1" w:themeTint="F2"/>
          <w:lang w:eastAsia="en-GB"/>
        </w:rPr>
        <w:t>taken into account</w:t>
      </w:r>
      <w:proofErr w:type="gramEnd"/>
      <w:r w:rsidR="00464825" w:rsidRPr="00B6749C">
        <w:rPr>
          <w:rFonts w:eastAsia="Calibri" w:cs="Arial"/>
          <w:b/>
          <w:bCs/>
          <w:color w:val="0D0D0D" w:themeColor="text1" w:themeTint="F2"/>
          <w:lang w:eastAsia="en-GB"/>
        </w:rPr>
        <w:t xml:space="preserve"> the evidence submitted by Lilly in response to the second Draft Guidance</w:t>
      </w:r>
    </w:p>
    <w:p w14:paraId="5BCFAB7E" w14:textId="77777777" w:rsidR="00982660" w:rsidRPr="00464825" w:rsidRDefault="00982660" w:rsidP="00B6749C">
      <w:pPr>
        <w:pStyle w:val="ListParagraph"/>
        <w:spacing w:before="120" w:after="240"/>
        <w:jc w:val="both"/>
        <w:rPr>
          <w:rFonts w:cs="Arial"/>
          <w:b/>
          <w:bCs/>
        </w:rPr>
      </w:pPr>
    </w:p>
    <w:p w14:paraId="4B1F48ED" w14:textId="0253C9CD" w:rsidR="00890D3F" w:rsidRPr="002B2A26" w:rsidRDefault="00890D3F">
      <w:pPr>
        <w:pStyle w:val="ListParagraph"/>
        <w:numPr>
          <w:ilvl w:val="0"/>
          <w:numId w:val="12"/>
        </w:numPr>
        <w:spacing w:before="120" w:after="240"/>
        <w:jc w:val="both"/>
        <w:rPr>
          <w:rFonts w:cs="Arial"/>
          <w:b/>
          <w:bCs/>
        </w:rPr>
      </w:pPr>
      <w:r w:rsidRPr="002B2A26">
        <w:rPr>
          <w:rFonts w:cs="Arial"/>
          <w:b/>
          <w:bCs/>
        </w:rPr>
        <w:t>1(a).4</w:t>
      </w:r>
      <w:r w:rsidR="00982660" w:rsidRPr="002B2A26">
        <w:rPr>
          <w:rFonts w:cs="Arial"/>
          <w:b/>
          <w:bCs/>
        </w:rPr>
        <w:t xml:space="preserve"> </w:t>
      </w:r>
      <w:r w:rsidR="00982660" w:rsidRPr="002B2A26">
        <w:rPr>
          <w:rFonts w:cs="Arial"/>
          <w:b/>
          <w:bCs/>
          <w:color w:val="0D0D0D" w:themeColor="text1" w:themeTint="F2"/>
          <w:lang w:eastAsia="en-GB"/>
        </w:rPr>
        <w:t xml:space="preserve">– The Committee has relied on the EAG’s criticisms of the </w:t>
      </w:r>
      <w:proofErr w:type="gramStart"/>
      <w:r w:rsidR="00982660" w:rsidRPr="002B2A26">
        <w:rPr>
          <w:rFonts w:cs="Arial"/>
          <w:b/>
          <w:bCs/>
          <w:color w:val="0D0D0D" w:themeColor="text1" w:themeTint="F2"/>
          <w:lang w:eastAsia="en-GB"/>
        </w:rPr>
        <w:t>long term</w:t>
      </w:r>
      <w:proofErr w:type="gramEnd"/>
      <w:r w:rsidR="00982660" w:rsidRPr="002B2A26">
        <w:rPr>
          <w:rFonts w:cs="Arial"/>
          <w:b/>
          <w:bCs/>
          <w:color w:val="0D0D0D" w:themeColor="text1" w:themeTint="F2"/>
          <w:lang w:eastAsia="en-GB"/>
        </w:rPr>
        <w:t xml:space="preserve"> data for donanemab, even though Lilly was given no opportunity to respond to or clarify these issues</w:t>
      </w:r>
      <w:r w:rsidR="002B2A26" w:rsidRPr="002B2A26">
        <w:rPr>
          <w:rFonts w:cs="Arial"/>
          <w:b/>
          <w:bCs/>
          <w:color w:val="0D0D0D" w:themeColor="text1" w:themeTint="F2"/>
          <w:lang w:eastAsia="en-GB"/>
        </w:rPr>
        <w:t>.</w:t>
      </w:r>
    </w:p>
    <w:p w14:paraId="35D92F31" w14:textId="77777777" w:rsidR="00982660" w:rsidRPr="002B2A26" w:rsidRDefault="00982660" w:rsidP="00982660">
      <w:pPr>
        <w:pStyle w:val="ListParagraph"/>
        <w:rPr>
          <w:rFonts w:cs="Arial"/>
          <w:b/>
          <w:bCs/>
        </w:rPr>
      </w:pPr>
    </w:p>
    <w:p w14:paraId="7883F49C" w14:textId="63715CB7" w:rsidR="00890D3F" w:rsidRPr="002B2A26" w:rsidRDefault="00890D3F">
      <w:pPr>
        <w:pStyle w:val="ListParagraph"/>
        <w:numPr>
          <w:ilvl w:val="0"/>
          <w:numId w:val="12"/>
        </w:numPr>
        <w:spacing w:before="120" w:after="240"/>
        <w:jc w:val="both"/>
        <w:rPr>
          <w:rFonts w:cs="Arial"/>
          <w:b/>
          <w:bCs/>
        </w:rPr>
      </w:pPr>
      <w:r w:rsidRPr="002B2A26">
        <w:rPr>
          <w:rFonts w:cs="Arial"/>
          <w:b/>
          <w:bCs/>
        </w:rPr>
        <w:t>1(a).7</w:t>
      </w:r>
      <w:r w:rsidR="00982660" w:rsidRPr="002B2A26">
        <w:rPr>
          <w:rFonts w:cs="Arial"/>
          <w:b/>
          <w:bCs/>
        </w:rPr>
        <w:t xml:space="preserve"> </w:t>
      </w:r>
      <w:r w:rsidR="00982660" w:rsidRPr="002B2A26">
        <w:rPr>
          <w:rFonts w:cs="Arial"/>
          <w:b/>
          <w:bCs/>
          <w:color w:val="0D0D0D" w:themeColor="text1" w:themeTint="F2"/>
          <w:lang w:eastAsia="en-GB"/>
        </w:rPr>
        <w:t>– The Committee has failed to consider scenario analyses which include unpaid care costs</w:t>
      </w:r>
      <w:r w:rsidR="002B2A26" w:rsidRPr="002B2A26">
        <w:rPr>
          <w:rFonts w:cs="Arial"/>
          <w:b/>
          <w:bCs/>
          <w:color w:val="0D0D0D" w:themeColor="text1" w:themeTint="F2"/>
          <w:lang w:eastAsia="en-GB"/>
        </w:rPr>
        <w:t>.</w:t>
      </w:r>
    </w:p>
    <w:p w14:paraId="1CB2E6D1" w14:textId="77777777" w:rsidR="00982660" w:rsidRPr="002B2A26" w:rsidRDefault="00982660" w:rsidP="00982660">
      <w:pPr>
        <w:pStyle w:val="ListParagraph"/>
        <w:rPr>
          <w:rFonts w:cs="Arial"/>
          <w:b/>
          <w:bCs/>
        </w:rPr>
      </w:pPr>
    </w:p>
    <w:p w14:paraId="77634894" w14:textId="0EFECEDF" w:rsidR="00890D3F" w:rsidRPr="002B2A26" w:rsidRDefault="00890D3F">
      <w:pPr>
        <w:pStyle w:val="ListParagraph"/>
        <w:numPr>
          <w:ilvl w:val="0"/>
          <w:numId w:val="12"/>
        </w:numPr>
        <w:spacing w:before="120" w:after="240"/>
        <w:jc w:val="both"/>
        <w:rPr>
          <w:rFonts w:cs="Arial"/>
          <w:b/>
          <w:bCs/>
        </w:rPr>
      </w:pPr>
      <w:r w:rsidRPr="002B2A26">
        <w:rPr>
          <w:rFonts w:cs="Arial"/>
          <w:b/>
          <w:bCs/>
        </w:rPr>
        <w:t>2.1</w:t>
      </w:r>
      <w:r w:rsidR="00982660" w:rsidRPr="002B2A26">
        <w:rPr>
          <w:rFonts w:cs="Arial"/>
          <w:b/>
          <w:bCs/>
        </w:rPr>
        <w:t xml:space="preserve"> </w:t>
      </w:r>
      <w:r w:rsidR="00982660" w:rsidRPr="002B2A26">
        <w:rPr>
          <w:rFonts w:cs="Arial"/>
          <w:b/>
          <w:bCs/>
          <w:color w:val="0D0D0D" w:themeColor="text1" w:themeTint="F2"/>
          <w:lang w:eastAsia="en-GB"/>
        </w:rPr>
        <w:t>– The Committee’s conclusions on caregiver utilities do not reflect the evidence available and are therefore unreasonable</w:t>
      </w:r>
      <w:r w:rsidR="002B2A26" w:rsidRPr="002B2A26">
        <w:rPr>
          <w:rFonts w:cs="Arial"/>
          <w:b/>
          <w:bCs/>
          <w:color w:val="0D0D0D" w:themeColor="text1" w:themeTint="F2"/>
          <w:lang w:eastAsia="en-GB"/>
        </w:rPr>
        <w:t>.</w:t>
      </w:r>
    </w:p>
    <w:p w14:paraId="09C8ED25" w14:textId="77777777" w:rsidR="00982660" w:rsidRPr="002B2A26" w:rsidRDefault="00982660" w:rsidP="00982660">
      <w:pPr>
        <w:pStyle w:val="ListParagraph"/>
        <w:rPr>
          <w:rFonts w:cs="Arial"/>
          <w:b/>
          <w:bCs/>
        </w:rPr>
      </w:pPr>
    </w:p>
    <w:p w14:paraId="6BD9F029" w14:textId="60530B30" w:rsidR="00890D3F" w:rsidRPr="002B2A26" w:rsidRDefault="00890D3F" w:rsidP="00890D3F">
      <w:pPr>
        <w:pStyle w:val="ListParagraph"/>
        <w:numPr>
          <w:ilvl w:val="0"/>
          <w:numId w:val="12"/>
        </w:numPr>
        <w:spacing w:before="120" w:after="240"/>
        <w:jc w:val="both"/>
        <w:rPr>
          <w:rFonts w:cs="Arial"/>
          <w:b/>
          <w:bCs/>
        </w:rPr>
      </w:pPr>
      <w:r w:rsidRPr="002B2A26">
        <w:rPr>
          <w:rFonts w:cs="Arial"/>
          <w:b/>
          <w:bCs/>
        </w:rPr>
        <w:t>2.3</w:t>
      </w:r>
      <w:r w:rsidR="00982660" w:rsidRPr="002B2A26">
        <w:rPr>
          <w:rFonts w:cs="Arial"/>
          <w:b/>
          <w:bCs/>
        </w:rPr>
        <w:t xml:space="preserve"> </w:t>
      </w:r>
      <w:r w:rsidR="00982660" w:rsidRPr="002B2A26">
        <w:rPr>
          <w:rFonts w:cs="Arial"/>
          <w:b/>
          <w:bCs/>
          <w:color w:val="0D0D0D" w:themeColor="text1" w:themeTint="F2"/>
          <w:lang w:eastAsia="en-GB"/>
        </w:rPr>
        <w:t>– The Committee’s assessment of the additional aspects of donanemab treatment is unreasonable and arbitrary</w:t>
      </w:r>
      <w:r w:rsidR="002B2A26" w:rsidRPr="002B2A26">
        <w:rPr>
          <w:rFonts w:cs="Arial"/>
          <w:b/>
          <w:bCs/>
          <w:color w:val="0D0D0D" w:themeColor="text1" w:themeTint="F2"/>
          <w:lang w:eastAsia="en-GB"/>
        </w:rPr>
        <w:t>.</w:t>
      </w:r>
    </w:p>
    <w:p w14:paraId="5CCF2CB3" w14:textId="77777777" w:rsidR="005A7A7D" w:rsidRPr="002B2A26" w:rsidRDefault="005A7A7D" w:rsidP="005A7A7D">
      <w:pPr>
        <w:spacing w:before="120" w:after="240"/>
        <w:jc w:val="both"/>
        <w:rPr>
          <w:rFonts w:ascii="Arial" w:eastAsia="Times New Roman" w:hAnsi="Arial" w:cs="Arial"/>
          <w:sz w:val="20"/>
          <w:szCs w:val="20"/>
        </w:rPr>
      </w:pPr>
      <w:r w:rsidRPr="002B2A26">
        <w:rPr>
          <w:rFonts w:ascii="Arial" w:eastAsia="Times New Roman" w:hAnsi="Arial" w:cs="Arial"/>
          <w:sz w:val="20"/>
          <w:szCs w:val="20"/>
        </w:rPr>
        <w:t xml:space="preserve">NICE will be in contact with you regarding the administration of the appeal, which will be held orally. </w:t>
      </w:r>
    </w:p>
    <w:p w14:paraId="04BAA200" w14:textId="529822C6" w:rsidR="005A7A7D" w:rsidRDefault="005A7A7D" w:rsidP="005A7A7D">
      <w:pPr>
        <w:spacing w:before="120" w:after="240"/>
        <w:jc w:val="both"/>
        <w:rPr>
          <w:rFonts w:ascii="Arial" w:eastAsia="Times New Roman" w:hAnsi="Arial" w:cs="Arial"/>
          <w:sz w:val="20"/>
          <w:szCs w:val="20"/>
        </w:rPr>
      </w:pPr>
      <w:r w:rsidRPr="002B2A26">
        <w:rPr>
          <w:rFonts w:ascii="Arial" w:eastAsia="Times New Roman" w:hAnsi="Arial" w:cs="Arial"/>
          <w:sz w:val="20"/>
          <w:szCs w:val="20"/>
        </w:rPr>
        <w:t>Yours sincerely</w:t>
      </w:r>
    </w:p>
    <w:p w14:paraId="3610536D" w14:textId="18FF8791" w:rsidR="00C77E0C" w:rsidRPr="001A79E6" w:rsidRDefault="001A79E6" w:rsidP="72464577">
      <w:pPr>
        <w:spacing w:before="120" w:after="240"/>
        <w:jc w:val="both"/>
        <w:rPr>
          <w:rFonts w:ascii="Arial" w:hAnsi="Arial" w:cs="Arial"/>
          <w:sz w:val="20"/>
          <w:szCs w:val="20"/>
          <w:highlight w:val="black"/>
        </w:rPr>
      </w:pPr>
      <w:r w:rsidRPr="001A79E6">
        <w:rPr>
          <w:noProof/>
          <w:highlight w:val="black"/>
        </w:rPr>
        <w:t>XXXXXXXXX</w:t>
      </w:r>
    </w:p>
    <w:p w14:paraId="78A301C2" w14:textId="77777777" w:rsidR="007A5CA5" w:rsidRPr="002B2A26" w:rsidRDefault="007A5CA5" w:rsidP="005A7A7D">
      <w:pPr>
        <w:spacing w:before="120" w:after="240"/>
        <w:jc w:val="both"/>
        <w:rPr>
          <w:rFonts w:ascii="Arial" w:eastAsia="Times New Roman" w:hAnsi="Arial" w:cs="Arial"/>
          <w:sz w:val="20"/>
          <w:szCs w:val="20"/>
        </w:rPr>
      </w:pPr>
      <w:r w:rsidRPr="002B2A26">
        <w:rPr>
          <w:rFonts w:ascii="Arial" w:eastAsia="Times New Roman" w:hAnsi="Arial" w:cs="Arial"/>
          <w:sz w:val="20"/>
          <w:szCs w:val="20"/>
        </w:rPr>
        <w:t xml:space="preserve">Dr Mark Chakravarty </w:t>
      </w:r>
    </w:p>
    <w:p w14:paraId="7003656D" w14:textId="77777777" w:rsidR="002B2A26" w:rsidRPr="002B2A26" w:rsidRDefault="002B2A26" w:rsidP="002B2A26">
      <w:pPr>
        <w:spacing w:line="360" w:lineRule="auto"/>
        <w:jc w:val="both"/>
        <w:rPr>
          <w:rFonts w:ascii="Arial" w:hAnsi="Arial" w:cs="Arial"/>
          <w:sz w:val="20"/>
          <w:szCs w:val="20"/>
        </w:rPr>
      </w:pPr>
      <w:r w:rsidRPr="002B2A26">
        <w:rPr>
          <w:rFonts w:ascii="Arial" w:hAnsi="Arial" w:cs="Arial"/>
          <w:sz w:val="20"/>
          <w:szCs w:val="20"/>
        </w:rPr>
        <w:t xml:space="preserve">Lead Non-Executive Director for Appeals </w:t>
      </w:r>
    </w:p>
    <w:p w14:paraId="03E7BAFA" w14:textId="248D0F7E" w:rsidR="000B36E1" w:rsidRPr="002B2A26" w:rsidRDefault="005A7A7D" w:rsidP="007A5CA5">
      <w:pPr>
        <w:spacing w:before="120" w:after="240"/>
        <w:jc w:val="both"/>
        <w:rPr>
          <w:rFonts w:ascii="Arial" w:eastAsia="Times New Roman" w:hAnsi="Arial" w:cs="Arial"/>
          <w:sz w:val="20"/>
          <w:szCs w:val="20"/>
        </w:rPr>
      </w:pPr>
      <w:r w:rsidRPr="002B2A26">
        <w:rPr>
          <w:rFonts w:ascii="Arial" w:eastAsia="Times New Roman" w:hAnsi="Arial" w:cs="Arial"/>
          <w:sz w:val="20"/>
          <w:szCs w:val="20"/>
        </w:rPr>
        <w:t>National Institute for Health and Care Excellence</w:t>
      </w:r>
    </w:p>
    <w:sectPr w:rsidR="000B36E1" w:rsidRPr="002B2A26" w:rsidSect="000B36E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64FC" w14:textId="77777777" w:rsidR="0048591F" w:rsidRDefault="0048591F" w:rsidP="000B352B">
      <w:pPr>
        <w:spacing w:after="0" w:line="240" w:lineRule="auto"/>
      </w:pPr>
      <w:r>
        <w:separator/>
      </w:r>
    </w:p>
  </w:endnote>
  <w:endnote w:type="continuationSeparator" w:id="0">
    <w:p w14:paraId="08CFF905" w14:textId="77777777" w:rsidR="0048591F" w:rsidRDefault="0048591F"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58B5" w14:textId="77777777" w:rsidR="00BB16DB" w:rsidRDefault="00BB1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8241"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B6D8" w14:textId="77777777" w:rsidR="0048591F" w:rsidRDefault="0048591F" w:rsidP="000B352B">
      <w:pPr>
        <w:spacing w:after="0" w:line="240" w:lineRule="auto"/>
      </w:pPr>
      <w:r>
        <w:separator/>
      </w:r>
    </w:p>
  </w:footnote>
  <w:footnote w:type="continuationSeparator" w:id="0">
    <w:p w14:paraId="033E63BB" w14:textId="77777777" w:rsidR="0048591F" w:rsidRDefault="0048591F"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8101" w14:textId="77777777" w:rsidR="00BB16DB" w:rsidRDefault="00BB1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58240"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716026"/>
    <w:multiLevelType w:val="hybridMultilevel"/>
    <w:tmpl w:val="D11E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384"/>
    <w:multiLevelType w:val="hybridMultilevel"/>
    <w:tmpl w:val="68AC1F94"/>
    <w:lvl w:ilvl="0" w:tplc="128CEC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5"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6F7D3D"/>
    <w:multiLevelType w:val="hybridMultilevel"/>
    <w:tmpl w:val="07BC2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171732D"/>
    <w:multiLevelType w:val="hybridMultilevel"/>
    <w:tmpl w:val="A9360FA0"/>
    <w:lvl w:ilvl="0" w:tplc="B6E2AF5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1"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3"/>
  </w:num>
  <w:num w:numId="2" w16cid:durableId="1239897750">
    <w:abstractNumId w:val="8"/>
  </w:num>
  <w:num w:numId="3" w16cid:durableId="724110161">
    <w:abstractNumId w:val="4"/>
  </w:num>
  <w:num w:numId="4" w16cid:durableId="99180155">
    <w:abstractNumId w:val="10"/>
  </w:num>
  <w:num w:numId="5" w16cid:durableId="1481845086">
    <w:abstractNumId w:val="0"/>
  </w:num>
  <w:num w:numId="6" w16cid:durableId="423919277">
    <w:abstractNumId w:val="5"/>
  </w:num>
  <w:num w:numId="7" w16cid:durableId="20083576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7"/>
  </w:num>
  <w:num w:numId="9" w16cid:durableId="1504122631">
    <w:abstractNumId w:val="11"/>
  </w:num>
  <w:num w:numId="10" w16cid:durableId="2050908539">
    <w:abstractNumId w:val="2"/>
  </w:num>
  <w:num w:numId="11" w16cid:durableId="1439367573">
    <w:abstractNumId w:val="9"/>
  </w:num>
  <w:num w:numId="12" w16cid:durableId="2120372542">
    <w:abstractNumId w:val="1"/>
  </w:num>
  <w:num w:numId="13" w16cid:durableId="477068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4FC7"/>
    <w:rsid w:val="0003729F"/>
    <w:rsid w:val="000468DC"/>
    <w:rsid w:val="000641E7"/>
    <w:rsid w:val="00085181"/>
    <w:rsid w:val="0008618B"/>
    <w:rsid w:val="000B104A"/>
    <w:rsid w:val="000B352B"/>
    <w:rsid w:val="000B36E1"/>
    <w:rsid w:val="000E7196"/>
    <w:rsid w:val="00123F51"/>
    <w:rsid w:val="00144F73"/>
    <w:rsid w:val="0014732A"/>
    <w:rsid w:val="00176AA4"/>
    <w:rsid w:val="001849B8"/>
    <w:rsid w:val="001867B5"/>
    <w:rsid w:val="001A79E6"/>
    <w:rsid w:val="001D5BD2"/>
    <w:rsid w:val="001E0317"/>
    <w:rsid w:val="001F3962"/>
    <w:rsid w:val="0022689E"/>
    <w:rsid w:val="00231C82"/>
    <w:rsid w:val="002862D6"/>
    <w:rsid w:val="002A3433"/>
    <w:rsid w:val="002B2A26"/>
    <w:rsid w:val="002B6A0D"/>
    <w:rsid w:val="002D7B46"/>
    <w:rsid w:val="00320722"/>
    <w:rsid w:val="00321B75"/>
    <w:rsid w:val="00352CED"/>
    <w:rsid w:val="00355A99"/>
    <w:rsid w:val="00371B99"/>
    <w:rsid w:val="00385252"/>
    <w:rsid w:val="003936B7"/>
    <w:rsid w:val="00395183"/>
    <w:rsid w:val="003A3E2E"/>
    <w:rsid w:val="003A79BD"/>
    <w:rsid w:val="003B2535"/>
    <w:rsid w:val="003B779D"/>
    <w:rsid w:val="003C15E7"/>
    <w:rsid w:val="003D614E"/>
    <w:rsid w:val="003F65B8"/>
    <w:rsid w:val="0040409D"/>
    <w:rsid w:val="0041533B"/>
    <w:rsid w:val="004215D9"/>
    <w:rsid w:val="00427E93"/>
    <w:rsid w:val="0043022B"/>
    <w:rsid w:val="00453738"/>
    <w:rsid w:val="00453774"/>
    <w:rsid w:val="00455930"/>
    <w:rsid w:val="00464825"/>
    <w:rsid w:val="00480405"/>
    <w:rsid w:val="0048591F"/>
    <w:rsid w:val="00490CDB"/>
    <w:rsid w:val="00493D2F"/>
    <w:rsid w:val="004B574B"/>
    <w:rsid w:val="004C2D22"/>
    <w:rsid w:val="004E4493"/>
    <w:rsid w:val="004F29D7"/>
    <w:rsid w:val="004F39B0"/>
    <w:rsid w:val="00516F6A"/>
    <w:rsid w:val="0053490A"/>
    <w:rsid w:val="00545445"/>
    <w:rsid w:val="00593F3D"/>
    <w:rsid w:val="005A42E5"/>
    <w:rsid w:val="005A7A7D"/>
    <w:rsid w:val="005B078B"/>
    <w:rsid w:val="005C0B3C"/>
    <w:rsid w:val="005C388B"/>
    <w:rsid w:val="005C7480"/>
    <w:rsid w:val="005E0434"/>
    <w:rsid w:val="005E2A58"/>
    <w:rsid w:val="006120DE"/>
    <w:rsid w:val="00641CEB"/>
    <w:rsid w:val="006422F9"/>
    <w:rsid w:val="006628FF"/>
    <w:rsid w:val="00671EF3"/>
    <w:rsid w:val="0069376C"/>
    <w:rsid w:val="006D0C62"/>
    <w:rsid w:val="006E7D71"/>
    <w:rsid w:val="006F031D"/>
    <w:rsid w:val="007055DF"/>
    <w:rsid w:val="0072577F"/>
    <w:rsid w:val="00732227"/>
    <w:rsid w:val="00766BF8"/>
    <w:rsid w:val="0079326E"/>
    <w:rsid w:val="007A37F5"/>
    <w:rsid w:val="007A5CA5"/>
    <w:rsid w:val="007B36FA"/>
    <w:rsid w:val="007C63A7"/>
    <w:rsid w:val="007C64C6"/>
    <w:rsid w:val="007D0CF2"/>
    <w:rsid w:val="007D4914"/>
    <w:rsid w:val="00801DB2"/>
    <w:rsid w:val="008659FC"/>
    <w:rsid w:val="00866617"/>
    <w:rsid w:val="008901E3"/>
    <w:rsid w:val="00890D3F"/>
    <w:rsid w:val="008A1F28"/>
    <w:rsid w:val="008C081A"/>
    <w:rsid w:val="008D718C"/>
    <w:rsid w:val="008E4AE4"/>
    <w:rsid w:val="00924B83"/>
    <w:rsid w:val="00951BF1"/>
    <w:rsid w:val="00961369"/>
    <w:rsid w:val="00982660"/>
    <w:rsid w:val="009920DA"/>
    <w:rsid w:val="009A01FD"/>
    <w:rsid w:val="009C0C9A"/>
    <w:rsid w:val="009E2F15"/>
    <w:rsid w:val="009E48BD"/>
    <w:rsid w:val="009E5151"/>
    <w:rsid w:val="009F0476"/>
    <w:rsid w:val="00A0226C"/>
    <w:rsid w:val="00A24296"/>
    <w:rsid w:val="00A7211F"/>
    <w:rsid w:val="00A84AF4"/>
    <w:rsid w:val="00AB06D3"/>
    <w:rsid w:val="00AD3112"/>
    <w:rsid w:val="00AD7658"/>
    <w:rsid w:val="00AE303D"/>
    <w:rsid w:val="00AE670F"/>
    <w:rsid w:val="00B24360"/>
    <w:rsid w:val="00B32B71"/>
    <w:rsid w:val="00B43633"/>
    <w:rsid w:val="00B6749C"/>
    <w:rsid w:val="00B737D4"/>
    <w:rsid w:val="00BB16DB"/>
    <w:rsid w:val="00BB4DF6"/>
    <w:rsid w:val="00BC7BE7"/>
    <w:rsid w:val="00BE5F5A"/>
    <w:rsid w:val="00C11899"/>
    <w:rsid w:val="00C34F29"/>
    <w:rsid w:val="00C54534"/>
    <w:rsid w:val="00C61BB0"/>
    <w:rsid w:val="00C61D52"/>
    <w:rsid w:val="00C77E0C"/>
    <w:rsid w:val="00C85906"/>
    <w:rsid w:val="00C91263"/>
    <w:rsid w:val="00C96687"/>
    <w:rsid w:val="00CB4563"/>
    <w:rsid w:val="00CD7553"/>
    <w:rsid w:val="00CE085C"/>
    <w:rsid w:val="00CF6A39"/>
    <w:rsid w:val="00D00349"/>
    <w:rsid w:val="00D22D3F"/>
    <w:rsid w:val="00D37DEC"/>
    <w:rsid w:val="00D43C5C"/>
    <w:rsid w:val="00D50519"/>
    <w:rsid w:val="00D516C6"/>
    <w:rsid w:val="00D755E3"/>
    <w:rsid w:val="00D770E0"/>
    <w:rsid w:val="00DB178D"/>
    <w:rsid w:val="00DB37A9"/>
    <w:rsid w:val="00DC5EEE"/>
    <w:rsid w:val="00DD43C2"/>
    <w:rsid w:val="00DE4D19"/>
    <w:rsid w:val="00E03263"/>
    <w:rsid w:val="00E467E2"/>
    <w:rsid w:val="00E46E51"/>
    <w:rsid w:val="00E52F81"/>
    <w:rsid w:val="00E60FCF"/>
    <w:rsid w:val="00E622D7"/>
    <w:rsid w:val="00E67BD1"/>
    <w:rsid w:val="00E70F23"/>
    <w:rsid w:val="00E75CD7"/>
    <w:rsid w:val="00E7772A"/>
    <w:rsid w:val="00E903EB"/>
    <w:rsid w:val="00EA3919"/>
    <w:rsid w:val="00ED0019"/>
    <w:rsid w:val="00ED1955"/>
    <w:rsid w:val="00EE0FDC"/>
    <w:rsid w:val="00EE6553"/>
    <w:rsid w:val="00EF6F68"/>
    <w:rsid w:val="00F04994"/>
    <w:rsid w:val="00F1265E"/>
    <w:rsid w:val="00F13285"/>
    <w:rsid w:val="00F14F33"/>
    <w:rsid w:val="00F233EA"/>
    <w:rsid w:val="00F24B1D"/>
    <w:rsid w:val="00F47A04"/>
    <w:rsid w:val="00F70A40"/>
    <w:rsid w:val="00F97376"/>
    <w:rsid w:val="00FB225B"/>
    <w:rsid w:val="00FC0EF1"/>
    <w:rsid w:val="00FD2459"/>
    <w:rsid w:val="00FE3296"/>
    <w:rsid w:val="1A442C7A"/>
    <w:rsid w:val="22CF3635"/>
    <w:rsid w:val="46F210AA"/>
    <w:rsid w:val="5D9E1B7B"/>
    <w:rsid w:val="62DD258D"/>
    <w:rsid w:val="66250A8C"/>
    <w:rsid w:val="72464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68BA4F71-AD27-4139-B975-A3578A34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link w:val="ParagraphChar"/>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character" w:customStyle="1" w:styleId="ParagraphChar">
    <w:name w:val="Paragraph Char"/>
    <w:basedOn w:val="DefaultParagraphFont"/>
    <w:link w:val="Paragraph"/>
    <w:uiPriority w:val="4"/>
    <w:rsid w:val="00C91263"/>
    <w:rPr>
      <w:rFonts w:ascii="Arial" w:eastAsia="Times New Roman" w:hAnsi="Arial"/>
      <w:sz w:val="24"/>
      <w:szCs w:val="24"/>
    </w:rPr>
  </w:style>
  <w:style w:type="character" w:styleId="UnresolvedMention">
    <w:name w:val="Unresolved Mention"/>
    <w:basedOn w:val="DefaultParagraphFont"/>
    <w:uiPriority w:val="99"/>
    <w:semiHidden/>
    <w:unhideWhenUsed/>
    <w:rsid w:val="00E90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02123802">
      <w:bodyDiv w:val="1"/>
      <w:marLeft w:val="0"/>
      <w:marRight w:val="0"/>
      <w:marTop w:val="0"/>
      <w:marBottom w:val="0"/>
      <w:divBdr>
        <w:top w:val="none" w:sz="0" w:space="0" w:color="auto"/>
        <w:left w:val="none" w:sz="0" w:space="0" w:color="auto"/>
        <w:bottom w:val="none" w:sz="0" w:space="0" w:color="auto"/>
        <w:right w:val="none" w:sz="0" w:space="0" w:color="auto"/>
      </w:divBdr>
      <w:divsChild>
        <w:div w:id="74715977">
          <w:marLeft w:val="0"/>
          <w:marRight w:val="0"/>
          <w:marTop w:val="0"/>
          <w:marBottom w:val="0"/>
          <w:divBdr>
            <w:top w:val="none" w:sz="0" w:space="0" w:color="auto"/>
            <w:left w:val="none" w:sz="0" w:space="0" w:color="auto"/>
            <w:bottom w:val="none" w:sz="0" w:space="0" w:color="auto"/>
            <w:right w:val="none" w:sz="0" w:space="0" w:color="auto"/>
          </w:divBdr>
        </w:div>
        <w:div w:id="277177552">
          <w:marLeft w:val="0"/>
          <w:marRight w:val="0"/>
          <w:marTop w:val="0"/>
          <w:marBottom w:val="0"/>
          <w:divBdr>
            <w:top w:val="none" w:sz="0" w:space="0" w:color="auto"/>
            <w:left w:val="none" w:sz="0" w:space="0" w:color="auto"/>
            <w:bottom w:val="none" w:sz="0" w:space="0" w:color="auto"/>
            <w:right w:val="none" w:sz="0" w:space="0" w:color="auto"/>
          </w:divBdr>
        </w:div>
        <w:div w:id="621347575">
          <w:marLeft w:val="0"/>
          <w:marRight w:val="0"/>
          <w:marTop w:val="0"/>
          <w:marBottom w:val="0"/>
          <w:divBdr>
            <w:top w:val="none" w:sz="0" w:space="0" w:color="auto"/>
            <w:left w:val="none" w:sz="0" w:space="0" w:color="auto"/>
            <w:bottom w:val="none" w:sz="0" w:space="0" w:color="auto"/>
            <w:right w:val="none" w:sz="0" w:space="0" w:color="auto"/>
          </w:divBdr>
        </w:div>
        <w:div w:id="857237906">
          <w:marLeft w:val="0"/>
          <w:marRight w:val="0"/>
          <w:marTop w:val="0"/>
          <w:marBottom w:val="0"/>
          <w:divBdr>
            <w:top w:val="none" w:sz="0" w:space="0" w:color="auto"/>
            <w:left w:val="none" w:sz="0" w:space="0" w:color="auto"/>
            <w:bottom w:val="none" w:sz="0" w:space="0" w:color="auto"/>
            <w:right w:val="none" w:sz="0" w:space="0" w:color="auto"/>
          </w:divBdr>
        </w:div>
        <w:div w:id="890310454">
          <w:marLeft w:val="0"/>
          <w:marRight w:val="0"/>
          <w:marTop w:val="0"/>
          <w:marBottom w:val="0"/>
          <w:divBdr>
            <w:top w:val="none" w:sz="0" w:space="0" w:color="auto"/>
            <w:left w:val="none" w:sz="0" w:space="0" w:color="auto"/>
            <w:bottom w:val="none" w:sz="0" w:space="0" w:color="auto"/>
            <w:right w:val="none" w:sz="0" w:space="0" w:color="auto"/>
          </w:divBdr>
        </w:div>
        <w:div w:id="1981416342">
          <w:marLeft w:val="0"/>
          <w:marRight w:val="0"/>
          <w:marTop w:val="0"/>
          <w:marBottom w:val="0"/>
          <w:divBdr>
            <w:top w:val="none" w:sz="0" w:space="0" w:color="auto"/>
            <w:left w:val="none" w:sz="0" w:space="0" w:color="auto"/>
            <w:bottom w:val="none" w:sz="0" w:space="0" w:color="auto"/>
            <w:right w:val="none" w:sz="0" w:space="0" w:color="auto"/>
          </w:divBdr>
        </w:div>
      </w:divsChild>
    </w:div>
    <w:div w:id="1049306674">
      <w:bodyDiv w:val="1"/>
      <w:marLeft w:val="0"/>
      <w:marRight w:val="0"/>
      <w:marTop w:val="0"/>
      <w:marBottom w:val="0"/>
      <w:divBdr>
        <w:top w:val="none" w:sz="0" w:space="0" w:color="auto"/>
        <w:left w:val="none" w:sz="0" w:space="0" w:color="auto"/>
        <w:bottom w:val="none" w:sz="0" w:space="0" w:color="auto"/>
        <w:right w:val="none" w:sz="0" w:space="0" w:color="auto"/>
      </w:divBdr>
      <w:divsChild>
        <w:div w:id="250314537">
          <w:marLeft w:val="0"/>
          <w:marRight w:val="0"/>
          <w:marTop w:val="0"/>
          <w:marBottom w:val="0"/>
          <w:divBdr>
            <w:top w:val="none" w:sz="0" w:space="0" w:color="auto"/>
            <w:left w:val="none" w:sz="0" w:space="0" w:color="auto"/>
            <w:bottom w:val="none" w:sz="0" w:space="0" w:color="auto"/>
            <w:right w:val="none" w:sz="0" w:space="0" w:color="auto"/>
          </w:divBdr>
        </w:div>
        <w:div w:id="353045102">
          <w:marLeft w:val="0"/>
          <w:marRight w:val="0"/>
          <w:marTop w:val="0"/>
          <w:marBottom w:val="0"/>
          <w:divBdr>
            <w:top w:val="none" w:sz="0" w:space="0" w:color="auto"/>
            <w:left w:val="none" w:sz="0" w:space="0" w:color="auto"/>
            <w:bottom w:val="none" w:sz="0" w:space="0" w:color="auto"/>
            <w:right w:val="none" w:sz="0" w:space="0" w:color="auto"/>
          </w:divBdr>
        </w:div>
        <w:div w:id="611326605">
          <w:marLeft w:val="0"/>
          <w:marRight w:val="0"/>
          <w:marTop w:val="0"/>
          <w:marBottom w:val="0"/>
          <w:divBdr>
            <w:top w:val="none" w:sz="0" w:space="0" w:color="auto"/>
            <w:left w:val="none" w:sz="0" w:space="0" w:color="auto"/>
            <w:bottom w:val="none" w:sz="0" w:space="0" w:color="auto"/>
            <w:right w:val="none" w:sz="0" w:space="0" w:color="auto"/>
          </w:divBdr>
        </w:div>
        <w:div w:id="634533053">
          <w:marLeft w:val="0"/>
          <w:marRight w:val="0"/>
          <w:marTop w:val="0"/>
          <w:marBottom w:val="0"/>
          <w:divBdr>
            <w:top w:val="none" w:sz="0" w:space="0" w:color="auto"/>
            <w:left w:val="none" w:sz="0" w:space="0" w:color="auto"/>
            <w:bottom w:val="none" w:sz="0" w:space="0" w:color="auto"/>
            <w:right w:val="none" w:sz="0" w:space="0" w:color="auto"/>
          </w:divBdr>
        </w:div>
        <w:div w:id="1955167637">
          <w:marLeft w:val="0"/>
          <w:marRight w:val="0"/>
          <w:marTop w:val="0"/>
          <w:marBottom w:val="0"/>
          <w:divBdr>
            <w:top w:val="none" w:sz="0" w:space="0" w:color="auto"/>
            <w:left w:val="none" w:sz="0" w:space="0" w:color="auto"/>
            <w:bottom w:val="none" w:sz="0" w:space="0" w:color="auto"/>
            <w:right w:val="none" w:sz="0" w:space="0" w:color="auto"/>
          </w:divBdr>
        </w:div>
        <w:div w:id="1957104852">
          <w:marLeft w:val="0"/>
          <w:marRight w:val="0"/>
          <w:marTop w:val="0"/>
          <w:marBottom w:val="0"/>
          <w:divBdr>
            <w:top w:val="none" w:sz="0" w:space="0" w:color="auto"/>
            <w:left w:val="none" w:sz="0" w:space="0" w:color="auto"/>
            <w:bottom w:val="none" w:sz="0" w:space="0" w:color="auto"/>
            <w:right w:val="none" w:sz="0" w:space="0" w:color="auto"/>
          </w:divBdr>
        </w:div>
      </w:divsChild>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58891D-E10D-45AB-B3D0-6E053A9F46EC}">
  <ds:schemaRefs>
    <ds:schemaRef ds:uri="http://schemas.microsoft.com/sharepoint/v3/contenttype/forms"/>
  </ds:schemaRefs>
</ds:datastoreItem>
</file>

<file path=customXml/itemProps2.xml><?xml version="1.0" encoding="utf-8"?>
<ds:datastoreItem xmlns:ds="http://schemas.openxmlformats.org/officeDocument/2006/customXml" ds:itemID="{015E1B5E-53DD-4E3A-A1B8-683AD115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FC7F0-FCF6-4041-8C9C-FFF53ED38802}">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2302</Words>
  <Characters>13123</Characters>
  <Application>Microsoft Office Word</Application>
  <DocSecurity>4</DocSecurity>
  <Lines>109</Lines>
  <Paragraphs>30</Paragraphs>
  <ScaleCrop>false</ScaleCrop>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Woodward</dc:creator>
  <cp:keywords/>
  <cp:lastModifiedBy>Dawn Abbott</cp:lastModifiedBy>
  <cp:revision>13</cp:revision>
  <cp:lastPrinted>1900-01-02T00:00:00Z</cp:lastPrinted>
  <dcterms:created xsi:type="dcterms:W3CDTF">2025-08-01T01:33:00Z</dcterms:created>
  <dcterms:modified xsi:type="dcterms:W3CDTF">2025-12-23T15:40:00Z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2025-07-31T09:33:05Z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9c1bf205-e778-437a-b97e-9e851ac6b908</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y fmtid="{D5CDD505-2E9C-101B-9397-08002B2CF9AE}" pid="11" name="MediaServiceImageTags">
    <vt:lpwstr/>
  </property>
</Properties>
</file>