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2132" w:rsidR="003563BC" w:rsidP="00C557AC" w:rsidRDefault="003563BC" w14:paraId="58FF5C87" w14:textId="77777777">
      <w:pPr>
        <w:spacing w:before="0" w:after="0" w:line="240" w:lineRule="auto"/>
        <w:jc w:val="both"/>
        <w:rPr>
          <w:rFonts w:ascii="Times New Roman" w:hAnsi="Times New Roman"/>
        </w:rPr>
      </w:pPr>
      <w:r w:rsidRPr="007C2132">
        <w:rPr>
          <w:rFonts w:ascii="Times New Roman" w:hAnsi="Times New Roman"/>
        </w:rPr>
        <w:t>Dr Mark Chakravarty</w:t>
      </w:r>
    </w:p>
    <w:p w:rsidRPr="007C2132" w:rsidR="003563BC" w:rsidP="00C557AC" w:rsidRDefault="003563BC" w14:paraId="578D7CAF" w14:textId="77777777">
      <w:pPr>
        <w:spacing w:before="0" w:after="0" w:line="240" w:lineRule="auto"/>
        <w:jc w:val="both"/>
        <w:rPr>
          <w:rFonts w:ascii="Times New Roman" w:hAnsi="Times New Roman"/>
        </w:rPr>
      </w:pPr>
      <w:r w:rsidRPr="007C2132">
        <w:rPr>
          <w:rFonts w:ascii="Times New Roman" w:hAnsi="Times New Roman"/>
        </w:rPr>
        <w:t>Lead Non-Executive Director for Appeals</w:t>
      </w:r>
    </w:p>
    <w:p w:rsidRPr="007C2132" w:rsidR="003563BC" w:rsidP="00C557AC" w:rsidRDefault="003563BC" w14:paraId="69F53703" w14:textId="77777777">
      <w:pPr>
        <w:spacing w:before="0" w:after="0" w:line="240" w:lineRule="auto"/>
        <w:jc w:val="both"/>
        <w:rPr>
          <w:rFonts w:ascii="Times New Roman" w:hAnsi="Times New Roman"/>
        </w:rPr>
      </w:pPr>
      <w:r w:rsidRPr="007C2132">
        <w:rPr>
          <w:rFonts w:ascii="Times New Roman" w:hAnsi="Times New Roman"/>
        </w:rPr>
        <w:t>National Institute for Health and Care Excellence</w:t>
      </w:r>
    </w:p>
    <w:p w:rsidRPr="007C2132" w:rsidR="003563BC" w:rsidP="00C557AC" w:rsidRDefault="003563BC" w14:paraId="7F4C6E70" w14:textId="77777777">
      <w:pPr>
        <w:spacing w:before="0" w:after="0" w:line="240" w:lineRule="auto"/>
        <w:jc w:val="both"/>
        <w:rPr>
          <w:rFonts w:ascii="Times New Roman" w:hAnsi="Times New Roman"/>
        </w:rPr>
      </w:pPr>
      <w:r w:rsidRPr="007C2132">
        <w:rPr>
          <w:rFonts w:ascii="Times New Roman" w:hAnsi="Times New Roman"/>
        </w:rPr>
        <w:t>2nd Floor</w:t>
      </w:r>
    </w:p>
    <w:p w:rsidRPr="007C2132" w:rsidR="003563BC" w:rsidP="00C557AC" w:rsidRDefault="003563BC" w14:paraId="3235C4A9" w14:textId="77777777">
      <w:pPr>
        <w:spacing w:before="0" w:after="0" w:line="240" w:lineRule="auto"/>
        <w:jc w:val="both"/>
        <w:rPr>
          <w:rFonts w:ascii="Times New Roman" w:hAnsi="Times New Roman"/>
        </w:rPr>
      </w:pPr>
      <w:r w:rsidRPr="007C2132">
        <w:rPr>
          <w:rFonts w:ascii="Times New Roman" w:hAnsi="Times New Roman"/>
        </w:rPr>
        <w:t>2 Redman Place</w:t>
      </w:r>
    </w:p>
    <w:p w:rsidRPr="007C2132" w:rsidR="003563BC" w:rsidP="00C557AC" w:rsidRDefault="003563BC" w14:paraId="53C6588A" w14:textId="77777777">
      <w:pPr>
        <w:spacing w:before="0" w:after="0" w:line="240" w:lineRule="auto"/>
        <w:jc w:val="both"/>
        <w:rPr>
          <w:rFonts w:ascii="Times New Roman" w:hAnsi="Times New Roman"/>
        </w:rPr>
      </w:pPr>
      <w:r w:rsidRPr="007C2132">
        <w:rPr>
          <w:rFonts w:ascii="Times New Roman" w:hAnsi="Times New Roman"/>
        </w:rPr>
        <w:t>London E20 1JQ</w:t>
      </w:r>
    </w:p>
    <w:p w:rsidR="003563BC" w:rsidP="00C557AC" w:rsidRDefault="003563BC" w14:paraId="7B3F9B78" w14:textId="77777777">
      <w:pPr>
        <w:spacing w:before="0" w:after="0" w:line="240" w:lineRule="auto"/>
        <w:jc w:val="both"/>
        <w:rPr>
          <w:rFonts w:ascii="Times New Roman" w:hAnsi="Times New Roman"/>
        </w:rPr>
      </w:pPr>
    </w:p>
    <w:p w:rsidRPr="007C2132" w:rsidR="003563BC" w:rsidP="00C557AC" w:rsidRDefault="00F74EF3" w14:paraId="523C35AA" w14:textId="7A0BFABA">
      <w:pPr>
        <w:spacing w:before="0" w:after="0" w:line="240" w:lineRule="auto"/>
        <w:jc w:val="both"/>
        <w:rPr>
          <w:rFonts w:ascii="Times New Roman" w:hAnsi="Times New Roman"/>
        </w:rPr>
      </w:pPr>
      <w:r>
        <w:rPr>
          <w:rFonts w:ascii="Times New Roman" w:hAnsi="Times New Roman"/>
        </w:rPr>
        <w:t>24</w:t>
      </w:r>
      <w:r w:rsidR="009C019C">
        <w:rPr>
          <w:rFonts w:ascii="Times New Roman" w:hAnsi="Times New Roman"/>
        </w:rPr>
        <w:t xml:space="preserve"> July </w:t>
      </w:r>
      <w:r w:rsidRPr="007C2132" w:rsidR="003563BC">
        <w:rPr>
          <w:rFonts w:ascii="Times New Roman" w:hAnsi="Times New Roman"/>
        </w:rPr>
        <w:t>202</w:t>
      </w:r>
      <w:r w:rsidR="009C019C">
        <w:rPr>
          <w:rFonts w:ascii="Times New Roman" w:hAnsi="Times New Roman"/>
        </w:rPr>
        <w:t>5</w:t>
      </w:r>
    </w:p>
    <w:p w:rsidRPr="007C2132" w:rsidR="003563BC" w:rsidP="00C557AC" w:rsidRDefault="003563BC" w14:paraId="6AE3AA53" w14:textId="77777777">
      <w:pPr>
        <w:spacing w:before="360" w:after="120"/>
        <w:jc w:val="both"/>
        <w:rPr>
          <w:rFonts w:ascii="Times New Roman" w:hAnsi="Times New Roman" w:eastAsia="Arial" w:cs="Arial"/>
          <w:szCs w:val="24"/>
        </w:rPr>
      </w:pPr>
      <w:r w:rsidRPr="007C2132">
        <w:rPr>
          <w:rFonts w:ascii="Times New Roman" w:hAnsi="Times New Roman" w:eastAsia="Arial" w:cs="Arial"/>
          <w:szCs w:val="24"/>
        </w:rPr>
        <w:t>Dear Dr Chakravarty,</w:t>
      </w:r>
    </w:p>
    <w:p w:rsidRPr="00573D0F" w:rsidR="003563BC" w:rsidP="00C557AC" w:rsidRDefault="003563BC" w14:paraId="3B0A1DC0" w14:textId="6161088E">
      <w:pPr>
        <w:spacing w:before="240" w:after="240" w:line="240" w:lineRule="auto"/>
        <w:jc w:val="both"/>
        <w:rPr>
          <w:rFonts w:ascii="Times New Roman" w:hAnsi="Times New Roman" w:cs="Arial"/>
          <w:b/>
          <w:bCs/>
        </w:rPr>
      </w:pPr>
      <w:r w:rsidRPr="00573D0F">
        <w:rPr>
          <w:rFonts w:ascii="Times New Roman" w:hAnsi="Times New Roman" w:cs="Arial"/>
          <w:b/>
          <w:bCs/>
        </w:rPr>
        <w:t>Appeal against the Final Draft Guidance (FDG)</w:t>
      </w:r>
      <w:r w:rsidRPr="00573D0F" w:rsidR="00573D0F">
        <w:rPr>
          <w:rFonts w:ascii="Times New Roman Bold" w:hAnsi="Times New Roman Bold"/>
          <w:b/>
          <w:bCs/>
        </w:rPr>
        <w:t xml:space="preserve"> for donanemab for treating mild cognitive impairment or mild dementia caused by Alzheimer’s Disease [ID</w:t>
      </w:r>
      <w:r w:rsidR="00FF74B5">
        <w:rPr>
          <w:rFonts w:ascii="Times New Roman Bold" w:hAnsi="Times New Roman Bold"/>
          <w:b/>
          <w:bCs/>
        </w:rPr>
        <w:t>6222</w:t>
      </w:r>
      <w:r w:rsidRPr="00573D0F" w:rsidR="00573D0F">
        <w:rPr>
          <w:rFonts w:ascii="Times New Roman Bold" w:hAnsi="Times New Roman Bold"/>
          <w:b/>
          <w:bCs/>
        </w:rPr>
        <w:t>]</w:t>
      </w:r>
    </w:p>
    <w:p w:rsidRPr="007C2132" w:rsidR="003563BC" w:rsidP="00C557AC" w:rsidRDefault="003563BC" w14:paraId="0E24224C" w14:textId="2B3F5D27">
      <w:pPr>
        <w:pStyle w:val="Paragraph"/>
        <w:numPr>
          <w:ilvl w:val="0"/>
          <w:numId w:val="0"/>
        </w:numPr>
        <w:spacing w:before="0" w:after="0"/>
        <w:jc w:val="both"/>
        <w:rPr>
          <w:rFonts w:ascii="Times New Roman" w:hAnsi="Times New Roman" w:cs="Arial"/>
          <w:bCs/>
          <w:szCs w:val="22"/>
        </w:rPr>
      </w:pPr>
      <w:r w:rsidRPr="007C2132">
        <w:rPr>
          <w:rFonts w:ascii="Times New Roman" w:hAnsi="Times New Roman" w:cs="Arial"/>
          <w:bCs/>
          <w:szCs w:val="22"/>
        </w:rPr>
        <w:t xml:space="preserve">Thank you for your </w:t>
      </w:r>
      <w:r w:rsidRPr="007C2132">
        <w:rPr>
          <w:rFonts w:ascii="Times New Roman" w:hAnsi="Times New Roman" w:cs="Arial"/>
          <w:szCs w:val="22"/>
        </w:rPr>
        <w:t>letter dated</w:t>
      </w:r>
      <w:r w:rsidR="00227AAA">
        <w:rPr>
          <w:rFonts w:ascii="Times New Roman" w:hAnsi="Times New Roman" w:cs="Arial"/>
          <w:szCs w:val="22"/>
        </w:rPr>
        <w:t xml:space="preserve"> 10 July 2025</w:t>
      </w:r>
      <w:r w:rsidRPr="007C2132">
        <w:rPr>
          <w:rFonts w:ascii="Times New Roman" w:hAnsi="Times New Roman" w:cs="Arial"/>
          <w:szCs w:val="22"/>
        </w:rPr>
        <w:t>,</w:t>
      </w:r>
      <w:r w:rsidRPr="007C2132">
        <w:rPr>
          <w:rFonts w:ascii="Times New Roman" w:hAnsi="Times New Roman" w:cs="Arial"/>
          <w:bCs/>
          <w:szCs w:val="22"/>
        </w:rPr>
        <w:t xml:space="preserve"> in which you provide your initial view</w:t>
      </w:r>
      <w:r>
        <w:rPr>
          <w:rFonts w:ascii="Times New Roman" w:hAnsi="Times New Roman" w:cs="Arial"/>
          <w:bCs/>
          <w:szCs w:val="22"/>
        </w:rPr>
        <w:t>s</w:t>
      </w:r>
      <w:r w:rsidRPr="007C2132">
        <w:rPr>
          <w:rFonts w:ascii="Times New Roman" w:hAnsi="Times New Roman" w:cs="Arial"/>
          <w:bCs/>
          <w:szCs w:val="22"/>
        </w:rPr>
        <w:t xml:space="preserve"> </w:t>
      </w:r>
      <w:r>
        <w:rPr>
          <w:rFonts w:ascii="Times New Roman" w:hAnsi="Times New Roman" w:cs="Arial"/>
          <w:bCs/>
          <w:szCs w:val="22"/>
        </w:rPr>
        <w:t xml:space="preserve">in relation to </w:t>
      </w:r>
      <w:r w:rsidRPr="007C2132">
        <w:rPr>
          <w:rFonts w:ascii="Times New Roman" w:hAnsi="Times New Roman" w:cs="Arial"/>
          <w:bCs/>
          <w:szCs w:val="22"/>
        </w:rPr>
        <w:t xml:space="preserve">the admissibility of the points of appeal set out in </w:t>
      </w:r>
      <w:r w:rsidR="00F74EF3">
        <w:rPr>
          <w:rFonts w:ascii="Times New Roman" w:hAnsi="Times New Roman" w:cs="Arial"/>
          <w:bCs/>
          <w:szCs w:val="22"/>
        </w:rPr>
        <w:t>Lilly’s</w:t>
      </w:r>
      <w:r w:rsidRPr="007C2132">
        <w:rPr>
          <w:rFonts w:ascii="Times New Roman" w:hAnsi="Times New Roman" w:cs="Arial"/>
          <w:bCs/>
          <w:szCs w:val="22"/>
        </w:rPr>
        <w:t xml:space="preserve"> letter of appeal </w:t>
      </w:r>
      <w:r w:rsidR="00F74EF3">
        <w:rPr>
          <w:rFonts w:ascii="Times New Roman" w:hAnsi="Times New Roman" w:cs="Arial"/>
          <w:bCs/>
          <w:szCs w:val="22"/>
        </w:rPr>
        <w:t xml:space="preserve">dated </w:t>
      </w:r>
      <w:r w:rsidR="00A703BC">
        <w:rPr>
          <w:rFonts w:ascii="Times New Roman" w:hAnsi="Times New Roman" w:cs="Arial"/>
          <w:bCs/>
          <w:szCs w:val="22"/>
        </w:rPr>
        <w:t>3 July 2025.</w:t>
      </w:r>
    </w:p>
    <w:p w:rsidRPr="007C2132" w:rsidR="003563BC" w:rsidP="00C557AC" w:rsidRDefault="003563BC" w14:paraId="1B448565" w14:textId="77777777">
      <w:pPr>
        <w:pStyle w:val="Paragraph"/>
        <w:numPr>
          <w:ilvl w:val="0"/>
          <w:numId w:val="0"/>
        </w:numPr>
        <w:spacing w:before="0" w:after="0"/>
        <w:jc w:val="both"/>
        <w:rPr>
          <w:rFonts w:ascii="Times New Roman" w:hAnsi="Times New Roman" w:cs="Arial"/>
          <w:bCs/>
          <w:szCs w:val="22"/>
        </w:rPr>
      </w:pPr>
    </w:p>
    <w:p w:rsidR="003563BC" w:rsidP="00C557AC" w:rsidRDefault="008A7523" w14:paraId="2EBE279E" w14:textId="62921410">
      <w:pPr>
        <w:pStyle w:val="Paragraph"/>
        <w:numPr>
          <w:ilvl w:val="0"/>
          <w:numId w:val="0"/>
        </w:numPr>
        <w:spacing w:before="0" w:after="0"/>
        <w:jc w:val="both"/>
        <w:rPr>
          <w:rFonts w:ascii="Times New Roman" w:hAnsi="Times New Roman" w:cs="Arial"/>
          <w:bCs/>
          <w:szCs w:val="22"/>
        </w:rPr>
      </w:pPr>
      <w:r>
        <w:rPr>
          <w:rFonts w:ascii="Times New Roman" w:hAnsi="Times New Roman" w:cs="Arial"/>
          <w:bCs/>
          <w:szCs w:val="22"/>
        </w:rPr>
        <w:t>W</w:t>
      </w:r>
      <w:r w:rsidR="00FD5325">
        <w:rPr>
          <w:rFonts w:ascii="Times New Roman" w:hAnsi="Times New Roman" w:cs="Arial"/>
          <w:bCs/>
          <w:szCs w:val="22"/>
        </w:rPr>
        <w:t>e</w:t>
      </w:r>
      <w:r w:rsidRPr="007C2132" w:rsidR="003563BC">
        <w:rPr>
          <w:rFonts w:ascii="Times New Roman" w:hAnsi="Times New Roman" w:cs="Arial"/>
          <w:bCs/>
          <w:szCs w:val="22"/>
        </w:rPr>
        <w:t xml:space="preserve"> welcome your conclusion that </w:t>
      </w:r>
      <w:r w:rsidR="00A703BC">
        <w:rPr>
          <w:rFonts w:ascii="Times New Roman" w:hAnsi="Times New Roman" w:cs="Arial"/>
          <w:bCs/>
          <w:szCs w:val="22"/>
        </w:rPr>
        <w:t xml:space="preserve">certain of </w:t>
      </w:r>
      <w:r w:rsidRPr="007C2132" w:rsidR="003563BC">
        <w:rPr>
          <w:rFonts w:ascii="Times New Roman" w:hAnsi="Times New Roman" w:cs="Arial"/>
          <w:bCs/>
          <w:szCs w:val="22"/>
        </w:rPr>
        <w:t>our appeal points may proceed to an oral hearing</w:t>
      </w:r>
      <w:r>
        <w:rPr>
          <w:rFonts w:ascii="Times New Roman" w:hAnsi="Times New Roman" w:cs="Arial"/>
          <w:bCs/>
          <w:szCs w:val="22"/>
        </w:rPr>
        <w:t xml:space="preserve">.  </w:t>
      </w:r>
      <w:proofErr w:type="gramStart"/>
      <w:r>
        <w:rPr>
          <w:rFonts w:ascii="Times New Roman" w:hAnsi="Times New Roman" w:cs="Arial"/>
          <w:bCs/>
          <w:szCs w:val="22"/>
        </w:rPr>
        <w:t>However</w:t>
      </w:r>
      <w:proofErr w:type="gramEnd"/>
      <w:r>
        <w:rPr>
          <w:rFonts w:ascii="Times New Roman" w:hAnsi="Times New Roman" w:cs="Arial"/>
          <w:bCs/>
          <w:szCs w:val="22"/>
        </w:rPr>
        <w:t xml:space="preserve"> </w:t>
      </w:r>
      <w:r w:rsidR="00FD5325">
        <w:rPr>
          <w:rFonts w:ascii="Times New Roman" w:hAnsi="Times New Roman" w:cs="Arial"/>
          <w:bCs/>
          <w:szCs w:val="22"/>
        </w:rPr>
        <w:t xml:space="preserve">we are </w:t>
      </w:r>
      <w:r w:rsidR="00685463">
        <w:rPr>
          <w:rFonts w:ascii="Times New Roman" w:hAnsi="Times New Roman" w:cs="Arial"/>
          <w:bCs/>
          <w:szCs w:val="22"/>
        </w:rPr>
        <w:t xml:space="preserve">very </w:t>
      </w:r>
      <w:r w:rsidR="00620F35">
        <w:rPr>
          <w:rFonts w:ascii="Times New Roman" w:hAnsi="Times New Roman" w:cs="Arial"/>
          <w:bCs/>
          <w:szCs w:val="22"/>
        </w:rPr>
        <w:t xml:space="preserve">surprised that you have </w:t>
      </w:r>
      <w:r>
        <w:rPr>
          <w:rFonts w:ascii="Times New Roman" w:hAnsi="Times New Roman" w:cs="Arial"/>
          <w:bCs/>
          <w:szCs w:val="22"/>
        </w:rPr>
        <w:t xml:space="preserve">suggested </w:t>
      </w:r>
      <w:r w:rsidR="00620F35">
        <w:rPr>
          <w:rFonts w:ascii="Times New Roman" w:hAnsi="Times New Roman" w:cs="Arial"/>
          <w:bCs/>
          <w:szCs w:val="22"/>
        </w:rPr>
        <w:t xml:space="preserve">that </w:t>
      </w:r>
      <w:r w:rsidR="00FF74B5">
        <w:rPr>
          <w:rFonts w:ascii="Times New Roman" w:hAnsi="Times New Roman" w:cs="Arial"/>
          <w:bCs/>
          <w:szCs w:val="22"/>
        </w:rPr>
        <w:t xml:space="preserve">other </w:t>
      </w:r>
      <w:r w:rsidR="00620F35">
        <w:rPr>
          <w:rFonts w:ascii="Times New Roman" w:hAnsi="Times New Roman" w:cs="Arial"/>
          <w:bCs/>
          <w:szCs w:val="22"/>
        </w:rPr>
        <w:t>points should be rejected</w:t>
      </w:r>
      <w:r>
        <w:rPr>
          <w:rFonts w:ascii="Times New Roman" w:hAnsi="Times New Roman" w:cs="Arial"/>
          <w:bCs/>
          <w:szCs w:val="22"/>
        </w:rPr>
        <w:t xml:space="preserve"> </w:t>
      </w:r>
      <w:r w:rsidR="00685463">
        <w:rPr>
          <w:rFonts w:ascii="Times New Roman" w:hAnsi="Times New Roman" w:cs="Arial"/>
          <w:bCs/>
          <w:szCs w:val="22"/>
        </w:rPr>
        <w:t xml:space="preserve">(including important matters of principle) </w:t>
      </w:r>
      <w:r>
        <w:rPr>
          <w:rFonts w:ascii="Times New Roman" w:hAnsi="Times New Roman" w:cs="Arial"/>
          <w:bCs/>
          <w:szCs w:val="22"/>
        </w:rPr>
        <w:t>and s</w:t>
      </w:r>
      <w:r w:rsidR="00620F35">
        <w:rPr>
          <w:rFonts w:ascii="Times New Roman" w:hAnsi="Times New Roman" w:cs="Arial"/>
          <w:bCs/>
          <w:szCs w:val="22"/>
        </w:rPr>
        <w:t>trongly disagree with this preliminary view</w:t>
      </w:r>
      <w:r>
        <w:rPr>
          <w:rFonts w:ascii="Times New Roman" w:hAnsi="Times New Roman" w:cs="Arial"/>
          <w:bCs/>
          <w:szCs w:val="22"/>
        </w:rPr>
        <w:t>.  We there</w:t>
      </w:r>
      <w:r w:rsidR="00810B8C">
        <w:rPr>
          <w:rFonts w:ascii="Times New Roman" w:hAnsi="Times New Roman" w:cs="Arial"/>
          <w:bCs/>
          <w:szCs w:val="22"/>
        </w:rPr>
        <w:t xml:space="preserve">fore </w:t>
      </w:r>
      <w:r w:rsidRPr="007C2132" w:rsidR="003563BC">
        <w:rPr>
          <w:rFonts w:ascii="Times New Roman" w:hAnsi="Times New Roman" w:cs="Arial"/>
          <w:bCs/>
          <w:szCs w:val="22"/>
        </w:rPr>
        <w:t xml:space="preserve">provide </w:t>
      </w:r>
      <w:r w:rsidR="006C685C">
        <w:rPr>
          <w:rFonts w:ascii="Times New Roman" w:hAnsi="Times New Roman" w:cs="Arial"/>
          <w:bCs/>
          <w:szCs w:val="22"/>
        </w:rPr>
        <w:t>below</w:t>
      </w:r>
      <w:r w:rsidR="00810B8C">
        <w:rPr>
          <w:rFonts w:ascii="Times New Roman" w:hAnsi="Times New Roman" w:cs="Arial"/>
          <w:bCs/>
          <w:szCs w:val="22"/>
        </w:rPr>
        <w:t xml:space="preserve"> further elaboration and clarification of these points of appeal as requested in your letter.</w:t>
      </w:r>
      <w:r w:rsidRPr="007C2132" w:rsidR="003563BC">
        <w:rPr>
          <w:rFonts w:ascii="Times New Roman" w:hAnsi="Times New Roman" w:cs="Arial"/>
          <w:bCs/>
          <w:szCs w:val="22"/>
        </w:rPr>
        <w:t xml:space="preserve"> </w:t>
      </w:r>
    </w:p>
    <w:p w:rsidR="00487C9E" w:rsidP="00C557AC" w:rsidRDefault="00487C9E" w14:paraId="3C0BE44A" w14:textId="77777777">
      <w:pPr>
        <w:pStyle w:val="Paragraph"/>
        <w:numPr>
          <w:ilvl w:val="0"/>
          <w:numId w:val="0"/>
        </w:numPr>
        <w:spacing w:before="0" w:after="0"/>
        <w:jc w:val="both"/>
        <w:rPr>
          <w:rFonts w:ascii="Times New Roman" w:hAnsi="Times New Roman" w:cs="Arial"/>
          <w:bCs/>
          <w:szCs w:val="22"/>
        </w:rPr>
      </w:pPr>
    </w:p>
    <w:p w:rsidR="00487C9E" w:rsidP="00C557AC" w:rsidRDefault="00487C9E" w14:paraId="1A2A51E3" w14:textId="739AD4FA">
      <w:pPr>
        <w:pStyle w:val="Paragraph"/>
        <w:numPr>
          <w:ilvl w:val="0"/>
          <w:numId w:val="4"/>
        </w:numPr>
        <w:spacing w:before="0" w:after="0"/>
        <w:jc w:val="both"/>
        <w:rPr>
          <w:rFonts w:ascii="Times New Roman" w:hAnsi="Times New Roman" w:cs="Arial"/>
          <w:b/>
          <w:szCs w:val="22"/>
        </w:rPr>
      </w:pPr>
      <w:r w:rsidRPr="000A3289">
        <w:rPr>
          <w:rFonts w:ascii="Times New Roman" w:hAnsi="Times New Roman" w:cs="Arial"/>
          <w:b/>
          <w:szCs w:val="22"/>
        </w:rPr>
        <w:t xml:space="preserve">Ground </w:t>
      </w:r>
      <w:r w:rsidRPr="000A3289" w:rsidR="000A3289">
        <w:rPr>
          <w:rFonts w:ascii="Times New Roman" w:hAnsi="Times New Roman" w:cs="Arial"/>
          <w:b/>
          <w:szCs w:val="22"/>
        </w:rPr>
        <w:t>1</w:t>
      </w:r>
    </w:p>
    <w:p w:rsidRPr="000A3289" w:rsidR="00670A05" w:rsidP="00C557AC" w:rsidRDefault="00670A05" w14:paraId="0C733F30" w14:textId="77777777">
      <w:pPr>
        <w:pStyle w:val="Paragraph"/>
        <w:numPr>
          <w:ilvl w:val="0"/>
          <w:numId w:val="0"/>
        </w:numPr>
        <w:spacing w:before="0" w:after="0"/>
        <w:ind w:left="720"/>
        <w:jc w:val="both"/>
        <w:rPr>
          <w:rFonts w:ascii="Times New Roman" w:hAnsi="Times New Roman" w:cs="Arial"/>
          <w:b/>
          <w:szCs w:val="22"/>
        </w:rPr>
      </w:pPr>
    </w:p>
    <w:p w:rsidR="00487C9E" w:rsidP="00C557AC" w:rsidRDefault="00267D06" w14:paraId="1377E8A7" w14:textId="353F66E0">
      <w:pPr>
        <w:pStyle w:val="Paragraph"/>
        <w:numPr>
          <w:ilvl w:val="0"/>
          <w:numId w:val="0"/>
        </w:numPr>
        <w:spacing w:before="0" w:after="0"/>
        <w:ind w:left="1440" w:hanging="1080"/>
        <w:jc w:val="both"/>
        <w:rPr>
          <w:rFonts w:ascii="Times New Roman" w:hAnsi="Times New Roman"/>
          <w:u w:val="single"/>
        </w:rPr>
      </w:pPr>
      <w:r>
        <w:rPr>
          <w:rFonts w:ascii="Times New Roman" w:hAnsi="Times New Roman"/>
          <w:u w:val="single"/>
        </w:rPr>
        <w:t>1(a).1</w:t>
      </w:r>
      <w:r>
        <w:rPr>
          <w:rFonts w:ascii="Times New Roman" w:hAnsi="Times New Roman"/>
          <w:u w:val="single"/>
        </w:rPr>
        <w:tab/>
      </w:r>
      <w:r w:rsidRPr="00670A05" w:rsidR="00487C9E">
        <w:rPr>
          <w:rFonts w:ascii="Times New Roman" w:hAnsi="Times New Roman"/>
          <w:u w:val="single"/>
        </w:rPr>
        <w:t>The Committee’s assessment of caregiver utilities is inadequately explained and inconsistent with NICE’s Manual</w:t>
      </w:r>
    </w:p>
    <w:p w:rsidR="00267D06" w:rsidP="00C557AC" w:rsidRDefault="00267D06" w14:paraId="1550AB82" w14:textId="77777777">
      <w:pPr>
        <w:pStyle w:val="Paragraph"/>
        <w:numPr>
          <w:ilvl w:val="0"/>
          <w:numId w:val="0"/>
        </w:numPr>
        <w:spacing w:before="0" w:after="0"/>
        <w:ind w:left="1571" w:hanging="851"/>
        <w:jc w:val="both"/>
        <w:rPr>
          <w:rFonts w:ascii="Times New Roman" w:hAnsi="Times New Roman"/>
          <w:u w:val="single"/>
        </w:rPr>
      </w:pPr>
    </w:p>
    <w:p w:rsidR="002D4F11" w:rsidP="00C557AC" w:rsidRDefault="00076D70" w14:paraId="31AD0570" w14:textId="77777777">
      <w:pPr>
        <w:pStyle w:val="Paragraph"/>
        <w:numPr>
          <w:ilvl w:val="0"/>
          <w:numId w:val="0"/>
        </w:numPr>
        <w:spacing w:before="0" w:after="0"/>
        <w:ind w:left="720"/>
        <w:jc w:val="both"/>
        <w:rPr>
          <w:rFonts w:ascii="Times New Roman" w:hAnsi="Times New Roman"/>
        </w:rPr>
      </w:pPr>
      <w:r w:rsidRPr="00E118CF">
        <w:rPr>
          <w:rFonts w:ascii="Times New Roman" w:hAnsi="Times New Roman"/>
        </w:rPr>
        <w:t xml:space="preserve">You have considered parts (a) and (b) of appeal point 1(a).1 separately.  </w:t>
      </w:r>
    </w:p>
    <w:p w:rsidR="002D4F11" w:rsidP="00C557AC" w:rsidRDefault="002D4F11" w14:paraId="53B45121" w14:textId="77777777">
      <w:pPr>
        <w:pStyle w:val="Paragraph"/>
        <w:numPr>
          <w:ilvl w:val="0"/>
          <w:numId w:val="0"/>
        </w:numPr>
        <w:spacing w:before="0" w:after="0"/>
        <w:ind w:left="720"/>
        <w:jc w:val="both"/>
        <w:rPr>
          <w:rFonts w:ascii="Times New Roman" w:hAnsi="Times New Roman"/>
        </w:rPr>
      </w:pPr>
    </w:p>
    <w:p w:rsidRPr="00E118CF" w:rsidR="00076D70" w:rsidP="00C557AC" w:rsidRDefault="00076D70" w14:paraId="04E24927" w14:textId="55B67506">
      <w:pPr>
        <w:pStyle w:val="Paragraph"/>
        <w:numPr>
          <w:ilvl w:val="0"/>
          <w:numId w:val="0"/>
        </w:numPr>
        <w:spacing w:before="0" w:after="0"/>
        <w:ind w:left="720"/>
        <w:jc w:val="both"/>
        <w:rPr>
          <w:rFonts w:ascii="Times New Roman" w:hAnsi="Times New Roman"/>
        </w:rPr>
      </w:pPr>
      <w:r w:rsidRPr="00E118CF">
        <w:rPr>
          <w:rFonts w:ascii="Times New Roman" w:hAnsi="Times New Roman"/>
        </w:rPr>
        <w:t xml:space="preserve">Your view that part (a) </w:t>
      </w:r>
      <w:r w:rsidRPr="00E118CF" w:rsidR="00622CC5">
        <w:rPr>
          <w:rFonts w:ascii="Times New Roman" w:hAnsi="Times New Roman"/>
        </w:rPr>
        <w:t xml:space="preserve">should be referred to </w:t>
      </w:r>
      <w:r w:rsidRPr="00E118CF" w:rsidR="00E118CF">
        <w:rPr>
          <w:rFonts w:ascii="Times New Roman" w:hAnsi="Times New Roman"/>
        </w:rPr>
        <w:t>the Appeal Panel is noted.</w:t>
      </w:r>
    </w:p>
    <w:p w:rsidR="004705C9" w:rsidP="00C557AC" w:rsidRDefault="004705C9" w14:paraId="4AEFEB2F" w14:textId="77777777">
      <w:pPr>
        <w:pStyle w:val="Paragraph"/>
        <w:numPr>
          <w:ilvl w:val="0"/>
          <w:numId w:val="0"/>
        </w:numPr>
        <w:spacing w:before="0" w:after="0"/>
        <w:ind w:left="1571" w:hanging="851"/>
        <w:jc w:val="both"/>
        <w:rPr>
          <w:rFonts w:ascii="Times New Roman" w:hAnsi="Times New Roman"/>
          <w:u w:val="single"/>
        </w:rPr>
      </w:pPr>
    </w:p>
    <w:p w:rsidR="00DF0E0D" w:rsidP="00C557AC" w:rsidRDefault="00560C17" w14:paraId="7CE396D4" w14:textId="67B338B2">
      <w:pPr>
        <w:pStyle w:val="Paragraph"/>
        <w:numPr>
          <w:ilvl w:val="0"/>
          <w:numId w:val="0"/>
        </w:numPr>
        <w:spacing w:before="0" w:after="0"/>
        <w:ind w:left="720"/>
        <w:jc w:val="both"/>
        <w:rPr>
          <w:rFonts w:ascii="Times New Roman" w:hAnsi="Times New Roman"/>
        </w:rPr>
      </w:pPr>
      <w:r>
        <w:rPr>
          <w:rFonts w:ascii="Times New Roman" w:hAnsi="Times New Roman"/>
        </w:rPr>
        <w:t>P</w:t>
      </w:r>
      <w:r w:rsidRPr="001A4BA8" w:rsidR="001A4BA8">
        <w:rPr>
          <w:rFonts w:ascii="Times New Roman" w:hAnsi="Times New Roman"/>
        </w:rPr>
        <w:t>art (b)</w:t>
      </w:r>
      <w:r w:rsidR="00EF11FB">
        <w:rPr>
          <w:rFonts w:ascii="Times New Roman" w:hAnsi="Times New Roman"/>
        </w:rPr>
        <w:t xml:space="preserve"> relates to the fact that </w:t>
      </w:r>
      <w:r w:rsidR="0016418B">
        <w:rPr>
          <w:rFonts w:ascii="Times New Roman" w:hAnsi="Times New Roman"/>
        </w:rPr>
        <w:t xml:space="preserve">the Committee has </w:t>
      </w:r>
      <w:r w:rsidR="00DF5861">
        <w:rPr>
          <w:rFonts w:ascii="Times New Roman" w:hAnsi="Times New Roman"/>
        </w:rPr>
        <w:t xml:space="preserve">disregarded </w:t>
      </w:r>
      <w:r w:rsidR="00EE3AA9">
        <w:rPr>
          <w:rFonts w:ascii="Times New Roman" w:hAnsi="Times New Roman"/>
        </w:rPr>
        <w:t>evidence showing that E</w:t>
      </w:r>
      <w:r w:rsidR="00A45319">
        <w:rPr>
          <w:rFonts w:ascii="Times New Roman" w:hAnsi="Times New Roman"/>
        </w:rPr>
        <w:t xml:space="preserve">Q5D does not measure all relevant aspects of </w:t>
      </w:r>
      <w:proofErr w:type="spellStart"/>
      <w:r w:rsidR="00B54D9D">
        <w:rPr>
          <w:rFonts w:ascii="Times New Roman" w:hAnsi="Times New Roman"/>
        </w:rPr>
        <w:t>HRQoL</w:t>
      </w:r>
      <w:proofErr w:type="spellEnd"/>
      <w:r w:rsidR="00B54D9D">
        <w:rPr>
          <w:rFonts w:ascii="Times New Roman" w:hAnsi="Times New Roman"/>
        </w:rPr>
        <w:t xml:space="preserve"> in carers of people with Alzheimer’s Disease (AD)</w:t>
      </w:r>
      <w:r w:rsidR="00FF74B5">
        <w:rPr>
          <w:rFonts w:ascii="Times New Roman" w:hAnsi="Times New Roman"/>
        </w:rPr>
        <w:t>,</w:t>
      </w:r>
      <w:r w:rsidR="00B54D9D">
        <w:rPr>
          <w:rFonts w:ascii="Times New Roman" w:hAnsi="Times New Roman"/>
        </w:rPr>
        <w:t xml:space="preserve"> </w:t>
      </w:r>
      <w:r w:rsidR="00641E89">
        <w:rPr>
          <w:rFonts w:ascii="Times New Roman" w:hAnsi="Times New Roman"/>
        </w:rPr>
        <w:t xml:space="preserve">when deciding to rely on data from the GERAS study </w:t>
      </w:r>
      <w:r w:rsidR="0032362D">
        <w:rPr>
          <w:rFonts w:ascii="Times New Roman" w:hAnsi="Times New Roman"/>
        </w:rPr>
        <w:t xml:space="preserve">as the basis for decision-making on carer utilities.  </w:t>
      </w:r>
      <w:r w:rsidR="00A91086">
        <w:rPr>
          <w:rFonts w:ascii="Times New Roman" w:hAnsi="Times New Roman"/>
        </w:rPr>
        <w:t>Y</w:t>
      </w:r>
      <w:r w:rsidR="001A4BA8">
        <w:rPr>
          <w:rFonts w:ascii="Times New Roman" w:hAnsi="Times New Roman"/>
        </w:rPr>
        <w:t xml:space="preserve">ou </w:t>
      </w:r>
      <w:r w:rsidR="006472D8">
        <w:rPr>
          <w:rFonts w:ascii="Times New Roman" w:hAnsi="Times New Roman"/>
        </w:rPr>
        <w:t xml:space="preserve">say </w:t>
      </w:r>
      <w:r w:rsidR="00743D4E">
        <w:rPr>
          <w:rFonts w:ascii="Times New Roman" w:hAnsi="Times New Roman"/>
        </w:rPr>
        <w:t xml:space="preserve">that you are not currently minded </w:t>
      </w:r>
      <w:proofErr w:type="gramStart"/>
      <w:r w:rsidR="00743D4E">
        <w:rPr>
          <w:rFonts w:ascii="Times New Roman" w:hAnsi="Times New Roman"/>
        </w:rPr>
        <w:t>to refer</w:t>
      </w:r>
      <w:proofErr w:type="gramEnd"/>
      <w:r w:rsidR="00743D4E">
        <w:rPr>
          <w:rFonts w:ascii="Times New Roman" w:hAnsi="Times New Roman"/>
        </w:rPr>
        <w:t xml:space="preserve"> this point to the Appeal Panel</w:t>
      </w:r>
      <w:r w:rsidR="00A6440D">
        <w:rPr>
          <w:rFonts w:ascii="Times New Roman" w:hAnsi="Times New Roman"/>
        </w:rPr>
        <w:t xml:space="preserve"> on the basis that</w:t>
      </w:r>
      <w:r w:rsidR="00DF0E0D">
        <w:rPr>
          <w:rFonts w:ascii="Times New Roman" w:hAnsi="Times New Roman"/>
        </w:rPr>
        <w:t xml:space="preserve"> you suggest:</w:t>
      </w:r>
    </w:p>
    <w:p w:rsidR="00E118CF" w:rsidP="00C557AC" w:rsidRDefault="00080518" w14:paraId="0ABCF989" w14:textId="0B738391">
      <w:pPr>
        <w:pStyle w:val="Paragraph"/>
        <w:numPr>
          <w:ilvl w:val="0"/>
          <w:numId w:val="20"/>
        </w:numPr>
        <w:spacing w:before="0" w:after="0"/>
        <w:jc w:val="both"/>
        <w:rPr>
          <w:rFonts w:ascii="Times New Roman" w:hAnsi="Times New Roman"/>
        </w:rPr>
      </w:pPr>
      <w:r>
        <w:rPr>
          <w:rFonts w:ascii="Times New Roman" w:hAnsi="Times New Roman"/>
        </w:rPr>
        <w:t>“</w:t>
      </w:r>
      <w:r w:rsidR="00DD11F1">
        <w:rPr>
          <w:rFonts w:ascii="Times New Roman" w:hAnsi="Times New Roman"/>
        </w:rPr>
        <w:t>…</w:t>
      </w:r>
      <w:r w:rsidR="00094C99">
        <w:rPr>
          <w:rFonts w:ascii="Times New Roman" w:hAnsi="Times New Roman"/>
        </w:rPr>
        <w:t xml:space="preserve">on the face of the FDG (paragraph 3.19 in particular) </w:t>
      </w:r>
      <w:r w:rsidR="00DD11F1">
        <w:rPr>
          <w:rFonts w:ascii="Times New Roman" w:hAnsi="Times New Roman"/>
        </w:rPr>
        <w:t xml:space="preserve">the Committee has taken the uncertainty into consideration and explained its approach to </w:t>
      </w:r>
      <w:r w:rsidR="002D6742">
        <w:rPr>
          <w:rFonts w:ascii="Times New Roman" w:hAnsi="Times New Roman"/>
        </w:rPr>
        <w:t xml:space="preserve">the assessment of </w:t>
      </w:r>
      <w:r w:rsidR="00DD11F1">
        <w:rPr>
          <w:rFonts w:ascii="Times New Roman" w:hAnsi="Times New Roman"/>
        </w:rPr>
        <w:t xml:space="preserve">carer </w:t>
      </w:r>
      <w:r w:rsidR="002D6742">
        <w:rPr>
          <w:rFonts w:ascii="Times New Roman" w:hAnsi="Times New Roman"/>
        </w:rPr>
        <w:t>utility</w:t>
      </w:r>
      <w:proofErr w:type="gramStart"/>
      <w:r w:rsidR="00094C99">
        <w:rPr>
          <w:rFonts w:ascii="Times New Roman" w:hAnsi="Times New Roman"/>
        </w:rPr>
        <w:t>”;</w:t>
      </w:r>
      <w:proofErr w:type="gramEnd"/>
    </w:p>
    <w:p w:rsidR="00286603" w:rsidP="00C557AC" w:rsidRDefault="00566805" w14:paraId="699DD067" w14:textId="48CB600C">
      <w:pPr>
        <w:pStyle w:val="Paragraph"/>
        <w:numPr>
          <w:ilvl w:val="0"/>
          <w:numId w:val="20"/>
        </w:numPr>
        <w:spacing w:before="0" w:after="0"/>
        <w:jc w:val="both"/>
        <w:rPr>
          <w:rFonts w:ascii="Times New Roman" w:hAnsi="Times New Roman"/>
        </w:rPr>
      </w:pPr>
      <w:r>
        <w:rPr>
          <w:rFonts w:ascii="Times New Roman" w:hAnsi="Times New Roman"/>
        </w:rPr>
        <w:t xml:space="preserve">“… the Committee </w:t>
      </w:r>
      <w:r w:rsidR="00983A63">
        <w:rPr>
          <w:rFonts w:ascii="Times New Roman" w:hAnsi="Times New Roman"/>
        </w:rPr>
        <w:t xml:space="preserve">had in its mind the </w:t>
      </w:r>
      <w:proofErr w:type="spellStart"/>
      <w:r w:rsidR="00983A63">
        <w:rPr>
          <w:rFonts w:ascii="Times New Roman" w:hAnsi="Times New Roman"/>
        </w:rPr>
        <w:t>HRQoL</w:t>
      </w:r>
      <w:proofErr w:type="spellEnd"/>
      <w:r w:rsidR="00983A63">
        <w:rPr>
          <w:rFonts w:ascii="Times New Roman" w:hAnsi="Times New Roman"/>
        </w:rPr>
        <w:t xml:space="preserve"> impacts which were not captured by the EQ</w:t>
      </w:r>
      <w:r w:rsidR="00A064A2">
        <w:rPr>
          <w:rFonts w:ascii="Times New Roman" w:hAnsi="Times New Roman"/>
        </w:rPr>
        <w:t xml:space="preserve">-5D analysis (see for example </w:t>
      </w:r>
      <w:r w:rsidR="009D445D">
        <w:rPr>
          <w:rFonts w:ascii="Times New Roman" w:hAnsi="Times New Roman"/>
        </w:rPr>
        <w:t xml:space="preserve">by reference </w:t>
      </w:r>
      <w:r w:rsidR="00D403BA">
        <w:rPr>
          <w:rFonts w:ascii="Times New Roman" w:hAnsi="Times New Roman"/>
        </w:rPr>
        <w:t xml:space="preserve">to </w:t>
      </w:r>
      <w:r w:rsidR="00286603">
        <w:rPr>
          <w:rFonts w:ascii="Times New Roman" w:hAnsi="Times New Roman"/>
        </w:rPr>
        <w:t xml:space="preserve">uncaptured aspects at paragraph </w:t>
      </w:r>
      <w:r w:rsidR="009047DA">
        <w:rPr>
          <w:rFonts w:ascii="Times New Roman" w:hAnsi="Times New Roman"/>
        </w:rPr>
        <w:t>3.28) in its decision making</w:t>
      </w:r>
      <w:proofErr w:type="gramStart"/>
      <w:r w:rsidR="0067599E">
        <w:rPr>
          <w:rFonts w:ascii="Times New Roman" w:hAnsi="Times New Roman"/>
        </w:rPr>
        <w:t>”</w:t>
      </w:r>
      <w:r w:rsidR="009047DA">
        <w:rPr>
          <w:rFonts w:ascii="Times New Roman" w:hAnsi="Times New Roman"/>
        </w:rPr>
        <w:t>;</w:t>
      </w:r>
      <w:proofErr w:type="gramEnd"/>
    </w:p>
    <w:p w:rsidRPr="00EA198C" w:rsidR="009047DA" w:rsidP="00C557AC" w:rsidRDefault="0067599E" w14:paraId="5678EAA5" w14:textId="323C49D8">
      <w:pPr>
        <w:pStyle w:val="Paragraph"/>
        <w:numPr>
          <w:ilvl w:val="0"/>
          <w:numId w:val="20"/>
        </w:numPr>
        <w:spacing w:before="0" w:after="0"/>
        <w:jc w:val="both"/>
        <w:rPr>
          <w:rFonts w:ascii="Times New Roman" w:hAnsi="Times New Roman"/>
        </w:rPr>
      </w:pPr>
      <w:r>
        <w:rPr>
          <w:rFonts w:ascii="Times New Roman" w:hAnsi="Times New Roman"/>
        </w:rPr>
        <w:lastRenderedPageBreak/>
        <w:t>“</w:t>
      </w:r>
      <w:r w:rsidR="009047DA">
        <w:rPr>
          <w:rFonts w:ascii="Times New Roman" w:hAnsi="Times New Roman"/>
        </w:rPr>
        <w:t>The Committee appears to have considered the evidence received carefully before preferring the EAG approach</w:t>
      </w:r>
      <w:r w:rsidR="00E00903">
        <w:rPr>
          <w:rFonts w:ascii="Times New Roman" w:hAnsi="Times New Roman"/>
        </w:rPr>
        <w:t xml:space="preserve"> and concluding that the case had not been made out to move away from EQ-5D</w:t>
      </w:r>
      <w:r>
        <w:rPr>
          <w:rFonts w:ascii="Times New Roman" w:hAnsi="Times New Roman"/>
        </w:rPr>
        <w:t>”</w:t>
      </w:r>
    </w:p>
    <w:p w:rsidR="00094C99" w:rsidP="00C557AC" w:rsidRDefault="00094C99" w14:paraId="1406E9B7" w14:textId="6650DF79">
      <w:pPr>
        <w:pStyle w:val="Paragraph"/>
        <w:numPr>
          <w:ilvl w:val="0"/>
          <w:numId w:val="0"/>
        </w:numPr>
        <w:spacing w:before="0" w:after="0"/>
        <w:ind w:left="720"/>
        <w:jc w:val="both"/>
        <w:rPr>
          <w:rFonts w:ascii="Times New Roman" w:hAnsi="Times New Roman"/>
        </w:rPr>
      </w:pPr>
    </w:p>
    <w:p w:rsidR="00327556" w:rsidP="00C557AC" w:rsidRDefault="003F215E" w14:paraId="374C881E" w14:textId="0C49E21A">
      <w:pPr>
        <w:pStyle w:val="Paragraph"/>
        <w:numPr>
          <w:ilvl w:val="0"/>
          <w:numId w:val="0"/>
        </w:numPr>
        <w:spacing w:before="0" w:after="0"/>
        <w:ind w:left="720"/>
        <w:jc w:val="both"/>
        <w:rPr>
          <w:rFonts w:ascii="Times New Roman" w:hAnsi="Times New Roman"/>
        </w:rPr>
      </w:pPr>
      <w:r>
        <w:rPr>
          <w:rFonts w:ascii="Times New Roman" w:hAnsi="Times New Roman"/>
        </w:rPr>
        <w:t xml:space="preserve">However, </w:t>
      </w:r>
      <w:r w:rsidR="00E52BB9">
        <w:rPr>
          <w:rFonts w:ascii="Times New Roman" w:hAnsi="Times New Roman"/>
        </w:rPr>
        <w:t xml:space="preserve">we are concerned that Lilly’s appeal </w:t>
      </w:r>
      <w:r w:rsidR="00FA7FCB">
        <w:rPr>
          <w:rFonts w:ascii="Times New Roman" w:hAnsi="Times New Roman"/>
        </w:rPr>
        <w:t xml:space="preserve">under </w:t>
      </w:r>
      <w:r w:rsidR="0044187B">
        <w:rPr>
          <w:rFonts w:ascii="Times New Roman" w:hAnsi="Times New Roman"/>
        </w:rPr>
        <w:t xml:space="preserve">appeal point 1(a).1 (b) </w:t>
      </w:r>
      <w:r w:rsidR="00E52BB9">
        <w:rPr>
          <w:rFonts w:ascii="Times New Roman" w:hAnsi="Times New Roman"/>
        </w:rPr>
        <w:t xml:space="preserve">has been </w:t>
      </w:r>
      <w:r w:rsidR="000A2BEB">
        <w:rPr>
          <w:rFonts w:ascii="Times New Roman" w:hAnsi="Times New Roman"/>
        </w:rPr>
        <w:t xml:space="preserve">misunderstood.  This appeal point does not </w:t>
      </w:r>
      <w:r w:rsidR="001E55C6">
        <w:rPr>
          <w:rFonts w:ascii="Times New Roman" w:hAnsi="Times New Roman"/>
        </w:rPr>
        <w:t xml:space="preserve">relate to </w:t>
      </w:r>
      <w:r w:rsidR="0044187B">
        <w:rPr>
          <w:rFonts w:ascii="Times New Roman" w:hAnsi="Times New Roman"/>
        </w:rPr>
        <w:t xml:space="preserve">whether the Committee gave </w:t>
      </w:r>
      <w:r w:rsidRPr="001E55C6" w:rsidR="0044187B">
        <w:rPr>
          <w:rFonts w:ascii="Times New Roman" w:hAnsi="Times New Roman"/>
          <w:u w:val="single"/>
        </w:rPr>
        <w:t>any</w:t>
      </w:r>
      <w:r w:rsidR="0044187B">
        <w:rPr>
          <w:rFonts w:ascii="Times New Roman" w:hAnsi="Times New Roman"/>
        </w:rPr>
        <w:t xml:space="preserve"> consideration to </w:t>
      </w:r>
      <w:r w:rsidR="005E7D27">
        <w:rPr>
          <w:rFonts w:ascii="Times New Roman" w:hAnsi="Times New Roman"/>
        </w:rPr>
        <w:t xml:space="preserve">the appropriateness of </w:t>
      </w:r>
      <w:r w:rsidR="00496498">
        <w:rPr>
          <w:rFonts w:ascii="Times New Roman" w:hAnsi="Times New Roman"/>
        </w:rPr>
        <w:t xml:space="preserve">EQ5D </w:t>
      </w:r>
      <w:r w:rsidR="0094642F">
        <w:rPr>
          <w:rFonts w:ascii="Times New Roman" w:hAnsi="Times New Roman"/>
        </w:rPr>
        <w:t>to measure carer utilities</w:t>
      </w:r>
      <w:r w:rsidR="00117915">
        <w:rPr>
          <w:rFonts w:ascii="Times New Roman" w:hAnsi="Times New Roman"/>
        </w:rPr>
        <w:t xml:space="preserve"> or</w:t>
      </w:r>
      <w:r w:rsidR="00F67C66">
        <w:rPr>
          <w:rFonts w:ascii="Times New Roman" w:hAnsi="Times New Roman"/>
        </w:rPr>
        <w:t xml:space="preserve"> the </w:t>
      </w:r>
      <w:proofErr w:type="spellStart"/>
      <w:r w:rsidR="009579E8">
        <w:rPr>
          <w:rFonts w:ascii="Times New Roman" w:hAnsi="Times New Roman"/>
        </w:rPr>
        <w:t>HRQoL</w:t>
      </w:r>
      <w:proofErr w:type="spellEnd"/>
      <w:r w:rsidR="009579E8">
        <w:rPr>
          <w:rFonts w:ascii="Times New Roman" w:hAnsi="Times New Roman"/>
        </w:rPr>
        <w:t xml:space="preserve"> impacts which were not captured by EQ5D (</w:t>
      </w:r>
      <w:r w:rsidR="009936B6">
        <w:rPr>
          <w:rFonts w:ascii="Times New Roman" w:hAnsi="Times New Roman"/>
        </w:rPr>
        <w:t xml:space="preserve">the reasonableness of the Committee’s conclusions </w:t>
      </w:r>
      <w:r w:rsidR="00D05191">
        <w:rPr>
          <w:rFonts w:ascii="Times New Roman" w:hAnsi="Times New Roman"/>
        </w:rPr>
        <w:t xml:space="preserve">in this respect </w:t>
      </w:r>
      <w:r w:rsidR="009936B6">
        <w:rPr>
          <w:rFonts w:ascii="Times New Roman" w:hAnsi="Times New Roman"/>
        </w:rPr>
        <w:t xml:space="preserve">are </w:t>
      </w:r>
      <w:r w:rsidR="00D05191">
        <w:rPr>
          <w:rFonts w:ascii="Times New Roman" w:hAnsi="Times New Roman"/>
        </w:rPr>
        <w:t>raised under Ground 2)</w:t>
      </w:r>
      <w:r w:rsidR="00341B60">
        <w:rPr>
          <w:rFonts w:ascii="Times New Roman" w:hAnsi="Times New Roman"/>
        </w:rPr>
        <w:t>.  Appeal point 1(a).</w:t>
      </w:r>
      <w:r w:rsidR="003912F2">
        <w:rPr>
          <w:rFonts w:ascii="Times New Roman" w:hAnsi="Times New Roman"/>
        </w:rPr>
        <w:t xml:space="preserve">1(b) instead </w:t>
      </w:r>
      <w:r w:rsidR="000C2427">
        <w:rPr>
          <w:rFonts w:ascii="Times New Roman" w:hAnsi="Times New Roman"/>
        </w:rPr>
        <w:t xml:space="preserve">relates to the </w:t>
      </w:r>
      <w:r w:rsidR="00760520">
        <w:rPr>
          <w:rFonts w:ascii="Times New Roman" w:hAnsi="Times New Roman"/>
        </w:rPr>
        <w:t xml:space="preserve">procedural aspects of the </w:t>
      </w:r>
      <w:r w:rsidR="000C2427">
        <w:rPr>
          <w:rFonts w:ascii="Times New Roman" w:hAnsi="Times New Roman"/>
        </w:rPr>
        <w:t xml:space="preserve">Committee’s decision to rely on the GERAS study </w:t>
      </w:r>
      <w:r w:rsidR="00401EE5">
        <w:rPr>
          <w:rFonts w:ascii="Times New Roman" w:hAnsi="Times New Roman"/>
        </w:rPr>
        <w:t xml:space="preserve">(which used EQ5D) </w:t>
      </w:r>
      <w:r w:rsidR="0060690C">
        <w:rPr>
          <w:rFonts w:ascii="Times New Roman" w:hAnsi="Times New Roman"/>
        </w:rPr>
        <w:t xml:space="preserve">for the purposes of carer utilities, </w:t>
      </w:r>
      <w:r w:rsidR="00401EE5">
        <w:rPr>
          <w:rFonts w:ascii="Times New Roman" w:hAnsi="Times New Roman"/>
        </w:rPr>
        <w:t xml:space="preserve">rather than the vignette studies </w:t>
      </w:r>
      <w:r w:rsidR="00CC660B">
        <w:rPr>
          <w:rFonts w:ascii="Times New Roman" w:hAnsi="Times New Roman"/>
        </w:rPr>
        <w:t xml:space="preserve">conducted by Lilly </w:t>
      </w:r>
      <w:r w:rsidR="002D0E1D">
        <w:rPr>
          <w:rFonts w:ascii="Times New Roman" w:hAnsi="Times New Roman"/>
        </w:rPr>
        <w:t xml:space="preserve">and the fact that, in reaching this decision, the Committee has failed to take into account </w:t>
      </w:r>
      <w:r w:rsidR="00216266">
        <w:rPr>
          <w:rFonts w:ascii="Times New Roman" w:hAnsi="Times New Roman"/>
        </w:rPr>
        <w:t>important evidence</w:t>
      </w:r>
      <w:r w:rsidR="00327556">
        <w:rPr>
          <w:rFonts w:ascii="Times New Roman" w:hAnsi="Times New Roman"/>
        </w:rPr>
        <w:t xml:space="preserve">, </w:t>
      </w:r>
      <w:r w:rsidR="009448CF">
        <w:rPr>
          <w:rFonts w:ascii="Times New Roman" w:hAnsi="Times New Roman"/>
        </w:rPr>
        <w:t>including</w:t>
      </w:r>
      <w:r w:rsidR="00327556">
        <w:rPr>
          <w:rFonts w:ascii="Times New Roman" w:hAnsi="Times New Roman"/>
        </w:rPr>
        <w:t>:</w:t>
      </w:r>
    </w:p>
    <w:p w:rsidR="004A3A00" w:rsidP="00C557AC" w:rsidRDefault="00B52577" w14:paraId="38C65661" w14:textId="77777777">
      <w:pPr>
        <w:pStyle w:val="Paragraph"/>
        <w:numPr>
          <w:ilvl w:val="0"/>
          <w:numId w:val="21"/>
        </w:numPr>
        <w:spacing w:before="0" w:after="0"/>
        <w:jc w:val="both"/>
        <w:rPr>
          <w:rFonts w:ascii="Times New Roman" w:hAnsi="Times New Roman"/>
        </w:rPr>
      </w:pPr>
      <w:r>
        <w:rPr>
          <w:rFonts w:ascii="Times New Roman" w:hAnsi="Times New Roman"/>
        </w:rPr>
        <w:t xml:space="preserve">The conclusions of the </w:t>
      </w:r>
      <w:r w:rsidR="006109F7">
        <w:rPr>
          <w:rFonts w:ascii="Times New Roman" w:hAnsi="Times New Roman"/>
        </w:rPr>
        <w:t>GERAS study investigators</w:t>
      </w:r>
      <w:r>
        <w:rPr>
          <w:rFonts w:ascii="Times New Roman" w:hAnsi="Times New Roman"/>
        </w:rPr>
        <w:t>, themselves</w:t>
      </w:r>
      <w:r w:rsidR="005236EB">
        <w:rPr>
          <w:rFonts w:ascii="Times New Roman" w:hAnsi="Times New Roman"/>
        </w:rPr>
        <w:t>,</w:t>
      </w:r>
      <w:r w:rsidR="00EA5365">
        <w:rPr>
          <w:rFonts w:ascii="Times New Roman" w:hAnsi="Times New Roman"/>
        </w:rPr>
        <w:t xml:space="preserve"> in relation to the apparent limitations of EQ5D i</w:t>
      </w:r>
      <w:r w:rsidR="005236EB">
        <w:rPr>
          <w:rFonts w:ascii="Times New Roman" w:hAnsi="Times New Roman"/>
        </w:rPr>
        <w:t xml:space="preserve">n measuring </w:t>
      </w:r>
      <w:proofErr w:type="spellStart"/>
      <w:r w:rsidR="005236EB">
        <w:rPr>
          <w:rFonts w:ascii="Times New Roman" w:hAnsi="Times New Roman"/>
        </w:rPr>
        <w:t>HRQoL</w:t>
      </w:r>
      <w:proofErr w:type="spellEnd"/>
      <w:r w:rsidR="005236EB">
        <w:rPr>
          <w:rFonts w:ascii="Times New Roman" w:hAnsi="Times New Roman"/>
        </w:rPr>
        <w:t xml:space="preserve"> in carers of people with </w:t>
      </w:r>
      <w:proofErr w:type="gramStart"/>
      <w:r w:rsidR="005236EB">
        <w:rPr>
          <w:rFonts w:ascii="Times New Roman" w:hAnsi="Times New Roman"/>
        </w:rPr>
        <w:t>AD</w:t>
      </w:r>
      <w:r w:rsidR="006109F7">
        <w:rPr>
          <w:rFonts w:ascii="Times New Roman" w:hAnsi="Times New Roman"/>
        </w:rPr>
        <w:t>;</w:t>
      </w:r>
      <w:proofErr w:type="gramEnd"/>
    </w:p>
    <w:p w:rsidR="00F97BEC" w:rsidP="00C557AC" w:rsidRDefault="004A3A00" w14:paraId="52C81E14" w14:textId="70153B19">
      <w:pPr>
        <w:pStyle w:val="Paragraph"/>
        <w:numPr>
          <w:ilvl w:val="0"/>
          <w:numId w:val="21"/>
        </w:numPr>
        <w:spacing w:before="0" w:after="0"/>
        <w:jc w:val="both"/>
        <w:rPr>
          <w:rFonts w:ascii="Times New Roman" w:hAnsi="Times New Roman"/>
        </w:rPr>
      </w:pPr>
      <w:r>
        <w:rPr>
          <w:rFonts w:ascii="Times New Roman" w:hAnsi="Times New Roman"/>
        </w:rPr>
        <w:t xml:space="preserve">Although the EAG adjusted </w:t>
      </w:r>
      <w:proofErr w:type="gramStart"/>
      <w:r>
        <w:rPr>
          <w:rFonts w:ascii="Times New Roman" w:hAnsi="Times New Roman"/>
        </w:rPr>
        <w:t>the  utility</w:t>
      </w:r>
      <w:proofErr w:type="gramEnd"/>
      <w:r>
        <w:rPr>
          <w:rFonts w:ascii="Times New Roman" w:hAnsi="Times New Roman"/>
        </w:rPr>
        <w:t xml:space="preserve"> values obtained in GERAS, using EQ5D, for carers of people with early AD, no consideration was given to how this impacted the overall reliability of the data  </w:t>
      </w:r>
      <w:r w:rsidR="00216266">
        <w:rPr>
          <w:rFonts w:ascii="Times New Roman" w:hAnsi="Times New Roman"/>
        </w:rPr>
        <w:t xml:space="preserve">  </w:t>
      </w:r>
    </w:p>
    <w:p w:rsidR="007B6076" w:rsidP="00C557AC" w:rsidRDefault="000B6CEF" w14:paraId="23C95A72" w14:textId="55A0AE5B">
      <w:pPr>
        <w:pStyle w:val="Paragraph"/>
        <w:numPr>
          <w:ilvl w:val="0"/>
          <w:numId w:val="21"/>
        </w:numPr>
        <w:spacing w:before="0" w:after="0"/>
        <w:jc w:val="both"/>
        <w:rPr>
          <w:rFonts w:ascii="Times New Roman" w:hAnsi="Times New Roman"/>
        </w:rPr>
      </w:pPr>
      <w:r>
        <w:rPr>
          <w:rFonts w:ascii="Times New Roman" w:hAnsi="Times New Roman"/>
        </w:rPr>
        <w:t>E</w:t>
      </w:r>
      <w:r w:rsidR="007B6076">
        <w:rPr>
          <w:rFonts w:ascii="Times New Roman" w:hAnsi="Times New Roman"/>
        </w:rPr>
        <w:t>vidence submitted by Lilly:</w:t>
      </w:r>
    </w:p>
    <w:p w:rsidR="00DB1BF2" w:rsidP="00C557AC" w:rsidRDefault="00DB1BF2" w14:paraId="59A396E8" w14:textId="048C8636">
      <w:pPr>
        <w:pStyle w:val="Paragraph"/>
        <w:numPr>
          <w:ilvl w:val="1"/>
          <w:numId w:val="21"/>
        </w:numPr>
        <w:spacing w:before="0" w:after="0"/>
        <w:jc w:val="both"/>
        <w:rPr>
          <w:rFonts w:ascii="Times New Roman" w:hAnsi="Times New Roman"/>
        </w:rPr>
      </w:pPr>
      <w:r w:rsidRPr="009E4101">
        <w:rPr>
          <w:rFonts w:ascii="Times New Roman" w:hAnsi="Times New Roman"/>
        </w:rPr>
        <w:t>Lilly’s response to consultation on the second Draft Guidance</w:t>
      </w:r>
      <w:r w:rsidR="006961B6">
        <w:rPr>
          <w:rFonts w:ascii="Times New Roman" w:hAnsi="Times New Roman"/>
        </w:rPr>
        <w:t xml:space="preserve"> (</w:t>
      </w:r>
      <w:r w:rsidRPr="009E4101">
        <w:rPr>
          <w:rFonts w:ascii="Times New Roman" w:hAnsi="Times New Roman"/>
        </w:rPr>
        <w:t>Figure 7</w:t>
      </w:r>
      <w:r w:rsidR="006961B6">
        <w:rPr>
          <w:rFonts w:ascii="Times New Roman" w:hAnsi="Times New Roman"/>
        </w:rPr>
        <w:t>)</w:t>
      </w:r>
      <w:r w:rsidR="00AA12C9">
        <w:rPr>
          <w:rFonts w:ascii="Times New Roman" w:hAnsi="Times New Roman"/>
        </w:rPr>
        <w:t>, demonstrating the implausibility of results obtained using E</w:t>
      </w:r>
      <w:r w:rsidRPr="009E4101" w:rsidR="00AA12C9">
        <w:rPr>
          <w:rFonts w:ascii="Times New Roman" w:hAnsi="Times New Roman"/>
        </w:rPr>
        <w:t xml:space="preserve">Q-5D </w:t>
      </w:r>
      <w:r w:rsidR="00AA12C9">
        <w:rPr>
          <w:rFonts w:ascii="Times New Roman" w:hAnsi="Times New Roman"/>
        </w:rPr>
        <w:t xml:space="preserve">in carers of people with </w:t>
      </w:r>
      <w:proofErr w:type="gramStart"/>
      <w:r w:rsidR="00AA12C9">
        <w:rPr>
          <w:rFonts w:ascii="Times New Roman" w:hAnsi="Times New Roman"/>
        </w:rPr>
        <w:t>AD</w:t>
      </w:r>
      <w:r w:rsidR="005502D6">
        <w:rPr>
          <w:rFonts w:ascii="Times New Roman" w:hAnsi="Times New Roman"/>
        </w:rPr>
        <w:t>;</w:t>
      </w:r>
      <w:proofErr w:type="gramEnd"/>
    </w:p>
    <w:p w:rsidR="00AA12C9" w:rsidP="00C557AC" w:rsidRDefault="00AA12C9" w14:paraId="34A81A82" w14:textId="70FD5B30">
      <w:pPr>
        <w:pStyle w:val="Paragraph"/>
        <w:numPr>
          <w:ilvl w:val="1"/>
          <w:numId w:val="21"/>
        </w:numPr>
        <w:spacing w:before="0" w:after="0"/>
        <w:jc w:val="both"/>
        <w:rPr>
          <w:rFonts w:ascii="Times New Roman" w:hAnsi="Times New Roman"/>
        </w:rPr>
      </w:pPr>
      <w:r w:rsidRPr="00DC2645">
        <w:rPr>
          <w:rFonts w:ascii="Times New Roman" w:hAnsi="Times New Roman"/>
        </w:rPr>
        <w:t xml:space="preserve">Caregiver </w:t>
      </w:r>
      <w:r>
        <w:rPr>
          <w:rFonts w:ascii="Times New Roman" w:hAnsi="Times New Roman"/>
        </w:rPr>
        <w:t>m</w:t>
      </w:r>
      <w:r w:rsidRPr="00DC2645">
        <w:rPr>
          <w:rFonts w:ascii="Times New Roman" w:hAnsi="Times New Roman"/>
        </w:rPr>
        <w:t xml:space="preserve">arket </w:t>
      </w:r>
      <w:r>
        <w:rPr>
          <w:rFonts w:ascii="Times New Roman" w:hAnsi="Times New Roman"/>
        </w:rPr>
        <w:t>r</w:t>
      </w:r>
      <w:r w:rsidRPr="00DC2645">
        <w:rPr>
          <w:rFonts w:ascii="Times New Roman" w:hAnsi="Times New Roman"/>
        </w:rPr>
        <w:t xml:space="preserve">esearch </w:t>
      </w:r>
      <w:r>
        <w:rPr>
          <w:rFonts w:ascii="Times New Roman" w:hAnsi="Times New Roman"/>
        </w:rPr>
        <w:t xml:space="preserve">submitted in response to consultation on the second Draft Guidance directed towards </w:t>
      </w:r>
      <w:r w:rsidRPr="00DC2645">
        <w:rPr>
          <w:rFonts w:ascii="Times New Roman" w:hAnsi="Times New Roman"/>
        </w:rPr>
        <w:t>the emotional and task-specific burden of caring for a loved one with AD at different severity stages</w:t>
      </w:r>
      <w:r w:rsidR="00DF07E2">
        <w:rPr>
          <w:rFonts w:ascii="Times New Roman" w:hAnsi="Times New Roman"/>
        </w:rPr>
        <w:t>, which demonstrated the truly harrowing experiences of carers</w:t>
      </w:r>
      <w:r>
        <w:rPr>
          <w:rFonts w:ascii="Times New Roman" w:hAnsi="Times New Roman"/>
        </w:rPr>
        <w:t>;</w:t>
      </w:r>
      <w:r w:rsidR="00C4691F">
        <w:rPr>
          <w:rFonts w:ascii="Times New Roman" w:hAnsi="Times New Roman"/>
        </w:rPr>
        <w:t xml:space="preserve"> and</w:t>
      </w:r>
    </w:p>
    <w:p w:rsidR="00A30B8A" w:rsidP="00C557AC" w:rsidRDefault="00A30B8A" w14:paraId="57286280" w14:textId="22B3476F">
      <w:pPr>
        <w:pStyle w:val="Paragraph"/>
        <w:numPr>
          <w:ilvl w:val="1"/>
          <w:numId w:val="21"/>
        </w:numPr>
        <w:spacing w:before="0" w:after="0"/>
        <w:jc w:val="both"/>
        <w:rPr>
          <w:rFonts w:ascii="Times New Roman" w:hAnsi="Times New Roman"/>
        </w:rPr>
      </w:pPr>
      <w:r w:rsidRPr="00EA198C">
        <w:rPr>
          <w:rFonts w:ascii="Times New Roman" w:hAnsi="Times New Roman"/>
        </w:rPr>
        <w:t>An Alzheimer’s Europe Caregiver Focus Group</w:t>
      </w:r>
      <w:r>
        <w:rPr>
          <w:rFonts w:ascii="Times New Roman" w:hAnsi="Times New Roman"/>
        </w:rPr>
        <w:t xml:space="preserve"> submitted in response to consultation on the second Draft Guidance, which compared </w:t>
      </w:r>
      <w:r w:rsidRPr="00EA198C">
        <w:rPr>
          <w:rFonts w:ascii="Times New Roman" w:hAnsi="Times New Roman"/>
        </w:rPr>
        <w:t>how the Lilly vignettes and the EQ-5D instrument</w:t>
      </w:r>
      <w:r>
        <w:rPr>
          <w:rFonts w:ascii="Times New Roman" w:hAnsi="Times New Roman"/>
        </w:rPr>
        <w:t xml:space="preserve"> were able to capture </w:t>
      </w:r>
      <w:r w:rsidR="00DD4F62">
        <w:rPr>
          <w:rFonts w:ascii="Times New Roman" w:hAnsi="Times New Roman"/>
        </w:rPr>
        <w:t xml:space="preserve">carer </w:t>
      </w:r>
      <w:r>
        <w:rPr>
          <w:rFonts w:ascii="Times New Roman" w:hAnsi="Times New Roman"/>
        </w:rPr>
        <w:t xml:space="preserve">impact </w:t>
      </w:r>
      <w:r w:rsidR="00DD4F62">
        <w:rPr>
          <w:rFonts w:ascii="Times New Roman" w:hAnsi="Times New Roman"/>
        </w:rPr>
        <w:t xml:space="preserve">at </w:t>
      </w:r>
      <w:r>
        <w:rPr>
          <w:rFonts w:ascii="Times New Roman" w:hAnsi="Times New Roman"/>
        </w:rPr>
        <w:t>differen</w:t>
      </w:r>
      <w:r w:rsidR="00DD4F62">
        <w:rPr>
          <w:rFonts w:ascii="Times New Roman" w:hAnsi="Times New Roman"/>
        </w:rPr>
        <w:t>t severity stages of</w:t>
      </w:r>
      <w:r>
        <w:rPr>
          <w:rFonts w:ascii="Times New Roman" w:hAnsi="Times New Roman"/>
        </w:rPr>
        <w:t xml:space="preserve"> AD</w:t>
      </w:r>
      <w:r w:rsidR="00C4691F">
        <w:rPr>
          <w:rFonts w:ascii="Times New Roman" w:hAnsi="Times New Roman"/>
        </w:rPr>
        <w:t>.</w:t>
      </w:r>
      <w:r>
        <w:rPr>
          <w:rFonts w:ascii="Times New Roman" w:hAnsi="Times New Roman"/>
        </w:rPr>
        <w:t xml:space="preserve"> </w:t>
      </w:r>
    </w:p>
    <w:p w:rsidR="00FF74B5" w:rsidP="00C557AC" w:rsidRDefault="00FF74B5" w14:paraId="7294DA89" w14:textId="092F3D80">
      <w:pPr>
        <w:pStyle w:val="Paragraph"/>
        <w:numPr>
          <w:ilvl w:val="1"/>
          <w:numId w:val="21"/>
        </w:numPr>
        <w:spacing w:before="0" w:after="0"/>
        <w:jc w:val="both"/>
        <w:rPr>
          <w:rFonts w:ascii="Times New Roman" w:hAnsi="Times New Roman"/>
        </w:rPr>
      </w:pPr>
      <w:r>
        <w:rPr>
          <w:rFonts w:ascii="Times New Roman" w:hAnsi="Times New Roman"/>
        </w:rPr>
        <w:t>A scenario analysis which presented an alternative position on the vignette studies in response to feedback from the Committee on plausibility of caregiver utility values in severe AD</w:t>
      </w:r>
      <w:r w:rsidR="008C2DCD">
        <w:rPr>
          <w:rFonts w:ascii="Times New Roman" w:hAnsi="Times New Roman"/>
        </w:rPr>
        <w:t xml:space="preserve"> (Figure 11 from Lilly’s response to the second Draft Guidance – although the scenario was first introduced by the EAG in its initial report).</w:t>
      </w:r>
    </w:p>
    <w:p w:rsidR="00445B57" w:rsidP="00C557AC" w:rsidRDefault="00D631CB" w14:paraId="0DAC39D9" w14:textId="3B74CB75">
      <w:pPr>
        <w:pStyle w:val="Paragraph"/>
        <w:numPr>
          <w:ilvl w:val="0"/>
          <w:numId w:val="21"/>
        </w:numPr>
        <w:spacing w:before="0" w:after="0"/>
        <w:jc w:val="both"/>
        <w:rPr>
          <w:rFonts w:ascii="Times New Roman" w:hAnsi="Times New Roman"/>
        </w:rPr>
      </w:pPr>
      <w:r>
        <w:rPr>
          <w:rFonts w:ascii="Times New Roman" w:hAnsi="Times New Roman"/>
        </w:rPr>
        <w:t xml:space="preserve">Evidence from </w:t>
      </w:r>
      <w:r w:rsidR="00445B57">
        <w:rPr>
          <w:rFonts w:ascii="Times New Roman" w:hAnsi="Times New Roman"/>
        </w:rPr>
        <w:t>Patient Group consultees in this appraisal including:</w:t>
      </w:r>
    </w:p>
    <w:p w:rsidR="005502D6" w:rsidP="00C557AC" w:rsidRDefault="00445B57" w14:paraId="5850C7B9" w14:textId="3A9C3DC1">
      <w:pPr>
        <w:pStyle w:val="Paragraph"/>
        <w:numPr>
          <w:ilvl w:val="1"/>
          <w:numId w:val="21"/>
        </w:numPr>
        <w:spacing w:before="0" w:after="0"/>
        <w:jc w:val="both"/>
        <w:rPr>
          <w:rFonts w:ascii="Times New Roman" w:hAnsi="Times New Roman"/>
        </w:rPr>
      </w:pPr>
      <w:r>
        <w:rPr>
          <w:rFonts w:ascii="Times New Roman" w:hAnsi="Times New Roman"/>
        </w:rPr>
        <w:t xml:space="preserve">The </w:t>
      </w:r>
      <w:r w:rsidRPr="009812FF" w:rsidR="005502D6">
        <w:rPr>
          <w:rFonts w:ascii="Times New Roman" w:hAnsi="Times New Roman"/>
        </w:rPr>
        <w:t>Alzheimer’s Society</w:t>
      </w:r>
      <w:r w:rsidR="005502D6">
        <w:rPr>
          <w:rFonts w:ascii="Times New Roman" w:hAnsi="Times New Roman"/>
        </w:rPr>
        <w:t>’s response</w:t>
      </w:r>
      <w:r w:rsidRPr="009812FF" w:rsidR="005502D6">
        <w:rPr>
          <w:rFonts w:ascii="Times New Roman" w:hAnsi="Times New Roman"/>
        </w:rPr>
        <w:t xml:space="preserve"> to consultation on the second Draft Guidance that the true impact on carers’ quality of life was not being incorporated in the evaluation process</w:t>
      </w:r>
      <w:r w:rsidR="005502D6">
        <w:rPr>
          <w:rFonts w:ascii="Times New Roman" w:hAnsi="Times New Roman"/>
        </w:rPr>
        <w:t>;</w:t>
      </w:r>
      <w:r w:rsidR="000D6091">
        <w:rPr>
          <w:rFonts w:ascii="Times New Roman" w:hAnsi="Times New Roman"/>
        </w:rPr>
        <w:t xml:space="preserve"> and</w:t>
      </w:r>
    </w:p>
    <w:p w:rsidR="005502D6" w:rsidP="00C557AC" w:rsidRDefault="00CC4849" w14:paraId="656A91B7" w14:textId="46B95899">
      <w:pPr>
        <w:pStyle w:val="Paragraph"/>
        <w:numPr>
          <w:ilvl w:val="1"/>
          <w:numId w:val="21"/>
        </w:numPr>
        <w:spacing w:before="0" w:after="0"/>
        <w:jc w:val="both"/>
        <w:rPr>
          <w:rFonts w:ascii="Times New Roman" w:hAnsi="Times New Roman"/>
        </w:rPr>
      </w:pPr>
      <w:r>
        <w:rPr>
          <w:rFonts w:ascii="Times New Roman" w:hAnsi="Times New Roman"/>
        </w:rPr>
        <w:t>The Dementia Research Centre</w:t>
      </w:r>
      <w:r w:rsidR="00ED0867">
        <w:rPr>
          <w:rFonts w:ascii="Times New Roman" w:hAnsi="Times New Roman"/>
        </w:rPr>
        <w:t>: (a)</w:t>
      </w:r>
      <w:r>
        <w:rPr>
          <w:rFonts w:ascii="Times New Roman" w:hAnsi="Times New Roman"/>
        </w:rPr>
        <w:t xml:space="preserve"> that the </w:t>
      </w:r>
      <w:r w:rsidR="00AD1A95">
        <w:rPr>
          <w:rFonts w:ascii="Times New Roman" w:hAnsi="Times New Roman"/>
        </w:rPr>
        <w:t xml:space="preserve">results from the </w:t>
      </w:r>
      <w:r>
        <w:rPr>
          <w:rFonts w:ascii="Times New Roman" w:hAnsi="Times New Roman"/>
        </w:rPr>
        <w:t xml:space="preserve">GERAS </w:t>
      </w:r>
      <w:r w:rsidR="00AD1A95">
        <w:rPr>
          <w:rFonts w:ascii="Times New Roman" w:hAnsi="Times New Roman"/>
        </w:rPr>
        <w:t>study</w:t>
      </w:r>
      <w:r>
        <w:rPr>
          <w:rFonts w:ascii="Times New Roman" w:hAnsi="Times New Roman"/>
        </w:rPr>
        <w:t>, do not reflect experience obtained through clinical contact with carers of people with early AD</w:t>
      </w:r>
      <w:r w:rsidR="00ED0867">
        <w:rPr>
          <w:rFonts w:ascii="Times New Roman" w:hAnsi="Times New Roman"/>
        </w:rPr>
        <w:t xml:space="preserve">; and (b) that GERAS conflicts with the </w:t>
      </w:r>
      <w:r w:rsidR="00ED0867">
        <w:rPr>
          <w:rFonts w:ascii="Times New Roman" w:hAnsi="Times New Roman"/>
        </w:rPr>
        <w:lastRenderedPageBreak/>
        <w:t>results of their own study submitted in response to consultation on the second Draft Guidance which confirmed the severe impact of caring for someone with severe versus mild dementia.</w:t>
      </w:r>
    </w:p>
    <w:p w:rsidR="0067599E" w:rsidP="00C557AC" w:rsidRDefault="0067599E" w14:paraId="0C312654" w14:textId="77777777">
      <w:pPr>
        <w:pStyle w:val="Paragraph"/>
        <w:numPr>
          <w:ilvl w:val="0"/>
          <w:numId w:val="0"/>
        </w:numPr>
        <w:spacing w:before="0" w:after="0"/>
        <w:ind w:left="1080"/>
        <w:jc w:val="both"/>
        <w:rPr>
          <w:rFonts w:ascii="Times New Roman" w:hAnsi="Times New Roman"/>
        </w:rPr>
      </w:pPr>
    </w:p>
    <w:p w:rsidR="004F3518" w:rsidP="00C557AC" w:rsidRDefault="002628B4" w14:paraId="541EF4DC" w14:textId="626745ED">
      <w:pPr>
        <w:pStyle w:val="Paragraph"/>
        <w:numPr>
          <w:ilvl w:val="0"/>
          <w:numId w:val="0"/>
        </w:numPr>
        <w:spacing w:before="0" w:after="0"/>
        <w:ind w:left="792"/>
        <w:jc w:val="both"/>
        <w:rPr>
          <w:rFonts w:ascii="Times New Roman" w:hAnsi="Times New Roman"/>
        </w:rPr>
      </w:pPr>
      <w:r>
        <w:rPr>
          <w:rFonts w:ascii="Times New Roman" w:hAnsi="Times New Roman"/>
        </w:rPr>
        <w:t>While t</w:t>
      </w:r>
      <w:r w:rsidR="00874BB0">
        <w:rPr>
          <w:rFonts w:ascii="Times New Roman" w:hAnsi="Times New Roman"/>
        </w:rPr>
        <w:t xml:space="preserve">he </w:t>
      </w:r>
      <w:r w:rsidR="008439A5">
        <w:rPr>
          <w:rFonts w:ascii="Times New Roman" w:hAnsi="Times New Roman"/>
        </w:rPr>
        <w:t xml:space="preserve">Committee </w:t>
      </w:r>
      <w:r w:rsidR="00874BB0">
        <w:rPr>
          <w:rFonts w:ascii="Times New Roman" w:hAnsi="Times New Roman"/>
        </w:rPr>
        <w:t xml:space="preserve">has </w:t>
      </w:r>
      <w:r w:rsidR="00B3499C">
        <w:rPr>
          <w:rFonts w:ascii="Times New Roman" w:hAnsi="Times New Roman"/>
        </w:rPr>
        <w:t xml:space="preserve">listed some of this evidence </w:t>
      </w:r>
      <w:r w:rsidR="001B73C0">
        <w:rPr>
          <w:rFonts w:ascii="Times New Roman" w:hAnsi="Times New Roman"/>
        </w:rPr>
        <w:t xml:space="preserve">(that submitted by Lilly) </w:t>
      </w:r>
      <w:r w:rsidR="00B3499C">
        <w:rPr>
          <w:rFonts w:ascii="Times New Roman" w:hAnsi="Times New Roman"/>
        </w:rPr>
        <w:t xml:space="preserve">at paragraph </w:t>
      </w:r>
      <w:r w:rsidR="001B73C0">
        <w:rPr>
          <w:rFonts w:ascii="Times New Roman" w:hAnsi="Times New Roman"/>
        </w:rPr>
        <w:t>3.19 of the FDG, it has rejected this</w:t>
      </w:r>
      <w:r w:rsidR="00A477C7">
        <w:rPr>
          <w:rFonts w:ascii="Times New Roman" w:hAnsi="Times New Roman"/>
        </w:rPr>
        <w:t>,</w:t>
      </w:r>
      <w:r w:rsidR="001B73C0">
        <w:rPr>
          <w:rFonts w:ascii="Times New Roman" w:hAnsi="Times New Roman"/>
        </w:rPr>
        <w:t xml:space="preserve"> seemingly </w:t>
      </w:r>
      <w:r w:rsidR="00A80F1B">
        <w:rPr>
          <w:rFonts w:ascii="Times New Roman" w:hAnsi="Times New Roman"/>
        </w:rPr>
        <w:t xml:space="preserve">without any substantive consideration, </w:t>
      </w:r>
      <w:proofErr w:type="gramStart"/>
      <w:r w:rsidR="001B73C0">
        <w:rPr>
          <w:rFonts w:ascii="Times New Roman" w:hAnsi="Times New Roman"/>
        </w:rPr>
        <w:t xml:space="preserve">on the basis </w:t>
      </w:r>
      <w:r w:rsidR="00FB4E89">
        <w:rPr>
          <w:rFonts w:ascii="Times New Roman" w:hAnsi="Times New Roman"/>
        </w:rPr>
        <w:t>of</w:t>
      </w:r>
      <w:proofErr w:type="gramEnd"/>
      <w:r w:rsidR="00FB4E89">
        <w:rPr>
          <w:rFonts w:ascii="Times New Roman" w:hAnsi="Times New Roman"/>
        </w:rPr>
        <w:t xml:space="preserve"> the flawed distinction </w:t>
      </w:r>
      <w:r w:rsidR="00A80F1B">
        <w:rPr>
          <w:rFonts w:ascii="Times New Roman" w:hAnsi="Times New Roman"/>
        </w:rPr>
        <w:t xml:space="preserve">drawn </w:t>
      </w:r>
      <w:r w:rsidR="00FB4E89">
        <w:rPr>
          <w:rFonts w:ascii="Times New Roman" w:hAnsi="Times New Roman"/>
        </w:rPr>
        <w:t xml:space="preserve">between </w:t>
      </w:r>
      <w:r w:rsidR="00A477C7">
        <w:rPr>
          <w:rFonts w:ascii="Times New Roman" w:hAnsi="Times New Roman"/>
        </w:rPr>
        <w:t xml:space="preserve">quality of life (QoL) and </w:t>
      </w:r>
      <w:proofErr w:type="spellStart"/>
      <w:r w:rsidR="00A477C7">
        <w:rPr>
          <w:rFonts w:ascii="Times New Roman" w:hAnsi="Times New Roman"/>
        </w:rPr>
        <w:t>HRQoL</w:t>
      </w:r>
      <w:proofErr w:type="spellEnd"/>
      <w:r>
        <w:rPr>
          <w:rFonts w:ascii="Times New Roman" w:hAnsi="Times New Roman"/>
        </w:rPr>
        <w:t>, which is the subject of appeal point 1(a)</w:t>
      </w:r>
      <w:r w:rsidR="00BC5803">
        <w:rPr>
          <w:rFonts w:ascii="Times New Roman" w:hAnsi="Times New Roman"/>
        </w:rPr>
        <w:t xml:space="preserve">.1 (a).  There is </w:t>
      </w:r>
      <w:r w:rsidR="009E4BC8">
        <w:rPr>
          <w:rFonts w:ascii="Times New Roman" w:hAnsi="Times New Roman"/>
        </w:rPr>
        <w:t xml:space="preserve">however </w:t>
      </w:r>
      <w:r w:rsidR="00BC5803">
        <w:rPr>
          <w:rFonts w:ascii="Times New Roman" w:hAnsi="Times New Roman"/>
        </w:rPr>
        <w:t xml:space="preserve">no indication that the Committee was even aware of the evidence submitted by the Patient Groups </w:t>
      </w:r>
      <w:r w:rsidR="009E4BC8">
        <w:rPr>
          <w:rFonts w:ascii="Times New Roman" w:hAnsi="Times New Roman"/>
        </w:rPr>
        <w:t xml:space="preserve">referenced above </w:t>
      </w:r>
      <w:r w:rsidR="004F3518">
        <w:rPr>
          <w:rFonts w:ascii="Times New Roman" w:hAnsi="Times New Roman"/>
        </w:rPr>
        <w:t xml:space="preserve">or the conclusions of the GERAS study investigators </w:t>
      </w:r>
      <w:r w:rsidR="009E4BC8">
        <w:rPr>
          <w:rFonts w:ascii="Times New Roman" w:hAnsi="Times New Roman"/>
        </w:rPr>
        <w:t xml:space="preserve">and no explanation at all has been provided for </w:t>
      </w:r>
      <w:r w:rsidR="003709D2">
        <w:rPr>
          <w:rFonts w:ascii="Times New Roman" w:hAnsi="Times New Roman"/>
        </w:rPr>
        <w:t xml:space="preserve">the Committee’s failure to take this into account. </w:t>
      </w:r>
      <w:r w:rsidR="00BC5803">
        <w:rPr>
          <w:rFonts w:ascii="Times New Roman" w:hAnsi="Times New Roman"/>
        </w:rPr>
        <w:t xml:space="preserve"> </w:t>
      </w:r>
      <w:r w:rsidR="004F3518">
        <w:rPr>
          <w:rFonts w:ascii="Times New Roman" w:hAnsi="Times New Roman"/>
        </w:rPr>
        <w:t xml:space="preserve">In these circumstances, it simply cannot </w:t>
      </w:r>
      <w:r w:rsidR="00A80F1B">
        <w:rPr>
          <w:rFonts w:ascii="Times New Roman" w:hAnsi="Times New Roman"/>
        </w:rPr>
        <w:t xml:space="preserve">be said that the Committee considered </w:t>
      </w:r>
      <w:r w:rsidR="002945FA">
        <w:rPr>
          <w:rFonts w:ascii="Times New Roman" w:hAnsi="Times New Roman"/>
        </w:rPr>
        <w:t>this evidence carefully at all</w:t>
      </w:r>
      <w:r w:rsidR="000667C9">
        <w:rPr>
          <w:rFonts w:ascii="Times New Roman" w:hAnsi="Times New Roman"/>
        </w:rPr>
        <w:t xml:space="preserve"> in reaching its decision that the GERAS study should be relied upon for the purpose of </w:t>
      </w:r>
      <w:r w:rsidR="00930474">
        <w:rPr>
          <w:rFonts w:ascii="Times New Roman" w:hAnsi="Times New Roman"/>
        </w:rPr>
        <w:t>carer utilities – and that omission is procedurally unfair.</w:t>
      </w:r>
    </w:p>
    <w:p w:rsidRPr="00624B1D" w:rsidR="004F3518" w:rsidP="00C557AC" w:rsidRDefault="004F3518" w14:paraId="5C102403" w14:textId="77777777">
      <w:pPr>
        <w:pStyle w:val="Paragraph"/>
        <w:numPr>
          <w:ilvl w:val="0"/>
          <w:numId w:val="0"/>
        </w:numPr>
        <w:spacing w:before="0" w:after="0"/>
        <w:ind w:left="792"/>
        <w:jc w:val="both"/>
        <w:rPr>
          <w:rFonts w:ascii="Times New Roman" w:hAnsi="Times New Roman"/>
          <w:b/>
          <w:bCs/>
        </w:rPr>
      </w:pPr>
    </w:p>
    <w:p w:rsidRPr="00624B1D" w:rsidR="00487C9E" w:rsidP="00C557AC" w:rsidRDefault="000904CA" w14:paraId="7A250477" w14:textId="362546CF">
      <w:pPr>
        <w:pStyle w:val="Paragraph"/>
        <w:numPr>
          <w:ilvl w:val="0"/>
          <w:numId w:val="0"/>
        </w:numPr>
        <w:spacing w:before="0" w:after="0"/>
        <w:ind w:left="720" w:hanging="720"/>
        <w:jc w:val="both"/>
        <w:rPr>
          <w:rFonts w:ascii="Times New Roman" w:hAnsi="Times New Roman"/>
          <w:b/>
          <w:bCs/>
        </w:rPr>
      </w:pPr>
      <w:r w:rsidRPr="00624B1D">
        <w:rPr>
          <w:rFonts w:ascii="Times New Roman" w:hAnsi="Times New Roman"/>
          <w:b/>
          <w:bCs/>
        </w:rPr>
        <w:t>1(a).2</w:t>
      </w:r>
      <w:r w:rsidRPr="00624B1D">
        <w:rPr>
          <w:rFonts w:ascii="Times New Roman" w:hAnsi="Times New Roman"/>
          <w:b/>
          <w:bCs/>
        </w:rPr>
        <w:tab/>
      </w:r>
      <w:r w:rsidRPr="00624B1D" w:rsidR="00487C9E">
        <w:rPr>
          <w:rFonts w:ascii="Times New Roman" w:hAnsi="Times New Roman"/>
          <w:b/>
          <w:bCs/>
          <w:u w:val="single"/>
        </w:rPr>
        <w:t>The infusion costs relied upon by the Committee lack transparency and have not been subject to adequate consultatio</w:t>
      </w:r>
      <w:r w:rsidRPr="00624B1D" w:rsidR="00487C9E">
        <w:rPr>
          <w:rFonts w:ascii="Times New Roman" w:hAnsi="Times New Roman"/>
          <w:b/>
          <w:bCs/>
        </w:rPr>
        <w:t>n</w:t>
      </w:r>
    </w:p>
    <w:p w:rsidR="000904CA" w:rsidP="00C557AC" w:rsidRDefault="000904CA" w14:paraId="3AFF78DD" w14:textId="77777777">
      <w:pPr>
        <w:pStyle w:val="Paragraph"/>
        <w:numPr>
          <w:ilvl w:val="0"/>
          <w:numId w:val="0"/>
        </w:numPr>
        <w:spacing w:before="0" w:after="0"/>
        <w:ind w:left="720" w:hanging="720"/>
        <w:jc w:val="both"/>
        <w:rPr>
          <w:rFonts w:ascii="Times New Roman" w:hAnsi="Times New Roman"/>
        </w:rPr>
      </w:pPr>
    </w:p>
    <w:p w:rsidR="00624B1D" w:rsidP="00C557AC" w:rsidRDefault="002317A7" w14:paraId="4A54464C" w14:textId="77777777">
      <w:pPr>
        <w:pStyle w:val="Paragraph"/>
        <w:numPr>
          <w:ilvl w:val="0"/>
          <w:numId w:val="0"/>
        </w:numPr>
        <w:spacing w:before="0" w:after="0"/>
        <w:ind w:left="360"/>
        <w:jc w:val="both"/>
        <w:rPr>
          <w:rFonts w:ascii="Times New Roman" w:hAnsi="Times New Roman"/>
        </w:rPr>
      </w:pPr>
      <w:r>
        <w:rPr>
          <w:rFonts w:ascii="Times New Roman" w:hAnsi="Times New Roman"/>
        </w:rPr>
        <w:t xml:space="preserve">You suggest that this appeal point should be considered in </w:t>
      </w:r>
      <w:r w:rsidR="00831E02">
        <w:rPr>
          <w:rFonts w:ascii="Times New Roman" w:hAnsi="Times New Roman"/>
        </w:rPr>
        <w:t>two parts</w:t>
      </w:r>
      <w:r w:rsidR="00624B1D">
        <w:rPr>
          <w:rFonts w:ascii="Times New Roman" w:hAnsi="Times New Roman"/>
        </w:rPr>
        <w:t>.  We address each of these below.</w:t>
      </w:r>
    </w:p>
    <w:p w:rsidR="00624B1D" w:rsidP="00C557AC" w:rsidRDefault="00624B1D" w14:paraId="2BC76BA9" w14:textId="77777777">
      <w:pPr>
        <w:pStyle w:val="Paragraph"/>
        <w:numPr>
          <w:ilvl w:val="0"/>
          <w:numId w:val="0"/>
        </w:numPr>
        <w:spacing w:before="0" w:after="0"/>
        <w:ind w:left="360"/>
        <w:jc w:val="both"/>
        <w:rPr>
          <w:rFonts w:ascii="Times New Roman" w:hAnsi="Times New Roman"/>
        </w:rPr>
      </w:pPr>
    </w:p>
    <w:p w:rsidRPr="00624B1D" w:rsidR="00A80802" w:rsidP="00C557AC" w:rsidRDefault="00624B1D" w14:paraId="193260B2" w14:textId="7B4EC2CA">
      <w:pPr>
        <w:pStyle w:val="Paragraph"/>
        <w:numPr>
          <w:ilvl w:val="0"/>
          <w:numId w:val="30"/>
        </w:numPr>
        <w:spacing w:before="0" w:after="0"/>
        <w:jc w:val="both"/>
        <w:rPr>
          <w:rFonts w:ascii="Times New Roman" w:hAnsi="Times New Roman"/>
          <w:u w:val="single"/>
        </w:rPr>
      </w:pPr>
      <w:r w:rsidRPr="00624B1D">
        <w:rPr>
          <w:rFonts w:ascii="Times New Roman" w:hAnsi="Times New Roman"/>
          <w:u w:val="single"/>
        </w:rPr>
        <w:t>NHS England’s estimated infusion costs lack transparency</w:t>
      </w:r>
    </w:p>
    <w:p w:rsidR="00624B1D" w:rsidP="00C557AC" w:rsidRDefault="00624B1D" w14:paraId="0FAD3D0F" w14:textId="77777777">
      <w:pPr>
        <w:pStyle w:val="Paragraph"/>
        <w:numPr>
          <w:ilvl w:val="0"/>
          <w:numId w:val="0"/>
        </w:numPr>
        <w:spacing w:before="0" w:after="0"/>
        <w:ind w:left="360"/>
        <w:jc w:val="both"/>
        <w:rPr>
          <w:rFonts w:ascii="Times New Roman" w:hAnsi="Times New Roman"/>
        </w:rPr>
      </w:pPr>
    </w:p>
    <w:p w:rsidR="009475A4" w:rsidP="00C557AC" w:rsidRDefault="00B1650E" w14:paraId="1036B801" w14:textId="1C7A020C">
      <w:pPr>
        <w:pStyle w:val="Paragraph"/>
        <w:numPr>
          <w:ilvl w:val="0"/>
          <w:numId w:val="0"/>
        </w:numPr>
        <w:spacing w:before="0" w:after="0"/>
        <w:ind w:left="360"/>
        <w:jc w:val="both"/>
        <w:rPr>
          <w:rFonts w:ascii="Times New Roman" w:hAnsi="Times New Roman"/>
        </w:rPr>
      </w:pPr>
      <w:r>
        <w:rPr>
          <w:rFonts w:ascii="Times New Roman" w:hAnsi="Times New Roman"/>
        </w:rPr>
        <w:t xml:space="preserve">With respect to </w:t>
      </w:r>
      <w:r w:rsidR="009475A4">
        <w:rPr>
          <w:rFonts w:ascii="Times New Roman" w:hAnsi="Times New Roman"/>
        </w:rPr>
        <w:t xml:space="preserve">(a), </w:t>
      </w:r>
      <w:r w:rsidR="00612CFD">
        <w:rPr>
          <w:rFonts w:ascii="Times New Roman" w:hAnsi="Times New Roman"/>
        </w:rPr>
        <w:t xml:space="preserve">you say that you are not minded </w:t>
      </w:r>
      <w:proofErr w:type="gramStart"/>
      <w:r w:rsidR="00612CFD">
        <w:rPr>
          <w:rFonts w:ascii="Times New Roman" w:hAnsi="Times New Roman"/>
        </w:rPr>
        <w:t xml:space="preserve">to </w:t>
      </w:r>
      <w:r w:rsidR="009475A4">
        <w:rPr>
          <w:rFonts w:ascii="Times New Roman" w:hAnsi="Times New Roman"/>
        </w:rPr>
        <w:t>refer</w:t>
      </w:r>
      <w:proofErr w:type="gramEnd"/>
      <w:r w:rsidR="009475A4">
        <w:rPr>
          <w:rFonts w:ascii="Times New Roman" w:hAnsi="Times New Roman"/>
        </w:rPr>
        <w:t xml:space="preserve"> this point to the Appeal Panel on the basis that:</w:t>
      </w:r>
    </w:p>
    <w:p w:rsidR="00F922CD" w:rsidP="00C557AC" w:rsidRDefault="00F922CD" w14:paraId="0ED7F1D2" w14:textId="77777777">
      <w:pPr>
        <w:pStyle w:val="Paragraph"/>
        <w:numPr>
          <w:ilvl w:val="0"/>
          <w:numId w:val="24"/>
        </w:numPr>
        <w:spacing w:before="0" w:after="0"/>
        <w:jc w:val="both"/>
        <w:rPr>
          <w:rFonts w:ascii="Times New Roman" w:hAnsi="Times New Roman"/>
        </w:rPr>
      </w:pPr>
      <w:r>
        <w:rPr>
          <w:rFonts w:ascii="Times New Roman" w:hAnsi="Times New Roman"/>
        </w:rPr>
        <w:t>Y</w:t>
      </w:r>
      <w:r w:rsidR="00CC3DB5">
        <w:rPr>
          <w:rFonts w:ascii="Times New Roman" w:hAnsi="Times New Roman"/>
        </w:rPr>
        <w:t xml:space="preserve">ou </w:t>
      </w:r>
      <w:r>
        <w:rPr>
          <w:rFonts w:ascii="Times New Roman" w:hAnsi="Times New Roman"/>
        </w:rPr>
        <w:t xml:space="preserve">suggest that </w:t>
      </w:r>
      <w:r w:rsidR="00CB6C0C">
        <w:rPr>
          <w:rFonts w:ascii="Times New Roman" w:hAnsi="Times New Roman"/>
        </w:rPr>
        <w:t xml:space="preserve">the lack of transparency referenced by Lilly is NHS England’s rather than </w:t>
      </w:r>
      <w:proofErr w:type="gramStart"/>
      <w:r w:rsidR="00CB6C0C">
        <w:rPr>
          <w:rFonts w:ascii="Times New Roman" w:hAnsi="Times New Roman"/>
        </w:rPr>
        <w:t>NICE’s</w:t>
      </w:r>
      <w:r>
        <w:rPr>
          <w:rFonts w:ascii="Times New Roman" w:hAnsi="Times New Roman"/>
        </w:rPr>
        <w:t>;</w:t>
      </w:r>
      <w:proofErr w:type="gramEnd"/>
    </w:p>
    <w:p w:rsidR="00DF3696" w:rsidP="00C557AC" w:rsidRDefault="00B132A1" w14:paraId="19ED616F" w14:textId="77777777">
      <w:pPr>
        <w:pStyle w:val="Paragraph"/>
        <w:numPr>
          <w:ilvl w:val="0"/>
          <w:numId w:val="24"/>
        </w:numPr>
        <w:spacing w:before="0" w:after="0"/>
        <w:jc w:val="both"/>
        <w:rPr>
          <w:rFonts w:ascii="Times New Roman" w:hAnsi="Times New Roman"/>
        </w:rPr>
      </w:pPr>
      <w:r>
        <w:rPr>
          <w:rFonts w:ascii="Times New Roman" w:hAnsi="Times New Roman"/>
        </w:rPr>
        <w:t xml:space="preserve">You say that Lilly has not sought to appeal </w:t>
      </w:r>
      <w:r w:rsidR="009366AA">
        <w:rPr>
          <w:rFonts w:ascii="Times New Roman" w:hAnsi="Times New Roman"/>
        </w:rPr>
        <w:t xml:space="preserve">on the basis that it was unreasonable for the Committee </w:t>
      </w:r>
      <w:r w:rsidR="00452D10">
        <w:rPr>
          <w:rFonts w:ascii="Times New Roman" w:hAnsi="Times New Roman"/>
        </w:rPr>
        <w:t xml:space="preserve">to accept NHS England’s infusion </w:t>
      </w:r>
      <w:proofErr w:type="gramStart"/>
      <w:r w:rsidR="00452D10">
        <w:rPr>
          <w:rFonts w:ascii="Times New Roman" w:hAnsi="Times New Roman"/>
        </w:rPr>
        <w:t>costs</w:t>
      </w:r>
      <w:r w:rsidR="00DF3696">
        <w:rPr>
          <w:rFonts w:ascii="Times New Roman" w:hAnsi="Times New Roman"/>
        </w:rPr>
        <w:t>;</w:t>
      </w:r>
      <w:proofErr w:type="gramEnd"/>
    </w:p>
    <w:p w:rsidR="00A80802" w:rsidP="00C557AC" w:rsidRDefault="00DF3696" w14:paraId="6E4C05DD" w14:textId="7CFA060A">
      <w:pPr>
        <w:pStyle w:val="Paragraph"/>
        <w:numPr>
          <w:ilvl w:val="0"/>
          <w:numId w:val="24"/>
        </w:numPr>
        <w:spacing w:before="0" w:after="0"/>
        <w:jc w:val="both"/>
        <w:rPr>
          <w:rFonts w:ascii="Times New Roman" w:hAnsi="Times New Roman"/>
        </w:rPr>
      </w:pPr>
      <w:r>
        <w:rPr>
          <w:rFonts w:ascii="Times New Roman" w:hAnsi="Times New Roman"/>
        </w:rPr>
        <w:t>You say that there would have to be an arguable case that the Committee departed from the Manual or otherwise acted unfairly in accepting the NHS England estimate and that you have not seen any evidence that this is the case.</w:t>
      </w:r>
      <w:r w:rsidR="00CB6C0C">
        <w:rPr>
          <w:rFonts w:ascii="Times New Roman" w:hAnsi="Times New Roman"/>
        </w:rPr>
        <w:t xml:space="preserve"> </w:t>
      </w:r>
      <w:r w:rsidR="00AD72F9">
        <w:rPr>
          <w:rFonts w:ascii="Times New Roman" w:hAnsi="Times New Roman"/>
        </w:rPr>
        <w:t xml:space="preserve"> </w:t>
      </w:r>
    </w:p>
    <w:p w:rsidR="00806CF6" w:rsidP="00C557AC" w:rsidRDefault="00806CF6" w14:paraId="6BE2F7DE" w14:textId="77777777">
      <w:pPr>
        <w:pStyle w:val="Paragraph"/>
        <w:numPr>
          <w:ilvl w:val="0"/>
          <w:numId w:val="0"/>
        </w:numPr>
        <w:spacing w:before="0" w:after="0"/>
        <w:ind w:left="851" w:hanging="851"/>
        <w:jc w:val="both"/>
        <w:rPr>
          <w:rFonts w:ascii="Times New Roman" w:hAnsi="Times New Roman"/>
        </w:rPr>
      </w:pPr>
    </w:p>
    <w:p w:rsidR="00806CF6" w:rsidP="00C557AC" w:rsidRDefault="00C018E1" w14:paraId="6419A89A" w14:textId="3877119E">
      <w:pPr>
        <w:pStyle w:val="Paragraph"/>
        <w:numPr>
          <w:ilvl w:val="0"/>
          <w:numId w:val="0"/>
        </w:numPr>
        <w:spacing w:before="0" w:after="0"/>
        <w:ind w:left="360"/>
        <w:jc w:val="both"/>
        <w:rPr>
          <w:rFonts w:ascii="Times New Roman" w:hAnsi="Times New Roman"/>
        </w:rPr>
      </w:pPr>
      <w:r>
        <w:rPr>
          <w:rFonts w:ascii="Times New Roman" w:hAnsi="Times New Roman"/>
        </w:rPr>
        <w:t xml:space="preserve">We are </w:t>
      </w:r>
      <w:r w:rsidR="008C3999">
        <w:rPr>
          <w:rFonts w:ascii="Times New Roman" w:hAnsi="Times New Roman"/>
        </w:rPr>
        <w:t xml:space="preserve">seriously concerned by the preliminary view of this </w:t>
      </w:r>
      <w:r>
        <w:rPr>
          <w:rFonts w:ascii="Times New Roman" w:hAnsi="Times New Roman"/>
        </w:rPr>
        <w:t>part of our appeal</w:t>
      </w:r>
      <w:r w:rsidR="0095712D">
        <w:rPr>
          <w:rFonts w:ascii="Times New Roman" w:hAnsi="Times New Roman"/>
        </w:rPr>
        <w:t>, which raises an important point of principle</w:t>
      </w:r>
      <w:r>
        <w:rPr>
          <w:rFonts w:ascii="Times New Roman" w:hAnsi="Times New Roman"/>
        </w:rPr>
        <w:t xml:space="preserve">.  Transparency </w:t>
      </w:r>
      <w:r w:rsidR="0095712D">
        <w:rPr>
          <w:rFonts w:ascii="Times New Roman" w:hAnsi="Times New Roman"/>
        </w:rPr>
        <w:t xml:space="preserve">is a fundamental aspect of a fair procedure </w:t>
      </w:r>
      <w:r w:rsidR="00D36E10">
        <w:rPr>
          <w:rFonts w:ascii="Times New Roman" w:hAnsi="Times New Roman"/>
        </w:rPr>
        <w:t xml:space="preserve">and decision-making </w:t>
      </w:r>
      <w:r w:rsidR="002065B3">
        <w:rPr>
          <w:rFonts w:ascii="Times New Roman" w:hAnsi="Times New Roman"/>
        </w:rPr>
        <w:t xml:space="preserve">without </w:t>
      </w:r>
      <w:r w:rsidR="00773916">
        <w:rPr>
          <w:rFonts w:ascii="Times New Roman" w:hAnsi="Times New Roman"/>
        </w:rPr>
        <w:t>adequate explanation of key assumptions or any ability for stakeholders to test their validity and reliability</w:t>
      </w:r>
      <w:r w:rsidR="001B23BD">
        <w:rPr>
          <w:rFonts w:ascii="Times New Roman" w:hAnsi="Times New Roman"/>
        </w:rPr>
        <w:t xml:space="preserve"> is</w:t>
      </w:r>
      <w:r w:rsidR="00C73A85">
        <w:rPr>
          <w:rFonts w:ascii="Times New Roman" w:hAnsi="Times New Roman"/>
        </w:rPr>
        <w:t xml:space="preserve"> inconsistent with a rigorous process and </w:t>
      </w:r>
      <w:r w:rsidR="00884B0C">
        <w:rPr>
          <w:rFonts w:ascii="Times New Roman" w:hAnsi="Times New Roman"/>
        </w:rPr>
        <w:t>undermines the credib</w:t>
      </w:r>
      <w:r w:rsidR="007A51AB">
        <w:rPr>
          <w:rFonts w:ascii="Times New Roman" w:hAnsi="Times New Roman"/>
        </w:rPr>
        <w:t>i</w:t>
      </w:r>
      <w:r w:rsidR="00884B0C">
        <w:rPr>
          <w:rFonts w:ascii="Times New Roman" w:hAnsi="Times New Roman"/>
        </w:rPr>
        <w:t>l</w:t>
      </w:r>
      <w:r w:rsidR="007A51AB">
        <w:rPr>
          <w:rFonts w:ascii="Times New Roman" w:hAnsi="Times New Roman"/>
        </w:rPr>
        <w:t>ity of NICE’s recommendations.</w:t>
      </w:r>
      <w:r w:rsidR="00884B0C">
        <w:rPr>
          <w:rFonts w:ascii="Times New Roman" w:hAnsi="Times New Roman"/>
        </w:rPr>
        <w:t xml:space="preserve"> </w:t>
      </w:r>
      <w:r w:rsidR="00773916">
        <w:rPr>
          <w:rFonts w:ascii="Times New Roman" w:hAnsi="Times New Roman"/>
        </w:rPr>
        <w:t xml:space="preserve"> </w:t>
      </w:r>
      <w:r w:rsidR="00D65CAA">
        <w:rPr>
          <w:rFonts w:ascii="Times New Roman" w:hAnsi="Times New Roman"/>
        </w:rPr>
        <w:t xml:space="preserve">In response to the points raised </w:t>
      </w:r>
      <w:r w:rsidR="00161629">
        <w:rPr>
          <w:rFonts w:ascii="Times New Roman" w:hAnsi="Times New Roman"/>
        </w:rPr>
        <w:t>in the initial scrutiny letter:</w:t>
      </w:r>
    </w:p>
    <w:p w:rsidR="00FD48B7" w:rsidP="00C557AC" w:rsidRDefault="00FD48B7" w14:paraId="0602AAD0" w14:textId="77777777">
      <w:pPr>
        <w:pStyle w:val="Paragraph"/>
        <w:numPr>
          <w:ilvl w:val="0"/>
          <w:numId w:val="0"/>
        </w:numPr>
        <w:spacing w:before="0" w:after="0"/>
        <w:ind w:left="720"/>
        <w:jc w:val="both"/>
        <w:rPr>
          <w:rFonts w:ascii="Times New Roman" w:hAnsi="Times New Roman"/>
        </w:rPr>
      </w:pPr>
    </w:p>
    <w:p w:rsidR="00161629" w:rsidP="00C557AC" w:rsidRDefault="00161629" w14:paraId="29D553FE" w14:textId="361EAB6D">
      <w:pPr>
        <w:pStyle w:val="Paragraph"/>
        <w:numPr>
          <w:ilvl w:val="0"/>
          <w:numId w:val="26"/>
        </w:numPr>
        <w:spacing w:before="0" w:after="0"/>
        <w:jc w:val="both"/>
        <w:rPr>
          <w:rFonts w:ascii="Times New Roman" w:hAnsi="Times New Roman"/>
        </w:rPr>
      </w:pPr>
      <w:r>
        <w:rPr>
          <w:rFonts w:ascii="Times New Roman" w:hAnsi="Times New Roman"/>
        </w:rPr>
        <w:t xml:space="preserve">Firstly, while we understand that it is NHS England that has declined to </w:t>
      </w:r>
      <w:r w:rsidR="00A12362">
        <w:rPr>
          <w:rFonts w:ascii="Times New Roman" w:hAnsi="Times New Roman"/>
        </w:rPr>
        <w:t>provide details of its estimated infusion costs</w:t>
      </w:r>
      <w:r w:rsidR="00BA0E3D">
        <w:rPr>
          <w:rFonts w:ascii="Times New Roman" w:hAnsi="Times New Roman"/>
        </w:rPr>
        <w:t xml:space="preserve"> (no explanation or reasons have been </w:t>
      </w:r>
      <w:r w:rsidR="00BA0E3D">
        <w:rPr>
          <w:rFonts w:ascii="Times New Roman" w:hAnsi="Times New Roman"/>
        </w:rPr>
        <w:lastRenderedPageBreak/>
        <w:t>supplied</w:t>
      </w:r>
      <w:r w:rsidR="00AF53C8">
        <w:rPr>
          <w:rFonts w:ascii="Times New Roman" w:hAnsi="Times New Roman"/>
        </w:rPr>
        <w:t xml:space="preserve"> by NHS England</w:t>
      </w:r>
      <w:r w:rsidR="00BA0E3D">
        <w:rPr>
          <w:rFonts w:ascii="Times New Roman" w:hAnsi="Times New Roman"/>
        </w:rPr>
        <w:t>)</w:t>
      </w:r>
      <w:r w:rsidR="00A12362">
        <w:rPr>
          <w:rFonts w:ascii="Times New Roman" w:hAnsi="Times New Roman"/>
        </w:rPr>
        <w:t>, the lack of transparency in the context of this appraisal is NICE’s</w:t>
      </w:r>
      <w:r w:rsidR="00CB20A9">
        <w:rPr>
          <w:rFonts w:ascii="Times New Roman" w:hAnsi="Times New Roman"/>
        </w:rPr>
        <w:t>,</w:t>
      </w:r>
      <w:r w:rsidR="00A12362">
        <w:rPr>
          <w:rFonts w:ascii="Times New Roman" w:hAnsi="Times New Roman"/>
        </w:rPr>
        <w:t xml:space="preserve"> because </w:t>
      </w:r>
      <w:r w:rsidR="00E2581E">
        <w:rPr>
          <w:rFonts w:ascii="Times New Roman" w:hAnsi="Times New Roman"/>
        </w:rPr>
        <w:t xml:space="preserve">it is </w:t>
      </w:r>
      <w:r w:rsidR="00A12362">
        <w:rPr>
          <w:rFonts w:ascii="Times New Roman" w:hAnsi="Times New Roman"/>
        </w:rPr>
        <w:t xml:space="preserve">the Committee </w:t>
      </w:r>
      <w:r w:rsidR="00E2581E">
        <w:rPr>
          <w:rFonts w:ascii="Times New Roman" w:hAnsi="Times New Roman"/>
        </w:rPr>
        <w:t xml:space="preserve">that </w:t>
      </w:r>
      <w:r w:rsidR="00A12362">
        <w:rPr>
          <w:rFonts w:ascii="Times New Roman" w:hAnsi="Times New Roman"/>
        </w:rPr>
        <w:t>has chos</w:t>
      </w:r>
      <w:r w:rsidR="00B1692C">
        <w:rPr>
          <w:rFonts w:ascii="Times New Roman" w:hAnsi="Times New Roman"/>
        </w:rPr>
        <w:t xml:space="preserve">en to rely upon an unexplained and unjustified assumption for the purpose of its </w:t>
      </w:r>
      <w:r w:rsidR="00CB20A9">
        <w:rPr>
          <w:rFonts w:ascii="Times New Roman" w:hAnsi="Times New Roman"/>
        </w:rPr>
        <w:t>recommendations</w:t>
      </w:r>
      <w:r w:rsidR="009E25AC">
        <w:rPr>
          <w:rFonts w:ascii="Times New Roman" w:hAnsi="Times New Roman"/>
        </w:rPr>
        <w:t>, rather than a</w:t>
      </w:r>
      <w:r w:rsidR="004C30AA">
        <w:rPr>
          <w:rFonts w:ascii="Times New Roman" w:hAnsi="Times New Roman"/>
        </w:rPr>
        <w:t>n estimation that is transparent</w:t>
      </w:r>
      <w:r w:rsidR="00CB20A9">
        <w:rPr>
          <w:rFonts w:ascii="Times New Roman" w:hAnsi="Times New Roman"/>
        </w:rPr>
        <w:t xml:space="preserve">. </w:t>
      </w:r>
    </w:p>
    <w:p w:rsidR="00FD48B7" w:rsidP="00C557AC" w:rsidRDefault="00FD48B7" w14:paraId="2318FD6F" w14:textId="4F1639FF">
      <w:pPr>
        <w:pStyle w:val="Paragraph"/>
        <w:numPr>
          <w:ilvl w:val="0"/>
          <w:numId w:val="26"/>
        </w:numPr>
        <w:spacing w:before="0" w:after="0"/>
        <w:jc w:val="both"/>
        <w:rPr>
          <w:rFonts w:ascii="Times New Roman" w:hAnsi="Times New Roman"/>
        </w:rPr>
      </w:pPr>
      <w:r>
        <w:rPr>
          <w:rFonts w:ascii="Times New Roman" w:hAnsi="Times New Roman"/>
        </w:rPr>
        <w:t>Secondly,</w:t>
      </w:r>
      <w:r w:rsidR="00396935">
        <w:rPr>
          <w:rFonts w:ascii="Times New Roman" w:hAnsi="Times New Roman"/>
        </w:rPr>
        <w:t xml:space="preserve"> the suggestion that Lilly has not sought to appeal on the basis that </w:t>
      </w:r>
      <w:r w:rsidR="00FA32DF">
        <w:rPr>
          <w:rFonts w:ascii="Times New Roman" w:hAnsi="Times New Roman"/>
        </w:rPr>
        <w:t>the Committee’s reliance on</w:t>
      </w:r>
      <w:r w:rsidR="006E6375">
        <w:rPr>
          <w:rFonts w:ascii="Times New Roman" w:hAnsi="Times New Roman"/>
        </w:rPr>
        <w:t xml:space="preserve"> NHS England’s estimated infusion costs</w:t>
      </w:r>
      <w:r w:rsidR="00396935">
        <w:rPr>
          <w:rFonts w:ascii="Times New Roman" w:hAnsi="Times New Roman"/>
        </w:rPr>
        <w:t xml:space="preserve"> was unreasonable</w:t>
      </w:r>
      <w:r w:rsidR="00F32462">
        <w:rPr>
          <w:rFonts w:ascii="Times New Roman" w:hAnsi="Times New Roman"/>
        </w:rPr>
        <w:t>,</w:t>
      </w:r>
      <w:r w:rsidR="00396935">
        <w:rPr>
          <w:rFonts w:ascii="Times New Roman" w:hAnsi="Times New Roman"/>
        </w:rPr>
        <w:t xml:space="preserve"> </w:t>
      </w:r>
      <w:r w:rsidR="00CE1DBE">
        <w:rPr>
          <w:rFonts w:ascii="Times New Roman" w:hAnsi="Times New Roman"/>
        </w:rPr>
        <w:t xml:space="preserve">does not present the complete picture.  Lilly has not challenged the </w:t>
      </w:r>
      <w:r w:rsidR="00FD59D4">
        <w:rPr>
          <w:rFonts w:ascii="Times New Roman" w:hAnsi="Times New Roman"/>
        </w:rPr>
        <w:t xml:space="preserve">Committee’s </w:t>
      </w:r>
      <w:r w:rsidR="004332C6">
        <w:rPr>
          <w:rFonts w:ascii="Times New Roman" w:hAnsi="Times New Roman"/>
        </w:rPr>
        <w:t xml:space="preserve">reliance on </w:t>
      </w:r>
      <w:r w:rsidR="00FD59D4">
        <w:rPr>
          <w:rFonts w:ascii="Times New Roman" w:hAnsi="Times New Roman"/>
        </w:rPr>
        <w:t xml:space="preserve">the non-transparent </w:t>
      </w:r>
      <w:r w:rsidR="00FA32DF">
        <w:rPr>
          <w:rFonts w:ascii="Times New Roman" w:hAnsi="Times New Roman"/>
        </w:rPr>
        <w:t xml:space="preserve">estimated data provided by NHS England under Ground </w:t>
      </w:r>
      <w:proofErr w:type="gramStart"/>
      <w:r w:rsidR="00FA32DF">
        <w:rPr>
          <w:rFonts w:ascii="Times New Roman" w:hAnsi="Times New Roman"/>
        </w:rPr>
        <w:t>2,</w:t>
      </w:r>
      <w:proofErr w:type="gramEnd"/>
      <w:r w:rsidR="00FA32DF">
        <w:rPr>
          <w:rFonts w:ascii="Times New Roman" w:hAnsi="Times New Roman"/>
        </w:rPr>
        <w:t xml:space="preserve"> however </w:t>
      </w:r>
      <w:r w:rsidR="008F184A">
        <w:rPr>
          <w:rFonts w:ascii="Times New Roman" w:hAnsi="Times New Roman"/>
        </w:rPr>
        <w:t>we do say:</w:t>
      </w:r>
    </w:p>
    <w:p w:rsidR="008F184A" w:rsidP="00C557AC" w:rsidRDefault="008F184A" w14:paraId="1B8D68B9" w14:textId="27A27BC1">
      <w:pPr>
        <w:pStyle w:val="Paragraph"/>
        <w:numPr>
          <w:ilvl w:val="0"/>
          <w:numId w:val="0"/>
        </w:numPr>
        <w:spacing w:before="0" w:after="0"/>
        <w:ind w:left="2160"/>
        <w:jc w:val="both"/>
        <w:rPr>
          <w:rFonts w:ascii="Times New Roman" w:hAnsi="Times New Roman"/>
        </w:rPr>
      </w:pPr>
      <w:r>
        <w:rPr>
          <w:rFonts w:ascii="Times New Roman" w:hAnsi="Times New Roman"/>
        </w:rPr>
        <w:t>“</w:t>
      </w:r>
      <w:r w:rsidRPr="008F184A">
        <w:rPr>
          <w:rFonts w:ascii="Times New Roman" w:hAnsi="Times New Roman"/>
          <w:i/>
          <w:iCs/>
        </w:rPr>
        <w:t>If NHS England refuses to provide (a) a breakdown of the costs included in the £432 figure it has proposed and (b) an explanation of why these costs are considered appropriate for donanemab, so that the reliability of their costs estimate can be investigated, fairness requires that NICE should disregard NHS England’s estimated costs in favour of a transparent estimation that can be adequately considered and tested”.</w:t>
      </w:r>
    </w:p>
    <w:p w:rsidR="002B5465" w:rsidP="00C557AC" w:rsidRDefault="00C66BF7" w14:paraId="3DB1B28B" w14:textId="3803AAFA">
      <w:pPr>
        <w:pStyle w:val="Paragraph"/>
        <w:numPr>
          <w:ilvl w:val="0"/>
          <w:numId w:val="26"/>
        </w:numPr>
        <w:spacing w:before="0" w:after="0"/>
        <w:jc w:val="both"/>
        <w:rPr>
          <w:rFonts w:ascii="Times New Roman" w:hAnsi="Times New Roman"/>
        </w:rPr>
      </w:pPr>
      <w:r>
        <w:rPr>
          <w:rFonts w:ascii="Times New Roman" w:hAnsi="Times New Roman"/>
        </w:rPr>
        <w:t xml:space="preserve">Finally, there is Court of Appeal authority </w:t>
      </w:r>
      <w:r w:rsidR="00AE619A">
        <w:rPr>
          <w:rFonts w:ascii="Times New Roman" w:hAnsi="Times New Roman"/>
        </w:rPr>
        <w:t xml:space="preserve">confirming </w:t>
      </w:r>
      <w:r w:rsidR="007829BE">
        <w:rPr>
          <w:rFonts w:ascii="Times New Roman" w:hAnsi="Times New Roman"/>
        </w:rPr>
        <w:t>that</w:t>
      </w:r>
      <w:r w:rsidR="00213274">
        <w:rPr>
          <w:rFonts w:ascii="Times New Roman" w:hAnsi="Times New Roman"/>
        </w:rPr>
        <w:t xml:space="preserve"> a lack of</w:t>
      </w:r>
      <w:r w:rsidR="00AE619A">
        <w:rPr>
          <w:rFonts w:ascii="Times New Roman" w:hAnsi="Times New Roman"/>
        </w:rPr>
        <w:t xml:space="preserve"> transparency</w:t>
      </w:r>
      <w:r w:rsidR="00213274">
        <w:rPr>
          <w:rFonts w:ascii="Times New Roman" w:hAnsi="Times New Roman"/>
        </w:rPr>
        <w:t xml:space="preserve"> in relation to evidence central </w:t>
      </w:r>
      <w:r w:rsidR="00646B82">
        <w:rPr>
          <w:rFonts w:ascii="Times New Roman" w:hAnsi="Times New Roman"/>
        </w:rPr>
        <w:t>to NICE’s appraisals</w:t>
      </w:r>
      <w:r w:rsidR="00213274">
        <w:rPr>
          <w:rFonts w:ascii="Times New Roman" w:hAnsi="Times New Roman"/>
        </w:rPr>
        <w:t xml:space="preserve"> is unfair</w:t>
      </w:r>
      <w:r w:rsidR="00646B82">
        <w:rPr>
          <w:rFonts w:ascii="Times New Roman" w:hAnsi="Times New Roman"/>
        </w:rPr>
        <w:t xml:space="preserve">, including </w:t>
      </w:r>
      <w:r w:rsidR="0027393E">
        <w:rPr>
          <w:rFonts w:ascii="Times New Roman" w:hAnsi="Times New Roman"/>
        </w:rPr>
        <w:t xml:space="preserve">where such </w:t>
      </w:r>
      <w:r w:rsidR="00646B82">
        <w:rPr>
          <w:rFonts w:ascii="Times New Roman" w:hAnsi="Times New Roman"/>
        </w:rPr>
        <w:t xml:space="preserve">evidence </w:t>
      </w:r>
      <w:r w:rsidR="0027393E">
        <w:rPr>
          <w:rFonts w:ascii="Times New Roman" w:hAnsi="Times New Roman"/>
        </w:rPr>
        <w:t xml:space="preserve">has been </w:t>
      </w:r>
      <w:r w:rsidR="00646B82">
        <w:rPr>
          <w:rFonts w:ascii="Times New Roman" w:hAnsi="Times New Roman"/>
        </w:rPr>
        <w:t xml:space="preserve">submitted by third parties.  </w:t>
      </w:r>
    </w:p>
    <w:p w:rsidR="0027393E" w:rsidP="00C557AC" w:rsidRDefault="0027393E" w14:paraId="77374B84" w14:textId="77777777">
      <w:pPr>
        <w:pStyle w:val="Paragraph"/>
        <w:numPr>
          <w:ilvl w:val="0"/>
          <w:numId w:val="0"/>
        </w:numPr>
        <w:spacing w:before="0" w:after="0"/>
        <w:ind w:left="2291" w:hanging="851"/>
        <w:jc w:val="both"/>
        <w:rPr>
          <w:rFonts w:ascii="Times New Roman" w:hAnsi="Times New Roman"/>
        </w:rPr>
      </w:pPr>
    </w:p>
    <w:p w:rsidR="00843F98" w:rsidP="00C557AC" w:rsidRDefault="00627ACF" w14:paraId="4B77F72F" w14:textId="2396F6F4">
      <w:pPr>
        <w:pStyle w:val="Paragraph"/>
        <w:numPr>
          <w:ilvl w:val="0"/>
          <w:numId w:val="28"/>
        </w:numPr>
        <w:spacing w:before="0" w:after="0"/>
        <w:jc w:val="both"/>
        <w:rPr>
          <w:rFonts w:ascii="Times New Roman" w:hAnsi="Times New Roman"/>
        </w:rPr>
      </w:pPr>
      <w:r>
        <w:rPr>
          <w:rFonts w:ascii="Times New Roman" w:hAnsi="Times New Roman"/>
        </w:rPr>
        <w:t xml:space="preserve">In </w:t>
      </w:r>
      <w:r w:rsidRPr="00B77D06">
        <w:rPr>
          <w:rFonts w:ascii="Times New Roman" w:hAnsi="Times New Roman"/>
          <w:u w:val="single"/>
        </w:rPr>
        <w:t>Eisai v NICE</w:t>
      </w:r>
      <w:r>
        <w:rPr>
          <w:rFonts w:ascii="Times New Roman" w:hAnsi="Times New Roman"/>
        </w:rPr>
        <w:t xml:space="preserve"> (2008), referenced in our appeal letter, the Court of Appeal </w:t>
      </w:r>
      <w:r w:rsidR="00326A7B">
        <w:rPr>
          <w:rFonts w:ascii="Times New Roman" w:hAnsi="Times New Roman"/>
        </w:rPr>
        <w:t>confirmed the high standards of transparency applicable to NICE appraisals</w:t>
      </w:r>
      <w:r w:rsidR="00B77D06">
        <w:rPr>
          <w:rFonts w:ascii="Times New Roman" w:hAnsi="Times New Roman"/>
        </w:rPr>
        <w:t>,</w:t>
      </w:r>
      <w:r w:rsidR="00326A7B">
        <w:rPr>
          <w:rFonts w:ascii="Times New Roman" w:hAnsi="Times New Roman"/>
        </w:rPr>
        <w:t xml:space="preserve"> when considering the requirement for </w:t>
      </w:r>
      <w:r w:rsidR="005C0F30">
        <w:rPr>
          <w:rFonts w:ascii="Times New Roman" w:hAnsi="Times New Roman"/>
        </w:rPr>
        <w:t xml:space="preserve">NICE to disclose an executable version of the economic model </w:t>
      </w:r>
      <w:r w:rsidR="00E91D14">
        <w:rPr>
          <w:rFonts w:ascii="Times New Roman" w:hAnsi="Times New Roman"/>
        </w:rPr>
        <w:t xml:space="preserve">developed by what was then known as the Assessment Group </w:t>
      </w:r>
      <w:r w:rsidR="00FF03C3">
        <w:rPr>
          <w:rFonts w:ascii="Times New Roman" w:hAnsi="Times New Roman"/>
        </w:rPr>
        <w:t xml:space="preserve">and is now </w:t>
      </w:r>
      <w:r w:rsidR="002A2D0B">
        <w:rPr>
          <w:rFonts w:ascii="Times New Roman" w:hAnsi="Times New Roman"/>
        </w:rPr>
        <w:t xml:space="preserve">the External Assessment Group (EAG), so that stakeholders could confirm its reliability.  </w:t>
      </w:r>
      <w:r>
        <w:rPr>
          <w:rFonts w:ascii="Times New Roman" w:hAnsi="Times New Roman"/>
        </w:rPr>
        <w:t xml:space="preserve"> </w:t>
      </w:r>
    </w:p>
    <w:p w:rsidR="008E1A52" w:rsidP="00C557AC" w:rsidRDefault="00456E7B" w14:paraId="4B88FD5C" w14:textId="77777777">
      <w:pPr>
        <w:pStyle w:val="Paragraph"/>
        <w:numPr>
          <w:ilvl w:val="0"/>
          <w:numId w:val="28"/>
        </w:numPr>
        <w:spacing w:before="0" w:after="0"/>
        <w:jc w:val="both"/>
        <w:rPr>
          <w:rFonts w:ascii="Times New Roman" w:hAnsi="Times New Roman"/>
        </w:rPr>
      </w:pPr>
      <w:r>
        <w:rPr>
          <w:rFonts w:ascii="Times New Roman" w:hAnsi="Times New Roman"/>
        </w:rPr>
        <w:t>The decision i</w:t>
      </w:r>
      <w:r w:rsidR="008D5827">
        <w:rPr>
          <w:rFonts w:ascii="Times New Roman" w:hAnsi="Times New Roman"/>
        </w:rPr>
        <w:t xml:space="preserve">n </w:t>
      </w:r>
      <w:r w:rsidRPr="004F3FB1" w:rsidR="008D5827">
        <w:rPr>
          <w:rFonts w:ascii="Times New Roman" w:hAnsi="Times New Roman"/>
          <w:u w:val="single"/>
        </w:rPr>
        <w:t xml:space="preserve">Servier v </w:t>
      </w:r>
      <w:r w:rsidRPr="004F3FB1" w:rsidR="00197F6E">
        <w:rPr>
          <w:rFonts w:ascii="Times New Roman" w:hAnsi="Times New Roman"/>
          <w:u w:val="single"/>
        </w:rPr>
        <w:t>N</w:t>
      </w:r>
      <w:r w:rsidRPr="004F3FB1" w:rsidR="004F3FB1">
        <w:rPr>
          <w:rFonts w:ascii="Times New Roman" w:hAnsi="Times New Roman"/>
          <w:u w:val="single"/>
        </w:rPr>
        <w:t xml:space="preserve">ational </w:t>
      </w:r>
      <w:r w:rsidRPr="004F3FB1" w:rsidR="00197F6E">
        <w:rPr>
          <w:rFonts w:ascii="Times New Roman" w:hAnsi="Times New Roman"/>
          <w:u w:val="single"/>
        </w:rPr>
        <w:t>I</w:t>
      </w:r>
      <w:r w:rsidRPr="004F3FB1" w:rsidR="004F3FB1">
        <w:rPr>
          <w:rFonts w:ascii="Times New Roman" w:hAnsi="Times New Roman"/>
          <w:u w:val="single"/>
        </w:rPr>
        <w:t xml:space="preserve">nstitute for Health and </w:t>
      </w:r>
      <w:r w:rsidRPr="004F3FB1" w:rsidR="00197F6E">
        <w:rPr>
          <w:rFonts w:ascii="Times New Roman" w:hAnsi="Times New Roman"/>
          <w:u w:val="single"/>
        </w:rPr>
        <w:t>C</w:t>
      </w:r>
      <w:r w:rsidRPr="004F3FB1" w:rsidR="004F3FB1">
        <w:rPr>
          <w:rFonts w:ascii="Times New Roman" w:hAnsi="Times New Roman"/>
          <w:u w:val="single"/>
        </w:rPr>
        <w:t xml:space="preserve">linical </w:t>
      </w:r>
      <w:r w:rsidRPr="004F3FB1" w:rsidR="00197F6E">
        <w:rPr>
          <w:rFonts w:ascii="Times New Roman" w:hAnsi="Times New Roman"/>
          <w:u w:val="single"/>
        </w:rPr>
        <w:t>E</w:t>
      </w:r>
      <w:r w:rsidRPr="004F3FB1" w:rsidR="004F3FB1">
        <w:rPr>
          <w:rFonts w:ascii="Times New Roman" w:hAnsi="Times New Roman"/>
          <w:u w:val="single"/>
        </w:rPr>
        <w:t>xcellence</w:t>
      </w:r>
      <w:r w:rsidRPr="004F3FB1" w:rsidR="004F3FB1">
        <w:rPr>
          <w:rFonts w:ascii="Times New Roman" w:hAnsi="Times New Roman"/>
        </w:rPr>
        <w:t xml:space="preserve"> [2009] EWHC 281 (Admin)</w:t>
      </w:r>
      <w:r w:rsidR="00BB29F7">
        <w:rPr>
          <w:rFonts w:ascii="Times New Roman" w:hAnsi="Times New Roman"/>
        </w:rPr>
        <w:t xml:space="preserve">, </w:t>
      </w:r>
      <w:r>
        <w:rPr>
          <w:rFonts w:ascii="Times New Roman" w:hAnsi="Times New Roman"/>
        </w:rPr>
        <w:t xml:space="preserve">followed that in </w:t>
      </w:r>
      <w:r w:rsidRPr="00456E7B">
        <w:rPr>
          <w:rFonts w:ascii="Times New Roman" w:hAnsi="Times New Roman"/>
          <w:u w:val="single"/>
        </w:rPr>
        <w:t>Eisai</w:t>
      </w:r>
      <w:r>
        <w:rPr>
          <w:rFonts w:ascii="Times New Roman" w:hAnsi="Times New Roman"/>
        </w:rPr>
        <w:t xml:space="preserve">.  In </w:t>
      </w:r>
      <w:r w:rsidRPr="00456E7B">
        <w:rPr>
          <w:rFonts w:ascii="Times New Roman" w:hAnsi="Times New Roman"/>
          <w:u w:val="single"/>
        </w:rPr>
        <w:t>Servier,</w:t>
      </w:r>
      <w:r>
        <w:rPr>
          <w:rFonts w:ascii="Times New Roman" w:hAnsi="Times New Roman"/>
        </w:rPr>
        <w:t xml:space="preserve"> </w:t>
      </w:r>
      <w:r w:rsidR="00BB29F7">
        <w:rPr>
          <w:rFonts w:ascii="Times New Roman" w:hAnsi="Times New Roman"/>
        </w:rPr>
        <w:t xml:space="preserve">the Court of Appeal was asked to consider the situation where NICE had declined to </w:t>
      </w:r>
      <w:r w:rsidR="00EA4A7F">
        <w:rPr>
          <w:rFonts w:ascii="Times New Roman" w:hAnsi="Times New Roman"/>
        </w:rPr>
        <w:t xml:space="preserve">disclose an economic model which contained an unpublished </w:t>
      </w:r>
      <w:r w:rsidR="00E254CF">
        <w:rPr>
          <w:rFonts w:ascii="Times New Roman" w:hAnsi="Times New Roman"/>
        </w:rPr>
        <w:t xml:space="preserve">risk </w:t>
      </w:r>
      <w:r w:rsidR="00EA4A7F">
        <w:rPr>
          <w:rFonts w:ascii="Times New Roman" w:hAnsi="Times New Roman"/>
        </w:rPr>
        <w:t>algorithm</w:t>
      </w:r>
      <w:r w:rsidR="00BE705A">
        <w:rPr>
          <w:rFonts w:ascii="Times New Roman" w:hAnsi="Times New Roman"/>
        </w:rPr>
        <w:t>, coefficients and other data</w:t>
      </w:r>
      <w:r w:rsidR="00EA4A7F">
        <w:rPr>
          <w:rFonts w:ascii="Times New Roman" w:hAnsi="Times New Roman"/>
        </w:rPr>
        <w:t xml:space="preserve"> developed by a </w:t>
      </w:r>
      <w:proofErr w:type="gramStart"/>
      <w:r w:rsidR="00EA4A7F">
        <w:rPr>
          <w:rFonts w:ascii="Times New Roman" w:hAnsi="Times New Roman"/>
        </w:rPr>
        <w:t>third party</w:t>
      </w:r>
      <w:proofErr w:type="gramEnd"/>
      <w:r w:rsidR="00EA4A7F">
        <w:rPr>
          <w:rFonts w:ascii="Times New Roman" w:hAnsi="Times New Roman"/>
        </w:rPr>
        <w:t xml:space="preserve"> academic</w:t>
      </w:r>
      <w:r w:rsidR="0000660E">
        <w:rPr>
          <w:rFonts w:ascii="Times New Roman" w:hAnsi="Times New Roman"/>
        </w:rPr>
        <w:t xml:space="preserve">, who refused to agree to its </w:t>
      </w:r>
      <w:r w:rsidR="00543B77">
        <w:rPr>
          <w:rFonts w:ascii="Times New Roman" w:hAnsi="Times New Roman"/>
        </w:rPr>
        <w:t>release on grounds of confidentiality</w:t>
      </w:r>
      <w:r w:rsidR="00EA4A7F">
        <w:rPr>
          <w:rFonts w:ascii="Times New Roman" w:hAnsi="Times New Roman"/>
        </w:rPr>
        <w:t xml:space="preserve">.  </w:t>
      </w:r>
      <w:r w:rsidR="00F1727B">
        <w:rPr>
          <w:rFonts w:ascii="Times New Roman" w:hAnsi="Times New Roman"/>
        </w:rPr>
        <w:t xml:space="preserve">After considering the efforts by NICE to persuade the academic to </w:t>
      </w:r>
      <w:r w:rsidR="008E1A52">
        <w:rPr>
          <w:rFonts w:ascii="Times New Roman" w:hAnsi="Times New Roman"/>
        </w:rPr>
        <w:t>agree to release the algorithm etc, the Court concluded:</w:t>
      </w:r>
    </w:p>
    <w:p w:rsidR="008E1A52" w:rsidP="00C557AC" w:rsidRDefault="008E1A52" w14:paraId="1BC69E18" w14:textId="77777777">
      <w:pPr>
        <w:pStyle w:val="Paragraph"/>
        <w:numPr>
          <w:ilvl w:val="0"/>
          <w:numId w:val="0"/>
        </w:numPr>
        <w:spacing w:before="0" w:after="0"/>
        <w:ind w:left="851" w:hanging="851"/>
        <w:jc w:val="both"/>
        <w:rPr>
          <w:rFonts w:ascii="Times New Roman" w:hAnsi="Times New Roman"/>
        </w:rPr>
      </w:pPr>
    </w:p>
    <w:p w:rsidR="005351BC" w:rsidP="00C557AC" w:rsidRDefault="005351BC" w14:paraId="466DD025" w14:textId="2613199B">
      <w:pPr>
        <w:pStyle w:val="Paragraph"/>
        <w:numPr>
          <w:ilvl w:val="0"/>
          <w:numId w:val="0"/>
        </w:numPr>
        <w:spacing w:before="0" w:after="0"/>
        <w:ind w:left="2160"/>
        <w:jc w:val="both"/>
        <w:rPr>
          <w:rFonts w:ascii="Times New Roman" w:hAnsi="Times New Roman"/>
        </w:rPr>
      </w:pPr>
      <w:r>
        <w:rPr>
          <w:rFonts w:ascii="Times New Roman" w:hAnsi="Times New Roman"/>
        </w:rPr>
        <w:t>“</w:t>
      </w:r>
      <w:bookmarkStart w:name="para115" w:id="0"/>
      <w:r w:rsidRPr="005351BC">
        <w:rPr>
          <w:rFonts w:ascii="Times New Roman" w:hAnsi="Times New Roman"/>
          <w:i/>
          <w:iCs/>
        </w:rPr>
        <w:t>NICE is always under a duty and imperative of transparency and fairness which normally requires full disclosure of its fully executable economic model and the data upon which it is based. It should not, therefore, normally give (or permit its assessment groups to give) undertakings as to confidentiality. Exceptionally, it may do so if the importance of the material to the quality and robustness of the appraisal is sufficiently great; </w:t>
      </w:r>
      <w:r w:rsidRPr="005351BC">
        <w:rPr>
          <w:rFonts w:ascii="Times New Roman" w:hAnsi="Times New Roman"/>
          <w:i/>
          <w:iCs/>
          <w:u w:val="single"/>
        </w:rPr>
        <w:t>and</w:t>
      </w:r>
      <w:r w:rsidRPr="005351BC">
        <w:rPr>
          <w:rFonts w:ascii="Times New Roman" w:hAnsi="Times New Roman"/>
          <w:i/>
          <w:iCs/>
        </w:rPr>
        <w:t xml:space="preserve"> if it has tried sufficiently hard to obtain permission to </w:t>
      </w:r>
      <w:proofErr w:type="gramStart"/>
      <w:r w:rsidRPr="005351BC">
        <w:rPr>
          <w:rFonts w:ascii="Times New Roman" w:hAnsi="Times New Roman"/>
          <w:i/>
          <w:iCs/>
        </w:rPr>
        <w:t>disclose, but</w:t>
      </w:r>
      <w:proofErr w:type="gramEnd"/>
      <w:r w:rsidRPr="005351BC">
        <w:rPr>
          <w:rFonts w:ascii="Times New Roman" w:hAnsi="Times New Roman"/>
          <w:i/>
          <w:iCs/>
        </w:rPr>
        <w:t xml:space="preserve"> has failed. Further, the ambit of any confidentiality undertaking should be as restricted as possible”</w:t>
      </w:r>
      <w:r w:rsidRPr="005351BC">
        <w:rPr>
          <w:rFonts w:ascii="Times New Roman" w:hAnsi="Times New Roman"/>
        </w:rPr>
        <w:t>.</w:t>
      </w:r>
      <w:bookmarkEnd w:id="0"/>
    </w:p>
    <w:p w:rsidR="004F3735" w:rsidP="00C557AC" w:rsidRDefault="004F3735" w14:paraId="2248C585" w14:textId="77777777">
      <w:pPr>
        <w:pStyle w:val="Paragraph"/>
        <w:numPr>
          <w:ilvl w:val="0"/>
          <w:numId w:val="0"/>
        </w:numPr>
        <w:spacing w:before="0" w:after="0"/>
        <w:ind w:left="2160"/>
        <w:jc w:val="both"/>
        <w:rPr>
          <w:rFonts w:ascii="Times New Roman" w:hAnsi="Times New Roman"/>
        </w:rPr>
      </w:pPr>
    </w:p>
    <w:p w:rsidR="005351BC" w:rsidP="00C557AC" w:rsidRDefault="005351BC" w14:paraId="3EB4D5E3" w14:textId="26FF1156">
      <w:pPr>
        <w:pStyle w:val="Paragraph"/>
        <w:numPr>
          <w:ilvl w:val="0"/>
          <w:numId w:val="0"/>
        </w:numPr>
        <w:spacing w:before="0" w:after="0"/>
        <w:ind w:left="2160"/>
        <w:jc w:val="both"/>
        <w:rPr>
          <w:rFonts w:ascii="Times New Roman" w:hAnsi="Times New Roman"/>
        </w:rPr>
      </w:pPr>
      <w:proofErr w:type="gramStart"/>
      <w:r>
        <w:rPr>
          <w:rFonts w:ascii="Times New Roman" w:hAnsi="Times New Roman"/>
        </w:rPr>
        <w:lastRenderedPageBreak/>
        <w:t>And also</w:t>
      </w:r>
      <w:proofErr w:type="gramEnd"/>
      <w:r>
        <w:rPr>
          <w:rFonts w:ascii="Times New Roman" w:hAnsi="Times New Roman"/>
        </w:rPr>
        <w:t>:</w:t>
      </w:r>
    </w:p>
    <w:p w:rsidR="008D5827" w:rsidP="00C557AC" w:rsidRDefault="008E1A52" w14:paraId="569B8E56" w14:textId="5295586B">
      <w:pPr>
        <w:pStyle w:val="Paragraph"/>
        <w:numPr>
          <w:ilvl w:val="0"/>
          <w:numId w:val="0"/>
        </w:numPr>
        <w:spacing w:before="0" w:after="0"/>
        <w:ind w:left="2160"/>
        <w:jc w:val="both"/>
        <w:rPr>
          <w:rFonts w:ascii="Times New Roman" w:hAnsi="Times New Roman"/>
        </w:rPr>
      </w:pPr>
      <w:r>
        <w:rPr>
          <w:rFonts w:ascii="Times New Roman" w:hAnsi="Times New Roman"/>
        </w:rPr>
        <w:t>“</w:t>
      </w:r>
      <w:bookmarkStart w:name="para123" w:id="1"/>
      <w:r w:rsidR="00AD3A3B">
        <w:rPr>
          <w:rFonts w:ascii="Times New Roman" w:hAnsi="Times New Roman"/>
        </w:rPr>
        <w:t>…</w:t>
      </w:r>
      <w:r w:rsidRPr="005D5EA2">
        <w:rPr>
          <w:rFonts w:ascii="Times New Roman" w:hAnsi="Times New Roman"/>
          <w:i/>
          <w:iCs/>
        </w:rPr>
        <w:t>for the purpose of this case, I formulate the duties upon NICE, and the powers of this court, as follows: Even after a confidentiality undertaking has been justifiably given, NICE remains under a positive duty, at appropriate stages in the process, to take all reasonable steps to obtain permission to disclose the information. In deciding what are reasonable steps it must keep firmly in mind the high importance of fairness and transparency, and the importance of the respective information to understanding the appraisal. Having regard to the decision of the Court of Appeal in </w:t>
      </w:r>
      <w:r w:rsidRPr="005D5EA2">
        <w:rPr>
          <w:rFonts w:ascii="Times New Roman" w:hAnsi="Times New Roman"/>
          <w:i/>
          <w:iCs/>
          <w:u w:val="single"/>
        </w:rPr>
        <w:t>Eisai v NICE</w:t>
      </w:r>
      <w:r w:rsidRPr="005D5EA2">
        <w:rPr>
          <w:rFonts w:ascii="Times New Roman" w:hAnsi="Times New Roman"/>
          <w:i/>
          <w:iCs/>
        </w:rPr>
        <w:t xml:space="preserve">, it must particularly strive to seek permission to disclose the economic model and /or the data contained therein. In proceedings for judicial review, the court should afford due weight to the decision of NICE as to what amount to reasonable </w:t>
      </w:r>
      <w:proofErr w:type="gramStart"/>
      <w:r w:rsidRPr="005D5EA2">
        <w:rPr>
          <w:rFonts w:ascii="Times New Roman" w:hAnsi="Times New Roman"/>
          <w:i/>
          <w:iCs/>
        </w:rPr>
        <w:t>steps, but</w:t>
      </w:r>
      <w:proofErr w:type="gramEnd"/>
      <w:r w:rsidRPr="005D5EA2">
        <w:rPr>
          <w:rFonts w:ascii="Times New Roman" w:hAnsi="Times New Roman"/>
          <w:i/>
          <w:iCs/>
        </w:rPr>
        <w:t xml:space="preserve"> may grant relief if the court considers that NICE has not taken such steps as are reasonable in all the circumstances of the case</w:t>
      </w:r>
      <w:r w:rsidRPr="005D5EA2" w:rsidR="00953D41">
        <w:rPr>
          <w:rFonts w:ascii="Times New Roman" w:hAnsi="Times New Roman"/>
          <w:i/>
          <w:iCs/>
        </w:rPr>
        <w:t>”</w:t>
      </w:r>
      <w:r w:rsidRPr="008E1A52">
        <w:rPr>
          <w:rFonts w:ascii="Times New Roman" w:hAnsi="Times New Roman"/>
        </w:rPr>
        <w:t>.</w:t>
      </w:r>
      <w:bookmarkEnd w:id="1"/>
      <w:r>
        <w:rPr>
          <w:rFonts w:ascii="Times New Roman" w:hAnsi="Times New Roman"/>
        </w:rPr>
        <w:t xml:space="preserve"> </w:t>
      </w:r>
    </w:p>
    <w:p w:rsidR="00DA507C" w:rsidP="00C557AC" w:rsidRDefault="00DA507C" w14:paraId="025FC12C" w14:textId="77777777">
      <w:pPr>
        <w:pStyle w:val="Paragraph"/>
        <w:numPr>
          <w:ilvl w:val="0"/>
          <w:numId w:val="0"/>
        </w:numPr>
        <w:spacing w:before="0" w:after="0"/>
        <w:ind w:left="792"/>
        <w:jc w:val="both"/>
        <w:rPr>
          <w:rFonts w:ascii="Times New Roman" w:hAnsi="Times New Roman"/>
        </w:rPr>
      </w:pPr>
    </w:p>
    <w:p w:rsidR="005D5EA2" w:rsidP="00C557AC" w:rsidRDefault="007B1798" w14:paraId="5E38F543" w14:textId="2796E99B">
      <w:pPr>
        <w:pStyle w:val="Paragraph"/>
        <w:numPr>
          <w:ilvl w:val="0"/>
          <w:numId w:val="0"/>
        </w:numPr>
        <w:spacing w:before="0" w:after="0"/>
        <w:ind w:left="360"/>
        <w:jc w:val="both"/>
        <w:rPr>
          <w:rFonts w:ascii="Times New Roman" w:hAnsi="Times New Roman"/>
        </w:rPr>
      </w:pPr>
      <w:r>
        <w:rPr>
          <w:rFonts w:ascii="Times New Roman" w:hAnsi="Times New Roman"/>
        </w:rPr>
        <w:t>Details of t</w:t>
      </w:r>
      <w:r w:rsidR="00D0520B">
        <w:rPr>
          <w:rFonts w:ascii="Times New Roman" w:hAnsi="Times New Roman"/>
        </w:rPr>
        <w:t xml:space="preserve">he estimated infusion costs provided to NICE by NHS England </w:t>
      </w:r>
      <w:r>
        <w:rPr>
          <w:rFonts w:ascii="Times New Roman" w:hAnsi="Times New Roman"/>
        </w:rPr>
        <w:t xml:space="preserve">in the current appraisal are directly comparable to the </w:t>
      </w:r>
      <w:r w:rsidR="009A4022">
        <w:rPr>
          <w:rFonts w:ascii="Times New Roman" w:hAnsi="Times New Roman"/>
        </w:rPr>
        <w:t xml:space="preserve">information that was withheld </w:t>
      </w:r>
      <w:r w:rsidR="004150C9">
        <w:rPr>
          <w:rFonts w:ascii="Times New Roman" w:hAnsi="Times New Roman"/>
        </w:rPr>
        <w:t xml:space="preserve">by NICE </w:t>
      </w:r>
      <w:r w:rsidR="009A4022">
        <w:rPr>
          <w:rFonts w:ascii="Times New Roman" w:hAnsi="Times New Roman"/>
        </w:rPr>
        <w:t xml:space="preserve">in both </w:t>
      </w:r>
      <w:r w:rsidRPr="009A4022" w:rsidR="009A4022">
        <w:rPr>
          <w:rFonts w:ascii="Times New Roman" w:hAnsi="Times New Roman"/>
          <w:u w:val="single"/>
        </w:rPr>
        <w:t>Eisai</w:t>
      </w:r>
      <w:r w:rsidR="009A4022">
        <w:rPr>
          <w:rFonts w:ascii="Times New Roman" w:hAnsi="Times New Roman"/>
        </w:rPr>
        <w:t xml:space="preserve"> and </w:t>
      </w:r>
      <w:r w:rsidRPr="009A4022" w:rsidR="009A4022">
        <w:rPr>
          <w:rFonts w:ascii="Times New Roman" w:hAnsi="Times New Roman"/>
          <w:u w:val="single"/>
        </w:rPr>
        <w:t>Servier</w:t>
      </w:r>
      <w:r w:rsidR="009A4022">
        <w:rPr>
          <w:rFonts w:ascii="Times New Roman" w:hAnsi="Times New Roman"/>
        </w:rPr>
        <w:t xml:space="preserve">.  </w:t>
      </w:r>
      <w:r w:rsidR="00203741">
        <w:rPr>
          <w:rFonts w:ascii="Times New Roman" w:hAnsi="Times New Roman"/>
        </w:rPr>
        <w:t xml:space="preserve">In all three cases the information was central to the </w:t>
      </w:r>
      <w:r w:rsidR="0027393E">
        <w:rPr>
          <w:rFonts w:ascii="Times New Roman" w:hAnsi="Times New Roman"/>
        </w:rPr>
        <w:t xml:space="preserve">economic </w:t>
      </w:r>
      <w:r w:rsidR="00624B1D">
        <w:rPr>
          <w:rFonts w:ascii="Times New Roman" w:hAnsi="Times New Roman"/>
        </w:rPr>
        <w:t xml:space="preserve">assessment relied upon in the </w:t>
      </w:r>
      <w:r w:rsidR="00203741">
        <w:rPr>
          <w:rFonts w:ascii="Times New Roman" w:hAnsi="Times New Roman"/>
        </w:rPr>
        <w:t xml:space="preserve">appraisal and largely determined the outcome. </w:t>
      </w:r>
      <w:r w:rsidR="00B87783">
        <w:rPr>
          <w:rFonts w:ascii="Times New Roman" w:hAnsi="Times New Roman"/>
        </w:rPr>
        <w:t xml:space="preserve"> As confirmed by the Court of Appeal, </w:t>
      </w:r>
      <w:r w:rsidR="00826E01">
        <w:rPr>
          <w:rFonts w:ascii="Times New Roman" w:hAnsi="Times New Roman"/>
        </w:rPr>
        <w:t>a fair procedure requires that such information is transparent save in exceptional circums</w:t>
      </w:r>
      <w:r w:rsidR="00EB6380">
        <w:rPr>
          <w:rFonts w:ascii="Times New Roman" w:hAnsi="Times New Roman"/>
        </w:rPr>
        <w:t>tances</w:t>
      </w:r>
      <w:r w:rsidR="00826E01">
        <w:rPr>
          <w:rFonts w:ascii="Times New Roman" w:hAnsi="Times New Roman"/>
        </w:rPr>
        <w:t xml:space="preserve">. </w:t>
      </w:r>
      <w:r w:rsidR="00DA507C">
        <w:rPr>
          <w:rFonts w:ascii="Times New Roman" w:hAnsi="Times New Roman"/>
        </w:rPr>
        <w:t xml:space="preserve">In the current </w:t>
      </w:r>
      <w:r w:rsidR="00EB6380">
        <w:rPr>
          <w:rFonts w:ascii="Times New Roman" w:hAnsi="Times New Roman"/>
        </w:rPr>
        <w:t>appraisal</w:t>
      </w:r>
      <w:r w:rsidR="00DA507C">
        <w:rPr>
          <w:rFonts w:ascii="Times New Roman" w:hAnsi="Times New Roman"/>
        </w:rPr>
        <w:t xml:space="preserve">, </w:t>
      </w:r>
      <w:r w:rsidR="004E3249">
        <w:rPr>
          <w:rFonts w:ascii="Times New Roman" w:hAnsi="Times New Roman"/>
        </w:rPr>
        <w:t xml:space="preserve">Lilly has not been informed that NHS England’s estimated infusion costs are confidential </w:t>
      </w:r>
      <w:r w:rsidR="005B40CA">
        <w:rPr>
          <w:rFonts w:ascii="Times New Roman" w:hAnsi="Times New Roman"/>
        </w:rPr>
        <w:t>or if so, the basis for any claim for confidentiality</w:t>
      </w:r>
      <w:r w:rsidR="00E74285">
        <w:rPr>
          <w:rFonts w:ascii="Times New Roman" w:hAnsi="Times New Roman"/>
        </w:rPr>
        <w:t xml:space="preserve">.  </w:t>
      </w:r>
      <w:r w:rsidR="00EB6380">
        <w:rPr>
          <w:rFonts w:ascii="Times New Roman" w:hAnsi="Times New Roman"/>
        </w:rPr>
        <w:t>(</w:t>
      </w:r>
      <w:r w:rsidR="00E74285">
        <w:rPr>
          <w:rFonts w:ascii="Times New Roman" w:hAnsi="Times New Roman"/>
        </w:rPr>
        <w:t xml:space="preserve">For the avoidance of doubt, </w:t>
      </w:r>
      <w:r w:rsidR="00910503">
        <w:rPr>
          <w:rFonts w:ascii="Times New Roman" w:hAnsi="Times New Roman"/>
        </w:rPr>
        <w:t xml:space="preserve">any such claim </w:t>
      </w:r>
      <w:r w:rsidR="00110183">
        <w:rPr>
          <w:rFonts w:ascii="Times New Roman" w:hAnsi="Times New Roman"/>
        </w:rPr>
        <w:t xml:space="preserve">by a public body in this context </w:t>
      </w:r>
      <w:r w:rsidR="00910503">
        <w:rPr>
          <w:rFonts w:ascii="Times New Roman" w:hAnsi="Times New Roman"/>
        </w:rPr>
        <w:t>would be</w:t>
      </w:r>
      <w:r w:rsidR="00C3583B">
        <w:rPr>
          <w:rFonts w:ascii="Times New Roman" w:hAnsi="Times New Roman"/>
        </w:rPr>
        <w:t>, in our view, highly questionable.</w:t>
      </w:r>
      <w:r w:rsidR="00EB6380">
        <w:rPr>
          <w:rFonts w:ascii="Times New Roman" w:hAnsi="Times New Roman"/>
        </w:rPr>
        <w:t>)</w:t>
      </w:r>
      <w:r w:rsidR="00C3583B">
        <w:rPr>
          <w:rFonts w:ascii="Times New Roman" w:hAnsi="Times New Roman"/>
        </w:rPr>
        <w:t xml:space="preserve"> </w:t>
      </w:r>
      <w:r w:rsidR="004E3249">
        <w:rPr>
          <w:rFonts w:ascii="Times New Roman" w:hAnsi="Times New Roman"/>
        </w:rPr>
        <w:t xml:space="preserve"> </w:t>
      </w:r>
      <w:r w:rsidR="00DD0997">
        <w:rPr>
          <w:rFonts w:ascii="Times New Roman" w:hAnsi="Times New Roman"/>
        </w:rPr>
        <w:t xml:space="preserve">However, despite repeated requests by Lilly, </w:t>
      </w:r>
      <w:r w:rsidR="0070740D">
        <w:rPr>
          <w:rFonts w:ascii="Times New Roman" w:hAnsi="Times New Roman"/>
        </w:rPr>
        <w:t xml:space="preserve">details of NHS England’s estimated infusion costs have not been </w:t>
      </w:r>
      <w:r w:rsidR="00D542B8">
        <w:rPr>
          <w:rFonts w:ascii="Times New Roman" w:hAnsi="Times New Roman"/>
        </w:rPr>
        <w:t xml:space="preserve">provided </w:t>
      </w:r>
      <w:r w:rsidR="004610E9">
        <w:rPr>
          <w:rFonts w:ascii="Times New Roman" w:hAnsi="Times New Roman"/>
        </w:rPr>
        <w:t xml:space="preserve">by </w:t>
      </w:r>
      <w:proofErr w:type="gramStart"/>
      <w:r w:rsidR="004610E9">
        <w:rPr>
          <w:rFonts w:ascii="Times New Roman" w:hAnsi="Times New Roman"/>
        </w:rPr>
        <w:t>NICE</w:t>
      </w:r>
      <w:proofErr w:type="gramEnd"/>
      <w:r w:rsidR="00CE4323">
        <w:rPr>
          <w:rFonts w:ascii="Times New Roman" w:hAnsi="Times New Roman"/>
        </w:rPr>
        <w:t xml:space="preserve"> and</w:t>
      </w:r>
      <w:r w:rsidR="004610E9">
        <w:rPr>
          <w:rFonts w:ascii="Times New Roman" w:hAnsi="Times New Roman"/>
        </w:rPr>
        <w:t xml:space="preserve"> it remains unclear what</w:t>
      </w:r>
      <w:r w:rsidR="00FE3591">
        <w:rPr>
          <w:rFonts w:ascii="Times New Roman" w:hAnsi="Times New Roman"/>
        </w:rPr>
        <w:t>, if any,</w:t>
      </w:r>
      <w:r w:rsidR="004610E9">
        <w:rPr>
          <w:rFonts w:ascii="Times New Roman" w:hAnsi="Times New Roman"/>
        </w:rPr>
        <w:t xml:space="preserve"> efforts have been made by NICE (consistent with the decision in </w:t>
      </w:r>
      <w:r w:rsidRPr="00C77E90" w:rsidR="004610E9">
        <w:rPr>
          <w:rFonts w:ascii="Times New Roman" w:hAnsi="Times New Roman"/>
          <w:u w:val="single"/>
        </w:rPr>
        <w:t>Servier</w:t>
      </w:r>
      <w:r w:rsidR="004610E9">
        <w:rPr>
          <w:rFonts w:ascii="Times New Roman" w:hAnsi="Times New Roman"/>
        </w:rPr>
        <w:t xml:space="preserve">) to </w:t>
      </w:r>
      <w:r w:rsidR="00C77E90">
        <w:rPr>
          <w:rFonts w:ascii="Times New Roman" w:hAnsi="Times New Roman"/>
        </w:rPr>
        <w:t>provide disclosure</w:t>
      </w:r>
      <w:r w:rsidR="00CE4323">
        <w:rPr>
          <w:rFonts w:ascii="Times New Roman" w:hAnsi="Times New Roman"/>
        </w:rPr>
        <w:t xml:space="preserve"> and whether these meet the standards set by the Court of Appeal</w:t>
      </w:r>
      <w:r w:rsidR="00C77E90">
        <w:rPr>
          <w:rFonts w:ascii="Times New Roman" w:hAnsi="Times New Roman"/>
        </w:rPr>
        <w:t xml:space="preserve">. </w:t>
      </w:r>
    </w:p>
    <w:p w:rsidR="00933B99" w:rsidP="00C557AC" w:rsidRDefault="00933B99" w14:paraId="0EC7CAB6" w14:textId="77777777">
      <w:pPr>
        <w:pStyle w:val="Paragraph"/>
        <w:numPr>
          <w:ilvl w:val="0"/>
          <w:numId w:val="0"/>
        </w:numPr>
        <w:spacing w:before="0" w:after="0"/>
        <w:ind w:left="792"/>
        <w:jc w:val="both"/>
        <w:rPr>
          <w:rFonts w:ascii="Times New Roman" w:hAnsi="Times New Roman"/>
        </w:rPr>
      </w:pPr>
    </w:p>
    <w:p w:rsidR="00933B99" w:rsidP="00C557AC" w:rsidRDefault="00933B99" w14:paraId="39E93905" w14:textId="5E449660">
      <w:pPr>
        <w:pStyle w:val="Paragraph"/>
        <w:numPr>
          <w:ilvl w:val="0"/>
          <w:numId w:val="0"/>
        </w:numPr>
        <w:spacing w:before="0" w:after="0"/>
        <w:ind w:left="360"/>
        <w:jc w:val="both"/>
        <w:rPr>
          <w:rFonts w:ascii="Times New Roman" w:hAnsi="Times New Roman"/>
        </w:rPr>
      </w:pPr>
      <w:r>
        <w:rPr>
          <w:rFonts w:ascii="Times New Roman" w:hAnsi="Times New Roman"/>
        </w:rPr>
        <w:t xml:space="preserve">We hope we have adequately explained </w:t>
      </w:r>
      <w:r w:rsidR="00B53400">
        <w:rPr>
          <w:rFonts w:ascii="Times New Roman" w:hAnsi="Times New Roman"/>
        </w:rPr>
        <w:t>why</w:t>
      </w:r>
      <w:r>
        <w:rPr>
          <w:rFonts w:ascii="Times New Roman" w:hAnsi="Times New Roman"/>
        </w:rPr>
        <w:t xml:space="preserve"> the lack of transparency in relation to NHS England’s infusion costs </w:t>
      </w:r>
      <w:r w:rsidR="00B53400">
        <w:rPr>
          <w:rFonts w:ascii="Times New Roman" w:hAnsi="Times New Roman"/>
        </w:rPr>
        <w:t xml:space="preserve">is procedurally unfair.  </w:t>
      </w:r>
      <w:proofErr w:type="gramStart"/>
      <w:r w:rsidR="00B53400">
        <w:rPr>
          <w:rFonts w:ascii="Times New Roman" w:hAnsi="Times New Roman"/>
        </w:rPr>
        <w:t>However</w:t>
      </w:r>
      <w:proofErr w:type="gramEnd"/>
      <w:r w:rsidR="00B53400">
        <w:rPr>
          <w:rFonts w:ascii="Times New Roman" w:hAnsi="Times New Roman"/>
        </w:rPr>
        <w:t xml:space="preserve"> if </w:t>
      </w:r>
      <w:r w:rsidR="00F17A7C">
        <w:rPr>
          <w:rFonts w:ascii="Times New Roman" w:hAnsi="Times New Roman"/>
        </w:rPr>
        <w:t xml:space="preserve">you have any </w:t>
      </w:r>
      <w:r w:rsidR="0058546D">
        <w:rPr>
          <w:rFonts w:ascii="Times New Roman" w:hAnsi="Times New Roman"/>
        </w:rPr>
        <w:t xml:space="preserve">additional </w:t>
      </w:r>
      <w:r w:rsidR="00F17A7C">
        <w:rPr>
          <w:rFonts w:ascii="Times New Roman" w:hAnsi="Times New Roman"/>
        </w:rPr>
        <w:t xml:space="preserve">questions in relation to Lilly’s case in this respect, we will be pleased to </w:t>
      </w:r>
      <w:r w:rsidR="0058546D">
        <w:rPr>
          <w:rFonts w:ascii="Times New Roman" w:hAnsi="Times New Roman"/>
        </w:rPr>
        <w:t>provide further clarification.</w:t>
      </w:r>
    </w:p>
    <w:p w:rsidR="00290FAC" w:rsidP="00C557AC" w:rsidRDefault="00290FAC" w14:paraId="66B817CF" w14:textId="77777777">
      <w:pPr>
        <w:pStyle w:val="Paragraph"/>
        <w:numPr>
          <w:ilvl w:val="0"/>
          <w:numId w:val="0"/>
        </w:numPr>
        <w:spacing w:before="0" w:after="0"/>
        <w:ind w:left="792"/>
        <w:jc w:val="both"/>
        <w:rPr>
          <w:rFonts w:ascii="Times New Roman" w:hAnsi="Times New Roman"/>
        </w:rPr>
      </w:pPr>
    </w:p>
    <w:p w:rsidRPr="00EA198C" w:rsidR="00290FAC" w:rsidP="00C557AC" w:rsidRDefault="005B3BED" w14:paraId="0D146E0D" w14:textId="49F46C93">
      <w:pPr>
        <w:pStyle w:val="Paragraph"/>
        <w:numPr>
          <w:ilvl w:val="0"/>
          <w:numId w:val="30"/>
        </w:numPr>
        <w:spacing w:before="0" w:after="0"/>
        <w:jc w:val="both"/>
        <w:rPr>
          <w:rFonts w:ascii="Times New Roman" w:hAnsi="Times New Roman"/>
        </w:rPr>
      </w:pPr>
      <w:r w:rsidRPr="00855996">
        <w:rPr>
          <w:rFonts w:ascii="Times New Roman" w:hAnsi="Times New Roman"/>
          <w:u w:val="single"/>
        </w:rPr>
        <w:t>T</w:t>
      </w:r>
      <w:r w:rsidRPr="00855996" w:rsidR="00290FAC">
        <w:rPr>
          <w:rFonts w:ascii="Times New Roman" w:hAnsi="Times New Roman"/>
          <w:u w:val="single"/>
        </w:rPr>
        <w:t xml:space="preserve">here was inadequate time for consultation following disclosure of NHS England’s </w:t>
      </w:r>
      <w:r w:rsidR="00A636B6">
        <w:rPr>
          <w:rFonts w:ascii="Times New Roman" w:hAnsi="Times New Roman"/>
          <w:u w:val="single"/>
        </w:rPr>
        <w:t>“</w:t>
      </w:r>
      <w:r w:rsidR="00EA1B62">
        <w:rPr>
          <w:rFonts w:ascii="Times New Roman" w:hAnsi="Times New Roman"/>
          <w:u w:val="single"/>
        </w:rPr>
        <w:t>I</w:t>
      </w:r>
      <w:r w:rsidRPr="00855996" w:rsidR="00290FAC">
        <w:rPr>
          <w:rFonts w:ascii="Times New Roman" w:hAnsi="Times New Roman"/>
          <w:u w:val="single"/>
        </w:rPr>
        <w:t xml:space="preserve">nfusion </w:t>
      </w:r>
      <w:r w:rsidR="00EA1B62">
        <w:rPr>
          <w:rFonts w:ascii="Times New Roman" w:hAnsi="Times New Roman"/>
          <w:u w:val="single"/>
        </w:rPr>
        <w:t>C</w:t>
      </w:r>
      <w:r w:rsidRPr="00855996" w:rsidR="00290FAC">
        <w:rPr>
          <w:rFonts w:ascii="Times New Roman" w:hAnsi="Times New Roman"/>
          <w:u w:val="single"/>
        </w:rPr>
        <w:t xml:space="preserve">osts </w:t>
      </w:r>
      <w:r w:rsidR="00EA1B62">
        <w:rPr>
          <w:rFonts w:ascii="Times New Roman" w:hAnsi="Times New Roman"/>
          <w:u w:val="single"/>
        </w:rPr>
        <w:t>E</w:t>
      </w:r>
      <w:r w:rsidRPr="00855996" w:rsidR="00290FAC">
        <w:rPr>
          <w:rFonts w:ascii="Times New Roman" w:hAnsi="Times New Roman"/>
          <w:u w:val="single"/>
        </w:rPr>
        <w:t>stimates</w:t>
      </w:r>
      <w:r w:rsidR="00A636B6">
        <w:rPr>
          <w:rFonts w:ascii="Times New Roman" w:hAnsi="Times New Roman"/>
          <w:u w:val="single"/>
        </w:rPr>
        <w:t>” document</w:t>
      </w:r>
      <w:r w:rsidRPr="00855996" w:rsidR="00290FAC">
        <w:rPr>
          <w:rFonts w:ascii="Times New Roman" w:hAnsi="Times New Roman"/>
          <w:u w:val="single"/>
        </w:rPr>
        <w:t>.</w:t>
      </w:r>
      <w:r w:rsidR="00290FAC">
        <w:rPr>
          <w:rFonts w:ascii="Times New Roman" w:hAnsi="Times New Roman"/>
        </w:rPr>
        <w:t xml:space="preserve">  </w:t>
      </w:r>
    </w:p>
    <w:p w:rsidRPr="004F3FB1" w:rsidR="00290FAC" w:rsidP="00C557AC" w:rsidRDefault="00290FAC" w14:paraId="385AC3C0" w14:textId="77777777">
      <w:pPr>
        <w:pStyle w:val="Paragraph"/>
        <w:numPr>
          <w:ilvl w:val="0"/>
          <w:numId w:val="0"/>
        </w:numPr>
        <w:spacing w:before="0" w:after="0"/>
        <w:ind w:left="792"/>
        <w:jc w:val="both"/>
        <w:rPr>
          <w:rFonts w:ascii="Times New Roman" w:hAnsi="Times New Roman"/>
        </w:rPr>
      </w:pPr>
    </w:p>
    <w:p w:rsidR="00A80802" w:rsidP="00C557AC" w:rsidRDefault="00EA1B62" w14:paraId="44290906" w14:textId="5D9FE56F">
      <w:pPr>
        <w:pStyle w:val="Paragraph"/>
        <w:numPr>
          <w:ilvl w:val="0"/>
          <w:numId w:val="0"/>
        </w:numPr>
        <w:spacing w:before="0" w:after="0"/>
        <w:ind w:left="360"/>
        <w:jc w:val="both"/>
        <w:rPr>
          <w:rFonts w:ascii="Times New Roman" w:hAnsi="Times New Roman"/>
        </w:rPr>
      </w:pPr>
      <w:r>
        <w:rPr>
          <w:rFonts w:ascii="Times New Roman" w:hAnsi="Times New Roman"/>
        </w:rPr>
        <w:t>“</w:t>
      </w:r>
      <w:r w:rsidR="00FC34AB">
        <w:rPr>
          <w:rFonts w:ascii="Times New Roman" w:hAnsi="Times New Roman"/>
        </w:rPr>
        <w:t>In response to this appeal point</w:t>
      </w:r>
      <w:r w:rsidR="00945DC2">
        <w:rPr>
          <w:rFonts w:ascii="Times New Roman" w:hAnsi="Times New Roman"/>
        </w:rPr>
        <w:t>,</w:t>
      </w:r>
      <w:r w:rsidR="00FC34AB">
        <w:rPr>
          <w:rFonts w:ascii="Times New Roman" w:hAnsi="Times New Roman"/>
        </w:rPr>
        <w:t xml:space="preserve"> you </w:t>
      </w:r>
      <w:r w:rsidR="00945DC2">
        <w:rPr>
          <w:rFonts w:ascii="Times New Roman" w:hAnsi="Times New Roman"/>
        </w:rPr>
        <w:t>agree that</w:t>
      </w:r>
      <w:r w:rsidR="00FC34AB">
        <w:rPr>
          <w:rFonts w:ascii="Times New Roman" w:hAnsi="Times New Roman"/>
        </w:rPr>
        <w:t xml:space="preserve"> </w:t>
      </w:r>
      <w:r w:rsidR="00913F70">
        <w:rPr>
          <w:rFonts w:ascii="Times New Roman" w:hAnsi="Times New Roman"/>
        </w:rPr>
        <w:t xml:space="preserve">the </w:t>
      </w:r>
      <w:proofErr w:type="gramStart"/>
      <w:r w:rsidR="00913F70">
        <w:rPr>
          <w:rFonts w:ascii="Times New Roman" w:hAnsi="Times New Roman"/>
        </w:rPr>
        <w:t>four day</w:t>
      </w:r>
      <w:proofErr w:type="gramEnd"/>
      <w:r w:rsidR="00913F70">
        <w:rPr>
          <w:rFonts w:ascii="Times New Roman" w:hAnsi="Times New Roman"/>
        </w:rPr>
        <w:t xml:space="preserve"> period </w:t>
      </w:r>
      <w:r w:rsidR="001A2655">
        <w:rPr>
          <w:rFonts w:ascii="Times New Roman" w:hAnsi="Times New Roman"/>
        </w:rPr>
        <w:t xml:space="preserve">between </w:t>
      </w:r>
      <w:r w:rsidR="00A636B6">
        <w:rPr>
          <w:rFonts w:ascii="Times New Roman" w:hAnsi="Times New Roman"/>
        </w:rPr>
        <w:t xml:space="preserve">disclosure of the </w:t>
      </w:r>
      <w:r>
        <w:rPr>
          <w:rFonts w:ascii="Times New Roman" w:hAnsi="Times New Roman"/>
        </w:rPr>
        <w:t xml:space="preserve">“Infusion Costs Estimate” document and the </w:t>
      </w:r>
      <w:r w:rsidR="00945DC2">
        <w:rPr>
          <w:rFonts w:ascii="Times New Roman" w:hAnsi="Times New Roman"/>
        </w:rPr>
        <w:t>third meeting of the Appraisal Committee (ACM3)</w:t>
      </w:r>
      <w:r w:rsidR="00923D0D">
        <w:rPr>
          <w:rFonts w:ascii="Times New Roman" w:hAnsi="Times New Roman"/>
        </w:rPr>
        <w:t xml:space="preserve"> </w:t>
      </w:r>
      <w:r w:rsidR="00DC2CE6">
        <w:rPr>
          <w:rFonts w:ascii="Times New Roman" w:hAnsi="Times New Roman"/>
        </w:rPr>
        <w:t xml:space="preserve">is “tight” </w:t>
      </w:r>
      <w:r w:rsidR="00923D0D">
        <w:rPr>
          <w:rFonts w:ascii="Times New Roman" w:hAnsi="Times New Roman"/>
        </w:rPr>
        <w:t>and that the infusion costs issue is an important one</w:t>
      </w:r>
      <w:r w:rsidR="00C26E07">
        <w:rPr>
          <w:rFonts w:ascii="Times New Roman" w:hAnsi="Times New Roman"/>
        </w:rPr>
        <w:t>.  However</w:t>
      </w:r>
      <w:r w:rsidR="00804D69">
        <w:rPr>
          <w:rFonts w:ascii="Times New Roman" w:hAnsi="Times New Roman"/>
        </w:rPr>
        <w:t>, you say that</w:t>
      </w:r>
      <w:r w:rsidR="001D3CF7">
        <w:rPr>
          <w:rFonts w:ascii="Times New Roman" w:hAnsi="Times New Roman"/>
        </w:rPr>
        <w:t xml:space="preserve">, in view of the </w:t>
      </w:r>
      <w:r w:rsidR="00964C18">
        <w:rPr>
          <w:rFonts w:ascii="Times New Roman" w:hAnsi="Times New Roman"/>
        </w:rPr>
        <w:t>“</w:t>
      </w:r>
      <w:r w:rsidRPr="0026639C" w:rsidR="001D3CF7">
        <w:rPr>
          <w:rFonts w:ascii="Times New Roman" w:hAnsi="Times New Roman"/>
          <w:i/>
          <w:iCs/>
        </w:rPr>
        <w:t xml:space="preserve">balance that a committee </w:t>
      </w:r>
      <w:r w:rsidRPr="0026639C" w:rsidR="00D237BA">
        <w:rPr>
          <w:rFonts w:ascii="Times New Roman" w:hAnsi="Times New Roman"/>
          <w:i/>
          <w:iCs/>
        </w:rPr>
        <w:t xml:space="preserve">needs to maintain </w:t>
      </w:r>
      <w:r w:rsidRPr="0026639C" w:rsidR="00964C18">
        <w:rPr>
          <w:rFonts w:ascii="Times New Roman" w:hAnsi="Times New Roman"/>
          <w:i/>
          <w:iCs/>
        </w:rPr>
        <w:t xml:space="preserve">to ensure that stakeholders have a </w:t>
      </w:r>
      <w:r w:rsidRPr="0026639C" w:rsidR="00A15EAE">
        <w:rPr>
          <w:rFonts w:ascii="Times New Roman" w:hAnsi="Times New Roman"/>
          <w:i/>
          <w:iCs/>
        </w:rPr>
        <w:t>fair opp</w:t>
      </w:r>
      <w:r w:rsidRPr="0026639C" w:rsidR="00510BA2">
        <w:rPr>
          <w:rFonts w:ascii="Times New Roman" w:hAnsi="Times New Roman"/>
          <w:i/>
          <w:iCs/>
        </w:rPr>
        <w:t xml:space="preserve">ortunity </w:t>
      </w:r>
      <w:r w:rsidRPr="0026639C" w:rsidR="00F87480">
        <w:rPr>
          <w:rFonts w:ascii="Times New Roman" w:hAnsi="Times New Roman"/>
          <w:i/>
          <w:iCs/>
        </w:rPr>
        <w:t xml:space="preserve">to participate whilst also ensuring </w:t>
      </w:r>
      <w:r w:rsidRPr="0026639C" w:rsidR="00CA4750">
        <w:rPr>
          <w:rFonts w:ascii="Times New Roman" w:hAnsi="Times New Roman"/>
          <w:i/>
          <w:iCs/>
        </w:rPr>
        <w:t xml:space="preserve">the evaluation proceeds </w:t>
      </w:r>
      <w:r w:rsidRPr="0026639C" w:rsidR="00CA4750">
        <w:rPr>
          <w:rFonts w:ascii="Times New Roman" w:hAnsi="Times New Roman"/>
          <w:i/>
          <w:iCs/>
        </w:rPr>
        <w:lastRenderedPageBreak/>
        <w:t>expeditiously</w:t>
      </w:r>
      <w:r w:rsidRPr="0026639C" w:rsidR="00602001">
        <w:rPr>
          <w:rFonts w:ascii="Times New Roman" w:hAnsi="Times New Roman"/>
          <w:i/>
          <w:iCs/>
        </w:rPr>
        <w:t>”</w:t>
      </w:r>
      <w:r w:rsidR="0028509D">
        <w:rPr>
          <w:rFonts w:ascii="Times New Roman" w:hAnsi="Times New Roman"/>
        </w:rPr>
        <w:t>,</w:t>
      </w:r>
      <w:r w:rsidR="00647ACD">
        <w:rPr>
          <w:rFonts w:ascii="Times New Roman" w:hAnsi="Times New Roman"/>
        </w:rPr>
        <w:t xml:space="preserve"> </w:t>
      </w:r>
      <w:r w:rsidR="00DC7495">
        <w:rPr>
          <w:rFonts w:ascii="Times New Roman" w:hAnsi="Times New Roman"/>
        </w:rPr>
        <w:t>“</w:t>
      </w:r>
      <w:r w:rsidRPr="0026639C" w:rsidR="00647ACD">
        <w:rPr>
          <w:rFonts w:ascii="Times New Roman" w:hAnsi="Times New Roman"/>
          <w:i/>
          <w:iCs/>
        </w:rPr>
        <w:t xml:space="preserve">both the Committee and the </w:t>
      </w:r>
      <w:r w:rsidRPr="0026639C" w:rsidR="00DC7495">
        <w:rPr>
          <w:rFonts w:ascii="Times New Roman" w:hAnsi="Times New Roman"/>
          <w:i/>
          <w:iCs/>
        </w:rPr>
        <w:t>C</w:t>
      </w:r>
      <w:r w:rsidRPr="0026639C" w:rsidR="00647ACD">
        <w:rPr>
          <w:rFonts w:ascii="Times New Roman" w:hAnsi="Times New Roman"/>
          <w:i/>
          <w:iCs/>
        </w:rPr>
        <w:t xml:space="preserve">ompany </w:t>
      </w:r>
      <w:r w:rsidRPr="0026639C" w:rsidR="0028509D">
        <w:rPr>
          <w:rFonts w:ascii="Times New Roman" w:hAnsi="Times New Roman"/>
          <w:i/>
          <w:iCs/>
        </w:rPr>
        <w:t xml:space="preserve">have to be </w:t>
      </w:r>
      <w:r w:rsidRPr="0026639C" w:rsidR="00DC7495">
        <w:rPr>
          <w:rFonts w:ascii="Times New Roman" w:hAnsi="Times New Roman"/>
          <w:i/>
          <w:iCs/>
        </w:rPr>
        <w:t>prepared to respond very promptly to developing evidence</w:t>
      </w:r>
      <w:r w:rsidRPr="0026639C" w:rsidR="0028509D">
        <w:rPr>
          <w:rFonts w:ascii="Times New Roman" w:hAnsi="Times New Roman"/>
          <w:i/>
          <w:iCs/>
        </w:rPr>
        <w:t xml:space="preserve"> in this case</w:t>
      </w:r>
      <w:r w:rsidR="0028509D">
        <w:rPr>
          <w:rFonts w:ascii="Times New Roman" w:hAnsi="Times New Roman"/>
        </w:rPr>
        <w:t>”</w:t>
      </w:r>
      <w:r w:rsidR="00DC7495">
        <w:rPr>
          <w:rFonts w:ascii="Times New Roman" w:hAnsi="Times New Roman"/>
        </w:rPr>
        <w:t>.</w:t>
      </w:r>
      <w:r w:rsidR="00804D69">
        <w:rPr>
          <w:rFonts w:ascii="Times New Roman" w:hAnsi="Times New Roman"/>
        </w:rPr>
        <w:t xml:space="preserve"> </w:t>
      </w:r>
      <w:r w:rsidR="00C26E07">
        <w:rPr>
          <w:rFonts w:ascii="Times New Roman" w:hAnsi="Times New Roman"/>
        </w:rPr>
        <w:t xml:space="preserve"> </w:t>
      </w:r>
      <w:r w:rsidR="001C620E">
        <w:rPr>
          <w:rFonts w:ascii="Times New Roman" w:hAnsi="Times New Roman"/>
        </w:rPr>
        <w:t>In these circumstances, y</w:t>
      </w:r>
      <w:r w:rsidR="00A1068D">
        <w:rPr>
          <w:rFonts w:ascii="Times New Roman" w:hAnsi="Times New Roman"/>
        </w:rPr>
        <w:t>ou say that you are not currently convinced</w:t>
      </w:r>
      <w:r w:rsidR="00DC2CE6">
        <w:rPr>
          <w:rFonts w:ascii="Times New Roman" w:hAnsi="Times New Roman"/>
        </w:rPr>
        <w:t xml:space="preserve"> that </w:t>
      </w:r>
      <w:r w:rsidR="006A1937">
        <w:rPr>
          <w:rFonts w:ascii="Times New Roman" w:hAnsi="Times New Roman"/>
        </w:rPr>
        <w:t xml:space="preserve">Lilly suffered any </w:t>
      </w:r>
      <w:proofErr w:type="gramStart"/>
      <w:r w:rsidR="006A1937">
        <w:rPr>
          <w:rFonts w:ascii="Times New Roman" w:hAnsi="Times New Roman"/>
        </w:rPr>
        <w:t>particular disadvantage</w:t>
      </w:r>
      <w:proofErr w:type="gramEnd"/>
      <w:r w:rsidR="006A1937">
        <w:rPr>
          <w:rFonts w:ascii="Times New Roman" w:hAnsi="Times New Roman"/>
        </w:rPr>
        <w:t>.</w:t>
      </w:r>
      <w:r w:rsidR="00D2797A">
        <w:rPr>
          <w:rFonts w:ascii="Times New Roman" w:hAnsi="Times New Roman"/>
        </w:rPr>
        <w:t xml:space="preserve">  You invite Lilly to provide further details of the disadvantage experienced and </w:t>
      </w:r>
      <w:r w:rsidR="00E0777D">
        <w:rPr>
          <w:rFonts w:ascii="Times New Roman" w:hAnsi="Times New Roman"/>
        </w:rPr>
        <w:t xml:space="preserve">of additional information that the Company </w:t>
      </w:r>
      <w:r w:rsidR="0026639C">
        <w:rPr>
          <w:rFonts w:ascii="Times New Roman" w:hAnsi="Times New Roman"/>
        </w:rPr>
        <w:t>would have submitted had there been time.</w:t>
      </w:r>
    </w:p>
    <w:p w:rsidR="0026639C" w:rsidP="00C557AC" w:rsidRDefault="0026639C" w14:paraId="43C93C82" w14:textId="77777777">
      <w:pPr>
        <w:pStyle w:val="Paragraph"/>
        <w:numPr>
          <w:ilvl w:val="0"/>
          <w:numId w:val="0"/>
        </w:numPr>
        <w:spacing w:before="0" w:after="0"/>
        <w:ind w:left="360"/>
        <w:jc w:val="both"/>
        <w:rPr>
          <w:rFonts w:ascii="Times New Roman" w:hAnsi="Times New Roman"/>
        </w:rPr>
      </w:pPr>
    </w:p>
    <w:p w:rsidR="0026639C" w:rsidP="00C557AC" w:rsidRDefault="00F96C77" w14:paraId="52678773" w14:textId="2F905EE7">
      <w:pPr>
        <w:pStyle w:val="Paragraph"/>
        <w:numPr>
          <w:ilvl w:val="0"/>
          <w:numId w:val="0"/>
        </w:numPr>
        <w:spacing w:before="0" w:after="0"/>
        <w:ind w:left="360"/>
        <w:jc w:val="both"/>
        <w:rPr>
          <w:rFonts w:ascii="Times New Roman" w:hAnsi="Times New Roman"/>
        </w:rPr>
      </w:pPr>
      <w:r>
        <w:rPr>
          <w:rFonts w:ascii="Times New Roman" w:hAnsi="Times New Roman"/>
        </w:rPr>
        <w:t>NICE’s</w:t>
      </w:r>
      <w:r w:rsidR="00265ED1">
        <w:rPr>
          <w:rFonts w:ascii="Times New Roman" w:hAnsi="Times New Roman"/>
        </w:rPr>
        <w:t xml:space="preserve"> procedures include consultation on proposed decisions </w:t>
      </w:r>
      <w:r w:rsidR="00DF3868">
        <w:rPr>
          <w:rFonts w:ascii="Times New Roman" w:hAnsi="Times New Roman"/>
        </w:rPr>
        <w:t xml:space="preserve">in the context of the available evidence.  Where the evidence base on a </w:t>
      </w:r>
      <w:proofErr w:type="gramStart"/>
      <w:r w:rsidR="00DF3868">
        <w:rPr>
          <w:rFonts w:ascii="Times New Roman" w:hAnsi="Times New Roman"/>
        </w:rPr>
        <w:t>key issue changes</w:t>
      </w:r>
      <w:proofErr w:type="gramEnd"/>
      <w:r w:rsidR="00DF3868">
        <w:rPr>
          <w:rFonts w:ascii="Times New Roman" w:hAnsi="Times New Roman"/>
        </w:rPr>
        <w:t xml:space="preserve"> </w:t>
      </w:r>
      <w:proofErr w:type="gramStart"/>
      <w:r w:rsidR="002C54B8">
        <w:rPr>
          <w:rFonts w:ascii="Times New Roman" w:hAnsi="Times New Roman"/>
        </w:rPr>
        <w:t>as a result of</w:t>
      </w:r>
      <w:proofErr w:type="gramEnd"/>
      <w:r w:rsidR="002C54B8">
        <w:rPr>
          <w:rFonts w:ascii="Times New Roman" w:hAnsi="Times New Roman"/>
        </w:rPr>
        <w:t xml:space="preserve"> submission of </w:t>
      </w:r>
      <w:r w:rsidR="004C6714">
        <w:rPr>
          <w:rFonts w:ascii="Times New Roman" w:hAnsi="Times New Roman"/>
        </w:rPr>
        <w:t xml:space="preserve">significant </w:t>
      </w:r>
      <w:r w:rsidR="002C54B8">
        <w:rPr>
          <w:rFonts w:ascii="Times New Roman" w:hAnsi="Times New Roman"/>
        </w:rPr>
        <w:t>new material there is accordingly an obligation to consult on the implications of that new evidence.</w:t>
      </w:r>
      <w:r w:rsidR="005372D3">
        <w:rPr>
          <w:rFonts w:ascii="Times New Roman" w:hAnsi="Times New Roman"/>
        </w:rPr>
        <w:t xml:space="preserve">  </w:t>
      </w:r>
      <w:r w:rsidR="00DF3868">
        <w:rPr>
          <w:rFonts w:ascii="Times New Roman" w:hAnsi="Times New Roman"/>
        </w:rPr>
        <w:t xml:space="preserve"> </w:t>
      </w:r>
    </w:p>
    <w:p w:rsidR="00913F70" w:rsidP="00C557AC" w:rsidRDefault="00913F70" w14:paraId="6B746375" w14:textId="77777777">
      <w:pPr>
        <w:pStyle w:val="Paragraph"/>
        <w:numPr>
          <w:ilvl w:val="0"/>
          <w:numId w:val="0"/>
        </w:numPr>
        <w:spacing w:before="0" w:after="0"/>
        <w:ind w:left="1211" w:hanging="851"/>
        <w:jc w:val="both"/>
        <w:rPr>
          <w:rFonts w:ascii="Times New Roman" w:hAnsi="Times New Roman"/>
        </w:rPr>
      </w:pPr>
    </w:p>
    <w:p w:rsidR="008C67A8" w:rsidP="00C557AC" w:rsidRDefault="004B3685" w14:paraId="76708418" w14:textId="401F9507">
      <w:pPr>
        <w:pStyle w:val="Paragraph"/>
        <w:numPr>
          <w:ilvl w:val="0"/>
          <w:numId w:val="0"/>
        </w:numPr>
        <w:spacing w:before="0" w:after="0"/>
        <w:ind w:left="360"/>
        <w:jc w:val="both"/>
        <w:rPr>
          <w:rFonts w:ascii="Times New Roman" w:hAnsi="Times New Roman"/>
        </w:rPr>
      </w:pPr>
      <w:r>
        <w:rPr>
          <w:rFonts w:ascii="Times New Roman" w:hAnsi="Times New Roman"/>
        </w:rPr>
        <w:t xml:space="preserve">In the current appraisal, it is common ground that the infusion costs </w:t>
      </w:r>
      <w:r w:rsidR="0083509A">
        <w:rPr>
          <w:rFonts w:ascii="Times New Roman" w:hAnsi="Times New Roman"/>
        </w:rPr>
        <w:t xml:space="preserve">incorporated in the economic modelling are </w:t>
      </w:r>
      <w:r w:rsidR="00CD3BA5">
        <w:rPr>
          <w:rFonts w:ascii="Times New Roman" w:hAnsi="Times New Roman"/>
        </w:rPr>
        <w:t xml:space="preserve">central to whether donanemab </w:t>
      </w:r>
      <w:proofErr w:type="gramStart"/>
      <w:r w:rsidR="00CD3BA5">
        <w:rPr>
          <w:rFonts w:ascii="Times New Roman" w:hAnsi="Times New Roman"/>
        </w:rPr>
        <w:t>is considered to be</w:t>
      </w:r>
      <w:proofErr w:type="gramEnd"/>
      <w:r w:rsidR="00CD3BA5">
        <w:rPr>
          <w:rFonts w:ascii="Times New Roman" w:hAnsi="Times New Roman"/>
        </w:rPr>
        <w:t xml:space="preserve"> cost-effective (e.g. paragraph 3.20 of the FDG).</w:t>
      </w:r>
      <w:r w:rsidR="00791A51">
        <w:rPr>
          <w:rFonts w:ascii="Times New Roman" w:hAnsi="Times New Roman"/>
        </w:rPr>
        <w:t xml:space="preserve">  </w:t>
      </w:r>
      <w:r w:rsidR="007E545B">
        <w:rPr>
          <w:rFonts w:ascii="Times New Roman" w:hAnsi="Times New Roman"/>
        </w:rPr>
        <w:t xml:space="preserve">Stakeholders </w:t>
      </w:r>
      <w:r w:rsidR="004B4B68">
        <w:rPr>
          <w:rFonts w:ascii="Times New Roman" w:hAnsi="Times New Roman"/>
        </w:rPr>
        <w:t xml:space="preserve">(including the </w:t>
      </w:r>
      <w:proofErr w:type="gramStart"/>
      <w:r w:rsidR="004B4B68">
        <w:rPr>
          <w:rFonts w:ascii="Times New Roman" w:hAnsi="Times New Roman"/>
        </w:rPr>
        <w:t xml:space="preserve">EAG </w:t>
      </w:r>
      <w:r w:rsidR="008C2DCD">
        <w:rPr>
          <w:rFonts w:ascii="Times New Roman" w:hAnsi="Times New Roman"/>
        </w:rPr>
        <w:t xml:space="preserve"> (see  e.g.</w:t>
      </w:r>
      <w:proofErr w:type="gramEnd"/>
      <w:r w:rsidR="008C2DCD">
        <w:rPr>
          <w:rFonts w:ascii="Times New Roman" w:hAnsi="Times New Roman"/>
        </w:rPr>
        <w:t xml:space="preserve"> Initial EAG report section 6.3.1) </w:t>
      </w:r>
      <w:r w:rsidR="004B4B68">
        <w:rPr>
          <w:rFonts w:ascii="Times New Roman" w:hAnsi="Times New Roman"/>
        </w:rPr>
        <w:t xml:space="preserve">and Lilly) have </w:t>
      </w:r>
      <w:r w:rsidR="007E545B">
        <w:rPr>
          <w:rFonts w:ascii="Times New Roman" w:hAnsi="Times New Roman"/>
        </w:rPr>
        <w:t xml:space="preserve">repeatedly </w:t>
      </w:r>
      <w:r w:rsidR="004B4B68">
        <w:rPr>
          <w:rFonts w:ascii="Times New Roman" w:hAnsi="Times New Roman"/>
        </w:rPr>
        <w:t xml:space="preserve">noted the lack of transparency associated with </w:t>
      </w:r>
      <w:r w:rsidR="006F47D2">
        <w:rPr>
          <w:rFonts w:ascii="Times New Roman" w:hAnsi="Times New Roman"/>
        </w:rPr>
        <w:t>the estimated infusion costs proposed by NHS England</w:t>
      </w:r>
      <w:r w:rsidR="00DD2831">
        <w:rPr>
          <w:rFonts w:ascii="Times New Roman" w:hAnsi="Times New Roman"/>
        </w:rPr>
        <w:t xml:space="preserve"> and have requested clarification of </w:t>
      </w:r>
      <w:r w:rsidR="00567919">
        <w:rPr>
          <w:rFonts w:ascii="Times New Roman" w:hAnsi="Times New Roman"/>
        </w:rPr>
        <w:t xml:space="preserve">such costs.  In these circumstances, it is unclear </w:t>
      </w:r>
      <w:r w:rsidR="008D56E7">
        <w:rPr>
          <w:rFonts w:ascii="Times New Roman" w:hAnsi="Times New Roman"/>
        </w:rPr>
        <w:t xml:space="preserve">why NHS </w:t>
      </w:r>
      <w:r w:rsidR="00D85726">
        <w:rPr>
          <w:rFonts w:ascii="Times New Roman" w:hAnsi="Times New Roman"/>
        </w:rPr>
        <w:t xml:space="preserve">England provided the “Infusion Costs Estimates” document </w:t>
      </w:r>
      <w:r w:rsidR="008667FB">
        <w:rPr>
          <w:rFonts w:ascii="Times New Roman" w:hAnsi="Times New Roman"/>
        </w:rPr>
        <w:t xml:space="preserve">to NICE only </w:t>
      </w:r>
      <w:r w:rsidR="00A47CF9">
        <w:rPr>
          <w:rFonts w:ascii="Times New Roman" w:hAnsi="Times New Roman"/>
        </w:rPr>
        <w:t xml:space="preserve">on 8 May 2025, </w:t>
      </w:r>
      <w:r w:rsidR="008667FB">
        <w:rPr>
          <w:rFonts w:ascii="Times New Roman" w:hAnsi="Times New Roman"/>
        </w:rPr>
        <w:t>immediately before ACM3</w:t>
      </w:r>
      <w:r w:rsidR="005D488C">
        <w:rPr>
          <w:rFonts w:ascii="Times New Roman" w:hAnsi="Times New Roman"/>
        </w:rPr>
        <w:t>,</w:t>
      </w:r>
      <w:r w:rsidR="00A51E7B">
        <w:rPr>
          <w:rFonts w:ascii="Times New Roman" w:hAnsi="Times New Roman"/>
        </w:rPr>
        <w:t xml:space="preserve"> </w:t>
      </w:r>
      <w:r w:rsidR="00C3671C">
        <w:rPr>
          <w:rFonts w:ascii="Times New Roman" w:hAnsi="Times New Roman"/>
        </w:rPr>
        <w:t xml:space="preserve">when </w:t>
      </w:r>
      <w:r w:rsidR="00A51E7B">
        <w:rPr>
          <w:rFonts w:ascii="Times New Roman" w:hAnsi="Times New Roman"/>
        </w:rPr>
        <w:t xml:space="preserve">it seems to include information that has been available to </w:t>
      </w:r>
      <w:r w:rsidR="005D488C">
        <w:rPr>
          <w:rFonts w:ascii="Times New Roman" w:hAnsi="Times New Roman"/>
        </w:rPr>
        <w:t xml:space="preserve">NHS England from the beginning of the appraisal.  </w:t>
      </w:r>
      <w:r w:rsidR="00C3671C">
        <w:rPr>
          <w:rFonts w:ascii="Times New Roman" w:hAnsi="Times New Roman"/>
        </w:rPr>
        <w:t xml:space="preserve">NHS England </w:t>
      </w:r>
      <w:r w:rsidR="007C6963">
        <w:rPr>
          <w:rFonts w:ascii="Times New Roman" w:hAnsi="Times New Roman"/>
        </w:rPr>
        <w:t>i</w:t>
      </w:r>
      <w:r w:rsidR="00C3671C">
        <w:rPr>
          <w:rFonts w:ascii="Times New Roman" w:hAnsi="Times New Roman"/>
        </w:rPr>
        <w:t>s a consultee in the appraisal and subject to the same timelines as other</w:t>
      </w:r>
      <w:r w:rsidR="007C6963">
        <w:rPr>
          <w:rFonts w:ascii="Times New Roman" w:hAnsi="Times New Roman"/>
        </w:rPr>
        <w:t xml:space="preserve"> consultees</w:t>
      </w:r>
      <w:r w:rsidR="00E97779">
        <w:rPr>
          <w:rFonts w:ascii="Times New Roman" w:hAnsi="Times New Roman"/>
        </w:rPr>
        <w:t xml:space="preserve">; the “Infusion Costs Estimates” document should therefore have been submitted to NICE no later than </w:t>
      </w:r>
      <w:r w:rsidR="00A47CF9">
        <w:rPr>
          <w:rFonts w:ascii="Times New Roman" w:hAnsi="Times New Roman"/>
        </w:rPr>
        <w:t>27 March 2025 in response to consultation on the second Draft Guidance</w:t>
      </w:r>
      <w:r w:rsidR="006C360D">
        <w:rPr>
          <w:rFonts w:ascii="Times New Roman" w:hAnsi="Times New Roman"/>
        </w:rPr>
        <w:t xml:space="preserve">.  This would have allowed NICE to disclose the “Infusion Costs Estimates” document to other consultees </w:t>
      </w:r>
      <w:r w:rsidR="008C67A8">
        <w:rPr>
          <w:rFonts w:ascii="Times New Roman" w:hAnsi="Times New Roman"/>
        </w:rPr>
        <w:t>for consultation purposes without changing the date of ACM3.</w:t>
      </w:r>
      <w:r w:rsidR="004A24BA">
        <w:rPr>
          <w:rFonts w:ascii="Times New Roman" w:hAnsi="Times New Roman"/>
        </w:rPr>
        <w:t xml:space="preserve">  </w:t>
      </w:r>
      <w:r w:rsidR="006A2297">
        <w:rPr>
          <w:rFonts w:ascii="Times New Roman" w:hAnsi="Times New Roman"/>
        </w:rPr>
        <w:t xml:space="preserve">NHS England however chose not to submit </w:t>
      </w:r>
      <w:r w:rsidR="009F7B43">
        <w:rPr>
          <w:rFonts w:ascii="Times New Roman" w:hAnsi="Times New Roman"/>
        </w:rPr>
        <w:t>this document in accordance with NICE’s timelines</w:t>
      </w:r>
      <w:r w:rsidR="0087488C">
        <w:rPr>
          <w:rFonts w:ascii="Times New Roman" w:hAnsi="Times New Roman"/>
        </w:rPr>
        <w:t xml:space="preserve">, but to delay until immediately before ACM3, </w:t>
      </w:r>
      <w:r w:rsidR="005912D1">
        <w:rPr>
          <w:rFonts w:ascii="Times New Roman" w:hAnsi="Times New Roman"/>
        </w:rPr>
        <w:t xml:space="preserve">timing that </w:t>
      </w:r>
      <w:r w:rsidR="00975CD0">
        <w:rPr>
          <w:rFonts w:ascii="Times New Roman" w:hAnsi="Times New Roman"/>
        </w:rPr>
        <w:t xml:space="preserve">effectively </w:t>
      </w:r>
      <w:r w:rsidR="00B54CBF">
        <w:rPr>
          <w:rFonts w:ascii="Times New Roman" w:hAnsi="Times New Roman"/>
        </w:rPr>
        <w:t>prevent</w:t>
      </w:r>
      <w:r w:rsidR="005912D1">
        <w:rPr>
          <w:rFonts w:ascii="Times New Roman" w:hAnsi="Times New Roman"/>
        </w:rPr>
        <w:t>ed</w:t>
      </w:r>
      <w:r w:rsidR="00B54CBF">
        <w:rPr>
          <w:rFonts w:ascii="Times New Roman" w:hAnsi="Times New Roman"/>
        </w:rPr>
        <w:t xml:space="preserve"> consideration and response by </w:t>
      </w:r>
      <w:r w:rsidR="00975CD0">
        <w:rPr>
          <w:rFonts w:ascii="Times New Roman" w:hAnsi="Times New Roman"/>
        </w:rPr>
        <w:t xml:space="preserve">other </w:t>
      </w:r>
      <w:r w:rsidR="00B54CBF">
        <w:rPr>
          <w:rFonts w:ascii="Times New Roman" w:hAnsi="Times New Roman"/>
        </w:rPr>
        <w:t>consultees</w:t>
      </w:r>
      <w:r w:rsidR="005E15F1">
        <w:rPr>
          <w:rFonts w:ascii="Times New Roman" w:hAnsi="Times New Roman"/>
        </w:rPr>
        <w:t>.</w:t>
      </w:r>
      <w:r w:rsidR="00975CD0">
        <w:rPr>
          <w:rFonts w:ascii="Times New Roman" w:hAnsi="Times New Roman"/>
        </w:rPr>
        <w:t xml:space="preserve"> </w:t>
      </w:r>
    </w:p>
    <w:p w:rsidR="008C67A8" w:rsidP="00C557AC" w:rsidRDefault="008C67A8" w14:paraId="73032682" w14:textId="77777777">
      <w:pPr>
        <w:pStyle w:val="Paragraph"/>
        <w:numPr>
          <w:ilvl w:val="0"/>
          <w:numId w:val="0"/>
        </w:numPr>
        <w:spacing w:before="0" w:after="0"/>
        <w:ind w:left="360"/>
        <w:jc w:val="both"/>
        <w:rPr>
          <w:rFonts w:ascii="Times New Roman" w:hAnsi="Times New Roman"/>
        </w:rPr>
      </w:pPr>
    </w:p>
    <w:p w:rsidR="00913F70" w:rsidP="00C557AC" w:rsidRDefault="00843CCF" w14:paraId="22503DE3" w14:textId="446AAE5F">
      <w:pPr>
        <w:pStyle w:val="Paragraph"/>
        <w:numPr>
          <w:ilvl w:val="0"/>
          <w:numId w:val="0"/>
        </w:numPr>
        <w:spacing w:before="0" w:after="0"/>
        <w:ind w:left="360"/>
        <w:jc w:val="both"/>
        <w:rPr>
          <w:rFonts w:ascii="Times New Roman" w:hAnsi="Times New Roman"/>
        </w:rPr>
      </w:pPr>
      <w:r>
        <w:rPr>
          <w:rFonts w:ascii="Times New Roman" w:hAnsi="Times New Roman"/>
        </w:rPr>
        <w:t xml:space="preserve">The outcome of the late disclosure </w:t>
      </w:r>
      <w:r w:rsidR="00977952">
        <w:rPr>
          <w:rFonts w:ascii="Times New Roman" w:hAnsi="Times New Roman"/>
        </w:rPr>
        <w:t xml:space="preserve">of </w:t>
      </w:r>
      <w:r w:rsidR="00373D0A">
        <w:rPr>
          <w:rFonts w:ascii="Times New Roman" w:hAnsi="Times New Roman"/>
        </w:rPr>
        <w:t>the “Infusion Costs Estimates” document</w:t>
      </w:r>
      <w:r w:rsidR="00977952">
        <w:rPr>
          <w:rFonts w:ascii="Times New Roman" w:hAnsi="Times New Roman"/>
        </w:rPr>
        <w:t xml:space="preserve">, was that </w:t>
      </w:r>
      <w:r w:rsidR="007B0EEE">
        <w:rPr>
          <w:rFonts w:ascii="Times New Roman" w:hAnsi="Times New Roman"/>
        </w:rPr>
        <w:t>Lilly was given no opportunity to consider and comment on the new information in advance of ACM3 or at the meeting itself</w:t>
      </w:r>
      <w:r w:rsidR="00DF2DBF">
        <w:rPr>
          <w:rFonts w:ascii="Times New Roman" w:hAnsi="Times New Roman"/>
        </w:rPr>
        <w:t xml:space="preserve">, even though </w:t>
      </w:r>
      <w:r w:rsidR="00A410AF">
        <w:rPr>
          <w:rFonts w:ascii="Times New Roman" w:hAnsi="Times New Roman"/>
        </w:rPr>
        <w:t>this is relied upon extensively at paragraph 3.20 of the FDG</w:t>
      </w:r>
      <w:r w:rsidR="007B0EEE">
        <w:rPr>
          <w:rFonts w:ascii="Times New Roman" w:hAnsi="Times New Roman"/>
        </w:rPr>
        <w:t xml:space="preserve">.  </w:t>
      </w:r>
      <w:r w:rsidR="00E7400C">
        <w:rPr>
          <w:rFonts w:ascii="Times New Roman" w:hAnsi="Times New Roman"/>
        </w:rPr>
        <w:t xml:space="preserve">Lilly understands </w:t>
      </w:r>
      <w:r w:rsidR="00F72BE3">
        <w:rPr>
          <w:rFonts w:ascii="Times New Roman" w:hAnsi="Times New Roman"/>
        </w:rPr>
        <w:t xml:space="preserve">the need to progress an appraisal </w:t>
      </w:r>
      <w:proofErr w:type="gramStart"/>
      <w:r w:rsidR="00F72BE3">
        <w:rPr>
          <w:rFonts w:ascii="Times New Roman" w:hAnsi="Times New Roman"/>
        </w:rPr>
        <w:t>expeditiously,</w:t>
      </w:r>
      <w:proofErr w:type="gramEnd"/>
      <w:r w:rsidR="00F72BE3">
        <w:rPr>
          <w:rFonts w:ascii="Times New Roman" w:hAnsi="Times New Roman"/>
        </w:rPr>
        <w:t xml:space="preserve"> however </w:t>
      </w:r>
      <w:r w:rsidR="00CA478D">
        <w:rPr>
          <w:rFonts w:ascii="Times New Roman" w:hAnsi="Times New Roman"/>
        </w:rPr>
        <w:t xml:space="preserve">this does not override the need to ensure fairness. </w:t>
      </w:r>
      <w:r w:rsidR="00723640">
        <w:rPr>
          <w:rFonts w:ascii="Times New Roman" w:hAnsi="Times New Roman"/>
        </w:rPr>
        <w:t xml:space="preserve"> Any conclusion that </w:t>
      </w:r>
      <w:r w:rsidR="00267A10">
        <w:rPr>
          <w:rFonts w:ascii="Times New Roman" w:hAnsi="Times New Roman"/>
        </w:rPr>
        <w:t xml:space="preserve">the need for consultation may be bypassed where new information is disclosed late, </w:t>
      </w:r>
      <w:r w:rsidR="00896557">
        <w:rPr>
          <w:rFonts w:ascii="Times New Roman" w:hAnsi="Times New Roman"/>
        </w:rPr>
        <w:t xml:space="preserve">simply </w:t>
      </w:r>
      <w:r w:rsidR="00074545">
        <w:rPr>
          <w:rFonts w:ascii="Times New Roman" w:hAnsi="Times New Roman"/>
        </w:rPr>
        <w:t xml:space="preserve">rewards a late submission by </w:t>
      </w:r>
      <w:r w:rsidR="006640BD">
        <w:rPr>
          <w:rFonts w:ascii="Times New Roman" w:hAnsi="Times New Roman"/>
        </w:rPr>
        <w:t>removing the requirement for scrutiny and undermines NICE’s own procedures and standards.</w:t>
      </w:r>
      <w:r w:rsidR="005E15F1">
        <w:rPr>
          <w:rFonts w:ascii="Times New Roman" w:hAnsi="Times New Roman"/>
        </w:rPr>
        <w:t xml:space="preserve"> </w:t>
      </w:r>
      <w:r w:rsidR="00A47CF9">
        <w:rPr>
          <w:rFonts w:ascii="Times New Roman" w:hAnsi="Times New Roman"/>
        </w:rPr>
        <w:t xml:space="preserve"> </w:t>
      </w:r>
    </w:p>
    <w:p w:rsidR="00913F70" w:rsidP="00C557AC" w:rsidRDefault="00913F70" w14:paraId="1E812B04" w14:textId="77777777">
      <w:pPr>
        <w:pStyle w:val="Paragraph"/>
        <w:numPr>
          <w:ilvl w:val="0"/>
          <w:numId w:val="0"/>
        </w:numPr>
        <w:spacing w:before="0" w:after="0"/>
        <w:ind w:left="1211" w:hanging="851"/>
        <w:jc w:val="both"/>
        <w:rPr>
          <w:rFonts w:ascii="Times New Roman" w:hAnsi="Times New Roman"/>
        </w:rPr>
      </w:pPr>
    </w:p>
    <w:p w:rsidR="00913F70" w:rsidP="00C557AC" w:rsidRDefault="005D64D9" w14:paraId="4CF860D3" w14:textId="53F093B9">
      <w:pPr>
        <w:pStyle w:val="Paragraph"/>
        <w:numPr>
          <w:ilvl w:val="0"/>
          <w:numId w:val="0"/>
        </w:numPr>
        <w:spacing w:before="0" w:after="0"/>
        <w:ind w:left="360"/>
        <w:jc w:val="both"/>
        <w:rPr>
          <w:rFonts w:ascii="Times New Roman" w:hAnsi="Times New Roman"/>
        </w:rPr>
      </w:pPr>
      <w:r>
        <w:rPr>
          <w:rFonts w:ascii="Times New Roman" w:hAnsi="Times New Roman"/>
        </w:rPr>
        <w:t>Finally, in the context of a clear requirement for consultation</w:t>
      </w:r>
      <w:r w:rsidR="00C14A7D">
        <w:rPr>
          <w:rFonts w:ascii="Times New Roman" w:hAnsi="Times New Roman"/>
        </w:rPr>
        <w:t xml:space="preserve"> and the circumstances described above</w:t>
      </w:r>
      <w:r>
        <w:rPr>
          <w:rFonts w:ascii="Times New Roman" w:hAnsi="Times New Roman"/>
        </w:rPr>
        <w:t xml:space="preserve">, we do not believe there is any requirement for Lilly to provide further details of the disadvantage experienced and </w:t>
      </w:r>
      <w:r w:rsidR="00C14A7D">
        <w:rPr>
          <w:rFonts w:ascii="Times New Roman" w:hAnsi="Times New Roman"/>
        </w:rPr>
        <w:t xml:space="preserve">the submission </w:t>
      </w:r>
      <w:r>
        <w:rPr>
          <w:rFonts w:ascii="Times New Roman" w:hAnsi="Times New Roman"/>
        </w:rPr>
        <w:t>that</w:t>
      </w:r>
      <w:r w:rsidR="00C14A7D">
        <w:rPr>
          <w:rFonts w:ascii="Times New Roman" w:hAnsi="Times New Roman"/>
        </w:rPr>
        <w:t xml:space="preserve"> it would have made had there been time and opportunity to do so. </w:t>
      </w:r>
      <w:r>
        <w:rPr>
          <w:rFonts w:ascii="Times New Roman" w:hAnsi="Times New Roman"/>
        </w:rPr>
        <w:t xml:space="preserve"> </w:t>
      </w:r>
      <w:r w:rsidR="0079684A">
        <w:rPr>
          <w:rFonts w:ascii="Times New Roman" w:hAnsi="Times New Roman"/>
        </w:rPr>
        <w:t>H</w:t>
      </w:r>
      <w:r w:rsidR="00E829C3">
        <w:rPr>
          <w:rFonts w:ascii="Times New Roman" w:hAnsi="Times New Roman"/>
        </w:rPr>
        <w:t xml:space="preserve">owever, </w:t>
      </w:r>
      <w:r w:rsidR="0079684A">
        <w:rPr>
          <w:rFonts w:ascii="Times New Roman" w:hAnsi="Times New Roman"/>
        </w:rPr>
        <w:t xml:space="preserve">without prejudice to that contention, </w:t>
      </w:r>
      <w:r w:rsidR="008C2DCD">
        <w:rPr>
          <w:rFonts w:ascii="Times New Roman" w:hAnsi="Times New Roman"/>
        </w:rPr>
        <w:t xml:space="preserve">the Excel file </w:t>
      </w:r>
      <w:r w:rsidR="00E84682">
        <w:rPr>
          <w:rFonts w:ascii="Times New Roman" w:hAnsi="Times New Roman"/>
        </w:rPr>
        <w:t xml:space="preserve">which accompanied the “Infusion Costs Estimate” document </w:t>
      </w:r>
      <w:r w:rsidR="008C2DCD">
        <w:rPr>
          <w:rFonts w:ascii="Times New Roman" w:hAnsi="Times New Roman"/>
        </w:rPr>
        <w:t>provided by NHS England and disclosed by NICE</w:t>
      </w:r>
      <w:r w:rsidR="00E84682">
        <w:rPr>
          <w:rFonts w:ascii="Times New Roman" w:hAnsi="Times New Roman"/>
        </w:rPr>
        <w:t>,</w:t>
      </w:r>
      <w:r w:rsidR="008C2DCD">
        <w:rPr>
          <w:rFonts w:ascii="Times New Roman" w:hAnsi="Times New Roman"/>
        </w:rPr>
        <w:t xml:space="preserve"> </w:t>
      </w:r>
      <w:r w:rsidR="00E84682">
        <w:rPr>
          <w:rFonts w:ascii="Times New Roman" w:hAnsi="Times New Roman"/>
        </w:rPr>
        <w:t xml:space="preserve">included 136 rows </w:t>
      </w:r>
      <w:r w:rsidR="004A3A00">
        <w:rPr>
          <w:rFonts w:ascii="Times New Roman" w:hAnsi="Times New Roman"/>
        </w:rPr>
        <w:t xml:space="preserve">of cost tariffs and HRG codes </w:t>
      </w:r>
      <w:r w:rsidR="00E84682">
        <w:rPr>
          <w:rFonts w:ascii="Times New Roman" w:hAnsi="Times New Roman"/>
        </w:rPr>
        <w:t>in the first sheet and 15,527 rows in the second sheet.  I</w:t>
      </w:r>
      <w:r w:rsidR="0079684A">
        <w:rPr>
          <w:rFonts w:ascii="Times New Roman" w:hAnsi="Times New Roman"/>
        </w:rPr>
        <w:t xml:space="preserve">t is </w:t>
      </w:r>
      <w:r w:rsidR="00E84682">
        <w:rPr>
          <w:rFonts w:ascii="Times New Roman" w:hAnsi="Times New Roman"/>
        </w:rPr>
        <w:t xml:space="preserve">therefore </w:t>
      </w:r>
      <w:r w:rsidR="0079684A">
        <w:rPr>
          <w:rFonts w:ascii="Times New Roman" w:hAnsi="Times New Roman"/>
        </w:rPr>
        <w:t>evident that</w:t>
      </w:r>
      <w:r w:rsidR="00E84682">
        <w:rPr>
          <w:rFonts w:ascii="Times New Roman" w:hAnsi="Times New Roman"/>
        </w:rPr>
        <w:t xml:space="preserve"> there was </w:t>
      </w:r>
      <w:r w:rsidR="00E84682">
        <w:rPr>
          <w:rFonts w:ascii="Times New Roman" w:hAnsi="Times New Roman"/>
        </w:rPr>
        <w:lastRenderedPageBreak/>
        <w:t>inadequate time to review this material before ACM3.  I</w:t>
      </w:r>
      <w:r w:rsidR="004D37F2">
        <w:rPr>
          <w:rFonts w:ascii="Times New Roman" w:hAnsi="Times New Roman"/>
        </w:rPr>
        <w:t xml:space="preserve">n view of the importance of the estimated infusion costs to the outcome of this appraisal, Lilly has been disadvantaged by </w:t>
      </w:r>
      <w:r w:rsidR="0079684A">
        <w:rPr>
          <w:rFonts w:ascii="Times New Roman" w:hAnsi="Times New Roman"/>
        </w:rPr>
        <w:t xml:space="preserve">the </w:t>
      </w:r>
      <w:r w:rsidR="00AB53E0">
        <w:rPr>
          <w:rFonts w:ascii="Times New Roman" w:hAnsi="Times New Roman"/>
        </w:rPr>
        <w:t xml:space="preserve">late submission of information relating to the estimations proposed by NHS England </w:t>
      </w:r>
      <w:r w:rsidR="00705EA2">
        <w:rPr>
          <w:rFonts w:ascii="Times New Roman" w:hAnsi="Times New Roman"/>
        </w:rPr>
        <w:t xml:space="preserve">and relied upon by the Committee, </w:t>
      </w:r>
      <w:r w:rsidR="00AB53E0">
        <w:rPr>
          <w:rFonts w:ascii="Times New Roman" w:hAnsi="Times New Roman"/>
        </w:rPr>
        <w:t xml:space="preserve">without any </w:t>
      </w:r>
      <w:r w:rsidR="00E84682">
        <w:rPr>
          <w:rFonts w:ascii="Times New Roman" w:hAnsi="Times New Roman"/>
        </w:rPr>
        <w:t xml:space="preserve">sufficient </w:t>
      </w:r>
      <w:r w:rsidR="00AB53E0">
        <w:rPr>
          <w:rFonts w:ascii="Times New Roman" w:hAnsi="Times New Roman"/>
        </w:rPr>
        <w:t xml:space="preserve">opportunity to </w:t>
      </w:r>
      <w:r w:rsidR="00705EA2">
        <w:rPr>
          <w:rFonts w:ascii="Times New Roman" w:hAnsi="Times New Roman"/>
        </w:rPr>
        <w:t xml:space="preserve">critique or </w:t>
      </w:r>
      <w:r w:rsidR="00AB53E0">
        <w:rPr>
          <w:rFonts w:ascii="Times New Roman" w:hAnsi="Times New Roman"/>
        </w:rPr>
        <w:t xml:space="preserve">comment </w:t>
      </w:r>
      <w:r w:rsidR="00705EA2">
        <w:rPr>
          <w:rFonts w:ascii="Times New Roman" w:hAnsi="Times New Roman"/>
        </w:rPr>
        <w:t xml:space="preserve">on these. </w:t>
      </w:r>
      <w:r w:rsidR="00E829C3">
        <w:rPr>
          <w:rFonts w:ascii="Times New Roman" w:hAnsi="Times New Roman"/>
        </w:rPr>
        <w:t xml:space="preserve"> </w:t>
      </w:r>
      <w:r w:rsidR="00491F01">
        <w:rPr>
          <w:rFonts w:ascii="Times New Roman" w:hAnsi="Times New Roman"/>
        </w:rPr>
        <w:t xml:space="preserve">If we had been given time and opportunity to consider and respond to the new information, we would have </w:t>
      </w:r>
      <w:r w:rsidR="003B5A44">
        <w:rPr>
          <w:rFonts w:ascii="Times New Roman" w:hAnsi="Times New Roman"/>
        </w:rPr>
        <w:t xml:space="preserve">been able to identify the limited relevance of the new information </w:t>
      </w:r>
      <w:r w:rsidR="002540C7">
        <w:rPr>
          <w:rFonts w:ascii="Times New Roman" w:hAnsi="Times New Roman"/>
        </w:rPr>
        <w:t>(including which treatments fall under each HRG Code identified by NHS England and their relevance to donanemab</w:t>
      </w:r>
      <w:r w:rsidR="00254894">
        <w:rPr>
          <w:rFonts w:ascii="Times New Roman" w:hAnsi="Times New Roman"/>
        </w:rPr>
        <w:t xml:space="preserve">) </w:t>
      </w:r>
      <w:r w:rsidR="003B5A44">
        <w:rPr>
          <w:rFonts w:ascii="Times New Roman" w:hAnsi="Times New Roman"/>
        </w:rPr>
        <w:t xml:space="preserve">and the fact that </w:t>
      </w:r>
      <w:r w:rsidR="00793987">
        <w:rPr>
          <w:rFonts w:ascii="Times New Roman" w:hAnsi="Times New Roman"/>
        </w:rPr>
        <w:t xml:space="preserve">key </w:t>
      </w:r>
      <w:r w:rsidR="003B5A44">
        <w:rPr>
          <w:rFonts w:ascii="Times New Roman" w:hAnsi="Times New Roman"/>
        </w:rPr>
        <w:t xml:space="preserve">details of the </w:t>
      </w:r>
      <w:r w:rsidR="00793987">
        <w:rPr>
          <w:rFonts w:ascii="Times New Roman" w:hAnsi="Times New Roman"/>
        </w:rPr>
        <w:t xml:space="preserve">estimated infusion costs have not been provided, </w:t>
      </w:r>
      <w:r w:rsidR="003A575C">
        <w:rPr>
          <w:rFonts w:ascii="Times New Roman" w:hAnsi="Times New Roman"/>
        </w:rPr>
        <w:t>even at this stage</w:t>
      </w:r>
      <w:r w:rsidR="007F37F3">
        <w:rPr>
          <w:rFonts w:ascii="Times New Roman" w:hAnsi="Times New Roman"/>
        </w:rPr>
        <w:t xml:space="preserve">, together with the significance of these </w:t>
      </w:r>
      <w:r w:rsidR="00123AA6">
        <w:rPr>
          <w:rFonts w:ascii="Times New Roman" w:hAnsi="Times New Roman"/>
        </w:rPr>
        <w:t>important omiss</w:t>
      </w:r>
      <w:r w:rsidR="00DF2DBF">
        <w:rPr>
          <w:rFonts w:ascii="Times New Roman" w:hAnsi="Times New Roman"/>
        </w:rPr>
        <w:t>i</w:t>
      </w:r>
      <w:r w:rsidR="00123AA6">
        <w:rPr>
          <w:rFonts w:ascii="Times New Roman" w:hAnsi="Times New Roman"/>
        </w:rPr>
        <w:t>ons</w:t>
      </w:r>
      <w:r w:rsidR="003A575C">
        <w:rPr>
          <w:rFonts w:ascii="Times New Roman" w:hAnsi="Times New Roman"/>
        </w:rPr>
        <w:t>.</w:t>
      </w:r>
    </w:p>
    <w:p w:rsidRPr="00576296" w:rsidR="00C14A7D" w:rsidP="00C557AC" w:rsidRDefault="00C14A7D" w14:paraId="423CCB9F" w14:textId="6B1D53B8">
      <w:pPr>
        <w:pStyle w:val="Paragraph"/>
        <w:numPr>
          <w:ilvl w:val="0"/>
          <w:numId w:val="0"/>
        </w:numPr>
        <w:spacing w:before="0" w:after="0"/>
        <w:ind w:left="360"/>
        <w:jc w:val="both"/>
        <w:rPr>
          <w:rFonts w:ascii="Times New Roman" w:hAnsi="Times New Roman"/>
        </w:rPr>
      </w:pPr>
    </w:p>
    <w:p w:rsidRPr="00576296" w:rsidR="00487C9E" w:rsidP="00C557AC" w:rsidRDefault="00576296" w14:paraId="7929331A" w14:textId="2927BE5E">
      <w:pPr>
        <w:pStyle w:val="Paragraph"/>
        <w:numPr>
          <w:ilvl w:val="0"/>
          <w:numId w:val="0"/>
        </w:numPr>
        <w:spacing w:before="0" w:after="0"/>
        <w:ind w:left="1440" w:hanging="1080"/>
        <w:jc w:val="both"/>
        <w:rPr>
          <w:rFonts w:ascii="Times New Roman" w:hAnsi="Times New Roman"/>
          <w:b/>
          <w:bCs/>
        </w:rPr>
      </w:pPr>
      <w:r w:rsidRPr="00576296">
        <w:rPr>
          <w:rFonts w:ascii="Times New Roman" w:hAnsi="Times New Roman"/>
          <w:b/>
          <w:bCs/>
        </w:rPr>
        <w:t>1(a).3</w:t>
      </w:r>
      <w:r w:rsidRPr="00576296">
        <w:rPr>
          <w:rFonts w:ascii="Times New Roman" w:hAnsi="Times New Roman"/>
          <w:b/>
          <w:bCs/>
        </w:rPr>
        <w:tab/>
      </w:r>
      <w:r w:rsidRPr="00576296" w:rsidR="00487C9E">
        <w:rPr>
          <w:rFonts w:ascii="Times New Roman" w:hAnsi="Times New Roman"/>
          <w:b/>
          <w:bCs/>
        </w:rPr>
        <w:t xml:space="preserve">The Committee’s reasons for rejecting the infusion costs estimated by Lilly are inadequately explained and the Committee does not appear to have </w:t>
      </w:r>
      <w:proofErr w:type="gramStart"/>
      <w:r w:rsidRPr="00576296" w:rsidR="00487C9E">
        <w:rPr>
          <w:rFonts w:ascii="Times New Roman" w:hAnsi="Times New Roman"/>
          <w:b/>
          <w:bCs/>
        </w:rPr>
        <w:t>taken into account</w:t>
      </w:r>
      <w:proofErr w:type="gramEnd"/>
      <w:r w:rsidRPr="00576296" w:rsidR="00487C9E">
        <w:rPr>
          <w:rFonts w:ascii="Times New Roman" w:hAnsi="Times New Roman"/>
          <w:b/>
          <w:bCs/>
        </w:rPr>
        <w:t xml:space="preserve"> the evidence submitted by Lilly in response to the second Draft Guidance</w:t>
      </w:r>
    </w:p>
    <w:p w:rsidR="00576296" w:rsidP="00C557AC" w:rsidRDefault="00576296" w14:paraId="5A57BA74" w14:textId="77777777">
      <w:pPr>
        <w:pStyle w:val="Paragraph"/>
        <w:numPr>
          <w:ilvl w:val="0"/>
          <w:numId w:val="0"/>
        </w:numPr>
        <w:spacing w:before="0" w:after="0"/>
        <w:ind w:left="360"/>
        <w:jc w:val="both"/>
        <w:rPr>
          <w:rFonts w:ascii="Times New Roman" w:hAnsi="Times New Roman"/>
        </w:rPr>
      </w:pPr>
    </w:p>
    <w:p w:rsidR="00576296" w:rsidP="00C557AC" w:rsidRDefault="00D456C2" w14:paraId="6FC33292" w14:textId="5A8C7786">
      <w:pPr>
        <w:pStyle w:val="Paragraph"/>
        <w:numPr>
          <w:ilvl w:val="0"/>
          <w:numId w:val="0"/>
        </w:numPr>
        <w:spacing w:before="0" w:after="0"/>
        <w:ind w:left="360"/>
        <w:jc w:val="both"/>
        <w:rPr>
          <w:rFonts w:ascii="Times New Roman" w:hAnsi="Times New Roman"/>
        </w:rPr>
      </w:pPr>
      <w:r>
        <w:rPr>
          <w:rFonts w:ascii="Times New Roman" w:hAnsi="Times New Roman"/>
        </w:rPr>
        <w:t xml:space="preserve">You express the preliminary view that </w:t>
      </w:r>
      <w:r w:rsidR="00B4689E">
        <w:rPr>
          <w:rFonts w:ascii="Times New Roman" w:hAnsi="Times New Roman"/>
        </w:rPr>
        <w:t xml:space="preserve">“the Committee has explained in </w:t>
      </w:r>
      <w:r w:rsidR="00B738D3">
        <w:rPr>
          <w:rFonts w:ascii="Times New Roman" w:hAnsi="Times New Roman"/>
        </w:rPr>
        <w:t>detail at paragraph 3.20 of the FDG why it did not prefer the Company’s infusion cost</w:t>
      </w:r>
      <w:r w:rsidR="0039539D">
        <w:rPr>
          <w:rFonts w:ascii="Times New Roman" w:hAnsi="Times New Roman"/>
        </w:rPr>
        <w:t xml:space="preserve"> estimates” and suggest </w:t>
      </w:r>
      <w:r w:rsidR="00D56F9C">
        <w:rPr>
          <w:rFonts w:ascii="Times New Roman" w:hAnsi="Times New Roman"/>
        </w:rPr>
        <w:t>that the reasons given by the Committee are not procedurally unfair.</w:t>
      </w:r>
    </w:p>
    <w:p w:rsidR="00576296" w:rsidP="00C557AC" w:rsidRDefault="00576296" w14:paraId="4CCD2CDC" w14:textId="77777777">
      <w:pPr>
        <w:pStyle w:val="Paragraph"/>
        <w:numPr>
          <w:ilvl w:val="0"/>
          <w:numId w:val="0"/>
        </w:numPr>
        <w:spacing w:before="0" w:after="0"/>
        <w:ind w:left="360"/>
        <w:jc w:val="both"/>
        <w:rPr>
          <w:rFonts w:ascii="Times New Roman" w:hAnsi="Times New Roman"/>
        </w:rPr>
      </w:pPr>
    </w:p>
    <w:p w:rsidR="003F1287" w:rsidP="00C557AC" w:rsidRDefault="00C13513" w14:paraId="6CB60234" w14:textId="77777777">
      <w:pPr>
        <w:pStyle w:val="Paragraph"/>
        <w:numPr>
          <w:ilvl w:val="0"/>
          <w:numId w:val="0"/>
        </w:numPr>
        <w:spacing w:before="0" w:after="0"/>
        <w:ind w:left="360"/>
        <w:jc w:val="both"/>
        <w:rPr>
          <w:rFonts w:ascii="Times New Roman" w:hAnsi="Times New Roman"/>
        </w:rPr>
      </w:pPr>
      <w:r>
        <w:rPr>
          <w:rFonts w:ascii="Times New Roman" w:hAnsi="Times New Roman"/>
        </w:rPr>
        <w:t xml:space="preserve">Lilly </w:t>
      </w:r>
      <w:r w:rsidR="00A558A1">
        <w:rPr>
          <w:rFonts w:ascii="Times New Roman" w:hAnsi="Times New Roman"/>
        </w:rPr>
        <w:t>disagrees with this assessment</w:t>
      </w:r>
      <w:r w:rsidR="00791E56">
        <w:rPr>
          <w:rFonts w:ascii="Times New Roman" w:hAnsi="Times New Roman"/>
        </w:rPr>
        <w:t xml:space="preserve">.  </w:t>
      </w:r>
      <w:r w:rsidR="00F57499">
        <w:rPr>
          <w:rFonts w:ascii="Times New Roman" w:hAnsi="Times New Roman"/>
        </w:rPr>
        <w:t xml:space="preserve">The only </w:t>
      </w:r>
      <w:r w:rsidR="00E3446B">
        <w:rPr>
          <w:rFonts w:ascii="Times New Roman" w:hAnsi="Times New Roman"/>
        </w:rPr>
        <w:t xml:space="preserve">explanation provided at paragraph 3.20 </w:t>
      </w:r>
      <w:r w:rsidR="00F73D98">
        <w:rPr>
          <w:rFonts w:ascii="Times New Roman" w:hAnsi="Times New Roman"/>
        </w:rPr>
        <w:t>of the FDG for reject</w:t>
      </w:r>
      <w:r w:rsidR="00EA3CB3">
        <w:rPr>
          <w:rFonts w:ascii="Times New Roman" w:hAnsi="Times New Roman"/>
        </w:rPr>
        <w:t xml:space="preserve">ing the infusion costs estimated by Lilly is that </w:t>
      </w:r>
      <w:r w:rsidR="002F3F9A">
        <w:rPr>
          <w:rFonts w:ascii="Times New Roman" w:hAnsi="Times New Roman"/>
        </w:rPr>
        <w:t>NHS England “</w:t>
      </w:r>
      <w:r w:rsidRPr="003D2CEB" w:rsidR="00990BA7">
        <w:rPr>
          <w:rFonts w:ascii="Times New Roman" w:hAnsi="Times New Roman"/>
          <w:i/>
          <w:iCs/>
        </w:rPr>
        <w:t>advised against using the simple parenteral chemotherapy infusion cost because donanemab is more complex to prepare</w:t>
      </w:r>
      <w:r w:rsidRPr="003D2CEB" w:rsidR="003D2CEB">
        <w:rPr>
          <w:rFonts w:ascii="Times New Roman" w:hAnsi="Times New Roman"/>
          <w:i/>
          <w:iCs/>
        </w:rPr>
        <w:t>, has the potential for more adverse reactions and people might have more complex needs</w:t>
      </w:r>
      <w:r w:rsidR="003D2CEB">
        <w:rPr>
          <w:rFonts w:ascii="Times New Roman" w:hAnsi="Times New Roman"/>
        </w:rPr>
        <w:t xml:space="preserve">”.  </w:t>
      </w:r>
      <w:r w:rsidR="005A2A17">
        <w:rPr>
          <w:rFonts w:ascii="Times New Roman" w:hAnsi="Times New Roman"/>
        </w:rPr>
        <w:t xml:space="preserve">No evidence was provided by NHS England in support of </w:t>
      </w:r>
      <w:r w:rsidR="00E174DC">
        <w:rPr>
          <w:rFonts w:ascii="Times New Roman" w:hAnsi="Times New Roman"/>
        </w:rPr>
        <w:t>these matters</w:t>
      </w:r>
      <w:r w:rsidR="002E16A1">
        <w:rPr>
          <w:rFonts w:ascii="Times New Roman" w:hAnsi="Times New Roman"/>
        </w:rPr>
        <w:t xml:space="preserve">.  </w:t>
      </w:r>
      <w:r w:rsidR="00837045">
        <w:rPr>
          <w:rFonts w:ascii="Times New Roman" w:hAnsi="Times New Roman"/>
        </w:rPr>
        <w:t>Lilly</w:t>
      </w:r>
      <w:r w:rsidR="002E16A1">
        <w:rPr>
          <w:rFonts w:ascii="Times New Roman" w:hAnsi="Times New Roman"/>
        </w:rPr>
        <w:t xml:space="preserve"> </w:t>
      </w:r>
      <w:r w:rsidR="00B82838">
        <w:rPr>
          <w:rFonts w:ascii="Times New Roman" w:hAnsi="Times New Roman"/>
        </w:rPr>
        <w:t>considered that NHS England’s advice was incorrect and</w:t>
      </w:r>
      <w:r w:rsidR="00F97188">
        <w:rPr>
          <w:rFonts w:ascii="Times New Roman" w:hAnsi="Times New Roman"/>
        </w:rPr>
        <w:t>, in contrast to NHS England</w:t>
      </w:r>
      <w:r w:rsidR="003B1367">
        <w:rPr>
          <w:rFonts w:ascii="Times New Roman" w:hAnsi="Times New Roman"/>
        </w:rPr>
        <w:t>,</w:t>
      </w:r>
      <w:r w:rsidR="00B82838">
        <w:rPr>
          <w:rFonts w:ascii="Times New Roman" w:hAnsi="Times New Roman"/>
        </w:rPr>
        <w:t xml:space="preserve"> provided evidence in support of this position </w:t>
      </w:r>
      <w:r w:rsidR="0059149A">
        <w:rPr>
          <w:rFonts w:ascii="Times New Roman" w:hAnsi="Times New Roman"/>
        </w:rPr>
        <w:t xml:space="preserve">in response to consultation on the second Draft Guidance. </w:t>
      </w:r>
      <w:r w:rsidR="0008746D">
        <w:rPr>
          <w:rFonts w:ascii="Times New Roman" w:hAnsi="Times New Roman"/>
        </w:rPr>
        <w:t xml:space="preserve"> </w:t>
      </w:r>
      <w:proofErr w:type="gramStart"/>
      <w:r w:rsidR="00D11399">
        <w:rPr>
          <w:rFonts w:ascii="Times New Roman" w:hAnsi="Times New Roman"/>
        </w:rPr>
        <w:t>However</w:t>
      </w:r>
      <w:proofErr w:type="gramEnd"/>
      <w:r w:rsidR="00D11399">
        <w:rPr>
          <w:rFonts w:ascii="Times New Roman" w:hAnsi="Times New Roman"/>
        </w:rPr>
        <w:t xml:space="preserve"> </w:t>
      </w:r>
      <w:r w:rsidR="00923F55">
        <w:rPr>
          <w:rFonts w:ascii="Times New Roman" w:hAnsi="Times New Roman"/>
        </w:rPr>
        <w:t xml:space="preserve">the Committee </w:t>
      </w:r>
      <w:r w:rsidR="00461FF5">
        <w:rPr>
          <w:rFonts w:ascii="Times New Roman" w:hAnsi="Times New Roman"/>
        </w:rPr>
        <w:t>does no</w:t>
      </w:r>
      <w:r w:rsidR="00F97188">
        <w:rPr>
          <w:rFonts w:ascii="Times New Roman" w:hAnsi="Times New Roman"/>
        </w:rPr>
        <w:t xml:space="preserve">t state whether it accepted the </w:t>
      </w:r>
      <w:r w:rsidR="00D45558">
        <w:rPr>
          <w:rFonts w:ascii="Times New Roman" w:hAnsi="Times New Roman"/>
        </w:rPr>
        <w:t xml:space="preserve">advice from NHS England in relation to use of simple parenteral chemotherapy </w:t>
      </w:r>
      <w:r w:rsidR="00493888">
        <w:rPr>
          <w:rFonts w:ascii="Times New Roman" w:hAnsi="Times New Roman"/>
        </w:rPr>
        <w:t>infusion costs as proposed by Lilly</w:t>
      </w:r>
      <w:r w:rsidR="001A7CE4">
        <w:rPr>
          <w:rFonts w:ascii="Times New Roman" w:hAnsi="Times New Roman"/>
        </w:rPr>
        <w:t xml:space="preserve">, despite the lack of </w:t>
      </w:r>
      <w:r w:rsidR="004D5D36">
        <w:rPr>
          <w:rFonts w:ascii="Times New Roman" w:hAnsi="Times New Roman"/>
        </w:rPr>
        <w:t xml:space="preserve">evidence to support NHS England’s concerns and </w:t>
      </w:r>
      <w:r w:rsidR="00516D55">
        <w:rPr>
          <w:rFonts w:ascii="Times New Roman" w:hAnsi="Times New Roman"/>
        </w:rPr>
        <w:t xml:space="preserve">provides no reasoning at all for its rejection for Lilly’s </w:t>
      </w:r>
      <w:r w:rsidR="00461FF5">
        <w:rPr>
          <w:rFonts w:ascii="Times New Roman" w:hAnsi="Times New Roman"/>
        </w:rPr>
        <w:t>estimated infusion costs</w:t>
      </w:r>
      <w:r w:rsidR="005919CC">
        <w:rPr>
          <w:rFonts w:ascii="Times New Roman" w:hAnsi="Times New Roman"/>
        </w:rPr>
        <w:t xml:space="preserve">.  </w:t>
      </w:r>
    </w:p>
    <w:p w:rsidR="008A0607" w:rsidP="00C557AC" w:rsidRDefault="008A0607" w14:paraId="74712F8A" w14:textId="3DAB6E30">
      <w:pPr>
        <w:pStyle w:val="Paragraph"/>
        <w:numPr>
          <w:ilvl w:val="0"/>
          <w:numId w:val="0"/>
        </w:numPr>
        <w:spacing w:before="0" w:after="0"/>
        <w:ind w:left="360"/>
        <w:jc w:val="both"/>
        <w:rPr>
          <w:rFonts w:ascii="Times New Roman" w:hAnsi="Times New Roman"/>
        </w:rPr>
      </w:pPr>
    </w:p>
    <w:p w:rsidR="00576296" w:rsidP="00C557AC" w:rsidRDefault="008A0607" w14:paraId="6123B220" w14:textId="0F900F86">
      <w:pPr>
        <w:pStyle w:val="Paragraph"/>
        <w:numPr>
          <w:ilvl w:val="0"/>
          <w:numId w:val="0"/>
        </w:numPr>
        <w:spacing w:before="0" w:after="0"/>
        <w:ind w:left="360"/>
        <w:jc w:val="both"/>
        <w:rPr>
          <w:rFonts w:ascii="Times New Roman" w:hAnsi="Times New Roman"/>
        </w:rPr>
      </w:pPr>
      <w:r>
        <w:rPr>
          <w:rFonts w:ascii="Times New Roman" w:hAnsi="Times New Roman"/>
        </w:rPr>
        <w:t xml:space="preserve">In summary, paragraph 3.20 of the FDG </w:t>
      </w:r>
      <w:r w:rsidR="00E23F08">
        <w:rPr>
          <w:rFonts w:ascii="Times New Roman" w:hAnsi="Times New Roman"/>
        </w:rPr>
        <w:t>p</w:t>
      </w:r>
      <w:r w:rsidR="00E50B56">
        <w:rPr>
          <w:rFonts w:ascii="Times New Roman" w:hAnsi="Times New Roman"/>
        </w:rPr>
        <w:t>r</w:t>
      </w:r>
      <w:r w:rsidR="00E23F08">
        <w:rPr>
          <w:rFonts w:ascii="Times New Roman" w:hAnsi="Times New Roman"/>
        </w:rPr>
        <w:t xml:space="preserve">ovides an </w:t>
      </w:r>
      <w:r>
        <w:rPr>
          <w:rFonts w:ascii="Times New Roman" w:hAnsi="Times New Roman"/>
        </w:rPr>
        <w:t>explan</w:t>
      </w:r>
      <w:r w:rsidR="00E23F08">
        <w:rPr>
          <w:rFonts w:ascii="Times New Roman" w:hAnsi="Times New Roman"/>
        </w:rPr>
        <w:t xml:space="preserve">ation </w:t>
      </w:r>
      <w:r>
        <w:rPr>
          <w:rFonts w:ascii="Times New Roman" w:hAnsi="Times New Roman"/>
        </w:rPr>
        <w:t xml:space="preserve">why the </w:t>
      </w:r>
      <w:r w:rsidR="000B7DBE">
        <w:rPr>
          <w:rFonts w:ascii="Times New Roman" w:hAnsi="Times New Roman"/>
        </w:rPr>
        <w:t>Committee pre</w:t>
      </w:r>
      <w:r w:rsidR="00E50B56">
        <w:rPr>
          <w:rFonts w:ascii="Times New Roman" w:hAnsi="Times New Roman"/>
        </w:rPr>
        <w:t xml:space="preserve">ferred to rely on the estimated infusion costs </w:t>
      </w:r>
      <w:r w:rsidR="00C6723D">
        <w:rPr>
          <w:rFonts w:ascii="Times New Roman" w:hAnsi="Times New Roman"/>
        </w:rPr>
        <w:t xml:space="preserve">proposed by NHS England – essentially </w:t>
      </w:r>
      <w:r w:rsidR="008125E6">
        <w:rPr>
          <w:rFonts w:ascii="Times New Roman" w:hAnsi="Times New Roman"/>
        </w:rPr>
        <w:t xml:space="preserve">because NHS England asserted that </w:t>
      </w:r>
      <w:r w:rsidR="00501F5E">
        <w:rPr>
          <w:rFonts w:ascii="Times New Roman" w:hAnsi="Times New Roman"/>
        </w:rPr>
        <w:t>its costs would most likely reflect what “</w:t>
      </w:r>
      <w:r w:rsidRPr="002372B3" w:rsidR="00501F5E">
        <w:rPr>
          <w:rFonts w:ascii="Times New Roman" w:hAnsi="Times New Roman"/>
          <w:i/>
          <w:iCs/>
        </w:rPr>
        <w:t>would be charged in NHS practice</w:t>
      </w:r>
      <w:r w:rsidR="00501F5E">
        <w:rPr>
          <w:rFonts w:ascii="Times New Roman" w:hAnsi="Times New Roman"/>
        </w:rPr>
        <w:t>”</w:t>
      </w:r>
      <w:r w:rsidR="004602AA">
        <w:rPr>
          <w:rFonts w:ascii="Times New Roman" w:hAnsi="Times New Roman"/>
        </w:rPr>
        <w:t xml:space="preserve">.  However paragraph 3.20 includes no </w:t>
      </w:r>
      <w:r w:rsidR="004B009C">
        <w:rPr>
          <w:rFonts w:ascii="Times New Roman" w:hAnsi="Times New Roman"/>
        </w:rPr>
        <w:t xml:space="preserve">consideration </w:t>
      </w:r>
      <w:r w:rsidR="000E0CE1">
        <w:rPr>
          <w:rFonts w:ascii="Times New Roman" w:hAnsi="Times New Roman"/>
        </w:rPr>
        <w:t>of the limitations in the information provided</w:t>
      </w:r>
      <w:r w:rsidR="006634A0">
        <w:rPr>
          <w:rFonts w:ascii="Times New Roman" w:hAnsi="Times New Roman"/>
        </w:rPr>
        <w:t xml:space="preserve"> by NHS England</w:t>
      </w:r>
      <w:r w:rsidR="002372B3">
        <w:rPr>
          <w:rFonts w:ascii="Times New Roman" w:hAnsi="Times New Roman"/>
        </w:rPr>
        <w:t xml:space="preserve"> </w:t>
      </w:r>
      <w:r w:rsidR="00C956D6">
        <w:rPr>
          <w:rFonts w:ascii="Times New Roman" w:hAnsi="Times New Roman"/>
        </w:rPr>
        <w:t>(including whether the estimation reflects costs which should be taken into account by NICE)</w:t>
      </w:r>
      <w:r w:rsidR="00A76F4F">
        <w:rPr>
          <w:rFonts w:ascii="Times New Roman" w:hAnsi="Times New Roman"/>
        </w:rPr>
        <w:t>, no balance of the plausibility of the estimates</w:t>
      </w:r>
      <w:r w:rsidR="00044891">
        <w:rPr>
          <w:rFonts w:ascii="Times New Roman" w:hAnsi="Times New Roman"/>
        </w:rPr>
        <w:t xml:space="preserve"> provided by NHS England and </w:t>
      </w:r>
      <w:r w:rsidR="00B1031D">
        <w:rPr>
          <w:rFonts w:ascii="Times New Roman" w:hAnsi="Times New Roman"/>
        </w:rPr>
        <w:t>by Lilly and, importantly, no indication</w:t>
      </w:r>
      <w:r w:rsidR="006634A0">
        <w:rPr>
          <w:rFonts w:ascii="Times New Roman" w:hAnsi="Times New Roman"/>
        </w:rPr>
        <w:t xml:space="preserve"> </w:t>
      </w:r>
      <w:r w:rsidR="00BF36E1">
        <w:rPr>
          <w:rFonts w:ascii="Times New Roman" w:hAnsi="Times New Roman"/>
        </w:rPr>
        <w:t xml:space="preserve">that </w:t>
      </w:r>
      <w:r w:rsidR="00684E64">
        <w:rPr>
          <w:rFonts w:ascii="Times New Roman" w:hAnsi="Times New Roman"/>
        </w:rPr>
        <w:t xml:space="preserve">the Committee (rather than NHS England) formed any view at all </w:t>
      </w:r>
      <w:r w:rsidR="00FC3C48">
        <w:rPr>
          <w:rFonts w:ascii="Times New Roman" w:hAnsi="Times New Roman"/>
        </w:rPr>
        <w:t xml:space="preserve">in relation to the </w:t>
      </w:r>
      <w:r w:rsidR="00E04311">
        <w:rPr>
          <w:rFonts w:ascii="Times New Roman" w:hAnsi="Times New Roman"/>
        </w:rPr>
        <w:t xml:space="preserve">estimated infusion costs </w:t>
      </w:r>
      <w:r w:rsidR="00FB17B3">
        <w:rPr>
          <w:rFonts w:ascii="Times New Roman" w:hAnsi="Times New Roman"/>
        </w:rPr>
        <w:t xml:space="preserve">submitted by Lilly. </w:t>
      </w:r>
      <w:r w:rsidR="00E8781C">
        <w:rPr>
          <w:rFonts w:ascii="Times New Roman" w:hAnsi="Times New Roman"/>
        </w:rPr>
        <w:t xml:space="preserve"> This </w:t>
      </w:r>
      <w:r w:rsidR="00803E1A">
        <w:rPr>
          <w:rFonts w:ascii="Times New Roman" w:hAnsi="Times New Roman"/>
        </w:rPr>
        <w:t>reflects an unfair procedure, which we consider should be addressed under Ground 1.</w:t>
      </w:r>
      <w:r w:rsidR="00E174DC">
        <w:rPr>
          <w:rFonts w:ascii="Times New Roman" w:hAnsi="Times New Roman"/>
        </w:rPr>
        <w:t xml:space="preserve"> </w:t>
      </w:r>
      <w:r w:rsidR="00F1441A">
        <w:rPr>
          <w:rFonts w:ascii="Times New Roman" w:hAnsi="Times New Roman"/>
        </w:rPr>
        <w:t xml:space="preserve"> </w:t>
      </w:r>
    </w:p>
    <w:p w:rsidRPr="00EA198C" w:rsidR="00CA4B49" w:rsidP="00C557AC" w:rsidRDefault="00CA4B49" w14:paraId="45E79F58" w14:textId="0F082C02">
      <w:pPr>
        <w:pStyle w:val="Paragraph"/>
        <w:numPr>
          <w:ilvl w:val="0"/>
          <w:numId w:val="0"/>
        </w:numPr>
        <w:tabs>
          <w:tab w:val="left" w:pos="6612"/>
        </w:tabs>
        <w:spacing w:before="0" w:after="0"/>
        <w:ind w:left="360"/>
        <w:jc w:val="both"/>
        <w:rPr>
          <w:rFonts w:ascii="Times New Roman" w:hAnsi="Times New Roman"/>
        </w:rPr>
      </w:pPr>
    </w:p>
    <w:p w:rsidRPr="002975F6" w:rsidR="00487C9E" w:rsidP="00C557AC" w:rsidRDefault="009411A6" w14:paraId="3C9A5F9C" w14:textId="583FF02D">
      <w:pPr>
        <w:pStyle w:val="Paragraph"/>
        <w:numPr>
          <w:ilvl w:val="0"/>
          <w:numId w:val="0"/>
        </w:numPr>
        <w:spacing w:before="0" w:after="0"/>
        <w:ind w:left="1440" w:hanging="1080"/>
        <w:jc w:val="both"/>
        <w:rPr>
          <w:rFonts w:ascii="Times New Roman" w:hAnsi="Times New Roman"/>
          <w:b/>
          <w:bCs/>
          <w:u w:val="single"/>
        </w:rPr>
      </w:pPr>
      <w:r w:rsidRPr="002975F6">
        <w:rPr>
          <w:rFonts w:ascii="Times New Roman" w:hAnsi="Times New Roman"/>
          <w:b/>
          <w:bCs/>
        </w:rPr>
        <w:lastRenderedPageBreak/>
        <w:t>1(a).4</w:t>
      </w:r>
      <w:r w:rsidRPr="002975F6">
        <w:rPr>
          <w:rFonts w:ascii="Times New Roman" w:hAnsi="Times New Roman"/>
          <w:b/>
          <w:bCs/>
        </w:rPr>
        <w:tab/>
      </w:r>
      <w:r w:rsidRPr="002975F6" w:rsidR="00487C9E">
        <w:rPr>
          <w:rFonts w:ascii="Times New Roman" w:hAnsi="Times New Roman"/>
          <w:b/>
          <w:bCs/>
          <w:u w:val="single"/>
        </w:rPr>
        <w:t>The Committee has relied on the EAG’s crit</w:t>
      </w:r>
      <w:r w:rsidR="001D10A9">
        <w:rPr>
          <w:rFonts w:ascii="Times New Roman" w:hAnsi="Times New Roman"/>
          <w:b/>
          <w:bCs/>
          <w:u w:val="single"/>
        </w:rPr>
        <w:t>i</w:t>
      </w:r>
      <w:r w:rsidRPr="002975F6" w:rsidR="00487C9E">
        <w:rPr>
          <w:rFonts w:ascii="Times New Roman" w:hAnsi="Times New Roman"/>
          <w:b/>
          <w:bCs/>
          <w:u w:val="single"/>
        </w:rPr>
        <w:t xml:space="preserve">cisms of the </w:t>
      </w:r>
      <w:proofErr w:type="gramStart"/>
      <w:r w:rsidRPr="002975F6" w:rsidR="00487C9E">
        <w:rPr>
          <w:rFonts w:ascii="Times New Roman" w:hAnsi="Times New Roman"/>
          <w:b/>
          <w:bCs/>
          <w:u w:val="single"/>
        </w:rPr>
        <w:t>long term</w:t>
      </w:r>
      <w:proofErr w:type="gramEnd"/>
      <w:r w:rsidRPr="002975F6" w:rsidR="00487C9E">
        <w:rPr>
          <w:rFonts w:ascii="Times New Roman" w:hAnsi="Times New Roman"/>
          <w:b/>
          <w:bCs/>
          <w:u w:val="single"/>
        </w:rPr>
        <w:t xml:space="preserve"> data for donanemab, even though Lilly was given no opportunity to respond to or clarify these issues </w:t>
      </w:r>
    </w:p>
    <w:p w:rsidR="002975F6" w:rsidP="00C557AC" w:rsidRDefault="002975F6" w14:paraId="4B053B35" w14:textId="77777777">
      <w:pPr>
        <w:pStyle w:val="Paragraph"/>
        <w:numPr>
          <w:ilvl w:val="0"/>
          <w:numId w:val="0"/>
        </w:numPr>
        <w:spacing w:before="0" w:after="0"/>
        <w:ind w:left="1440" w:hanging="1080"/>
        <w:jc w:val="both"/>
        <w:rPr>
          <w:rFonts w:ascii="Times New Roman" w:hAnsi="Times New Roman"/>
        </w:rPr>
      </w:pPr>
    </w:p>
    <w:p w:rsidR="006F20C4" w:rsidP="00C557AC" w:rsidRDefault="00A02DD7" w14:paraId="53A59D85" w14:textId="77777777">
      <w:pPr>
        <w:pStyle w:val="Paragraph"/>
        <w:numPr>
          <w:ilvl w:val="0"/>
          <w:numId w:val="0"/>
        </w:numPr>
        <w:spacing w:before="0" w:after="0"/>
        <w:ind w:left="360"/>
        <w:jc w:val="both"/>
        <w:rPr>
          <w:rFonts w:ascii="Times New Roman" w:hAnsi="Times New Roman"/>
        </w:rPr>
      </w:pPr>
      <w:r>
        <w:rPr>
          <w:rFonts w:ascii="Times New Roman" w:hAnsi="Times New Roman"/>
        </w:rPr>
        <w:t xml:space="preserve">You </w:t>
      </w:r>
      <w:r w:rsidR="000F210D">
        <w:rPr>
          <w:rFonts w:ascii="Times New Roman" w:hAnsi="Times New Roman"/>
        </w:rPr>
        <w:t>say</w:t>
      </w:r>
      <w:r w:rsidR="00BB090A">
        <w:rPr>
          <w:rFonts w:ascii="Times New Roman" w:hAnsi="Times New Roman"/>
        </w:rPr>
        <w:t xml:space="preserve">, </w:t>
      </w:r>
      <w:r>
        <w:rPr>
          <w:rFonts w:ascii="Times New Roman" w:hAnsi="Times New Roman"/>
        </w:rPr>
        <w:t xml:space="preserve">in </w:t>
      </w:r>
      <w:r w:rsidR="008F0B80">
        <w:rPr>
          <w:rFonts w:ascii="Times New Roman" w:hAnsi="Times New Roman"/>
        </w:rPr>
        <w:t xml:space="preserve">the initial scrutiny </w:t>
      </w:r>
      <w:r w:rsidR="00BB090A">
        <w:rPr>
          <w:rFonts w:ascii="Times New Roman" w:hAnsi="Times New Roman"/>
        </w:rPr>
        <w:t xml:space="preserve">letter, </w:t>
      </w:r>
      <w:r w:rsidR="000F210D">
        <w:rPr>
          <w:rFonts w:ascii="Times New Roman" w:hAnsi="Times New Roman"/>
        </w:rPr>
        <w:t xml:space="preserve">that you are not minded </w:t>
      </w:r>
      <w:proofErr w:type="gramStart"/>
      <w:r w:rsidR="000F210D">
        <w:rPr>
          <w:rFonts w:ascii="Times New Roman" w:hAnsi="Times New Roman"/>
        </w:rPr>
        <w:t>to refer</w:t>
      </w:r>
      <w:proofErr w:type="gramEnd"/>
      <w:r w:rsidR="000F210D">
        <w:rPr>
          <w:rFonts w:ascii="Times New Roman" w:hAnsi="Times New Roman"/>
        </w:rPr>
        <w:t xml:space="preserve"> this point of appeal</w:t>
      </w:r>
      <w:r w:rsidR="006F20C4">
        <w:rPr>
          <w:rFonts w:ascii="Times New Roman" w:hAnsi="Times New Roman"/>
        </w:rPr>
        <w:t xml:space="preserve"> to the Appeal Panel.  In reaching this conclusion, you refer to:</w:t>
      </w:r>
    </w:p>
    <w:p w:rsidR="006F20C4" w:rsidP="00C557AC" w:rsidRDefault="00BB090A" w14:paraId="1FA28DF7" w14:textId="77777777">
      <w:pPr>
        <w:pStyle w:val="Paragraph"/>
        <w:numPr>
          <w:ilvl w:val="0"/>
          <w:numId w:val="37"/>
        </w:numPr>
        <w:spacing w:before="0" w:after="0"/>
        <w:jc w:val="both"/>
        <w:rPr>
          <w:rFonts w:ascii="Times New Roman" w:hAnsi="Times New Roman"/>
        </w:rPr>
      </w:pPr>
      <w:r>
        <w:rPr>
          <w:rFonts w:ascii="Times New Roman" w:hAnsi="Times New Roman"/>
        </w:rPr>
        <w:t xml:space="preserve">the fact that </w:t>
      </w:r>
      <w:r w:rsidR="003A1051">
        <w:rPr>
          <w:rFonts w:ascii="Times New Roman" w:hAnsi="Times New Roman"/>
        </w:rPr>
        <w:t xml:space="preserve">following the initial submission, </w:t>
      </w:r>
      <w:r w:rsidR="00696E4D">
        <w:rPr>
          <w:rFonts w:ascii="Times New Roman" w:hAnsi="Times New Roman"/>
        </w:rPr>
        <w:t xml:space="preserve">new data may be </w:t>
      </w:r>
      <w:r w:rsidR="003A1051">
        <w:rPr>
          <w:rFonts w:ascii="Times New Roman" w:hAnsi="Times New Roman"/>
        </w:rPr>
        <w:t>pr</w:t>
      </w:r>
      <w:r w:rsidR="00B013CF">
        <w:rPr>
          <w:rFonts w:ascii="Times New Roman" w:hAnsi="Times New Roman"/>
        </w:rPr>
        <w:t>ovid</w:t>
      </w:r>
      <w:r w:rsidR="003A1051">
        <w:rPr>
          <w:rFonts w:ascii="Times New Roman" w:hAnsi="Times New Roman"/>
        </w:rPr>
        <w:t xml:space="preserve">ed </w:t>
      </w:r>
      <w:r w:rsidR="00B100F5">
        <w:rPr>
          <w:rFonts w:ascii="Times New Roman" w:hAnsi="Times New Roman"/>
        </w:rPr>
        <w:t>o</w:t>
      </w:r>
      <w:r w:rsidR="003A1051">
        <w:rPr>
          <w:rFonts w:ascii="Times New Roman" w:hAnsi="Times New Roman"/>
        </w:rPr>
        <w:t xml:space="preserve">nly with </w:t>
      </w:r>
      <w:r w:rsidR="00B013CF">
        <w:rPr>
          <w:rFonts w:ascii="Times New Roman" w:hAnsi="Times New Roman"/>
        </w:rPr>
        <w:t>t</w:t>
      </w:r>
      <w:r w:rsidR="003A1051">
        <w:rPr>
          <w:rFonts w:ascii="Times New Roman" w:hAnsi="Times New Roman"/>
        </w:rPr>
        <w:t xml:space="preserve">he </w:t>
      </w:r>
      <w:r w:rsidR="00B100F5">
        <w:rPr>
          <w:rFonts w:ascii="Times New Roman" w:hAnsi="Times New Roman"/>
        </w:rPr>
        <w:t xml:space="preserve">agreement of NICE and say that </w:t>
      </w:r>
      <w:r w:rsidR="00EA3620">
        <w:rPr>
          <w:rFonts w:ascii="Times New Roman" w:hAnsi="Times New Roman"/>
        </w:rPr>
        <w:t xml:space="preserve">it is important that NICE operates its programmes efficiently and without delay and that </w:t>
      </w:r>
      <w:r w:rsidR="00B100F5">
        <w:rPr>
          <w:rFonts w:ascii="Times New Roman" w:hAnsi="Times New Roman"/>
        </w:rPr>
        <w:t xml:space="preserve">there is </w:t>
      </w:r>
      <w:r w:rsidR="000272C7">
        <w:rPr>
          <w:rFonts w:ascii="Times New Roman" w:hAnsi="Times New Roman"/>
        </w:rPr>
        <w:t xml:space="preserve">no right for </w:t>
      </w:r>
      <w:r w:rsidR="00F403EA">
        <w:rPr>
          <w:rFonts w:ascii="Times New Roman" w:hAnsi="Times New Roman"/>
        </w:rPr>
        <w:t>consultees</w:t>
      </w:r>
      <w:r w:rsidR="00BD0BEB">
        <w:rPr>
          <w:rFonts w:ascii="Times New Roman" w:hAnsi="Times New Roman"/>
        </w:rPr>
        <w:t xml:space="preserve"> to </w:t>
      </w:r>
      <w:r w:rsidR="00590499">
        <w:rPr>
          <w:rFonts w:ascii="Times New Roman" w:hAnsi="Times New Roman"/>
        </w:rPr>
        <w:t xml:space="preserve">reply to each piece of evidence </w:t>
      </w:r>
      <w:proofErr w:type="gramStart"/>
      <w:r w:rsidR="00590499">
        <w:rPr>
          <w:rFonts w:ascii="Times New Roman" w:hAnsi="Times New Roman"/>
        </w:rPr>
        <w:t>submitted</w:t>
      </w:r>
      <w:r w:rsidR="006F20C4">
        <w:rPr>
          <w:rFonts w:ascii="Times New Roman" w:hAnsi="Times New Roman"/>
        </w:rPr>
        <w:t>;</w:t>
      </w:r>
      <w:proofErr w:type="gramEnd"/>
    </w:p>
    <w:p w:rsidR="00875FD8" w:rsidP="00C557AC" w:rsidRDefault="006F20C4" w14:paraId="61C3EFA7" w14:textId="601B3E0A">
      <w:pPr>
        <w:pStyle w:val="Paragraph"/>
        <w:spacing w:before="0" w:after="0"/>
        <w:jc w:val="both"/>
        <w:rPr>
          <w:rFonts w:ascii="Times New Roman" w:hAnsi="Times New Roman"/>
        </w:rPr>
      </w:pPr>
      <w:r w:rsidRPr="6DE2731B">
        <w:rPr>
          <w:rFonts w:ascii="Times New Roman" w:hAnsi="Times New Roman"/>
        </w:rPr>
        <w:t xml:space="preserve">your </w:t>
      </w:r>
      <w:r w:rsidRPr="6DE2731B" w:rsidR="00111F08">
        <w:rPr>
          <w:rFonts w:ascii="Times New Roman" w:hAnsi="Times New Roman"/>
        </w:rPr>
        <w:t xml:space="preserve">conclusion </w:t>
      </w:r>
      <w:r w:rsidRPr="6DE2731B" w:rsidR="00364A4A">
        <w:rPr>
          <w:rFonts w:ascii="Times New Roman" w:hAnsi="Times New Roman"/>
        </w:rPr>
        <w:t xml:space="preserve">that </w:t>
      </w:r>
      <w:r w:rsidRPr="6DE2731B" w:rsidR="008C69CC">
        <w:rPr>
          <w:rFonts w:ascii="Times New Roman" w:hAnsi="Times New Roman"/>
        </w:rPr>
        <w:t xml:space="preserve">the </w:t>
      </w:r>
      <w:proofErr w:type="gramStart"/>
      <w:r w:rsidRPr="6DE2731B" w:rsidR="008C69CC">
        <w:rPr>
          <w:rFonts w:ascii="Times New Roman" w:hAnsi="Times New Roman"/>
        </w:rPr>
        <w:t>longer term</w:t>
      </w:r>
      <w:proofErr w:type="gramEnd"/>
      <w:r w:rsidRPr="6DE2731B" w:rsidR="008C69CC">
        <w:rPr>
          <w:rFonts w:ascii="Times New Roman" w:hAnsi="Times New Roman"/>
        </w:rPr>
        <w:t xml:space="preserve"> dat</w:t>
      </w:r>
      <w:r w:rsidRPr="6DE2731B" w:rsidR="00C44863">
        <w:rPr>
          <w:rFonts w:ascii="Times New Roman" w:hAnsi="Times New Roman"/>
        </w:rPr>
        <w:t xml:space="preserve">a made </w:t>
      </w:r>
      <w:r w:rsidRPr="6DE2731B" w:rsidR="008C69CC">
        <w:rPr>
          <w:rFonts w:ascii="Times New Roman" w:hAnsi="Times New Roman"/>
        </w:rPr>
        <w:t xml:space="preserve">little difference to the </w:t>
      </w:r>
      <w:proofErr w:type="gramStart"/>
      <w:r w:rsidRPr="6DE2731B" w:rsidR="008C69CC">
        <w:rPr>
          <w:rFonts w:ascii="Times New Roman" w:hAnsi="Times New Roman"/>
        </w:rPr>
        <w:t>ICER</w:t>
      </w:r>
      <w:r w:rsidRPr="6DE2731B" w:rsidR="00875FD8">
        <w:rPr>
          <w:rFonts w:ascii="Times New Roman" w:hAnsi="Times New Roman"/>
        </w:rPr>
        <w:t>;</w:t>
      </w:r>
      <w:proofErr w:type="gramEnd"/>
    </w:p>
    <w:p w:rsidR="00D75767" w:rsidP="00C557AC" w:rsidRDefault="00D75767" w14:paraId="74243631" w14:textId="77777777">
      <w:pPr>
        <w:pStyle w:val="Paragraph"/>
        <w:numPr>
          <w:ilvl w:val="0"/>
          <w:numId w:val="37"/>
        </w:numPr>
        <w:spacing w:before="0" w:after="0"/>
        <w:jc w:val="both"/>
        <w:rPr>
          <w:rFonts w:ascii="Times New Roman" w:hAnsi="Times New Roman"/>
        </w:rPr>
      </w:pPr>
      <w:r>
        <w:rPr>
          <w:rFonts w:ascii="Times New Roman" w:hAnsi="Times New Roman"/>
        </w:rPr>
        <w:t xml:space="preserve">the fact </w:t>
      </w:r>
      <w:r w:rsidR="00744F86">
        <w:rPr>
          <w:rFonts w:ascii="Times New Roman" w:hAnsi="Times New Roman"/>
        </w:rPr>
        <w:t xml:space="preserve">that, despite the concerns expressed by the </w:t>
      </w:r>
      <w:r w:rsidR="006F626E">
        <w:rPr>
          <w:rFonts w:ascii="Times New Roman" w:hAnsi="Times New Roman"/>
        </w:rPr>
        <w:t>EAG</w:t>
      </w:r>
      <w:r>
        <w:rPr>
          <w:rFonts w:ascii="Times New Roman" w:hAnsi="Times New Roman"/>
        </w:rPr>
        <w:t>; and</w:t>
      </w:r>
    </w:p>
    <w:p w:rsidR="001C1111" w:rsidP="00C557AC" w:rsidRDefault="0020065C" w14:paraId="5D65FE02" w14:textId="77777777">
      <w:pPr>
        <w:pStyle w:val="Paragraph"/>
        <w:numPr>
          <w:ilvl w:val="0"/>
          <w:numId w:val="37"/>
        </w:numPr>
        <w:spacing w:before="0" w:after="0"/>
        <w:jc w:val="both"/>
        <w:rPr>
          <w:rFonts w:ascii="Times New Roman" w:hAnsi="Times New Roman"/>
        </w:rPr>
      </w:pPr>
      <w:r>
        <w:rPr>
          <w:rFonts w:ascii="Times New Roman" w:hAnsi="Times New Roman"/>
        </w:rPr>
        <w:t xml:space="preserve">in addition to the </w:t>
      </w:r>
      <w:r w:rsidR="00DE00AD">
        <w:rPr>
          <w:rFonts w:ascii="Times New Roman" w:hAnsi="Times New Roman"/>
        </w:rPr>
        <w:t xml:space="preserve">issues raised by the EAG, </w:t>
      </w:r>
      <w:r w:rsidR="0099432D">
        <w:rPr>
          <w:rFonts w:ascii="Times New Roman" w:hAnsi="Times New Roman"/>
        </w:rPr>
        <w:t xml:space="preserve">the Committee concluded that the results of the </w:t>
      </w:r>
      <w:proofErr w:type="gramStart"/>
      <w:r w:rsidR="0099432D">
        <w:rPr>
          <w:rFonts w:ascii="Times New Roman" w:hAnsi="Times New Roman"/>
        </w:rPr>
        <w:t>long term</w:t>
      </w:r>
      <w:proofErr w:type="gramEnd"/>
      <w:r w:rsidR="0099432D">
        <w:rPr>
          <w:rFonts w:ascii="Times New Roman" w:hAnsi="Times New Roman"/>
        </w:rPr>
        <w:t xml:space="preserve"> extension study were uncertain because there </w:t>
      </w:r>
      <w:r w:rsidR="001C1111">
        <w:rPr>
          <w:rFonts w:ascii="Times New Roman" w:hAnsi="Times New Roman"/>
        </w:rPr>
        <w:t xml:space="preserve">was no randomised comparison with placebo after 18 months. </w:t>
      </w:r>
    </w:p>
    <w:p w:rsidR="001C1111" w:rsidP="00C557AC" w:rsidRDefault="001C1111" w14:paraId="0946E466" w14:textId="77777777">
      <w:pPr>
        <w:pStyle w:val="Paragraph"/>
        <w:numPr>
          <w:ilvl w:val="0"/>
          <w:numId w:val="0"/>
        </w:numPr>
        <w:spacing w:before="0" w:after="0"/>
        <w:ind w:left="360"/>
        <w:jc w:val="both"/>
        <w:rPr>
          <w:rFonts w:ascii="Times New Roman" w:hAnsi="Times New Roman"/>
        </w:rPr>
      </w:pPr>
    </w:p>
    <w:p w:rsidR="00A25B48" w:rsidP="00C557AC" w:rsidRDefault="001C1111" w14:paraId="0D9DDA24" w14:textId="4B8F39FD">
      <w:pPr>
        <w:pStyle w:val="Paragraph"/>
        <w:numPr>
          <w:ilvl w:val="0"/>
          <w:numId w:val="0"/>
        </w:numPr>
        <w:spacing w:before="0" w:after="0"/>
        <w:ind w:left="360"/>
        <w:jc w:val="both"/>
        <w:rPr>
          <w:rFonts w:ascii="Times New Roman" w:hAnsi="Times New Roman"/>
        </w:rPr>
      </w:pPr>
      <w:r>
        <w:rPr>
          <w:rFonts w:ascii="Times New Roman" w:hAnsi="Times New Roman"/>
        </w:rPr>
        <w:t xml:space="preserve">In these circumstances </w:t>
      </w:r>
      <w:r w:rsidR="00C44863">
        <w:rPr>
          <w:rFonts w:ascii="Times New Roman" w:hAnsi="Times New Roman"/>
        </w:rPr>
        <w:t>you consider that</w:t>
      </w:r>
      <w:r w:rsidR="005275B8">
        <w:rPr>
          <w:rFonts w:ascii="Times New Roman" w:hAnsi="Times New Roman"/>
        </w:rPr>
        <w:t xml:space="preserve"> Lilly’s inability to respond to the criticisms </w:t>
      </w:r>
      <w:r w:rsidR="00333506">
        <w:rPr>
          <w:rFonts w:ascii="Times New Roman" w:hAnsi="Times New Roman"/>
        </w:rPr>
        <w:t xml:space="preserve">of the data made by the </w:t>
      </w:r>
      <w:r w:rsidR="009E7267">
        <w:rPr>
          <w:rFonts w:ascii="Times New Roman" w:hAnsi="Times New Roman"/>
        </w:rPr>
        <w:t xml:space="preserve">EAG </w:t>
      </w:r>
      <w:r w:rsidR="00A11A15">
        <w:rPr>
          <w:rFonts w:ascii="Times New Roman" w:hAnsi="Times New Roman"/>
        </w:rPr>
        <w:t>was not procedurally unfair.</w:t>
      </w:r>
    </w:p>
    <w:p w:rsidR="001C1111" w:rsidP="00C557AC" w:rsidRDefault="001C1111" w14:paraId="1DB06871" w14:textId="77777777">
      <w:pPr>
        <w:pStyle w:val="Paragraph"/>
        <w:numPr>
          <w:ilvl w:val="0"/>
          <w:numId w:val="0"/>
        </w:numPr>
        <w:spacing w:before="0" w:after="0"/>
        <w:ind w:left="360"/>
        <w:jc w:val="both"/>
        <w:rPr>
          <w:rFonts w:ascii="Times New Roman" w:hAnsi="Times New Roman"/>
        </w:rPr>
      </w:pPr>
    </w:p>
    <w:p w:rsidR="00A25B48" w:rsidP="00C557AC" w:rsidRDefault="00C2137B" w14:paraId="02888B5B" w14:textId="4343FF8B">
      <w:pPr>
        <w:pStyle w:val="Paragraph"/>
        <w:numPr>
          <w:ilvl w:val="0"/>
          <w:numId w:val="0"/>
        </w:numPr>
        <w:spacing w:before="0" w:after="0"/>
        <w:ind w:left="360"/>
        <w:jc w:val="both"/>
        <w:rPr>
          <w:rFonts w:ascii="Times New Roman" w:hAnsi="Times New Roman"/>
        </w:rPr>
      </w:pPr>
      <w:r>
        <w:rPr>
          <w:rFonts w:ascii="Times New Roman" w:hAnsi="Times New Roman"/>
        </w:rPr>
        <w:t>However</w:t>
      </w:r>
      <w:r w:rsidR="00A5148D">
        <w:rPr>
          <w:rFonts w:ascii="Times New Roman" w:hAnsi="Times New Roman"/>
        </w:rPr>
        <w:t xml:space="preserve">, </w:t>
      </w:r>
      <w:r w:rsidR="003544ED">
        <w:rPr>
          <w:rFonts w:ascii="Times New Roman" w:hAnsi="Times New Roman"/>
        </w:rPr>
        <w:t xml:space="preserve">while it is correct that additional </w:t>
      </w:r>
      <w:r w:rsidR="00D21DDF">
        <w:rPr>
          <w:rFonts w:ascii="Times New Roman" w:hAnsi="Times New Roman"/>
        </w:rPr>
        <w:t xml:space="preserve">evidence </w:t>
      </w:r>
      <w:r w:rsidR="003544ED">
        <w:rPr>
          <w:rFonts w:ascii="Times New Roman" w:hAnsi="Times New Roman"/>
        </w:rPr>
        <w:t xml:space="preserve">may be submitted </w:t>
      </w:r>
      <w:r w:rsidR="00FA4911">
        <w:rPr>
          <w:rFonts w:ascii="Times New Roman" w:hAnsi="Times New Roman"/>
        </w:rPr>
        <w:t xml:space="preserve">after the initial </w:t>
      </w:r>
      <w:r w:rsidR="001B639B">
        <w:rPr>
          <w:rFonts w:ascii="Times New Roman" w:hAnsi="Times New Roman"/>
        </w:rPr>
        <w:t xml:space="preserve">dossier only where this agreed </w:t>
      </w:r>
      <w:r w:rsidR="00C07E66">
        <w:rPr>
          <w:rFonts w:ascii="Times New Roman" w:hAnsi="Times New Roman"/>
        </w:rPr>
        <w:t>b</w:t>
      </w:r>
      <w:r w:rsidR="0097371A">
        <w:rPr>
          <w:rFonts w:ascii="Times New Roman" w:hAnsi="Times New Roman"/>
        </w:rPr>
        <w:t>y</w:t>
      </w:r>
      <w:r w:rsidR="003544ED">
        <w:rPr>
          <w:rFonts w:ascii="Times New Roman" w:hAnsi="Times New Roman"/>
        </w:rPr>
        <w:t xml:space="preserve"> NI</w:t>
      </w:r>
      <w:r w:rsidR="00607075">
        <w:rPr>
          <w:rFonts w:ascii="Times New Roman" w:hAnsi="Times New Roman"/>
        </w:rPr>
        <w:t>CE, in cases such as this whe</w:t>
      </w:r>
      <w:r w:rsidR="007F1AB9">
        <w:rPr>
          <w:rFonts w:ascii="Times New Roman" w:hAnsi="Times New Roman"/>
        </w:rPr>
        <w:t>r</w:t>
      </w:r>
      <w:r w:rsidR="00607075">
        <w:rPr>
          <w:rFonts w:ascii="Times New Roman" w:hAnsi="Times New Roman"/>
        </w:rPr>
        <w:t xml:space="preserve">e NICE has agreed to accept additional data (including the </w:t>
      </w:r>
      <w:proofErr w:type="gramStart"/>
      <w:r w:rsidR="00607075">
        <w:rPr>
          <w:rFonts w:ascii="Times New Roman" w:hAnsi="Times New Roman"/>
        </w:rPr>
        <w:t>long term</w:t>
      </w:r>
      <w:proofErr w:type="gramEnd"/>
      <w:r w:rsidR="00607075">
        <w:rPr>
          <w:rFonts w:ascii="Times New Roman" w:hAnsi="Times New Roman"/>
        </w:rPr>
        <w:t xml:space="preserve"> data </w:t>
      </w:r>
      <w:r w:rsidR="00C1230A">
        <w:rPr>
          <w:rFonts w:ascii="Times New Roman" w:hAnsi="Times New Roman"/>
        </w:rPr>
        <w:t>for donanemab</w:t>
      </w:r>
      <w:r w:rsidR="009208E5">
        <w:rPr>
          <w:rFonts w:ascii="Times New Roman" w:hAnsi="Times New Roman"/>
        </w:rPr>
        <w:t>)</w:t>
      </w:r>
      <w:r w:rsidR="00C4465E">
        <w:rPr>
          <w:rFonts w:ascii="Times New Roman" w:hAnsi="Times New Roman"/>
        </w:rPr>
        <w:t xml:space="preserve"> it is required to implement a fair procedure for review and consideration of this </w:t>
      </w:r>
      <w:r w:rsidR="00D21DDF">
        <w:rPr>
          <w:rFonts w:ascii="Times New Roman" w:hAnsi="Times New Roman"/>
        </w:rPr>
        <w:t xml:space="preserve">new </w:t>
      </w:r>
      <w:r w:rsidR="00871DE6">
        <w:rPr>
          <w:rFonts w:ascii="Times New Roman" w:hAnsi="Times New Roman"/>
        </w:rPr>
        <w:t>material</w:t>
      </w:r>
      <w:r w:rsidR="00D21DDF">
        <w:rPr>
          <w:rFonts w:ascii="Times New Roman" w:hAnsi="Times New Roman"/>
        </w:rPr>
        <w:t xml:space="preserve">.  </w:t>
      </w:r>
      <w:r w:rsidR="00D2253A">
        <w:rPr>
          <w:rFonts w:ascii="Times New Roman" w:hAnsi="Times New Roman"/>
        </w:rPr>
        <w:t xml:space="preserve">Lilly </w:t>
      </w:r>
      <w:r w:rsidR="006E1EFA">
        <w:rPr>
          <w:rFonts w:ascii="Times New Roman" w:hAnsi="Times New Roman"/>
        </w:rPr>
        <w:t xml:space="preserve">submitted </w:t>
      </w:r>
      <w:r w:rsidR="00707D96">
        <w:rPr>
          <w:rFonts w:ascii="Times New Roman" w:hAnsi="Times New Roman"/>
        </w:rPr>
        <w:t>data from the</w:t>
      </w:r>
      <w:r w:rsidRPr="00707D96" w:rsidR="00707D96">
        <w:rPr>
          <w:rFonts w:ascii="Times New Roman" w:hAnsi="Times New Roman"/>
        </w:rPr>
        <w:t xml:space="preserve"> </w:t>
      </w:r>
      <w:r w:rsidR="00707D96">
        <w:rPr>
          <w:rFonts w:ascii="Times New Roman" w:hAnsi="Times New Roman"/>
        </w:rPr>
        <w:t xml:space="preserve">TRAILBLAZER-ALZ 2 long term extension study </w:t>
      </w:r>
      <w:r w:rsidR="005B2FA1">
        <w:rPr>
          <w:rFonts w:ascii="Times New Roman" w:hAnsi="Times New Roman"/>
        </w:rPr>
        <w:t xml:space="preserve">in response to consultation on the second Draft Guidance and </w:t>
      </w:r>
      <w:r w:rsidR="00474631">
        <w:rPr>
          <w:rFonts w:ascii="Times New Roman" w:hAnsi="Times New Roman"/>
        </w:rPr>
        <w:t xml:space="preserve">this evidence was accepted by NICE. </w:t>
      </w:r>
      <w:r w:rsidR="00AF014F">
        <w:rPr>
          <w:rFonts w:ascii="Times New Roman" w:hAnsi="Times New Roman"/>
        </w:rPr>
        <w:t xml:space="preserve"> Lilly’s submission was forwarded to the EA</w:t>
      </w:r>
      <w:r w:rsidR="009B62F9">
        <w:rPr>
          <w:rFonts w:ascii="Times New Roman" w:hAnsi="Times New Roman"/>
        </w:rPr>
        <w:t xml:space="preserve">G. </w:t>
      </w:r>
      <w:r w:rsidR="00202C72">
        <w:rPr>
          <w:rFonts w:ascii="Times New Roman" w:hAnsi="Times New Roman"/>
        </w:rPr>
        <w:t xml:space="preserve">who </w:t>
      </w:r>
      <w:r w:rsidR="009B62F9">
        <w:rPr>
          <w:rFonts w:ascii="Times New Roman" w:hAnsi="Times New Roman"/>
        </w:rPr>
        <w:t>made various criticisms of the data</w:t>
      </w:r>
      <w:r w:rsidR="001F2F31">
        <w:rPr>
          <w:rFonts w:ascii="Times New Roman" w:hAnsi="Times New Roman"/>
        </w:rPr>
        <w:t>, which were considered and accepted by the Committee at ACM3.</w:t>
      </w:r>
      <w:r w:rsidR="00A76A20">
        <w:rPr>
          <w:rFonts w:ascii="Times New Roman" w:hAnsi="Times New Roman"/>
        </w:rPr>
        <w:t xml:space="preserve">  Lilly </w:t>
      </w:r>
      <w:r w:rsidR="004571F5">
        <w:rPr>
          <w:rFonts w:ascii="Times New Roman" w:hAnsi="Times New Roman"/>
        </w:rPr>
        <w:t xml:space="preserve">disagrees with the </w:t>
      </w:r>
      <w:r w:rsidR="00862411">
        <w:rPr>
          <w:rFonts w:ascii="Times New Roman" w:hAnsi="Times New Roman"/>
        </w:rPr>
        <w:t xml:space="preserve">criticisms </w:t>
      </w:r>
      <w:r w:rsidR="004571F5">
        <w:rPr>
          <w:rFonts w:ascii="Times New Roman" w:hAnsi="Times New Roman"/>
        </w:rPr>
        <w:t xml:space="preserve">made by the EAG and as set out in the FDG (including the statement that the results are uncertain because </w:t>
      </w:r>
      <w:r w:rsidR="00BA4937">
        <w:rPr>
          <w:rFonts w:ascii="Times New Roman" w:hAnsi="Times New Roman"/>
        </w:rPr>
        <w:t>there was no randomised comparison with placebo after 18 months</w:t>
      </w:r>
      <w:r w:rsidR="00862411">
        <w:rPr>
          <w:rFonts w:ascii="Times New Roman" w:hAnsi="Times New Roman"/>
        </w:rPr>
        <w:t>)</w:t>
      </w:r>
      <w:r w:rsidR="000257CA">
        <w:rPr>
          <w:rFonts w:ascii="Times New Roman" w:hAnsi="Times New Roman"/>
        </w:rPr>
        <w:t xml:space="preserve"> and would have wished to address them.</w:t>
      </w:r>
      <w:r w:rsidR="00862411">
        <w:rPr>
          <w:rFonts w:ascii="Times New Roman" w:hAnsi="Times New Roman"/>
        </w:rPr>
        <w:t xml:space="preserve">  </w:t>
      </w:r>
    </w:p>
    <w:p w:rsidR="00260189" w:rsidP="00C557AC" w:rsidRDefault="00260189" w14:paraId="06596D33" w14:textId="77777777">
      <w:pPr>
        <w:pStyle w:val="Paragraph"/>
        <w:numPr>
          <w:ilvl w:val="0"/>
          <w:numId w:val="0"/>
        </w:numPr>
        <w:spacing w:before="0" w:after="0"/>
        <w:ind w:left="360"/>
        <w:jc w:val="both"/>
        <w:rPr>
          <w:rFonts w:ascii="Times New Roman" w:hAnsi="Times New Roman"/>
        </w:rPr>
      </w:pPr>
    </w:p>
    <w:p w:rsidR="00260189" w:rsidP="00C557AC" w:rsidRDefault="00260189" w14:paraId="4D2EBE14" w14:textId="1B49D7A2">
      <w:pPr>
        <w:pStyle w:val="Paragraph"/>
        <w:numPr>
          <w:ilvl w:val="0"/>
          <w:numId w:val="0"/>
        </w:numPr>
        <w:spacing w:before="0" w:after="0"/>
        <w:ind w:left="360"/>
        <w:jc w:val="both"/>
        <w:rPr>
          <w:rFonts w:ascii="Times New Roman" w:hAnsi="Times New Roman"/>
        </w:rPr>
      </w:pPr>
      <w:r>
        <w:rPr>
          <w:rFonts w:ascii="Times New Roman" w:hAnsi="Times New Roman"/>
        </w:rPr>
        <w:t xml:space="preserve">Finally, </w:t>
      </w:r>
      <w:r w:rsidR="009D30F6">
        <w:rPr>
          <w:rFonts w:ascii="Times New Roman" w:hAnsi="Times New Roman"/>
        </w:rPr>
        <w:t xml:space="preserve">the basis for </w:t>
      </w:r>
      <w:r>
        <w:rPr>
          <w:rFonts w:ascii="Times New Roman" w:hAnsi="Times New Roman"/>
        </w:rPr>
        <w:t xml:space="preserve">your suggestion that the </w:t>
      </w:r>
      <w:proofErr w:type="gramStart"/>
      <w:r>
        <w:rPr>
          <w:rFonts w:ascii="Times New Roman" w:hAnsi="Times New Roman"/>
        </w:rPr>
        <w:t>long term</w:t>
      </w:r>
      <w:proofErr w:type="gramEnd"/>
      <w:r>
        <w:rPr>
          <w:rFonts w:ascii="Times New Roman" w:hAnsi="Times New Roman"/>
        </w:rPr>
        <w:t xml:space="preserve"> data </w:t>
      </w:r>
      <w:r w:rsidR="009D30F6">
        <w:rPr>
          <w:rFonts w:ascii="Times New Roman" w:hAnsi="Times New Roman"/>
        </w:rPr>
        <w:t>d</w:t>
      </w:r>
      <w:r>
        <w:rPr>
          <w:rFonts w:ascii="Times New Roman" w:hAnsi="Times New Roman"/>
        </w:rPr>
        <w:t xml:space="preserve">o not exert a significant </w:t>
      </w:r>
      <w:r w:rsidR="00963927">
        <w:rPr>
          <w:rFonts w:ascii="Times New Roman" w:hAnsi="Times New Roman"/>
        </w:rPr>
        <w:t xml:space="preserve">effect on the ICER </w:t>
      </w:r>
      <w:r w:rsidR="009D30F6">
        <w:rPr>
          <w:rFonts w:ascii="Times New Roman" w:hAnsi="Times New Roman"/>
        </w:rPr>
        <w:t xml:space="preserve">is unclear.  </w:t>
      </w:r>
      <w:r w:rsidR="00E84682">
        <w:rPr>
          <w:rFonts w:ascii="Times New Roman" w:hAnsi="Times New Roman"/>
        </w:rPr>
        <w:t xml:space="preserve">This is not stated in the FDG and </w:t>
      </w:r>
      <w:r w:rsidR="00886D1B">
        <w:rPr>
          <w:rFonts w:ascii="Times New Roman" w:hAnsi="Times New Roman"/>
        </w:rPr>
        <w:t>Slide 6 o</w:t>
      </w:r>
      <w:r w:rsidR="00E84682">
        <w:rPr>
          <w:rFonts w:ascii="Times New Roman" w:hAnsi="Times New Roman"/>
        </w:rPr>
        <w:t>f</w:t>
      </w:r>
      <w:r w:rsidR="00886D1B">
        <w:rPr>
          <w:rFonts w:ascii="Times New Roman" w:hAnsi="Times New Roman"/>
        </w:rPr>
        <w:t xml:space="preserve"> NICE’s C</w:t>
      </w:r>
      <w:r w:rsidR="00EC324B">
        <w:rPr>
          <w:rFonts w:ascii="Times New Roman" w:hAnsi="Times New Roman"/>
        </w:rPr>
        <w:t>ommittee slides for ACM3 confirm</w:t>
      </w:r>
      <w:r w:rsidR="00E84682">
        <w:rPr>
          <w:rFonts w:ascii="Times New Roman" w:hAnsi="Times New Roman"/>
        </w:rPr>
        <w:t>s</w:t>
      </w:r>
      <w:r w:rsidR="00EC324B">
        <w:rPr>
          <w:rFonts w:ascii="Times New Roman" w:hAnsi="Times New Roman"/>
        </w:rPr>
        <w:t xml:space="preserve"> a “</w:t>
      </w:r>
      <w:r w:rsidRPr="00F525F8" w:rsidR="00EC324B">
        <w:rPr>
          <w:rFonts w:ascii="Times New Roman" w:hAnsi="Times New Roman"/>
          <w:i/>
          <w:iCs/>
        </w:rPr>
        <w:t>Large</w:t>
      </w:r>
      <w:r w:rsidR="00EC324B">
        <w:rPr>
          <w:rFonts w:ascii="Times New Roman" w:hAnsi="Times New Roman"/>
        </w:rPr>
        <w:t xml:space="preserve">” ICER impact.  </w:t>
      </w:r>
      <w:r w:rsidR="005C50B5">
        <w:rPr>
          <w:rFonts w:ascii="Times New Roman" w:hAnsi="Times New Roman"/>
        </w:rPr>
        <w:t>Furthermore, even a small impact on the ICER would not j</w:t>
      </w:r>
      <w:r w:rsidR="00963927">
        <w:rPr>
          <w:rFonts w:ascii="Times New Roman" w:hAnsi="Times New Roman"/>
        </w:rPr>
        <w:t xml:space="preserve">ustify the failure to allow Lilly to comment on the criticisms of the </w:t>
      </w:r>
      <w:r w:rsidR="009E7BB6">
        <w:rPr>
          <w:rFonts w:ascii="Times New Roman" w:hAnsi="Times New Roman"/>
        </w:rPr>
        <w:t xml:space="preserve">data.  In particular, </w:t>
      </w:r>
      <w:r w:rsidR="00576428">
        <w:rPr>
          <w:rFonts w:ascii="Times New Roman" w:hAnsi="Times New Roman"/>
        </w:rPr>
        <w:t xml:space="preserve">the initial scrutiny letter does not address the important issue, </w:t>
      </w:r>
      <w:r w:rsidR="00D703D8">
        <w:rPr>
          <w:rFonts w:ascii="Times New Roman" w:hAnsi="Times New Roman"/>
        </w:rPr>
        <w:t>s</w:t>
      </w:r>
      <w:r w:rsidR="009E7BB6">
        <w:rPr>
          <w:rFonts w:ascii="Times New Roman" w:hAnsi="Times New Roman"/>
        </w:rPr>
        <w:t xml:space="preserve">tated in our </w:t>
      </w:r>
      <w:r w:rsidR="007D6237">
        <w:rPr>
          <w:rFonts w:ascii="Times New Roman" w:hAnsi="Times New Roman"/>
        </w:rPr>
        <w:t xml:space="preserve">appeal letter, </w:t>
      </w:r>
      <w:r w:rsidR="00D703D8">
        <w:rPr>
          <w:rFonts w:ascii="Times New Roman" w:hAnsi="Times New Roman"/>
        </w:rPr>
        <w:t xml:space="preserve">that </w:t>
      </w:r>
      <w:r w:rsidR="007D6237">
        <w:rPr>
          <w:rFonts w:ascii="Times New Roman" w:hAnsi="Times New Roman"/>
        </w:rPr>
        <w:t xml:space="preserve">the </w:t>
      </w:r>
      <w:r w:rsidR="00140E84">
        <w:rPr>
          <w:rFonts w:ascii="Times New Roman" w:hAnsi="Times New Roman"/>
        </w:rPr>
        <w:t>“</w:t>
      </w:r>
      <w:r w:rsidRPr="00D703D8" w:rsidR="00140E84">
        <w:rPr>
          <w:rFonts w:ascii="Times New Roman" w:hAnsi="Times New Roman"/>
          <w:i/>
          <w:iCs/>
        </w:rPr>
        <w:t>long-term extension data is central to this appraisal as it underpins the significant and enduring clinical effect of donanemab beyond treatment discontinuation, highlighting its disease-modifying effect”</w:t>
      </w:r>
      <w:r w:rsidR="00140E84">
        <w:rPr>
          <w:rFonts w:ascii="Times New Roman" w:hAnsi="Times New Roman"/>
        </w:rPr>
        <w:t xml:space="preserve"> and </w:t>
      </w:r>
      <w:r w:rsidR="00576428">
        <w:rPr>
          <w:rFonts w:ascii="Times New Roman" w:hAnsi="Times New Roman"/>
        </w:rPr>
        <w:t>supporting a recommendation for managed access</w:t>
      </w:r>
      <w:r w:rsidRPr="7D1AB002" w:rsidR="00140E84">
        <w:rPr>
          <w:rFonts w:ascii="Times New Roman" w:hAnsi="Times New Roman"/>
        </w:rPr>
        <w:t>.</w:t>
      </w:r>
    </w:p>
    <w:p w:rsidR="00462445" w:rsidP="00C557AC" w:rsidRDefault="00462445" w14:paraId="5E33A74C" w14:textId="77777777">
      <w:pPr>
        <w:pStyle w:val="Paragraph"/>
        <w:numPr>
          <w:ilvl w:val="0"/>
          <w:numId w:val="0"/>
        </w:numPr>
        <w:spacing w:before="0" w:after="0"/>
        <w:ind w:left="360"/>
        <w:jc w:val="both"/>
        <w:rPr>
          <w:rFonts w:ascii="Times New Roman" w:hAnsi="Times New Roman"/>
        </w:rPr>
      </w:pPr>
    </w:p>
    <w:p w:rsidR="00492001" w:rsidP="00C557AC" w:rsidRDefault="00492001" w14:paraId="37EA8348" w14:textId="429F147D">
      <w:pPr>
        <w:pStyle w:val="Paragraph"/>
        <w:numPr>
          <w:ilvl w:val="0"/>
          <w:numId w:val="0"/>
        </w:numPr>
        <w:spacing w:before="0" w:after="0"/>
        <w:ind w:left="360"/>
        <w:jc w:val="both"/>
        <w:rPr>
          <w:rFonts w:ascii="Times New Roman" w:hAnsi="Times New Roman"/>
        </w:rPr>
      </w:pPr>
      <w:r>
        <w:rPr>
          <w:rFonts w:ascii="Times New Roman" w:hAnsi="Times New Roman"/>
        </w:rPr>
        <w:t xml:space="preserve">In summary therefore, as a matter of fairness, Lilly should have been given an opportunity to respond to the criticisms of the </w:t>
      </w:r>
      <w:proofErr w:type="gramStart"/>
      <w:r>
        <w:rPr>
          <w:rFonts w:ascii="Times New Roman" w:hAnsi="Times New Roman"/>
        </w:rPr>
        <w:t>long term</w:t>
      </w:r>
      <w:proofErr w:type="gramEnd"/>
      <w:r>
        <w:rPr>
          <w:rFonts w:ascii="Times New Roman" w:hAnsi="Times New Roman"/>
        </w:rPr>
        <w:t xml:space="preserve"> data in advance of ACM3 or at the meeting </w:t>
      </w:r>
      <w:r>
        <w:rPr>
          <w:rFonts w:ascii="Times New Roman" w:hAnsi="Times New Roman"/>
        </w:rPr>
        <w:lastRenderedPageBreak/>
        <w:t>itself</w:t>
      </w:r>
      <w:r w:rsidR="00787D01">
        <w:rPr>
          <w:rFonts w:ascii="Times New Roman" w:hAnsi="Times New Roman"/>
        </w:rPr>
        <w:t xml:space="preserve">.  This </w:t>
      </w:r>
      <w:r>
        <w:rPr>
          <w:rFonts w:ascii="Times New Roman" w:hAnsi="Times New Roman"/>
        </w:rPr>
        <w:t>could have been achieved without any delay in the meeting or issue of guidance.</w:t>
      </w:r>
      <w:r w:rsidR="008E72EC">
        <w:rPr>
          <w:rFonts w:ascii="Times New Roman" w:hAnsi="Times New Roman"/>
        </w:rPr>
        <w:t xml:space="preserve">  </w:t>
      </w:r>
      <w:proofErr w:type="gramStart"/>
      <w:r w:rsidR="008E72EC">
        <w:rPr>
          <w:rFonts w:ascii="Times New Roman" w:hAnsi="Times New Roman"/>
        </w:rPr>
        <w:t>Furthermore</w:t>
      </w:r>
      <w:proofErr w:type="gramEnd"/>
      <w:r w:rsidR="008E72EC">
        <w:rPr>
          <w:rFonts w:ascii="Times New Roman" w:hAnsi="Times New Roman"/>
        </w:rPr>
        <w:t xml:space="preserve"> the basis for your conclusion that the impact of these data on the ICER is small is unclear and conflicts with the information provided by NICE to the Committee at ACM3.</w:t>
      </w:r>
    </w:p>
    <w:p w:rsidRPr="00EA198C" w:rsidR="002975F6" w:rsidP="00C557AC" w:rsidRDefault="00F403EA" w14:paraId="4FE4BDA5" w14:textId="2EDC2483">
      <w:pPr>
        <w:pStyle w:val="Paragraph"/>
        <w:numPr>
          <w:ilvl w:val="0"/>
          <w:numId w:val="0"/>
        </w:numPr>
        <w:tabs>
          <w:tab w:val="left" w:pos="3932"/>
        </w:tabs>
        <w:spacing w:before="0" w:after="0"/>
        <w:ind w:left="1440" w:hanging="1080"/>
        <w:jc w:val="both"/>
        <w:rPr>
          <w:rFonts w:ascii="Times New Roman" w:hAnsi="Times New Roman"/>
        </w:rPr>
      </w:pPr>
      <w:r>
        <w:rPr>
          <w:rFonts w:ascii="Times New Roman" w:hAnsi="Times New Roman"/>
        </w:rPr>
        <w:tab/>
      </w:r>
      <w:r>
        <w:rPr>
          <w:rFonts w:ascii="Times New Roman" w:hAnsi="Times New Roman"/>
        </w:rPr>
        <w:tab/>
      </w:r>
    </w:p>
    <w:p w:rsidR="00487C9E" w:rsidP="00C557AC" w:rsidRDefault="000071A9" w14:paraId="0952C48F" w14:textId="1318C404">
      <w:pPr>
        <w:pStyle w:val="Paragraph"/>
        <w:numPr>
          <w:ilvl w:val="0"/>
          <w:numId w:val="0"/>
        </w:numPr>
        <w:spacing w:before="0" w:after="0"/>
        <w:ind w:left="1440" w:hanging="1080"/>
        <w:jc w:val="both"/>
        <w:rPr>
          <w:rFonts w:ascii="Times New Roman" w:hAnsi="Times New Roman"/>
          <w:b/>
          <w:bCs/>
          <w:u w:val="single"/>
        </w:rPr>
      </w:pPr>
      <w:r w:rsidRPr="000071A9">
        <w:rPr>
          <w:rFonts w:ascii="Times New Roman" w:hAnsi="Times New Roman"/>
          <w:b/>
          <w:bCs/>
        </w:rPr>
        <w:t>1(a).5</w:t>
      </w:r>
      <w:r w:rsidRPr="000071A9">
        <w:rPr>
          <w:rFonts w:ascii="Times New Roman" w:hAnsi="Times New Roman"/>
          <w:b/>
          <w:bCs/>
        </w:rPr>
        <w:tab/>
      </w:r>
      <w:r w:rsidRPr="000071A9" w:rsidR="00487C9E">
        <w:rPr>
          <w:rFonts w:ascii="Times New Roman" w:hAnsi="Times New Roman"/>
          <w:b/>
          <w:bCs/>
          <w:u w:val="single"/>
        </w:rPr>
        <w:t>The Committee has failed to give due consideration to use of donanemab through managed access in accordance with the Manual and the Innovative Medicines Fund Principles document</w:t>
      </w:r>
    </w:p>
    <w:p w:rsidR="000071A9" w:rsidP="00C557AC" w:rsidRDefault="000071A9" w14:paraId="6A61E86B" w14:textId="77777777">
      <w:pPr>
        <w:pStyle w:val="Paragraph"/>
        <w:numPr>
          <w:ilvl w:val="0"/>
          <w:numId w:val="0"/>
        </w:numPr>
        <w:spacing w:before="0" w:after="0"/>
        <w:ind w:left="1440" w:hanging="1080"/>
        <w:jc w:val="both"/>
        <w:rPr>
          <w:rFonts w:ascii="Times New Roman" w:hAnsi="Times New Roman"/>
          <w:b/>
          <w:bCs/>
          <w:u w:val="single"/>
        </w:rPr>
      </w:pPr>
    </w:p>
    <w:p w:rsidR="000071A9" w:rsidP="00C557AC" w:rsidRDefault="00622DE0" w14:paraId="2675ECFD" w14:textId="2FAD4463">
      <w:pPr>
        <w:pStyle w:val="Paragraph"/>
        <w:numPr>
          <w:ilvl w:val="0"/>
          <w:numId w:val="0"/>
        </w:numPr>
        <w:spacing w:before="0" w:after="0"/>
        <w:ind w:left="360"/>
        <w:jc w:val="both"/>
        <w:rPr>
          <w:rFonts w:ascii="Times New Roman" w:hAnsi="Times New Roman"/>
        </w:rPr>
      </w:pPr>
      <w:r>
        <w:rPr>
          <w:rFonts w:ascii="Times New Roman" w:hAnsi="Times New Roman"/>
        </w:rPr>
        <w:t xml:space="preserve">You indicate that you are not minded </w:t>
      </w:r>
      <w:proofErr w:type="gramStart"/>
      <w:r>
        <w:rPr>
          <w:rFonts w:ascii="Times New Roman" w:hAnsi="Times New Roman"/>
        </w:rPr>
        <w:t>to refer</w:t>
      </w:r>
      <w:proofErr w:type="gramEnd"/>
      <w:r>
        <w:rPr>
          <w:rFonts w:ascii="Times New Roman" w:hAnsi="Times New Roman"/>
        </w:rPr>
        <w:t xml:space="preserve"> this point of appeal to the Appeal Panel on the basis </w:t>
      </w:r>
      <w:r w:rsidR="00AF0D5C">
        <w:rPr>
          <w:rFonts w:ascii="Times New Roman" w:hAnsi="Times New Roman"/>
        </w:rPr>
        <w:t xml:space="preserve">that </w:t>
      </w:r>
      <w:r w:rsidR="00B92D7A">
        <w:rPr>
          <w:rFonts w:ascii="Times New Roman" w:hAnsi="Times New Roman"/>
        </w:rPr>
        <w:t>“</w:t>
      </w:r>
      <w:r w:rsidRPr="00BC6FB0" w:rsidR="00AF0D5C">
        <w:rPr>
          <w:rFonts w:ascii="Times New Roman" w:hAnsi="Times New Roman"/>
          <w:i/>
          <w:iCs/>
        </w:rPr>
        <w:t xml:space="preserve">the Committee did not consider there to be a </w:t>
      </w:r>
      <w:r w:rsidRPr="00BC6FB0" w:rsidR="00B92D7A">
        <w:rPr>
          <w:rFonts w:ascii="Times New Roman" w:hAnsi="Times New Roman"/>
          <w:i/>
          <w:iCs/>
        </w:rPr>
        <w:t>plausible potential for donanemab to be cost-effective</w:t>
      </w:r>
      <w:r w:rsidR="00B92D7A">
        <w:rPr>
          <w:rFonts w:ascii="Times New Roman" w:hAnsi="Times New Roman"/>
        </w:rPr>
        <w:t>”</w:t>
      </w:r>
      <w:r w:rsidR="00BC6FB0">
        <w:rPr>
          <w:rFonts w:ascii="Times New Roman" w:hAnsi="Times New Roman"/>
        </w:rPr>
        <w:t xml:space="preserve">.  </w:t>
      </w:r>
    </w:p>
    <w:p w:rsidR="00E6603A" w:rsidP="00C557AC" w:rsidRDefault="00E6603A" w14:paraId="6C608641" w14:textId="77777777">
      <w:pPr>
        <w:pStyle w:val="Paragraph"/>
        <w:numPr>
          <w:ilvl w:val="0"/>
          <w:numId w:val="0"/>
        </w:numPr>
        <w:spacing w:before="0" w:after="0"/>
        <w:ind w:left="1440" w:hanging="1080"/>
        <w:jc w:val="both"/>
        <w:rPr>
          <w:rFonts w:ascii="Times New Roman" w:hAnsi="Times New Roman"/>
        </w:rPr>
      </w:pPr>
    </w:p>
    <w:p w:rsidR="00087E07" w:rsidP="00C557AC" w:rsidRDefault="001E280A" w14:paraId="394A4041" w14:textId="40C9E33D">
      <w:pPr>
        <w:pStyle w:val="Paragraph"/>
        <w:numPr>
          <w:ilvl w:val="0"/>
          <w:numId w:val="0"/>
        </w:numPr>
        <w:spacing w:before="0" w:after="0"/>
        <w:ind w:left="360"/>
        <w:jc w:val="both"/>
        <w:rPr>
          <w:rFonts w:ascii="Times New Roman" w:hAnsi="Times New Roman"/>
        </w:rPr>
      </w:pPr>
      <w:r>
        <w:rPr>
          <w:rFonts w:ascii="Times New Roman" w:hAnsi="Times New Roman"/>
        </w:rPr>
        <w:t xml:space="preserve">However, in concluding that donanemab should not be recommended for </w:t>
      </w:r>
      <w:r w:rsidR="00C44D2B">
        <w:rPr>
          <w:rFonts w:ascii="Times New Roman" w:hAnsi="Times New Roman"/>
        </w:rPr>
        <w:t xml:space="preserve">managed access, </w:t>
      </w:r>
      <w:r w:rsidR="00590308">
        <w:rPr>
          <w:rFonts w:ascii="Times New Roman" w:hAnsi="Times New Roman"/>
        </w:rPr>
        <w:t xml:space="preserve">the Committee </w:t>
      </w:r>
      <w:r w:rsidR="001E19FA">
        <w:rPr>
          <w:rFonts w:ascii="Times New Roman" w:hAnsi="Times New Roman"/>
        </w:rPr>
        <w:t xml:space="preserve">relied on </w:t>
      </w:r>
      <w:proofErr w:type="gramStart"/>
      <w:r w:rsidR="001E19FA">
        <w:rPr>
          <w:rFonts w:ascii="Times New Roman" w:hAnsi="Times New Roman"/>
        </w:rPr>
        <w:t>a number of</w:t>
      </w:r>
      <w:proofErr w:type="gramEnd"/>
      <w:r w:rsidR="001E19FA">
        <w:rPr>
          <w:rFonts w:ascii="Times New Roman" w:hAnsi="Times New Roman"/>
        </w:rPr>
        <w:t xml:space="preserve"> factors, in addition to </w:t>
      </w:r>
      <w:r w:rsidR="00E45D9D">
        <w:rPr>
          <w:rFonts w:ascii="Times New Roman" w:hAnsi="Times New Roman"/>
        </w:rPr>
        <w:t xml:space="preserve">the fact that, in the Committee’s view, the ICER </w:t>
      </w:r>
      <w:r w:rsidR="00A270C5">
        <w:rPr>
          <w:rFonts w:ascii="Times New Roman" w:hAnsi="Times New Roman"/>
        </w:rPr>
        <w:t xml:space="preserve">was not plausibly cost effective.  </w:t>
      </w:r>
      <w:r w:rsidR="00087E07">
        <w:rPr>
          <w:rFonts w:ascii="Times New Roman" w:hAnsi="Times New Roman"/>
        </w:rPr>
        <w:t xml:space="preserve">As explained in our appeal letter, the Committee’s </w:t>
      </w:r>
      <w:r w:rsidR="00D37216">
        <w:rPr>
          <w:rFonts w:ascii="Times New Roman" w:hAnsi="Times New Roman"/>
        </w:rPr>
        <w:t xml:space="preserve">analysis of these points was inconsistent with the Manual and with the IMF Principles </w:t>
      </w:r>
      <w:r w:rsidR="001F14D2">
        <w:rPr>
          <w:rFonts w:ascii="Times New Roman" w:hAnsi="Times New Roman"/>
        </w:rPr>
        <w:t>d</w:t>
      </w:r>
      <w:r w:rsidR="00D37216">
        <w:rPr>
          <w:rFonts w:ascii="Times New Roman" w:hAnsi="Times New Roman"/>
        </w:rPr>
        <w:t>ocument</w:t>
      </w:r>
      <w:r w:rsidR="00E834B1">
        <w:rPr>
          <w:rFonts w:ascii="Times New Roman" w:hAnsi="Times New Roman"/>
        </w:rPr>
        <w:t xml:space="preserve">.  The fact that the Committee has provided one reason for refusing managed access that </w:t>
      </w:r>
      <w:r w:rsidR="001F14D2">
        <w:rPr>
          <w:rFonts w:ascii="Times New Roman" w:hAnsi="Times New Roman"/>
        </w:rPr>
        <w:t>reflects the Manual and the IMF Principles</w:t>
      </w:r>
      <w:r w:rsidR="00EE2B01">
        <w:rPr>
          <w:rFonts w:ascii="Times New Roman" w:hAnsi="Times New Roman"/>
        </w:rPr>
        <w:t>,</w:t>
      </w:r>
      <w:r w:rsidR="00D37216">
        <w:rPr>
          <w:rFonts w:ascii="Times New Roman" w:hAnsi="Times New Roman"/>
        </w:rPr>
        <w:t xml:space="preserve"> </w:t>
      </w:r>
      <w:r w:rsidR="001F14D2">
        <w:rPr>
          <w:rFonts w:ascii="Times New Roman" w:hAnsi="Times New Roman"/>
        </w:rPr>
        <w:t>does not mean that a decision is fair</w:t>
      </w:r>
      <w:r w:rsidR="00677661">
        <w:rPr>
          <w:rFonts w:ascii="Times New Roman" w:hAnsi="Times New Roman"/>
        </w:rPr>
        <w:t>,</w:t>
      </w:r>
      <w:r w:rsidR="001F14D2">
        <w:rPr>
          <w:rFonts w:ascii="Times New Roman" w:hAnsi="Times New Roman"/>
        </w:rPr>
        <w:t xml:space="preserve"> when </w:t>
      </w:r>
      <w:proofErr w:type="gramStart"/>
      <w:r w:rsidR="001F14D2">
        <w:rPr>
          <w:rFonts w:ascii="Times New Roman" w:hAnsi="Times New Roman"/>
        </w:rPr>
        <w:t>all of</w:t>
      </w:r>
      <w:proofErr w:type="gramEnd"/>
      <w:r w:rsidR="001F14D2">
        <w:rPr>
          <w:rFonts w:ascii="Times New Roman" w:hAnsi="Times New Roman"/>
        </w:rPr>
        <w:t xml:space="preserve"> the other reasons </w:t>
      </w:r>
      <w:r w:rsidR="00F255D7">
        <w:rPr>
          <w:rFonts w:ascii="Times New Roman" w:hAnsi="Times New Roman"/>
        </w:rPr>
        <w:t xml:space="preserve">relied upon by the Committee for its decision </w:t>
      </w:r>
      <w:r w:rsidR="00EE2B01">
        <w:rPr>
          <w:rFonts w:ascii="Times New Roman" w:hAnsi="Times New Roman"/>
        </w:rPr>
        <w:t xml:space="preserve">do not reflect those documents and </w:t>
      </w:r>
      <w:r w:rsidR="001F14D2">
        <w:rPr>
          <w:rFonts w:ascii="Times New Roman" w:hAnsi="Times New Roman"/>
        </w:rPr>
        <w:t xml:space="preserve">are </w:t>
      </w:r>
      <w:r w:rsidR="00EE2B01">
        <w:rPr>
          <w:rFonts w:ascii="Times New Roman" w:hAnsi="Times New Roman"/>
        </w:rPr>
        <w:t xml:space="preserve">therefore </w:t>
      </w:r>
      <w:r w:rsidR="001F14D2">
        <w:rPr>
          <w:rFonts w:ascii="Times New Roman" w:hAnsi="Times New Roman"/>
        </w:rPr>
        <w:t>flawed.</w:t>
      </w:r>
    </w:p>
    <w:p w:rsidR="00087E07" w:rsidP="00C557AC" w:rsidRDefault="00087E07" w14:paraId="5982CC3A" w14:textId="77777777">
      <w:pPr>
        <w:pStyle w:val="Paragraph"/>
        <w:numPr>
          <w:ilvl w:val="0"/>
          <w:numId w:val="0"/>
        </w:numPr>
        <w:spacing w:before="0" w:after="0"/>
        <w:ind w:left="360"/>
        <w:jc w:val="both"/>
        <w:rPr>
          <w:rFonts w:ascii="Times New Roman" w:hAnsi="Times New Roman"/>
        </w:rPr>
      </w:pPr>
    </w:p>
    <w:p w:rsidR="00EE2B01" w:rsidP="00C557AC" w:rsidRDefault="00EE2B01" w14:paraId="088F10F5" w14:textId="3022EAEE">
      <w:pPr>
        <w:pStyle w:val="Paragraph"/>
        <w:numPr>
          <w:ilvl w:val="0"/>
          <w:numId w:val="0"/>
        </w:numPr>
        <w:spacing w:before="0" w:after="0"/>
        <w:ind w:left="360"/>
        <w:jc w:val="both"/>
        <w:rPr>
          <w:rFonts w:ascii="Times New Roman" w:hAnsi="Times New Roman"/>
        </w:rPr>
      </w:pPr>
      <w:r>
        <w:rPr>
          <w:rFonts w:ascii="Times New Roman" w:hAnsi="Times New Roman"/>
        </w:rPr>
        <w:t>For the avoidance of doubt, it is Lilly’s position that</w:t>
      </w:r>
      <w:r w:rsidR="003B0A00">
        <w:rPr>
          <w:rFonts w:ascii="Times New Roman" w:hAnsi="Times New Roman"/>
        </w:rPr>
        <w:t xml:space="preserve">, if donanemab is assessed fairly and using assumptions that are reasonable, the ICER values </w:t>
      </w:r>
      <w:r w:rsidR="00F255D7">
        <w:rPr>
          <w:rFonts w:ascii="Times New Roman" w:hAnsi="Times New Roman"/>
        </w:rPr>
        <w:t xml:space="preserve">are cost-effective.  </w:t>
      </w:r>
      <w:r w:rsidR="001A7AB6">
        <w:rPr>
          <w:rFonts w:ascii="Times New Roman" w:hAnsi="Times New Roman"/>
        </w:rPr>
        <w:t xml:space="preserve">For this reason </w:t>
      </w:r>
      <w:proofErr w:type="gramStart"/>
      <w:r w:rsidR="001A7AB6">
        <w:rPr>
          <w:rFonts w:ascii="Times New Roman" w:hAnsi="Times New Roman"/>
        </w:rPr>
        <w:t>alone</w:t>
      </w:r>
      <w:proofErr w:type="gramEnd"/>
      <w:r w:rsidR="001A7AB6">
        <w:rPr>
          <w:rFonts w:ascii="Times New Roman" w:hAnsi="Times New Roman"/>
        </w:rPr>
        <w:t xml:space="preserve"> it is essential that the Committee’s consideration of </w:t>
      </w:r>
      <w:r w:rsidR="00B63C9F">
        <w:rPr>
          <w:rFonts w:ascii="Times New Roman" w:hAnsi="Times New Roman"/>
        </w:rPr>
        <w:t xml:space="preserve">a recommendation for use of donanemab with managed access is </w:t>
      </w:r>
      <w:r w:rsidR="00833159">
        <w:rPr>
          <w:rFonts w:ascii="Times New Roman" w:hAnsi="Times New Roman"/>
        </w:rPr>
        <w:t xml:space="preserve">corrected to align with the requirements of the Manual and the IMF Principles </w:t>
      </w:r>
      <w:r w:rsidR="001153CC">
        <w:rPr>
          <w:rFonts w:ascii="Times New Roman" w:hAnsi="Times New Roman"/>
        </w:rPr>
        <w:t>so th</w:t>
      </w:r>
      <w:r w:rsidR="005C2A5A">
        <w:rPr>
          <w:rFonts w:ascii="Times New Roman" w:hAnsi="Times New Roman"/>
        </w:rPr>
        <w:t xml:space="preserve">at it is clear what </w:t>
      </w:r>
      <w:proofErr w:type="gramStart"/>
      <w:r w:rsidR="005C2A5A">
        <w:rPr>
          <w:rFonts w:ascii="Times New Roman" w:hAnsi="Times New Roman"/>
        </w:rPr>
        <w:t>has to</w:t>
      </w:r>
      <w:proofErr w:type="gramEnd"/>
      <w:r w:rsidR="005C2A5A">
        <w:rPr>
          <w:rFonts w:ascii="Times New Roman" w:hAnsi="Times New Roman"/>
        </w:rPr>
        <w:t xml:space="preserve"> be achieved if a </w:t>
      </w:r>
      <w:r w:rsidR="00D03700">
        <w:rPr>
          <w:rFonts w:ascii="Times New Roman" w:hAnsi="Times New Roman"/>
        </w:rPr>
        <w:t>recommendation is to be made.</w:t>
      </w:r>
    </w:p>
    <w:p w:rsidRPr="00E6603A" w:rsidR="00E6603A" w:rsidP="00C557AC" w:rsidRDefault="001E280A" w14:paraId="27A9DD4C" w14:textId="708FD8F3">
      <w:pPr>
        <w:pStyle w:val="Paragraph"/>
        <w:numPr>
          <w:ilvl w:val="0"/>
          <w:numId w:val="0"/>
        </w:numPr>
        <w:spacing w:before="0" w:after="0"/>
        <w:ind w:left="360"/>
        <w:jc w:val="both"/>
        <w:rPr>
          <w:rFonts w:ascii="Times New Roman" w:hAnsi="Times New Roman"/>
        </w:rPr>
      </w:pPr>
      <w:r>
        <w:rPr>
          <w:rFonts w:ascii="Times New Roman" w:hAnsi="Times New Roman"/>
        </w:rPr>
        <w:t xml:space="preserve"> </w:t>
      </w:r>
    </w:p>
    <w:p w:rsidRPr="000071A9" w:rsidR="00487C9E" w:rsidP="00C557AC" w:rsidRDefault="000071A9" w14:paraId="474B501B" w14:textId="77E34D99">
      <w:pPr>
        <w:pStyle w:val="Paragraph"/>
        <w:numPr>
          <w:ilvl w:val="0"/>
          <w:numId w:val="0"/>
        </w:numPr>
        <w:spacing w:before="0" w:after="0"/>
        <w:ind w:left="1440" w:hanging="1080"/>
        <w:jc w:val="both"/>
        <w:rPr>
          <w:rFonts w:ascii="Times New Roman" w:hAnsi="Times New Roman"/>
          <w:b/>
          <w:bCs/>
          <w:u w:val="single"/>
        </w:rPr>
      </w:pPr>
      <w:r w:rsidRPr="000071A9">
        <w:rPr>
          <w:rFonts w:ascii="Times New Roman" w:hAnsi="Times New Roman"/>
          <w:b/>
          <w:bCs/>
        </w:rPr>
        <w:t>1(a).6</w:t>
      </w:r>
      <w:r w:rsidRPr="000071A9">
        <w:rPr>
          <w:rFonts w:ascii="Times New Roman" w:hAnsi="Times New Roman"/>
          <w:b/>
          <w:bCs/>
        </w:rPr>
        <w:tab/>
      </w:r>
      <w:r w:rsidRPr="000071A9" w:rsidR="00487C9E">
        <w:rPr>
          <w:rFonts w:ascii="Times New Roman" w:hAnsi="Times New Roman"/>
          <w:b/>
          <w:bCs/>
          <w:u w:val="single"/>
        </w:rPr>
        <w:t xml:space="preserve">The Committee’s consideration of the appropriate ICER threshold for this appraisal has failed to </w:t>
      </w:r>
      <w:proofErr w:type="gramStart"/>
      <w:r w:rsidRPr="000071A9" w:rsidR="00487C9E">
        <w:rPr>
          <w:rFonts w:ascii="Times New Roman" w:hAnsi="Times New Roman"/>
          <w:b/>
          <w:bCs/>
          <w:u w:val="single"/>
        </w:rPr>
        <w:t>take into account</w:t>
      </w:r>
      <w:proofErr w:type="gramEnd"/>
      <w:r w:rsidRPr="000071A9" w:rsidR="00487C9E">
        <w:rPr>
          <w:rFonts w:ascii="Times New Roman" w:hAnsi="Times New Roman"/>
          <w:b/>
          <w:bCs/>
          <w:u w:val="single"/>
        </w:rPr>
        <w:t xml:space="preserve"> the factors listed in the Manual</w:t>
      </w:r>
    </w:p>
    <w:p w:rsidR="006548DA" w:rsidP="00C557AC" w:rsidRDefault="006548DA" w14:paraId="05977384" w14:textId="77777777">
      <w:pPr>
        <w:pStyle w:val="Paragraph"/>
        <w:numPr>
          <w:ilvl w:val="0"/>
          <w:numId w:val="0"/>
        </w:numPr>
        <w:spacing w:before="0" w:after="0"/>
        <w:ind w:left="1440" w:hanging="1080"/>
        <w:jc w:val="both"/>
        <w:rPr>
          <w:rFonts w:ascii="Times New Roman" w:hAnsi="Times New Roman"/>
        </w:rPr>
      </w:pPr>
    </w:p>
    <w:p w:rsidR="0023640C" w:rsidP="00C557AC" w:rsidRDefault="006548DA" w14:paraId="28EEE712" w14:textId="77777777">
      <w:pPr>
        <w:pStyle w:val="Paragraph"/>
        <w:numPr>
          <w:ilvl w:val="0"/>
          <w:numId w:val="0"/>
        </w:numPr>
        <w:spacing w:before="0" w:after="0"/>
        <w:ind w:left="360"/>
        <w:jc w:val="both"/>
        <w:rPr>
          <w:rFonts w:ascii="Times New Roman" w:hAnsi="Times New Roman"/>
        </w:rPr>
      </w:pPr>
      <w:r>
        <w:rPr>
          <w:rFonts w:ascii="Times New Roman" w:hAnsi="Times New Roman"/>
        </w:rPr>
        <w:t xml:space="preserve">You express the </w:t>
      </w:r>
      <w:r w:rsidR="00A804A1">
        <w:rPr>
          <w:rFonts w:ascii="Times New Roman" w:hAnsi="Times New Roman"/>
        </w:rPr>
        <w:t xml:space="preserve">preliminary </w:t>
      </w:r>
      <w:r>
        <w:rPr>
          <w:rFonts w:ascii="Times New Roman" w:hAnsi="Times New Roman"/>
        </w:rPr>
        <w:t xml:space="preserve">view that </w:t>
      </w:r>
      <w:r w:rsidR="00E44A28">
        <w:rPr>
          <w:rFonts w:ascii="Times New Roman" w:hAnsi="Times New Roman"/>
        </w:rPr>
        <w:t xml:space="preserve">this point of appeal should not </w:t>
      </w:r>
      <w:r w:rsidR="00A804A1">
        <w:rPr>
          <w:rFonts w:ascii="Times New Roman" w:hAnsi="Times New Roman"/>
        </w:rPr>
        <w:t>be referred to the Appeal Panel</w:t>
      </w:r>
      <w:r w:rsidR="0023640C">
        <w:rPr>
          <w:rFonts w:ascii="Times New Roman" w:hAnsi="Times New Roman"/>
        </w:rPr>
        <w:t>.  Your reasons are:</w:t>
      </w:r>
    </w:p>
    <w:p w:rsidR="000071A9" w:rsidP="00C557AC" w:rsidRDefault="00D76249" w14:paraId="2D8BE33D" w14:textId="7744E1FE">
      <w:pPr>
        <w:pStyle w:val="Paragraph"/>
        <w:numPr>
          <w:ilvl w:val="0"/>
          <w:numId w:val="45"/>
        </w:numPr>
        <w:spacing w:before="0" w:after="0"/>
        <w:jc w:val="both"/>
        <w:rPr>
          <w:rFonts w:ascii="Times New Roman" w:hAnsi="Times New Roman"/>
        </w:rPr>
      </w:pPr>
      <w:r>
        <w:rPr>
          <w:rFonts w:ascii="Times New Roman" w:hAnsi="Times New Roman"/>
        </w:rPr>
        <w:t>You suggest t</w:t>
      </w:r>
      <w:r w:rsidR="0023640C">
        <w:rPr>
          <w:rFonts w:ascii="Times New Roman" w:hAnsi="Times New Roman"/>
        </w:rPr>
        <w:t xml:space="preserve">hat paragraph </w:t>
      </w:r>
      <w:r>
        <w:rPr>
          <w:rFonts w:ascii="Times New Roman" w:hAnsi="Times New Roman"/>
        </w:rPr>
        <w:t xml:space="preserve">6.3.5 of the Manual </w:t>
      </w:r>
      <w:r w:rsidR="00AD4EA1">
        <w:rPr>
          <w:rFonts w:ascii="Times New Roman" w:hAnsi="Times New Roman"/>
        </w:rPr>
        <w:t xml:space="preserve">only </w:t>
      </w:r>
      <w:r>
        <w:rPr>
          <w:rFonts w:ascii="Times New Roman" w:hAnsi="Times New Roman"/>
        </w:rPr>
        <w:t>require</w:t>
      </w:r>
      <w:r w:rsidR="00AD4EA1">
        <w:rPr>
          <w:rFonts w:ascii="Times New Roman" w:hAnsi="Times New Roman"/>
        </w:rPr>
        <w:t>s</w:t>
      </w:r>
      <w:r>
        <w:rPr>
          <w:rFonts w:ascii="Times New Roman" w:hAnsi="Times New Roman"/>
        </w:rPr>
        <w:t xml:space="preserve"> consideration of factors including uncaptured and benefits and reduction in health inequalities where the most plausible ICER </w:t>
      </w:r>
      <w:r w:rsidR="00515ED6">
        <w:rPr>
          <w:rFonts w:ascii="Times New Roman" w:hAnsi="Times New Roman"/>
        </w:rPr>
        <w:t xml:space="preserve">is </w:t>
      </w:r>
      <w:r w:rsidR="00EE581C">
        <w:rPr>
          <w:rFonts w:ascii="Times New Roman" w:hAnsi="Times New Roman"/>
        </w:rPr>
        <w:t>“</w:t>
      </w:r>
      <w:r w:rsidRPr="00EE581C" w:rsidR="00AD4EA1">
        <w:rPr>
          <w:rFonts w:ascii="Times New Roman" w:hAnsi="Times New Roman"/>
          <w:i/>
          <w:iCs/>
        </w:rPr>
        <w:t>above</w:t>
      </w:r>
      <w:r w:rsidR="00EE581C">
        <w:rPr>
          <w:rFonts w:ascii="Times New Roman" w:hAnsi="Times New Roman"/>
        </w:rPr>
        <w:t>”</w:t>
      </w:r>
      <w:r w:rsidR="00AD4EA1">
        <w:rPr>
          <w:rFonts w:ascii="Times New Roman" w:hAnsi="Times New Roman"/>
        </w:rPr>
        <w:t xml:space="preserve"> £20,000 per QALY gained, whereas in this case the ICER threshold </w:t>
      </w:r>
      <w:r w:rsidR="009E1056">
        <w:rPr>
          <w:rFonts w:ascii="Times New Roman" w:hAnsi="Times New Roman"/>
        </w:rPr>
        <w:t>was defined as “</w:t>
      </w:r>
      <w:r w:rsidRPr="00EE581C" w:rsidR="009E1056">
        <w:rPr>
          <w:rFonts w:ascii="Times New Roman" w:hAnsi="Times New Roman"/>
          <w:i/>
          <w:iCs/>
        </w:rPr>
        <w:t>around £20,000 per QALY gained</w:t>
      </w:r>
      <w:r w:rsidR="009E1056">
        <w:rPr>
          <w:rFonts w:ascii="Times New Roman" w:hAnsi="Times New Roman"/>
        </w:rPr>
        <w:t>”</w:t>
      </w:r>
      <w:r w:rsidR="00EE581C">
        <w:rPr>
          <w:rFonts w:ascii="Times New Roman" w:hAnsi="Times New Roman"/>
        </w:rPr>
        <w:t>; and</w:t>
      </w:r>
    </w:p>
    <w:p w:rsidR="00EE581C" w:rsidP="00C557AC" w:rsidRDefault="00272F38" w14:paraId="6DDC02E6" w14:textId="3BD47CB7">
      <w:pPr>
        <w:pStyle w:val="Paragraph"/>
        <w:numPr>
          <w:ilvl w:val="0"/>
          <w:numId w:val="45"/>
        </w:numPr>
        <w:spacing w:before="0" w:after="0"/>
        <w:jc w:val="both"/>
        <w:rPr>
          <w:rFonts w:ascii="Times New Roman" w:hAnsi="Times New Roman"/>
        </w:rPr>
      </w:pPr>
      <w:r>
        <w:rPr>
          <w:rFonts w:ascii="Times New Roman" w:hAnsi="Times New Roman"/>
        </w:rPr>
        <w:t xml:space="preserve">You say that the Committee </w:t>
      </w:r>
      <w:r w:rsidR="00626E57">
        <w:rPr>
          <w:rFonts w:ascii="Times New Roman" w:hAnsi="Times New Roman"/>
        </w:rPr>
        <w:t>has set out its consideration of both health inequalities and uncaptured benefits at paragraphs 3.27 and 3.28 of the FDG.</w:t>
      </w:r>
    </w:p>
    <w:p w:rsidR="000071A9" w:rsidP="00C557AC" w:rsidRDefault="000071A9" w14:paraId="1913D63D" w14:textId="77777777">
      <w:pPr>
        <w:pStyle w:val="Paragraph"/>
        <w:numPr>
          <w:ilvl w:val="0"/>
          <w:numId w:val="0"/>
        </w:numPr>
        <w:spacing w:before="0" w:after="0"/>
        <w:ind w:left="1440" w:hanging="1080"/>
        <w:jc w:val="both"/>
        <w:rPr>
          <w:rFonts w:ascii="Times New Roman" w:hAnsi="Times New Roman"/>
        </w:rPr>
      </w:pPr>
    </w:p>
    <w:p w:rsidR="0079017A" w:rsidP="00C557AC" w:rsidRDefault="0097045F" w14:paraId="340A8410" w14:textId="626708A6">
      <w:pPr>
        <w:pStyle w:val="Paragraph"/>
        <w:numPr>
          <w:ilvl w:val="0"/>
          <w:numId w:val="0"/>
        </w:numPr>
        <w:spacing w:before="0" w:after="0"/>
        <w:ind w:left="360"/>
        <w:jc w:val="both"/>
        <w:rPr>
          <w:rFonts w:ascii="Times New Roman" w:hAnsi="Times New Roman"/>
        </w:rPr>
      </w:pPr>
      <w:r>
        <w:rPr>
          <w:rFonts w:ascii="Times New Roman" w:hAnsi="Times New Roman"/>
        </w:rPr>
        <w:t xml:space="preserve">We respectfully submit that this analysis </w:t>
      </w:r>
      <w:r w:rsidR="00854593">
        <w:rPr>
          <w:rFonts w:ascii="Times New Roman" w:hAnsi="Times New Roman"/>
        </w:rPr>
        <w:t xml:space="preserve">is incorrect.  </w:t>
      </w:r>
      <w:r w:rsidR="00EB29B9">
        <w:rPr>
          <w:rFonts w:ascii="Times New Roman" w:hAnsi="Times New Roman"/>
        </w:rPr>
        <w:t>The Manual does not</w:t>
      </w:r>
      <w:r w:rsidR="003A6D3C">
        <w:rPr>
          <w:rFonts w:ascii="Times New Roman" w:hAnsi="Times New Roman"/>
        </w:rPr>
        <w:t xml:space="preserve"> require the Committee to set an ICER threshold for a particular technology although this has become </w:t>
      </w:r>
      <w:r w:rsidR="004E5635">
        <w:rPr>
          <w:rFonts w:ascii="Times New Roman" w:hAnsi="Times New Roman"/>
        </w:rPr>
        <w:t xml:space="preserve">standard practice.  What the Manual does do is to make </w:t>
      </w:r>
      <w:r w:rsidR="00612CF9">
        <w:rPr>
          <w:rFonts w:ascii="Times New Roman" w:hAnsi="Times New Roman"/>
        </w:rPr>
        <w:t xml:space="preserve">clear that </w:t>
      </w:r>
      <w:r w:rsidR="004E5635">
        <w:rPr>
          <w:rFonts w:ascii="Times New Roman" w:hAnsi="Times New Roman"/>
        </w:rPr>
        <w:t xml:space="preserve">where the Committee </w:t>
      </w:r>
      <w:r w:rsidR="004E5635">
        <w:rPr>
          <w:rFonts w:ascii="Times New Roman" w:hAnsi="Times New Roman"/>
        </w:rPr>
        <w:lastRenderedPageBreak/>
        <w:t xml:space="preserve">considers that the most plausible </w:t>
      </w:r>
      <w:r w:rsidR="00612CF9">
        <w:rPr>
          <w:rFonts w:ascii="Times New Roman" w:hAnsi="Times New Roman"/>
        </w:rPr>
        <w:t xml:space="preserve">ICER </w:t>
      </w:r>
      <w:r w:rsidR="004E5635">
        <w:rPr>
          <w:rFonts w:ascii="Times New Roman" w:hAnsi="Times New Roman"/>
        </w:rPr>
        <w:t xml:space="preserve">is </w:t>
      </w:r>
      <w:r w:rsidRPr="00915097" w:rsidR="004E5635">
        <w:rPr>
          <w:rFonts w:ascii="Times New Roman" w:hAnsi="Times New Roman"/>
          <w:b/>
          <w:bCs/>
        </w:rPr>
        <w:t>below</w:t>
      </w:r>
      <w:r w:rsidR="004E5635">
        <w:rPr>
          <w:rFonts w:ascii="Times New Roman" w:hAnsi="Times New Roman"/>
        </w:rPr>
        <w:t xml:space="preserve"> </w:t>
      </w:r>
      <w:r w:rsidR="00612CF9">
        <w:rPr>
          <w:rFonts w:ascii="Times New Roman" w:hAnsi="Times New Roman"/>
        </w:rPr>
        <w:t xml:space="preserve">£20,000 per QALY gained, </w:t>
      </w:r>
      <w:r w:rsidR="00FB2616">
        <w:rPr>
          <w:rFonts w:ascii="Times New Roman" w:hAnsi="Times New Roman"/>
        </w:rPr>
        <w:t>any recommendation is principally based on cost effectiveness</w:t>
      </w:r>
      <w:r w:rsidR="00362997">
        <w:rPr>
          <w:rFonts w:ascii="Times New Roman" w:hAnsi="Times New Roman"/>
        </w:rPr>
        <w:t xml:space="preserve"> (paragraph 6.3.4).  </w:t>
      </w:r>
      <w:proofErr w:type="gramStart"/>
      <w:r w:rsidR="00362997">
        <w:rPr>
          <w:rFonts w:ascii="Times New Roman" w:hAnsi="Times New Roman"/>
        </w:rPr>
        <w:t>However</w:t>
      </w:r>
      <w:proofErr w:type="gramEnd"/>
      <w:r w:rsidR="00362997">
        <w:rPr>
          <w:rFonts w:ascii="Times New Roman" w:hAnsi="Times New Roman"/>
        </w:rPr>
        <w:t xml:space="preserve"> paragraph 6.3.5 of the Manual </w:t>
      </w:r>
      <w:r w:rsidR="00567A19">
        <w:rPr>
          <w:rFonts w:ascii="Times New Roman" w:hAnsi="Times New Roman"/>
        </w:rPr>
        <w:t>states:</w:t>
      </w:r>
      <w:r w:rsidR="00E3420A">
        <w:rPr>
          <w:rFonts w:ascii="Times New Roman" w:hAnsi="Times New Roman"/>
        </w:rPr>
        <w:t xml:space="preserve"> </w:t>
      </w:r>
      <w:r w:rsidR="00567A19">
        <w:rPr>
          <w:rFonts w:ascii="Times New Roman" w:hAnsi="Times New Roman"/>
        </w:rPr>
        <w:t>“</w:t>
      </w:r>
      <w:r w:rsidRPr="00E3420A" w:rsidR="00567A19">
        <w:rPr>
          <w:rFonts w:ascii="Times New Roman" w:hAnsi="Times New Roman"/>
          <w:i/>
          <w:iCs/>
        </w:rPr>
        <w:t>Above a most plausible ICER of £20,000 per QALY gained, or £100,000 per QALY gained for highly specialised technologies, decisions about the acceptability of the technology as an effective use of NHS resources will specifically consider the [listed] factors”</w:t>
      </w:r>
      <w:r w:rsidR="00567A19">
        <w:rPr>
          <w:rFonts w:ascii="Times New Roman" w:hAnsi="Times New Roman"/>
        </w:rPr>
        <w:t xml:space="preserve">, which include uncaptured benefits and </w:t>
      </w:r>
      <w:r w:rsidR="00E3420A">
        <w:rPr>
          <w:rFonts w:ascii="Times New Roman" w:hAnsi="Times New Roman"/>
        </w:rPr>
        <w:t xml:space="preserve">reduction in health inequalities. </w:t>
      </w:r>
      <w:r w:rsidR="00915097">
        <w:rPr>
          <w:rFonts w:ascii="Times New Roman" w:hAnsi="Times New Roman"/>
        </w:rPr>
        <w:t xml:space="preserve"> The most plausible ICER calculated by the Committee for donanemab was </w:t>
      </w:r>
      <w:r w:rsidR="00CA5DD5">
        <w:rPr>
          <w:rFonts w:ascii="Times New Roman" w:hAnsi="Times New Roman"/>
        </w:rPr>
        <w:t xml:space="preserve">above £20,000 per QALY and therefore the Committee had a duty in accordance with the Manual to </w:t>
      </w:r>
      <w:r w:rsidR="0008616C">
        <w:rPr>
          <w:rFonts w:ascii="Times New Roman" w:hAnsi="Times New Roman"/>
        </w:rPr>
        <w:t>“</w:t>
      </w:r>
      <w:r w:rsidRPr="0008616C" w:rsidR="0008616C">
        <w:rPr>
          <w:rFonts w:ascii="Times New Roman" w:hAnsi="Times New Roman"/>
          <w:i/>
          <w:iCs/>
        </w:rPr>
        <w:t>specifically</w:t>
      </w:r>
      <w:r w:rsidR="0008616C">
        <w:rPr>
          <w:rFonts w:ascii="Times New Roman" w:hAnsi="Times New Roman"/>
        </w:rPr>
        <w:t xml:space="preserve">” consider the listed factors in that context. </w:t>
      </w:r>
      <w:r w:rsidR="00CD50F4">
        <w:rPr>
          <w:rFonts w:ascii="Times New Roman" w:hAnsi="Times New Roman"/>
        </w:rPr>
        <w:t xml:space="preserve">  </w:t>
      </w:r>
      <w:proofErr w:type="gramStart"/>
      <w:r w:rsidR="00CD50F4">
        <w:rPr>
          <w:rFonts w:ascii="Times New Roman" w:hAnsi="Times New Roman"/>
        </w:rPr>
        <w:t>However</w:t>
      </w:r>
      <w:proofErr w:type="gramEnd"/>
      <w:r w:rsidR="00CD50F4">
        <w:rPr>
          <w:rFonts w:ascii="Times New Roman" w:hAnsi="Times New Roman"/>
        </w:rPr>
        <w:t xml:space="preserve"> there is no indication in the FDG that it complied with that duty.</w:t>
      </w:r>
    </w:p>
    <w:p w:rsidR="00CD50F4" w:rsidP="00C557AC" w:rsidRDefault="00CD50F4" w14:paraId="60357453" w14:textId="77777777">
      <w:pPr>
        <w:pStyle w:val="Paragraph"/>
        <w:numPr>
          <w:ilvl w:val="0"/>
          <w:numId w:val="0"/>
        </w:numPr>
        <w:spacing w:before="0" w:after="0"/>
        <w:ind w:left="360"/>
        <w:jc w:val="both"/>
        <w:rPr>
          <w:rFonts w:ascii="Times New Roman" w:hAnsi="Times New Roman"/>
        </w:rPr>
      </w:pPr>
    </w:p>
    <w:p w:rsidR="00CD50F4" w:rsidP="00C557AC" w:rsidRDefault="00CD50F4" w14:paraId="415B94DE" w14:textId="5E9A8D73">
      <w:pPr>
        <w:pStyle w:val="Paragraph"/>
        <w:numPr>
          <w:ilvl w:val="0"/>
          <w:numId w:val="0"/>
        </w:numPr>
        <w:spacing w:before="0" w:after="0"/>
        <w:ind w:left="360"/>
        <w:jc w:val="both"/>
        <w:rPr>
          <w:rFonts w:ascii="Times New Roman" w:hAnsi="Times New Roman"/>
        </w:rPr>
      </w:pPr>
      <w:r>
        <w:rPr>
          <w:rFonts w:ascii="Times New Roman" w:hAnsi="Times New Roman"/>
        </w:rPr>
        <w:t xml:space="preserve">For completeness, </w:t>
      </w:r>
      <w:r w:rsidR="00F7170E">
        <w:rPr>
          <w:rFonts w:ascii="Times New Roman" w:hAnsi="Times New Roman"/>
        </w:rPr>
        <w:t>while the Manual does not address what factors are to be considered by the Committee when the most plausible ICER is exactly £20,000 per QALY gained</w:t>
      </w:r>
      <w:r w:rsidR="0099403A">
        <w:rPr>
          <w:rFonts w:ascii="Times New Roman" w:hAnsi="Times New Roman"/>
        </w:rPr>
        <w:t xml:space="preserve">, it </w:t>
      </w:r>
      <w:r w:rsidR="0082764C">
        <w:rPr>
          <w:rFonts w:ascii="Times New Roman" w:hAnsi="Times New Roman"/>
        </w:rPr>
        <w:t xml:space="preserve">would be a nonsense </w:t>
      </w:r>
      <w:r w:rsidR="00C00179">
        <w:rPr>
          <w:rFonts w:ascii="Times New Roman" w:hAnsi="Times New Roman"/>
        </w:rPr>
        <w:t>if</w:t>
      </w:r>
      <w:r w:rsidR="0099403A">
        <w:rPr>
          <w:rFonts w:ascii="Times New Roman" w:hAnsi="Times New Roman"/>
        </w:rPr>
        <w:t xml:space="preserve"> </w:t>
      </w:r>
      <w:r w:rsidR="00426BCF">
        <w:rPr>
          <w:rFonts w:ascii="Times New Roman" w:hAnsi="Times New Roman"/>
        </w:rPr>
        <w:t xml:space="preserve">the factors listed at paragraph 6.3.5 </w:t>
      </w:r>
      <w:r w:rsidR="00C00179">
        <w:rPr>
          <w:rFonts w:ascii="Times New Roman" w:hAnsi="Times New Roman"/>
        </w:rPr>
        <w:t xml:space="preserve">could be disregarded </w:t>
      </w:r>
      <w:r w:rsidR="00743191">
        <w:rPr>
          <w:rFonts w:ascii="Times New Roman" w:hAnsi="Times New Roman"/>
        </w:rPr>
        <w:t>for any ICER of “around £20,000</w:t>
      </w:r>
      <w:proofErr w:type="gramStart"/>
      <w:r w:rsidR="00743191">
        <w:rPr>
          <w:rFonts w:ascii="Times New Roman" w:hAnsi="Times New Roman"/>
        </w:rPr>
        <w:t>”</w:t>
      </w:r>
      <w:r w:rsidR="00C00179">
        <w:rPr>
          <w:rFonts w:ascii="Times New Roman" w:hAnsi="Times New Roman"/>
        </w:rPr>
        <w:t>, but</w:t>
      </w:r>
      <w:proofErr w:type="gramEnd"/>
      <w:r w:rsidR="00C00179">
        <w:rPr>
          <w:rFonts w:ascii="Times New Roman" w:hAnsi="Times New Roman"/>
        </w:rPr>
        <w:t xml:space="preserve"> must be considered for an ICER of 1p over £2</w:t>
      </w:r>
      <w:r w:rsidR="00632F9C">
        <w:rPr>
          <w:rFonts w:ascii="Times New Roman" w:hAnsi="Times New Roman"/>
        </w:rPr>
        <w:t>0,000 per QALY</w:t>
      </w:r>
      <w:r w:rsidR="0082764C">
        <w:rPr>
          <w:rFonts w:ascii="Times New Roman" w:hAnsi="Times New Roman"/>
        </w:rPr>
        <w:t xml:space="preserve">. </w:t>
      </w:r>
      <w:r w:rsidR="00743191">
        <w:rPr>
          <w:rFonts w:ascii="Times New Roman" w:hAnsi="Times New Roman"/>
        </w:rPr>
        <w:t xml:space="preserve"> </w:t>
      </w:r>
      <w:r w:rsidR="00873422">
        <w:rPr>
          <w:rFonts w:ascii="Times New Roman" w:hAnsi="Times New Roman"/>
        </w:rPr>
        <w:t xml:space="preserve">Donanemab is not in the category of technologies where the Committee’s most plausible ICER is below £20,000 per QALY gained where decisions will be based purely on cost effectiveness, therefore the </w:t>
      </w:r>
      <w:r w:rsidR="0086460A">
        <w:rPr>
          <w:rFonts w:ascii="Times New Roman" w:hAnsi="Times New Roman"/>
        </w:rPr>
        <w:t xml:space="preserve">factors listed at paragraph 6.3.5 of the Manual must be </w:t>
      </w:r>
      <w:proofErr w:type="gramStart"/>
      <w:r w:rsidR="0086460A">
        <w:rPr>
          <w:rFonts w:ascii="Times New Roman" w:hAnsi="Times New Roman"/>
        </w:rPr>
        <w:t>taken into account</w:t>
      </w:r>
      <w:proofErr w:type="gramEnd"/>
      <w:r w:rsidR="0086460A">
        <w:rPr>
          <w:rFonts w:ascii="Times New Roman" w:hAnsi="Times New Roman"/>
        </w:rPr>
        <w:t>.</w:t>
      </w:r>
      <w:r w:rsidR="00873422">
        <w:rPr>
          <w:rFonts w:ascii="Times New Roman" w:hAnsi="Times New Roman"/>
        </w:rPr>
        <w:t xml:space="preserve"> </w:t>
      </w:r>
      <w:r w:rsidR="0033331A">
        <w:rPr>
          <w:rFonts w:ascii="Times New Roman" w:hAnsi="Times New Roman"/>
        </w:rPr>
        <w:t xml:space="preserve"> </w:t>
      </w:r>
      <w:r w:rsidR="00F7170E">
        <w:rPr>
          <w:rFonts w:ascii="Times New Roman" w:hAnsi="Times New Roman"/>
        </w:rPr>
        <w:t xml:space="preserve"> </w:t>
      </w:r>
    </w:p>
    <w:p w:rsidR="0086460A" w:rsidP="00C557AC" w:rsidRDefault="0086460A" w14:paraId="04594A44" w14:textId="77777777">
      <w:pPr>
        <w:pStyle w:val="Paragraph"/>
        <w:numPr>
          <w:ilvl w:val="0"/>
          <w:numId w:val="0"/>
        </w:numPr>
        <w:spacing w:before="0" w:after="0"/>
        <w:ind w:left="360"/>
        <w:jc w:val="both"/>
        <w:rPr>
          <w:rFonts w:ascii="Times New Roman" w:hAnsi="Times New Roman"/>
        </w:rPr>
      </w:pPr>
    </w:p>
    <w:p w:rsidR="00136BAD" w:rsidP="00C557AC" w:rsidRDefault="00136BAD" w14:paraId="32228D79" w14:textId="35DC2C18">
      <w:pPr>
        <w:pStyle w:val="Paragraph"/>
        <w:numPr>
          <w:ilvl w:val="0"/>
          <w:numId w:val="0"/>
        </w:numPr>
        <w:spacing w:before="0" w:after="0"/>
        <w:ind w:left="360"/>
        <w:jc w:val="both"/>
        <w:rPr>
          <w:rFonts w:ascii="Times New Roman" w:hAnsi="Times New Roman"/>
        </w:rPr>
      </w:pPr>
      <w:r>
        <w:rPr>
          <w:rFonts w:ascii="Times New Roman" w:hAnsi="Times New Roman"/>
        </w:rPr>
        <w:t>Finally, while you say that health inequalities are considered at paragraph 3.27 of the FDG</w:t>
      </w:r>
      <w:r w:rsidR="00D31246">
        <w:rPr>
          <w:rFonts w:ascii="Times New Roman" w:hAnsi="Times New Roman"/>
        </w:rPr>
        <w:t xml:space="preserve"> and </w:t>
      </w:r>
      <w:r w:rsidR="001C08B2">
        <w:rPr>
          <w:rFonts w:ascii="Times New Roman" w:hAnsi="Times New Roman"/>
        </w:rPr>
        <w:t xml:space="preserve">uncaptured benefits are considered at paragraph </w:t>
      </w:r>
      <w:r w:rsidR="00D31246">
        <w:rPr>
          <w:rFonts w:ascii="Times New Roman" w:hAnsi="Times New Roman"/>
        </w:rPr>
        <w:t xml:space="preserve">3.28 of the FDG, the assessment of these factors is </w:t>
      </w:r>
      <w:r w:rsidR="00685463">
        <w:rPr>
          <w:rFonts w:ascii="Times New Roman" w:hAnsi="Times New Roman"/>
        </w:rPr>
        <w:t xml:space="preserve">flawed </w:t>
      </w:r>
      <w:r w:rsidR="00D31246">
        <w:rPr>
          <w:rFonts w:ascii="Times New Roman" w:hAnsi="Times New Roman"/>
        </w:rPr>
        <w:t>(as discussed at appeal point 2.3) and there is no indication that such factors were taken into account in the context of the ICER for this appraisal</w:t>
      </w:r>
      <w:r w:rsidR="00685463">
        <w:rPr>
          <w:rFonts w:ascii="Times New Roman" w:hAnsi="Times New Roman"/>
        </w:rPr>
        <w:t xml:space="preserve"> as required by the Manual</w:t>
      </w:r>
      <w:r w:rsidR="00D31246">
        <w:rPr>
          <w:rFonts w:ascii="Times New Roman" w:hAnsi="Times New Roman"/>
        </w:rPr>
        <w:t xml:space="preserve">.  </w:t>
      </w:r>
      <w:r w:rsidR="00610BCA">
        <w:rPr>
          <w:rFonts w:ascii="Times New Roman" w:hAnsi="Times New Roman"/>
        </w:rPr>
        <w:t xml:space="preserve"> </w:t>
      </w:r>
    </w:p>
    <w:p w:rsidRPr="00EA198C" w:rsidR="0079017A" w:rsidP="00C557AC" w:rsidRDefault="0079017A" w14:paraId="4EB3DFDB" w14:textId="77777777">
      <w:pPr>
        <w:pStyle w:val="Paragraph"/>
        <w:numPr>
          <w:ilvl w:val="0"/>
          <w:numId w:val="0"/>
        </w:numPr>
        <w:spacing w:before="0" w:after="0"/>
        <w:ind w:left="1440" w:hanging="1080"/>
        <w:jc w:val="both"/>
        <w:rPr>
          <w:rFonts w:ascii="Times New Roman" w:hAnsi="Times New Roman"/>
        </w:rPr>
      </w:pPr>
    </w:p>
    <w:p w:rsidR="00487C9E" w:rsidP="00C557AC" w:rsidRDefault="000071A9" w14:paraId="2F4CF174" w14:textId="41886581">
      <w:pPr>
        <w:pStyle w:val="Paragraph"/>
        <w:numPr>
          <w:ilvl w:val="0"/>
          <w:numId w:val="0"/>
        </w:numPr>
        <w:spacing w:before="0" w:after="0"/>
        <w:ind w:left="1440" w:hanging="1080"/>
        <w:jc w:val="both"/>
        <w:rPr>
          <w:rFonts w:ascii="Times New Roman" w:hAnsi="Times New Roman"/>
          <w:b/>
          <w:bCs/>
          <w:u w:val="single"/>
        </w:rPr>
      </w:pPr>
      <w:r w:rsidRPr="000071A9">
        <w:rPr>
          <w:rFonts w:ascii="Times New Roman" w:hAnsi="Times New Roman"/>
          <w:b/>
          <w:bCs/>
        </w:rPr>
        <w:t>1(a).7</w:t>
      </w:r>
      <w:r w:rsidRPr="000071A9">
        <w:rPr>
          <w:rFonts w:ascii="Times New Roman" w:hAnsi="Times New Roman"/>
          <w:b/>
          <w:bCs/>
        </w:rPr>
        <w:tab/>
      </w:r>
      <w:r w:rsidRPr="000071A9" w:rsidR="00487C9E">
        <w:rPr>
          <w:rFonts w:ascii="Times New Roman" w:hAnsi="Times New Roman"/>
          <w:b/>
          <w:bCs/>
          <w:u w:val="single"/>
        </w:rPr>
        <w:t>The Committee has failed to consider scenario analyses which include unpaid care costs</w:t>
      </w:r>
    </w:p>
    <w:p w:rsidR="00802400" w:rsidP="00C557AC" w:rsidRDefault="00802400" w14:paraId="0ADD06C9" w14:textId="77777777">
      <w:pPr>
        <w:pStyle w:val="Paragraph"/>
        <w:numPr>
          <w:ilvl w:val="0"/>
          <w:numId w:val="0"/>
        </w:numPr>
        <w:spacing w:before="0" w:after="0"/>
        <w:ind w:left="1440" w:hanging="1080"/>
        <w:jc w:val="both"/>
        <w:rPr>
          <w:rFonts w:ascii="Times New Roman" w:hAnsi="Times New Roman"/>
        </w:rPr>
      </w:pPr>
    </w:p>
    <w:p w:rsidRPr="0045033D" w:rsidR="00802400" w:rsidP="00C557AC" w:rsidRDefault="00802400" w14:paraId="06447D9F" w14:textId="3C8F0F98">
      <w:pPr>
        <w:pStyle w:val="Paragraph"/>
        <w:numPr>
          <w:ilvl w:val="0"/>
          <w:numId w:val="0"/>
        </w:numPr>
        <w:spacing w:before="0" w:after="0"/>
        <w:ind w:left="1440" w:hanging="1080"/>
        <w:jc w:val="both"/>
        <w:rPr>
          <w:rFonts w:ascii="Times New Roman" w:hAnsi="Times New Roman"/>
        </w:rPr>
      </w:pPr>
      <w:r w:rsidRPr="0045033D">
        <w:rPr>
          <w:rFonts w:ascii="Times New Roman" w:hAnsi="Times New Roman"/>
        </w:rPr>
        <w:t xml:space="preserve">Your view in relation to </w:t>
      </w:r>
      <w:r w:rsidRPr="0045033D" w:rsidR="0045033D">
        <w:rPr>
          <w:rFonts w:ascii="Times New Roman" w:hAnsi="Times New Roman"/>
        </w:rPr>
        <w:t>this appeal point is noted.</w:t>
      </w:r>
    </w:p>
    <w:p w:rsidRPr="00EA198C" w:rsidR="000071A9" w:rsidP="00C557AC" w:rsidRDefault="000071A9" w14:paraId="2BF8B0F2" w14:textId="77777777">
      <w:pPr>
        <w:pStyle w:val="Paragraph"/>
        <w:numPr>
          <w:ilvl w:val="0"/>
          <w:numId w:val="0"/>
        </w:numPr>
        <w:spacing w:before="0" w:after="0"/>
        <w:ind w:left="1440" w:hanging="1080"/>
        <w:jc w:val="both"/>
        <w:rPr>
          <w:rFonts w:ascii="Times New Roman" w:hAnsi="Times New Roman"/>
        </w:rPr>
      </w:pPr>
    </w:p>
    <w:p w:rsidR="00487C9E" w:rsidP="00C557AC" w:rsidRDefault="000071A9" w14:paraId="35D7BA38" w14:textId="654A664C">
      <w:pPr>
        <w:spacing w:before="0" w:line="278" w:lineRule="auto"/>
        <w:ind w:left="1440" w:hanging="1080"/>
        <w:jc w:val="both"/>
        <w:rPr>
          <w:rFonts w:ascii="Times New Roman" w:hAnsi="Times New Roman"/>
          <w:b/>
          <w:bCs/>
          <w:u w:val="single"/>
        </w:rPr>
      </w:pPr>
      <w:r w:rsidRPr="000071A9">
        <w:rPr>
          <w:rFonts w:ascii="Times New Roman" w:hAnsi="Times New Roman"/>
          <w:b/>
          <w:bCs/>
        </w:rPr>
        <w:t>1(a).8</w:t>
      </w:r>
      <w:r w:rsidRPr="000071A9">
        <w:rPr>
          <w:rFonts w:ascii="Times New Roman" w:hAnsi="Times New Roman"/>
          <w:b/>
          <w:bCs/>
        </w:rPr>
        <w:tab/>
      </w:r>
      <w:r w:rsidRPr="000071A9" w:rsidR="00487C9E">
        <w:rPr>
          <w:rFonts w:ascii="Times New Roman" w:hAnsi="Times New Roman"/>
          <w:b/>
          <w:bCs/>
          <w:u w:val="single"/>
        </w:rPr>
        <w:t xml:space="preserve">The </w:t>
      </w:r>
      <w:proofErr w:type="gramStart"/>
      <w:r w:rsidRPr="000071A9" w:rsidR="00487C9E">
        <w:rPr>
          <w:rFonts w:ascii="Times New Roman" w:hAnsi="Times New Roman"/>
          <w:b/>
          <w:bCs/>
          <w:u w:val="single"/>
        </w:rPr>
        <w:t>Committee  has</w:t>
      </w:r>
      <w:proofErr w:type="gramEnd"/>
      <w:r w:rsidRPr="000071A9" w:rsidR="00487C9E">
        <w:rPr>
          <w:rFonts w:ascii="Times New Roman" w:hAnsi="Times New Roman"/>
          <w:b/>
          <w:bCs/>
          <w:u w:val="single"/>
        </w:rPr>
        <w:t xml:space="preserve"> </w:t>
      </w:r>
      <w:proofErr w:type="gramStart"/>
      <w:r w:rsidRPr="000071A9" w:rsidR="00487C9E">
        <w:rPr>
          <w:rFonts w:ascii="Times New Roman" w:hAnsi="Times New Roman"/>
          <w:b/>
          <w:bCs/>
          <w:u w:val="single"/>
        </w:rPr>
        <w:t>taken into account</w:t>
      </w:r>
      <w:proofErr w:type="gramEnd"/>
      <w:r w:rsidRPr="000071A9" w:rsidR="00487C9E">
        <w:rPr>
          <w:rFonts w:ascii="Times New Roman" w:hAnsi="Times New Roman"/>
          <w:b/>
          <w:bCs/>
          <w:u w:val="single"/>
        </w:rPr>
        <w:t xml:space="preserve"> an irrelevant factor when deciding not to recommend donanemab</w:t>
      </w:r>
    </w:p>
    <w:p w:rsidR="005B636A" w:rsidP="00C557AC" w:rsidRDefault="0011425E" w14:paraId="2EB73DD5" w14:textId="498042CC">
      <w:pPr>
        <w:pStyle w:val="Paragraph"/>
        <w:numPr>
          <w:ilvl w:val="0"/>
          <w:numId w:val="0"/>
        </w:numPr>
        <w:spacing w:before="0" w:after="0"/>
        <w:ind w:left="360"/>
        <w:jc w:val="both"/>
        <w:rPr>
          <w:rFonts w:ascii="Times New Roman" w:hAnsi="Times New Roman"/>
        </w:rPr>
      </w:pPr>
      <w:r>
        <w:rPr>
          <w:rFonts w:ascii="Times New Roman" w:hAnsi="Times New Roman"/>
        </w:rPr>
        <w:t xml:space="preserve">In the initial scrutiny </w:t>
      </w:r>
      <w:proofErr w:type="gramStart"/>
      <w:r>
        <w:rPr>
          <w:rFonts w:ascii="Times New Roman" w:hAnsi="Times New Roman"/>
        </w:rPr>
        <w:t>letter</w:t>
      </w:r>
      <w:proofErr w:type="gramEnd"/>
      <w:r>
        <w:rPr>
          <w:rFonts w:ascii="Times New Roman" w:hAnsi="Times New Roman"/>
        </w:rPr>
        <w:t xml:space="preserve"> y</w:t>
      </w:r>
      <w:r w:rsidRPr="00CC1125" w:rsidR="003F054B">
        <w:rPr>
          <w:rFonts w:ascii="Times New Roman" w:hAnsi="Times New Roman"/>
        </w:rPr>
        <w:t xml:space="preserve">ou </w:t>
      </w:r>
      <w:r w:rsidR="00043182">
        <w:rPr>
          <w:rFonts w:ascii="Times New Roman" w:hAnsi="Times New Roman"/>
        </w:rPr>
        <w:t xml:space="preserve">summarise </w:t>
      </w:r>
      <w:r>
        <w:rPr>
          <w:rFonts w:ascii="Times New Roman" w:hAnsi="Times New Roman"/>
        </w:rPr>
        <w:t xml:space="preserve">Lilly’s appeal </w:t>
      </w:r>
      <w:r w:rsidR="00DB34C9">
        <w:rPr>
          <w:rFonts w:ascii="Times New Roman" w:hAnsi="Times New Roman"/>
        </w:rPr>
        <w:t xml:space="preserve">as being that the references to the impact of adopting donanemab on NHS resources at paragraphs </w:t>
      </w:r>
      <w:r w:rsidR="00BF0227">
        <w:rPr>
          <w:rFonts w:ascii="Times New Roman" w:hAnsi="Times New Roman"/>
        </w:rPr>
        <w:t xml:space="preserve">3.25 and 3.26 of the FDG are procedurally unfair.  You refer to paragraph 6.2.33 of NICE’s Manual and </w:t>
      </w:r>
      <w:r w:rsidR="00D21284">
        <w:rPr>
          <w:rFonts w:ascii="Times New Roman" w:hAnsi="Times New Roman"/>
        </w:rPr>
        <w:t xml:space="preserve">express the view that it is not arguable that either of the two identified paragraphs in the </w:t>
      </w:r>
      <w:r w:rsidR="00A313A6">
        <w:rPr>
          <w:rFonts w:ascii="Times New Roman" w:hAnsi="Times New Roman"/>
        </w:rPr>
        <w:t>FDG demonstrate procedural unfairness.</w:t>
      </w:r>
    </w:p>
    <w:p w:rsidR="00673563" w:rsidP="00C557AC" w:rsidRDefault="00673563" w14:paraId="01DD194F" w14:textId="77777777">
      <w:pPr>
        <w:pStyle w:val="Paragraph"/>
        <w:numPr>
          <w:ilvl w:val="0"/>
          <w:numId w:val="0"/>
        </w:numPr>
        <w:spacing w:before="0" w:after="0"/>
        <w:ind w:left="360"/>
        <w:jc w:val="both"/>
        <w:rPr>
          <w:rFonts w:ascii="Times New Roman" w:hAnsi="Times New Roman"/>
        </w:rPr>
      </w:pPr>
    </w:p>
    <w:p w:rsidR="00673563" w:rsidP="00C557AC" w:rsidRDefault="00673563" w14:paraId="714ACA3A" w14:textId="7A9FE906">
      <w:pPr>
        <w:pStyle w:val="Paragraph"/>
        <w:numPr>
          <w:ilvl w:val="0"/>
          <w:numId w:val="0"/>
        </w:numPr>
        <w:spacing w:before="0" w:after="0"/>
        <w:ind w:left="360"/>
        <w:jc w:val="both"/>
        <w:rPr>
          <w:rFonts w:ascii="Times New Roman" w:hAnsi="Times New Roman"/>
        </w:rPr>
      </w:pPr>
      <w:r>
        <w:rPr>
          <w:rFonts w:ascii="Times New Roman" w:hAnsi="Times New Roman"/>
        </w:rPr>
        <w:t xml:space="preserve">However, </w:t>
      </w:r>
      <w:r w:rsidR="003A52AB">
        <w:rPr>
          <w:rFonts w:ascii="Times New Roman" w:hAnsi="Times New Roman"/>
        </w:rPr>
        <w:t>we believe there may have been some misunderstanding in relation to our appeal point.  This may be summarised as:</w:t>
      </w:r>
    </w:p>
    <w:p w:rsidR="003A52AB" w:rsidP="00C557AC" w:rsidRDefault="003A52AB" w14:paraId="674C7135" w14:textId="77777777">
      <w:pPr>
        <w:pStyle w:val="Paragraph"/>
        <w:numPr>
          <w:ilvl w:val="0"/>
          <w:numId w:val="0"/>
        </w:numPr>
        <w:spacing w:before="0" w:after="0"/>
        <w:ind w:left="360"/>
        <w:jc w:val="both"/>
        <w:rPr>
          <w:rFonts w:ascii="Times New Roman" w:hAnsi="Times New Roman"/>
        </w:rPr>
      </w:pPr>
    </w:p>
    <w:p w:rsidR="00673563" w:rsidP="00C557AC" w:rsidRDefault="00BF55FF" w14:paraId="06FA4591" w14:textId="440528DD">
      <w:pPr>
        <w:pStyle w:val="Paragraph"/>
        <w:numPr>
          <w:ilvl w:val="0"/>
          <w:numId w:val="42"/>
        </w:numPr>
        <w:spacing w:before="0" w:after="0"/>
        <w:jc w:val="both"/>
        <w:rPr>
          <w:rFonts w:ascii="Times New Roman" w:hAnsi="Times New Roman"/>
        </w:rPr>
      </w:pPr>
      <w:r>
        <w:rPr>
          <w:rFonts w:ascii="Times New Roman" w:hAnsi="Times New Roman"/>
        </w:rPr>
        <w:lastRenderedPageBreak/>
        <w:t xml:space="preserve">Although </w:t>
      </w:r>
      <w:r w:rsidR="00967664">
        <w:rPr>
          <w:rFonts w:ascii="Times New Roman" w:hAnsi="Times New Roman"/>
        </w:rPr>
        <w:t xml:space="preserve">the Committee accepts at paragraph </w:t>
      </w:r>
      <w:r w:rsidR="004C75F2">
        <w:rPr>
          <w:rFonts w:ascii="Times New Roman" w:hAnsi="Times New Roman"/>
        </w:rPr>
        <w:t>3.27 of the FDG that “</w:t>
      </w:r>
      <w:r w:rsidRPr="00BF55FF" w:rsidR="004C75F2">
        <w:rPr>
          <w:rFonts w:ascii="Times New Roman" w:hAnsi="Times New Roman"/>
          <w:i/>
          <w:iCs/>
        </w:rPr>
        <w:t xml:space="preserve">concerns raised </w:t>
      </w:r>
      <w:r w:rsidRPr="00BF55FF" w:rsidR="00B30BF5">
        <w:rPr>
          <w:rFonts w:ascii="Times New Roman" w:hAnsi="Times New Roman"/>
          <w:i/>
          <w:iCs/>
        </w:rPr>
        <w:t xml:space="preserve">about getting a diagnosis, accessing care in a new and complex pathway and substantial </w:t>
      </w:r>
      <w:r w:rsidRPr="00BF55FF" w:rsidR="00ED1A50">
        <w:rPr>
          <w:rFonts w:ascii="Times New Roman" w:hAnsi="Times New Roman"/>
          <w:i/>
          <w:iCs/>
        </w:rPr>
        <w:t>demand on NHS services</w:t>
      </w:r>
      <w:r w:rsidR="00ED1A50">
        <w:rPr>
          <w:rFonts w:ascii="Times New Roman" w:hAnsi="Times New Roman"/>
        </w:rPr>
        <w:t>” are “</w:t>
      </w:r>
      <w:r w:rsidRPr="00BF55FF" w:rsidR="00ED1A50">
        <w:rPr>
          <w:rFonts w:ascii="Times New Roman" w:hAnsi="Times New Roman"/>
          <w:i/>
          <w:iCs/>
        </w:rPr>
        <w:t>outside of its remit</w:t>
      </w:r>
      <w:r w:rsidR="00ED1A50">
        <w:rPr>
          <w:rFonts w:ascii="Times New Roman" w:hAnsi="Times New Roman"/>
        </w:rPr>
        <w:t xml:space="preserve">”, it nevertheless relies on these factors for at least part of its reasons for rejecting donanemab </w:t>
      </w:r>
      <w:r w:rsidR="002C6D7D">
        <w:rPr>
          <w:rFonts w:ascii="Times New Roman" w:hAnsi="Times New Roman"/>
        </w:rPr>
        <w:t xml:space="preserve">under either baseline commissioning (paragraph 3.25 of the FDG) or managed access (paragraph </w:t>
      </w:r>
      <w:r w:rsidR="00181339">
        <w:rPr>
          <w:rFonts w:ascii="Times New Roman" w:hAnsi="Times New Roman"/>
        </w:rPr>
        <w:t>3.26 of the FDG).</w:t>
      </w:r>
    </w:p>
    <w:p w:rsidR="008F1648" w:rsidP="00C557AC" w:rsidRDefault="00315FC4" w14:paraId="33C09428" w14:textId="0FF1E22B">
      <w:pPr>
        <w:pStyle w:val="Paragraph"/>
        <w:numPr>
          <w:ilvl w:val="0"/>
          <w:numId w:val="42"/>
        </w:numPr>
        <w:spacing w:before="0" w:after="0"/>
        <w:jc w:val="both"/>
        <w:rPr>
          <w:rFonts w:ascii="Times New Roman" w:hAnsi="Times New Roman"/>
        </w:rPr>
      </w:pPr>
      <w:r>
        <w:rPr>
          <w:rFonts w:ascii="Times New Roman" w:hAnsi="Times New Roman"/>
        </w:rPr>
        <w:t xml:space="preserve">The Committee’s acceptance </w:t>
      </w:r>
      <w:r w:rsidR="006B6085">
        <w:rPr>
          <w:rFonts w:ascii="Times New Roman" w:hAnsi="Times New Roman"/>
        </w:rPr>
        <w:t xml:space="preserve">at paragraph </w:t>
      </w:r>
      <w:r w:rsidR="00264F49">
        <w:rPr>
          <w:rFonts w:ascii="Times New Roman" w:hAnsi="Times New Roman"/>
        </w:rPr>
        <w:t xml:space="preserve">3.27 of the FDG </w:t>
      </w:r>
      <w:r>
        <w:rPr>
          <w:rFonts w:ascii="Times New Roman" w:hAnsi="Times New Roman"/>
        </w:rPr>
        <w:t>that the</w:t>
      </w:r>
      <w:r w:rsidR="006B6085">
        <w:rPr>
          <w:rFonts w:ascii="Times New Roman" w:hAnsi="Times New Roman"/>
        </w:rPr>
        <w:t xml:space="preserve"> NHS burden issue is outside its remit</w:t>
      </w:r>
      <w:r w:rsidR="00264F49">
        <w:rPr>
          <w:rFonts w:ascii="Times New Roman" w:hAnsi="Times New Roman"/>
        </w:rPr>
        <w:t xml:space="preserve"> demonstrates that this matter is substantially more complex </w:t>
      </w:r>
      <w:r w:rsidR="00F36A04">
        <w:rPr>
          <w:rFonts w:ascii="Times New Roman" w:hAnsi="Times New Roman"/>
        </w:rPr>
        <w:t xml:space="preserve">simply </w:t>
      </w:r>
      <w:r w:rsidR="00264F49">
        <w:rPr>
          <w:rFonts w:ascii="Times New Roman" w:hAnsi="Times New Roman"/>
        </w:rPr>
        <w:t xml:space="preserve">than </w:t>
      </w:r>
      <w:r w:rsidR="00F36A04">
        <w:rPr>
          <w:rFonts w:ascii="Times New Roman" w:hAnsi="Times New Roman"/>
        </w:rPr>
        <w:t>“</w:t>
      </w:r>
      <w:r w:rsidRPr="00A30486" w:rsidR="00F36A04">
        <w:rPr>
          <w:rFonts w:ascii="Times New Roman" w:hAnsi="Times New Roman"/>
          <w:i/>
          <w:iCs/>
        </w:rPr>
        <w:t>the impact of adopting the technology on NHS resources</w:t>
      </w:r>
      <w:r w:rsidR="00F36A04">
        <w:rPr>
          <w:rFonts w:ascii="Times New Roman" w:hAnsi="Times New Roman"/>
        </w:rPr>
        <w:t>”</w:t>
      </w:r>
      <w:r w:rsidR="00A30486">
        <w:rPr>
          <w:rFonts w:ascii="Times New Roman" w:hAnsi="Times New Roman"/>
        </w:rPr>
        <w:t xml:space="preserve"> as referenced at paragraph 6.2.33 of the Manual. </w:t>
      </w:r>
      <w:r w:rsidR="00264F49">
        <w:rPr>
          <w:rFonts w:ascii="Times New Roman" w:hAnsi="Times New Roman"/>
        </w:rPr>
        <w:t xml:space="preserve"> </w:t>
      </w:r>
      <w:r w:rsidR="00DA3645">
        <w:rPr>
          <w:rFonts w:ascii="Times New Roman" w:hAnsi="Times New Roman"/>
        </w:rPr>
        <w:t xml:space="preserve">There has been substantial underinvestment in </w:t>
      </w:r>
      <w:r w:rsidR="00446729">
        <w:rPr>
          <w:rFonts w:ascii="Times New Roman" w:hAnsi="Times New Roman"/>
        </w:rPr>
        <w:t>dementia services in England (not limited to Alzheimer’s Disease</w:t>
      </w:r>
      <w:proofErr w:type="gramStart"/>
      <w:r w:rsidR="00446729">
        <w:rPr>
          <w:rFonts w:ascii="Times New Roman" w:hAnsi="Times New Roman"/>
        </w:rPr>
        <w:t>)</w:t>
      </w:r>
      <w:proofErr w:type="gramEnd"/>
      <w:r w:rsidR="00446729">
        <w:rPr>
          <w:rFonts w:ascii="Times New Roman" w:hAnsi="Times New Roman"/>
        </w:rPr>
        <w:t xml:space="preserve"> </w:t>
      </w:r>
      <w:r w:rsidR="009D5A4C">
        <w:rPr>
          <w:rFonts w:ascii="Times New Roman" w:hAnsi="Times New Roman"/>
        </w:rPr>
        <w:t>and any new treatment will require resources to be allocated to di</w:t>
      </w:r>
      <w:r w:rsidR="00A266B1">
        <w:rPr>
          <w:rFonts w:ascii="Times New Roman" w:hAnsi="Times New Roman"/>
        </w:rPr>
        <w:t>agnosis and access to care.  Th</w:t>
      </w:r>
      <w:r w:rsidR="00A457B2">
        <w:rPr>
          <w:rFonts w:ascii="Times New Roman" w:hAnsi="Times New Roman"/>
        </w:rPr>
        <w:t>ese costs are not specifically related to the impact of adopting donanemab</w:t>
      </w:r>
      <w:r w:rsidR="00E44CF8">
        <w:rPr>
          <w:rFonts w:ascii="Times New Roman" w:hAnsi="Times New Roman"/>
        </w:rPr>
        <w:t xml:space="preserve"> (as per paragraph 6.2.33)</w:t>
      </w:r>
      <w:r w:rsidR="00A457B2">
        <w:rPr>
          <w:rFonts w:ascii="Times New Roman" w:hAnsi="Times New Roman"/>
        </w:rPr>
        <w:t xml:space="preserve">, but </w:t>
      </w:r>
      <w:r w:rsidR="00040BCE">
        <w:rPr>
          <w:rFonts w:ascii="Times New Roman" w:hAnsi="Times New Roman"/>
        </w:rPr>
        <w:t xml:space="preserve">to upgrading services generally. </w:t>
      </w:r>
      <w:r w:rsidR="00A457B2">
        <w:rPr>
          <w:rFonts w:ascii="Times New Roman" w:hAnsi="Times New Roman"/>
        </w:rPr>
        <w:t xml:space="preserve"> </w:t>
      </w:r>
      <w:r w:rsidR="00E44CF8">
        <w:rPr>
          <w:rFonts w:ascii="Times New Roman" w:hAnsi="Times New Roman"/>
        </w:rPr>
        <w:t xml:space="preserve">Importantly, the Committee has </w:t>
      </w:r>
      <w:r w:rsidR="003218DF">
        <w:rPr>
          <w:rFonts w:ascii="Times New Roman" w:hAnsi="Times New Roman"/>
        </w:rPr>
        <w:t xml:space="preserve">conducted no investigation of the </w:t>
      </w:r>
      <w:r w:rsidR="00675E78">
        <w:rPr>
          <w:rFonts w:ascii="Times New Roman" w:hAnsi="Times New Roman"/>
        </w:rPr>
        <w:t xml:space="preserve">resources required to </w:t>
      </w:r>
      <w:r w:rsidR="00BD52E8">
        <w:rPr>
          <w:rFonts w:ascii="Times New Roman" w:hAnsi="Times New Roman"/>
        </w:rPr>
        <w:t xml:space="preserve">improve Alzheimer’s Disease services </w:t>
      </w:r>
      <w:proofErr w:type="gramStart"/>
      <w:r w:rsidR="005932B1">
        <w:rPr>
          <w:rFonts w:ascii="Times New Roman" w:hAnsi="Times New Roman"/>
        </w:rPr>
        <w:t>in order to</w:t>
      </w:r>
      <w:proofErr w:type="gramEnd"/>
      <w:r w:rsidR="005932B1">
        <w:rPr>
          <w:rFonts w:ascii="Times New Roman" w:hAnsi="Times New Roman"/>
        </w:rPr>
        <w:t xml:space="preserve"> make any new treatments available to patients and has certainly</w:t>
      </w:r>
      <w:r w:rsidR="00EB284A">
        <w:rPr>
          <w:rFonts w:ascii="Times New Roman" w:hAnsi="Times New Roman"/>
        </w:rPr>
        <w:t xml:space="preserve"> not</w:t>
      </w:r>
      <w:r w:rsidR="001953E9">
        <w:rPr>
          <w:rFonts w:ascii="Times New Roman" w:hAnsi="Times New Roman"/>
        </w:rPr>
        <w:t xml:space="preserve"> (in circumstances where such consideration falls outside its remit)</w:t>
      </w:r>
      <w:r w:rsidR="00EB284A">
        <w:rPr>
          <w:rFonts w:ascii="Times New Roman" w:hAnsi="Times New Roman"/>
        </w:rPr>
        <w:t xml:space="preserve"> considered the specific </w:t>
      </w:r>
      <w:r w:rsidR="003218DF">
        <w:rPr>
          <w:rFonts w:ascii="Times New Roman" w:hAnsi="Times New Roman"/>
        </w:rPr>
        <w:t xml:space="preserve">impact of introduction of donanemab </w:t>
      </w:r>
      <w:r w:rsidR="00EB284A">
        <w:rPr>
          <w:rFonts w:ascii="Times New Roman" w:hAnsi="Times New Roman"/>
        </w:rPr>
        <w:t xml:space="preserve">in this context. </w:t>
      </w:r>
      <w:r w:rsidR="00675E78">
        <w:rPr>
          <w:rFonts w:ascii="Times New Roman" w:hAnsi="Times New Roman"/>
        </w:rPr>
        <w:t xml:space="preserve"> </w:t>
      </w:r>
      <w:r w:rsidR="006B6085">
        <w:rPr>
          <w:rFonts w:ascii="Times New Roman" w:hAnsi="Times New Roman"/>
        </w:rPr>
        <w:t xml:space="preserve"> </w:t>
      </w:r>
    </w:p>
    <w:p w:rsidR="00035DF9" w:rsidP="00C557AC" w:rsidRDefault="00BF55FF" w14:paraId="36E73A63" w14:textId="6715F33F">
      <w:pPr>
        <w:pStyle w:val="Paragraph"/>
        <w:numPr>
          <w:ilvl w:val="0"/>
          <w:numId w:val="42"/>
        </w:numPr>
        <w:spacing w:before="0" w:after="0"/>
        <w:jc w:val="both"/>
        <w:rPr>
          <w:rFonts w:ascii="Times New Roman" w:hAnsi="Times New Roman"/>
        </w:rPr>
      </w:pPr>
      <w:r>
        <w:rPr>
          <w:rFonts w:ascii="Times New Roman" w:hAnsi="Times New Roman"/>
        </w:rPr>
        <w:t xml:space="preserve">While you say that </w:t>
      </w:r>
      <w:r w:rsidR="009B02AE">
        <w:rPr>
          <w:rFonts w:ascii="Times New Roman" w:hAnsi="Times New Roman"/>
        </w:rPr>
        <w:t xml:space="preserve">the demands on NHS resources were </w:t>
      </w:r>
      <w:r w:rsidR="00FB4F39">
        <w:rPr>
          <w:rFonts w:ascii="Times New Roman" w:hAnsi="Times New Roman"/>
        </w:rPr>
        <w:t>“</w:t>
      </w:r>
      <w:r w:rsidRPr="008F1648" w:rsidR="009B02AE">
        <w:rPr>
          <w:rFonts w:ascii="Times New Roman" w:hAnsi="Times New Roman"/>
          <w:i/>
          <w:iCs/>
        </w:rPr>
        <w:t>not determinative</w:t>
      </w:r>
      <w:r w:rsidR="00FB4F39">
        <w:rPr>
          <w:rFonts w:ascii="Times New Roman" w:hAnsi="Times New Roman"/>
        </w:rPr>
        <w:t>”</w:t>
      </w:r>
      <w:r w:rsidR="009B02AE">
        <w:rPr>
          <w:rFonts w:ascii="Times New Roman" w:hAnsi="Times New Roman"/>
        </w:rPr>
        <w:t xml:space="preserve"> of the Committee’s decision</w:t>
      </w:r>
      <w:r w:rsidR="00FB4F39">
        <w:rPr>
          <w:rFonts w:ascii="Times New Roman" w:hAnsi="Times New Roman"/>
        </w:rPr>
        <w:t xml:space="preserve"> not to recommend donanemab in managed access</w:t>
      </w:r>
      <w:r w:rsidR="009B02AE">
        <w:rPr>
          <w:rFonts w:ascii="Times New Roman" w:hAnsi="Times New Roman"/>
        </w:rPr>
        <w:t>,</w:t>
      </w:r>
      <w:r w:rsidR="00084E5D">
        <w:rPr>
          <w:rFonts w:ascii="Times New Roman" w:hAnsi="Times New Roman"/>
        </w:rPr>
        <w:t xml:space="preserve"> </w:t>
      </w:r>
      <w:r w:rsidR="00DB44E8">
        <w:rPr>
          <w:rFonts w:ascii="Times New Roman" w:hAnsi="Times New Roman"/>
        </w:rPr>
        <w:t xml:space="preserve">it was clearly a material factor or it would not have been included </w:t>
      </w:r>
      <w:r w:rsidR="00772965">
        <w:rPr>
          <w:rFonts w:ascii="Times New Roman" w:hAnsi="Times New Roman"/>
        </w:rPr>
        <w:t>in the explanations provided at paragraph 3.26</w:t>
      </w:r>
      <w:r w:rsidR="005277CC">
        <w:rPr>
          <w:rFonts w:ascii="Times New Roman" w:hAnsi="Times New Roman"/>
        </w:rPr>
        <w:t>; it is not possible, based on the wording of this paragraph to form any view as to the weight attached to this matter by the Committee</w:t>
      </w:r>
      <w:r w:rsidR="008F1648">
        <w:rPr>
          <w:rFonts w:ascii="Times New Roman" w:hAnsi="Times New Roman"/>
        </w:rPr>
        <w:t>, but the fact that it is given as a reason at all is unfair</w:t>
      </w:r>
      <w:r w:rsidR="005277CC">
        <w:rPr>
          <w:rFonts w:ascii="Times New Roman" w:hAnsi="Times New Roman"/>
        </w:rPr>
        <w:t>.</w:t>
      </w:r>
      <w:r w:rsidR="009B02AE">
        <w:rPr>
          <w:rFonts w:ascii="Times New Roman" w:hAnsi="Times New Roman"/>
        </w:rPr>
        <w:t xml:space="preserve">  </w:t>
      </w:r>
    </w:p>
    <w:p w:rsidR="00673563" w:rsidP="00C557AC" w:rsidRDefault="00673563" w14:paraId="4FB8518D" w14:textId="77777777">
      <w:pPr>
        <w:pStyle w:val="Paragraph"/>
        <w:numPr>
          <w:ilvl w:val="0"/>
          <w:numId w:val="0"/>
        </w:numPr>
        <w:spacing w:before="0" w:after="0"/>
        <w:ind w:left="360"/>
        <w:jc w:val="both"/>
        <w:rPr>
          <w:rFonts w:ascii="Times New Roman" w:hAnsi="Times New Roman"/>
        </w:rPr>
      </w:pPr>
    </w:p>
    <w:p w:rsidR="00E03FA2" w:rsidP="00C557AC" w:rsidRDefault="00E03FA2" w14:paraId="55DBCE20" w14:textId="6DBCD807">
      <w:pPr>
        <w:pStyle w:val="Paragraph"/>
        <w:numPr>
          <w:ilvl w:val="0"/>
          <w:numId w:val="0"/>
        </w:numPr>
        <w:spacing w:before="0" w:after="0"/>
        <w:ind w:left="360"/>
        <w:jc w:val="both"/>
        <w:rPr>
          <w:rFonts w:ascii="Times New Roman" w:hAnsi="Times New Roman"/>
        </w:rPr>
      </w:pPr>
      <w:proofErr w:type="gramStart"/>
      <w:r>
        <w:rPr>
          <w:rFonts w:ascii="Times New Roman" w:hAnsi="Times New Roman"/>
        </w:rPr>
        <w:t>Overall</w:t>
      </w:r>
      <w:proofErr w:type="gramEnd"/>
      <w:r>
        <w:rPr>
          <w:rFonts w:ascii="Times New Roman" w:hAnsi="Times New Roman"/>
        </w:rPr>
        <w:t xml:space="preserve"> therefore, </w:t>
      </w:r>
      <w:r w:rsidR="009E43DE">
        <w:rPr>
          <w:rFonts w:ascii="Times New Roman" w:hAnsi="Times New Roman"/>
        </w:rPr>
        <w:t xml:space="preserve">the Committee </w:t>
      </w:r>
      <w:r>
        <w:rPr>
          <w:rFonts w:ascii="Times New Roman" w:hAnsi="Times New Roman"/>
        </w:rPr>
        <w:t xml:space="preserve">has </w:t>
      </w:r>
      <w:r w:rsidR="009E43DE">
        <w:rPr>
          <w:rFonts w:ascii="Times New Roman" w:hAnsi="Times New Roman"/>
        </w:rPr>
        <w:t>based its decisions in relation to donanemab</w:t>
      </w:r>
      <w:r w:rsidR="007B4807">
        <w:rPr>
          <w:rFonts w:ascii="Times New Roman" w:hAnsi="Times New Roman"/>
        </w:rPr>
        <w:t>, at least in part,</w:t>
      </w:r>
      <w:r w:rsidR="009E43DE">
        <w:rPr>
          <w:rFonts w:ascii="Times New Roman" w:hAnsi="Times New Roman"/>
        </w:rPr>
        <w:t xml:space="preserve"> on factors which it accepts are outside its remit </w:t>
      </w:r>
      <w:r w:rsidR="007B4807">
        <w:rPr>
          <w:rFonts w:ascii="Times New Roman" w:hAnsi="Times New Roman"/>
        </w:rPr>
        <w:t xml:space="preserve">and in circumstances where it has no evidence and has conducted no investigation </w:t>
      </w:r>
      <w:r w:rsidR="006F7E37">
        <w:rPr>
          <w:rFonts w:ascii="Times New Roman" w:hAnsi="Times New Roman"/>
        </w:rPr>
        <w:t>of the issues.  This is procedurally unfair.</w:t>
      </w:r>
    </w:p>
    <w:p w:rsidR="00E03FA2" w:rsidP="00C557AC" w:rsidRDefault="00E03FA2" w14:paraId="2DCD4C95" w14:textId="77777777">
      <w:pPr>
        <w:pStyle w:val="Paragraph"/>
        <w:numPr>
          <w:ilvl w:val="0"/>
          <w:numId w:val="0"/>
        </w:numPr>
        <w:spacing w:before="0" w:after="0"/>
        <w:ind w:left="360"/>
        <w:jc w:val="both"/>
        <w:rPr>
          <w:rFonts w:ascii="Times New Roman" w:hAnsi="Times New Roman"/>
        </w:rPr>
      </w:pPr>
    </w:p>
    <w:p w:rsidRPr="000A3289" w:rsidR="00487C9E" w:rsidP="00C557AC" w:rsidRDefault="00487C9E" w14:paraId="300FD055" w14:textId="77777777">
      <w:pPr>
        <w:pStyle w:val="Paragraph"/>
        <w:numPr>
          <w:ilvl w:val="0"/>
          <w:numId w:val="4"/>
        </w:numPr>
        <w:spacing w:before="0" w:after="0"/>
        <w:jc w:val="both"/>
        <w:rPr>
          <w:rFonts w:ascii="Times New Roman" w:hAnsi="Times New Roman"/>
          <w:b/>
          <w:bCs/>
        </w:rPr>
      </w:pPr>
      <w:r w:rsidRPr="000A3289">
        <w:rPr>
          <w:rFonts w:ascii="Times New Roman" w:hAnsi="Times New Roman"/>
          <w:b/>
          <w:bCs/>
        </w:rPr>
        <w:t>Ground 2</w:t>
      </w:r>
    </w:p>
    <w:p w:rsidR="000071A9" w:rsidP="00C557AC" w:rsidRDefault="000071A9" w14:paraId="5EB3C842" w14:textId="77777777">
      <w:pPr>
        <w:spacing w:before="0" w:after="0" w:line="278" w:lineRule="auto"/>
        <w:jc w:val="both"/>
        <w:rPr>
          <w:rFonts w:ascii="Times New Roman" w:hAnsi="Times New Roman"/>
        </w:rPr>
      </w:pPr>
    </w:p>
    <w:p w:rsidR="00487C9E" w:rsidP="00C557AC" w:rsidRDefault="000071A9" w14:paraId="69B82C7C" w14:textId="773D3F70">
      <w:pPr>
        <w:spacing w:before="0" w:line="278" w:lineRule="auto"/>
        <w:ind w:left="720" w:hanging="360"/>
        <w:jc w:val="both"/>
        <w:rPr>
          <w:rFonts w:ascii="Times New Roman" w:hAnsi="Times New Roman"/>
          <w:b/>
          <w:bCs/>
          <w:u w:val="single"/>
        </w:rPr>
      </w:pPr>
      <w:r w:rsidRPr="000071A9">
        <w:rPr>
          <w:rFonts w:ascii="Times New Roman" w:hAnsi="Times New Roman"/>
          <w:b/>
          <w:bCs/>
        </w:rPr>
        <w:t>2.1</w:t>
      </w:r>
      <w:r w:rsidRPr="000071A9">
        <w:rPr>
          <w:rFonts w:ascii="Times New Roman" w:hAnsi="Times New Roman"/>
          <w:b/>
          <w:bCs/>
        </w:rPr>
        <w:tab/>
      </w:r>
      <w:r w:rsidRPr="000071A9" w:rsidR="00487C9E">
        <w:rPr>
          <w:rFonts w:ascii="Times New Roman" w:hAnsi="Times New Roman"/>
          <w:b/>
          <w:bCs/>
          <w:u w:val="single"/>
        </w:rPr>
        <w:t>The Committee’s conclusions on caregiver utilities do not reflect the evidence available and are therefore unreasonable</w:t>
      </w:r>
    </w:p>
    <w:p w:rsidRPr="0045033D" w:rsidR="00044A98" w:rsidP="00C557AC" w:rsidRDefault="00044A98" w14:paraId="7D479B57" w14:textId="4594082E">
      <w:pPr>
        <w:pStyle w:val="Paragraph"/>
        <w:numPr>
          <w:ilvl w:val="0"/>
          <w:numId w:val="0"/>
        </w:numPr>
        <w:spacing w:before="0" w:after="0"/>
        <w:ind w:left="1440" w:hanging="1080"/>
        <w:jc w:val="both"/>
        <w:rPr>
          <w:rFonts w:ascii="Times New Roman" w:hAnsi="Times New Roman"/>
        </w:rPr>
      </w:pPr>
      <w:r w:rsidRPr="0045033D">
        <w:rPr>
          <w:rFonts w:ascii="Times New Roman" w:hAnsi="Times New Roman"/>
        </w:rPr>
        <w:t>Your view in relation to this appeal point is noted.</w:t>
      </w:r>
    </w:p>
    <w:p w:rsidR="000071A9" w:rsidP="00C557AC" w:rsidRDefault="000071A9" w14:paraId="3741A779" w14:textId="77777777">
      <w:pPr>
        <w:spacing w:before="0" w:after="0" w:line="278" w:lineRule="auto"/>
        <w:ind w:left="720" w:hanging="360"/>
        <w:jc w:val="both"/>
        <w:rPr>
          <w:rFonts w:ascii="Times New Roman" w:hAnsi="Times New Roman"/>
          <w:b/>
          <w:bCs/>
          <w:u w:val="single"/>
        </w:rPr>
      </w:pPr>
    </w:p>
    <w:p w:rsidR="00B95D51" w:rsidP="00C557AC" w:rsidRDefault="001953E9" w14:paraId="3ADF1F27" w14:textId="77777777">
      <w:pPr>
        <w:pStyle w:val="Paragraph"/>
        <w:numPr>
          <w:ilvl w:val="0"/>
          <w:numId w:val="0"/>
        </w:numPr>
        <w:spacing w:before="0" w:after="0"/>
        <w:ind w:left="360"/>
        <w:jc w:val="both"/>
        <w:rPr>
          <w:rFonts w:ascii="Times New Roman" w:hAnsi="Times New Roman"/>
        </w:rPr>
      </w:pPr>
      <w:r>
        <w:rPr>
          <w:rFonts w:ascii="Times New Roman" w:hAnsi="Times New Roman"/>
        </w:rPr>
        <w:t xml:space="preserve">However, while </w:t>
      </w:r>
      <w:r w:rsidR="00B95D51">
        <w:rPr>
          <w:rFonts w:ascii="Times New Roman" w:hAnsi="Times New Roman"/>
        </w:rPr>
        <w:t xml:space="preserve">appeal point 1(a).1 part (b) relates to the fact that important evidence, listed under that appeal point, was not taken into account by the Committee when deciding to rely on the GERAS study, which used EQ5D to measure carer utilities rather than the vignette studies submitted by Lilly (a matter of procedural fairness under Ground 1), appeal point 2.1 raises a different issue. </w:t>
      </w:r>
    </w:p>
    <w:p w:rsidR="00B95D51" w:rsidP="00C557AC" w:rsidRDefault="00B95D51" w14:paraId="0CBC3B79" w14:textId="77777777">
      <w:pPr>
        <w:pStyle w:val="Paragraph"/>
        <w:numPr>
          <w:ilvl w:val="0"/>
          <w:numId w:val="0"/>
        </w:numPr>
        <w:spacing w:before="0" w:after="0"/>
        <w:ind w:left="360"/>
        <w:jc w:val="both"/>
        <w:rPr>
          <w:rFonts w:ascii="Times New Roman" w:hAnsi="Times New Roman"/>
        </w:rPr>
      </w:pPr>
    </w:p>
    <w:p w:rsidR="001F5EC3" w:rsidP="00C557AC" w:rsidRDefault="001953E9" w14:paraId="15B47C2E" w14:textId="7AE219D2">
      <w:pPr>
        <w:pStyle w:val="Paragraph"/>
        <w:numPr>
          <w:ilvl w:val="0"/>
          <w:numId w:val="0"/>
        </w:numPr>
        <w:spacing w:before="0" w:after="0"/>
        <w:ind w:left="360"/>
        <w:jc w:val="both"/>
        <w:rPr>
          <w:rFonts w:ascii="Times New Roman" w:hAnsi="Times New Roman"/>
        </w:rPr>
      </w:pPr>
      <w:r>
        <w:rPr>
          <w:rFonts w:ascii="Times New Roman" w:hAnsi="Times New Roman"/>
        </w:rPr>
        <w:lastRenderedPageBreak/>
        <w:t xml:space="preserve"> </w:t>
      </w:r>
      <w:r w:rsidRPr="001F5EC3" w:rsidR="001F5EC3">
        <w:rPr>
          <w:rFonts w:ascii="Times New Roman" w:hAnsi="Times New Roman"/>
        </w:rPr>
        <w:t xml:space="preserve">It is Lilly’s </w:t>
      </w:r>
      <w:r w:rsidR="006C101F">
        <w:rPr>
          <w:rFonts w:ascii="Times New Roman" w:hAnsi="Times New Roman"/>
        </w:rPr>
        <w:t xml:space="preserve">case </w:t>
      </w:r>
      <w:r w:rsidR="00B95D51">
        <w:rPr>
          <w:rFonts w:ascii="Times New Roman" w:hAnsi="Times New Roman"/>
        </w:rPr>
        <w:t xml:space="preserve">under appeal point 2.1 </w:t>
      </w:r>
      <w:r w:rsidR="006C101F">
        <w:rPr>
          <w:rFonts w:ascii="Times New Roman" w:hAnsi="Times New Roman"/>
        </w:rPr>
        <w:t xml:space="preserve">that </w:t>
      </w:r>
      <w:r w:rsidR="00FC2A3D">
        <w:rPr>
          <w:rFonts w:ascii="Times New Roman" w:hAnsi="Times New Roman"/>
        </w:rPr>
        <w:t xml:space="preserve">the Committee’s conclusions do not reflect the balance of </w:t>
      </w:r>
      <w:r w:rsidR="00B95D51">
        <w:rPr>
          <w:rFonts w:ascii="Times New Roman" w:hAnsi="Times New Roman"/>
        </w:rPr>
        <w:t xml:space="preserve">all </w:t>
      </w:r>
      <w:r w:rsidR="00FC2A3D">
        <w:rPr>
          <w:rFonts w:ascii="Times New Roman" w:hAnsi="Times New Roman"/>
        </w:rPr>
        <w:t>the evidence</w:t>
      </w:r>
      <w:r w:rsidR="00B95D51">
        <w:rPr>
          <w:rFonts w:ascii="Times New Roman" w:hAnsi="Times New Roman"/>
        </w:rPr>
        <w:t xml:space="preserve"> available to the Committee,</w:t>
      </w:r>
      <w:r w:rsidR="007D3ED3">
        <w:rPr>
          <w:rFonts w:ascii="Times New Roman" w:hAnsi="Times New Roman"/>
        </w:rPr>
        <w:t xml:space="preserve"> including the evidence identified in the FDG and </w:t>
      </w:r>
      <w:r w:rsidR="006A141B">
        <w:rPr>
          <w:rFonts w:ascii="Times New Roman" w:hAnsi="Times New Roman"/>
        </w:rPr>
        <w:t>material that appears to have been disr</w:t>
      </w:r>
      <w:r w:rsidR="00EA0E04">
        <w:rPr>
          <w:rFonts w:ascii="Times New Roman" w:hAnsi="Times New Roman"/>
        </w:rPr>
        <w:t>e</w:t>
      </w:r>
      <w:r w:rsidR="006A141B">
        <w:rPr>
          <w:rFonts w:ascii="Times New Roman" w:hAnsi="Times New Roman"/>
        </w:rPr>
        <w:t>garded</w:t>
      </w:r>
      <w:r w:rsidR="00EA0E04">
        <w:rPr>
          <w:rFonts w:ascii="Times New Roman" w:hAnsi="Times New Roman"/>
        </w:rPr>
        <w:t xml:space="preserve"> as outlined at appeal point 1(a)</w:t>
      </w:r>
      <w:r w:rsidR="007F44D2">
        <w:rPr>
          <w:rFonts w:ascii="Times New Roman" w:hAnsi="Times New Roman"/>
        </w:rPr>
        <w:t>.1</w:t>
      </w:r>
      <w:r w:rsidR="00B95D51">
        <w:rPr>
          <w:rFonts w:ascii="Times New Roman" w:hAnsi="Times New Roman"/>
        </w:rPr>
        <w:t>; this is unreasonable</w:t>
      </w:r>
      <w:r w:rsidR="007F44D2">
        <w:rPr>
          <w:rFonts w:ascii="Times New Roman" w:hAnsi="Times New Roman"/>
        </w:rPr>
        <w:t>.</w:t>
      </w:r>
      <w:r w:rsidR="00FC2A3D">
        <w:rPr>
          <w:rFonts w:ascii="Times New Roman" w:hAnsi="Times New Roman"/>
        </w:rPr>
        <w:t xml:space="preserve"> </w:t>
      </w:r>
    </w:p>
    <w:p w:rsidR="00057BBF" w:rsidP="00C557AC" w:rsidRDefault="00057BBF" w14:paraId="6F0049FA" w14:textId="77777777">
      <w:pPr>
        <w:pStyle w:val="Paragraph"/>
        <w:numPr>
          <w:ilvl w:val="0"/>
          <w:numId w:val="0"/>
        </w:numPr>
        <w:spacing w:before="0" w:after="0"/>
        <w:ind w:left="360"/>
        <w:jc w:val="both"/>
        <w:rPr>
          <w:rFonts w:ascii="Times New Roman" w:hAnsi="Times New Roman"/>
        </w:rPr>
      </w:pPr>
    </w:p>
    <w:p w:rsidR="00057BBF" w:rsidP="00C557AC" w:rsidRDefault="00057BBF" w14:paraId="7F519E68" w14:textId="551A3357">
      <w:pPr>
        <w:pStyle w:val="Paragraph"/>
        <w:numPr>
          <w:ilvl w:val="0"/>
          <w:numId w:val="0"/>
        </w:numPr>
        <w:spacing w:before="0" w:after="0"/>
        <w:ind w:left="360"/>
        <w:jc w:val="both"/>
        <w:rPr>
          <w:rFonts w:ascii="Times New Roman" w:hAnsi="Times New Roman"/>
        </w:rPr>
      </w:pPr>
      <w:r>
        <w:rPr>
          <w:rFonts w:ascii="Times New Roman" w:hAnsi="Times New Roman"/>
        </w:rPr>
        <w:t>You ask whether</w:t>
      </w:r>
      <w:r w:rsidRPr="00057BBF">
        <w:rPr>
          <w:rFonts w:ascii="Times New Roman" w:hAnsi="Times New Roman"/>
        </w:rPr>
        <w:t xml:space="preserve"> the </w:t>
      </w:r>
      <w:r>
        <w:rPr>
          <w:rFonts w:ascii="Times New Roman" w:hAnsi="Times New Roman"/>
        </w:rPr>
        <w:t xml:space="preserve">submitted </w:t>
      </w:r>
      <w:r w:rsidRPr="00057BBF">
        <w:rPr>
          <w:rFonts w:ascii="Times New Roman" w:hAnsi="Times New Roman"/>
        </w:rPr>
        <w:t xml:space="preserve">studies </w:t>
      </w:r>
      <w:r w:rsidR="00C56001">
        <w:rPr>
          <w:rFonts w:ascii="Times New Roman" w:hAnsi="Times New Roman"/>
        </w:rPr>
        <w:t xml:space="preserve">(which includes the material listed at appeal point 1(a).1 part (b) and that considered in the FDG) </w:t>
      </w:r>
      <w:r w:rsidRPr="00057BBF">
        <w:rPr>
          <w:rFonts w:ascii="Times New Roman" w:hAnsi="Times New Roman"/>
        </w:rPr>
        <w:t>allowed and/or justified a departure from the reference case.</w:t>
      </w:r>
      <w:r w:rsidR="00C56001">
        <w:rPr>
          <w:rFonts w:ascii="Times New Roman" w:hAnsi="Times New Roman"/>
        </w:rPr>
        <w:t xml:space="preserve">  It is Lilly’s case that the available evidence shows that key dimensions of health relevant to carers of people with early AD, are not captured by EQ5D and therefore that use of EQ5D for this purpose was unreasonable. </w:t>
      </w:r>
    </w:p>
    <w:p w:rsidRPr="001F5EC3" w:rsidR="001C56E7" w:rsidP="00C557AC" w:rsidRDefault="001C56E7" w14:paraId="477039BF" w14:textId="77777777">
      <w:pPr>
        <w:pStyle w:val="Paragraph"/>
        <w:numPr>
          <w:ilvl w:val="0"/>
          <w:numId w:val="0"/>
        </w:numPr>
        <w:spacing w:before="0" w:after="0"/>
        <w:ind w:left="360"/>
        <w:jc w:val="both"/>
        <w:rPr>
          <w:rFonts w:ascii="Times New Roman" w:hAnsi="Times New Roman"/>
        </w:rPr>
      </w:pPr>
    </w:p>
    <w:p w:rsidR="00487C9E" w:rsidP="00C557AC" w:rsidRDefault="000071A9" w14:paraId="598F888E" w14:textId="35864B08">
      <w:pPr>
        <w:spacing w:before="0" w:line="278" w:lineRule="auto"/>
        <w:ind w:left="720" w:hanging="360"/>
        <w:jc w:val="both"/>
        <w:rPr>
          <w:rFonts w:ascii="Times New Roman" w:hAnsi="Times New Roman"/>
          <w:b/>
          <w:bCs/>
          <w:u w:val="single"/>
        </w:rPr>
      </w:pPr>
      <w:r w:rsidRPr="000071A9">
        <w:rPr>
          <w:rFonts w:ascii="Times New Roman" w:hAnsi="Times New Roman"/>
          <w:b/>
          <w:bCs/>
        </w:rPr>
        <w:t>2,2</w:t>
      </w:r>
      <w:r w:rsidRPr="000071A9">
        <w:rPr>
          <w:rFonts w:ascii="Times New Roman" w:hAnsi="Times New Roman"/>
          <w:b/>
          <w:bCs/>
        </w:rPr>
        <w:tab/>
      </w:r>
      <w:r w:rsidRPr="000071A9" w:rsidR="00487C9E">
        <w:rPr>
          <w:rFonts w:ascii="Times New Roman" w:hAnsi="Times New Roman"/>
          <w:b/>
          <w:bCs/>
          <w:u w:val="single"/>
        </w:rPr>
        <w:t>The Committee’s approach to the proportion of patients initiating treatment in mild Alzhei</w:t>
      </w:r>
      <w:r w:rsidRPr="000071A9">
        <w:rPr>
          <w:rFonts w:ascii="Times New Roman" w:hAnsi="Times New Roman"/>
          <w:b/>
          <w:bCs/>
          <w:u w:val="single"/>
        </w:rPr>
        <w:t>m</w:t>
      </w:r>
      <w:r w:rsidRPr="000071A9" w:rsidR="00487C9E">
        <w:rPr>
          <w:rFonts w:ascii="Times New Roman" w:hAnsi="Times New Roman"/>
          <w:b/>
          <w:bCs/>
          <w:u w:val="single"/>
        </w:rPr>
        <w:t>er’s Disease is inconsistent and unreasonable</w:t>
      </w:r>
    </w:p>
    <w:p w:rsidR="000071A9" w:rsidP="00C557AC" w:rsidRDefault="00B41829" w14:paraId="22101BC6" w14:textId="549CC268">
      <w:pPr>
        <w:pStyle w:val="Paragraph"/>
        <w:numPr>
          <w:ilvl w:val="0"/>
          <w:numId w:val="0"/>
        </w:numPr>
        <w:spacing w:before="0" w:after="0"/>
        <w:ind w:left="360"/>
        <w:jc w:val="both"/>
        <w:rPr>
          <w:rFonts w:ascii="Times New Roman" w:hAnsi="Times New Roman"/>
        </w:rPr>
      </w:pPr>
      <w:r w:rsidRPr="00B41829">
        <w:rPr>
          <w:rFonts w:ascii="Times New Roman" w:hAnsi="Times New Roman"/>
        </w:rPr>
        <w:t xml:space="preserve">You say that you </w:t>
      </w:r>
      <w:r w:rsidR="00E6670D">
        <w:rPr>
          <w:rFonts w:ascii="Times New Roman" w:hAnsi="Times New Roman"/>
        </w:rPr>
        <w:t xml:space="preserve">are not currently minded </w:t>
      </w:r>
      <w:proofErr w:type="gramStart"/>
      <w:r w:rsidR="00E6670D">
        <w:rPr>
          <w:rFonts w:ascii="Times New Roman" w:hAnsi="Times New Roman"/>
        </w:rPr>
        <w:t>to refer</w:t>
      </w:r>
      <w:proofErr w:type="gramEnd"/>
      <w:r w:rsidR="00E6670D">
        <w:rPr>
          <w:rFonts w:ascii="Times New Roman" w:hAnsi="Times New Roman"/>
        </w:rPr>
        <w:t xml:space="preserve"> this point to the Appeal Panel</w:t>
      </w:r>
      <w:r w:rsidR="00BA5465">
        <w:rPr>
          <w:rFonts w:ascii="Times New Roman" w:hAnsi="Times New Roman"/>
        </w:rPr>
        <w:t xml:space="preserve"> on the basis that you do not consider there is any inconsistency </w:t>
      </w:r>
      <w:r w:rsidR="00F83884">
        <w:rPr>
          <w:rFonts w:ascii="Times New Roman" w:hAnsi="Times New Roman"/>
        </w:rPr>
        <w:t xml:space="preserve">between the approaches followed in the appraisals of </w:t>
      </w:r>
      <w:proofErr w:type="spellStart"/>
      <w:r w:rsidR="00F83884">
        <w:rPr>
          <w:rFonts w:ascii="Times New Roman" w:hAnsi="Times New Roman"/>
        </w:rPr>
        <w:t>lecanemab</w:t>
      </w:r>
      <w:proofErr w:type="spellEnd"/>
      <w:r w:rsidR="00F83884">
        <w:rPr>
          <w:rFonts w:ascii="Times New Roman" w:hAnsi="Times New Roman"/>
        </w:rPr>
        <w:t xml:space="preserve"> and donanemab.</w:t>
      </w:r>
    </w:p>
    <w:p w:rsidR="001E0970" w:rsidP="00C557AC" w:rsidRDefault="001E0970" w14:paraId="5E18602E" w14:textId="009E5A9A">
      <w:pPr>
        <w:pStyle w:val="Paragraph"/>
        <w:numPr>
          <w:ilvl w:val="0"/>
          <w:numId w:val="0"/>
        </w:numPr>
        <w:spacing w:before="0" w:after="0"/>
        <w:ind w:left="360"/>
        <w:jc w:val="both"/>
        <w:rPr>
          <w:rFonts w:ascii="Times New Roman" w:hAnsi="Times New Roman"/>
        </w:rPr>
      </w:pPr>
    </w:p>
    <w:p w:rsidR="001E0970" w:rsidP="00C557AC" w:rsidRDefault="001E0970" w14:paraId="618DA17C" w14:textId="6C72114C">
      <w:pPr>
        <w:pStyle w:val="Paragraph"/>
        <w:numPr>
          <w:ilvl w:val="0"/>
          <w:numId w:val="0"/>
        </w:numPr>
        <w:spacing w:before="0" w:after="0"/>
        <w:ind w:left="360"/>
        <w:jc w:val="both"/>
        <w:rPr>
          <w:rFonts w:ascii="Times New Roman" w:hAnsi="Times New Roman"/>
        </w:rPr>
      </w:pPr>
      <w:r>
        <w:rPr>
          <w:rFonts w:ascii="Times New Roman" w:hAnsi="Times New Roman"/>
        </w:rPr>
        <w:t>We disagree with this analysis.  The point is a simple one</w:t>
      </w:r>
      <w:r w:rsidR="000D7C47">
        <w:rPr>
          <w:rFonts w:ascii="Times New Roman" w:hAnsi="Times New Roman"/>
        </w:rPr>
        <w:t>.  I</w:t>
      </w:r>
      <w:r w:rsidR="00103D35">
        <w:rPr>
          <w:rFonts w:ascii="Times New Roman" w:hAnsi="Times New Roman"/>
        </w:rPr>
        <w:t>n the current appraisal of</w:t>
      </w:r>
      <w:r w:rsidR="008E19F4">
        <w:rPr>
          <w:rFonts w:ascii="Times New Roman" w:hAnsi="Times New Roman"/>
        </w:rPr>
        <w:t xml:space="preserve"> </w:t>
      </w:r>
      <w:r w:rsidR="00103D35">
        <w:rPr>
          <w:rFonts w:ascii="Times New Roman" w:hAnsi="Times New Roman"/>
        </w:rPr>
        <w:t xml:space="preserve">donanemab the Committee stated that </w:t>
      </w:r>
      <w:r w:rsidR="00E21954">
        <w:rPr>
          <w:rFonts w:ascii="Times New Roman" w:hAnsi="Times New Roman"/>
        </w:rPr>
        <w:t xml:space="preserve">the starting proportions in each Early AD </w:t>
      </w:r>
      <w:r w:rsidR="000C69A4">
        <w:rPr>
          <w:rFonts w:ascii="Times New Roman" w:hAnsi="Times New Roman"/>
        </w:rPr>
        <w:t>state</w:t>
      </w:r>
      <w:r w:rsidR="00E21954">
        <w:rPr>
          <w:rFonts w:ascii="Times New Roman" w:hAnsi="Times New Roman"/>
        </w:rPr>
        <w:t xml:space="preserve"> </w:t>
      </w:r>
      <w:r w:rsidR="008E19F4">
        <w:rPr>
          <w:rFonts w:ascii="Times New Roman" w:hAnsi="Times New Roman"/>
        </w:rPr>
        <w:t>should be aligned with the clinical data</w:t>
      </w:r>
      <w:r w:rsidR="0005667D">
        <w:rPr>
          <w:rFonts w:ascii="Times New Roman" w:hAnsi="Times New Roman"/>
        </w:rPr>
        <w:t xml:space="preserve"> for donanemab</w:t>
      </w:r>
      <w:r w:rsidR="00F42126">
        <w:rPr>
          <w:rFonts w:ascii="Times New Roman" w:hAnsi="Times New Roman"/>
        </w:rPr>
        <w:t xml:space="preserve"> (i.e. the data from the TRAILBLAZER trial)</w:t>
      </w:r>
      <w:r w:rsidR="006B4473">
        <w:rPr>
          <w:rFonts w:ascii="Times New Roman" w:hAnsi="Times New Roman"/>
        </w:rPr>
        <w:t xml:space="preserve"> </w:t>
      </w:r>
      <w:r w:rsidR="00EC4FB1">
        <w:rPr>
          <w:rFonts w:ascii="Times New Roman" w:hAnsi="Times New Roman"/>
        </w:rPr>
        <w:t xml:space="preserve">irrespective of evidence showing that the </w:t>
      </w:r>
      <w:r w:rsidR="0087678F">
        <w:rPr>
          <w:rFonts w:ascii="Times New Roman" w:hAnsi="Times New Roman"/>
        </w:rPr>
        <w:t xml:space="preserve">relative </w:t>
      </w:r>
      <w:r w:rsidR="00EC4FB1">
        <w:rPr>
          <w:rFonts w:ascii="Times New Roman" w:hAnsi="Times New Roman"/>
        </w:rPr>
        <w:t xml:space="preserve">proportions </w:t>
      </w:r>
      <w:r w:rsidR="0087678F">
        <w:rPr>
          <w:rFonts w:ascii="Times New Roman" w:hAnsi="Times New Roman"/>
        </w:rPr>
        <w:t>in NHS practice would be different</w:t>
      </w:r>
      <w:r w:rsidR="008E19F4">
        <w:rPr>
          <w:rFonts w:ascii="Times New Roman" w:hAnsi="Times New Roman"/>
        </w:rPr>
        <w:t>.</w:t>
      </w:r>
      <w:r>
        <w:rPr>
          <w:rFonts w:ascii="Times New Roman" w:hAnsi="Times New Roman"/>
        </w:rPr>
        <w:t xml:space="preserve"> </w:t>
      </w:r>
      <w:r w:rsidR="00C023AB">
        <w:rPr>
          <w:rFonts w:ascii="Times New Roman" w:hAnsi="Times New Roman"/>
        </w:rPr>
        <w:t xml:space="preserve"> However</w:t>
      </w:r>
      <w:r w:rsidR="0087678F">
        <w:rPr>
          <w:rFonts w:ascii="Times New Roman" w:hAnsi="Times New Roman"/>
        </w:rPr>
        <w:t xml:space="preserve">, </w:t>
      </w:r>
      <w:r w:rsidR="0076300D">
        <w:rPr>
          <w:rFonts w:ascii="Times New Roman" w:hAnsi="Times New Roman"/>
        </w:rPr>
        <w:t xml:space="preserve">in the </w:t>
      </w:r>
      <w:proofErr w:type="spellStart"/>
      <w:r w:rsidR="0076300D">
        <w:rPr>
          <w:rFonts w:ascii="Times New Roman" w:hAnsi="Times New Roman"/>
        </w:rPr>
        <w:t>lecanemab</w:t>
      </w:r>
      <w:proofErr w:type="spellEnd"/>
      <w:r w:rsidR="0076300D">
        <w:rPr>
          <w:rFonts w:ascii="Times New Roman" w:hAnsi="Times New Roman"/>
        </w:rPr>
        <w:t xml:space="preserve"> </w:t>
      </w:r>
      <w:r w:rsidR="000D7C47">
        <w:rPr>
          <w:rFonts w:ascii="Times New Roman" w:hAnsi="Times New Roman"/>
        </w:rPr>
        <w:t xml:space="preserve">appraisal, </w:t>
      </w:r>
      <w:r w:rsidR="00B16E6F">
        <w:rPr>
          <w:rFonts w:ascii="Times New Roman" w:hAnsi="Times New Roman"/>
        </w:rPr>
        <w:t xml:space="preserve">the </w:t>
      </w:r>
      <w:r w:rsidR="00EB1904">
        <w:rPr>
          <w:rFonts w:ascii="Times New Roman" w:hAnsi="Times New Roman"/>
        </w:rPr>
        <w:t xml:space="preserve">starting proportions of patients in each Early AD state </w:t>
      </w:r>
      <w:r w:rsidR="00967B83">
        <w:rPr>
          <w:rFonts w:ascii="Times New Roman" w:hAnsi="Times New Roman"/>
        </w:rPr>
        <w:t xml:space="preserve">were not based on the </w:t>
      </w:r>
      <w:proofErr w:type="spellStart"/>
      <w:r w:rsidR="00967B83">
        <w:rPr>
          <w:rFonts w:ascii="Times New Roman" w:hAnsi="Times New Roman"/>
        </w:rPr>
        <w:t>lecanemab</w:t>
      </w:r>
      <w:proofErr w:type="spellEnd"/>
      <w:r w:rsidR="00967B83">
        <w:rPr>
          <w:rFonts w:ascii="Times New Roman" w:hAnsi="Times New Roman"/>
        </w:rPr>
        <w:t xml:space="preserve"> clinical trial (Clarity AD) </w:t>
      </w:r>
      <w:proofErr w:type="gramStart"/>
      <w:r w:rsidR="00314DEE">
        <w:rPr>
          <w:rFonts w:ascii="Times New Roman" w:hAnsi="Times New Roman"/>
        </w:rPr>
        <w:t>as a result of</w:t>
      </w:r>
      <w:proofErr w:type="gramEnd"/>
      <w:r w:rsidR="00314DEE">
        <w:rPr>
          <w:rFonts w:ascii="Times New Roman" w:hAnsi="Times New Roman"/>
        </w:rPr>
        <w:t xml:space="preserve"> evidence </w:t>
      </w:r>
      <w:r w:rsidR="00114E7D">
        <w:rPr>
          <w:rFonts w:ascii="Times New Roman" w:hAnsi="Times New Roman"/>
        </w:rPr>
        <w:t>that this would be unlikely to reflect NHS practic</w:t>
      </w:r>
      <w:r w:rsidR="00826FB9">
        <w:rPr>
          <w:rFonts w:ascii="Times New Roman" w:hAnsi="Times New Roman"/>
        </w:rPr>
        <w:t xml:space="preserve">e. </w:t>
      </w:r>
      <w:r w:rsidR="003E4E18">
        <w:rPr>
          <w:rFonts w:ascii="Times New Roman" w:hAnsi="Times New Roman"/>
        </w:rPr>
        <w:t xml:space="preserve">  </w:t>
      </w:r>
      <w:r w:rsidR="002A6234">
        <w:rPr>
          <w:rFonts w:ascii="Times New Roman" w:hAnsi="Times New Roman"/>
        </w:rPr>
        <w:t xml:space="preserve">There is accordingly a material inconsistency in the approaches </w:t>
      </w:r>
      <w:r w:rsidR="00E35FB0">
        <w:rPr>
          <w:rFonts w:ascii="Times New Roman" w:hAnsi="Times New Roman"/>
        </w:rPr>
        <w:t>followed in the two appraisals</w:t>
      </w:r>
      <w:r w:rsidR="00FC6200">
        <w:rPr>
          <w:rFonts w:ascii="Times New Roman" w:hAnsi="Times New Roman"/>
        </w:rPr>
        <w:t>, which is not addressed in your letter</w:t>
      </w:r>
      <w:r w:rsidR="00E35FB0">
        <w:rPr>
          <w:rFonts w:ascii="Times New Roman" w:hAnsi="Times New Roman"/>
        </w:rPr>
        <w:t xml:space="preserve">. </w:t>
      </w:r>
    </w:p>
    <w:p w:rsidR="00E35FB0" w:rsidP="00C557AC" w:rsidRDefault="00E35FB0" w14:paraId="0B15F8A9" w14:textId="77777777">
      <w:pPr>
        <w:pStyle w:val="Paragraph"/>
        <w:numPr>
          <w:ilvl w:val="0"/>
          <w:numId w:val="0"/>
        </w:numPr>
        <w:spacing w:before="0" w:after="0"/>
        <w:ind w:left="360"/>
        <w:jc w:val="both"/>
        <w:rPr>
          <w:rFonts w:ascii="Times New Roman" w:hAnsi="Times New Roman"/>
        </w:rPr>
      </w:pPr>
    </w:p>
    <w:p w:rsidR="00E35FB0" w:rsidP="00C557AC" w:rsidRDefault="00E35FB0" w14:paraId="11795FD7" w14:textId="50711CBF">
      <w:pPr>
        <w:pStyle w:val="Paragraph"/>
        <w:numPr>
          <w:ilvl w:val="0"/>
          <w:numId w:val="0"/>
        </w:numPr>
        <w:spacing w:before="0" w:after="0"/>
        <w:ind w:left="360"/>
        <w:jc w:val="both"/>
        <w:rPr>
          <w:rFonts w:ascii="Times New Roman" w:hAnsi="Times New Roman"/>
        </w:rPr>
      </w:pPr>
      <w:r>
        <w:rPr>
          <w:rFonts w:ascii="Times New Roman" w:hAnsi="Times New Roman"/>
        </w:rPr>
        <w:t xml:space="preserve">It is Lilly’s firm view that </w:t>
      </w:r>
      <w:r w:rsidR="00FC6200">
        <w:rPr>
          <w:rFonts w:ascii="Times New Roman" w:hAnsi="Times New Roman"/>
        </w:rPr>
        <w:t xml:space="preserve">this inconsistency is unreasonable and that </w:t>
      </w:r>
      <w:r w:rsidR="00C60BC5">
        <w:rPr>
          <w:rFonts w:ascii="Times New Roman" w:hAnsi="Times New Roman"/>
        </w:rPr>
        <w:t xml:space="preserve">the starting proportions in each Early AD state should be based on </w:t>
      </w:r>
      <w:r w:rsidR="003E0077">
        <w:rPr>
          <w:rFonts w:ascii="Times New Roman" w:hAnsi="Times New Roman"/>
        </w:rPr>
        <w:t xml:space="preserve">likely NHS practice rather than clinical data which do not reflect </w:t>
      </w:r>
      <w:r w:rsidR="000124BB">
        <w:rPr>
          <w:rFonts w:ascii="Times New Roman" w:hAnsi="Times New Roman"/>
        </w:rPr>
        <w:t xml:space="preserve">the </w:t>
      </w:r>
      <w:r w:rsidR="005B636A">
        <w:rPr>
          <w:rFonts w:ascii="Times New Roman" w:hAnsi="Times New Roman"/>
        </w:rPr>
        <w:t xml:space="preserve">likely </w:t>
      </w:r>
      <w:r w:rsidR="000124BB">
        <w:rPr>
          <w:rFonts w:ascii="Times New Roman" w:hAnsi="Times New Roman"/>
        </w:rPr>
        <w:t xml:space="preserve">balance of </w:t>
      </w:r>
      <w:r w:rsidR="005B636A">
        <w:rPr>
          <w:rFonts w:ascii="Times New Roman" w:hAnsi="Times New Roman"/>
        </w:rPr>
        <w:t>use.</w:t>
      </w:r>
    </w:p>
    <w:p w:rsidRPr="00B41829" w:rsidR="001E0970" w:rsidP="00C557AC" w:rsidRDefault="001E0970" w14:paraId="4EA02332" w14:textId="77777777">
      <w:pPr>
        <w:pStyle w:val="Paragraph"/>
        <w:numPr>
          <w:ilvl w:val="0"/>
          <w:numId w:val="0"/>
        </w:numPr>
        <w:spacing w:before="0" w:after="0"/>
        <w:ind w:left="360"/>
        <w:jc w:val="both"/>
        <w:rPr>
          <w:rFonts w:ascii="Times New Roman" w:hAnsi="Times New Roman"/>
        </w:rPr>
      </w:pPr>
    </w:p>
    <w:p w:rsidR="00487C9E" w:rsidP="00C557AC" w:rsidRDefault="000071A9" w14:paraId="7276A4EC" w14:textId="2B0ACE83">
      <w:pPr>
        <w:spacing w:before="0" w:line="278" w:lineRule="auto"/>
        <w:ind w:left="720" w:hanging="360"/>
        <w:jc w:val="both"/>
        <w:rPr>
          <w:rFonts w:ascii="Times New Roman" w:hAnsi="Times New Roman"/>
          <w:b/>
          <w:bCs/>
          <w:u w:val="single"/>
        </w:rPr>
      </w:pPr>
      <w:r w:rsidRPr="00DF1BB2">
        <w:rPr>
          <w:rFonts w:ascii="Times New Roman" w:hAnsi="Times New Roman"/>
          <w:b/>
          <w:bCs/>
        </w:rPr>
        <w:t>2.3</w:t>
      </w:r>
      <w:r w:rsidRPr="00DF1BB2" w:rsidR="00DF1BB2">
        <w:rPr>
          <w:rFonts w:ascii="Times New Roman" w:hAnsi="Times New Roman"/>
          <w:b/>
          <w:bCs/>
        </w:rPr>
        <w:tab/>
      </w:r>
      <w:r w:rsidRPr="00DF1BB2" w:rsidR="00487C9E">
        <w:rPr>
          <w:rFonts w:ascii="Times New Roman" w:hAnsi="Times New Roman"/>
          <w:b/>
          <w:bCs/>
          <w:u w:val="single"/>
        </w:rPr>
        <w:t>The Committee’s assessment of the additional aspects of donanemab treatment is unreasonable and arbitrary</w:t>
      </w:r>
    </w:p>
    <w:p w:rsidRPr="00DF1BB2" w:rsidR="00047A96" w:rsidP="00C557AC" w:rsidRDefault="007E6ED9" w14:paraId="6FD5F483" w14:textId="1B28CF0D">
      <w:pPr>
        <w:pStyle w:val="Paragraph"/>
        <w:numPr>
          <w:ilvl w:val="0"/>
          <w:numId w:val="0"/>
        </w:numPr>
        <w:spacing w:before="0" w:after="0"/>
        <w:ind w:left="1440" w:hanging="1080"/>
        <w:jc w:val="both"/>
        <w:rPr>
          <w:rFonts w:ascii="Times New Roman" w:hAnsi="Times New Roman"/>
          <w:b/>
          <w:bCs/>
          <w:u w:val="single"/>
        </w:rPr>
      </w:pPr>
      <w:r w:rsidRPr="0045033D">
        <w:rPr>
          <w:rFonts w:ascii="Times New Roman" w:hAnsi="Times New Roman"/>
        </w:rPr>
        <w:t>Your view in relation to this appeal point is noted.</w:t>
      </w:r>
    </w:p>
    <w:p w:rsidR="00487C9E" w:rsidP="00C557AC" w:rsidRDefault="00487C9E" w14:paraId="061CA1CD" w14:textId="77777777">
      <w:pPr>
        <w:pStyle w:val="Paragraph"/>
        <w:numPr>
          <w:ilvl w:val="0"/>
          <w:numId w:val="0"/>
        </w:numPr>
        <w:spacing w:before="0" w:after="0"/>
        <w:jc w:val="both"/>
        <w:rPr>
          <w:rFonts w:ascii="Times New Roman" w:hAnsi="Times New Roman" w:cs="Arial"/>
          <w:bCs/>
          <w:szCs w:val="22"/>
        </w:rPr>
      </w:pPr>
    </w:p>
    <w:p w:rsidR="00EB4BBC" w:rsidP="00C557AC" w:rsidRDefault="00EB4BBC" w14:paraId="5A55A523" w14:textId="087C5B8D">
      <w:pPr>
        <w:jc w:val="both"/>
        <w:rPr>
          <w:rFonts w:ascii="Times New Roman" w:hAnsi="Times New Roman"/>
          <w:szCs w:val="20"/>
        </w:rPr>
      </w:pPr>
      <w:r>
        <w:rPr>
          <w:rFonts w:ascii="Times New Roman" w:hAnsi="Times New Roman"/>
          <w:szCs w:val="20"/>
        </w:rPr>
        <w:t xml:space="preserve">The uncaptured benefits of donanemab treatment (including the implications of delay in disease progression as shown in the TRAILBLAZER trial) for patients and carers, are set out in the submission by Lilly (sections B.1.3.2 and B.1.3.3 and associated references) and the submissions by Alzheimer’s Research, </w:t>
      </w:r>
      <w:r w:rsidR="004F3735">
        <w:rPr>
          <w:rFonts w:ascii="Times New Roman" w:hAnsi="Times New Roman"/>
          <w:szCs w:val="20"/>
        </w:rPr>
        <w:t xml:space="preserve">the Alzheimer’s Society and Dementia UK </w:t>
      </w:r>
      <w:r>
        <w:rPr>
          <w:rFonts w:ascii="Times New Roman" w:hAnsi="Times New Roman"/>
          <w:szCs w:val="20"/>
        </w:rPr>
        <w:t xml:space="preserve"> </w:t>
      </w:r>
    </w:p>
    <w:p w:rsidR="00EB4BBC" w:rsidP="00C557AC" w:rsidRDefault="00EB4BBC" w14:paraId="683EDAD3" w14:textId="77777777">
      <w:pPr>
        <w:jc w:val="both"/>
        <w:rPr>
          <w:rFonts w:ascii="Times New Roman" w:hAnsi="Times New Roman"/>
          <w:szCs w:val="20"/>
        </w:rPr>
      </w:pPr>
    </w:p>
    <w:p w:rsidRPr="007C2132" w:rsidR="003563BC" w:rsidP="00C557AC" w:rsidRDefault="003563BC" w14:paraId="187DB679" w14:textId="2454E76C">
      <w:pPr>
        <w:jc w:val="both"/>
        <w:rPr>
          <w:rFonts w:ascii="Times New Roman" w:hAnsi="Times New Roman"/>
          <w:szCs w:val="20"/>
        </w:rPr>
      </w:pPr>
      <w:r w:rsidRPr="007C2132">
        <w:rPr>
          <w:rFonts w:ascii="Times New Roman" w:hAnsi="Times New Roman"/>
          <w:szCs w:val="20"/>
        </w:rPr>
        <w:lastRenderedPageBreak/>
        <w:t xml:space="preserve">We hope that this letter addresses the concerns raised in your letter of </w:t>
      </w:r>
      <w:r w:rsidR="006A2DF8">
        <w:rPr>
          <w:rFonts w:ascii="Times New Roman" w:hAnsi="Times New Roman"/>
          <w:szCs w:val="20"/>
        </w:rPr>
        <w:t>10 July 2025</w:t>
      </w:r>
      <w:r w:rsidRPr="007C2132">
        <w:rPr>
          <w:rFonts w:ascii="Times New Roman" w:hAnsi="Times New Roman"/>
          <w:szCs w:val="20"/>
        </w:rPr>
        <w:t>.  If any aspect of our appeal remains unclear, we will be pleased to provide further assistance.  Alternatively, we look forward to receiving your final scrutiny letter.</w:t>
      </w:r>
    </w:p>
    <w:p w:rsidRPr="007C2132" w:rsidR="003563BC" w:rsidP="00C557AC" w:rsidRDefault="003563BC" w14:paraId="29CE1142" w14:textId="77777777">
      <w:pPr>
        <w:pStyle w:val="Paragraph"/>
        <w:numPr>
          <w:ilvl w:val="0"/>
          <w:numId w:val="0"/>
        </w:numPr>
        <w:ind w:left="851" w:hanging="851"/>
        <w:jc w:val="both"/>
        <w:rPr>
          <w:rFonts w:ascii="Times New Roman" w:hAnsi="Times New Roman"/>
        </w:rPr>
      </w:pPr>
      <w:r w:rsidRPr="2DE4E0BC" w:rsidR="003563BC">
        <w:rPr>
          <w:rFonts w:ascii="Times New Roman" w:hAnsi="Times New Roman"/>
        </w:rPr>
        <w:t>Yours sincerely</w:t>
      </w:r>
    </w:p>
    <w:p w:rsidR="2DE4E0BC" w:rsidP="2DE4E0BC" w:rsidRDefault="2DE4E0BC" w14:paraId="1AABD76C" w14:textId="497F37B8">
      <w:pPr>
        <w:pStyle w:val="Paragraph"/>
        <w:numPr>
          <w:ilvl w:val="0"/>
          <w:numId w:val="0"/>
        </w:numPr>
        <w:ind w:left="851" w:hanging="851"/>
        <w:jc w:val="both"/>
        <w:rPr>
          <w:rFonts w:ascii="Times New Roman" w:hAnsi="Times New Roman"/>
        </w:rPr>
      </w:pPr>
    </w:p>
    <w:p w:rsidR="7579E998" w:rsidP="2DE4E0BC" w:rsidRDefault="7579E998" w14:paraId="72C8A4DA" w14:textId="3767EF93">
      <w:pPr>
        <w:pStyle w:val="Paragraph"/>
        <w:numPr>
          <w:ilvl w:val="0"/>
          <w:numId w:val="0"/>
        </w:numPr>
        <w:ind w:left="851" w:hanging="851"/>
        <w:jc w:val="both"/>
        <w:rPr>
          <w:rFonts w:ascii="Times New Roman" w:hAnsi="Times New Roman"/>
          <w:highlight w:val="black"/>
        </w:rPr>
      </w:pPr>
      <w:r w:rsidRPr="2DE4E0BC" w:rsidR="7579E998">
        <w:rPr>
          <w:rFonts w:ascii="Times New Roman" w:hAnsi="Times New Roman"/>
          <w:highlight w:val="black"/>
        </w:rPr>
        <w:t>XXXXXXXXXXXX</w:t>
      </w:r>
    </w:p>
    <w:p w:rsidR="000476A5" w:rsidP="00C557AC" w:rsidRDefault="000476A5" w14:paraId="7BFDF93A" w14:textId="77777777">
      <w:pPr>
        <w:jc w:val="both"/>
      </w:pPr>
    </w:p>
    <w:sectPr w:rsidR="000476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EA4"/>
    <w:multiLevelType w:val="hybridMultilevel"/>
    <w:tmpl w:val="CEA6609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 w15:restartNumberingAfterBreak="0">
    <w:nsid w:val="112D2118"/>
    <w:multiLevelType w:val="hybridMultilevel"/>
    <w:tmpl w:val="9EBAAE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2F90FDF"/>
    <w:multiLevelType w:val="hybridMultilevel"/>
    <w:tmpl w:val="FC54D6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83B5189"/>
    <w:multiLevelType w:val="hybridMultilevel"/>
    <w:tmpl w:val="75D86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D1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31134"/>
    <w:multiLevelType w:val="hybridMultilevel"/>
    <w:tmpl w:val="337EBB5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775C58"/>
    <w:multiLevelType w:val="hybridMultilevel"/>
    <w:tmpl w:val="CA26BEC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2B8B3F6A"/>
    <w:multiLevelType w:val="hybridMultilevel"/>
    <w:tmpl w:val="02000CA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92E525B"/>
    <w:multiLevelType w:val="hybridMultilevel"/>
    <w:tmpl w:val="7C8EC5EC"/>
    <w:lvl w:ilvl="0" w:tplc="08090001">
      <w:start w:val="1"/>
      <w:numFmt w:val="bullet"/>
      <w:lvlText w:val=""/>
      <w:lvlJc w:val="left"/>
      <w:pPr>
        <w:ind w:left="1140" w:hanging="360"/>
      </w:pPr>
      <w:rPr>
        <w:rFonts w:hint="default" w:ascii="Symbol" w:hAnsi="Symbol"/>
      </w:rPr>
    </w:lvl>
    <w:lvl w:ilvl="1" w:tplc="08090003" w:tentative="1">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9" w15:restartNumberingAfterBreak="0">
    <w:nsid w:val="39890C11"/>
    <w:multiLevelType w:val="hybridMultilevel"/>
    <w:tmpl w:val="47CCD2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529C039B"/>
    <w:multiLevelType w:val="hybridMultilevel"/>
    <w:tmpl w:val="46D6D036"/>
    <w:lvl w:ilvl="0" w:tplc="877E8E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C93D14"/>
    <w:multiLevelType w:val="multilevel"/>
    <w:tmpl w:val="2B129FAC"/>
    <w:lvl w:ilvl="0">
      <w:start w:val="1"/>
      <w:numFmt w:val="decimal"/>
      <w:pStyle w:val="Paragraph"/>
      <w:lvlText w:val="%1."/>
      <w:lvlJc w:val="left"/>
      <w:pPr>
        <w:ind w:left="851" w:hanging="851"/>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2" w15:restartNumberingAfterBreak="0">
    <w:nsid w:val="67600CB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682408F2"/>
    <w:multiLevelType w:val="hybridMultilevel"/>
    <w:tmpl w:val="ACAA9D7C"/>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69040578"/>
    <w:multiLevelType w:val="hybridMultilevel"/>
    <w:tmpl w:val="10AC0B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4C0293C"/>
    <w:multiLevelType w:val="hybridMultilevel"/>
    <w:tmpl w:val="30848F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8421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631434">
    <w:abstractNumId w:val="2"/>
  </w:num>
  <w:num w:numId="3" w16cid:durableId="881941832">
    <w:abstractNumId w:val="6"/>
  </w:num>
  <w:num w:numId="4" w16cid:durableId="2017883284">
    <w:abstractNumId w:val="4"/>
  </w:num>
  <w:num w:numId="5" w16cid:durableId="836460146">
    <w:abstractNumId w:val="3"/>
  </w:num>
  <w:num w:numId="6" w16cid:durableId="586690318">
    <w:abstractNumId w:val="12"/>
  </w:num>
  <w:num w:numId="7" w16cid:durableId="709763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773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3208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855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903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730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447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704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5705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64226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111938">
    <w:abstractNumId w:val="7"/>
  </w:num>
  <w:num w:numId="18" w16cid:durableId="1550801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1966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378508">
    <w:abstractNumId w:val="15"/>
  </w:num>
  <w:num w:numId="21" w16cid:durableId="1686901066">
    <w:abstractNumId w:val="13"/>
  </w:num>
  <w:num w:numId="22" w16cid:durableId="145321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514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6461671">
    <w:abstractNumId w:val="14"/>
  </w:num>
  <w:num w:numId="25" w16cid:durableId="291717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801472">
    <w:abstractNumId w:val="5"/>
  </w:num>
  <w:num w:numId="27" w16cid:durableId="355542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9901168">
    <w:abstractNumId w:val="0"/>
  </w:num>
  <w:num w:numId="29" w16cid:durableId="1717437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2216690">
    <w:abstractNumId w:val="10"/>
  </w:num>
  <w:num w:numId="31" w16cid:durableId="16301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97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9784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9787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9331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5015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561969">
    <w:abstractNumId w:val="9"/>
  </w:num>
  <w:num w:numId="38" w16cid:durableId="609551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1981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6759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185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413977">
    <w:abstractNumId w:val="1"/>
  </w:num>
  <w:num w:numId="43" w16cid:durableId="974992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6660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964588">
    <w:abstractNumId w:val="8"/>
  </w:num>
  <w:num w:numId="46" w16cid:durableId="1504012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4274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7419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BC"/>
    <w:rsid w:val="00002459"/>
    <w:rsid w:val="0000660E"/>
    <w:rsid w:val="000071A9"/>
    <w:rsid w:val="000124BB"/>
    <w:rsid w:val="00014293"/>
    <w:rsid w:val="00020DC1"/>
    <w:rsid w:val="000257CA"/>
    <w:rsid w:val="000272C7"/>
    <w:rsid w:val="00035DF9"/>
    <w:rsid w:val="00040BCE"/>
    <w:rsid w:val="00043182"/>
    <w:rsid w:val="00044891"/>
    <w:rsid w:val="00044A98"/>
    <w:rsid w:val="0004547B"/>
    <w:rsid w:val="000476A5"/>
    <w:rsid w:val="00047A96"/>
    <w:rsid w:val="0005667D"/>
    <w:rsid w:val="00057BBF"/>
    <w:rsid w:val="000667C9"/>
    <w:rsid w:val="0007145B"/>
    <w:rsid w:val="00074545"/>
    <w:rsid w:val="00076D70"/>
    <w:rsid w:val="00080518"/>
    <w:rsid w:val="00084E5D"/>
    <w:rsid w:val="0008616C"/>
    <w:rsid w:val="0008746D"/>
    <w:rsid w:val="00087E07"/>
    <w:rsid w:val="000904CA"/>
    <w:rsid w:val="00094C99"/>
    <w:rsid w:val="000A2BEB"/>
    <w:rsid w:val="000A3289"/>
    <w:rsid w:val="000B6CEF"/>
    <w:rsid w:val="000B7DBE"/>
    <w:rsid w:val="000C2427"/>
    <w:rsid w:val="000C24CD"/>
    <w:rsid w:val="000C69A4"/>
    <w:rsid w:val="000D1B69"/>
    <w:rsid w:val="000D3F1E"/>
    <w:rsid w:val="000D6091"/>
    <w:rsid w:val="000D7C47"/>
    <w:rsid w:val="000E0CE1"/>
    <w:rsid w:val="000E0E48"/>
    <w:rsid w:val="000F14D3"/>
    <w:rsid w:val="000F210D"/>
    <w:rsid w:val="000F3303"/>
    <w:rsid w:val="000F50B1"/>
    <w:rsid w:val="00101126"/>
    <w:rsid w:val="00103D35"/>
    <w:rsid w:val="00110183"/>
    <w:rsid w:val="00111F08"/>
    <w:rsid w:val="0011425E"/>
    <w:rsid w:val="00114E7D"/>
    <w:rsid w:val="001153CC"/>
    <w:rsid w:val="00117915"/>
    <w:rsid w:val="00123AA6"/>
    <w:rsid w:val="00125F47"/>
    <w:rsid w:val="00126450"/>
    <w:rsid w:val="00136BAD"/>
    <w:rsid w:val="00140E84"/>
    <w:rsid w:val="00146C86"/>
    <w:rsid w:val="00161629"/>
    <w:rsid w:val="0016418B"/>
    <w:rsid w:val="00167148"/>
    <w:rsid w:val="00181339"/>
    <w:rsid w:val="00191024"/>
    <w:rsid w:val="001953E9"/>
    <w:rsid w:val="00197F6E"/>
    <w:rsid w:val="001A2295"/>
    <w:rsid w:val="001A2655"/>
    <w:rsid w:val="001A4BA8"/>
    <w:rsid w:val="001A770E"/>
    <w:rsid w:val="001A7AB6"/>
    <w:rsid w:val="001A7CE4"/>
    <w:rsid w:val="001A7D3E"/>
    <w:rsid w:val="001B23BD"/>
    <w:rsid w:val="001B639B"/>
    <w:rsid w:val="001B73C0"/>
    <w:rsid w:val="001C08B2"/>
    <w:rsid w:val="001C1111"/>
    <w:rsid w:val="001C56E7"/>
    <w:rsid w:val="001C620E"/>
    <w:rsid w:val="001D0E70"/>
    <w:rsid w:val="001D10A9"/>
    <w:rsid w:val="001D3CF7"/>
    <w:rsid w:val="001E0970"/>
    <w:rsid w:val="001E19FA"/>
    <w:rsid w:val="001E280A"/>
    <w:rsid w:val="001E55C6"/>
    <w:rsid w:val="001F14D2"/>
    <w:rsid w:val="001F2F31"/>
    <w:rsid w:val="001F3D0E"/>
    <w:rsid w:val="001F5EC3"/>
    <w:rsid w:val="0020065C"/>
    <w:rsid w:val="00202C72"/>
    <w:rsid w:val="00203741"/>
    <w:rsid w:val="002065B3"/>
    <w:rsid w:val="00213274"/>
    <w:rsid w:val="00216266"/>
    <w:rsid w:val="0021767B"/>
    <w:rsid w:val="002274C8"/>
    <w:rsid w:val="00227AAA"/>
    <w:rsid w:val="002317A7"/>
    <w:rsid w:val="0023640C"/>
    <w:rsid w:val="002372B3"/>
    <w:rsid w:val="0025271C"/>
    <w:rsid w:val="002540C7"/>
    <w:rsid w:val="00254894"/>
    <w:rsid w:val="00260189"/>
    <w:rsid w:val="002628B4"/>
    <w:rsid w:val="00264F49"/>
    <w:rsid w:val="00265ED1"/>
    <w:rsid w:val="0026639C"/>
    <w:rsid w:val="00267692"/>
    <w:rsid w:val="00267A10"/>
    <w:rsid w:val="00267D06"/>
    <w:rsid w:val="00272F38"/>
    <w:rsid w:val="0027393E"/>
    <w:rsid w:val="0028509D"/>
    <w:rsid w:val="00286603"/>
    <w:rsid w:val="00287DD2"/>
    <w:rsid w:val="00290FAC"/>
    <w:rsid w:val="002945FA"/>
    <w:rsid w:val="002975F6"/>
    <w:rsid w:val="002A298F"/>
    <w:rsid w:val="002A2D0B"/>
    <w:rsid w:val="002A6234"/>
    <w:rsid w:val="002B1BA2"/>
    <w:rsid w:val="002B5465"/>
    <w:rsid w:val="002C35FA"/>
    <w:rsid w:val="002C54B8"/>
    <w:rsid w:val="002C6D7D"/>
    <w:rsid w:val="002C6EBB"/>
    <w:rsid w:val="002D0E1D"/>
    <w:rsid w:val="002D4F11"/>
    <w:rsid w:val="002D6742"/>
    <w:rsid w:val="002E1601"/>
    <w:rsid w:val="002E16A1"/>
    <w:rsid w:val="002F3F9A"/>
    <w:rsid w:val="0030730F"/>
    <w:rsid w:val="00314DEE"/>
    <w:rsid w:val="00315FC4"/>
    <w:rsid w:val="003217B3"/>
    <w:rsid w:val="003218DF"/>
    <w:rsid w:val="0032362D"/>
    <w:rsid w:val="00325E6D"/>
    <w:rsid w:val="00326A7B"/>
    <w:rsid w:val="00327556"/>
    <w:rsid w:val="0033331A"/>
    <w:rsid w:val="00333506"/>
    <w:rsid w:val="00341B60"/>
    <w:rsid w:val="003544ED"/>
    <w:rsid w:val="003563BC"/>
    <w:rsid w:val="00362997"/>
    <w:rsid w:val="0036369D"/>
    <w:rsid w:val="00364A4A"/>
    <w:rsid w:val="003709D2"/>
    <w:rsid w:val="00373D0A"/>
    <w:rsid w:val="003912F2"/>
    <w:rsid w:val="0039539D"/>
    <w:rsid w:val="00396935"/>
    <w:rsid w:val="003A1051"/>
    <w:rsid w:val="003A16C1"/>
    <w:rsid w:val="003A52AB"/>
    <w:rsid w:val="003A575C"/>
    <w:rsid w:val="003A6D3C"/>
    <w:rsid w:val="003B0A00"/>
    <w:rsid w:val="003B1367"/>
    <w:rsid w:val="003B5A44"/>
    <w:rsid w:val="003D2CEB"/>
    <w:rsid w:val="003E0077"/>
    <w:rsid w:val="003E4E18"/>
    <w:rsid w:val="003F054B"/>
    <w:rsid w:val="003F1287"/>
    <w:rsid w:val="003F215E"/>
    <w:rsid w:val="00401D05"/>
    <w:rsid w:val="00401EE5"/>
    <w:rsid w:val="00404546"/>
    <w:rsid w:val="004150C9"/>
    <w:rsid w:val="0042362C"/>
    <w:rsid w:val="00426BCF"/>
    <w:rsid w:val="004307B5"/>
    <w:rsid w:val="004332C6"/>
    <w:rsid w:val="0044187B"/>
    <w:rsid w:val="00445B57"/>
    <w:rsid w:val="00446729"/>
    <w:rsid w:val="0045033D"/>
    <w:rsid w:val="00452D10"/>
    <w:rsid w:val="00456E7B"/>
    <w:rsid w:val="004571F5"/>
    <w:rsid w:val="004602AA"/>
    <w:rsid w:val="004610E9"/>
    <w:rsid w:val="00461FF5"/>
    <w:rsid w:val="00462445"/>
    <w:rsid w:val="004705C9"/>
    <w:rsid w:val="00474631"/>
    <w:rsid w:val="00480308"/>
    <w:rsid w:val="00487C9E"/>
    <w:rsid w:val="00491F01"/>
    <w:rsid w:val="00492001"/>
    <w:rsid w:val="00492487"/>
    <w:rsid w:val="00493888"/>
    <w:rsid w:val="00496498"/>
    <w:rsid w:val="00497C55"/>
    <w:rsid w:val="004A24BA"/>
    <w:rsid w:val="004A3A00"/>
    <w:rsid w:val="004A721B"/>
    <w:rsid w:val="004B009C"/>
    <w:rsid w:val="004B3685"/>
    <w:rsid w:val="004B4B68"/>
    <w:rsid w:val="004C30AA"/>
    <w:rsid w:val="004C6714"/>
    <w:rsid w:val="004C75F2"/>
    <w:rsid w:val="004D37F2"/>
    <w:rsid w:val="004D5D36"/>
    <w:rsid w:val="004E3249"/>
    <w:rsid w:val="004E5635"/>
    <w:rsid w:val="004F3518"/>
    <w:rsid w:val="004F3735"/>
    <w:rsid w:val="004F3FB1"/>
    <w:rsid w:val="00501F5E"/>
    <w:rsid w:val="005040A7"/>
    <w:rsid w:val="00510BA2"/>
    <w:rsid w:val="00515ED6"/>
    <w:rsid w:val="00516D55"/>
    <w:rsid w:val="005236EB"/>
    <w:rsid w:val="005275B8"/>
    <w:rsid w:val="005277CC"/>
    <w:rsid w:val="005351BC"/>
    <w:rsid w:val="005372D3"/>
    <w:rsid w:val="00543B77"/>
    <w:rsid w:val="005502D6"/>
    <w:rsid w:val="00560C17"/>
    <w:rsid w:val="00566805"/>
    <w:rsid w:val="00567919"/>
    <w:rsid w:val="00567A19"/>
    <w:rsid w:val="00573D0F"/>
    <w:rsid w:val="00576296"/>
    <w:rsid w:val="00576428"/>
    <w:rsid w:val="0058546D"/>
    <w:rsid w:val="00590308"/>
    <w:rsid w:val="00590499"/>
    <w:rsid w:val="005912D1"/>
    <w:rsid w:val="0059149A"/>
    <w:rsid w:val="005919CC"/>
    <w:rsid w:val="005932B1"/>
    <w:rsid w:val="0059745E"/>
    <w:rsid w:val="005A2A17"/>
    <w:rsid w:val="005A6687"/>
    <w:rsid w:val="005B2FA1"/>
    <w:rsid w:val="005B3226"/>
    <w:rsid w:val="005B3BED"/>
    <w:rsid w:val="005B40CA"/>
    <w:rsid w:val="005B636A"/>
    <w:rsid w:val="005C0F30"/>
    <w:rsid w:val="005C2A5A"/>
    <w:rsid w:val="005C50B5"/>
    <w:rsid w:val="005D147D"/>
    <w:rsid w:val="005D488C"/>
    <w:rsid w:val="005D5EA2"/>
    <w:rsid w:val="005D64D9"/>
    <w:rsid w:val="005E15F1"/>
    <w:rsid w:val="005E2134"/>
    <w:rsid w:val="005E4284"/>
    <w:rsid w:val="005E7D27"/>
    <w:rsid w:val="005F338D"/>
    <w:rsid w:val="005F7957"/>
    <w:rsid w:val="00602001"/>
    <w:rsid w:val="0060690C"/>
    <w:rsid w:val="00607075"/>
    <w:rsid w:val="006109F7"/>
    <w:rsid w:val="00610BCA"/>
    <w:rsid w:val="00612CF9"/>
    <w:rsid w:val="00612CFD"/>
    <w:rsid w:val="00620F35"/>
    <w:rsid w:val="006216FA"/>
    <w:rsid w:val="00622CC5"/>
    <w:rsid w:val="00622DE0"/>
    <w:rsid w:val="00624B1D"/>
    <w:rsid w:val="00626E57"/>
    <w:rsid w:val="00627ACF"/>
    <w:rsid w:val="00632F9C"/>
    <w:rsid w:val="00641E89"/>
    <w:rsid w:val="00646B82"/>
    <w:rsid w:val="006472D8"/>
    <w:rsid w:val="00647ACD"/>
    <w:rsid w:val="00651205"/>
    <w:rsid w:val="006548DA"/>
    <w:rsid w:val="006634A0"/>
    <w:rsid w:val="006640BD"/>
    <w:rsid w:val="00670A05"/>
    <w:rsid w:val="00673563"/>
    <w:rsid w:val="006738E7"/>
    <w:rsid w:val="0067599E"/>
    <w:rsid w:val="00675E78"/>
    <w:rsid w:val="00676458"/>
    <w:rsid w:val="00677661"/>
    <w:rsid w:val="006828F1"/>
    <w:rsid w:val="00683950"/>
    <w:rsid w:val="00684E64"/>
    <w:rsid w:val="00685463"/>
    <w:rsid w:val="006961B6"/>
    <w:rsid w:val="00696E4D"/>
    <w:rsid w:val="006A141B"/>
    <w:rsid w:val="006A1937"/>
    <w:rsid w:val="006A2297"/>
    <w:rsid w:val="006A2DF8"/>
    <w:rsid w:val="006A3F3B"/>
    <w:rsid w:val="006B4473"/>
    <w:rsid w:val="006B6085"/>
    <w:rsid w:val="006C101F"/>
    <w:rsid w:val="006C360D"/>
    <w:rsid w:val="006C685C"/>
    <w:rsid w:val="006D0A8D"/>
    <w:rsid w:val="006D7442"/>
    <w:rsid w:val="006E1EFA"/>
    <w:rsid w:val="006E4E67"/>
    <w:rsid w:val="006E6375"/>
    <w:rsid w:val="006F20C4"/>
    <w:rsid w:val="006F2E7A"/>
    <w:rsid w:val="006F47D2"/>
    <w:rsid w:val="006F626E"/>
    <w:rsid w:val="006F7E37"/>
    <w:rsid w:val="00705EA2"/>
    <w:rsid w:val="0070740D"/>
    <w:rsid w:val="00707D96"/>
    <w:rsid w:val="00720616"/>
    <w:rsid w:val="00723640"/>
    <w:rsid w:val="00725D66"/>
    <w:rsid w:val="00737B9C"/>
    <w:rsid w:val="00743191"/>
    <w:rsid w:val="00743D4E"/>
    <w:rsid w:val="00744F86"/>
    <w:rsid w:val="00760520"/>
    <w:rsid w:val="0076300D"/>
    <w:rsid w:val="00763A7B"/>
    <w:rsid w:val="00771474"/>
    <w:rsid w:val="00771F15"/>
    <w:rsid w:val="00772965"/>
    <w:rsid w:val="00772EE4"/>
    <w:rsid w:val="00773916"/>
    <w:rsid w:val="00781AF3"/>
    <w:rsid w:val="007829BE"/>
    <w:rsid w:val="00785C11"/>
    <w:rsid w:val="00787D01"/>
    <w:rsid w:val="0079017A"/>
    <w:rsid w:val="00791A51"/>
    <w:rsid w:val="00791E56"/>
    <w:rsid w:val="00793987"/>
    <w:rsid w:val="0079684A"/>
    <w:rsid w:val="007A51AB"/>
    <w:rsid w:val="007A53C1"/>
    <w:rsid w:val="007B0EEE"/>
    <w:rsid w:val="007B1798"/>
    <w:rsid w:val="007B4807"/>
    <w:rsid w:val="007B6076"/>
    <w:rsid w:val="007C64BF"/>
    <w:rsid w:val="007C6963"/>
    <w:rsid w:val="007D2B49"/>
    <w:rsid w:val="007D3ED3"/>
    <w:rsid w:val="007D44F3"/>
    <w:rsid w:val="007D6237"/>
    <w:rsid w:val="007E3A8B"/>
    <w:rsid w:val="007E545B"/>
    <w:rsid w:val="007E6ED9"/>
    <w:rsid w:val="007F1AB9"/>
    <w:rsid w:val="007F37F3"/>
    <w:rsid w:val="007F44D2"/>
    <w:rsid w:val="008022F8"/>
    <w:rsid w:val="00802400"/>
    <w:rsid w:val="00803E1A"/>
    <w:rsid w:val="00804D69"/>
    <w:rsid w:val="00806CF6"/>
    <w:rsid w:val="00810B8C"/>
    <w:rsid w:val="008125E6"/>
    <w:rsid w:val="00826E01"/>
    <w:rsid w:val="00826FB9"/>
    <w:rsid w:val="0082764C"/>
    <w:rsid w:val="00831E02"/>
    <w:rsid w:val="00833159"/>
    <w:rsid w:val="0083509A"/>
    <w:rsid w:val="00837045"/>
    <w:rsid w:val="008439A5"/>
    <w:rsid w:val="00843CCF"/>
    <w:rsid w:val="00843F98"/>
    <w:rsid w:val="00854593"/>
    <w:rsid w:val="00855996"/>
    <w:rsid w:val="00862411"/>
    <w:rsid w:val="00862A85"/>
    <w:rsid w:val="0086460A"/>
    <w:rsid w:val="008667FB"/>
    <w:rsid w:val="00871DE6"/>
    <w:rsid w:val="00873422"/>
    <w:rsid w:val="0087488C"/>
    <w:rsid w:val="00874BB0"/>
    <w:rsid w:val="00875FD8"/>
    <w:rsid w:val="0087678F"/>
    <w:rsid w:val="00884B0C"/>
    <w:rsid w:val="00886D1B"/>
    <w:rsid w:val="0089251D"/>
    <w:rsid w:val="00896557"/>
    <w:rsid w:val="008A0607"/>
    <w:rsid w:val="008A7194"/>
    <w:rsid w:val="008A7523"/>
    <w:rsid w:val="008C0DA8"/>
    <w:rsid w:val="008C2DCD"/>
    <w:rsid w:val="008C3999"/>
    <w:rsid w:val="008C67A8"/>
    <w:rsid w:val="008C69CC"/>
    <w:rsid w:val="008D56E7"/>
    <w:rsid w:val="008D5827"/>
    <w:rsid w:val="008E19F4"/>
    <w:rsid w:val="008E1A52"/>
    <w:rsid w:val="008E72EC"/>
    <w:rsid w:val="008F0B80"/>
    <w:rsid w:val="008F1648"/>
    <w:rsid w:val="008F184A"/>
    <w:rsid w:val="00902112"/>
    <w:rsid w:val="009047DA"/>
    <w:rsid w:val="00910503"/>
    <w:rsid w:val="00913F70"/>
    <w:rsid w:val="00915097"/>
    <w:rsid w:val="009208E5"/>
    <w:rsid w:val="00923D0D"/>
    <w:rsid w:val="00923F55"/>
    <w:rsid w:val="00930474"/>
    <w:rsid w:val="00933B99"/>
    <w:rsid w:val="009366AA"/>
    <w:rsid w:val="00937790"/>
    <w:rsid w:val="009411A6"/>
    <w:rsid w:val="009448CF"/>
    <w:rsid w:val="0094592A"/>
    <w:rsid w:val="00945DC2"/>
    <w:rsid w:val="0094642F"/>
    <w:rsid w:val="009475A4"/>
    <w:rsid w:val="00953C7D"/>
    <w:rsid w:val="00953D41"/>
    <w:rsid w:val="009546C9"/>
    <w:rsid w:val="0095712D"/>
    <w:rsid w:val="009579E8"/>
    <w:rsid w:val="00963927"/>
    <w:rsid w:val="00964C18"/>
    <w:rsid w:val="00967664"/>
    <w:rsid w:val="00967B83"/>
    <w:rsid w:val="0097045F"/>
    <w:rsid w:val="00971CE8"/>
    <w:rsid w:val="0097371A"/>
    <w:rsid w:val="00975CD0"/>
    <w:rsid w:val="00977952"/>
    <w:rsid w:val="009808EB"/>
    <w:rsid w:val="00983A63"/>
    <w:rsid w:val="00990BA7"/>
    <w:rsid w:val="009936B6"/>
    <w:rsid w:val="0099403A"/>
    <w:rsid w:val="0099432D"/>
    <w:rsid w:val="009A4022"/>
    <w:rsid w:val="009B02AE"/>
    <w:rsid w:val="009B5DD5"/>
    <w:rsid w:val="009B62F9"/>
    <w:rsid w:val="009C019C"/>
    <w:rsid w:val="009C4EA4"/>
    <w:rsid w:val="009C5E43"/>
    <w:rsid w:val="009D30F6"/>
    <w:rsid w:val="009D445D"/>
    <w:rsid w:val="009D5A4C"/>
    <w:rsid w:val="009E1056"/>
    <w:rsid w:val="009E25AC"/>
    <w:rsid w:val="009E43DE"/>
    <w:rsid w:val="009E4BC8"/>
    <w:rsid w:val="009E7267"/>
    <w:rsid w:val="009E7BB6"/>
    <w:rsid w:val="009F7B43"/>
    <w:rsid w:val="00A02DD7"/>
    <w:rsid w:val="00A03B38"/>
    <w:rsid w:val="00A064A2"/>
    <w:rsid w:val="00A1068D"/>
    <w:rsid w:val="00A11A15"/>
    <w:rsid w:val="00A12362"/>
    <w:rsid w:val="00A14A56"/>
    <w:rsid w:val="00A15EAE"/>
    <w:rsid w:val="00A20969"/>
    <w:rsid w:val="00A25B48"/>
    <w:rsid w:val="00A266B1"/>
    <w:rsid w:val="00A270C5"/>
    <w:rsid w:val="00A30486"/>
    <w:rsid w:val="00A30B8A"/>
    <w:rsid w:val="00A313A6"/>
    <w:rsid w:val="00A34A1E"/>
    <w:rsid w:val="00A36B56"/>
    <w:rsid w:val="00A410AF"/>
    <w:rsid w:val="00A45319"/>
    <w:rsid w:val="00A457B2"/>
    <w:rsid w:val="00A477C7"/>
    <w:rsid w:val="00A47CF9"/>
    <w:rsid w:val="00A5100B"/>
    <w:rsid w:val="00A513FF"/>
    <w:rsid w:val="00A5148D"/>
    <w:rsid w:val="00A51E7B"/>
    <w:rsid w:val="00A558A1"/>
    <w:rsid w:val="00A636B6"/>
    <w:rsid w:val="00A6440D"/>
    <w:rsid w:val="00A703BC"/>
    <w:rsid w:val="00A76A20"/>
    <w:rsid w:val="00A76F4F"/>
    <w:rsid w:val="00A804A1"/>
    <w:rsid w:val="00A80802"/>
    <w:rsid w:val="00A80F1B"/>
    <w:rsid w:val="00A8303E"/>
    <w:rsid w:val="00A91086"/>
    <w:rsid w:val="00AA12C9"/>
    <w:rsid w:val="00AB0BA2"/>
    <w:rsid w:val="00AB53E0"/>
    <w:rsid w:val="00AD1A95"/>
    <w:rsid w:val="00AD3A3B"/>
    <w:rsid w:val="00AD4EA1"/>
    <w:rsid w:val="00AD72F9"/>
    <w:rsid w:val="00AE5996"/>
    <w:rsid w:val="00AE619A"/>
    <w:rsid w:val="00AF014F"/>
    <w:rsid w:val="00AF0D5C"/>
    <w:rsid w:val="00AF53C8"/>
    <w:rsid w:val="00AF5DD3"/>
    <w:rsid w:val="00AF6660"/>
    <w:rsid w:val="00B013CF"/>
    <w:rsid w:val="00B06822"/>
    <w:rsid w:val="00B100F5"/>
    <w:rsid w:val="00B1031D"/>
    <w:rsid w:val="00B12D59"/>
    <w:rsid w:val="00B132A1"/>
    <w:rsid w:val="00B162D1"/>
    <w:rsid w:val="00B1650E"/>
    <w:rsid w:val="00B1692C"/>
    <w:rsid w:val="00B16E6F"/>
    <w:rsid w:val="00B17887"/>
    <w:rsid w:val="00B24D3D"/>
    <w:rsid w:val="00B253B0"/>
    <w:rsid w:val="00B30BF5"/>
    <w:rsid w:val="00B3499C"/>
    <w:rsid w:val="00B41829"/>
    <w:rsid w:val="00B4689E"/>
    <w:rsid w:val="00B52577"/>
    <w:rsid w:val="00B53400"/>
    <w:rsid w:val="00B54CBF"/>
    <w:rsid w:val="00B54D9D"/>
    <w:rsid w:val="00B63C9F"/>
    <w:rsid w:val="00B738D3"/>
    <w:rsid w:val="00B77D06"/>
    <w:rsid w:val="00B82838"/>
    <w:rsid w:val="00B87783"/>
    <w:rsid w:val="00B92D7A"/>
    <w:rsid w:val="00B95D51"/>
    <w:rsid w:val="00BA0E3D"/>
    <w:rsid w:val="00BA1AA0"/>
    <w:rsid w:val="00BA2B54"/>
    <w:rsid w:val="00BA4937"/>
    <w:rsid w:val="00BA5465"/>
    <w:rsid w:val="00BB090A"/>
    <w:rsid w:val="00BB29F7"/>
    <w:rsid w:val="00BC16F6"/>
    <w:rsid w:val="00BC5803"/>
    <w:rsid w:val="00BC6FB0"/>
    <w:rsid w:val="00BD0BEB"/>
    <w:rsid w:val="00BD52E8"/>
    <w:rsid w:val="00BE705A"/>
    <w:rsid w:val="00BF0227"/>
    <w:rsid w:val="00BF36E1"/>
    <w:rsid w:val="00BF55FF"/>
    <w:rsid w:val="00C00179"/>
    <w:rsid w:val="00C018E1"/>
    <w:rsid w:val="00C023AB"/>
    <w:rsid w:val="00C07E66"/>
    <w:rsid w:val="00C1230A"/>
    <w:rsid w:val="00C13513"/>
    <w:rsid w:val="00C14A7D"/>
    <w:rsid w:val="00C20918"/>
    <w:rsid w:val="00C2137B"/>
    <w:rsid w:val="00C26E07"/>
    <w:rsid w:val="00C3583B"/>
    <w:rsid w:val="00C3671C"/>
    <w:rsid w:val="00C4465E"/>
    <w:rsid w:val="00C44863"/>
    <w:rsid w:val="00C44D2B"/>
    <w:rsid w:val="00C4691F"/>
    <w:rsid w:val="00C52D50"/>
    <w:rsid w:val="00C557AC"/>
    <w:rsid w:val="00C56001"/>
    <w:rsid w:val="00C60BC5"/>
    <w:rsid w:val="00C66BF7"/>
    <w:rsid w:val="00C6723D"/>
    <w:rsid w:val="00C67B75"/>
    <w:rsid w:val="00C7348F"/>
    <w:rsid w:val="00C73A85"/>
    <w:rsid w:val="00C77E90"/>
    <w:rsid w:val="00C92793"/>
    <w:rsid w:val="00C94DC3"/>
    <w:rsid w:val="00C956D6"/>
    <w:rsid w:val="00C95D1B"/>
    <w:rsid w:val="00CA4750"/>
    <w:rsid w:val="00CA478D"/>
    <w:rsid w:val="00CA4B49"/>
    <w:rsid w:val="00CA5DD5"/>
    <w:rsid w:val="00CB20A9"/>
    <w:rsid w:val="00CB67CF"/>
    <w:rsid w:val="00CB6C0C"/>
    <w:rsid w:val="00CC1125"/>
    <w:rsid w:val="00CC2DF6"/>
    <w:rsid w:val="00CC3DB5"/>
    <w:rsid w:val="00CC4849"/>
    <w:rsid w:val="00CC660B"/>
    <w:rsid w:val="00CD3BA5"/>
    <w:rsid w:val="00CD50F4"/>
    <w:rsid w:val="00CE1DBE"/>
    <w:rsid w:val="00CE4323"/>
    <w:rsid w:val="00D03700"/>
    <w:rsid w:val="00D0468C"/>
    <w:rsid w:val="00D05191"/>
    <w:rsid w:val="00D0520B"/>
    <w:rsid w:val="00D11399"/>
    <w:rsid w:val="00D21284"/>
    <w:rsid w:val="00D21DDF"/>
    <w:rsid w:val="00D2253A"/>
    <w:rsid w:val="00D237BA"/>
    <w:rsid w:val="00D2797A"/>
    <w:rsid w:val="00D31246"/>
    <w:rsid w:val="00D36E10"/>
    <w:rsid w:val="00D37216"/>
    <w:rsid w:val="00D403BA"/>
    <w:rsid w:val="00D45558"/>
    <w:rsid w:val="00D456C2"/>
    <w:rsid w:val="00D542B8"/>
    <w:rsid w:val="00D56F9C"/>
    <w:rsid w:val="00D605F1"/>
    <w:rsid w:val="00D631CB"/>
    <w:rsid w:val="00D65CAA"/>
    <w:rsid w:val="00D703D8"/>
    <w:rsid w:val="00D75767"/>
    <w:rsid w:val="00D76249"/>
    <w:rsid w:val="00D82A7D"/>
    <w:rsid w:val="00D85726"/>
    <w:rsid w:val="00DA081F"/>
    <w:rsid w:val="00DA3645"/>
    <w:rsid w:val="00DA507C"/>
    <w:rsid w:val="00DA6470"/>
    <w:rsid w:val="00DB165A"/>
    <w:rsid w:val="00DB1B80"/>
    <w:rsid w:val="00DB1BF2"/>
    <w:rsid w:val="00DB34C9"/>
    <w:rsid w:val="00DB44E8"/>
    <w:rsid w:val="00DC01DA"/>
    <w:rsid w:val="00DC2C4F"/>
    <w:rsid w:val="00DC2CE6"/>
    <w:rsid w:val="00DC7495"/>
    <w:rsid w:val="00DC7BA4"/>
    <w:rsid w:val="00DD0997"/>
    <w:rsid w:val="00DD11F1"/>
    <w:rsid w:val="00DD2831"/>
    <w:rsid w:val="00DD4F62"/>
    <w:rsid w:val="00DE00AD"/>
    <w:rsid w:val="00DE33B2"/>
    <w:rsid w:val="00DE734B"/>
    <w:rsid w:val="00DF07E2"/>
    <w:rsid w:val="00DF0E0D"/>
    <w:rsid w:val="00DF1450"/>
    <w:rsid w:val="00DF1BB2"/>
    <w:rsid w:val="00DF2DBF"/>
    <w:rsid w:val="00DF3141"/>
    <w:rsid w:val="00DF3696"/>
    <w:rsid w:val="00DF3868"/>
    <w:rsid w:val="00DF5861"/>
    <w:rsid w:val="00E00903"/>
    <w:rsid w:val="00E03FA2"/>
    <w:rsid w:val="00E04311"/>
    <w:rsid w:val="00E0777D"/>
    <w:rsid w:val="00E118CF"/>
    <w:rsid w:val="00E174DC"/>
    <w:rsid w:val="00E20900"/>
    <w:rsid w:val="00E21954"/>
    <w:rsid w:val="00E23F08"/>
    <w:rsid w:val="00E254CF"/>
    <w:rsid w:val="00E2581E"/>
    <w:rsid w:val="00E3420A"/>
    <w:rsid w:val="00E3446B"/>
    <w:rsid w:val="00E35FB0"/>
    <w:rsid w:val="00E43C9A"/>
    <w:rsid w:val="00E44A28"/>
    <w:rsid w:val="00E44CF8"/>
    <w:rsid w:val="00E45D9D"/>
    <w:rsid w:val="00E50B56"/>
    <w:rsid w:val="00E52BB9"/>
    <w:rsid w:val="00E6603A"/>
    <w:rsid w:val="00E663AA"/>
    <w:rsid w:val="00E6670D"/>
    <w:rsid w:val="00E7400C"/>
    <w:rsid w:val="00E74285"/>
    <w:rsid w:val="00E749F5"/>
    <w:rsid w:val="00E81573"/>
    <w:rsid w:val="00E829C3"/>
    <w:rsid w:val="00E834B1"/>
    <w:rsid w:val="00E84682"/>
    <w:rsid w:val="00E8781C"/>
    <w:rsid w:val="00E91D14"/>
    <w:rsid w:val="00E965CF"/>
    <w:rsid w:val="00E97779"/>
    <w:rsid w:val="00EA0E04"/>
    <w:rsid w:val="00EA1B62"/>
    <w:rsid w:val="00EA3620"/>
    <w:rsid w:val="00EA3CB3"/>
    <w:rsid w:val="00EA4A7F"/>
    <w:rsid w:val="00EA5365"/>
    <w:rsid w:val="00EB1904"/>
    <w:rsid w:val="00EB284A"/>
    <w:rsid w:val="00EB29B9"/>
    <w:rsid w:val="00EB4BBC"/>
    <w:rsid w:val="00EB6380"/>
    <w:rsid w:val="00EC324B"/>
    <w:rsid w:val="00EC48EF"/>
    <w:rsid w:val="00EC4FB1"/>
    <w:rsid w:val="00ED0867"/>
    <w:rsid w:val="00ED1A50"/>
    <w:rsid w:val="00ED3999"/>
    <w:rsid w:val="00EE1B8D"/>
    <w:rsid w:val="00EE2B01"/>
    <w:rsid w:val="00EE3AA9"/>
    <w:rsid w:val="00EE581C"/>
    <w:rsid w:val="00EF11FB"/>
    <w:rsid w:val="00EF387A"/>
    <w:rsid w:val="00EF7BE2"/>
    <w:rsid w:val="00F1441A"/>
    <w:rsid w:val="00F1727B"/>
    <w:rsid w:val="00F17A7C"/>
    <w:rsid w:val="00F255D7"/>
    <w:rsid w:val="00F3038C"/>
    <w:rsid w:val="00F32462"/>
    <w:rsid w:val="00F36A04"/>
    <w:rsid w:val="00F403EA"/>
    <w:rsid w:val="00F42126"/>
    <w:rsid w:val="00F525F8"/>
    <w:rsid w:val="00F57499"/>
    <w:rsid w:val="00F64941"/>
    <w:rsid w:val="00F67C66"/>
    <w:rsid w:val="00F714CC"/>
    <w:rsid w:val="00F7170E"/>
    <w:rsid w:val="00F72BE3"/>
    <w:rsid w:val="00F73D98"/>
    <w:rsid w:val="00F74EF3"/>
    <w:rsid w:val="00F8251E"/>
    <w:rsid w:val="00F83884"/>
    <w:rsid w:val="00F87480"/>
    <w:rsid w:val="00F922CD"/>
    <w:rsid w:val="00F92D40"/>
    <w:rsid w:val="00F96C77"/>
    <w:rsid w:val="00F97188"/>
    <w:rsid w:val="00F97BEC"/>
    <w:rsid w:val="00FA32DF"/>
    <w:rsid w:val="00FA3CAA"/>
    <w:rsid w:val="00FA4911"/>
    <w:rsid w:val="00FA7FCB"/>
    <w:rsid w:val="00FB00C4"/>
    <w:rsid w:val="00FB17B3"/>
    <w:rsid w:val="00FB2616"/>
    <w:rsid w:val="00FB4956"/>
    <w:rsid w:val="00FB4E89"/>
    <w:rsid w:val="00FB4F39"/>
    <w:rsid w:val="00FC2A3D"/>
    <w:rsid w:val="00FC34AB"/>
    <w:rsid w:val="00FC3C48"/>
    <w:rsid w:val="00FC6200"/>
    <w:rsid w:val="00FD48B7"/>
    <w:rsid w:val="00FD5325"/>
    <w:rsid w:val="00FD59D4"/>
    <w:rsid w:val="00FE3591"/>
    <w:rsid w:val="00FF03C3"/>
    <w:rsid w:val="00FF5FE5"/>
    <w:rsid w:val="00FF74B5"/>
    <w:rsid w:val="2DE4E0BC"/>
    <w:rsid w:val="3A24B7AD"/>
    <w:rsid w:val="6DE2731B"/>
    <w:rsid w:val="7579E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51A3"/>
  <w15:chartTrackingRefBased/>
  <w15:docId w15:val="{051FE3A9-C3FD-4FCC-8B7E-8232C05C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63BC"/>
    <w:pPr>
      <w:spacing w:before="120"/>
    </w:pPr>
    <w:rPr>
      <w:rFonts w:ascii="Arial" w:hAnsi="Arial"/>
      <w:kern w:val="0"/>
      <w:sz w:val="24"/>
      <w14:ligatures w14:val="none"/>
    </w:rPr>
  </w:style>
  <w:style w:type="paragraph" w:styleId="Heading1">
    <w:name w:val="heading 1"/>
    <w:basedOn w:val="Normal"/>
    <w:next w:val="Normal"/>
    <w:link w:val="Heading1Char"/>
    <w:uiPriority w:val="9"/>
    <w:qFormat/>
    <w:rsid w:val="003563B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3B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3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3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3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3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63B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563B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563B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563B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563B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563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63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63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63BC"/>
    <w:rPr>
      <w:rFonts w:eastAsiaTheme="majorEastAsia" w:cstheme="majorBidi"/>
      <w:color w:val="272727" w:themeColor="text1" w:themeTint="D8"/>
    </w:rPr>
  </w:style>
  <w:style w:type="paragraph" w:styleId="Title">
    <w:name w:val="Title"/>
    <w:basedOn w:val="Normal"/>
    <w:next w:val="Normal"/>
    <w:link w:val="TitleChar"/>
    <w:uiPriority w:val="10"/>
    <w:qFormat/>
    <w:rsid w:val="003563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63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63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6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3BC"/>
    <w:pPr>
      <w:spacing w:before="160"/>
      <w:jc w:val="center"/>
    </w:pPr>
    <w:rPr>
      <w:i/>
      <w:iCs/>
      <w:color w:val="404040" w:themeColor="text1" w:themeTint="BF"/>
    </w:rPr>
  </w:style>
  <w:style w:type="character" w:styleId="QuoteChar" w:customStyle="1">
    <w:name w:val="Quote Char"/>
    <w:basedOn w:val="DefaultParagraphFont"/>
    <w:link w:val="Quote"/>
    <w:uiPriority w:val="29"/>
    <w:rsid w:val="003563BC"/>
    <w:rPr>
      <w:i/>
      <w:iCs/>
      <w:color w:val="404040" w:themeColor="text1" w:themeTint="BF"/>
    </w:rPr>
  </w:style>
  <w:style w:type="paragraph" w:styleId="ListParagraph">
    <w:name w:val="List Paragraph"/>
    <w:basedOn w:val="Normal"/>
    <w:uiPriority w:val="34"/>
    <w:qFormat/>
    <w:rsid w:val="003563BC"/>
    <w:pPr>
      <w:ind w:left="720"/>
      <w:contextualSpacing/>
    </w:pPr>
  </w:style>
  <w:style w:type="character" w:styleId="IntenseEmphasis">
    <w:name w:val="Intense Emphasis"/>
    <w:basedOn w:val="DefaultParagraphFont"/>
    <w:uiPriority w:val="21"/>
    <w:qFormat/>
    <w:rsid w:val="003563BC"/>
    <w:rPr>
      <w:i/>
      <w:iCs/>
      <w:color w:val="2F5496" w:themeColor="accent1" w:themeShade="BF"/>
    </w:rPr>
  </w:style>
  <w:style w:type="paragraph" w:styleId="IntenseQuote">
    <w:name w:val="Intense Quote"/>
    <w:basedOn w:val="Normal"/>
    <w:next w:val="Normal"/>
    <w:link w:val="IntenseQuoteChar"/>
    <w:uiPriority w:val="30"/>
    <w:qFormat/>
    <w:rsid w:val="003563B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3563BC"/>
    <w:rPr>
      <w:i/>
      <w:iCs/>
      <w:color w:val="2F5496" w:themeColor="accent1" w:themeShade="BF"/>
    </w:rPr>
  </w:style>
  <w:style w:type="character" w:styleId="IntenseReference">
    <w:name w:val="Intense Reference"/>
    <w:basedOn w:val="DefaultParagraphFont"/>
    <w:uiPriority w:val="32"/>
    <w:qFormat/>
    <w:rsid w:val="003563BC"/>
    <w:rPr>
      <w:b/>
      <w:bCs/>
      <w:smallCaps/>
      <w:color w:val="2F5496" w:themeColor="accent1" w:themeShade="BF"/>
      <w:spacing w:val="5"/>
    </w:rPr>
  </w:style>
  <w:style w:type="paragraph" w:styleId="Paragraph" w:customStyle="1">
    <w:name w:val="Paragraph"/>
    <w:basedOn w:val="Normal"/>
    <w:link w:val="ParagraphChar"/>
    <w:uiPriority w:val="4"/>
    <w:qFormat/>
    <w:rsid w:val="003563BC"/>
    <w:pPr>
      <w:numPr>
        <w:numId w:val="1"/>
      </w:numPr>
      <w:spacing w:before="240" w:after="240" w:line="276" w:lineRule="auto"/>
    </w:pPr>
    <w:rPr>
      <w:rFonts w:eastAsia="Times New Roman" w:cs="Times New Roman"/>
      <w:szCs w:val="24"/>
      <w:lang w:eastAsia="en-GB"/>
    </w:rPr>
  </w:style>
  <w:style w:type="character" w:styleId="ParagraphChar" w:customStyle="1">
    <w:name w:val="Paragraph Char"/>
    <w:basedOn w:val="DefaultParagraphFont"/>
    <w:link w:val="Paragraph"/>
    <w:uiPriority w:val="4"/>
    <w:rsid w:val="003563BC"/>
    <w:rPr>
      <w:rFonts w:ascii="Arial" w:hAnsi="Arial" w:eastAsia="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6F47D2"/>
    <w:rPr>
      <w:sz w:val="16"/>
      <w:szCs w:val="16"/>
    </w:rPr>
  </w:style>
  <w:style w:type="paragraph" w:styleId="CommentText">
    <w:name w:val="annotation text"/>
    <w:basedOn w:val="Normal"/>
    <w:link w:val="CommentTextChar"/>
    <w:uiPriority w:val="99"/>
    <w:unhideWhenUsed/>
    <w:rsid w:val="006F47D2"/>
    <w:pPr>
      <w:spacing w:line="240" w:lineRule="auto"/>
    </w:pPr>
    <w:rPr>
      <w:sz w:val="20"/>
      <w:szCs w:val="20"/>
    </w:rPr>
  </w:style>
  <w:style w:type="character" w:styleId="CommentTextChar" w:customStyle="1">
    <w:name w:val="Comment Text Char"/>
    <w:basedOn w:val="DefaultParagraphFont"/>
    <w:link w:val="CommentText"/>
    <w:uiPriority w:val="99"/>
    <w:rsid w:val="006F47D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47D2"/>
    <w:rPr>
      <w:b/>
      <w:bCs/>
    </w:rPr>
  </w:style>
  <w:style w:type="character" w:styleId="CommentSubjectChar" w:customStyle="1">
    <w:name w:val="Comment Subject Char"/>
    <w:basedOn w:val="CommentTextChar"/>
    <w:link w:val="CommentSubject"/>
    <w:uiPriority w:val="99"/>
    <w:semiHidden/>
    <w:rsid w:val="006F47D2"/>
    <w:rPr>
      <w:rFonts w:ascii="Arial" w:hAnsi="Arial"/>
      <w:b/>
      <w:bCs/>
      <w:kern w:val="0"/>
      <w:sz w:val="20"/>
      <w:szCs w:val="20"/>
      <w14:ligatures w14:val="none"/>
    </w:rPr>
  </w:style>
  <w:style w:type="paragraph" w:styleId="Revision">
    <w:name w:val="Revision"/>
    <w:hidden/>
    <w:uiPriority w:val="99"/>
    <w:semiHidden/>
    <w:rsid w:val="005E4284"/>
    <w:pPr>
      <w:spacing w:after="0" w:line="240" w:lineRule="auto"/>
    </w:pPr>
    <w:rPr>
      <w:rFonts w:ascii="Arial" w:hAnsi="Arial"/>
      <w:kern w:val="0"/>
      <w:sz w:val="24"/>
      <w14:ligatures w14:val="none"/>
    </w:rPr>
  </w:style>
  <w:style w:type="character" w:styleId="Hyperlink">
    <w:name w:val="Hyperlink"/>
    <w:basedOn w:val="DefaultParagraphFont"/>
    <w:uiPriority w:val="99"/>
    <w:unhideWhenUsed/>
    <w:rsid w:val="0089251D"/>
    <w:rPr>
      <w:color w:val="0563C1" w:themeColor="hyperlink"/>
      <w:u w:val="single"/>
    </w:rPr>
  </w:style>
  <w:style w:type="character" w:styleId="UnresolvedMention">
    <w:name w:val="Unresolved Mention"/>
    <w:basedOn w:val="DefaultParagraphFont"/>
    <w:uiPriority w:val="99"/>
    <w:semiHidden/>
    <w:unhideWhenUsed/>
    <w:rsid w:val="0089251D"/>
    <w:rPr>
      <w:color w:val="605E5C"/>
      <w:shd w:val="clear" w:color="auto" w:fill="E1DFDD"/>
    </w:rPr>
  </w:style>
  <w:style w:type="character" w:styleId="Mention">
    <w:name w:val="Mention"/>
    <w:basedOn w:val="DefaultParagraphFont"/>
    <w:uiPriority w:val="99"/>
    <w:unhideWhenUsed/>
    <w:rsid w:val="00E965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3905D-CAFF-417A-B3E6-D36A753D08E5}">
  <ds:schemaRefs>
    <ds:schemaRef ds:uri="http://schemas.microsoft.com/office/2006/metadata/properties"/>
    <ds:schemaRef ds:uri="http://schemas.microsoft.com/office/infopath/2007/PartnerControls"/>
    <ds:schemaRef ds:uri="716c748f-0fed-49fb-b624-188d7c60e1d2"/>
    <ds:schemaRef ds:uri="12377d35-f4e6-4cc4-afb0-b3b3b391f8ab"/>
    <ds:schemaRef ds:uri="0eb656aa-4e79-4e95-9076-bc119a23e0cc"/>
    <ds:schemaRef ds:uri="465a54fe-435b-4423-8fe2-c9a3626b31f7"/>
  </ds:schemaRefs>
</ds:datastoreItem>
</file>

<file path=customXml/itemProps2.xml><?xml version="1.0" encoding="utf-8"?>
<ds:datastoreItem xmlns:ds="http://schemas.openxmlformats.org/officeDocument/2006/customXml" ds:itemID="{213F4F48-5ED1-41BC-BB65-B74E15D7D70D}">
  <ds:schemaRefs>
    <ds:schemaRef ds:uri="http://schemas.microsoft.com/sharepoint/v3/contenttype/forms"/>
  </ds:schemaRefs>
</ds:datastoreItem>
</file>

<file path=customXml/itemProps3.xml><?xml version="1.0" encoding="utf-8"?>
<ds:datastoreItem xmlns:ds="http://schemas.openxmlformats.org/officeDocument/2006/customXml" ds:itemID="{EC10411D-0F4F-405E-8AD2-E28326836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Eli Lilly and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6</revision>
  <dcterms:created xsi:type="dcterms:W3CDTF">2025-12-23T15:24:00.0000000Z</dcterms:created>
  <dcterms:modified xsi:type="dcterms:W3CDTF">2026-01-05T15:04:20.0817777Z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c69d85d5-6d9e-4305-a294-1f636ec0f2d6_Enabled">
    <vt:lpwstr>true</vt:lpwstr>
  </property>
  <property fmtid="{D5CDD505-2E9C-101B-9397-08002B2CF9AE}" pid="5" name="MSIP_Label_c69d85d5-6d9e-4305-a294-1f636ec0f2d6_SetDate">
    <vt:lpwstr>2025-12-23T15:24:17Z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331de738-8764-4a50-990b-ca86b9e4a430</vt:lpwstr>
  </property>
  <property fmtid="{D5CDD505-2E9C-101B-9397-08002B2CF9AE}" pid="10" name="MSIP_Label_c69d85d5-6d9e-4305-a294-1f636ec0f2d6_ContentBits">
    <vt:lpwstr>0</vt:lpwstr>
  </property>
  <property fmtid="{D5CDD505-2E9C-101B-9397-08002B2CF9AE}" pid="11" name="MSIP_Label_c69d85d5-6d9e-4305-a294-1f636ec0f2d6_Tag">
    <vt:lpwstr>10, 3, 0, 2</vt:lpwstr>
  </property>
</Properties>
</file>