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E3643C" w:rsidP="3FF54206" w:rsidRDefault="2D1A5C44" w14:paraId="010E6CB8" w14:textId="767E2987">
      <w:pPr>
        <w:rPr>
          <w:rFonts w:cs="Arial"/>
          <w:color w:val="auto"/>
          <w:highlight w:val="black"/>
        </w:rPr>
      </w:pPr>
      <w:r w:rsidRPr="1705E4A3" w:rsidR="2D1A5C44">
        <w:rPr>
          <w:rFonts w:cs="Arial"/>
        </w:rPr>
        <w:t>Sent by e-mail only:</w:t>
      </w:r>
      <w:r w:rsidRPr="1705E4A3" w:rsidR="00997787">
        <w:rPr>
          <w:rFonts w:cs="Arial"/>
        </w:rPr>
        <w:t xml:space="preserve"> </w:t>
      </w:r>
      <w:r w:rsidRPr="1705E4A3" w:rsidR="00997787">
        <w:rPr>
          <w:color w:val="auto"/>
          <w:highlight w:val="black"/>
        </w:rPr>
        <w:t>XXXXXXXXX</w:t>
      </w:r>
    </w:p>
    <w:p w:rsidRPr="0043022B" w:rsidR="0004302C" w:rsidP="3853BB4D" w:rsidRDefault="2D1A5C44" w14:paraId="52AF9A60" w14:textId="741206BB">
      <w:pPr>
        <w:rPr>
          <w:rFonts w:cs="Arial"/>
          <w:color w:val="auto"/>
          <w:highlight w:val="black"/>
        </w:rPr>
      </w:pPr>
      <w:r w:rsidRPr="1705E4A3" w:rsidR="2D1A5C44">
        <w:rPr>
          <w:rFonts w:cs="Arial"/>
        </w:rPr>
        <w:t xml:space="preserve">FAO </w:t>
      </w:r>
      <w:r w:rsidRPr="1705E4A3" w:rsidR="00997787">
        <w:rPr>
          <w:rFonts w:cs="Arial"/>
          <w:color w:val="auto"/>
          <w:highlight w:val="black"/>
        </w:rPr>
        <w:t>XXXXXX</w:t>
      </w:r>
    </w:p>
    <w:p w:rsidRPr="00997787" w:rsidR="00F214F6" w:rsidP="00F214F6" w:rsidRDefault="00F214F6" w14:paraId="79848D5F" w14:textId="77777777">
      <w:pPr>
        <w:spacing w:after="0"/>
        <w:rPr>
          <w:rFonts w:cs="Arial"/>
        </w:rPr>
      </w:pPr>
      <w:r w:rsidRPr="00997787">
        <w:rPr>
          <w:rFonts w:cs="Arial"/>
        </w:rPr>
        <w:t>Eli Lilly and Company Limited</w:t>
      </w:r>
      <w:r w:rsidRPr="00997787">
        <w:rPr>
          <w:rFonts w:cs="Arial"/>
        </w:rPr>
        <w:br/>
      </w:r>
      <w:r w:rsidRPr="00997787">
        <w:rPr>
          <w:rFonts w:cs="Arial"/>
        </w:rPr>
        <w:t xml:space="preserve">Lilly House, </w:t>
      </w:r>
    </w:p>
    <w:p w:rsidR="00F214F6" w:rsidP="00F214F6" w:rsidRDefault="00F214F6" w14:paraId="775A3CA3" w14:textId="77777777">
      <w:pPr>
        <w:spacing w:after="0"/>
        <w:rPr>
          <w:rFonts w:cs="Arial"/>
        </w:rPr>
      </w:pPr>
      <w:r w:rsidRPr="00F214F6">
        <w:rPr>
          <w:rFonts w:cs="Arial"/>
        </w:rPr>
        <w:t xml:space="preserve">Basing View, </w:t>
      </w:r>
    </w:p>
    <w:p w:rsidR="00F214F6" w:rsidP="00F214F6" w:rsidRDefault="00F214F6" w14:paraId="1E2B0E11" w14:textId="77777777">
      <w:pPr>
        <w:spacing w:after="0"/>
        <w:rPr>
          <w:rFonts w:cs="Arial"/>
        </w:rPr>
      </w:pPr>
      <w:r w:rsidRPr="00F214F6">
        <w:rPr>
          <w:rFonts w:cs="Arial"/>
        </w:rPr>
        <w:t xml:space="preserve">Basingstoke, </w:t>
      </w:r>
    </w:p>
    <w:p w:rsidR="00F214F6" w:rsidP="00F214F6" w:rsidRDefault="00F214F6" w14:paraId="233E1F04" w14:textId="77777777">
      <w:pPr>
        <w:spacing w:after="0"/>
        <w:rPr>
          <w:rFonts w:cs="Arial"/>
        </w:rPr>
      </w:pPr>
      <w:r w:rsidRPr="00F214F6">
        <w:rPr>
          <w:rFonts w:cs="Arial"/>
        </w:rPr>
        <w:t xml:space="preserve">Hampshire, </w:t>
      </w:r>
    </w:p>
    <w:p w:rsidRPr="0043022B" w:rsidR="0004302C" w:rsidP="3853BB4D" w:rsidRDefault="7C143920" w14:paraId="78445498" w14:textId="74C77771">
      <w:pPr>
        <w:spacing w:after="0"/>
        <w:rPr>
          <w:rFonts w:cs="Arial"/>
          <w:color w:val="auto"/>
        </w:rPr>
      </w:pPr>
      <w:r w:rsidRPr="3853BB4D">
        <w:rPr>
          <w:rFonts w:cs="Arial"/>
        </w:rPr>
        <w:t>RG21 4FA</w:t>
      </w:r>
    </w:p>
    <w:p w:rsidR="00407736" w:rsidP="0004302C" w:rsidRDefault="00407736" w14:paraId="264C034E" w14:textId="77777777">
      <w:pPr>
        <w:rPr>
          <w:rFonts w:cs="Arial"/>
        </w:rPr>
      </w:pPr>
    </w:p>
    <w:p w:rsidRPr="0043022B" w:rsidR="0004302C" w:rsidP="3FF54206" w:rsidRDefault="00DA3B73" w14:paraId="51088EB9" w14:textId="6E935C62">
      <w:pPr>
        <w:rPr>
          <w:rFonts w:cs="Arial"/>
        </w:rPr>
      </w:pPr>
      <w:r w:rsidRPr="3FF54206">
        <w:rPr>
          <w:rFonts w:cs="Arial"/>
        </w:rPr>
        <w:t>10 July 2025</w:t>
      </w:r>
    </w:p>
    <w:p w:rsidRPr="0043022B" w:rsidR="0004302C" w:rsidP="3FF54206" w:rsidRDefault="0004302C" w14:paraId="6392A75B" w14:textId="75413FB8">
      <w:pPr>
        <w:ind w:left="426" w:right="468" w:hanging="426"/>
        <w:jc w:val="both"/>
        <w:rPr>
          <w:rFonts w:cs="Arial"/>
          <w:noProof/>
          <w:highlight w:val="black"/>
        </w:rPr>
      </w:pPr>
      <w:bookmarkStart w:name="deartext" w:id="0"/>
      <w:r w:rsidRPr="1705E4A3" w:rsidR="0004302C">
        <w:rPr>
          <w:rFonts w:cs="Arial"/>
        </w:rPr>
        <w:t>Dear</w:t>
      </w:r>
      <w:bookmarkEnd w:id="0"/>
      <w:r w:rsidRPr="1705E4A3" w:rsidR="0004302C">
        <w:rPr>
          <w:rFonts w:cs="Arial"/>
        </w:rPr>
        <w:t xml:space="preserve"> </w:t>
      </w:r>
      <w:bookmarkStart w:name="Sal" w:id="1"/>
      <w:bookmarkEnd w:id="1"/>
      <w:r w:rsidRPr="1705E4A3" w:rsidR="00997787">
        <w:rPr>
          <w:rFonts w:cs="Arial"/>
          <w:color w:val="auto"/>
          <w:highlight w:val="black"/>
        </w:rPr>
        <w:t>XXXXXXXX</w:t>
      </w:r>
    </w:p>
    <w:p w:rsidRPr="0043022B" w:rsidR="0004302C" w:rsidP="0004302C" w:rsidRDefault="0004302C" w14:paraId="0C2B27E7" w14:textId="556070F2">
      <w:pPr>
        <w:ind w:left="426" w:right="468" w:hanging="426"/>
        <w:jc w:val="both"/>
        <w:rPr>
          <w:rFonts w:cs="Arial"/>
          <w:b/>
        </w:rPr>
      </w:pPr>
      <w:r w:rsidRPr="0043022B">
        <w:rPr>
          <w:rFonts w:cs="Arial"/>
          <w:noProof/>
          <w:lang w:eastAsia="en-GB"/>
        </w:rPr>
        <mc:AlternateContent>
          <mc:Choice Requires="wps">
            <w:drawing>
              <wp:anchor distT="4294967294" distB="4294967294" distL="114300" distR="114300" simplePos="0" relativeHeight="251658240" behindDoc="0" locked="0" layoutInCell="1" allowOverlap="1" wp14:anchorId="6EA67439" wp14:editId="02C5AE77">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07BB1594">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w14:anchorId="31E450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o:lock v:ext="edit" shapetype="f"/>
              </v:line>
            </w:pict>
          </mc:Fallback>
        </mc:AlternateContent>
      </w:r>
      <w:r w:rsidRPr="0043022B">
        <w:rPr>
          <w:rFonts w:cs="Arial"/>
          <w:b/>
          <w:spacing w:val="-3"/>
        </w:rPr>
        <w:t xml:space="preserve">Re: </w:t>
      </w:r>
      <w:r w:rsidRPr="0043022B">
        <w:rPr>
          <w:rFonts w:cs="Arial"/>
          <w:b/>
        </w:rPr>
        <w:t xml:space="preserve">Final </w:t>
      </w:r>
      <w:r w:rsidR="00DA3B73">
        <w:rPr>
          <w:rFonts w:cs="Arial"/>
          <w:b/>
        </w:rPr>
        <w:t>Draft Guidance for donanemab for treating mild cognitive impairment or mild dementia caused by Alzheimer's disease [ID6222]</w:t>
      </w:r>
    </w:p>
    <w:p w:rsidRPr="00DD7697" w:rsidR="00003026" w:rsidP="00413F89" w:rsidRDefault="000223BD" w14:paraId="7414DC3E" w14:textId="3022A0E3">
      <w:pPr>
        <w:jc w:val="both"/>
        <w:rPr>
          <w:rFonts w:cs="Arial"/>
          <w:color w:val="auto"/>
        </w:rPr>
      </w:pPr>
      <w:r w:rsidRPr="00DD7697">
        <w:rPr>
          <w:rFonts w:cs="Arial"/>
          <w:color w:val="auto"/>
        </w:rPr>
        <w:t xml:space="preserve">Thank you for your letter of </w:t>
      </w:r>
      <w:r w:rsidR="00E3643C">
        <w:rPr>
          <w:rFonts w:cs="Arial"/>
          <w:color w:val="auto"/>
        </w:rPr>
        <w:t>3 July 2025</w:t>
      </w:r>
      <w:r w:rsidRPr="00DD7697">
        <w:rPr>
          <w:rFonts w:cs="Arial"/>
          <w:color w:val="auto"/>
        </w:rPr>
        <w:t xml:space="preserve">, lodging </w:t>
      </w:r>
      <w:r w:rsidRPr="00DD7697" w:rsidR="00F4296D">
        <w:rPr>
          <w:rFonts w:cs="Arial"/>
          <w:color w:val="auto"/>
        </w:rPr>
        <w:t>an</w:t>
      </w:r>
      <w:r w:rsidRPr="00DD7697">
        <w:rPr>
          <w:rFonts w:cs="Arial"/>
          <w:color w:val="auto"/>
        </w:rPr>
        <w:t xml:space="preserve"> appeal against the above </w:t>
      </w:r>
      <w:r w:rsidR="00DA3B73">
        <w:rPr>
          <w:rFonts w:cs="Arial"/>
          <w:color w:val="auto"/>
        </w:rPr>
        <w:t>Final Draft Guidance ("</w:t>
      </w:r>
      <w:r w:rsidRPr="00DA3B73" w:rsidR="00DA3B73">
        <w:rPr>
          <w:rFonts w:cs="Arial"/>
          <w:b/>
          <w:bCs/>
          <w:color w:val="auto"/>
        </w:rPr>
        <w:t>FDG</w:t>
      </w:r>
      <w:r w:rsidR="00DA3B73">
        <w:rPr>
          <w:rFonts w:cs="Arial"/>
          <w:color w:val="auto"/>
        </w:rPr>
        <w:t>").</w:t>
      </w:r>
      <w:r w:rsidRPr="00DD7697">
        <w:rPr>
          <w:rFonts w:cs="Arial"/>
          <w:color w:val="auto"/>
        </w:rPr>
        <w:t xml:space="preserve"> </w:t>
      </w:r>
      <w:r w:rsidRPr="00DD7697" w:rsidR="00262058">
        <w:rPr>
          <w:rFonts w:cs="Arial"/>
          <w:color w:val="auto"/>
        </w:rPr>
        <w:t xml:space="preserve"> </w:t>
      </w:r>
    </w:p>
    <w:p w:rsidRPr="00DD7697" w:rsidR="00C70019" w:rsidP="00413F89" w:rsidRDefault="00C70019" w14:paraId="5F523C58" w14:textId="77777777">
      <w:pPr>
        <w:jc w:val="both"/>
        <w:rPr>
          <w:rFonts w:cs="Arial"/>
          <w:color w:val="auto"/>
        </w:rPr>
      </w:pPr>
      <w:r w:rsidRPr="00DD7697">
        <w:rPr>
          <w:rFonts w:cs="Arial"/>
          <w:color w:val="auto"/>
          <w:u w:val="single"/>
        </w:rPr>
        <w:t>Introduction</w:t>
      </w:r>
      <w:r w:rsidRPr="00DD7697">
        <w:rPr>
          <w:rFonts w:cs="Arial"/>
          <w:color w:val="auto"/>
        </w:rPr>
        <w:t xml:space="preserve"> </w:t>
      </w:r>
    </w:p>
    <w:p w:rsidRPr="00DD7697" w:rsidR="00C70019" w:rsidP="00413F89" w:rsidRDefault="00C70019" w14:paraId="70E1E5B1" w14:textId="2DBAE3FD">
      <w:pPr>
        <w:jc w:val="both"/>
        <w:rPr>
          <w:rFonts w:cs="Arial"/>
          <w:color w:val="auto"/>
        </w:rPr>
      </w:pPr>
      <w:r w:rsidRPr="00DD7697">
        <w:rPr>
          <w:rFonts w:cs="Arial"/>
          <w:color w:val="auto"/>
        </w:rPr>
        <w:t xml:space="preserve">The Institute's appeal procedures provide for an initial scrutiny of points that an appellant wishes to raise, to </w:t>
      </w:r>
      <w:r w:rsidRPr="00DD7697" w:rsidR="006B6C22">
        <w:rPr>
          <w:rFonts w:cs="Arial"/>
          <w:color w:val="auto"/>
        </w:rPr>
        <w:t>provide an initial view on whether</w:t>
      </w:r>
      <w:r w:rsidRPr="00DD7697">
        <w:rPr>
          <w:rFonts w:cs="Arial"/>
          <w:color w:val="auto"/>
        </w:rPr>
        <w:t xml:space="preserve"> they are within the permitted grounds of appeal ("valid")</w:t>
      </w:r>
      <w:r w:rsidRPr="00DD7697" w:rsidR="006B6C22">
        <w:rPr>
          <w:rFonts w:cs="Arial"/>
          <w:color w:val="auto"/>
        </w:rPr>
        <w:t xml:space="preserve"> and are at least arguable</w:t>
      </w:r>
      <w:r w:rsidRPr="00DD7697">
        <w:rPr>
          <w:rFonts w:cs="Arial"/>
          <w:color w:val="auto"/>
        </w:rPr>
        <w:t xml:space="preserve">. The permitted grounds of appeal are: </w:t>
      </w:r>
    </w:p>
    <w:p w:rsidRPr="00DD7697" w:rsidR="00C70019" w:rsidP="00413F89" w:rsidRDefault="00C70019" w14:paraId="25359C75" w14:textId="6AC4CAE2">
      <w:pPr>
        <w:numPr>
          <w:ilvl w:val="0"/>
          <w:numId w:val="2"/>
        </w:numPr>
        <w:shd w:val="clear" w:color="auto" w:fill="FFFFFF"/>
        <w:spacing w:before="240" w:after="240" w:line="240" w:lineRule="auto"/>
        <w:jc w:val="both"/>
        <w:rPr>
          <w:rFonts w:cs="Arial"/>
          <w:color w:val="auto"/>
        </w:rPr>
      </w:pPr>
      <w:r w:rsidRPr="00DD7697">
        <w:rPr>
          <w:rFonts w:cs="Arial"/>
          <w:color w:val="auto"/>
        </w:rPr>
        <w:t xml:space="preserve">1(a) NICE has failed to act fairly, </w:t>
      </w:r>
    </w:p>
    <w:p w:rsidRPr="00DD7697" w:rsidR="00C70019" w:rsidP="00413F89" w:rsidRDefault="00C70019" w14:paraId="14BFF060" w14:textId="784BA1DF">
      <w:pPr>
        <w:numPr>
          <w:ilvl w:val="0"/>
          <w:numId w:val="2"/>
        </w:numPr>
        <w:shd w:val="clear" w:color="auto" w:fill="FFFFFF"/>
        <w:spacing w:before="240" w:after="240" w:line="240" w:lineRule="auto"/>
        <w:jc w:val="both"/>
        <w:rPr>
          <w:rFonts w:cs="Arial"/>
          <w:color w:val="auto"/>
        </w:rPr>
      </w:pPr>
      <w:r w:rsidRPr="00DD7697">
        <w:rPr>
          <w:rFonts w:cs="Arial"/>
          <w:color w:val="auto"/>
        </w:rPr>
        <w:t>1(b) NICE has exceeded powers;</w:t>
      </w:r>
      <w:r w:rsidRPr="0071690D" w:rsidR="0071690D">
        <w:rPr>
          <w:rFonts w:cs="Arial"/>
          <w:color w:val="auto"/>
        </w:rPr>
        <w:t xml:space="preserve"> </w:t>
      </w:r>
      <w:r w:rsidRPr="00DD7697" w:rsidR="0071690D">
        <w:rPr>
          <w:rFonts w:cs="Arial"/>
          <w:color w:val="auto"/>
        </w:rPr>
        <w:t>or</w:t>
      </w:r>
    </w:p>
    <w:p w:rsidRPr="00DD7697" w:rsidR="00C70019" w:rsidP="00413F89" w:rsidRDefault="00C70019" w14:paraId="22754B60" w14:textId="77777777">
      <w:pPr>
        <w:numPr>
          <w:ilvl w:val="0"/>
          <w:numId w:val="2"/>
        </w:numPr>
        <w:shd w:val="clear" w:color="auto" w:fill="FFFFFF"/>
        <w:spacing w:before="240" w:after="240" w:line="240" w:lineRule="auto"/>
        <w:jc w:val="both"/>
        <w:rPr>
          <w:rFonts w:cs="Arial"/>
          <w:color w:val="auto"/>
        </w:rPr>
      </w:pPr>
      <w:r w:rsidRPr="00DD7697">
        <w:rPr>
          <w:rFonts w:cs="Arial"/>
          <w:color w:val="auto"/>
        </w:rPr>
        <w:t>(2) the recommendation is unreasonable in the light of the evidence submitted to NICE</w:t>
      </w:r>
      <w:r w:rsidRPr="00DD7697" w:rsidR="006347AD">
        <w:rPr>
          <w:rFonts w:cs="Arial"/>
          <w:color w:val="auto"/>
        </w:rPr>
        <w:t>.</w:t>
      </w:r>
    </w:p>
    <w:p w:rsidRPr="00DD7697" w:rsidR="00C70019" w:rsidP="00413F89" w:rsidRDefault="00C70019" w14:paraId="08D953B5" w14:textId="3E467E70">
      <w:pPr>
        <w:jc w:val="both"/>
        <w:rPr>
          <w:rFonts w:cs="Arial"/>
          <w:color w:val="auto"/>
        </w:rPr>
      </w:pPr>
      <w:r w:rsidRPr="00DD7697">
        <w:rPr>
          <w:rFonts w:cs="Arial"/>
          <w:color w:val="auto"/>
        </w:rPr>
        <w:t>This letter sets out my initial view of the points of appeal you have raised: principally whether they fall within any of the grounds of appeal, or whether further clarification is required of any point. Only if I am satisfied that your points contain the necessary information</w:t>
      </w:r>
      <w:r w:rsidRPr="00DD7697" w:rsidR="00F41597">
        <w:rPr>
          <w:rFonts w:cs="Arial"/>
          <w:color w:val="auto"/>
        </w:rPr>
        <w:t>, are arguable, and</w:t>
      </w:r>
      <w:r w:rsidRPr="00DD7697">
        <w:rPr>
          <w:rFonts w:cs="Arial"/>
          <w:color w:val="auto"/>
        </w:rPr>
        <w:t xml:space="preserve"> fall within any one of the grounds </w:t>
      </w:r>
      <w:r w:rsidR="0071690D">
        <w:rPr>
          <w:rFonts w:cs="Arial"/>
          <w:color w:val="auto"/>
        </w:rPr>
        <w:t xml:space="preserve">above </w:t>
      </w:r>
      <w:r w:rsidRPr="00DD7697">
        <w:rPr>
          <w:rFonts w:cs="Arial"/>
          <w:color w:val="auto"/>
        </w:rPr>
        <w:t xml:space="preserve">will your appeal be referred to the Appeal Panel. </w:t>
      </w:r>
    </w:p>
    <w:p w:rsidRPr="0087055A" w:rsidR="00500774" w:rsidP="00413F89" w:rsidRDefault="00C70019" w14:paraId="222A54ED" w14:textId="6B191578">
      <w:pPr>
        <w:jc w:val="both"/>
        <w:rPr>
          <w:rFonts w:cs="Arial"/>
          <w:color w:val="auto"/>
        </w:rPr>
      </w:pPr>
      <w:r w:rsidRPr="0087055A">
        <w:rPr>
          <w:rFonts w:cs="Arial"/>
          <w:color w:val="auto"/>
        </w:rPr>
        <w:t xml:space="preserve">You </w:t>
      </w:r>
      <w:proofErr w:type="gramStart"/>
      <w:r w:rsidRPr="0087055A">
        <w:rPr>
          <w:rFonts w:cs="Arial"/>
          <w:color w:val="auto"/>
        </w:rPr>
        <w:t>have the opportunity to</w:t>
      </w:r>
      <w:proofErr w:type="gramEnd"/>
      <w:r w:rsidRPr="0087055A">
        <w:rPr>
          <w:rFonts w:cs="Arial"/>
          <w:color w:val="auto"/>
        </w:rPr>
        <w:t xml:space="preserve"> comment on this letter </w:t>
      </w:r>
      <w:proofErr w:type="gramStart"/>
      <w:r w:rsidRPr="0087055A">
        <w:rPr>
          <w:rFonts w:cs="Arial"/>
          <w:color w:val="auto"/>
        </w:rPr>
        <w:t>in order to</w:t>
      </w:r>
      <w:proofErr w:type="gramEnd"/>
      <w:r w:rsidRPr="0087055A">
        <w:rPr>
          <w:rFonts w:cs="Arial"/>
          <w:color w:val="auto"/>
        </w:rPr>
        <w:t xml:space="preserve"> elaborate on or clarify any of the points raised before I make my final decision as to whether each appeal point should be referred on to the Appeal Panel. </w:t>
      </w:r>
      <w:r w:rsidRPr="0087055A" w:rsidR="00EA099F">
        <w:rPr>
          <w:rFonts w:cs="Arial"/>
          <w:color w:val="auto"/>
        </w:rPr>
        <w:t>Your r</w:t>
      </w:r>
      <w:r w:rsidRPr="0087055A" w:rsidR="00500774">
        <w:rPr>
          <w:rFonts w:cs="Arial"/>
          <w:color w:val="auto"/>
        </w:rPr>
        <w:t>esponse to this letter must not contain new points of appeal. Responses must deal only with requested clarifications, arguments or comments about my initial view</w:t>
      </w:r>
      <w:r w:rsidRPr="0087055A" w:rsidR="00EA099F">
        <w:rPr>
          <w:rFonts w:cs="Arial"/>
          <w:color w:val="auto"/>
        </w:rPr>
        <w:t>s</w:t>
      </w:r>
      <w:r w:rsidRPr="0087055A" w:rsidR="00500774">
        <w:rPr>
          <w:rFonts w:cs="Arial"/>
          <w:color w:val="auto"/>
        </w:rPr>
        <w:t xml:space="preserve">. </w:t>
      </w:r>
    </w:p>
    <w:p w:rsidRPr="00DD7697" w:rsidR="00C70019" w:rsidP="00413F89" w:rsidRDefault="00500774" w14:paraId="146CF237" w14:textId="4D08CD1B">
      <w:pPr>
        <w:jc w:val="both"/>
        <w:rPr>
          <w:rFonts w:cs="Arial"/>
          <w:color w:val="auto"/>
        </w:rPr>
      </w:pPr>
      <w:r w:rsidRPr="0087055A">
        <w:rPr>
          <w:rFonts w:cs="Arial"/>
          <w:color w:val="auto"/>
        </w:rPr>
        <w:t xml:space="preserve">Your response to this letter will usually be the last opportunity to elaborate or provide clarification to the appeal, unless you are specifically invited to submit material </w:t>
      </w:r>
      <w:proofErr w:type="gramStart"/>
      <w:r w:rsidRPr="0087055A">
        <w:rPr>
          <w:rFonts w:cs="Arial"/>
          <w:color w:val="auto"/>
        </w:rPr>
        <w:t>at a later date</w:t>
      </w:r>
      <w:proofErr w:type="gramEnd"/>
      <w:r w:rsidRPr="0087055A">
        <w:rPr>
          <w:rFonts w:cs="Arial"/>
          <w:color w:val="auto"/>
        </w:rPr>
        <w:t>. Any uninvited material submitted after your response to this letter will be rejected.</w:t>
      </w:r>
      <w:r>
        <w:rPr>
          <w:rFonts w:cs="Arial"/>
          <w:color w:val="auto"/>
        </w:rPr>
        <w:t xml:space="preserve"> </w:t>
      </w:r>
    </w:p>
    <w:p w:rsidRPr="00DD7697" w:rsidR="00C70019" w:rsidP="00413F89" w:rsidRDefault="00C70019" w14:paraId="3294E8F2" w14:textId="4347817F">
      <w:pPr>
        <w:jc w:val="both"/>
        <w:rPr>
          <w:rFonts w:cs="Arial"/>
          <w:color w:val="auto"/>
          <w:u w:val="single"/>
        </w:rPr>
      </w:pPr>
      <w:r w:rsidRPr="00DD7697">
        <w:rPr>
          <w:rFonts w:cs="Arial"/>
          <w:color w:val="auto"/>
          <w:u w:val="single"/>
        </w:rPr>
        <w:t>Initial View</w:t>
      </w:r>
    </w:p>
    <w:p w:rsidR="00262058" w:rsidP="00413F89" w:rsidRDefault="00BB43EC" w14:paraId="15B951E6" w14:textId="4A8D7BE4">
      <w:pPr>
        <w:jc w:val="both"/>
        <w:rPr>
          <w:rFonts w:cs="Arial"/>
          <w:color w:val="auto"/>
        </w:rPr>
      </w:pPr>
      <w:r w:rsidRPr="00DD7697">
        <w:rPr>
          <w:rFonts w:cs="Arial"/>
          <w:color w:val="auto"/>
        </w:rPr>
        <w:t>I</w:t>
      </w:r>
      <w:r w:rsidRPr="00DD7697" w:rsidR="00C70019">
        <w:rPr>
          <w:rFonts w:cs="Arial"/>
          <w:color w:val="auto"/>
        </w:rPr>
        <w:t xml:space="preserve"> assess each of your </w:t>
      </w:r>
      <w:r w:rsidRPr="00DD7697" w:rsidR="00B36320">
        <w:rPr>
          <w:rFonts w:cs="Arial"/>
          <w:color w:val="auto"/>
        </w:rPr>
        <w:t xml:space="preserve">points </w:t>
      </w:r>
      <w:r w:rsidRPr="00DD7697" w:rsidR="00C70019">
        <w:rPr>
          <w:rFonts w:cs="Arial"/>
          <w:color w:val="auto"/>
        </w:rPr>
        <w:t xml:space="preserve">in turn.  </w:t>
      </w:r>
    </w:p>
    <w:p w:rsidRPr="00961369" w:rsidR="00E87F1E" w:rsidP="00E87F1E" w:rsidRDefault="00E87F1E" w14:paraId="7ADCDE98" w14:textId="7501FC59">
      <w:pPr>
        <w:spacing w:before="120" w:after="0" w:line="240" w:lineRule="auto"/>
        <w:rPr>
          <w:rFonts w:cs="Arial"/>
          <w:b/>
          <w:i/>
          <w:lang w:eastAsia="en-GB"/>
        </w:rPr>
      </w:pPr>
      <w:r w:rsidRPr="00961369">
        <w:rPr>
          <w:rFonts w:cs="Arial"/>
          <w:b/>
          <w:i/>
          <w:lang w:eastAsia="en-GB"/>
        </w:rPr>
        <w:t>Ground 1(a): In making the assessment that preceded the recommendation, NICE has failed to act fairly</w:t>
      </w:r>
      <w:r w:rsidR="0071690D">
        <w:rPr>
          <w:rFonts w:cs="Arial"/>
          <w:b/>
          <w:i/>
          <w:lang w:eastAsia="en-GB"/>
        </w:rPr>
        <w:t>.</w:t>
      </w:r>
    </w:p>
    <w:p w:rsidR="00DA3B73" w:rsidP="007A7F07" w:rsidRDefault="00B62869" w14:paraId="2FABC75B" w14:textId="6C0BAA86">
      <w:pPr>
        <w:spacing w:before="240" w:after="240" w:line="276" w:lineRule="auto"/>
        <w:jc w:val="both"/>
        <w:rPr>
          <w:rFonts w:cs="Arial"/>
          <w:b/>
          <w:color w:val="auto"/>
          <w:u w:val="single"/>
        </w:rPr>
      </w:pPr>
      <w:r w:rsidRPr="00DD7697">
        <w:rPr>
          <w:rFonts w:cs="Arial"/>
          <w:b/>
          <w:color w:val="auto"/>
          <w:u w:val="single"/>
        </w:rPr>
        <w:t xml:space="preserve">Appeal </w:t>
      </w:r>
      <w:proofErr w:type="gramStart"/>
      <w:r w:rsidRPr="00DD7697">
        <w:rPr>
          <w:rFonts w:cs="Arial"/>
          <w:b/>
          <w:color w:val="auto"/>
          <w:u w:val="single"/>
        </w:rPr>
        <w:t>point</w:t>
      </w:r>
      <w:proofErr w:type="gramEnd"/>
      <w:r w:rsidRPr="00DD7697">
        <w:rPr>
          <w:rFonts w:cs="Arial"/>
          <w:b/>
          <w:color w:val="auto"/>
          <w:u w:val="single"/>
        </w:rPr>
        <w:t xml:space="preserve"> </w:t>
      </w:r>
      <w:r>
        <w:rPr>
          <w:rFonts w:cs="Arial"/>
          <w:b/>
          <w:color w:val="auto"/>
          <w:u w:val="single"/>
        </w:rPr>
        <w:t>1(a)</w:t>
      </w:r>
      <w:r w:rsidRPr="006F5822">
        <w:rPr>
          <w:rFonts w:cs="Arial"/>
          <w:b/>
          <w:color w:val="auto"/>
          <w:u w:val="single"/>
        </w:rPr>
        <w:t>.1</w:t>
      </w:r>
      <w:r w:rsidR="007A7F07">
        <w:rPr>
          <w:rFonts w:cs="Arial"/>
          <w:b/>
          <w:color w:val="auto"/>
          <w:u w:val="single"/>
        </w:rPr>
        <w:t xml:space="preserve">: </w:t>
      </w:r>
      <w:r w:rsidR="00DA3B73">
        <w:rPr>
          <w:rFonts w:cs="Arial"/>
          <w:b/>
          <w:color w:val="auto"/>
          <w:u w:val="single"/>
        </w:rPr>
        <w:t xml:space="preserve">The Committee's assessment of caregiver utilities is inadequately explained and inconsistent with NICE's Manual. </w:t>
      </w:r>
    </w:p>
    <w:p w:rsidR="00445001" w:rsidP="00445001" w:rsidRDefault="00445001" w14:paraId="33B56C38" w14:textId="24687FD7">
      <w:pPr>
        <w:pStyle w:val="BodyText"/>
        <w:jc w:val="both"/>
        <w:rPr>
          <w:rFonts w:cs="Arial"/>
          <w:color w:val="auto"/>
        </w:rPr>
      </w:pPr>
      <w:r>
        <w:rPr>
          <w:rFonts w:cs="Arial"/>
          <w:color w:val="auto"/>
        </w:rPr>
        <w:t xml:space="preserve">I consider there to be two parts to your </w:t>
      </w:r>
      <w:r w:rsidR="00C75521">
        <w:rPr>
          <w:rFonts w:cs="Arial"/>
          <w:color w:val="auto"/>
        </w:rPr>
        <w:t>a</w:t>
      </w:r>
      <w:r>
        <w:rPr>
          <w:rFonts w:cs="Arial"/>
          <w:color w:val="auto"/>
        </w:rPr>
        <w:t xml:space="preserve">ppeal </w:t>
      </w:r>
      <w:r w:rsidR="00C75521">
        <w:rPr>
          <w:rFonts w:cs="Arial"/>
          <w:color w:val="auto"/>
        </w:rPr>
        <w:t>p</w:t>
      </w:r>
      <w:r>
        <w:rPr>
          <w:rFonts w:cs="Arial"/>
          <w:color w:val="auto"/>
        </w:rPr>
        <w:t>oint 1(a)</w:t>
      </w:r>
      <w:r w:rsidR="0071690D">
        <w:rPr>
          <w:rFonts w:cs="Arial"/>
          <w:color w:val="auto"/>
        </w:rPr>
        <w:t>.</w:t>
      </w:r>
      <w:r>
        <w:rPr>
          <w:rFonts w:cs="Arial"/>
          <w:color w:val="auto"/>
        </w:rPr>
        <w:t xml:space="preserve">1, and I address them both in turn below. </w:t>
      </w:r>
    </w:p>
    <w:p w:rsidRPr="00017AB0" w:rsidR="00445001" w:rsidP="00445001" w:rsidRDefault="00445001" w14:paraId="4E79D72C" w14:textId="746C7E9D">
      <w:pPr>
        <w:pStyle w:val="BodyText"/>
        <w:numPr>
          <w:ilvl w:val="0"/>
          <w:numId w:val="35"/>
        </w:numPr>
        <w:jc w:val="both"/>
        <w:rPr>
          <w:rFonts w:cs="Arial"/>
          <w:b/>
          <w:bCs/>
          <w:color w:val="auto"/>
        </w:rPr>
      </w:pPr>
      <w:r w:rsidRPr="00017AB0">
        <w:rPr>
          <w:rFonts w:cs="Arial"/>
          <w:b/>
          <w:bCs/>
          <w:color w:val="auto"/>
        </w:rPr>
        <w:t xml:space="preserve">The distinction between </w:t>
      </w:r>
      <w:proofErr w:type="gramStart"/>
      <w:r w:rsidRPr="00017AB0">
        <w:rPr>
          <w:rFonts w:cs="Arial"/>
          <w:b/>
          <w:bCs/>
          <w:color w:val="auto"/>
        </w:rPr>
        <w:t>health related</w:t>
      </w:r>
      <w:proofErr w:type="gramEnd"/>
      <w:r w:rsidRPr="00017AB0">
        <w:rPr>
          <w:rFonts w:cs="Arial"/>
          <w:b/>
          <w:bCs/>
          <w:color w:val="auto"/>
        </w:rPr>
        <w:t xml:space="preserve"> quality of life and quality of life experienced by carers of persons with Alzheimer's Disease conflicts with definitions in the Manual and is inadequately explained</w:t>
      </w:r>
      <w:r w:rsidR="0071690D">
        <w:rPr>
          <w:rFonts w:cs="Arial"/>
          <w:b/>
          <w:bCs/>
          <w:color w:val="auto"/>
        </w:rPr>
        <w:t>.</w:t>
      </w:r>
    </w:p>
    <w:p w:rsidR="001A3D3F" w:rsidP="001A3D3F" w:rsidRDefault="001A3D3F" w14:paraId="75CEF05A" w14:textId="77777777">
      <w:pPr>
        <w:pStyle w:val="BodyText"/>
        <w:ind w:left="720"/>
        <w:jc w:val="both"/>
        <w:rPr>
          <w:rFonts w:cs="Arial"/>
          <w:color w:val="auto"/>
        </w:rPr>
      </w:pPr>
      <w:r>
        <w:rPr>
          <w:rFonts w:cs="Arial"/>
          <w:color w:val="auto"/>
        </w:rPr>
        <w:t>I understand the nub of this appeal point to be that, in your view:</w:t>
      </w:r>
    </w:p>
    <w:p w:rsidR="001A3D3F" w:rsidP="001A3D3F" w:rsidRDefault="001A3D3F" w14:paraId="1EE79094" w14:textId="3AF4EB1F">
      <w:pPr>
        <w:pStyle w:val="BodyText"/>
        <w:numPr>
          <w:ilvl w:val="0"/>
          <w:numId w:val="41"/>
        </w:numPr>
        <w:jc w:val="both"/>
        <w:rPr>
          <w:rFonts w:cs="Arial"/>
          <w:color w:val="auto"/>
        </w:rPr>
      </w:pPr>
      <w:r>
        <w:rPr>
          <w:rFonts w:cs="Arial"/>
          <w:color w:val="auto"/>
        </w:rPr>
        <w:t xml:space="preserve">the Committee has distinguished between </w:t>
      </w:r>
      <w:r w:rsidR="00926A44">
        <w:rPr>
          <w:rFonts w:cs="Arial"/>
          <w:color w:val="auto"/>
        </w:rPr>
        <w:t>quality of life ("</w:t>
      </w:r>
      <w:r w:rsidRPr="00926A44">
        <w:rPr>
          <w:rFonts w:cs="Arial"/>
          <w:b/>
          <w:bCs/>
          <w:color w:val="auto"/>
        </w:rPr>
        <w:t>QoL</w:t>
      </w:r>
      <w:r w:rsidR="00926A44">
        <w:rPr>
          <w:rFonts w:cs="Arial"/>
          <w:color w:val="auto"/>
        </w:rPr>
        <w:t>")</w:t>
      </w:r>
      <w:r>
        <w:rPr>
          <w:rFonts w:cs="Arial"/>
          <w:color w:val="auto"/>
        </w:rPr>
        <w:t xml:space="preserve"> on the one hand, and </w:t>
      </w:r>
      <w:r w:rsidR="00926A44">
        <w:rPr>
          <w:rFonts w:cs="Arial"/>
          <w:color w:val="auto"/>
        </w:rPr>
        <w:t>health-related quality of life ("</w:t>
      </w:r>
      <w:proofErr w:type="spellStart"/>
      <w:r w:rsidRPr="00926A44">
        <w:rPr>
          <w:rFonts w:cs="Arial"/>
          <w:b/>
          <w:bCs/>
          <w:color w:val="auto"/>
        </w:rPr>
        <w:t>HRQoL</w:t>
      </w:r>
      <w:proofErr w:type="spellEnd"/>
      <w:r w:rsidR="00926A44">
        <w:rPr>
          <w:rFonts w:cs="Arial"/>
          <w:color w:val="auto"/>
        </w:rPr>
        <w:t>")</w:t>
      </w:r>
      <w:r>
        <w:rPr>
          <w:rFonts w:cs="Arial"/>
          <w:color w:val="auto"/>
        </w:rPr>
        <w:t xml:space="preserve"> on the other, with the former incorporating a broader set of </w:t>
      </w:r>
      <w:proofErr w:type="gramStart"/>
      <w:r>
        <w:rPr>
          <w:rFonts w:cs="Arial"/>
          <w:color w:val="auto"/>
        </w:rPr>
        <w:t>measures;</w:t>
      </w:r>
      <w:proofErr w:type="gramEnd"/>
    </w:p>
    <w:p w:rsidR="001A3D3F" w:rsidP="001A3D3F" w:rsidRDefault="001A3D3F" w14:paraId="34A23630" w14:textId="0B554E47">
      <w:pPr>
        <w:pStyle w:val="BodyText"/>
        <w:numPr>
          <w:ilvl w:val="0"/>
          <w:numId w:val="41"/>
        </w:numPr>
        <w:jc w:val="both"/>
        <w:rPr>
          <w:rFonts w:cs="Arial"/>
          <w:color w:val="auto"/>
        </w:rPr>
      </w:pPr>
      <w:r>
        <w:rPr>
          <w:rFonts w:cs="Arial"/>
          <w:color w:val="auto"/>
        </w:rPr>
        <w:t xml:space="preserve">the Committee has disregarded those elements of QoL that are not directly related to </w:t>
      </w:r>
      <w:proofErr w:type="gramStart"/>
      <w:r>
        <w:rPr>
          <w:rFonts w:cs="Arial"/>
          <w:color w:val="auto"/>
        </w:rPr>
        <w:t>health;</w:t>
      </w:r>
      <w:proofErr w:type="gramEnd"/>
    </w:p>
    <w:p w:rsidR="001A3D3F" w:rsidP="001A3D3F" w:rsidRDefault="001A3D3F" w14:paraId="4E05A0A9" w14:textId="77777777">
      <w:pPr>
        <w:pStyle w:val="BodyText"/>
        <w:numPr>
          <w:ilvl w:val="0"/>
          <w:numId w:val="41"/>
        </w:numPr>
        <w:jc w:val="both"/>
        <w:rPr>
          <w:rFonts w:cs="Arial"/>
          <w:color w:val="auto"/>
        </w:rPr>
      </w:pPr>
      <w:r>
        <w:rPr>
          <w:rFonts w:cs="Arial"/>
          <w:color w:val="auto"/>
        </w:rPr>
        <w:t>this is unfair and does not align with former practice; and</w:t>
      </w:r>
    </w:p>
    <w:p w:rsidR="001A3D3F" w:rsidP="001A3D3F" w:rsidRDefault="001A3D3F" w14:paraId="48F14956" w14:textId="77777777">
      <w:pPr>
        <w:pStyle w:val="BodyText"/>
        <w:numPr>
          <w:ilvl w:val="0"/>
          <w:numId w:val="41"/>
        </w:numPr>
        <w:jc w:val="both"/>
        <w:rPr>
          <w:rFonts w:cs="Arial"/>
          <w:color w:val="auto"/>
        </w:rPr>
      </w:pPr>
      <w:r>
        <w:rPr>
          <w:rFonts w:cs="Arial"/>
          <w:color w:val="auto"/>
        </w:rPr>
        <w:t>it is unclear which elements of QoL have been disregarded.</w:t>
      </w:r>
    </w:p>
    <w:p w:rsidRPr="00926A44" w:rsidR="00926A44" w:rsidP="00926A44" w:rsidRDefault="00C75521" w14:paraId="38B10FC1" w14:textId="77777777">
      <w:pPr>
        <w:pStyle w:val="BodyText"/>
        <w:ind w:left="720"/>
        <w:jc w:val="both"/>
        <w:rPr>
          <w:rFonts w:cs="Arial"/>
          <w:b/>
          <w:bCs/>
          <w:color w:val="auto"/>
        </w:rPr>
      </w:pPr>
      <w:r>
        <w:rPr>
          <w:rFonts w:cs="Arial"/>
          <w:color w:val="auto"/>
        </w:rPr>
        <w:t>I</w:t>
      </w:r>
      <w:r w:rsidR="001A3D3F">
        <w:rPr>
          <w:rFonts w:cs="Arial"/>
          <w:color w:val="auto"/>
        </w:rPr>
        <w:t xml:space="preserve"> agree that this is an arguable appeal point and accordingly</w:t>
      </w:r>
      <w:r>
        <w:rPr>
          <w:rFonts w:cs="Arial"/>
          <w:color w:val="auto"/>
        </w:rPr>
        <w:t xml:space="preserve"> am minded </w:t>
      </w:r>
      <w:proofErr w:type="gramStart"/>
      <w:r>
        <w:rPr>
          <w:rFonts w:cs="Arial"/>
          <w:color w:val="auto"/>
        </w:rPr>
        <w:t>to refer</w:t>
      </w:r>
      <w:proofErr w:type="gramEnd"/>
      <w:r>
        <w:rPr>
          <w:rFonts w:cs="Arial"/>
          <w:color w:val="auto"/>
        </w:rPr>
        <w:t xml:space="preserve"> </w:t>
      </w:r>
      <w:r w:rsidR="001A3D3F">
        <w:rPr>
          <w:rFonts w:cs="Arial"/>
          <w:color w:val="auto"/>
        </w:rPr>
        <w:t>it</w:t>
      </w:r>
      <w:r>
        <w:rPr>
          <w:rFonts w:cs="Arial"/>
          <w:color w:val="auto"/>
        </w:rPr>
        <w:t xml:space="preserve"> to the Appeal Panel. </w:t>
      </w:r>
    </w:p>
    <w:p w:rsidRPr="00017AB0" w:rsidR="00445001" w:rsidP="00445001" w:rsidRDefault="00445001" w14:paraId="05CE3069" w14:textId="32E2B50E">
      <w:pPr>
        <w:pStyle w:val="BodyText"/>
        <w:numPr>
          <w:ilvl w:val="0"/>
          <w:numId w:val="35"/>
        </w:numPr>
        <w:jc w:val="both"/>
        <w:rPr>
          <w:rFonts w:cs="Arial"/>
          <w:b/>
          <w:bCs/>
          <w:color w:val="auto"/>
        </w:rPr>
      </w:pPr>
      <w:r w:rsidRPr="00017AB0">
        <w:rPr>
          <w:rFonts w:cs="Arial"/>
          <w:b/>
          <w:bCs/>
          <w:color w:val="auto"/>
        </w:rPr>
        <w:t xml:space="preserve">In making its decision, the Committee disregarded evidence that the EQ-5D is not sensitive enough to measure all relevant aspects of </w:t>
      </w:r>
      <w:proofErr w:type="spellStart"/>
      <w:r w:rsidR="0071690D">
        <w:rPr>
          <w:rFonts w:cs="Arial"/>
          <w:b/>
          <w:bCs/>
          <w:color w:val="auto"/>
        </w:rPr>
        <w:t>HRQoL</w:t>
      </w:r>
      <w:proofErr w:type="spellEnd"/>
      <w:r w:rsidRPr="00017AB0">
        <w:rPr>
          <w:rFonts w:cs="Arial"/>
          <w:b/>
          <w:bCs/>
          <w:color w:val="auto"/>
        </w:rPr>
        <w:t xml:space="preserve"> in carers of people with Alzheimer's Disease. </w:t>
      </w:r>
    </w:p>
    <w:p w:rsidR="00AE3C3D" w:rsidP="00017AB0" w:rsidRDefault="00C75521" w14:paraId="6F94B4E2" w14:textId="47340DA0">
      <w:pPr>
        <w:pStyle w:val="BodyText"/>
        <w:ind w:left="720"/>
        <w:jc w:val="both"/>
        <w:rPr>
          <w:rFonts w:cs="Arial"/>
          <w:color w:val="auto"/>
        </w:rPr>
      </w:pPr>
      <w:r>
        <w:rPr>
          <w:rFonts w:cs="Arial"/>
          <w:color w:val="auto"/>
        </w:rPr>
        <w:t xml:space="preserve">I am not currently minded </w:t>
      </w:r>
      <w:proofErr w:type="gramStart"/>
      <w:r>
        <w:rPr>
          <w:rFonts w:cs="Arial"/>
          <w:color w:val="auto"/>
        </w:rPr>
        <w:t>to refer</w:t>
      </w:r>
      <w:proofErr w:type="gramEnd"/>
      <w:r>
        <w:rPr>
          <w:rFonts w:cs="Arial"/>
          <w:color w:val="auto"/>
        </w:rPr>
        <w:t xml:space="preserve"> this appeal </w:t>
      </w:r>
      <w:proofErr w:type="gramStart"/>
      <w:r>
        <w:rPr>
          <w:rFonts w:cs="Arial"/>
          <w:color w:val="auto"/>
        </w:rPr>
        <w:t>point</w:t>
      </w:r>
      <w:proofErr w:type="gramEnd"/>
      <w:r>
        <w:rPr>
          <w:rFonts w:cs="Arial"/>
          <w:color w:val="auto"/>
        </w:rPr>
        <w:t xml:space="preserve"> to the Appeal Panel. </w:t>
      </w:r>
    </w:p>
    <w:p w:rsidR="00017AB0" w:rsidP="00AE3C3D" w:rsidRDefault="00C154D5" w14:paraId="111EAF78" w14:textId="01DB5DD7">
      <w:pPr>
        <w:pStyle w:val="BodyText"/>
        <w:ind w:left="720"/>
        <w:jc w:val="both"/>
        <w:rPr>
          <w:rFonts w:cs="Arial"/>
          <w:color w:val="auto"/>
        </w:rPr>
      </w:pPr>
      <w:r>
        <w:rPr>
          <w:rFonts w:cs="Arial"/>
          <w:color w:val="auto"/>
        </w:rPr>
        <w:t xml:space="preserve">The Manual is clear that, given the need for consistency across evaluations, the EQ-5D measurement method is </w:t>
      </w:r>
      <w:r w:rsidR="008F4D41">
        <w:rPr>
          <w:rFonts w:cs="Arial"/>
          <w:color w:val="auto"/>
        </w:rPr>
        <w:t xml:space="preserve">usually </w:t>
      </w:r>
      <w:r>
        <w:rPr>
          <w:rFonts w:cs="Arial"/>
          <w:color w:val="auto"/>
        </w:rPr>
        <w:t>preferred to measu</w:t>
      </w:r>
      <w:r w:rsidRPr="00926A44">
        <w:rPr>
          <w:rFonts w:cs="Arial"/>
          <w:color w:val="auto"/>
        </w:rPr>
        <w:t xml:space="preserve">re </w:t>
      </w:r>
      <w:proofErr w:type="spellStart"/>
      <w:r w:rsidRPr="00926A44" w:rsidR="00017AB0">
        <w:rPr>
          <w:rFonts w:cs="Arial"/>
          <w:color w:val="auto"/>
        </w:rPr>
        <w:t>HRQoL</w:t>
      </w:r>
      <w:proofErr w:type="spellEnd"/>
      <w:r>
        <w:rPr>
          <w:rFonts w:cs="Arial"/>
          <w:color w:val="auto"/>
        </w:rPr>
        <w:t xml:space="preserve"> in adults</w:t>
      </w:r>
      <w:r w:rsidR="00017AB0">
        <w:rPr>
          <w:rFonts w:cs="Arial"/>
          <w:color w:val="auto"/>
        </w:rPr>
        <w:t>. It provides (at section 4.3.10) that:</w:t>
      </w:r>
    </w:p>
    <w:p w:rsidR="00C154D5" w:rsidP="00017AB0" w:rsidRDefault="00017AB0" w14:paraId="1FB73323" w14:textId="70BCE62E">
      <w:pPr>
        <w:pStyle w:val="BodyText"/>
        <w:ind w:left="1440"/>
        <w:jc w:val="both"/>
        <w:rPr>
          <w:rFonts w:cs="Arial"/>
          <w:color w:val="auto"/>
        </w:rPr>
      </w:pPr>
      <w:r>
        <w:rPr>
          <w:rFonts w:cs="Arial"/>
          <w:color w:val="auto"/>
        </w:rPr>
        <w:t>"</w:t>
      </w:r>
      <w:r w:rsidR="00AC2FE8">
        <w:rPr>
          <w:rFonts w:cs="Arial"/>
          <w:i/>
          <w:iCs/>
          <w:color w:val="auto"/>
        </w:rPr>
        <w:t>I</w:t>
      </w:r>
      <w:r w:rsidRPr="00017AB0">
        <w:rPr>
          <w:rFonts w:cs="Arial"/>
          <w:i/>
          <w:iCs/>
          <w:color w:val="auto"/>
        </w:rPr>
        <w:t xml:space="preserve">n some circumstances the EQ-5D may not be the most appropriate measure. To make the case that the EQ-5D is inappropriate, provide qualitative empirical evidence on the lack of content validity for the EQ-5D, showing that key dimensions of health are missing. This should be supported by evidence that shows that EQ-5D performs poorly on tests of construct validity (that is, it </w:t>
      </w:r>
      <w:r w:rsidRPr="00AC2FE8">
        <w:rPr>
          <w:rFonts w:cs="Arial"/>
          <w:i/>
          <w:iCs/>
          <w:color w:val="auto"/>
        </w:rPr>
        <w:t xml:space="preserve">does not perform as would be expected) and responsiveness in a particular patient population. </w:t>
      </w:r>
      <w:r w:rsidRPr="000470BB">
        <w:rPr>
          <w:rFonts w:cs="Arial"/>
          <w:i/>
          <w:iCs/>
          <w:color w:val="auto"/>
          <w:u w:val="single"/>
        </w:rPr>
        <w:t xml:space="preserve">This evidence should be derived from </w:t>
      </w:r>
      <w:r w:rsidRPr="000470BB">
        <w:rPr>
          <w:rFonts w:cs="Arial"/>
          <w:i/>
          <w:iCs/>
          <w:color w:val="auto"/>
          <w:u w:val="single"/>
        </w:rPr>
        <w:t xml:space="preserve">a synthesis of peer-reviewed literature. In these circumstances alternative </w:t>
      </w:r>
      <w:proofErr w:type="spellStart"/>
      <w:r w:rsidRPr="000470BB">
        <w:rPr>
          <w:rFonts w:cs="Arial"/>
          <w:i/>
          <w:iCs/>
          <w:color w:val="auto"/>
          <w:u w:val="single"/>
        </w:rPr>
        <w:t>HRQoL</w:t>
      </w:r>
      <w:proofErr w:type="spellEnd"/>
      <w:r w:rsidRPr="000470BB">
        <w:rPr>
          <w:rFonts w:cs="Arial"/>
          <w:i/>
          <w:iCs/>
          <w:color w:val="auto"/>
          <w:u w:val="single"/>
        </w:rPr>
        <w:t xml:space="preserve"> measures may be used. These must be accompanied by a carefully detailed account of the methods used to generate data, their validity, and how these methods affect the utility values</w:t>
      </w:r>
      <w:r w:rsidRPr="00AC2FE8">
        <w:rPr>
          <w:rFonts w:cs="Arial"/>
          <w:color w:val="auto"/>
        </w:rPr>
        <w:t>"</w:t>
      </w:r>
      <w:r w:rsidR="000470BB">
        <w:rPr>
          <w:rFonts w:cs="Arial"/>
          <w:color w:val="auto"/>
        </w:rPr>
        <w:t xml:space="preserve"> (emphasis added)</w:t>
      </w:r>
      <w:r w:rsidRPr="00AC2FE8">
        <w:rPr>
          <w:rFonts w:cs="Arial"/>
          <w:color w:val="auto"/>
        </w:rPr>
        <w:t>.</w:t>
      </w:r>
      <w:r>
        <w:rPr>
          <w:rFonts w:cs="Arial"/>
          <w:color w:val="auto"/>
        </w:rPr>
        <w:t xml:space="preserve"> </w:t>
      </w:r>
    </w:p>
    <w:p w:rsidR="00017AB0" w:rsidP="00017AB0" w:rsidRDefault="00017AB0" w14:paraId="22974D8F" w14:textId="580678EC">
      <w:pPr>
        <w:pStyle w:val="BodyText"/>
        <w:ind w:left="720"/>
        <w:jc w:val="both"/>
        <w:rPr>
          <w:rFonts w:cs="Arial"/>
          <w:color w:val="auto"/>
        </w:rPr>
      </w:pPr>
      <w:r>
        <w:rPr>
          <w:rFonts w:cs="Arial"/>
          <w:color w:val="auto"/>
        </w:rPr>
        <w:t>At paragraph 3.19 of the FDG, the Committee note</w:t>
      </w:r>
      <w:r w:rsidR="008F4D41">
        <w:rPr>
          <w:rFonts w:cs="Arial"/>
          <w:color w:val="auto"/>
        </w:rPr>
        <w:t>s</w:t>
      </w:r>
      <w:r>
        <w:rPr>
          <w:rFonts w:cs="Arial"/>
          <w:color w:val="auto"/>
        </w:rPr>
        <w:t xml:space="preserve"> the following: </w:t>
      </w:r>
    </w:p>
    <w:p w:rsidRPr="00D67484" w:rsidR="00017AB0" w:rsidP="00D67484" w:rsidRDefault="00AC2FE8" w14:paraId="11EE592C" w14:textId="20B80650">
      <w:pPr>
        <w:pStyle w:val="BodyText"/>
        <w:ind w:left="1440"/>
        <w:jc w:val="both"/>
        <w:rPr>
          <w:rFonts w:cs="Arial"/>
          <w:i/>
          <w:iCs/>
          <w:color w:val="auto"/>
        </w:rPr>
      </w:pPr>
      <w:r>
        <w:rPr>
          <w:rFonts w:cs="Arial"/>
          <w:i/>
          <w:iCs/>
          <w:color w:val="auto"/>
        </w:rPr>
        <w:t>"</w:t>
      </w:r>
      <w:r w:rsidRPr="00D67484" w:rsidR="00017AB0">
        <w:rPr>
          <w:rFonts w:cs="Arial"/>
          <w:i/>
          <w:iCs/>
          <w:color w:val="auto"/>
        </w:rPr>
        <w:t>The Committee reiterated that it understood carers of people with Alzheimer's Disease can experience considerable burden including wide-ranging impacts on their quality of life. But it decided that it had not seen direct evidence of health-related quality of life</w:t>
      </w:r>
      <w:r w:rsidR="00EA0995">
        <w:rPr>
          <w:rFonts w:cs="Arial"/>
          <w:i/>
          <w:iCs/>
          <w:color w:val="auto"/>
        </w:rPr>
        <w:t xml:space="preserve"> </w:t>
      </w:r>
      <w:r w:rsidRPr="00D67484" w:rsidR="00017AB0">
        <w:rPr>
          <w:rFonts w:cs="Arial"/>
          <w:i/>
          <w:iCs/>
          <w:color w:val="auto"/>
        </w:rPr>
        <w:t>effects on care</w:t>
      </w:r>
      <w:r w:rsidR="00AE58A1">
        <w:rPr>
          <w:rFonts w:cs="Arial"/>
          <w:i/>
          <w:iCs/>
          <w:color w:val="auto"/>
        </w:rPr>
        <w:t>r</w:t>
      </w:r>
      <w:r w:rsidRPr="00D67484" w:rsidR="00017AB0">
        <w:rPr>
          <w:rFonts w:cs="Arial"/>
          <w:i/>
          <w:iCs/>
          <w:color w:val="auto"/>
        </w:rPr>
        <w:t>s that could not be captured by the EQ-5D measure</w:t>
      </w:r>
      <w:r>
        <w:rPr>
          <w:rFonts w:cs="Arial"/>
          <w:i/>
          <w:iCs/>
          <w:color w:val="auto"/>
        </w:rPr>
        <w:t>"</w:t>
      </w:r>
      <w:r w:rsidRPr="00D67484" w:rsidR="00017AB0">
        <w:rPr>
          <w:rFonts w:cs="Arial"/>
          <w:i/>
          <w:iCs/>
          <w:color w:val="auto"/>
        </w:rPr>
        <w:t xml:space="preserve">. </w:t>
      </w:r>
    </w:p>
    <w:p w:rsidR="00AC2FE8" w:rsidP="00D67484" w:rsidRDefault="003B1DD0" w14:paraId="7DF763A6" w14:textId="6F674E50">
      <w:pPr>
        <w:pStyle w:val="BodyText"/>
        <w:ind w:left="720"/>
        <w:jc w:val="both"/>
        <w:rPr>
          <w:rFonts w:cs="Arial"/>
          <w:color w:val="auto"/>
        </w:rPr>
      </w:pPr>
      <w:r>
        <w:rPr>
          <w:rFonts w:cs="Arial"/>
          <w:color w:val="auto"/>
        </w:rPr>
        <w:t>I consider that, on the face of the FDG (paragraph 3.19 in particular</w:t>
      </w:r>
      <w:r w:rsidR="00AC2FE8">
        <w:rPr>
          <w:rFonts w:cs="Arial"/>
          <w:color w:val="auto"/>
        </w:rPr>
        <w:t>)</w:t>
      </w:r>
      <w:r>
        <w:rPr>
          <w:rFonts w:cs="Arial"/>
          <w:color w:val="auto"/>
        </w:rPr>
        <w:t xml:space="preserve">, the Committee has taken </w:t>
      </w:r>
      <w:r w:rsidR="000470BB">
        <w:rPr>
          <w:rFonts w:cs="Arial"/>
          <w:color w:val="auto"/>
        </w:rPr>
        <w:t xml:space="preserve">the uncertainty </w:t>
      </w:r>
      <w:r>
        <w:rPr>
          <w:rFonts w:cs="Arial"/>
          <w:color w:val="auto"/>
        </w:rPr>
        <w:t xml:space="preserve">into consideration and explained its approach to the assessment of carer utility. It is evident that the Committee had in its mind </w:t>
      </w:r>
      <w:r w:rsidR="00AC2FE8">
        <w:rPr>
          <w:rFonts w:cs="Arial"/>
          <w:color w:val="auto"/>
        </w:rPr>
        <w:t xml:space="preserve">the </w:t>
      </w:r>
      <w:proofErr w:type="spellStart"/>
      <w:r w:rsidR="00AC2FE8">
        <w:rPr>
          <w:rFonts w:cs="Arial"/>
          <w:color w:val="auto"/>
        </w:rPr>
        <w:t>HRQoL</w:t>
      </w:r>
      <w:proofErr w:type="spellEnd"/>
      <w:r w:rsidR="00AC2FE8">
        <w:rPr>
          <w:rFonts w:cs="Arial"/>
          <w:color w:val="auto"/>
        </w:rPr>
        <w:t xml:space="preserve"> impacts which were not captured by the EQ-5D analysis (see for example by reference to uncaptured aspects at paragraph 3.28) in its decision making</w:t>
      </w:r>
      <w:r w:rsidR="006471E1">
        <w:rPr>
          <w:rFonts w:cs="Arial"/>
          <w:color w:val="auto"/>
        </w:rPr>
        <w:t xml:space="preserve">. The Committee appears to have considered the evidence received </w:t>
      </w:r>
      <w:r w:rsidRPr="006471E1" w:rsidR="006471E1">
        <w:rPr>
          <w:rFonts w:cs="Arial"/>
          <w:color w:val="auto"/>
        </w:rPr>
        <w:t xml:space="preserve">carefully, </w:t>
      </w:r>
      <w:r w:rsidR="006471E1">
        <w:rPr>
          <w:rFonts w:cs="Arial"/>
          <w:color w:val="auto"/>
        </w:rPr>
        <w:t xml:space="preserve">before </w:t>
      </w:r>
      <w:r w:rsidRPr="006471E1" w:rsidR="006471E1">
        <w:rPr>
          <w:rFonts w:cs="Arial"/>
          <w:color w:val="auto"/>
        </w:rPr>
        <w:t>preferr</w:t>
      </w:r>
      <w:r w:rsidR="006471E1">
        <w:rPr>
          <w:rFonts w:cs="Arial"/>
          <w:color w:val="auto"/>
        </w:rPr>
        <w:t>ing the</w:t>
      </w:r>
      <w:r w:rsidRPr="006471E1" w:rsidR="006471E1">
        <w:rPr>
          <w:rFonts w:cs="Arial"/>
          <w:color w:val="auto"/>
        </w:rPr>
        <w:t xml:space="preserve"> EAG approach</w:t>
      </w:r>
      <w:r w:rsidR="001A3D3F">
        <w:rPr>
          <w:rFonts w:cs="Arial"/>
          <w:color w:val="auto"/>
        </w:rPr>
        <w:t xml:space="preserve"> and concluding</w:t>
      </w:r>
      <w:r w:rsidRPr="006471E1" w:rsidR="006471E1">
        <w:rPr>
          <w:rFonts w:cs="Arial"/>
          <w:color w:val="auto"/>
        </w:rPr>
        <w:t xml:space="preserve"> that </w:t>
      </w:r>
      <w:r w:rsidR="006471E1">
        <w:rPr>
          <w:rFonts w:cs="Arial"/>
          <w:color w:val="auto"/>
        </w:rPr>
        <w:t xml:space="preserve">the </w:t>
      </w:r>
      <w:r w:rsidRPr="006471E1" w:rsidR="006471E1">
        <w:rPr>
          <w:rFonts w:cs="Arial"/>
          <w:color w:val="auto"/>
        </w:rPr>
        <w:t xml:space="preserve">case </w:t>
      </w:r>
      <w:r w:rsidR="006471E1">
        <w:rPr>
          <w:rFonts w:cs="Arial"/>
          <w:color w:val="auto"/>
        </w:rPr>
        <w:t xml:space="preserve">had </w:t>
      </w:r>
      <w:r w:rsidRPr="006471E1" w:rsidR="006471E1">
        <w:rPr>
          <w:rFonts w:cs="Arial"/>
          <w:color w:val="auto"/>
        </w:rPr>
        <w:t>not</w:t>
      </w:r>
      <w:r w:rsidR="006471E1">
        <w:rPr>
          <w:rFonts w:cs="Arial"/>
          <w:color w:val="auto"/>
        </w:rPr>
        <w:t xml:space="preserve"> been</w:t>
      </w:r>
      <w:r w:rsidRPr="006471E1" w:rsidR="006471E1">
        <w:rPr>
          <w:rFonts w:cs="Arial"/>
          <w:color w:val="auto"/>
        </w:rPr>
        <w:t xml:space="preserve"> made out to move away from EQ</w:t>
      </w:r>
      <w:r w:rsidR="0087055A">
        <w:rPr>
          <w:rFonts w:cs="Arial"/>
          <w:color w:val="auto"/>
        </w:rPr>
        <w:t>-</w:t>
      </w:r>
      <w:r w:rsidRPr="006471E1" w:rsidR="006471E1">
        <w:rPr>
          <w:rFonts w:cs="Arial"/>
          <w:color w:val="auto"/>
        </w:rPr>
        <w:t xml:space="preserve">5D. </w:t>
      </w:r>
      <w:proofErr w:type="gramStart"/>
      <w:r w:rsidR="002273AB">
        <w:rPr>
          <w:rFonts w:cs="Arial"/>
          <w:color w:val="auto"/>
        </w:rPr>
        <w:t>In light of</w:t>
      </w:r>
      <w:proofErr w:type="gramEnd"/>
      <w:r w:rsidR="002273AB">
        <w:rPr>
          <w:rFonts w:cs="Arial"/>
          <w:color w:val="auto"/>
        </w:rPr>
        <w:t xml:space="preserve"> the detailed consideration in the FDG and the wider committee papers, I do not consider it arguable that the Committee either </w:t>
      </w:r>
      <w:r w:rsidRPr="006471E1" w:rsidR="006471E1">
        <w:rPr>
          <w:rFonts w:cs="Arial"/>
          <w:color w:val="auto"/>
        </w:rPr>
        <w:t xml:space="preserve">didn’t understand the issue or didn’t </w:t>
      </w:r>
      <w:r w:rsidR="002273AB">
        <w:rPr>
          <w:rFonts w:cs="Arial"/>
          <w:color w:val="auto"/>
        </w:rPr>
        <w:t xml:space="preserve">consider the evidence before </w:t>
      </w:r>
      <w:r w:rsidR="001A3D3F">
        <w:rPr>
          <w:rFonts w:cs="Arial"/>
          <w:color w:val="auto"/>
        </w:rPr>
        <w:t>it</w:t>
      </w:r>
      <w:r w:rsidR="00AC2FE8">
        <w:rPr>
          <w:rFonts w:cs="Arial"/>
          <w:color w:val="auto"/>
        </w:rPr>
        <w:t>.</w:t>
      </w:r>
      <w:r>
        <w:rPr>
          <w:rFonts w:cs="Arial"/>
          <w:color w:val="auto"/>
        </w:rPr>
        <w:t xml:space="preserve"> </w:t>
      </w:r>
    </w:p>
    <w:p w:rsidRPr="00AE3C3D" w:rsidR="003B1DD0" w:rsidP="00D67484" w:rsidRDefault="003B1DD0" w14:paraId="7B14E67A" w14:textId="063A19AB">
      <w:pPr>
        <w:pStyle w:val="BodyText"/>
        <w:ind w:left="720"/>
        <w:jc w:val="both"/>
        <w:rPr>
          <w:rFonts w:cs="Arial"/>
          <w:color w:val="auto"/>
        </w:rPr>
      </w:pPr>
      <w:r>
        <w:rPr>
          <w:rFonts w:cs="Arial"/>
          <w:color w:val="auto"/>
        </w:rPr>
        <w:t xml:space="preserve">Consequently, I am not persuaded that it was procedurally unfair for the Committee to have preferred to use the EAG's source for carer utility values. </w:t>
      </w:r>
    </w:p>
    <w:p w:rsidR="00DA3B73" w:rsidP="00DA3B73" w:rsidRDefault="00DA3B73" w14:paraId="2DD80555" w14:textId="4E50A345">
      <w:pPr>
        <w:spacing w:before="240" w:after="240" w:line="276" w:lineRule="auto"/>
        <w:jc w:val="both"/>
        <w:rPr>
          <w:rFonts w:cs="Arial"/>
          <w:b/>
          <w:color w:val="auto"/>
          <w:u w:val="single"/>
        </w:rPr>
      </w:pPr>
      <w:r w:rsidRPr="00DD7697">
        <w:rPr>
          <w:rFonts w:cs="Arial"/>
          <w:b/>
          <w:color w:val="auto"/>
          <w:u w:val="single"/>
        </w:rPr>
        <w:t xml:space="preserve">Appeal </w:t>
      </w:r>
      <w:proofErr w:type="gramStart"/>
      <w:r w:rsidRPr="00DD7697">
        <w:rPr>
          <w:rFonts w:cs="Arial"/>
          <w:b/>
          <w:color w:val="auto"/>
          <w:u w:val="single"/>
        </w:rPr>
        <w:t>point</w:t>
      </w:r>
      <w:proofErr w:type="gramEnd"/>
      <w:r w:rsidRPr="00DD7697">
        <w:rPr>
          <w:rFonts w:cs="Arial"/>
          <w:b/>
          <w:color w:val="auto"/>
          <w:u w:val="single"/>
        </w:rPr>
        <w:t xml:space="preserve"> </w:t>
      </w:r>
      <w:r>
        <w:rPr>
          <w:rFonts w:cs="Arial"/>
          <w:b/>
          <w:color w:val="auto"/>
          <w:u w:val="single"/>
        </w:rPr>
        <w:t>1(a)</w:t>
      </w:r>
      <w:r w:rsidRPr="006F5822">
        <w:rPr>
          <w:rFonts w:cs="Arial"/>
          <w:b/>
          <w:color w:val="auto"/>
          <w:u w:val="single"/>
        </w:rPr>
        <w:t>.</w:t>
      </w:r>
      <w:r>
        <w:rPr>
          <w:rFonts w:cs="Arial"/>
          <w:b/>
          <w:color w:val="auto"/>
          <w:u w:val="single"/>
        </w:rPr>
        <w:t xml:space="preserve">2: The infusion costs relied upon by the Committee lack transparency and have not been subject to adequate consultation. </w:t>
      </w:r>
    </w:p>
    <w:p w:rsidR="00AC2FE8" w:rsidP="00DA3B73" w:rsidRDefault="00DA3B73" w14:paraId="6CACCA5B" w14:textId="4F6C261E">
      <w:pPr>
        <w:pStyle w:val="BodyText"/>
        <w:jc w:val="both"/>
        <w:rPr>
          <w:rFonts w:cs="Arial"/>
          <w:color w:val="auto"/>
        </w:rPr>
      </w:pPr>
      <w:r w:rsidRPr="00DD7697">
        <w:rPr>
          <w:rFonts w:cs="Arial"/>
          <w:color w:val="auto"/>
        </w:rPr>
        <w:t>I</w:t>
      </w:r>
      <w:r w:rsidR="00AC2FE8">
        <w:rPr>
          <w:rFonts w:cs="Arial"/>
          <w:color w:val="auto"/>
        </w:rPr>
        <w:t xml:space="preserve"> understand your appeal point 1(a)</w:t>
      </w:r>
      <w:r w:rsidR="00D251E6">
        <w:rPr>
          <w:rFonts w:cs="Arial"/>
          <w:color w:val="auto"/>
        </w:rPr>
        <w:t>.</w:t>
      </w:r>
      <w:r w:rsidR="00AC2FE8">
        <w:rPr>
          <w:rFonts w:cs="Arial"/>
          <w:color w:val="auto"/>
        </w:rPr>
        <w:t>2 to be two-fold</w:t>
      </w:r>
      <w:r w:rsidR="006F0230">
        <w:rPr>
          <w:rFonts w:cs="Arial"/>
          <w:color w:val="auto"/>
        </w:rPr>
        <w:t>. F</w:t>
      </w:r>
      <w:r w:rsidR="00AC2FE8">
        <w:rPr>
          <w:rFonts w:cs="Arial"/>
          <w:color w:val="auto"/>
        </w:rPr>
        <w:t xml:space="preserve">irst that NHS England's estimated infusion costs lack transparency, and second, that in any event there was </w:t>
      </w:r>
      <w:r w:rsidR="006F0230">
        <w:rPr>
          <w:rFonts w:cs="Arial"/>
          <w:color w:val="auto"/>
        </w:rPr>
        <w:t>no</w:t>
      </w:r>
      <w:r w:rsidR="00AC2FE8">
        <w:rPr>
          <w:rFonts w:cs="Arial"/>
          <w:color w:val="auto"/>
        </w:rPr>
        <w:t xml:space="preserve"> adequate opportunity to review or comment on the estimated infusion costs as they were disclosed to the Company </w:t>
      </w:r>
      <w:r w:rsidR="000470BB">
        <w:rPr>
          <w:rFonts w:cs="Arial"/>
          <w:color w:val="auto"/>
        </w:rPr>
        <w:t>four</w:t>
      </w:r>
      <w:r w:rsidR="00AC2FE8">
        <w:rPr>
          <w:rFonts w:cs="Arial"/>
          <w:color w:val="auto"/>
        </w:rPr>
        <w:t xml:space="preserve"> working days before the third committee meeting. </w:t>
      </w:r>
    </w:p>
    <w:p w:rsidR="005B160A" w:rsidP="00DA3B73" w:rsidRDefault="006F0230" w14:paraId="7EBA35E7" w14:textId="0D76D95B">
      <w:pPr>
        <w:pStyle w:val="BodyText"/>
        <w:jc w:val="both"/>
        <w:rPr>
          <w:rFonts w:cs="Arial"/>
          <w:color w:val="auto"/>
        </w:rPr>
      </w:pPr>
      <w:r>
        <w:rPr>
          <w:rFonts w:cs="Arial"/>
          <w:color w:val="auto"/>
        </w:rPr>
        <w:t xml:space="preserve">In respect of the first, </w:t>
      </w:r>
      <w:r w:rsidR="005B160A">
        <w:rPr>
          <w:rFonts w:cs="Arial"/>
          <w:color w:val="auto"/>
        </w:rPr>
        <w:t xml:space="preserve">the 'lack of transparency' asserted is NHS England's, rather than NICE's, and I note that you have not sought to appeal on the basis that it was unreasonable for the Committee to accept NHS England's estimated infusion costs. </w:t>
      </w:r>
      <w:proofErr w:type="gramStart"/>
      <w:r w:rsidR="005B160A">
        <w:rPr>
          <w:rFonts w:cs="Arial"/>
          <w:color w:val="auto"/>
        </w:rPr>
        <w:t>In order for</w:t>
      </w:r>
      <w:proofErr w:type="gramEnd"/>
      <w:r w:rsidR="005B160A">
        <w:rPr>
          <w:rFonts w:cs="Arial"/>
          <w:color w:val="auto"/>
        </w:rPr>
        <w:t xml:space="preserve"> this ground to be arguable </w:t>
      </w:r>
      <w:proofErr w:type="spellStart"/>
      <w:r w:rsidR="005B160A">
        <w:rPr>
          <w:rFonts w:cs="Arial"/>
          <w:color w:val="auto"/>
        </w:rPr>
        <w:t>under ground</w:t>
      </w:r>
      <w:proofErr w:type="spellEnd"/>
      <w:r w:rsidR="005B160A">
        <w:rPr>
          <w:rFonts w:cs="Arial"/>
          <w:color w:val="auto"/>
        </w:rPr>
        <w:t xml:space="preserve"> 1, I consider that there would have to be an arguable case that the Committee departed from the Manual or otherwise acted unfairly in accepting the NHS England estimate, e.g. by holding NHS England to a lower standard than is prescribed.</w:t>
      </w:r>
    </w:p>
    <w:p w:rsidR="005B160A" w:rsidP="00DA3B73" w:rsidRDefault="005B160A" w14:paraId="7848CCD8" w14:textId="6DC066D4">
      <w:pPr>
        <w:pStyle w:val="BodyText"/>
        <w:jc w:val="both"/>
        <w:rPr>
          <w:rFonts w:cs="Arial"/>
          <w:color w:val="auto"/>
        </w:rPr>
      </w:pPr>
      <w:r>
        <w:rPr>
          <w:rFonts w:cs="Arial"/>
          <w:color w:val="auto"/>
        </w:rPr>
        <w:t xml:space="preserve">I have not seen any evidence that that is the case, and accordingly, am not minded </w:t>
      </w:r>
      <w:proofErr w:type="gramStart"/>
      <w:r>
        <w:rPr>
          <w:rFonts w:cs="Arial"/>
          <w:color w:val="auto"/>
        </w:rPr>
        <w:t>to refer</w:t>
      </w:r>
      <w:proofErr w:type="gramEnd"/>
      <w:r>
        <w:rPr>
          <w:rFonts w:cs="Arial"/>
          <w:color w:val="auto"/>
        </w:rPr>
        <w:t xml:space="preserve"> this element of appeal </w:t>
      </w:r>
      <w:proofErr w:type="gramStart"/>
      <w:r>
        <w:rPr>
          <w:rFonts w:cs="Arial"/>
          <w:color w:val="auto"/>
        </w:rPr>
        <w:t>point</w:t>
      </w:r>
      <w:proofErr w:type="gramEnd"/>
      <w:r>
        <w:rPr>
          <w:rFonts w:cs="Arial"/>
          <w:color w:val="auto"/>
        </w:rPr>
        <w:t xml:space="preserve"> 1(a).2 to the Appeal Panel. </w:t>
      </w:r>
    </w:p>
    <w:p w:rsidRPr="0006534F" w:rsidR="00BD7795" w:rsidP="00DA3B73" w:rsidRDefault="0006534F" w14:paraId="2D920302" w14:textId="237D3C78">
      <w:pPr>
        <w:pStyle w:val="BodyText"/>
        <w:jc w:val="both"/>
        <w:rPr>
          <w:rFonts w:cs="Arial"/>
          <w:color w:val="auto"/>
        </w:rPr>
      </w:pPr>
      <w:r>
        <w:rPr>
          <w:rFonts w:cs="Arial"/>
          <w:color w:val="auto"/>
        </w:rPr>
        <w:t xml:space="preserve">As to the </w:t>
      </w:r>
      <w:r w:rsidR="005B160A">
        <w:rPr>
          <w:rFonts w:cs="Arial"/>
          <w:color w:val="auto"/>
        </w:rPr>
        <w:t>short period between the provision of</w:t>
      </w:r>
      <w:r>
        <w:rPr>
          <w:rFonts w:cs="Arial"/>
          <w:color w:val="auto"/>
        </w:rPr>
        <w:t xml:space="preserve"> the "</w:t>
      </w:r>
      <w:r>
        <w:rPr>
          <w:rFonts w:cs="Arial"/>
          <w:i/>
          <w:iCs/>
          <w:color w:val="auto"/>
        </w:rPr>
        <w:t>Infusion Cost Estimates"</w:t>
      </w:r>
      <w:r w:rsidR="005B160A">
        <w:rPr>
          <w:rFonts w:cs="Arial"/>
          <w:color w:val="auto"/>
        </w:rPr>
        <w:t xml:space="preserve"> and ACM3</w:t>
      </w:r>
      <w:r>
        <w:rPr>
          <w:rFonts w:cs="Arial"/>
          <w:i/>
          <w:iCs/>
          <w:color w:val="auto"/>
        </w:rPr>
        <w:t xml:space="preserve">, </w:t>
      </w:r>
      <w:r>
        <w:rPr>
          <w:rFonts w:cs="Arial"/>
          <w:color w:val="auto"/>
        </w:rPr>
        <w:t xml:space="preserve">I am </w:t>
      </w:r>
      <w:r w:rsidR="005B160A">
        <w:rPr>
          <w:rFonts w:cs="Arial"/>
          <w:color w:val="auto"/>
        </w:rPr>
        <w:t xml:space="preserve">not </w:t>
      </w:r>
      <w:r>
        <w:rPr>
          <w:rFonts w:cs="Arial"/>
          <w:color w:val="auto"/>
        </w:rPr>
        <w:t xml:space="preserve">provisionally minded </w:t>
      </w:r>
      <w:proofErr w:type="gramStart"/>
      <w:r>
        <w:rPr>
          <w:rFonts w:cs="Arial"/>
          <w:color w:val="auto"/>
        </w:rPr>
        <w:t>to refer</w:t>
      </w:r>
      <w:proofErr w:type="gramEnd"/>
      <w:r>
        <w:rPr>
          <w:rFonts w:cs="Arial"/>
          <w:color w:val="auto"/>
        </w:rPr>
        <w:t xml:space="preserve"> this appeal point to the Appeal Panel.</w:t>
      </w:r>
      <w:r w:rsidR="005B160A">
        <w:rPr>
          <w:rFonts w:cs="Arial"/>
          <w:color w:val="auto"/>
        </w:rPr>
        <w:t xml:space="preserve"> I appreciate that </w:t>
      </w:r>
      <w:r w:rsidR="00B53800">
        <w:rPr>
          <w:rFonts w:cs="Arial"/>
          <w:color w:val="auto"/>
        </w:rPr>
        <w:t>four days in these circumstances is a very tight turnaround and that the point is an important one in the context of the evaluation.</w:t>
      </w:r>
      <w:r w:rsidR="001A3D3F">
        <w:rPr>
          <w:rFonts w:cs="Arial"/>
          <w:color w:val="auto"/>
        </w:rPr>
        <w:t xml:space="preserve"> I am reminded, however, of the difficult balance that a </w:t>
      </w:r>
      <w:proofErr w:type="gramStart"/>
      <w:r w:rsidR="001A3D3F">
        <w:rPr>
          <w:rFonts w:cs="Arial"/>
          <w:color w:val="auto"/>
        </w:rPr>
        <w:t>Committee</w:t>
      </w:r>
      <w:proofErr w:type="gramEnd"/>
      <w:r w:rsidR="001A3D3F">
        <w:rPr>
          <w:rFonts w:cs="Arial"/>
          <w:color w:val="auto"/>
        </w:rPr>
        <w:t xml:space="preserve"> needs to maintain to ensure stakeholders have a fair opportunity to participate whilst also ensuring the evaluation proceeds expeditiously, and that it is inevitably the case that at time, </w:t>
      </w:r>
      <w:r w:rsidR="00F66B28">
        <w:rPr>
          <w:rFonts w:cs="Arial"/>
          <w:color w:val="auto"/>
        </w:rPr>
        <w:t xml:space="preserve">both the Committee and the Company </w:t>
      </w:r>
      <w:proofErr w:type="gramStart"/>
      <w:r w:rsidR="00F66B28">
        <w:rPr>
          <w:rFonts w:cs="Arial"/>
          <w:color w:val="auto"/>
        </w:rPr>
        <w:t>have to</w:t>
      </w:r>
      <w:proofErr w:type="gramEnd"/>
      <w:r w:rsidR="00F66B28">
        <w:rPr>
          <w:rFonts w:cs="Arial"/>
          <w:color w:val="auto"/>
        </w:rPr>
        <w:t xml:space="preserve"> be prepared to respond very promptly to developing evidence</w:t>
      </w:r>
      <w:r w:rsidR="001A3D3F">
        <w:rPr>
          <w:rFonts w:cs="Arial"/>
          <w:color w:val="auto"/>
        </w:rPr>
        <w:t>.</w:t>
      </w:r>
      <w:r w:rsidR="00B53800">
        <w:rPr>
          <w:rFonts w:cs="Arial"/>
          <w:color w:val="auto"/>
        </w:rPr>
        <w:t xml:space="preserve"> I</w:t>
      </w:r>
      <w:r w:rsidR="00F66B28">
        <w:rPr>
          <w:rFonts w:cs="Arial"/>
          <w:color w:val="auto"/>
        </w:rPr>
        <w:t xml:space="preserve">n this case, </w:t>
      </w:r>
      <w:r w:rsidR="00B53800">
        <w:rPr>
          <w:rFonts w:cs="Arial"/>
          <w:color w:val="auto"/>
        </w:rPr>
        <w:t xml:space="preserve">I am not currently </w:t>
      </w:r>
      <w:r w:rsidR="00B53800">
        <w:rPr>
          <w:rFonts w:cs="Arial"/>
          <w:color w:val="auto"/>
        </w:rPr>
        <w:t xml:space="preserve">persuaded that </w:t>
      </w:r>
      <w:r>
        <w:rPr>
          <w:rFonts w:cs="Arial"/>
          <w:color w:val="auto"/>
        </w:rPr>
        <w:t xml:space="preserve">the Company </w:t>
      </w:r>
      <w:r w:rsidR="00B53800">
        <w:rPr>
          <w:rFonts w:cs="Arial"/>
          <w:color w:val="auto"/>
        </w:rPr>
        <w:t>suffered any</w:t>
      </w:r>
      <w:r>
        <w:rPr>
          <w:rFonts w:cs="Arial"/>
          <w:color w:val="auto"/>
        </w:rPr>
        <w:t xml:space="preserve"> </w:t>
      </w:r>
      <w:proofErr w:type="gramStart"/>
      <w:r>
        <w:rPr>
          <w:rFonts w:cs="Arial"/>
          <w:color w:val="auto"/>
        </w:rPr>
        <w:t>particular disadvantage</w:t>
      </w:r>
      <w:proofErr w:type="gramEnd"/>
      <w:r w:rsidR="00B53800">
        <w:rPr>
          <w:rFonts w:cs="Arial"/>
          <w:color w:val="auto"/>
        </w:rPr>
        <w:t xml:space="preserve">. If you are minded </w:t>
      </w:r>
      <w:proofErr w:type="gramStart"/>
      <w:r w:rsidR="00B53800">
        <w:rPr>
          <w:rFonts w:cs="Arial"/>
          <w:color w:val="auto"/>
        </w:rPr>
        <w:t>to pursue</w:t>
      </w:r>
      <w:proofErr w:type="gramEnd"/>
      <w:r w:rsidR="00B53800">
        <w:rPr>
          <w:rFonts w:cs="Arial"/>
          <w:color w:val="auto"/>
        </w:rPr>
        <w:t xml:space="preserve"> this appeal </w:t>
      </w:r>
      <w:proofErr w:type="gramStart"/>
      <w:r w:rsidR="00B53800">
        <w:rPr>
          <w:rFonts w:cs="Arial"/>
          <w:color w:val="auto"/>
        </w:rPr>
        <w:t>point</w:t>
      </w:r>
      <w:proofErr w:type="gramEnd"/>
      <w:r w:rsidR="00B53800">
        <w:rPr>
          <w:rFonts w:cs="Arial"/>
          <w:color w:val="auto"/>
        </w:rPr>
        <w:t xml:space="preserve"> at final scrutiny, I would invite you to provide further details of any disadvantage</w:t>
      </w:r>
      <w:r>
        <w:rPr>
          <w:rFonts w:cs="Arial"/>
          <w:color w:val="auto"/>
        </w:rPr>
        <w:t xml:space="preserve">, and </w:t>
      </w:r>
      <w:r w:rsidR="00B53800">
        <w:rPr>
          <w:rFonts w:cs="Arial"/>
          <w:color w:val="auto"/>
        </w:rPr>
        <w:t>of</w:t>
      </w:r>
      <w:r>
        <w:rPr>
          <w:rFonts w:cs="Arial"/>
          <w:color w:val="auto"/>
        </w:rPr>
        <w:t xml:space="preserve"> additional information </w:t>
      </w:r>
      <w:r w:rsidR="00B53800">
        <w:rPr>
          <w:rFonts w:cs="Arial"/>
          <w:color w:val="auto"/>
        </w:rPr>
        <w:t>the Company</w:t>
      </w:r>
      <w:r>
        <w:rPr>
          <w:rFonts w:cs="Arial"/>
          <w:color w:val="auto"/>
        </w:rPr>
        <w:t xml:space="preserve"> would have submitted had there been more time.</w:t>
      </w:r>
    </w:p>
    <w:p w:rsidR="00DA3B73" w:rsidP="00DA3B73" w:rsidRDefault="00DA3B73" w14:paraId="72C30982" w14:textId="6A112D81">
      <w:pPr>
        <w:spacing w:before="240" w:after="240" w:line="276" w:lineRule="auto"/>
        <w:jc w:val="both"/>
        <w:rPr>
          <w:rFonts w:cs="Arial"/>
          <w:b/>
          <w:color w:val="auto"/>
          <w:u w:val="single"/>
        </w:rPr>
      </w:pPr>
      <w:r w:rsidRPr="00B26CD7">
        <w:rPr>
          <w:rFonts w:cs="Arial"/>
          <w:b/>
          <w:color w:val="auto"/>
          <w:u w:val="single"/>
        </w:rPr>
        <w:t xml:space="preserve">Appeal </w:t>
      </w:r>
      <w:proofErr w:type="gramStart"/>
      <w:r w:rsidRPr="00B26CD7">
        <w:rPr>
          <w:rFonts w:cs="Arial"/>
          <w:b/>
          <w:color w:val="auto"/>
          <w:u w:val="single"/>
        </w:rPr>
        <w:t>point</w:t>
      </w:r>
      <w:proofErr w:type="gramEnd"/>
      <w:r w:rsidRPr="00B26CD7">
        <w:rPr>
          <w:rFonts w:cs="Arial"/>
          <w:b/>
          <w:color w:val="auto"/>
          <w:u w:val="single"/>
        </w:rPr>
        <w:t xml:space="preserve"> 1(a).3: The Committee's reasons for rejecting the infusion costs estimated by Lilly are inadequately explained and the Committee does not appear to have </w:t>
      </w:r>
      <w:proofErr w:type="gramStart"/>
      <w:r w:rsidRPr="00B26CD7">
        <w:rPr>
          <w:rFonts w:cs="Arial"/>
          <w:b/>
          <w:color w:val="auto"/>
          <w:u w:val="single"/>
        </w:rPr>
        <w:t>taken into account</w:t>
      </w:r>
      <w:proofErr w:type="gramEnd"/>
      <w:r w:rsidRPr="00B26CD7">
        <w:rPr>
          <w:rFonts w:cs="Arial"/>
          <w:b/>
          <w:color w:val="auto"/>
          <w:u w:val="single"/>
        </w:rPr>
        <w:t xml:space="preserve"> the evidence submitted by Lilly in response to the second Draft Guidance.</w:t>
      </w:r>
      <w:r>
        <w:rPr>
          <w:rFonts w:cs="Arial"/>
          <w:b/>
          <w:color w:val="auto"/>
          <w:u w:val="single"/>
        </w:rPr>
        <w:t xml:space="preserve">  </w:t>
      </w:r>
    </w:p>
    <w:p w:rsidR="00943606" w:rsidP="00DA3B73" w:rsidRDefault="00DA3B73" w14:paraId="7BB607E3" w14:textId="6D0E09F9">
      <w:pPr>
        <w:pStyle w:val="BodyText"/>
        <w:jc w:val="both"/>
        <w:rPr>
          <w:rFonts w:cs="Arial"/>
          <w:color w:val="auto"/>
        </w:rPr>
      </w:pPr>
      <w:r w:rsidRPr="00DD7697">
        <w:rPr>
          <w:rFonts w:cs="Arial"/>
          <w:color w:val="auto"/>
        </w:rPr>
        <w:t xml:space="preserve">I </w:t>
      </w:r>
      <w:r w:rsidR="00943606">
        <w:rPr>
          <w:rFonts w:cs="Arial"/>
          <w:color w:val="auto"/>
        </w:rPr>
        <w:t xml:space="preserve">understand this appeal point to relate to the adequacy of the explanation provided by the Committee for preferring NHS England's estimated infusion costs over the Company's estimated infusion costs. I note that the Committee has explained in detail at paragraph 3.20 of the FDG why it did not prefer the Company's infusion cost estimates, and do not consider it arguable that the </w:t>
      </w:r>
      <w:r w:rsidR="007C267A">
        <w:rPr>
          <w:rFonts w:cs="Arial"/>
          <w:color w:val="auto"/>
        </w:rPr>
        <w:t xml:space="preserve">reasons given by the </w:t>
      </w:r>
      <w:r w:rsidR="00943606">
        <w:rPr>
          <w:rFonts w:cs="Arial"/>
          <w:color w:val="auto"/>
        </w:rPr>
        <w:t>Committee</w:t>
      </w:r>
      <w:r w:rsidR="007C267A">
        <w:rPr>
          <w:rFonts w:cs="Arial"/>
          <w:color w:val="auto"/>
        </w:rPr>
        <w:t xml:space="preserve"> are procedurally unfair</w:t>
      </w:r>
      <w:r w:rsidR="00943606">
        <w:rPr>
          <w:rFonts w:cs="Arial"/>
          <w:color w:val="auto"/>
        </w:rPr>
        <w:t xml:space="preserve">. </w:t>
      </w:r>
    </w:p>
    <w:p w:rsidR="00DA3B73" w:rsidP="00DA3B73" w:rsidRDefault="00943606" w14:paraId="3F50B052" w14:textId="16859B37">
      <w:pPr>
        <w:pStyle w:val="BodyText"/>
        <w:jc w:val="both"/>
        <w:rPr>
          <w:rFonts w:cs="Arial"/>
          <w:color w:val="auto"/>
        </w:rPr>
      </w:pPr>
      <w:r>
        <w:rPr>
          <w:rFonts w:cs="Arial"/>
          <w:color w:val="auto"/>
        </w:rPr>
        <w:t xml:space="preserve">I </w:t>
      </w:r>
      <w:r w:rsidR="007C267A">
        <w:rPr>
          <w:rFonts w:cs="Arial"/>
          <w:color w:val="auto"/>
        </w:rPr>
        <w:t xml:space="preserve">provisionally </w:t>
      </w:r>
      <w:r>
        <w:rPr>
          <w:rFonts w:cs="Arial"/>
          <w:color w:val="auto"/>
        </w:rPr>
        <w:t xml:space="preserve">consider that </w:t>
      </w:r>
      <w:r w:rsidR="007C267A">
        <w:rPr>
          <w:rFonts w:cs="Arial"/>
          <w:color w:val="auto"/>
        </w:rPr>
        <w:t>the Committee's decision to prefer the NHS England costs</w:t>
      </w:r>
      <w:r>
        <w:rPr>
          <w:rFonts w:cs="Arial"/>
          <w:color w:val="auto"/>
        </w:rPr>
        <w:t xml:space="preserve"> may form </w:t>
      </w:r>
      <w:r w:rsidR="00D36888">
        <w:rPr>
          <w:rFonts w:cs="Arial"/>
          <w:color w:val="auto"/>
        </w:rPr>
        <w:t>the</w:t>
      </w:r>
      <w:r>
        <w:rPr>
          <w:rFonts w:cs="Arial"/>
          <w:color w:val="auto"/>
        </w:rPr>
        <w:t xml:space="preserve"> basis for a</w:t>
      </w:r>
      <w:r w:rsidR="007C267A">
        <w:rPr>
          <w:rFonts w:cs="Arial"/>
          <w:color w:val="auto"/>
        </w:rPr>
        <w:t>n arguable</w:t>
      </w:r>
      <w:r>
        <w:rPr>
          <w:rFonts w:cs="Arial"/>
          <w:color w:val="auto"/>
        </w:rPr>
        <w:t xml:space="preserve"> Ground 2 appeal point</w:t>
      </w:r>
      <w:r w:rsidR="007C267A">
        <w:rPr>
          <w:rFonts w:cs="Arial"/>
          <w:color w:val="auto"/>
        </w:rPr>
        <w:t>. I should be grateful if you would provide the Company's view on this in your response to this initial scrutiny letter</w:t>
      </w:r>
      <w:r>
        <w:rPr>
          <w:rFonts w:cs="Arial"/>
          <w:color w:val="auto"/>
        </w:rPr>
        <w:t xml:space="preserve">. </w:t>
      </w:r>
    </w:p>
    <w:p w:rsidR="00DA3B73" w:rsidP="00DA3B73" w:rsidRDefault="00DA3B73" w14:paraId="06366D76" w14:textId="62BBA63A">
      <w:pPr>
        <w:spacing w:before="240" w:after="240" w:line="276" w:lineRule="auto"/>
        <w:jc w:val="both"/>
        <w:rPr>
          <w:rFonts w:cs="Arial"/>
          <w:b/>
          <w:color w:val="auto"/>
          <w:u w:val="single"/>
        </w:rPr>
      </w:pPr>
      <w:r w:rsidRPr="00DD7697">
        <w:rPr>
          <w:rFonts w:cs="Arial"/>
          <w:b/>
          <w:color w:val="auto"/>
          <w:u w:val="single"/>
        </w:rPr>
        <w:t xml:space="preserve">Appeal </w:t>
      </w:r>
      <w:proofErr w:type="gramStart"/>
      <w:r w:rsidRPr="00DD7697">
        <w:rPr>
          <w:rFonts w:cs="Arial"/>
          <w:b/>
          <w:color w:val="auto"/>
          <w:u w:val="single"/>
        </w:rPr>
        <w:t>point</w:t>
      </w:r>
      <w:proofErr w:type="gramEnd"/>
      <w:r w:rsidRPr="00DD7697">
        <w:rPr>
          <w:rFonts w:cs="Arial"/>
          <w:b/>
          <w:color w:val="auto"/>
          <w:u w:val="single"/>
        </w:rPr>
        <w:t xml:space="preserve"> </w:t>
      </w:r>
      <w:r>
        <w:rPr>
          <w:rFonts w:cs="Arial"/>
          <w:b/>
          <w:color w:val="auto"/>
          <w:u w:val="single"/>
        </w:rPr>
        <w:t>1(a)</w:t>
      </w:r>
      <w:r w:rsidRPr="006F5822">
        <w:rPr>
          <w:rFonts w:cs="Arial"/>
          <w:b/>
          <w:color w:val="auto"/>
          <w:u w:val="single"/>
        </w:rPr>
        <w:t>.</w:t>
      </w:r>
      <w:r>
        <w:rPr>
          <w:rFonts w:cs="Arial"/>
          <w:b/>
          <w:color w:val="auto"/>
          <w:u w:val="single"/>
        </w:rPr>
        <w:t xml:space="preserve">4: The Committee has relied on the EAG's criticisms of the </w:t>
      </w:r>
      <w:proofErr w:type="gramStart"/>
      <w:r>
        <w:rPr>
          <w:rFonts w:cs="Arial"/>
          <w:b/>
          <w:color w:val="auto"/>
          <w:u w:val="single"/>
        </w:rPr>
        <w:t>long term</w:t>
      </w:r>
      <w:proofErr w:type="gramEnd"/>
      <w:r>
        <w:rPr>
          <w:rFonts w:cs="Arial"/>
          <w:b/>
          <w:color w:val="auto"/>
          <w:u w:val="single"/>
        </w:rPr>
        <w:t xml:space="preserve"> data for donanemab, even though Lilly was given no opportunity to respond to or clarify these issues.   </w:t>
      </w:r>
    </w:p>
    <w:p w:rsidR="0045311D" w:rsidP="00DA3B73" w:rsidRDefault="00DA3B73" w14:paraId="5CD0CE14" w14:textId="5E38B4DA">
      <w:pPr>
        <w:pStyle w:val="BodyText"/>
        <w:jc w:val="both"/>
        <w:rPr>
          <w:rFonts w:cs="Arial"/>
          <w:i/>
          <w:iCs/>
          <w:color w:val="auto"/>
        </w:rPr>
      </w:pPr>
      <w:r w:rsidRPr="00DD7697">
        <w:rPr>
          <w:rFonts w:cs="Arial"/>
          <w:color w:val="auto"/>
        </w:rPr>
        <w:t xml:space="preserve">I </w:t>
      </w:r>
      <w:r w:rsidR="00D36888">
        <w:rPr>
          <w:rFonts w:cs="Arial"/>
          <w:color w:val="auto"/>
        </w:rPr>
        <w:t xml:space="preserve">am not </w:t>
      </w:r>
      <w:r w:rsidR="00FE2E3E">
        <w:rPr>
          <w:rFonts w:cs="Arial"/>
          <w:color w:val="auto"/>
        </w:rPr>
        <w:t xml:space="preserve">currently </w:t>
      </w:r>
      <w:r w:rsidRPr="00DD7697">
        <w:rPr>
          <w:rFonts w:cs="Arial"/>
          <w:color w:val="auto"/>
        </w:rPr>
        <w:t>minded</w:t>
      </w:r>
      <w:r w:rsidR="00D36888">
        <w:rPr>
          <w:rFonts w:cs="Arial"/>
          <w:color w:val="auto"/>
        </w:rPr>
        <w:t xml:space="preserve"> </w:t>
      </w:r>
      <w:proofErr w:type="gramStart"/>
      <w:r w:rsidRPr="00DD7697">
        <w:rPr>
          <w:rFonts w:cs="Arial"/>
          <w:color w:val="auto"/>
        </w:rPr>
        <w:t>to refer</w:t>
      </w:r>
      <w:proofErr w:type="gramEnd"/>
      <w:r w:rsidRPr="00DD7697">
        <w:rPr>
          <w:rFonts w:cs="Arial"/>
          <w:color w:val="auto"/>
        </w:rPr>
        <w:t xml:space="preserve"> this appeal </w:t>
      </w:r>
      <w:proofErr w:type="gramStart"/>
      <w:r w:rsidRPr="00DD7697">
        <w:rPr>
          <w:rFonts w:cs="Arial"/>
          <w:color w:val="auto"/>
        </w:rPr>
        <w:t>point</w:t>
      </w:r>
      <w:proofErr w:type="gramEnd"/>
      <w:r w:rsidRPr="00DD7697">
        <w:rPr>
          <w:rFonts w:cs="Arial"/>
          <w:color w:val="auto"/>
        </w:rPr>
        <w:t xml:space="preserve"> to the Appeal Panel.</w:t>
      </w:r>
      <w:r w:rsidR="00953E48">
        <w:rPr>
          <w:rFonts w:cs="Arial"/>
          <w:color w:val="auto"/>
        </w:rPr>
        <w:t xml:space="preserve"> Paragraph</w:t>
      </w:r>
      <w:r w:rsidR="0045311D">
        <w:rPr>
          <w:rFonts w:cs="Arial"/>
          <w:color w:val="auto"/>
        </w:rPr>
        <w:t xml:space="preserve"> 5.8.52 of the Manual provides that "</w:t>
      </w:r>
      <w:r w:rsidR="0045311D">
        <w:rPr>
          <w:rFonts w:cs="Arial"/>
          <w:i/>
          <w:iCs/>
          <w:color w:val="auto"/>
        </w:rPr>
        <w:t xml:space="preserve">after the draft guidance has been developed, new evidence will not be accepted unless specifically requested by the committee, or if a stakeholder requests that NICE considers additional evidence and NICE specifically confirms it will accept it in writing". </w:t>
      </w:r>
    </w:p>
    <w:p w:rsidR="006833B7" w:rsidP="00DA3B73" w:rsidRDefault="0045311D" w14:paraId="10202F05" w14:textId="0BEDD1B3">
      <w:pPr>
        <w:pStyle w:val="BodyText"/>
        <w:jc w:val="both"/>
        <w:rPr>
          <w:rFonts w:cs="Arial"/>
          <w:color w:val="auto"/>
        </w:rPr>
      </w:pPr>
      <w:r>
        <w:rPr>
          <w:rFonts w:cs="Arial"/>
          <w:color w:val="auto"/>
        </w:rPr>
        <w:t>As you will be aware, NICE is required to exercise its functions effectively, efficiently and economically. There is a legitimate interest in progressing the technology appraisal process efficiently so</w:t>
      </w:r>
      <w:r w:rsidR="00FE2E3E">
        <w:rPr>
          <w:rFonts w:cs="Arial"/>
          <w:color w:val="auto"/>
        </w:rPr>
        <w:t xml:space="preserve"> that technologies deemed cost-effective are made available to the eligible NHS population promptly.</w:t>
      </w:r>
      <w:r>
        <w:rPr>
          <w:rFonts w:cs="Arial"/>
          <w:color w:val="auto"/>
        </w:rPr>
        <w:t xml:space="preserve"> As a result, there is no infinite right for each stakeholder in an appraisal process to reply to each piece of evidence submitted. </w:t>
      </w:r>
    </w:p>
    <w:p w:rsidR="006833B7" w:rsidP="00DA3B73" w:rsidRDefault="006833B7" w14:paraId="498BA64E" w14:textId="0D77D1E2">
      <w:pPr>
        <w:pStyle w:val="BodyText"/>
        <w:jc w:val="both"/>
        <w:rPr>
          <w:rFonts w:cs="Arial"/>
          <w:color w:val="auto"/>
        </w:rPr>
      </w:pPr>
      <w:r>
        <w:rPr>
          <w:rFonts w:cs="Arial"/>
          <w:color w:val="auto"/>
        </w:rPr>
        <w:t>I understand that the long-term extension data did not have a significant impact on the ICER, which I consider to be a relevant consideration to the assessment of whether the Company ought to have been given an opportunity to respond to the issue.</w:t>
      </w:r>
    </w:p>
    <w:p w:rsidR="006833B7" w:rsidP="00DA3B73" w:rsidRDefault="0045311D" w14:paraId="7FFC4676" w14:textId="1BB1D409">
      <w:pPr>
        <w:pStyle w:val="BodyText"/>
        <w:jc w:val="both"/>
        <w:rPr>
          <w:rFonts w:cs="Arial"/>
          <w:color w:val="auto"/>
        </w:rPr>
      </w:pPr>
      <w:r>
        <w:rPr>
          <w:rFonts w:cs="Arial"/>
          <w:color w:val="auto"/>
        </w:rPr>
        <w:t>In this instance</w:t>
      </w:r>
      <w:r w:rsidR="006833B7">
        <w:rPr>
          <w:rFonts w:cs="Arial"/>
          <w:color w:val="auto"/>
        </w:rPr>
        <w:t xml:space="preserve">, the FDG demonstrates that the Committee took the EAG's concern into account in assessing the uncertainty of long term </w:t>
      </w:r>
      <w:proofErr w:type="gramStart"/>
      <w:r w:rsidR="006833B7">
        <w:rPr>
          <w:rFonts w:cs="Arial"/>
          <w:color w:val="auto"/>
        </w:rPr>
        <w:t>data, but</w:t>
      </w:r>
      <w:proofErr w:type="gramEnd"/>
      <w:r w:rsidR="006833B7">
        <w:rPr>
          <w:rFonts w:cs="Arial"/>
          <w:color w:val="auto"/>
        </w:rPr>
        <w:t xml:space="preserve"> also considered the Company's long-term extension data to be additional useful evidence. </w:t>
      </w:r>
    </w:p>
    <w:p w:rsidR="0045311D" w:rsidP="00DA3B73" w:rsidRDefault="006833B7" w14:paraId="03C0F922" w14:textId="1A09E80F">
      <w:pPr>
        <w:pStyle w:val="BodyText"/>
        <w:jc w:val="both"/>
        <w:rPr>
          <w:rFonts w:cs="Arial"/>
          <w:color w:val="auto"/>
        </w:rPr>
      </w:pPr>
      <w:r>
        <w:rPr>
          <w:rFonts w:cs="Arial"/>
          <w:color w:val="auto"/>
        </w:rPr>
        <w:t xml:space="preserve">I </w:t>
      </w:r>
      <w:r w:rsidR="007E4DE2">
        <w:rPr>
          <w:rFonts w:cs="Arial"/>
          <w:color w:val="auto"/>
        </w:rPr>
        <w:t xml:space="preserve">also note that </w:t>
      </w:r>
      <w:r>
        <w:rPr>
          <w:rFonts w:cs="Arial"/>
          <w:color w:val="auto"/>
        </w:rPr>
        <w:t xml:space="preserve">the EAG's concern </w:t>
      </w:r>
      <w:r w:rsidR="007E4DE2">
        <w:rPr>
          <w:rFonts w:cs="Arial"/>
          <w:color w:val="auto"/>
        </w:rPr>
        <w:t xml:space="preserve">does not appear </w:t>
      </w:r>
      <w:r>
        <w:rPr>
          <w:rFonts w:cs="Arial"/>
          <w:color w:val="auto"/>
        </w:rPr>
        <w:t xml:space="preserve">to be the only or primary factor taken into consideration in the Committee's assessment of </w:t>
      </w:r>
      <w:proofErr w:type="gramStart"/>
      <w:r>
        <w:rPr>
          <w:rFonts w:cs="Arial"/>
          <w:color w:val="auto"/>
        </w:rPr>
        <w:t>long term</w:t>
      </w:r>
      <w:proofErr w:type="gramEnd"/>
      <w:r>
        <w:rPr>
          <w:rFonts w:cs="Arial"/>
          <w:color w:val="auto"/>
        </w:rPr>
        <w:t xml:space="preserve"> data. </w:t>
      </w:r>
      <w:r w:rsidR="007C267A">
        <w:rPr>
          <w:rFonts w:cs="Arial"/>
          <w:color w:val="auto"/>
        </w:rPr>
        <w:t>The Committee's conclusion</w:t>
      </w:r>
      <w:r w:rsidRPr="007C267A" w:rsidR="007C267A">
        <w:rPr>
          <w:rFonts w:cs="Arial"/>
          <w:color w:val="auto"/>
        </w:rPr>
        <w:t xml:space="preserve"> on the additional evidence is that it was useful but that the results are uncertain because there was no randomised comparison with placebo after 18 months</w:t>
      </w:r>
      <w:r w:rsidR="007C267A">
        <w:rPr>
          <w:rFonts w:cs="Arial"/>
          <w:color w:val="auto"/>
        </w:rPr>
        <w:t>. This does not appear to have been</w:t>
      </w:r>
      <w:r w:rsidR="007E4DE2">
        <w:rPr>
          <w:rFonts w:cs="Arial"/>
          <w:color w:val="auto"/>
        </w:rPr>
        <w:t xml:space="preserve"> significantly</w:t>
      </w:r>
      <w:r w:rsidR="007C267A">
        <w:rPr>
          <w:rFonts w:cs="Arial"/>
          <w:color w:val="auto"/>
        </w:rPr>
        <w:t xml:space="preserve"> </w:t>
      </w:r>
      <w:r w:rsidRPr="007C267A" w:rsidR="007C267A">
        <w:rPr>
          <w:rFonts w:cs="Arial"/>
          <w:color w:val="auto"/>
        </w:rPr>
        <w:t>affected by the EAG’s concerns on other factors. I</w:t>
      </w:r>
      <w:r w:rsidR="007C267A">
        <w:rPr>
          <w:rFonts w:cs="Arial"/>
          <w:color w:val="auto"/>
        </w:rPr>
        <w:t>n any event i</w:t>
      </w:r>
      <w:r w:rsidRPr="007C267A" w:rsidR="007C267A">
        <w:rPr>
          <w:rFonts w:cs="Arial"/>
          <w:color w:val="auto"/>
        </w:rPr>
        <w:t xml:space="preserve">t is for the Committee to decide (within reason) whether </w:t>
      </w:r>
      <w:r w:rsidR="007C267A">
        <w:rPr>
          <w:rFonts w:cs="Arial"/>
          <w:color w:val="auto"/>
        </w:rPr>
        <w:t>further stakeholder</w:t>
      </w:r>
      <w:r w:rsidRPr="007C267A" w:rsidR="007C267A">
        <w:rPr>
          <w:rFonts w:cs="Arial"/>
          <w:color w:val="auto"/>
        </w:rPr>
        <w:t xml:space="preserve"> consultation is required.</w:t>
      </w:r>
    </w:p>
    <w:p w:rsidRPr="0045311D" w:rsidR="006833B7" w:rsidP="00DA3B73" w:rsidRDefault="006833B7" w14:paraId="0C9FEBD6" w14:textId="406F0BF2">
      <w:pPr>
        <w:pStyle w:val="BodyText"/>
        <w:jc w:val="both"/>
        <w:rPr>
          <w:rFonts w:cs="Arial"/>
          <w:color w:val="auto"/>
        </w:rPr>
      </w:pPr>
      <w:r>
        <w:rPr>
          <w:rFonts w:cs="Arial"/>
          <w:color w:val="auto"/>
        </w:rPr>
        <w:t xml:space="preserve">I do not therefore consider it arguable </w:t>
      </w:r>
      <w:r w:rsidR="00032A36">
        <w:rPr>
          <w:rFonts w:cs="Arial"/>
          <w:color w:val="auto"/>
        </w:rPr>
        <w:t xml:space="preserve">that this amounted to procedural unfairness. </w:t>
      </w:r>
      <w:r>
        <w:rPr>
          <w:rFonts w:cs="Arial"/>
          <w:color w:val="auto"/>
        </w:rPr>
        <w:t xml:space="preserve"> </w:t>
      </w:r>
    </w:p>
    <w:p w:rsidR="00DA3B73" w:rsidP="00DA3B73" w:rsidRDefault="00DA3B73" w14:paraId="188FE30D" w14:textId="53C4D247">
      <w:pPr>
        <w:spacing w:before="240" w:after="240" w:line="276" w:lineRule="auto"/>
        <w:jc w:val="both"/>
        <w:rPr>
          <w:rFonts w:cs="Arial"/>
          <w:b/>
          <w:color w:val="auto"/>
          <w:u w:val="single"/>
        </w:rPr>
      </w:pPr>
      <w:r w:rsidRPr="00DD7697">
        <w:rPr>
          <w:rFonts w:cs="Arial"/>
          <w:b/>
          <w:color w:val="auto"/>
          <w:u w:val="single"/>
        </w:rPr>
        <w:t xml:space="preserve">Appeal </w:t>
      </w:r>
      <w:proofErr w:type="gramStart"/>
      <w:r w:rsidRPr="00DD7697">
        <w:rPr>
          <w:rFonts w:cs="Arial"/>
          <w:b/>
          <w:color w:val="auto"/>
          <w:u w:val="single"/>
        </w:rPr>
        <w:t>point</w:t>
      </w:r>
      <w:proofErr w:type="gramEnd"/>
      <w:r w:rsidRPr="00DD7697">
        <w:rPr>
          <w:rFonts w:cs="Arial"/>
          <w:b/>
          <w:color w:val="auto"/>
          <w:u w:val="single"/>
        </w:rPr>
        <w:t xml:space="preserve"> </w:t>
      </w:r>
      <w:r>
        <w:rPr>
          <w:rFonts w:cs="Arial"/>
          <w:b/>
          <w:color w:val="auto"/>
          <w:u w:val="single"/>
        </w:rPr>
        <w:t>1(a)</w:t>
      </w:r>
      <w:r w:rsidRPr="006F5822">
        <w:rPr>
          <w:rFonts w:cs="Arial"/>
          <w:b/>
          <w:color w:val="auto"/>
          <w:u w:val="single"/>
        </w:rPr>
        <w:t>.</w:t>
      </w:r>
      <w:r>
        <w:rPr>
          <w:rFonts w:cs="Arial"/>
          <w:b/>
          <w:color w:val="auto"/>
          <w:u w:val="single"/>
        </w:rPr>
        <w:t xml:space="preserve">5: The Committee has failed to give due consideration to use of donanemab through managed access in accordance with the Manual and the Innovative Medicines Fund Principles document.    </w:t>
      </w:r>
    </w:p>
    <w:p w:rsidR="00032A36" w:rsidP="00DA3B73" w:rsidRDefault="00032A36" w14:paraId="0A81AD9D" w14:textId="5C8B6890">
      <w:pPr>
        <w:pStyle w:val="BodyText"/>
        <w:jc w:val="both"/>
        <w:rPr>
          <w:rFonts w:cs="Arial"/>
          <w:color w:val="auto"/>
        </w:rPr>
      </w:pPr>
      <w:bookmarkStart w:name="_Hlk202909142" w:id="2"/>
      <w:r>
        <w:rPr>
          <w:rFonts w:cs="Arial"/>
          <w:color w:val="auto"/>
        </w:rPr>
        <w:t xml:space="preserve">As you refer to in your letter, </w:t>
      </w:r>
      <w:r w:rsidR="00D40346">
        <w:rPr>
          <w:rFonts w:cs="Arial"/>
          <w:color w:val="auto"/>
        </w:rPr>
        <w:t>paragraph</w:t>
      </w:r>
      <w:r>
        <w:rPr>
          <w:rFonts w:cs="Arial"/>
          <w:color w:val="auto"/>
        </w:rPr>
        <w:t xml:space="preserve"> 6.4.6 of the Manual provides that a committee can consider a recommendation with managed access when: </w:t>
      </w:r>
    </w:p>
    <w:p w:rsidRPr="00032A36" w:rsidR="00032A36" w:rsidP="00032A36" w:rsidRDefault="00032A36" w14:paraId="048A10B8" w14:textId="16BA8ACB">
      <w:pPr>
        <w:pStyle w:val="BodyText"/>
        <w:numPr>
          <w:ilvl w:val="0"/>
          <w:numId w:val="39"/>
        </w:numPr>
        <w:jc w:val="both"/>
        <w:rPr>
          <w:rFonts w:cs="Arial"/>
          <w:i/>
          <w:iCs/>
          <w:color w:val="auto"/>
        </w:rPr>
      </w:pPr>
      <w:r w:rsidRPr="00032A36">
        <w:rPr>
          <w:rFonts w:cs="Arial"/>
          <w:i/>
          <w:iCs/>
          <w:color w:val="auto"/>
        </w:rPr>
        <w:t>"The medicine has not been recommended</w:t>
      </w:r>
      <w:r w:rsidRPr="00032A36">
        <w:rPr>
          <w:rFonts w:cs="Arial"/>
          <w:b/>
          <w:bCs/>
          <w:i/>
          <w:iCs/>
          <w:color w:val="auto"/>
        </w:rPr>
        <w:t>, it has the plausible potential to be cost effective at the currently agreed price</w:t>
      </w:r>
      <w:r w:rsidRPr="00032A36">
        <w:rPr>
          <w:rFonts w:cs="Arial"/>
          <w:i/>
          <w:iCs/>
          <w:color w:val="auto"/>
        </w:rPr>
        <w:t xml:space="preserve">, but the evidence is currently too uncertain, </w:t>
      </w:r>
      <w:r w:rsidRPr="00032A36">
        <w:rPr>
          <w:rFonts w:cs="Arial"/>
          <w:b/>
          <w:bCs/>
          <w:i/>
          <w:iCs/>
          <w:color w:val="auto"/>
        </w:rPr>
        <w:t xml:space="preserve">and </w:t>
      </w:r>
    </w:p>
    <w:p w:rsidRPr="00032A36" w:rsidR="00032A36" w:rsidP="00032A36" w:rsidRDefault="00032A36" w14:paraId="14DBA5D2" w14:textId="2E9F546F">
      <w:pPr>
        <w:pStyle w:val="BodyText"/>
        <w:numPr>
          <w:ilvl w:val="0"/>
          <w:numId w:val="39"/>
        </w:numPr>
        <w:jc w:val="both"/>
        <w:rPr>
          <w:rFonts w:cs="Arial"/>
          <w:i/>
          <w:iCs/>
          <w:color w:val="auto"/>
        </w:rPr>
      </w:pPr>
      <w:r w:rsidRPr="00032A36">
        <w:rPr>
          <w:rFonts w:cs="Arial"/>
          <w:i/>
          <w:iCs/>
          <w:color w:val="auto"/>
        </w:rPr>
        <w:t>New evidence that could sufficiently support the case for recommendation is expected from ongoing or planned clinical trials, or could be collected from patients having the medicine in clinical practice, and</w:t>
      </w:r>
    </w:p>
    <w:p w:rsidR="00032A36" w:rsidP="00032A36" w:rsidRDefault="00032A36" w14:paraId="0F670339" w14:textId="733E8EE9">
      <w:pPr>
        <w:pStyle w:val="BodyText"/>
        <w:numPr>
          <w:ilvl w:val="0"/>
          <w:numId w:val="39"/>
        </w:numPr>
        <w:jc w:val="both"/>
        <w:rPr>
          <w:rFonts w:cs="Arial"/>
          <w:color w:val="auto"/>
        </w:rPr>
      </w:pPr>
      <w:r w:rsidRPr="00032A36">
        <w:rPr>
          <w:rFonts w:cs="Arial"/>
          <w:i/>
          <w:iCs/>
          <w:color w:val="auto"/>
        </w:rPr>
        <w:t>These data could feasibly be collected within a reasonable timeframe (up to a maximum of 5 years) without undue burden</w:t>
      </w:r>
      <w:r>
        <w:rPr>
          <w:rFonts w:cs="Arial"/>
          <w:color w:val="auto"/>
        </w:rPr>
        <w:t>"</w:t>
      </w:r>
      <w:r w:rsidRPr="00032A36">
        <w:rPr>
          <w:rFonts w:cs="Arial"/>
          <w:color w:val="auto"/>
        </w:rPr>
        <w:t>.</w:t>
      </w:r>
      <w:r>
        <w:rPr>
          <w:rFonts w:cs="Arial"/>
          <w:color w:val="auto"/>
        </w:rPr>
        <w:t xml:space="preserve"> (emphasis added)</w:t>
      </w:r>
    </w:p>
    <w:p w:rsidR="00032A36" w:rsidP="00032A36" w:rsidRDefault="00032A36" w14:paraId="50D5D370" w14:textId="27965BAA">
      <w:pPr>
        <w:pStyle w:val="BodyText"/>
        <w:jc w:val="both"/>
        <w:rPr>
          <w:rFonts w:cs="Arial"/>
          <w:color w:val="auto"/>
        </w:rPr>
      </w:pPr>
      <w:r>
        <w:rPr>
          <w:rFonts w:cs="Arial"/>
          <w:color w:val="auto"/>
        </w:rPr>
        <w:t xml:space="preserve">The Innovative Medicines Fund Principles Document also provides at Principle 3 that: </w:t>
      </w:r>
    </w:p>
    <w:p w:rsidRPr="00032A36" w:rsidR="00032A36" w:rsidP="00032A36" w:rsidRDefault="00032A36" w14:paraId="2F992E15" w14:textId="7FA14F87">
      <w:pPr>
        <w:pStyle w:val="BodyText"/>
        <w:ind w:left="720"/>
        <w:jc w:val="both"/>
        <w:rPr>
          <w:rFonts w:cs="Arial"/>
          <w:i/>
          <w:iCs/>
          <w:color w:val="auto"/>
        </w:rPr>
      </w:pPr>
      <w:r>
        <w:rPr>
          <w:rFonts w:cs="Arial"/>
          <w:color w:val="auto"/>
        </w:rPr>
        <w:t>"</w:t>
      </w:r>
      <w:r>
        <w:rPr>
          <w:rFonts w:cs="Arial"/>
          <w:i/>
          <w:iCs/>
          <w:color w:val="auto"/>
        </w:rPr>
        <w:t xml:space="preserve">Recommendations with managed access should be reserved for medicines that (a) demonstrate plausible potential to be cost-effective; and (b) are priced responsibly during the </w:t>
      </w:r>
      <w:r w:rsidR="00D251E6">
        <w:rPr>
          <w:rFonts w:cs="Arial"/>
          <w:i/>
          <w:iCs/>
          <w:color w:val="auto"/>
        </w:rPr>
        <w:t xml:space="preserve">period of </w:t>
      </w:r>
      <w:r>
        <w:rPr>
          <w:rFonts w:cs="Arial"/>
          <w:i/>
          <w:iCs/>
          <w:color w:val="auto"/>
        </w:rPr>
        <w:t xml:space="preserve">managed access, reflecting their uncertain cost effectiveness." </w:t>
      </w:r>
    </w:p>
    <w:p w:rsidR="00032A36" w:rsidP="00032A36" w:rsidRDefault="00032A36" w14:paraId="057723C4" w14:textId="34BA7B34">
      <w:pPr>
        <w:pStyle w:val="BodyText"/>
        <w:jc w:val="both"/>
        <w:rPr>
          <w:rFonts w:cs="Arial"/>
          <w:color w:val="auto"/>
        </w:rPr>
      </w:pPr>
      <w:r>
        <w:rPr>
          <w:rFonts w:cs="Arial"/>
          <w:color w:val="auto"/>
        </w:rPr>
        <w:t xml:space="preserve">I do not consider it arguable that the Committee failed to properly apply the provisions of the managed access </w:t>
      </w:r>
      <w:r w:rsidR="008E400F">
        <w:rPr>
          <w:rFonts w:cs="Arial"/>
          <w:color w:val="auto"/>
        </w:rPr>
        <w:t>scheme</w:t>
      </w:r>
      <w:r>
        <w:rPr>
          <w:rFonts w:cs="Arial"/>
          <w:color w:val="auto"/>
        </w:rPr>
        <w:t xml:space="preserve"> or the Innovative Medicines Fund. </w:t>
      </w:r>
    </w:p>
    <w:p w:rsidR="00032A36" w:rsidP="00032A36" w:rsidRDefault="00032A36" w14:paraId="214FA11B" w14:textId="76B4C775">
      <w:pPr>
        <w:pStyle w:val="BodyText"/>
        <w:jc w:val="both"/>
        <w:rPr>
          <w:rFonts w:cs="Arial"/>
          <w:color w:val="auto"/>
        </w:rPr>
      </w:pPr>
      <w:r>
        <w:rPr>
          <w:rFonts w:cs="Arial"/>
          <w:color w:val="auto"/>
        </w:rPr>
        <w:t xml:space="preserve">Fundamentally, your </w:t>
      </w:r>
      <w:r w:rsidR="008E400F">
        <w:rPr>
          <w:rFonts w:cs="Arial"/>
          <w:color w:val="auto"/>
        </w:rPr>
        <w:t>proposition that</w:t>
      </w:r>
      <w:r>
        <w:rPr>
          <w:rFonts w:cs="Arial"/>
          <w:color w:val="auto"/>
        </w:rPr>
        <w:t xml:space="preserve"> donanemab be recommended</w:t>
      </w:r>
      <w:r w:rsidR="00D36DCD">
        <w:rPr>
          <w:rFonts w:cs="Arial"/>
          <w:color w:val="auto"/>
        </w:rPr>
        <w:t xml:space="preserve"> with</w:t>
      </w:r>
      <w:r>
        <w:rPr>
          <w:rFonts w:cs="Arial"/>
          <w:color w:val="auto"/>
        </w:rPr>
        <w:t xml:space="preserve"> managed access falls as the Committee did not consider there to be a plausible potential for donanemab to be cost-effective. </w:t>
      </w:r>
      <w:r w:rsidR="00D36DCD">
        <w:rPr>
          <w:rFonts w:cs="Arial"/>
          <w:color w:val="auto"/>
        </w:rPr>
        <w:t xml:space="preserve">It was not therefore open to the Committee to reach any other conclusion. </w:t>
      </w:r>
      <w:r>
        <w:rPr>
          <w:rFonts w:cs="Arial"/>
          <w:color w:val="auto"/>
        </w:rPr>
        <w:t xml:space="preserve">This is explained at paragraph 3.25 of the FDG. </w:t>
      </w:r>
    </w:p>
    <w:p w:rsidRPr="00032A36" w:rsidR="00032A36" w:rsidP="00032A36" w:rsidRDefault="00032A36" w14:paraId="38BDBF06" w14:textId="72F346CC">
      <w:pPr>
        <w:pStyle w:val="BodyText"/>
        <w:jc w:val="both"/>
        <w:rPr>
          <w:rFonts w:cs="Arial"/>
          <w:color w:val="auto"/>
        </w:rPr>
      </w:pPr>
      <w:r>
        <w:rPr>
          <w:rFonts w:cs="Arial"/>
          <w:color w:val="auto"/>
        </w:rPr>
        <w:t xml:space="preserve">Consequently, I am not minded </w:t>
      </w:r>
      <w:proofErr w:type="gramStart"/>
      <w:r>
        <w:rPr>
          <w:rFonts w:cs="Arial"/>
          <w:color w:val="auto"/>
        </w:rPr>
        <w:t>to refer</w:t>
      </w:r>
      <w:proofErr w:type="gramEnd"/>
      <w:r>
        <w:rPr>
          <w:rFonts w:cs="Arial"/>
          <w:color w:val="auto"/>
        </w:rPr>
        <w:t xml:space="preserve"> this appeal </w:t>
      </w:r>
      <w:proofErr w:type="gramStart"/>
      <w:r>
        <w:rPr>
          <w:rFonts w:cs="Arial"/>
          <w:color w:val="auto"/>
        </w:rPr>
        <w:t>point</w:t>
      </w:r>
      <w:proofErr w:type="gramEnd"/>
      <w:r>
        <w:rPr>
          <w:rFonts w:cs="Arial"/>
          <w:color w:val="auto"/>
        </w:rPr>
        <w:t xml:space="preserve"> to the Appeal Panel. </w:t>
      </w:r>
    </w:p>
    <w:bookmarkEnd w:id="2"/>
    <w:p w:rsidR="00DA3B73" w:rsidP="00DA3B73" w:rsidRDefault="00DA3B73" w14:paraId="7F1082E0" w14:textId="5890E3BA">
      <w:pPr>
        <w:spacing w:before="240" w:after="240" w:line="276" w:lineRule="auto"/>
        <w:jc w:val="both"/>
        <w:rPr>
          <w:rFonts w:cs="Arial"/>
          <w:b/>
          <w:color w:val="auto"/>
          <w:u w:val="single"/>
        </w:rPr>
      </w:pPr>
      <w:r w:rsidRPr="00DD7697">
        <w:rPr>
          <w:rFonts w:cs="Arial"/>
          <w:b/>
          <w:color w:val="auto"/>
          <w:u w:val="single"/>
        </w:rPr>
        <w:t xml:space="preserve">Appeal </w:t>
      </w:r>
      <w:proofErr w:type="gramStart"/>
      <w:r w:rsidRPr="00DD7697">
        <w:rPr>
          <w:rFonts w:cs="Arial"/>
          <w:b/>
          <w:color w:val="auto"/>
          <w:u w:val="single"/>
        </w:rPr>
        <w:t>point</w:t>
      </w:r>
      <w:proofErr w:type="gramEnd"/>
      <w:r w:rsidRPr="00DD7697">
        <w:rPr>
          <w:rFonts w:cs="Arial"/>
          <w:b/>
          <w:color w:val="auto"/>
          <w:u w:val="single"/>
        </w:rPr>
        <w:t xml:space="preserve"> </w:t>
      </w:r>
      <w:r>
        <w:rPr>
          <w:rFonts w:cs="Arial"/>
          <w:b/>
          <w:color w:val="auto"/>
          <w:u w:val="single"/>
        </w:rPr>
        <w:t>1(a)</w:t>
      </w:r>
      <w:r w:rsidRPr="006F5822">
        <w:rPr>
          <w:rFonts w:cs="Arial"/>
          <w:b/>
          <w:color w:val="auto"/>
          <w:u w:val="single"/>
        </w:rPr>
        <w:t>.</w:t>
      </w:r>
      <w:r>
        <w:rPr>
          <w:rFonts w:cs="Arial"/>
          <w:b/>
          <w:color w:val="auto"/>
          <w:u w:val="single"/>
        </w:rPr>
        <w:t xml:space="preserve">6: The Committee's consideration of the appropriate ICER threshold for this appraisal has failed to </w:t>
      </w:r>
      <w:proofErr w:type="gramStart"/>
      <w:r>
        <w:rPr>
          <w:rFonts w:cs="Arial"/>
          <w:b/>
          <w:color w:val="auto"/>
          <w:u w:val="single"/>
        </w:rPr>
        <w:t>take into account</w:t>
      </w:r>
      <w:proofErr w:type="gramEnd"/>
      <w:r>
        <w:rPr>
          <w:rFonts w:cs="Arial"/>
          <w:b/>
          <w:color w:val="auto"/>
          <w:u w:val="single"/>
        </w:rPr>
        <w:t xml:space="preserve"> the factors listed in the Manual.    </w:t>
      </w:r>
    </w:p>
    <w:p w:rsidRPr="000F59C7" w:rsidR="007E4DE2" w:rsidP="00DA3B73" w:rsidRDefault="00DA3B73" w14:paraId="6E80F4D6" w14:textId="412C8BE6">
      <w:pPr>
        <w:pStyle w:val="BodyText"/>
        <w:jc w:val="both"/>
        <w:rPr>
          <w:rFonts w:cs="Arial"/>
          <w:color w:val="auto"/>
        </w:rPr>
      </w:pPr>
      <w:r w:rsidRPr="000F59C7">
        <w:rPr>
          <w:rFonts w:cs="Arial"/>
          <w:color w:val="auto"/>
        </w:rPr>
        <w:t xml:space="preserve">I </w:t>
      </w:r>
      <w:r w:rsidRPr="000F59C7" w:rsidR="007E4DE2">
        <w:rPr>
          <w:rFonts w:cs="Arial"/>
          <w:color w:val="auto"/>
        </w:rPr>
        <w:t xml:space="preserve">am not minded </w:t>
      </w:r>
      <w:proofErr w:type="gramStart"/>
      <w:r w:rsidRPr="000F59C7" w:rsidR="007E4DE2">
        <w:rPr>
          <w:rFonts w:cs="Arial"/>
          <w:color w:val="auto"/>
        </w:rPr>
        <w:t>to refer</w:t>
      </w:r>
      <w:proofErr w:type="gramEnd"/>
      <w:r w:rsidRPr="000F59C7" w:rsidR="007E4DE2">
        <w:rPr>
          <w:rFonts w:cs="Arial"/>
          <w:color w:val="auto"/>
        </w:rPr>
        <w:t xml:space="preserve"> this </w:t>
      </w:r>
      <w:r w:rsidRPr="000F59C7">
        <w:rPr>
          <w:rFonts w:cs="Arial"/>
          <w:color w:val="auto"/>
        </w:rPr>
        <w:t xml:space="preserve">appeal </w:t>
      </w:r>
      <w:proofErr w:type="gramStart"/>
      <w:r w:rsidRPr="000F59C7">
        <w:rPr>
          <w:rFonts w:cs="Arial"/>
          <w:color w:val="auto"/>
        </w:rPr>
        <w:t>point</w:t>
      </w:r>
      <w:proofErr w:type="gramEnd"/>
      <w:r w:rsidRPr="000F59C7" w:rsidR="007E4DE2">
        <w:rPr>
          <w:rFonts w:cs="Arial"/>
          <w:color w:val="auto"/>
        </w:rPr>
        <w:t xml:space="preserve"> to the Appeal Panel</w:t>
      </w:r>
      <w:r w:rsidRPr="000F59C7">
        <w:rPr>
          <w:rFonts w:cs="Arial"/>
          <w:color w:val="auto"/>
        </w:rPr>
        <w:t xml:space="preserve">. </w:t>
      </w:r>
    </w:p>
    <w:p w:rsidR="007E4DE2" w:rsidP="00DA3B73" w:rsidRDefault="007E4DE2" w14:paraId="0D3FCCF5" w14:textId="1399651C">
      <w:pPr>
        <w:pStyle w:val="BodyText"/>
        <w:jc w:val="both"/>
        <w:rPr>
          <w:rFonts w:cs="Arial"/>
        </w:rPr>
      </w:pPr>
      <w:r>
        <w:rPr>
          <w:rFonts w:cs="Arial"/>
        </w:rPr>
        <w:t>Paragraph 6.3.5</w:t>
      </w:r>
      <w:r w:rsidR="00572866">
        <w:rPr>
          <w:rFonts w:cs="Arial"/>
        </w:rPr>
        <w:t xml:space="preserve"> of the Manual</w:t>
      </w:r>
      <w:r>
        <w:rPr>
          <w:rFonts w:cs="Arial"/>
        </w:rPr>
        <w:t>, which is set out in your appeal letter, provides as follows:</w:t>
      </w:r>
    </w:p>
    <w:p w:rsidRPr="00926A44" w:rsidR="007E4DE2" w:rsidP="00926A44" w:rsidRDefault="00572866" w14:paraId="2BEA4A57" w14:textId="7EC891A0">
      <w:pPr>
        <w:pStyle w:val="BodyText"/>
        <w:ind w:left="360"/>
        <w:jc w:val="both"/>
        <w:rPr>
          <w:rFonts w:cs="Arial"/>
          <w:i/>
          <w:iCs/>
        </w:rPr>
      </w:pPr>
      <w:r>
        <w:rPr>
          <w:rFonts w:cs="Arial"/>
          <w:i/>
          <w:iCs/>
        </w:rPr>
        <w:t>"</w:t>
      </w:r>
      <w:r w:rsidRPr="00926A44" w:rsidR="007E4DE2">
        <w:rPr>
          <w:rFonts w:cs="Arial"/>
          <w:i/>
          <w:iCs/>
        </w:rPr>
        <w:t xml:space="preserve">Above a most plausible ICER of £20,000 per QALY gained, or £100,000 per QALY gained for highly specialised technologies, decisions about the acceptability of the technology as an effective use of NHS resources will specifically consider the following factors: </w:t>
      </w:r>
    </w:p>
    <w:p w:rsidRPr="00926A44" w:rsidR="007E4DE2" w:rsidP="00926A44" w:rsidRDefault="007E4DE2" w14:paraId="7423DFB7" w14:textId="3464F0DB">
      <w:pPr>
        <w:pStyle w:val="BodyText"/>
        <w:numPr>
          <w:ilvl w:val="0"/>
          <w:numId w:val="2"/>
        </w:numPr>
        <w:tabs>
          <w:tab w:val="clear" w:pos="720"/>
          <w:tab w:val="num" w:pos="1080"/>
        </w:tabs>
        <w:ind w:left="1080"/>
        <w:jc w:val="both"/>
        <w:rPr>
          <w:rFonts w:cs="Arial"/>
          <w:i/>
          <w:iCs/>
        </w:rPr>
      </w:pPr>
      <w:r w:rsidRPr="00926A44">
        <w:rPr>
          <w:rFonts w:cs="Arial"/>
          <w:i/>
          <w:iCs/>
        </w:rPr>
        <w:t xml:space="preserve">the degree of certainty and uncertainty around the ICER </w:t>
      </w:r>
    </w:p>
    <w:p w:rsidRPr="00926A44" w:rsidR="007E4DE2" w:rsidP="00926A44" w:rsidRDefault="007E4DE2" w14:paraId="01CBAB04" w14:textId="7E82B7EA">
      <w:pPr>
        <w:pStyle w:val="BodyText"/>
        <w:numPr>
          <w:ilvl w:val="0"/>
          <w:numId w:val="2"/>
        </w:numPr>
        <w:tabs>
          <w:tab w:val="clear" w:pos="720"/>
          <w:tab w:val="num" w:pos="1080"/>
        </w:tabs>
        <w:ind w:left="1080"/>
        <w:jc w:val="both"/>
        <w:rPr>
          <w:rFonts w:cs="Arial"/>
          <w:i/>
          <w:iCs/>
        </w:rPr>
      </w:pPr>
      <w:r w:rsidRPr="00926A44">
        <w:rPr>
          <w:rFonts w:cs="Arial"/>
          <w:i/>
          <w:iCs/>
        </w:rPr>
        <w:t xml:space="preserve">aspects that relate to uncaptured benefits and non-health factors </w:t>
      </w:r>
    </w:p>
    <w:p w:rsidRPr="00926A44" w:rsidR="007E4DE2" w:rsidP="00926A44" w:rsidRDefault="007E4DE2" w14:paraId="45D3DFD9" w14:textId="6F8798A4">
      <w:pPr>
        <w:pStyle w:val="BodyText"/>
        <w:numPr>
          <w:ilvl w:val="0"/>
          <w:numId w:val="2"/>
        </w:numPr>
        <w:tabs>
          <w:tab w:val="clear" w:pos="720"/>
          <w:tab w:val="num" w:pos="1080"/>
        </w:tabs>
        <w:ind w:left="1080"/>
        <w:jc w:val="both"/>
        <w:rPr>
          <w:rFonts w:cs="Arial"/>
          <w:i/>
          <w:iCs/>
        </w:rPr>
      </w:pPr>
      <w:r w:rsidRPr="00926A44">
        <w:rPr>
          <w:rFonts w:cs="Arial"/>
          <w:i/>
          <w:iCs/>
        </w:rPr>
        <w:t>aspects that relate to health inequalities.</w:t>
      </w:r>
      <w:r w:rsidR="00572866">
        <w:rPr>
          <w:rFonts w:cs="Arial"/>
          <w:i/>
          <w:iCs/>
        </w:rPr>
        <w:t>"</w:t>
      </w:r>
      <w:r w:rsidRPr="00926A44">
        <w:rPr>
          <w:rFonts w:cs="Arial"/>
          <w:i/>
          <w:iCs/>
        </w:rPr>
        <w:t xml:space="preserve"> </w:t>
      </w:r>
    </w:p>
    <w:p w:rsidR="007E4DE2" w:rsidP="00DA3B73" w:rsidRDefault="007E4DE2" w14:paraId="6D4B79BA" w14:textId="669D22D5">
      <w:pPr>
        <w:pStyle w:val="BodyText"/>
        <w:jc w:val="both"/>
        <w:rPr>
          <w:rFonts w:cs="Arial"/>
        </w:rPr>
      </w:pPr>
      <w:r>
        <w:rPr>
          <w:rFonts w:cs="Arial"/>
        </w:rPr>
        <w:t xml:space="preserve">As I understand the appeal point, the Company relies on </w:t>
      </w:r>
      <w:r w:rsidR="005E0351">
        <w:rPr>
          <w:rFonts w:cs="Arial"/>
        </w:rPr>
        <w:t xml:space="preserve">this paragraph to argue that that the Committee should </w:t>
      </w:r>
      <w:proofErr w:type="gramStart"/>
      <w:r w:rsidR="005E0351">
        <w:rPr>
          <w:rFonts w:cs="Arial"/>
        </w:rPr>
        <w:t>have, and</w:t>
      </w:r>
      <w:proofErr w:type="gramEnd"/>
      <w:r w:rsidR="005E0351">
        <w:rPr>
          <w:rFonts w:cs="Arial"/>
        </w:rPr>
        <w:t xml:space="preserve"> did not 'specifically consider' health inequalities when determining that the most </w:t>
      </w:r>
      <w:r w:rsidR="005E0351">
        <w:rPr>
          <w:rFonts w:cs="Arial"/>
        </w:rPr>
        <w:t>appropriate ICER threshold should not depart from the standard threshold of around £20,000 per QALY gained. The Company also argues that the same provision requires explanation of how uncaptured health benefits were assessed by the Committee in reaching this view.</w:t>
      </w:r>
    </w:p>
    <w:p w:rsidR="00D36DCD" w:rsidP="00DA3B73" w:rsidRDefault="005E0351" w14:paraId="1BCF762C" w14:textId="0C6D7A50">
      <w:pPr>
        <w:pStyle w:val="BodyText"/>
        <w:jc w:val="both"/>
        <w:rPr>
          <w:rFonts w:cs="Arial"/>
        </w:rPr>
      </w:pPr>
      <w:r>
        <w:rPr>
          <w:rFonts w:cs="Arial"/>
        </w:rPr>
        <w:t>My provisional view is that this argument arises from a misreading of paragraph 6.3.5 of the Manual. It</w:t>
      </w:r>
      <w:r w:rsidR="00D36DCD">
        <w:rPr>
          <w:rFonts w:cs="Arial"/>
        </w:rPr>
        <w:t xml:space="preserve"> applies "</w:t>
      </w:r>
      <w:r w:rsidRPr="00926A44" w:rsidR="00D36DCD">
        <w:rPr>
          <w:rFonts w:cs="Arial"/>
          <w:i/>
          <w:iCs/>
          <w:u w:val="single"/>
        </w:rPr>
        <w:t>above</w:t>
      </w:r>
      <w:r w:rsidRPr="00D36DCD" w:rsidR="00D36DCD">
        <w:rPr>
          <w:rFonts w:cs="Arial"/>
          <w:i/>
          <w:iCs/>
        </w:rPr>
        <w:t xml:space="preserve"> a most plausible ICER of £20,000 per QALY gained</w:t>
      </w:r>
      <w:r w:rsidR="00D36DCD">
        <w:rPr>
          <w:rFonts w:cs="Arial"/>
        </w:rPr>
        <w:t>"</w:t>
      </w:r>
      <w:r>
        <w:rPr>
          <w:rFonts w:cs="Arial"/>
        </w:rPr>
        <w:t xml:space="preserve"> (emphasis added)</w:t>
      </w:r>
      <w:r w:rsidR="00D36DCD">
        <w:rPr>
          <w:rFonts w:cs="Arial"/>
        </w:rPr>
        <w:t>. Paragraph 3.25 of the FDG is clear that, for the reasons explained in that paragraph, the Committee concluded that an acceptable ICER would be around £20,000 per QALY gained</w:t>
      </w:r>
      <w:r>
        <w:rPr>
          <w:rFonts w:cs="Arial"/>
        </w:rPr>
        <w:t>, not above that usual threshold</w:t>
      </w:r>
      <w:r w:rsidR="00D36DCD">
        <w:rPr>
          <w:rFonts w:cs="Arial"/>
        </w:rPr>
        <w:t xml:space="preserve">. </w:t>
      </w:r>
    </w:p>
    <w:p w:rsidR="0018657C" w:rsidP="00DA3B73" w:rsidRDefault="00D36DCD" w14:paraId="37373082" w14:textId="77777777">
      <w:pPr>
        <w:pStyle w:val="BodyText"/>
        <w:jc w:val="both"/>
        <w:rPr>
          <w:rFonts w:cs="Arial"/>
        </w:rPr>
      </w:pPr>
      <w:r>
        <w:rPr>
          <w:rFonts w:cs="Arial"/>
        </w:rPr>
        <w:t>This is in line with</w:t>
      </w:r>
      <w:r w:rsidR="0018657C">
        <w:rPr>
          <w:rFonts w:cs="Arial"/>
        </w:rPr>
        <w:t>:</w:t>
      </w:r>
    </w:p>
    <w:p w:rsidR="0018657C" w:rsidP="0018657C" w:rsidRDefault="0018657C" w14:paraId="14738D4D" w14:textId="30422A6D">
      <w:pPr>
        <w:pStyle w:val="BodyText"/>
        <w:ind w:left="720"/>
        <w:jc w:val="both"/>
        <w:rPr>
          <w:rFonts w:cs="Arial"/>
        </w:rPr>
      </w:pPr>
      <w:r>
        <w:rPr>
          <w:rFonts w:cs="Arial"/>
        </w:rPr>
        <w:t>paragraph</w:t>
      </w:r>
      <w:r w:rsidR="00D36DCD">
        <w:rPr>
          <w:rFonts w:cs="Arial"/>
        </w:rPr>
        <w:t xml:space="preserve"> 6.3.4</w:t>
      </w:r>
      <w:r>
        <w:rPr>
          <w:rFonts w:cs="Arial"/>
        </w:rPr>
        <w:t xml:space="preserve"> of the Manual,</w:t>
      </w:r>
      <w:r w:rsidR="00D36DCD">
        <w:rPr>
          <w:rFonts w:cs="Arial"/>
        </w:rPr>
        <w:t xml:space="preserve"> which provides that "</w:t>
      </w:r>
      <w:r w:rsidRPr="00D36DCD" w:rsidR="00D36DCD">
        <w:rPr>
          <w:rFonts w:cs="Arial"/>
          <w:b/>
          <w:bCs/>
          <w:i/>
          <w:iCs/>
          <w:u w:val="single"/>
        </w:rPr>
        <w:t>below</w:t>
      </w:r>
      <w:r w:rsidR="00D36DCD">
        <w:rPr>
          <w:rFonts w:cs="Arial"/>
          <w:i/>
          <w:iCs/>
        </w:rPr>
        <w:t xml:space="preserve"> a most plausible ICER of £20,000 per QALY gained … the decision to recommend a technology is normally based on the cost-effectiveness estimate and the acceptability of a technology as an effective use of NHS resources" </w:t>
      </w:r>
      <w:r w:rsidR="00D36DCD">
        <w:rPr>
          <w:rFonts w:cs="Arial"/>
        </w:rPr>
        <w:t>(emphasis added)</w:t>
      </w:r>
      <w:r>
        <w:rPr>
          <w:rFonts w:cs="Arial"/>
        </w:rPr>
        <w:t>; and</w:t>
      </w:r>
    </w:p>
    <w:p w:rsidRPr="00D36DCD" w:rsidR="00DA3B73" w:rsidP="00926A44" w:rsidRDefault="0018657C" w14:paraId="3779B6F9" w14:textId="79435C66">
      <w:pPr>
        <w:pStyle w:val="BodyText"/>
        <w:ind w:left="720"/>
        <w:jc w:val="both"/>
        <w:rPr>
          <w:rFonts w:cs="Arial"/>
        </w:rPr>
      </w:pPr>
      <w:r>
        <w:rPr>
          <w:rFonts w:cs="Arial"/>
        </w:rPr>
        <w:t>paragraph 6.3.7 of the Manual, which provides that "a</w:t>
      </w:r>
      <w:r w:rsidRPr="00926A44">
        <w:rPr>
          <w:rFonts w:cs="Arial"/>
          <w:i/>
          <w:iCs/>
        </w:rPr>
        <w:t>s the ICER for a technology increases in the range of £20,000 to £30,000 per QALY gained, the committee's decisions about the acceptability of the technology as an effective use of NHS resources will make explicit reference to the relevant factors listed in section 6.3.5</w:t>
      </w:r>
      <w:r>
        <w:rPr>
          <w:rFonts w:cs="Arial"/>
        </w:rPr>
        <w:t>"</w:t>
      </w:r>
      <w:r w:rsidR="00D36DCD">
        <w:rPr>
          <w:rFonts w:cs="Arial"/>
        </w:rPr>
        <w:t xml:space="preserve">. </w:t>
      </w:r>
    </w:p>
    <w:p w:rsidR="00D36DCD" w:rsidP="00DA3B73" w:rsidRDefault="0018657C" w14:paraId="38C140C7" w14:textId="1276DAC3">
      <w:pPr>
        <w:pStyle w:val="BodyText"/>
        <w:jc w:val="both"/>
        <w:rPr>
          <w:rFonts w:cs="Arial"/>
        </w:rPr>
      </w:pPr>
      <w:proofErr w:type="gramStart"/>
      <w:r>
        <w:rPr>
          <w:rFonts w:cs="Arial"/>
        </w:rPr>
        <w:t>On the basis of</w:t>
      </w:r>
      <w:proofErr w:type="gramEnd"/>
      <w:r>
        <w:rPr>
          <w:rFonts w:cs="Arial"/>
        </w:rPr>
        <w:t xml:space="preserve"> the above, I do not consider that there is a requirement in the Manual for the Committee to expressly set out its consideration of health inequalities or uncaptured health benefits in reaching its view that the appropriate ICER threshold should not depart from around £20,000. In any event, the Committee has set out its </w:t>
      </w:r>
      <w:r w:rsidR="00D36DCD">
        <w:rPr>
          <w:rFonts w:cs="Arial"/>
        </w:rPr>
        <w:t xml:space="preserve">consideration </w:t>
      </w:r>
      <w:r>
        <w:rPr>
          <w:rFonts w:cs="Arial"/>
        </w:rPr>
        <w:t>of</w:t>
      </w:r>
      <w:r w:rsidR="00D36DCD">
        <w:rPr>
          <w:rFonts w:cs="Arial"/>
        </w:rPr>
        <w:t xml:space="preserve"> both health inequalities and uncaptured benefits at paragraphs 3.27 and 3.28 of the FDG respectively.</w:t>
      </w:r>
    </w:p>
    <w:p w:rsidR="00DA3B73" w:rsidP="00DA3B73" w:rsidRDefault="00DA3B73" w14:paraId="536D4200" w14:textId="4EBE462E">
      <w:pPr>
        <w:spacing w:before="240" w:after="240" w:line="276" w:lineRule="auto"/>
        <w:jc w:val="both"/>
        <w:rPr>
          <w:rFonts w:cs="Arial"/>
          <w:b/>
          <w:color w:val="auto"/>
          <w:u w:val="single"/>
        </w:rPr>
      </w:pPr>
      <w:r w:rsidRPr="00DD7697">
        <w:rPr>
          <w:rFonts w:cs="Arial"/>
          <w:b/>
          <w:color w:val="auto"/>
          <w:u w:val="single"/>
        </w:rPr>
        <w:t xml:space="preserve">Appeal </w:t>
      </w:r>
      <w:proofErr w:type="gramStart"/>
      <w:r w:rsidRPr="00DD7697">
        <w:rPr>
          <w:rFonts w:cs="Arial"/>
          <w:b/>
          <w:color w:val="auto"/>
          <w:u w:val="single"/>
        </w:rPr>
        <w:t>point</w:t>
      </w:r>
      <w:proofErr w:type="gramEnd"/>
      <w:r w:rsidRPr="00DD7697">
        <w:rPr>
          <w:rFonts w:cs="Arial"/>
          <w:b/>
          <w:color w:val="auto"/>
          <w:u w:val="single"/>
        </w:rPr>
        <w:t xml:space="preserve"> </w:t>
      </w:r>
      <w:r>
        <w:rPr>
          <w:rFonts w:cs="Arial"/>
          <w:b/>
          <w:color w:val="auto"/>
          <w:u w:val="single"/>
        </w:rPr>
        <w:t>1(a)</w:t>
      </w:r>
      <w:r w:rsidRPr="006F5822">
        <w:rPr>
          <w:rFonts w:cs="Arial"/>
          <w:b/>
          <w:color w:val="auto"/>
          <w:u w:val="single"/>
        </w:rPr>
        <w:t>.</w:t>
      </w:r>
      <w:r>
        <w:rPr>
          <w:rFonts w:cs="Arial"/>
          <w:b/>
          <w:color w:val="auto"/>
          <w:u w:val="single"/>
        </w:rPr>
        <w:t xml:space="preserve">7: The Committee has failed to consider scenario analyses which include unpaid care costs.    </w:t>
      </w:r>
    </w:p>
    <w:p w:rsidR="00C638BF" w:rsidP="00E87F1E" w:rsidRDefault="002C1B43" w14:paraId="4B44341F" w14:textId="36C9F197">
      <w:pPr>
        <w:pStyle w:val="BodyText"/>
        <w:jc w:val="both"/>
        <w:rPr>
          <w:rFonts w:cs="Arial"/>
        </w:rPr>
      </w:pPr>
      <w:r>
        <w:rPr>
          <w:rFonts w:cs="Arial"/>
          <w:color w:val="auto"/>
        </w:rPr>
        <w:t xml:space="preserve">I am minded </w:t>
      </w:r>
      <w:proofErr w:type="gramStart"/>
      <w:r>
        <w:rPr>
          <w:rFonts w:cs="Arial"/>
          <w:color w:val="auto"/>
        </w:rPr>
        <w:t>to refer</w:t>
      </w:r>
      <w:proofErr w:type="gramEnd"/>
      <w:r>
        <w:rPr>
          <w:rFonts w:cs="Arial"/>
          <w:color w:val="auto"/>
        </w:rPr>
        <w:t xml:space="preserve"> this appeal </w:t>
      </w:r>
      <w:proofErr w:type="gramStart"/>
      <w:r>
        <w:rPr>
          <w:rFonts w:cs="Arial"/>
          <w:color w:val="auto"/>
        </w:rPr>
        <w:t>point</w:t>
      </w:r>
      <w:proofErr w:type="gramEnd"/>
      <w:r>
        <w:rPr>
          <w:rFonts w:cs="Arial"/>
          <w:color w:val="auto"/>
        </w:rPr>
        <w:t xml:space="preserve"> to the Appeal Panel. </w:t>
      </w:r>
    </w:p>
    <w:p w:rsidR="00DA3B73" w:rsidP="00DA3B73" w:rsidRDefault="00DA3B73" w14:paraId="7EC8C01A" w14:textId="112A72AE">
      <w:pPr>
        <w:spacing w:before="240" w:after="240" w:line="276" w:lineRule="auto"/>
        <w:jc w:val="both"/>
        <w:rPr>
          <w:rFonts w:cs="Arial"/>
          <w:b/>
          <w:color w:val="auto"/>
          <w:u w:val="single"/>
        </w:rPr>
      </w:pPr>
      <w:r w:rsidRPr="00DD7697">
        <w:rPr>
          <w:rFonts w:cs="Arial"/>
          <w:b/>
          <w:color w:val="auto"/>
          <w:u w:val="single"/>
        </w:rPr>
        <w:t xml:space="preserve">Appeal </w:t>
      </w:r>
      <w:proofErr w:type="gramStart"/>
      <w:r w:rsidRPr="00DD7697">
        <w:rPr>
          <w:rFonts w:cs="Arial"/>
          <w:b/>
          <w:color w:val="auto"/>
          <w:u w:val="single"/>
        </w:rPr>
        <w:t>point</w:t>
      </w:r>
      <w:proofErr w:type="gramEnd"/>
      <w:r w:rsidRPr="00DD7697">
        <w:rPr>
          <w:rFonts w:cs="Arial"/>
          <w:b/>
          <w:color w:val="auto"/>
          <w:u w:val="single"/>
        </w:rPr>
        <w:t xml:space="preserve"> </w:t>
      </w:r>
      <w:r>
        <w:rPr>
          <w:rFonts w:cs="Arial"/>
          <w:b/>
          <w:color w:val="auto"/>
          <w:u w:val="single"/>
        </w:rPr>
        <w:t>1(a)</w:t>
      </w:r>
      <w:r w:rsidRPr="006F5822">
        <w:rPr>
          <w:rFonts w:cs="Arial"/>
          <w:b/>
          <w:color w:val="auto"/>
          <w:u w:val="single"/>
        </w:rPr>
        <w:t>.</w:t>
      </w:r>
      <w:r>
        <w:rPr>
          <w:rFonts w:cs="Arial"/>
          <w:b/>
          <w:color w:val="auto"/>
          <w:u w:val="single"/>
        </w:rPr>
        <w:t xml:space="preserve">8: The Committee has </w:t>
      </w:r>
      <w:proofErr w:type="gramStart"/>
      <w:r>
        <w:rPr>
          <w:rFonts w:cs="Arial"/>
          <w:b/>
          <w:color w:val="auto"/>
          <w:u w:val="single"/>
        </w:rPr>
        <w:t>taken into account</w:t>
      </w:r>
      <w:proofErr w:type="gramEnd"/>
      <w:r>
        <w:rPr>
          <w:rFonts w:cs="Arial"/>
          <w:b/>
          <w:color w:val="auto"/>
          <w:u w:val="single"/>
        </w:rPr>
        <w:t xml:space="preserve"> an irrelevant factor when deciding not to recommend donanemab.     </w:t>
      </w:r>
    </w:p>
    <w:p w:rsidR="00E23DAC" w:rsidP="00DA3B73" w:rsidRDefault="00DA3B73" w14:paraId="2C5E33B6" w14:textId="77777777">
      <w:pPr>
        <w:pStyle w:val="BodyText"/>
        <w:jc w:val="both"/>
        <w:rPr>
          <w:rFonts w:cs="Arial"/>
          <w:color w:val="auto"/>
        </w:rPr>
      </w:pPr>
      <w:r w:rsidRPr="00F27AB5">
        <w:rPr>
          <w:rFonts w:cs="Arial"/>
          <w:color w:val="auto"/>
        </w:rPr>
        <w:t>I am not</w:t>
      </w:r>
      <w:r w:rsidRPr="00DD7697">
        <w:rPr>
          <w:rFonts w:cs="Arial"/>
          <w:color w:val="auto"/>
        </w:rPr>
        <w:t xml:space="preserve"> minded </w:t>
      </w:r>
      <w:proofErr w:type="gramStart"/>
      <w:r w:rsidRPr="00DD7697">
        <w:rPr>
          <w:rFonts w:cs="Arial"/>
          <w:color w:val="auto"/>
        </w:rPr>
        <w:t>to refer</w:t>
      </w:r>
      <w:proofErr w:type="gramEnd"/>
      <w:r w:rsidRPr="00DD7697">
        <w:rPr>
          <w:rFonts w:cs="Arial"/>
          <w:color w:val="auto"/>
        </w:rPr>
        <w:t xml:space="preserve"> this appeal </w:t>
      </w:r>
      <w:proofErr w:type="gramStart"/>
      <w:r w:rsidRPr="00DD7697">
        <w:rPr>
          <w:rFonts w:cs="Arial"/>
          <w:color w:val="auto"/>
        </w:rPr>
        <w:t>point</w:t>
      </w:r>
      <w:proofErr w:type="gramEnd"/>
      <w:r w:rsidRPr="00DD7697">
        <w:rPr>
          <w:rFonts w:cs="Arial"/>
          <w:color w:val="auto"/>
        </w:rPr>
        <w:t xml:space="preserve"> to the Appeal Panel. </w:t>
      </w:r>
    </w:p>
    <w:p w:rsidR="00E23DAC" w:rsidP="00DA3B73" w:rsidRDefault="00E23DAC" w14:paraId="4F5FE8C2" w14:textId="36DD7889">
      <w:pPr>
        <w:pStyle w:val="BodyText"/>
        <w:jc w:val="both"/>
        <w:rPr>
          <w:rFonts w:cs="Arial"/>
          <w:color w:val="auto"/>
        </w:rPr>
      </w:pPr>
      <w:r>
        <w:rPr>
          <w:rFonts w:cs="Arial"/>
          <w:color w:val="auto"/>
        </w:rPr>
        <w:t>As I understand the appeal point, the Company's argument is that the references to the impact on NHS resources of adopting donanemab in paragraphs 3.25 and 3.26 of the FDG are evidence of procedural unfairness.</w:t>
      </w:r>
    </w:p>
    <w:p w:rsidRPr="00E23DAC" w:rsidR="00E23DAC" w:rsidP="00E23DAC" w:rsidRDefault="00E23DAC" w14:paraId="7F9FBC2D" w14:textId="070043BB">
      <w:pPr>
        <w:pStyle w:val="BodyText"/>
        <w:jc w:val="both"/>
        <w:rPr>
          <w:rFonts w:cs="Arial"/>
          <w:color w:val="auto"/>
        </w:rPr>
      </w:pPr>
      <w:r>
        <w:rPr>
          <w:rFonts w:cs="Arial"/>
          <w:color w:val="auto"/>
        </w:rPr>
        <w:t xml:space="preserve">Paragraph </w:t>
      </w:r>
      <w:r w:rsidRPr="00E23DAC">
        <w:rPr>
          <w:rFonts w:cs="Arial"/>
          <w:color w:val="auto"/>
        </w:rPr>
        <w:t>6.2.33</w:t>
      </w:r>
      <w:r>
        <w:rPr>
          <w:rFonts w:cs="Arial"/>
          <w:color w:val="auto"/>
        </w:rPr>
        <w:t xml:space="preserve"> of the Manual provides as follows:</w:t>
      </w:r>
      <w:r w:rsidRPr="00E23DAC">
        <w:rPr>
          <w:rFonts w:cs="Arial"/>
          <w:color w:val="auto"/>
        </w:rPr>
        <w:t xml:space="preserve"> </w:t>
      </w:r>
    </w:p>
    <w:p w:rsidRPr="00E23DAC" w:rsidR="00E23DAC" w:rsidP="00926A44" w:rsidRDefault="006A7CBD" w14:paraId="63013517" w14:textId="0F7CD2AA">
      <w:pPr>
        <w:pStyle w:val="BodyText"/>
        <w:ind w:left="720"/>
        <w:jc w:val="both"/>
        <w:rPr>
          <w:rFonts w:cs="Arial"/>
          <w:color w:val="auto"/>
        </w:rPr>
      </w:pPr>
      <w:r>
        <w:rPr>
          <w:rFonts w:cs="Arial"/>
          <w:i/>
          <w:iCs/>
          <w:color w:val="auto"/>
        </w:rPr>
        <w:t>"</w:t>
      </w:r>
      <w:r w:rsidRPr="00926A44" w:rsidR="00E23DAC">
        <w:rPr>
          <w:rFonts w:cs="Arial"/>
          <w:i/>
          <w:iCs/>
          <w:color w:val="auto"/>
        </w:rPr>
        <w:t xml:space="preserve">When considering uncertainty, the committee should take into account the likelihood of decision error and its consequences for patients and the NHS. There should be an explicit reference to the potential benefits and risks to patients based on the level of decision uncertainty and whether this can or cannot be mitigated. The committee should also consider the risks to the NHS of using the technology, based on the most plausible ICER </w:t>
      </w:r>
      <w:r w:rsidRPr="00926A44" w:rsidR="00E23DAC">
        <w:rPr>
          <w:rFonts w:cs="Arial"/>
          <w:b/>
          <w:bCs/>
          <w:i/>
          <w:iCs/>
          <w:color w:val="auto"/>
        </w:rPr>
        <w:t>and the impact of adopting the technology on NHS resources</w:t>
      </w:r>
      <w:r w:rsidRPr="00926A44" w:rsidR="00E23DAC">
        <w:rPr>
          <w:rFonts w:cs="Arial"/>
          <w:i/>
          <w:iCs/>
          <w:color w:val="auto"/>
        </w:rPr>
        <w:t>.</w:t>
      </w:r>
      <w:r>
        <w:rPr>
          <w:rFonts w:cs="Arial"/>
          <w:i/>
          <w:iCs/>
          <w:color w:val="auto"/>
        </w:rPr>
        <w:t>"</w:t>
      </w:r>
      <w:r w:rsidR="00E23DAC">
        <w:rPr>
          <w:rFonts w:cs="Arial"/>
          <w:color w:val="auto"/>
        </w:rPr>
        <w:t xml:space="preserve"> (emphasis added)</w:t>
      </w:r>
    </w:p>
    <w:p w:rsidR="00E23DAC" w:rsidP="00E23DAC" w:rsidRDefault="00E23DAC" w14:paraId="766327F7" w14:textId="44AD9C4D">
      <w:pPr>
        <w:pStyle w:val="BodyText"/>
        <w:jc w:val="both"/>
        <w:rPr>
          <w:rFonts w:cs="Arial"/>
          <w:color w:val="auto"/>
        </w:rPr>
      </w:pPr>
      <w:r>
        <w:rPr>
          <w:rFonts w:cs="Arial"/>
          <w:color w:val="auto"/>
        </w:rPr>
        <w:t xml:space="preserve">In paragraph 3.25 of the FDG, the Committee notes </w:t>
      </w:r>
      <w:r w:rsidRPr="00E23DAC">
        <w:rPr>
          <w:rFonts w:cs="Arial"/>
          <w:color w:val="auto"/>
        </w:rPr>
        <w:t>that substantial resources would be needed to implement access to donanemab in the NHS and that this may affect the provision of other services</w:t>
      </w:r>
      <w:r>
        <w:rPr>
          <w:rFonts w:cs="Arial"/>
          <w:color w:val="auto"/>
        </w:rPr>
        <w:t>, in the context of its consideration of decision risk, in line with paragraph 6.2.33 of the Manual.</w:t>
      </w:r>
    </w:p>
    <w:p w:rsidRPr="00E23DAC" w:rsidR="00E23DAC" w:rsidP="00E23DAC" w:rsidRDefault="00E23DAC" w14:paraId="51B5122D" w14:textId="6EDFF5D7">
      <w:pPr>
        <w:pStyle w:val="BodyText"/>
        <w:jc w:val="both"/>
        <w:rPr>
          <w:rFonts w:cs="Arial"/>
          <w:color w:val="auto"/>
        </w:rPr>
      </w:pPr>
      <w:r>
        <w:rPr>
          <w:rFonts w:cs="Arial"/>
          <w:color w:val="auto"/>
        </w:rPr>
        <w:t>In paragraph 3.26 of the FDG, the Committee noted the concerns raised about the resource requirements of implementing access to donanemab, but this is not determinative of its decision not to recommend managed access.  As noted above, that decision is driven by the Committee's conclusion that the technology is not plausibly cost effective.</w:t>
      </w:r>
    </w:p>
    <w:p w:rsidR="00F27AB5" w:rsidP="00DA3B73" w:rsidRDefault="00E23DAC" w14:paraId="18CBDB63" w14:textId="462E716E">
      <w:pPr>
        <w:pStyle w:val="BodyText"/>
        <w:jc w:val="both"/>
        <w:rPr>
          <w:rFonts w:cs="Arial"/>
        </w:rPr>
      </w:pPr>
      <w:r>
        <w:rPr>
          <w:rFonts w:cs="Arial"/>
          <w:color w:val="auto"/>
        </w:rPr>
        <w:t xml:space="preserve"> </w:t>
      </w:r>
      <w:r w:rsidR="00F27AB5">
        <w:rPr>
          <w:rFonts w:cs="Arial"/>
          <w:color w:val="auto"/>
        </w:rPr>
        <w:t xml:space="preserve">I do not consider it arguable that </w:t>
      </w:r>
      <w:r>
        <w:rPr>
          <w:rFonts w:cs="Arial"/>
          <w:color w:val="auto"/>
        </w:rPr>
        <w:t xml:space="preserve">either of these references demonstrate </w:t>
      </w:r>
      <w:r w:rsidR="00F27AB5">
        <w:rPr>
          <w:rFonts w:cs="Arial"/>
          <w:color w:val="auto"/>
        </w:rPr>
        <w:t>procedural unfair</w:t>
      </w:r>
      <w:r>
        <w:rPr>
          <w:rFonts w:cs="Arial"/>
          <w:color w:val="auto"/>
        </w:rPr>
        <w:t>ness</w:t>
      </w:r>
      <w:r w:rsidR="00F27AB5">
        <w:rPr>
          <w:rFonts w:cs="Arial"/>
          <w:color w:val="auto"/>
        </w:rPr>
        <w:t xml:space="preserve">.  </w:t>
      </w:r>
    </w:p>
    <w:p w:rsidRPr="007A7F07" w:rsidR="00B62869" w:rsidP="00B62869" w:rsidRDefault="007A7F07" w14:paraId="25FB955A" w14:textId="6BB2184D">
      <w:pPr>
        <w:spacing w:before="240" w:after="240" w:line="276" w:lineRule="auto"/>
        <w:jc w:val="both"/>
        <w:rPr>
          <w:rFonts w:cs="Arial"/>
          <w:b/>
          <w:i/>
          <w:color w:val="auto"/>
        </w:rPr>
      </w:pPr>
      <w:r>
        <w:rPr>
          <w:rFonts w:cs="Arial"/>
          <w:b/>
          <w:i/>
          <w:color w:val="auto"/>
        </w:rPr>
        <w:t>G</w:t>
      </w:r>
      <w:r w:rsidRPr="00E87F1E" w:rsidR="00491045">
        <w:rPr>
          <w:rFonts w:cs="Arial"/>
          <w:b/>
          <w:i/>
          <w:color w:val="auto"/>
        </w:rPr>
        <w:t xml:space="preserve">round 2: </w:t>
      </w:r>
      <w:r w:rsidRPr="00E87F1E" w:rsidR="00B62869">
        <w:rPr>
          <w:rFonts w:cs="Arial"/>
          <w:b/>
          <w:i/>
          <w:color w:val="auto"/>
        </w:rPr>
        <w:t>the recommendation is unreasonable in the light of the evidence submitted to NIC</w:t>
      </w:r>
      <w:r w:rsidR="006A7CBD">
        <w:rPr>
          <w:rFonts w:cs="Arial"/>
          <w:b/>
          <w:i/>
          <w:color w:val="auto"/>
        </w:rPr>
        <w:t>E.</w:t>
      </w:r>
    </w:p>
    <w:p w:rsidRPr="007A7F07" w:rsidR="00491045" w:rsidP="007A7F07" w:rsidRDefault="00B62869" w14:paraId="41564A14" w14:textId="03C55A9B">
      <w:pPr>
        <w:pStyle w:val="Paragraph"/>
        <w:numPr>
          <w:ilvl w:val="0"/>
          <w:numId w:val="0"/>
        </w:numPr>
        <w:jc w:val="both"/>
        <w:rPr>
          <w:rFonts w:cs="Arial"/>
          <w:b/>
          <w:u w:val="single"/>
        </w:rPr>
      </w:pPr>
      <w:r w:rsidRPr="007A7F07">
        <w:rPr>
          <w:rFonts w:cs="Arial"/>
          <w:b/>
          <w:sz w:val="20"/>
          <w:szCs w:val="20"/>
          <w:u w:val="single"/>
        </w:rPr>
        <w:t xml:space="preserve">Appeal </w:t>
      </w:r>
      <w:proofErr w:type="gramStart"/>
      <w:r w:rsidRPr="007A7F07">
        <w:rPr>
          <w:rFonts w:cs="Arial"/>
          <w:b/>
          <w:sz w:val="20"/>
          <w:szCs w:val="20"/>
          <w:u w:val="single"/>
        </w:rPr>
        <w:t>point</w:t>
      </w:r>
      <w:proofErr w:type="gramEnd"/>
      <w:r w:rsidRPr="007A7F07">
        <w:rPr>
          <w:rFonts w:cs="Arial"/>
          <w:b/>
          <w:sz w:val="20"/>
          <w:szCs w:val="20"/>
          <w:u w:val="single"/>
        </w:rPr>
        <w:t xml:space="preserve"> 2.1: </w:t>
      </w:r>
      <w:r w:rsidR="00DA3B73">
        <w:rPr>
          <w:rFonts w:cs="Arial"/>
          <w:b/>
          <w:sz w:val="20"/>
          <w:szCs w:val="20"/>
          <w:u w:val="single"/>
        </w:rPr>
        <w:t xml:space="preserve">The Committee's conclusion on caregiver </w:t>
      </w:r>
      <w:r w:rsidR="00FD462B">
        <w:rPr>
          <w:rFonts w:cs="Arial"/>
          <w:b/>
          <w:sz w:val="20"/>
          <w:szCs w:val="20"/>
          <w:u w:val="single"/>
        </w:rPr>
        <w:t xml:space="preserve">utilities do not reflect the evidence available and are therefore unreasonable. </w:t>
      </w:r>
    </w:p>
    <w:p w:rsidR="006830F2" w:rsidP="00491045" w:rsidRDefault="00491045" w14:paraId="49CCD6C6" w14:textId="4CECFF54">
      <w:pPr>
        <w:pStyle w:val="BodyText"/>
        <w:jc w:val="both"/>
        <w:rPr>
          <w:rFonts w:cs="Arial"/>
          <w:color w:val="auto"/>
        </w:rPr>
      </w:pPr>
      <w:r w:rsidRPr="001F6E74">
        <w:rPr>
          <w:rFonts w:cs="Arial"/>
          <w:color w:val="auto"/>
        </w:rPr>
        <w:t>I am</w:t>
      </w:r>
      <w:r w:rsidRPr="001F6E74" w:rsidR="001F6E74">
        <w:rPr>
          <w:rFonts w:cs="Arial"/>
          <w:color w:val="auto"/>
        </w:rPr>
        <w:t xml:space="preserve"> </w:t>
      </w:r>
      <w:r w:rsidR="00E23DAC">
        <w:rPr>
          <w:rFonts w:cs="Arial"/>
          <w:color w:val="auto"/>
        </w:rPr>
        <w:t xml:space="preserve">provisionally </w:t>
      </w:r>
      <w:r w:rsidRPr="001F6E74">
        <w:rPr>
          <w:rFonts w:cs="Arial"/>
          <w:color w:val="auto"/>
        </w:rPr>
        <w:t>minded</w:t>
      </w:r>
      <w:r w:rsidRPr="00DD7697">
        <w:rPr>
          <w:rFonts w:cs="Arial"/>
          <w:color w:val="auto"/>
        </w:rPr>
        <w:t xml:space="preserve"> </w:t>
      </w:r>
      <w:proofErr w:type="gramStart"/>
      <w:r w:rsidRPr="00DD7697">
        <w:rPr>
          <w:rFonts w:cs="Arial"/>
          <w:color w:val="auto"/>
        </w:rPr>
        <w:t>to refer</w:t>
      </w:r>
      <w:proofErr w:type="gramEnd"/>
      <w:r w:rsidRPr="00DD7697">
        <w:rPr>
          <w:rFonts w:cs="Arial"/>
          <w:color w:val="auto"/>
        </w:rPr>
        <w:t xml:space="preserve"> this appeal </w:t>
      </w:r>
      <w:proofErr w:type="gramStart"/>
      <w:r w:rsidRPr="00DD7697">
        <w:rPr>
          <w:rFonts w:cs="Arial"/>
          <w:color w:val="auto"/>
        </w:rPr>
        <w:t>point</w:t>
      </w:r>
      <w:proofErr w:type="gramEnd"/>
      <w:r w:rsidRPr="00DD7697">
        <w:rPr>
          <w:rFonts w:cs="Arial"/>
          <w:color w:val="auto"/>
        </w:rPr>
        <w:t xml:space="preserve"> to the Appeal Panel</w:t>
      </w:r>
      <w:r w:rsidR="001F6E74">
        <w:rPr>
          <w:rFonts w:cs="Arial"/>
          <w:color w:val="auto"/>
        </w:rPr>
        <w:t xml:space="preserve">. </w:t>
      </w:r>
    </w:p>
    <w:p w:rsidR="001F6E74" w:rsidP="00491045" w:rsidRDefault="001F6E74" w14:paraId="3DDC9688" w14:textId="7FD281DC">
      <w:pPr>
        <w:pStyle w:val="BodyText"/>
        <w:jc w:val="both"/>
        <w:rPr>
          <w:rFonts w:cs="Arial"/>
          <w:color w:val="auto"/>
        </w:rPr>
      </w:pPr>
      <w:r>
        <w:rPr>
          <w:rFonts w:cs="Arial"/>
          <w:color w:val="auto"/>
        </w:rPr>
        <w:t xml:space="preserve">I understand the Company's position to be that the Committee appears to have disregarded important evidence in reaching its conclusion as to caregiver utility values. </w:t>
      </w:r>
    </w:p>
    <w:p w:rsidR="00491045" w:rsidP="00491045" w:rsidRDefault="001F6E74" w14:paraId="2664B26B" w14:textId="7E45724C">
      <w:pPr>
        <w:pStyle w:val="BodyText"/>
        <w:jc w:val="both"/>
        <w:rPr>
          <w:rFonts w:cs="Arial"/>
          <w:color w:val="auto"/>
        </w:rPr>
      </w:pPr>
      <w:r>
        <w:rPr>
          <w:rFonts w:cs="Arial"/>
          <w:color w:val="auto"/>
        </w:rPr>
        <w:t>T</w:t>
      </w:r>
      <w:r w:rsidR="00E23DAC">
        <w:rPr>
          <w:rFonts w:cs="Arial"/>
          <w:color w:val="auto"/>
        </w:rPr>
        <w:t>o support my decision at final scrutiny, t</w:t>
      </w:r>
      <w:r>
        <w:rPr>
          <w:rFonts w:cs="Arial"/>
          <w:color w:val="auto"/>
        </w:rPr>
        <w:t xml:space="preserve">he Company may wish to detail in its response to this letter the specific evidence which it considers </w:t>
      </w:r>
      <w:proofErr w:type="gramStart"/>
      <w:r>
        <w:rPr>
          <w:rFonts w:cs="Arial"/>
          <w:color w:val="auto"/>
        </w:rPr>
        <w:t>to have</w:t>
      </w:r>
      <w:proofErr w:type="gramEnd"/>
      <w:r>
        <w:rPr>
          <w:rFonts w:cs="Arial"/>
          <w:color w:val="auto"/>
        </w:rPr>
        <w:t xml:space="preserve"> been disregarded, </w:t>
      </w:r>
      <w:r w:rsidR="00EC20D2">
        <w:rPr>
          <w:rFonts w:cs="Arial"/>
          <w:color w:val="auto"/>
        </w:rPr>
        <w:t>including detail of</w:t>
      </w:r>
      <w:r>
        <w:rPr>
          <w:rFonts w:cs="Arial"/>
          <w:color w:val="auto"/>
        </w:rPr>
        <w:t xml:space="preserve"> when this evidence was put to the Committee during the appraisal process. The Company may also wish to explain in its response whether, by reference to the provisions of the Manual, the studies it submitted</w:t>
      </w:r>
      <w:r w:rsidR="00EC20D2">
        <w:rPr>
          <w:rFonts w:cs="Arial"/>
          <w:color w:val="auto"/>
        </w:rPr>
        <w:t xml:space="preserve"> </w:t>
      </w:r>
      <w:r w:rsidR="006830F2">
        <w:rPr>
          <w:rFonts w:cs="Arial"/>
          <w:color w:val="auto"/>
        </w:rPr>
        <w:t>allowed and/or justified</w:t>
      </w:r>
      <w:r w:rsidR="00EC20D2">
        <w:rPr>
          <w:rFonts w:cs="Arial"/>
          <w:color w:val="auto"/>
        </w:rPr>
        <w:t xml:space="preserve"> a departure from the reference case. </w:t>
      </w:r>
    </w:p>
    <w:p w:rsidRPr="007A7F07" w:rsidR="00FD462B" w:rsidP="00FD462B" w:rsidRDefault="00FD462B" w14:paraId="19C221FF" w14:textId="47EDBCD0">
      <w:pPr>
        <w:pStyle w:val="Paragraph"/>
        <w:numPr>
          <w:ilvl w:val="0"/>
          <w:numId w:val="0"/>
        </w:numPr>
        <w:jc w:val="both"/>
        <w:rPr>
          <w:rFonts w:cs="Arial"/>
          <w:b/>
          <w:u w:val="single"/>
        </w:rPr>
      </w:pPr>
      <w:r w:rsidRPr="007A7F07">
        <w:rPr>
          <w:rFonts w:cs="Arial"/>
          <w:b/>
          <w:sz w:val="20"/>
          <w:szCs w:val="20"/>
          <w:u w:val="single"/>
        </w:rPr>
        <w:t xml:space="preserve">Appeal </w:t>
      </w:r>
      <w:proofErr w:type="gramStart"/>
      <w:r w:rsidRPr="007A7F07">
        <w:rPr>
          <w:rFonts w:cs="Arial"/>
          <w:b/>
          <w:sz w:val="20"/>
          <w:szCs w:val="20"/>
          <w:u w:val="single"/>
        </w:rPr>
        <w:t>point</w:t>
      </w:r>
      <w:proofErr w:type="gramEnd"/>
      <w:r w:rsidRPr="007A7F07">
        <w:rPr>
          <w:rFonts w:cs="Arial"/>
          <w:b/>
          <w:sz w:val="20"/>
          <w:szCs w:val="20"/>
          <w:u w:val="single"/>
        </w:rPr>
        <w:t xml:space="preserve"> 2.</w:t>
      </w:r>
      <w:r>
        <w:rPr>
          <w:rFonts w:cs="Arial"/>
          <w:b/>
          <w:sz w:val="20"/>
          <w:szCs w:val="20"/>
          <w:u w:val="single"/>
        </w:rPr>
        <w:t>2</w:t>
      </w:r>
      <w:r w:rsidRPr="007A7F07">
        <w:rPr>
          <w:rFonts w:cs="Arial"/>
          <w:b/>
          <w:sz w:val="20"/>
          <w:szCs w:val="20"/>
          <w:u w:val="single"/>
        </w:rPr>
        <w:t xml:space="preserve">: </w:t>
      </w:r>
      <w:r>
        <w:rPr>
          <w:rFonts w:cs="Arial"/>
          <w:b/>
          <w:sz w:val="20"/>
          <w:szCs w:val="20"/>
          <w:u w:val="single"/>
        </w:rPr>
        <w:t>The Committee's approach to the proportion of patients initiating treatment in mild Alzheimer's Disease is inconsistent and unreasonable.</w:t>
      </w:r>
    </w:p>
    <w:p w:rsidR="00FD462B" w:rsidP="00FD462B" w:rsidRDefault="002F02D4" w14:paraId="479EF533" w14:textId="15B3608C">
      <w:pPr>
        <w:pStyle w:val="BodyText"/>
        <w:jc w:val="both"/>
        <w:rPr>
          <w:rFonts w:cs="Arial"/>
          <w:color w:val="auto"/>
        </w:rPr>
      </w:pPr>
      <w:r>
        <w:rPr>
          <w:rFonts w:cs="Arial"/>
          <w:color w:val="auto"/>
        </w:rPr>
        <w:t xml:space="preserve">I am not currently minded </w:t>
      </w:r>
      <w:proofErr w:type="gramStart"/>
      <w:r>
        <w:rPr>
          <w:rFonts w:cs="Arial"/>
          <w:color w:val="auto"/>
        </w:rPr>
        <w:t>to refer</w:t>
      </w:r>
      <w:proofErr w:type="gramEnd"/>
      <w:r>
        <w:rPr>
          <w:rFonts w:cs="Arial"/>
          <w:color w:val="auto"/>
        </w:rPr>
        <w:t xml:space="preserve"> this appeal </w:t>
      </w:r>
      <w:proofErr w:type="gramStart"/>
      <w:r>
        <w:rPr>
          <w:rFonts w:cs="Arial"/>
          <w:color w:val="auto"/>
        </w:rPr>
        <w:t>point</w:t>
      </w:r>
      <w:proofErr w:type="gramEnd"/>
      <w:r>
        <w:rPr>
          <w:rFonts w:cs="Arial"/>
          <w:color w:val="auto"/>
        </w:rPr>
        <w:t xml:space="preserve"> to the Appeal Panel. </w:t>
      </w:r>
      <w:r w:rsidR="003130C6">
        <w:rPr>
          <w:rFonts w:cs="Arial"/>
          <w:color w:val="auto"/>
        </w:rPr>
        <w:t>That is</w:t>
      </w:r>
      <w:r>
        <w:rPr>
          <w:rFonts w:cs="Arial"/>
          <w:color w:val="auto"/>
        </w:rPr>
        <w:t xml:space="preserve"> because I do not consider there to be inconsistency between the starting proportions adopted in the model preferred in this technology appraisal and the appraisal for </w:t>
      </w:r>
      <w:proofErr w:type="spellStart"/>
      <w:r>
        <w:rPr>
          <w:rFonts w:cs="Arial"/>
          <w:color w:val="auto"/>
        </w:rPr>
        <w:t>lecanemab</w:t>
      </w:r>
      <w:proofErr w:type="spellEnd"/>
      <w:r>
        <w:rPr>
          <w:rFonts w:cs="Arial"/>
          <w:color w:val="auto"/>
        </w:rPr>
        <w:t xml:space="preserve"> [ID4043]</w:t>
      </w:r>
      <w:r w:rsidR="003210E2">
        <w:rPr>
          <w:rFonts w:cs="Arial"/>
          <w:color w:val="auto"/>
        </w:rPr>
        <w:t xml:space="preserve"> amounting to unreasonableness or at all.</w:t>
      </w:r>
      <w:r>
        <w:rPr>
          <w:rFonts w:cs="Arial"/>
          <w:color w:val="auto"/>
        </w:rPr>
        <w:t xml:space="preserve"> </w:t>
      </w:r>
    </w:p>
    <w:p w:rsidR="002F02D4" w:rsidP="00FD462B" w:rsidRDefault="002F02D4" w14:paraId="6D6632FD" w14:textId="666069F1">
      <w:pPr>
        <w:pStyle w:val="BodyText"/>
        <w:jc w:val="both"/>
        <w:rPr>
          <w:rFonts w:cs="Arial"/>
          <w:color w:val="auto"/>
        </w:rPr>
      </w:pPr>
      <w:r>
        <w:rPr>
          <w:rFonts w:cs="Arial"/>
          <w:color w:val="auto"/>
        </w:rPr>
        <w:t xml:space="preserve">In this appraisal, the Committee explains at paragraph 3.13 of the FDG that the EAG maintained the </w:t>
      </w:r>
      <w:r w:rsidR="008C39CE">
        <w:rPr>
          <w:rFonts w:cs="Arial"/>
          <w:color w:val="auto"/>
        </w:rPr>
        <w:t xml:space="preserve">starting </w:t>
      </w:r>
      <w:r>
        <w:rPr>
          <w:rFonts w:cs="Arial"/>
          <w:color w:val="auto"/>
        </w:rPr>
        <w:t>proportions from the TRAILBLAZER</w:t>
      </w:r>
      <w:r w:rsidR="003210E2">
        <w:rPr>
          <w:rFonts w:cs="Arial"/>
          <w:color w:val="auto"/>
        </w:rPr>
        <w:t>-</w:t>
      </w:r>
      <w:r>
        <w:rPr>
          <w:rFonts w:cs="Arial"/>
          <w:color w:val="auto"/>
        </w:rPr>
        <w:t>ALZ</w:t>
      </w:r>
      <w:r w:rsidR="003210E2">
        <w:rPr>
          <w:rFonts w:cs="Arial"/>
          <w:color w:val="auto"/>
        </w:rPr>
        <w:t xml:space="preserve"> </w:t>
      </w:r>
      <w:r>
        <w:rPr>
          <w:rFonts w:cs="Arial"/>
          <w:color w:val="auto"/>
        </w:rPr>
        <w:t>2 trial overall population in line with the original EAG (and Company) base case</w:t>
      </w:r>
      <w:r w:rsidR="003130C6">
        <w:rPr>
          <w:rFonts w:cs="Arial"/>
          <w:color w:val="auto"/>
        </w:rPr>
        <w:t xml:space="preserve"> throughout the appraisal</w:t>
      </w:r>
      <w:r>
        <w:rPr>
          <w:rFonts w:cs="Arial"/>
          <w:color w:val="auto"/>
        </w:rPr>
        <w:t xml:space="preserve">. The Committee notes the clinical expert opinion suggesting that it is plausible that people starting treatment earlier could gain more benefit from donanemab. The Committee then concludes that the starting proportions should be aligned with the clinical data and that moving away from these would not be consistent with the rest of the </w:t>
      </w:r>
      <w:proofErr w:type="gramStart"/>
      <w:r>
        <w:rPr>
          <w:rFonts w:cs="Arial"/>
          <w:color w:val="auto"/>
        </w:rPr>
        <w:t>model, and</w:t>
      </w:r>
      <w:proofErr w:type="gramEnd"/>
      <w:r>
        <w:rPr>
          <w:rFonts w:cs="Arial"/>
          <w:color w:val="auto"/>
        </w:rPr>
        <w:t xml:space="preserve"> so preferred the EAG's approach</w:t>
      </w:r>
      <w:r w:rsidR="003130C6">
        <w:rPr>
          <w:rFonts w:cs="Arial"/>
          <w:color w:val="auto"/>
        </w:rPr>
        <w:t xml:space="preserve"> which adopted the starting proportions of MCI and mild dementia from TRAILBLAZER-ALZ 2.</w:t>
      </w:r>
    </w:p>
    <w:p w:rsidR="002F02D4" w:rsidP="00FD462B" w:rsidRDefault="002F02D4" w14:paraId="412B6A27" w14:textId="66AEA315">
      <w:pPr>
        <w:pStyle w:val="BodyText"/>
        <w:jc w:val="both"/>
        <w:rPr>
          <w:rFonts w:cs="Arial"/>
          <w:color w:val="auto"/>
        </w:rPr>
      </w:pPr>
      <w:r>
        <w:rPr>
          <w:rFonts w:cs="Arial"/>
          <w:color w:val="auto"/>
        </w:rPr>
        <w:t>In t</w:t>
      </w:r>
      <w:r w:rsidR="003130C6">
        <w:rPr>
          <w:rFonts w:cs="Arial"/>
          <w:color w:val="auto"/>
        </w:rPr>
        <w:t xml:space="preserve">he </w:t>
      </w:r>
      <w:proofErr w:type="spellStart"/>
      <w:r w:rsidR="003130C6">
        <w:rPr>
          <w:rFonts w:cs="Arial"/>
          <w:color w:val="auto"/>
        </w:rPr>
        <w:t>lecanemab</w:t>
      </w:r>
      <w:proofErr w:type="spellEnd"/>
      <w:r w:rsidR="003130C6">
        <w:rPr>
          <w:rFonts w:cs="Arial"/>
          <w:color w:val="auto"/>
        </w:rPr>
        <w:t xml:space="preserve"> appraisal, by the third committee meeting, the Company and the EAG both adopted the starting proportions of the overall population of the TRAILBLAZER</w:t>
      </w:r>
      <w:r w:rsidR="003210E2">
        <w:rPr>
          <w:rFonts w:cs="Arial"/>
          <w:color w:val="auto"/>
        </w:rPr>
        <w:t>-</w:t>
      </w:r>
      <w:r w:rsidR="003130C6">
        <w:rPr>
          <w:rFonts w:cs="Arial"/>
          <w:color w:val="auto"/>
        </w:rPr>
        <w:t>ALZ</w:t>
      </w:r>
      <w:r w:rsidR="003210E2">
        <w:rPr>
          <w:rFonts w:cs="Arial"/>
          <w:color w:val="auto"/>
        </w:rPr>
        <w:t xml:space="preserve"> </w:t>
      </w:r>
      <w:r w:rsidR="003130C6">
        <w:rPr>
          <w:rFonts w:cs="Arial"/>
          <w:color w:val="auto"/>
        </w:rPr>
        <w:t>2 trial into their base case. The Committee noted that it would normally prefer for the baseline characteristics used in the model to align with the source of efficacy data used (in that instance, Clarity AD</w:t>
      </w:r>
      <w:proofErr w:type="gramStart"/>
      <w:r w:rsidR="003130C6">
        <w:rPr>
          <w:rFonts w:cs="Arial"/>
          <w:color w:val="auto"/>
        </w:rPr>
        <w:t>), but</w:t>
      </w:r>
      <w:proofErr w:type="gramEnd"/>
      <w:r w:rsidR="003130C6">
        <w:rPr>
          <w:rFonts w:cs="Arial"/>
          <w:color w:val="auto"/>
        </w:rPr>
        <w:t xml:space="preserve"> noted that there were differences between the population included in Clarity AD and the eligible NHS population. As a result, </w:t>
      </w:r>
      <w:r w:rsidR="003130C6">
        <w:rPr>
          <w:rFonts w:cs="Arial"/>
          <w:color w:val="auto"/>
        </w:rPr>
        <w:t xml:space="preserve">it noted that the baseline proportions were </w:t>
      </w:r>
      <w:proofErr w:type="gramStart"/>
      <w:r w:rsidR="003130C6">
        <w:rPr>
          <w:rFonts w:cs="Arial"/>
          <w:color w:val="auto"/>
        </w:rPr>
        <w:t>uncertain, but</w:t>
      </w:r>
      <w:proofErr w:type="gramEnd"/>
      <w:r w:rsidR="003130C6">
        <w:rPr>
          <w:rFonts w:cs="Arial"/>
          <w:color w:val="auto"/>
        </w:rPr>
        <w:t xml:space="preserve"> concluded that it was appropriate to use the baseline proportions of MCI and mild dementia from TRAILBLAZER-ALZ 2.  </w:t>
      </w:r>
    </w:p>
    <w:p w:rsidRPr="00DD7697" w:rsidR="003130C6" w:rsidP="00FD462B" w:rsidRDefault="003130C6" w14:paraId="169D4416" w14:textId="039D3FF5">
      <w:pPr>
        <w:pStyle w:val="BodyText"/>
        <w:jc w:val="both"/>
        <w:rPr>
          <w:rFonts w:cs="Arial"/>
          <w:color w:val="auto"/>
        </w:rPr>
      </w:pPr>
      <w:r>
        <w:rPr>
          <w:rFonts w:cs="Arial"/>
          <w:color w:val="auto"/>
        </w:rPr>
        <w:t xml:space="preserve">Taking the above into account, I do not consider it arguable that there was inconsistency as between both </w:t>
      </w:r>
      <w:proofErr w:type="gramStart"/>
      <w:r>
        <w:rPr>
          <w:rFonts w:cs="Arial"/>
          <w:color w:val="auto"/>
        </w:rPr>
        <w:t>decisions, and</w:t>
      </w:r>
      <w:proofErr w:type="gramEnd"/>
      <w:r>
        <w:rPr>
          <w:rFonts w:cs="Arial"/>
          <w:color w:val="auto"/>
        </w:rPr>
        <w:t xml:space="preserve"> consequently do not consider the Committee's conclusion for preferring the baseline proportions from the TRAILBLAZER-ALZ 2 trial to be </w:t>
      </w:r>
      <w:r w:rsidR="00A9704F">
        <w:rPr>
          <w:rFonts w:cs="Arial"/>
          <w:color w:val="auto"/>
        </w:rPr>
        <w:t xml:space="preserve">arguably </w:t>
      </w:r>
      <w:r>
        <w:rPr>
          <w:rFonts w:cs="Arial"/>
          <w:color w:val="auto"/>
        </w:rPr>
        <w:t xml:space="preserve">unreasonable. </w:t>
      </w:r>
    </w:p>
    <w:p w:rsidRPr="007A7F07" w:rsidR="00FD462B" w:rsidP="00FD462B" w:rsidRDefault="00FD462B" w14:paraId="38317CE5" w14:textId="26D52429">
      <w:pPr>
        <w:pStyle w:val="Paragraph"/>
        <w:numPr>
          <w:ilvl w:val="0"/>
          <w:numId w:val="0"/>
        </w:numPr>
        <w:jc w:val="both"/>
        <w:rPr>
          <w:rFonts w:cs="Arial"/>
          <w:b/>
          <w:u w:val="single"/>
        </w:rPr>
      </w:pPr>
      <w:r w:rsidRPr="007A7F07">
        <w:rPr>
          <w:rFonts w:cs="Arial"/>
          <w:b/>
          <w:sz w:val="20"/>
          <w:szCs w:val="20"/>
          <w:u w:val="single"/>
        </w:rPr>
        <w:t xml:space="preserve">Appeal </w:t>
      </w:r>
      <w:proofErr w:type="gramStart"/>
      <w:r w:rsidRPr="007A7F07">
        <w:rPr>
          <w:rFonts w:cs="Arial"/>
          <w:b/>
          <w:sz w:val="20"/>
          <w:szCs w:val="20"/>
          <w:u w:val="single"/>
        </w:rPr>
        <w:t>point</w:t>
      </w:r>
      <w:proofErr w:type="gramEnd"/>
      <w:r w:rsidRPr="007A7F07">
        <w:rPr>
          <w:rFonts w:cs="Arial"/>
          <w:b/>
          <w:sz w:val="20"/>
          <w:szCs w:val="20"/>
          <w:u w:val="single"/>
        </w:rPr>
        <w:t xml:space="preserve"> 2.</w:t>
      </w:r>
      <w:r>
        <w:rPr>
          <w:rFonts w:cs="Arial"/>
          <w:b/>
          <w:sz w:val="20"/>
          <w:szCs w:val="20"/>
          <w:u w:val="single"/>
        </w:rPr>
        <w:t>3</w:t>
      </w:r>
      <w:r w:rsidRPr="007A7F07">
        <w:rPr>
          <w:rFonts w:cs="Arial"/>
          <w:b/>
          <w:sz w:val="20"/>
          <w:szCs w:val="20"/>
          <w:u w:val="single"/>
        </w:rPr>
        <w:t xml:space="preserve">: </w:t>
      </w:r>
      <w:r>
        <w:rPr>
          <w:rFonts w:cs="Arial"/>
          <w:b/>
          <w:sz w:val="20"/>
          <w:szCs w:val="20"/>
          <w:u w:val="single"/>
        </w:rPr>
        <w:t xml:space="preserve">The Committee's assessment of the additional aspects of donanemab treatment is unreasonable and arbitrary.  </w:t>
      </w:r>
    </w:p>
    <w:p w:rsidR="006A35FC" w:rsidP="00FD462B" w:rsidRDefault="00FD462B" w14:paraId="44B1C22D" w14:textId="77777777">
      <w:pPr>
        <w:pStyle w:val="BodyText"/>
        <w:jc w:val="both"/>
        <w:rPr>
          <w:rFonts w:cs="Arial"/>
          <w:color w:val="auto"/>
        </w:rPr>
      </w:pPr>
      <w:r w:rsidRPr="00DD7697">
        <w:rPr>
          <w:rFonts w:cs="Arial"/>
          <w:color w:val="auto"/>
        </w:rPr>
        <w:t xml:space="preserve">I </w:t>
      </w:r>
      <w:r w:rsidR="003130C6">
        <w:rPr>
          <w:rFonts w:cs="Arial"/>
          <w:color w:val="auto"/>
        </w:rPr>
        <w:t xml:space="preserve">am minded </w:t>
      </w:r>
      <w:proofErr w:type="gramStart"/>
      <w:r w:rsidR="003130C6">
        <w:rPr>
          <w:rFonts w:cs="Arial"/>
          <w:color w:val="auto"/>
        </w:rPr>
        <w:t>to refer</w:t>
      </w:r>
      <w:proofErr w:type="gramEnd"/>
      <w:r w:rsidR="003130C6">
        <w:rPr>
          <w:rFonts w:cs="Arial"/>
          <w:color w:val="auto"/>
        </w:rPr>
        <w:t xml:space="preserve"> this appeal </w:t>
      </w:r>
      <w:proofErr w:type="gramStart"/>
      <w:r w:rsidR="003130C6">
        <w:rPr>
          <w:rFonts w:cs="Arial"/>
          <w:color w:val="auto"/>
        </w:rPr>
        <w:t>point</w:t>
      </w:r>
      <w:proofErr w:type="gramEnd"/>
      <w:r w:rsidR="003130C6">
        <w:rPr>
          <w:rFonts w:cs="Arial"/>
          <w:color w:val="auto"/>
        </w:rPr>
        <w:t xml:space="preserve"> to the Appeal Panel. </w:t>
      </w:r>
    </w:p>
    <w:p w:rsidR="006A35FC" w:rsidP="00FD462B" w:rsidRDefault="003130C6" w14:paraId="1DB96A82" w14:textId="6D72C604">
      <w:pPr>
        <w:pStyle w:val="BodyText"/>
        <w:jc w:val="both"/>
        <w:rPr>
          <w:rFonts w:cs="Arial"/>
          <w:color w:val="auto"/>
        </w:rPr>
      </w:pPr>
      <w:r>
        <w:rPr>
          <w:rFonts w:cs="Arial"/>
          <w:color w:val="auto"/>
        </w:rPr>
        <w:t xml:space="preserve">I note </w:t>
      </w:r>
      <w:r w:rsidR="006A35FC">
        <w:rPr>
          <w:rFonts w:cs="Arial"/>
          <w:color w:val="auto"/>
        </w:rPr>
        <w:t xml:space="preserve">that at page </w:t>
      </w:r>
      <w:r w:rsidR="00A9704F">
        <w:rPr>
          <w:rFonts w:cs="Arial"/>
          <w:color w:val="auto"/>
        </w:rPr>
        <w:t>19</w:t>
      </w:r>
      <w:r w:rsidR="006A35FC">
        <w:rPr>
          <w:rFonts w:cs="Arial"/>
          <w:color w:val="auto"/>
        </w:rPr>
        <w:t xml:space="preserve"> of your letter you describe that "</w:t>
      </w:r>
      <w:r w:rsidR="006A35FC">
        <w:rPr>
          <w:rFonts w:cs="Arial"/>
          <w:i/>
          <w:iCs/>
          <w:color w:val="auto"/>
        </w:rPr>
        <w:t>while the uncaptured benefits listed at paragraph 3.28 are well established a</w:t>
      </w:r>
      <w:r w:rsidR="00A9704F">
        <w:rPr>
          <w:rFonts w:cs="Arial"/>
          <w:i/>
          <w:iCs/>
          <w:color w:val="auto"/>
        </w:rPr>
        <w:t>nd</w:t>
      </w:r>
      <w:r w:rsidR="006A35FC">
        <w:rPr>
          <w:rFonts w:cs="Arial"/>
          <w:i/>
          <w:iCs/>
          <w:color w:val="auto"/>
        </w:rPr>
        <w:t xml:space="preserve"> evidence</w:t>
      </w:r>
      <w:r w:rsidR="00A9704F">
        <w:rPr>
          <w:rFonts w:cs="Arial"/>
          <w:i/>
          <w:iCs/>
          <w:color w:val="auto"/>
        </w:rPr>
        <w:t>d</w:t>
      </w:r>
      <w:r w:rsidR="006A35FC">
        <w:rPr>
          <w:rFonts w:cs="Arial"/>
          <w:i/>
          <w:iCs/>
          <w:color w:val="auto"/>
        </w:rPr>
        <w:t xml:space="preserve"> by extensive, robust data which confirm the substantial financial and personal burden borne by individuals with AD…"</w:t>
      </w:r>
      <w:r w:rsidR="006A35FC">
        <w:rPr>
          <w:rFonts w:cs="Arial"/>
          <w:color w:val="auto"/>
        </w:rPr>
        <w:t xml:space="preserve">. </w:t>
      </w:r>
    </w:p>
    <w:p w:rsidRPr="00DD7697" w:rsidR="00FD462B" w:rsidP="00FD462B" w:rsidRDefault="006A35FC" w14:paraId="5D912F16" w14:textId="4BAD1AD9">
      <w:pPr>
        <w:pStyle w:val="BodyText"/>
        <w:jc w:val="both"/>
        <w:rPr>
          <w:rFonts w:cs="Arial"/>
          <w:color w:val="auto"/>
        </w:rPr>
      </w:pPr>
      <w:r>
        <w:rPr>
          <w:rFonts w:cs="Arial"/>
          <w:color w:val="auto"/>
        </w:rPr>
        <w:t xml:space="preserve">The Company may wish to specify in its response to this letter the robust data that it considers would have enabled the Company to incorporate the listed uncaptured benefits into its most plausible ICER calculation. </w:t>
      </w:r>
    </w:p>
    <w:p w:rsidRPr="00DD7697" w:rsidR="007E4EDC" w:rsidP="00623213" w:rsidRDefault="007E4EDC" w14:paraId="4AE6A487" w14:textId="6BDD7B15">
      <w:pPr>
        <w:pStyle w:val="Paragraph"/>
        <w:numPr>
          <w:ilvl w:val="0"/>
          <w:numId w:val="0"/>
        </w:numPr>
        <w:jc w:val="both"/>
        <w:rPr>
          <w:rFonts w:cs="Arial"/>
          <w:sz w:val="20"/>
          <w:szCs w:val="20"/>
          <w:u w:val="single"/>
          <w:lang w:eastAsia="en-US"/>
        </w:rPr>
      </w:pPr>
      <w:r w:rsidRPr="00DD7697">
        <w:rPr>
          <w:rFonts w:cs="Arial"/>
          <w:sz w:val="20"/>
          <w:szCs w:val="20"/>
          <w:u w:val="single"/>
          <w:lang w:eastAsia="en-US"/>
        </w:rPr>
        <w:t xml:space="preserve">Conclusion </w:t>
      </w:r>
    </w:p>
    <w:p w:rsidRPr="003327D3" w:rsidR="00613CE8" w:rsidP="00613CE8" w:rsidRDefault="00613CE8" w14:paraId="259A7A09" w14:textId="6A1ACDAD">
      <w:pPr>
        <w:pStyle w:val="Paragraph"/>
        <w:numPr>
          <w:ilvl w:val="0"/>
          <w:numId w:val="0"/>
        </w:numPr>
        <w:spacing w:before="120"/>
        <w:jc w:val="both"/>
        <w:rPr>
          <w:rFonts w:cs="Arial"/>
          <w:sz w:val="20"/>
          <w:szCs w:val="20"/>
          <w:lang w:eastAsia="en-US"/>
        </w:rPr>
      </w:pPr>
      <w:r w:rsidRPr="003327D3">
        <w:rPr>
          <w:rFonts w:cs="Arial"/>
          <w:sz w:val="20"/>
          <w:szCs w:val="20"/>
          <w:lang w:eastAsia="en-US"/>
        </w:rPr>
        <w:t xml:space="preserve">The above sets out my initial views on </w:t>
      </w:r>
      <w:proofErr w:type="gramStart"/>
      <w:r w:rsidRPr="003327D3">
        <w:rPr>
          <w:rFonts w:cs="Arial"/>
          <w:sz w:val="20"/>
          <w:szCs w:val="20"/>
          <w:lang w:eastAsia="en-US"/>
        </w:rPr>
        <w:t>all of</w:t>
      </w:r>
      <w:proofErr w:type="gramEnd"/>
      <w:r w:rsidRPr="003327D3">
        <w:rPr>
          <w:rFonts w:cs="Arial"/>
          <w:sz w:val="20"/>
          <w:szCs w:val="20"/>
          <w:lang w:eastAsia="en-US"/>
        </w:rPr>
        <w:t xml:space="preserve"> your appeal points.</w:t>
      </w:r>
    </w:p>
    <w:p w:rsidRPr="003327D3" w:rsidR="00613CE8" w:rsidP="00613CE8" w:rsidRDefault="00613CE8" w14:paraId="324863C4" w14:textId="1D600736">
      <w:pPr>
        <w:pStyle w:val="Paragraph"/>
        <w:numPr>
          <w:ilvl w:val="0"/>
          <w:numId w:val="0"/>
        </w:numPr>
        <w:spacing w:before="120"/>
        <w:jc w:val="both"/>
        <w:rPr>
          <w:rFonts w:cs="Arial"/>
          <w:sz w:val="20"/>
          <w:szCs w:val="20"/>
          <w:lang w:eastAsia="en-US"/>
        </w:rPr>
      </w:pPr>
      <w:r w:rsidRPr="003327D3">
        <w:rPr>
          <w:rFonts w:cs="Arial"/>
          <w:sz w:val="20"/>
          <w:szCs w:val="20"/>
          <w:lang w:eastAsia="en-US"/>
        </w:rPr>
        <w:t xml:space="preserve">In respect of your points which I am not minded </w:t>
      </w:r>
      <w:proofErr w:type="gramStart"/>
      <w:r w:rsidRPr="003327D3">
        <w:rPr>
          <w:rFonts w:cs="Arial"/>
          <w:sz w:val="20"/>
          <w:szCs w:val="20"/>
          <w:lang w:eastAsia="en-US"/>
        </w:rPr>
        <w:t>to refer</w:t>
      </w:r>
      <w:proofErr w:type="gramEnd"/>
      <w:r w:rsidRPr="003327D3">
        <w:rPr>
          <w:rFonts w:cs="Arial"/>
          <w:sz w:val="20"/>
          <w:szCs w:val="20"/>
          <w:lang w:eastAsia="en-US"/>
        </w:rPr>
        <w:t xml:space="preserve"> on you are entitled to submit further clarification and/or evidence to me within the next 10 working days, and I will then give a final decision on the points to put before an appeal panel.  Responses must deal only with requested clarifications, arguments or comments about the lead non-executive director for appeals' initial view that an appeal point is not valid. For the points I am already content to refer on, an oral appeal will be </w:t>
      </w:r>
      <w:r w:rsidRPr="00407EC9">
        <w:rPr>
          <w:rFonts w:cs="Arial"/>
          <w:sz w:val="20"/>
          <w:szCs w:val="20"/>
          <w:lang w:eastAsia="en-US"/>
        </w:rPr>
        <w:t>held which is likely to be held remotely</w:t>
      </w:r>
      <w:r w:rsidRPr="00407EC9" w:rsidR="00407EC9">
        <w:rPr>
          <w:rFonts w:cs="Arial"/>
          <w:sz w:val="20"/>
          <w:szCs w:val="20"/>
          <w:lang w:eastAsia="en-US"/>
        </w:rPr>
        <w:t>.</w:t>
      </w:r>
    </w:p>
    <w:p w:rsidRPr="003327D3" w:rsidR="00613CE8" w:rsidP="00613CE8" w:rsidRDefault="00613CE8" w14:paraId="1E282E65" w14:textId="26FFC219">
      <w:pPr>
        <w:pStyle w:val="Paragraph"/>
        <w:numPr>
          <w:ilvl w:val="0"/>
          <w:numId w:val="0"/>
        </w:numPr>
        <w:spacing w:before="120"/>
        <w:jc w:val="both"/>
        <w:rPr>
          <w:rFonts w:cs="Arial"/>
          <w:sz w:val="20"/>
          <w:szCs w:val="20"/>
        </w:rPr>
      </w:pPr>
      <w:r w:rsidRPr="003327D3">
        <w:rPr>
          <w:rFonts w:cs="Arial"/>
          <w:sz w:val="20"/>
          <w:szCs w:val="20"/>
          <w:lang w:eastAsia="en-US"/>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w:t>
      </w:r>
      <w:proofErr w:type="gramStart"/>
      <w:r w:rsidRPr="003327D3">
        <w:rPr>
          <w:rFonts w:cs="Arial"/>
          <w:sz w:val="20"/>
          <w:szCs w:val="20"/>
          <w:lang w:eastAsia="en-US"/>
        </w:rPr>
        <w:t>information</w:t>
      </w:r>
      <w:proofErr w:type="gramEnd"/>
      <w:r w:rsidRPr="003327D3">
        <w:rPr>
          <w:rFonts w:cs="Arial"/>
          <w:sz w:val="20"/>
          <w:szCs w:val="20"/>
        </w:rPr>
        <w:t xml:space="preserve"> please ensure you have provided a version with this information redacted by </w:t>
      </w:r>
      <w:r w:rsidR="00DC7BAB">
        <w:rPr>
          <w:rFonts w:cs="Arial"/>
          <w:sz w:val="20"/>
          <w:szCs w:val="20"/>
        </w:rPr>
        <w:t>24 July 2025</w:t>
      </w:r>
      <w:r w:rsidRPr="003327D3">
        <w:rPr>
          <w:rFonts w:cs="Arial"/>
          <w:sz w:val="20"/>
          <w:szCs w:val="20"/>
        </w:rPr>
        <w:t>.</w:t>
      </w:r>
    </w:p>
    <w:p w:rsidRPr="003327D3" w:rsidR="00613CE8" w:rsidP="00613CE8" w:rsidRDefault="00613CE8" w14:paraId="0688AA84" w14:textId="4476B224">
      <w:pPr>
        <w:pStyle w:val="Paragraph"/>
        <w:numPr>
          <w:ilvl w:val="0"/>
          <w:numId w:val="0"/>
        </w:numPr>
        <w:spacing w:before="120"/>
        <w:jc w:val="both"/>
        <w:rPr>
          <w:rFonts w:cs="Arial"/>
          <w:sz w:val="20"/>
          <w:szCs w:val="20"/>
        </w:rPr>
      </w:pPr>
      <w:r w:rsidRPr="003327D3">
        <w:rPr>
          <w:rFonts w:cs="Arial"/>
          <w:sz w:val="20"/>
          <w:szCs w:val="20"/>
        </w:rPr>
        <w:t>Ordinarily</w:t>
      </w:r>
      <w:r w:rsidR="00CF5868">
        <w:rPr>
          <w:rFonts w:cs="Arial"/>
          <w:sz w:val="20"/>
          <w:szCs w:val="20"/>
        </w:rPr>
        <w:t>,</w:t>
      </w:r>
      <w:r w:rsidRPr="003327D3">
        <w:rPr>
          <w:rFonts w:cs="Arial"/>
          <w:sz w:val="20"/>
          <w:szCs w:val="20"/>
        </w:rPr>
        <w:t xml:space="preserve"> appeals are conducted </w:t>
      </w:r>
      <w:proofErr w:type="gramStart"/>
      <w:r w:rsidRPr="003327D3">
        <w:rPr>
          <w:rFonts w:cs="Arial"/>
          <w:sz w:val="20"/>
          <w:szCs w:val="20"/>
        </w:rPr>
        <w:t>on the basis of</w:t>
      </w:r>
      <w:proofErr w:type="gramEnd"/>
      <w:r w:rsidRPr="003327D3">
        <w:rPr>
          <w:rFonts w:cs="Arial"/>
          <w:sz w:val="20"/>
          <w:szCs w:val="20"/>
        </w:rPr>
        <w:t xml:space="preserve"> the appellants’ written appeal letters, and the material generated during the appraisal process. Use of additional written material is discouraged, and the panel cannot receive any new evidence.</w:t>
      </w:r>
      <w:r w:rsidR="006A7CBD">
        <w:rPr>
          <w:rFonts w:cs="Arial"/>
          <w:sz w:val="20"/>
          <w:szCs w:val="20"/>
        </w:rPr>
        <w:t xml:space="preserve"> </w:t>
      </w:r>
      <w:r w:rsidRPr="003327D3">
        <w:rPr>
          <w:rFonts w:cs="Arial"/>
          <w:sz w:val="20"/>
          <w:szCs w:val="20"/>
        </w:rPr>
        <w:t>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w:t>
      </w:r>
      <w:r w:rsidR="00B817A7">
        <w:rPr>
          <w:rFonts w:cs="Arial"/>
          <w:sz w:val="20"/>
          <w:szCs w:val="20"/>
        </w:rPr>
        <w:t xml:space="preserve"> 25 July 2025</w:t>
      </w:r>
      <w:r w:rsidRPr="003327D3">
        <w:rPr>
          <w:rFonts w:cs="Arial"/>
          <w:sz w:val="20"/>
          <w:szCs w:val="20"/>
        </w:rPr>
        <w:t xml:space="preserve">. Please note that the </w:t>
      </w:r>
      <w:r w:rsidR="006A7CBD">
        <w:rPr>
          <w:rFonts w:cs="Arial"/>
          <w:sz w:val="20"/>
          <w:szCs w:val="20"/>
        </w:rPr>
        <w:t>A</w:t>
      </w:r>
      <w:r w:rsidRPr="003327D3">
        <w:rPr>
          <w:rFonts w:cs="Arial"/>
          <w:sz w:val="20"/>
          <w:szCs w:val="20"/>
        </w:rPr>
        <w:t xml:space="preserve">ppeal </w:t>
      </w:r>
      <w:r w:rsidR="006A7CBD">
        <w:rPr>
          <w:rFonts w:cs="Arial"/>
          <w:sz w:val="20"/>
          <w:szCs w:val="20"/>
        </w:rPr>
        <w:t>P</w:t>
      </w:r>
      <w:r w:rsidRPr="003327D3">
        <w:rPr>
          <w:rFonts w:cs="Arial"/>
          <w:sz w:val="20"/>
          <w:szCs w:val="20"/>
        </w:rPr>
        <w:t>anel cannot accept papers that are tabled late or ad hoc, as this affects the preparation of the panel and other parties for the appeal.</w:t>
      </w:r>
    </w:p>
    <w:p w:rsidR="00613CE8" w:rsidP="00613CE8" w:rsidRDefault="00613CE8" w14:paraId="44024AEB" w14:textId="77777777">
      <w:pPr>
        <w:jc w:val="both"/>
        <w:rPr>
          <w:rFonts w:cs="Arial"/>
          <w:color w:val="auto"/>
        </w:rPr>
      </w:pPr>
      <w:r w:rsidRPr="003327D3">
        <w:rPr>
          <w:rFonts w:cs="Arial"/>
          <w:color w:val="auto"/>
        </w:rPr>
        <w:t>Yours sincerely</w:t>
      </w:r>
    </w:p>
    <w:p w:rsidRPr="00997787" w:rsidR="00400ADA" w:rsidP="1705E4A3" w:rsidRDefault="00997787" w14:paraId="305A1DA8" w14:textId="5C9B9CFB">
      <w:pPr>
        <w:jc w:val="both"/>
        <w:rPr>
          <w:rFonts w:cs="Arial"/>
          <w:color w:val="auto"/>
          <w:highlight w:val="black"/>
        </w:rPr>
      </w:pPr>
      <w:r w:rsidRPr="1705E4A3" w:rsidR="00997787">
        <w:rPr>
          <w:noProof/>
          <w:color w:val="auto"/>
          <w:highlight w:val="black"/>
        </w:rPr>
        <w:t>XXXXXXX</w:t>
      </w:r>
    </w:p>
    <w:p w:rsidRPr="003327D3" w:rsidR="006A35FC" w:rsidP="00613CE8" w:rsidRDefault="006A35FC" w14:paraId="54664002" w14:textId="77777777">
      <w:pPr>
        <w:jc w:val="both"/>
        <w:rPr>
          <w:rFonts w:cs="Arial"/>
          <w:color w:val="auto"/>
        </w:rPr>
      </w:pPr>
    </w:p>
    <w:p w:rsidR="00613CE8" w:rsidP="00613CE8" w:rsidRDefault="00407EC9" w14:paraId="0588C340" w14:textId="01CCEE46">
      <w:pPr>
        <w:spacing w:line="360" w:lineRule="auto"/>
        <w:jc w:val="both"/>
        <w:rPr>
          <w:rFonts w:cs="Arial"/>
          <w:color w:val="auto"/>
        </w:rPr>
      </w:pPr>
      <w:r>
        <w:rPr>
          <w:rFonts w:cs="Arial"/>
          <w:color w:val="auto"/>
        </w:rPr>
        <w:t>Dr Mark Chakravarty</w:t>
      </w:r>
    </w:p>
    <w:p w:rsidRPr="003327D3" w:rsidR="00407EC9" w:rsidP="00613CE8" w:rsidRDefault="00407EC9" w14:paraId="1DED6187" w14:textId="240F80CD">
      <w:pPr>
        <w:spacing w:line="360" w:lineRule="auto"/>
        <w:jc w:val="both"/>
        <w:rPr>
          <w:rFonts w:cs="Arial"/>
          <w:color w:val="auto"/>
        </w:rPr>
      </w:pPr>
      <w:r>
        <w:rPr>
          <w:rFonts w:cs="Arial"/>
          <w:color w:val="auto"/>
        </w:rPr>
        <w:t xml:space="preserve">Lead Non-Executive Director for Appeals </w:t>
      </w:r>
    </w:p>
    <w:p w:rsidRPr="003327D3" w:rsidR="00613CE8" w:rsidP="00613CE8" w:rsidRDefault="00613CE8" w14:paraId="6AB725EB" w14:textId="77777777">
      <w:pPr>
        <w:spacing w:line="360" w:lineRule="auto"/>
        <w:jc w:val="both"/>
        <w:rPr>
          <w:rFonts w:cs="Arial"/>
          <w:color w:val="auto"/>
        </w:rPr>
      </w:pPr>
      <w:r w:rsidRPr="003327D3">
        <w:rPr>
          <w:rFonts w:cs="Arial"/>
          <w:color w:val="auto"/>
        </w:rPr>
        <w:t>National Institute for Health and Care Excellence</w:t>
      </w:r>
    </w:p>
    <w:p w:rsidRPr="003327D3" w:rsidR="00613CE8" w:rsidP="00613CE8" w:rsidRDefault="00613CE8" w14:paraId="0F36A701" w14:textId="77777777">
      <w:pPr>
        <w:jc w:val="both"/>
        <w:rPr>
          <w:rFonts w:cs="Arial"/>
          <w:color w:val="auto"/>
        </w:rPr>
      </w:pPr>
    </w:p>
    <w:p w:rsidRPr="003327D3" w:rsidR="00613CE8" w:rsidP="00613CE8" w:rsidRDefault="00613CE8" w14:paraId="3EB183CA" w14:textId="77777777">
      <w:pPr>
        <w:jc w:val="both"/>
        <w:rPr>
          <w:rFonts w:cs="Arial"/>
          <w:color w:val="auto"/>
        </w:rPr>
      </w:pPr>
    </w:p>
    <w:p w:rsidRPr="00DD7697" w:rsidR="002B21D4" w:rsidP="00613CE8" w:rsidRDefault="002B21D4" w14:paraId="0C61E456" w14:textId="77777777">
      <w:pPr>
        <w:pStyle w:val="Paragraph"/>
        <w:numPr>
          <w:ilvl w:val="0"/>
          <w:numId w:val="0"/>
        </w:numPr>
        <w:spacing w:before="120"/>
        <w:jc w:val="both"/>
        <w:rPr>
          <w:rFonts w:cs="Arial"/>
        </w:rPr>
      </w:pPr>
    </w:p>
    <w:sectPr w:rsidRPr="00DD7697" w:rsidR="002B21D4" w:rsidSect="00CC1C1C">
      <w:headerReference w:type="even" r:id="rId12"/>
      <w:headerReference w:type="default" r:id="rId13"/>
      <w:footerReference w:type="even" r:id="rId14"/>
      <w:footerReference w:type="default" r:id="rId15"/>
      <w:headerReference w:type="first" r:id="rId16"/>
      <w:footerReference w:type="first" r:id="rId17"/>
      <w:pgSz w:w="11907" w:h="16840" w:orient="portrait" w:code="9"/>
      <w:pgMar w:top="1848" w:right="1418" w:bottom="1418" w:left="1418" w:header="113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5C41" w:rsidRDefault="008C5C41" w14:paraId="394544CA" w14:textId="77777777">
      <w:r>
        <w:separator/>
      </w:r>
    </w:p>
  </w:endnote>
  <w:endnote w:type="continuationSeparator" w:id="0">
    <w:p w:rsidR="008C5C41" w:rsidRDefault="008C5C41" w14:paraId="370FA1F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99F" w:rsidRDefault="00EA099F" w14:paraId="0A200B62" w14:textId="77777777">
    <w:pPr>
      <w:pStyle w:val="Footer"/>
    </w:pPr>
  </w:p>
  <w:p w:rsidR="00A9704F" w:rsidRDefault="00A9704F" w14:paraId="55557A1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0C0E" w:rsidR="00E308B8" w:rsidP="00832D34" w:rsidRDefault="00E308B8" w14:paraId="783FA69C" w14:textId="3A8305C2">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Pr="00811421" w:rsidR="00811421">
      <w:rPr>
        <w:rStyle w:val="PageNumber"/>
        <w:noProof/>
        <w:color w:val="808080"/>
        <w:szCs w:val="18"/>
      </w:rPr>
      <w:t>2</w:t>
    </w:r>
    <w:r w:rsidRPr="00E10C0E">
      <w:rPr>
        <w:rStyle w:val="PageNumber"/>
        <w:b/>
        <w:color w:val="808080"/>
        <w:szCs w:val="18"/>
      </w:rPr>
      <w:fldChar w:fldCharType="end"/>
    </w:r>
  </w:p>
  <w:p w:rsidR="00A9704F" w:rsidRDefault="00A9704F" w14:paraId="6D4863A6"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32D34" w:rsidR="00E308B8" w:rsidP="00EF043B" w:rsidRDefault="00811421" w14:paraId="21A9013B" w14:textId="0A4FBAFA">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58241"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Pr="00832D34" w:rsidR="00E308B8">
      <w:rPr>
        <w:color w:val="808080"/>
        <w:sz w:val="18"/>
        <w:szCs w:val="18"/>
      </w:rPr>
      <w:fldChar w:fldCharType="begin"/>
    </w:r>
    <w:r w:rsidRPr="00832D34" w:rsidR="00E308B8">
      <w:rPr>
        <w:color w:val="808080"/>
        <w:sz w:val="18"/>
        <w:szCs w:val="18"/>
      </w:rPr>
      <w:instrText xml:space="preserve"> FILENAME \* Upper </w:instrText>
    </w:r>
    <w:r w:rsidRPr="00832D34" w:rsidR="00E308B8">
      <w:rPr>
        <w:color w:val="808080"/>
        <w:sz w:val="18"/>
        <w:szCs w:val="18"/>
      </w:rPr>
      <w:fldChar w:fldCharType="separate"/>
    </w:r>
    <w:r w:rsidR="00E308B8">
      <w:rPr>
        <w:noProof/>
        <w:color w:val="808080"/>
        <w:sz w:val="18"/>
        <w:szCs w:val="18"/>
      </w:rPr>
      <w:t>DOCUMENT3</w:t>
    </w:r>
    <w:r w:rsidRPr="00832D34" w:rsidR="00E308B8">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Pr="00EF043B" w:rsidR="00E308B8">
      <w:rPr>
        <w:snapToGrid w:val="0"/>
        <w:color w:val="808080"/>
        <w:sz w:val="18"/>
        <w:szCs w:val="18"/>
      </w:rPr>
      <w:t xml:space="preserve">Page </w:t>
    </w:r>
    <w:r w:rsidRPr="00EF043B" w:rsidR="00E308B8">
      <w:rPr>
        <w:snapToGrid w:val="0"/>
        <w:color w:val="808080"/>
        <w:sz w:val="18"/>
        <w:szCs w:val="18"/>
      </w:rPr>
      <w:fldChar w:fldCharType="begin"/>
    </w:r>
    <w:r w:rsidRPr="00EF043B" w:rsidR="00E308B8">
      <w:rPr>
        <w:snapToGrid w:val="0"/>
        <w:color w:val="808080"/>
        <w:sz w:val="18"/>
        <w:szCs w:val="18"/>
      </w:rPr>
      <w:instrText xml:space="preserve"> PAGE </w:instrText>
    </w:r>
    <w:r w:rsidRPr="00EF043B" w:rsidR="00E308B8">
      <w:rPr>
        <w:snapToGrid w:val="0"/>
        <w:color w:val="808080"/>
        <w:sz w:val="18"/>
        <w:szCs w:val="18"/>
      </w:rPr>
      <w:fldChar w:fldCharType="separate"/>
    </w:r>
    <w:r>
      <w:rPr>
        <w:noProof/>
        <w:snapToGrid w:val="0"/>
        <w:color w:val="808080"/>
        <w:sz w:val="18"/>
        <w:szCs w:val="18"/>
      </w:rPr>
      <w:t>1</w:t>
    </w:r>
    <w:r w:rsidRPr="00EF043B" w:rsidR="00E308B8">
      <w:rPr>
        <w:snapToGrid w:val="0"/>
        <w:color w:val="808080"/>
        <w:sz w:val="18"/>
        <w:szCs w:val="18"/>
      </w:rPr>
      <w:fldChar w:fldCharType="end"/>
    </w:r>
    <w:r w:rsidRPr="00EF043B" w:rsidR="00E308B8">
      <w:rPr>
        <w:snapToGrid w:val="0"/>
        <w:color w:val="808080"/>
        <w:sz w:val="18"/>
        <w:szCs w:val="18"/>
      </w:rPr>
      <w:t xml:space="preserve"> of </w:t>
    </w:r>
    <w:r w:rsidRPr="00EF043B" w:rsidR="00E308B8">
      <w:rPr>
        <w:snapToGrid w:val="0"/>
        <w:color w:val="808080"/>
        <w:sz w:val="18"/>
        <w:szCs w:val="18"/>
      </w:rPr>
      <w:fldChar w:fldCharType="begin"/>
    </w:r>
    <w:r w:rsidRPr="00EF043B" w:rsidR="00E308B8">
      <w:rPr>
        <w:snapToGrid w:val="0"/>
        <w:color w:val="808080"/>
        <w:sz w:val="18"/>
        <w:szCs w:val="18"/>
      </w:rPr>
      <w:instrText xml:space="preserve"> NUMPAGES </w:instrText>
    </w:r>
    <w:r w:rsidRPr="00EF043B" w:rsidR="00E308B8">
      <w:rPr>
        <w:snapToGrid w:val="0"/>
        <w:color w:val="808080"/>
        <w:sz w:val="18"/>
        <w:szCs w:val="18"/>
      </w:rPr>
      <w:fldChar w:fldCharType="separate"/>
    </w:r>
    <w:r>
      <w:rPr>
        <w:noProof/>
        <w:snapToGrid w:val="0"/>
        <w:color w:val="808080"/>
        <w:sz w:val="18"/>
        <w:szCs w:val="18"/>
      </w:rPr>
      <w:t>2</w:t>
    </w:r>
    <w:r w:rsidRPr="00EF043B" w:rsidR="00E308B8">
      <w:rPr>
        <w:snapToGrid w:val="0"/>
        <w:color w:val="808080"/>
        <w:sz w:val="18"/>
        <w:szCs w:val="18"/>
      </w:rPr>
      <w:fldChar w:fldCharType="end"/>
    </w:r>
  </w:p>
  <w:p w:rsidR="00A9704F" w:rsidRDefault="00A9704F" w14:paraId="598236A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5C41" w:rsidRDefault="008C5C41" w14:paraId="6C7AB58C" w14:textId="77777777">
      <w:r>
        <w:separator/>
      </w:r>
    </w:p>
  </w:footnote>
  <w:footnote w:type="continuationSeparator" w:id="0">
    <w:p w:rsidR="008C5C41" w:rsidRDefault="008C5C41" w14:paraId="4E24604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99F" w:rsidRDefault="00EA099F" w14:paraId="3F82B577" w14:textId="77777777">
    <w:pPr>
      <w:pStyle w:val="Header"/>
    </w:pPr>
  </w:p>
  <w:p w:rsidR="00A9704F" w:rsidRDefault="00A9704F" w14:paraId="17042B1C"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99F" w:rsidRDefault="00EA099F" w14:paraId="6D2DC02A" w14:textId="77777777">
    <w:pPr>
      <w:pStyle w:val="Header"/>
    </w:pPr>
  </w:p>
  <w:p w:rsidR="00A9704F" w:rsidRDefault="00A9704F" w14:paraId="1ED67609"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91045" w:rsidP="00491045" w:rsidRDefault="00491045" w14:paraId="1B913CC1" w14:textId="77777777">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8240"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rsidRPr="005E0434" w:rsidR="00491045" w:rsidP="00491045" w:rsidRDefault="00491045" w14:paraId="2DD48BCF" w14:textId="77777777">
    <w:pPr>
      <w:pStyle w:val="Header"/>
      <w:tabs>
        <w:tab w:val="right" w:pos="10065"/>
      </w:tabs>
      <w:spacing w:after="0"/>
      <w:ind w:right="-1039"/>
      <w:jc w:val="right"/>
      <w:rPr>
        <w:rFonts w:cs="Arial"/>
        <w:color w:val="0E0E0E"/>
      </w:rPr>
    </w:pPr>
    <w:r>
      <w:rPr>
        <w:rFonts w:cs="Arial"/>
        <w:color w:val="0E0E0E"/>
      </w:rPr>
      <w:t>2 Redman Place</w:t>
    </w:r>
  </w:p>
  <w:p w:rsidRPr="005E0434" w:rsidR="00491045" w:rsidP="00491045" w:rsidRDefault="00491045" w14:paraId="4E0459EB" w14:textId="77777777">
    <w:pPr>
      <w:pStyle w:val="Header"/>
      <w:tabs>
        <w:tab w:val="right" w:pos="10065"/>
      </w:tabs>
      <w:spacing w:after="0"/>
      <w:ind w:right="-1039"/>
      <w:jc w:val="right"/>
      <w:rPr>
        <w:rFonts w:cs="Arial"/>
        <w:color w:val="0E0E0E"/>
      </w:rPr>
    </w:pPr>
    <w:r w:rsidRPr="005E0434">
      <w:rPr>
        <w:rFonts w:cs="Arial"/>
        <w:color w:val="0E0E0E"/>
      </w:rPr>
      <w:softHyphen/>
      <w:t>London</w:t>
    </w:r>
  </w:p>
  <w:p w:rsidRPr="005E0434" w:rsidR="00491045" w:rsidP="00491045" w:rsidRDefault="00491045" w14:paraId="17FA5E6C" w14:textId="77777777">
    <w:pPr>
      <w:pStyle w:val="Header"/>
      <w:tabs>
        <w:tab w:val="right" w:pos="10065"/>
      </w:tabs>
      <w:spacing w:after="0"/>
      <w:ind w:right="-1039"/>
      <w:jc w:val="right"/>
      <w:rPr>
        <w:rFonts w:cs="Arial"/>
        <w:color w:val="0E0E0E"/>
      </w:rPr>
    </w:pPr>
    <w:r>
      <w:rPr>
        <w:rFonts w:cs="Arial"/>
        <w:color w:val="0E0E0E"/>
      </w:rPr>
      <w:t>E20 1JQ</w:t>
    </w:r>
  </w:p>
  <w:p w:rsidRPr="005E0434" w:rsidR="00491045" w:rsidP="00491045" w:rsidRDefault="00491045" w14:paraId="7B0504BC" w14:textId="77777777">
    <w:pPr>
      <w:pStyle w:val="Header"/>
      <w:tabs>
        <w:tab w:val="right" w:pos="10065"/>
      </w:tabs>
      <w:spacing w:after="0"/>
      <w:ind w:right="-1039"/>
      <w:jc w:val="right"/>
      <w:rPr>
        <w:rFonts w:cs="Arial"/>
        <w:color w:val="0E0E0E"/>
      </w:rPr>
    </w:pPr>
    <w:r w:rsidRPr="005E0434">
      <w:rPr>
        <w:rFonts w:cs="Arial"/>
        <w:color w:val="0E0E0E"/>
      </w:rPr>
      <w:t>United Kingdom</w:t>
    </w:r>
  </w:p>
  <w:p w:rsidRPr="005E0434" w:rsidR="00491045" w:rsidP="00491045" w:rsidRDefault="00491045" w14:paraId="0A93A6A6" w14:textId="77777777">
    <w:pPr>
      <w:pStyle w:val="Header"/>
      <w:tabs>
        <w:tab w:val="right" w:pos="10065"/>
      </w:tabs>
      <w:spacing w:after="0"/>
      <w:ind w:right="-1039"/>
      <w:jc w:val="right"/>
      <w:rPr>
        <w:rFonts w:cs="Arial"/>
        <w:color w:val="0E0E0E"/>
      </w:rPr>
    </w:pPr>
  </w:p>
  <w:p w:rsidRPr="003A3E2E" w:rsidR="00491045" w:rsidP="00491045" w:rsidRDefault="00491045" w14:paraId="5D6CD5A4" w14:textId="77777777">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rsidRPr="00491045" w:rsidR="00E308B8" w:rsidP="00491045" w:rsidRDefault="00E308B8" w14:paraId="1C9776DF" w14:textId="21D4B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CA6E68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hint="default" w:ascii="Symbol" w:hAnsi="Symbol"/>
      </w:rPr>
    </w:lvl>
    <w:lvl w:ilvl="7">
      <w:start w:val="1"/>
      <w:numFmt w:val="none"/>
      <w:pStyle w:val="Heading8"/>
      <w:lvlText w:val=""/>
      <w:legacy w:legacy="1" w:legacySpace="0" w:legacyIndent="708"/>
      <w:lvlJc w:val="left"/>
      <w:pPr>
        <w:ind w:left="6447" w:hanging="708"/>
      </w:pPr>
      <w:rPr>
        <w:rFonts w:hint="default" w:ascii="Symbol" w:hAnsi="Symbol"/>
      </w:rPr>
    </w:lvl>
    <w:lvl w:ilvl="8">
      <w:start w:val="1"/>
      <w:numFmt w:val="none"/>
      <w:pStyle w:val="Heading9"/>
      <w:lvlText w:val=""/>
      <w:legacy w:legacy="1" w:legacySpace="0" w:legacyIndent="708"/>
      <w:lvlJc w:val="left"/>
      <w:pPr>
        <w:ind w:left="7155" w:hanging="708"/>
      </w:pPr>
      <w:rPr>
        <w:rFonts w:hint="default" w:ascii="Symbol" w:hAnsi="Symbol"/>
      </w:rPr>
    </w:lvl>
  </w:abstractNum>
  <w:abstractNum w:abstractNumId="4" w15:restartNumberingAfterBreak="0">
    <w:nsid w:val="0FD226B5"/>
    <w:multiLevelType w:val="hybridMultilevel"/>
    <w:tmpl w:val="54DE2EE6"/>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19DF3CAE"/>
    <w:multiLevelType w:val="hybridMultilevel"/>
    <w:tmpl w:val="32A2F77E"/>
    <w:lvl w:ilvl="0" w:tplc="A5FC299A">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BD159CD"/>
    <w:multiLevelType w:val="hybridMultilevel"/>
    <w:tmpl w:val="343EBF1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90BB6"/>
    <w:multiLevelType w:val="hybridMultilevel"/>
    <w:tmpl w:val="0F766B3A"/>
    <w:lvl w:ilvl="0" w:tplc="678AA1F2">
      <w:start w:val="3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8508AE"/>
    <w:multiLevelType w:val="hybridMultilevel"/>
    <w:tmpl w:val="722A53B2"/>
    <w:lvl w:ilvl="0" w:tplc="7CBA5F1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4956795"/>
    <w:multiLevelType w:val="hybridMultilevel"/>
    <w:tmpl w:val="2D0EC704"/>
    <w:lvl w:ilvl="0" w:tplc="38464D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246CA6"/>
    <w:multiLevelType w:val="hybridMultilevel"/>
    <w:tmpl w:val="E894F61E"/>
    <w:lvl w:ilvl="0" w:tplc="08090001">
      <w:start w:val="1"/>
      <w:numFmt w:val="bullet"/>
      <w:lvlText w:val=""/>
      <w:lvlJc w:val="left"/>
      <w:pPr>
        <w:ind w:left="1512" w:hanging="360"/>
      </w:pPr>
      <w:rPr>
        <w:rFonts w:hint="default" w:ascii="Symbol" w:hAnsi="Symbol"/>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16"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C8632C"/>
    <w:multiLevelType w:val="hybridMultilevel"/>
    <w:tmpl w:val="26E460D6"/>
    <w:lvl w:ilvl="0" w:tplc="A5FC299A">
      <w:start w:val="2"/>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90189A"/>
    <w:multiLevelType w:val="hybridMultilevel"/>
    <w:tmpl w:val="E2E64854"/>
    <w:lvl w:ilvl="0" w:tplc="510A83D8">
      <w:numFmt w:val="bullet"/>
      <w:lvlText w:val=""/>
      <w:lvlJc w:val="left"/>
      <w:pPr>
        <w:ind w:left="502" w:hanging="285"/>
      </w:pPr>
      <w:rPr>
        <w:rFonts w:hint="default" w:ascii="Symbol" w:hAnsi="Symbol" w:eastAsia="Symbol" w:cs="Symbol"/>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20"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44597A"/>
    <w:multiLevelType w:val="hybridMultilevel"/>
    <w:tmpl w:val="C3D436A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69B4CE1"/>
    <w:multiLevelType w:val="hybridMultilevel"/>
    <w:tmpl w:val="B50880F6"/>
    <w:lvl w:ilvl="0" w:tplc="130295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6" w15:restartNumberingAfterBreak="0">
    <w:nsid w:val="6614533C"/>
    <w:multiLevelType w:val="hybridMultilevel"/>
    <w:tmpl w:val="C8E8253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9913029"/>
    <w:multiLevelType w:val="hybridMultilevel"/>
    <w:tmpl w:val="A80C686A"/>
    <w:lvl w:ilvl="0" w:tplc="08090003">
      <w:start w:val="1"/>
      <w:numFmt w:val="bullet"/>
      <w:lvlText w:val="o"/>
      <w:lvlJc w:val="left"/>
      <w:pPr>
        <w:ind w:left="2214" w:hanging="360"/>
      </w:pPr>
      <w:rPr>
        <w:rFonts w:hint="default" w:ascii="Courier New" w:hAnsi="Courier New" w:cs="Courier New"/>
      </w:rPr>
    </w:lvl>
    <w:lvl w:ilvl="1" w:tplc="08090003">
      <w:start w:val="1"/>
      <w:numFmt w:val="bullet"/>
      <w:lvlText w:val="o"/>
      <w:lvlJc w:val="left"/>
      <w:pPr>
        <w:ind w:left="2934" w:hanging="360"/>
      </w:pPr>
      <w:rPr>
        <w:rFonts w:hint="default" w:ascii="Courier New" w:hAnsi="Courier New" w:cs="Courier New"/>
      </w:rPr>
    </w:lvl>
    <w:lvl w:ilvl="2" w:tplc="08090005" w:tentative="1">
      <w:start w:val="1"/>
      <w:numFmt w:val="bullet"/>
      <w:lvlText w:val=""/>
      <w:lvlJc w:val="left"/>
      <w:pPr>
        <w:ind w:left="3654" w:hanging="360"/>
      </w:pPr>
      <w:rPr>
        <w:rFonts w:hint="default" w:ascii="Wingdings" w:hAnsi="Wingdings"/>
      </w:rPr>
    </w:lvl>
    <w:lvl w:ilvl="3" w:tplc="08090001" w:tentative="1">
      <w:start w:val="1"/>
      <w:numFmt w:val="bullet"/>
      <w:lvlText w:val=""/>
      <w:lvlJc w:val="left"/>
      <w:pPr>
        <w:ind w:left="4374" w:hanging="360"/>
      </w:pPr>
      <w:rPr>
        <w:rFonts w:hint="default" w:ascii="Symbol" w:hAnsi="Symbol"/>
      </w:rPr>
    </w:lvl>
    <w:lvl w:ilvl="4" w:tplc="08090003" w:tentative="1">
      <w:start w:val="1"/>
      <w:numFmt w:val="bullet"/>
      <w:lvlText w:val="o"/>
      <w:lvlJc w:val="left"/>
      <w:pPr>
        <w:ind w:left="5094" w:hanging="360"/>
      </w:pPr>
      <w:rPr>
        <w:rFonts w:hint="default" w:ascii="Courier New" w:hAnsi="Courier New" w:cs="Courier New"/>
      </w:rPr>
    </w:lvl>
    <w:lvl w:ilvl="5" w:tplc="08090005" w:tentative="1">
      <w:start w:val="1"/>
      <w:numFmt w:val="bullet"/>
      <w:lvlText w:val=""/>
      <w:lvlJc w:val="left"/>
      <w:pPr>
        <w:ind w:left="5814" w:hanging="360"/>
      </w:pPr>
      <w:rPr>
        <w:rFonts w:hint="default" w:ascii="Wingdings" w:hAnsi="Wingdings"/>
      </w:rPr>
    </w:lvl>
    <w:lvl w:ilvl="6" w:tplc="08090001" w:tentative="1">
      <w:start w:val="1"/>
      <w:numFmt w:val="bullet"/>
      <w:lvlText w:val=""/>
      <w:lvlJc w:val="left"/>
      <w:pPr>
        <w:ind w:left="6534" w:hanging="360"/>
      </w:pPr>
      <w:rPr>
        <w:rFonts w:hint="default" w:ascii="Symbol" w:hAnsi="Symbol"/>
      </w:rPr>
    </w:lvl>
    <w:lvl w:ilvl="7" w:tplc="08090003" w:tentative="1">
      <w:start w:val="1"/>
      <w:numFmt w:val="bullet"/>
      <w:lvlText w:val="o"/>
      <w:lvlJc w:val="left"/>
      <w:pPr>
        <w:ind w:left="7254" w:hanging="360"/>
      </w:pPr>
      <w:rPr>
        <w:rFonts w:hint="default" w:ascii="Courier New" w:hAnsi="Courier New" w:cs="Courier New"/>
      </w:rPr>
    </w:lvl>
    <w:lvl w:ilvl="8" w:tplc="08090005" w:tentative="1">
      <w:start w:val="1"/>
      <w:numFmt w:val="bullet"/>
      <w:lvlText w:val=""/>
      <w:lvlJc w:val="left"/>
      <w:pPr>
        <w:ind w:left="7974" w:hanging="360"/>
      </w:pPr>
      <w:rPr>
        <w:rFonts w:hint="default" w:ascii="Wingdings" w:hAnsi="Wingdings"/>
      </w:rPr>
    </w:lvl>
  </w:abstractNum>
  <w:abstractNum w:abstractNumId="28" w15:restartNumberingAfterBreak="0">
    <w:nsid w:val="6F130118"/>
    <w:multiLevelType w:val="hybridMultilevel"/>
    <w:tmpl w:val="888839DA"/>
    <w:lvl w:ilvl="0" w:tplc="606EEA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5A2C5A"/>
    <w:multiLevelType w:val="hybridMultilevel"/>
    <w:tmpl w:val="98C43788"/>
    <w:lvl w:ilvl="0" w:tplc="027824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5055A4"/>
    <w:multiLevelType w:val="hybridMultilevel"/>
    <w:tmpl w:val="96104B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2"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440061">
    <w:abstractNumId w:val="3"/>
  </w:num>
  <w:num w:numId="2" w16cid:durableId="1940479412">
    <w:abstractNumId w:val="7"/>
  </w:num>
  <w:num w:numId="3" w16cid:durableId="735858711">
    <w:abstractNumId w:val="24"/>
  </w:num>
  <w:num w:numId="4" w16cid:durableId="791437817">
    <w:abstractNumId w:val="24"/>
  </w:num>
  <w:num w:numId="5" w16cid:durableId="589656231">
    <w:abstractNumId w:val="25"/>
  </w:num>
  <w:num w:numId="6" w16cid:durableId="1033071542">
    <w:abstractNumId w:val="0"/>
  </w:num>
  <w:num w:numId="7" w16cid:durableId="692002320">
    <w:abstractNumId w:val="24"/>
  </w:num>
  <w:num w:numId="8" w16cid:durableId="893390988">
    <w:abstractNumId w:val="24"/>
  </w:num>
  <w:num w:numId="9" w16cid:durableId="1036344506">
    <w:abstractNumId w:val="24"/>
  </w:num>
  <w:num w:numId="10" w16cid:durableId="1081758715">
    <w:abstractNumId w:val="17"/>
  </w:num>
  <w:num w:numId="11" w16cid:durableId="1324700156">
    <w:abstractNumId w:val="5"/>
  </w:num>
  <w:num w:numId="12" w16cid:durableId="297996532">
    <w:abstractNumId w:val="16"/>
  </w:num>
  <w:num w:numId="13" w16cid:durableId="1315715874">
    <w:abstractNumId w:val="18"/>
  </w:num>
  <w:num w:numId="14" w16cid:durableId="1234002226">
    <w:abstractNumId w:val="23"/>
  </w:num>
  <w:num w:numId="15" w16cid:durableId="682052213">
    <w:abstractNumId w:val="12"/>
  </w:num>
  <w:num w:numId="16" w16cid:durableId="1741825062">
    <w:abstractNumId w:val="20"/>
  </w:num>
  <w:num w:numId="17" w16cid:durableId="1644236023">
    <w:abstractNumId w:val="31"/>
  </w:num>
  <w:num w:numId="18" w16cid:durableId="530655038">
    <w:abstractNumId w:val="6"/>
  </w:num>
  <w:num w:numId="19" w16cid:durableId="2126733805">
    <w:abstractNumId w:val="26"/>
  </w:num>
  <w:num w:numId="20" w16cid:durableId="621762274">
    <w:abstractNumId w:val="15"/>
  </w:num>
  <w:num w:numId="21" w16cid:durableId="170607788">
    <w:abstractNumId w:val="8"/>
  </w:num>
  <w:num w:numId="22" w16cid:durableId="460727966">
    <w:abstractNumId w:val="32"/>
  </w:num>
  <w:num w:numId="23" w16cid:durableId="2105420001">
    <w:abstractNumId w:val="1"/>
  </w:num>
  <w:num w:numId="24" w16cid:durableId="2048407580">
    <w:abstractNumId w:val="19"/>
  </w:num>
  <w:num w:numId="25" w16cid:durableId="1798986414">
    <w:abstractNumId w:val="10"/>
  </w:num>
  <w:num w:numId="26" w16cid:durableId="1415205502">
    <w:abstractNumId w:val="30"/>
  </w:num>
  <w:num w:numId="27" w16cid:durableId="368603691">
    <w:abstractNumId w:val="9"/>
  </w:num>
  <w:num w:numId="28" w16cid:durableId="217009139">
    <w:abstractNumId w:val="24"/>
  </w:num>
  <w:num w:numId="29" w16cid:durableId="1991011021">
    <w:abstractNumId w:val="24"/>
  </w:num>
  <w:num w:numId="30" w16cid:durableId="840006877">
    <w:abstractNumId w:val="11"/>
  </w:num>
  <w:num w:numId="31" w16cid:durableId="324751170">
    <w:abstractNumId w:val="24"/>
  </w:num>
  <w:num w:numId="32" w16cid:durableId="1909340188">
    <w:abstractNumId w:val="24"/>
  </w:num>
  <w:num w:numId="33" w16cid:durableId="334496126">
    <w:abstractNumId w:val="33"/>
  </w:num>
  <w:num w:numId="34" w16cid:durableId="2036537632">
    <w:abstractNumId w:val="22"/>
  </w:num>
  <w:num w:numId="35" w16cid:durableId="1681660289">
    <w:abstractNumId w:val="14"/>
  </w:num>
  <w:num w:numId="36" w16cid:durableId="2067339708">
    <w:abstractNumId w:val="27"/>
  </w:num>
  <w:num w:numId="37" w16cid:durableId="1744910479">
    <w:abstractNumId w:val="4"/>
  </w:num>
  <w:num w:numId="38" w16cid:durableId="79764566">
    <w:abstractNumId w:val="21"/>
  </w:num>
  <w:num w:numId="39" w16cid:durableId="2096322680">
    <w:abstractNumId w:val="28"/>
  </w:num>
  <w:num w:numId="40" w16cid:durableId="659231497">
    <w:abstractNumId w:val="29"/>
  </w:num>
  <w:num w:numId="41" w16cid:durableId="144054961">
    <w:abstractNumId w:val="13"/>
  </w:num>
  <w:num w:numId="42" w16cid:durableId="778993284">
    <w:abstractNumId w:val="2"/>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1138"/>
    <w:rsid w:val="00003026"/>
    <w:rsid w:val="000054B1"/>
    <w:rsid w:val="00010318"/>
    <w:rsid w:val="000111DB"/>
    <w:rsid w:val="0001311E"/>
    <w:rsid w:val="00017AB0"/>
    <w:rsid w:val="0002043D"/>
    <w:rsid w:val="000218C9"/>
    <w:rsid w:val="000223BD"/>
    <w:rsid w:val="00024DA5"/>
    <w:rsid w:val="00025D77"/>
    <w:rsid w:val="000329FE"/>
    <w:rsid w:val="00032A36"/>
    <w:rsid w:val="0004302C"/>
    <w:rsid w:val="000470BB"/>
    <w:rsid w:val="00047383"/>
    <w:rsid w:val="00052894"/>
    <w:rsid w:val="000532DA"/>
    <w:rsid w:val="00056CD2"/>
    <w:rsid w:val="0006534F"/>
    <w:rsid w:val="0006785D"/>
    <w:rsid w:val="0007095A"/>
    <w:rsid w:val="000709E5"/>
    <w:rsid w:val="00080FCA"/>
    <w:rsid w:val="00082FAB"/>
    <w:rsid w:val="00083604"/>
    <w:rsid w:val="00084FD0"/>
    <w:rsid w:val="000853F6"/>
    <w:rsid w:val="00085837"/>
    <w:rsid w:val="00087222"/>
    <w:rsid w:val="000878D5"/>
    <w:rsid w:val="000928C5"/>
    <w:rsid w:val="00096EBF"/>
    <w:rsid w:val="000977EB"/>
    <w:rsid w:val="000A490C"/>
    <w:rsid w:val="000A4DFC"/>
    <w:rsid w:val="000B1D36"/>
    <w:rsid w:val="000B3C21"/>
    <w:rsid w:val="000B5760"/>
    <w:rsid w:val="000B73F9"/>
    <w:rsid w:val="000C7DFE"/>
    <w:rsid w:val="000D1E58"/>
    <w:rsid w:val="000E020F"/>
    <w:rsid w:val="000E16D3"/>
    <w:rsid w:val="000E40C4"/>
    <w:rsid w:val="000F014D"/>
    <w:rsid w:val="000F3523"/>
    <w:rsid w:val="000F59C7"/>
    <w:rsid w:val="000F6BB5"/>
    <w:rsid w:val="00102F59"/>
    <w:rsid w:val="00106505"/>
    <w:rsid w:val="00107520"/>
    <w:rsid w:val="00111749"/>
    <w:rsid w:val="00116523"/>
    <w:rsid w:val="00120071"/>
    <w:rsid w:val="00120FFA"/>
    <w:rsid w:val="001232BE"/>
    <w:rsid w:val="00123922"/>
    <w:rsid w:val="00123B83"/>
    <w:rsid w:val="00131602"/>
    <w:rsid w:val="001319CF"/>
    <w:rsid w:val="00132DDC"/>
    <w:rsid w:val="00136C94"/>
    <w:rsid w:val="00145246"/>
    <w:rsid w:val="001465BD"/>
    <w:rsid w:val="0014692A"/>
    <w:rsid w:val="001470EF"/>
    <w:rsid w:val="00150421"/>
    <w:rsid w:val="00151269"/>
    <w:rsid w:val="00156C49"/>
    <w:rsid w:val="00160A2A"/>
    <w:rsid w:val="00163C9B"/>
    <w:rsid w:val="00170F86"/>
    <w:rsid w:val="001760DF"/>
    <w:rsid w:val="0017732F"/>
    <w:rsid w:val="00182BDA"/>
    <w:rsid w:val="00184EE2"/>
    <w:rsid w:val="0018657C"/>
    <w:rsid w:val="00190698"/>
    <w:rsid w:val="00190763"/>
    <w:rsid w:val="001908C4"/>
    <w:rsid w:val="001945C8"/>
    <w:rsid w:val="00194EE4"/>
    <w:rsid w:val="001969C2"/>
    <w:rsid w:val="001A0143"/>
    <w:rsid w:val="001A18CA"/>
    <w:rsid w:val="001A3D3F"/>
    <w:rsid w:val="001B0102"/>
    <w:rsid w:val="001B23C6"/>
    <w:rsid w:val="001B71EA"/>
    <w:rsid w:val="001C655B"/>
    <w:rsid w:val="001D26C0"/>
    <w:rsid w:val="001D736F"/>
    <w:rsid w:val="001D7977"/>
    <w:rsid w:val="001E0293"/>
    <w:rsid w:val="001E615E"/>
    <w:rsid w:val="001F15B2"/>
    <w:rsid w:val="001F15C2"/>
    <w:rsid w:val="001F1CF7"/>
    <w:rsid w:val="001F2364"/>
    <w:rsid w:val="001F4B8B"/>
    <w:rsid w:val="001F649E"/>
    <w:rsid w:val="001F6DCA"/>
    <w:rsid w:val="001F6E74"/>
    <w:rsid w:val="001F7A9F"/>
    <w:rsid w:val="00200442"/>
    <w:rsid w:val="0020398C"/>
    <w:rsid w:val="00203EE8"/>
    <w:rsid w:val="00205000"/>
    <w:rsid w:val="002064F0"/>
    <w:rsid w:val="00206A41"/>
    <w:rsid w:val="00211AE9"/>
    <w:rsid w:val="00211FE0"/>
    <w:rsid w:val="002129C1"/>
    <w:rsid w:val="00217D5F"/>
    <w:rsid w:val="00220DE8"/>
    <w:rsid w:val="002216BB"/>
    <w:rsid w:val="00223EBE"/>
    <w:rsid w:val="002273AB"/>
    <w:rsid w:val="00232FF4"/>
    <w:rsid w:val="0023747F"/>
    <w:rsid w:val="00237C6C"/>
    <w:rsid w:val="0024377B"/>
    <w:rsid w:val="0025046D"/>
    <w:rsid w:val="00254235"/>
    <w:rsid w:val="00254708"/>
    <w:rsid w:val="00255C8A"/>
    <w:rsid w:val="00256BF4"/>
    <w:rsid w:val="00262058"/>
    <w:rsid w:val="00271E0A"/>
    <w:rsid w:val="00274609"/>
    <w:rsid w:val="00275528"/>
    <w:rsid w:val="00283C5A"/>
    <w:rsid w:val="00283D6E"/>
    <w:rsid w:val="00284917"/>
    <w:rsid w:val="00284CBA"/>
    <w:rsid w:val="0028620E"/>
    <w:rsid w:val="00294EB1"/>
    <w:rsid w:val="002A254E"/>
    <w:rsid w:val="002A4E90"/>
    <w:rsid w:val="002B21D4"/>
    <w:rsid w:val="002C0B1F"/>
    <w:rsid w:val="002C14B2"/>
    <w:rsid w:val="002C1B43"/>
    <w:rsid w:val="002C3E42"/>
    <w:rsid w:val="002C4202"/>
    <w:rsid w:val="002C5356"/>
    <w:rsid w:val="002D2F52"/>
    <w:rsid w:val="002D412A"/>
    <w:rsid w:val="002D4715"/>
    <w:rsid w:val="002E4D13"/>
    <w:rsid w:val="002E6A1E"/>
    <w:rsid w:val="002E6EEE"/>
    <w:rsid w:val="002E7FE1"/>
    <w:rsid w:val="002F02D4"/>
    <w:rsid w:val="002F25FC"/>
    <w:rsid w:val="002F374D"/>
    <w:rsid w:val="002F6526"/>
    <w:rsid w:val="003027BC"/>
    <w:rsid w:val="00310279"/>
    <w:rsid w:val="003130C6"/>
    <w:rsid w:val="00314589"/>
    <w:rsid w:val="00316D28"/>
    <w:rsid w:val="00317646"/>
    <w:rsid w:val="003210E2"/>
    <w:rsid w:val="00321A60"/>
    <w:rsid w:val="00323185"/>
    <w:rsid w:val="00326AFE"/>
    <w:rsid w:val="00326E72"/>
    <w:rsid w:val="003308CE"/>
    <w:rsid w:val="00332149"/>
    <w:rsid w:val="00332C05"/>
    <w:rsid w:val="0033740C"/>
    <w:rsid w:val="00341855"/>
    <w:rsid w:val="00343CE3"/>
    <w:rsid w:val="00345918"/>
    <w:rsid w:val="003478F6"/>
    <w:rsid w:val="00351496"/>
    <w:rsid w:val="003627D7"/>
    <w:rsid w:val="0036323C"/>
    <w:rsid w:val="00371C6B"/>
    <w:rsid w:val="00381E46"/>
    <w:rsid w:val="00382D01"/>
    <w:rsid w:val="00383DDC"/>
    <w:rsid w:val="0038454F"/>
    <w:rsid w:val="00393619"/>
    <w:rsid w:val="00395196"/>
    <w:rsid w:val="0039570A"/>
    <w:rsid w:val="00396B85"/>
    <w:rsid w:val="003A74FD"/>
    <w:rsid w:val="003A78CC"/>
    <w:rsid w:val="003A7A38"/>
    <w:rsid w:val="003B056B"/>
    <w:rsid w:val="003B0952"/>
    <w:rsid w:val="003B1DD0"/>
    <w:rsid w:val="003B29ED"/>
    <w:rsid w:val="003B5308"/>
    <w:rsid w:val="003C4D96"/>
    <w:rsid w:val="003C5792"/>
    <w:rsid w:val="003C7489"/>
    <w:rsid w:val="003D1A18"/>
    <w:rsid w:val="003D2B50"/>
    <w:rsid w:val="003D3448"/>
    <w:rsid w:val="003D6BD0"/>
    <w:rsid w:val="003E09ED"/>
    <w:rsid w:val="003E2CBA"/>
    <w:rsid w:val="003E5293"/>
    <w:rsid w:val="003E64E4"/>
    <w:rsid w:val="003E67E7"/>
    <w:rsid w:val="003F0380"/>
    <w:rsid w:val="0040061D"/>
    <w:rsid w:val="00400ADA"/>
    <w:rsid w:val="00406D54"/>
    <w:rsid w:val="00407736"/>
    <w:rsid w:val="00407EC9"/>
    <w:rsid w:val="00413F89"/>
    <w:rsid w:val="00414D6F"/>
    <w:rsid w:val="00417F57"/>
    <w:rsid w:val="00424E76"/>
    <w:rsid w:val="004309B6"/>
    <w:rsid w:val="00431B23"/>
    <w:rsid w:val="00434670"/>
    <w:rsid w:val="00436264"/>
    <w:rsid w:val="00444494"/>
    <w:rsid w:val="004445BE"/>
    <w:rsid w:val="00445001"/>
    <w:rsid w:val="0045192A"/>
    <w:rsid w:val="0045311D"/>
    <w:rsid w:val="00453E92"/>
    <w:rsid w:val="0045574A"/>
    <w:rsid w:val="00456D3B"/>
    <w:rsid w:val="00457935"/>
    <w:rsid w:val="00465F46"/>
    <w:rsid w:val="004768DE"/>
    <w:rsid w:val="00476A37"/>
    <w:rsid w:val="00481D88"/>
    <w:rsid w:val="00491045"/>
    <w:rsid w:val="00491E3A"/>
    <w:rsid w:val="0049446F"/>
    <w:rsid w:val="0049578D"/>
    <w:rsid w:val="004A65E4"/>
    <w:rsid w:val="004A76D5"/>
    <w:rsid w:val="004B3E6C"/>
    <w:rsid w:val="004C4AED"/>
    <w:rsid w:val="004D0511"/>
    <w:rsid w:val="004D1394"/>
    <w:rsid w:val="004D24D5"/>
    <w:rsid w:val="004D284F"/>
    <w:rsid w:val="004D2CE5"/>
    <w:rsid w:val="004D3D80"/>
    <w:rsid w:val="004D44D5"/>
    <w:rsid w:val="004D4E54"/>
    <w:rsid w:val="004D5E08"/>
    <w:rsid w:val="004D6F91"/>
    <w:rsid w:val="004D7840"/>
    <w:rsid w:val="004E5E43"/>
    <w:rsid w:val="004F1061"/>
    <w:rsid w:val="004F44BE"/>
    <w:rsid w:val="004F531C"/>
    <w:rsid w:val="00500774"/>
    <w:rsid w:val="00500AEB"/>
    <w:rsid w:val="0051022D"/>
    <w:rsid w:val="00510BE0"/>
    <w:rsid w:val="00512A63"/>
    <w:rsid w:val="00513648"/>
    <w:rsid w:val="00515176"/>
    <w:rsid w:val="005203AB"/>
    <w:rsid w:val="00526F8A"/>
    <w:rsid w:val="005302B1"/>
    <w:rsid w:val="005308AC"/>
    <w:rsid w:val="005310C8"/>
    <w:rsid w:val="00532E15"/>
    <w:rsid w:val="00533F44"/>
    <w:rsid w:val="00534486"/>
    <w:rsid w:val="00535B05"/>
    <w:rsid w:val="00535B14"/>
    <w:rsid w:val="0054085B"/>
    <w:rsid w:val="005467C7"/>
    <w:rsid w:val="0055476A"/>
    <w:rsid w:val="00554B22"/>
    <w:rsid w:val="00556358"/>
    <w:rsid w:val="00562D4E"/>
    <w:rsid w:val="00562E65"/>
    <w:rsid w:val="005631ED"/>
    <w:rsid w:val="005632AA"/>
    <w:rsid w:val="0056409C"/>
    <w:rsid w:val="005641A8"/>
    <w:rsid w:val="00564E8F"/>
    <w:rsid w:val="005662E5"/>
    <w:rsid w:val="00570E77"/>
    <w:rsid w:val="00572866"/>
    <w:rsid w:val="00573C72"/>
    <w:rsid w:val="00574C95"/>
    <w:rsid w:val="00574FB3"/>
    <w:rsid w:val="00581C7E"/>
    <w:rsid w:val="00582449"/>
    <w:rsid w:val="00582FC4"/>
    <w:rsid w:val="00583F62"/>
    <w:rsid w:val="00584E26"/>
    <w:rsid w:val="00587762"/>
    <w:rsid w:val="00597A7F"/>
    <w:rsid w:val="005A0B8C"/>
    <w:rsid w:val="005B066D"/>
    <w:rsid w:val="005B0EA5"/>
    <w:rsid w:val="005B160A"/>
    <w:rsid w:val="005B2FEC"/>
    <w:rsid w:val="005B7585"/>
    <w:rsid w:val="005B775D"/>
    <w:rsid w:val="005C4A8E"/>
    <w:rsid w:val="005D2833"/>
    <w:rsid w:val="005E0186"/>
    <w:rsid w:val="005E0351"/>
    <w:rsid w:val="005E20D0"/>
    <w:rsid w:val="005E339C"/>
    <w:rsid w:val="005E70E7"/>
    <w:rsid w:val="005E7923"/>
    <w:rsid w:val="005E7DAF"/>
    <w:rsid w:val="005F6045"/>
    <w:rsid w:val="005F75A8"/>
    <w:rsid w:val="005F7C6F"/>
    <w:rsid w:val="0060170A"/>
    <w:rsid w:val="0060349F"/>
    <w:rsid w:val="006053B6"/>
    <w:rsid w:val="00605766"/>
    <w:rsid w:val="00611D77"/>
    <w:rsid w:val="00613CE8"/>
    <w:rsid w:val="00620070"/>
    <w:rsid w:val="00621C42"/>
    <w:rsid w:val="00623213"/>
    <w:rsid w:val="006273E6"/>
    <w:rsid w:val="00627B61"/>
    <w:rsid w:val="00627E80"/>
    <w:rsid w:val="0063072C"/>
    <w:rsid w:val="00631165"/>
    <w:rsid w:val="006339CA"/>
    <w:rsid w:val="006347AD"/>
    <w:rsid w:val="006347EE"/>
    <w:rsid w:val="0063542C"/>
    <w:rsid w:val="006404AD"/>
    <w:rsid w:val="00641577"/>
    <w:rsid w:val="00642D59"/>
    <w:rsid w:val="00643777"/>
    <w:rsid w:val="006471E1"/>
    <w:rsid w:val="00654046"/>
    <w:rsid w:val="006574D6"/>
    <w:rsid w:val="00664690"/>
    <w:rsid w:val="00664C74"/>
    <w:rsid w:val="00666041"/>
    <w:rsid w:val="00671AC5"/>
    <w:rsid w:val="00671DEA"/>
    <w:rsid w:val="0067289D"/>
    <w:rsid w:val="0067697E"/>
    <w:rsid w:val="006830F2"/>
    <w:rsid w:val="006833B7"/>
    <w:rsid w:val="00683436"/>
    <w:rsid w:val="00683585"/>
    <w:rsid w:val="006845FA"/>
    <w:rsid w:val="006863D5"/>
    <w:rsid w:val="006869AE"/>
    <w:rsid w:val="006941C5"/>
    <w:rsid w:val="00694D09"/>
    <w:rsid w:val="00697B78"/>
    <w:rsid w:val="006A35FC"/>
    <w:rsid w:val="006A7179"/>
    <w:rsid w:val="006A7CBD"/>
    <w:rsid w:val="006B04FF"/>
    <w:rsid w:val="006B1F0D"/>
    <w:rsid w:val="006B5A98"/>
    <w:rsid w:val="006B66E3"/>
    <w:rsid w:val="006B6C22"/>
    <w:rsid w:val="006C10E5"/>
    <w:rsid w:val="006C1B69"/>
    <w:rsid w:val="006C2992"/>
    <w:rsid w:val="006C3215"/>
    <w:rsid w:val="006C4724"/>
    <w:rsid w:val="006C5225"/>
    <w:rsid w:val="006C7DD0"/>
    <w:rsid w:val="006D0BE6"/>
    <w:rsid w:val="006D2130"/>
    <w:rsid w:val="006D2A19"/>
    <w:rsid w:val="006D3EE0"/>
    <w:rsid w:val="006D5A72"/>
    <w:rsid w:val="006D629B"/>
    <w:rsid w:val="006E1BA8"/>
    <w:rsid w:val="006E5424"/>
    <w:rsid w:val="006E5BFE"/>
    <w:rsid w:val="006E73D2"/>
    <w:rsid w:val="006F0230"/>
    <w:rsid w:val="006F031B"/>
    <w:rsid w:val="006F0B11"/>
    <w:rsid w:val="006F417A"/>
    <w:rsid w:val="006F4507"/>
    <w:rsid w:val="006F57FC"/>
    <w:rsid w:val="006F64A0"/>
    <w:rsid w:val="00700624"/>
    <w:rsid w:val="007016D8"/>
    <w:rsid w:val="00701E31"/>
    <w:rsid w:val="00704DBF"/>
    <w:rsid w:val="007050BA"/>
    <w:rsid w:val="0071690D"/>
    <w:rsid w:val="00717A94"/>
    <w:rsid w:val="007232A5"/>
    <w:rsid w:val="0072474B"/>
    <w:rsid w:val="00726B3B"/>
    <w:rsid w:val="00726F5A"/>
    <w:rsid w:val="00730789"/>
    <w:rsid w:val="00732580"/>
    <w:rsid w:val="00732B6F"/>
    <w:rsid w:val="00732C0C"/>
    <w:rsid w:val="00733DBF"/>
    <w:rsid w:val="007353F9"/>
    <w:rsid w:val="007405AA"/>
    <w:rsid w:val="00743499"/>
    <w:rsid w:val="00750A27"/>
    <w:rsid w:val="00750BB6"/>
    <w:rsid w:val="0075253A"/>
    <w:rsid w:val="00754E19"/>
    <w:rsid w:val="00755AA9"/>
    <w:rsid w:val="00763715"/>
    <w:rsid w:val="007778CF"/>
    <w:rsid w:val="00777DAC"/>
    <w:rsid w:val="00780FBA"/>
    <w:rsid w:val="0078157F"/>
    <w:rsid w:val="007822FB"/>
    <w:rsid w:val="007833CB"/>
    <w:rsid w:val="00784CF9"/>
    <w:rsid w:val="007A0E5C"/>
    <w:rsid w:val="007A1D39"/>
    <w:rsid w:val="007A7F07"/>
    <w:rsid w:val="007B275D"/>
    <w:rsid w:val="007B303B"/>
    <w:rsid w:val="007B3B1C"/>
    <w:rsid w:val="007B5AA3"/>
    <w:rsid w:val="007C0D4C"/>
    <w:rsid w:val="007C267A"/>
    <w:rsid w:val="007C57A8"/>
    <w:rsid w:val="007D2528"/>
    <w:rsid w:val="007D7791"/>
    <w:rsid w:val="007D7C74"/>
    <w:rsid w:val="007E32CB"/>
    <w:rsid w:val="007E48AD"/>
    <w:rsid w:val="007E4DE2"/>
    <w:rsid w:val="007E4EDC"/>
    <w:rsid w:val="007E7499"/>
    <w:rsid w:val="007F1C02"/>
    <w:rsid w:val="007F2E45"/>
    <w:rsid w:val="007F31DE"/>
    <w:rsid w:val="007F4051"/>
    <w:rsid w:val="007F426B"/>
    <w:rsid w:val="007F4A9D"/>
    <w:rsid w:val="008033ED"/>
    <w:rsid w:val="008077F7"/>
    <w:rsid w:val="00810794"/>
    <w:rsid w:val="00811421"/>
    <w:rsid w:val="008116A7"/>
    <w:rsid w:val="00812477"/>
    <w:rsid w:val="00813221"/>
    <w:rsid w:val="00814189"/>
    <w:rsid w:val="00814DEB"/>
    <w:rsid w:val="00815A94"/>
    <w:rsid w:val="008161FC"/>
    <w:rsid w:val="008208A7"/>
    <w:rsid w:val="00824CB2"/>
    <w:rsid w:val="008268F9"/>
    <w:rsid w:val="008273FA"/>
    <w:rsid w:val="00832D34"/>
    <w:rsid w:val="008330F5"/>
    <w:rsid w:val="008333D8"/>
    <w:rsid w:val="0083388A"/>
    <w:rsid w:val="008349BD"/>
    <w:rsid w:val="00836768"/>
    <w:rsid w:val="00836849"/>
    <w:rsid w:val="00841DE5"/>
    <w:rsid w:val="00842D0D"/>
    <w:rsid w:val="00844BE5"/>
    <w:rsid w:val="0084519D"/>
    <w:rsid w:val="00855278"/>
    <w:rsid w:val="008576D4"/>
    <w:rsid w:val="00861527"/>
    <w:rsid w:val="00862B47"/>
    <w:rsid w:val="00862C1A"/>
    <w:rsid w:val="008630DF"/>
    <w:rsid w:val="008651F9"/>
    <w:rsid w:val="00870284"/>
    <w:rsid w:val="0087055A"/>
    <w:rsid w:val="0087462B"/>
    <w:rsid w:val="008763B3"/>
    <w:rsid w:val="008765DE"/>
    <w:rsid w:val="008847CD"/>
    <w:rsid w:val="00891B24"/>
    <w:rsid w:val="008A302A"/>
    <w:rsid w:val="008A3EEE"/>
    <w:rsid w:val="008A51D9"/>
    <w:rsid w:val="008A708E"/>
    <w:rsid w:val="008A77E3"/>
    <w:rsid w:val="008B17F4"/>
    <w:rsid w:val="008B29A5"/>
    <w:rsid w:val="008B3AF9"/>
    <w:rsid w:val="008B3C53"/>
    <w:rsid w:val="008B3D16"/>
    <w:rsid w:val="008C114C"/>
    <w:rsid w:val="008C27DA"/>
    <w:rsid w:val="008C39CE"/>
    <w:rsid w:val="008C522A"/>
    <w:rsid w:val="008C5C41"/>
    <w:rsid w:val="008D3115"/>
    <w:rsid w:val="008D6691"/>
    <w:rsid w:val="008D799D"/>
    <w:rsid w:val="008E0DF1"/>
    <w:rsid w:val="008E3142"/>
    <w:rsid w:val="008E400F"/>
    <w:rsid w:val="008E5DA7"/>
    <w:rsid w:val="008E6AF9"/>
    <w:rsid w:val="008E722E"/>
    <w:rsid w:val="008F2130"/>
    <w:rsid w:val="008F4CCF"/>
    <w:rsid w:val="008F4D41"/>
    <w:rsid w:val="00900450"/>
    <w:rsid w:val="00903256"/>
    <w:rsid w:val="0090619B"/>
    <w:rsid w:val="00906CBF"/>
    <w:rsid w:val="009110D1"/>
    <w:rsid w:val="009115F8"/>
    <w:rsid w:val="00913200"/>
    <w:rsid w:val="00915F8D"/>
    <w:rsid w:val="00917ADE"/>
    <w:rsid w:val="00917DBD"/>
    <w:rsid w:val="009230E2"/>
    <w:rsid w:val="00926A44"/>
    <w:rsid w:val="00930029"/>
    <w:rsid w:val="00930425"/>
    <w:rsid w:val="0093112A"/>
    <w:rsid w:val="009324E9"/>
    <w:rsid w:val="00933199"/>
    <w:rsid w:val="00936354"/>
    <w:rsid w:val="009376A0"/>
    <w:rsid w:val="00940811"/>
    <w:rsid w:val="00942F13"/>
    <w:rsid w:val="00943606"/>
    <w:rsid w:val="0094600E"/>
    <w:rsid w:val="00951D67"/>
    <w:rsid w:val="00953E48"/>
    <w:rsid w:val="00965082"/>
    <w:rsid w:val="00973C62"/>
    <w:rsid w:val="009742BF"/>
    <w:rsid w:val="00976F99"/>
    <w:rsid w:val="0098532A"/>
    <w:rsid w:val="00986A5A"/>
    <w:rsid w:val="00990C9A"/>
    <w:rsid w:val="00993784"/>
    <w:rsid w:val="00993EDE"/>
    <w:rsid w:val="009949CD"/>
    <w:rsid w:val="009955EE"/>
    <w:rsid w:val="00995ABD"/>
    <w:rsid w:val="00996EAC"/>
    <w:rsid w:val="009971A0"/>
    <w:rsid w:val="00997787"/>
    <w:rsid w:val="009A1A7D"/>
    <w:rsid w:val="009A23B7"/>
    <w:rsid w:val="009A7C87"/>
    <w:rsid w:val="009B2917"/>
    <w:rsid w:val="009B299F"/>
    <w:rsid w:val="009C2A6F"/>
    <w:rsid w:val="009C40F0"/>
    <w:rsid w:val="009D1532"/>
    <w:rsid w:val="009D4D95"/>
    <w:rsid w:val="009E1606"/>
    <w:rsid w:val="009E1E8C"/>
    <w:rsid w:val="009E22E6"/>
    <w:rsid w:val="009E28B2"/>
    <w:rsid w:val="009E314A"/>
    <w:rsid w:val="009E63ED"/>
    <w:rsid w:val="009E67A1"/>
    <w:rsid w:val="009E7DFB"/>
    <w:rsid w:val="009F0F43"/>
    <w:rsid w:val="00A03ABC"/>
    <w:rsid w:val="00A0770B"/>
    <w:rsid w:val="00A078BF"/>
    <w:rsid w:val="00A201EF"/>
    <w:rsid w:val="00A215F6"/>
    <w:rsid w:val="00A23060"/>
    <w:rsid w:val="00A236B3"/>
    <w:rsid w:val="00A25FCD"/>
    <w:rsid w:val="00A34D95"/>
    <w:rsid w:val="00A35519"/>
    <w:rsid w:val="00A361B2"/>
    <w:rsid w:val="00A40E7A"/>
    <w:rsid w:val="00A42AAB"/>
    <w:rsid w:val="00A43E73"/>
    <w:rsid w:val="00A44626"/>
    <w:rsid w:val="00A460E2"/>
    <w:rsid w:val="00A46840"/>
    <w:rsid w:val="00A47EFE"/>
    <w:rsid w:val="00A50D8E"/>
    <w:rsid w:val="00A52E7E"/>
    <w:rsid w:val="00A5794D"/>
    <w:rsid w:val="00A618B0"/>
    <w:rsid w:val="00A71685"/>
    <w:rsid w:val="00A74DFC"/>
    <w:rsid w:val="00A750E9"/>
    <w:rsid w:val="00A760B9"/>
    <w:rsid w:val="00A80603"/>
    <w:rsid w:val="00A87143"/>
    <w:rsid w:val="00A879C0"/>
    <w:rsid w:val="00A87CC1"/>
    <w:rsid w:val="00A95771"/>
    <w:rsid w:val="00A96044"/>
    <w:rsid w:val="00A9704F"/>
    <w:rsid w:val="00A9793D"/>
    <w:rsid w:val="00AA07E3"/>
    <w:rsid w:val="00AA0FC2"/>
    <w:rsid w:val="00AA12CA"/>
    <w:rsid w:val="00AA2694"/>
    <w:rsid w:val="00AB16DA"/>
    <w:rsid w:val="00AB36CF"/>
    <w:rsid w:val="00AC2FE8"/>
    <w:rsid w:val="00AC320B"/>
    <w:rsid w:val="00AC3CAE"/>
    <w:rsid w:val="00AC61E2"/>
    <w:rsid w:val="00AC67D3"/>
    <w:rsid w:val="00AC6A97"/>
    <w:rsid w:val="00AD1760"/>
    <w:rsid w:val="00AD210E"/>
    <w:rsid w:val="00AD7649"/>
    <w:rsid w:val="00AD7ADD"/>
    <w:rsid w:val="00AE090B"/>
    <w:rsid w:val="00AE0C2D"/>
    <w:rsid w:val="00AE3388"/>
    <w:rsid w:val="00AE3C3D"/>
    <w:rsid w:val="00AE51B1"/>
    <w:rsid w:val="00AE58A1"/>
    <w:rsid w:val="00AF1A26"/>
    <w:rsid w:val="00AF26DD"/>
    <w:rsid w:val="00AF2C0F"/>
    <w:rsid w:val="00AF35E5"/>
    <w:rsid w:val="00AF4D25"/>
    <w:rsid w:val="00B01601"/>
    <w:rsid w:val="00B0180D"/>
    <w:rsid w:val="00B11119"/>
    <w:rsid w:val="00B15DE3"/>
    <w:rsid w:val="00B2538A"/>
    <w:rsid w:val="00B26CD7"/>
    <w:rsid w:val="00B32249"/>
    <w:rsid w:val="00B36320"/>
    <w:rsid w:val="00B37654"/>
    <w:rsid w:val="00B40DA1"/>
    <w:rsid w:val="00B46004"/>
    <w:rsid w:val="00B4629A"/>
    <w:rsid w:val="00B53800"/>
    <w:rsid w:val="00B60AF4"/>
    <w:rsid w:val="00B62757"/>
    <w:rsid w:val="00B62869"/>
    <w:rsid w:val="00B65B79"/>
    <w:rsid w:val="00B67A28"/>
    <w:rsid w:val="00B7076F"/>
    <w:rsid w:val="00B71887"/>
    <w:rsid w:val="00B7333D"/>
    <w:rsid w:val="00B817A7"/>
    <w:rsid w:val="00B817B1"/>
    <w:rsid w:val="00B81EA3"/>
    <w:rsid w:val="00B86BDD"/>
    <w:rsid w:val="00B86C44"/>
    <w:rsid w:val="00B86D18"/>
    <w:rsid w:val="00B90347"/>
    <w:rsid w:val="00B91B1E"/>
    <w:rsid w:val="00B925D2"/>
    <w:rsid w:val="00B94A47"/>
    <w:rsid w:val="00B97C79"/>
    <w:rsid w:val="00BA0CC8"/>
    <w:rsid w:val="00BA170C"/>
    <w:rsid w:val="00BA1E44"/>
    <w:rsid w:val="00BA3214"/>
    <w:rsid w:val="00BA41B5"/>
    <w:rsid w:val="00BA498D"/>
    <w:rsid w:val="00BA74CA"/>
    <w:rsid w:val="00BB43EC"/>
    <w:rsid w:val="00BB67B2"/>
    <w:rsid w:val="00BC1B80"/>
    <w:rsid w:val="00BC2CBC"/>
    <w:rsid w:val="00BC3B5C"/>
    <w:rsid w:val="00BC53D9"/>
    <w:rsid w:val="00BC6861"/>
    <w:rsid w:val="00BD05D1"/>
    <w:rsid w:val="00BD0B0E"/>
    <w:rsid w:val="00BD2637"/>
    <w:rsid w:val="00BD2C9A"/>
    <w:rsid w:val="00BD4BF4"/>
    <w:rsid w:val="00BD54FF"/>
    <w:rsid w:val="00BD5A2B"/>
    <w:rsid w:val="00BD7795"/>
    <w:rsid w:val="00BE2210"/>
    <w:rsid w:val="00BE323B"/>
    <w:rsid w:val="00BE3A86"/>
    <w:rsid w:val="00BE3D27"/>
    <w:rsid w:val="00BE3F08"/>
    <w:rsid w:val="00BF15F6"/>
    <w:rsid w:val="00BF4FF8"/>
    <w:rsid w:val="00BF5EBB"/>
    <w:rsid w:val="00BF6B5B"/>
    <w:rsid w:val="00BF6BA1"/>
    <w:rsid w:val="00C00668"/>
    <w:rsid w:val="00C020FA"/>
    <w:rsid w:val="00C029C4"/>
    <w:rsid w:val="00C03935"/>
    <w:rsid w:val="00C11255"/>
    <w:rsid w:val="00C154D5"/>
    <w:rsid w:val="00C16221"/>
    <w:rsid w:val="00C2049A"/>
    <w:rsid w:val="00C204DE"/>
    <w:rsid w:val="00C214C1"/>
    <w:rsid w:val="00C26381"/>
    <w:rsid w:val="00C32256"/>
    <w:rsid w:val="00C34C6E"/>
    <w:rsid w:val="00C37918"/>
    <w:rsid w:val="00C46B59"/>
    <w:rsid w:val="00C47D95"/>
    <w:rsid w:val="00C5006F"/>
    <w:rsid w:val="00C511EF"/>
    <w:rsid w:val="00C53573"/>
    <w:rsid w:val="00C54ED3"/>
    <w:rsid w:val="00C60B7F"/>
    <w:rsid w:val="00C610C3"/>
    <w:rsid w:val="00C638BF"/>
    <w:rsid w:val="00C70019"/>
    <w:rsid w:val="00C74328"/>
    <w:rsid w:val="00C743C2"/>
    <w:rsid w:val="00C74693"/>
    <w:rsid w:val="00C74C78"/>
    <w:rsid w:val="00C75521"/>
    <w:rsid w:val="00C821E5"/>
    <w:rsid w:val="00C9104F"/>
    <w:rsid w:val="00C92F2A"/>
    <w:rsid w:val="00C92F68"/>
    <w:rsid w:val="00C9408E"/>
    <w:rsid w:val="00CA270F"/>
    <w:rsid w:val="00CA554E"/>
    <w:rsid w:val="00CB4BB7"/>
    <w:rsid w:val="00CB4C80"/>
    <w:rsid w:val="00CB7FD7"/>
    <w:rsid w:val="00CC1355"/>
    <w:rsid w:val="00CC1C1C"/>
    <w:rsid w:val="00CC2B62"/>
    <w:rsid w:val="00CC4BC2"/>
    <w:rsid w:val="00CC5A2C"/>
    <w:rsid w:val="00CD0242"/>
    <w:rsid w:val="00CD1D19"/>
    <w:rsid w:val="00CD2F35"/>
    <w:rsid w:val="00CD6C88"/>
    <w:rsid w:val="00CE450F"/>
    <w:rsid w:val="00CF1FD6"/>
    <w:rsid w:val="00CF2EA0"/>
    <w:rsid w:val="00CF2FAD"/>
    <w:rsid w:val="00CF4345"/>
    <w:rsid w:val="00CF5868"/>
    <w:rsid w:val="00CF6F1B"/>
    <w:rsid w:val="00CF766D"/>
    <w:rsid w:val="00D131CC"/>
    <w:rsid w:val="00D13C31"/>
    <w:rsid w:val="00D1448F"/>
    <w:rsid w:val="00D159BE"/>
    <w:rsid w:val="00D22D12"/>
    <w:rsid w:val="00D235CC"/>
    <w:rsid w:val="00D251E6"/>
    <w:rsid w:val="00D2633B"/>
    <w:rsid w:val="00D325D1"/>
    <w:rsid w:val="00D32D4E"/>
    <w:rsid w:val="00D336E0"/>
    <w:rsid w:val="00D36888"/>
    <w:rsid w:val="00D36DCD"/>
    <w:rsid w:val="00D40346"/>
    <w:rsid w:val="00D50626"/>
    <w:rsid w:val="00D5473E"/>
    <w:rsid w:val="00D60DCA"/>
    <w:rsid w:val="00D622DA"/>
    <w:rsid w:val="00D67484"/>
    <w:rsid w:val="00D70D75"/>
    <w:rsid w:val="00D7181B"/>
    <w:rsid w:val="00D72C12"/>
    <w:rsid w:val="00D751F7"/>
    <w:rsid w:val="00D759C6"/>
    <w:rsid w:val="00D800C5"/>
    <w:rsid w:val="00D81B09"/>
    <w:rsid w:val="00D83A27"/>
    <w:rsid w:val="00D84024"/>
    <w:rsid w:val="00D92F70"/>
    <w:rsid w:val="00D95A0F"/>
    <w:rsid w:val="00DA35E1"/>
    <w:rsid w:val="00DA3B73"/>
    <w:rsid w:val="00DA623F"/>
    <w:rsid w:val="00DC0168"/>
    <w:rsid w:val="00DC03BB"/>
    <w:rsid w:val="00DC3C9A"/>
    <w:rsid w:val="00DC669A"/>
    <w:rsid w:val="00DC7BAB"/>
    <w:rsid w:val="00DD5E1F"/>
    <w:rsid w:val="00DD73C1"/>
    <w:rsid w:val="00DD7697"/>
    <w:rsid w:val="00DD7FE3"/>
    <w:rsid w:val="00DE1FEB"/>
    <w:rsid w:val="00DE4223"/>
    <w:rsid w:val="00DE52A4"/>
    <w:rsid w:val="00DF0DBB"/>
    <w:rsid w:val="00DF654A"/>
    <w:rsid w:val="00DF782D"/>
    <w:rsid w:val="00DF79CC"/>
    <w:rsid w:val="00E10345"/>
    <w:rsid w:val="00E10819"/>
    <w:rsid w:val="00E10C0E"/>
    <w:rsid w:val="00E11762"/>
    <w:rsid w:val="00E140BF"/>
    <w:rsid w:val="00E15CAE"/>
    <w:rsid w:val="00E16BC6"/>
    <w:rsid w:val="00E1774B"/>
    <w:rsid w:val="00E20DF8"/>
    <w:rsid w:val="00E23181"/>
    <w:rsid w:val="00E23DAC"/>
    <w:rsid w:val="00E27656"/>
    <w:rsid w:val="00E308B8"/>
    <w:rsid w:val="00E3643C"/>
    <w:rsid w:val="00E4124D"/>
    <w:rsid w:val="00E44353"/>
    <w:rsid w:val="00E45413"/>
    <w:rsid w:val="00E52A48"/>
    <w:rsid w:val="00E613A5"/>
    <w:rsid w:val="00E63295"/>
    <w:rsid w:val="00E64324"/>
    <w:rsid w:val="00E66927"/>
    <w:rsid w:val="00E671C3"/>
    <w:rsid w:val="00E70310"/>
    <w:rsid w:val="00E71E47"/>
    <w:rsid w:val="00E7553E"/>
    <w:rsid w:val="00E76DAD"/>
    <w:rsid w:val="00E76ECF"/>
    <w:rsid w:val="00E80CA5"/>
    <w:rsid w:val="00E83B14"/>
    <w:rsid w:val="00E855E3"/>
    <w:rsid w:val="00E8776B"/>
    <w:rsid w:val="00E877ED"/>
    <w:rsid w:val="00E87F1E"/>
    <w:rsid w:val="00E91831"/>
    <w:rsid w:val="00E93CB4"/>
    <w:rsid w:val="00EA0995"/>
    <w:rsid w:val="00EA099F"/>
    <w:rsid w:val="00EA155E"/>
    <w:rsid w:val="00EA1D7B"/>
    <w:rsid w:val="00EA440D"/>
    <w:rsid w:val="00EA725B"/>
    <w:rsid w:val="00EB4615"/>
    <w:rsid w:val="00EB7F04"/>
    <w:rsid w:val="00EC1824"/>
    <w:rsid w:val="00EC20D2"/>
    <w:rsid w:val="00EC2D3C"/>
    <w:rsid w:val="00EC73B3"/>
    <w:rsid w:val="00ED0C09"/>
    <w:rsid w:val="00ED66BC"/>
    <w:rsid w:val="00EE03EE"/>
    <w:rsid w:val="00EE42AF"/>
    <w:rsid w:val="00EE5403"/>
    <w:rsid w:val="00EE5599"/>
    <w:rsid w:val="00EE5D52"/>
    <w:rsid w:val="00EF043B"/>
    <w:rsid w:val="00EF237E"/>
    <w:rsid w:val="00EF23DF"/>
    <w:rsid w:val="00EF2575"/>
    <w:rsid w:val="00F0780D"/>
    <w:rsid w:val="00F16D65"/>
    <w:rsid w:val="00F17B83"/>
    <w:rsid w:val="00F20790"/>
    <w:rsid w:val="00F214F6"/>
    <w:rsid w:val="00F2351B"/>
    <w:rsid w:val="00F27AB5"/>
    <w:rsid w:val="00F32B29"/>
    <w:rsid w:val="00F41597"/>
    <w:rsid w:val="00F4296D"/>
    <w:rsid w:val="00F46396"/>
    <w:rsid w:val="00F53B8A"/>
    <w:rsid w:val="00F53FDC"/>
    <w:rsid w:val="00F55118"/>
    <w:rsid w:val="00F551AD"/>
    <w:rsid w:val="00F56E8C"/>
    <w:rsid w:val="00F61308"/>
    <w:rsid w:val="00F61547"/>
    <w:rsid w:val="00F619F6"/>
    <w:rsid w:val="00F625A9"/>
    <w:rsid w:val="00F64815"/>
    <w:rsid w:val="00F66B28"/>
    <w:rsid w:val="00F673F0"/>
    <w:rsid w:val="00F7163B"/>
    <w:rsid w:val="00F721F0"/>
    <w:rsid w:val="00F7476C"/>
    <w:rsid w:val="00F76D5B"/>
    <w:rsid w:val="00F83300"/>
    <w:rsid w:val="00F868B9"/>
    <w:rsid w:val="00F8796D"/>
    <w:rsid w:val="00F912B1"/>
    <w:rsid w:val="00F91942"/>
    <w:rsid w:val="00F93B0E"/>
    <w:rsid w:val="00F93BEE"/>
    <w:rsid w:val="00F948D4"/>
    <w:rsid w:val="00F94A49"/>
    <w:rsid w:val="00F96B9C"/>
    <w:rsid w:val="00F97147"/>
    <w:rsid w:val="00FA0AF2"/>
    <w:rsid w:val="00FA6626"/>
    <w:rsid w:val="00FB033D"/>
    <w:rsid w:val="00FB0DAB"/>
    <w:rsid w:val="00FB3AE9"/>
    <w:rsid w:val="00FB79C9"/>
    <w:rsid w:val="00FC0076"/>
    <w:rsid w:val="00FC1156"/>
    <w:rsid w:val="00FC342C"/>
    <w:rsid w:val="00FD13E3"/>
    <w:rsid w:val="00FD462B"/>
    <w:rsid w:val="00FD5516"/>
    <w:rsid w:val="00FD6D44"/>
    <w:rsid w:val="00FD72D9"/>
    <w:rsid w:val="00FD7366"/>
    <w:rsid w:val="00FE2E3E"/>
    <w:rsid w:val="00FE7C65"/>
    <w:rsid w:val="00FF2267"/>
    <w:rsid w:val="00FF4009"/>
    <w:rsid w:val="00FF49EB"/>
    <w:rsid w:val="05E6267D"/>
    <w:rsid w:val="06C96EAF"/>
    <w:rsid w:val="073DCAA3"/>
    <w:rsid w:val="0A95A596"/>
    <w:rsid w:val="1705E4A3"/>
    <w:rsid w:val="18DC1EF5"/>
    <w:rsid w:val="1B786DD7"/>
    <w:rsid w:val="1F0A5112"/>
    <w:rsid w:val="20372F67"/>
    <w:rsid w:val="2D1A5C44"/>
    <w:rsid w:val="34E15A8E"/>
    <w:rsid w:val="3853BB4D"/>
    <w:rsid w:val="3E623CD5"/>
    <w:rsid w:val="3FF54206"/>
    <w:rsid w:val="4105E038"/>
    <w:rsid w:val="417D0EAD"/>
    <w:rsid w:val="4CC21EC6"/>
    <w:rsid w:val="541838E3"/>
    <w:rsid w:val="54380691"/>
    <w:rsid w:val="5A774D71"/>
    <w:rsid w:val="5BCDAFCE"/>
    <w:rsid w:val="7C1439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E7F9BA90-7B93-4FE7-B30A-79F1684EFD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styleId="Body1" w:customStyle="1">
    <w:name w:val="Body1"/>
    <w:basedOn w:val="Normal"/>
    <w:rsid w:val="00C11255"/>
    <w:pPr>
      <w:ind w:left="720"/>
    </w:pPr>
  </w:style>
  <w:style w:type="paragraph" w:styleId="Body2" w:customStyle="1">
    <w:name w:val="Body2"/>
    <w:basedOn w:val="Normal"/>
    <w:rsid w:val="00C11255"/>
    <w:pPr>
      <w:ind w:left="1440"/>
    </w:pPr>
  </w:style>
  <w:style w:type="paragraph" w:styleId="Body3" w:customStyle="1">
    <w:name w:val="Body3"/>
    <w:basedOn w:val="Normal"/>
    <w:rsid w:val="00C11255"/>
    <w:pPr>
      <w:ind w:left="2404"/>
    </w:pPr>
  </w:style>
  <w:style w:type="paragraph" w:styleId="Body4" w:customStyle="1">
    <w:name w:val="Body4"/>
    <w:basedOn w:val="Normal"/>
    <w:rsid w:val="00C11255"/>
    <w:pPr>
      <w:ind w:left="3617"/>
    </w:pPr>
  </w:style>
  <w:style w:type="paragraph" w:styleId="Body5" w:customStyle="1">
    <w:name w:val="Body5"/>
    <w:basedOn w:val="Normal"/>
    <w:rsid w:val="00C11255"/>
    <w:pPr>
      <w:ind w:left="4349"/>
    </w:pPr>
  </w:style>
  <w:style w:type="paragraph" w:styleId="BodyTextIndent">
    <w:name w:val="Body Text Indent"/>
    <w:basedOn w:val="Normal"/>
    <w:rsid w:val="00C11255"/>
    <w:pPr>
      <w:ind w:left="709"/>
    </w:pPr>
  </w:style>
  <w:style w:type="paragraph" w:styleId="Body6" w:customStyle="1">
    <w:name w:val="Body6"/>
    <w:basedOn w:val="Normal"/>
    <w:rsid w:val="00C11255"/>
    <w:pPr>
      <w:ind w:left="5058"/>
    </w:pPr>
  </w:style>
  <w:style w:type="paragraph" w:styleId="Body7" w:customStyle="1">
    <w:name w:val="Body7"/>
    <w:basedOn w:val="Normal"/>
    <w:rsid w:val="00C11255"/>
    <w:pPr>
      <w:ind w:left="5761"/>
    </w:pPr>
  </w:style>
  <w:style w:type="paragraph" w:styleId="Body8" w:customStyle="1">
    <w:name w:val="Body8"/>
    <w:basedOn w:val="Normal"/>
    <w:rsid w:val="00C11255"/>
    <w:pPr>
      <w:ind w:left="6447"/>
    </w:pPr>
  </w:style>
  <w:style w:type="paragraph" w:styleId="Body9" w:customStyle="1">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styleId="DocSpace" w:customStyle="1">
    <w:name w:val="DocSpace"/>
    <w:basedOn w:val="Normal"/>
    <w:rsid w:val="00C11255"/>
  </w:style>
  <w:style w:type="paragraph" w:styleId="SchTitle" w:customStyle="1">
    <w:name w:val="Sch Title"/>
    <w:next w:val="Normal"/>
    <w:rsid w:val="00C11255"/>
    <w:pPr>
      <w:keepNext/>
      <w:spacing w:before="240" w:after="60"/>
      <w:jc w:val="center"/>
    </w:pPr>
    <w:rPr>
      <w:rFonts w:ascii="Arial" w:hAnsi="Arial"/>
      <w:b/>
      <w:noProof/>
      <w:lang w:eastAsia="en-US"/>
    </w:rPr>
  </w:style>
  <w:style w:type="paragraph" w:styleId="SchedClauses" w:customStyle="1">
    <w:name w:val="Sched Clauses"/>
    <w:basedOn w:val="Normal"/>
    <w:rsid w:val="00C11255"/>
  </w:style>
  <w:style w:type="paragraph" w:styleId="STBody" w:customStyle="1">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styleId="SingleSpace" w:customStyle="1">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1"/>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styleId="Default" w:customStyle="1">
    <w:name w:val="Default"/>
    <w:rsid w:val="005E70E7"/>
    <w:pPr>
      <w:autoSpaceDE w:val="0"/>
      <w:autoSpaceDN w:val="0"/>
      <w:adjustRightInd w:val="0"/>
    </w:pPr>
    <w:rPr>
      <w:rFonts w:ascii="Arial" w:hAnsi="Arial" w:cs="Arial"/>
      <w:color w:val="000000"/>
      <w:sz w:val="24"/>
      <w:szCs w:val="24"/>
    </w:rPr>
  </w:style>
  <w:style w:type="paragraph" w:styleId="Paragraph" w:customStyle="1">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styleId="CommentTextChar" w:customStyle="1">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styleId="CommentSubjectChar" w:customStyle="1">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styleId="FootnoteTextChar" w:customStyle="1">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styleId="NICEnormalChar" w:customStyle="1">
    <w:name w:val="NICE normal Char"/>
    <w:basedOn w:val="DefaultParagraphFont"/>
    <w:link w:val="NICEnormal"/>
    <w:locked/>
    <w:rsid w:val="00B94A47"/>
    <w:rPr>
      <w:rFonts w:ascii="Arial" w:hAnsi="Arial" w:cs="Arial"/>
      <w:lang w:eastAsia="en-US"/>
    </w:rPr>
  </w:style>
  <w:style w:type="paragraph" w:styleId="NICEnormal" w:customStyle="1">
    <w:name w:val="NICE normal"/>
    <w:basedOn w:val="Normal"/>
    <w:link w:val="NICEnormalChar"/>
    <w:rsid w:val="00B94A47"/>
    <w:pPr>
      <w:spacing w:after="240" w:line="360" w:lineRule="auto"/>
    </w:pPr>
    <w:rPr>
      <w:rFonts w:cs="Arial"/>
      <w:color w:val="auto"/>
    </w:rPr>
  </w:style>
  <w:style w:type="character" w:styleId="HeaderChar" w:customStyle="1">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 w:type="paragraph" w:styleId="ParagraphNumbered" w:customStyle="1">
    <w:name w:val="Paragraph Numbered"/>
    <w:basedOn w:val="Normal"/>
    <w:uiPriority w:val="4"/>
    <w:qFormat/>
    <w:rsid w:val="002D2F52"/>
    <w:pPr>
      <w:widowControl w:val="0"/>
      <w:tabs>
        <w:tab w:val="left" w:pos="426"/>
      </w:tabs>
      <w:spacing w:after="240" w:line="360" w:lineRule="auto"/>
      <w:ind w:left="425" w:hanging="425"/>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2.xml><?xml version="1.0" encoding="utf-8"?>
<properties xmlns="http://www.imanage.com/work/xmlschema">
  <documentid>Active1!162189678.2</documentid>
  <senderid>AWNE</senderid>
  <senderemail>AEDWARDS@DACBEACHCROFT.COM</senderemail>
  <lastmodified>2025-07-10T10:55:00.0000000+01:00</lastmodified>
  <database>Active1</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95adbcf419d9d33608bf0df25d48a56c">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eff57b8a4fa252ff1f4c864930a310bc"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135B4-7CF0-4BAC-9446-8DCDBEE033F9}">
  <ds:schemaRefs>
    <ds:schemaRef ds:uri="http://schemas.microsoft.com/office/2006/metadata/properties"/>
    <ds:schemaRef ds:uri="http://schemas.microsoft.com/office/infopath/2007/PartnerControls"/>
    <ds:schemaRef ds:uri="0eb656aa-4e79-4e95-9076-bc119a23e0cc"/>
    <ds:schemaRef ds:uri="465a54fe-435b-4423-8fe2-c9a3626b31f7"/>
  </ds:schemaRefs>
</ds:datastoreItem>
</file>

<file path=customXml/itemProps2.xml><?xml version="1.0" encoding="utf-8"?>
<ds:datastoreItem xmlns:ds="http://schemas.openxmlformats.org/officeDocument/2006/customXml" ds:itemID="{F701F4C3-E012-4456-B0EF-7D67BE6F5F18}">
  <ds:schemaRefs>
    <ds:schemaRef ds:uri="http://www.imanage.com/work/xmlschema"/>
  </ds:schemaRefs>
</ds:datastoreItem>
</file>

<file path=customXml/itemProps3.xml><?xml version="1.0" encoding="utf-8"?>
<ds:datastoreItem xmlns:ds="http://schemas.openxmlformats.org/officeDocument/2006/customXml" ds:itemID="{571ABA60-C463-46C8-85CE-5A098D0203B0}">
  <ds:schemaRefs>
    <ds:schemaRef ds:uri="http://schemas.microsoft.com/sharepoint/v3/contenttype/forms"/>
  </ds:schemaRefs>
</ds:datastoreItem>
</file>

<file path=customXml/itemProps4.xml><?xml version="1.0" encoding="utf-8"?>
<ds:datastoreItem xmlns:ds="http://schemas.openxmlformats.org/officeDocument/2006/customXml" ds:itemID="{0C90256A-13FB-43B7-9C26-0F8FF4561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3B5916-520C-4605-8C23-F8A8B92BA84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Titmus, Scott</dc:creator>
  <lastModifiedBy>Lyn Davies</lastModifiedBy>
  <revision>33</revision>
  <dcterms:created xsi:type="dcterms:W3CDTF">2025-07-10T14:27:00.0000000Z</dcterms:created>
  <dcterms:modified xsi:type="dcterms:W3CDTF">2025-12-23T16:07:47.6030279Z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2025-07-10T14:27:08Z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be891e15-dff8-4a97-a7bf-f259d89fd7f9</vt:lpwstr>
  </property>
  <property fmtid="{D5CDD505-2E9C-101B-9397-08002B2CF9AE}" pid="9" name="MSIP_Label_c69d85d5-6d9e-4305-a294-1f636ec0f2d6_ContentBits">
    <vt:lpwstr>0</vt:lpwstr>
  </property>
  <property fmtid="{D5CDD505-2E9C-101B-9397-08002B2CF9AE}" pid="10" name="MSIP_Label_c69d85d5-6d9e-4305-a294-1f636ec0f2d6_Tag">
    <vt:lpwstr>10, 3, 0, 2</vt:lpwstr>
  </property>
  <property fmtid="{D5CDD505-2E9C-101B-9397-08002B2CF9AE}" pid="11" name="MediaServiceImageTags">
    <vt:lpwstr/>
  </property>
</Properties>
</file>