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69379" w14:textId="77777777" w:rsidR="00C24D6E" w:rsidRPr="00EF5805" w:rsidRDefault="00C24D6E" w:rsidP="00C24D6E">
      <w:pPr>
        <w:pStyle w:val="Header"/>
        <w:jc w:val="center"/>
        <w:rPr>
          <w:b/>
          <w:bCs/>
        </w:rPr>
      </w:pPr>
      <w:r w:rsidRPr="00EF5805">
        <w:rPr>
          <w:b/>
          <w:bCs/>
        </w:rPr>
        <w:t xml:space="preserve">National Institute for Health and Care Excellence </w:t>
      </w:r>
    </w:p>
    <w:p w14:paraId="0934780B" w14:textId="77777777" w:rsidR="00C24D6E" w:rsidRPr="00EF5805" w:rsidRDefault="00C24D6E" w:rsidP="00C24D6E">
      <w:pPr>
        <w:pStyle w:val="Header"/>
        <w:jc w:val="center"/>
        <w:rPr>
          <w:b/>
          <w:bCs/>
        </w:rPr>
      </w:pPr>
    </w:p>
    <w:p w14:paraId="3CEDE928" w14:textId="77777777" w:rsidR="00C24D6E" w:rsidRPr="00EF5805" w:rsidRDefault="001D1E94" w:rsidP="00C24D6E">
      <w:pPr>
        <w:pStyle w:val="Header"/>
        <w:jc w:val="center"/>
        <w:rPr>
          <w:b/>
          <w:bCs/>
        </w:rPr>
      </w:pPr>
      <w:r w:rsidRPr="00EF5805">
        <w:rPr>
          <w:b/>
          <w:bCs/>
        </w:rPr>
        <w:t>Health Technology Evaluation</w:t>
      </w:r>
    </w:p>
    <w:p w14:paraId="0E166EFD" w14:textId="77777777" w:rsidR="00296963" w:rsidRPr="00EF5805" w:rsidRDefault="00296963" w:rsidP="00C24D6E">
      <w:pPr>
        <w:widowControl w:val="0"/>
        <w:jc w:val="center"/>
        <w:rPr>
          <w:b/>
          <w:bCs/>
        </w:rPr>
      </w:pPr>
    </w:p>
    <w:p w14:paraId="040DF8A9" w14:textId="3C6ECA70" w:rsidR="00EF5805" w:rsidRDefault="00EF5805" w:rsidP="003D3EA0">
      <w:pPr>
        <w:widowControl w:val="0"/>
        <w:jc w:val="center"/>
        <w:rPr>
          <w:b/>
          <w:bCs/>
        </w:rPr>
      </w:pPr>
      <w:r w:rsidRPr="00EF5805">
        <w:rPr>
          <w:b/>
          <w:bCs/>
        </w:rPr>
        <w:t xml:space="preserve">Tucatinib with trastuzumab for previously treated HER2-positive colorectal cancer </w:t>
      </w:r>
      <w:r>
        <w:rPr>
          <w:b/>
          <w:bCs/>
        </w:rPr>
        <w:t>[ID6227]</w:t>
      </w:r>
    </w:p>
    <w:p w14:paraId="301DB475" w14:textId="193792F8" w:rsidR="003D3EA0" w:rsidRPr="00EF5805" w:rsidRDefault="003D3EA0" w:rsidP="003D3EA0">
      <w:pPr>
        <w:widowControl w:val="0"/>
        <w:jc w:val="center"/>
        <w:rPr>
          <w:b/>
          <w:bCs/>
        </w:rPr>
      </w:pPr>
      <w:r w:rsidRPr="00EF5805">
        <w:rPr>
          <w:b/>
          <w:bCs/>
        </w:rPr>
        <w:t xml:space="preserve">Response to </w:t>
      </w:r>
      <w:r w:rsidR="002C40D5" w:rsidRPr="00EF5805">
        <w:rPr>
          <w:b/>
          <w:bCs/>
        </w:rPr>
        <w:t>stakeholder organisation com</w:t>
      </w:r>
      <w:r w:rsidRPr="00EF5805">
        <w:rPr>
          <w:b/>
          <w:bCs/>
        </w:rPr>
        <w:t xml:space="preserve">ments on the draft remit and draft scope </w:t>
      </w:r>
    </w:p>
    <w:p w14:paraId="7EA0BF85" w14:textId="77777777" w:rsidR="003D3EA0" w:rsidRPr="00EF5805" w:rsidRDefault="003D3EA0" w:rsidP="00C24D6E">
      <w:pPr>
        <w:widowControl w:val="0"/>
        <w:jc w:val="center"/>
        <w:rPr>
          <w:b/>
          <w:bCs/>
        </w:rPr>
      </w:pPr>
    </w:p>
    <w:p w14:paraId="77E05B68" w14:textId="77777777" w:rsidR="00495D67" w:rsidRPr="00EF5805" w:rsidRDefault="00495D67" w:rsidP="00C24D6E">
      <w:pPr>
        <w:keepNext/>
        <w:spacing w:before="240" w:after="120"/>
        <w:rPr>
          <w:b/>
        </w:rPr>
      </w:pPr>
      <w:r w:rsidRPr="00EF5805">
        <w:rPr>
          <w:b/>
        </w:rPr>
        <w:t xml:space="preserve">Please note: </w:t>
      </w:r>
      <w:r w:rsidRPr="00EF5805">
        <w:t>Comments received in the course of consultations carried out by NICE are published in the interests of openness and transparency, and to promote understanding of how recommendations are developed.  The comments are published as a record of the submissions that NICE has received, and are not endorsed by NICE, its officers or advisory committees.</w:t>
      </w:r>
    </w:p>
    <w:p w14:paraId="751F9BFD" w14:textId="77777777" w:rsidR="00C24D6E" w:rsidRPr="00EF5805" w:rsidRDefault="00C24D6E" w:rsidP="00C24D6E">
      <w:pPr>
        <w:keepNext/>
        <w:spacing w:before="240" w:after="120"/>
        <w:rPr>
          <w:b/>
        </w:rPr>
      </w:pPr>
      <w:r w:rsidRPr="00EF5805">
        <w:rPr>
          <w:b/>
        </w:rPr>
        <w:t>Comment 1: the draft remit</w:t>
      </w:r>
      <w:r w:rsidR="005B0206" w:rsidRPr="00EF5805">
        <w:rPr>
          <w:b/>
        </w:rPr>
        <w:t xml:space="preserve"> and proposed process</w:t>
      </w:r>
    </w:p>
    <w:tbl>
      <w:tblPr>
        <w:tblStyle w:val="TableGrid"/>
        <w:tblW w:w="14174" w:type="dxa"/>
        <w:tblLayout w:type="fixed"/>
        <w:tblLook w:val="04A0" w:firstRow="1" w:lastRow="0" w:firstColumn="1" w:lastColumn="0" w:noHBand="0" w:noVBand="1"/>
      </w:tblPr>
      <w:tblGrid>
        <w:gridCol w:w="1951"/>
        <w:gridCol w:w="1843"/>
        <w:gridCol w:w="7796"/>
        <w:gridCol w:w="2584"/>
      </w:tblGrid>
      <w:tr w:rsidR="00CB2688" w:rsidRPr="00EF5805" w14:paraId="421C4CD8" w14:textId="77777777" w:rsidTr="005B0206">
        <w:trPr>
          <w:trHeight w:val="590"/>
          <w:tblHeader/>
        </w:trPr>
        <w:tc>
          <w:tcPr>
            <w:tcW w:w="1951" w:type="dxa"/>
            <w:tcBorders>
              <w:bottom w:val="single" w:sz="12" w:space="0" w:color="auto"/>
            </w:tcBorders>
            <w:shd w:val="clear" w:color="auto" w:fill="D9D9D9" w:themeFill="background1" w:themeFillShade="D9"/>
          </w:tcPr>
          <w:p w14:paraId="58B038D0" w14:textId="77777777" w:rsidR="003724F8" w:rsidRPr="00EF5805" w:rsidRDefault="003724F8" w:rsidP="00181A4A">
            <w:pPr>
              <w:pStyle w:val="Title"/>
              <w:rPr>
                <w:sz w:val="22"/>
                <w:szCs w:val="22"/>
              </w:rPr>
            </w:pPr>
            <w:r w:rsidRPr="00EF5805">
              <w:rPr>
                <w:sz w:val="22"/>
                <w:szCs w:val="22"/>
              </w:rPr>
              <w:t xml:space="preserve">Section </w:t>
            </w:r>
          </w:p>
        </w:tc>
        <w:tc>
          <w:tcPr>
            <w:tcW w:w="1843" w:type="dxa"/>
            <w:tcBorders>
              <w:bottom w:val="single" w:sz="12" w:space="0" w:color="auto"/>
            </w:tcBorders>
            <w:shd w:val="clear" w:color="auto" w:fill="D9D9D9" w:themeFill="background1" w:themeFillShade="D9"/>
          </w:tcPr>
          <w:p w14:paraId="7B805FCC" w14:textId="77777777" w:rsidR="003724F8" w:rsidRPr="00EF5805" w:rsidRDefault="00AB580D" w:rsidP="00181A4A">
            <w:pPr>
              <w:pStyle w:val="Title"/>
              <w:rPr>
                <w:sz w:val="22"/>
                <w:szCs w:val="22"/>
              </w:rPr>
            </w:pPr>
            <w:r w:rsidRPr="00EF5805">
              <w:rPr>
                <w:sz w:val="22"/>
                <w:szCs w:val="22"/>
              </w:rPr>
              <w:t>Stakeholder</w:t>
            </w:r>
          </w:p>
        </w:tc>
        <w:tc>
          <w:tcPr>
            <w:tcW w:w="7796" w:type="dxa"/>
            <w:tcBorders>
              <w:bottom w:val="single" w:sz="12" w:space="0" w:color="auto"/>
            </w:tcBorders>
            <w:shd w:val="clear" w:color="auto" w:fill="D9D9D9" w:themeFill="background1" w:themeFillShade="D9"/>
          </w:tcPr>
          <w:p w14:paraId="06E805F5" w14:textId="77777777" w:rsidR="003724F8" w:rsidRPr="00EF5805" w:rsidRDefault="003724F8" w:rsidP="00181A4A">
            <w:pPr>
              <w:pStyle w:val="Title"/>
              <w:rPr>
                <w:sz w:val="22"/>
                <w:szCs w:val="22"/>
              </w:rPr>
            </w:pPr>
            <w:r w:rsidRPr="00EF5805">
              <w:rPr>
                <w:sz w:val="22"/>
                <w:szCs w:val="22"/>
              </w:rPr>
              <w:t>Comments</w:t>
            </w:r>
            <w:r w:rsidR="00CC37C9" w:rsidRPr="00EF5805">
              <w:rPr>
                <w:sz w:val="22"/>
                <w:szCs w:val="22"/>
              </w:rPr>
              <w:t xml:space="preserve"> [sic]</w:t>
            </w:r>
          </w:p>
        </w:tc>
        <w:tc>
          <w:tcPr>
            <w:tcW w:w="2584" w:type="dxa"/>
            <w:tcBorders>
              <w:bottom w:val="single" w:sz="12" w:space="0" w:color="auto"/>
            </w:tcBorders>
            <w:shd w:val="clear" w:color="auto" w:fill="D9D9D9" w:themeFill="background1" w:themeFillShade="D9"/>
          </w:tcPr>
          <w:p w14:paraId="0E392A66" w14:textId="77777777" w:rsidR="003724F8" w:rsidRPr="00EF5805" w:rsidRDefault="003724F8" w:rsidP="00181A4A">
            <w:pPr>
              <w:pStyle w:val="Title"/>
              <w:rPr>
                <w:sz w:val="22"/>
                <w:szCs w:val="22"/>
              </w:rPr>
            </w:pPr>
            <w:r w:rsidRPr="00EF5805">
              <w:rPr>
                <w:sz w:val="22"/>
                <w:szCs w:val="22"/>
              </w:rPr>
              <w:t>Action</w:t>
            </w:r>
          </w:p>
        </w:tc>
      </w:tr>
      <w:tr w:rsidR="00656021" w:rsidRPr="00EF5805" w14:paraId="5C29A40A" w14:textId="77777777" w:rsidTr="005B0206">
        <w:tc>
          <w:tcPr>
            <w:tcW w:w="1951" w:type="dxa"/>
            <w:vMerge w:val="restart"/>
            <w:tcBorders>
              <w:top w:val="single" w:sz="12" w:space="0" w:color="auto"/>
            </w:tcBorders>
          </w:tcPr>
          <w:p w14:paraId="52BCC060" w14:textId="77777777" w:rsidR="00656021" w:rsidRPr="00EF5805" w:rsidRDefault="00074F03" w:rsidP="00EC0E27">
            <w:pPr>
              <w:pStyle w:val="Title"/>
              <w:jc w:val="left"/>
              <w:rPr>
                <w:b w:val="0"/>
                <w:sz w:val="22"/>
                <w:szCs w:val="22"/>
              </w:rPr>
            </w:pPr>
            <w:r w:rsidRPr="00EF5805">
              <w:rPr>
                <w:b w:val="0"/>
                <w:sz w:val="22"/>
                <w:szCs w:val="22"/>
              </w:rPr>
              <w:t>Appropriateness of an evaluation and proposed evaluation route</w:t>
            </w:r>
          </w:p>
        </w:tc>
        <w:tc>
          <w:tcPr>
            <w:tcW w:w="1843" w:type="dxa"/>
            <w:tcBorders>
              <w:top w:val="single" w:sz="12" w:space="0" w:color="auto"/>
            </w:tcBorders>
          </w:tcPr>
          <w:p w14:paraId="2E2D0EC6" w14:textId="7E3F60A7" w:rsidR="00656021" w:rsidRPr="00EF5805" w:rsidRDefault="00DA434E" w:rsidP="00EE4667">
            <w:pPr>
              <w:pStyle w:val="Title"/>
              <w:jc w:val="left"/>
              <w:rPr>
                <w:b w:val="0"/>
                <w:sz w:val="22"/>
                <w:szCs w:val="22"/>
              </w:rPr>
            </w:pPr>
            <w:r w:rsidRPr="00EF5805">
              <w:rPr>
                <w:b w:val="0"/>
                <w:sz w:val="22"/>
                <w:szCs w:val="22"/>
              </w:rPr>
              <w:t>Seagen</w:t>
            </w:r>
          </w:p>
        </w:tc>
        <w:tc>
          <w:tcPr>
            <w:tcW w:w="7796" w:type="dxa"/>
            <w:tcBorders>
              <w:top w:val="single" w:sz="12" w:space="0" w:color="auto"/>
            </w:tcBorders>
          </w:tcPr>
          <w:p w14:paraId="119C8AFD" w14:textId="42CEC7AB" w:rsidR="00656021" w:rsidRPr="00EF5805" w:rsidRDefault="00516081" w:rsidP="00584846">
            <w:pPr>
              <w:pStyle w:val="Title"/>
              <w:jc w:val="left"/>
              <w:rPr>
                <w:b w:val="0"/>
                <w:sz w:val="22"/>
                <w:szCs w:val="22"/>
              </w:rPr>
            </w:pPr>
            <w:r w:rsidRPr="00EF5805">
              <w:rPr>
                <w:b w:val="0"/>
                <w:sz w:val="22"/>
                <w:szCs w:val="22"/>
              </w:rPr>
              <w:t>Yes, we consider the intention of NICE to evaluate tucatinib in combination with trastuzumab within its anticipated marketing authorisation for previously treated HER2 positive colorectal cancer through its Single Technology Appraisal process to be appropriate.</w:t>
            </w:r>
          </w:p>
        </w:tc>
        <w:tc>
          <w:tcPr>
            <w:tcW w:w="2584" w:type="dxa"/>
            <w:tcBorders>
              <w:top w:val="single" w:sz="12" w:space="0" w:color="auto"/>
            </w:tcBorders>
          </w:tcPr>
          <w:p w14:paraId="3D8CC335" w14:textId="740EA333" w:rsidR="00656021" w:rsidRPr="00EF5805" w:rsidRDefault="00EF6B5A" w:rsidP="00584846">
            <w:pPr>
              <w:pStyle w:val="Title"/>
              <w:jc w:val="left"/>
              <w:rPr>
                <w:b w:val="0"/>
                <w:sz w:val="22"/>
                <w:szCs w:val="22"/>
              </w:rPr>
            </w:pPr>
            <w:r>
              <w:rPr>
                <w:b w:val="0"/>
                <w:sz w:val="22"/>
                <w:szCs w:val="22"/>
              </w:rPr>
              <w:t>Thank you for your comment. No further action needed.</w:t>
            </w:r>
          </w:p>
        </w:tc>
      </w:tr>
      <w:tr w:rsidR="00656021" w:rsidRPr="00EF5805" w14:paraId="61A370CA" w14:textId="77777777" w:rsidTr="005B0206">
        <w:tc>
          <w:tcPr>
            <w:tcW w:w="1951" w:type="dxa"/>
            <w:vMerge/>
          </w:tcPr>
          <w:p w14:paraId="44870107" w14:textId="77777777" w:rsidR="00656021" w:rsidRPr="00EF5805" w:rsidRDefault="00656021" w:rsidP="00EC0E27">
            <w:pPr>
              <w:pStyle w:val="Title"/>
              <w:jc w:val="left"/>
              <w:rPr>
                <w:b w:val="0"/>
                <w:sz w:val="22"/>
                <w:szCs w:val="22"/>
              </w:rPr>
            </w:pPr>
          </w:p>
        </w:tc>
        <w:tc>
          <w:tcPr>
            <w:tcW w:w="1843" w:type="dxa"/>
          </w:tcPr>
          <w:p w14:paraId="0A3F4AE1" w14:textId="2173FCAD" w:rsidR="00656021" w:rsidRPr="00EF5805" w:rsidRDefault="00CE2F90" w:rsidP="00EE4667">
            <w:pPr>
              <w:pStyle w:val="Title"/>
              <w:jc w:val="left"/>
              <w:rPr>
                <w:b w:val="0"/>
                <w:sz w:val="22"/>
                <w:szCs w:val="22"/>
              </w:rPr>
            </w:pPr>
            <w:r w:rsidRPr="00EF5805">
              <w:rPr>
                <w:b w:val="0"/>
                <w:sz w:val="22"/>
                <w:szCs w:val="22"/>
              </w:rPr>
              <w:t>Bower cancer UK</w:t>
            </w:r>
          </w:p>
        </w:tc>
        <w:tc>
          <w:tcPr>
            <w:tcW w:w="7796" w:type="dxa"/>
          </w:tcPr>
          <w:p w14:paraId="438D7138" w14:textId="77777777" w:rsidR="00656021" w:rsidRPr="00EF5805" w:rsidRDefault="00CE2F90" w:rsidP="00584846">
            <w:pPr>
              <w:pStyle w:val="Title"/>
              <w:jc w:val="left"/>
              <w:rPr>
                <w:b w:val="0"/>
                <w:bCs w:val="0"/>
                <w:sz w:val="22"/>
                <w:szCs w:val="22"/>
              </w:rPr>
            </w:pPr>
            <w:r w:rsidRPr="00EF5805">
              <w:rPr>
                <w:b w:val="0"/>
                <w:bCs w:val="0"/>
                <w:sz w:val="22"/>
                <w:szCs w:val="22"/>
              </w:rPr>
              <w:t>As a patient focused organisation, we welcome the evaluation of this treatment, particularly due to the lack of NICE recommended treatment options for patients with previously treated HER2 positive colorectal cancer.</w:t>
            </w:r>
          </w:p>
          <w:p w14:paraId="0425AAA4" w14:textId="77777777" w:rsidR="00CE2F90" w:rsidRPr="00EF5805" w:rsidRDefault="00CE2F90" w:rsidP="00CE2F90">
            <w:pPr>
              <w:pStyle w:val="Heading1"/>
              <w:rPr>
                <w:b w:val="0"/>
                <w:bCs w:val="0"/>
                <w:sz w:val="22"/>
                <w:szCs w:val="22"/>
              </w:rPr>
            </w:pPr>
            <w:r w:rsidRPr="00EF5805">
              <w:rPr>
                <w:b w:val="0"/>
                <w:bCs w:val="0"/>
                <w:sz w:val="22"/>
                <w:szCs w:val="22"/>
              </w:rPr>
              <w:t xml:space="preserve">After reaching out to our patient community who have HER2-positive colorectal cancer, the following points were highlighted that demonstrate the appropriateness of this evaluation. </w:t>
            </w:r>
          </w:p>
          <w:p w14:paraId="669FAB1A" w14:textId="77777777" w:rsidR="00CE2F90" w:rsidRPr="00EF5805" w:rsidRDefault="00CE2F90" w:rsidP="00CE2F90">
            <w:pPr>
              <w:pStyle w:val="Heading1"/>
              <w:rPr>
                <w:b w:val="0"/>
                <w:bCs w:val="0"/>
                <w:sz w:val="22"/>
                <w:szCs w:val="22"/>
              </w:rPr>
            </w:pPr>
            <w:r w:rsidRPr="00EF5805">
              <w:rPr>
                <w:b w:val="0"/>
                <w:bCs w:val="0"/>
                <w:sz w:val="22"/>
                <w:szCs w:val="22"/>
              </w:rPr>
              <w:t xml:space="preserve">- One patient reported that this treatment would ‘Open up another potential line of treatment’. This patient is 35 years old, making this a clear demonstration of how the evaluation of this treatment could provide another </w:t>
            </w:r>
            <w:r w:rsidRPr="00EF5805">
              <w:rPr>
                <w:b w:val="0"/>
                <w:bCs w:val="0"/>
                <w:sz w:val="22"/>
                <w:szCs w:val="22"/>
              </w:rPr>
              <w:lastRenderedPageBreak/>
              <w:t xml:space="preserve">option and potentially an extended period of survival when all other options have been explored. </w:t>
            </w:r>
          </w:p>
          <w:p w14:paraId="76D5A02C" w14:textId="77777777" w:rsidR="00CE2F90" w:rsidRPr="00EF5805" w:rsidRDefault="00CE2F90" w:rsidP="00CE2F90">
            <w:pPr>
              <w:pStyle w:val="Heading1"/>
              <w:rPr>
                <w:b w:val="0"/>
                <w:bCs w:val="0"/>
                <w:sz w:val="22"/>
                <w:szCs w:val="22"/>
              </w:rPr>
            </w:pPr>
            <w:r w:rsidRPr="00EF5805">
              <w:rPr>
                <w:b w:val="0"/>
                <w:bCs w:val="0"/>
                <w:sz w:val="22"/>
                <w:szCs w:val="22"/>
              </w:rPr>
              <w:t xml:space="preserve">- One patient reported that her consultant felt her chemotherapy was not working, and that as a result she has self-funded trastuzumab. She stated that she was in a ‘fortunate position’ to do this, highlighting that accessing these kinds of treatments should not be an issue of equality or wealth. Similarly, a second patient stated, ‘I believe it [this treatment] should be made available to anyone who qualifies for it.’ </w:t>
            </w:r>
          </w:p>
          <w:p w14:paraId="39284B57" w14:textId="1673E2EF" w:rsidR="00CE2F90" w:rsidRPr="00EF5805" w:rsidRDefault="00CE2F90" w:rsidP="00CE2F90">
            <w:pPr>
              <w:pStyle w:val="Heading1"/>
              <w:rPr>
                <w:b w:val="0"/>
                <w:bCs w:val="0"/>
                <w:sz w:val="22"/>
                <w:szCs w:val="22"/>
              </w:rPr>
            </w:pPr>
            <w:r w:rsidRPr="00EF5805">
              <w:rPr>
                <w:b w:val="0"/>
                <w:bCs w:val="0"/>
                <w:sz w:val="22"/>
                <w:szCs w:val="22"/>
              </w:rPr>
              <w:t>- One patient responded that she was ‘surprised to learn that herceptin [Trastuzumab] is available on the NHS for breast cancer and gastric cancer patients but not for bowel cancer patients.’ This highlights a feeling of surprise amongst this indication that there is no targeted treatment for patients with HER2- positive colorectal cancer, but there is for HER2-positive cancers of other primary source. Similarly, another patient reported that ‘This kind of treatment is extremely tailored to fit a specific type of BC [bowel cancer] and I believe that the more precise the treatment, the better the outcome, hopefully this will be the future of treatment for individuals.’</w:t>
            </w:r>
          </w:p>
        </w:tc>
        <w:tc>
          <w:tcPr>
            <w:tcW w:w="2584" w:type="dxa"/>
          </w:tcPr>
          <w:p w14:paraId="59DF2BE2" w14:textId="7097BF08" w:rsidR="00656021" w:rsidRPr="00EF5805" w:rsidRDefault="00EF6B5A" w:rsidP="00584846">
            <w:pPr>
              <w:pStyle w:val="Title"/>
              <w:jc w:val="left"/>
              <w:rPr>
                <w:b w:val="0"/>
                <w:sz w:val="22"/>
                <w:szCs w:val="22"/>
              </w:rPr>
            </w:pPr>
            <w:r>
              <w:rPr>
                <w:b w:val="0"/>
                <w:sz w:val="22"/>
                <w:szCs w:val="22"/>
              </w:rPr>
              <w:lastRenderedPageBreak/>
              <w:t>Thank you for your comment. No further action needed.</w:t>
            </w:r>
          </w:p>
        </w:tc>
      </w:tr>
      <w:tr w:rsidR="00BC6A78" w:rsidRPr="00EF5805" w14:paraId="100A98D8" w14:textId="77777777" w:rsidTr="005B0206">
        <w:tc>
          <w:tcPr>
            <w:tcW w:w="1951" w:type="dxa"/>
            <w:vMerge/>
          </w:tcPr>
          <w:p w14:paraId="562AE09B" w14:textId="77777777" w:rsidR="00BC6A78" w:rsidRPr="00EF5805" w:rsidRDefault="00BC6A78" w:rsidP="00EC0E27">
            <w:pPr>
              <w:pStyle w:val="Title"/>
              <w:jc w:val="left"/>
              <w:rPr>
                <w:b w:val="0"/>
                <w:sz w:val="22"/>
                <w:szCs w:val="22"/>
              </w:rPr>
            </w:pPr>
          </w:p>
        </w:tc>
        <w:tc>
          <w:tcPr>
            <w:tcW w:w="1843" w:type="dxa"/>
          </w:tcPr>
          <w:p w14:paraId="45F77160" w14:textId="77777777" w:rsidR="00BC6A78" w:rsidRPr="00EF5805" w:rsidRDefault="00BC6A78" w:rsidP="00584846">
            <w:pPr>
              <w:pStyle w:val="Title"/>
              <w:jc w:val="left"/>
              <w:rPr>
                <w:b w:val="0"/>
                <w:sz w:val="22"/>
                <w:szCs w:val="22"/>
              </w:rPr>
            </w:pPr>
          </w:p>
        </w:tc>
        <w:tc>
          <w:tcPr>
            <w:tcW w:w="7796" w:type="dxa"/>
          </w:tcPr>
          <w:p w14:paraId="40C54C43" w14:textId="77777777" w:rsidR="00BC6A78" w:rsidRPr="00EF5805" w:rsidRDefault="00BC6A78" w:rsidP="00584846">
            <w:pPr>
              <w:pStyle w:val="Title"/>
              <w:jc w:val="left"/>
              <w:rPr>
                <w:b w:val="0"/>
                <w:sz w:val="22"/>
                <w:szCs w:val="22"/>
              </w:rPr>
            </w:pPr>
          </w:p>
        </w:tc>
        <w:tc>
          <w:tcPr>
            <w:tcW w:w="2584" w:type="dxa"/>
          </w:tcPr>
          <w:p w14:paraId="6C0B7EC1" w14:textId="77777777" w:rsidR="00BC6A78" w:rsidRPr="00EF5805" w:rsidRDefault="00BC6A78" w:rsidP="00584846">
            <w:pPr>
              <w:pStyle w:val="Title"/>
              <w:jc w:val="left"/>
              <w:rPr>
                <w:b w:val="0"/>
                <w:sz w:val="22"/>
                <w:szCs w:val="22"/>
              </w:rPr>
            </w:pPr>
          </w:p>
        </w:tc>
      </w:tr>
      <w:tr w:rsidR="00BC6A78" w:rsidRPr="00EF5805" w14:paraId="36D20D21" w14:textId="77777777" w:rsidTr="005B0206">
        <w:tc>
          <w:tcPr>
            <w:tcW w:w="1951" w:type="dxa"/>
            <w:vMerge/>
          </w:tcPr>
          <w:p w14:paraId="01964B26" w14:textId="77777777" w:rsidR="00BC6A78" w:rsidRPr="00EF5805" w:rsidRDefault="00BC6A78" w:rsidP="00EC0E27">
            <w:pPr>
              <w:pStyle w:val="Title"/>
              <w:jc w:val="left"/>
              <w:rPr>
                <w:b w:val="0"/>
                <w:sz w:val="22"/>
                <w:szCs w:val="22"/>
              </w:rPr>
            </w:pPr>
          </w:p>
        </w:tc>
        <w:tc>
          <w:tcPr>
            <w:tcW w:w="1843" w:type="dxa"/>
          </w:tcPr>
          <w:p w14:paraId="7DCD9883" w14:textId="77777777" w:rsidR="00BC6A78" w:rsidRPr="00EF5805" w:rsidRDefault="00BC6A78" w:rsidP="00584846">
            <w:pPr>
              <w:pStyle w:val="Title"/>
              <w:jc w:val="left"/>
              <w:rPr>
                <w:b w:val="0"/>
                <w:sz w:val="22"/>
                <w:szCs w:val="22"/>
              </w:rPr>
            </w:pPr>
          </w:p>
        </w:tc>
        <w:tc>
          <w:tcPr>
            <w:tcW w:w="7796" w:type="dxa"/>
          </w:tcPr>
          <w:p w14:paraId="5360E422" w14:textId="77777777" w:rsidR="00BC6A78" w:rsidRPr="00EF5805" w:rsidRDefault="00BC6A78" w:rsidP="00584846">
            <w:pPr>
              <w:pStyle w:val="Title"/>
              <w:jc w:val="left"/>
              <w:rPr>
                <w:b w:val="0"/>
                <w:sz w:val="22"/>
                <w:szCs w:val="22"/>
              </w:rPr>
            </w:pPr>
          </w:p>
        </w:tc>
        <w:tc>
          <w:tcPr>
            <w:tcW w:w="2584" w:type="dxa"/>
          </w:tcPr>
          <w:p w14:paraId="471CCC2F" w14:textId="77777777" w:rsidR="00BC6A78" w:rsidRPr="00EF5805" w:rsidRDefault="00BC6A78" w:rsidP="00584846">
            <w:pPr>
              <w:pStyle w:val="Title"/>
              <w:jc w:val="left"/>
              <w:rPr>
                <w:b w:val="0"/>
                <w:sz w:val="22"/>
                <w:szCs w:val="22"/>
              </w:rPr>
            </w:pPr>
          </w:p>
        </w:tc>
      </w:tr>
      <w:tr w:rsidR="008F619A" w:rsidRPr="00EF5805" w14:paraId="789B3F62" w14:textId="77777777" w:rsidTr="005B0206">
        <w:tc>
          <w:tcPr>
            <w:tcW w:w="1951" w:type="dxa"/>
            <w:vMerge/>
          </w:tcPr>
          <w:p w14:paraId="334E6D9A" w14:textId="77777777" w:rsidR="008F619A" w:rsidRPr="00EF5805" w:rsidRDefault="008F619A" w:rsidP="00EC0E27">
            <w:pPr>
              <w:pStyle w:val="Title"/>
              <w:jc w:val="left"/>
              <w:rPr>
                <w:b w:val="0"/>
                <w:sz w:val="22"/>
                <w:szCs w:val="22"/>
              </w:rPr>
            </w:pPr>
          </w:p>
        </w:tc>
        <w:tc>
          <w:tcPr>
            <w:tcW w:w="1843" w:type="dxa"/>
          </w:tcPr>
          <w:p w14:paraId="62CF72C7" w14:textId="77777777" w:rsidR="008F619A" w:rsidRPr="00EF5805" w:rsidRDefault="008F619A" w:rsidP="00584846">
            <w:pPr>
              <w:pStyle w:val="Title"/>
              <w:jc w:val="left"/>
              <w:rPr>
                <w:b w:val="0"/>
                <w:sz w:val="22"/>
                <w:szCs w:val="22"/>
              </w:rPr>
            </w:pPr>
          </w:p>
        </w:tc>
        <w:tc>
          <w:tcPr>
            <w:tcW w:w="7796" w:type="dxa"/>
          </w:tcPr>
          <w:p w14:paraId="4B732139" w14:textId="77777777" w:rsidR="008F619A" w:rsidRPr="00EF5805" w:rsidRDefault="008F619A" w:rsidP="00584846">
            <w:pPr>
              <w:pStyle w:val="Title"/>
              <w:jc w:val="left"/>
              <w:rPr>
                <w:b w:val="0"/>
                <w:sz w:val="22"/>
                <w:szCs w:val="22"/>
              </w:rPr>
            </w:pPr>
          </w:p>
        </w:tc>
        <w:tc>
          <w:tcPr>
            <w:tcW w:w="2584" w:type="dxa"/>
          </w:tcPr>
          <w:p w14:paraId="1ACE54E3" w14:textId="77777777" w:rsidR="008F619A" w:rsidRPr="00EF5805" w:rsidRDefault="008F619A" w:rsidP="00584846">
            <w:pPr>
              <w:pStyle w:val="Title"/>
              <w:jc w:val="left"/>
              <w:rPr>
                <w:b w:val="0"/>
                <w:sz w:val="22"/>
                <w:szCs w:val="22"/>
              </w:rPr>
            </w:pPr>
          </w:p>
        </w:tc>
      </w:tr>
      <w:tr w:rsidR="00DA434E" w:rsidRPr="00EF5805" w14:paraId="648BDEB4" w14:textId="77777777" w:rsidTr="005B0206">
        <w:trPr>
          <w:trHeight w:val="270"/>
        </w:trPr>
        <w:tc>
          <w:tcPr>
            <w:tcW w:w="1951" w:type="dxa"/>
            <w:vMerge w:val="restart"/>
            <w:tcBorders>
              <w:top w:val="single" w:sz="12" w:space="0" w:color="auto"/>
            </w:tcBorders>
          </w:tcPr>
          <w:p w14:paraId="76DB9845" w14:textId="77777777" w:rsidR="00DA434E" w:rsidRPr="00EF5805" w:rsidRDefault="00DA434E" w:rsidP="00DA434E">
            <w:pPr>
              <w:pStyle w:val="Title"/>
              <w:jc w:val="left"/>
              <w:rPr>
                <w:b w:val="0"/>
                <w:sz w:val="22"/>
                <w:szCs w:val="22"/>
              </w:rPr>
            </w:pPr>
            <w:r w:rsidRPr="00EF5805">
              <w:rPr>
                <w:b w:val="0"/>
                <w:sz w:val="22"/>
                <w:szCs w:val="22"/>
              </w:rPr>
              <w:t>Wording</w:t>
            </w:r>
          </w:p>
        </w:tc>
        <w:tc>
          <w:tcPr>
            <w:tcW w:w="1843" w:type="dxa"/>
            <w:tcBorders>
              <w:top w:val="single" w:sz="12" w:space="0" w:color="auto"/>
            </w:tcBorders>
          </w:tcPr>
          <w:p w14:paraId="616D9111" w14:textId="1D9DA15A" w:rsidR="00DA434E" w:rsidRPr="00EF5805" w:rsidRDefault="00DA434E" w:rsidP="00DA434E">
            <w:pPr>
              <w:pStyle w:val="Title"/>
              <w:jc w:val="left"/>
              <w:rPr>
                <w:b w:val="0"/>
                <w:sz w:val="22"/>
                <w:szCs w:val="22"/>
              </w:rPr>
            </w:pPr>
            <w:r w:rsidRPr="00EF5805">
              <w:rPr>
                <w:b w:val="0"/>
                <w:sz w:val="22"/>
                <w:szCs w:val="22"/>
              </w:rPr>
              <w:t>Seagen</w:t>
            </w:r>
          </w:p>
        </w:tc>
        <w:tc>
          <w:tcPr>
            <w:tcW w:w="7796" w:type="dxa"/>
            <w:tcBorders>
              <w:top w:val="single" w:sz="12" w:space="0" w:color="auto"/>
            </w:tcBorders>
          </w:tcPr>
          <w:p w14:paraId="13A4F31B" w14:textId="77777777" w:rsidR="00516081" w:rsidRPr="00EF5805" w:rsidRDefault="00516081" w:rsidP="00516081">
            <w:pPr>
              <w:pStyle w:val="Title"/>
              <w:jc w:val="left"/>
              <w:rPr>
                <w:b w:val="0"/>
                <w:sz w:val="22"/>
                <w:szCs w:val="22"/>
              </w:rPr>
            </w:pPr>
            <w:r w:rsidRPr="00EF5805">
              <w:rPr>
                <w:b w:val="0"/>
                <w:sz w:val="22"/>
                <w:szCs w:val="22"/>
              </w:rPr>
              <w:t>Tucatinib in combination with trastuzumab is intended for patients with unresectable or metastatic colorectal cancer. As the draft scope states the broader colorectal cancer population, please amend the wording to include “unresectable or metastatic” in the remit as follows:</w:t>
            </w:r>
          </w:p>
          <w:p w14:paraId="436318B6" w14:textId="3A0F0802" w:rsidR="00DA434E" w:rsidRPr="00EF5805" w:rsidRDefault="00516081" w:rsidP="00516081">
            <w:pPr>
              <w:pStyle w:val="Title"/>
              <w:jc w:val="left"/>
              <w:rPr>
                <w:b w:val="0"/>
                <w:sz w:val="22"/>
                <w:szCs w:val="22"/>
              </w:rPr>
            </w:pPr>
            <w:r w:rsidRPr="00EF5805">
              <w:rPr>
                <w:b w:val="0"/>
                <w:sz w:val="22"/>
                <w:szCs w:val="22"/>
              </w:rPr>
              <w:lastRenderedPageBreak/>
              <w:t>“To appraise the clinical and cost effectiveness of tucatinib with trastuzumab within its anticipated marketing authorisation for treating previously treated HER2-positive unresectable or metastatic colorectal cancer.”</w:t>
            </w:r>
          </w:p>
        </w:tc>
        <w:tc>
          <w:tcPr>
            <w:tcW w:w="2584" w:type="dxa"/>
            <w:tcBorders>
              <w:top w:val="single" w:sz="12" w:space="0" w:color="auto"/>
            </w:tcBorders>
          </w:tcPr>
          <w:p w14:paraId="4BB7C84C" w14:textId="41B3280D" w:rsidR="00DA434E" w:rsidRPr="00EF5805" w:rsidRDefault="005514E3" w:rsidP="00DA434E">
            <w:pPr>
              <w:pStyle w:val="Title"/>
              <w:jc w:val="left"/>
              <w:rPr>
                <w:b w:val="0"/>
                <w:sz w:val="22"/>
                <w:szCs w:val="22"/>
              </w:rPr>
            </w:pPr>
            <w:r>
              <w:rPr>
                <w:b w:val="0"/>
                <w:sz w:val="22"/>
                <w:szCs w:val="22"/>
              </w:rPr>
              <w:lastRenderedPageBreak/>
              <w:t>Thank you for your comment. This has been amended.</w:t>
            </w:r>
          </w:p>
        </w:tc>
      </w:tr>
      <w:tr w:rsidR="00CE2F90" w:rsidRPr="00EF5805" w14:paraId="62964EF7" w14:textId="77777777" w:rsidTr="005B0206">
        <w:tc>
          <w:tcPr>
            <w:tcW w:w="1951" w:type="dxa"/>
            <w:vMerge/>
          </w:tcPr>
          <w:p w14:paraId="64EB8A16" w14:textId="77777777" w:rsidR="00CE2F90" w:rsidRPr="00EF5805" w:rsidRDefault="00CE2F90" w:rsidP="00CE2F90">
            <w:pPr>
              <w:pStyle w:val="Title"/>
              <w:jc w:val="left"/>
              <w:rPr>
                <w:b w:val="0"/>
                <w:sz w:val="22"/>
                <w:szCs w:val="22"/>
              </w:rPr>
            </w:pPr>
          </w:p>
        </w:tc>
        <w:tc>
          <w:tcPr>
            <w:tcW w:w="1843" w:type="dxa"/>
          </w:tcPr>
          <w:p w14:paraId="3B1D6102" w14:textId="74D1092B" w:rsidR="00CE2F90" w:rsidRPr="00EF5805" w:rsidRDefault="00CE2F90" w:rsidP="00CE2F90">
            <w:pPr>
              <w:pStyle w:val="Title"/>
              <w:jc w:val="left"/>
              <w:rPr>
                <w:b w:val="0"/>
                <w:sz w:val="22"/>
                <w:szCs w:val="22"/>
              </w:rPr>
            </w:pPr>
            <w:r w:rsidRPr="00EF5805">
              <w:rPr>
                <w:b w:val="0"/>
                <w:sz w:val="22"/>
                <w:szCs w:val="22"/>
              </w:rPr>
              <w:t>Bower cancer UK</w:t>
            </w:r>
          </w:p>
        </w:tc>
        <w:tc>
          <w:tcPr>
            <w:tcW w:w="7796" w:type="dxa"/>
          </w:tcPr>
          <w:p w14:paraId="711F5C98" w14:textId="340EA28D" w:rsidR="00CE2F90" w:rsidRPr="00EF5805" w:rsidRDefault="00CE2F90" w:rsidP="00CE2F90">
            <w:pPr>
              <w:pStyle w:val="Title"/>
              <w:jc w:val="left"/>
              <w:rPr>
                <w:b w:val="0"/>
                <w:bCs w:val="0"/>
                <w:sz w:val="22"/>
                <w:szCs w:val="22"/>
              </w:rPr>
            </w:pPr>
            <w:r w:rsidRPr="00EF5805">
              <w:rPr>
                <w:b w:val="0"/>
                <w:bCs w:val="0"/>
                <w:sz w:val="22"/>
                <w:szCs w:val="22"/>
              </w:rPr>
              <w:t>When looking at comparators for this treatment, it would be more accurate to consider the clinical and cost effectiveness of these treatments specifically for the indication that would benefit from the treatment under evaluation – patients who have HER2 positive colorectal cancer who have previously received treatment.</w:t>
            </w:r>
          </w:p>
        </w:tc>
        <w:tc>
          <w:tcPr>
            <w:tcW w:w="2584" w:type="dxa"/>
          </w:tcPr>
          <w:p w14:paraId="5B302F60" w14:textId="49003B51" w:rsidR="00CE2F90" w:rsidRPr="00EF5805" w:rsidRDefault="000B41BD" w:rsidP="00CE2F90">
            <w:pPr>
              <w:pStyle w:val="Title"/>
              <w:jc w:val="left"/>
              <w:rPr>
                <w:b w:val="0"/>
                <w:sz w:val="22"/>
                <w:szCs w:val="22"/>
              </w:rPr>
            </w:pPr>
            <w:r>
              <w:rPr>
                <w:b w:val="0"/>
                <w:sz w:val="22"/>
                <w:szCs w:val="22"/>
              </w:rPr>
              <w:t>Thank you for your comment, the appraisal will be specific to people with previously treated HER-2 positive colorectal cancer.</w:t>
            </w:r>
          </w:p>
        </w:tc>
      </w:tr>
      <w:tr w:rsidR="00CE2F90" w:rsidRPr="00EF5805" w14:paraId="56774819" w14:textId="77777777" w:rsidTr="005B0206">
        <w:tc>
          <w:tcPr>
            <w:tcW w:w="1951" w:type="dxa"/>
            <w:vMerge/>
          </w:tcPr>
          <w:p w14:paraId="3B603272" w14:textId="77777777" w:rsidR="00CE2F90" w:rsidRPr="00EF5805" w:rsidRDefault="00CE2F90" w:rsidP="00CE2F90">
            <w:pPr>
              <w:pStyle w:val="Title"/>
              <w:jc w:val="left"/>
              <w:rPr>
                <w:b w:val="0"/>
                <w:sz w:val="22"/>
                <w:szCs w:val="22"/>
              </w:rPr>
            </w:pPr>
          </w:p>
        </w:tc>
        <w:tc>
          <w:tcPr>
            <w:tcW w:w="1843" w:type="dxa"/>
          </w:tcPr>
          <w:p w14:paraId="747C1BA6" w14:textId="77777777" w:rsidR="00CE2F90" w:rsidRPr="00EF5805" w:rsidRDefault="00CE2F90" w:rsidP="00CE2F90">
            <w:pPr>
              <w:pStyle w:val="Title"/>
              <w:jc w:val="left"/>
              <w:rPr>
                <w:b w:val="0"/>
                <w:sz w:val="22"/>
                <w:szCs w:val="22"/>
              </w:rPr>
            </w:pPr>
          </w:p>
        </w:tc>
        <w:tc>
          <w:tcPr>
            <w:tcW w:w="7796" w:type="dxa"/>
          </w:tcPr>
          <w:p w14:paraId="583DA025" w14:textId="77777777" w:rsidR="00CE2F90" w:rsidRPr="00EF5805" w:rsidRDefault="00CE2F90" w:rsidP="00CE2F90">
            <w:pPr>
              <w:pStyle w:val="Title"/>
              <w:jc w:val="left"/>
              <w:rPr>
                <w:b w:val="0"/>
                <w:sz w:val="22"/>
                <w:szCs w:val="22"/>
              </w:rPr>
            </w:pPr>
          </w:p>
        </w:tc>
        <w:tc>
          <w:tcPr>
            <w:tcW w:w="2584" w:type="dxa"/>
          </w:tcPr>
          <w:p w14:paraId="4F359A8F" w14:textId="77777777" w:rsidR="00CE2F90" w:rsidRPr="00EF5805" w:rsidRDefault="00CE2F90" w:rsidP="00CE2F90">
            <w:pPr>
              <w:pStyle w:val="Title"/>
              <w:jc w:val="left"/>
              <w:rPr>
                <w:b w:val="0"/>
                <w:sz w:val="22"/>
                <w:szCs w:val="22"/>
              </w:rPr>
            </w:pPr>
          </w:p>
        </w:tc>
      </w:tr>
      <w:tr w:rsidR="00CE2F90" w:rsidRPr="00EF5805" w14:paraId="0DC4B825" w14:textId="77777777" w:rsidTr="005B0206">
        <w:tc>
          <w:tcPr>
            <w:tcW w:w="1951" w:type="dxa"/>
            <w:vMerge/>
          </w:tcPr>
          <w:p w14:paraId="3915D35B" w14:textId="77777777" w:rsidR="00CE2F90" w:rsidRPr="00EF5805" w:rsidRDefault="00CE2F90" w:rsidP="00CE2F90">
            <w:pPr>
              <w:pStyle w:val="Title"/>
              <w:jc w:val="left"/>
              <w:rPr>
                <w:b w:val="0"/>
                <w:sz w:val="22"/>
                <w:szCs w:val="22"/>
              </w:rPr>
            </w:pPr>
          </w:p>
        </w:tc>
        <w:tc>
          <w:tcPr>
            <w:tcW w:w="1843" w:type="dxa"/>
          </w:tcPr>
          <w:p w14:paraId="155A0F98" w14:textId="77777777" w:rsidR="00CE2F90" w:rsidRPr="00EF5805" w:rsidRDefault="00CE2F90" w:rsidP="00CE2F90">
            <w:pPr>
              <w:pStyle w:val="Title"/>
              <w:jc w:val="left"/>
              <w:rPr>
                <w:b w:val="0"/>
                <w:sz w:val="22"/>
                <w:szCs w:val="22"/>
              </w:rPr>
            </w:pPr>
          </w:p>
        </w:tc>
        <w:tc>
          <w:tcPr>
            <w:tcW w:w="7796" w:type="dxa"/>
          </w:tcPr>
          <w:p w14:paraId="3B150346" w14:textId="77777777" w:rsidR="00CE2F90" w:rsidRPr="00EF5805" w:rsidRDefault="00CE2F90" w:rsidP="00CE2F90">
            <w:pPr>
              <w:pStyle w:val="Title"/>
              <w:jc w:val="left"/>
              <w:rPr>
                <w:b w:val="0"/>
                <w:sz w:val="22"/>
                <w:szCs w:val="22"/>
              </w:rPr>
            </w:pPr>
          </w:p>
        </w:tc>
        <w:tc>
          <w:tcPr>
            <w:tcW w:w="2584" w:type="dxa"/>
          </w:tcPr>
          <w:p w14:paraId="302B7217" w14:textId="77777777" w:rsidR="00CE2F90" w:rsidRPr="00EF5805" w:rsidRDefault="00CE2F90" w:rsidP="00CE2F90">
            <w:pPr>
              <w:pStyle w:val="Title"/>
              <w:jc w:val="left"/>
              <w:rPr>
                <w:b w:val="0"/>
                <w:sz w:val="22"/>
                <w:szCs w:val="22"/>
              </w:rPr>
            </w:pPr>
          </w:p>
        </w:tc>
      </w:tr>
      <w:tr w:rsidR="00CE2F90" w:rsidRPr="00EF5805" w14:paraId="74A9E49A" w14:textId="77777777" w:rsidTr="005B0206">
        <w:tc>
          <w:tcPr>
            <w:tcW w:w="1951" w:type="dxa"/>
            <w:vMerge/>
          </w:tcPr>
          <w:p w14:paraId="4ED92A79" w14:textId="77777777" w:rsidR="00CE2F90" w:rsidRPr="00EF5805" w:rsidRDefault="00CE2F90" w:rsidP="00CE2F90">
            <w:pPr>
              <w:pStyle w:val="Title"/>
              <w:jc w:val="left"/>
              <w:rPr>
                <w:b w:val="0"/>
                <w:sz w:val="22"/>
                <w:szCs w:val="22"/>
              </w:rPr>
            </w:pPr>
          </w:p>
        </w:tc>
        <w:tc>
          <w:tcPr>
            <w:tcW w:w="1843" w:type="dxa"/>
          </w:tcPr>
          <w:p w14:paraId="7C3F4549" w14:textId="77777777" w:rsidR="00CE2F90" w:rsidRPr="00EF5805" w:rsidRDefault="00CE2F90" w:rsidP="00CE2F90">
            <w:pPr>
              <w:pStyle w:val="Title"/>
              <w:jc w:val="left"/>
              <w:rPr>
                <w:b w:val="0"/>
                <w:sz w:val="22"/>
                <w:szCs w:val="22"/>
              </w:rPr>
            </w:pPr>
          </w:p>
        </w:tc>
        <w:tc>
          <w:tcPr>
            <w:tcW w:w="7796" w:type="dxa"/>
          </w:tcPr>
          <w:p w14:paraId="2251FFDA" w14:textId="77777777" w:rsidR="00CE2F90" w:rsidRPr="00EF5805" w:rsidRDefault="00CE2F90" w:rsidP="00CE2F90">
            <w:pPr>
              <w:pStyle w:val="Title"/>
              <w:jc w:val="left"/>
              <w:rPr>
                <w:b w:val="0"/>
                <w:sz w:val="22"/>
                <w:szCs w:val="22"/>
              </w:rPr>
            </w:pPr>
          </w:p>
        </w:tc>
        <w:tc>
          <w:tcPr>
            <w:tcW w:w="2584" w:type="dxa"/>
          </w:tcPr>
          <w:p w14:paraId="3ED10B43" w14:textId="77777777" w:rsidR="00CE2F90" w:rsidRPr="00EF5805" w:rsidRDefault="00CE2F90" w:rsidP="00CE2F90">
            <w:pPr>
              <w:pStyle w:val="Title"/>
              <w:jc w:val="left"/>
              <w:rPr>
                <w:b w:val="0"/>
                <w:sz w:val="22"/>
                <w:szCs w:val="22"/>
              </w:rPr>
            </w:pPr>
          </w:p>
        </w:tc>
      </w:tr>
      <w:tr w:rsidR="00CE2F90" w:rsidRPr="00EF5805" w14:paraId="1BA05618" w14:textId="77777777" w:rsidTr="005B0206">
        <w:tc>
          <w:tcPr>
            <w:tcW w:w="1951" w:type="dxa"/>
            <w:vMerge w:val="restart"/>
            <w:tcBorders>
              <w:top w:val="single" w:sz="12" w:space="0" w:color="auto"/>
            </w:tcBorders>
          </w:tcPr>
          <w:p w14:paraId="34B3CAED" w14:textId="77777777" w:rsidR="00CE2F90" w:rsidRPr="00EF5805" w:rsidRDefault="00CE2F90" w:rsidP="00CE2F90">
            <w:pPr>
              <w:pStyle w:val="Title"/>
              <w:jc w:val="left"/>
              <w:rPr>
                <w:b w:val="0"/>
                <w:sz w:val="22"/>
                <w:szCs w:val="22"/>
              </w:rPr>
            </w:pPr>
            <w:r w:rsidRPr="00EF5805">
              <w:rPr>
                <w:b w:val="0"/>
                <w:sz w:val="22"/>
                <w:szCs w:val="22"/>
              </w:rPr>
              <w:t>Additional comments on the draft remit</w:t>
            </w:r>
          </w:p>
        </w:tc>
        <w:tc>
          <w:tcPr>
            <w:tcW w:w="1843" w:type="dxa"/>
            <w:tcBorders>
              <w:top w:val="single" w:sz="12" w:space="0" w:color="auto"/>
              <w:bottom w:val="single" w:sz="4" w:space="0" w:color="auto"/>
            </w:tcBorders>
          </w:tcPr>
          <w:p w14:paraId="707CBDFC" w14:textId="1BE3B9DC" w:rsidR="00CE2F90" w:rsidRPr="00EF5805" w:rsidRDefault="00CE2F90" w:rsidP="00CE2F90">
            <w:pPr>
              <w:pStyle w:val="Title"/>
              <w:jc w:val="left"/>
              <w:rPr>
                <w:b w:val="0"/>
                <w:sz w:val="22"/>
                <w:szCs w:val="22"/>
              </w:rPr>
            </w:pPr>
            <w:r w:rsidRPr="00EF5805">
              <w:rPr>
                <w:b w:val="0"/>
                <w:sz w:val="22"/>
                <w:szCs w:val="22"/>
              </w:rPr>
              <w:t>Seagen</w:t>
            </w:r>
          </w:p>
        </w:tc>
        <w:tc>
          <w:tcPr>
            <w:tcW w:w="7796" w:type="dxa"/>
            <w:tcBorders>
              <w:top w:val="single" w:sz="12" w:space="0" w:color="auto"/>
              <w:bottom w:val="single" w:sz="4" w:space="0" w:color="auto"/>
            </w:tcBorders>
          </w:tcPr>
          <w:p w14:paraId="671CE6BD" w14:textId="77777777" w:rsidR="00CE2F90" w:rsidRPr="00EF5805" w:rsidRDefault="00CE2F90" w:rsidP="00CE2F90">
            <w:pPr>
              <w:pStyle w:val="Title"/>
              <w:jc w:val="left"/>
              <w:rPr>
                <w:b w:val="0"/>
                <w:sz w:val="22"/>
                <w:szCs w:val="22"/>
              </w:rPr>
            </w:pPr>
            <w:r w:rsidRPr="00EF5805">
              <w:rPr>
                <w:b w:val="0"/>
                <w:sz w:val="22"/>
                <w:szCs w:val="22"/>
              </w:rPr>
              <w:t>Colorectal cancer is the 4th most common cancer in the UK, with 20% of patients metastatic at diagnosis and a further 20% of non-metastatic colorectal cancer patients developing metastases (1-3). Only 3–5% of patients with metastatic colorectal cancer are HER2 positive; however, this is associated with a greater number of metastatic sites (4, 5).</w:t>
            </w:r>
          </w:p>
          <w:p w14:paraId="5ACCDEEA" w14:textId="77777777" w:rsidR="00CE2F90" w:rsidRPr="00EF5805" w:rsidRDefault="00CE2F90" w:rsidP="00CE2F90">
            <w:pPr>
              <w:pStyle w:val="Title"/>
              <w:jc w:val="left"/>
              <w:rPr>
                <w:b w:val="0"/>
                <w:sz w:val="22"/>
                <w:szCs w:val="22"/>
              </w:rPr>
            </w:pPr>
            <w:r w:rsidRPr="00EF5805">
              <w:rPr>
                <w:b w:val="0"/>
                <w:sz w:val="22"/>
                <w:szCs w:val="22"/>
              </w:rPr>
              <w:t>Among patients with metastatic colorectal cancer, 5-year survival is only 10%, with 43% of patients receiving second line therapy and beyond. There are also no NICE recommended treatments for patients with HER2-positive metastatic colorectal cancer (6, 7). Furthermore, as described in the draft scope section “Background”, current treatments for metastatic colorectal cancer can be unsuccessful, not tolerated, or contraindicated. These patients instead receive best supportive care to manage the symptoms and complications of the condition.</w:t>
            </w:r>
          </w:p>
          <w:p w14:paraId="7C916F38" w14:textId="00909353" w:rsidR="00CE2F90" w:rsidRPr="00EF5805" w:rsidRDefault="00CE2F90" w:rsidP="00CE2F90">
            <w:pPr>
              <w:pStyle w:val="Title"/>
              <w:jc w:val="left"/>
              <w:rPr>
                <w:b w:val="0"/>
                <w:sz w:val="22"/>
                <w:szCs w:val="22"/>
              </w:rPr>
            </w:pPr>
            <w:r w:rsidRPr="00EF5805">
              <w:rPr>
                <w:b w:val="0"/>
                <w:sz w:val="22"/>
                <w:szCs w:val="22"/>
              </w:rPr>
              <w:lastRenderedPageBreak/>
              <w:t>As a result, there is a high unmet need for effective therapies for patients with previously treated HER2 positive metastatic colorectal cancer.</w:t>
            </w:r>
          </w:p>
        </w:tc>
        <w:tc>
          <w:tcPr>
            <w:tcW w:w="2584" w:type="dxa"/>
            <w:tcBorders>
              <w:top w:val="single" w:sz="12" w:space="0" w:color="auto"/>
              <w:bottom w:val="single" w:sz="4" w:space="0" w:color="auto"/>
            </w:tcBorders>
          </w:tcPr>
          <w:p w14:paraId="7264AF27" w14:textId="2F34FD5A" w:rsidR="00CE2F90" w:rsidRPr="00EF5805" w:rsidRDefault="000B41BD" w:rsidP="00CE2F90">
            <w:pPr>
              <w:pStyle w:val="Title"/>
              <w:jc w:val="left"/>
              <w:rPr>
                <w:b w:val="0"/>
                <w:sz w:val="22"/>
                <w:szCs w:val="22"/>
              </w:rPr>
            </w:pPr>
            <w:r>
              <w:rPr>
                <w:b w:val="0"/>
                <w:sz w:val="22"/>
                <w:szCs w:val="22"/>
              </w:rPr>
              <w:lastRenderedPageBreak/>
              <w:t>Thank you for your comment. The unmet need in this area will be explored during the appraisal process. No further action needed.</w:t>
            </w:r>
          </w:p>
        </w:tc>
      </w:tr>
      <w:tr w:rsidR="000B41BD" w:rsidRPr="00EF5805" w14:paraId="6B0691D3" w14:textId="77777777" w:rsidTr="005B0206">
        <w:tc>
          <w:tcPr>
            <w:tcW w:w="1951" w:type="dxa"/>
            <w:vMerge/>
            <w:tcBorders>
              <w:bottom w:val="single" w:sz="12" w:space="0" w:color="auto"/>
            </w:tcBorders>
          </w:tcPr>
          <w:p w14:paraId="711391FC" w14:textId="77777777" w:rsidR="000B41BD" w:rsidRPr="00EF5805" w:rsidRDefault="000B41BD" w:rsidP="000B41BD">
            <w:pPr>
              <w:pStyle w:val="Title"/>
              <w:jc w:val="left"/>
              <w:rPr>
                <w:b w:val="0"/>
                <w:sz w:val="22"/>
                <w:szCs w:val="22"/>
              </w:rPr>
            </w:pPr>
          </w:p>
        </w:tc>
        <w:tc>
          <w:tcPr>
            <w:tcW w:w="1843" w:type="dxa"/>
            <w:tcBorders>
              <w:top w:val="single" w:sz="4" w:space="0" w:color="auto"/>
              <w:bottom w:val="single" w:sz="4" w:space="0" w:color="auto"/>
            </w:tcBorders>
          </w:tcPr>
          <w:p w14:paraId="16D46464" w14:textId="4970E66C" w:rsidR="000B41BD" w:rsidRPr="00EF5805" w:rsidRDefault="000B41BD" w:rsidP="000B41BD">
            <w:pPr>
              <w:pStyle w:val="Title"/>
              <w:jc w:val="left"/>
              <w:rPr>
                <w:b w:val="0"/>
                <w:sz w:val="22"/>
                <w:szCs w:val="22"/>
              </w:rPr>
            </w:pPr>
            <w:r w:rsidRPr="00EF5805">
              <w:rPr>
                <w:b w:val="0"/>
                <w:sz w:val="22"/>
                <w:szCs w:val="22"/>
              </w:rPr>
              <w:t>Bower cancer UK</w:t>
            </w:r>
          </w:p>
        </w:tc>
        <w:tc>
          <w:tcPr>
            <w:tcW w:w="7796" w:type="dxa"/>
            <w:tcBorders>
              <w:top w:val="single" w:sz="4" w:space="0" w:color="auto"/>
              <w:bottom w:val="single" w:sz="4" w:space="0" w:color="auto"/>
            </w:tcBorders>
          </w:tcPr>
          <w:p w14:paraId="6D1BFCE8" w14:textId="1AD2F3ED" w:rsidR="000B41BD" w:rsidRPr="00EF5805" w:rsidRDefault="000B41BD" w:rsidP="000B41BD">
            <w:pPr>
              <w:pStyle w:val="Title"/>
              <w:jc w:val="left"/>
              <w:rPr>
                <w:b w:val="0"/>
                <w:sz w:val="22"/>
                <w:szCs w:val="22"/>
              </w:rPr>
            </w:pPr>
            <w:r w:rsidRPr="00EF5805">
              <w:rPr>
                <w:b w:val="0"/>
                <w:sz w:val="22"/>
                <w:szCs w:val="22"/>
              </w:rPr>
              <w:t>approximately 3-5% of colorectal cancers are HER2 positive (Djaballah et al., 2022), and in the UK approximately 42,900 people will be diagnosed with colorectal cancer every year (Cancer Research UK, 2016-2018). With no targeted alternative treatment for patients with previously treated HER2 positive colorectal cancer available in England and Wales, and low efficacy amongst the treatment that is offered at this point (National Cancer Institute US, 2023), this is a significant number of patients who could benefit from an additional period of disease progression-free time with family, friends and loved ones. Therefore, we believe that this evaluation is of some urgency.</w:t>
            </w:r>
          </w:p>
        </w:tc>
        <w:tc>
          <w:tcPr>
            <w:tcW w:w="2584" w:type="dxa"/>
            <w:tcBorders>
              <w:top w:val="single" w:sz="4" w:space="0" w:color="auto"/>
              <w:bottom w:val="single" w:sz="4" w:space="0" w:color="auto"/>
            </w:tcBorders>
          </w:tcPr>
          <w:p w14:paraId="65C25367" w14:textId="3E862930" w:rsidR="000B41BD" w:rsidRPr="00EF5805" w:rsidRDefault="000B41BD" w:rsidP="000B41BD">
            <w:pPr>
              <w:pStyle w:val="Title"/>
              <w:jc w:val="left"/>
              <w:rPr>
                <w:b w:val="0"/>
                <w:sz w:val="22"/>
                <w:szCs w:val="22"/>
              </w:rPr>
            </w:pPr>
            <w:r>
              <w:rPr>
                <w:b w:val="0"/>
                <w:sz w:val="22"/>
                <w:szCs w:val="22"/>
              </w:rPr>
              <w:t>Thank you for your comment. The unmet need in this area will be explored during the appraisal process. No further action needed.</w:t>
            </w:r>
          </w:p>
        </w:tc>
      </w:tr>
      <w:tr w:rsidR="000B41BD" w:rsidRPr="00EF5805" w14:paraId="63727A7C" w14:textId="77777777" w:rsidTr="005B0206">
        <w:tc>
          <w:tcPr>
            <w:tcW w:w="1951" w:type="dxa"/>
            <w:vMerge/>
            <w:tcBorders>
              <w:bottom w:val="single" w:sz="12" w:space="0" w:color="auto"/>
            </w:tcBorders>
          </w:tcPr>
          <w:p w14:paraId="76152BB5" w14:textId="77777777" w:rsidR="000B41BD" w:rsidRPr="00EF5805" w:rsidRDefault="000B41BD" w:rsidP="000B41BD">
            <w:pPr>
              <w:pStyle w:val="Title"/>
              <w:jc w:val="left"/>
              <w:rPr>
                <w:b w:val="0"/>
                <w:sz w:val="22"/>
                <w:szCs w:val="22"/>
              </w:rPr>
            </w:pPr>
          </w:p>
        </w:tc>
        <w:tc>
          <w:tcPr>
            <w:tcW w:w="1843" w:type="dxa"/>
            <w:tcBorders>
              <w:top w:val="single" w:sz="4" w:space="0" w:color="auto"/>
              <w:bottom w:val="single" w:sz="4" w:space="0" w:color="auto"/>
            </w:tcBorders>
          </w:tcPr>
          <w:p w14:paraId="253AB9DD" w14:textId="77777777" w:rsidR="000B41BD" w:rsidRPr="00EF5805" w:rsidRDefault="000B41BD" w:rsidP="000B41BD">
            <w:pPr>
              <w:pStyle w:val="Title"/>
              <w:jc w:val="left"/>
              <w:rPr>
                <w:b w:val="0"/>
                <w:sz w:val="22"/>
                <w:szCs w:val="22"/>
              </w:rPr>
            </w:pPr>
          </w:p>
        </w:tc>
        <w:tc>
          <w:tcPr>
            <w:tcW w:w="7796" w:type="dxa"/>
            <w:tcBorders>
              <w:top w:val="single" w:sz="4" w:space="0" w:color="auto"/>
              <w:bottom w:val="single" w:sz="4" w:space="0" w:color="auto"/>
            </w:tcBorders>
          </w:tcPr>
          <w:p w14:paraId="58F9178B" w14:textId="77777777" w:rsidR="000B41BD" w:rsidRPr="00EF5805" w:rsidRDefault="000B41BD" w:rsidP="000B41BD">
            <w:pPr>
              <w:pStyle w:val="Title"/>
              <w:jc w:val="left"/>
              <w:rPr>
                <w:b w:val="0"/>
                <w:sz w:val="22"/>
                <w:szCs w:val="22"/>
              </w:rPr>
            </w:pPr>
          </w:p>
        </w:tc>
        <w:tc>
          <w:tcPr>
            <w:tcW w:w="2584" w:type="dxa"/>
            <w:tcBorders>
              <w:top w:val="single" w:sz="4" w:space="0" w:color="auto"/>
              <w:bottom w:val="single" w:sz="4" w:space="0" w:color="auto"/>
            </w:tcBorders>
          </w:tcPr>
          <w:p w14:paraId="67091B8A" w14:textId="77777777" w:rsidR="000B41BD" w:rsidRPr="00EF5805" w:rsidRDefault="000B41BD" w:rsidP="000B41BD">
            <w:pPr>
              <w:pStyle w:val="Title"/>
              <w:jc w:val="left"/>
              <w:rPr>
                <w:b w:val="0"/>
                <w:sz w:val="22"/>
                <w:szCs w:val="22"/>
              </w:rPr>
            </w:pPr>
          </w:p>
        </w:tc>
      </w:tr>
      <w:tr w:rsidR="000B41BD" w:rsidRPr="00EF5805" w14:paraId="49AB372D" w14:textId="77777777" w:rsidTr="005B0206">
        <w:tc>
          <w:tcPr>
            <w:tcW w:w="1951" w:type="dxa"/>
            <w:vMerge/>
            <w:tcBorders>
              <w:bottom w:val="single" w:sz="12" w:space="0" w:color="auto"/>
            </w:tcBorders>
          </w:tcPr>
          <w:p w14:paraId="39D1E2D4" w14:textId="77777777" w:rsidR="000B41BD" w:rsidRPr="00EF5805" w:rsidRDefault="000B41BD" w:rsidP="000B41BD">
            <w:pPr>
              <w:pStyle w:val="Title"/>
              <w:jc w:val="left"/>
              <w:rPr>
                <w:b w:val="0"/>
                <w:sz w:val="22"/>
                <w:szCs w:val="22"/>
              </w:rPr>
            </w:pPr>
          </w:p>
        </w:tc>
        <w:tc>
          <w:tcPr>
            <w:tcW w:w="1843" w:type="dxa"/>
            <w:tcBorders>
              <w:top w:val="single" w:sz="4" w:space="0" w:color="auto"/>
              <w:bottom w:val="single" w:sz="4" w:space="0" w:color="auto"/>
            </w:tcBorders>
          </w:tcPr>
          <w:p w14:paraId="43F7BB8D" w14:textId="77777777" w:rsidR="000B41BD" w:rsidRPr="00EF5805" w:rsidRDefault="000B41BD" w:rsidP="000B41BD">
            <w:pPr>
              <w:pStyle w:val="Title"/>
              <w:jc w:val="left"/>
              <w:rPr>
                <w:b w:val="0"/>
                <w:sz w:val="22"/>
                <w:szCs w:val="22"/>
              </w:rPr>
            </w:pPr>
          </w:p>
        </w:tc>
        <w:tc>
          <w:tcPr>
            <w:tcW w:w="7796" w:type="dxa"/>
            <w:tcBorders>
              <w:top w:val="single" w:sz="4" w:space="0" w:color="auto"/>
              <w:bottom w:val="single" w:sz="4" w:space="0" w:color="auto"/>
            </w:tcBorders>
          </w:tcPr>
          <w:p w14:paraId="11E2F694" w14:textId="77777777" w:rsidR="000B41BD" w:rsidRPr="00EF5805" w:rsidRDefault="000B41BD" w:rsidP="000B41BD">
            <w:pPr>
              <w:pStyle w:val="Title"/>
              <w:jc w:val="left"/>
              <w:rPr>
                <w:b w:val="0"/>
                <w:sz w:val="22"/>
                <w:szCs w:val="22"/>
              </w:rPr>
            </w:pPr>
          </w:p>
        </w:tc>
        <w:tc>
          <w:tcPr>
            <w:tcW w:w="2584" w:type="dxa"/>
            <w:tcBorders>
              <w:top w:val="single" w:sz="4" w:space="0" w:color="auto"/>
              <w:bottom w:val="single" w:sz="4" w:space="0" w:color="auto"/>
            </w:tcBorders>
          </w:tcPr>
          <w:p w14:paraId="4B1A43E3" w14:textId="77777777" w:rsidR="000B41BD" w:rsidRPr="00EF5805" w:rsidRDefault="000B41BD" w:rsidP="000B41BD">
            <w:pPr>
              <w:pStyle w:val="Title"/>
              <w:jc w:val="left"/>
              <w:rPr>
                <w:b w:val="0"/>
                <w:sz w:val="22"/>
                <w:szCs w:val="22"/>
              </w:rPr>
            </w:pPr>
          </w:p>
        </w:tc>
      </w:tr>
      <w:tr w:rsidR="000B41BD" w:rsidRPr="00EF5805" w14:paraId="67021EE0" w14:textId="77777777" w:rsidTr="005B0206">
        <w:tc>
          <w:tcPr>
            <w:tcW w:w="1951" w:type="dxa"/>
            <w:vMerge/>
            <w:tcBorders>
              <w:bottom w:val="single" w:sz="12" w:space="0" w:color="auto"/>
            </w:tcBorders>
          </w:tcPr>
          <w:p w14:paraId="48709FC6" w14:textId="77777777" w:rsidR="000B41BD" w:rsidRPr="00EF5805" w:rsidRDefault="000B41BD" w:rsidP="000B41BD">
            <w:pPr>
              <w:pStyle w:val="Title"/>
              <w:jc w:val="left"/>
              <w:rPr>
                <w:b w:val="0"/>
                <w:sz w:val="22"/>
                <w:szCs w:val="22"/>
              </w:rPr>
            </w:pPr>
          </w:p>
        </w:tc>
        <w:tc>
          <w:tcPr>
            <w:tcW w:w="1843" w:type="dxa"/>
            <w:tcBorders>
              <w:top w:val="single" w:sz="4" w:space="0" w:color="auto"/>
              <w:bottom w:val="single" w:sz="12" w:space="0" w:color="auto"/>
            </w:tcBorders>
          </w:tcPr>
          <w:p w14:paraId="23AE5462" w14:textId="77777777" w:rsidR="000B41BD" w:rsidRPr="00EF5805" w:rsidRDefault="000B41BD" w:rsidP="000B41BD">
            <w:pPr>
              <w:pStyle w:val="Title"/>
              <w:jc w:val="left"/>
              <w:rPr>
                <w:b w:val="0"/>
                <w:sz w:val="22"/>
                <w:szCs w:val="22"/>
              </w:rPr>
            </w:pPr>
          </w:p>
        </w:tc>
        <w:tc>
          <w:tcPr>
            <w:tcW w:w="7796" w:type="dxa"/>
            <w:tcBorders>
              <w:top w:val="single" w:sz="4" w:space="0" w:color="auto"/>
              <w:bottom w:val="single" w:sz="12" w:space="0" w:color="auto"/>
            </w:tcBorders>
          </w:tcPr>
          <w:p w14:paraId="71E80B31" w14:textId="77777777" w:rsidR="000B41BD" w:rsidRPr="00EF5805" w:rsidRDefault="000B41BD" w:rsidP="000B41BD">
            <w:pPr>
              <w:pStyle w:val="Title"/>
              <w:jc w:val="left"/>
              <w:rPr>
                <w:b w:val="0"/>
                <w:sz w:val="22"/>
                <w:szCs w:val="22"/>
              </w:rPr>
            </w:pPr>
          </w:p>
        </w:tc>
        <w:tc>
          <w:tcPr>
            <w:tcW w:w="2584" w:type="dxa"/>
            <w:tcBorders>
              <w:top w:val="single" w:sz="4" w:space="0" w:color="auto"/>
              <w:bottom w:val="single" w:sz="12" w:space="0" w:color="auto"/>
            </w:tcBorders>
          </w:tcPr>
          <w:p w14:paraId="6E023D9A" w14:textId="77777777" w:rsidR="000B41BD" w:rsidRPr="00EF5805" w:rsidRDefault="000B41BD" w:rsidP="000B41BD">
            <w:pPr>
              <w:pStyle w:val="Title"/>
              <w:jc w:val="left"/>
              <w:rPr>
                <w:b w:val="0"/>
                <w:sz w:val="22"/>
                <w:szCs w:val="22"/>
              </w:rPr>
            </w:pPr>
          </w:p>
        </w:tc>
      </w:tr>
    </w:tbl>
    <w:p w14:paraId="576760CC" w14:textId="77777777" w:rsidR="00443081" w:rsidRPr="00EF5805" w:rsidRDefault="00EC0E27" w:rsidP="00EC0E27">
      <w:pPr>
        <w:pStyle w:val="Title"/>
        <w:jc w:val="left"/>
        <w:rPr>
          <w:sz w:val="22"/>
          <w:szCs w:val="22"/>
        </w:rPr>
      </w:pPr>
      <w:r w:rsidRPr="00EF5805">
        <w:rPr>
          <w:sz w:val="22"/>
          <w:szCs w:val="22"/>
        </w:rPr>
        <w:t>Comment 2: the draft scope</w:t>
      </w:r>
    </w:p>
    <w:tbl>
      <w:tblPr>
        <w:tblStyle w:val="TableGrid"/>
        <w:tblW w:w="14174" w:type="dxa"/>
        <w:tblLayout w:type="fixed"/>
        <w:tblLook w:val="04A0" w:firstRow="1" w:lastRow="0" w:firstColumn="1" w:lastColumn="0" w:noHBand="0" w:noVBand="1"/>
      </w:tblPr>
      <w:tblGrid>
        <w:gridCol w:w="1951"/>
        <w:gridCol w:w="1843"/>
        <w:gridCol w:w="7796"/>
        <w:gridCol w:w="2584"/>
      </w:tblGrid>
      <w:tr w:rsidR="00EC0E27" w:rsidRPr="00EF5805" w14:paraId="251EF114" w14:textId="77777777" w:rsidTr="005B0206">
        <w:trPr>
          <w:trHeight w:val="590"/>
          <w:tblHeader/>
        </w:trPr>
        <w:tc>
          <w:tcPr>
            <w:tcW w:w="1951" w:type="dxa"/>
            <w:tcBorders>
              <w:bottom w:val="single" w:sz="12" w:space="0" w:color="auto"/>
            </w:tcBorders>
            <w:shd w:val="clear" w:color="auto" w:fill="D9D9D9" w:themeFill="background1" w:themeFillShade="D9"/>
          </w:tcPr>
          <w:p w14:paraId="33F961C1" w14:textId="77777777" w:rsidR="00EC0E27" w:rsidRPr="00EF5805" w:rsidRDefault="00EC0E27" w:rsidP="00240058">
            <w:pPr>
              <w:pStyle w:val="Title"/>
              <w:rPr>
                <w:sz w:val="22"/>
                <w:szCs w:val="22"/>
              </w:rPr>
            </w:pPr>
            <w:r w:rsidRPr="00EF5805">
              <w:rPr>
                <w:sz w:val="22"/>
                <w:szCs w:val="22"/>
              </w:rPr>
              <w:t xml:space="preserve">Section </w:t>
            </w:r>
          </w:p>
        </w:tc>
        <w:tc>
          <w:tcPr>
            <w:tcW w:w="1843" w:type="dxa"/>
            <w:tcBorders>
              <w:bottom w:val="single" w:sz="12" w:space="0" w:color="auto"/>
            </w:tcBorders>
            <w:shd w:val="clear" w:color="auto" w:fill="D9D9D9" w:themeFill="background1" w:themeFillShade="D9"/>
          </w:tcPr>
          <w:p w14:paraId="0127F552" w14:textId="77777777" w:rsidR="00EC0E27" w:rsidRPr="00EF5805" w:rsidRDefault="00EC0E27" w:rsidP="00240058">
            <w:pPr>
              <w:pStyle w:val="Title"/>
              <w:rPr>
                <w:sz w:val="22"/>
                <w:szCs w:val="22"/>
              </w:rPr>
            </w:pPr>
            <w:r w:rsidRPr="00EF5805">
              <w:rPr>
                <w:sz w:val="22"/>
                <w:szCs w:val="22"/>
              </w:rPr>
              <w:t>Consultee/ Commentator</w:t>
            </w:r>
          </w:p>
        </w:tc>
        <w:tc>
          <w:tcPr>
            <w:tcW w:w="7796" w:type="dxa"/>
            <w:tcBorders>
              <w:bottom w:val="single" w:sz="12" w:space="0" w:color="auto"/>
            </w:tcBorders>
            <w:shd w:val="clear" w:color="auto" w:fill="D9D9D9" w:themeFill="background1" w:themeFillShade="D9"/>
          </w:tcPr>
          <w:p w14:paraId="74FAF3D9" w14:textId="77777777" w:rsidR="00EC0E27" w:rsidRPr="00EF5805" w:rsidRDefault="00EC0E27" w:rsidP="00240058">
            <w:pPr>
              <w:pStyle w:val="Title"/>
              <w:rPr>
                <w:sz w:val="22"/>
                <w:szCs w:val="22"/>
              </w:rPr>
            </w:pPr>
            <w:r w:rsidRPr="00EF5805">
              <w:rPr>
                <w:sz w:val="22"/>
                <w:szCs w:val="22"/>
              </w:rPr>
              <w:t>Comments</w:t>
            </w:r>
            <w:r w:rsidR="00CC37C9" w:rsidRPr="00EF5805">
              <w:rPr>
                <w:sz w:val="22"/>
                <w:szCs w:val="22"/>
              </w:rPr>
              <w:t xml:space="preserve"> [sic]</w:t>
            </w:r>
          </w:p>
        </w:tc>
        <w:tc>
          <w:tcPr>
            <w:tcW w:w="2584" w:type="dxa"/>
            <w:tcBorders>
              <w:bottom w:val="single" w:sz="12" w:space="0" w:color="auto"/>
            </w:tcBorders>
            <w:shd w:val="clear" w:color="auto" w:fill="D9D9D9" w:themeFill="background1" w:themeFillShade="D9"/>
          </w:tcPr>
          <w:p w14:paraId="5A69BA5A" w14:textId="77777777" w:rsidR="00EC0E27" w:rsidRPr="00EF5805" w:rsidRDefault="00EC0E27" w:rsidP="00240058">
            <w:pPr>
              <w:pStyle w:val="Title"/>
              <w:rPr>
                <w:sz w:val="22"/>
                <w:szCs w:val="22"/>
              </w:rPr>
            </w:pPr>
            <w:r w:rsidRPr="00EF5805">
              <w:rPr>
                <w:sz w:val="22"/>
                <w:szCs w:val="22"/>
              </w:rPr>
              <w:t>Action</w:t>
            </w:r>
          </w:p>
        </w:tc>
      </w:tr>
      <w:tr w:rsidR="00557813" w:rsidRPr="00EF5805" w14:paraId="0165A32D" w14:textId="77777777" w:rsidTr="005B0206">
        <w:tc>
          <w:tcPr>
            <w:tcW w:w="1951" w:type="dxa"/>
            <w:vMerge w:val="restart"/>
            <w:tcBorders>
              <w:top w:val="single" w:sz="12" w:space="0" w:color="auto"/>
            </w:tcBorders>
          </w:tcPr>
          <w:p w14:paraId="2F1352B3" w14:textId="77777777" w:rsidR="00557813" w:rsidRPr="00EF5805" w:rsidRDefault="00557813" w:rsidP="00557813">
            <w:pPr>
              <w:pStyle w:val="Title"/>
              <w:jc w:val="left"/>
              <w:rPr>
                <w:b w:val="0"/>
                <w:sz w:val="22"/>
                <w:szCs w:val="22"/>
              </w:rPr>
            </w:pPr>
            <w:r w:rsidRPr="00EF5805">
              <w:rPr>
                <w:b w:val="0"/>
                <w:sz w:val="22"/>
                <w:szCs w:val="22"/>
              </w:rPr>
              <w:t>Background information</w:t>
            </w:r>
          </w:p>
        </w:tc>
        <w:tc>
          <w:tcPr>
            <w:tcW w:w="1843" w:type="dxa"/>
            <w:tcBorders>
              <w:top w:val="single" w:sz="12" w:space="0" w:color="auto"/>
            </w:tcBorders>
          </w:tcPr>
          <w:p w14:paraId="13586CFB" w14:textId="2E3584FB" w:rsidR="00557813" w:rsidRPr="00EF5805" w:rsidRDefault="00557813" w:rsidP="00557813">
            <w:pPr>
              <w:pStyle w:val="Title"/>
              <w:jc w:val="left"/>
              <w:rPr>
                <w:b w:val="0"/>
                <w:sz w:val="22"/>
                <w:szCs w:val="22"/>
              </w:rPr>
            </w:pPr>
            <w:r w:rsidRPr="00EF5805">
              <w:rPr>
                <w:b w:val="0"/>
                <w:sz w:val="22"/>
                <w:szCs w:val="22"/>
              </w:rPr>
              <w:t>Seagen</w:t>
            </w:r>
          </w:p>
        </w:tc>
        <w:tc>
          <w:tcPr>
            <w:tcW w:w="7796" w:type="dxa"/>
            <w:tcBorders>
              <w:top w:val="single" w:sz="12" w:space="0" w:color="auto"/>
            </w:tcBorders>
          </w:tcPr>
          <w:p w14:paraId="6D6DDECC" w14:textId="77777777" w:rsidR="00557813" w:rsidRPr="00EF5805" w:rsidRDefault="00557813" w:rsidP="00557813">
            <w:pPr>
              <w:spacing w:before="60" w:after="60"/>
            </w:pPr>
            <w:r w:rsidRPr="00EF5805">
              <w:t xml:space="preserve">With regards current treatments/treatment pathway, </w:t>
            </w:r>
            <w:bookmarkStart w:id="0" w:name="_Hlk141106162"/>
            <w:r w:rsidRPr="00EF5805">
              <w:fldChar w:fldCharType="begin"/>
            </w:r>
            <w:r w:rsidRPr="00EF5805">
              <w:instrText>HYPERLINK "https://www.nice.org.uk/guidance/ta866"</w:instrText>
            </w:r>
            <w:r w:rsidRPr="00EF5805">
              <w:fldChar w:fldCharType="separate"/>
            </w:r>
            <w:r w:rsidRPr="00EF5805">
              <w:rPr>
                <w:rStyle w:val="Hyperlink"/>
              </w:rPr>
              <w:t>NICE technology appraisal 866</w:t>
            </w:r>
            <w:r w:rsidRPr="00EF5805">
              <w:rPr>
                <w:rStyle w:val="Hyperlink"/>
              </w:rPr>
              <w:fldChar w:fldCharType="end"/>
            </w:r>
            <w:r w:rsidRPr="00EF5805">
              <w:t xml:space="preserve"> recommends regorafenib for patients with previously</w:t>
            </w:r>
            <w:r w:rsidRPr="00EF5805">
              <w:noBreakHyphen/>
              <w:t>treated metastatic colorectal cancer</w:t>
            </w:r>
            <w:bookmarkEnd w:id="0"/>
            <w:r w:rsidRPr="00EF5805">
              <w:t xml:space="preserve"> </w:t>
            </w:r>
            <w:r w:rsidRPr="00EF5805">
              <w:fldChar w:fldCharType="begin"/>
            </w:r>
            <w:r w:rsidRPr="00EF5805">
              <w:instrText xml:space="preserve"> ADDIN EN.CITE &lt;EndNote&gt;&lt;Cite ExcludeYear="1"&gt;&lt;Author&gt;National Institute for Health and Care Excellence&lt;/Author&gt;&lt;RecNum&gt;14&lt;/RecNum&gt;&lt;DisplayText&gt;(8)&lt;/DisplayText&gt;&lt;record&gt;&lt;rec-number&gt;14&lt;/rec-number&gt;&lt;foreign-keys&gt;&lt;key app="EN" db-id="aa59dp9zszxsfjexx92xpet6p0r0zz2ww9wv" timestamp="1689002114"&gt;14&lt;/key&gt;&lt;/foreign-keys&gt;&lt;ref-type name="Journal Article"&gt;17&lt;/ref-type&gt;&lt;contributors&gt;&lt;authors&gt;&lt;author&gt;National Institute for Health and Care Excellence,&lt;/author&gt;&lt;/authors&gt;&lt;/contributors&gt;&lt;titles&gt;&lt;title&gt;Regorafenib for previously treated metastatic colorectal cancer. Technology appraisal guidance [TA866]. Published: 08 February 2023. Available at: https://www.nice.org.uk/guidance/ta866 (Accessed July 2023)&lt;/title&gt;&lt;/titles&gt;&lt;dates&gt;&lt;/dates&gt;&lt;urls&gt;&lt;/urls&gt;&lt;/record&gt;&lt;/Cite&gt;&lt;/EndNote&gt;</w:instrText>
            </w:r>
            <w:r w:rsidRPr="00EF5805">
              <w:fldChar w:fldCharType="separate"/>
            </w:r>
            <w:r w:rsidRPr="00EF5805">
              <w:rPr>
                <w:noProof/>
              </w:rPr>
              <w:t>(</w:t>
            </w:r>
            <w:hyperlink w:anchor="_ENREF_8" w:tooltip="National Institute for Health and Care Excellence,  #14" w:history="1">
              <w:r w:rsidRPr="00EF5805">
                <w:rPr>
                  <w:noProof/>
                </w:rPr>
                <w:t>8</w:t>
              </w:r>
            </w:hyperlink>
            <w:r w:rsidRPr="00EF5805">
              <w:rPr>
                <w:noProof/>
              </w:rPr>
              <w:t>)</w:t>
            </w:r>
            <w:r w:rsidRPr="00EF5805">
              <w:fldChar w:fldCharType="end"/>
            </w:r>
            <w:r w:rsidRPr="00EF5805">
              <w:t>. Regorafenib is positioned similarly to the proposed positioning for tucatinib in combination with trastuzumab in the treatment pathway and is considered a comparator of the intervention. Please include regorafenib as a treatment option in the “Background” section.</w:t>
            </w:r>
          </w:p>
          <w:p w14:paraId="2B092A14" w14:textId="77777777" w:rsidR="00557813" w:rsidRPr="00EF5805" w:rsidRDefault="00557813" w:rsidP="00557813">
            <w:pPr>
              <w:spacing w:before="60" w:after="60"/>
            </w:pPr>
            <w:r w:rsidRPr="00EF5805">
              <w:lastRenderedPageBreak/>
              <w:t>Please note that in section “The technology”, the trial/study information included for tucatinib in combination with trastuzumab is incorrect where it states: “It is being studied in a randomized phase III study in combination with a FOLFOX regimen compared to a FOLFOX regimen alone or in combination with bevacizumab or cetuximab in people with HER2</w:t>
            </w:r>
            <w:r w:rsidRPr="00EF5805">
              <w:noBreakHyphen/>
              <w:t xml:space="preserve">positive metastatic and/or unresectable colorectal cancer that has not been treated in the metastatic stage.” Please amend the wording to instead state that: “It has been </w:t>
            </w:r>
            <w:bookmarkStart w:id="1" w:name="_Hlk141106476"/>
            <w:r w:rsidRPr="00EF5805">
              <w:t xml:space="preserve">evaluated in a Phase 2, open label, investigator sponsored trial (MOUNTAINEER; NCT03043313 </w:t>
            </w:r>
            <w:r w:rsidRPr="00EF5805">
              <w:fldChar w:fldCharType="begin"/>
            </w:r>
            <w:r w:rsidRPr="00EF5805">
              <w:instrText xml:space="preserve"> ADDIN EN.CITE &lt;EndNote&gt;&lt;Cite&gt;&lt;Author&gt;ClinicalTrials.gov&lt;/Author&gt;&lt;Year&gt;2023&lt;/Year&gt;&lt;RecNum&gt;13&lt;/RecNum&gt;&lt;DisplayText&gt;(9)&lt;/DisplayText&gt;&lt;record&gt;&lt;rec-number&gt;13&lt;/rec-number&gt;&lt;foreign-keys&gt;&lt;key app="EN" db-id="aa59dp9zszxsfjexx92xpet6p0r0zz2ww9wv" timestamp="1687881330"&gt;13&lt;/key&gt;&lt;/foreign-keys&gt;&lt;ref-type name="Journal Article"&gt;17&lt;/ref-type&gt;&lt;contributors&gt;&lt;authors&gt;&lt;author&gt;ClinicalTrials.gov,&lt;/author&gt;&lt;/authors&gt;&lt;/contributors&gt;&lt;titles&gt;&lt;title&gt;Tucatinib Plus Trastuzumab in Patients With HER2+ Colorectal Cancer. ClinicalTrials.gov Identifier: NCT03043313. Available at: https://classic.clinicaltrials.gov/ct2/show/NCT03043313 (Accessed June 2023)&lt;/title&gt;&lt;/titles&gt;&lt;dates&gt;&lt;year&gt;2023&lt;/year&gt;&lt;/dates&gt;&lt;urls&gt;&lt;/urls&gt;&lt;/record&gt;&lt;/Cite&gt;&lt;/EndNote&gt;</w:instrText>
            </w:r>
            <w:r w:rsidRPr="00EF5805">
              <w:fldChar w:fldCharType="separate"/>
            </w:r>
            <w:r w:rsidRPr="00EF5805">
              <w:rPr>
                <w:noProof/>
              </w:rPr>
              <w:t>(</w:t>
            </w:r>
            <w:hyperlink w:anchor="_ENREF_9" w:tooltip="ClinicalTrials.gov, 2023 #13" w:history="1">
              <w:r w:rsidRPr="00EF5805">
                <w:rPr>
                  <w:noProof/>
                </w:rPr>
                <w:t>9</w:t>
              </w:r>
            </w:hyperlink>
            <w:r w:rsidRPr="00EF5805">
              <w:rPr>
                <w:noProof/>
              </w:rPr>
              <w:t>)</w:t>
            </w:r>
            <w:r w:rsidRPr="00EF5805">
              <w:fldChar w:fldCharType="end"/>
            </w:r>
            <w:r w:rsidRPr="00EF5805">
              <w:t>) in combination with trastuzumab in patients with HER2-positive metastatic cancer who have received previous treatment</w:t>
            </w:r>
            <w:bookmarkEnd w:id="1"/>
            <w:r w:rsidRPr="00EF5805">
              <w:t>.”</w:t>
            </w:r>
          </w:p>
          <w:p w14:paraId="42598564" w14:textId="199FFF62" w:rsidR="00557813" w:rsidRPr="00EF5805" w:rsidRDefault="00557813" w:rsidP="00557813">
            <w:pPr>
              <w:spacing w:before="60" w:after="60"/>
              <w:rPr>
                <w:bCs/>
                <w:kern w:val="28"/>
              </w:rPr>
            </w:pPr>
            <w:r w:rsidRPr="00EF5805">
              <w:rPr>
                <w:b/>
                <w:bCs/>
              </w:rPr>
              <w:t>Please note:</w:t>
            </w:r>
            <w:r w:rsidRPr="00EF5805">
              <w:t xml:space="preserve"> A Phase 3 study of tucatinib in combination with trastuzumab (MOUNTAINEER</w:t>
            </w:r>
            <w:r w:rsidRPr="00EF5805">
              <w:noBreakHyphen/>
              <w:t xml:space="preserve">03; NCT05253651 </w:t>
            </w:r>
            <w:r w:rsidRPr="00EF5805">
              <w:fldChar w:fldCharType="begin"/>
            </w:r>
            <w:r w:rsidRPr="00EF5805">
              <w:instrText xml:space="preserve"> ADDIN EN.CITE &lt;EndNote&gt;&lt;Cite&gt;&lt;Author&gt;ClinicalTrials.gov&lt;/Author&gt;&lt;Year&gt;2023&lt;/Year&gt;&lt;RecNum&gt;15&lt;/RecNum&gt;&lt;DisplayText&gt;(10)&lt;/DisplayText&gt;&lt;record&gt;&lt;rec-number&gt;15&lt;/rec-number&gt;&lt;foreign-keys&gt;&lt;key app="EN" db-id="aa59dp9zszxsfjexx92xpet6p0r0zz2ww9wv" timestamp="1689002556"&gt;15&lt;/key&gt;&lt;/foreign-keys&gt;&lt;ref-type name="Journal Article"&gt;17&lt;/ref-type&gt;&lt;contributors&gt;&lt;authors&gt;&lt;author&gt;ClinicalTrials.gov,&lt;/author&gt;&lt;/authors&gt;&lt;/contributors&gt;&lt;titles&gt;&lt;title&gt;A Study of Tucatinib With Trastuzumab and mFOLFOX6 Versus Standard of Care Treatment in First-line HER2+ Metastatic Colorectal Cancer (MOUNTAINEER-03). Available at: https://classic.clinicaltrials.gov/ct2/show/NCT05253651 (Accessed July 2023)&lt;/title&gt;&lt;/titles&gt;&lt;dates&gt;&lt;year&gt;2023&lt;/year&gt;&lt;/dates&gt;&lt;urls&gt;&lt;/urls&gt;&lt;/record&gt;&lt;/Cite&gt;&lt;/EndNote&gt;</w:instrText>
            </w:r>
            <w:r w:rsidRPr="00EF5805">
              <w:fldChar w:fldCharType="separate"/>
            </w:r>
            <w:r w:rsidRPr="00EF5805">
              <w:rPr>
                <w:noProof/>
              </w:rPr>
              <w:t>(</w:t>
            </w:r>
            <w:hyperlink w:anchor="_ENREF_10" w:tooltip="ClinicalTrials.gov, 2023 #15" w:history="1">
              <w:r w:rsidRPr="00EF5805">
                <w:rPr>
                  <w:noProof/>
                </w:rPr>
                <w:t>10</w:t>
              </w:r>
            </w:hyperlink>
            <w:r w:rsidRPr="00EF5805">
              <w:rPr>
                <w:noProof/>
              </w:rPr>
              <w:t>)</w:t>
            </w:r>
            <w:r w:rsidRPr="00EF5805">
              <w:fldChar w:fldCharType="end"/>
            </w:r>
            <w:r w:rsidRPr="00EF5805">
              <w:t>) is ongoing. However, as this trial investigates the use of tucatinib in combination with trastuzumab and mFOLFOX6, and in a different patient population to that of the Phase 2 MOUNTAINEER trial, MOUNTAINEER</w:t>
            </w:r>
            <w:r w:rsidRPr="00EF5805">
              <w:noBreakHyphen/>
              <w:t>03 is not considered relevant to the decision problem.</w:t>
            </w:r>
          </w:p>
        </w:tc>
        <w:tc>
          <w:tcPr>
            <w:tcW w:w="2584" w:type="dxa"/>
            <w:tcBorders>
              <w:top w:val="single" w:sz="12" w:space="0" w:color="auto"/>
            </w:tcBorders>
          </w:tcPr>
          <w:p w14:paraId="7F5F2D9C" w14:textId="668FB569" w:rsidR="00557813" w:rsidRPr="00EF5805" w:rsidRDefault="00BF4557" w:rsidP="00557813">
            <w:pPr>
              <w:pStyle w:val="Title"/>
              <w:jc w:val="left"/>
              <w:rPr>
                <w:b w:val="0"/>
                <w:sz w:val="22"/>
                <w:szCs w:val="22"/>
              </w:rPr>
            </w:pPr>
            <w:r>
              <w:rPr>
                <w:b w:val="0"/>
                <w:sz w:val="22"/>
                <w:szCs w:val="22"/>
              </w:rPr>
              <w:lastRenderedPageBreak/>
              <w:t xml:space="preserve">Thank you for your comment. TA866 has been added to the background section and the trial information has </w:t>
            </w:r>
            <w:r>
              <w:rPr>
                <w:b w:val="0"/>
                <w:sz w:val="22"/>
                <w:szCs w:val="22"/>
              </w:rPr>
              <w:lastRenderedPageBreak/>
              <w:t xml:space="preserve">been updated accordingly. </w:t>
            </w:r>
          </w:p>
        </w:tc>
      </w:tr>
      <w:tr w:rsidR="00CE2F90" w:rsidRPr="00EF5805" w14:paraId="0178D6F3" w14:textId="77777777" w:rsidTr="005B0206">
        <w:tc>
          <w:tcPr>
            <w:tcW w:w="1951" w:type="dxa"/>
            <w:vMerge/>
          </w:tcPr>
          <w:p w14:paraId="33319F3C" w14:textId="77777777" w:rsidR="00CE2F90" w:rsidRPr="00EF5805" w:rsidRDefault="00CE2F90" w:rsidP="00CE2F90">
            <w:pPr>
              <w:pStyle w:val="Title"/>
              <w:jc w:val="left"/>
              <w:rPr>
                <w:b w:val="0"/>
                <w:sz w:val="22"/>
                <w:szCs w:val="22"/>
              </w:rPr>
            </w:pPr>
          </w:p>
        </w:tc>
        <w:tc>
          <w:tcPr>
            <w:tcW w:w="1843" w:type="dxa"/>
          </w:tcPr>
          <w:p w14:paraId="11B688E2" w14:textId="00774DF5" w:rsidR="00CE2F90" w:rsidRPr="00EF5805" w:rsidRDefault="00CE2F90" w:rsidP="00CE2F90">
            <w:pPr>
              <w:pStyle w:val="Title"/>
              <w:jc w:val="left"/>
              <w:rPr>
                <w:b w:val="0"/>
                <w:sz w:val="22"/>
                <w:szCs w:val="22"/>
              </w:rPr>
            </w:pPr>
            <w:r w:rsidRPr="00EF5805">
              <w:rPr>
                <w:b w:val="0"/>
                <w:sz w:val="22"/>
                <w:szCs w:val="22"/>
              </w:rPr>
              <w:t>Bower cancer UK</w:t>
            </w:r>
          </w:p>
        </w:tc>
        <w:tc>
          <w:tcPr>
            <w:tcW w:w="7796" w:type="dxa"/>
          </w:tcPr>
          <w:p w14:paraId="22ADFB0A" w14:textId="163F4F44" w:rsidR="00CE2F90" w:rsidRPr="00EF5805" w:rsidRDefault="00CE2F90" w:rsidP="00CE2F90">
            <w:pPr>
              <w:spacing w:before="60" w:after="60"/>
              <w:rPr>
                <w:bCs/>
                <w:kern w:val="28"/>
              </w:rPr>
            </w:pPr>
            <w:r w:rsidRPr="00EF5805">
              <w:t>Furthermore, the background information would also be more complete if it considered available trial data to inform of the clinical and cost effectiveness of comparator treatments for this indication and the treatment under evaluation in more detail. For example, factors effecting quality of life such as the range and incidence of side effects, and a comparison of progression-free survival statistics.</w:t>
            </w:r>
          </w:p>
        </w:tc>
        <w:tc>
          <w:tcPr>
            <w:tcW w:w="2584" w:type="dxa"/>
          </w:tcPr>
          <w:p w14:paraId="078481EB" w14:textId="34D4B864" w:rsidR="00CE2F90" w:rsidRPr="00EF5805" w:rsidRDefault="006E1170" w:rsidP="00CE2F90">
            <w:pPr>
              <w:pStyle w:val="Title"/>
              <w:jc w:val="left"/>
              <w:rPr>
                <w:b w:val="0"/>
                <w:sz w:val="22"/>
                <w:szCs w:val="22"/>
              </w:rPr>
            </w:pPr>
            <w:r>
              <w:rPr>
                <w:b w:val="0"/>
                <w:sz w:val="22"/>
                <w:szCs w:val="22"/>
              </w:rPr>
              <w:t xml:space="preserve">Thank you for your comment. The background section is intended to give a brief overview of the disease area and not </w:t>
            </w:r>
            <w:r w:rsidR="00BF4557">
              <w:rPr>
                <w:b w:val="0"/>
                <w:sz w:val="22"/>
                <w:szCs w:val="22"/>
              </w:rPr>
              <w:t>explore the clinical/cost effectiveness of comparator treatments, which will be explored later on in the appraisal process.</w:t>
            </w:r>
          </w:p>
        </w:tc>
      </w:tr>
      <w:tr w:rsidR="00CE2F90" w:rsidRPr="00EF5805" w14:paraId="77247CC3" w14:textId="77777777" w:rsidTr="005B0206">
        <w:tc>
          <w:tcPr>
            <w:tcW w:w="1951" w:type="dxa"/>
            <w:vMerge/>
          </w:tcPr>
          <w:p w14:paraId="13DAD773" w14:textId="77777777" w:rsidR="00CE2F90" w:rsidRPr="00EF5805" w:rsidRDefault="00CE2F90" w:rsidP="00CE2F90">
            <w:pPr>
              <w:pStyle w:val="Title"/>
              <w:jc w:val="left"/>
              <w:rPr>
                <w:b w:val="0"/>
                <w:sz w:val="22"/>
                <w:szCs w:val="22"/>
              </w:rPr>
            </w:pPr>
          </w:p>
        </w:tc>
        <w:tc>
          <w:tcPr>
            <w:tcW w:w="1843" w:type="dxa"/>
          </w:tcPr>
          <w:p w14:paraId="4D880439" w14:textId="77777777" w:rsidR="00CE2F90" w:rsidRPr="00EF5805" w:rsidRDefault="00CE2F90" w:rsidP="00CE2F90">
            <w:pPr>
              <w:pStyle w:val="Title"/>
              <w:jc w:val="left"/>
              <w:rPr>
                <w:b w:val="0"/>
                <w:sz w:val="22"/>
                <w:szCs w:val="22"/>
              </w:rPr>
            </w:pPr>
          </w:p>
        </w:tc>
        <w:tc>
          <w:tcPr>
            <w:tcW w:w="7796" w:type="dxa"/>
          </w:tcPr>
          <w:p w14:paraId="7616D732" w14:textId="77777777" w:rsidR="00CE2F90" w:rsidRPr="00EF5805" w:rsidRDefault="00CE2F90" w:rsidP="00CE2F90">
            <w:pPr>
              <w:spacing w:before="60" w:after="60"/>
              <w:rPr>
                <w:bCs/>
                <w:kern w:val="28"/>
              </w:rPr>
            </w:pPr>
          </w:p>
        </w:tc>
        <w:tc>
          <w:tcPr>
            <w:tcW w:w="2584" w:type="dxa"/>
          </w:tcPr>
          <w:p w14:paraId="654A86DB" w14:textId="77777777" w:rsidR="00CE2F90" w:rsidRPr="00EF5805" w:rsidRDefault="00CE2F90" w:rsidP="00CE2F90">
            <w:pPr>
              <w:pStyle w:val="Title"/>
              <w:jc w:val="left"/>
              <w:rPr>
                <w:b w:val="0"/>
                <w:sz w:val="22"/>
                <w:szCs w:val="22"/>
              </w:rPr>
            </w:pPr>
          </w:p>
        </w:tc>
      </w:tr>
      <w:tr w:rsidR="00CE2F90" w:rsidRPr="00EF5805" w14:paraId="08219CAF" w14:textId="77777777" w:rsidTr="005B0206">
        <w:tc>
          <w:tcPr>
            <w:tcW w:w="1951" w:type="dxa"/>
            <w:vMerge/>
          </w:tcPr>
          <w:p w14:paraId="4DD332AF" w14:textId="77777777" w:rsidR="00CE2F90" w:rsidRPr="00EF5805" w:rsidRDefault="00CE2F90" w:rsidP="00CE2F90">
            <w:pPr>
              <w:pStyle w:val="Title"/>
              <w:jc w:val="left"/>
              <w:rPr>
                <w:b w:val="0"/>
                <w:sz w:val="22"/>
                <w:szCs w:val="22"/>
              </w:rPr>
            </w:pPr>
          </w:p>
        </w:tc>
        <w:tc>
          <w:tcPr>
            <w:tcW w:w="1843" w:type="dxa"/>
          </w:tcPr>
          <w:p w14:paraId="3A4C4881" w14:textId="77777777" w:rsidR="00CE2F90" w:rsidRPr="00EF5805" w:rsidRDefault="00CE2F90" w:rsidP="00CE2F90">
            <w:pPr>
              <w:pStyle w:val="Title"/>
              <w:jc w:val="left"/>
              <w:rPr>
                <w:b w:val="0"/>
                <w:sz w:val="22"/>
                <w:szCs w:val="22"/>
              </w:rPr>
            </w:pPr>
          </w:p>
        </w:tc>
        <w:tc>
          <w:tcPr>
            <w:tcW w:w="7796" w:type="dxa"/>
          </w:tcPr>
          <w:p w14:paraId="1B864A0B" w14:textId="77777777" w:rsidR="00CE2F90" w:rsidRPr="00EF5805" w:rsidRDefault="00CE2F90" w:rsidP="00CE2F90">
            <w:pPr>
              <w:spacing w:before="60" w:after="60"/>
              <w:rPr>
                <w:bCs/>
                <w:kern w:val="28"/>
              </w:rPr>
            </w:pPr>
          </w:p>
        </w:tc>
        <w:tc>
          <w:tcPr>
            <w:tcW w:w="2584" w:type="dxa"/>
          </w:tcPr>
          <w:p w14:paraId="09D33EEC" w14:textId="77777777" w:rsidR="00CE2F90" w:rsidRPr="00EF5805" w:rsidRDefault="00CE2F90" w:rsidP="00CE2F90">
            <w:pPr>
              <w:pStyle w:val="Title"/>
              <w:jc w:val="left"/>
              <w:rPr>
                <w:b w:val="0"/>
                <w:sz w:val="22"/>
                <w:szCs w:val="22"/>
              </w:rPr>
            </w:pPr>
          </w:p>
        </w:tc>
      </w:tr>
      <w:tr w:rsidR="00CE2F90" w:rsidRPr="00EF5805" w14:paraId="315DAE2B" w14:textId="77777777" w:rsidTr="005B0206">
        <w:tc>
          <w:tcPr>
            <w:tcW w:w="1951" w:type="dxa"/>
            <w:vMerge/>
          </w:tcPr>
          <w:p w14:paraId="0C849ADA" w14:textId="77777777" w:rsidR="00CE2F90" w:rsidRPr="00EF5805" w:rsidRDefault="00CE2F90" w:rsidP="00CE2F90">
            <w:pPr>
              <w:pStyle w:val="Title"/>
              <w:jc w:val="left"/>
              <w:rPr>
                <w:b w:val="0"/>
                <w:sz w:val="22"/>
                <w:szCs w:val="22"/>
              </w:rPr>
            </w:pPr>
          </w:p>
        </w:tc>
        <w:tc>
          <w:tcPr>
            <w:tcW w:w="1843" w:type="dxa"/>
          </w:tcPr>
          <w:p w14:paraId="5635564A" w14:textId="77777777" w:rsidR="00CE2F90" w:rsidRPr="00EF5805" w:rsidRDefault="00CE2F90" w:rsidP="00CE2F90">
            <w:pPr>
              <w:pStyle w:val="Title"/>
              <w:jc w:val="left"/>
              <w:rPr>
                <w:b w:val="0"/>
                <w:sz w:val="22"/>
                <w:szCs w:val="22"/>
              </w:rPr>
            </w:pPr>
          </w:p>
        </w:tc>
        <w:tc>
          <w:tcPr>
            <w:tcW w:w="7796" w:type="dxa"/>
          </w:tcPr>
          <w:p w14:paraId="573C3E75" w14:textId="77777777" w:rsidR="00CE2F90" w:rsidRPr="00EF5805" w:rsidRDefault="00CE2F90" w:rsidP="00CE2F90">
            <w:pPr>
              <w:pStyle w:val="Title"/>
              <w:jc w:val="left"/>
              <w:rPr>
                <w:b w:val="0"/>
                <w:sz w:val="22"/>
                <w:szCs w:val="22"/>
              </w:rPr>
            </w:pPr>
          </w:p>
        </w:tc>
        <w:tc>
          <w:tcPr>
            <w:tcW w:w="2584" w:type="dxa"/>
          </w:tcPr>
          <w:p w14:paraId="3D34E5B9" w14:textId="77777777" w:rsidR="00CE2F90" w:rsidRPr="00EF5805" w:rsidRDefault="00CE2F90" w:rsidP="00CE2F90">
            <w:pPr>
              <w:pStyle w:val="Title"/>
              <w:jc w:val="left"/>
              <w:rPr>
                <w:b w:val="0"/>
                <w:sz w:val="22"/>
                <w:szCs w:val="22"/>
              </w:rPr>
            </w:pPr>
          </w:p>
        </w:tc>
      </w:tr>
      <w:tr w:rsidR="00CE2F90" w:rsidRPr="00EF5805" w14:paraId="12ED5D54" w14:textId="77777777" w:rsidTr="005B0206">
        <w:trPr>
          <w:trHeight w:val="527"/>
        </w:trPr>
        <w:tc>
          <w:tcPr>
            <w:tcW w:w="1951" w:type="dxa"/>
            <w:vMerge w:val="restart"/>
            <w:tcBorders>
              <w:top w:val="single" w:sz="12" w:space="0" w:color="auto"/>
            </w:tcBorders>
          </w:tcPr>
          <w:p w14:paraId="71EF77CB" w14:textId="77777777" w:rsidR="00CE2F90" w:rsidRPr="00EF5805" w:rsidRDefault="00CE2F90" w:rsidP="00CE2F90">
            <w:pPr>
              <w:pStyle w:val="Title"/>
              <w:jc w:val="left"/>
              <w:rPr>
                <w:b w:val="0"/>
                <w:sz w:val="22"/>
                <w:szCs w:val="22"/>
              </w:rPr>
            </w:pPr>
            <w:r w:rsidRPr="00EF5805">
              <w:rPr>
                <w:b w:val="0"/>
                <w:sz w:val="22"/>
                <w:szCs w:val="22"/>
              </w:rPr>
              <w:t>Population</w:t>
            </w:r>
          </w:p>
        </w:tc>
        <w:tc>
          <w:tcPr>
            <w:tcW w:w="1843" w:type="dxa"/>
            <w:tcBorders>
              <w:top w:val="single" w:sz="12" w:space="0" w:color="auto"/>
            </w:tcBorders>
          </w:tcPr>
          <w:p w14:paraId="0AD38E3A" w14:textId="7D4603F5" w:rsidR="00CE2F90" w:rsidRPr="00EF5805" w:rsidRDefault="00CE2F90" w:rsidP="00CE2F90">
            <w:pPr>
              <w:pStyle w:val="Title"/>
              <w:jc w:val="left"/>
              <w:rPr>
                <w:b w:val="0"/>
                <w:sz w:val="22"/>
                <w:szCs w:val="22"/>
              </w:rPr>
            </w:pPr>
            <w:r w:rsidRPr="00EF5805">
              <w:rPr>
                <w:b w:val="0"/>
                <w:sz w:val="22"/>
                <w:szCs w:val="22"/>
              </w:rPr>
              <w:t>Seagen</w:t>
            </w:r>
          </w:p>
        </w:tc>
        <w:tc>
          <w:tcPr>
            <w:tcW w:w="7796" w:type="dxa"/>
            <w:tcBorders>
              <w:top w:val="single" w:sz="12" w:space="0" w:color="auto"/>
            </w:tcBorders>
          </w:tcPr>
          <w:p w14:paraId="7103F4B3" w14:textId="573A7278" w:rsidR="00CE2F90" w:rsidRPr="00EF5805" w:rsidRDefault="00CE2F90" w:rsidP="00CE2F90">
            <w:pPr>
              <w:pStyle w:val="Title"/>
              <w:jc w:val="left"/>
              <w:rPr>
                <w:bCs w:val="0"/>
                <w:sz w:val="22"/>
                <w:szCs w:val="22"/>
              </w:rPr>
            </w:pPr>
            <w:r w:rsidRPr="00EF5805">
              <w:rPr>
                <w:b w:val="0"/>
                <w:bCs w:val="0"/>
                <w:sz w:val="22"/>
                <w:szCs w:val="22"/>
              </w:rPr>
              <w:t xml:space="preserve">Tucatinib in combination with trastuzumab is intended for patients with unresectable or metastatic colorectal cancer, whereas the draft scope states the broader colorectal cancer population. Please amend the population wording to incorporate the following text: </w:t>
            </w:r>
            <w:r w:rsidR="00640AFE" w:rsidRPr="00640AFE">
              <w:rPr>
                <w:highlight w:val="black"/>
                <w:u w:val="single"/>
              </w:rPr>
              <w:t>*************************************************************************************************************************************</w:t>
            </w:r>
          </w:p>
        </w:tc>
        <w:tc>
          <w:tcPr>
            <w:tcW w:w="2584" w:type="dxa"/>
            <w:tcBorders>
              <w:top w:val="single" w:sz="12" w:space="0" w:color="auto"/>
            </w:tcBorders>
          </w:tcPr>
          <w:p w14:paraId="3FCF689E" w14:textId="5D7A5D45" w:rsidR="00CE2F90" w:rsidRPr="00EF5805" w:rsidRDefault="003C3102" w:rsidP="00CE2F90">
            <w:pPr>
              <w:pStyle w:val="Title"/>
              <w:jc w:val="left"/>
              <w:rPr>
                <w:b w:val="0"/>
                <w:sz w:val="22"/>
                <w:szCs w:val="22"/>
              </w:rPr>
            </w:pPr>
            <w:r>
              <w:rPr>
                <w:b w:val="0"/>
                <w:sz w:val="22"/>
                <w:szCs w:val="22"/>
              </w:rPr>
              <w:t>Thank you for your comment. The population in the scope has been updated to be specific to people with unresectable or metastatic disease.</w:t>
            </w:r>
          </w:p>
        </w:tc>
      </w:tr>
      <w:tr w:rsidR="00CE2F90" w:rsidRPr="00EF5805" w14:paraId="2CCE3EE4" w14:textId="77777777" w:rsidTr="005B0206">
        <w:tc>
          <w:tcPr>
            <w:tcW w:w="1951" w:type="dxa"/>
            <w:vMerge/>
          </w:tcPr>
          <w:p w14:paraId="37221085" w14:textId="77777777" w:rsidR="00CE2F90" w:rsidRPr="00EF5805" w:rsidRDefault="00CE2F90" w:rsidP="00CE2F90">
            <w:pPr>
              <w:pStyle w:val="Title"/>
              <w:jc w:val="left"/>
              <w:rPr>
                <w:b w:val="0"/>
                <w:sz w:val="22"/>
                <w:szCs w:val="22"/>
              </w:rPr>
            </w:pPr>
          </w:p>
        </w:tc>
        <w:tc>
          <w:tcPr>
            <w:tcW w:w="1843" w:type="dxa"/>
          </w:tcPr>
          <w:p w14:paraId="30E09037" w14:textId="4383AF78" w:rsidR="00CE2F90" w:rsidRPr="00EF5805" w:rsidRDefault="00CE2F90" w:rsidP="00CE2F90">
            <w:pPr>
              <w:pStyle w:val="Title"/>
              <w:jc w:val="left"/>
              <w:rPr>
                <w:b w:val="0"/>
                <w:sz w:val="22"/>
                <w:szCs w:val="22"/>
              </w:rPr>
            </w:pPr>
            <w:r w:rsidRPr="00EF5805">
              <w:rPr>
                <w:b w:val="0"/>
                <w:sz w:val="22"/>
                <w:szCs w:val="22"/>
              </w:rPr>
              <w:t>Bower cancer UK</w:t>
            </w:r>
          </w:p>
        </w:tc>
        <w:tc>
          <w:tcPr>
            <w:tcW w:w="7796" w:type="dxa"/>
          </w:tcPr>
          <w:p w14:paraId="320955EA" w14:textId="37119143" w:rsidR="00CE2F90" w:rsidRPr="00EF5805" w:rsidRDefault="00CE2F90" w:rsidP="00CE2F90">
            <w:pPr>
              <w:pStyle w:val="Title"/>
              <w:jc w:val="left"/>
              <w:rPr>
                <w:b w:val="0"/>
                <w:sz w:val="22"/>
                <w:szCs w:val="22"/>
              </w:rPr>
            </w:pPr>
            <w:r w:rsidRPr="00EF5805">
              <w:rPr>
                <w:b w:val="0"/>
                <w:sz w:val="22"/>
                <w:szCs w:val="22"/>
              </w:rPr>
              <w:t>yes</w:t>
            </w:r>
          </w:p>
        </w:tc>
        <w:tc>
          <w:tcPr>
            <w:tcW w:w="2584" w:type="dxa"/>
          </w:tcPr>
          <w:p w14:paraId="2B31B3DF" w14:textId="212C51F9" w:rsidR="00CE2F90" w:rsidRPr="00EF5805" w:rsidRDefault="00EE4667" w:rsidP="00CE2F90">
            <w:pPr>
              <w:pStyle w:val="Title"/>
              <w:jc w:val="left"/>
              <w:rPr>
                <w:b w:val="0"/>
                <w:sz w:val="22"/>
                <w:szCs w:val="22"/>
              </w:rPr>
            </w:pPr>
            <w:r>
              <w:rPr>
                <w:b w:val="0"/>
                <w:sz w:val="22"/>
                <w:szCs w:val="22"/>
              </w:rPr>
              <w:t>Thank you for your comment. No further action needed.</w:t>
            </w:r>
          </w:p>
        </w:tc>
      </w:tr>
      <w:tr w:rsidR="00CE2F90" w:rsidRPr="00EF5805" w14:paraId="531D0F03" w14:textId="77777777" w:rsidTr="005B0206">
        <w:tc>
          <w:tcPr>
            <w:tcW w:w="1951" w:type="dxa"/>
            <w:vMerge/>
          </w:tcPr>
          <w:p w14:paraId="7F4F723D" w14:textId="77777777" w:rsidR="00CE2F90" w:rsidRPr="00EF5805" w:rsidRDefault="00CE2F90" w:rsidP="00CE2F90">
            <w:pPr>
              <w:pStyle w:val="Title"/>
              <w:jc w:val="left"/>
              <w:rPr>
                <w:b w:val="0"/>
                <w:sz w:val="22"/>
                <w:szCs w:val="22"/>
              </w:rPr>
            </w:pPr>
          </w:p>
        </w:tc>
        <w:tc>
          <w:tcPr>
            <w:tcW w:w="1843" w:type="dxa"/>
          </w:tcPr>
          <w:p w14:paraId="25DE7DF5" w14:textId="77777777" w:rsidR="00CE2F90" w:rsidRPr="00EF5805" w:rsidRDefault="00CE2F90" w:rsidP="00CE2F90">
            <w:pPr>
              <w:pStyle w:val="Title"/>
              <w:jc w:val="left"/>
              <w:rPr>
                <w:b w:val="0"/>
                <w:sz w:val="22"/>
                <w:szCs w:val="22"/>
              </w:rPr>
            </w:pPr>
          </w:p>
        </w:tc>
        <w:tc>
          <w:tcPr>
            <w:tcW w:w="7796" w:type="dxa"/>
          </w:tcPr>
          <w:p w14:paraId="6392D3C7" w14:textId="77777777" w:rsidR="00CE2F90" w:rsidRPr="00EF5805" w:rsidRDefault="00CE2F90" w:rsidP="00CE2F90">
            <w:pPr>
              <w:pStyle w:val="Title"/>
              <w:jc w:val="left"/>
              <w:rPr>
                <w:b w:val="0"/>
                <w:sz w:val="22"/>
                <w:szCs w:val="22"/>
              </w:rPr>
            </w:pPr>
          </w:p>
        </w:tc>
        <w:tc>
          <w:tcPr>
            <w:tcW w:w="2584" w:type="dxa"/>
          </w:tcPr>
          <w:p w14:paraId="12D366D7" w14:textId="77777777" w:rsidR="00CE2F90" w:rsidRPr="00EF5805" w:rsidRDefault="00CE2F90" w:rsidP="00CE2F90">
            <w:pPr>
              <w:pStyle w:val="Title"/>
              <w:jc w:val="left"/>
              <w:rPr>
                <w:b w:val="0"/>
                <w:sz w:val="22"/>
                <w:szCs w:val="22"/>
              </w:rPr>
            </w:pPr>
          </w:p>
        </w:tc>
      </w:tr>
      <w:tr w:rsidR="00CE2F90" w:rsidRPr="00EF5805" w14:paraId="70FD2F43" w14:textId="77777777" w:rsidTr="005B0206">
        <w:tc>
          <w:tcPr>
            <w:tcW w:w="1951" w:type="dxa"/>
            <w:vMerge/>
          </w:tcPr>
          <w:p w14:paraId="1CD5B5D1" w14:textId="77777777" w:rsidR="00CE2F90" w:rsidRPr="00EF5805" w:rsidRDefault="00CE2F90" w:rsidP="00CE2F90">
            <w:pPr>
              <w:pStyle w:val="Title"/>
              <w:jc w:val="left"/>
              <w:rPr>
                <w:b w:val="0"/>
                <w:sz w:val="22"/>
                <w:szCs w:val="22"/>
              </w:rPr>
            </w:pPr>
          </w:p>
        </w:tc>
        <w:tc>
          <w:tcPr>
            <w:tcW w:w="1843" w:type="dxa"/>
          </w:tcPr>
          <w:p w14:paraId="4DACD097" w14:textId="77777777" w:rsidR="00CE2F90" w:rsidRPr="00EF5805" w:rsidRDefault="00CE2F90" w:rsidP="00CE2F90">
            <w:pPr>
              <w:pStyle w:val="Title"/>
              <w:jc w:val="left"/>
              <w:rPr>
                <w:b w:val="0"/>
                <w:sz w:val="22"/>
                <w:szCs w:val="22"/>
              </w:rPr>
            </w:pPr>
          </w:p>
        </w:tc>
        <w:tc>
          <w:tcPr>
            <w:tcW w:w="7796" w:type="dxa"/>
          </w:tcPr>
          <w:p w14:paraId="79CB1D80" w14:textId="77777777" w:rsidR="00CE2F90" w:rsidRPr="00EF5805" w:rsidRDefault="00CE2F90" w:rsidP="00CE2F90">
            <w:pPr>
              <w:pStyle w:val="Title"/>
              <w:jc w:val="left"/>
              <w:rPr>
                <w:b w:val="0"/>
                <w:sz w:val="22"/>
                <w:szCs w:val="22"/>
              </w:rPr>
            </w:pPr>
          </w:p>
        </w:tc>
        <w:tc>
          <w:tcPr>
            <w:tcW w:w="2584" w:type="dxa"/>
          </w:tcPr>
          <w:p w14:paraId="00379FE1" w14:textId="77777777" w:rsidR="00CE2F90" w:rsidRPr="00EF5805" w:rsidRDefault="00CE2F90" w:rsidP="00CE2F90">
            <w:pPr>
              <w:pStyle w:val="Title"/>
              <w:jc w:val="left"/>
              <w:rPr>
                <w:b w:val="0"/>
                <w:sz w:val="22"/>
                <w:szCs w:val="22"/>
              </w:rPr>
            </w:pPr>
          </w:p>
        </w:tc>
      </w:tr>
      <w:tr w:rsidR="00CE2F90" w:rsidRPr="00EF5805" w14:paraId="34E5F18C" w14:textId="77777777" w:rsidTr="005B0206">
        <w:tc>
          <w:tcPr>
            <w:tcW w:w="1951" w:type="dxa"/>
            <w:vMerge/>
            <w:tcBorders>
              <w:bottom w:val="single" w:sz="12" w:space="0" w:color="auto"/>
            </w:tcBorders>
          </w:tcPr>
          <w:p w14:paraId="3C0B03D8" w14:textId="77777777" w:rsidR="00CE2F90" w:rsidRPr="00EF5805" w:rsidRDefault="00CE2F90" w:rsidP="00CE2F90">
            <w:pPr>
              <w:pStyle w:val="Title"/>
              <w:jc w:val="left"/>
              <w:rPr>
                <w:b w:val="0"/>
                <w:sz w:val="22"/>
                <w:szCs w:val="22"/>
              </w:rPr>
            </w:pPr>
          </w:p>
        </w:tc>
        <w:tc>
          <w:tcPr>
            <w:tcW w:w="1843" w:type="dxa"/>
            <w:tcBorders>
              <w:bottom w:val="single" w:sz="12" w:space="0" w:color="auto"/>
            </w:tcBorders>
          </w:tcPr>
          <w:p w14:paraId="0D9F49EB" w14:textId="77777777" w:rsidR="00CE2F90" w:rsidRPr="00EF5805" w:rsidRDefault="00CE2F90" w:rsidP="00CE2F90">
            <w:pPr>
              <w:pStyle w:val="Title"/>
              <w:jc w:val="left"/>
              <w:rPr>
                <w:b w:val="0"/>
                <w:sz w:val="22"/>
                <w:szCs w:val="22"/>
              </w:rPr>
            </w:pPr>
          </w:p>
        </w:tc>
        <w:tc>
          <w:tcPr>
            <w:tcW w:w="7796" w:type="dxa"/>
            <w:tcBorders>
              <w:bottom w:val="single" w:sz="12" w:space="0" w:color="auto"/>
            </w:tcBorders>
          </w:tcPr>
          <w:p w14:paraId="32E364AF" w14:textId="77777777" w:rsidR="00CE2F90" w:rsidRPr="00EF5805" w:rsidRDefault="00CE2F90" w:rsidP="00CE2F90">
            <w:pPr>
              <w:pStyle w:val="Title"/>
              <w:jc w:val="left"/>
              <w:rPr>
                <w:b w:val="0"/>
                <w:sz w:val="22"/>
                <w:szCs w:val="22"/>
              </w:rPr>
            </w:pPr>
          </w:p>
        </w:tc>
        <w:tc>
          <w:tcPr>
            <w:tcW w:w="2584" w:type="dxa"/>
            <w:tcBorders>
              <w:bottom w:val="single" w:sz="12" w:space="0" w:color="auto"/>
            </w:tcBorders>
          </w:tcPr>
          <w:p w14:paraId="589A5CC6" w14:textId="77777777" w:rsidR="00CE2F90" w:rsidRPr="00EF5805" w:rsidRDefault="00CE2F90" w:rsidP="00CE2F90">
            <w:pPr>
              <w:pStyle w:val="Title"/>
              <w:jc w:val="left"/>
              <w:rPr>
                <w:b w:val="0"/>
                <w:sz w:val="22"/>
                <w:szCs w:val="22"/>
              </w:rPr>
            </w:pPr>
          </w:p>
        </w:tc>
      </w:tr>
      <w:tr w:rsidR="00CE2F90" w:rsidRPr="00EF5805" w14:paraId="10097F99" w14:textId="77777777" w:rsidTr="005B0206">
        <w:tc>
          <w:tcPr>
            <w:tcW w:w="1951" w:type="dxa"/>
            <w:vMerge w:val="restart"/>
            <w:tcBorders>
              <w:top w:val="single" w:sz="12" w:space="0" w:color="auto"/>
            </w:tcBorders>
          </w:tcPr>
          <w:p w14:paraId="747044A0" w14:textId="77777777" w:rsidR="00CE2F90" w:rsidRPr="00EF5805" w:rsidRDefault="00CE2F90" w:rsidP="00CE2F90">
            <w:pPr>
              <w:pStyle w:val="Title"/>
              <w:jc w:val="left"/>
              <w:rPr>
                <w:b w:val="0"/>
                <w:sz w:val="22"/>
                <w:szCs w:val="22"/>
              </w:rPr>
            </w:pPr>
            <w:r w:rsidRPr="00EF5805">
              <w:rPr>
                <w:b w:val="0"/>
                <w:sz w:val="22"/>
                <w:szCs w:val="22"/>
              </w:rPr>
              <w:t>Subgroups</w:t>
            </w:r>
          </w:p>
        </w:tc>
        <w:tc>
          <w:tcPr>
            <w:tcW w:w="1843" w:type="dxa"/>
            <w:tcBorders>
              <w:top w:val="single" w:sz="12" w:space="0" w:color="auto"/>
            </w:tcBorders>
          </w:tcPr>
          <w:p w14:paraId="120593E1" w14:textId="33F29ABA" w:rsidR="00CE2F90" w:rsidRPr="00EF5805" w:rsidRDefault="00CE2F90" w:rsidP="00CE2F90">
            <w:pPr>
              <w:pStyle w:val="Title"/>
              <w:jc w:val="left"/>
              <w:rPr>
                <w:b w:val="0"/>
                <w:sz w:val="22"/>
                <w:szCs w:val="22"/>
              </w:rPr>
            </w:pPr>
            <w:r w:rsidRPr="00EF5805">
              <w:rPr>
                <w:b w:val="0"/>
                <w:sz w:val="22"/>
                <w:szCs w:val="22"/>
              </w:rPr>
              <w:t>Seagen</w:t>
            </w:r>
          </w:p>
        </w:tc>
        <w:tc>
          <w:tcPr>
            <w:tcW w:w="7796" w:type="dxa"/>
            <w:tcBorders>
              <w:top w:val="single" w:sz="12" w:space="0" w:color="auto"/>
            </w:tcBorders>
          </w:tcPr>
          <w:p w14:paraId="7B06EBFC" w14:textId="1C7D052F" w:rsidR="00CE2F90" w:rsidRPr="00EF5805" w:rsidRDefault="00CE2F90" w:rsidP="00CE2F90">
            <w:pPr>
              <w:spacing w:before="60" w:after="60"/>
              <w:rPr>
                <w:b/>
              </w:rPr>
            </w:pPr>
            <w:r w:rsidRPr="00EF5805">
              <w:t>There are no subgroups that should be considered separately.</w:t>
            </w:r>
          </w:p>
        </w:tc>
        <w:tc>
          <w:tcPr>
            <w:tcW w:w="2584" w:type="dxa"/>
            <w:tcBorders>
              <w:top w:val="single" w:sz="12" w:space="0" w:color="auto"/>
            </w:tcBorders>
          </w:tcPr>
          <w:p w14:paraId="53982D2A" w14:textId="3C51895C" w:rsidR="00CE2F90" w:rsidRPr="00EF5805" w:rsidRDefault="00EE4667" w:rsidP="00CE2F90">
            <w:pPr>
              <w:pStyle w:val="Title"/>
              <w:jc w:val="left"/>
              <w:rPr>
                <w:b w:val="0"/>
                <w:sz w:val="22"/>
                <w:szCs w:val="22"/>
              </w:rPr>
            </w:pPr>
            <w:r>
              <w:rPr>
                <w:b w:val="0"/>
                <w:sz w:val="22"/>
                <w:szCs w:val="22"/>
              </w:rPr>
              <w:t>Thank you for your comment. No further action needed.</w:t>
            </w:r>
          </w:p>
        </w:tc>
      </w:tr>
      <w:tr w:rsidR="00CE2F90" w:rsidRPr="00EF5805" w14:paraId="64BB485A" w14:textId="77777777" w:rsidTr="005B0206">
        <w:tc>
          <w:tcPr>
            <w:tcW w:w="1951" w:type="dxa"/>
            <w:vMerge/>
          </w:tcPr>
          <w:p w14:paraId="5770D42B" w14:textId="77777777" w:rsidR="00CE2F90" w:rsidRPr="00EF5805" w:rsidRDefault="00CE2F90" w:rsidP="00CE2F90">
            <w:pPr>
              <w:pStyle w:val="Title"/>
              <w:jc w:val="left"/>
              <w:rPr>
                <w:b w:val="0"/>
                <w:sz w:val="22"/>
                <w:szCs w:val="22"/>
              </w:rPr>
            </w:pPr>
          </w:p>
        </w:tc>
        <w:tc>
          <w:tcPr>
            <w:tcW w:w="1843" w:type="dxa"/>
          </w:tcPr>
          <w:p w14:paraId="1E884952" w14:textId="37FE960D" w:rsidR="00CE2F90" w:rsidRPr="00EF5805" w:rsidRDefault="00CE2F90" w:rsidP="00CE2F90">
            <w:pPr>
              <w:pStyle w:val="Title"/>
              <w:jc w:val="left"/>
              <w:rPr>
                <w:b w:val="0"/>
                <w:sz w:val="22"/>
                <w:szCs w:val="22"/>
              </w:rPr>
            </w:pPr>
          </w:p>
        </w:tc>
        <w:tc>
          <w:tcPr>
            <w:tcW w:w="7796" w:type="dxa"/>
          </w:tcPr>
          <w:p w14:paraId="6D717E24" w14:textId="77777777" w:rsidR="00CE2F90" w:rsidRPr="00EF5805" w:rsidRDefault="00CE2F90" w:rsidP="00CE2F90">
            <w:pPr>
              <w:pStyle w:val="BodyText"/>
              <w:rPr>
                <w:b w:val="0"/>
                <w:kern w:val="28"/>
              </w:rPr>
            </w:pPr>
          </w:p>
        </w:tc>
        <w:tc>
          <w:tcPr>
            <w:tcW w:w="2584" w:type="dxa"/>
          </w:tcPr>
          <w:p w14:paraId="3601237D" w14:textId="77777777" w:rsidR="00CE2F90" w:rsidRPr="00EF5805" w:rsidRDefault="00CE2F90" w:rsidP="00CE2F90">
            <w:pPr>
              <w:pStyle w:val="Title"/>
              <w:jc w:val="left"/>
              <w:rPr>
                <w:b w:val="0"/>
                <w:sz w:val="22"/>
                <w:szCs w:val="22"/>
              </w:rPr>
            </w:pPr>
          </w:p>
        </w:tc>
      </w:tr>
      <w:tr w:rsidR="00CE2F90" w:rsidRPr="00EF5805" w14:paraId="77C43EE1" w14:textId="77777777" w:rsidTr="005B0206">
        <w:tc>
          <w:tcPr>
            <w:tcW w:w="1951" w:type="dxa"/>
            <w:vMerge/>
          </w:tcPr>
          <w:p w14:paraId="7FD38BA5" w14:textId="77777777" w:rsidR="00CE2F90" w:rsidRPr="00EF5805" w:rsidRDefault="00CE2F90" w:rsidP="00CE2F90">
            <w:pPr>
              <w:pStyle w:val="Title"/>
              <w:jc w:val="left"/>
              <w:rPr>
                <w:b w:val="0"/>
                <w:sz w:val="22"/>
                <w:szCs w:val="22"/>
              </w:rPr>
            </w:pPr>
          </w:p>
        </w:tc>
        <w:tc>
          <w:tcPr>
            <w:tcW w:w="1843" w:type="dxa"/>
          </w:tcPr>
          <w:p w14:paraId="71A128CF" w14:textId="77777777" w:rsidR="00CE2F90" w:rsidRPr="00EF5805" w:rsidRDefault="00CE2F90" w:rsidP="00CE2F90">
            <w:pPr>
              <w:pStyle w:val="Title"/>
              <w:jc w:val="left"/>
              <w:rPr>
                <w:b w:val="0"/>
                <w:sz w:val="22"/>
                <w:szCs w:val="22"/>
              </w:rPr>
            </w:pPr>
          </w:p>
        </w:tc>
        <w:tc>
          <w:tcPr>
            <w:tcW w:w="7796" w:type="dxa"/>
          </w:tcPr>
          <w:p w14:paraId="4EA76E61" w14:textId="77777777" w:rsidR="00CE2F90" w:rsidRPr="00EF5805" w:rsidRDefault="00CE2F90" w:rsidP="00CE2F90">
            <w:pPr>
              <w:pStyle w:val="BodyText"/>
              <w:rPr>
                <w:b w:val="0"/>
              </w:rPr>
            </w:pPr>
          </w:p>
        </w:tc>
        <w:tc>
          <w:tcPr>
            <w:tcW w:w="2584" w:type="dxa"/>
          </w:tcPr>
          <w:p w14:paraId="08426FB6" w14:textId="77777777" w:rsidR="00CE2F90" w:rsidRPr="00EF5805" w:rsidRDefault="00CE2F90" w:rsidP="00CE2F90">
            <w:pPr>
              <w:pStyle w:val="Title"/>
              <w:jc w:val="left"/>
              <w:rPr>
                <w:b w:val="0"/>
                <w:sz w:val="22"/>
                <w:szCs w:val="22"/>
              </w:rPr>
            </w:pPr>
          </w:p>
        </w:tc>
      </w:tr>
      <w:tr w:rsidR="00CE2F90" w:rsidRPr="00EF5805" w14:paraId="4FD8FA1F" w14:textId="77777777" w:rsidTr="005B0206">
        <w:tc>
          <w:tcPr>
            <w:tcW w:w="1951" w:type="dxa"/>
            <w:vMerge/>
          </w:tcPr>
          <w:p w14:paraId="3EAD2C8F" w14:textId="77777777" w:rsidR="00CE2F90" w:rsidRPr="00EF5805" w:rsidRDefault="00CE2F90" w:rsidP="00CE2F90">
            <w:pPr>
              <w:pStyle w:val="Title"/>
              <w:jc w:val="left"/>
              <w:rPr>
                <w:b w:val="0"/>
                <w:sz w:val="22"/>
                <w:szCs w:val="22"/>
              </w:rPr>
            </w:pPr>
          </w:p>
        </w:tc>
        <w:tc>
          <w:tcPr>
            <w:tcW w:w="1843" w:type="dxa"/>
          </w:tcPr>
          <w:p w14:paraId="1493364E" w14:textId="77777777" w:rsidR="00CE2F90" w:rsidRPr="00EF5805" w:rsidRDefault="00CE2F90" w:rsidP="00CE2F90">
            <w:pPr>
              <w:pStyle w:val="Title"/>
              <w:jc w:val="left"/>
              <w:rPr>
                <w:b w:val="0"/>
                <w:sz w:val="22"/>
                <w:szCs w:val="22"/>
              </w:rPr>
            </w:pPr>
          </w:p>
        </w:tc>
        <w:tc>
          <w:tcPr>
            <w:tcW w:w="7796" w:type="dxa"/>
          </w:tcPr>
          <w:p w14:paraId="6E970555" w14:textId="77777777" w:rsidR="00CE2F90" w:rsidRPr="00EF5805" w:rsidRDefault="00CE2F90" w:rsidP="00CE2F90">
            <w:pPr>
              <w:pStyle w:val="BodyText"/>
              <w:rPr>
                <w:b w:val="0"/>
              </w:rPr>
            </w:pPr>
          </w:p>
        </w:tc>
        <w:tc>
          <w:tcPr>
            <w:tcW w:w="2584" w:type="dxa"/>
          </w:tcPr>
          <w:p w14:paraId="32B47428" w14:textId="77777777" w:rsidR="00CE2F90" w:rsidRPr="00EF5805" w:rsidRDefault="00CE2F90" w:rsidP="00CE2F90">
            <w:pPr>
              <w:pStyle w:val="Title"/>
              <w:jc w:val="left"/>
              <w:rPr>
                <w:b w:val="0"/>
                <w:sz w:val="22"/>
                <w:szCs w:val="22"/>
              </w:rPr>
            </w:pPr>
          </w:p>
        </w:tc>
      </w:tr>
      <w:tr w:rsidR="00CE2F90" w:rsidRPr="00EF5805" w14:paraId="4E2F4594" w14:textId="77777777" w:rsidTr="005B0206">
        <w:tc>
          <w:tcPr>
            <w:tcW w:w="1951" w:type="dxa"/>
            <w:vMerge/>
          </w:tcPr>
          <w:p w14:paraId="52005E10" w14:textId="77777777" w:rsidR="00CE2F90" w:rsidRPr="00EF5805" w:rsidRDefault="00CE2F90" w:rsidP="00CE2F90">
            <w:pPr>
              <w:pStyle w:val="Title"/>
              <w:jc w:val="left"/>
              <w:rPr>
                <w:b w:val="0"/>
                <w:sz w:val="22"/>
                <w:szCs w:val="22"/>
              </w:rPr>
            </w:pPr>
          </w:p>
        </w:tc>
        <w:tc>
          <w:tcPr>
            <w:tcW w:w="1843" w:type="dxa"/>
          </w:tcPr>
          <w:p w14:paraId="73256DBE" w14:textId="77777777" w:rsidR="00CE2F90" w:rsidRPr="00EF5805" w:rsidRDefault="00CE2F90" w:rsidP="00CE2F90">
            <w:pPr>
              <w:pStyle w:val="Title"/>
              <w:jc w:val="left"/>
              <w:rPr>
                <w:b w:val="0"/>
                <w:sz w:val="22"/>
                <w:szCs w:val="22"/>
              </w:rPr>
            </w:pPr>
          </w:p>
        </w:tc>
        <w:tc>
          <w:tcPr>
            <w:tcW w:w="7796" w:type="dxa"/>
          </w:tcPr>
          <w:p w14:paraId="7DEFFB5F" w14:textId="77777777" w:rsidR="00CE2F90" w:rsidRPr="00EF5805" w:rsidRDefault="00CE2F90" w:rsidP="00CE2F90">
            <w:pPr>
              <w:pStyle w:val="Title"/>
              <w:jc w:val="left"/>
              <w:rPr>
                <w:b w:val="0"/>
                <w:sz w:val="22"/>
                <w:szCs w:val="22"/>
              </w:rPr>
            </w:pPr>
          </w:p>
        </w:tc>
        <w:tc>
          <w:tcPr>
            <w:tcW w:w="2584" w:type="dxa"/>
          </w:tcPr>
          <w:p w14:paraId="7A8B5455" w14:textId="77777777" w:rsidR="00CE2F90" w:rsidRPr="00EF5805" w:rsidRDefault="00CE2F90" w:rsidP="00CE2F90">
            <w:pPr>
              <w:pStyle w:val="Title"/>
              <w:jc w:val="left"/>
              <w:rPr>
                <w:b w:val="0"/>
                <w:sz w:val="22"/>
                <w:szCs w:val="22"/>
              </w:rPr>
            </w:pPr>
          </w:p>
        </w:tc>
      </w:tr>
      <w:tr w:rsidR="00CE2F90" w:rsidRPr="00EF5805" w14:paraId="02C80714" w14:textId="77777777" w:rsidTr="005B0206">
        <w:tc>
          <w:tcPr>
            <w:tcW w:w="1951" w:type="dxa"/>
            <w:vMerge w:val="restart"/>
            <w:tcBorders>
              <w:top w:val="single" w:sz="12" w:space="0" w:color="auto"/>
            </w:tcBorders>
          </w:tcPr>
          <w:p w14:paraId="068D0C9F" w14:textId="77777777" w:rsidR="00CE2F90" w:rsidRPr="00EF5805" w:rsidRDefault="00CE2F90" w:rsidP="00CE2F90">
            <w:pPr>
              <w:pStyle w:val="Title"/>
              <w:jc w:val="left"/>
              <w:rPr>
                <w:b w:val="0"/>
                <w:sz w:val="22"/>
                <w:szCs w:val="22"/>
              </w:rPr>
            </w:pPr>
            <w:r w:rsidRPr="00EF5805">
              <w:rPr>
                <w:b w:val="0"/>
                <w:sz w:val="22"/>
                <w:szCs w:val="22"/>
              </w:rPr>
              <w:t>Comparators</w:t>
            </w:r>
          </w:p>
        </w:tc>
        <w:tc>
          <w:tcPr>
            <w:tcW w:w="1843" w:type="dxa"/>
            <w:tcBorders>
              <w:top w:val="single" w:sz="12" w:space="0" w:color="auto"/>
            </w:tcBorders>
          </w:tcPr>
          <w:p w14:paraId="6C29D8AC" w14:textId="49E75C56" w:rsidR="00CE2F90" w:rsidRPr="00EF5805" w:rsidRDefault="00CE2F90" w:rsidP="00CE2F90">
            <w:pPr>
              <w:pStyle w:val="Title"/>
              <w:jc w:val="left"/>
              <w:rPr>
                <w:b w:val="0"/>
                <w:sz w:val="22"/>
                <w:szCs w:val="22"/>
              </w:rPr>
            </w:pPr>
            <w:r w:rsidRPr="00EF5805">
              <w:rPr>
                <w:b w:val="0"/>
                <w:sz w:val="22"/>
                <w:szCs w:val="22"/>
              </w:rPr>
              <w:t>Seagen</w:t>
            </w:r>
          </w:p>
        </w:tc>
        <w:tc>
          <w:tcPr>
            <w:tcW w:w="7796" w:type="dxa"/>
            <w:tcBorders>
              <w:top w:val="single" w:sz="12" w:space="0" w:color="auto"/>
            </w:tcBorders>
          </w:tcPr>
          <w:p w14:paraId="46BB98FB" w14:textId="77777777" w:rsidR="00CE2F90" w:rsidRPr="00EF5805" w:rsidRDefault="00CE2F90" w:rsidP="00CE2F90">
            <w:pPr>
              <w:spacing w:before="60" w:after="60"/>
            </w:pPr>
            <w:r w:rsidRPr="00EF5805">
              <w:t>Regorafenib and trifluridine</w:t>
            </w:r>
            <w:r w:rsidRPr="00EF5805">
              <w:noBreakHyphen/>
              <w:t>tipiracil, which are available for patients with metastatic colorectal cancer who have received prior therapy, are positioned similarly to the proposed positioning for tucatinib in combination with trastuzumab and are therefore considered suitable comparators of the intervention.</w:t>
            </w:r>
          </w:p>
          <w:p w14:paraId="25E8BF95" w14:textId="77777777" w:rsidR="00CE2F90" w:rsidRPr="00EF5805" w:rsidRDefault="00CE2F90" w:rsidP="00CE2F90">
            <w:pPr>
              <w:spacing w:before="60" w:after="60"/>
            </w:pPr>
            <w:r w:rsidRPr="00EF5805">
              <w:t>As previous treatment with single</w:t>
            </w:r>
            <w:r w:rsidRPr="00EF5805">
              <w:noBreakHyphen/>
              <w:t xml:space="preserve">agent irinotecan (after FOLFOX), FOLFIRI (after either FOLFOX or CAPOX), FOLFOX (after either FOLFIRI or CAPOX), and raltitrexed (if 5-FU/FA are not suitable) was required prior to initiation of tucatinib and trastuzumab in the Phase 2 MOUNTAINEER trial, we recommend these are not included in the scope as they are not relevant comparators. Clinicians have indicated that they would only consider using tucatinib in combination with trastuzumab after these treatments have failed or in patients for whom they are unsuitable.  </w:t>
            </w:r>
          </w:p>
          <w:p w14:paraId="1C6A1F12" w14:textId="6D0A8E45" w:rsidR="00CE2F90" w:rsidRPr="00EF5805" w:rsidRDefault="00CE2F90" w:rsidP="00CE2F90">
            <w:pPr>
              <w:rPr>
                <w:bCs/>
                <w:kern w:val="28"/>
              </w:rPr>
            </w:pPr>
            <w:r w:rsidRPr="00EF5805">
              <w:t>Finally, we do not consider best supportive care as a direct comparator of tucatinib in combination with trastuzumab and recommend it is not considered in the scope. Best supportive care is a treatment option typically given later in the treatment pathway after failure of regorafenib and/or trifluridine</w:t>
            </w:r>
            <w:r w:rsidRPr="00EF5805">
              <w:noBreakHyphen/>
              <w:t>tipiracil. Tucatinib in combination with trastuzumab will be positioned alongside regorafenib and trifluridine</w:t>
            </w:r>
            <w:r w:rsidRPr="00EF5805">
              <w:noBreakHyphen/>
              <w:t>tipiracil and would therefore</w:t>
            </w:r>
            <w:r w:rsidRPr="00EF5805" w:rsidDel="004D0E71">
              <w:t xml:space="preserve"> </w:t>
            </w:r>
            <w:r w:rsidRPr="00EF5805">
              <w:t>be positioned before best supportive care in the treatment pathway.</w:t>
            </w:r>
          </w:p>
        </w:tc>
        <w:tc>
          <w:tcPr>
            <w:tcW w:w="2584" w:type="dxa"/>
            <w:tcBorders>
              <w:top w:val="single" w:sz="12" w:space="0" w:color="auto"/>
            </w:tcBorders>
          </w:tcPr>
          <w:p w14:paraId="2E36AE43" w14:textId="4E4C615F" w:rsidR="00CE2F90" w:rsidRPr="00EF5805" w:rsidRDefault="002F6695" w:rsidP="00CE2F90">
            <w:pPr>
              <w:pStyle w:val="Title"/>
              <w:jc w:val="left"/>
              <w:rPr>
                <w:b w:val="0"/>
                <w:sz w:val="22"/>
                <w:szCs w:val="22"/>
              </w:rPr>
            </w:pPr>
            <w:r>
              <w:rPr>
                <w:b w:val="0"/>
                <w:sz w:val="22"/>
                <w:szCs w:val="22"/>
              </w:rPr>
              <w:t xml:space="preserve">Thank you for your comment, the </w:t>
            </w:r>
            <w:r w:rsidR="00030825">
              <w:rPr>
                <w:b w:val="0"/>
                <w:sz w:val="22"/>
                <w:szCs w:val="22"/>
              </w:rPr>
              <w:t xml:space="preserve">committee will </w:t>
            </w:r>
            <w:r w:rsidR="00B92ABA">
              <w:rPr>
                <w:b w:val="0"/>
                <w:sz w:val="22"/>
                <w:szCs w:val="22"/>
              </w:rPr>
              <w:t>consider</w:t>
            </w:r>
            <w:r w:rsidR="00030825">
              <w:rPr>
                <w:b w:val="0"/>
                <w:sz w:val="22"/>
                <w:szCs w:val="22"/>
              </w:rPr>
              <w:t xml:space="preserve"> which comparators are relevant</w:t>
            </w:r>
            <w:r w:rsidR="00B92ABA">
              <w:rPr>
                <w:b w:val="0"/>
                <w:sz w:val="22"/>
                <w:szCs w:val="22"/>
              </w:rPr>
              <w:t xml:space="preserve"> during the appraisal</w:t>
            </w:r>
            <w:r>
              <w:rPr>
                <w:b w:val="0"/>
                <w:sz w:val="22"/>
                <w:szCs w:val="22"/>
              </w:rPr>
              <w:t>.</w:t>
            </w:r>
          </w:p>
        </w:tc>
      </w:tr>
      <w:tr w:rsidR="00CE2F90" w:rsidRPr="00EF5805" w14:paraId="7DAE50E1" w14:textId="77777777" w:rsidTr="005B0206">
        <w:tc>
          <w:tcPr>
            <w:tcW w:w="1951" w:type="dxa"/>
            <w:vMerge/>
          </w:tcPr>
          <w:p w14:paraId="4EC4295C" w14:textId="77777777" w:rsidR="00CE2F90" w:rsidRPr="00EF5805" w:rsidRDefault="00CE2F90" w:rsidP="00CE2F90">
            <w:pPr>
              <w:pStyle w:val="Title"/>
              <w:jc w:val="left"/>
              <w:rPr>
                <w:b w:val="0"/>
                <w:sz w:val="22"/>
                <w:szCs w:val="22"/>
              </w:rPr>
            </w:pPr>
          </w:p>
        </w:tc>
        <w:tc>
          <w:tcPr>
            <w:tcW w:w="1843" w:type="dxa"/>
          </w:tcPr>
          <w:p w14:paraId="567396E0" w14:textId="6E585E2C" w:rsidR="00CE2F90" w:rsidRPr="00EF5805" w:rsidRDefault="00CE2F90" w:rsidP="00CE2F90">
            <w:pPr>
              <w:pStyle w:val="Title"/>
              <w:jc w:val="left"/>
              <w:rPr>
                <w:b w:val="0"/>
                <w:sz w:val="22"/>
                <w:szCs w:val="22"/>
              </w:rPr>
            </w:pPr>
            <w:r w:rsidRPr="00EF5805">
              <w:rPr>
                <w:b w:val="0"/>
                <w:sz w:val="22"/>
                <w:szCs w:val="22"/>
              </w:rPr>
              <w:t>Bower cancer UK</w:t>
            </w:r>
          </w:p>
        </w:tc>
        <w:tc>
          <w:tcPr>
            <w:tcW w:w="7796" w:type="dxa"/>
          </w:tcPr>
          <w:p w14:paraId="2B6FE1CC" w14:textId="4607E4CF" w:rsidR="00CE2F90" w:rsidRPr="00EF5805" w:rsidRDefault="00CE2F90" w:rsidP="00CE2F90">
            <w:r w:rsidRPr="00EF5805">
              <w:t>As there currently is no NICE recommended treatment for patients with previously treated HER2-positive colorectal cancer, this treatment is best compared with best supportive care. However, when looking at treatments that patients at this stage may currently be accessing, this is likely to be Regorafenib and Trifluridine-tipiracil. The other comparators listed may be used earlier in the pathway.</w:t>
            </w:r>
          </w:p>
        </w:tc>
        <w:tc>
          <w:tcPr>
            <w:tcW w:w="2584" w:type="dxa"/>
          </w:tcPr>
          <w:p w14:paraId="7E362174" w14:textId="57993771" w:rsidR="00CE2F90" w:rsidRPr="00EF5805" w:rsidRDefault="00B92ABA" w:rsidP="00CE2F90">
            <w:pPr>
              <w:pStyle w:val="Title"/>
              <w:jc w:val="left"/>
              <w:rPr>
                <w:b w:val="0"/>
                <w:sz w:val="22"/>
                <w:szCs w:val="22"/>
              </w:rPr>
            </w:pPr>
            <w:r>
              <w:rPr>
                <w:b w:val="0"/>
                <w:sz w:val="22"/>
                <w:szCs w:val="22"/>
              </w:rPr>
              <w:t>Thank you for your comment, the committee will consider which comparators are relevant during the appraisal.</w:t>
            </w:r>
          </w:p>
        </w:tc>
      </w:tr>
      <w:tr w:rsidR="00CE2F90" w:rsidRPr="00EF5805" w14:paraId="671A2736" w14:textId="77777777" w:rsidTr="005B0206">
        <w:tc>
          <w:tcPr>
            <w:tcW w:w="1951" w:type="dxa"/>
            <w:vMerge/>
          </w:tcPr>
          <w:p w14:paraId="2361BDC1" w14:textId="77777777" w:rsidR="00CE2F90" w:rsidRPr="00EF5805" w:rsidRDefault="00CE2F90" w:rsidP="00CE2F90">
            <w:pPr>
              <w:pStyle w:val="Title"/>
              <w:jc w:val="left"/>
              <w:rPr>
                <w:b w:val="0"/>
                <w:sz w:val="22"/>
                <w:szCs w:val="22"/>
              </w:rPr>
            </w:pPr>
          </w:p>
        </w:tc>
        <w:tc>
          <w:tcPr>
            <w:tcW w:w="1843" w:type="dxa"/>
          </w:tcPr>
          <w:p w14:paraId="77B94BE2" w14:textId="77777777" w:rsidR="00CE2F90" w:rsidRPr="00EF5805" w:rsidRDefault="00CE2F90" w:rsidP="00CE2F90">
            <w:pPr>
              <w:pStyle w:val="Title"/>
              <w:jc w:val="left"/>
              <w:rPr>
                <w:b w:val="0"/>
                <w:sz w:val="22"/>
                <w:szCs w:val="22"/>
              </w:rPr>
            </w:pPr>
          </w:p>
        </w:tc>
        <w:tc>
          <w:tcPr>
            <w:tcW w:w="7796" w:type="dxa"/>
          </w:tcPr>
          <w:p w14:paraId="1AA114D7" w14:textId="77777777" w:rsidR="00CE2F90" w:rsidRPr="00EF5805" w:rsidRDefault="00CE2F90" w:rsidP="00CE2F90">
            <w:pPr>
              <w:pStyle w:val="Title"/>
              <w:jc w:val="left"/>
              <w:rPr>
                <w:b w:val="0"/>
                <w:sz w:val="22"/>
                <w:szCs w:val="22"/>
              </w:rPr>
            </w:pPr>
          </w:p>
        </w:tc>
        <w:tc>
          <w:tcPr>
            <w:tcW w:w="2584" w:type="dxa"/>
          </w:tcPr>
          <w:p w14:paraId="30A939C6" w14:textId="77777777" w:rsidR="00CE2F90" w:rsidRPr="00EF5805" w:rsidRDefault="00CE2F90" w:rsidP="00CE2F90">
            <w:pPr>
              <w:pStyle w:val="Title"/>
              <w:jc w:val="left"/>
              <w:rPr>
                <w:b w:val="0"/>
                <w:sz w:val="22"/>
                <w:szCs w:val="22"/>
              </w:rPr>
            </w:pPr>
          </w:p>
        </w:tc>
      </w:tr>
      <w:tr w:rsidR="00CE2F90" w:rsidRPr="00EF5805" w14:paraId="3A73B2AD" w14:textId="77777777" w:rsidTr="005B0206">
        <w:tc>
          <w:tcPr>
            <w:tcW w:w="1951" w:type="dxa"/>
            <w:vMerge/>
          </w:tcPr>
          <w:p w14:paraId="715F2AFD" w14:textId="77777777" w:rsidR="00CE2F90" w:rsidRPr="00EF5805" w:rsidRDefault="00CE2F90" w:rsidP="00CE2F90">
            <w:pPr>
              <w:pStyle w:val="Title"/>
              <w:jc w:val="left"/>
              <w:rPr>
                <w:b w:val="0"/>
                <w:sz w:val="22"/>
                <w:szCs w:val="22"/>
              </w:rPr>
            </w:pPr>
          </w:p>
        </w:tc>
        <w:tc>
          <w:tcPr>
            <w:tcW w:w="1843" w:type="dxa"/>
          </w:tcPr>
          <w:p w14:paraId="6B012D16" w14:textId="77777777" w:rsidR="00CE2F90" w:rsidRPr="00EF5805" w:rsidRDefault="00CE2F90" w:rsidP="00CE2F90">
            <w:pPr>
              <w:pStyle w:val="Title"/>
              <w:jc w:val="left"/>
              <w:rPr>
                <w:b w:val="0"/>
                <w:sz w:val="22"/>
                <w:szCs w:val="22"/>
              </w:rPr>
            </w:pPr>
          </w:p>
        </w:tc>
        <w:tc>
          <w:tcPr>
            <w:tcW w:w="7796" w:type="dxa"/>
          </w:tcPr>
          <w:p w14:paraId="272B8487" w14:textId="77777777" w:rsidR="00CE2F90" w:rsidRPr="00EF5805" w:rsidRDefault="00CE2F90" w:rsidP="00CE2F90">
            <w:pPr>
              <w:pStyle w:val="Title"/>
              <w:jc w:val="left"/>
              <w:rPr>
                <w:b w:val="0"/>
                <w:sz w:val="22"/>
                <w:szCs w:val="22"/>
              </w:rPr>
            </w:pPr>
          </w:p>
        </w:tc>
        <w:tc>
          <w:tcPr>
            <w:tcW w:w="2584" w:type="dxa"/>
          </w:tcPr>
          <w:p w14:paraId="4B87F94C" w14:textId="77777777" w:rsidR="00CE2F90" w:rsidRPr="00EF5805" w:rsidRDefault="00CE2F90" w:rsidP="00CE2F90">
            <w:pPr>
              <w:pStyle w:val="Title"/>
              <w:jc w:val="left"/>
              <w:rPr>
                <w:b w:val="0"/>
                <w:sz w:val="22"/>
                <w:szCs w:val="22"/>
              </w:rPr>
            </w:pPr>
          </w:p>
        </w:tc>
      </w:tr>
      <w:tr w:rsidR="00CE2F90" w:rsidRPr="00EF5805" w14:paraId="47E16630" w14:textId="77777777" w:rsidTr="005B0206">
        <w:tc>
          <w:tcPr>
            <w:tcW w:w="1951" w:type="dxa"/>
            <w:vMerge/>
          </w:tcPr>
          <w:p w14:paraId="039A5711" w14:textId="77777777" w:rsidR="00CE2F90" w:rsidRPr="00EF5805" w:rsidRDefault="00CE2F90" w:rsidP="00CE2F90">
            <w:pPr>
              <w:pStyle w:val="Title"/>
              <w:jc w:val="left"/>
              <w:rPr>
                <w:b w:val="0"/>
                <w:sz w:val="22"/>
                <w:szCs w:val="22"/>
              </w:rPr>
            </w:pPr>
          </w:p>
        </w:tc>
        <w:tc>
          <w:tcPr>
            <w:tcW w:w="1843" w:type="dxa"/>
          </w:tcPr>
          <w:p w14:paraId="530ACDD7" w14:textId="77777777" w:rsidR="00CE2F90" w:rsidRPr="00EF5805" w:rsidRDefault="00CE2F90" w:rsidP="00CE2F90">
            <w:pPr>
              <w:pStyle w:val="Title"/>
              <w:jc w:val="left"/>
              <w:rPr>
                <w:b w:val="0"/>
                <w:sz w:val="22"/>
                <w:szCs w:val="22"/>
              </w:rPr>
            </w:pPr>
          </w:p>
        </w:tc>
        <w:tc>
          <w:tcPr>
            <w:tcW w:w="7796" w:type="dxa"/>
          </w:tcPr>
          <w:p w14:paraId="60878074" w14:textId="77777777" w:rsidR="00CE2F90" w:rsidRPr="00EF5805" w:rsidRDefault="00CE2F90" w:rsidP="00CE2F90">
            <w:pPr>
              <w:pStyle w:val="Title"/>
              <w:jc w:val="left"/>
              <w:rPr>
                <w:b w:val="0"/>
                <w:sz w:val="22"/>
                <w:szCs w:val="22"/>
              </w:rPr>
            </w:pPr>
          </w:p>
        </w:tc>
        <w:tc>
          <w:tcPr>
            <w:tcW w:w="2584" w:type="dxa"/>
          </w:tcPr>
          <w:p w14:paraId="4957C9B1" w14:textId="77777777" w:rsidR="00CE2F90" w:rsidRPr="00EF5805" w:rsidRDefault="00CE2F90" w:rsidP="00CE2F90">
            <w:pPr>
              <w:pStyle w:val="Title"/>
              <w:jc w:val="left"/>
              <w:rPr>
                <w:b w:val="0"/>
                <w:sz w:val="22"/>
                <w:szCs w:val="22"/>
              </w:rPr>
            </w:pPr>
          </w:p>
        </w:tc>
      </w:tr>
      <w:tr w:rsidR="00CE2F90" w:rsidRPr="00EF5805" w14:paraId="475CB006" w14:textId="77777777" w:rsidTr="005B0206">
        <w:tc>
          <w:tcPr>
            <w:tcW w:w="1951" w:type="dxa"/>
            <w:vMerge w:val="restart"/>
            <w:tcBorders>
              <w:top w:val="single" w:sz="12" w:space="0" w:color="auto"/>
            </w:tcBorders>
          </w:tcPr>
          <w:p w14:paraId="2D1A25F1" w14:textId="77777777" w:rsidR="00CE2F90" w:rsidRPr="00EF5805" w:rsidRDefault="00CE2F90" w:rsidP="00CE2F90">
            <w:pPr>
              <w:pStyle w:val="Title"/>
              <w:jc w:val="left"/>
              <w:rPr>
                <w:b w:val="0"/>
                <w:sz w:val="22"/>
                <w:szCs w:val="22"/>
              </w:rPr>
            </w:pPr>
            <w:r w:rsidRPr="00EF5805">
              <w:rPr>
                <w:b w:val="0"/>
                <w:sz w:val="22"/>
                <w:szCs w:val="22"/>
              </w:rPr>
              <w:t>Outcomes</w:t>
            </w:r>
          </w:p>
        </w:tc>
        <w:tc>
          <w:tcPr>
            <w:tcW w:w="1843" w:type="dxa"/>
            <w:tcBorders>
              <w:top w:val="single" w:sz="12" w:space="0" w:color="auto"/>
            </w:tcBorders>
          </w:tcPr>
          <w:p w14:paraId="5F2E549B" w14:textId="653563E4" w:rsidR="00CE2F90" w:rsidRPr="00EF5805" w:rsidRDefault="00CE2F90" w:rsidP="00CE2F90">
            <w:pPr>
              <w:pStyle w:val="Title"/>
              <w:jc w:val="left"/>
              <w:rPr>
                <w:b w:val="0"/>
                <w:sz w:val="22"/>
                <w:szCs w:val="22"/>
              </w:rPr>
            </w:pPr>
            <w:r w:rsidRPr="00EF5805">
              <w:rPr>
                <w:b w:val="0"/>
                <w:sz w:val="22"/>
                <w:szCs w:val="22"/>
              </w:rPr>
              <w:t>Seagen</w:t>
            </w:r>
          </w:p>
        </w:tc>
        <w:tc>
          <w:tcPr>
            <w:tcW w:w="7796" w:type="dxa"/>
            <w:tcBorders>
              <w:top w:val="single" w:sz="12" w:space="0" w:color="auto"/>
            </w:tcBorders>
          </w:tcPr>
          <w:p w14:paraId="3A826EF8" w14:textId="77777777" w:rsidR="00CE2F90" w:rsidRPr="00EF5805" w:rsidRDefault="00CE2F90" w:rsidP="00CE2F90">
            <w:pPr>
              <w:keepNext/>
              <w:keepLines/>
              <w:spacing w:before="60" w:after="60"/>
            </w:pPr>
            <w:r w:rsidRPr="00EF5805">
              <w:t>Yes. The outcomes listed in the draft scope are considered relevant to the intervention.</w:t>
            </w:r>
          </w:p>
          <w:p w14:paraId="0F70B825" w14:textId="38E7F5F6" w:rsidR="00CE2F90" w:rsidRPr="00EF5805" w:rsidRDefault="00CE2F90" w:rsidP="00CE2F90">
            <w:pPr>
              <w:spacing w:before="60" w:after="60"/>
              <w:rPr>
                <w:bCs/>
                <w:kern w:val="28"/>
              </w:rPr>
            </w:pPr>
            <w:r w:rsidRPr="00EF5805">
              <w:t>Please also include “Duration of response” as this was a key secondary endpoint in the MOUNTAINEER study and is an outcome that has been included in previous NICE technology appraisals of oncology products.</w:t>
            </w:r>
          </w:p>
        </w:tc>
        <w:tc>
          <w:tcPr>
            <w:tcW w:w="2584" w:type="dxa"/>
            <w:tcBorders>
              <w:top w:val="single" w:sz="12" w:space="0" w:color="auto"/>
            </w:tcBorders>
          </w:tcPr>
          <w:p w14:paraId="72552440" w14:textId="78CF864E" w:rsidR="00CE2F90" w:rsidRPr="00EF5805" w:rsidRDefault="00030825" w:rsidP="00CE2F90">
            <w:pPr>
              <w:pStyle w:val="Title"/>
              <w:jc w:val="left"/>
              <w:rPr>
                <w:b w:val="0"/>
                <w:sz w:val="22"/>
                <w:szCs w:val="22"/>
              </w:rPr>
            </w:pPr>
            <w:r>
              <w:rPr>
                <w:b w:val="0"/>
                <w:sz w:val="22"/>
                <w:szCs w:val="22"/>
              </w:rPr>
              <w:t>Thank you for your comment. This has been added to the scope.</w:t>
            </w:r>
          </w:p>
        </w:tc>
      </w:tr>
      <w:tr w:rsidR="00CE2F90" w:rsidRPr="00EF5805" w14:paraId="3945D0B0" w14:textId="77777777" w:rsidTr="005B0206">
        <w:tc>
          <w:tcPr>
            <w:tcW w:w="1951" w:type="dxa"/>
            <w:vMerge/>
          </w:tcPr>
          <w:p w14:paraId="49D9AAEC" w14:textId="77777777" w:rsidR="00CE2F90" w:rsidRPr="00EF5805" w:rsidRDefault="00CE2F90" w:rsidP="00CE2F90">
            <w:pPr>
              <w:pStyle w:val="Title"/>
              <w:jc w:val="left"/>
              <w:rPr>
                <w:b w:val="0"/>
                <w:sz w:val="22"/>
                <w:szCs w:val="22"/>
              </w:rPr>
            </w:pPr>
          </w:p>
        </w:tc>
        <w:tc>
          <w:tcPr>
            <w:tcW w:w="1843" w:type="dxa"/>
          </w:tcPr>
          <w:p w14:paraId="3E7F0A48" w14:textId="05CBCAF5" w:rsidR="00CE2F90" w:rsidRPr="00EF5805" w:rsidRDefault="00CE2F90" w:rsidP="00CE2F90">
            <w:pPr>
              <w:pStyle w:val="Title"/>
              <w:jc w:val="left"/>
              <w:rPr>
                <w:b w:val="0"/>
                <w:sz w:val="22"/>
                <w:szCs w:val="22"/>
              </w:rPr>
            </w:pPr>
            <w:r w:rsidRPr="00EF5805">
              <w:rPr>
                <w:b w:val="0"/>
                <w:sz w:val="22"/>
                <w:szCs w:val="22"/>
              </w:rPr>
              <w:t>Bower cancer UK</w:t>
            </w:r>
          </w:p>
        </w:tc>
        <w:tc>
          <w:tcPr>
            <w:tcW w:w="7796" w:type="dxa"/>
          </w:tcPr>
          <w:p w14:paraId="2ABA513C" w14:textId="09BEFFDA" w:rsidR="00CE2F90" w:rsidRPr="00EF5805" w:rsidRDefault="00CE2F90" w:rsidP="00CE2F90">
            <w:pPr>
              <w:pStyle w:val="BodyText"/>
              <w:rPr>
                <w:b w:val="0"/>
                <w:kern w:val="28"/>
              </w:rPr>
            </w:pPr>
            <w:r w:rsidRPr="00EF5805">
              <w:rPr>
                <w:b w:val="0"/>
                <w:kern w:val="28"/>
              </w:rPr>
              <w:t>yes</w:t>
            </w:r>
          </w:p>
        </w:tc>
        <w:tc>
          <w:tcPr>
            <w:tcW w:w="2584" w:type="dxa"/>
          </w:tcPr>
          <w:p w14:paraId="48CB45E9" w14:textId="1F0F6857" w:rsidR="00CE2F90" w:rsidRPr="00EF5805" w:rsidRDefault="00EE4667" w:rsidP="00CE2F90">
            <w:pPr>
              <w:pStyle w:val="Title"/>
              <w:jc w:val="left"/>
              <w:rPr>
                <w:sz w:val="22"/>
                <w:szCs w:val="22"/>
              </w:rPr>
            </w:pPr>
            <w:r>
              <w:rPr>
                <w:b w:val="0"/>
                <w:sz w:val="22"/>
                <w:szCs w:val="22"/>
              </w:rPr>
              <w:t>Thank you for your comment. No further action needed.</w:t>
            </w:r>
          </w:p>
        </w:tc>
      </w:tr>
      <w:tr w:rsidR="00CE2F90" w:rsidRPr="00EF5805" w14:paraId="2880EEDE" w14:textId="77777777" w:rsidTr="005B0206">
        <w:tc>
          <w:tcPr>
            <w:tcW w:w="1951" w:type="dxa"/>
            <w:vMerge/>
          </w:tcPr>
          <w:p w14:paraId="4663CFFF" w14:textId="77777777" w:rsidR="00CE2F90" w:rsidRPr="00EF5805" w:rsidRDefault="00CE2F90" w:rsidP="00CE2F90">
            <w:pPr>
              <w:pStyle w:val="Title"/>
              <w:jc w:val="left"/>
              <w:rPr>
                <w:b w:val="0"/>
                <w:sz w:val="22"/>
                <w:szCs w:val="22"/>
              </w:rPr>
            </w:pPr>
          </w:p>
        </w:tc>
        <w:tc>
          <w:tcPr>
            <w:tcW w:w="1843" w:type="dxa"/>
          </w:tcPr>
          <w:p w14:paraId="7E2F3E3A" w14:textId="77777777" w:rsidR="00CE2F90" w:rsidRPr="00EF5805" w:rsidRDefault="00CE2F90" w:rsidP="00CE2F90">
            <w:pPr>
              <w:pStyle w:val="Title"/>
              <w:jc w:val="left"/>
              <w:rPr>
                <w:b w:val="0"/>
                <w:sz w:val="22"/>
                <w:szCs w:val="22"/>
              </w:rPr>
            </w:pPr>
          </w:p>
        </w:tc>
        <w:tc>
          <w:tcPr>
            <w:tcW w:w="7796" w:type="dxa"/>
          </w:tcPr>
          <w:p w14:paraId="75733A0B" w14:textId="77777777" w:rsidR="00CE2F90" w:rsidRPr="00EF5805" w:rsidRDefault="00CE2F90" w:rsidP="00CE2F90">
            <w:pPr>
              <w:pStyle w:val="BodyText"/>
              <w:rPr>
                <w:b w:val="0"/>
              </w:rPr>
            </w:pPr>
          </w:p>
        </w:tc>
        <w:tc>
          <w:tcPr>
            <w:tcW w:w="2584" w:type="dxa"/>
          </w:tcPr>
          <w:p w14:paraId="6086A551" w14:textId="77777777" w:rsidR="00CE2F90" w:rsidRPr="00EF5805" w:rsidRDefault="00CE2F90" w:rsidP="00CE2F90">
            <w:pPr>
              <w:pStyle w:val="Title"/>
              <w:jc w:val="left"/>
              <w:rPr>
                <w:sz w:val="22"/>
                <w:szCs w:val="22"/>
              </w:rPr>
            </w:pPr>
          </w:p>
        </w:tc>
      </w:tr>
      <w:tr w:rsidR="00CE2F90" w:rsidRPr="00EF5805" w14:paraId="7362FB19" w14:textId="77777777" w:rsidTr="005B0206">
        <w:tc>
          <w:tcPr>
            <w:tcW w:w="1951" w:type="dxa"/>
            <w:vMerge/>
          </w:tcPr>
          <w:p w14:paraId="75587756" w14:textId="77777777" w:rsidR="00CE2F90" w:rsidRPr="00EF5805" w:rsidRDefault="00CE2F90" w:rsidP="00CE2F90">
            <w:pPr>
              <w:pStyle w:val="Title"/>
              <w:jc w:val="left"/>
              <w:rPr>
                <w:b w:val="0"/>
                <w:sz w:val="22"/>
                <w:szCs w:val="22"/>
              </w:rPr>
            </w:pPr>
          </w:p>
        </w:tc>
        <w:tc>
          <w:tcPr>
            <w:tcW w:w="1843" w:type="dxa"/>
          </w:tcPr>
          <w:p w14:paraId="5DE72363" w14:textId="77777777" w:rsidR="00CE2F90" w:rsidRPr="00EF5805" w:rsidRDefault="00CE2F90" w:rsidP="00CE2F90">
            <w:pPr>
              <w:pStyle w:val="Title"/>
              <w:jc w:val="left"/>
              <w:rPr>
                <w:b w:val="0"/>
                <w:sz w:val="22"/>
                <w:szCs w:val="22"/>
              </w:rPr>
            </w:pPr>
          </w:p>
        </w:tc>
        <w:tc>
          <w:tcPr>
            <w:tcW w:w="7796" w:type="dxa"/>
          </w:tcPr>
          <w:p w14:paraId="074584A1" w14:textId="77777777" w:rsidR="00CE2F90" w:rsidRPr="00EF5805" w:rsidRDefault="00CE2F90" w:rsidP="00CE2F90">
            <w:pPr>
              <w:pStyle w:val="BodyText"/>
              <w:rPr>
                <w:b w:val="0"/>
              </w:rPr>
            </w:pPr>
          </w:p>
        </w:tc>
        <w:tc>
          <w:tcPr>
            <w:tcW w:w="2584" w:type="dxa"/>
          </w:tcPr>
          <w:p w14:paraId="10FDCB0A" w14:textId="77777777" w:rsidR="00CE2F90" w:rsidRPr="00EF5805" w:rsidRDefault="00CE2F90" w:rsidP="00CE2F90">
            <w:pPr>
              <w:pStyle w:val="Title"/>
              <w:jc w:val="left"/>
              <w:rPr>
                <w:sz w:val="22"/>
                <w:szCs w:val="22"/>
              </w:rPr>
            </w:pPr>
          </w:p>
        </w:tc>
      </w:tr>
      <w:tr w:rsidR="00CE2F90" w:rsidRPr="00EF5805" w14:paraId="7B52A61A" w14:textId="77777777" w:rsidTr="005B0206">
        <w:tc>
          <w:tcPr>
            <w:tcW w:w="1951" w:type="dxa"/>
            <w:vMerge/>
          </w:tcPr>
          <w:p w14:paraId="3747DE53" w14:textId="77777777" w:rsidR="00CE2F90" w:rsidRPr="00EF5805" w:rsidRDefault="00CE2F90" w:rsidP="00CE2F90">
            <w:pPr>
              <w:pStyle w:val="Title"/>
              <w:jc w:val="left"/>
              <w:rPr>
                <w:b w:val="0"/>
                <w:sz w:val="22"/>
                <w:szCs w:val="22"/>
              </w:rPr>
            </w:pPr>
          </w:p>
        </w:tc>
        <w:tc>
          <w:tcPr>
            <w:tcW w:w="1843" w:type="dxa"/>
          </w:tcPr>
          <w:p w14:paraId="5B28F3E3" w14:textId="77777777" w:rsidR="00CE2F90" w:rsidRPr="00EF5805" w:rsidRDefault="00CE2F90" w:rsidP="00CE2F90">
            <w:pPr>
              <w:pStyle w:val="Title"/>
              <w:jc w:val="left"/>
              <w:rPr>
                <w:b w:val="0"/>
                <w:sz w:val="22"/>
                <w:szCs w:val="22"/>
              </w:rPr>
            </w:pPr>
          </w:p>
        </w:tc>
        <w:tc>
          <w:tcPr>
            <w:tcW w:w="7796" w:type="dxa"/>
          </w:tcPr>
          <w:p w14:paraId="4D212E38" w14:textId="77777777" w:rsidR="00CE2F90" w:rsidRPr="00EF5805" w:rsidRDefault="00CE2F90" w:rsidP="00CE2F90">
            <w:pPr>
              <w:pStyle w:val="Title"/>
              <w:jc w:val="left"/>
              <w:rPr>
                <w:b w:val="0"/>
                <w:sz w:val="22"/>
                <w:szCs w:val="22"/>
              </w:rPr>
            </w:pPr>
          </w:p>
        </w:tc>
        <w:tc>
          <w:tcPr>
            <w:tcW w:w="2584" w:type="dxa"/>
          </w:tcPr>
          <w:p w14:paraId="0CF7039F" w14:textId="77777777" w:rsidR="00CE2F90" w:rsidRPr="00EF5805" w:rsidRDefault="00CE2F90" w:rsidP="00CE2F90">
            <w:pPr>
              <w:pStyle w:val="Title"/>
              <w:jc w:val="left"/>
              <w:rPr>
                <w:b w:val="0"/>
                <w:sz w:val="22"/>
                <w:szCs w:val="22"/>
              </w:rPr>
            </w:pPr>
          </w:p>
        </w:tc>
      </w:tr>
      <w:tr w:rsidR="00CE2F90" w:rsidRPr="00EF5805" w14:paraId="74C100EE" w14:textId="77777777" w:rsidTr="005B0206">
        <w:tc>
          <w:tcPr>
            <w:tcW w:w="1951" w:type="dxa"/>
            <w:vMerge w:val="restart"/>
            <w:tcBorders>
              <w:top w:val="single" w:sz="12" w:space="0" w:color="auto"/>
            </w:tcBorders>
          </w:tcPr>
          <w:p w14:paraId="2CBB2E41" w14:textId="77777777" w:rsidR="00CE2F90" w:rsidRPr="00EF5805" w:rsidRDefault="00CE2F90" w:rsidP="00CE2F90">
            <w:pPr>
              <w:pStyle w:val="Title"/>
              <w:jc w:val="left"/>
              <w:rPr>
                <w:b w:val="0"/>
                <w:sz w:val="22"/>
                <w:szCs w:val="22"/>
              </w:rPr>
            </w:pPr>
            <w:r w:rsidRPr="00EF5805">
              <w:rPr>
                <w:b w:val="0"/>
                <w:sz w:val="22"/>
                <w:szCs w:val="22"/>
              </w:rPr>
              <w:lastRenderedPageBreak/>
              <w:t>Equality</w:t>
            </w:r>
          </w:p>
        </w:tc>
        <w:tc>
          <w:tcPr>
            <w:tcW w:w="1843" w:type="dxa"/>
            <w:tcBorders>
              <w:top w:val="single" w:sz="12" w:space="0" w:color="auto"/>
            </w:tcBorders>
          </w:tcPr>
          <w:p w14:paraId="23EA425D" w14:textId="115C58E8" w:rsidR="00CE2F90" w:rsidRPr="00EF5805" w:rsidRDefault="00CE2F90" w:rsidP="00CE2F90">
            <w:pPr>
              <w:pStyle w:val="Title"/>
              <w:jc w:val="left"/>
              <w:rPr>
                <w:b w:val="0"/>
                <w:sz w:val="22"/>
                <w:szCs w:val="22"/>
              </w:rPr>
            </w:pPr>
            <w:r w:rsidRPr="00EF5805">
              <w:rPr>
                <w:b w:val="0"/>
                <w:sz w:val="22"/>
                <w:szCs w:val="22"/>
              </w:rPr>
              <w:t>Seagen</w:t>
            </w:r>
          </w:p>
        </w:tc>
        <w:tc>
          <w:tcPr>
            <w:tcW w:w="7796" w:type="dxa"/>
            <w:tcBorders>
              <w:top w:val="single" w:sz="12" w:space="0" w:color="auto"/>
            </w:tcBorders>
          </w:tcPr>
          <w:p w14:paraId="6D00BFF3" w14:textId="03A2161F" w:rsidR="00CE2F90" w:rsidRPr="00EF5805" w:rsidRDefault="00CE2F90" w:rsidP="00CE2F90">
            <w:pPr>
              <w:pStyle w:val="Title"/>
              <w:jc w:val="left"/>
              <w:rPr>
                <w:b w:val="0"/>
                <w:sz w:val="22"/>
                <w:szCs w:val="22"/>
              </w:rPr>
            </w:pPr>
            <w:r w:rsidRPr="00EF5805">
              <w:rPr>
                <w:b w:val="0"/>
                <w:sz w:val="22"/>
                <w:szCs w:val="22"/>
              </w:rPr>
              <w:t>No issues have been identified.</w:t>
            </w:r>
          </w:p>
        </w:tc>
        <w:tc>
          <w:tcPr>
            <w:tcW w:w="2584" w:type="dxa"/>
            <w:tcBorders>
              <w:top w:val="single" w:sz="12" w:space="0" w:color="auto"/>
            </w:tcBorders>
          </w:tcPr>
          <w:p w14:paraId="50D0C922" w14:textId="2D2283E2" w:rsidR="00CE2F90" w:rsidRPr="00EF5805" w:rsidRDefault="00EE4667" w:rsidP="00CE2F90">
            <w:pPr>
              <w:pStyle w:val="Title"/>
              <w:jc w:val="left"/>
              <w:rPr>
                <w:b w:val="0"/>
                <w:sz w:val="22"/>
                <w:szCs w:val="22"/>
              </w:rPr>
            </w:pPr>
            <w:r>
              <w:rPr>
                <w:b w:val="0"/>
                <w:sz w:val="22"/>
                <w:szCs w:val="22"/>
              </w:rPr>
              <w:t>Thank you for your comment. No further action needed.</w:t>
            </w:r>
          </w:p>
        </w:tc>
      </w:tr>
      <w:tr w:rsidR="00CE2F90" w:rsidRPr="00EF5805" w14:paraId="61C4C334" w14:textId="77777777" w:rsidTr="005B0206">
        <w:tc>
          <w:tcPr>
            <w:tcW w:w="1951" w:type="dxa"/>
            <w:vMerge/>
          </w:tcPr>
          <w:p w14:paraId="2B4D93A9" w14:textId="77777777" w:rsidR="00CE2F90" w:rsidRPr="00EF5805" w:rsidRDefault="00CE2F90" w:rsidP="00CE2F90">
            <w:pPr>
              <w:pStyle w:val="Title"/>
              <w:jc w:val="left"/>
              <w:rPr>
                <w:b w:val="0"/>
                <w:sz w:val="22"/>
                <w:szCs w:val="22"/>
              </w:rPr>
            </w:pPr>
          </w:p>
        </w:tc>
        <w:tc>
          <w:tcPr>
            <w:tcW w:w="1843" w:type="dxa"/>
          </w:tcPr>
          <w:p w14:paraId="5A269522" w14:textId="3A4E597B" w:rsidR="00CE2F90" w:rsidRPr="00EF5805" w:rsidRDefault="00CE2F90" w:rsidP="00CE2F90">
            <w:pPr>
              <w:pStyle w:val="Title"/>
              <w:jc w:val="left"/>
              <w:rPr>
                <w:b w:val="0"/>
                <w:sz w:val="22"/>
                <w:szCs w:val="22"/>
              </w:rPr>
            </w:pPr>
            <w:r w:rsidRPr="00EF5805">
              <w:rPr>
                <w:b w:val="0"/>
                <w:sz w:val="22"/>
                <w:szCs w:val="22"/>
              </w:rPr>
              <w:t>Bower cancer UK</w:t>
            </w:r>
          </w:p>
        </w:tc>
        <w:tc>
          <w:tcPr>
            <w:tcW w:w="7796" w:type="dxa"/>
          </w:tcPr>
          <w:p w14:paraId="153411EB" w14:textId="7BEB4381" w:rsidR="00CE2F90" w:rsidRPr="00EF5805" w:rsidRDefault="00CE2F90" w:rsidP="00CE2F90">
            <w:pPr>
              <w:pStyle w:val="Title"/>
              <w:jc w:val="left"/>
              <w:rPr>
                <w:b w:val="0"/>
                <w:bCs w:val="0"/>
                <w:sz w:val="22"/>
                <w:szCs w:val="22"/>
              </w:rPr>
            </w:pPr>
            <w:r w:rsidRPr="00EF5805">
              <w:rPr>
                <w:b w:val="0"/>
                <w:bCs w:val="0"/>
                <w:sz w:val="22"/>
                <w:szCs w:val="22"/>
              </w:rPr>
              <w:t>When considering the promotion of equality of opportunity from a patient perspective, it is apparent that in order for this treatment to be equally available to all, the standardisation of HER2 testing for colorectal cancer is key.</w:t>
            </w:r>
          </w:p>
        </w:tc>
        <w:tc>
          <w:tcPr>
            <w:tcW w:w="2584" w:type="dxa"/>
          </w:tcPr>
          <w:p w14:paraId="09A032AD" w14:textId="7124FCE2" w:rsidR="00CE2F90" w:rsidRPr="00EF5805" w:rsidRDefault="00030825" w:rsidP="00CE2F90">
            <w:pPr>
              <w:pStyle w:val="Title"/>
              <w:jc w:val="left"/>
              <w:rPr>
                <w:b w:val="0"/>
                <w:sz w:val="22"/>
                <w:szCs w:val="22"/>
              </w:rPr>
            </w:pPr>
            <w:r>
              <w:rPr>
                <w:b w:val="0"/>
                <w:sz w:val="22"/>
                <w:szCs w:val="22"/>
              </w:rPr>
              <w:t xml:space="preserve">Thank you for your comment. The committee will </w:t>
            </w:r>
            <w:r w:rsidR="00B92ABA">
              <w:rPr>
                <w:b w:val="0"/>
                <w:sz w:val="22"/>
                <w:szCs w:val="22"/>
              </w:rPr>
              <w:t xml:space="preserve">consider any relevant equalities issues during the appraisal process, along with the </w:t>
            </w:r>
            <w:r>
              <w:rPr>
                <w:b w:val="0"/>
                <w:sz w:val="22"/>
                <w:szCs w:val="22"/>
              </w:rPr>
              <w:t>costs and a</w:t>
            </w:r>
            <w:r w:rsidR="00B92ABA">
              <w:rPr>
                <w:b w:val="0"/>
                <w:sz w:val="22"/>
                <w:szCs w:val="22"/>
              </w:rPr>
              <w:t>vailability</w:t>
            </w:r>
            <w:r>
              <w:rPr>
                <w:b w:val="0"/>
                <w:sz w:val="22"/>
                <w:szCs w:val="22"/>
              </w:rPr>
              <w:t xml:space="preserve"> of HER2 testing. No further action needed.</w:t>
            </w:r>
          </w:p>
        </w:tc>
      </w:tr>
      <w:tr w:rsidR="00CE2F90" w:rsidRPr="00EF5805" w14:paraId="1E9763BC" w14:textId="77777777" w:rsidTr="005B0206">
        <w:tc>
          <w:tcPr>
            <w:tcW w:w="1951" w:type="dxa"/>
            <w:vMerge/>
          </w:tcPr>
          <w:p w14:paraId="5481901C" w14:textId="77777777" w:rsidR="00CE2F90" w:rsidRPr="00EF5805" w:rsidRDefault="00CE2F90" w:rsidP="00CE2F90">
            <w:pPr>
              <w:pStyle w:val="Title"/>
              <w:jc w:val="left"/>
              <w:rPr>
                <w:b w:val="0"/>
                <w:sz w:val="22"/>
                <w:szCs w:val="22"/>
              </w:rPr>
            </w:pPr>
          </w:p>
        </w:tc>
        <w:tc>
          <w:tcPr>
            <w:tcW w:w="1843" w:type="dxa"/>
          </w:tcPr>
          <w:p w14:paraId="0982636F" w14:textId="77777777" w:rsidR="00CE2F90" w:rsidRPr="00EF5805" w:rsidRDefault="00CE2F90" w:rsidP="00CE2F90">
            <w:pPr>
              <w:pStyle w:val="Title"/>
              <w:jc w:val="left"/>
              <w:rPr>
                <w:b w:val="0"/>
                <w:sz w:val="22"/>
                <w:szCs w:val="22"/>
              </w:rPr>
            </w:pPr>
          </w:p>
        </w:tc>
        <w:tc>
          <w:tcPr>
            <w:tcW w:w="7796" w:type="dxa"/>
          </w:tcPr>
          <w:p w14:paraId="6A2D43F5" w14:textId="77777777" w:rsidR="00CE2F90" w:rsidRPr="00EF5805" w:rsidRDefault="00CE2F90" w:rsidP="00CE2F90">
            <w:pPr>
              <w:pStyle w:val="Title"/>
              <w:jc w:val="left"/>
              <w:rPr>
                <w:b w:val="0"/>
                <w:sz w:val="22"/>
                <w:szCs w:val="22"/>
              </w:rPr>
            </w:pPr>
          </w:p>
        </w:tc>
        <w:tc>
          <w:tcPr>
            <w:tcW w:w="2584" w:type="dxa"/>
          </w:tcPr>
          <w:p w14:paraId="6594F567" w14:textId="77777777" w:rsidR="00CE2F90" w:rsidRPr="00EF5805" w:rsidRDefault="00CE2F90" w:rsidP="00CE2F90">
            <w:pPr>
              <w:pStyle w:val="Title"/>
              <w:jc w:val="left"/>
              <w:rPr>
                <w:b w:val="0"/>
                <w:sz w:val="22"/>
                <w:szCs w:val="22"/>
              </w:rPr>
            </w:pPr>
          </w:p>
        </w:tc>
      </w:tr>
      <w:tr w:rsidR="00CE2F90" w:rsidRPr="00EF5805" w14:paraId="2CA1084C" w14:textId="77777777" w:rsidTr="005B0206">
        <w:tc>
          <w:tcPr>
            <w:tcW w:w="1951" w:type="dxa"/>
            <w:vMerge/>
          </w:tcPr>
          <w:p w14:paraId="30D9EBAE" w14:textId="77777777" w:rsidR="00CE2F90" w:rsidRPr="00EF5805" w:rsidRDefault="00CE2F90" w:rsidP="00CE2F90">
            <w:pPr>
              <w:pStyle w:val="Title"/>
              <w:jc w:val="left"/>
              <w:rPr>
                <w:b w:val="0"/>
                <w:sz w:val="22"/>
                <w:szCs w:val="22"/>
              </w:rPr>
            </w:pPr>
          </w:p>
        </w:tc>
        <w:tc>
          <w:tcPr>
            <w:tcW w:w="1843" w:type="dxa"/>
          </w:tcPr>
          <w:p w14:paraId="33333785" w14:textId="77777777" w:rsidR="00CE2F90" w:rsidRPr="00EF5805" w:rsidRDefault="00CE2F90" w:rsidP="00CE2F90">
            <w:pPr>
              <w:pStyle w:val="Title"/>
              <w:jc w:val="left"/>
              <w:rPr>
                <w:b w:val="0"/>
                <w:sz w:val="22"/>
                <w:szCs w:val="22"/>
              </w:rPr>
            </w:pPr>
          </w:p>
        </w:tc>
        <w:tc>
          <w:tcPr>
            <w:tcW w:w="7796" w:type="dxa"/>
          </w:tcPr>
          <w:p w14:paraId="4EE5C3D4" w14:textId="77777777" w:rsidR="00CE2F90" w:rsidRPr="00EF5805" w:rsidRDefault="00CE2F90" w:rsidP="00CE2F90">
            <w:pPr>
              <w:pStyle w:val="Title"/>
              <w:jc w:val="left"/>
              <w:rPr>
                <w:b w:val="0"/>
                <w:sz w:val="22"/>
                <w:szCs w:val="22"/>
              </w:rPr>
            </w:pPr>
          </w:p>
        </w:tc>
        <w:tc>
          <w:tcPr>
            <w:tcW w:w="2584" w:type="dxa"/>
          </w:tcPr>
          <w:p w14:paraId="5F96860A" w14:textId="77777777" w:rsidR="00CE2F90" w:rsidRPr="00EF5805" w:rsidRDefault="00CE2F90" w:rsidP="00CE2F90">
            <w:pPr>
              <w:pStyle w:val="Title"/>
              <w:jc w:val="left"/>
              <w:rPr>
                <w:b w:val="0"/>
                <w:sz w:val="22"/>
                <w:szCs w:val="22"/>
              </w:rPr>
            </w:pPr>
          </w:p>
        </w:tc>
      </w:tr>
      <w:tr w:rsidR="00CE2F90" w:rsidRPr="00EF5805" w14:paraId="59927BF0" w14:textId="77777777" w:rsidTr="005B0206">
        <w:tc>
          <w:tcPr>
            <w:tcW w:w="1951" w:type="dxa"/>
            <w:vMerge/>
          </w:tcPr>
          <w:p w14:paraId="38C81D35" w14:textId="77777777" w:rsidR="00CE2F90" w:rsidRPr="00EF5805" w:rsidRDefault="00CE2F90" w:rsidP="00CE2F90">
            <w:pPr>
              <w:pStyle w:val="Title"/>
              <w:jc w:val="left"/>
              <w:rPr>
                <w:b w:val="0"/>
                <w:sz w:val="22"/>
                <w:szCs w:val="22"/>
              </w:rPr>
            </w:pPr>
          </w:p>
        </w:tc>
        <w:tc>
          <w:tcPr>
            <w:tcW w:w="1843" w:type="dxa"/>
          </w:tcPr>
          <w:p w14:paraId="70154CAC" w14:textId="77777777" w:rsidR="00CE2F90" w:rsidRPr="00EF5805" w:rsidRDefault="00CE2F90" w:rsidP="00CE2F90">
            <w:pPr>
              <w:pStyle w:val="Title"/>
              <w:jc w:val="left"/>
              <w:rPr>
                <w:b w:val="0"/>
                <w:sz w:val="22"/>
                <w:szCs w:val="22"/>
              </w:rPr>
            </w:pPr>
          </w:p>
        </w:tc>
        <w:tc>
          <w:tcPr>
            <w:tcW w:w="7796" w:type="dxa"/>
          </w:tcPr>
          <w:p w14:paraId="7C2B5B31" w14:textId="77777777" w:rsidR="00CE2F90" w:rsidRPr="00EF5805" w:rsidRDefault="00CE2F90" w:rsidP="00CE2F90">
            <w:pPr>
              <w:pStyle w:val="Title"/>
              <w:jc w:val="left"/>
              <w:rPr>
                <w:b w:val="0"/>
                <w:sz w:val="22"/>
                <w:szCs w:val="22"/>
              </w:rPr>
            </w:pPr>
          </w:p>
        </w:tc>
        <w:tc>
          <w:tcPr>
            <w:tcW w:w="2584" w:type="dxa"/>
          </w:tcPr>
          <w:p w14:paraId="2656589E" w14:textId="77777777" w:rsidR="00CE2F90" w:rsidRPr="00EF5805" w:rsidRDefault="00CE2F90" w:rsidP="00CE2F90">
            <w:pPr>
              <w:pStyle w:val="Title"/>
              <w:jc w:val="left"/>
              <w:rPr>
                <w:b w:val="0"/>
                <w:sz w:val="22"/>
                <w:szCs w:val="22"/>
              </w:rPr>
            </w:pPr>
          </w:p>
        </w:tc>
      </w:tr>
      <w:tr w:rsidR="00CE2F90" w:rsidRPr="00EF5805" w14:paraId="664F0C98" w14:textId="77777777" w:rsidTr="005B0206">
        <w:tc>
          <w:tcPr>
            <w:tcW w:w="1951" w:type="dxa"/>
            <w:vMerge w:val="restart"/>
            <w:tcBorders>
              <w:top w:val="single" w:sz="12" w:space="0" w:color="auto"/>
            </w:tcBorders>
          </w:tcPr>
          <w:p w14:paraId="63A99E85" w14:textId="77777777" w:rsidR="00CE2F90" w:rsidRPr="00EF5805" w:rsidRDefault="00CE2F90" w:rsidP="00CE2F90">
            <w:pPr>
              <w:pStyle w:val="Title"/>
              <w:jc w:val="left"/>
              <w:rPr>
                <w:b w:val="0"/>
                <w:sz w:val="22"/>
                <w:szCs w:val="22"/>
              </w:rPr>
            </w:pPr>
            <w:r w:rsidRPr="00EF5805">
              <w:rPr>
                <w:b w:val="0"/>
                <w:sz w:val="22"/>
                <w:szCs w:val="22"/>
              </w:rPr>
              <w:t xml:space="preserve">Other considerations </w:t>
            </w:r>
          </w:p>
        </w:tc>
        <w:tc>
          <w:tcPr>
            <w:tcW w:w="1843" w:type="dxa"/>
            <w:tcBorders>
              <w:top w:val="single" w:sz="12" w:space="0" w:color="auto"/>
            </w:tcBorders>
          </w:tcPr>
          <w:p w14:paraId="7D334993" w14:textId="3E35BC94" w:rsidR="00CE2F90" w:rsidRPr="00EF5805" w:rsidRDefault="00CE2F90" w:rsidP="00CE2F90">
            <w:pPr>
              <w:pStyle w:val="Title"/>
              <w:jc w:val="left"/>
              <w:rPr>
                <w:b w:val="0"/>
                <w:sz w:val="22"/>
                <w:szCs w:val="22"/>
              </w:rPr>
            </w:pPr>
          </w:p>
        </w:tc>
        <w:tc>
          <w:tcPr>
            <w:tcW w:w="7796" w:type="dxa"/>
            <w:tcBorders>
              <w:top w:val="single" w:sz="12" w:space="0" w:color="auto"/>
            </w:tcBorders>
          </w:tcPr>
          <w:p w14:paraId="339A96DF" w14:textId="3A6134DC" w:rsidR="00CE2F90" w:rsidRPr="00EF5805" w:rsidRDefault="00CE2F90" w:rsidP="00CE2F90">
            <w:pPr>
              <w:pStyle w:val="Title"/>
              <w:jc w:val="left"/>
              <w:rPr>
                <w:b w:val="0"/>
                <w:sz w:val="22"/>
                <w:szCs w:val="22"/>
              </w:rPr>
            </w:pPr>
          </w:p>
        </w:tc>
        <w:tc>
          <w:tcPr>
            <w:tcW w:w="2584" w:type="dxa"/>
            <w:tcBorders>
              <w:top w:val="single" w:sz="12" w:space="0" w:color="auto"/>
            </w:tcBorders>
          </w:tcPr>
          <w:p w14:paraId="4C9AB643" w14:textId="77777777" w:rsidR="00CE2F90" w:rsidRPr="00EF5805" w:rsidRDefault="00CE2F90" w:rsidP="00CE2F90">
            <w:pPr>
              <w:pStyle w:val="Title"/>
              <w:jc w:val="left"/>
              <w:rPr>
                <w:b w:val="0"/>
                <w:sz w:val="22"/>
                <w:szCs w:val="22"/>
              </w:rPr>
            </w:pPr>
          </w:p>
        </w:tc>
      </w:tr>
      <w:tr w:rsidR="00CE2F90" w:rsidRPr="00EF5805" w14:paraId="149CE1CD" w14:textId="77777777" w:rsidTr="005B0206">
        <w:tc>
          <w:tcPr>
            <w:tcW w:w="1951" w:type="dxa"/>
            <w:vMerge/>
            <w:tcBorders>
              <w:top w:val="single" w:sz="12" w:space="0" w:color="auto"/>
            </w:tcBorders>
          </w:tcPr>
          <w:p w14:paraId="01A2FE69" w14:textId="77777777" w:rsidR="00CE2F90" w:rsidRPr="00EF5805" w:rsidRDefault="00CE2F90" w:rsidP="00CE2F90">
            <w:pPr>
              <w:pStyle w:val="Title"/>
              <w:jc w:val="left"/>
              <w:rPr>
                <w:b w:val="0"/>
                <w:sz w:val="22"/>
                <w:szCs w:val="22"/>
              </w:rPr>
            </w:pPr>
          </w:p>
        </w:tc>
        <w:tc>
          <w:tcPr>
            <w:tcW w:w="1843" w:type="dxa"/>
          </w:tcPr>
          <w:p w14:paraId="6506B7CB" w14:textId="2E905FBF" w:rsidR="00CE2F90" w:rsidRPr="00EF5805" w:rsidRDefault="00CE2F90" w:rsidP="00CE2F90">
            <w:pPr>
              <w:pStyle w:val="Title"/>
              <w:jc w:val="left"/>
              <w:rPr>
                <w:b w:val="0"/>
                <w:sz w:val="22"/>
                <w:szCs w:val="22"/>
              </w:rPr>
            </w:pPr>
          </w:p>
        </w:tc>
        <w:tc>
          <w:tcPr>
            <w:tcW w:w="7796" w:type="dxa"/>
          </w:tcPr>
          <w:p w14:paraId="4DC5C2AF" w14:textId="77777777" w:rsidR="00CE2F90" w:rsidRPr="00EF5805" w:rsidRDefault="00CE2F90" w:rsidP="00CE2F90">
            <w:pPr>
              <w:spacing w:after="240"/>
            </w:pPr>
          </w:p>
        </w:tc>
        <w:tc>
          <w:tcPr>
            <w:tcW w:w="2584" w:type="dxa"/>
          </w:tcPr>
          <w:p w14:paraId="36CA9402" w14:textId="77777777" w:rsidR="00CE2F90" w:rsidRPr="00EF5805" w:rsidRDefault="00CE2F90" w:rsidP="00CE2F90">
            <w:pPr>
              <w:pStyle w:val="Title"/>
              <w:jc w:val="left"/>
              <w:rPr>
                <w:b w:val="0"/>
                <w:sz w:val="22"/>
                <w:szCs w:val="22"/>
              </w:rPr>
            </w:pPr>
          </w:p>
        </w:tc>
      </w:tr>
      <w:tr w:rsidR="00CE2F90" w:rsidRPr="00EF5805" w14:paraId="57B50557" w14:textId="77777777" w:rsidTr="005B0206">
        <w:tc>
          <w:tcPr>
            <w:tcW w:w="1951" w:type="dxa"/>
            <w:vMerge/>
            <w:tcBorders>
              <w:top w:val="single" w:sz="12" w:space="0" w:color="auto"/>
            </w:tcBorders>
          </w:tcPr>
          <w:p w14:paraId="618F3D7A" w14:textId="77777777" w:rsidR="00CE2F90" w:rsidRPr="00EF5805" w:rsidRDefault="00CE2F90" w:rsidP="00CE2F90">
            <w:pPr>
              <w:pStyle w:val="Title"/>
              <w:jc w:val="left"/>
              <w:rPr>
                <w:b w:val="0"/>
                <w:sz w:val="22"/>
                <w:szCs w:val="22"/>
              </w:rPr>
            </w:pPr>
          </w:p>
        </w:tc>
        <w:tc>
          <w:tcPr>
            <w:tcW w:w="1843" w:type="dxa"/>
          </w:tcPr>
          <w:p w14:paraId="4F366083" w14:textId="77777777" w:rsidR="00CE2F90" w:rsidRPr="00EF5805" w:rsidRDefault="00CE2F90" w:rsidP="00CE2F90">
            <w:pPr>
              <w:pStyle w:val="Title"/>
              <w:jc w:val="left"/>
              <w:rPr>
                <w:b w:val="0"/>
                <w:sz w:val="22"/>
                <w:szCs w:val="22"/>
              </w:rPr>
            </w:pPr>
          </w:p>
        </w:tc>
        <w:tc>
          <w:tcPr>
            <w:tcW w:w="7796" w:type="dxa"/>
          </w:tcPr>
          <w:p w14:paraId="742170B5" w14:textId="77777777" w:rsidR="00CE2F90" w:rsidRPr="00EF5805" w:rsidRDefault="00CE2F90" w:rsidP="00CE2F90">
            <w:pPr>
              <w:spacing w:after="240"/>
            </w:pPr>
          </w:p>
        </w:tc>
        <w:tc>
          <w:tcPr>
            <w:tcW w:w="2584" w:type="dxa"/>
          </w:tcPr>
          <w:p w14:paraId="41EDB7E8" w14:textId="77777777" w:rsidR="00CE2F90" w:rsidRPr="00EF5805" w:rsidRDefault="00CE2F90" w:rsidP="00CE2F90">
            <w:pPr>
              <w:pStyle w:val="Title"/>
              <w:jc w:val="left"/>
              <w:rPr>
                <w:b w:val="0"/>
                <w:sz w:val="22"/>
                <w:szCs w:val="22"/>
              </w:rPr>
            </w:pPr>
          </w:p>
        </w:tc>
      </w:tr>
      <w:tr w:rsidR="00CE2F90" w:rsidRPr="00EF5805" w14:paraId="5713FB67" w14:textId="77777777" w:rsidTr="005B0206">
        <w:tc>
          <w:tcPr>
            <w:tcW w:w="1951" w:type="dxa"/>
            <w:vMerge/>
            <w:tcBorders>
              <w:top w:val="single" w:sz="12" w:space="0" w:color="auto"/>
            </w:tcBorders>
          </w:tcPr>
          <w:p w14:paraId="569AAE13" w14:textId="77777777" w:rsidR="00CE2F90" w:rsidRPr="00EF5805" w:rsidRDefault="00CE2F90" w:rsidP="00CE2F90">
            <w:pPr>
              <w:pStyle w:val="Title"/>
              <w:jc w:val="left"/>
              <w:rPr>
                <w:b w:val="0"/>
                <w:sz w:val="22"/>
                <w:szCs w:val="22"/>
              </w:rPr>
            </w:pPr>
          </w:p>
        </w:tc>
        <w:tc>
          <w:tcPr>
            <w:tcW w:w="1843" w:type="dxa"/>
          </w:tcPr>
          <w:p w14:paraId="0714F615" w14:textId="77777777" w:rsidR="00CE2F90" w:rsidRPr="00EF5805" w:rsidRDefault="00CE2F90" w:rsidP="00CE2F90">
            <w:pPr>
              <w:pStyle w:val="Title"/>
              <w:jc w:val="left"/>
              <w:rPr>
                <w:b w:val="0"/>
                <w:sz w:val="22"/>
                <w:szCs w:val="22"/>
              </w:rPr>
            </w:pPr>
          </w:p>
        </w:tc>
        <w:tc>
          <w:tcPr>
            <w:tcW w:w="7796" w:type="dxa"/>
          </w:tcPr>
          <w:p w14:paraId="4A313BAD" w14:textId="77777777" w:rsidR="00CE2F90" w:rsidRPr="00EF5805" w:rsidRDefault="00CE2F90" w:rsidP="00CE2F90">
            <w:pPr>
              <w:spacing w:after="240"/>
            </w:pPr>
          </w:p>
        </w:tc>
        <w:tc>
          <w:tcPr>
            <w:tcW w:w="2584" w:type="dxa"/>
          </w:tcPr>
          <w:p w14:paraId="5DCB3097" w14:textId="77777777" w:rsidR="00CE2F90" w:rsidRPr="00EF5805" w:rsidRDefault="00CE2F90" w:rsidP="00CE2F90">
            <w:pPr>
              <w:pStyle w:val="Title"/>
              <w:jc w:val="left"/>
              <w:rPr>
                <w:b w:val="0"/>
                <w:sz w:val="22"/>
                <w:szCs w:val="22"/>
              </w:rPr>
            </w:pPr>
          </w:p>
        </w:tc>
      </w:tr>
      <w:tr w:rsidR="00CE2F90" w:rsidRPr="00EF5805" w14:paraId="63373BEE" w14:textId="77777777" w:rsidTr="005B0206">
        <w:tc>
          <w:tcPr>
            <w:tcW w:w="1951" w:type="dxa"/>
            <w:vMerge/>
            <w:tcBorders>
              <w:top w:val="single" w:sz="12" w:space="0" w:color="auto"/>
              <w:bottom w:val="single" w:sz="12" w:space="0" w:color="auto"/>
            </w:tcBorders>
          </w:tcPr>
          <w:p w14:paraId="34A0837F" w14:textId="77777777" w:rsidR="00CE2F90" w:rsidRPr="00EF5805" w:rsidRDefault="00CE2F90" w:rsidP="00CE2F90">
            <w:pPr>
              <w:pStyle w:val="Title"/>
              <w:jc w:val="left"/>
              <w:rPr>
                <w:b w:val="0"/>
                <w:sz w:val="22"/>
                <w:szCs w:val="22"/>
              </w:rPr>
            </w:pPr>
          </w:p>
        </w:tc>
        <w:tc>
          <w:tcPr>
            <w:tcW w:w="1843" w:type="dxa"/>
            <w:tcBorders>
              <w:bottom w:val="single" w:sz="12" w:space="0" w:color="auto"/>
            </w:tcBorders>
          </w:tcPr>
          <w:p w14:paraId="0CE17A41" w14:textId="77777777" w:rsidR="00CE2F90" w:rsidRPr="00EF5805" w:rsidRDefault="00CE2F90" w:rsidP="00CE2F90">
            <w:pPr>
              <w:pStyle w:val="Title"/>
              <w:jc w:val="left"/>
              <w:rPr>
                <w:b w:val="0"/>
                <w:sz w:val="22"/>
                <w:szCs w:val="22"/>
              </w:rPr>
            </w:pPr>
          </w:p>
        </w:tc>
        <w:tc>
          <w:tcPr>
            <w:tcW w:w="7796" w:type="dxa"/>
            <w:tcBorders>
              <w:bottom w:val="single" w:sz="12" w:space="0" w:color="auto"/>
            </w:tcBorders>
          </w:tcPr>
          <w:p w14:paraId="411BBE4B" w14:textId="77777777" w:rsidR="00CE2F90" w:rsidRPr="00EF5805" w:rsidRDefault="00CE2F90" w:rsidP="00CE2F90">
            <w:pPr>
              <w:pStyle w:val="Title"/>
              <w:jc w:val="left"/>
              <w:rPr>
                <w:b w:val="0"/>
                <w:sz w:val="22"/>
                <w:szCs w:val="22"/>
              </w:rPr>
            </w:pPr>
          </w:p>
        </w:tc>
        <w:tc>
          <w:tcPr>
            <w:tcW w:w="2584" w:type="dxa"/>
            <w:tcBorders>
              <w:bottom w:val="single" w:sz="12" w:space="0" w:color="auto"/>
            </w:tcBorders>
          </w:tcPr>
          <w:p w14:paraId="6060234D" w14:textId="77777777" w:rsidR="00CE2F90" w:rsidRPr="00EF5805" w:rsidRDefault="00CE2F90" w:rsidP="00CE2F90">
            <w:pPr>
              <w:pStyle w:val="Title"/>
              <w:jc w:val="left"/>
              <w:rPr>
                <w:b w:val="0"/>
                <w:sz w:val="22"/>
                <w:szCs w:val="22"/>
              </w:rPr>
            </w:pPr>
          </w:p>
        </w:tc>
      </w:tr>
      <w:tr w:rsidR="00CE2F90" w:rsidRPr="00EF5805" w14:paraId="39000C37" w14:textId="77777777" w:rsidTr="005B0206">
        <w:tc>
          <w:tcPr>
            <w:tcW w:w="1951" w:type="dxa"/>
            <w:vMerge w:val="restart"/>
            <w:tcBorders>
              <w:top w:val="single" w:sz="12" w:space="0" w:color="auto"/>
            </w:tcBorders>
          </w:tcPr>
          <w:p w14:paraId="5902F612" w14:textId="77777777" w:rsidR="00CE2F90" w:rsidRPr="00EF5805" w:rsidRDefault="00CE2F90" w:rsidP="00CE2F90">
            <w:pPr>
              <w:pStyle w:val="Title"/>
              <w:jc w:val="left"/>
              <w:rPr>
                <w:b w:val="0"/>
                <w:sz w:val="22"/>
                <w:szCs w:val="22"/>
              </w:rPr>
            </w:pPr>
            <w:r w:rsidRPr="00EF5805">
              <w:rPr>
                <w:b w:val="0"/>
                <w:sz w:val="22"/>
                <w:szCs w:val="22"/>
              </w:rPr>
              <w:t>Questions for consultation</w:t>
            </w:r>
          </w:p>
        </w:tc>
        <w:tc>
          <w:tcPr>
            <w:tcW w:w="1843" w:type="dxa"/>
            <w:tcBorders>
              <w:top w:val="single" w:sz="12" w:space="0" w:color="auto"/>
            </w:tcBorders>
          </w:tcPr>
          <w:p w14:paraId="61A6FDDC" w14:textId="4A978B0D" w:rsidR="00CE2F90" w:rsidRPr="00EF5805" w:rsidRDefault="00CE2F90" w:rsidP="00CE2F90">
            <w:pPr>
              <w:pStyle w:val="Title"/>
              <w:jc w:val="left"/>
              <w:rPr>
                <w:b w:val="0"/>
                <w:sz w:val="22"/>
                <w:szCs w:val="22"/>
              </w:rPr>
            </w:pPr>
            <w:r w:rsidRPr="00EF5805">
              <w:rPr>
                <w:b w:val="0"/>
                <w:sz w:val="22"/>
                <w:szCs w:val="22"/>
              </w:rPr>
              <w:t>Seagen</w:t>
            </w:r>
          </w:p>
        </w:tc>
        <w:tc>
          <w:tcPr>
            <w:tcW w:w="7796" w:type="dxa"/>
            <w:tcBorders>
              <w:top w:val="single" w:sz="12" w:space="0" w:color="auto"/>
            </w:tcBorders>
          </w:tcPr>
          <w:p w14:paraId="312E67A4" w14:textId="77777777" w:rsidR="00CE2F90" w:rsidRPr="00EF5805" w:rsidRDefault="00CE2F90" w:rsidP="00CE2F90">
            <w:pPr>
              <w:spacing w:before="120" w:after="120"/>
              <w:rPr>
                <w:i/>
                <w:iCs/>
              </w:rPr>
            </w:pPr>
            <w:r w:rsidRPr="00EF5805">
              <w:rPr>
                <w:b/>
                <w:bCs/>
                <w:i/>
                <w:iCs/>
              </w:rPr>
              <w:t>Q1.</w:t>
            </w:r>
            <w:r w:rsidRPr="00EF5805">
              <w:rPr>
                <w:i/>
                <w:iCs/>
              </w:rPr>
              <w:t xml:space="preserve"> Where do you consider tucatinib with trastuzumab will fit into the existing care pathway for unresectable or metastatic HER2</w:t>
            </w:r>
            <w:r w:rsidRPr="00EF5805">
              <w:rPr>
                <w:i/>
                <w:iCs/>
              </w:rPr>
              <w:noBreakHyphen/>
              <w:t>positive colorectal cancer?</w:t>
            </w:r>
          </w:p>
          <w:p w14:paraId="5C4AC47C" w14:textId="412153DA" w:rsidR="00CE2F90" w:rsidRPr="00EF5805" w:rsidRDefault="00CE2F90" w:rsidP="00CE2F90">
            <w:pPr>
              <w:spacing w:before="120" w:after="120"/>
            </w:pPr>
            <w:r w:rsidRPr="00EF5805">
              <w:t xml:space="preserve">We consider tucatinib in combination with trastuzumab as a treatment option </w:t>
            </w:r>
            <w:r w:rsidR="00640AFE" w:rsidRPr="00640AFE">
              <w:rPr>
                <w:highlight w:val="black"/>
                <w:u w:val="single"/>
              </w:rPr>
              <w:t>*********************************************************************************************************************************************************************************************************</w:t>
            </w:r>
            <w:r w:rsidRPr="00EF5805">
              <w:t>, in line with the proposed indication.</w:t>
            </w:r>
          </w:p>
          <w:p w14:paraId="3B60B4F2" w14:textId="77777777" w:rsidR="00CE2F90" w:rsidRPr="00EF5805" w:rsidRDefault="00CE2F90" w:rsidP="00CE2F90">
            <w:pPr>
              <w:spacing w:before="120" w:after="120"/>
              <w:rPr>
                <w:i/>
                <w:iCs/>
              </w:rPr>
            </w:pPr>
            <w:r w:rsidRPr="00EF5805">
              <w:rPr>
                <w:b/>
                <w:bCs/>
                <w:i/>
                <w:iCs/>
              </w:rPr>
              <w:t>Q2.</w:t>
            </w:r>
            <w:r w:rsidRPr="00EF5805">
              <w:rPr>
                <w:i/>
                <w:iCs/>
              </w:rPr>
              <w:t xml:space="preserve"> When would best supportive care be used in the treatment of unresectable or metastatic HER2-positive colorectal cancer?</w:t>
            </w:r>
          </w:p>
          <w:p w14:paraId="080A70F9" w14:textId="77777777" w:rsidR="00CE2F90" w:rsidRPr="00EF5805" w:rsidRDefault="00CE2F90" w:rsidP="00CE2F90">
            <w:pPr>
              <w:spacing w:before="120" w:after="120"/>
            </w:pPr>
            <w:r w:rsidRPr="00EF5805">
              <w:t>Best supportive care is a treatment option typically given later in the treatment pathway, after where tucatinib in combination with trastuzumab will be placed. As treatment with tucatinib in combination with trastuzumab would be used before best supportive care, we believe best supportive care is not a direct comparator of the intervention.</w:t>
            </w:r>
          </w:p>
          <w:p w14:paraId="139CB7C2" w14:textId="77777777" w:rsidR="00CE2F90" w:rsidRPr="00EF5805" w:rsidRDefault="00CE2F90" w:rsidP="00CE2F90">
            <w:pPr>
              <w:keepNext/>
              <w:keepLines/>
              <w:spacing w:before="120" w:after="120"/>
              <w:rPr>
                <w:i/>
                <w:iCs/>
              </w:rPr>
            </w:pPr>
            <w:r w:rsidRPr="00EF5805">
              <w:rPr>
                <w:b/>
                <w:bCs/>
                <w:i/>
                <w:iCs/>
              </w:rPr>
              <w:t>Q3.</w:t>
            </w:r>
            <w:r w:rsidRPr="00EF5805">
              <w:rPr>
                <w:i/>
                <w:iCs/>
              </w:rPr>
              <w:t xml:space="preserve"> Are there any subgroups for which tucatinib with trastuzumab would be expected to be more clinically and cost effective?</w:t>
            </w:r>
          </w:p>
          <w:p w14:paraId="7E4242E6" w14:textId="77777777" w:rsidR="00CE2F90" w:rsidRPr="00EF5805" w:rsidRDefault="00CE2F90" w:rsidP="00CE2F90">
            <w:pPr>
              <w:spacing w:before="120" w:after="120"/>
            </w:pPr>
            <w:r w:rsidRPr="00EF5805">
              <w:t>No, we do not consider there to be any subgroups for which tucatinib in combination with trastuzumab would be expected to be more clinically and/or cost effective.</w:t>
            </w:r>
          </w:p>
          <w:p w14:paraId="4F0D5EF3" w14:textId="77777777" w:rsidR="00CE2F90" w:rsidRPr="00EF5805" w:rsidRDefault="00CE2F90" w:rsidP="00CE2F90">
            <w:pPr>
              <w:keepNext/>
              <w:keepLines/>
              <w:spacing w:before="120" w:after="120"/>
              <w:rPr>
                <w:i/>
                <w:iCs/>
              </w:rPr>
            </w:pPr>
            <w:r w:rsidRPr="00EF5805">
              <w:rPr>
                <w:b/>
                <w:bCs/>
                <w:i/>
                <w:iCs/>
              </w:rPr>
              <w:t>Q4.</w:t>
            </w:r>
            <w:r w:rsidRPr="00EF5805">
              <w:rPr>
                <w:i/>
                <w:iCs/>
              </w:rPr>
              <w:t xml:space="preserve"> Do you consider tucatinib with trastuzumab to be appropriate for people with RAS wild-type and BRAF 600 metastatic colorectal cancer?</w:t>
            </w:r>
          </w:p>
          <w:p w14:paraId="36D509E6" w14:textId="5419DC72" w:rsidR="00640AFE" w:rsidRDefault="00640AFE" w:rsidP="00CE2F90">
            <w:pPr>
              <w:spacing w:before="120" w:after="120"/>
              <w:rPr>
                <w:u w:val="single"/>
              </w:rPr>
            </w:pPr>
            <w:r w:rsidRPr="00640AFE">
              <w:rPr>
                <w:highlight w:val="black"/>
                <w:u w:val="single"/>
              </w:rPr>
              <w:t>********************************************************************************************************************************************************************************</w:t>
            </w:r>
            <w:r w:rsidRPr="00640AFE">
              <w:rPr>
                <w:highlight w:val="black"/>
                <w:u w:val="single"/>
              </w:rPr>
              <w:lastRenderedPageBreak/>
              <w:t>***********************</w:t>
            </w:r>
            <w:r>
              <w:rPr>
                <w:highlight w:val="black"/>
                <w:u w:val="single"/>
              </w:rPr>
              <w:t>*****************************************************************************</w:t>
            </w:r>
            <w:r w:rsidRPr="00640AFE">
              <w:rPr>
                <w:highlight w:val="black"/>
                <w:u w:val="single"/>
              </w:rPr>
              <w:t>**</w:t>
            </w:r>
          </w:p>
          <w:p w14:paraId="5F1345A3" w14:textId="3D1A58FF" w:rsidR="00CE2F90" w:rsidRDefault="00CE2F90" w:rsidP="00CE2F90">
            <w:pPr>
              <w:spacing w:before="120" w:after="120"/>
            </w:pPr>
            <w:r w:rsidRPr="00EF5805">
              <w:t>HER2 is a known actionable target, so any patient with a HER2-postive colorectal cancer could receive benefit from tucatinib and trastuzumab. This includes patients with MSI high/MMR and BRAF/ RAS mutations. We would propose that tucatinib and trastuzumab is positioned after the current NICE approved therapies for these indications (MSI/MMR and BRAF).</w:t>
            </w:r>
          </w:p>
          <w:p w14:paraId="2BFBC956" w14:textId="175BD8B9" w:rsidR="00640AFE" w:rsidRPr="00EF5805" w:rsidRDefault="00640AFE" w:rsidP="00CE2F90">
            <w:pPr>
              <w:spacing w:before="120" w:after="120"/>
            </w:pPr>
            <w:r w:rsidRPr="00640AFE">
              <w:rPr>
                <w:highlight w:val="black"/>
                <w:u w:val="single"/>
              </w:rPr>
              <w:t>*************************************************************************************************************************************************************************************************</w:t>
            </w:r>
            <w:r>
              <w:rPr>
                <w:highlight w:val="black"/>
                <w:u w:val="single"/>
              </w:rPr>
              <w:t>**********************************************************************************************************************************************************************************</w:t>
            </w:r>
            <w:r w:rsidRPr="00640AFE">
              <w:rPr>
                <w:highlight w:val="black"/>
                <w:u w:val="single"/>
              </w:rPr>
              <w:t>********</w:t>
            </w:r>
          </w:p>
          <w:p w14:paraId="5CA01276" w14:textId="77777777" w:rsidR="00CE2F90" w:rsidRPr="00EF5805" w:rsidRDefault="00CE2F90" w:rsidP="00CE2F90">
            <w:pPr>
              <w:keepNext/>
              <w:keepLines/>
              <w:spacing w:before="120" w:after="120"/>
              <w:rPr>
                <w:i/>
                <w:iCs/>
              </w:rPr>
            </w:pPr>
            <w:r w:rsidRPr="00EF5805">
              <w:rPr>
                <w:b/>
                <w:bCs/>
                <w:i/>
                <w:iCs/>
              </w:rPr>
              <w:t>Q5.</w:t>
            </w:r>
            <w:r w:rsidRPr="00EF5805">
              <w:rPr>
                <w:i/>
                <w:iCs/>
              </w:rPr>
              <w:t xml:space="preserve"> Which treatments do you consider to be the comparators of tucatinib with trastuzumab?</w:t>
            </w:r>
          </w:p>
          <w:p w14:paraId="03F12418" w14:textId="77777777" w:rsidR="00CE2F90" w:rsidRPr="00EF5805" w:rsidRDefault="00CE2F90" w:rsidP="00CE2F90">
            <w:pPr>
              <w:spacing w:before="120" w:after="120"/>
            </w:pPr>
            <w:r w:rsidRPr="00EF5805">
              <w:t>We consider both regorafenib and trifluridine</w:t>
            </w:r>
            <w:r w:rsidRPr="00EF5805">
              <w:noBreakHyphen/>
              <w:t xml:space="preserve">tipiracil as direct comparators of tucatinib in combination with trastuzumab. Both regorafenib </w:t>
            </w:r>
            <w:r w:rsidRPr="00EF5805">
              <w:fldChar w:fldCharType="begin"/>
            </w:r>
            <w:r w:rsidRPr="00EF5805">
              <w:instrText xml:space="preserve"> ADDIN EN.CITE &lt;EndNote&gt;&lt;Cite ExcludeYear="1"&gt;&lt;Author&gt;National Institute for Health and Care Excellence&lt;/Author&gt;&lt;RecNum&gt;14&lt;/RecNum&gt;&lt;DisplayText&gt;(8)&lt;/DisplayText&gt;&lt;record&gt;&lt;rec-number&gt;14&lt;/rec-number&gt;&lt;foreign-keys&gt;&lt;key app="EN" db-id="aa59dp9zszxsfjexx92xpet6p0r0zz2ww9wv" timestamp="1689002114"&gt;14&lt;/key&gt;&lt;/foreign-keys&gt;&lt;ref-type name="Journal Article"&gt;17&lt;/ref-type&gt;&lt;contributors&gt;&lt;authors&gt;&lt;author&gt;National Institute for Health and Care Excellence,&lt;/author&gt;&lt;/authors&gt;&lt;/contributors&gt;&lt;titles&gt;&lt;title&gt;Regorafenib for previously treated metastatic colorectal cancer. Technology appraisal guidance [TA866]. Published: 08 February 2023. Available at: https://www.nice.org.uk/guidance/ta866 (Accessed July 2023)&lt;/title&gt;&lt;/titles&gt;&lt;dates&gt;&lt;/dates&gt;&lt;urls&gt;&lt;/urls&gt;&lt;/record&gt;&lt;/Cite&gt;&lt;/EndNote&gt;</w:instrText>
            </w:r>
            <w:r w:rsidRPr="00EF5805">
              <w:fldChar w:fldCharType="separate"/>
            </w:r>
            <w:r w:rsidRPr="00EF5805">
              <w:rPr>
                <w:noProof/>
              </w:rPr>
              <w:t>(</w:t>
            </w:r>
            <w:hyperlink w:anchor="_ENREF_8" w:tooltip="National Institute for Health and Care Excellence,  #14" w:history="1">
              <w:r w:rsidRPr="00EF5805">
                <w:rPr>
                  <w:noProof/>
                </w:rPr>
                <w:t>8</w:t>
              </w:r>
            </w:hyperlink>
            <w:r w:rsidRPr="00EF5805">
              <w:rPr>
                <w:noProof/>
              </w:rPr>
              <w:t>)</w:t>
            </w:r>
            <w:r w:rsidRPr="00EF5805">
              <w:fldChar w:fldCharType="end"/>
            </w:r>
            <w:r w:rsidRPr="00EF5805">
              <w:t xml:space="preserve"> and trifluridine</w:t>
            </w:r>
            <w:r w:rsidRPr="00EF5805">
              <w:noBreakHyphen/>
              <w:t xml:space="preserve">tipiracil </w:t>
            </w:r>
            <w:r w:rsidRPr="00EF5805">
              <w:fldChar w:fldCharType="begin"/>
            </w:r>
            <w:r w:rsidRPr="00EF5805">
              <w:instrText xml:space="preserve"> ADDIN EN.CITE &lt;EndNote&gt;&lt;Cite ExcludeYear="1"&gt;&lt;Author&gt;National Institute for Health and Care Excellence&lt;/Author&gt;&lt;RecNum&gt;16&lt;/RecNum&gt;&lt;DisplayText&gt;(11)&lt;/DisplayText&gt;&lt;record&gt;&lt;rec-number&gt;16&lt;/rec-number&gt;&lt;foreign-keys&gt;&lt;key app="EN" db-id="aa59dp9zszxsfjexx92xpet6p0r0zz2ww9wv" timestamp="1689261117"&gt;16&lt;/key&gt;&lt;/foreign-keys&gt;&lt;ref-type name="Journal Article"&gt;17&lt;/ref-type&gt;&lt;contributors&gt;&lt;authors&gt;&lt;author&gt;National Institute for Health and Care Excellence,&lt;/author&gt;&lt;/authors&gt;&lt;/contributors&gt;&lt;titles&gt;&lt;title&gt;Trifluridine–tipiracil for previously treated metastatic colorectal cancer. Technology appraisal guidance [TA405]. Published: 24 August 2016. Available at: https://www.nice.org.uk/guidance/ta405 (Accessed July 2023)&lt;/title&gt;&lt;/titles&gt;&lt;dates&gt;&lt;/dates&gt;&lt;urls&gt;&lt;/urls&gt;&lt;/record&gt;&lt;/Cite&gt;&lt;/EndNote&gt;</w:instrText>
            </w:r>
            <w:r w:rsidRPr="00EF5805">
              <w:fldChar w:fldCharType="separate"/>
            </w:r>
            <w:r w:rsidRPr="00EF5805">
              <w:rPr>
                <w:noProof/>
              </w:rPr>
              <w:t>(</w:t>
            </w:r>
            <w:hyperlink w:anchor="_ENREF_11" w:tooltip="National Institute for Health and Care Excellence,  #16" w:history="1">
              <w:r w:rsidRPr="00EF5805">
                <w:rPr>
                  <w:noProof/>
                </w:rPr>
                <w:t>11</w:t>
              </w:r>
            </w:hyperlink>
            <w:r w:rsidRPr="00EF5805">
              <w:rPr>
                <w:noProof/>
              </w:rPr>
              <w:t>)</w:t>
            </w:r>
            <w:r w:rsidRPr="00EF5805">
              <w:fldChar w:fldCharType="end"/>
            </w:r>
            <w:r w:rsidRPr="00EF5805">
              <w:t xml:space="preserve"> are NICE</w:t>
            </w:r>
            <w:r w:rsidRPr="00EF5805">
              <w:noBreakHyphen/>
              <w:t>recommended available treatment options for patients with metastatic colorectal cancer who have received prior therapy and are positioned similarly to where tucatinib in combination with trastuzumab will be placed in the treatment pathway.</w:t>
            </w:r>
          </w:p>
          <w:p w14:paraId="550268E3" w14:textId="77777777" w:rsidR="00CE2F90" w:rsidRPr="00EF5805" w:rsidRDefault="00CE2F90" w:rsidP="00CE2F90">
            <w:pPr>
              <w:keepNext/>
              <w:keepLines/>
              <w:spacing w:before="120" w:after="120"/>
              <w:rPr>
                <w:i/>
                <w:iCs/>
              </w:rPr>
            </w:pPr>
            <w:r w:rsidRPr="00EF5805">
              <w:rPr>
                <w:b/>
                <w:bCs/>
                <w:i/>
                <w:iCs/>
              </w:rPr>
              <w:t>Q6.</w:t>
            </w:r>
            <w:r w:rsidRPr="00EF5805">
              <w:rPr>
                <w:i/>
                <w:iCs/>
              </w:rPr>
              <w:t xml:space="preserve"> Would tucatinib with trastuzumab be a candidate for managed access?</w:t>
            </w:r>
          </w:p>
          <w:p w14:paraId="587EA0D5" w14:textId="77777777" w:rsidR="00CE2F90" w:rsidRPr="00EF5805" w:rsidRDefault="00CE2F90" w:rsidP="00CE2F90">
            <w:pPr>
              <w:spacing w:before="120" w:after="120"/>
            </w:pPr>
            <w:r w:rsidRPr="00EF5805">
              <w:t>We do not consider tucatinib in combination with trastuzumab to be a candidate for managed access.</w:t>
            </w:r>
          </w:p>
          <w:p w14:paraId="0CECF974" w14:textId="77777777" w:rsidR="00CE2F90" w:rsidRPr="00EF5805" w:rsidRDefault="00CE2F90" w:rsidP="00CE2F90">
            <w:pPr>
              <w:spacing w:before="120" w:after="120"/>
              <w:rPr>
                <w:i/>
                <w:iCs/>
              </w:rPr>
            </w:pPr>
            <w:r w:rsidRPr="00EF5805">
              <w:rPr>
                <w:b/>
                <w:bCs/>
                <w:i/>
                <w:iCs/>
              </w:rPr>
              <w:t>Q7.</w:t>
            </w:r>
            <w:r w:rsidRPr="00EF5805">
              <w:rPr>
                <w:i/>
                <w:iCs/>
              </w:rPr>
              <w:t xml:space="preserve"> Do you consider that the use of tucatinib with trastuzumab can result in any potential substantial health-related benefits that are unlikely to be included in the QALY calculation?</w:t>
            </w:r>
          </w:p>
          <w:p w14:paraId="7A2A8418" w14:textId="77777777" w:rsidR="00CE2F90" w:rsidRPr="00EF5805" w:rsidRDefault="00CE2F90" w:rsidP="00CE2F90">
            <w:pPr>
              <w:spacing w:before="120" w:after="120"/>
            </w:pPr>
            <w:r w:rsidRPr="00EF5805">
              <w:lastRenderedPageBreak/>
              <w:t xml:space="preserve">Clinical expert opinion has indicated that the response rate seen for the tucatinib with trastuzumab combination in the MOUNTAINEER study will have a potential substantial effect on quality of life which is unlikely to be included in the QALY calculation. </w:t>
            </w:r>
          </w:p>
          <w:p w14:paraId="4C1A8C52" w14:textId="77777777" w:rsidR="00CE2F90" w:rsidRPr="00EF5805" w:rsidRDefault="00CE2F90" w:rsidP="00CE2F90">
            <w:pPr>
              <w:spacing w:before="120" w:after="120"/>
              <w:rPr>
                <w:i/>
                <w:iCs/>
              </w:rPr>
            </w:pPr>
            <w:r w:rsidRPr="00EF5805">
              <w:rPr>
                <w:b/>
                <w:bCs/>
                <w:i/>
                <w:iCs/>
              </w:rPr>
              <w:t>Q8.</w:t>
            </w:r>
            <w:r w:rsidRPr="00EF5805">
              <w:rPr>
                <w:i/>
                <w:iCs/>
              </w:rPr>
              <w:t xml:space="preserve"> Please identify the nature of the data which you understand to be available to enable the committee to take account of these benefits.</w:t>
            </w:r>
          </w:p>
          <w:p w14:paraId="31860C84" w14:textId="77777777" w:rsidR="00CE2F90" w:rsidRPr="00EF5805" w:rsidRDefault="00CE2F90" w:rsidP="00CE2F90">
            <w:pPr>
              <w:spacing w:before="120" w:after="120"/>
            </w:pPr>
            <w:r w:rsidRPr="00EF5805">
              <w:t>Objective response rate was a primary outcome measure of the MOUNTAINEER study.</w:t>
            </w:r>
          </w:p>
          <w:p w14:paraId="7E9AFEEA" w14:textId="77777777" w:rsidR="00CE2F90" w:rsidRPr="00EF5805" w:rsidRDefault="00CE2F90" w:rsidP="00CE2F90">
            <w:pPr>
              <w:spacing w:before="120" w:after="120"/>
              <w:rPr>
                <w:i/>
                <w:iCs/>
              </w:rPr>
            </w:pPr>
            <w:r w:rsidRPr="00EF5805">
              <w:rPr>
                <w:b/>
                <w:bCs/>
                <w:i/>
                <w:iCs/>
              </w:rPr>
              <w:t>Q9.</w:t>
            </w:r>
            <w:r w:rsidRPr="00EF5805">
              <w:rPr>
                <w:i/>
                <w:iCs/>
              </w:rPr>
              <w:t xml:space="preserve"> NICE is committed to promoting equality of opportunity, eliminating unlawful discrimination and fostering good relations between people with particular protected characteristics and others. Please let us know if you think that the proposed remit and scope may need changing in order to meet these aims. In particular, please tell us if the proposed remit and scope:</w:t>
            </w:r>
          </w:p>
          <w:p w14:paraId="1B32447B" w14:textId="77777777" w:rsidR="00CE2F90" w:rsidRPr="00EF5805" w:rsidRDefault="00CE2F90" w:rsidP="00CE2F90">
            <w:pPr>
              <w:keepNext/>
              <w:keepLines/>
              <w:spacing w:before="120" w:after="120"/>
              <w:rPr>
                <w:i/>
                <w:iCs/>
              </w:rPr>
            </w:pPr>
            <w:r w:rsidRPr="00EF5805">
              <w:rPr>
                <w:b/>
                <w:bCs/>
                <w:i/>
                <w:iCs/>
              </w:rPr>
              <w:t>a).</w:t>
            </w:r>
            <w:r w:rsidRPr="00EF5805">
              <w:rPr>
                <w:i/>
                <w:iCs/>
              </w:rPr>
              <w:t xml:space="preserve"> Could exclude from full consideration any people protected by the equality legislation who fall within the patient population for which tucatinib with trastuzumab will be licensed.</w:t>
            </w:r>
          </w:p>
          <w:p w14:paraId="7279E4B1" w14:textId="77777777" w:rsidR="00CE2F90" w:rsidRPr="00EF5805" w:rsidRDefault="00CE2F90" w:rsidP="00CE2F90">
            <w:pPr>
              <w:spacing w:before="120" w:after="120"/>
            </w:pPr>
            <w:r w:rsidRPr="00EF5805">
              <w:t>No equity or equality issues have been identified following the availability and use of tucatinib in combination with trastuzumab in the proposed indication.</w:t>
            </w:r>
          </w:p>
          <w:p w14:paraId="49475B7A" w14:textId="77777777" w:rsidR="00CE2F90" w:rsidRPr="00EF5805" w:rsidRDefault="00CE2F90" w:rsidP="00CE2F90">
            <w:pPr>
              <w:keepNext/>
              <w:keepLines/>
              <w:spacing w:before="120" w:after="120"/>
              <w:rPr>
                <w:i/>
                <w:iCs/>
              </w:rPr>
            </w:pPr>
            <w:r w:rsidRPr="00EF5805">
              <w:rPr>
                <w:b/>
                <w:bCs/>
                <w:i/>
                <w:iCs/>
              </w:rPr>
              <w:t>b).</w:t>
            </w:r>
            <w:r w:rsidRPr="00EF5805">
              <w:rPr>
                <w:i/>
                <w:iCs/>
              </w:rPr>
              <w:t xml:space="preserve"> Could lead to recommendations that have a different impact on people protected by the equality legislation than on the wider population, e.g. by making it more difficult in practice for a specific group to access the technology</w:t>
            </w:r>
          </w:p>
          <w:p w14:paraId="518D36DA" w14:textId="77777777" w:rsidR="00CE2F90" w:rsidRPr="00EF5805" w:rsidRDefault="00CE2F90" w:rsidP="00CE2F90">
            <w:pPr>
              <w:spacing w:before="120" w:after="120"/>
            </w:pPr>
            <w:r w:rsidRPr="00EF5805">
              <w:t>No equity or equality issues have been identified following the availability and use of tucatinib in combination with trastuzumab in the proposed indication.</w:t>
            </w:r>
          </w:p>
          <w:p w14:paraId="317E39BD" w14:textId="77777777" w:rsidR="00CE2F90" w:rsidRPr="00EF5805" w:rsidRDefault="00CE2F90" w:rsidP="00CE2F90">
            <w:pPr>
              <w:spacing w:before="120" w:after="120"/>
              <w:rPr>
                <w:i/>
                <w:iCs/>
              </w:rPr>
            </w:pPr>
            <w:r w:rsidRPr="00EF5805">
              <w:rPr>
                <w:b/>
                <w:bCs/>
              </w:rPr>
              <w:t>c</w:t>
            </w:r>
            <w:r w:rsidRPr="00EF5805">
              <w:rPr>
                <w:b/>
                <w:bCs/>
                <w:i/>
                <w:iCs/>
              </w:rPr>
              <w:t>).</w:t>
            </w:r>
            <w:r w:rsidRPr="00EF5805">
              <w:rPr>
                <w:i/>
                <w:iCs/>
              </w:rPr>
              <w:t xml:space="preserve"> Could have any adverse impact on people with a particular disability or disabilities.</w:t>
            </w:r>
          </w:p>
          <w:p w14:paraId="5279DAC1" w14:textId="77777777" w:rsidR="00CE2F90" w:rsidRPr="00EF5805" w:rsidRDefault="00CE2F90" w:rsidP="00CE2F90">
            <w:pPr>
              <w:spacing w:before="120" w:after="120"/>
            </w:pPr>
            <w:r w:rsidRPr="00EF5805">
              <w:lastRenderedPageBreak/>
              <w:t>No equity or equality issues have been identified following the availability and use of tucatinib in combination with trastuzumab in the proposed indication.</w:t>
            </w:r>
          </w:p>
          <w:p w14:paraId="27CA08D0" w14:textId="77777777" w:rsidR="00CE2F90" w:rsidRPr="00EF5805" w:rsidRDefault="00CE2F90" w:rsidP="00CE2F90">
            <w:pPr>
              <w:pStyle w:val="BodyText"/>
              <w:spacing w:before="120" w:after="120"/>
              <w:rPr>
                <w:i/>
                <w:iCs/>
              </w:rPr>
            </w:pPr>
            <w:r w:rsidRPr="00EF5805">
              <w:rPr>
                <w:i/>
                <w:iCs/>
              </w:rPr>
              <w:t>Q10. Please tell us what evidence should be obtained to enable the committee to identify and consider such impacts.</w:t>
            </w:r>
          </w:p>
          <w:p w14:paraId="5E65BB49" w14:textId="0CC0E038" w:rsidR="00CE2F90" w:rsidRPr="00EF5805" w:rsidRDefault="00CE2F90" w:rsidP="00CE2F90">
            <w:pPr>
              <w:pStyle w:val="Title"/>
              <w:jc w:val="left"/>
              <w:rPr>
                <w:b w:val="0"/>
                <w:sz w:val="22"/>
                <w:szCs w:val="22"/>
              </w:rPr>
            </w:pPr>
            <w:r w:rsidRPr="00EF5805">
              <w:rPr>
                <w:sz w:val="22"/>
                <w:szCs w:val="22"/>
              </w:rPr>
              <w:t>Not applicable as no equity or equality issues have been identified following the availability and use of tucatinib in combination with trastuzumab in the proposed indication.</w:t>
            </w:r>
          </w:p>
        </w:tc>
        <w:tc>
          <w:tcPr>
            <w:tcW w:w="2584" w:type="dxa"/>
            <w:tcBorders>
              <w:top w:val="single" w:sz="12" w:space="0" w:color="auto"/>
            </w:tcBorders>
          </w:tcPr>
          <w:p w14:paraId="7FCEBB9A" w14:textId="0B4A1DF0" w:rsidR="00CE2F90" w:rsidRPr="00EF5805" w:rsidRDefault="00CE27F2" w:rsidP="00CE2F90">
            <w:pPr>
              <w:pStyle w:val="Title"/>
              <w:jc w:val="left"/>
              <w:rPr>
                <w:b w:val="0"/>
                <w:sz w:val="22"/>
                <w:szCs w:val="22"/>
              </w:rPr>
            </w:pPr>
            <w:r>
              <w:rPr>
                <w:b w:val="0"/>
                <w:sz w:val="22"/>
                <w:szCs w:val="22"/>
              </w:rPr>
              <w:lastRenderedPageBreak/>
              <w:t>Thank you for your comment. No further action is needed.</w:t>
            </w:r>
          </w:p>
        </w:tc>
      </w:tr>
      <w:tr w:rsidR="00CE2F90" w:rsidRPr="00EF5805" w14:paraId="26D866DE" w14:textId="77777777" w:rsidTr="005B0206">
        <w:tc>
          <w:tcPr>
            <w:tcW w:w="1951" w:type="dxa"/>
            <w:vMerge/>
          </w:tcPr>
          <w:p w14:paraId="51E16AD4" w14:textId="77777777" w:rsidR="00CE2F90" w:rsidRPr="00EF5805" w:rsidRDefault="00CE2F90" w:rsidP="00CE2F90">
            <w:pPr>
              <w:pStyle w:val="Title"/>
              <w:jc w:val="left"/>
              <w:rPr>
                <w:sz w:val="22"/>
                <w:szCs w:val="22"/>
              </w:rPr>
            </w:pPr>
          </w:p>
        </w:tc>
        <w:tc>
          <w:tcPr>
            <w:tcW w:w="1843" w:type="dxa"/>
          </w:tcPr>
          <w:p w14:paraId="4FCC207B" w14:textId="782F603C" w:rsidR="00CE2F90" w:rsidRPr="00EF5805" w:rsidRDefault="00CE2F90" w:rsidP="00CE2F90">
            <w:pPr>
              <w:pStyle w:val="Title"/>
              <w:jc w:val="left"/>
              <w:rPr>
                <w:b w:val="0"/>
                <w:sz w:val="22"/>
                <w:szCs w:val="22"/>
              </w:rPr>
            </w:pPr>
            <w:r w:rsidRPr="00EF5805">
              <w:rPr>
                <w:b w:val="0"/>
                <w:sz w:val="22"/>
                <w:szCs w:val="22"/>
              </w:rPr>
              <w:t>Bower cancer UK</w:t>
            </w:r>
          </w:p>
        </w:tc>
        <w:tc>
          <w:tcPr>
            <w:tcW w:w="7796" w:type="dxa"/>
          </w:tcPr>
          <w:p w14:paraId="6506E3E0" w14:textId="6F6749CF" w:rsidR="00CE2F90" w:rsidRPr="00EF5805" w:rsidRDefault="00CE2F90" w:rsidP="00CE2F90">
            <w:pPr>
              <w:pStyle w:val="Title"/>
              <w:jc w:val="left"/>
              <w:rPr>
                <w:b w:val="0"/>
                <w:bCs w:val="0"/>
                <w:sz w:val="22"/>
                <w:szCs w:val="22"/>
              </w:rPr>
            </w:pPr>
            <w:r w:rsidRPr="00EF5805">
              <w:rPr>
                <w:b w:val="0"/>
                <w:bCs w:val="0"/>
                <w:sz w:val="22"/>
                <w:szCs w:val="22"/>
              </w:rPr>
              <w:t>Please identify the nature of the data which you understand to be available to enable the committee to take account of these benefits. - Trial data.</w:t>
            </w:r>
          </w:p>
        </w:tc>
        <w:tc>
          <w:tcPr>
            <w:tcW w:w="2584" w:type="dxa"/>
          </w:tcPr>
          <w:p w14:paraId="5460F65E" w14:textId="275C39C5" w:rsidR="00CE2F90" w:rsidRPr="00EF5805" w:rsidRDefault="00EE4667" w:rsidP="00CE2F90">
            <w:pPr>
              <w:pStyle w:val="Title"/>
              <w:jc w:val="left"/>
              <w:rPr>
                <w:b w:val="0"/>
                <w:sz w:val="22"/>
                <w:szCs w:val="22"/>
              </w:rPr>
            </w:pPr>
            <w:r>
              <w:rPr>
                <w:b w:val="0"/>
                <w:sz w:val="22"/>
                <w:szCs w:val="22"/>
              </w:rPr>
              <w:t>Thank you for your comment. No further action needed.</w:t>
            </w:r>
          </w:p>
        </w:tc>
      </w:tr>
      <w:tr w:rsidR="00CE2F90" w:rsidRPr="00EF5805" w14:paraId="5076B93D" w14:textId="77777777" w:rsidTr="005B0206">
        <w:tc>
          <w:tcPr>
            <w:tcW w:w="1951" w:type="dxa"/>
            <w:vMerge/>
          </w:tcPr>
          <w:p w14:paraId="56EF09A5" w14:textId="77777777" w:rsidR="00CE2F90" w:rsidRPr="00EF5805" w:rsidRDefault="00CE2F90" w:rsidP="00CE2F90">
            <w:pPr>
              <w:pStyle w:val="Title"/>
              <w:jc w:val="left"/>
              <w:rPr>
                <w:sz w:val="22"/>
                <w:szCs w:val="22"/>
              </w:rPr>
            </w:pPr>
          </w:p>
        </w:tc>
        <w:tc>
          <w:tcPr>
            <w:tcW w:w="1843" w:type="dxa"/>
          </w:tcPr>
          <w:p w14:paraId="2B51E538" w14:textId="77777777" w:rsidR="00CE2F90" w:rsidRPr="00EF5805" w:rsidRDefault="00CE2F90" w:rsidP="00CE2F90">
            <w:pPr>
              <w:pStyle w:val="Title"/>
              <w:jc w:val="left"/>
              <w:rPr>
                <w:b w:val="0"/>
                <w:sz w:val="22"/>
                <w:szCs w:val="22"/>
              </w:rPr>
            </w:pPr>
          </w:p>
        </w:tc>
        <w:tc>
          <w:tcPr>
            <w:tcW w:w="7796" w:type="dxa"/>
          </w:tcPr>
          <w:p w14:paraId="7FD36CDB" w14:textId="77777777" w:rsidR="00CE2F90" w:rsidRPr="00EF5805" w:rsidRDefault="00CE2F90" w:rsidP="00CE2F90">
            <w:pPr>
              <w:pStyle w:val="Title"/>
              <w:jc w:val="left"/>
              <w:rPr>
                <w:b w:val="0"/>
                <w:sz w:val="22"/>
                <w:szCs w:val="22"/>
              </w:rPr>
            </w:pPr>
          </w:p>
        </w:tc>
        <w:tc>
          <w:tcPr>
            <w:tcW w:w="2584" w:type="dxa"/>
          </w:tcPr>
          <w:p w14:paraId="6D0413C1" w14:textId="77777777" w:rsidR="00CE2F90" w:rsidRPr="00EF5805" w:rsidRDefault="00CE2F90" w:rsidP="00CE2F90">
            <w:pPr>
              <w:pStyle w:val="Title"/>
              <w:jc w:val="left"/>
              <w:rPr>
                <w:b w:val="0"/>
                <w:sz w:val="22"/>
                <w:szCs w:val="22"/>
              </w:rPr>
            </w:pPr>
          </w:p>
        </w:tc>
      </w:tr>
      <w:tr w:rsidR="00CE2F90" w:rsidRPr="00EF5805" w14:paraId="48C5CAB4" w14:textId="77777777" w:rsidTr="005B0206">
        <w:tc>
          <w:tcPr>
            <w:tcW w:w="1951" w:type="dxa"/>
            <w:vMerge/>
          </w:tcPr>
          <w:p w14:paraId="75AD492D" w14:textId="77777777" w:rsidR="00CE2F90" w:rsidRPr="00EF5805" w:rsidRDefault="00CE2F90" w:rsidP="00CE2F90">
            <w:pPr>
              <w:pStyle w:val="Title"/>
              <w:jc w:val="left"/>
              <w:rPr>
                <w:sz w:val="22"/>
                <w:szCs w:val="22"/>
              </w:rPr>
            </w:pPr>
          </w:p>
        </w:tc>
        <w:tc>
          <w:tcPr>
            <w:tcW w:w="1843" w:type="dxa"/>
          </w:tcPr>
          <w:p w14:paraId="13DD3265" w14:textId="77777777" w:rsidR="00CE2F90" w:rsidRPr="00EF5805" w:rsidRDefault="00CE2F90" w:rsidP="00CE2F90">
            <w:pPr>
              <w:pStyle w:val="Title"/>
              <w:jc w:val="left"/>
              <w:rPr>
                <w:b w:val="0"/>
                <w:sz w:val="22"/>
                <w:szCs w:val="22"/>
              </w:rPr>
            </w:pPr>
          </w:p>
        </w:tc>
        <w:tc>
          <w:tcPr>
            <w:tcW w:w="7796" w:type="dxa"/>
          </w:tcPr>
          <w:p w14:paraId="27E307A9" w14:textId="77777777" w:rsidR="00CE2F90" w:rsidRPr="00EF5805" w:rsidRDefault="00CE2F90" w:rsidP="00CE2F90">
            <w:pPr>
              <w:pStyle w:val="Title"/>
              <w:jc w:val="left"/>
              <w:rPr>
                <w:b w:val="0"/>
                <w:sz w:val="22"/>
                <w:szCs w:val="22"/>
              </w:rPr>
            </w:pPr>
          </w:p>
        </w:tc>
        <w:tc>
          <w:tcPr>
            <w:tcW w:w="2584" w:type="dxa"/>
          </w:tcPr>
          <w:p w14:paraId="4BA9B65C" w14:textId="77777777" w:rsidR="00CE2F90" w:rsidRPr="00EF5805" w:rsidRDefault="00CE2F90" w:rsidP="00CE2F90">
            <w:pPr>
              <w:pStyle w:val="Title"/>
              <w:jc w:val="left"/>
              <w:rPr>
                <w:b w:val="0"/>
                <w:sz w:val="22"/>
                <w:szCs w:val="22"/>
              </w:rPr>
            </w:pPr>
          </w:p>
        </w:tc>
      </w:tr>
      <w:tr w:rsidR="00CE2F90" w:rsidRPr="00EF5805" w14:paraId="773C023E" w14:textId="77777777" w:rsidTr="005B0206">
        <w:tc>
          <w:tcPr>
            <w:tcW w:w="1951" w:type="dxa"/>
            <w:vMerge/>
          </w:tcPr>
          <w:p w14:paraId="66FE28B7" w14:textId="77777777" w:rsidR="00CE2F90" w:rsidRPr="00EF5805" w:rsidRDefault="00CE2F90" w:rsidP="00CE2F90">
            <w:pPr>
              <w:pStyle w:val="Title"/>
              <w:jc w:val="left"/>
              <w:rPr>
                <w:sz w:val="22"/>
                <w:szCs w:val="22"/>
              </w:rPr>
            </w:pPr>
          </w:p>
        </w:tc>
        <w:tc>
          <w:tcPr>
            <w:tcW w:w="1843" w:type="dxa"/>
          </w:tcPr>
          <w:p w14:paraId="3F6CDFB4" w14:textId="77777777" w:rsidR="00CE2F90" w:rsidRPr="00EF5805" w:rsidRDefault="00CE2F90" w:rsidP="00CE2F90">
            <w:pPr>
              <w:pStyle w:val="Title"/>
              <w:jc w:val="left"/>
              <w:rPr>
                <w:b w:val="0"/>
                <w:sz w:val="22"/>
                <w:szCs w:val="22"/>
              </w:rPr>
            </w:pPr>
          </w:p>
        </w:tc>
        <w:tc>
          <w:tcPr>
            <w:tcW w:w="7796" w:type="dxa"/>
          </w:tcPr>
          <w:p w14:paraId="4ECED375" w14:textId="77777777" w:rsidR="00CE2F90" w:rsidRPr="00EF5805" w:rsidRDefault="00CE2F90" w:rsidP="00CE2F90">
            <w:pPr>
              <w:pStyle w:val="Title"/>
              <w:jc w:val="left"/>
              <w:rPr>
                <w:b w:val="0"/>
                <w:sz w:val="22"/>
                <w:szCs w:val="22"/>
              </w:rPr>
            </w:pPr>
          </w:p>
        </w:tc>
        <w:tc>
          <w:tcPr>
            <w:tcW w:w="2584" w:type="dxa"/>
          </w:tcPr>
          <w:p w14:paraId="6F930BE3" w14:textId="77777777" w:rsidR="00CE2F90" w:rsidRPr="00EF5805" w:rsidRDefault="00CE2F90" w:rsidP="00CE2F90">
            <w:pPr>
              <w:pStyle w:val="Title"/>
              <w:jc w:val="left"/>
              <w:rPr>
                <w:b w:val="0"/>
                <w:sz w:val="22"/>
                <w:szCs w:val="22"/>
              </w:rPr>
            </w:pPr>
          </w:p>
        </w:tc>
      </w:tr>
      <w:tr w:rsidR="00CE2F90" w:rsidRPr="00EF5805" w14:paraId="5F8C474B" w14:textId="77777777" w:rsidTr="005B0206">
        <w:tc>
          <w:tcPr>
            <w:tcW w:w="1951" w:type="dxa"/>
            <w:vMerge w:val="restart"/>
            <w:tcBorders>
              <w:top w:val="single" w:sz="12" w:space="0" w:color="auto"/>
            </w:tcBorders>
          </w:tcPr>
          <w:p w14:paraId="542EEB40" w14:textId="77777777" w:rsidR="00CE2F90" w:rsidRPr="00EF5805" w:rsidRDefault="00CE2F90" w:rsidP="00CE2F90">
            <w:pPr>
              <w:pStyle w:val="Title"/>
              <w:jc w:val="left"/>
              <w:rPr>
                <w:b w:val="0"/>
                <w:sz w:val="22"/>
                <w:szCs w:val="22"/>
              </w:rPr>
            </w:pPr>
            <w:r w:rsidRPr="00EF5805">
              <w:rPr>
                <w:b w:val="0"/>
                <w:sz w:val="22"/>
                <w:szCs w:val="22"/>
              </w:rPr>
              <w:t>Additional comments on the draft scope</w:t>
            </w:r>
          </w:p>
        </w:tc>
        <w:tc>
          <w:tcPr>
            <w:tcW w:w="1843" w:type="dxa"/>
            <w:tcBorders>
              <w:top w:val="single" w:sz="12" w:space="0" w:color="auto"/>
            </w:tcBorders>
          </w:tcPr>
          <w:p w14:paraId="2703D14A" w14:textId="1FD51339" w:rsidR="00CE2F90" w:rsidRPr="00EF5805" w:rsidRDefault="00CE2F90" w:rsidP="00CE2F90">
            <w:pPr>
              <w:pStyle w:val="Title"/>
              <w:jc w:val="left"/>
              <w:rPr>
                <w:b w:val="0"/>
                <w:sz w:val="22"/>
                <w:szCs w:val="22"/>
              </w:rPr>
            </w:pPr>
          </w:p>
        </w:tc>
        <w:tc>
          <w:tcPr>
            <w:tcW w:w="7796" w:type="dxa"/>
            <w:tcBorders>
              <w:top w:val="single" w:sz="12" w:space="0" w:color="auto"/>
            </w:tcBorders>
          </w:tcPr>
          <w:p w14:paraId="5880D1F5" w14:textId="77777777" w:rsidR="00CE2F90" w:rsidRPr="00EF5805" w:rsidRDefault="00CE2F90" w:rsidP="00CE2F90">
            <w:pPr>
              <w:pStyle w:val="Title"/>
              <w:jc w:val="left"/>
              <w:rPr>
                <w:b w:val="0"/>
                <w:sz w:val="22"/>
                <w:szCs w:val="22"/>
              </w:rPr>
            </w:pPr>
          </w:p>
        </w:tc>
        <w:tc>
          <w:tcPr>
            <w:tcW w:w="2584" w:type="dxa"/>
            <w:tcBorders>
              <w:top w:val="single" w:sz="12" w:space="0" w:color="auto"/>
            </w:tcBorders>
          </w:tcPr>
          <w:p w14:paraId="6103882E" w14:textId="77777777" w:rsidR="00CE2F90" w:rsidRPr="00EF5805" w:rsidRDefault="00CE2F90" w:rsidP="00CE2F90">
            <w:pPr>
              <w:pStyle w:val="Title"/>
              <w:jc w:val="left"/>
              <w:rPr>
                <w:b w:val="0"/>
                <w:sz w:val="22"/>
                <w:szCs w:val="22"/>
              </w:rPr>
            </w:pPr>
          </w:p>
        </w:tc>
      </w:tr>
      <w:tr w:rsidR="00CE2F90" w:rsidRPr="00EF5805" w14:paraId="55D167A7" w14:textId="77777777" w:rsidTr="005B0206">
        <w:tc>
          <w:tcPr>
            <w:tcW w:w="1951" w:type="dxa"/>
            <w:vMerge/>
          </w:tcPr>
          <w:p w14:paraId="2397E862" w14:textId="77777777" w:rsidR="00CE2F90" w:rsidRPr="00EF5805" w:rsidRDefault="00CE2F90" w:rsidP="00CE2F90">
            <w:pPr>
              <w:pStyle w:val="Title"/>
              <w:jc w:val="left"/>
              <w:rPr>
                <w:sz w:val="22"/>
                <w:szCs w:val="22"/>
              </w:rPr>
            </w:pPr>
          </w:p>
        </w:tc>
        <w:tc>
          <w:tcPr>
            <w:tcW w:w="1843" w:type="dxa"/>
          </w:tcPr>
          <w:p w14:paraId="15BAACCE" w14:textId="77777777" w:rsidR="00CE2F90" w:rsidRPr="00EF5805" w:rsidRDefault="00CE2F90" w:rsidP="00CE2F90">
            <w:pPr>
              <w:pStyle w:val="Title"/>
              <w:jc w:val="left"/>
              <w:rPr>
                <w:b w:val="0"/>
                <w:sz w:val="22"/>
                <w:szCs w:val="22"/>
              </w:rPr>
            </w:pPr>
          </w:p>
        </w:tc>
        <w:tc>
          <w:tcPr>
            <w:tcW w:w="7796" w:type="dxa"/>
          </w:tcPr>
          <w:p w14:paraId="35840CF7" w14:textId="77777777" w:rsidR="00CE2F90" w:rsidRPr="00EF5805" w:rsidRDefault="00CE2F90" w:rsidP="00CE2F90">
            <w:pPr>
              <w:pStyle w:val="Title"/>
              <w:jc w:val="left"/>
              <w:rPr>
                <w:b w:val="0"/>
                <w:sz w:val="22"/>
                <w:szCs w:val="22"/>
              </w:rPr>
            </w:pPr>
          </w:p>
        </w:tc>
        <w:tc>
          <w:tcPr>
            <w:tcW w:w="2584" w:type="dxa"/>
          </w:tcPr>
          <w:p w14:paraId="25F22710" w14:textId="77777777" w:rsidR="00CE2F90" w:rsidRPr="00EF5805" w:rsidRDefault="00CE2F90" w:rsidP="00CE2F90">
            <w:pPr>
              <w:pStyle w:val="Title"/>
              <w:jc w:val="left"/>
              <w:rPr>
                <w:b w:val="0"/>
                <w:sz w:val="22"/>
                <w:szCs w:val="22"/>
              </w:rPr>
            </w:pPr>
          </w:p>
        </w:tc>
      </w:tr>
      <w:tr w:rsidR="00CE2F90" w:rsidRPr="00EF5805" w14:paraId="2F15E15B" w14:textId="77777777" w:rsidTr="005B0206">
        <w:tc>
          <w:tcPr>
            <w:tcW w:w="1951" w:type="dxa"/>
            <w:vMerge/>
          </w:tcPr>
          <w:p w14:paraId="5D825F83" w14:textId="77777777" w:rsidR="00CE2F90" w:rsidRPr="00EF5805" w:rsidRDefault="00CE2F90" w:rsidP="00CE2F90">
            <w:pPr>
              <w:pStyle w:val="Title"/>
              <w:jc w:val="left"/>
              <w:rPr>
                <w:sz w:val="22"/>
                <w:szCs w:val="22"/>
              </w:rPr>
            </w:pPr>
          </w:p>
        </w:tc>
        <w:tc>
          <w:tcPr>
            <w:tcW w:w="1843" w:type="dxa"/>
          </w:tcPr>
          <w:p w14:paraId="6D97095E" w14:textId="77777777" w:rsidR="00CE2F90" w:rsidRPr="00EF5805" w:rsidRDefault="00CE2F90" w:rsidP="00CE2F90">
            <w:pPr>
              <w:pStyle w:val="Title"/>
              <w:jc w:val="left"/>
              <w:rPr>
                <w:b w:val="0"/>
                <w:sz w:val="22"/>
                <w:szCs w:val="22"/>
              </w:rPr>
            </w:pPr>
          </w:p>
        </w:tc>
        <w:tc>
          <w:tcPr>
            <w:tcW w:w="7796" w:type="dxa"/>
          </w:tcPr>
          <w:p w14:paraId="564F40C0" w14:textId="77777777" w:rsidR="00CE2F90" w:rsidRPr="00EF5805" w:rsidRDefault="00CE2F90" w:rsidP="00CE2F90">
            <w:pPr>
              <w:pStyle w:val="Title"/>
              <w:jc w:val="left"/>
              <w:rPr>
                <w:b w:val="0"/>
                <w:sz w:val="22"/>
                <w:szCs w:val="22"/>
              </w:rPr>
            </w:pPr>
          </w:p>
        </w:tc>
        <w:tc>
          <w:tcPr>
            <w:tcW w:w="2584" w:type="dxa"/>
          </w:tcPr>
          <w:p w14:paraId="3973EB47" w14:textId="77777777" w:rsidR="00CE2F90" w:rsidRPr="00EF5805" w:rsidRDefault="00CE2F90" w:rsidP="00CE2F90">
            <w:pPr>
              <w:pStyle w:val="Title"/>
              <w:jc w:val="left"/>
              <w:rPr>
                <w:b w:val="0"/>
                <w:sz w:val="22"/>
                <w:szCs w:val="22"/>
              </w:rPr>
            </w:pPr>
          </w:p>
        </w:tc>
      </w:tr>
      <w:tr w:rsidR="00CE2F90" w:rsidRPr="00EF5805" w14:paraId="6BE6A616" w14:textId="77777777" w:rsidTr="005B0206">
        <w:tc>
          <w:tcPr>
            <w:tcW w:w="1951" w:type="dxa"/>
            <w:vMerge/>
          </w:tcPr>
          <w:p w14:paraId="75731C5F" w14:textId="77777777" w:rsidR="00CE2F90" w:rsidRPr="00EF5805" w:rsidRDefault="00CE2F90" w:rsidP="00CE2F90">
            <w:pPr>
              <w:pStyle w:val="Title"/>
              <w:jc w:val="left"/>
              <w:rPr>
                <w:sz w:val="22"/>
                <w:szCs w:val="22"/>
              </w:rPr>
            </w:pPr>
          </w:p>
        </w:tc>
        <w:tc>
          <w:tcPr>
            <w:tcW w:w="1843" w:type="dxa"/>
          </w:tcPr>
          <w:p w14:paraId="5C14712E" w14:textId="77777777" w:rsidR="00CE2F90" w:rsidRPr="00EF5805" w:rsidRDefault="00CE2F90" w:rsidP="00CE2F90">
            <w:pPr>
              <w:pStyle w:val="Title"/>
              <w:jc w:val="left"/>
              <w:rPr>
                <w:b w:val="0"/>
                <w:sz w:val="22"/>
                <w:szCs w:val="22"/>
              </w:rPr>
            </w:pPr>
          </w:p>
        </w:tc>
        <w:tc>
          <w:tcPr>
            <w:tcW w:w="7796" w:type="dxa"/>
          </w:tcPr>
          <w:p w14:paraId="1746D78B" w14:textId="77777777" w:rsidR="00CE2F90" w:rsidRPr="00EF5805" w:rsidRDefault="00CE2F90" w:rsidP="00CE2F90">
            <w:pPr>
              <w:pStyle w:val="Title"/>
              <w:jc w:val="left"/>
              <w:rPr>
                <w:b w:val="0"/>
                <w:sz w:val="22"/>
                <w:szCs w:val="22"/>
              </w:rPr>
            </w:pPr>
          </w:p>
        </w:tc>
        <w:tc>
          <w:tcPr>
            <w:tcW w:w="2584" w:type="dxa"/>
          </w:tcPr>
          <w:p w14:paraId="13C79D35" w14:textId="77777777" w:rsidR="00CE2F90" w:rsidRPr="00EF5805" w:rsidRDefault="00CE2F90" w:rsidP="00CE2F90">
            <w:pPr>
              <w:pStyle w:val="Title"/>
              <w:jc w:val="left"/>
              <w:rPr>
                <w:b w:val="0"/>
                <w:sz w:val="22"/>
                <w:szCs w:val="22"/>
              </w:rPr>
            </w:pPr>
          </w:p>
        </w:tc>
      </w:tr>
      <w:tr w:rsidR="00CE2F90" w:rsidRPr="00EF5805" w14:paraId="60DB76AB" w14:textId="77777777" w:rsidTr="005B0206">
        <w:tc>
          <w:tcPr>
            <w:tcW w:w="1951" w:type="dxa"/>
            <w:vMerge/>
          </w:tcPr>
          <w:p w14:paraId="0A7E7DCD" w14:textId="77777777" w:rsidR="00CE2F90" w:rsidRPr="00EF5805" w:rsidRDefault="00CE2F90" w:rsidP="00CE2F90">
            <w:pPr>
              <w:pStyle w:val="Title"/>
              <w:jc w:val="left"/>
              <w:rPr>
                <w:sz w:val="22"/>
                <w:szCs w:val="22"/>
              </w:rPr>
            </w:pPr>
          </w:p>
        </w:tc>
        <w:tc>
          <w:tcPr>
            <w:tcW w:w="1843" w:type="dxa"/>
          </w:tcPr>
          <w:p w14:paraId="31ACD2DA" w14:textId="77777777" w:rsidR="00CE2F90" w:rsidRPr="00EF5805" w:rsidRDefault="00CE2F90" w:rsidP="00CE2F90">
            <w:pPr>
              <w:pStyle w:val="Title"/>
              <w:jc w:val="left"/>
              <w:rPr>
                <w:b w:val="0"/>
                <w:sz w:val="22"/>
                <w:szCs w:val="22"/>
              </w:rPr>
            </w:pPr>
          </w:p>
        </w:tc>
        <w:tc>
          <w:tcPr>
            <w:tcW w:w="7796" w:type="dxa"/>
          </w:tcPr>
          <w:p w14:paraId="4E21C392" w14:textId="77777777" w:rsidR="00CE2F90" w:rsidRPr="00EF5805" w:rsidRDefault="00CE2F90" w:rsidP="00CE2F90">
            <w:pPr>
              <w:pStyle w:val="Title"/>
              <w:jc w:val="left"/>
              <w:rPr>
                <w:b w:val="0"/>
                <w:sz w:val="22"/>
                <w:szCs w:val="22"/>
              </w:rPr>
            </w:pPr>
          </w:p>
        </w:tc>
        <w:tc>
          <w:tcPr>
            <w:tcW w:w="2584" w:type="dxa"/>
          </w:tcPr>
          <w:p w14:paraId="005891BC" w14:textId="77777777" w:rsidR="00CE2F90" w:rsidRPr="00EF5805" w:rsidRDefault="00CE2F90" w:rsidP="00CE2F90">
            <w:pPr>
              <w:pStyle w:val="Title"/>
              <w:jc w:val="left"/>
              <w:rPr>
                <w:b w:val="0"/>
                <w:sz w:val="22"/>
                <w:szCs w:val="22"/>
              </w:rPr>
            </w:pPr>
          </w:p>
        </w:tc>
      </w:tr>
    </w:tbl>
    <w:p w14:paraId="5E645FC1" w14:textId="77777777" w:rsidR="00EC0E27" w:rsidRPr="00EF5805" w:rsidRDefault="00EC0E27" w:rsidP="00EC0E27">
      <w:pPr>
        <w:keepNext/>
        <w:spacing w:before="240" w:after="120"/>
        <w:rPr>
          <w:b/>
        </w:rPr>
      </w:pPr>
      <w:r w:rsidRPr="00EF5805">
        <w:rPr>
          <w:b/>
        </w:rPr>
        <w:lastRenderedPageBreak/>
        <w:t xml:space="preserve">The following </w:t>
      </w:r>
      <w:r w:rsidR="00AB580D" w:rsidRPr="00EF5805">
        <w:rPr>
          <w:b/>
        </w:rPr>
        <w:t>stakeholders</w:t>
      </w:r>
      <w:r w:rsidRPr="00EF5805">
        <w:rPr>
          <w:b/>
        </w:rPr>
        <w:t xml:space="preserve"> indicated that they had no comments on the draft remit and/or the draft scope</w:t>
      </w:r>
    </w:p>
    <w:p w14:paraId="4BBA4AFA" w14:textId="4ED0F274" w:rsidR="00EC0E27" w:rsidRPr="00EF5805" w:rsidRDefault="00EF5805" w:rsidP="00EF5805">
      <w:pPr>
        <w:pStyle w:val="ListParagraph"/>
        <w:numPr>
          <w:ilvl w:val="0"/>
          <w:numId w:val="21"/>
        </w:numPr>
      </w:pPr>
      <w:r w:rsidRPr="00EF5805">
        <w:t>Servier</w:t>
      </w:r>
    </w:p>
    <w:p w14:paraId="25DB7205" w14:textId="61AE682C" w:rsidR="00EF5805" w:rsidRPr="00EF5805" w:rsidRDefault="00EF5805" w:rsidP="00EF5805">
      <w:pPr>
        <w:pStyle w:val="ListParagraph"/>
        <w:numPr>
          <w:ilvl w:val="0"/>
          <w:numId w:val="21"/>
        </w:numPr>
      </w:pPr>
      <w:r w:rsidRPr="00EF5805">
        <w:t>Roche</w:t>
      </w:r>
    </w:p>
    <w:p w14:paraId="266D2380" w14:textId="77777777" w:rsidR="00EC0E27" w:rsidRPr="00EF5805" w:rsidRDefault="00EC0E27" w:rsidP="00EC0E27">
      <w:pPr>
        <w:pStyle w:val="Heading1"/>
        <w:rPr>
          <w:sz w:val="22"/>
          <w:szCs w:val="22"/>
        </w:rPr>
      </w:pPr>
    </w:p>
    <w:sectPr w:rsidR="00EC0E27" w:rsidRPr="00EF5805" w:rsidSect="00C24D6E">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2B259" w14:textId="77777777" w:rsidR="00B36FA8" w:rsidRDefault="00B36FA8" w:rsidP="00446BEE">
      <w:r>
        <w:separator/>
      </w:r>
    </w:p>
  </w:endnote>
  <w:endnote w:type="continuationSeparator" w:id="0">
    <w:p w14:paraId="390F64A7" w14:textId="77777777" w:rsidR="00B36FA8" w:rsidRDefault="00B36FA8"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62595" w14:textId="77777777" w:rsidR="002B310D" w:rsidRDefault="00415BF6" w:rsidP="00415BF6">
    <w:pPr>
      <w:pStyle w:val="Footer"/>
    </w:pPr>
    <w:r>
      <w:t>National Institute for Health and Care Excellence</w:t>
    </w:r>
    <w:r>
      <w:tab/>
    </w:r>
    <w:r>
      <w:tab/>
    </w:r>
    <w:r>
      <w:tab/>
    </w:r>
    <w:r>
      <w:tab/>
    </w:r>
    <w:r>
      <w:tab/>
    </w:r>
    <w:r>
      <w:tab/>
    </w:r>
    <w:r>
      <w:tab/>
    </w:r>
    <w:r>
      <w:tab/>
    </w:r>
    <w:r>
      <w:tab/>
    </w:r>
    <w:r>
      <w:tab/>
    </w:r>
    <w:r>
      <w:tab/>
    </w:r>
    <w:r>
      <w:tab/>
    </w:r>
    <w:r>
      <w:tab/>
    </w:r>
    <w:r>
      <w:tab/>
    </w:r>
    <w:r>
      <w:tab/>
    </w:r>
    <w:r>
      <w:tab/>
    </w:r>
    <w:r w:rsidR="002B310D" w:rsidRPr="00965BCB">
      <w:t xml:space="preserve">Page </w:t>
    </w:r>
    <w:r w:rsidR="002B310D" w:rsidRPr="00965BCB">
      <w:fldChar w:fldCharType="begin"/>
    </w:r>
    <w:r w:rsidR="002B310D" w:rsidRPr="00965BCB">
      <w:instrText xml:space="preserve"> PAGE </w:instrText>
    </w:r>
    <w:r w:rsidR="002B310D" w:rsidRPr="00965BCB">
      <w:fldChar w:fldCharType="separate"/>
    </w:r>
    <w:r w:rsidR="008C40C1">
      <w:rPr>
        <w:noProof/>
      </w:rPr>
      <w:t>6</w:t>
    </w:r>
    <w:r w:rsidR="002B310D" w:rsidRPr="00965BCB">
      <w:fldChar w:fldCharType="end"/>
    </w:r>
    <w:r w:rsidR="002B310D" w:rsidRPr="00965BCB">
      <w:t xml:space="preserve"> of </w:t>
    </w:r>
    <w:r w:rsidR="00623817">
      <w:rPr>
        <w:noProof/>
      </w:rPr>
      <w:fldChar w:fldCharType="begin"/>
    </w:r>
    <w:r w:rsidR="00623817">
      <w:rPr>
        <w:noProof/>
      </w:rPr>
      <w:instrText xml:space="preserve"> NUMPAGES </w:instrText>
    </w:r>
    <w:r w:rsidR="00623817">
      <w:rPr>
        <w:noProof/>
      </w:rPr>
      <w:fldChar w:fldCharType="separate"/>
    </w:r>
    <w:r w:rsidR="008C40C1">
      <w:rPr>
        <w:noProof/>
      </w:rPr>
      <w:t>6</w:t>
    </w:r>
    <w:r w:rsidR="00623817">
      <w:rPr>
        <w:noProof/>
      </w:rPr>
      <w:fldChar w:fldCharType="end"/>
    </w:r>
  </w:p>
  <w:p w14:paraId="5B4C8C2F" w14:textId="0C7096F7" w:rsidR="003D3EA0" w:rsidRPr="00415BF6" w:rsidRDefault="003D3EA0" w:rsidP="003D3EA0">
    <w:pPr>
      <w:pStyle w:val="Footer"/>
    </w:pPr>
    <w:r>
      <w:t xml:space="preserve">Consultation comments on the draft remit and draft scope for the technology appraisal of </w:t>
    </w:r>
    <w:r w:rsidR="00EE4667">
      <w:t>t</w:t>
    </w:r>
    <w:r w:rsidR="00EE4667" w:rsidRPr="00EE4667">
      <w:t>ucatinib with trastuzumab for previously treated HER2-positive colorectal cancer</w:t>
    </w:r>
    <w:r w:rsidR="00415BF6">
      <w:t xml:space="preserve"> </w:t>
    </w:r>
  </w:p>
  <w:p w14:paraId="22AAC975" w14:textId="15073136" w:rsidR="00446BEE" w:rsidRPr="00415BF6" w:rsidRDefault="00EE4667" w:rsidP="003D3EA0">
    <w:pPr>
      <w:pStyle w:val="Footer"/>
    </w:pPr>
    <w:r>
      <w:t>Issue date: August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7BDD7" w14:textId="77777777" w:rsidR="00B36FA8" w:rsidRDefault="00B36FA8" w:rsidP="00446BEE">
      <w:r>
        <w:separator/>
      </w:r>
    </w:p>
  </w:footnote>
  <w:footnote w:type="continuationSeparator" w:id="0">
    <w:p w14:paraId="7305BD5E" w14:textId="77777777" w:rsidR="00B36FA8" w:rsidRDefault="00B36FA8"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88E2E" w14:textId="77777777" w:rsidR="00C24D6E" w:rsidRDefault="00C24D6E" w:rsidP="00C24D6E">
    <w:pPr>
      <w:pStyle w:val="Header"/>
      <w:jc w:val="right"/>
    </w:pPr>
    <w:r>
      <w:t>Summary form</w:t>
    </w:r>
  </w:p>
  <w:p w14:paraId="438370A6" w14:textId="77777777" w:rsidR="00C24D6E" w:rsidRDefault="00C24D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751D4"/>
    <w:multiLevelType w:val="hybridMultilevel"/>
    <w:tmpl w:val="EBD4E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9586048">
    <w:abstractNumId w:val="13"/>
  </w:num>
  <w:num w:numId="2" w16cid:durableId="1929272764">
    <w:abstractNumId w:val="14"/>
  </w:num>
  <w:num w:numId="3" w16cid:durableId="1061053575">
    <w:abstractNumId w:val="14"/>
    <w:lvlOverride w:ilvl="0">
      <w:startOverride w:val="1"/>
    </w:lvlOverride>
  </w:num>
  <w:num w:numId="4" w16cid:durableId="1828476952">
    <w:abstractNumId w:val="14"/>
    <w:lvlOverride w:ilvl="0">
      <w:startOverride w:val="1"/>
    </w:lvlOverride>
  </w:num>
  <w:num w:numId="5" w16cid:durableId="1370183966">
    <w:abstractNumId w:val="14"/>
    <w:lvlOverride w:ilvl="0">
      <w:startOverride w:val="1"/>
    </w:lvlOverride>
  </w:num>
  <w:num w:numId="6" w16cid:durableId="234895661">
    <w:abstractNumId w:val="14"/>
    <w:lvlOverride w:ilvl="0">
      <w:startOverride w:val="1"/>
    </w:lvlOverride>
  </w:num>
  <w:num w:numId="7" w16cid:durableId="685014978">
    <w:abstractNumId w:val="14"/>
    <w:lvlOverride w:ilvl="0">
      <w:startOverride w:val="1"/>
    </w:lvlOverride>
  </w:num>
  <w:num w:numId="8" w16cid:durableId="1457914176">
    <w:abstractNumId w:val="9"/>
  </w:num>
  <w:num w:numId="9" w16cid:durableId="1421487865">
    <w:abstractNumId w:val="7"/>
  </w:num>
  <w:num w:numId="10" w16cid:durableId="64691006">
    <w:abstractNumId w:val="6"/>
  </w:num>
  <w:num w:numId="11" w16cid:durableId="39941264">
    <w:abstractNumId w:val="5"/>
  </w:num>
  <w:num w:numId="12" w16cid:durableId="1429499090">
    <w:abstractNumId w:val="4"/>
  </w:num>
  <w:num w:numId="13" w16cid:durableId="1212570870">
    <w:abstractNumId w:val="8"/>
  </w:num>
  <w:num w:numId="14" w16cid:durableId="1456219694">
    <w:abstractNumId w:val="3"/>
  </w:num>
  <w:num w:numId="15" w16cid:durableId="1777405311">
    <w:abstractNumId w:val="2"/>
  </w:num>
  <w:num w:numId="16" w16cid:durableId="1208680751">
    <w:abstractNumId w:val="1"/>
  </w:num>
  <w:num w:numId="17" w16cid:durableId="28728820">
    <w:abstractNumId w:val="0"/>
  </w:num>
  <w:num w:numId="18" w16cid:durableId="960040243">
    <w:abstractNumId w:val="12"/>
  </w:num>
  <w:num w:numId="19" w16cid:durableId="1913198141">
    <w:abstractNumId w:val="12"/>
    <w:lvlOverride w:ilvl="0">
      <w:startOverride w:val="1"/>
    </w:lvlOverride>
  </w:num>
  <w:num w:numId="20" w16cid:durableId="130949255">
    <w:abstractNumId w:val="11"/>
  </w:num>
  <w:num w:numId="21" w16cid:durableId="14219528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doNotDisplayPageBoundaries/>
  <w:embedSystemFonts/>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FA8"/>
    <w:rsid w:val="000053F8"/>
    <w:rsid w:val="00024D0A"/>
    <w:rsid w:val="00030825"/>
    <w:rsid w:val="000472DC"/>
    <w:rsid w:val="000659D3"/>
    <w:rsid w:val="000664FE"/>
    <w:rsid w:val="00070065"/>
    <w:rsid w:val="00074F03"/>
    <w:rsid w:val="000A4FEE"/>
    <w:rsid w:val="000B41BD"/>
    <w:rsid w:val="000B5939"/>
    <w:rsid w:val="000E1408"/>
    <w:rsid w:val="00104948"/>
    <w:rsid w:val="00111CCE"/>
    <w:rsid w:val="001134E7"/>
    <w:rsid w:val="0017149E"/>
    <w:rsid w:val="0017169E"/>
    <w:rsid w:val="00181A4A"/>
    <w:rsid w:val="001B0EE9"/>
    <w:rsid w:val="001B0F67"/>
    <w:rsid w:val="001B65B3"/>
    <w:rsid w:val="001D1E94"/>
    <w:rsid w:val="002029A6"/>
    <w:rsid w:val="002408EA"/>
    <w:rsid w:val="00266580"/>
    <w:rsid w:val="002819D7"/>
    <w:rsid w:val="00283A43"/>
    <w:rsid w:val="00284991"/>
    <w:rsid w:val="00296963"/>
    <w:rsid w:val="002A0059"/>
    <w:rsid w:val="002A29ED"/>
    <w:rsid w:val="002B310D"/>
    <w:rsid w:val="002C1A7E"/>
    <w:rsid w:val="002C40D5"/>
    <w:rsid w:val="002D3376"/>
    <w:rsid w:val="002F6695"/>
    <w:rsid w:val="00311ED0"/>
    <w:rsid w:val="003648C5"/>
    <w:rsid w:val="003722FA"/>
    <w:rsid w:val="003724F8"/>
    <w:rsid w:val="003728BB"/>
    <w:rsid w:val="00384FBE"/>
    <w:rsid w:val="003C3102"/>
    <w:rsid w:val="003C7AAF"/>
    <w:rsid w:val="003D1FAC"/>
    <w:rsid w:val="003D3EA0"/>
    <w:rsid w:val="004075B6"/>
    <w:rsid w:val="00415BF6"/>
    <w:rsid w:val="00420952"/>
    <w:rsid w:val="00433EFF"/>
    <w:rsid w:val="00443081"/>
    <w:rsid w:val="00446BEE"/>
    <w:rsid w:val="00480603"/>
    <w:rsid w:val="00495D67"/>
    <w:rsid w:val="004B129E"/>
    <w:rsid w:val="005025A1"/>
    <w:rsid w:val="00516081"/>
    <w:rsid w:val="005514E3"/>
    <w:rsid w:val="00557813"/>
    <w:rsid w:val="005749AF"/>
    <w:rsid w:val="00584846"/>
    <w:rsid w:val="0059288D"/>
    <w:rsid w:val="005B0206"/>
    <w:rsid w:val="005D5069"/>
    <w:rsid w:val="005D60ED"/>
    <w:rsid w:val="00623817"/>
    <w:rsid w:val="00640AFE"/>
    <w:rsid w:val="00653073"/>
    <w:rsid w:val="00653C44"/>
    <w:rsid w:val="00656021"/>
    <w:rsid w:val="006921E1"/>
    <w:rsid w:val="006E1170"/>
    <w:rsid w:val="006F4B25"/>
    <w:rsid w:val="006F6496"/>
    <w:rsid w:val="00736348"/>
    <w:rsid w:val="00737EFA"/>
    <w:rsid w:val="00760908"/>
    <w:rsid w:val="0078333E"/>
    <w:rsid w:val="007A7DA3"/>
    <w:rsid w:val="007F238D"/>
    <w:rsid w:val="008047C8"/>
    <w:rsid w:val="00857B3D"/>
    <w:rsid w:val="00861B92"/>
    <w:rsid w:val="008814FB"/>
    <w:rsid w:val="008B7BBD"/>
    <w:rsid w:val="008C40C1"/>
    <w:rsid w:val="008F5E30"/>
    <w:rsid w:val="008F619A"/>
    <w:rsid w:val="00914D7F"/>
    <w:rsid w:val="009569F7"/>
    <w:rsid w:val="009668B9"/>
    <w:rsid w:val="00995799"/>
    <w:rsid w:val="009E680B"/>
    <w:rsid w:val="009F7A80"/>
    <w:rsid w:val="00A15A1F"/>
    <w:rsid w:val="00A257BA"/>
    <w:rsid w:val="00A3325A"/>
    <w:rsid w:val="00A43013"/>
    <w:rsid w:val="00A46CFA"/>
    <w:rsid w:val="00A65EF7"/>
    <w:rsid w:val="00A72464"/>
    <w:rsid w:val="00A9583D"/>
    <w:rsid w:val="00AB580D"/>
    <w:rsid w:val="00AF108A"/>
    <w:rsid w:val="00B02E55"/>
    <w:rsid w:val="00B036C1"/>
    <w:rsid w:val="00B143A3"/>
    <w:rsid w:val="00B16D2B"/>
    <w:rsid w:val="00B224D6"/>
    <w:rsid w:val="00B36FA8"/>
    <w:rsid w:val="00B5431F"/>
    <w:rsid w:val="00B67034"/>
    <w:rsid w:val="00B92ABA"/>
    <w:rsid w:val="00BC6A78"/>
    <w:rsid w:val="00BF4557"/>
    <w:rsid w:val="00BF7FE0"/>
    <w:rsid w:val="00C24D6E"/>
    <w:rsid w:val="00C34798"/>
    <w:rsid w:val="00C81104"/>
    <w:rsid w:val="00C84992"/>
    <w:rsid w:val="00C96411"/>
    <w:rsid w:val="00CB2688"/>
    <w:rsid w:val="00CB5671"/>
    <w:rsid w:val="00CC37C9"/>
    <w:rsid w:val="00CE27F2"/>
    <w:rsid w:val="00CE2F90"/>
    <w:rsid w:val="00CF58B7"/>
    <w:rsid w:val="00D34BED"/>
    <w:rsid w:val="00D351C1"/>
    <w:rsid w:val="00D35EFB"/>
    <w:rsid w:val="00D504B3"/>
    <w:rsid w:val="00D63965"/>
    <w:rsid w:val="00D86BF0"/>
    <w:rsid w:val="00DA2DF8"/>
    <w:rsid w:val="00DA434E"/>
    <w:rsid w:val="00DF1735"/>
    <w:rsid w:val="00E27D98"/>
    <w:rsid w:val="00E51920"/>
    <w:rsid w:val="00E64120"/>
    <w:rsid w:val="00E660A1"/>
    <w:rsid w:val="00EA3CCF"/>
    <w:rsid w:val="00EC0E27"/>
    <w:rsid w:val="00EE4667"/>
    <w:rsid w:val="00EF5805"/>
    <w:rsid w:val="00EF6B5A"/>
    <w:rsid w:val="00F055F1"/>
    <w:rsid w:val="00F16040"/>
    <w:rsid w:val="00F26310"/>
    <w:rsid w:val="00F610AF"/>
    <w:rsid w:val="00FA2C5A"/>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39DBCE"/>
  <w15:docId w15:val="{9D0BFE2B-1075-4D5D-83E4-088815534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4D6E"/>
    <w:rPr>
      <w:rFonts w:ascii="Arial" w:hAnsi="Arial" w:cs="Arial"/>
      <w:sz w:val="22"/>
      <w:szCs w:val="22"/>
      <w:lang w:eastAsia="en-US"/>
    </w:rPr>
  </w:style>
  <w:style w:type="paragraph" w:styleId="Heading1">
    <w:name w:val="heading 1"/>
    <w:basedOn w:val="Normal"/>
    <w:next w:val="Paragraphnonumbers"/>
    <w:link w:val="Heading1Char"/>
    <w:uiPriority w:val="1"/>
    <w:qFormat/>
    <w:rsid w:val="00CB5671"/>
    <w:pPr>
      <w:keepNext/>
      <w:spacing w:after="120"/>
      <w:outlineLvl w:val="0"/>
    </w:pPr>
    <w:rPr>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style>
  <w:style w:type="paragraph" w:styleId="Header">
    <w:name w:val="header"/>
    <w:basedOn w:val="Normal"/>
    <w:link w:val="HeaderChar"/>
    <w:rsid w:val="0017169E"/>
    <w:pPr>
      <w:tabs>
        <w:tab w:val="center" w:pos="4513"/>
        <w:tab w:val="right" w:pos="9026"/>
      </w:tabs>
    </w:p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style>
  <w:style w:type="paragraph" w:customStyle="1" w:styleId="Paragraphnonumbers">
    <w:name w:val="Paragraph no numbers"/>
    <w:basedOn w:val="Normal"/>
    <w:uiPriority w:val="99"/>
    <w:qFormat/>
    <w:rsid w:val="00CB5671"/>
    <w:pPr>
      <w:spacing w:after="240" w:line="276" w:lineRule="auto"/>
    </w:pPr>
  </w:style>
  <w:style w:type="paragraph" w:styleId="TOC1">
    <w:name w:val="toc 1"/>
    <w:basedOn w:val="Normal"/>
    <w:next w:val="Normal"/>
    <w:autoRedefine/>
    <w:semiHidden/>
    <w:rsid w:val="00F610AF"/>
  </w:style>
  <w:style w:type="paragraph" w:styleId="TOC2">
    <w:name w:val="toc 2"/>
    <w:basedOn w:val="Normal"/>
    <w:next w:val="Normal"/>
    <w:autoRedefine/>
    <w:semiHidden/>
    <w:rsid w:val="00F610AF"/>
    <w:pPr>
      <w:ind w:left="240"/>
    </w:pPr>
  </w:style>
  <w:style w:type="paragraph" w:styleId="TOC3">
    <w:name w:val="toc 3"/>
    <w:basedOn w:val="Normal"/>
    <w:next w:val="Normal"/>
    <w:autoRedefine/>
    <w:semiHidden/>
    <w:rsid w:val="00F610AF"/>
    <w:pPr>
      <w:ind w:left="480"/>
    </w:pPr>
  </w:style>
  <w:style w:type="paragraph" w:styleId="TOC4">
    <w:name w:val="toc 4"/>
    <w:basedOn w:val="Normal"/>
    <w:next w:val="Normal"/>
    <w:autoRedefine/>
    <w:semiHidden/>
    <w:rsid w:val="00F610AF"/>
    <w:pPr>
      <w:ind w:left="720"/>
    </w:pPr>
  </w:style>
  <w:style w:type="paragraph" w:styleId="TOAHeading">
    <w:name w:val="toa heading"/>
    <w:basedOn w:val="Normal"/>
    <w:next w:val="Normal"/>
    <w:semiHidden/>
    <w:rsid w:val="00F610AF"/>
    <w:pPr>
      <w:spacing w:before="120"/>
    </w:pPr>
    <w:rPr>
      <w:b/>
      <w:bCs/>
    </w:rPr>
  </w:style>
  <w:style w:type="table" w:styleId="TableGrid">
    <w:name w:val="Table Grid"/>
    <w:basedOn w:val="TableNormal"/>
    <w:rsid w:val="00372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296963"/>
    <w:rPr>
      <w:sz w:val="16"/>
      <w:szCs w:val="16"/>
    </w:rPr>
  </w:style>
  <w:style w:type="paragraph" w:styleId="CommentText">
    <w:name w:val="annotation text"/>
    <w:basedOn w:val="Normal"/>
    <w:link w:val="CommentTextChar"/>
    <w:unhideWhenUsed/>
    <w:rsid w:val="00296963"/>
    <w:rPr>
      <w:sz w:val="20"/>
      <w:szCs w:val="20"/>
    </w:rPr>
  </w:style>
  <w:style w:type="character" w:customStyle="1" w:styleId="CommentTextChar">
    <w:name w:val="Comment Text Char"/>
    <w:basedOn w:val="DefaultParagraphFont"/>
    <w:link w:val="CommentText"/>
    <w:rsid w:val="00296963"/>
    <w:rPr>
      <w:rFonts w:ascii="Arial" w:hAnsi="Arial" w:cs="Arial"/>
      <w:lang w:eastAsia="en-US"/>
    </w:rPr>
  </w:style>
  <w:style w:type="paragraph" w:styleId="CommentSubject">
    <w:name w:val="annotation subject"/>
    <w:basedOn w:val="CommentText"/>
    <w:next w:val="CommentText"/>
    <w:link w:val="CommentSubjectChar"/>
    <w:semiHidden/>
    <w:unhideWhenUsed/>
    <w:rsid w:val="00296963"/>
    <w:rPr>
      <w:b/>
      <w:bCs/>
    </w:rPr>
  </w:style>
  <w:style w:type="character" w:customStyle="1" w:styleId="CommentSubjectChar">
    <w:name w:val="Comment Subject Char"/>
    <w:basedOn w:val="CommentTextChar"/>
    <w:link w:val="CommentSubject"/>
    <w:semiHidden/>
    <w:rsid w:val="00296963"/>
    <w:rPr>
      <w:rFonts w:ascii="Arial" w:hAnsi="Arial" w:cs="Arial"/>
      <w:b/>
      <w:bCs/>
      <w:lang w:eastAsia="en-US"/>
    </w:rPr>
  </w:style>
  <w:style w:type="paragraph" w:styleId="BodyText">
    <w:name w:val="Body Text"/>
    <w:basedOn w:val="Normal"/>
    <w:link w:val="BodyTextChar"/>
    <w:rsid w:val="00623817"/>
    <w:rPr>
      <w:b/>
      <w:bCs/>
    </w:rPr>
  </w:style>
  <w:style w:type="character" w:customStyle="1" w:styleId="BodyTextChar">
    <w:name w:val="Body Text Char"/>
    <w:basedOn w:val="DefaultParagraphFont"/>
    <w:link w:val="BodyText"/>
    <w:rsid w:val="00623817"/>
    <w:rPr>
      <w:rFonts w:ascii="Arial" w:hAnsi="Arial" w:cs="Arial"/>
      <w:b/>
      <w:bCs/>
      <w:sz w:val="22"/>
      <w:szCs w:val="22"/>
      <w:lang w:eastAsia="en-US"/>
    </w:rPr>
  </w:style>
  <w:style w:type="character" w:styleId="Hyperlink">
    <w:name w:val="Hyperlink"/>
    <w:rsid w:val="00623817"/>
    <w:rPr>
      <w:color w:val="0000FF"/>
      <w:u w:val="single"/>
    </w:rPr>
  </w:style>
  <w:style w:type="paragraph" w:styleId="Revision">
    <w:name w:val="Revision"/>
    <w:hidden/>
    <w:uiPriority w:val="99"/>
    <w:semiHidden/>
    <w:rsid w:val="005D60ED"/>
    <w:rPr>
      <w:rFonts w:ascii="Arial" w:hAnsi="Arial" w:cs="Arial"/>
      <w:sz w:val="22"/>
      <w:szCs w:val="22"/>
      <w:lang w:eastAsia="en-US"/>
    </w:rPr>
  </w:style>
  <w:style w:type="paragraph" w:styleId="ListParagraph">
    <w:name w:val="List Paragraph"/>
    <w:basedOn w:val="Normal"/>
    <w:uiPriority w:val="34"/>
    <w:semiHidden/>
    <w:qFormat/>
    <w:rsid w:val="00EF58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6251">
      <w:bodyDiv w:val="1"/>
      <w:marLeft w:val="0"/>
      <w:marRight w:val="0"/>
      <w:marTop w:val="0"/>
      <w:marBottom w:val="0"/>
      <w:divBdr>
        <w:top w:val="none" w:sz="0" w:space="0" w:color="auto"/>
        <w:left w:val="none" w:sz="0" w:space="0" w:color="auto"/>
        <w:bottom w:val="none" w:sz="0" w:space="0" w:color="auto"/>
        <w:right w:val="none" w:sz="0" w:space="0" w:color="auto"/>
      </w:divBdr>
    </w:div>
    <w:div w:id="52240138">
      <w:bodyDiv w:val="1"/>
      <w:marLeft w:val="0"/>
      <w:marRight w:val="0"/>
      <w:marTop w:val="0"/>
      <w:marBottom w:val="0"/>
      <w:divBdr>
        <w:top w:val="none" w:sz="0" w:space="0" w:color="auto"/>
        <w:left w:val="none" w:sz="0" w:space="0" w:color="auto"/>
        <w:bottom w:val="none" w:sz="0" w:space="0" w:color="auto"/>
        <w:right w:val="none" w:sz="0" w:space="0" w:color="auto"/>
      </w:divBdr>
    </w:div>
    <w:div w:id="183400139">
      <w:bodyDiv w:val="1"/>
      <w:marLeft w:val="0"/>
      <w:marRight w:val="0"/>
      <w:marTop w:val="0"/>
      <w:marBottom w:val="0"/>
      <w:divBdr>
        <w:top w:val="none" w:sz="0" w:space="0" w:color="auto"/>
        <w:left w:val="none" w:sz="0" w:space="0" w:color="auto"/>
        <w:bottom w:val="none" w:sz="0" w:space="0" w:color="auto"/>
        <w:right w:val="none" w:sz="0" w:space="0" w:color="auto"/>
      </w:divBdr>
    </w:div>
    <w:div w:id="288707355">
      <w:bodyDiv w:val="1"/>
      <w:marLeft w:val="0"/>
      <w:marRight w:val="0"/>
      <w:marTop w:val="0"/>
      <w:marBottom w:val="0"/>
      <w:divBdr>
        <w:top w:val="none" w:sz="0" w:space="0" w:color="auto"/>
        <w:left w:val="none" w:sz="0" w:space="0" w:color="auto"/>
        <w:bottom w:val="none" w:sz="0" w:space="0" w:color="auto"/>
        <w:right w:val="none" w:sz="0" w:space="0" w:color="auto"/>
      </w:divBdr>
    </w:div>
    <w:div w:id="388192246">
      <w:bodyDiv w:val="1"/>
      <w:marLeft w:val="0"/>
      <w:marRight w:val="0"/>
      <w:marTop w:val="0"/>
      <w:marBottom w:val="0"/>
      <w:divBdr>
        <w:top w:val="none" w:sz="0" w:space="0" w:color="auto"/>
        <w:left w:val="none" w:sz="0" w:space="0" w:color="auto"/>
        <w:bottom w:val="none" w:sz="0" w:space="0" w:color="auto"/>
        <w:right w:val="none" w:sz="0" w:space="0" w:color="auto"/>
      </w:divBdr>
    </w:div>
    <w:div w:id="396436648">
      <w:bodyDiv w:val="1"/>
      <w:marLeft w:val="0"/>
      <w:marRight w:val="0"/>
      <w:marTop w:val="0"/>
      <w:marBottom w:val="0"/>
      <w:divBdr>
        <w:top w:val="none" w:sz="0" w:space="0" w:color="auto"/>
        <w:left w:val="none" w:sz="0" w:space="0" w:color="auto"/>
        <w:bottom w:val="none" w:sz="0" w:space="0" w:color="auto"/>
        <w:right w:val="none" w:sz="0" w:space="0" w:color="auto"/>
      </w:divBdr>
    </w:div>
    <w:div w:id="416093705">
      <w:bodyDiv w:val="1"/>
      <w:marLeft w:val="0"/>
      <w:marRight w:val="0"/>
      <w:marTop w:val="0"/>
      <w:marBottom w:val="0"/>
      <w:divBdr>
        <w:top w:val="none" w:sz="0" w:space="0" w:color="auto"/>
        <w:left w:val="none" w:sz="0" w:space="0" w:color="auto"/>
        <w:bottom w:val="none" w:sz="0" w:space="0" w:color="auto"/>
        <w:right w:val="none" w:sz="0" w:space="0" w:color="auto"/>
      </w:divBdr>
    </w:div>
    <w:div w:id="722362885">
      <w:bodyDiv w:val="1"/>
      <w:marLeft w:val="0"/>
      <w:marRight w:val="0"/>
      <w:marTop w:val="0"/>
      <w:marBottom w:val="0"/>
      <w:divBdr>
        <w:top w:val="none" w:sz="0" w:space="0" w:color="auto"/>
        <w:left w:val="none" w:sz="0" w:space="0" w:color="auto"/>
        <w:bottom w:val="none" w:sz="0" w:space="0" w:color="auto"/>
        <w:right w:val="none" w:sz="0" w:space="0" w:color="auto"/>
      </w:divBdr>
    </w:div>
    <w:div w:id="1490755091">
      <w:bodyDiv w:val="1"/>
      <w:marLeft w:val="0"/>
      <w:marRight w:val="0"/>
      <w:marTop w:val="0"/>
      <w:marBottom w:val="0"/>
      <w:divBdr>
        <w:top w:val="none" w:sz="0" w:space="0" w:color="auto"/>
        <w:left w:val="none" w:sz="0" w:space="0" w:color="auto"/>
        <w:bottom w:val="none" w:sz="0" w:space="0" w:color="auto"/>
        <w:right w:val="none" w:sz="0" w:space="0" w:color="auto"/>
      </w:divBdr>
    </w:div>
    <w:div w:id="1882739763">
      <w:bodyDiv w:val="1"/>
      <w:marLeft w:val="0"/>
      <w:marRight w:val="0"/>
      <w:marTop w:val="0"/>
      <w:marBottom w:val="0"/>
      <w:divBdr>
        <w:top w:val="none" w:sz="0" w:space="0" w:color="auto"/>
        <w:left w:val="none" w:sz="0" w:space="0" w:color="auto"/>
        <w:bottom w:val="none" w:sz="0" w:space="0" w:color="auto"/>
        <w:right w:val="none" w:sz="0" w:space="0" w:color="auto"/>
      </w:divBdr>
    </w:div>
    <w:div w:id="196276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Appraisals\Templates\Scoping\3.%20Tech%20team%20templates%20updated%20March%2022\Scoping%20consultation%20comments%20table%20March%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Scoping consultation comments table March 2022</Template>
  <TotalTime>1</TotalTime>
  <Pages>14</Pages>
  <Words>2561</Words>
  <Characters>20078</Characters>
  <Application>Microsoft Office Word</Application>
  <DocSecurity>0</DocSecurity>
  <Lines>167</Lines>
  <Paragraphs>45</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22594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Thomas Jarratt</dc:creator>
  <cp:lastModifiedBy>Wajeeha Asim</cp:lastModifiedBy>
  <cp:revision>2</cp:revision>
  <dcterms:created xsi:type="dcterms:W3CDTF">2023-10-04T14:51:00Z</dcterms:created>
  <dcterms:modified xsi:type="dcterms:W3CDTF">2023-10-04T14:51:00Z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2023-07-24T10:27:41Z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515f7301-7886-42d1-8474-3a8fc386a758</vt:lpwstr>
  </property>
  <property fmtid="{D5CDD505-2E9C-101B-9397-08002B2CF9AE}" pid="8" name="MSIP_Label_c69d85d5-6d9e-4305-a294-1f636ec0f2d6_ContentBits">
    <vt:lpwstr>0</vt:lpwstr>
  </property>
</Properties>
</file>