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5035D" w14:textId="77777777" w:rsidR="00CC79EF" w:rsidRPr="00325F83" w:rsidRDefault="00CC79EF" w:rsidP="000A42BB">
      <w:pPr>
        <w:pStyle w:val="Heading3"/>
        <w:spacing w:line="360" w:lineRule="auto"/>
        <w:jc w:val="center"/>
        <w:rPr>
          <w:sz w:val="32"/>
          <w:szCs w:val="32"/>
        </w:rPr>
      </w:pPr>
      <w:r w:rsidRPr="00325F83">
        <w:rPr>
          <w:sz w:val="32"/>
          <w:szCs w:val="32"/>
        </w:rPr>
        <w:t>NATIONAL INSTITUTE FOR HEALTH AND CARE EXCELLENCE</w:t>
      </w:r>
    </w:p>
    <w:p w14:paraId="78DEDF1F" w14:textId="77777777" w:rsidR="00CC79EF" w:rsidRPr="00325F83" w:rsidRDefault="00CC79EF" w:rsidP="000A42BB">
      <w:pPr>
        <w:pStyle w:val="Heading3"/>
        <w:spacing w:line="360" w:lineRule="auto"/>
        <w:jc w:val="center"/>
        <w:rPr>
          <w:sz w:val="32"/>
          <w:szCs w:val="32"/>
        </w:rPr>
      </w:pPr>
      <w:r w:rsidRPr="00325F83">
        <w:rPr>
          <w:sz w:val="32"/>
          <w:szCs w:val="32"/>
        </w:rPr>
        <w:t>SINGLE TECHNOLOGY APPRAISAL</w:t>
      </w:r>
    </w:p>
    <w:p w14:paraId="1922AE63" w14:textId="77777777" w:rsidR="00CC79EF" w:rsidRPr="00325F83" w:rsidRDefault="00CC79EF" w:rsidP="000A42BB">
      <w:pPr>
        <w:pStyle w:val="Heading3"/>
        <w:spacing w:line="360" w:lineRule="auto"/>
        <w:jc w:val="center"/>
        <w:rPr>
          <w:sz w:val="32"/>
          <w:szCs w:val="32"/>
        </w:rPr>
      </w:pPr>
      <w:r w:rsidRPr="00325F83">
        <w:rPr>
          <w:sz w:val="32"/>
          <w:szCs w:val="32"/>
        </w:rPr>
        <w:t>APPEAL HEARING</w:t>
      </w:r>
    </w:p>
    <w:p w14:paraId="6288C4D5" w14:textId="77777777" w:rsidR="00CC79EF" w:rsidRPr="00AA2B19" w:rsidRDefault="00CC79EF" w:rsidP="000A42BB">
      <w:pPr>
        <w:spacing w:line="360" w:lineRule="auto"/>
        <w:jc w:val="center"/>
        <w:rPr>
          <w:rFonts w:ascii="Arial" w:hAnsi="Arial" w:cs="Arial"/>
          <w:sz w:val="24"/>
          <w:szCs w:val="24"/>
        </w:rPr>
      </w:pPr>
    </w:p>
    <w:p w14:paraId="33F41A6A" w14:textId="77777777" w:rsidR="00325F83" w:rsidRDefault="00CC79EF" w:rsidP="000A42BB">
      <w:pPr>
        <w:pStyle w:val="Heading3"/>
        <w:spacing w:line="360" w:lineRule="auto"/>
        <w:rPr>
          <w:sz w:val="28"/>
          <w:szCs w:val="28"/>
        </w:rPr>
      </w:pPr>
      <w:r w:rsidRPr="00325F83">
        <w:rPr>
          <w:sz w:val="28"/>
          <w:szCs w:val="28"/>
        </w:rPr>
        <w:t xml:space="preserve">Advice on </w:t>
      </w:r>
      <w:r w:rsidR="00D2223E">
        <w:rPr>
          <w:sz w:val="28"/>
          <w:szCs w:val="28"/>
        </w:rPr>
        <w:t xml:space="preserve">durvalumab with platinum-based chemotherapy, then with </w:t>
      </w:r>
      <w:r w:rsidR="00226062">
        <w:rPr>
          <w:sz w:val="28"/>
          <w:szCs w:val="28"/>
        </w:rPr>
        <w:t xml:space="preserve">or </w:t>
      </w:r>
      <w:r w:rsidR="00D2223E">
        <w:rPr>
          <w:sz w:val="28"/>
          <w:szCs w:val="28"/>
        </w:rPr>
        <w:t xml:space="preserve">without </w:t>
      </w:r>
      <w:proofErr w:type="spellStart"/>
      <w:r w:rsidR="003C775A">
        <w:rPr>
          <w:sz w:val="28"/>
          <w:szCs w:val="28"/>
        </w:rPr>
        <w:t>o</w:t>
      </w:r>
      <w:r w:rsidR="00E10A6A">
        <w:rPr>
          <w:sz w:val="28"/>
          <w:szCs w:val="28"/>
        </w:rPr>
        <w:t>laparib</w:t>
      </w:r>
      <w:proofErr w:type="spellEnd"/>
      <w:r w:rsidR="00E10A6A">
        <w:rPr>
          <w:sz w:val="28"/>
          <w:szCs w:val="28"/>
        </w:rPr>
        <w:t>, for treating newly diagnosed advanced or recurrent endometrial cancer</w:t>
      </w:r>
      <w:r w:rsidR="0089334C" w:rsidRPr="00325F83">
        <w:rPr>
          <w:sz w:val="28"/>
          <w:szCs w:val="28"/>
        </w:rPr>
        <w:t xml:space="preserve"> [ID</w:t>
      </w:r>
      <w:r w:rsidR="00E10A6A">
        <w:rPr>
          <w:sz w:val="28"/>
          <w:szCs w:val="28"/>
        </w:rPr>
        <w:t>6317</w:t>
      </w:r>
      <w:r w:rsidR="0089334C" w:rsidRPr="00325F83">
        <w:rPr>
          <w:sz w:val="28"/>
          <w:szCs w:val="28"/>
        </w:rPr>
        <w:t>]</w:t>
      </w:r>
    </w:p>
    <w:p w14:paraId="1C02CF69" w14:textId="56855AE4" w:rsidR="00CC79EF" w:rsidRPr="00325F83" w:rsidRDefault="00A959F6" w:rsidP="000A42BB">
      <w:pPr>
        <w:pStyle w:val="Heading3"/>
        <w:spacing w:line="360" w:lineRule="auto"/>
        <w:rPr>
          <w:sz w:val="28"/>
          <w:szCs w:val="28"/>
        </w:rPr>
      </w:pPr>
      <w:r w:rsidRPr="00325F83">
        <w:rPr>
          <w:sz w:val="28"/>
          <w:szCs w:val="28"/>
        </w:rPr>
        <w:t>D</w:t>
      </w:r>
      <w:r w:rsidR="00CC79EF" w:rsidRPr="00325F83">
        <w:rPr>
          <w:sz w:val="28"/>
          <w:szCs w:val="28"/>
        </w:rPr>
        <w:t xml:space="preserve">ecision of the </w:t>
      </w:r>
      <w:r w:rsidR="00C22D31">
        <w:rPr>
          <w:sz w:val="28"/>
          <w:szCs w:val="28"/>
        </w:rPr>
        <w:t>appeal panel</w:t>
      </w:r>
    </w:p>
    <w:p w14:paraId="32DBA385" w14:textId="77777777" w:rsidR="00CC79EF" w:rsidRPr="00325F83" w:rsidRDefault="00CC79EF" w:rsidP="000A42BB">
      <w:pPr>
        <w:pStyle w:val="Heading3"/>
        <w:spacing w:line="360" w:lineRule="auto"/>
        <w:rPr>
          <w:i/>
          <w:iCs/>
          <w:sz w:val="28"/>
          <w:szCs w:val="28"/>
        </w:rPr>
      </w:pPr>
      <w:r w:rsidRPr="00325F83">
        <w:rPr>
          <w:i/>
          <w:iCs/>
          <w:sz w:val="28"/>
          <w:szCs w:val="28"/>
        </w:rPr>
        <w:t>Introduction</w:t>
      </w:r>
    </w:p>
    <w:p w14:paraId="2F1CFDE2" w14:textId="41687A69" w:rsidR="00CC79EF" w:rsidRPr="005D1B65" w:rsidRDefault="00CC79EF" w:rsidP="000A42BB">
      <w:pPr>
        <w:pStyle w:val="Paragraph"/>
        <w:rPr>
          <w:sz w:val="24"/>
          <w:szCs w:val="24"/>
        </w:rPr>
      </w:pPr>
      <w:r w:rsidRPr="005D1B65">
        <w:rPr>
          <w:sz w:val="24"/>
          <w:szCs w:val="24"/>
        </w:rPr>
        <w:t xml:space="preserve">An </w:t>
      </w:r>
      <w:r w:rsidR="00BE04E4">
        <w:rPr>
          <w:sz w:val="24"/>
          <w:szCs w:val="24"/>
        </w:rPr>
        <w:t>appeal panel</w:t>
      </w:r>
      <w:r w:rsidRPr="005D1B65">
        <w:rPr>
          <w:sz w:val="24"/>
          <w:szCs w:val="24"/>
        </w:rPr>
        <w:t xml:space="preserve"> was convened on </w:t>
      </w:r>
      <w:r w:rsidR="002A0CFE">
        <w:rPr>
          <w:sz w:val="24"/>
          <w:szCs w:val="24"/>
        </w:rPr>
        <w:t>2</w:t>
      </w:r>
      <w:r w:rsidR="0089334C" w:rsidRPr="005D1B65">
        <w:rPr>
          <w:sz w:val="24"/>
          <w:szCs w:val="24"/>
        </w:rPr>
        <w:t xml:space="preserve"> </w:t>
      </w:r>
      <w:r w:rsidR="002A0CFE">
        <w:rPr>
          <w:sz w:val="24"/>
          <w:szCs w:val="24"/>
        </w:rPr>
        <w:t xml:space="preserve">October </w:t>
      </w:r>
      <w:r w:rsidR="00574046" w:rsidRPr="005D1B65">
        <w:rPr>
          <w:sz w:val="24"/>
          <w:szCs w:val="24"/>
        </w:rPr>
        <w:t>202</w:t>
      </w:r>
      <w:r w:rsidR="002A0CFE">
        <w:rPr>
          <w:sz w:val="24"/>
          <w:szCs w:val="24"/>
        </w:rPr>
        <w:t>5</w:t>
      </w:r>
      <w:r w:rsidRPr="005D1B65">
        <w:rPr>
          <w:sz w:val="24"/>
          <w:szCs w:val="24"/>
        </w:rPr>
        <w:t xml:space="preserve"> to consider an appeal against NICE’s final </w:t>
      </w:r>
      <w:r w:rsidR="00226062">
        <w:rPr>
          <w:sz w:val="24"/>
          <w:szCs w:val="24"/>
        </w:rPr>
        <w:t>draft guidance ("FDG")</w:t>
      </w:r>
      <w:r w:rsidRPr="005D1B65">
        <w:rPr>
          <w:sz w:val="24"/>
          <w:szCs w:val="24"/>
        </w:rPr>
        <w:t>, to the NHS, on</w:t>
      </w:r>
      <w:r w:rsidR="00574046" w:rsidRPr="005D1B65">
        <w:rPr>
          <w:sz w:val="24"/>
          <w:szCs w:val="24"/>
        </w:rPr>
        <w:t xml:space="preserve"> </w:t>
      </w:r>
      <w:r w:rsidR="002A0CFE" w:rsidRPr="002A0CFE">
        <w:rPr>
          <w:sz w:val="24"/>
          <w:szCs w:val="24"/>
        </w:rPr>
        <w:t xml:space="preserve">durvalumab with platinum-based chemotherapy, then with </w:t>
      </w:r>
      <w:r w:rsidR="00226062">
        <w:rPr>
          <w:sz w:val="24"/>
          <w:szCs w:val="24"/>
        </w:rPr>
        <w:t>or</w:t>
      </w:r>
      <w:r w:rsidR="002A0CFE" w:rsidRPr="002A0CFE">
        <w:rPr>
          <w:sz w:val="24"/>
          <w:szCs w:val="24"/>
        </w:rPr>
        <w:t xml:space="preserve"> without </w:t>
      </w:r>
      <w:proofErr w:type="spellStart"/>
      <w:r w:rsidR="00A4679A">
        <w:rPr>
          <w:sz w:val="24"/>
          <w:szCs w:val="24"/>
        </w:rPr>
        <w:t>o</w:t>
      </w:r>
      <w:r w:rsidR="002A0CFE" w:rsidRPr="002A0CFE">
        <w:rPr>
          <w:sz w:val="24"/>
          <w:szCs w:val="24"/>
        </w:rPr>
        <w:t>laparib</w:t>
      </w:r>
      <w:proofErr w:type="spellEnd"/>
      <w:r w:rsidR="002A0CFE" w:rsidRPr="002A0CFE">
        <w:rPr>
          <w:sz w:val="24"/>
          <w:szCs w:val="24"/>
        </w:rPr>
        <w:t>, for treating newly diagnosed advanced or recurrent endometrial cancer</w:t>
      </w:r>
      <w:r w:rsidR="002A0CFE">
        <w:rPr>
          <w:sz w:val="24"/>
          <w:szCs w:val="24"/>
        </w:rPr>
        <w:t>.</w:t>
      </w:r>
    </w:p>
    <w:p w14:paraId="06449568" w14:textId="7ACE3A26" w:rsidR="00CC79EF" w:rsidRPr="001A6503" w:rsidRDefault="00CC79EF" w:rsidP="000A42BB">
      <w:pPr>
        <w:pStyle w:val="Paragraph"/>
        <w:rPr>
          <w:sz w:val="24"/>
          <w:szCs w:val="24"/>
        </w:rPr>
      </w:pPr>
      <w:r w:rsidRPr="001A6503">
        <w:rPr>
          <w:sz w:val="24"/>
          <w:szCs w:val="24"/>
        </w:rPr>
        <w:t xml:space="preserve">The </w:t>
      </w:r>
      <w:r w:rsidR="006D6A76">
        <w:rPr>
          <w:sz w:val="24"/>
          <w:szCs w:val="24"/>
        </w:rPr>
        <w:t>a</w:t>
      </w:r>
      <w:r w:rsidR="00BE04E4">
        <w:rPr>
          <w:sz w:val="24"/>
          <w:szCs w:val="24"/>
        </w:rPr>
        <w:t>ppeal panel</w:t>
      </w:r>
      <w:r w:rsidRPr="001A6503">
        <w:rPr>
          <w:sz w:val="24"/>
          <w:szCs w:val="24"/>
        </w:rPr>
        <w:t xml:space="preserve"> consisted of</w:t>
      </w:r>
      <w:r w:rsidR="00574046" w:rsidRPr="001A6503">
        <w:rPr>
          <w:sz w:val="24"/>
          <w:szCs w:val="24"/>
        </w:rPr>
        <w:t>:</w:t>
      </w:r>
      <w:r w:rsidRPr="001A6503">
        <w:rPr>
          <w:sz w:val="24"/>
          <w:szCs w:val="24"/>
        </w:rPr>
        <w:t xml:space="preserve"> </w:t>
      </w:r>
    </w:p>
    <w:p w14:paraId="10246324" w14:textId="77777777" w:rsidR="00CC79EF" w:rsidRPr="001A6503" w:rsidRDefault="006D1039" w:rsidP="000A42BB">
      <w:pPr>
        <w:pStyle w:val="Bullets"/>
        <w:rPr>
          <w:sz w:val="24"/>
          <w:szCs w:val="24"/>
        </w:rPr>
      </w:pPr>
      <w:r>
        <w:rPr>
          <w:sz w:val="24"/>
          <w:szCs w:val="24"/>
        </w:rPr>
        <w:t>Biba Stanton</w:t>
      </w:r>
      <w:r>
        <w:rPr>
          <w:sz w:val="24"/>
          <w:szCs w:val="24"/>
        </w:rPr>
        <w:tab/>
      </w:r>
      <w:r w:rsidR="00CC79EF" w:rsidRPr="001A6503">
        <w:rPr>
          <w:sz w:val="24"/>
          <w:szCs w:val="24"/>
        </w:rPr>
        <w:tab/>
      </w:r>
      <w:r>
        <w:rPr>
          <w:sz w:val="24"/>
          <w:szCs w:val="24"/>
        </w:rPr>
        <w:tab/>
      </w:r>
      <w:r w:rsidR="00574046" w:rsidRPr="001A6503">
        <w:rPr>
          <w:sz w:val="24"/>
          <w:szCs w:val="24"/>
        </w:rPr>
        <w:t>Chair</w:t>
      </w:r>
    </w:p>
    <w:p w14:paraId="5EFC23EF" w14:textId="77777777" w:rsidR="00FB4373" w:rsidRPr="001A6503" w:rsidRDefault="00667C82" w:rsidP="000A42BB">
      <w:pPr>
        <w:pStyle w:val="Bullets"/>
        <w:rPr>
          <w:sz w:val="24"/>
          <w:szCs w:val="24"/>
        </w:rPr>
      </w:pPr>
      <w:r>
        <w:rPr>
          <w:sz w:val="24"/>
          <w:szCs w:val="24"/>
        </w:rPr>
        <w:t>Alina Lourie</w:t>
      </w:r>
      <w:r>
        <w:rPr>
          <w:sz w:val="24"/>
          <w:szCs w:val="24"/>
        </w:rPr>
        <w:tab/>
      </w:r>
      <w:r w:rsidR="00FB4373" w:rsidRPr="001A6503">
        <w:rPr>
          <w:sz w:val="24"/>
          <w:szCs w:val="24"/>
        </w:rPr>
        <w:tab/>
      </w:r>
      <w:r w:rsidR="00FB4373" w:rsidRPr="001A6503">
        <w:rPr>
          <w:sz w:val="24"/>
          <w:szCs w:val="24"/>
        </w:rPr>
        <w:tab/>
      </w:r>
      <w:proofErr w:type="gramStart"/>
      <w:r w:rsidR="00FB4373" w:rsidRPr="001A6503">
        <w:rPr>
          <w:sz w:val="24"/>
          <w:szCs w:val="24"/>
        </w:rPr>
        <w:t>Non-executive</w:t>
      </w:r>
      <w:proofErr w:type="gramEnd"/>
      <w:r w:rsidR="00FB4373" w:rsidRPr="001A6503">
        <w:rPr>
          <w:sz w:val="24"/>
          <w:szCs w:val="24"/>
        </w:rPr>
        <w:t xml:space="preserve"> director of NICE</w:t>
      </w:r>
    </w:p>
    <w:p w14:paraId="09FB6916" w14:textId="77777777" w:rsidR="00574046" w:rsidRPr="001A6503" w:rsidRDefault="00667C82" w:rsidP="000A42BB">
      <w:pPr>
        <w:pStyle w:val="Bullets"/>
        <w:rPr>
          <w:sz w:val="24"/>
          <w:szCs w:val="24"/>
        </w:rPr>
      </w:pPr>
      <w:r>
        <w:rPr>
          <w:sz w:val="24"/>
          <w:szCs w:val="24"/>
        </w:rPr>
        <w:t>Nigel Langford</w:t>
      </w:r>
      <w:r w:rsidR="00574046" w:rsidRPr="001A6503">
        <w:rPr>
          <w:sz w:val="24"/>
          <w:szCs w:val="24"/>
        </w:rPr>
        <w:tab/>
      </w:r>
      <w:r w:rsidR="00101BBF">
        <w:rPr>
          <w:sz w:val="24"/>
          <w:szCs w:val="24"/>
        </w:rPr>
        <w:tab/>
      </w:r>
      <w:r w:rsidR="00574046" w:rsidRPr="001A6503">
        <w:rPr>
          <w:sz w:val="24"/>
          <w:szCs w:val="24"/>
        </w:rPr>
        <w:tab/>
        <w:t>Health service representative</w:t>
      </w:r>
    </w:p>
    <w:p w14:paraId="0CFB1BA1" w14:textId="77777777" w:rsidR="00574046" w:rsidRPr="001A6503" w:rsidRDefault="004217C7" w:rsidP="000A42BB">
      <w:pPr>
        <w:pStyle w:val="Bullets"/>
        <w:rPr>
          <w:sz w:val="24"/>
          <w:szCs w:val="24"/>
        </w:rPr>
      </w:pPr>
      <w:r>
        <w:rPr>
          <w:sz w:val="24"/>
          <w:szCs w:val="24"/>
        </w:rPr>
        <w:t>Tina Alexopoulos</w:t>
      </w:r>
      <w:r w:rsidR="00574046" w:rsidRPr="001A6503">
        <w:rPr>
          <w:sz w:val="24"/>
          <w:szCs w:val="24"/>
        </w:rPr>
        <w:tab/>
      </w:r>
      <w:r w:rsidR="00811313">
        <w:rPr>
          <w:sz w:val="24"/>
          <w:szCs w:val="24"/>
        </w:rPr>
        <w:tab/>
      </w:r>
      <w:r w:rsidR="00574046" w:rsidRPr="001A6503">
        <w:rPr>
          <w:sz w:val="24"/>
          <w:szCs w:val="24"/>
        </w:rPr>
        <w:t>Industry representative</w:t>
      </w:r>
    </w:p>
    <w:p w14:paraId="185FB087" w14:textId="77777777" w:rsidR="00574046" w:rsidRPr="001A6503" w:rsidRDefault="00C07E03" w:rsidP="000A42BB">
      <w:pPr>
        <w:pStyle w:val="Bullets"/>
        <w:rPr>
          <w:sz w:val="24"/>
          <w:szCs w:val="24"/>
        </w:rPr>
      </w:pPr>
      <w:r>
        <w:rPr>
          <w:sz w:val="24"/>
          <w:szCs w:val="24"/>
        </w:rPr>
        <w:t>She</w:t>
      </w:r>
      <w:r w:rsidR="00226062">
        <w:rPr>
          <w:sz w:val="24"/>
          <w:szCs w:val="24"/>
        </w:rPr>
        <w:t>b</w:t>
      </w:r>
      <w:r>
        <w:rPr>
          <w:sz w:val="24"/>
          <w:szCs w:val="24"/>
        </w:rPr>
        <w:t>a Joseph</w:t>
      </w:r>
      <w:r>
        <w:rPr>
          <w:sz w:val="24"/>
          <w:szCs w:val="24"/>
        </w:rPr>
        <w:tab/>
      </w:r>
      <w:r w:rsidR="00574046" w:rsidRPr="001A6503">
        <w:rPr>
          <w:sz w:val="24"/>
          <w:szCs w:val="24"/>
        </w:rPr>
        <w:tab/>
      </w:r>
      <w:r w:rsidR="00811313">
        <w:rPr>
          <w:sz w:val="24"/>
          <w:szCs w:val="24"/>
        </w:rPr>
        <w:tab/>
      </w:r>
      <w:r w:rsidR="00574046" w:rsidRPr="001A6503">
        <w:rPr>
          <w:sz w:val="24"/>
          <w:szCs w:val="24"/>
        </w:rPr>
        <w:t>Lay representative</w:t>
      </w:r>
    </w:p>
    <w:p w14:paraId="2A03F7FF" w14:textId="317A62DB" w:rsidR="00CC79EF" w:rsidRPr="001A6503" w:rsidRDefault="00CC79EF" w:rsidP="000A42BB">
      <w:pPr>
        <w:pStyle w:val="Paragraph"/>
        <w:rPr>
          <w:sz w:val="24"/>
          <w:szCs w:val="24"/>
        </w:rPr>
      </w:pPr>
      <w:r w:rsidRPr="001A6503">
        <w:rPr>
          <w:sz w:val="24"/>
          <w:szCs w:val="24"/>
        </w:rPr>
        <w:t xml:space="preserve">None of the members of the </w:t>
      </w:r>
      <w:r w:rsidR="00BE04E4">
        <w:rPr>
          <w:sz w:val="24"/>
          <w:szCs w:val="24"/>
        </w:rPr>
        <w:t>appeal panel</w:t>
      </w:r>
      <w:r w:rsidRPr="001A6503">
        <w:rPr>
          <w:sz w:val="24"/>
          <w:szCs w:val="24"/>
        </w:rPr>
        <w:t xml:space="preserve"> had any competing interest to declare. </w:t>
      </w:r>
    </w:p>
    <w:p w14:paraId="754DBA04" w14:textId="44CED495" w:rsidR="00CC79EF" w:rsidRPr="001A6503" w:rsidRDefault="00CC79EF" w:rsidP="000A42BB">
      <w:pPr>
        <w:pStyle w:val="Paragraph"/>
        <w:rPr>
          <w:sz w:val="24"/>
          <w:szCs w:val="24"/>
        </w:rPr>
      </w:pPr>
      <w:r w:rsidRPr="001A6503">
        <w:rPr>
          <w:sz w:val="24"/>
          <w:szCs w:val="24"/>
        </w:rPr>
        <w:lastRenderedPageBreak/>
        <w:t xml:space="preserve">The </w:t>
      </w:r>
      <w:r w:rsidR="00BE04E4">
        <w:rPr>
          <w:sz w:val="24"/>
          <w:szCs w:val="24"/>
        </w:rPr>
        <w:t>appeal panel</w:t>
      </w:r>
      <w:r w:rsidRPr="001A6503">
        <w:rPr>
          <w:sz w:val="24"/>
          <w:szCs w:val="24"/>
        </w:rPr>
        <w:t xml:space="preserve"> considered </w:t>
      </w:r>
      <w:r w:rsidR="00574046" w:rsidRPr="001A6503">
        <w:rPr>
          <w:sz w:val="24"/>
          <w:szCs w:val="24"/>
        </w:rPr>
        <w:t xml:space="preserve">an </w:t>
      </w:r>
      <w:r w:rsidRPr="001A6503">
        <w:rPr>
          <w:sz w:val="24"/>
          <w:szCs w:val="24"/>
        </w:rPr>
        <w:t>appeal submitted by</w:t>
      </w:r>
      <w:r w:rsidR="00574046" w:rsidRPr="001A6503">
        <w:rPr>
          <w:sz w:val="24"/>
          <w:szCs w:val="24"/>
        </w:rPr>
        <w:t xml:space="preserve"> </w:t>
      </w:r>
      <w:r w:rsidR="00A938E9">
        <w:rPr>
          <w:sz w:val="24"/>
          <w:szCs w:val="24"/>
        </w:rPr>
        <w:t>AstraZeneca</w:t>
      </w:r>
      <w:r w:rsidR="00574046" w:rsidRPr="001A6503">
        <w:rPr>
          <w:sz w:val="24"/>
          <w:szCs w:val="24"/>
        </w:rPr>
        <w:t xml:space="preserve"> </w:t>
      </w:r>
      <w:r w:rsidR="00FB4373">
        <w:rPr>
          <w:sz w:val="24"/>
          <w:szCs w:val="24"/>
        </w:rPr>
        <w:t>(</w:t>
      </w:r>
      <w:r w:rsidR="00574046" w:rsidRPr="001A6503">
        <w:rPr>
          <w:sz w:val="24"/>
          <w:szCs w:val="24"/>
        </w:rPr>
        <w:t xml:space="preserve">the </w:t>
      </w:r>
      <w:r w:rsidR="00FB4373">
        <w:rPr>
          <w:sz w:val="24"/>
          <w:szCs w:val="24"/>
        </w:rPr>
        <w:t>"</w:t>
      </w:r>
      <w:r w:rsidR="001321C3">
        <w:rPr>
          <w:sz w:val="24"/>
          <w:szCs w:val="24"/>
        </w:rPr>
        <w:t>company</w:t>
      </w:r>
      <w:r w:rsidR="00FB4373">
        <w:rPr>
          <w:sz w:val="24"/>
          <w:szCs w:val="24"/>
        </w:rPr>
        <w:t>")</w:t>
      </w:r>
      <w:r w:rsidR="00574046" w:rsidRPr="001A6503">
        <w:rPr>
          <w:sz w:val="24"/>
          <w:szCs w:val="24"/>
        </w:rPr>
        <w:t>.</w:t>
      </w:r>
    </w:p>
    <w:p w14:paraId="41E61720" w14:textId="361CC096" w:rsidR="00CC79EF" w:rsidRPr="001A6503" w:rsidRDefault="00A938E9" w:rsidP="000A42BB">
      <w:pPr>
        <w:pStyle w:val="Paragraph"/>
        <w:rPr>
          <w:sz w:val="24"/>
          <w:szCs w:val="24"/>
        </w:rPr>
      </w:pPr>
      <w:r>
        <w:rPr>
          <w:sz w:val="24"/>
          <w:szCs w:val="24"/>
        </w:rPr>
        <w:t>AstraZeneca</w:t>
      </w:r>
      <w:r w:rsidR="00574046" w:rsidRPr="001A6503">
        <w:rPr>
          <w:sz w:val="24"/>
          <w:szCs w:val="24"/>
        </w:rPr>
        <w:t xml:space="preserve"> </w:t>
      </w:r>
      <w:r w:rsidR="00CC79EF" w:rsidRPr="001A6503">
        <w:rPr>
          <w:sz w:val="24"/>
          <w:szCs w:val="24"/>
        </w:rPr>
        <w:t xml:space="preserve">was represented by: </w:t>
      </w:r>
    </w:p>
    <w:p w14:paraId="33120137" w14:textId="77777777" w:rsidR="005135CB" w:rsidRPr="005135CB" w:rsidRDefault="005135CB" w:rsidP="005135CB">
      <w:pPr>
        <w:pStyle w:val="Bullets"/>
        <w:rPr>
          <w:sz w:val="24"/>
          <w:szCs w:val="24"/>
        </w:rPr>
      </w:pPr>
      <w:r w:rsidRPr="005135CB">
        <w:rPr>
          <w:sz w:val="24"/>
          <w:szCs w:val="24"/>
        </w:rPr>
        <w:t>Gavin Stewart</w:t>
      </w:r>
      <w:r>
        <w:rPr>
          <w:sz w:val="24"/>
          <w:szCs w:val="24"/>
        </w:rPr>
        <w:tab/>
      </w:r>
      <w:r>
        <w:rPr>
          <w:sz w:val="24"/>
          <w:szCs w:val="24"/>
        </w:rPr>
        <w:tab/>
      </w:r>
      <w:r>
        <w:rPr>
          <w:sz w:val="24"/>
          <w:szCs w:val="24"/>
        </w:rPr>
        <w:tab/>
      </w:r>
      <w:r w:rsidRPr="005135CB">
        <w:rPr>
          <w:sz w:val="24"/>
          <w:szCs w:val="24"/>
        </w:rPr>
        <w:t>Head of Market Access Oncology</w:t>
      </w:r>
    </w:p>
    <w:p w14:paraId="54C5659C" w14:textId="2AE562DB" w:rsidR="005135CB" w:rsidRPr="005135CB" w:rsidRDefault="005135CB" w:rsidP="005135CB">
      <w:pPr>
        <w:pStyle w:val="Bullets"/>
        <w:rPr>
          <w:sz w:val="24"/>
          <w:szCs w:val="24"/>
        </w:rPr>
      </w:pPr>
      <w:r w:rsidRPr="005135CB">
        <w:rPr>
          <w:sz w:val="24"/>
          <w:szCs w:val="24"/>
        </w:rPr>
        <w:t>Philippa Murphy</w:t>
      </w:r>
      <w:r>
        <w:rPr>
          <w:sz w:val="24"/>
          <w:szCs w:val="24"/>
        </w:rPr>
        <w:tab/>
      </w:r>
      <w:r>
        <w:rPr>
          <w:sz w:val="24"/>
          <w:szCs w:val="24"/>
        </w:rPr>
        <w:tab/>
      </w:r>
      <w:r>
        <w:rPr>
          <w:sz w:val="24"/>
          <w:szCs w:val="24"/>
        </w:rPr>
        <w:tab/>
      </w:r>
      <w:r w:rsidRPr="005135CB">
        <w:rPr>
          <w:sz w:val="24"/>
          <w:szCs w:val="24"/>
        </w:rPr>
        <w:t>Market Access Team Lead</w:t>
      </w:r>
    </w:p>
    <w:p w14:paraId="33D7E837" w14:textId="77777777" w:rsidR="005135CB" w:rsidRPr="005135CB" w:rsidRDefault="005135CB" w:rsidP="005135CB">
      <w:pPr>
        <w:pStyle w:val="Bullets"/>
        <w:rPr>
          <w:sz w:val="24"/>
          <w:szCs w:val="24"/>
        </w:rPr>
      </w:pPr>
      <w:r w:rsidRPr="005135CB">
        <w:rPr>
          <w:sz w:val="24"/>
          <w:szCs w:val="24"/>
        </w:rPr>
        <w:t>David Catterick</w:t>
      </w:r>
      <w:r>
        <w:rPr>
          <w:sz w:val="24"/>
          <w:szCs w:val="24"/>
        </w:rPr>
        <w:tab/>
      </w:r>
      <w:r>
        <w:rPr>
          <w:sz w:val="24"/>
          <w:szCs w:val="24"/>
        </w:rPr>
        <w:tab/>
      </w:r>
      <w:r>
        <w:rPr>
          <w:sz w:val="24"/>
          <w:szCs w:val="24"/>
        </w:rPr>
        <w:tab/>
      </w:r>
      <w:r w:rsidRPr="005135CB">
        <w:rPr>
          <w:sz w:val="24"/>
          <w:szCs w:val="24"/>
        </w:rPr>
        <w:t>Market Access Director</w:t>
      </w:r>
    </w:p>
    <w:p w14:paraId="7CF457F3" w14:textId="77777777" w:rsidR="005135CB" w:rsidRPr="005135CB" w:rsidRDefault="005135CB" w:rsidP="005135CB">
      <w:pPr>
        <w:pStyle w:val="Bullets"/>
        <w:rPr>
          <w:sz w:val="24"/>
          <w:szCs w:val="24"/>
        </w:rPr>
      </w:pPr>
      <w:r w:rsidRPr="005135CB">
        <w:rPr>
          <w:sz w:val="24"/>
          <w:szCs w:val="24"/>
        </w:rPr>
        <w:t>David Harland</w:t>
      </w:r>
      <w:r>
        <w:rPr>
          <w:sz w:val="24"/>
          <w:szCs w:val="24"/>
        </w:rPr>
        <w:tab/>
      </w:r>
      <w:r>
        <w:rPr>
          <w:sz w:val="24"/>
          <w:szCs w:val="24"/>
        </w:rPr>
        <w:tab/>
      </w:r>
      <w:r>
        <w:rPr>
          <w:sz w:val="24"/>
          <w:szCs w:val="24"/>
        </w:rPr>
        <w:tab/>
      </w:r>
      <w:r w:rsidRPr="005135CB">
        <w:rPr>
          <w:sz w:val="24"/>
          <w:szCs w:val="24"/>
        </w:rPr>
        <w:t>Oncology Medical Affairs Head</w:t>
      </w:r>
    </w:p>
    <w:p w14:paraId="44DEFA8A" w14:textId="77777777" w:rsidR="005135CB" w:rsidRDefault="005135CB" w:rsidP="005135CB">
      <w:pPr>
        <w:pStyle w:val="Bullets"/>
        <w:rPr>
          <w:sz w:val="24"/>
          <w:szCs w:val="24"/>
        </w:rPr>
      </w:pPr>
      <w:r w:rsidRPr="005135CB">
        <w:rPr>
          <w:sz w:val="24"/>
          <w:szCs w:val="24"/>
        </w:rPr>
        <w:t>Adela Williams</w:t>
      </w:r>
      <w:r w:rsidR="00556B90">
        <w:rPr>
          <w:sz w:val="24"/>
          <w:szCs w:val="24"/>
        </w:rPr>
        <w:tab/>
      </w:r>
      <w:r w:rsidR="00556B90">
        <w:rPr>
          <w:sz w:val="24"/>
          <w:szCs w:val="24"/>
        </w:rPr>
        <w:tab/>
      </w:r>
      <w:r w:rsidR="00556B90">
        <w:rPr>
          <w:sz w:val="24"/>
          <w:szCs w:val="24"/>
        </w:rPr>
        <w:tab/>
      </w:r>
      <w:r w:rsidRPr="005135CB">
        <w:rPr>
          <w:sz w:val="24"/>
          <w:szCs w:val="24"/>
        </w:rPr>
        <w:t>Legal Representative</w:t>
      </w:r>
    </w:p>
    <w:p w14:paraId="393E6450" w14:textId="52F755B3" w:rsidR="00CC79EF" w:rsidRPr="001A6503" w:rsidRDefault="00CC79EF" w:rsidP="000A42BB">
      <w:pPr>
        <w:pStyle w:val="Paragraph"/>
        <w:rPr>
          <w:sz w:val="24"/>
          <w:szCs w:val="24"/>
        </w:rPr>
      </w:pPr>
      <w:r w:rsidRPr="001A6503">
        <w:rPr>
          <w:sz w:val="24"/>
          <w:szCs w:val="24"/>
        </w:rPr>
        <w:t xml:space="preserve">In addition, the following individuals involved in the appraisal were present and available to answer questions from the </w:t>
      </w:r>
      <w:r w:rsidR="001321C3">
        <w:rPr>
          <w:sz w:val="24"/>
          <w:szCs w:val="24"/>
        </w:rPr>
        <w:t>appeal panel</w:t>
      </w:r>
      <w:r w:rsidRPr="001A6503">
        <w:rPr>
          <w:sz w:val="24"/>
          <w:szCs w:val="24"/>
        </w:rPr>
        <w:t>:</w:t>
      </w:r>
    </w:p>
    <w:p w14:paraId="299B2549" w14:textId="11913D60" w:rsidR="00564641" w:rsidRPr="00564641" w:rsidRDefault="00564641" w:rsidP="00564641">
      <w:pPr>
        <w:pStyle w:val="Bullets"/>
        <w:rPr>
          <w:sz w:val="24"/>
          <w:szCs w:val="24"/>
        </w:rPr>
      </w:pPr>
      <w:r w:rsidRPr="00564641">
        <w:rPr>
          <w:sz w:val="24"/>
          <w:szCs w:val="24"/>
        </w:rPr>
        <w:t>James Fotheringham</w:t>
      </w:r>
      <w:r>
        <w:rPr>
          <w:sz w:val="24"/>
          <w:szCs w:val="24"/>
        </w:rPr>
        <w:tab/>
      </w:r>
      <w:r>
        <w:rPr>
          <w:sz w:val="24"/>
          <w:szCs w:val="24"/>
        </w:rPr>
        <w:tab/>
      </w:r>
      <w:r w:rsidR="009B2908">
        <w:rPr>
          <w:sz w:val="24"/>
          <w:szCs w:val="24"/>
        </w:rPr>
        <w:t>Technology Appraisal Committee A</w:t>
      </w:r>
      <w:r w:rsidR="001321C3">
        <w:rPr>
          <w:sz w:val="24"/>
          <w:szCs w:val="24"/>
        </w:rPr>
        <w:t xml:space="preserve"> </w:t>
      </w:r>
      <w:r w:rsidR="001321C3">
        <w:rPr>
          <w:sz w:val="24"/>
          <w:szCs w:val="24"/>
        </w:rPr>
        <w:tab/>
      </w:r>
      <w:r w:rsidR="001321C3">
        <w:rPr>
          <w:sz w:val="24"/>
          <w:szCs w:val="24"/>
        </w:rPr>
        <w:tab/>
      </w:r>
      <w:r w:rsidR="001321C3">
        <w:rPr>
          <w:sz w:val="24"/>
          <w:szCs w:val="24"/>
        </w:rPr>
        <w:tab/>
      </w:r>
      <w:r w:rsidR="001321C3">
        <w:rPr>
          <w:sz w:val="24"/>
          <w:szCs w:val="24"/>
        </w:rPr>
        <w:tab/>
      </w:r>
      <w:r w:rsidR="001321C3">
        <w:rPr>
          <w:sz w:val="24"/>
          <w:szCs w:val="24"/>
        </w:rPr>
        <w:tab/>
        <w:t xml:space="preserve">Vice </w:t>
      </w:r>
      <w:r w:rsidRPr="00564641">
        <w:rPr>
          <w:sz w:val="24"/>
          <w:szCs w:val="24"/>
        </w:rPr>
        <w:t>Chair</w:t>
      </w:r>
    </w:p>
    <w:p w14:paraId="3FF21B4A" w14:textId="73E5B2EF" w:rsidR="00564641" w:rsidRPr="00564641" w:rsidRDefault="00564641" w:rsidP="00564641">
      <w:pPr>
        <w:pStyle w:val="Bullets"/>
        <w:rPr>
          <w:sz w:val="24"/>
          <w:szCs w:val="24"/>
        </w:rPr>
      </w:pPr>
      <w:r w:rsidRPr="00564641">
        <w:rPr>
          <w:sz w:val="24"/>
          <w:szCs w:val="24"/>
        </w:rPr>
        <w:t>Jacoline Bouvy</w:t>
      </w:r>
      <w:r>
        <w:rPr>
          <w:sz w:val="24"/>
          <w:szCs w:val="24"/>
        </w:rPr>
        <w:t xml:space="preserve"> </w:t>
      </w:r>
      <w:r>
        <w:rPr>
          <w:sz w:val="24"/>
          <w:szCs w:val="24"/>
        </w:rPr>
        <w:tab/>
      </w:r>
      <w:r>
        <w:rPr>
          <w:sz w:val="24"/>
          <w:szCs w:val="24"/>
        </w:rPr>
        <w:tab/>
      </w:r>
      <w:r>
        <w:rPr>
          <w:sz w:val="24"/>
          <w:szCs w:val="24"/>
        </w:rPr>
        <w:tab/>
      </w:r>
      <w:r w:rsidRPr="00564641">
        <w:rPr>
          <w:sz w:val="24"/>
          <w:szCs w:val="24"/>
        </w:rPr>
        <w:t xml:space="preserve">Programme </w:t>
      </w:r>
      <w:r w:rsidR="00226062">
        <w:rPr>
          <w:sz w:val="24"/>
          <w:szCs w:val="24"/>
        </w:rPr>
        <w:t>D</w:t>
      </w:r>
      <w:r w:rsidRPr="00564641">
        <w:rPr>
          <w:sz w:val="24"/>
          <w:szCs w:val="24"/>
        </w:rPr>
        <w:t>irector</w:t>
      </w:r>
      <w:r w:rsidR="00CF563E">
        <w:rPr>
          <w:sz w:val="24"/>
          <w:szCs w:val="24"/>
        </w:rPr>
        <w:t xml:space="preserve">, </w:t>
      </w:r>
      <w:r w:rsidR="00226062">
        <w:rPr>
          <w:sz w:val="24"/>
          <w:szCs w:val="24"/>
        </w:rPr>
        <w:t>Medicines</w:t>
      </w:r>
      <w:r w:rsidR="00D702B2">
        <w:rPr>
          <w:sz w:val="24"/>
          <w:szCs w:val="24"/>
        </w:rPr>
        <w:tab/>
      </w:r>
      <w:r w:rsidR="00D702B2">
        <w:rPr>
          <w:sz w:val="24"/>
          <w:szCs w:val="24"/>
        </w:rPr>
        <w:tab/>
      </w:r>
      <w:r w:rsidR="00D702B2">
        <w:rPr>
          <w:sz w:val="24"/>
          <w:szCs w:val="24"/>
        </w:rPr>
        <w:tab/>
      </w:r>
      <w:r w:rsidR="00CF563E">
        <w:rPr>
          <w:sz w:val="24"/>
          <w:szCs w:val="24"/>
        </w:rPr>
        <w:tab/>
      </w:r>
      <w:r w:rsidR="00CF563E">
        <w:rPr>
          <w:sz w:val="24"/>
          <w:szCs w:val="24"/>
        </w:rPr>
        <w:tab/>
      </w:r>
      <w:r w:rsidR="00CF563E">
        <w:rPr>
          <w:sz w:val="24"/>
          <w:szCs w:val="24"/>
        </w:rPr>
        <w:tab/>
      </w:r>
      <w:r w:rsidR="00D702B2">
        <w:rPr>
          <w:sz w:val="24"/>
          <w:szCs w:val="24"/>
        </w:rPr>
        <w:t>Evaluation</w:t>
      </w:r>
      <w:r w:rsidR="00CF563E">
        <w:rPr>
          <w:sz w:val="24"/>
          <w:szCs w:val="24"/>
        </w:rPr>
        <w:t xml:space="preserve">, NICE </w:t>
      </w:r>
    </w:p>
    <w:p w14:paraId="460DC172" w14:textId="68ABDC4F" w:rsidR="00564641" w:rsidRPr="00564641" w:rsidRDefault="00564641" w:rsidP="00564641">
      <w:pPr>
        <w:pStyle w:val="Bullets"/>
        <w:rPr>
          <w:sz w:val="24"/>
          <w:szCs w:val="24"/>
        </w:rPr>
      </w:pPr>
      <w:r w:rsidRPr="00564641">
        <w:rPr>
          <w:sz w:val="24"/>
          <w:szCs w:val="24"/>
        </w:rPr>
        <w:t>Emily Crowe</w:t>
      </w:r>
      <w:r>
        <w:rPr>
          <w:sz w:val="24"/>
          <w:szCs w:val="24"/>
        </w:rPr>
        <w:tab/>
      </w:r>
      <w:r>
        <w:rPr>
          <w:sz w:val="24"/>
          <w:szCs w:val="24"/>
        </w:rPr>
        <w:tab/>
      </w:r>
      <w:r>
        <w:rPr>
          <w:sz w:val="24"/>
          <w:szCs w:val="24"/>
        </w:rPr>
        <w:tab/>
      </w:r>
      <w:r w:rsidRPr="00564641">
        <w:rPr>
          <w:sz w:val="24"/>
          <w:szCs w:val="24"/>
        </w:rPr>
        <w:t>Associate Director</w:t>
      </w:r>
      <w:r w:rsidR="00CF563E">
        <w:rPr>
          <w:sz w:val="24"/>
          <w:szCs w:val="24"/>
        </w:rPr>
        <w:t>, NICE</w:t>
      </w:r>
    </w:p>
    <w:p w14:paraId="18C30AE8" w14:textId="73ADA0EC" w:rsidR="00564641" w:rsidRPr="00564641" w:rsidRDefault="00564641" w:rsidP="00D8660A">
      <w:pPr>
        <w:pStyle w:val="Bullets"/>
        <w:ind w:hanging="425"/>
        <w:rPr>
          <w:sz w:val="24"/>
          <w:szCs w:val="24"/>
        </w:rPr>
      </w:pPr>
      <w:r w:rsidRPr="00564641">
        <w:rPr>
          <w:sz w:val="24"/>
          <w:szCs w:val="24"/>
        </w:rPr>
        <w:t>Joanna Richardson</w:t>
      </w:r>
      <w:r>
        <w:rPr>
          <w:sz w:val="24"/>
          <w:szCs w:val="24"/>
        </w:rPr>
        <w:tab/>
      </w:r>
      <w:r>
        <w:rPr>
          <w:sz w:val="24"/>
          <w:szCs w:val="24"/>
        </w:rPr>
        <w:tab/>
      </w:r>
      <w:r w:rsidRPr="00564641">
        <w:rPr>
          <w:sz w:val="24"/>
          <w:szCs w:val="24"/>
        </w:rPr>
        <w:t>Health Technology Assessment</w:t>
      </w:r>
      <w:r w:rsidR="00D702B2">
        <w:rPr>
          <w:sz w:val="24"/>
          <w:szCs w:val="24"/>
        </w:rPr>
        <w:tab/>
      </w:r>
      <w:r w:rsidR="00D702B2">
        <w:rPr>
          <w:sz w:val="24"/>
          <w:szCs w:val="24"/>
        </w:rPr>
        <w:tab/>
      </w:r>
      <w:r w:rsidR="00D702B2">
        <w:rPr>
          <w:sz w:val="24"/>
          <w:szCs w:val="24"/>
        </w:rPr>
        <w:tab/>
      </w:r>
      <w:r w:rsidR="00D702B2">
        <w:rPr>
          <w:sz w:val="24"/>
          <w:szCs w:val="24"/>
        </w:rPr>
        <w:tab/>
      </w:r>
      <w:r w:rsidR="00D702B2">
        <w:rPr>
          <w:sz w:val="24"/>
          <w:szCs w:val="24"/>
        </w:rPr>
        <w:tab/>
      </w:r>
      <w:r w:rsidR="00D702B2">
        <w:rPr>
          <w:sz w:val="24"/>
          <w:szCs w:val="24"/>
        </w:rPr>
        <w:tab/>
      </w:r>
      <w:r w:rsidR="00D702B2" w:rsidRPr="00564641">
        <w:rPr>
          <w:sz w:val="24"/>
          <w:szCs w:val="24"/>
        </w:rPr>
        <w:t>Adviser</w:t>
      </w:r>
      <w:r w:rsidR="00CF563E">
        <w:rPr>
          <w:sz w:val="24"/>
          <w:szCs w:val="24"/>
        </w:rPr>
        <w:t>, NICE</w:t>
      </w:r>
      <w:r w:rsidR="00D702B2">
        <w:rPr>
          <w:sz w:val="24"/>
          <w:szCs w:val="24"/>
        </w:rPr>
        <w:tab/>
      </w:r>
    </w:p>
    <w:p w14:paraId="0D862D9E" w14:textId="61D20264" w:rsidR="00564641" w:rsidRDefault="00564641" w:rsidP="00564641">
      <w:pPr>
        <w:pStyle w:val="Bullets"/>
        <w:rPr>
          <w:sz w:val="24"/>
          <w:szCs w:val="24"/>
        </w:rPr>
      </w:pPr>
      <w:r w:rsidRPr="00564641">
        <w:rPr>
          <w:sz w:val="24"/>
          <w:szCs w:val="24"/>
        </w:rPr>
        <w:t>Becky Pennington</w:t>
      </w:r>
      <w:r>
        <w:rPr>
          <w:sz w:val="24"/>
          <w:szCs w:val="24"/>
        </w:rPr>
        <w:tab/>
      </w:r>
      <w:r>
        <w:rPr>
          <w:sz w:val="24"/>
          <w:szCs w:val="24"/>
        </w:rPr>
        <w:tab/>
      </w:r>
      <w:r w:rsidR="001321C3">
        <w:rPr>
          <w:sz w:val="24"/>
          <w:szCs w:val="24"/>
        </w:rPr>
        <w:t xml:space="preserve">Technology Appraisal </w:t>
      </w:r>
      <w:r w:rsidRPr="00564641">
        <w:rPr>
          <w:sz w:val="24"/>
          <w:szCs w:val="24"/>
        </w:rPr>
        <w:t xml:space="preserve">Committee </w:t>
      </w:r>
      <w:r w:rsidR="001321C3">
        <w:rPr>
          <w:sz w:val="24"/>
          <w:szCs w:val="24"/>
        </w:rPr>
        <w:t>A</w:t>
      </w:r>
      <w:r w:rsidR="001321C3">
        <w:rPr>
          <w:sz w:val="24"/>
          <w:szCs w:val="24"/>
        </w:rPr>
        <w:tab/>
      </w:r>
      <w:r w:rsidR="001321C3">
        <w:rPr>
          <w:sz w:val="24"/>
          <w:szCs w:val="24"/>
        </w:rPr>
        <w:tab/>
      </w:r>
      <w:r w:rsidR="001321C3">
        <w:rPr>
          <w:sz w:val="24"/>
          <w:szCs w:val="24"/>
        </w:rPr>
        <w:tab/>
      </w:r>
      <w:r w:rsidR="001321C3">
        <w:rPr>
          <w:sz w:val="24"/>
          <w:szCs w:val="24"/>
        </w:rPr>
        <w:tab/>
      </w:r>
      <w:r w:rsidR="001321C3">
        <w:rPr>
          <w:sz w:val="24"/>
          <w:szCs w:val="24"/>
        </w:rPr>
        <w:tab/>
      </w:r>
      <w:r w:rsidRPr="00564641">
        <w:rPr>
          <w:sz w:val="24"/>
          <w:szCs w:val="24"/>
        </w:rPr>
        <w:t>Member</w:t>
      </w:r>
    </w:p>
    <w:p w14:paraId="6F90B6E0" w14:textId="166B98AC" w:rsidR="00CC79EF" w:rsidRPr="00B93E19" w:rsidRDefault="00CC79EF" w:rsidP="000A42BB">
      <w:pPr>
        <w:pStyle w:val="Paragraph"/>
        <w:rPr>
          <w:sz w:val="24"/>
          <w:szCs w:val="24"/>
        </w:rPr>
      </w:pPr>
      <w:r w:rsidRPr="001A6503">
        <w:rPr>
          <w:sz w:val="24"/>
          <w:szCs w:val="24"/>
        </w:rPr>
        <w:t xml:space="preserve">The </w:t>
      </w:r>
      <w:r w:rsidR="00780FCD">
        <w:rPr>
          <w:sz w:val="24"/>
          <w:szCs w:val="24"/>
        </w:rPr>
        <w:t>a</w:t>
      </w:r>
      <w:r w:rsidR="00BE04E4">
        <w:rPr>
          <w:sz w:val="24"/>
          <w:szCs w:val="24"/>
        </w:rPr>
        <w:t>ppeal panel</w:t>
      </w:r>
      <w:r w:rsidRPr="001A6503">
        <w:rPr>
          <w:sz w:val="24"/>
          <w:szCs w:val="24"/>
        </w:rPr>
        <w:t>’s legal adviser</w:t>
      </w:r>
      <w:r w:rsidR="00CA40CA">
        <w:rPr>
          <w:sz w:val="24"/>
          <w:szCs w:val="24"/>
        </w:rPr>
        <w:t>,</w:t>
      </w:r>
      <w:r w:rsidRPr="001A6503">
        <w:rPr>
          <w:sz w:val="24"/>
          <w:szCs w:val="24"/>
        </w:rPr>
        <w:t xml:space="preserve"> </w:t>
      </w:r>
      <w:r w:rsidR="00564641">
        <w:rPr>
          <w:rFonts w:cs="Arial"/>
          <w:sz w:val="24"/>
          <w:szCs w:val="24"/>
        </w:rPr>
        <w:t>Alistair Rober</w:t>
      </w:r>
      <w:r w:rsidR="00226062">
        <w:rPr>
          <w:rFonts w:cs="Arial"/>
          <w:sz w:val="24"/>
          <w:szCs w:val="24"/>
        </w:rPr>
        <w:t>t</w:t>
      </w:r>
      <w:r w:rsidR="00564641">
        <w:rPr>
          <w:rFonts w:cs="Arial"/>
          <w:sz w:val="24"/>
          <w:szCs w:val="24"/>
        </w:rPr>
        <w:t>son</w:t>
      </w:r>
      <w:r w:rsidR="00CA40CA">
        <w:rPr>
          <w:rFonts w:cs="Arial"/>
          <w:sz w:val="24"/>
          <w:szCs w:val="24"/>
        </w:rPr>
        <w:t xml:space="preserve"> (</w:t>
      </w:r>
      <w:r w:rsidR="00564641">
        <w:rPr>
          <w:rFonts w:cs="Arial"/>
          <w:sz w:val="24"/>
          <w:szCs w:val="24"/>
        </w:rPr>
        <w:t>Partner</w:t>
      </w:r>
      <w:r w:rsidR="00CA40CA">
        <w:rPr>
          <w:rFonts w:cs="Arial"/>
          <w:sz w:val="24"/>
          <w:szCs w:val="24"/>
        </w:rPr>
        <w:t xml:space="preserve">, </w:t>
      </w:r>
      <w:r w:rsidR="001A6503" w:rsidRPr="00C0266C">
        <w:rPr>
          <w:rFonts w:cs="Arial"/>
          <w:sz w:val="24"/>
          <w:szCs w:val="24"/>
        </w:rPr>
        <w:t xml:space="preserve">DAC Beachcroft LLP), </w:t>
      </w:r>
      <w:r w:rsidRPr="00B93E19">
        <w:rPr>
          <w:sz w:val="24"/>
          <w:szCs w:val="24"/>
        </w:rPr>
        <w:t>was also present.</w:t>
      </w:r>
    </w:p>
    <w:p w14:paraId="1DC49D39" w14:textId="77777777" w:rsidR="00CC79EF" w:rsidRPr="00B93E19" w:rsidRDefault="00CC79EF" w:rsidP="000A42BB">
      <w:pPr>
        <w:pStyle w:val="Paragraph"/>
        <w:rPr>
          <w:sz w:val="24"/>
          <w:szCs w:val="24"/>
        </w:rPr>
      </w:pPr>
      <w:r w:rsidRPr="00B93E19">
        <w:rPr>
          <w:sz w:val="24"/>
          <w:szCs w:val="24"/>
        </w:rPr>
        <w:t xml:space="preserve">Under NICE’s appeal procedures, members of the public are admitted </w:t>
      </w:r>
      <w:proofErr w:type="gramStart"/>
      <w:r w:rsidRPr="00B93E19">
        <w:rPr>
          <w:sz w:val="24"/>
          <w:szCs w:val="24"/>
        </w:rPr>
        <w:t>to observe</w:t>
      </w:r>
      <w:proofErr w:type="gramEnd"/>
      <w:r w:rsidRPr="00B93E19">
        <w:rPr>
          <w:sz w:val="24"/>
          <w:szCs w:val="24"/>
        </w:rPr>
        <w:t xml:space="preserve"> appeal hearings and several members of the public and NICE staff observed the proceedings which were held via Zoom.</w:t>
      </w:r>
    </w:p>
    <w:p w14:paraId="1AD05246" w14:textId="77777777" w:rsidR="00CC79EF" w:rsidRPr="00B93E19" w:rsidRDefault="00CC79EF" w:rsidP="000A42BB">
      <w:pPr>
        <w:pStyle w:val="Paragraph"/>
        <w:rPr>
          <w:b/>
          <w:sz w:val="24"/>
          <w:szCs w:val="24"/>
        </w:rPr>
      </w:pPr>
      <w:r w:rsidRPr="00B93E19">
        <w:rPr>
          <w:sz w:val="24"/>
          <w:szCs w:val="24"/>
        </w:rPr>
        <w:t>There are two grounds under which an appeal can be lodged:</w:t>
      </w:r>
    </w:p>
    <w:p w14:paraId="44F1149B" w14:textId="77777777" w:rsidR="00CC79EF" w:rsidRPr="00B93E19" w:rsidRDefault="00CC79EF" w:rsidP="000A42BB">
      <w:pPr>
        <w:pStyle w:val="Paragraphnonumbers"/>
        <w:ind w:left="709"/>
        <w:rPr>
          <w:sz w:val="24"/>
          <w:szCs w:val="24"/>
        </w:rPr>
      </w:pPr>
      <w:r w:rsidRPr="00FB4373">
        <w:rPr>
          <w:b/>
          <w:bCs/>
          <w:sz w:val="24"/>
          <w:szCs w:val="24"/>
        </w:rPr>
        <w:lastRenderedPageBreak/>
        <w:t>Ground One:</w:t>
      </w:r>
      <w:r w:rsidRPr="00B93E19">
        <w:rPr>
          <w:sz w:val="24"/>
          <w:szCs w:val="24"/>
        </w:rPr>
        <w:t xml:space="preserve"> In making the assessment that preceded the recommendation, NICE has:</w:t>
      </w:r>
    </w:p>
    <w:p w14:paraId="6FB05B97" w14:textId="77777777" w:rsidR="00CC79EF" w:rsidRPr="00B93E19" w:rsidRDefault="00CC79EF" w:rsidP="000A42BB">
      <w:pPr>
        <w:pStyle w:val="Paragraphnonumbers"/>
        <w:ind w:left="709"/>
        <w:rPr>
          <w:rFonts w:eastAsiaTheme="minorHAnsi"/>
          <w:sz w:val="24"/>
          <w:szCs w:val="24"/>
        </w:rPr>
      </w:pPr>
      <w:r w:rsidRPr="00B93E19">
        <w:rPr>
          <w:rFonts w:eastAsiaTheme="minorHAnsi"/>
          <w:sz w:val="24"/>
          <w:szCs w:val="24"/>
        </w:rPr>
        <w:t xml:space="preserve">(a) Failed to act fairly; and/or </w:t>
      </w:r>
    </w:p>
    <w:p w14:paraId="5BB6B587" w14:textId="77777777" w:rsidR="00CC79EF" w:rsidRPr="00B93E19" w:rsidRDefault="00CC79EF" w:rsidP="000A42BB">
      <w:pPr>
        <w:pStyle w:val="Paragraphnonumbers"/>
        <w:ind w:left="709"/>
        <w:rPr>
          <w:rFonts w:eastAsiaTheme="minorHAnsi"/>
          <w:sz w:val="24"/>
          <w:szCs w:val="24"/>
        </w:rPr>
      </w:pPr>
      <w:r w:rsidRPr="00B93E19">
        <w:rPr>
          <w:rFonts w:eastAsiaTheme="minorHAnsi"/>
          <w:sz w:val="24"/>
          <w:szCs w:val="24"/>
        </w:rPr>
        <w:t xml:space="preserve">(b) Exceeded its powers. </w:t>
      </w:r>
    </w:p>
    <w:p w14:paraId="0B5ED7AF" w14:textId="77777777" w:rsidR="00CC79EF" w:rsidRPr="001B674C" w:rsidRDefault="00CC79EF" w:rsidP="000A42BB">
      <w:pPr>
        <w:pStyle w:val="Paragraphnonumbers"/>
        <w:ind w:left="709"/>
        <w:rPr>
          <w:rFonts w:eastAsiaTheme="minorHAnsi"/>
          <w:sz w:val="24"/>
          <w:szCs w:val="24"/>
        </w:rPr>
      </w:pPr>
      <w:r w:rsidRPr="00FB4373">
        <w:rPr>
          <w:rFonts w:eastAsiaTheme="minorHAnsi"/>
          <w:b/>
          <w:bCs/>
          <w:sz w:val="24"/>
          <w:szCs w:val="24"/>
        </w:rPr>
        <w:t>Ground Two</w:t>
      </w:r>
      <w:r w:rsidRPr="00B93E19">
        <w:rPr>
          <w:rFonts w:eastAsiaTheme="minorHAnsi"/>
          <w:sz w:val="24"/>
          <w:szCs w:val="24"/>
        </w:rPr>
        <w:t xml:space="preserve">: The recommendation is unreasonable </w:t>
      </w:r>
      <w:proofErr w:type="gramStart"/>
      <w:r w:rsidRPr="00B93E19">
        <w:rPr>
          <w:rFonts w:eastAsiaTheme="minorHAnsi"/>
          <w:sz w:val="24"/>
          <w:szCs w:val="24"/>
        </w:rPr>
        <w:t>in light of</w:t>
      </w:r>
      <w:proofErr w:type="gramEnd"/>
      <w:r w:rsidRPr="00B93E19">
        <w:rPr>
          <w:rFonts w:eastAsiaTheme="minorHAnsi"/>
          <w:sz w:val="24"/>
          <w:szCs w:val="24"/>
        </w:rPr>
        <w:t xml:space="preserve"> the </w:t>
      </w:r>
      <w:r w:rsidRPr="001B674C">
        <w:rPr>
          <w:rFonts w:eastAsiaTheme="minorHAnsi"/>
          <w:sz w:val="24"/>
          <w:szCs w:val="24"/>
        </w:rPr>
        <w:t xml:space="preserve">evidence submitted to NICE. </w:t>
      </w:r>
    </w:p>
    <w:p w14:paraId="50850DAB" w14:textId="7106F7EF" w:rsidR="00CC79EF" w:rsidRPr="001B674C" w:rsidRDefault="0088441D" w:rsidP="000A42BB">
      <w:pPr>
        <w:pStyle w:val="Paragraph"/>
        <w:rPr>
          <w:b/>
          <w:sz w:val="24"/>
          <w:szCs w:val="24"/>
        </w:rPr>
      </w:pPr>
      <w:r w:rsidRPr="001B674C">
        <w:rPr>
          <w:sz w:val="24"/>
          <w:szCs w:val="24"/>
        </w:rPr>
        <w:t xml:space="preserve">Mark Chakravarty, NICE </w:t>
      </w:r>
      <w:r w:rsidR="00226062">
        <w:rPr>
          <w:sz w:val="24"/>
          <w:szCs w:val="24"/>
        </w:rPr>
        <w:t>l</w:t>
      </w:r>
      <w:r w:rsidRPr="001B674C">
        <w:rPr>
          <w:sz w:val="24"/>
          <w:szCs w:val="24"/>
        </w:rPr>
        <w:t xml:space="preserve">ead non-executive director for appeals, </w:t>
      </w:r>
      <w:r w:rsidR="00CC79EF" w:rsidRPr="001B674C">
        <w:rPr>
          <w:sz w:val="24"/>
          <w:szCs w:val="24"/>
        </w:rPr>
        <w:t>in preliminary correspondence had confirmed that</w:t>
      </w:r>
      <w:r w:rsidR="001A6503" w:rsidRPr="001B674C">
        <w:rPr>
          <w:sz w:val="24"/>
          <w:szCs w:val="24"/>
        </w:rPr>
        <w:t xml:space="preserve"> </w:t>
      </w:r>
      <w:r w:rsidR="00C6138D">
        <w:rPr>
          <w:sz w:val="24"/>
          <w:szCs w:val="24"/>
        </w:rPr>
        <w:t>AstraZeneca</w:t>
      </w:r>
      <w:r w:rsidR="001A6503" w:rsidRPr="001B674C">
        <w:rPr>
          <w:sz w:val="24"/>
          <w:szCs w:val="24"/>
        </w:rPr>
        <w:t xml:space="preserve"> </w:t>
      </w:r>
      <w:r w:rsidR="00CC79EF" w:rsidRPr="001B674C">
        <w:rPr>
          <w:sz w:val="24"/>
          <w:szCs w:val="24"/>
        </w:rPr>
        <w:t xml:space="preserve">had potentially valid grounds of appeal </w:t>
      </w:r>
      <w:r w:rsidR="00A41942">
        <w:rPr>
          <w:sz w:val="24"/>
          <w:szCs w:val="24"/>
        </w:rPr>
        <w:t xml:space="preserve">under </w:t>
      </w:r>
      <w:r w:rsidR="00CC79EF" w:rsidRPr="001B674C">
        <w:rPr>
          <w:sz w:val="24"/>
          <w:szCs w:val="24"/>
        </w:rPr>
        <w:t>Grounds</w:t>
      </w:r>
      <w:r w:rsidR="001A6503" w:rsidRPr="001B674C">
        <w:rPr>
          <w:sz w:val="24"/>
          <w:szCs w:val="24"/>
        </w:rPr>
        <w:t xml:space="preserve"> 1(a)</w:t>
      </w:r>
      <w:r w:rsidR="001B674C" w:rsidRPr="001B674C">
        <w:rPr>
          <w:sz w:val="24"/>
          <w:szCs w:val="24"/>
        </w:rPr>
        <w:t>, 1(b)</w:t>
      </w:r>
      <w:r w:rsidR="001A6503" w:rsidRPr="001B674C">
        <w:rPr>
          <w:sz w:val="24"/>
          <w:szCs w:val="24"/>
        </w:rPr>
        <w:t xml:space="preserve"> and 2.</w:t>
      </w:r>
      <w:r w:rsidR="00CC79EF" w:rsidRPr="001B674C">
        <w:rPr>
          <w:sz w:val="24"/>
          <w:szCs w:val="24"/>
        </w:rPr>
        <w:t xml:space="preserve"> </w:t>
      </w:r>
    </w:p>
    <w:p w14:paraId="1B6A42B3" w14:textId="356BFC23" w:rsidR="00CC79EF" w:rsidRPr="00B93E19" w:rsidRDefault="002F7231" w:rsidP="000A42BB">
      <w:pPr>
        <w:pStyle w:val="Paragraph"/>
        <w:rPr>
          <w:sz w:val="24"/>
          <w:szCs w:val="24"/>
        </w:rPr>
      </w:pPr>
      <w:r w:rsidRPr="001A6503">
        <w:rPr>
          <w:sz w:val="24"/>
          <w:szCs w:val="24"/>
        </w:rPr>
        <w:t xml:space="preserve">The numbering of appeal points in this document reflects those that were used during the hearing. The text of this document does not represent a verbatim account of the proceedings nor a documentation of the order of events that took place but rather provides </w:t>
      </w:r>
      <w:proofErr w:type="gramStart"/>
      <w:r w:rsidRPr="001A6503">
        <w:rPr>
          <w:sz w:val="24"/>
          <w:szCs w:val="24"/>
        </w:rPr>
        <w:t>a brief summary</w:t>
      </w:r>
      <w:proofErr w:type="gramEnd"/>
      <w:r w:rsidRPr="001A6503">
        <w:rPr>
          <w:sz w:val="24"/>
          <w:szCs w:val="24"/>
        </w:rPr>
        <w:t xml:space="preserve"> of the appellant and </w:t>
      </w:r>
      <w:r w:rsidR="00E924C5">
        <w:rPr>
          <w:sz w:val="24"/>
          <w:szCs w:val="24"/>
        </w:rPr>
        <w:t>NICE</w:t>
      </w:r>
      <w:r w:rsidR="00E924C5" w:rsidRPr="001A6503">
        <w:rPr>
          <w:sz w:val="24"/>
          <w:szCs w:val="24"/>
        </w:rPr>
        <w:t xml:space="preserve"> </w:t>
      </w:r>
      <w:r w:rsidRPr="001A6503">
        <w:rPr>
          <w:sz w:val="24"/>
          <w:szCs w:val="24"/>
        </w:rPr>
        <w:t xml:space="preserve">submissions for the points that were discussed relevant to the decisions of the </w:t>
      </w:r>
      <w:r w:rsidR="003F406A">
        <w:rPr>
          <w:sz w:val="24"/>
          <w:szCs w:val="24"/>
        </w:rPr>
        <w:t>a</w:t>
      </w:r>
      <w:r w:rsidR="00BE04E4">
        <w:rPr>
          <w:sz w:val="24"/>
          <w:szCs w:val="24"/>
        </w:rPr>
        <w:t>ppeal panel</w:t>
      </w:r>
      <w:r w:rsidRPr="001A6503">
        <w:rPr>
          <w:sz w:val="24"/>
          <w:szCs w:val="24"/>
        </w:rPr>
        <w:t>. </w:t>
      </w:r>
    </w:p>
    <w:p w14:paraId="568D7DE1" w14:textId="44F17E9D" w:rsidR="00CC79EF" w:rsidRPr="00B93E19" w:rsidRDefault="00CC79EF" w:rsidP="000A42BB">
      <w:pPr>
        <w:pStyle w:val="Paragraph"/>
        <w:rPr>
          <w:color w:val="FF0000"/>
          <w:sz w:val="24"/>
          <w:szCs w:val="24"/>
        </w:rPr>
      </w:pPr>
      <w:r w:rsidRPr="00B93E19">
        <w:rPr>
          <w:sz w:val="24"/>
          <w:szCs w:val="24"/>
        </w:rPr>
        <w:t xml:space="preserve">Before the </w:t>
      </w:r>
      <w:r w:rsidR="003F406A">
        <w:rPr>
          <w:sz w:val="24"/>
          <w:szCs w:val="24"/>
        </w:rPr>
        <w:t>a</w:t>
      </w:r>
      <w:r w:rsidR="00BE04E4">
        <w:rPr>
          <w:sz w:val="24"/>
          <w:szCs w:val="24"/>
        </w:rPr>
        <w:t>ppeal panel</w:t>
      </w:r>
      <w:r w:rsidRPr="00B93E19">
        <w:rPr>
          <w:sz w:val="24"/>
          <w:szCs w:val="24"/>
        </w:rPr>
        <w:t xml:space="preserve"> inquired into the detailed complaints the following made a preliminary statement:</w:t>
      </w:r>
      <w:r w:rsidR="00074CCB">
        <w:rPr>
          <w:sz w:val="24"/>
          <w:szCs w:val="24"/>
        </w:rPr>
        <w:t xml:space="preserve"> </w:t>
      </w:r>
      <w:r w:rsidR="00EF0D93">
        <w:rPr>
          <w:sz w:val="24"/>
          <w:szCs w:val="24"/>
        </w:rPr>
        <w:t>David Catterick</w:t>
      </w:r>
      <w:r w:rsidR="00074CCB" w:rsidRPr="00074CCB">
        <w:rPr>
          <w:sz w:val="24"/>
          <w:szCs w:val="24"/>
        </w:rPr>
        <w:t xml:space="preserve"> on behalf of </w:t>
      </w:r>
      <w:r w:rsidR="003F406A">
        <w:rPr>
          <w:sz w:val="24"/>
          <w:szCs w:val="24"/>
        </w:rPr>
        <w:t>AstraZeneca</w:t>
      </w:r>
      <w:r w:rsidR="00074CCB" w:rsidRPr="00074CCB">
        <w:rPr>
          <w:sz w:val="24"/>
          <w:szCs w:val="24"/>
        </w:rPr>
        <w:t xml:space="preserve"> and </w:t>
      </w:r>
      <w:r w:rsidR="00EF0D93">
        <w:rPr>
          <w:sz w:val="24"/>
          <w:szCs w:val="24"/>
        </w:rPr>
        <w:t>Jame</w:t>
      </w:r>
      <w:r w:rsidR="00A4679A">
        <w:rPr>
          <w:sz w:val="24"/>
          <w:szCs w:val="24"/>
        </w:rPr>
        <w:t>s</w:t>
      </w:r>
      <w:r w:rsidR="00EF0D93">
        <w:rPr>
          <w:sz w:val="24"/>
          <w:szCs w:val="24"/>
        </w:rPr>
        <w:t xml:space="preserve"> Fotheringham</w:t>
      </w:r>
      <w:r w:rsidRPr="00074CCB">
        <w:rPr>
          <w:sz w:val="24"/>
          <w:szCs w:val="24"/>
        </w:rPr>
        <w:t xml:space="preserve"> on behalf of </w:t>
      </w:r>
      <w:r w:rsidR="003F406A">
        <w:rPr>
          <w:sz w:val="24"/>
          <w:szCs w:val="24"/>
        </w:rPr>
        <w:t>NICE</w:t>
      </w:r>
      <w:r w:rsidR="00074CCB" w:rsidRPr="00074CCB">
        <w:rPr>
          <w:sz w:val="24"/>
          <w:szCs w:val="24"/>
        </w:rPr>
        <w:t xml:space="preserve">. </w:t>
      </w:r>
    </w:p>
    <w:p w14:paraId="146C34FD" w14:textId="77777777" w:rsidR="00970042" w:rsidRPr="00970042" w:rsidRDefault="00CC79EF" w:rsidP="00970042">
      <w:pPr>
        <w:pStyle w:val="Heading2"/>
        <w:spacing w:line="360" w:lineRule="auto"/>
        <w:rPr>
          <w:rFonts w:ascii="Arial" w:hAnsi="Arial" w:cs="Arial"/>
          <w:b/>
          <w:bCs/>
          <w:i/>
          <w:iCs/>
          <w:color w:val="auto"/>
        </w:rPr>
      </w:pPr>
      <w:r w:rsidRPr="000A42BB">
        <w:rPr>
          <w:rFonts w:ascii="Arial" w:hAnsi="Arial" w:cs="Arial"/>
          <w:b/>
          <w:bCs/>
          <w:i/>
          <w:iCs/>
          <w:color w:val="auto"/>
        </w:rPr>
        <w:t>Appeal Ground 1a: In making the assessment that preceded the recommendation, NICE has failed to act fairly</w:t>
      </w:r>
    </w:p>
    <w:p w14:paraId="16398F07" w14:textId="2D7EDCE3" w:rsidR="00CC79EF" w:rsidRPr="000A42BB" w:rsidRDefault="00CC79EF" w:rsidP="0031610C">
      <w:pPr>
        <w:pStyle w:val="Heading3"/>
        <w:spacing w:line="360" w:lineRule="auto"/>
        <w:rPr>
          <w:rFonts w:cs="Arial"/>
        </w:rPr>
      </w:pPr>
      <w:r w:rsidRPr="000A42BB">
        <w:rPr>
          <w:rFonts w:cs="Arial"/>
        </w:rPr>
        <w:t xml:space="preserve">Appeal </w:t>
      </w:r>
      <w:r w:rsidR="00BC7BAF">
        <w:rPr>
          <w:rFonts w:cs="Arial"/>
        </w:rPr>
        <w:t>point</w:t>
      </w:r>
      <w:r w:rsidR="00BC7BAF" w:rsidRPr="000A42BB">
        <w:rPr>
          <w:rFonts w:cs="Arial"/>
        </w:rPr>
        <w:t xml:space="preserve"> </w:t>
      </w:r>
      <w:r w:rsidRPr="000A42BB">
        <w:rPr>
          <w:rFonts w:cs="Arial"/>
        </w:rPr>
        <w:t xml:space="preserve">1a.1: </w:t>
      </w:r>
      <w:r w:rsidR="0031610C" w:rsidRPr="0031610C">
        <w:rPr>
          <w:rFonts w:cs="Arial"/>
        </w:rPr>
        <w:t xml:space="preserve">The </w:t>
      </w:r>
      <w:r w:rsidR="003E5308">
        <w:rPr>
          <w:rFonts w:cs="Arial"/>
        </w:rPr>
        <w:t>c</w:t>
      </w:r>
      <w:r w:rsidR="0031610C" w:rsidRPr="0031610C">
        <w:rPr>
          <w:rFonts w:cs="Arial"/>
        </w:rPr>
        <w:t>ommittee has concluded that the ICER threshold should be limited to</w:t>
      </w:r>
      <w:r w:rsidR="0031610C">
        <w:rPr>
          <w:rFonts w:cs="Arial"/>
        </w:rPr>
        <w:t xml:space="preserve"> </w:t>
      </w:r>
      <w:r w:rsidR="0031610C" w:rsidRPr="0031610C">
        <w:rPr>
          <w:rFonts w:cs="Arial"/>
        </w:rPr>
        <w:t>£20,000 per QALY due to “uncertainties” in the data, but has failed to explain</w:t>
      </w:r>
      <w:r w:rsidR="0031610C">
        <w:rPr>
          <w:rFonts w:cs="Arial"/>
        </w:rPr>
        <w:t xml:space="preserve"> </w:t>
      </w:r>
      <w:r w:rsidR="0031610C" w:rsidRPr="0031610C">
        <w:rPr>
          <w:rFonts w:cs="Arial"/>
        </w:rPr>
        <w:t xml:space="preserve">and/or </w:t>
      </w:r>
      <w:proofErr w:type="gramStart"/>
      <w:r w:rsidR="0031610C" w:rsidRPr="0031610C">
        <w:rPr>
          <w:rFonts w:cs="Arial"/>
        </w:rPr>
        <w:t>take into account</w:t>
      </w:r>
      <w:proofErr w:type="gramEnd"/>
      <w:r w:rsidR="0031610C" w:rsidRPr="0031610C">
        <w:rPr>
          <w:rFonts w:cs="Arial"/>
        </w:rPr>
        <w:t xml:space="preserve"> the limited impact of such uncertainties on the ICER</w:t>
      </w:r>
    </w:p>
    <w:p w14:paraId="3930AD1A" w14:textId="568E1E24" w:rsidR="00794937" w:rsidRPr="002D50A5" w:rsidRDefault="00CC0335">
      <w:pPr>
        <w:pStyle w:val="Paragraph"/>
      </w:pPr>
      <w:r w:rsidRPr="00B46410">
        <w:rPr>
          <w:sz w:val="24"/>
          <w:szCs w:val="24"/>
        </w:rPr>
        <w:t xml:space="preserve">Gavin Stewart, for </w:t>
      </w:r>
      <w:r w:rsidR="003F406A">
        <w:rPr>
          <w:sz w:val="24"/>
          <w:szCs w:val="24"/>
        </w:rPr>
        <w:t>AstraZeneca</w:t>
      </w:r>
      <w:r w:rsidR="00B3504C" w:rsidRPr="00B46410">
        <w:rPr>
          <w:sz w:val="24"/>
          <w:szCs w:val="24"/>
        </w:rPr>
        <w:t>,</w:t>
      </w:r>
      <w:r w:rsidR="00A825FD" w:rsidRPr="00B46410">
        <w:rPr>
          <w:sz w:val="24"/>
          <w:szCs w:val="24"/>
        </w:rPr>
        <w:t xml:space="preserve"> </w:t>
      </w:r>
      <w:r w:rsidR="000B4556">
        <w:rPr>
          <w:sz w:val="24"/>
          <w:szCs w:val="24"/>
        </w:rPr>
        <w:t>made the case</w:t>
      </w:r>
      <w:r w:rsidR="000B4556" w:rsidRPr="00B46410">
        <w:rPr>
          <w:sz w:val="24"/>
          <w:szCs w:val="24"/>
        </w:rPr>
        <w:t xml:space="preserve"> </w:t>
      </w:r>
      <w:r w:rsidR="00A825FD" w:rsidRPr="00B46410">
        <w:rPr>
          <w:sz w:val="24"/>
          <w:szCs w:val="24"/>
        </w:rPr>
        <w:t>that</w:t>
      </w:r>
      <w:r w:rsidR="00384ED5" w:rsidRPr="00B46410">
        <w:rPr>
          <w:sz w:val="24"/>
          <w:szCs w:val="24"/>
        </w:rPr>
        <w:t xml:space="preserve"> the </w:t>
      </w:r>
      <w:r w:rsidR="003F406A">
        <w:rPr>
          <w:sz w:val="24"/>
          <w:szCs w:val="24"/>
        </w:rPr>
        <w:t>committee</w:t>
      </w:r>
      <w:r w:rsidR="003F406A" w:rsidRPr="00B46410">
        <w:rPr>
          <w:sz w:val="24"/>
          <w:szCs w:val="24"/>
        </w:rPr>
        <w:t xml:space="preserve"> </w:t>
      </w:r>
      <w:r w:rsidR="00384ED5" w:rsidRPr="00B46410">
        <w:rPr>
          <w:sz w:val="24"/>
          <w:szCs w:val="24"/>
        </w:rPr>
        <w:t xml:space="preserve">had failed to </w:t>
      </w:r>
      <w:proofErr w:type="gramStart"/>
      <w:r w:rsidR="00384ED5" w:rsidRPr="00B46410">
        <w:rPr>
          <w:sz w:val="24"/>
          <w:szCs w:val="24"/>
        </w:rPr>
        <w:t>take</w:t>
      </w:r>
      <w:r w:rsidR="00521B37" w:rsidRPr="00B46410">
        <w:rPr>
          <w:sz w:val="24"/>
          <w:szCs w:val="24"/>
        </w:rPr>
        <w:t xml:space="preserve"> into</w:t>
      </w:r>
      <w:r w:rsidR="00384ED5" w:rsidRPr="00B46410">
        <w:rPr>
          <w:sz w:val="24"/>
          <w:szCs w:val="24"/>
        </w:rPr>
        <w:t xml:space="preserve"> account</w:t>
      </w:r>
      <w:proofErr w:type="gramEnd"/>
      <w:r w:rsidR="00384ED5" w:rsidRPr="00B46410">
        <w:rPr>
          <w:sz w:val="24"/>
          <w:szCs w:val="24"/>
        </w:rPr>
        <w:t xml:space="preserve"> the limited impact of the uncertainties</w:t>
      </w:r>
      <w:r w:rsidR="000B4556">
        <w:rPr>
          <w:sz w:val="24"/>
          <w:szCs w:val="24"/>
        </w:rPr>
        <w:t xml:space="preserve"> it had identified,</w:t>
      </w:r>
      <w:r w:rsidR="00384ED5" w:rsidRPr="00B46410">
        <w:rPr>
          <w:sz w:val="24"/>
          <w:szCs w:val="24"/>
        </w:rPr>
        <w:t xml:space="preserve"> when</w:t>
      </w:r>
      <w:r w:rsidR="007D5C4C" w:rsidRPr="00B46410">
        <w:rPr>
          <w:sz w:val="24"/>
          <w:szCs w:val="24"/>
        </w:rPr>
        <w:t xml:space="preserve"> it</w:t>
      </w:r>
      <w:r w:rsidR="00384ED5" w:rsidRPr="00B46410">
        <w:rPr>
          <w:sz w:val="24"/>
          <w:szCs w:val="24"/>
        </w:rPr>
        <w:t xml:space="preserve"> conclud</w:t>
      </w:r>
      <w:r w:rsidR="004B69AF">
        <w:rPr>
          <w:sz w:val="24"/>
          <w:szCs w:val="24"/>
        </w:rPr>
        <w:t>ed</w:t>
      </w:r>
      <w:r w:rsidR="00384ED5" w:rsidRPr="00B46410">
        <w:rPr>
          <w:sz w:val="24"/>
          <w:szCs w:val="24"/>
        </w:rPr>
        <w:t xml:space="preserve"> that a £20,000</w:t>
      </w:r>
      <w:r w:rsidR="008F4409" w:rsidRPr="00B46410">
        <w:rPr>
          <w:sz w:val="24"/>
          <w:szCs w:val="24"/>
        </w:rPr>
        <w:t xml:space="preserve"> </w:t>
      </w:r>
      <w:r w:rsidR="005C0F7A">
        <w:rPr>
          <w:sz w:val="24"/>
          <w:szCs w:val="24"/>
        </w:rPr>
        <w:t xml:space="preserve">incremental cost effectiveness ratio </w:t>
      </w:r>
      <w:r w:rsidR="003F406A">
        <w:rPr>
          <w:sz w:val="24"/>
          <w:szCs w:val="24"/>
        </w:rPr>
        <w:t>(</w:t>
      </w:r>
      <w:r w:rsidR="0061705B">
        <w:rPr>
          <w:sz w:val="24"/>
          <w:szCs w:val="24"/>
        </w:rPr>
        <w:t>“</w:t>
      </w:r>
      <w:r w:rsidR="008F4409" w:rsidRPr="00B46410">
        <w:rPr>
          <w:sz w:val="24"/>
          <w:szCs w:val="24"/>
        </w:rPr>
        <w:t>ICER</w:t>
      </w:r>
      <w:r w:rsidR="0061705B">
        <w:rPr>
          <w:sz w:val="24"/>
          <w:szCs w:val="24"/>
        </w:rPr>
        <w:t>”</w:t>
      </w:r>
      <w:r w:rsidR="003F406A">
        <w:rPr>
          <w:sz w:val="24"/>
          <w:szCs w:val="24"/>
        </w:rPr>
        <w:t>)</w:t>
      </w:r>
      <w:r w:rsidR="008F4409" w:rsidRPr="00B46410">
        <w:rPr>
          <w:sz w:val="24"/>
          <w:szCs w:val="24"/>
        </w:rPr>
        <w:t xml:space="preserve"> threshold was appropriate</w:t>
      </w:r>
      <w:r w:rsidR="000B4556">
        <w:rPr>
          <w:sz w:val="24"/>
          <w:szCs w:val="24"/>
        </w:rPr>
        <w:t>, and that t</w:t>
      </w:r>
      <w:r w:rsidR="00B303E5" w:rsidRPr="00B46410">
        <w:rPr>
          <w:sz w:val="24"/>
          <w:szCs w:val="24"/>
        </w:rPr>
        <w:t xml:space="preserve">his </w:t>
      </w:r>
      <w:r w:rsidR="00B303E5" w:rsidRPr="00B46410">
        <w:rPr>
          <w:sz w:val="24"/>
          <w:szCs w:val="24"/>
        </w:rPr>
        <w:lastRenderedPageBreak/>
        <w:t>resulted in a process failur</w:t>
      </w:r>
      <w:r w:rsidR="001C577F" w:rsidRPr="00B46410">
        <w:rPr>
          <w:sz w:val="24"/>
          <w:szCs w:val="24"/>
        </w:rPr>
        <w:t>e.</w:t>
      </w:r>
      <w:r w:rsidR="000B4556">
        <w:rPr>
          <w:sz w:val="24"/>
          <w:szCs w:val="24"/>
        </w:rPr>
        <w:t xml:space="preserve">  </w:t>
      </w:r>
      <w:r w:rsidR="00794937">
        <w:rPr>
          <w:sz w:val="24"/>
          <w:szCs w:val="24"/>
        </w:rPr>
        <w:t xml:space="preserve">Although the </w:t>
      </w:r>
      <w:r w:rsidR="005C0F7A">
        <w:rPr>
          <w:sz w:val="24"/>
          <w:szCs w:val="24"/>
        </w:rPr>
        <w:t>c</w:t>
      </w:r>
      <w:r w:rsidR="00794937">
        <w:rPr>
          <w:sz w:val="24"/>
          <w:szCs w:val="24"/>
        </w:rPr>
        <w:t>ommittee</w:t>
      </w:r>
      <w:r w:rsidR="00794937" w:rsidRPr="00B46410">
        <w:rPr>
          <w:sz w:val="24"/>
          <w:szCs w:val="24"/>
        </w:rPr>
        <w:t xml:space="preserve"> had identified the areas of uncertainty, </w:t>
      </w:r>
      <w:r w:rsidR="00794937">
        <w:rPr>
          <w:sz w:val="24"/>
          <w:szCs w:val="24"/>
        </w:rPr>
        <w:t>he said it</w:t>
      </w:r>
      <w:r w:rsidR="00794937" w:rsidRPr="00B46410">
        <w:rPr>
          <w:sz w:val="24"/>
          <w:szCs w:val="24"/>
        </w:rPr>
        <w:t xml:space="preserve"> had failed to assess the magnitude or direction</w:t>
      </w:r>
      <w:r w:rsidR="00794937">
        <w:rPr>
          <w:sz w:val="24"/>
          <w:szCs w:val="24"/>
        </w:rPr>
        <w:t xml:space="preserve"> of any uncertainty and that procedurally there</w:t>
      </w:r>
      <w:r w:rsidR="00794937" w:rsidRPr="00B46410">
        <w:rPr>
          <w:sz w:val="24"/>
          <w:szCs w:val="24"/>
        </w:rPr>
        <w:t xml:space="preserve"> should have been some rational assessment of the uncertainties and how they affect the ICER</w:t>
      </w:r>
      <w:r w:rsidR="00794937">
        <w:rPr>
          <w:sz w:val="24"/>
          <w:szCs w:val="24"/>
        </w:rPr>
        <w:t xml:space="preserve">.  </w:t>
      </w:r>
      <w:r w:rsidR="000B4556">
        <w:rPr>
          <w:sz w:val="24"/>
          <w:szCs w:val="24"/>
        </w:rPr>
        <w:t xml:space="preserve">The </w:t>
      </w:r>
      <w:r w:rsidR="005C0F7A">
        <w:rPr>
          <w:sz w:val="24"/>
          <w:szCs w:val="24"/>
        </w:rPr>
        <w:t>c</w:t>
      </w:r>
      <w:r w:rsidR="000B4556">
        <w:rPr>
          <w:sz w:val="24"/>
          <w:szCs w:val="24"/>
        </w:rPr>
        <w:t>ommittee had not explained why the uncertainties it had identified resulted in the threshold applied.</w:t>
      </w:r>
      <w:r w:rsidR="001C577F" w:rsidRPr="00B46410">
        <w:rPr>
          <w:sz w:val="24"/>
          <w:szCs w:val="24"/>
        </w:rPr>
        <w:t xml:space="preserve">  </w:t>
      </w:r>
    </w:p>
    <w:p w14:paraId="1B6D82B5" w14:textId="1A0311E1" w:rsidR="00445FAF" w:rsidRPr="008523BC" w:rsidRDefault="00794937">
      <w:pPr>
        <w:pStyle w:val="Paragraph"/>
      </w:pPr>
      <w:r>
        <w:rPr>
          <w:sz w:val="24"/>
          <w:szCs w:val="24"/>
        </w:rPr>
        <w:t>Gavin Stewart</w:t>
      </w:r>
      <w:r w:rsidR="00445FAF" w:rsidRPr="00B46410">
        <w:rPr>
          <w:sz w:val="24"/>
          <w:szCs w:val="24"/>
        </w:rPr>
        <w:t xml:space="preserve"> </w:t>
      </w:r>
      <w:r w:rsidR="004211A9" w:rsidRPr="00B46410">
        <w:rPr>
          <w:sz w:val="24"/>
          <w:szCs w:val="24"/>
        </w:rPr>
        <w:t xml:space="preserve">discussed the </w:t>
      </w:r>
      <w:r w:rsidR="00A4679A">
        <w:rPr>
          <w:sz w:val="24"/>
          <w:szCs w:val="24"/>
        </w:rPr>
        <w:t>specific</w:t>
      </w:r>
      <w:r w:rsidR="004211A9" w:rsidRPr="00B46410">
        <w:rPr>
          <w:sz w:val="24"/>
          <w:szCs w:val="24"/>
        </w:rPr>
        <w:t xml:space="preserve"> uncertainties</w:t>
      </w:r>
      <w:r w:rsidR="000B4556">
        <w:rPr>
          <w:sz w:val="24"/>
          <w:szCs w:val="24"/>
        </w:rPr>
        <w:t xml:space="preserve"> considered in the FDG.  In relation to the stated uncertainty as to </w:t>
      </w:r>
      <w:r w:rsidR="00061D9D" w:rsidRPr="00B46410">
        <w:rPr>
          <w:sz w:val="24"/>
          <w:szCs w:val="24"/>
        </w:rPr>
        <w:t>data immaturity</w:t>
      </w:r>
      <w:r w:rsidR="000B4556">
        <w:rPr>
          <w:sz w:val="24"/>
          <w:szCs w:val="24"/>
        </w:rPr>
        <w:t xml:space="preserve">, he noted that there was </w:t>
      </w:r>
      <w:r w:rsidR="00A4679A">
        <w:rPr>
          <w:sz w:val="24"/>
          <w:szCs w:val="24"/>
        </w:rPr>
        <w:t>a</w:t>
      </w:r>
      <w:r w:rsidR="00061D9D" w:rsidRPr="00B46410">
        <w:rPr>
          <w:sz w:val="24"/>
          <w:szCs w:val="24"/>
        </w:rPr>
        <w:t xml:space="preserve"> high</w:t>
      </w:r>
      <w:r w:rsidR="000B4556">
        <w:rPr>
          <w:sz w:val="24"/>
          <w:szCs w:val="24"/>
        </w:rPr>
        <w:t xml:space="preserve"> degree of</w:t>
      </w:r>
      <w:r w:rsidR="00061D9D" w:rsidRPr="00B46410">
        <w:rPr>
          <w:sz w:val="24"/>
          <w:szCs w:val="24"/>
        </w:rPr>
        <w:t xml:space="preserve"> concordance between </w:t>
      </w:r>
      <w:r w:rsidR="005C0F7A">
        <w:rPr>
          <w:sz w:val="24"/>
          <w:szCs w:val="24"/>
        </w:rPr>
        <w:t>AstraZeneca</w:t>
      </w:r>
      <w:r w:rsidR="000B4556">
        <w:rPr>
          <w:sz w:val="24"/>
          <w:szCs w:val="24"/>
        </w:rPr>
        <w:t>, the</w:t>
      </w:r>
      <w:r w:rsidR="00061D9D" w:rsidRPr="00B46410">
        <w:rPr>
          <w:sz w:val="24"/>
          <w:szCs w:val="24"/>
        </w:rPr>
        <w:t xml:space="preserve"> </w:t>
      </w:r>
      <w:r w:rsidR="005C0F7A">
        <w:rPr>
          <w:sz w:val="24"/>
          <w:szCs w:val="24"/>
        </w:rPr>
        <w:t>external assessment group (</w:t>
      </w:r>
      <w:r w:rsidR="0061705B">
        <w:rPr>
          <w:sz w:val="24"/>
          <w:szCs w:val="24"/>
        </w:rPr>
        <w:t>“</w:t>
      </w:r>
      <w:r w:rsidR="00061D9D" w:rsidRPr="00B46410">
        <w:rPr>
          <w:sz w:val="24"/>
          <w:szCs w:val="24"/>
        </w:rPr>
        <w:t>EAG</w:t>
      </w:r>
      <w:r w:rsidR="0061705B">
        <w:rPr>
          <w:sz w:val="24"/>
          <w:szCs w:val="24"/>
        </w:rPr>
        <w:t>”</w:t>
      </w:r>
      <w:r w:rsidR="005C0F7A">
        <w:rPr>
          <w:sz w:val="24"/>
          <w:szCs w:val="24"/>
        </w:rPr>
        <w:t>)</w:t>
      </w:r>
      <w:r w:rsidR="00061D9D" w:rsidRPr="00B46410">
        <w:rPr>
          <w:sz w:val="24"/>
          <w:szCs w:val="24"/>
        </w:rPr>
        <w:t xml:space="preserve"> </w:t>
      </w:r>
      <w:r w:rsidR="000B4556">
        <w:rPr>
          <w:sz w:val="24"/>
          <w:szCs w:val="24"/>
        </w:rPr>
        <w:t>and</w:t>
      </w:r>
      <w:r w:rsidR="00A5739F" w:rsidRPr="00B46410">
        <w:rPr>
          <w:sz w:val="24"/>
          <w:szCs w:val="24"/>
        </w:rPr>
        <w:t xml:space="preserve"> </w:t>
      </w:r>
      <w:r w:rsidR="00061D9D" w:rsidRPr="00B46410">
        <w:rPr>
          <w:sz w:val="24"/>
          <w:szCs w:val="24"/>
        </w:rPr>
        <w:t xml:space="preserve">expert validation.  </w:t>
      </w:r>
      <w:r w:rsidR="000B4556">
        <w:rPr>
          <w:sz w:val="24"/>
          <w:szCs w:val="24"/>
        </w:rPr>
        <w:t xml:space="preserve">He said that </w:t>
      </w:r>
      <w:r w:rsidR="000F03B5">
        <w:rPr>
          <w:sz w:val="24"/>
          <w:szCs w:val="24"/>
        </w:rPr>
        <w:t>Astr</w:t>
      </w:r>
      <w:r w:rsidR="00E23C30">
        <w:rPr>
          <w:sz w:val="24"/>
          <w:szCs w:val="24"/>
        </w:rPr>
        <w:t xml:space="preserve">aZeneca’s </w:t>
      </w:r>
      <w:r w:rsidR="000B4556">
        <w:rPr>
          <w:sz w:val="24"/>
          <w:szCs w:val="24"/>
        </w:rPr>
        <w:t xml:space="preserve">conservative base case was in the round agreed </w:t>
      </w:r>
      <w:r w:rsidR="000A0005" w:rsidRPr="00B46410">
        <w:rPr>
          <w:sz w:val="24"/>
          <w:szCs w:val="24"/>
        </w:rPr>
        <w:t xml:space="preserve">by </w:t>
      </w:r>
      <w:r w:rsidR="00E23C30">
        <w:rPr>
          <w:sz w:val="24"/>
          <w:szCs w:val="24"/>
        </w:rPr>
        <w:t xml:space="preserve">AstraZeneca, </w:t>
      </w:r>
      <w:r w:rsidR="00FD26EF">
        <w:rPr>
          <w:sz w:val="24"/>
          <w:szCs w:val="24"/>
        </w:rPr>
        <w:t xml:space="preserve">the </w:t>
      </w:r>
      <w:r w:rsidR="00E23C30">
        <w:rPr>
          <w:sz w:val="24"/>
          <w:szCs w:val="24"/>
        </w:rPr>
        <w:t>c</w:t>
      </w:r>
      <w:r w:rsidR="000B4556">
        <w:rPr>
          <w:sz w:val="24"/>
          <w:szCs w:val="24"/>
        </w:rPr>
        <w:t>ommittee</w:t>
      </w:r>
      <w:r w:rsidR="000A0005" w:rsidRPr="00B46410">
        <w:rPr>
          <w:sz w:val="24"/>
          <w:szCs w:val="24"/>
        </w:rPr>
        <w:t xml:space="preserve"> and EAG and </w:t>
      </w:r>
      <w:r w:rsidR="000B4556">
        <w:rPr>
          <w:sz w:val="24"/>
          <w:szCs w:val="24"/>
        </w:rPr>
        <w:t xml:space="preserve">noted </w:t>
      </w:r>
      <w:r w:rsidR="000A0005" w:rsidRPr="00B46410">
        <w:rPr>
          <w:sz w:val="24"/>
          <w:szCs w:val="24"/>
        </w:rPr>
        <w:t>the</w:t>
      </w:r>
      <w:r w:rsidR="000B4556">
        <w:rPr>
          <w:sz w:val="24"/>
          <w:szCs w:val="24"/>
        </w:rPr>
        <w:t xml:space="preserve"> conclusion in the</w:t>
      </w:r>
      <w:r w:rsidR="000A0005" w:rsidRPr="00B46410">
        <w:rPr>
          <w:sz w:val="24"/>
          <w:szCs w:val="24"/>
        </w:rPr>
        <w:t xml:space="preserve"> FDG that there was little uncertainty in</w:t>
      </w:r>
      <w:r w:rsidR="00A5739F" w:rsidRPr="00B46410">
        <w:rPr>
          <w:sz w:val="24"/>
          <w:szCs w:val="24"/>
        </w:rPr>
        <w:t xml:space="preserve"> the</w:t>
      </w:r>
      <w:r w:rsidR="000A0005" w:rsidRPr="00B46410">
        <w:rPr>
          <w:sz w:val="24"/>
          <w:szCs w:val="24"/>
        </w:rPr>
        <w:t xml:space="preserve"> </w:t>
      </w:r>
      <w:r w:rsidR="000B4556">
        <w:rPr>
          <w:sz w:val="24"/>
          <w:szCs w:val="24"/>
        </w:rPr>
        <w:t xml:space="preserve">conclusions reached as to </w:t>
      </w:r>
      <w:r w:rsidR="000A0005" w:rsidRPr="00B46410">
        <w:rPr>
          <w:sz w:val="24"/>
          <w:szCs w:val="24"/>
        </w:rPr>
        <w:t xml:space="preserve">overall survival.  </w:t>
      </w:r>
      <w:proofErr w:type="gramStart"/>
      <w:r w:rsidR="00BF697F">
        <w:rPr>
          <w:sz w:val="24"/>
          <w:szCs w:val="24"/>
        </w:rPr>
        <w:t>With</w:t>
      </w:r>
      <w:r w:rsidR="00BF697F" w:rsidRPr="00B46410">
        <w:rPr>
          <w:sz w:val="24"/>
          <w:szCs w:val="24"/>
        </w:rPr>
        <w:t xml:space="preserve"> </w:t>
      </w:r>
      <w:r w:rsidR="0017712E" w:rsidRPr="00B46410">
        <w:rPr>
          <w:sz w:val="24"/>
          <w:szCs w:val="24"/>
        </w:rPr>
        <w:t>regard to</w:t>
      </w:r>
      <w:proofErr w:type="gramEnd"/>
      <w:r w:rsidR="0017712E" w:rsidRPr="00B46410">
        <w:rPr>
          <w:sz w:val="24"/>
          <w:szCs w:val="24"/>
        </w:rPr>
        <w:t xml:space="preserve"> subsequent treatments, he explained that </w:t>
      </w:r>
      <w:r w:rsidR="00BF697F">
        <w:rPr>
          <w:sz w:val="24"/>
          <w:szCs w:val="24"/>
        </w:rPr>
        <w:t xml:space="preserve">an identified </w:t>
      </w:r>
      <w:r w:rsidR="0017712E" w:rsidRPr="00B46410">
        <w:rPr>
          <w:sz w:val="24"/>
          <w:szCs w:val="24"/>
        </w:rPr>
        <w:t>uncertain</w:t>
      </w:r>
      <w:r w:rsidR="00BF697F">
        <w:rPr>
          <w:sz w:val="24"/>
          <w:szCs w:val="24"/>
        </w:rPr>
        <w:t>ty</w:t>
      </w:r>
      <w:r w:rsidR="0017712E" w:rsidRPr="00B46410">
        <w:rPr>
          <w:sz w:val="24"/>
          <w:szCs w:val="24"/>
        </w:rPr>
        <w:t xml:space="preserve"> for </w:t>
      </w:r>
      <w:proofErr w:type="spellStart"/>
      <w:r w:rsidR="0017712E" w:rsidRPr="00B46410">
        <w:rPr>
          <w:sz w:val="24"/>
          <w:szCs w:val="24"/>
        </w:rPr>
        <w:t>dMMR</w:t>
      </w:r>
      <w:proofErr w:type="spellEnd"/>
      <w:r w:rsidR="0017712E" w:rsidRPr="00B46410">
        <w:rPr>
          <w:sz w:val="24"/>
          <w:szCs w:val="24"/>
        </w:rPr>
        <w:t xml:space="preserve"> </w:t>
      </w:r>
      <w:r w:rsidR="00BF697F">
        <w:rPr>
          <w:sz w:val="24"/>
          <w:szCs w:val="24"/>
        </w:rPr>
        <w:t xml:space="preserve">patients </w:t>
      </w:r>
      <w:r w:rsidR="0017712E" w:rsidRPr="00B46410">
        <w:rPr>
          <w:sz w:val="24"/>
          <w:szCs w:val="24"/>
        </w:rPr>
        <w:t xml:space="preserve">did not translate </w:t>
      </w:r>
      <w:r w:rsidR="002A36AB" w:rsidRPr="00B46410">
        <w:rPr>
          <w:sz w:val="24"/>
          <w:szCs w:val="24"/>
        </w:rPr>
        <w:t xml:space="preserve">to </w:t>
      </w:r>
      <w:r w:rsidR="00BF697F">
        <w:rPr>
          <w:sz w:val="24"/>
          <w:szCs w:val="24"/>
        </w:rPr>
        <w:t xml:space="preserve">the </w:t>
      </w:r>
      <w:proofErr w:type="spellStart"/>
      <w:r w:rsidR="002A36AB" w:rsidRPr="00B46410">
        <w:rPr>
          <w:sz w:val="24"/>
          <w:szCs w:val="24"/>
        </w:rPr>
        <w:t>pMMR</w:t>
      </w:r>
      <w:proofErr w:type="spellEnd"/>
      <w:r w:rsidR="002A36AB" w:rsidRPr="00B46410">
        <w:rPr>
          <w:sz w:val="24"/>
          <w:szCs w:val="24"/>
        </w:rPr>
        <w:t xml:space="preserve"> </w:t>
      </w:r>
      <w:r w:rsidR="00BF697F">
        <w:rPr>
          <w:sz w:val="24"/>
          <w:szCs w:val="24"/>
        </w:rPr>
        <w:t xml:space="preserve">cohort </w:t>
      </w:r>
      <w:r w:rsidR="002A36AB" w:rsidRPr="00B46410">
        <w:rPr>
          <w:sz w:val="24"/>
          <w:szCs w:val="24"/>
        </w:rPr>
        <w:t xml:space="preserve">and </w:t>
      </w:r>
      <w:r>
        <w:rPr>
          <w:sz w:val="24"/>
          <w:szCs w:val="24"/>
        </w:rPr>
        <w:t>said that the uncertainty identified had z</w:t>
      </w:r>
      <w:r w:rsidR="009A4FDD" w:rsidRPr="00B46410">
        <w:rPr>
          <w:sz w:val="24"/>
          <w:szCs w:val="24"/>
        </w:rPr>
        <w:t>ero impact</w:t>
      </w:r>
      <w:r w:rsidR="00A4679A">
        <w:rPr>
          <w:sz w:val="24"/>
          <w:szCs w:val="24"/>
        </w:rPr>
        <w:t xml:space="preserve"> on the ICER</w:t>
      </w:r>
      <w:r w:rsidR="009A4FDD" w:rsidRPr="00B46410">
        <w:rPr>
          <w:sz w:val="24"/>
          <w:szCs w:val="24"/>
        </w:rPr>
        <w:t xml:space="preserve">.  </w:t>
      </w:r>
      <w:r w:rsidR="00B46410" w:rsidRPr="00B46410">
        <w:rPr>
          <w:sz w:val="24"/>
          <w:szCs w:val="24"/>
        </w:rPr>
        <w:t>He also said that</w:t>
      </w:r>
      <w:r w:rsidR="00A4679A">
        <w:rPr>
          <w:sz w:val="24"/>
          <w:szCs w:val="24"/>
        </w:rPr>
        <w:t xml:space="preserve"> by</w:t>
      </w:r>
      <w:r w:rsidR="00B46410" w:rsidRPr="00B46410">
        <w:rPr>
          <w:sz w:val="24"/>
          <w:szCs w:val="24"/>
        </w:rPr>
        <w:t xml:space="preserve"> applying a treatment cap at 3 years </w:t>
      </w:r>
      <w:r w:rsidR="00E23C30">
        <w:rPr>
          <w:sz w:val="24"/>
          <w:szCs w:val="24"/>
        </w:rPr>
        <w:t>AstraZeneca</w:t>
      </w:r>
      <w:r w:rsidR="00A4679A">
        <w:rPr>
          <w:sz w:val="24"/>
          <w:szCs w:val="24"/>
        </w:rPr>
        <w:t xml:space="preserve"> had further </w:t>
      </w:r>
      <w:r w:rsidR="00B46410" w:rsidRPr="00B46410">
        <w:rPr>
          <w:sz w:val="24"/>
          <w:szCs w:val="24"/>
        </w:rPr>
        <w:t>reduced the uncertainty</w:t>
      </w:r>
      <w:r>
        <w:rPr>
          <w:sz w:val="24"/>
          <w:szCs w:val="24"/>
        </w:rPr>
        <w:t xml:space="preserve"> related to follow up data</w:t>
      </w:r>
      <w:r w:rsidR="00B46410" w:rsidRPr="00B46410">
        <w:rPr>
          <w:sz w:val="24"/>
          <w:szCs w:val="24"/>
        </w:rPr>
        <w:t xml:space="preserve">. </w:t>
      </w:r>
      <w:r w:rsidR="00C505C2" w:rsidRPr="00B46410">
        <w:rPr>
          <w:sz w:val="24"/>
          <w:szCs w:val="24"/>
        </w:rPr>
        <w:t xml:space="preserve"> </w:t>
      </w:r>
    </w:p>
    <w:p w14:paraId="533C1F70" w14:textId="7615265E" w:rsidR="008523BC" w:rsidRPr="007C14DD" w:rsidRDefault="008523BC" w:rsidP="0031610C">
      <w:pPr>
        <w:pStyle w:val="Paragraph"/>
      </w:pPr>
      <w:r>
        <w:rPr>
          <w:sz w:val="24"/>
          <w:szCs w:val="24"/>
        </w:rPr>
        <w:t xml:space="preserve">James Fotheringham, </w:t>
      </w:r>
      <w:r w:rsidR="004B69AF">
        <w:rPr>
          <w:sz w:val="24"/>
          <w:szCs w:val="24"/>
        </w:rPr>
        <w:t>for NICE</w:t>
      </w:r>
      <w:r w:rsidR="009F6C15">
        <w:rPr>
          <w:sz w:val="24"/>
          <w:szCs w:val="24"/>
        </w:rPr>
        <w:t xml:space="preserve">, </w:t>
      </w:r>
      <w:r w:rsidR="0060538D">
        <w:rPr>
          <w:sz w:val="24"/>
          <w:szCs w:val="24"/>
        </w:rPr>
        <w:t xml:space="preserve">explained that the </w:t>
      </w:r>
      <w:r w:rsidR="00145130">
        <w:rPr>
          <w:sz w:val="24"/>
          <w:szCs w:val="24"/>
        </w:rPr>
        <w:t>c</w:t>
      </w:r>
      <w:r w:rsidR="000B4556">
        <w:rPr>
          <w:sz w:val="24"/>
          <w:szCs w:val="24"/>
        </w:rPr>
        <w:t>ommittee</w:t>
      </w:r>
      <w:r w:rsidR="0060538D">
        <w:rPr>
          <w:sz w:val="24"/>
          <w:szCs w:val="24"/>
        </w:rPr>
        <w:t>'s decision making is a deliberative process</w:t>
      </w:r>
      <w:r w:rsidR="00794937">
        <w:rPr>
          <w:sz w:val="24"/>
          <w:szCs w:val="24"/>
        </w:rPr>
        <w:t xml:space="preserve">, in which decisions about effectiveness will take account of the degree of uncertainty identified, but that </w:t>
      </w:r>
      <w:r w:rsidR="0060538D">
        <w:rPr>
          <w:sz w:val="24"/>
          <w:szCs w:val="24"/>
        </w:rPr>
        <w:t>often</w:t>
      </w:r>
      <w:r w:rsidR="007C14DD">
        <w:rPr>
          <w:sz w:val="24"/>
          <w:szCs w:val="24"/>
        </w:rPr>
        <w:t xml:space="preserve"> </w:t>
      </w:r>
      <w:r w:rsidR="0060538D">
        <w:rPr>
          <w:sz w:val="24"/>
          <w:szCs w:val="24"/>
        </w:rPr>
        <w:t>the nature of uncertainty prevents a</w:t>
      </w:r>
      <w:r w:rsidR="00794937">
        <w:rPr>
          <w:sz w:val="24"/>
          <w:szCs w:val="24"/>
        </w:rPr>
        <w:t xml:space="preserve"> </w:t>
      </w:r>
      <w:r w:rsidR="007C14DD">
        <w:rPr>
          <w:sz w:val="24"/>
          <w:szCs w:val="24"/>
        </w:rPr>
        <w:t>formal</w:t>
      </w:r>
      <w:r w:rsidR="00CE2D44">
        <w:rPr>
          <w:sz w:val="24"/>
          <w:szCs w:val="24"/>
        </w:rPr>
        <w:t xml:space="preserve"> </w:t>
      </w:r>
      <w:r w:rsidR="00794937">
        <w:rPr>
          <w:sz w:val="24"/>
          <w:szCs w:val="24"/>
        </w:rPr>
        <w:t xml:space="preserve">analysis of the amount of uncertainty </w:t>
      </w:r>
      <w:r w:rsidR="00CE2D44">
        <w:rPr>
          <w:sz w:val="24"/>
          <w:szCs w:val="24"/>
        </w:rPr>
        <w:t xml:space="preserve">being </w:t>
      </w:r>
      <w:r w:rsidR="0034760E">
        <w:rPr>
          <w:sz w:val="24"/>
          <w:szCs w:val="24"/>
        </w:rPr>
        <w:t>considered</w:t>
      </w:r>
      <w:r w:rsidR="007C14DD">
        <w:rPr>
          <w:sz w:val="24"/>
          <w:szCs w:val="24"/>
        </w:rPr>
        <w:t>.</w:t>
      </w:r>
    </w:p>
    <w:p w14:paraId="448EE2AE" w14:textId="4CA4B77E" w:rsidR="007C14DD" w:rsidRPr="00BC748F" w:rsidRDefault="007C14DD" w:rsidP="0031610C">
      <w:pPr>
        <w:pStyle w:val="Paragraph"/>
        <w:rPr>
          <w:sz w:val="24"/>
          <w:szCs w:val="24"/>
        </w:rPr>
      </w:pPr>
      <w:r w:rsidRPr="00564641">
        <w:rPr>
          <w:sz w:val="24"/>
          <w:szCs w:val="24"/>
        </w:rPr>
        <w:t>Becky Pennington</w:t>
      </w:r>
      <w:r w:rsidR="00CD6E2F">
        <w:rPr>
          <w:sz w:val="24"/>
          <w:szCs w:val="24"/>
        </w:rPr>
        <w:t>, for NICE, explained that the DUO-E trial had a short follow up</w:t>
      </w:r>
      <w:r w:rsidR="009342B7">
        <w:rPr>
          <w:sz w:val="24"/>
          <w:szCs w:val="24"/>
        </w:rPr>
        <w:t xml:space="preserve"> and immature</w:t>
      </w:r>
      <w:r w:rsidR="007536F3">
        <w:rPr>
          <w:sz w:val="24"/>
          <w:szCs w:val="24"/>
        </w:rPr>
        <w:t xml:space="preserve"> data</w:t>
      </w:r>
      <w:r w:rsidR="009342B7">
        <w:rPr>
          <w:sz w:val="24"/>
          <w:szCs w:val="24"/>
        </w:rPr>
        <w:t>.</w:t>
      </w:r>
      <w:r w:rsidR="00CA3CC9">
        <w:rPr>
          <w:sz w:val="24"/>
          <w:szCs w:val="24"/>
        </w:rPr>
        <w:t xml:space="preserve">  </w:t>
      </w:r>
      <w:r w:rsidR="00794937">
        <w:rPr>
          <w:sz w:val="24"/>
          <w:szCs w:val="24"/>
        </w:rPr>
        <w:t>She said that t</w:t>
      </w:r>
      <w:r w:rsidR="00123906">
        <w:rPr>
          <w:sz w:val="24"/>
          <w:szCs w:val="24"/>
        </w:rPr>
        <w:t>here was no evidence of overall survival bene</w:t>
      </w:r>
      <w:r w:rsidR="00B14166">
        <w:rPr>
          <w:sz w:val="24"/>
          <w:szCs w:val="24"/>
        </w:rPr>
        <w:t xml:space="preserve">fit for durvalumab </w:t>
      </w:r>
      <w:r w:rsidR="0011160E">
        <w:rPr>
          <w:sz w:val="24"/>
          <w:szCs w:val="24"/>
        </w:rPr>
        <w:t xml:space="preserve">because </w:t>
      </w:r>
      <w:r w:rsidR="00794937">
        <w:rPr>
          <w:sz w:val="24"/>
          <w:szCs w:val="24"/>
        </w:rPr>
        <w:t xml:space="preserve">the </w:t>
      </w:r>
      <w:r w:rsidR="00B85584">
        <w:rPr>
          <w:sz w:val="24"/>
          <w:szCs w:val="24"/>
        </w:rPr>
        <w:t>overall survival</w:t>
      </w:r>
      <w:r w:rsidR="00794937">
        <w:rPr>
          <w:sz w:val="24"/>
          <w:szCs w:val="24"/>
        </w:rPr>
        <w:t xml:space="preserve"> results</w:t>
      </w:r>
      <w:r w:rsidR="00B85584">
        <w:rPr>
          <w:sz w:val="24"/>
          <w:szCs w:val="24"/>
        </w:rPr>
        <w:t xml:space="preserve"> in that group w</w:t>
      </w:r>
      <w:r w:rsidR="00794937">
        <w:rPr>
          <w:sz w:val="24"/>
          <w:szCs w:val="24"/>
        </w:rPr>
        <w:t>ere</w:t>
      </w:r>
      <w:r w:rsidR="00B85584">
        <w:rPr>
          <w:sz w:val="24"/>
          <w:szCs w:val="24"/>
        </w:rPr>
        <w:t xml:space="preserve"> not stat</w:t>
      </w:r>
      <w:r w:rsidR="00B428E7">
        <w:rPr>
          <w:sz w:val="24"/>
          <w:szCs w:val="24"/>
        </w:rPr>
        <w:t>istically significant</w:t>
      </w:r>
      <w:r w:rsidR="004B6159">
        <w:rPr>
          <w:sz w:val="24"/>
          <w:szCs w:val="24"/>
        </w:rPr>
        <w:t>.</w:t>
      </w:r>
      <w:r w:rsidR="00B428E7">
        <w:rPr>
          <w:sz w:val="24"/>
          <w:szCs w:val="24"/>
        </w:rPr>
        <w:t xml:space="preserve"> </w:t>
      </w:r>
      <w:r w:rsidR="004B6159">
        <w:rPr>
          <w:sz w:val="24"/>
          <w:szCs w:val="24"/>
        </w:rPr>
        <w:t xml:space="preserve"> T</w:t>
      </w:r>
      <w:r w:rsidR="00B428E7">
        <w:rPr>
          <w:sz w:val="24"/>
          <w:szCs w:val="24"/>
        </w:rPr>
        <w:t xml:space="preserve">his meant </w:t>
      </w:r>
      <w:r w:rsidR="00794937">
        <w:rPr>
          <w:sz w:val="24"/>
          <w:szCs w:val="24"/>
        </w:rPr>
        <w:t>the evidence</w:t>
      </w:r>
      <w:r w:rsidR="00B428E7">
        <w:rPr>
          <w:sz w:val="24"/>
          <w:szCs w:val="24"/>
        </w:rPr>
        <w:t xml:space="preserve"> was highly </w:t>
      </w:r>
      <w:r w:rsidR="00473D24">
        <w:rPr>
          <w:sz w:val="24"/>
          <w:szCs w:val="24"/>
        </w:rPr>
        <w:t xml:space="preserve">uncertain and unreliable.  </w:t>
      </w:r>
      <w:r w:rsidR="00A4679A">
        <w:rPr>
          <w:sz w:val="24"/>
          <w:szCs w:val="24"/>
        </w:rPr>
        <w:t>It also</w:t>
      </w:r>
      <w:r w:rsidR="00C1247E">
        <w:rPr>
          <w:sz w:val="24"/>
          <w:szCs w:val="24"/>
        </w:rPr>
        <w:t xml:space="preserve"> meant the ICERs were highly uncertain</w:t>
      </w:r>
      <w:r w:rsidR="00A4679A">
        <w:rPr>
          <w:sz w:val="24"/>
          <w:szCs w:val="24"/>
        </w:rPr>
        <w:t xml:space="preserve"> and</w:t>
      </w:r>
      <w:r w:rsidR="00A95497">
        <w:rPr>
          <w:sz w:val="24"/>
          <w:szCs w:val="24"/>
        </w:rPr>
        <w:t xml:space="preserve"> t</w:t>
      </w:r>
      <w:r w:rsidR="00473D24">
        <w:rPr>
          <w:sz w:val="24"/>
          <w:szCs w:val="24"/>
        </w:rPr>
        <w:t xml:space="preserve">he only way to reduce this was through further data collection.  </w:t>
      </w:r>
      <w:r w:rsidR="00A95497">
        <w:rPr>
          <w:sz w:val="24"/>
          <w:szCs w:val="24"/>
        </w:rPr>
        <w:t>Alternative overall survival extrapolations were</w:t>
      </w:r>
      <w:r w:rsidR="00014B67">
        <w:rPr>
          <w:sz w:val="24"/>
          <w:szCs w:val="24"/>
        </w:rPr>
        <w:t xml:space="preserve"> </w:t>
      </w:r>
      <w:r w:rsidR="00014B67">
        <w:rPr>
          <w:sz w:val="24"/>
          <w:szCs w:val="24"/>
        </w:rPr>
        <w:lastRenderedPageBreak/>
        <w:t>also</w:t>
      </w:r>
      <w:r w:rsidR="00A95497">
        <w:rPr>
          <w:sz w:val="24"/>
          <w:szCs w:val="24"/>
        </w:rPr>
        <w:t xml:space="preserve"> based on the same immature overall survival data which led to fundamentally uncertain extrapolations.</w:t>
      </w:r>
    </w:p>
    <w:p w14:paraId="389B02A1" w14:textId="116FC259" w:rsidR="00F260C3" w:rsidRDefault="004B69AF" w:rsidP="0031610C">
      <w:pPr>
        <w:pStyle w:val="Paragraph"/>
        <w:rPr>
          <w:sz w:val="24"/>
          <w:szCs w:val="24"/>
        </w:rPr>
      </w:pPr>
      <w:r w:rsidRPr="00BC748F">
        <w:rPr>
          <w:sz w:val="24"/>
          <w:szCs w:val="24"/>
        </w:rPr>
        <w:t>James Fotheringham</w:t>
      </w:r>
      <w:r w:rsidR="00F260C3" w:rsidRPr="00BC748F">
        <w:rPr>
          <w:sz w:val="24"/>
          <w:szCs w:val="24"/>
        </w:rPr>
        <w:t xml:space="preserve"> </w:t>
      </w:r>
      <w:r w:rsidR="00637DBD" w:rsidRPr="00BC748F">
        <w:rPr>
          <w:sz w:val="24"/>
          <w:szCs w:val="24"/>
        </w:rPr>
        <w:t xml:space="preserve">stated that </w:t>
      </w:r>
      <w:r w:rsidR="00BC748F" w:rsidRPr="00BC748F">
        <w:rPr>
          <w:sz w:val="24"/>
          <w:szCs w:val="24"/>
        </w:rPr>
        <w:t xml:space="preserve">subsequent </w:t>
      </w:r>
      <w:r w:rsidR="00371664" w:rsidRPr="00BC748F">
        <w:rPr>
          <w:sz w:val="24"/>
          <w:szCs w:val="24"/>
        </w:rPr>
        <w:t>treatment</w:t>
      </w:r>
      <w:r w:rsidR="00BC748F" w:rsidRPr="00BC748F">
        <w:rPr>
          <w:sz w:val="24"/>
          <w:szCs w:val="24"/>
        </w:rPr>
        <w:t xml:space="preserve"> in the DUO-E trial was not generalisable to NHS patients. </w:t>
      </w:r>
      <w:r w:rsidR="00371664">
        <w:rPr>
          <w:sz w:val="24"/>
          <w:szCs w:val="24"/>
        </w:rPr>
        <w:t xml:space="preserve">He explained that trials are conducted </w:t>
      </w:r>
      <w:r w:rsidR="00C15C40">
        <w:rPr>
          <w:sz w:val="24"/>
          <w:szCs w:val="24"/>
        </w:rPr>
        <w:t>globally</w:t>
      </w:r>
      <w:r w:rsidR="00371664">
        <w:rPr>
          <w:sz w:val="24"/>
          <w:szCs w:val="24"/>
        </w:rPr>
        <w:t xml:space="preserve"> to ensure sufficient </w:t>
      </w:r>
      <w:proofErr w:type="gramStart"/>
      <w:r w:rsidR="00C15C40">
        <w:rPr>
          <w:sz w:val="24"/>
          <w:szCs w:val="24"/>
        </w:rPr>
        <w:t>size</w:t>
      </w:r>
      <w:r w:rsidR="00794937">
        <w:rPr>
          <w:sz w:val="24"/>
          <w:szCs w:val="24"/>
        </w:rPr>
        <w:t>, and</w:t>
      </w:r>
      <w:proofErr w:type="gramEnd"/>
      <w:r w:rsidR="00794937">
        <w:rPr>
          <w:sz w:val="24"/>
          <w:szCs w:val="24"/>
        </w:rPr>
        <w:t xml:space="preserve"> are </w:t>
      </w:r>
      <w:r w:rsidR="00883D48">
        <w:rPr>
          <w:sz w:val="24"/>
          <w:szCs w:val="24"/>
        </w:rPr>
        <w:t>variable by geography</w:t>
      </w:r>
      <w:r w:rsidR="00794937">
        <w:rPr>
          <w:sz w:val="24"/>
          <w:szCs w:val="24"/>
        </w:rPr>
        <w:t xml:space="preserve"> owing to regional variation in subsequent treatment</w:t>
      </w:r>
      <w:r w:rsidR="00883D48">
        <w:rPr>
          <w:sz w:val="24"/>
          <w:szCs w:val="24"/>
        </w:rPr>
        <w:t>.  Often in cancer trials, subsequent immunotherapy introduces uncertainty.</w:t>
      </w:r>
      <w:r w:rsidR="003B044D">
        <w:rPr>
          <w:sz w:val="24"/>
          <w:szCs w:val="24"/>
        </w:rPr>
        <w:t xml:space="preserve">  The issue here is that subsequent substantial </w:t>
      </w:r>
      <w:r w:rsidR="0082602F">
        <w:rPr>
          <w:sz w:val="24"/>
          <w:szCs w:val="24"/>
        </w:rPr>
        <w:t>immunotherapy in th</w:t>
      </w:r>
      <w:r w:rsidR="00C95801">
        <w:rPr>
          <w:sz w:val="24"/>
          <w:szCs w:val="24"/>
        </w:rPr>
        <w:t>e</w:t>
      </w:r>
      <w:r w:rsidR="0082602F">
        <w:rPr>
          <w:sz w:val="24"/>
          <w:szCs w:val="24"/>
        </w:rPr>
        <w:t xml:space="preserve"> durvalumab arm would not be available in the NHS.</w:t>
      </w:r>
      <w:r w:rsidR="00BE1673">
        <w:rPr>
          <w:sz w:val="24"/>
          <w:szCs w:val="24"/>
        </w:rPr>
        <w:t xml:space="preserve">  This was agreed by all </w:t>
      </w:r>
      <w:r w:rsidR="00AE2C32">
        <w:rPr>
          <w:sz w:val="24"/>
          <w:szCs w:val="24"/>
        </w:rPr>
        <w:t>stakeholders</w:t>
      </w:r>
      <w:r w:rsidR="00BE1673">
        <w:rPr>
          <w:sz w:val="24"/>
          <w:szCs w:val="24"/>
        </w:rPr>
        <w:t>.</w:t>
      </w:r>
      <w:r w:rsidR="0082602F">
        <w:rPr>
          <w:sz w:val="24"/>
          <w:szCs w:val="24"/>
        </w:rPr>
        <w:t xml:space="preserve">  </w:t>
      </w:r>
      <w:r w:rsidR="00B30665">
        <w:rPr>
          <w:sz w:val="24"/>
          <w:szCs w:val="24"/>
        </w:rPr>
        <w:t>It</w:t>
      </w:r>
      <w:r w:rsidR="0082602F">
        <w:rPr>
          <w:sz w:val="24"/>
          <w:szCs w:val="24"/>
        </w:rPr>
        <w:t xml:space="preserve"> </w:t>
      </w:r>
      <w:r w:rsidR="00BE1673">
        <w:rPr>
          <w:sz w:val="24"/>
          <w:szCs w:val="24"/>
        </w:rPr>
        <w:t>was</w:t>
      </w:r>
      <w:r w:rsidR="0082602F">
        <w:rPr>
          <w:sz w:val="24"/>
          <w:szCs w:val="24"/>
        </w:rPr>
        <w:t xml:space="preserve"> further exacerbated by the </w:t>
      </w:r>
      <w:r w:rsidR="00E2733C">
        <w:rPr>
          <w:sz w:val="24"/>
          <w:szCs w:val="24"/>
        </w:rPr>
        <w:t>short trial</w:t>
      </w:r>
      <w:r w:rsidR="000935CF">
        <w:rPr>
          <w:sz w:val="24"/>
          <w:szCs w:val="24"/>
        </w:rPr>
        <w:t xml:space="preserve"> duration</w:t>
      </w:r>
      <w:r w:rsidR="00E2733C">
        <w:rPr>
          <w:sz w:val="24"/>
          <w:szCs w:val="24"/>
        </w:rPr>
        <w:t>.</w:t>
      </w:r>
      <w:r w:rsidR="00650F75">
        <w:rPr>
          <w:sz w:val="24"/>
          <w:szCs w:val="24"/>
        </w:rPr>
        <w:t xml:space="preserve">  </w:t>
      </w:r>
      <w:r w:rsidR="00850B74">
        <w:rPr>
          <w:sz w:val="24"/>
          <w:szCs w:val="24"/>
        </w:rPr>
        <w:t xml:space="preserve">He said that the </w:t>
      </w:r>
      <w:r w:rsidR="00D504D4">
        <w:rPr>
          <w:sz w:val="24"/>
          <w:szCs w:val="24"/>
        </w:rPr>
        <w:t xml:space="preserve">company </w:t>
      </w:r>
      <w:r w:rsidR="00850B74">
        <w:rPr>
          <w:sz w:val="24"/>
          <w:szCs w:val="24"/>
        </w:rPr>
        <w:t>and some clinical experts felt th</w:t>
      </w:r>
      <w:r w:rsidR="00C95801">
        <w:rPr>
          <w:sz w:val="24"/>
          <w:szCs w:val="24"/>
        </w:rPr>
        <w:t>e</w:t>
      </w:r>
      <w:r w:rsidR="00850B74">
        <w:rPr>
          <w:sz w:val="24"/>
          <w:szCs w:val="24"/>
        </w:rPr>
        <w:t xml:space="preserve"> </w:t>
      </w:r>
      <w:r w:rsidR="00C95801">
        <w:rPr>
          <w:sz w:val="24"/>
          <w:szCs w:val="24"/>
        </w:rPr>
        <w:t>additional</w:t>
      </w:r>
      <w:r w:rsidR="00850B74">
        <w:rPr>
          <w:sz w:val="24"/>
          <w:szCs w:val="24"/>
        </w:rPr>
        <w:t xml:space="preserve"> treatment would not influence the </w:t>
      </w:r>
      <w:r w:rsidR="00C95801">
        <w:rPr>
          <w:sz w:val="24"/>
          <w:szCs w:val="24"/>
        </w:rPr>
        <w:t>outcomes</w:t>
      </w:r>
      <w:r w:rsidR="00850B74">
        <w:rPr>
          <w:sz w:val="24"/>
          <w:szCs w:val="24"/>
        </w:rPr>
        <w:t xml:space="preserve"> but </w:t>
      </w:r>
      <w:r w:rsidR="00A4679A">
        <w:rPr>
          <w:sz w:val="24"/>
          <w:szCs w:val="24"/>
        </w:rPr>
        <w:t>t</w:t>
      </w:r>
      <w:r w:rsidR="00850B74">
        <w:rPr>
          <w:sz w:val="24"/>
          <w:szCs w:val="24"/>
        </w:rPr>
        <w:t>here was no evidence to su</w:t>
      </w:r>
      <w:r w:rsidR="00A06A68">
        <w:rPr>
          <w:sz w:val="24"/>
          <w:szCs w:val="24"/>
        </w:rPr>
        <w:t xml:space="preserve">pport this </w:t>
      </w:r>
      <w:proofErr w:type="gramStart"/>
      <w:r w:rsidR="00A06A68">
        <w:rPr>
          <w:sz w:val="24"/>
          <w:szCs w:val="24"/>
        </w:rPr>
        <w:t>position</w:t>
      </w:r>
      <w:proofErr w:type="gramEnd"/>
      <w:r w:rsidR="00A06A68">
        <w:rPr>
          <w:sz w:val="24"/>
          <w:szCs w:val="24"/>
        </w:rPr>
        <w:t xml:space="preserve"> and the </w:t>
      </w:r>
      <w:r w:rsidR="00D504D4">
        <w:rPr>
          <w:sz w:val="24"/>
          <w:szCs w:val="24"/>
        </w:rPr>
        <w:t>c</w:t>
      </w:r>
      <w:r w:rsidR="000B4556">
        <w:rPr>
          <w:sz w:val="24"/>
          <w:szCs w:val="24"/>
        </w:rPr>
        <w:t>ommittee</w:t>
      </w:r>
      <w:r w:rsidR="00A06A68">
        <w:rPr>
          <w:sz w:val="24"/>
          <w:szCs w:val="24"/>
        </w:rPr>
        <w:t xml:space="preserve"> had seen </w:t>
      </w:r>
      <w:r w:rsidR="000935CF">
        <w:rPr>
          <w:sz w:val="24"/>
          <w:szCs w:val="24"/>
        </w:rPr>
        <w:t xml:space="preserve">contrary </w:t>
      </w:r>
      <w:r w:rsidR="00A06A68">
        <w:rPr>
          <w:sz w:val="24"/>
          <w:szCs w:val="24"/>
        </w:rPr>
        <w:t xml:space="preserve">evidence in previous appraisals.  </w:t>
      </w:r>
      <w:r w:rsidR="00C95801">
        <w:rPr>
          <w:sz w:val="24"/>
          <w:szCs w:val="24"/>
        </w:rPr>
        <w:t xml:space="preserve">The </w:t>
      </w:r>
      <w:r w:rsidR="00D504D4">
        <w:rPr>
          <w:sz w:val="24"/>
          <w:szCs w:val="24"/>
        </w:rPr>
        <w:t>c</w:t>
      </w:r>
      <w:r w:rsidR="000B4556">
        <w:rPr>
          <w:sz w:val="24"/>
          <w:szCs w:val="24"/>
        </w:rPr>
        <w:t>ommittee</w:t>
      </w:r>
      <w:r w:rsidR="00C95801">
        <w:rPr>
          <w:sz w:val="24"/>
          <w:szCs w:val="24"/>
        </w:rPr>
        <w:t xml:space="preserve"> requested additional evidence following the first </w:t>
      </w:r>
      <w:r w:rsidR="00D504D4">
        <w:rPr>
          <w:sz w:val="24"/>
          <w:szCs w:val="24"/>
        </w:rPr>
        <w:t>c</w:t>
      </w:r>
      <w:r w:rsidR="000B4556">
        <w:rPr>
          <w:sz w:val="24"/>
          <w:szCs w:val="24"/>
        </w:rPr>
        <w:t>ommittee</w:t>
      </w:r>
      <w:r w:rsidR="00C95801">
        <w:rPr>
          <w:sz w:val="24"/>
          <w:szCs w:val="24"/>
        </w:rPr>
        <w:t xml:space="preserve"> meeting but no new evidence was produced </w:t>
      </w:r>
      <w:r w:rsidR="00DF506A">
        <w:rPr>
          <w:sz w:val="24"/>
          <w:szCs w:val="24"/>
        </w:rPr>
        <w:t>to</w:t>
      </w:r>
      <w:r w:rsidR="00C95801">
        <w:rPr>
          <w:sz w:val="24"/>
          <w:szCs w:val="24"/>
        </w:rPr>
        <w:t xml:space="preserve"> help address the uncertainty.</w:t>
      </w:r>
    </w:p>
    <w:p w14:paraId="2DC0B707" w14:textId="77EF46E4" w:rsidR="00C95801" w:rsidRDefault="00686D38" w:rsidP="0031610C">
      <w:pPr>
        <w:pStyle w:val="Paragraph"/>
        <w:rPr>
          <w:sz w:val="24"/>
          <w:szCs w:val="24"/>
        </w:rPr>
      </w:pPr>
      <w:r w:rsidRPr="00564641">
        <w:rPr>
          <w:sz w:val="24"/>
          <w:szCs w:val="24"/>
        </w:rPr>
        <w:t>Becky Pennington</w:t>
      </w:r>
      <w:r>
        <w:rPr>
          <w:sz w:val="24"/>
          <w:szCs w:val="24"/>
        </w:rPr>
        <w:t xml:space="preserve"> explained that the treatment cap </w:t>
      </w:r>
      <w:r w:rsidR="00EB37ED">
        <w:rPr>
          <w:sz w:val="24"/>
          <w:szCs w:val="24"/>
        </w:rPr>
        <w:t xml:space="preserve">applied by </w:t>
      </w:r>
      <w:r w:rsidR="00D504D4">
        <w:rPr>
          <w:sz w:val="24"/>
          <w:szCs w:val="24"/>
        </w:rPr>
        <w:t xml:space="preserve">AstraZeneca </w:t>
      </w:r>
      <w:r>
        <w:rPr>
          <w:sz w:val="24"/>
          <w:szCs w:val="24"/>
        </w:rPr>
        <w:t xml:space="preserve">was not present in the DUO-E trial.  </w:t>
      </w:r>
      <w:r w:rsidR="006D155F">
        <w:rPr>
          <w:sz w:val="24"/>
          <w:szCs w:val="24"/>
        </w:rPr>
        <w:t xml:space="preserve">She noted </w:t>
      </w:r>
      <w:r w:rsidR="00D504D4">
        <w:rPr>
          <w:sz w:val="24"/>
          <w:szCs w:val="24"/>
        </w:rPr>
        <w:t xml:space="preserve">AstraZeneca </w:t>
      </w:r>
      <w:r w:rsidR="006D155F">
        <w:rPr>
          <w:sz w:val="24"/>
          <w:szCs w:val="24"/>
        </w:rPr>
        <w:t xml:space="preserve">considered this would reduce uncertainty </w:t>
      </w:r>
      <w:r w:rsidR="00793DE6">
        <w:rPr>
          <w:sz w:val="24"/>
          <w:szCs w:val="24"/>
        </w:rPr>
        <w:t xml:space="preserve">for </w:t>
      </w:r>
      <w:proofErr w:type="gramStart"/>
      <w:r w:rsidR="00793DE6">
        <w:rPr>
          <w:sz w:val="24"/>
          <w:szCs w:val="24"/>
        </w:rPr>
        <w:t>costs</w:t>
      </w:r>
      <w:proofErr w:type="gramEnd"/>
      <w:r w:rsidR="00793DE6">
        <w:rPr>
          <w:sz w:val="24"/>
          <w:szCs w:val="24"/>
        </w:rPr>
        <w:t xml:space="preserve"> but the </w:t>
      </w:r>
      <w:r w:rsidR="00D504D4">
        <w:rPr>
          <w:sz w:val="24"/>
          <w:szCs w:val="24"/>
        </w:rPr>
        <w:t>c</w:t>
      </w:r>
      <w:r w:rsidR="000B4556">
        <w:rPr>
          <w:sz w:val="24"/>
          <w:szCs w:val="24"/>
        </w:rPr>
        <w:t>ommittee</w:t>
      </w:r>
      <w:r w:rsidR="00793DE6">
        <w:rPr>
          <w:sz w:val="24"/>
          <w:szCs w:val="24"/>
        </w:rPr>
        <w:t xml:space="preserve"> was </w:t>
      </w:r>
      <w:r w:rsidR="00EB37ED">
        <w:rPr>
          <w:sz w:val="24"/>
          <w:szCs w:val="24"/>
        </w:rPr>
        <w:t xml:space="preserve">more </w:t>
      </w:r>
      <w:r w:rsidR="00793DE6">
        <w:rPr>
          <w:sz w:val="24"/>
          <w:szCs w:val="24"/>
        </w:rPr>
        <w:t xml:space="preserve">concerned with uncertainty </w:t>
      </w:r>
      <w:r w:rsidR="006E4FA8">
        <w:rPr>
          <w:sz w:val="24"/>
          <w:szCs w:val="24"/>
        </w:rPr>
        <w:t>in</w:t>
      </w:r>
      <w:r w:rsidR="00793DE6">
        <w:rPr>
          <w:sz w:val="24"/>
          <w:szCs w:val="24"/>
        </w:rPr>
        <w:t xml:space="preserve"> the outcomes</w:t>
      </w:r>
      <w:r w:rsidR="00EB37ED">
        <w:rPr>
          <w:sz w:val="24"/>
          <w:szCs w:val="24"/>
        </w:rPr>
        <w:t>.  T</w:t>
      </w:r>
      <w:r w:rsidR="00793DE6">
        <w:rPr>
          <w:sz w:val="24"/>
          <w:szCs w:val="24"/>
        </w:rPr>
        <w:t xml:space="preserve">here was no evidence that outcomes </w:t>
      </w:r>
      <w:r w:rsidR="00EE5D08">
        <w:rPr>
          <w:sz w:val="24"/>
          <w:szCs w:val="24"/>
        </w:rPr>
        <w:t xml:space="preserve">without a </w:t>
      </w:r>
      <w:r w:rsidR="004F2B94">
        <w:rPr>
          <w:sz w:val="24"/>
          <w:szCs w:val="24"/>
        </w:rPr>
        <w:t>treatment</w:t>
      </w:r>
      <w:r w:rsidR="00EE5D08">
        <w:rPr>
          <w:sz w:val="24"/>
          <w:szCs w:val="24"/>
        </w:rPr>
        <w:t xml:space="preserve"> cap would be the same as outcomes with a treatment cap.  </w:t>
      </w:r>
      <w:r w:rsidR="00B709EA">
        <w:rPr>
          <w:sz w:val="24"/>
          <w:szCs w:val="24"/>
        </w:rPr>
        <w:t xml:space="preserve">If the treatment cap reduced </w:t>
      </w:r>
      <w:proofErr w:type="gramStart"/>
      <w:r w:rsidR="00B709EA">
        <w:rPr>
          <w:sz w:val="24"/>
          <w:szCs w:val="24"/>
        </w:rPr>
        <w:t>costs</w:t>
      </w:r>
      <w:proofErr w:type="gramEnd"/>
      <w:r w:rsidR="00B709EA">
        <w:rPr>
          <w:sz w:val="24"/>
          <w:szCs w:val="24"/>
        </w:rPr>
        <w:t xml:space="preserve"> it might also be expected to </w:t>
      </w:r>
      <w:r w:rsidR="004F2B94">
        <w:rPr>
          <w:sz w:val="24"/>
          <w:szCs w:val="24"/>
        </w:rPr>
        <w:t xml:space="preserve">reduce </w:t>
      </w:r>
      <w:proofErr w:type="gramStart"/>
      <w:r w:rsidR="004F2B94">
        <w:rPr>
          <w:sz w:val="24"/>
          <w:szCs w:val="24"/>
        </w:rPr>
        <w:t>effectiveness</w:t>
      </w:r>
      <w:proofErr w:type="gramEnd"/>
      <w:r w:rsidR="004F2B94">
        <w:rPr>
          <w:sz w:val="24"/>
          <w:szCs w:val="24"/>
        </w:rPr>
        <w:t xml:space="preserve"> and the </w:t>
      </w:r>
      <w:r w:rsidR="00FB131E">
        <w:rPr>
          <w:sz w:val="24"/>
          <w:szCs w:val="24"/>
        </w:rPr>
        <w:t>c</w:t>
      </w:r>
      <w:r w:rsidR="000B4556">
        <w:rPr>
          <w:sz w:val="24"/>
          <w:szCs w:val="24"/>
        </w:rPr>
        <w:t>ommittee</w:t>
      </w:r>
      <w:r w:rsidR="004F2B94">
        <w:rPr>
          <w:sz w:val="24"/>
          <w:szCs w:val="24"/>
        </w:rPr>
        <w:t xml:space="preserve"> did not see any evidence to suggest this would not be the case.</w:t>
      </w:r>
      <w:r w:rsidR="00B236B4">
        <w:rPr>
          <w:sz w:val="24"/>
          <w:szCs w:val="24"/>
        </w:rPr>
        <w:t xml:space="preserve">  James Fotheringham noted that it is unusual to see a treatment cap in clinical practice which is not in the clinical trial, and that it was very challenging to understand what the presence of a newly applied treatment cap in a trial that was short might have on clinical outcomes.</w:t>
      </w:r>
    </w:p>
    <w:p w14:paraId="553A4788" w14:textId="47E78278" w:rsidR="004F2B94" w:rsidRDefault="00945A47" w:rsidP="0031610C">
      <w:pPr>
        <w:pStyle w:val="Paragraph"/>
        <w:rPr>
          <w:sz w:val="24"/>
          <w:szCs w:val="24"/>
        </w:rPr>
      </w:pPr>
      <w:r>
        <w:rPr>
          <w:sz w:val="24"/>
          <w:szCs w:val="24"/>
        </w:rPr>
        <w:t xml:space="preserve">James Fotheringham explained </w:t>
      </w:r>
      <w:r w:rsidR="004A1728">
        <w:rPr>
          <w:sz w:val="24"/>
          <w:szCs w:val="24"/>
        </w:rPr>
        <w:t xml:space="preserve">that </w:t>
      </w:r>
      <w:r>
        <w:rPr>
          <w:sz w:val="24"/>
          <w:szCs w:val="24"/>
        </w:rPr>
        <w:t xml:space="preserve">the </w:t>
      </w:r>
      <w:r w:rsidR="00FB131E">
        <w:rPr>
          <w:sz w:val="24"/>
          <w:szCs w:val="24"/>
        </w:rPr>
        <w:t>c</w:t>
      </w:r>
      <w:r w:rsidR="000B4556">
        <w:rPr>
          <w:sz w:val="24"/>
          <w:szCs w:val="24"/>
        </w:rPr>
        <w:t>ommittee</w:t>
      </w:r>
      <w:r w:rsidR="00B236B4">
        <w:rPr>
          <w:sz w:val="24"/>
          <w:szCs w:val="24"/>
        </w:rPr>
        <w:t xml:space="preserve">'s </w:t>
      </w:r>
      <w:r>
        <w:rPr>
          <w:sz w:val="24"/>
          <w:szCs w:val="24"/>
        </w:rPr>
        <w:t xml:space="preserve">start </w:t>
      </w:r>
      <w:r w:rsidR="00B236B4">
        <w:rPr>
          <w:sz w:val="24"/>
          <w:szCs w:val="24"/>
        </w:rPr>
        <w:t>point for the ICER threshold is</w:t>
      </w:r>
      <w:r>
        <w:rPr>
          <w:sz w:val="24"/>
          <w:szCs w:val="24"/>
        </w:rPr>
        <w:t xml:space="preserve"> £20,000 which is</w:t>
      </w:r>
      <w:r w:rsidR="002D65AC">
        <w:rPr>
          <w:sz w:val="24"/>
          <w:szCs w:val="24"/>
        </w:rPr>
        <w:t>, broadly speaking,</w:t>
      </w:r>
      <w:r>
        <w:rPr>
          <w:sz w:val="24"/>
          <w:szCs w:val="24"/>
        </w:rPr>
        <w:t xml:space="preserve"> increased for </w:t>
      </w:r>
      <w:r>
        <w:rPr>
          <w:sz w:val="24"/>
          <w:szCs w:val="24"/>
        </w:rPr>
        <w:lastRenderedPageBreak/>
        <w:t xml:space="preserve">innovation </w:t>
      </w:r>
      <w:r w:rsidR="009E1E1E">
        <w:rPr>
          <w:sz w:val="24"/>
          <w:szCs w:val="24"/>
        </w:rPr>
        <w:t>and equality impacts and reduced for uncertainty.</w:t>
      </w:r>
      <w:r w:rsidR="00795A19">
        <w:rPr>
          <w:sz w:val="24"/>
          <w:szCs w:val="24"/>
        </w:rPr>
        <w:t xml:space="preserve">  He </w:t>
      </w:r>
      <w:r w:rsidR="006E4FA8">
        <w:rPr>
          <w:sz w:val="24"/>
          <w:szCs w:val="24"/>
        </w:rPr>
        <w:t xml:space="preserve">said </w:t>
      </w:r>
      <w:r w:rsidR="00795A19">
        <w:rPr>
          <w:sz w:val="24"/>
          <w:szCs w:val="24"/>
        </w:rPr>
        <w:t xml:space="preserve">the mechanisms </w:t>
      </w:r>
      <w:r w:rsidR="00B236B4">
        <w:rPr>
          <w:sz w:val="24"/>
          <w:szCs w:val="24"/>
        </w:rPr>
        <w:t xml:space="preserve">that </w:t>
      </w:r>
      <w:r w:rsidR="002D65AC">
        <w:rPr>
          <w:sz w:val="24"/>
          <w:szCs w:val="24"/>
        </w:rPr>
        <w:t>c</w:t>
      </w:r>
      <w:r w:rsidR="000B4556">
        <w:rPr>
          <w:sz w:val="24"/>
          <w:szCs w:val="24"/>
        </w:rPr>
        <w:t>ommittee</w:t>
      </w:r>
      <w:r w:rsidR="00795A19">
        <w:rPr>
          <w:sz w:val="24"/>
          <w:szCs w:val="24"/>
        </w:rPr>
        <w:t xml:space="preserve">s </w:t>
      </w:r>
      <w:r w:rsidR="002D65AC">
        <w:rPr>
          <w:sz w:val="24"/>
          <w:szCs w:val="24"/>
        </w:rPr>
        <w:t xml:space="preserve">commonly </w:t>
      </w:r>
      <w:proofErr w:type="spellStart"/>
      <w:r w:rsidR="00795A19">
        <w:rPr>
          <w:sz w:val="24"/>
          <w:szCs w:val="24"/>
        </w:rPr>
        <w:t>use</w:t>
      </w:r>
      <w:proofErr w:type="spellEnd"/>
      <w:r w:rsidR="00795A19">
        <w:rPr>
          <w:sz w:val="24"/>
          <w:szCs w:val="24"/>
        </w:rPr>
        <w:t xml:space="preserve"> to </w:t>
      </w:r>
      <w:r w:rsidR="002C1802">
        <w:rPr>
          <w:sz w:val="24"/>
          <w:szCs w:val="24"/>
        </w:rPr>
        <w:t>quantify</w:t>
      </w:r>
      <w:r w:rsidR="00795A19">
        <w:rPr>
          <w:sz w:val="24"/>
          <w:szCs w:val="24"/>
        </w:rPr>
        <w:t xml:space="preserve"> </w:t>
      </w:r>
      <w:r w:rsidR="00B236B4">
        <w:rPr>
          <w:sz w:val="24"/>
          <w:szCs w:val="24"/>
        </w:rPr>
        <w:t xml:space="preserve">levels of </w:t>
      </w:r>
      <w:r w:rsidR="00795A19">
        <w:rPr>
          <w:sz w:val="24"/>
          <w:szCs w:val="24"/>
        </w:rPr>
        <w:t xml:space="preserve">uncertainty were not available </w:t>
      </w:r>
      <w:r w:rsidR="00B236B4">
        <w:rPr>
          <w:sz w:val="24"/>
          <w:szCs w:val="24"/>
        </w:rPr>
        <w:t xml:space="preserve">in this case </w:t>
      </w:r>
      <w:r w:rsidR="00795A19">
        <w:rPr>
          <w:sz w:val="24"/>
          <w:szCs w:val="24"/>
        </w:rPr>
        <w:t>as the</w:t>
      </w:r>
      <w:r w:rsidR="00257741">
        <w:rPr>
          <w:sz w:val="24"/>
          <w:szCs w:val="24"/>
        </w:rPr>
        <w:t xml:space="preserve"> </w:t>
      </w:r>
      <w:r w:rsidR="00DF27A4">
        <w:rPr>
          <w:sz w:val="24"/>
          <w:szCs w:val="24"/>
        </w:rPr>
        <w:t>c</w:t>
      </w:r>
      <w:r w:rsidR="000B4556">
        <w:rPr>
          <w:sz w:val="24"/>
          <w:szCs w:val="24"/>
        </w:rPr>
        <w:t>ommittee</w:t>
      </w:r>
      <w:r w:rsidR="00257741">
        <w:rPr>
          <w:sz w:val="24"/>
          <w:szCs w:val="24"/>
        </w:rPr>
        <w:t xml:space="preserve"> was not provided with evidence</w:t>
      </w:r>
      <w:r w:rsidR="002D65AC">
        <w:rPr>
          <w:sz w:val="24"/>
          <w:szCs w:val="24"/>
        </w:rPr>
        <w:t xml:space="preserve"> that would enable them to do so</w:t>
      </w:r>
      <w:r w:rsidR="00257741">
        <w:rPr>
          <w:sz w:val="24"/>
          <w:szCs w:val="24"/>
        </w:rPr>
        <w:t>.</w:t>
      </w:r>
      <w:r w:rsidR="00F74D62">
        <w:rPr>
          <w:sz w:val="24"/>
          <w:szCs w:val="24"/>
        </w:rPr>
        <w:t xml:space="preserve">  </w:t>
      </w:r>
      <w:r w:rsidR="00C6353C">
        <w:rPr>
          <w:sz w:val="24"/>
          <w:szCs w:val="24"/>
        </w:rPr>
        <w:t xml:space="preserve">The </w:t>
      </w:r>
      <w:r w:rsidR="00DF27A4">
        <w:rPr>
          <w:sz w:val="24"/>
          <w:szCs w:val="24"/>
        </w:rPr>
        <w:t>c</w:t>
      </w:r>
      <w:r w:rsidR="000B4556">
        <w:rPr>
          <w:sz w:val="24"/>
          <w:szCs w:val="24"/>
        </w:rPr>
        <w:t>ommittee</w:t>
      </w:r>
      <w:r w:rsidR="00C6353C">
        <w:rPr>
          <w:sz w:val="24"/>
          <w:szCs w:val="24"/>
        </w:rPr>
        <w:t xml:space="preserve"> discuss</w:t>
      </w:r>
      <w:r w:rsidR="002D65AC">
        <w:rPr>
          <w:sz w:val="24"/>
          <w:szCs w:val="24"/>
        </w:rPr>
        <w:t>ed</w:t>
      </w:r>
      <w:r w:rsidR="00C6353C">
        <w:rPr>
          <w:sz w:val="24"/>
          <w:szCs w:val="24"/>
        </w:rPr>
        <w:t xml:space="preserve"> all three areas of uncertainty in part 2 of the </w:t>
      </w:r>
      <w:r w:rsidR="00DF27A4">
        <w:rPr>
          <w:sz w:val="24"/>
          <w:szCs w:val="24"/>
        </w:rPr>
        <w:t>c</w:t>
      </w:r>
      <w:r w:rsidR="000B4556">
        <w:rPr>
          <w:sz w:val="24"/>
          <w:szCs w:val="24"/>
        </w:rPr>
        <w:t>ommittee</w:t>
      </w:r>
      <w:r w:rsidR="00C6353C">
        <w:rPr>
          <w:sz w:val="24"/>
          <w:szCs w:val="24"/>
        </w:rPr>
        <w:t xml:space="preserve"> meeting </w:t>
      </w:r>
      <w:r w:rsidR="002804B7">
        <w:rPr>
          <w:sz w:val="24"/>
          <w:szCs w:val="24"/>
        </w:rPr>
        <w:t xml:space="preserve">and </w:t>
      </w:r>
      <w:r w:rsidR="002D65AC">
        <w:rPr>
          <w:sz w:val="24"/>
          <w:szCs w:val="24"/>
        </w:rPr>
        <w:t xml:space="preserve">ultimately agreed </w:t>
      </w:r>
      <w:r w:rsidR="001B3523">
        <w:rPr>
          <w:sz w:val="24"/>
          <w:szCs w:val="24"/>
        </w:rPr>
        <w:t xml:space="preserve">to </w:t>
      </w:r>
      <w:r w:rsidR="002804B7">
        <w:rPr>
          <w:sz w:val="24"/>
          <w:szCs w:val="24"/>
        </w:rPr>
        <w:t xml:space="preserve">allow it to influence the </w:t>
      </w:r>
      <w:r w:rsidR="002C4A51">
        <w:rPr>
          <w:sz w:val="24"/>
          <w:szCs w:val="24"/>
        </w:rPr>
        <w:t>threshold but</w:t>
      </w:r>
      <w:r w:rsidR="002804B7">
        <w:rPr>
          <w:sz w:val="24"/>
          <w:szCs w:val="24"/>
        </w:rPr>
        <w:t xml:space="preserve"> could not go </w:t>
      </w:r>
      <w:r w:rsidR="00573191">
        <w:rPr>
          <w:sz w:val="24"/>
          <w:szCs w:val="24"/>
        </w:rPr>
        <w:t>further</w:t>
      </w:r>
      <w:r w:rsidR="002804B7">
        <w:rPr>
          <w:sz w:val="24"/>
          <w:szCs w:val="24"/>
        </w:rPr>
        <w:t xml:space="preserve"> when uncertainties h</w:t>
      </w:r>
      <w:r w:rsidR="001B496C">
        <w:rPr>
          <w:sz w:val="24"/>
          <w:szCs w:val="24"/>
        </w:rPr>
        <w:t>ad</w:t>
      </w:r>
      <w:r w:rsidR="002804B7">
        <w:rPr>
          <w:sz w:val="24"/>
          <w:szCs w:val="24"/>
        </w:rPr>
        <w:t xml:space="preserve"> </w:t>
      </w:r>
      <w:r w:rsidR="004A1728">
        <w:rPr>
          <w:sz w:val="24"/>
          <w:szCs w:val="24"/>
        </w:rPr>
        <w:t>not</w:t>
      </w:r>
      <w:r w:rsidR="002804B7">
        <w:rPr>
          <w:sz w:val="24"/>
          <w:szCs w:val="24"/>
        </w:rPr>
        <w:t xml:space="preserve"> been quantified.</w:t>
      </w:r>
    </w:p>
    <w:p w14:paraId="37D70AE4" w14:textId="66082297" w:rsidR="009E1E1E" w:rsidRDefault="00573191" w:rsidP="0031610C">
      <w:pPr>
        <w:pStyle w:val="Paragraph"/>
        <w:rPr>
          <w:sz w:val="24"/>
          <w:szCs w:val="24"/>
        </w:rPr>
      </w:pPr>
      <w:r w:rsidRPr="00573191">
        <w:rPr>
          <w:sz w:val="24"/>
          <w:szCs w:val="24"/>
        </w:rPr>
        <w:t>Jacoline Bouvy</w:t>
      </w:r>
      <w:r w:rsidR="004A1728">
        <w:rPr>
          <w:sz w:val="24"/>
          <w:szCs w:val="24"/>
        </w:rPr>
        <w:t xml:space="preserve">, for NICE, </w:t>
      </w:r>
      <w:r w:rsidR="00117899">
        <w:rPr>
          <w:sz w:val="24"/>
          <w:szCs w:val="24"/>
        </w:rPr>
        <w:t xml:space="preserve">explained that when taking uncertainty into account, </w:t>
      </w:r>
      <w:r w:rsidR="00B236B4">
        <w:rPr>
          <w:sz w:val="24"/>
          <w:szCs w:val="24"/>
        </w:rPr>
        <w:t>even where it is not possible formally to quantify the impact of uncertainty, c</w:t>
      </w:r>
      <w:r w:rsidR="000B4556">
        <w:rPr>
          <w:sz w:val="24"/>
          <w:szCs w:val="24"/>
        </w:rPr>
        <w:t>ommittee</w:t>
      </w:r>
      <w:r w:rsidR="00E24134">
        <w:rPr>
          <w:sz w:val="24"/>
          <w:szCs w:val="24"/>
        </w:rPr>
        <w:t>s</w:t>
      </w:r>
      <w:r w:rsidR="00117899">
        <w:rPr>
          <w:sz w:val="24"/>
          <w:szCs w:val="24"/>
        </w:rPr>
        <w:t xml:space="preserve"> </w:t>
      </w:r>
      <w:proofErr w:type="gramStart"/>
      <w:r w:rsidR="00117899">
        <w:rPr>
          <w:sz w:val="24"/>
          <w:szCs w:val="24"/>
        </w:rPr>
        <w:t>have to</w:t>
      </w:r>
      <w:proofErr w:type="gramEnd"/>
      <w:r w:rsidR="00117899">
        <w:rPr>
          <w:sz w:val="24"/>
          <w:szCs w:val="24"/>
        </w:rPr>
        <w:t xml:space="preserve"> </w:t>
      </w:r>
      <w:r w:rsidR="00B236B4">
        <w:rPr>
          <w:sz w:val="24"/>
          <w:szCs w:val="24"/>
        </w:rPr>
        <w:t>consider</w:t>
      </w:r>
      <w:r w:rsidR="00E24134">
        <w:rPr>
          <w:sz w:val="24"/>
          <w:szCs w:val="24"/>
        </w:rPr>
        <w:t xml:space="preserve"> the likelihood that the </w:t>
      </w:r>
      <w:r w:rsidR="00744535">
        <w:rPr>
          <w:sz w:val="24"/>
          <w:szCs w:val="24"/>
        </w:rPr>
        <w:t>ICER</w:t>
      </w:r>
      <w:r w:rsidR="00B236B4">
        <w:rPr>
          <w:sz w:val="24"/>
          <w:szCs w:val="24"/>
        </w:rPr>
        <w:t xml:space="preserve"> generated </w:t>
      </w:r>
      <w:r w:rsidR="00744535">
        <w:rPr>
          <w:sz w:val="24"/>
          <w:szCs w:val="24"/>
        </w:rPr>
        <w:t xml:space="preserve">using the preferred assumptions is a true reflection of the incremental cost effectiveness.  </w:t>
      </w:r>
      <w:r w:rsidR="004B316F">
        <w:rPr>
          <w:sz w:val="24"/>
          <w:szCs w:val="24"/>
        </w:rPr>
        <w:t xml:space="preserve">Where there is substantial </w:t>
      </w:r>
      <w:proofErr w:type="gramStart"/>
      <w:r w:rsidR="004B316F">
        <w:rPr>
          <w:sz w:val="24"/>
          <w:szCs w:val="24"/>
        </w:rPr>
        <w:t>uncertainty</w:t>
      </w:r>
      <w:proofErr w:type="gramEnd"/>
      <w:r w:rsidR="004B316F">
        <w:rPr>
          <w:sz w:val="24"/>
          <w:szCs w:val="24"/>
        </w:rPr>
        <w:t xml:space="preserve"> </w:t>
      </w:r>
      <w:r w:rsidR="00B236B4">
        <w:rPr>
          <w:sz w:val="24"/>
          <w:szCs w:val="24"/>
        </w:rPr>
        <w:t xml:space="preserve">the </w:t>
      </w:r>
      <w:r w:rsidR="00641E21">
        <w:rPr>
          <w:sz w:val="24"/>
          <w:szCs w:val="24"/>
        </w:rPr>
        <w:t>c</w:t>
      </w:r>
      <w:r w:rsidR="00B236B4">
        <w:rPr>
          <w:sz w:val="24"/>
          <w:szCs w:val="24"/>
        </w:rPr>
        <w:t>ommittee</w:t>
      </w:r>
      <w:r w:rsidR="004B316F">
        <w:rPr>
          <w:sz w:val="24"/>
          <w:szCs w:val="24"/>
        </w:rPr>
        <w:t xml:space="preserve"> consider</w:t>
      </w:r>
      <w:r w:rsidR="00B236B4">
        <w:rPr>
          <w:sz w:val="24"/>
          <w:szCs w:val="24"/>
        </w:rPr>
        <w:t>s</w:t>
      </w:r>
      <w:r w:rsidR="004B316F">
        <w:rPr>
          <w:sz w:val="24"/>
          <w:szCs w:val="24"/>
        </w:rPr>
        <w:t xml:space="preserve"> </w:t>
      </w:r>
      <w:r w:rsidR="00B236B4">
        <w:rPr>
          <w:sz w:val="24"/>
          <w:szCs w:val="24"/>
        </w:rPr>
        <w:t>the</w:t>
      </w:r>
      <w:r w:rsidR="004B316F">
        <w:rPr>
          <w:sz w:val="24"/>
          <w:szCs w:val="24"/>
        </w:rPr>
        <w:t xml:space="preserve"> extent </w:t>
      </w:r>
      <w:r w:rsidR="00B236B4">
        <w:rPr>
          <w:sz w:val="24"/>
          <w:szCs w:val="24"/>
        </w:rPr>
        <w:t xml:space="preserve">to which </w:t>
      </w:r>
      <w:r w:rsidR="004B316F">
        <w:rPr>
          <w:sz w:val="24"/>
          <w:szCs w:val="24"/>
        </w:rPr>
        <w:t xml:space="preserve">the ICER is an underestimate or overestimate.  </w:t>
      </w:r>
      <w:r w:rsidR="00B236B4">
        <w:rPr>
          <w:sz w:val="24"/>
          <w:szCs w:val="24"/>
        </w:rPr>
        <w:t>In this case t</w:t>
      </w:r>
      <w:r w:rsidR="000905B5">
        <w:rPr>
          <w:sz w:val="24"/>
          <w:szCs w:val="24"/>
        </w:rPr>
        <w:t xml:space="preserve">he </w:t>
      </w:r>
      <w:r w:rsidR="00641E21">
        <w:rPr>
          <w:sz w:val="24"/>
          <w:szCs w:val="24"/>
        </w:rPr>
        <w:t>c</w:t>
      </w:r>
      <w:r w:rsidR="000B4556">
        <w:rPr>
          <w:sz w:val="24"/>
          <w:szCs w:val="24"/>
        </w:rPr>
        <w:t>ommittee</w:t>
      </w:r>
      <w:r w:rsidR="000905B5">
        <w:rPr>
          <w:sz w:val="24"/>
          <w:szCs w:val="24"/>
        </w:rPr>
        <w:t xml:space="preserve"> were presented with </w:t>
      </w:r>
      <w:proofErr w:type="gramStart"/>
      <w:r w:rsidR="000905B5">
        <w:rPr>
          <w:sz w:val="24"/>
          <w:szCs w:val="24"/>
        </w:rPr>
        <w:t>a number of</w:t>
      </w:r>
      <w:proofErr w:type="gramEnd"/>
      <w:r w:rsidR="000905B5">
        <w:rPr>
          <w:sz w:val="24"/>
          <w:szCs w:val="24"/>
        </w:rPr>
        <w:t xml:space="preserve"> overall sur</w:t>
      </w:r>
      <w:r w:rsidR="00136A82">
        <w:rPr>
          <w:sz w:val="24"/>
          <w:szCs w:val="24"/>
        </w:rPr>
        <w:t xml:space="preserve">vival </w:t>
      </w:r>
      <w:proofErr w:type="gramStart"/>
      <w:r w:rsidR="00136A82">
        <w:rPr>
          <w:sz w:val="24"/>
          <w:szCs w:val="24"/>
        </w:rPr>
        <w:t>extrapolations</w:t>
      </w:r>
      <w:proofErr w:type="gramEnd"/>
      <w:r w:rsidR="00136A82">
        <w:rPr>
          <w:sz w:val="24"/>
          <w:szCs w:val="24"/>
        </w:rPr>
        <w:t xml:space="preserve"> but they </w:t>
      </w:r>
      <w:r w:rsidR="004434ED">
        <w:rPr>
          <w:sz w:val="24"/>
          <w:szCs w:val="24"/>
        </w:rPr>
        <w:t xml:space="preserve">were all highly </w:t>
      </w:r>
      <w:r w:rsidR="00136A82">
        <w:rPr>
          <w:sz w:val="24"/>
          <w:szCs w:val="24"/>
        </w:rPr>
        <w:t>uncertain because of the leng</w:t>
      </w:r>
      <w:r w:rsidR="009E45D3">
        <w:rPr>
          <w:sz w:val="24"/>
          <w:szCs w:val="24"/>
        </w:rPr>
        <w:t xml:space="preserve">th of the data collection and </w:t>
      </w:r>
      <w:r w:rsidR="00B236B4">
        <w:rPr>
          <w:sz w:val="24"/>
          <w:szCs w:val="24"/>
        </w:rPr>
        <w:t xml:space="preserve">because </w:t>
      </w:r>
      <w:r w:rsidR="009E45D3">
        <w:rPr>
          <w:sz w:val="24"/>
          <w:szCs w:val="24"/>
        </w:rPr>
        <w:t>the assumed overall survival benefit</w:t>
      </w:r>
      <w:r w:rsidR="00B236B4">
        <w:rPr>
          <w:sz w:val="24"/>
          <w:szCs w:val="24"/>
        </w:rPr>
        <w:t xml:space="preserve"> was itself highly uncertain</w:t>
      </w:r>
      <w:r w:rsidR="009E45D3">
        <w:rPr>
          <w:sz w:val="24"/>
          <w:szCs w:val="24"/>
        </w:rPr>
        <w:t>.</w:t>
      </w:r>
      <w:r w:rsidR="00FA6B18">
        <w:rPr>
          <w:sz w:val="24"/>
          <w:szCs w:val="24"/>
        </w:rPr>
        <w:t xml:space="preserve">  The direction of this uncertainty </w:t>
      </w:r>
      <w:r w:rsidR="00B236B4">
        <w:rPr>
          <w:sz w:val="24"/>
          <w:szCs w:val="24"/>
        </w:rPr>
        <w:t xml:space="preserve">meant </w:t>
      </w:r>
      <w:r w:rsidR="002F6BB7">
        <w:rPr>
          <w:sz w:val="24"/>
          <w:szCs w:val="24"/>
        </w:rPr>
        <w:t xml:space="preserve">that the </w:t>
      </w:r>
      <w:r w:rsidR="00B236B4">
        <w:rPr>
          <w:sz w:val="24"/>
          <w:szCs w:val="24"/>
        </w:rPr>
        <w:t xml:space="preserve">actual </w:t>
      </w:r>
      <w:r w:rsidR="002F6BB7">
        <w:rPr>
          <w:sz w:val="24"/>
          <w:szCs w:val="24"/>
        </w:rPr>
        <w:t>ICERs could be much higher</w:t>
      </w:r>
      <w:r w:rsidR="00B236B4">
        <w:rPr>
          <w:sz w:val="24"/>
          <w:szCs w:val="24"/>
        </w:rPr>
        <w:t xml:space="preserve"> than that produced using the preferred assumptions.  This</w:t>
      </w:r>
      <w:r w:rsidR="007A76AF">
        <w:rPr>
          <w:sz w:val="24"/>
          <w:szCs w:val="24"/>
        </w:rPr>
        <w:t xml:space="preserve"> </w:t>
      </w:r>
      <w:r w:rsidR="00B236B4">
        <w:rPr>
          <w:sz w:val="24"/>
          <w:szCs w:val="24"/>
        </w:rPr>
        <w:t xml:space="preserve">tends to </w:t>
      </w:r>
      <w:r w:rsidR="007A76AF">
        <w:rPr>
          <w:sz w:val="24"/>
          <w:szCs w:val="24"/>
        </w:rPr>
        <w:t>mean</w:t>
      </w:r>
      <w:r w:rsidR="00B236B4">
        <w:rPr>
          <w:sz w:val="24"/>
          <w:szCs w:val="24"/>
        </w:rPr>
        <w:t xml:space="preserve"> a c</w:t>
      </w:r>
      <w:r w:rsidR="000B4556">
        <w:rPr>
          <w:sz w:val="24"/>
          <w:szCs w:val="24"/>
        </w:rPr>
        <w:t>ommittee</w:t>
      </w:r>
      <w:r w:rsidR="007A76AF">
        <w:rPr>
          <w:sz w:val="24"/>
          <w:szCs w:val="24"/>
        </w:rPr>
        <w:t xml:space="preserve"> </w:t>
      </w:r>
      <w:r w:rsidR="00B236B4">
        <w:rPr>
          <w:sz w:val="24"/>
          <w:szCs w:val="24"/>
        </w:rPr>
        <w:t xml:space="preserve">would be </w:t>
      </w:r>
      <w:r w:rsidR="007A76AF">
        <w:rPr>
          <w:sz w:val="24"/>
          <w:szCs w:val="24"/>
        </w:rPr>
        <w:t>more comfortable with a threshold towards the lower end of the range.</w:t>
      </w:r>
    </w:p>
    <w:p w14:paraId="4FC9A88A" w14:textId="305409C1" w:rsidR="005C0B74" w:rsidRDefault="001803F0" w:rsidP="0031610C">
      <w:pPr>
        <w:pStyle w:val="Paragraph"/>
        <w:rPr>
          <w:sz w:val="24"/>
          <w:szCs w:val="24"/>
        </w:rPr>
      </w:pPr>
      <w:r>
        <w:rPr>
          <w:sz w:val="24"/>
          <w:szCs w:val="24"/>
        </w:rPr>
        <w:t xml:space="preserve">Gavin Stewart </w:t>
      </w:r>
      <w:r w:rsidR="00B236B4">
        <w:rPr>
          <w:sz w:val="24"/>
          <w:szCs w:val="24"/>
        </w:rPr>
        <w:t xml:space="preserve">accepted that there was uncertainty present but doubted that it was an uncommon level of uncertainty in an evaluation considering an oncology trial.  He </w:t>
      </w:r>
      <w:r w:rsidR="00E72BA5">
        <w:rPr>
          <w:sz w:val="24"/>
          <w:szCs w:val="24"/>
        </w:rPr>
        <w:t xml:space="preserve">stated that the </w:t>
      </w:r>
      <w:r w:rsidR="006B3B8D">
        <w:rPr>
          <w:sz w:val="24"/>
          <w:szCs w:val="24"/>
        </w:rPr>
        <w:t>c</w:t>
      </w:r>
      <w:r w:rsidR="0051036D">
        <w:rPr>
          <w:sz w:val="24"/>
          <w:szCs w:val="24"/>
        </w:rPr>
        <w:t>ommittee had the tools to measure the uncertainty present and that should have led to a more transparent evaluation of it.</w:t>
      </w:r>
      <w:r w:rsidR="002C637B">
        <w:rPr>
          <w:sz w:val="24"/>
          <w:szCs w:val="24"/>
        </w:rPr>
        <w:t xml:space="preserve">  </w:t>
      </w:r>
    </w:p>
    <w:p w14:paraId="06539C90" w14:textId="05058B68" w:rsidR="007A76AF" w:rsidRDefault="004F3FE7" w:rsidP="0031610C">
      <w:pPr>
        <w:pStyle w:val="Paragraph"/>
        <w:rPr>
          <w:sz w:val="24"/>
          <w:szCs w:val="24"/>
        </w:rPr>
      </w:pPr>
      <w:r>
        <w:rPr>
          <w:sz w:val="24"/>
          <w:szCs w:val="24"/>
        </w:rPr>
        <w:t xml:space="preserve">Adela Williams, for </w:t>
      </w:r>
      <w:r w:rsidR="006B3B8D">
        <w:rPr>
          <w:sz w:val="24"/>
          <w:szCs w:val="24"/>
        </w:rPr>
        <w:t>AstraZeneca</w:t>
      </w:r>
      <w:r>
        <w:rPr>
          <w:sz w:val="24"/>
          <w:szCs w:val="24"/>
        </w:rPr>
        <w:t>, s</w:t>
      </w:r>
      <w:r w:rsidR="009B4DEB">
        <w:rPr>
          <w:sz w:val="24"/>
          <w:szCs w:val="24"/>
        </w:rPr>
        <w:t xml:space="preserve">aid </w:t>
      </w:r>
      <w:r>
        <w:rPr>
          <w:sz w:val="24"/>
          <w:szCs w:val="24"/>
        </w:rPr>
        <w:t>the</w:t>
      </w:r>
      <w:r w:rsidR="0061705B" w:rsidRPr="0061705B">
        <w:t xml:space="preserve"> </w:t>
      </w:r>
      <w:r w:rsidR="0061705B" w:rsidRPr="0061705B">
        <w:rPr>
          <w:sz w:val="24"/>
          <w:szCs w:val="24"/>
        </w:rPr>
        <w:t>Health Technology Evaluations Manual</w:t>
      </w:r>
      <w:r>
        <w:rPr>
          <w:sz w:val="24"/>
          <w:szCs w:val="24"/>
        </w:rPr>
        <w:t xml:space="preserve"> </w:t>
      </w:r>
      <w:r w:rsidR="0061705B">
        <w:rPr>
          <w:sz w:val="24"/>
          <w:szCs w:val="24"/>
        </w:rPr>
        <w:t xml:space="preserve">(“the </w:t>
      </w:r>
      <w:r>
        <w:rPr>
          <w:sz w:val="24"/>
          <w:szCs w:val="24"/>
        </w:rPr>
        <w:t>Manual</w:t>
      </w:r>
      <w:r w:rsidR="0061705B">
        <w:rPr>
          <w:sz w:val="24"/>
          <w:szCs w:val="24"/>
        </w:rPr>
        <w:t>”)</w:t>
      </w:r>
      <w:r>
        <w:rPr>
          <w:sz w:val="24"/>
          <w:szCs w:val="24"/>
        </w:rPr>
        <w:t xml:space="preserve"> does not provide for setting an ICER threshold </w:t>
      </w:r>
      <w:r w:rsidR="00C97ACB">
        <w:rPr>
          <w:sz w:val="24"/>
          <w:szCs w:val="24"/>
        </w:rPr>
        <w:t xml:space="preserve">only the factors that may be </w:t>
      </w:r>
      <w:proofErr w:type="gramStart"/>
      <w:r w:rsidR="00C97ACB">
        <w:rPr>
          <w:sz w:val="24"/>
          <w:szCs w:val="24"/>
        </w:rPr>
        <w:t>taken into account</w:t>
      </w:r>
      <w:proofErr w:type="gramEnd"/>
      <w:r w:rsidR="00C97ACB">
        <w:rPr>
          <w:sz w:val="24"/>
          <w:szCs w:val="24"/>
        </w:rPr>
        <w:t xml:space="preserve"> when deciding an appropriate ICER </w:t>
      </w:r>
      <w:r w:rsidR="00B46253">
        <w:rPr>
          <w:sz w:val="24"/>
          <w:szCs w:val="24"/>
        </w:rPr>
        <w:t xml:space="preserve">for a particular product.  This is set out at </w:t>
      </w:r>
      <w:r w:rsidR="00B46253">
        <w:rPr>
          <w:sz w:val="24"/>
          <w:szCs w:val="24"/>
        </w:rPr>
        <w:lastRenderedPageBreak/>
        <w:t>paragraph 6.3.5 of the Manual</w:t>
      </w:r>
      <w:r w:rsidR="00AC0A2C">
        <w:rPr>
          <w:sz w:val="24"/>
          <w:szCs w:val="24"/>
        </w:rPr>
        <w:t xml:space="preserve"> with</w:t>
      </w:r>
      <w:r w:rsidR="00A64217">
        <w:rPr>
          <w:sz w:val="24"/>
          <w:szCs w:val="24"/>
        </w:rPr>
        <w:t xml:space="preserve"> uncertainty being only one factor.  She said it was misleading to suggest the </w:t>
      </w:r>
      <w:r w:rsidR="00A81A22">
        <w:rPr>
          <w:sz w:val="24"/>
          <w:szCs w:val="24"/>
        </w:rPr>
        <w:t>c</w:t>
      </w:r>
      <w:r w:rsidR="000B4556">
        <w:rPr>
          <w:sz w:val="24"/>
          <w:szCs w:val="24"/>
        </w:rPr>
        <w:t>ommittee</w:t>
      </w:r>
      <w:r w:rsidR="00A64217">
        <w:rPr>
          <w:sz w:val="24"/>
          <w:szCs w:val="24"/>
        </w:rPr>
        <w:t xml:space="preserve"> is supposed to start with a threshold of £20,000 which </w:t>
      </w:r>
      <w:r w:rsidR="0051036D">
        <w:rPr>
          <w:sz w:val="24"/>
          <w:szCs w:val="24"/>
        </w:rPr>
        <w:t xml:space="preserve">can </w:t>
      </w:r>
      <w:r w:rsidR="00A64217">
        <w:rPr>
          <w:sz w:val="24"/>
          <w:szCs w:val="24"/>
        </w:rPr>
        <w:t>then</w:t>
      </w:r>
      <w:r w:rsidR="0051036D">
        <w:rPr>
          <w:sz w:val="24"/>
          <w:szCs w:val="24"/>
        </w:rPr>
        <w:t xml:space="preserve"> be</w:t>
      </w:r>
      <w:r w:rsidR="00A64217">
        <w:rPr>
          <w:sz w:val="24"/>
          <w:szCs w:val="24"/>
        </w:rPr>
        <w:t xml:space="preserve"> increased</w:t>
      </w:r>
      <w:r w:rsidR="000C0070">
        <w:rPr>
          <w:sz w:val="24"/>
          <w:szCs w:val="24"/>
        </w:rPr>
        <w:t>.</w:t>
      </w:r>
    </w:p>
    <w:p w14:paraId="50A9FF67" w14:textId="55806F50" w:rsidR="007A51C1" w:rsidRDefault="007A51C1" w:rsidP="0031610C">
      <w:pPr>
        <w:pStyle w:val="Paragraph"/>
        <w:rPr>
          <w:sz w:val="24"/>
          <w:szCs w:val="24"/>
        </w:rPr>
      </w:pPr>
      <w:r>
        <w:rPr>
          <w:sz w:val="24"/>
          <w:szCs w:val="24"/>
        </w:rPr>
        <w:t xml:space="preserve">James Fotheringham said the </w:t>
      </w:r>
      <w:r w:rsidR="00A81A22">
        <w:rPr>
          <w:sz w:val="24"/>
          <w:szCs w:val="24"/>
        </w:rPr>
        <w:t>c</w:t>
      </w:r>
      <w:r w:rsidR="000B4556">
        <w:rPr>
          <w:sz w:val="24"/>
          <w:szCs w:val="24"/>
        </w:rPr>
        <w:t>ommittee</w:t>
      </w:r>
      <w:r>
        <w:rPr>
          <w:sz w:val="24"/>
          <w:szCs w:val="24"/>
        </w:rPr>
        <w:t xml:space="preserve"> never go below £20,000 or above £30,000</w:t>
      </w:r>
      <w:r w:rsidR="0051036D">
        <w:rPr>
          <w:sz w:val="24"/>
          <w:szCs w:val="24"/>
        </w:rPr>
        <w:t>, and that they follow the factors set out in the Manual to determine the appropriate ICER within that range</w:t>
      </w:r>
      <w:r>
        <w:rPr>
          <w:sz w:val="24"/>
          <w:szCs w:val="24"/>
        </w:rPr>
        <w:t xml:space="preserve">.  </w:t>
      </w:r>
      <w:r w:rsidR="0081540D">
        <w:rPr>
          <w:sz w:val="24"/>
          <w:szCs w:val="24"/>
        </w:rPr>
        <w:t xml:space="preserve">The key point in the </w:t>
      </w:r>
      <w:r w:rsidR="00A81A22">
        <w:rPr>
          <w:sz w:val="24"/>
          <w:szCs w:val="24"/>
        </w:rPr>
        <w:t>c</w:t>
      </w:r>
      <w:r w:rsidR="000B4556">
        <w:rPr>
          <w:sz w:val="24"/>
          <w:szCs w:val="24"/>
        </w:rPr>
        <w:t>ommittee</w:t>
      </w:r>
      <w:r w:rsidR="0081540D">
        <w:rPr>
          <w:sz w:val="24"/>
          <w:szCs w:val="24"/>
        </w:rPr>
        <w:t xml:space="preserve">'s mind was the core disconnect between </w:t>
      </w:r>
      <w:r w:rsidR="00EC60E9">
        <w:rPr>
          <w:sz w:val="24"/>
          <w:szCs w:val="24"/>
        </w:rPr>
        <w:t>what</w:t>
      </w:r>
      <w:r w:rsidR="007F27FE">
        <w:rPr>
          <w:sz w:val="24"/>
          <w:szCs w:val="24"/>
        </w:rPr>
        <w:t xml:space="preserve"> was in the economic modelling and the trial and how </w:t>
      </w:r>
      <w:r w:rsidR="003D67F3">
        <w:rPr>
          <w:sz w:val="24"/>
          <w:szCs w:val="24"/>
        </w:rPr>
        <w:t>this</w:t>
      </w:r>
      <w:r w:rsidR="007F27FE">
        <w:rPr>
          <w:sz w:val="24"/>
          <w:szCs w:val="24"/>
        </w:rPr>
        <w:t xml:space="preserve"> generated the evidence that informed the mode</w:t>
      </w:r>
      <w:r w:rsidR="00623EBD">
        <w:rPr>
          <w:sz w:val="24"/>
          <w:szCs w:val="24"/>
        </w:rPr>
        <w:t>l.</w:t>
      </w:r>
      <w:r w:rsidR="007F27FE">
        <w:rPr>
          <w:sz w:val="24"/>
          <w:szCs w:val="24"/>
        </w:rPr>
        <w:t xml:space="preserve">   </w:t>
      </w:r>
    </w:p>
    <w:p w14:paraId="24B7EA03" w14:textId="77777777" w:rsidR="007F27FE" w:rsidRPr="00760438" w:rsidRDefault="00F1578A" w:rsidP="0031610C">
      <w:pPr>
        <w:pStyle w:val="Paragraph"/>
        <w:rPr>
          <w:sz w:val="24"/>
          <w:szCs w:val="24"/>
        </w:rPr>
      </w:pPr>
      <w:r>
        <w:rPr>
          <w:sz w:val="24"/>
          <w:szCs w:val="24"/>
        </w:rPr>
        <w:t xml:space="preserve">Gavin Stewart clarified that </w:t>
      </w:r>
      <w:r w:rsidR="00FB5DD6">
        <w:rPr>
          <w:sz w:val="24"/>
          <w:szCs w:val="24"/>
        </w:rPr>
        <w:t xml:space="preserve">the proportion of patients rechallenged on immunotherapy in the </w:t>
      </w:r>
      <w:proofErr w:type="spellStart"/>
      <w:r w:rsidR="00FB5DD6">
        <w:rPr>
          <w:sz w:val="24"/>
          <w:szCs w:val="24"/>
        </w:rPr>
        <w:t>pMMR</w:t>
      </w:r>
      <w:proofErr w:type="spellEnd"/>
      <w:r w:rsidR="00FB5DD6">
        <w:rPr>
          <w:sz w:val="24"/>
          <w:szCs w:val="24"/>
        </w:rPr>
        <w:t xml:space="preserve"> durvalumab subgroup was 12.6%.  He </w:t>
      </w:r>
      <w:r w:rsidR="00FB5DD6" w:rsidRPr="00760438">
        <w:rPr>
          <w:sz w:val="24"/>
          <w:szCs w:val="24"/>
        </w:rPr>
        <w:t xml:space="preserve">said this had no meaningful impact on the </w:t>
      </w:r>
      <w:r w:rsidR="008F47EE" w:rsidRPr="00760438">
        <w:rPr>
          <w:sz w:val="24"/>
          <w:szCs w:val="24"/>
        </w:rPr>
        <w:t>magnitude</w:t>
      </w:r>
      <w:r w:rsidR="00FB5DD6" w:rsidRPr="00760438">
        <w:rPr>
          <w:sz w:val="24"/>
          <w:szCs w:val="24"/>
        </w:rPr>
        <w:t xml:space="preserve"> of the </w:t>
      </w:r>
      <w:r w:rsidR="008F47EE" w:rsidRPr="00760438">
        <w:rPr>
          <w:sz w:val="24"/>
          <w:szCs w:val="24"/>
        </w:rPr>
        <w:t>ICER.</w:t>
      </w:r>
    </w:p>
    <w:p w14:paraId="3E993587" w14:textId="27BB7868" w:rsidR="00F77757" w:rsidRPr="00760438" w:rsidRDefault="00D834BD" w:rsidP="000104F6">
      <w:pPr>
        <w:pStyle w:val="Paragraph"/>
        <w:rPr>
          <w:sz w:val="24"/>
          <w:szCs w:val="24"/>
        </w:rPr>
      </w:pPr>
      <w:r w:rsidRPr="00760438">
        <w:rPr>
          <w:sz w:val="24"/>
          <w:szCs w:val="24"/>
        </w:rPr>
        <w:t xml:space="preserve">The </w:t>
      </w:r>
      <w:r w:rsidR="00A81A22">
        <w:rPr>
          <w:sz w:val="24"/>
          <w:szCs w:val="24"/>
        </w:rPr>
        <w:t>a</w:t>
      </w:r>
      <w:r w:rsidR="00BE04E4">
        <w:rPr>
          <w:sz w:val="24"/>
          <w:szCs w:val="24"/>
        </w:rPr>
        <w:t>ppeal panel</w:t>
      </w:r>
      <w:r w:rsidRPr="00760438">
        <w:rPr>
          <w:sz w:val="24"/>
          <w:szCs w:val="24"/>
        </w:rPr>
        <w:t xml:space="preserve"> concluded as follows.  The </w:t>
      </w:r>
      <w:r w:rsidR="00A81A22">
        <w:rPr>
          <w:sz w:val="24"/>
          <w:szCs w:val="24"/>
        </w:rPr>
        <w:t>a</w:t>
      </w:r>
      <w:r w:rsidR="00BE04E4">
        <w:rPr>
          <w:sz w:val="24"/>
          <w:szCs w:val="24"/>
        </w:rPr>
        <w:t>ppeal panel</w:t>
      </w:r>
      <w:r w:rsidRPr="00760438">
        <w:rPr>
          <w:sz w:val="24"/>
          <w:szCs w:val="24"/>
        </w:rPr>
        <w:t xml:space="preserve"> </w:t>
      </w:r>
      <w:r w:rsidR="000104F6" w:rsidRPr="00760438">
        <w:rPr>
          <w:sz w:val="24"/>
          <w:szCs w:val="24"/>
        </w:rPr>
        <w:t xml:space="preserve">noted the approach to </w:t>
      </w:r>
      <w:r w:rsidR="005C0F9B" w:rsidRPr="00760438">
        <w:rPr>
          <w:sz w:val="24"/>
          <w:szCs w:val="24"/>
        </w:rPr>
        <w:t>setting</w:t>
      </w:r>
      <w:r w:rsidR="000104F6" w:rsidRPr="00760438">
        <w:rPr>
          <w:sz w:val="24"/>
          <w:szCs w:val="24"/>
        </w:rPr>
        <w:t xml:space="preserve"> an ICER threshold set out at paragraph 6.3.5 of the </w:t>
      </w:r>
      <w:r w:rsidR="00EC3F66" w:rsidRPr="00760438">
        <w:rPr>
          <w:sz w:val="24"/>
          <w:szCs w:val="24"/>
        </w:rPr>
        <w:t>Manual</w:t>
      </w:r>
      <w:r w:rsidR="000104F6" w:rsidRPr="00760438">
        <w:rPr>
          <w:sz w:val="24"/>
          <w:szCs w:val="24"/>
        </w:rPr>
        <w:t xml:space="preserve">, including the importance of uncertainty.  In this case, the </w:t>
      </w:r>
      <w:r w:rsidR="00A81A22">
        <w:rPr>
          <w:sz w:val="24"/>
          <w:szCs w:val="24"/>
        </w:rPr>
        <w:t>c</w:t>
      </w:r>
      <w:r w:rsidR="000104F6" w:rsidRPr="00760438">
        <w:rPr>
          <w:sz w:val="24"/>
          <w:szCs w:val="24"/>
        </w:rPr>
        <w:t>ommittee explained the</w:t>
      </w:r>
      <w:r w:rsidR="00F77757" w:rsidRPr="00760438">
        <w:rPr>
          <w:sz w:val="24"/>
          <w:szCs w:val="24"/>
        </w:rPr>
        <w:t>ir conclusions on</w:t>
      </w:r>
      <w:r w:rsidR="000104F6" w:rsidRPr="00760438">
        <w:rPr>
          <w:sz w:val="24"/>
          <w:szCs w:val="24"/>
        </w:rPr>
        <w:t xml:space="preserve"> three key areas of uncertainty clearly in the initial and final draft guidance.  From the discussion during the hearing, it was clear that the </w:t>
      </w:r>
      <w:r w:rsidR="003B2AA9">
        <w:rPr>
          <w:sz w:val="24"/>
          <w:szCs w:val="24"/>
        </w:rPr>
        <w:t>c</w:t>
      </w:r>
      <w:r w:rsidR="000104F6" w:rsidRPr="00760438">
        <w:rPr>
          <w:sz w:val="24"/>
          <w:szCs w:val="24"/>
        </w:rPr>
        <w:t xml:space="preserve">ommittee had also considered the degree of uncertainty associated with each of these factors (albeit they reached different conclusions from </w:t>
      </w:r>
      <w:r w:rsidR="003B2AA9">
        <w:rPr>
          <w:sz w:val="24"/>
          <w:szCs w:val="24"/>
        </w:rPr>
        <w:t>AstraZeneca</w:t>
      </w:r>
      <w:r w:rsidR="000104F6" w:rsidRPr="00760438">
        <w:rPr>
          <w:sz w:val="24"/>
          <w:szCs w:val="24"/>
        </w:rPr>
        <w:t xml:space="preserve"> on this point)</w:t>
      </w:r>
      <w:r w:rsidR="00F77757" w:rsidRPr="00760438">
        <w:rPr>
          <w:sz w:val="24"/>
          <w:szCs w:val="24"/>
        </w:rPr>
        <w:t xml:space="preserve"> and that this informed their conclusion about the ICER threshold</w:t>
      </w:r>
      <w:r w:rsidR="000104F6" w:rsidRPr="00760438">
        <w:rPr>
          <w:sz w:val="24"/>
          <w:szCs w:val="24"/>
        </w:rPr>
        <w:t xml:space="preserve">.  </w:t>
      </w:r>
      <w:r w:rsidR="003B2AA9">
        <w:rPr>
          <w:sz w:val="24"/>
          <w:szCs w:val="24"/>
        </w:rPr>
        <w:t>AstraZeneca</w:t>
      </w:r>
      <w:r w:rsidR="000104F6" w:rsidRPr="00760438">
        <w:rPr>
          <w:sz w:val="24"/>
          <w:szCs w:val="24"/>
        </w:rPr>
        <w:t xml:space="preserve"> had a chance to respond to these issues at consultation.  </w:t>
      </w:r>
      <w:r w:rsidR="00F77757" w:rsidRPr="00760438">
        <w:rPr>
          <w:sz w:val="24"/>
          <w:szCs w:val="24"/>
        </w:rPr>
        <w:t>The</w:t>
      </w:r>
      <w:r w:rsidR="003B2AA9">
        <w:rPr>
          <w:sz w:val="24"/>
          <w:szCs w:val="24"/>
        </w:rPr>
        <w:t xml:space="preserve"> appeal panel</w:t>
      </w:r>
      <w:r w:rsidR="00F77757" w:rsidRPr="00760438">
        <w:rPr>
          <w:sz w:val="24"/>
          <w:szCs w:val="24"/>
        </w:rPr>
        <w:t xml:space="preserve"> therefore concluded that the </w:t>
      </w:r>
      <w:r w:rsidR="003B2AA9">
        <w:rPr>
          <w:sz w:val="24"/>
          <w:szCs w:val="24"/>
        </w:rPr>
        <w:t>c</w:t>
      </w:r>
      <w:r w:rsidR="00F77757" w:rsidRPr="00760438">
        <w:rPr>
          <w:sz w:val="24"/>
          <w:szCs w:val="24"/>
        </w:rPr>
        <w:t>ommittee had followed the process set out in the manual.</w:t>
      </w:r>
    </w:p>
    <w:p w14:paraId="16A75DFA" w14:textId="34561204" w:rsidR="00D834BD" w:rsidRPr="00760438" w:rsidRDefault="00F77757" w:rsidP="000104F6">
      <w:pPr>
        <w:pStyle w:val="Paragraph"/>
        <w:rPr>
          <w:sz w:val="24"/>
          <w:szCs w:val="24"/>
        </w:rPr>
      </w:pPr>
      <w:r w:rsidRPr="00760438">
        <w:rPr>
          <w:sz w:val="24"/>
          <w:szCs w:val="24"/>
        </w:rPr>
        <w:t>The</w:t>
      </w:r>
      <w:r w:rsidR="003B2AA9">
        <w:rPr>
          <w:sz w:val="24"/>
          <w:szCs w:val="24"/>
        </w:rPr>
        <w:t xml:space="preserve"> appeal</w:t>
      </w:r>
      <w:r w:rsidRPr="00760438">
        <w:rPr>
          <w:sz w:val="24"/>
          <w:szCs w:val="24"/>
        </w:rPr>
        <w:t xml:space="preserve"> </w:t>
      </w:r>
      <w:r w:rsidR="003B2AA9">
        <w:rPr>
          <w:sz w:val="24"/>
          <w:szCs w:val="24"/>
        </w:rPr>
        <w:t>p</w:t>
      </w:r>
      <w:r w:rsidRPr="00760438">
        <w:rPr>
          <w:sz w:val="24"/>
          <w:szCs w:val="24"/>
        </w:rPr>
        <w:t xml:space="preserve">anel noted that decision making about the ICER threshold is deliberative, taking account of a range of complex factors, rather than using a quantitative method or </w:t>
      </w:r>
      <w:r w:rsidR="005C0F9B" w:rsidRPr="00760438">
        <w:rPr>
          <w:sz w:val="24"/>
          <w:szCs w:val="24"/>
        </w:rPr>
        <w:t>algorithm.</w:t>
      </w:r>
      <w:r w:rsidRPr="00760438">
        <w:rPr>
          <w:sz w:val="24"/>
          <w:szCs w:val="24"/>
        </w:rPr>
        <w:t xml:space="preserve">  </w:t>
      </w:r>
      <w:r w:rsidR="006E4FA8" w:rsidRPr="00760438">
        <w:rPr>
          <w:sz w:val="24"/>
          <w:szCs w:val="24"/>
        </w:rPr>
        <w:t xml:space="preserve">The </w:t>
      </w:r>
      <w:r w:rsidR="003B2AA9">
        <w:rPr>
          <w:sz w:val="24"/>
          <w:szCs w:val="24"/>
        </w:rPr>
        <w:t>a</w:t>
      </w:r>
      <w:r w:rsidR="00BE04E4">
        <w:rPr>
          <w:sz w:val="24"/>
          <w:szCs w:val="24"/>
        </w:rPr>
        <w:t>ppeal panel</w:t>
      </w:r>
      <w:r w:rsidR="00D834BD" w:rsidRPr="00760438">
        <w:rPr>
          <w:sz w:val="24"/>
          <w:szCs w:val="24"/>
        </w:rPr>
        <w:t xml:space="preserve"> </w:t>
      </w:r>
      <w:r w:rsidR="000104F6" w:rsidRPr="00760438">
        <w:rPr>
          <w:sz w:val="24"/>
          <w:szCs w:val="24"/>
        </w:rPr>
        <w:t xml:space="preserve">did not agree that paragraph 6.3.5 of the </w:t>
      </w:r>
      <w:r w:rsidR="003B2AA9">
        <w:rPr>
          <w:sz w:val="24"/>
          <w:szCs w:val="24"/>
        </w:rPr>
        <w:t>M</w:t>
      </w:r>
      <w:r w:rsidR="000104F6" w:rsidRPr="00760438">
        <w:rPr>
          <w:sz w:val="24"/>
          <w:szCs w:val="24"/>
        </w:rPr>
        <w:t xml:space="preserve">anual requires the </w:t>
      </w:r>
      <w:r w:rsidR="003B2AA9">
        <w:rPr>
          <w:sz w:val="24"/>
          <w:szCs w:val="24"/>
        </w:rPr>
        <w:t>c</w:t>
      </w:r>
      <w:r w:rsidR="000104F6" w:rsidRPr="00760438">
        <w:rPr>
          <w:sz w:val="24"/>
          <w:szCs w:val="24"/>
        </w:rPr>
        <w:t xml:space="preserve">ommittee to expressly record specific conclusions in the FDG about the degree of uncertainty </w:t>
      </w:r>
      <w:r w:rsidRPr="00760438">
        <w:rPr>
          <w:sz w:val="24"/>
          <w:szCs w:val="24"/>
        </w:rPr>
        <w:t xml:space="preserve">related to </w:t>
      </w:r>
      <w:proofErr w:type="gramStart"/>
      <w:r w:rsidRPr="00760438">
        <w:rPr>
          <w:sz w:val="24"/>
          <w:szCs w:val="24"/>
        </w:rPr>
        <w:t>particular factors</w:t>
      </w:r>
      <w:proofErr w:type="gramEnd"/>
      <w:r w:rsidRPr="00760438">
        <w:rPr>
          <w:sz w:val="24"/>
          <w:szCs w:val="24"/>
        </w:rPr>
        <w:t xml:space="preserve">. Overall, the </w:t>
      </w:r>
      <w:r w:rsidR="003E5308">
        <w:rPr>
          <w:sz w:val="24"/>
          <w:szCs w:val="24"/>
        </w:rPr>
        <w:t>appeal p</w:t>
      </w:r>
      <w:r w:rsidRPr="00760438">
        <w:rPr>
          <w:sz w:val="24"/>
          <w:szCs w:val="24"/>
        </w:rPr>
        <w:t xml:space="preserve">anel </w:t>
      </w:r>
      <w:r w:rsidRPr="00760438">
        <w:rPr>
          <w:sz w:val="24"/>
          <w:szCs w:val="24"/>
        </w:rPr>
        <w:lastRenderedPageBreak/>
        <w:t xml:space="preserve">concluded that the FDG provided a sufficiently clear explanation of the </w:t>
      </w:r>
      <w:r w:rsidR="003E5308">
        <w:rPr>
          <w:sz w:val="24"/>
          <w:szCs w:val="24"/>
        </w:rPr>
        <w:t>c</w:t>
      </w:r>
      <w:r w:rsidRPr="00760438">
        <w:rPr>
          <w:sz w:val="24"/>
          <w:szCs w:val="24"/>
        </w:rPr>
        <w:t xml:space="preserve">ommittee’s reasoning in reaching their preferred ICER threshold. </w:t>
      </w:r>
    </w:p>
    <w:p w14:paraId="2DCD02CF" w14:textId="3FE2B2D3" w:rsidR="00D834BD" w:rsidRPr="00760438" w:rsidRDefault="00D834BD" w:rsidP="00B52670">
      <w:pPr>
        <w:pStyle w:val="Paragraph"/>
        <w:rPr>
          <w:sz w:val="24"/>
          <w:szCs w:val="24"/>
        </w:rPr>
      </w:pPr>
      <w:r w:rsidRPr="00760438">
        <w:rPr>
          <w:sz w:val="24"/>
          <w:szCs w:val="24"/>
        </w:rPr>
        <w:t xml:space="preserve">The </w:t>
      </w:r>
      <w:r w:rsidR="003E5308">
        <w:rPr>
          <w:sz w:val="24"/>
          <w:szCs w:val="24"/>
        </w:rPr>
        <w:t>a</w:t>
      </w:r>
      <w:r w:rsidR="00BE04E4">
        <w:rPr>
          <w:sz w:val="24"/>
          <w:szCs w:val="24"/>
        </w:rPr>
        <w:t>ppeal panel</w:t>
      </w:r>
      <w:r w:rsidRPr="00760438">
        <w:rPr>
          <w:sz w:val="24"/>
          <w:szCs w:val="24"/>
        </w:rPr>
        <w:t xml:space="preserve"> </w:t>
      </w:r>
      <w:r w:rsidR="00F77757" w:rsidRPr="00760438">
        <w:rPr>
          <w:sz w:val="24"/>
          <w:szCs w:val="24"/>
        </w:rPr>
        <w:t xml:space="preserve">therefore </w:t>
      </w:r>
      <w:r w:rsidRPr="00760438">
        <w:rPr>
          <w:sz w:val="24"/>
          <w:szCs w:val="24"/>
        </w:rPr>
        <w:t>concluded that NICE had followed the due process in a fair and transparent manner</w:t>
      </w:r>
      <w:r w:rsidR="00F77757" w:rsidRPr="00760438">
        <w:rPr>
          <w:sz w:val="24"/>
          <w:szCs w:val="24"/>
        </w:rPr>
        <w:t xml:space="preserve"> in reaching their conclusion about the ICER </w:t>
      </w:r>
      <w:r w:rsidR="002C4A51" w:rsidRPr="00760438">
        <w:rPr>
          <w:sz w:val="24"/>
          <w:szCs w:val="24"/>
        </w:rPr>
        <w:t>threshold.</w:t>
      </w:r>
    </w:p>
    <w:p w14:paraId="2CF18183" w14:textId="3C44CAD5" w:rsidR="00B52670" w:rsidRPr="00760438" w:rsidRDefault="00B52670" w:rsidP="00B52670">
      <w:pPr>
        <w:pStyle w:val="Paragraph"/>
        <w:rPr>
          <w:sz w:val="24"/>
          <w:szCs w:val="24"/>
        </w:rPr>
      </w:pPr>
      <w:r w:rsidRPr="00760438">
        <w:rPr>
          <w:sz w:val="24"/>
          <w:szCs w:val="24"/>
        </w:rPr>
        <w:t xml:space="preserve">The </w:t>
      </w:r>
      <w:r w:rsidR="003E5308">
        <w:rPr>
          <w:sz w:val="24"/>
          <w:szCs w:val="24"/>
        </w:rPr>
        <w:t>a</w:t>
      </w:r>
      <w:r w:rsidR="00BE04E4">
        <w:rPr>
          <w:sz w:val="24"/>
          <w:szCs w:val="24"/>
        </w:rPr>
        <w:t>ppeal panel</w:t>
      </w:r>
      <w:r w:rsidRPr="00760438">
        <w:rPr>
          <w:sz w:val="24"/>
          <w:szCs w:val="24"/>
        </w:rPr>
        <w:t xml:space="preserve"> therefore dismissed the appeal on this point.</w:t>
      </w:r>
    </w:p>
    <w:p w14:paraId="48024EEA" w14:textId="0C5C620C" w:rsidR="00B52670" w:rsidRPr="00760438" w:rsidRDefault="00602B54" w:rsidP="00A72AA6">
      <w:pPr>
        <w:pStyle w:val="Paragraph"/>
        <w:numPr>
          <w:ilvl w:val="0"/>
          <w:numId w:val="0"/>
        </w:numPr>
        <w:rPr>
          <w:b/>
          <w:bCs/>
          <w:sz w:val="24"/>
          <w:szCs w:val="24"/>
        </w:rPr>
      </w:pPr>
      <w:r w:rsidRPr="00760438">
        <w:rPr>
          <w:b/>
          <w:bCs/>
          <w:sz w:val="24"/>
          <w:szCs w:val="24"/>
        </w:rPr>
        <w:t xml:space="preserve">Appeal </w:t>
      </w:r>
      <w:r w:rsidR="00BC7BAF">
        <w:rPr>
          <w:b/>
          <w:bCs/>
          <w:sz w:val="24"/>
          <w:szCs w:val="24"/>
        </w:rPr>
        <w:t>point</w:t>
      </w:r>
      <w:r w:rsidR="00BC7BAF" w:rsidRPr="00760438">
        <w:rPr>
          <w:b/>
          <w:bCs/>
          <w:sz w:val="24"/>
          <w:szCs w:val="24"/>
        </w:rPr>
        <w:t xml:space="preserve"> </w:t>
      </w:r>
      <w:r w:rsidRPr="00760438">
        <w:rPr>
          <w:b/>
          <w:bCs/>
          <w:sz w:val="24"/>
          <w:szCs w:val="24"/>
        </w:rPr>
        <w:t xml:space="preserve">1a.5: </w:t>
      </w:r>
      <w:r w:rsidR="00A72AA6" w:rsidRPr="00760438">
        <w:rPr>
          <w:b/>
          <w:bCs/>
          <w:sz w:val="24"/>
          <w:szCs w:val="24"/>
        </w:rPr>
        <w:t xml:space="preserve">The fact that the </w:t>
      </w:r>
      <w:r w:rsidR="003E5308">
        <w:rPr>
          <w:b/>
          <w:bCs/>
          <w:sz w:val="24"/>
          <w:szCs w:val="24"/>
        </w:rPr>
        <w:t>c</w:t>
      </w:r>
      <w:r w:rsidR="00A72AA6" w:rsidRPr="00760438">
        <w:rPr>
          <w:b/>
          <w:bCs/>
          <w:sz w:val="24"/>
          <w:szCs w:val="24"/>
        </w:rPr>
        <w:t>ommittee altered its position in relation to a key issue immediately before ACM2 with no opportunity for consideration or consultation by A</w:t>
      </w:r>
      <w:r w:rsidR="003E5308">
        <w:rPr>
          <w:b/>
          <w:bCs/>
          <w:sz w:val="24"/>
          <w:szCs w:val="24"/>
        </w:rPr>
        <w:t>stra</w:t>
      </w:r>
      <w:r w:rsidR="00A72AA6" w:rsidRPr="00760438">
        <w:rPr>
          <w:b/>
          <w:bCs/>
          <w:sz w:val="24"/>
          <w:szCs w:val="24"/>
        </w:rPr>
        <w:t>Z</w:t>
      </w:r>
      <w:r w:rsidR="003E5308">
        <w:rPr>
          <w:b/>
          <w:bCs/>
          <w:sz w:val="24"/>
          <w:szCs w:val="24"/>
        </w:rPr>
        <w:t>eneca</w:t>
      </w:r>
      <w:r w:rsidR="00A72AA6" w:rsidRPr="00760438">
        <w:rPr>
          <w:b/>
          <w:bCs/>
          <w:sz w:val="24"/>
          <w:szCs w:val="24"/>
        </w:rPr>
        <w:t xml:space="preserve"> is not consistent with NICE’s procedures or standards of fairness</w:t>
      </w:r>
    </w:p>
    <w:p w14:paraId="1B9A360F" w14:textId="093D49C3" w:rsidR="00A72AA6" w:rsidRPr="002F4B43" w:rsidRDefault="00867CC6" w:rsidP="00A72AA6">
      <w:pPr>
        <w:pStyle w:val="Paragraph"/>
      </w:pPr>
      <w:r w:rsidRPr="00760438">
        <w:rPr>
          <w:sz w:val="24"/>
          <w:szCs w:val="24"/>
        </w:rPr>
        <w:t>Phil</w:t>
      </w:r>
      <w:r w:rsidR="00FB23A4" w:rsidRPr="00760438">
        <w:rPr>
          <w:sz w:val="24"/>
          <w:szCs w:val="24"/>
        </w:rPr>
        <w:t xml:space="preserve">ippa Murphy, for </w:t>
      </w:r>
      <w:r w:rsidR="003E5308">
        <w:rPr>
          <w:sz w:val="24"/>
          <w:szCs w:val="24"/>
        </w:rPr>
        <w:t>AstraZeneca</w:t>
      </w:r>
      <w:r w:rsidR="00FB23A4" w:rsidRPr="00760438">
        <w:rPr>
          <w:sz w:val="24"/>
          <w:szCs w:val="24"/>
        </w:rPr>
        <w:t xml:space="preserve">, </w:t>
      </w:r>
      <w:r w:rsidR="005476DD" w:rsidRPr="00760438">
        <w:rPr>
          <w:sz w:val="24"/>
          <w:szCs w:val="24"/>
        </w:rPr>
        <w:t xml:space="preserve">set out the </w:t>
      </w:r>
      <w:r w:rsidR="003E5308">
        <w:rPr>
          <w:sz w:val="24"/>
          <w:szCs w:val="24"/>
        </w:rPr>
        <w:t>c</w:t>
      </w:r>
      <w:r w:rsidR="001321C3">
        <w:rPr>
          <w:sz w:val="24"/>
          <w:szCs w:val="24"/>
        </w:rPr>
        <w:t>ompany</w:t>
      </w:r>
      <w:r w:rsidR="005476DD" w:rsidRPr="00760438">
        <w:rPr>
          <w:sz w:val="24"/>
          <w:szCs w:val="24"/>
        </w:rPr>
        <w:t xml:space="preserve">'s position that </w:t>
      </w:r>
      <w:r w:rsidR="00FB23A4" w:rsidRPr="00760438">
        <w:rPr>
          <w:sz w:val="24"/>
          <w:szCs w:val="24"/>
        </w:rPr>
        <w:t>th</w:t>
      </w:r>
      <w:r w:rsidR="00CE7F59" w:rsidRPr="00760438">
        <w:rPr>
          <w:sz w:val="24"/>
          <w:szCs w:val="24"/>
        </w:rPr>
        <w:t xml:space="preserve">e </w:t>
      </w:r>
      <w:r w:rsidR="003E5308">
        <w:rPr>
          <w:sz w:val="24"/>
          <w:szCs w:val="24"/>
        </w:rPr>
        <w:t>c</w:t>
      </w:r>
      <w:r w:rsidR="003E5308" w:rsidRPr="00760438">
        <w:rPr>
          <w:sz w:val="24"/>
          <w:szCs w:val="24"/>
        </w:rPr>
        <w:t xml:space="preserve">ommittee </w:t>
      </w:r>
      <w:r w:rsidR="00CE7F59" w:rsidRPr="00760438">
        <w:rPr>
          <w:sz w:val="24"/>
          <w:szCs w:val="24"/>
        </w:rPr>
        <w:t xml:space="preserve">had </w:t>
      </w:r>
      <w:r w:rsidR="00490977" w:rsidRPr="00760438">
        <w:rPr>
          <w:sz w:val="24"/>
          <w:szCs w:val="24"/>
        </w:rPr>
        <w:t>failed</w:t>
      </w:r>
      <w:r w:rsidR="00CE7F59" w:rsidRPr="00760438">
        <w:rPr>
          <w:sz w:val="24"/>
          <w:szCs w:val="24"/>
        </w:rPr>
        <w:t xml:space="preserve"> to consult on a key assumption</w:t>
      </w:r>
      <w:r w:rsidR="005476DD" w:rsidRPr="00760438">
        <w:rPr>
          <w:sz w:val="24"/>
          <w:szCs w:val="24"/>
        </w:rPr>
        <w:t>,</w:t>
      </w:r>
      <w:r w:rsidR="00CE7F59" w:rsidRPr="00760438">
        <w:rPr>
          <w:sz w:val="24"/>
          <w:szCs w:val="24"/>
        </w:rPr>
        <w:t xml:space="preserve"> which was contrary to NICE's procedures and standards of fairness.</w:t>
      </w:r>
      <w:r w:rsidR="00490977" w:rsidRPr="00760438">
        <w:rPr>
          <w:sz w:val="24"/>
          <w:szCs w:val="24"/>
        </w:rPr>
        <w:t xml:space="preserve">  The </w:t>
      </w:r>
      <w:r w:rsidR="00D24C1A" w:rsidRPr="00760438">
        <w:rPr>
          <w:sz w:val="24"/>
          <w:szCs w:val="24"/>
        </w:rPr>
        <w:t>material change related</w:t>
      </w:r>
      <w:r w:rsidR="00D24C1A">
        <w:rPr>
          <w:sz w:val="24"/>
          <w:szCs w:val="24"/>
        </w:rPr>
        <w:t xml:space="preserve"> to the proportion of patients initiating </w:t>
      </w:r>
      <w:proofErr w:type="spellStart"/>
      <w:r w:rsidR="00D24C1A">
        <w:rPr>
          <w:sz w:val="24"/>
          <w:szCs w:val="24"/>
        </w:rPr>
        <w:t>olaparib</w:t>
      </w:r>
      <w:proofErr w:type="spellEnd"/>
      <w:r w:rsidR="00D24C1A">
        <w:rPr>
          <w:sz w:val="24"/>
          <w:szCs w:val="24"/>
        </w:rPr>
        <w:t xml:space="preserve"> at the </w:t>
      </w:r>
      <w:r w:rsidR="002E0AF3">
        <w:rPr>
          <w:sz w:val="24"/>
          <w:szCs w:val="24"/>
        </w:rPr>
        <w:t xml:space="preserve">maintenance stage.  She stated that at </w:t>
      </w:r>
      <w:r w:rsidR="00E8143A">
        <w:rPr>
          <w:sz w:val="24"/>
          <w:szCs w:val="24"/>
        </w:rPr>
        <w:t xml:space="preserve">the first </w:t>
      </w:r>
      <w:r w:rsidR="0006276E">
        <w:rPr>
          <w:sz w:val="24"/>
          <w:szCs w:val="24"/>
        </w:rPr>
        <w:t>c</w:t>
      </w:r>
      <w:r w:rsidR="000B4556">
        <w:rPr>
          <w:sz w:val="24"/>
          <w:szCs w:val="24"/>
        </w:rPr>
        <w:t>ommittee</w:t>
      </w:r>
      <w:r w:rsidR="00E8143A">
        <w:rPr>
          <w:sz w:val="24"/>
          <w:szCs w:val="24"/>
        </w:rPr>
        <w:t xml:space="preserve"> meeting</w:t>
      </w:r>
      <w:r w:rsidR="002E0AF3">
        <w:rPr>
          <w:sz w:val="24"/>
          <w:szCs w:val="24"/>
        </w:rPr>
        <w:t xml:space="preserve"> the </w:t>
      </w:r>
      <w:r w:rsidR="0006276E">
        <w:rPr>
          <w:sz w:val="24"/>
          <w:szCs w:val="24"/>
        </w:rPr>
        <w:t>c</w:t>
      </w:r>
      <w:r w:rsidR="000B4556">
        <w:rPr>
          <w:sz w:val="24"/>
          <w:szCs w:val="24"/>
        </w:rPr>
        <w:t>ommittee</w:t>
      </w:r>
      <w:r w:rsidR="002E0AF3">
        <w:rPr>
          <w:sz w:val="24"/>
          <w:szCs w:val="24"/>
        </w:rPr>
        <w:t xml:space="preserve"> had accepted </w:t>
      </w:r>
      <w:r w:rsidR="0006276E">
        <w:rPr>
          <w:sz w:val="24"/>
          <w:szCs w:val="24"/>
        </w:rPr>
        <w:t>AstraZeneca</w:t>
      </w:r>
      <w:r w:rsidR="002E0AF3">
        <w:rPr>
          <w:sz w:val="24"/>
          <w:szCs w:val="24"/>
        </w:rPr>
        <w:t>'s submission</w:t>
      </w:r>
      <w:r w:rsidR="005476DD">
        <w:rPr>
          <w:sz w:val="24"/>
          <w:szCs w:val="24"/>
        </w:rPr>
        <w:t xml:space="preserve"> (79%)</w:t>
      </w:r>
      <w:r w:rsidR="002E0AF3">
        <w:rPr>
          <w:sz w:val="24"/>
          <w:szCs w:val="24"/>
        </w:rPr>
        <w:t xml:space="preserve"> which was also supported by </w:t>
      </w:r>
      <w:r w:rsidR="0082349C">
        <w:rPr>
          <w:sz w:val="24"/>
          <w:szCs w:val="24"/>
        </w:rPr>
        <w:t xml:space="preserve">the </w:t>
      </w:r>
      <w:r w:rsidR="00E8143A">
        <w:rPr>
          <w:sz w:val="24"/>
          <w:szCs w:val="24"/>
        </w:rPr>
        <w:t xml:space="preserve">experts.  However, the day before the second </w:t>
      </w:r>
      <w:r w:rsidR="0006276E">
        <w:rPr>
          <w:sz w:val="24"/>
          <w:szCs w:val="24"/>
        </w:rPr>
        <w:t>c</w:t>
      </w:r>
      <w:r w:rsidR="000B4556">
        <w:rPr>
          <w:sz w:val="24"/>
          <w:szCs w:val="24"/>
        </w:rPr>
        <w:t>ommittee</w:t>
      </w:r>
      <w:r w:rsidR="00E8143A">
        <w:rPr>
          <w:sz w:val="24"/>
          <w:szCs w:val="24"/>
        </w:rPr>
        <w:t xml:space="preserve"> meeting </w:t>
      </w:r>
      <w:r w:rsidR="0006276E">
        <w:rPr>
          <w:sz w:val="24"/>
          <w:szCs w:val="24"/>
        </w:rPr>
        <w:t>AstraZeneca</w:t>
      </w:r>
      <w:r w:rsidR="00E8143A">
        <w:rPr>
          <w:sz w:val="24"/>
          <w:szCs w:val="24"/>
        </w:rPr>
        <w:t xml:space="preserve"> </w:t>
      </w:r>
      <w:r w:rsidR="00812716">
        <w:rPr>
          <w:sz w:val="24"/>
          <w:szCs w:val="24"/>
        </w:rPr>
        <w:t>was advised</w:t>
      </w:r>
      <w:r w:rsidR="00E8143A">
        <w:rPr>
          <w:sz w:val="24"/>
          <w:szCs w:val="24"/>
        </w:rPr>
        <w:t xml:space="preserve"> tha</w:t>
      </w:r>
      <w:r w:rsidR="00812716">
        <w:rPr>
          <w:sz w:val="24"/>
          <w:szCs w:val="24"/>
        </w:rPr>
        <w:t xml:space="preserve">t the </w:t>
      </w:r>
      <w:r w:rsidR="0006276E">
        <w:rPr>
          <w:sz w:val="24"/>
          <w:szCs w:val="24"/>
        </w:rPr>
        <w:t>c</w:t>
      </w:r>
      <w:r w:rsidR="000B4556">
        <w:rPr>
          <w:sz w:val="24"/>
          <w:szCs w:val="24"/>
        </w:rPr>
        <w:t>ommittee</w:t>
      </w:r>
      <w:r w:rsidR="00E8143A">
        <w:rPr>
          <w:sz w:val="24"/>
          <w:szCs w:val="24"/>
        </w:rPr>
        <w:t xml:space="preserve"> wanted to reconsider th</w:t>
      </w:r>
      <w:r w:rsidR="00884F23">
        <w:rPr>
          <w:sz w:val="24"/>
          <w:szCs w:val="24"/>
        </w:rPr>
        <w:t>is</w:t>
      </w:r>
      <w:r w:rsidR="00E8143A">
        <w:rPr>
          <w:sz w:val="24"/>
          <w:szCs w:val="24"/>
        </w:rPr>
        <w:t xml:space="preserve"> </w:t>
      </w:r>
      <w:r w:rsidR="004D79BF">
        <w:rPr>
          <w:sz w:val="24"/>
          <w:szCs w:val="24"/>
        </w:rPr>
        <w:t>assumption</w:t>
      </w:r>
      <w:r w:rsidR="005769B8">
        <w:rPr>
          <w:sz w:val="24"/>
          <w:szCs w:val="24"/>
        </w:rPr>
        <w:t>.</w:t>
      </w:r>
      <w:r w:rsidR="00811FBB">
        <w:rPr>
          <w:sz w:val="24"/>
          <w:szCs w:val="24"/>
        </w:rPr>
        <w:t xml:space="preserve">  It is </w:t>
      </w:r>
      <w:r w:rsidR="0006276E">
        <w:rPr>
          <w:sz w:val="24"/>
          <w:szCs w:val="24"/>
        </w:rPr>
        <w:t>AstraZeneca</w:t>
      </w:r>
      <w:r w:rsidR="00811FBB">
        <w:rPr>
          <w:sz w:val="24"/>
          <w:szCs w:val="24"/>
        </w:rPr>
        <w:t xml:space="preserve">'s position that </w:t>
      </w:r>
      <w:r w:rsidR="001954EA">
        <w:rPr>
          <w:sz w:val="24"/>
          <w:szCs w:val="24"/>
        </w:rPr>
        <w:t xml:space="preserve">it was not </w:t>
      </w:r>
      <w:r w:rsidR="00811FBB">
        <w:rPr>
          <w:sz w:val="24"/>
          <w:szCs w:val="24"/>
        </w:rPr>
        <w:t>provide</w:t>
      </w:r>
      <w:r w:rsidR="001954EA">
        <w:rPr>
          <w:sz w:val="24"/>
          <w:szCs w:val="24"/>
        </w:rPr>
        <w:t>d with</w:t>
      </w:r>
      <w:r w:rsidR="00811FBB">
        <w:rPr>
          <w:sz w:val="24"/>
          <w:szCs w:val="24"/>
        </w:rPr>
        <w:t xml:space="preserve"> adequate opportunity to respond. </w:t>
      </w:r>
      <w:r w:rsidR="00AC5E21">
        <w:rPr>
          <w:sz w:val="24"/>
          <w:szCs w:val="24"/>
        </w:rPr>
        <w:t xml:space="preserve">There were also no experts present at the second </w:t>
      </w:r>
      <w:r w:rsidR="00455EF1">
        <w:rPr>
          <w:sz w:val="24"/>
          <w:szCs w:val="24"/>
        </w:rPr>
        <w:t>c</w:t>
      </w:r>
      <w:r w:rsidR="000B4556">
        <w:rPr>
          <w:sz w:val="24"/>
          <w:szCs w:val="24"/>
        </w:rPr>
        <w:t>ommittee</w:t>
      </w:r>
      <w:r w:rsidR="009079FE">
        <w:rPr>
          <w:sz w:val="24"/>
          <w:szCs w:val="24"/>
        </w:rPr>
        <w:t xml:space="preserve"> meeting to provide </w:t>
      </w:r>
      <w:r w:rsidR="00884F23">
        <w:rPr>
          <w:sz w:val="24"/>
          <w:szCs w:val="24"/>
        </w:rPr>
        <w:t xml:space="preserve">an </w:t>
      </w:r>
      <w:r w:rsidR="009079FE">
        <w:rPr>
          <w:sz w:val="24"/>
          <w:szCs w:val="24"/>
        </w:rPr>
        <w:t xml:space="preserve">expert clinical opinion.  </w:t>
      </w:r>
      <w:r w:rsidR="00BF7C1A">
        <w:rPr>
          <w:sz w:val="24"/>
          <w:szCs w:val="24"/>
        </w:rPr>
        <w:t xml:space="preserve">The </w:t>
      </w:r>
      <w:r w:rsidR="00455EF1">
        <w:rPr>
          <w:sz w:val="24"/>
          <w:szCs w:val="24"/>
        </w:rPr>
        <w:t>c</w:t>
      </w:r>
      <w:r w:rsidR="000B4556">
        <w:rPr>
          <w:sz w:val="24"/>
          <w:szCs w:val="24"/>
        </w:rPr>
        <w:t>ommittee</w:t>
      </w:r>
      <w:r w:rsidR="00BF7C1A">
        <w:rPr>
          <w:sz w:val="24"/>
          <w:szCs w:val="24"/>
        </w:rPr>
        <w:t xml:space="preserve"> amended its</w:t>
      </w:r>
      <w:r w:rsidR="0067174C">
        <w:rPr>
          <w:sz w:val="24"/>
          <w:szCs w:val="24"/>
        </w:rPr>
        <w:t xml:space="preserve"> assumption to 100% of patients initiating </w:t>
      </w:r>
      <w:proofErr w:type="spellStart"/>
      <w:r w:rsidR="0067174C">
        <w:rPr>
          <w:sz w:val="24"/>
          <w:szCs w:val="24"/>
        </w:rPr>
        <w:t>olaparib</w:t>
      </w:r>
      <w:proofErr w:type="spellEnd"/>
      <w:r w:rsidR="0067174C">
        <w:rPr>
          <w:sz w:val="24"/>
          <w:szCs w:val="24"/>
        </w:rPr>
        <w:t xml:space="preserve"> at the maintenance stage based on evidence f</w:t>
      </w:r>
      <w:r w:rsidR="005476DD">
        <w:rPr>
          <w:sz w:val="24"/>
          <w:szCs w:val="24"/>
        </w:rPr>
        <w:t>r</w:t>
      </w:r>
      <w:r w:rsidR="0067174C">
        <w:rPr>
          <w:sz w:val="24"/>
          <w:szCs w:val="24"/>
        </w:rPr>
        <w:t xml:space="preserve">om </w:t>
      </w:r>
      <w:r w:rsidR="005476DD">
        <w:rPr>
          <w:sz w:val="24"/>
          <w:szCs w:val="24"/>
        </w:rPr>
        <w:t>NHS England's</w:t>
      </w:r>
      <w:r w:rsidR="0067174C">
        <w:rPr>
          <w:sz w:val="24"/>
          <w:szCs w:val="24"/>
        </w:rPr>
        <w:t xml:space="preserve"> Cancer Drug Fund Lead.</w:t>
      </w:r>
      <w:r w:rsidR="002F4B43">
        <w:rPr>
          <w:sz w:val="24"/>
          <w:szCs w:val="24"/>
        </w:rPr>
        <w:t xml:space="preserve">  </w:t>
      </w:r>
      <w:r w:rsidR="00455EF1">
        <w:rPr>
          <w:sz w:val="24"/>
          <w:szCs w:val="24"/>
        </w:rPr>
        <w:t>AstraZeneca</w:t>
      </w:r>
      <w:r w:rsidR="005476DD">
        <w:rPr>
          <w:sz w:val="24"/>
          <w:szCs w:val="24"/>
        </w:rPr>
        <w:t>'s</w:t>
      </w:r>
      <w:r w:rsidR="00FF0AC8">
        <w:rPr>
          <w:sz w:val="24"/>
          <w:szCs w:val="24"/>
        </w:rPr>
        <w:t xml:space="preserve"> view </w:t>
      </w:r>
      <w:r w:rsidR="005476DD">
        <w:rPr>
          <w:sz w:val="24"/>
          <w:szCs w:val="24"/>
        </w:rPr>
        <w:t xml:space="preserve">is </w:t>
      </w:r>
      <w:r w:rsidR="00FF0AC8">
        <w:rPr>
          <w:sz w:val="24"/>
          <w:szCs w:val="24"/>
        </w:rPr>
        <w:t xml:space="preserve">that this </w:t>
      </w:r>
      <w:r w:rsidR="002F4B43">
        <w:rPr>
          <w:sz w:val="24"/>
          <w:szCs w:val="24"/>
        </w:rPr>
        <w:t xml:space="preserve">should have been subject to </w:t>
      </w:r>
      <w:r w:rsidR="002C1802">
        <w:rPr>
          <w:sz w:val="24"/>
          <w:szCs w:val="24"/>
        </w:rPr>
        <w:t>consultation</w:t>
      </w:r>
      <w:r w:rsidR="002F4B43">
        <w:rPr>
          <w:sz w:val="24"/>
          <w:szCs w:val="24"/>
        </w:rPr>
        <w:t xml:space="preserve"> and clinical expert </w:t>
      </w:r>
      <w:r w:rsidR="00B768A4">
        <w:rPr>
          <w:sz w:val="24"/>
          <w:szCs w:val="24"/>
        </w:rPr>
        <w:t>scrutiny</w:t>
      </w:r>
      <w:r w:rsidR="002F4B43">
        <w:rPr>
          <w:sz w:val="24"/>
          <w:szCs w:val="24"/>
        </w:rPr>
        <w:t xml:space="preserve"> as a matter of fairness and in compliance with the Manual</w:t>
      </w:r>
      <w:r w:rsidR="001954EA">
        <w:rPr>
          <w:sz w:val="24"/>
          <w:szCs w:val="24"/>
        </w:rPr>
        <w:t xml:space="preserve"> and the</w:t>
      </w:r>
      <w:r w:rsidR="00CF019F">
        <w:rPr>
          <w:sz w:val="24"/>
          <w:szCs w:val="24"/>
        </w:rPr>
        <w:t xml:space="preserve"> </w:t>
      </w:r>
      <w:r w:rsidR="00855336">
        <w:rPr>
          <w:sz w:val="24"/>
          <w:szCs w:val="24"/>
        </w:rPr>
        <w:t xml:space="preserve">change resulted in a fundamental shift </w:t>
      </w:r>
      <w:r w:rsidR="00B768A4">
        <w:rPr>
          <w:sz w:val="24"/>
          <w:szCs w:val="24"/>
        </w:rPr>
        <w:t>to</w:t>
      </w:r>
      <w:r w:rsidR="00855336">
        <w:rPr>
          <w:sz w:val="24"/>
          <w:szCs w:val="24"/>
        </w:rPr>
        <w:t xml:space="preserve"> the ICER.</w:t>
      </w:r>
    </w:p>
    <w:p w14:paraId="0618A921" w14:textId="54CD7CFD" w:rsidR="002F4B43" w:rsidRPr="00864C1F" w:rsidRDefault="00CF019F" w:rsidP="00A72AA6">
      <w:pPr>
        <w:pStyle w:val="Paragraph"/>
      </w:pPr>
      <w:r>
        <w:rPr>
          <w:sz w:val="24"/>
          <w:szCs w:val="24"/>
        </w:rPr>
        <w:t xml:space="preserve">Emily </w:t>
      </w:r>
      <w:r w:rsidR="00855336">
        <w:rPr>
          <w:sz w:val="24"/>
          <w:szCs w:val="24"/>
        </w:rPr>
        <w:t xml:space="preserve">Crowe, for NICE, said </w:t>
      </w:r>
      <w:r w:rsidR="003A7C09">
        <w:rPr>
          <w:sz w:val="24"/>
          <w:szCs w:val="24"/>
        </w:rPr>
        <w:t xml:space="preserve">the proportion of patients initiating </w:t>
      </w:r>
      <w:proofErr w:type="spellStart"/>
      <w:r w:rsidR="003A7C09">
        <w:rPr>
          <w:sz w:val="24"/>
          <w:szCs w:val="24"/>
        </w:rPr>
        <w:t>olaparib</w:t>
      </w:r>
      <w:proofErr w:type="spellEnd"/>
      <w:r w:rsidR="003A7C09">
        <w:rPr>
          <w:sz w:val="24"/>
          <w:szCs w:val="24"/>
        </w:rPr>
        <w:t xml:space="preserve"> at the maintenance stage has a very small impact on the ICER.</w:t>
      </w:r>
      <w:r w:rsidR="00074B64">
        <w:rPr>
          <w:sz w:val="24"/>
          <w:szCs w:val="24"/>
        </w:rPr>
        <w:t xml:space="preserve">  </w:t>
      </w:r>
      <w:r w:rsidR="007936A8">
        <w:rPr>
          <w:sz w:val="24"/>
          <w:szCs w:val="24"/>
        </w:rPr>
        <w:t xml:space="preserve">The </w:t>
      </w:r>
      <w:r w:rsidR="009A19F5">
        <w:rPr>
          <w:sz w:val="24"/>
          <w:szCs w:val="24"/>
        </w:rPr>
        <w:t>c</w:t>
      </w:r>
      <w:r w:rsidR="000B4556">
        <w:rPr>
          <w:sz w:val="24"/>
          <w:szCs w:val="24"/>
        </w:rPr>
        <w:t>ommittee</w:t>
      </w:r>
      <w:r w:rsidR="007936A8">
        <w:rPr>
          <w:sz w:val="24"/>
          <w:szCs w:val="24"/>
        </w:rPr>
        <w:t xml:space="preserve"> did not change its position </w:t>
      </w:r>
      <w:r w:rsidR="005476DD">
        <w:rPr>
          <w:sz w:val="24"/>
          <w:szCs w:val="24"/>
        </w:rPr>
        <w:t xml:space="preserve">immediately </w:t>
      </w:r>
      <w:r w:rsidR="007936A8">
        <w:rPr>
          <w:sz w:val="24"/>
          <w:szCs w:val="24"/>
        </w:rPr>
        <w:t xml:space="preserve">before </w:t>
      </w:r>
      <w:r w:rsidR="00AB7307">
        <w:rPr>
          <w:sz w:val="24"/>
          <w:szCs w:val="24"/>
        </w:rPr>
        <w:t xml:space="preserve">the second </w:t>
      </w:r>
      <w:r w:rsidR="009A19F5">
        <w:rPr>
          <w:sz w:val="24"/>
          <w:szCs w:val="24"/>
        </w:rPr>
        <w:lastRenderedPageBreak/>
        <w:t>c</w:t>
      </w:r>
      <w:r w:rsidR="000B4556">
        <w:rPr>
          <w:sz w:val="24"/>
          <w:szCs w:val="24"/>
        </w:rPr>
        <w:t>ommittee</w:t>
      </w:r>
      <w:r w:rsidR="00AB7307">
        <w:rPr>
          <w:sz w:val="24"/>
          <w:szCs w:val="24"/>
        </w:rPr>
        <w:t xml:space="preserve"> meeting b</w:t>
      </w:r>
      <w:r w:rsidR="007936A8">
        <w:rPr>
          <w:sz w:val="24"/>
          <w:szCs w:val="24"/>
        </w:rPr>
        <w:t xml:space="preserve">ut needed to react to the information provided by the Cancer Drug Fund Lead </w:t>
      </w:r>
      <w:r w:rsidR="00826992">
        <w:rPr>
          <w:sz w:val="24"/>
          <w:szCs w:val="24"/>
        </w:rPr>
        <w:t>which</w:t>
      </w:r>
      <w:r w:rsidR="007936A8">
        <w:rPr>
          <w:sz w:val="24"/>
          <w:szCs w:val="24"/>
        </w:rPr>
        <w:t xml:space="preserve"> clarif</w:t>
      </w:r>
      <w:r w:rsidR="00826992">
        <w:rPr>
          <w:sz w:val="24"/>
          <w:szCs w:val="24"/>
        </w:rPr>
        <w:t>ied</w:t>
      </w:r>
      <w:r w:rsidR="007936A8">
        <w:rPr>
          <w:sz w:val="24"/>
          <w:szCs w:val="24"/>
        </w:rPr>
        <w:t xml:space="preserve"> a misinterpretation about the Ma</w:t>
      </w:r>
      <w:r w:rsidR="00C13B3F">
        <w:rPr>
          <w:sz w:val="24"/>
          <w:szCs w:val="24"/>
        </w:rPr>
        <w:t>rketing Authorisation.</w:t>
      </w:r>
      <w:r w:rsidR="007936A8">
        <w:rPr>
          <w:sz w:val="24"/>
          <w:szCs w:val="24"/>
        </w:rPr>
        <w:t xml:space="preserve"> </w:t>
      </w:r>
      <w:r w:rsidR="004C0937">
        <w:rPr>
          <w:sz w:val="24"/>
          <w:szCs w:val="24"/>
        </w:rPr>
        <w:t xml:space="preserve"> </w:t>
      </w:r>
      <w:r w:rsidR="00AB2177">
        <w:rPr>
          <w:sz w:val="24"/>
          <w:szCs w:val="24"/>
        </w:rPr>
        <w:t xml:space="preserve">She said </w:t>
      </w:r>
      <w:r w:rsidR="009A19F5">
        <w:rPr>
          <w:sz w:val="24"/>
          <w:szCs w:val="24"/>
        </w:rPr>
        <w:t>AstraZeneca</w:t>
      </w:r>
      <w:r w:rsidR="00AA1C11">
        <w:rPr>
          <w:sz w:val="24"/>
          <w:szCs w:val="24"/>
        </w:rPr>
        <w:t xml:space="preserve"> w</w:t>
      </w:r>
      <w:r w:rsidR="005476DD">
        <w:rPr>
          <w:sz w:val="24"/>
          <w:szCs w:val="24"/>
        </w:rPr>
        <w:t>as</w:t>
      </w:r>
      <w:r w:rsidR="00AA1C11">
        <w:rPr>
          <w:sz w:val="24"/>
          <w:szCs w:val="24"/>
        </w:rPr>
        <w:t xml:space="preserve"> involved in a lengthy discussion on t</w:t>
      </w:r>
      <w:r w:rsidR="00864C1F">
        <w:rPr>
          <w:sz w:val="24"/>
          <w:szCs w:val="24"/>
        </w:rPr>
        <w:t xml:space="preserve">he issue at the second </w:t>
      </w:r>
      <w:r w:rsidR="009A19F5">
        <w:rPr>
          <w:sz w:val="24"/>
          <w:szCs w:val="24"/>
        </w:rPr>
        <w:t>c</w:t>
      </w:r>
      <w:r w:rsidR="000B4556">
        <w:rPr>
          <w:sz w:val="24"/>
          <w:szCs w:val="24"/>
        </w:rPr>
        <w:t>ommittee</w:t>
      </w:r>
      <w:r w:rsidR="00864C1F">
        <w:rPr>
          <w:sz w:val="24"/>
          <w:szCs w:val="24"/>
        </w:rPr>
        <w:t xml:space="preserve"> meeting.</w:t>
      </w:r>
    </w:p>
    <w:p w14:paraId="7B1D1BFE" w14:textId="2BAA14D4" w:rsidR="00864C1F" w:rsidRPr="001F7D92" w:rsidRDefault="00864C1F" w:rsidP="00A72AA6">
      <w:pPr>
        <w:pStyle w:val="Paragraph"/>
      </w:pPr>
      <w:r>
        <w:rPr>
          <w:sz w:val="24"/>
          <w:szCs w:val="24"/>
        </w:rPr>
        <w:t>J</w:t>
      </w:r>
      <w:r w:rsidR="00370C24">
        <w:rPr>
          <w:sz w:val="24"/>
          <w:szCs w:val="24"/>
        </w:rPr>
        <w:t>o</w:t>
      </w:r>
      <w:r>
        <w:rPr>
          <w:sz w:val="24"/>
          <w:szCs w:val="24"/>
        </w:rPr>
        <w:t xml:space="preserve">anna Richardson, for NICE, explained </w:t>
      </w:r>
      <w:r w:rsidR="00AB2177">
        <w:rPr>
          <w:sz w:val="24"/>
          <w:szCs w:val="24"/>
        </w:rPr>
        <w:t xml:space="preserve">that </w:t>
      </w:r>
      <w:r>
        <w:rPr>
          <w:sz w:val="24"/>
          <w:szCs w:val="24"/>
        </w:rPr>
        <w:t>the Marketing A</w:t>
      </w:r>
      <w:r w:rsidR="00AB2177">
        <w:rPr>
          <w:sz w:val="24"/>
          <w:szCs w:val="24"/>
        </w:rPr>
        <w:t>uthorisation</w:t>
      </w:r>
      <w:r>
        <w:rPr>
          <w:sz w:val="24"/>
          <w:szCs w:val="24"/>
        </w:rPr>
        <w:t xml:space="preserve"> </w:t>
      </w:r>
      <w:r w:rsidR="00D63046">
        <w:rPr>
          <w:sz w:val="24"/>
          <w:szCs w:val="24"/>
        </w:rPr>
        <w:t xml:space="preserve">was key to the </w:t>
      </w:r>
      <w:r w:rsidR="003B1D51">
        <w:rPr>
          <w:sz w:val="24"/>
          <w:szCs w:val="24"/>
        </w:rPr>
        <w:t xml:space="preserve">committee </w:t>
      </w:r>
      <w:r w:rsidR="00D63046">
        <w:rPr>
          <w:sz w:val="24"/>
          <w:szCs w:val="24"/>
        </w:rPr>
        <w:t xml:space="preserve">when determining the proportion of patients initiating </w:t>
      </w:r>
      <w:proofErr w:type="spellStart"/>
      <w:r w:rsidR="00D63046">
        <w:rPr>
          <w:sz w:val="24"/>
          <w:szCs w:val="24"/>
        </w:rPr>
        <w:t>olaparib</w:t>
      </w:r>
      <w:proofErr w:type="spellEnd"/>
      <w:r w:rsidR="00D63046">
        <w:rPr>
          <w:sz w:val="24"/>
          <w:szCs w:val="24"/>
        </w:rPr>
        <w:t xml:space="preserve"> at the maintenance stage.  </w:t>
      </w:r>
      <w:r w:rsidR="00370C24">
        <w:rPr>
          <w:sz w:val="24"/>
          <w:szCs w:val="24"/>
        </w:rPr>
        <w:t xml:space="preserve">She </w:t>
      </w:r>
      <w:r w:rsidR="008D1B2C">
        <w:rPr>
          <w:sz w:val="24"/>
          <w:szCs w:val="24"/>
        </w:rPr>
        <w:t>stated that a Marketing A</w:t>
      </w:r>
      <w:r w:rsidR="00AB2177">
        <w:rPr>
          <w:sz w:val="24"/>
          <w:szCs w:val="24"/>
        </w:rPr>
        <w:t>uthorisation</w:t>
      </w:r>
      <w:r w:rsidR="008D1B2C">
        <w:rPr>
          <w:sz w:val="24"/>
          <w:szCs w:val="24"/>
        </w:rPr>
        <w:t xml:space="preserve"> had been granted for </w:t>
      </w:r>
      <w:proofErr w:type="spellStart"/>
      <w:r w:rsidR="008D1B2C">
        <w:rPr>
          <w:sz w:val="24"/>
          <w:szCs w:val="24"/>
        </w:rPr>
        <w:t>olaparib</w:t>
      </w:r>
      <w:proofErr w:type="spellEnd"/>
      <w:r w:rsidR="003F2EE5">
        <w:rPr>
          <w:sz w:val="24"/>
          <w:szCs w:val="24"/>
        </w:rPr>
        <w:t xml:space="preserve"> combined</w:t>
      </w:r>
      <w:r w:rsidR="008D1B2C">
        <w:rPr>
          <w:sz w:val="24"/>
          <w:szCs w:val="24"/>
        </w:rPr>
        <w:t xml:space="preserve"> with durvalumab.  However, </w:t>
      </w:r>
      <w:r w:rsidR="00017A31">
        <w:rPr>
          <w:sz w:val="24"/>
          <w:szCs w:val="24"/>
        </w:rPr>
        <w:t xml:space="preserve">a </w:t>
      </w:r>
      <w:r w:rsidR="003F2EE5">
        <w:rPr>
          <w:sz w:val="24"/>
          <w:szCs w:val="24"/>
        </w:rPr>
        <w:t>M</w:t>
      </w:r>
      <w:r w:rsidR="00017A31">
        <w:rPr>
          <w:sz w:val="24"/>
          <w:szCs w:val="24"/>
        </w:rPr>
        <w:t xml:space="preserve">arketing </w:t>
      </w:r>
      <w:r w:rsidR="003F2EE5">
        <w:rPr>
          <w:sz w:val="24"/>
          <w:szCs w:val="24"/>
        </w:rPr>
        <w:t>Authorisation</w:t>
      </w:r>
      <w:r w:rsidR="00017A31">
        <w:rPr>
          <w:sz w:val="24"/>
          <w:szCs w:val="24"/>
        </w:rPr>
        <w:t xml:space="preserve"> for durvalumab as a monotherapy had not been granted.  </w:t>
      </w:r>
      <w:r w:rsidR="003157DF">
        <w:rPr>
          <w:sz w:val="24"/>
          <w:szCs w:val="24"/>
        </w:rPr>
        <w:t xml:space="preserve">She </w:t>
      </w:r>
      <w:r w:rsidR="001954EA">
        <w:rPr>
          <w:sz w:val="24"/>
          <w:szCs w:val="24"/>
        </w:rPr>
        <w:t>noted</w:t>
      </w:r>
      <w:r w:rsidR="003157DF">
        <w:rPr>
          <w:sz w:val="24"/>
          <w:szCs w:val="24"/>
        </w:rPr>
        <w:t xml:space="preserve"> that </w:t>
      </w:r>
      <w:r w:rsidR="003B1D51">
        <w:rPr>
          <w:sz w:val="24"/>
          <w:szCs w:val="24"/>
        </w:rPr>
        <w:t>AstraZeneca</w:t>
      </w:r>
      <w:r w:rsidR="006E7F0A">
        <w:rPr>
          <w:sz w:val="24"/>
          <w:szCs w:val="24"/>
        </w:rPr>
        <w:t xml:space="preserve"> </w:t>
      </w:r>
      <w:r w:rsidR="007804FF">
        <w:rPr>
          <w:sz w:val="24"/>
          <w:szCs w:val="24"/>
        </w:rPr>
        <w:t xml:space="preserve">said it was not realistic to assume 100% of patients started </w:t>
      </w:r>
      <w:proofErr w:type="spellStart"/>
      <w:r w:rsidR="007804FF">
        <w:rPr>
          <w:sz w:val="24"/>
          <w:szCs w:val="24"/>
        </w:rPr>
        <w:t>ol</w:t>
      </w:r>
      <w:r w:rsidR="00763E3E">
        <w:rPr>
          <w:sz w:val="24"/>
          <w:szCs w:val="24"/>
        </w:rPr>
        <w:t>aparib</w:t>
      </w:r>
      <w:proofErr w:type="spellEnd"/>
      <w:r w:rsidR="00763E3E">
        <w:rPr>
          <w:sz w:val="24"/>
          <w:szCs w:val="24"/>
        </w:rPr>
        <w:t xml:space="preserve"> at the maintenance stage</w:t>
      </w:r>
      <w:r w:rsidR="00542ED9">
        <w:rPr>
          <w:sz w:val="24"/>
          <w:szCs w:val="24"/>
        </w:rPr>
        <w:t xml:space="preserve"> and that the </w:t>
      </w:r>
      <w:r w:rsidR="003B1D51">
        <w:rPr>
          <w:sz w:val="24"/>
          <w:szCs w:val="24"/>
        </w:rPr>
        <w:t>c</w:t>
      </w:r>
      <w:r w:rsidR="001321C3">
        <w:rPr>
          <w:sz w:val="24"/>
          <w:szCs w:val="24"/>
        </w:rPr>
        <w:t>ompany</w:t>
      </w:r>
      <w:r w:rsidR="00542ED9">
        <w:rPr>
          <w:sz w:val="24"/>
          <w:szCs w:val="24"/>
        </w:rPr>
        <w:t xml:space="preserve"> base case </w:t>
      </w:r>
      <w:r w:rsidR="00EC3335">
        <w:rPr>
          <w:sz w:val="24"/>
          <w:szCs w:val="24"/>
        </w:rPr>
        <w:t>reflects</w:t>
      </w:r>
      <w:r w:rsidR="00542ED9">
        <w:rPr>
          <w:sz w:val="24"/>
          <w:szCs w:val="24"/>
        </w:rPr>
        <w:t xml:space="preserve"> how it should be </w:t>
      </w:r>
      <w:r w:rsidR="00EC3335">
        <w:rPr>
          <w:sz w:val="24"/>
          <w:szCs w:val="24"/>
        </w:rPr>
        <w:t>viewed</w:t>
      </w:r>
      <w:r w:rsidR="00542ED9">
        <w:rPr>
          <w:sz w:val="24"/>
          <w:szCs w:val="24"/>
        </w:rPr>
        <w:t xml:space="preserve"> in clinical practice.</w:t>
      </w:r>
      <w:r w:rsidR="00127664">
        <w:rPr>
          <w:sz w:val="24"/>
          <w:szCs w:val="24"/>
        </w:rPr>
        <w:t xml:space="preserve">  However, this was not aligned to the Marketing A</w:t>
      </w:r>
      <w:r w:rsidR="007D141B">
        <w:rPr>
          <w:sz w:val="24"/>
          <w:szCs w:val="24"/>
        </w:rPr>
        <w:t>uthorisation</w:t>
      </w:r>
      <w:r w:rsidR="00127664">
        <w:rPr>
          <w:sz w:val="24"/>
          <w:szCs w:val="24"/>
        </w:rPr>
        <w:t xml:space="preserve">. </w:t>
      </w:r>
      <w:r w:rsidR="005D2908">
        <w:rPr>
          <w:sz w:val="24"/>
          <w:szCs w:val="24"/>
        </w:rPr>
        <w:t xml:space="preserve"> </w:t>
      </w:r>
      <w:r w:rsidR="00810A4A">
        <w:rPr>
          <w:sz w:val="24"/>
          <w:szCs w:val="24"/>
        </w:rPr>
        <w:t xml:space="preserve">She explained that at the first </w:t>
      </w:r>
      <w:r w:rsidR="003B1D51">
        <w:rPr>
          <w:sz w:val="24"/>
          <w:szCs w:val="24"/>
        </w:rPr>
        <w:t>c</w:t>
      </w:r>
      <w:r w:rsidR="000B4556">
        <w:rPr>
          <w:sz w:val="24"/>
          <w:szCs w:val="24"/>
        </w:rPr>
        <w:t>ommittee</w:t>
      </w:r>
      <w:r w:rsidR="00810A4A">
        <w:rPr>
          <w:sz w:val="24"/>
          <w:szCs w:val="24"/>
        </w:rPr>
        <w:t xml:space="preserve"> meeting the Cancer Drug Fund Lead had not been explicit </w:t>
      </w:r>
      <w:r w:rsidR="005946ED">
        <w:rPr>
          <w:sz w:val="24"/>
          <w:szCs w:val="24"/>
        </w:rPr>
        <w:t>on the limitations of the Marketing A</w:t>
      </w:r>
      <w:r w:rsidR="007D141B">
        <w:rPr>
          <w:sz w:val="24"/>
          <w:szCs w:val="24"/>
        </w:rPr>
        <w:t>uthorisation</w:t>
      </w:r>
      <w:r w:rsidR="00C43DB1">
        <w:rPr>
          <w:sz w:val="24"/>
          <w:szCs w:val="24"/>
        </w:rPr>
        <w:t xml:space="preserve"> and that this had been misinterpreted by the </w:t>
      </w:r>
      <w:r w:rsidR="003B1D51">
        <w:rPr>
          <w:sz w:val="24"/>
          <w:szCs w:val="24"/>
        </w:rPr>
        <w:t>c</w:t>
      </w:r>
      <w:r w:rsidR="000B4556">
        <w:rPr>
          <w:sz w:val="24"/>
          <w:szCs w:val="24"/>
        </w:rPr>
        <w:t>ommittee</w:t>
      </w:r>
      <w:r w:rsidR="005946ED">
        <w:rPr>
          <w:sz w:val="24"/>
          <w:szCs w:val="24"/>
        </w:rPr>
        <w:t xml:space="preserve">.  However, </w:t>
      </w:r>
      <w:r w:rsidR="001954EA">
        <w:rPr>
          <w:sz w:val="24"/>
          <w:szCs w:val="24"/>
        </w:rPr>
        <w:t xml:space="preserve">following publication of </w:t>
      </w:r>
      <w:r w:rsidR="005946ED">
        <w:rPr>
          <w:sz w:val="24"/>
          <w:szCs w:val="24"/>
        </w:rPr>
        <w:t xml:space="preserve">the draft guidance </w:t>
      </w:r>
      <w:r w:rsidR="0047093E">
        <w:rPr>
          <w:sz w:val="24"/>
          <w:szCs w:val="24"/>
        </w:rPr>
        <w:t>the Cancer Drug Fund Lead</w:t>
      </w:r>
      <w:r w:rsidR="00D14103">
        <w:rPr>
          <w:sz w:val="24"/>
          <w:szCs w:val="24"/>
        </w:rPr>
        <w:t xml:space="preserve"> provided a clarification email</w:t>
      </w:r>
      <w:r w:rsidR="0047093E">
        <w:rPr>
          <w:sz w:val="24"/>
          <w:szCs w:val="24"/>
        </w:rPr>
        <w:t xml:space="preserve">.  </w:t>
      </w:r>
      <w:r w:rsidR="00A61EA6">
        <w:rPr>
          <w:sz w:val="24"/>
          <w:szCs w:val="24"/>
        </w:rPr>
        <w:t>Joanna Richar</w:t>
      </w:r>
      <w:r w:rsidR="0054072D">
        <w:rPr>
          <w:sz w:val="24"/>
          <w:szCs w:val="24"/>
        </w:rPr>
        <w:t>d</w:t>
      </w:r>
      <w:r w:rsidR="00A61EA6">
        <w:rPr>
          <w:sz w:val="24"/>
          <w:szCs w:val="24"/>
        </w:rPr>
        <w:t xml:space="preserve">son acknowledged that this had been received </w:t>
      </w:r>
      <w:r w:rsidR="00EC2E00">
        <w:rPr>
          <w:sz w:val="24"/>
          <w:szCs w:val="24"/>
        </w:rPr>
        <w:t xml:space="preserve">on 6 March </w:t>
      </w:r>
      <w:r w:rsidR="008E55DB">
        <w:rPr>
          <w:sz w:val="24"/>
          <w:szCs w:val="24"/>
        </w:rPr>
        <w:t xml:space="preserve">2025 </w:t>
      </w:r>
      <w:r w:rsidR="00EC2E00">
        <w:rPr>
          <w:sz w:val="24"/>
          <w:szCs w:val="24"/>
        </w:rPr>
        <w:t xml:space="preserve">but </w:t>
      </w:r>
      <w:r w:rsidR="005476DD">
        <w:rPr>
          <w:sz w:val="24"/>
          <w:szCs w:val="24"/>
        </w:rPr>
        <w:t xml:space="preserve">owing </w:t>
      </w:r>
      <w:r w:rsidR="00EC2E00">
        <w:rPr>
          <w:sz w:val="24"/>
          <w:szCs w:val="24"/>
        </w:rPr>
        <w:t xml:space="preserve">to an </w:t>
      </w:r>
      <w:r w:rsidR="00C5483D">
        <w:rPr>
          <w:sz w:val="24"/>
          <w:szCs w:val="24"/>
        </w:rPr>
        <w:t>administrative</w:t>
      </w:r>
      <w:r w:rsidR="00EC2E00">
        <w:rPr>
          <w:sz w:val="24"/>
          <w:szCs w:val="24"/>
        </w:rPr>
        <w:t xml:space="preserve"> error was not </w:t>
      </w:r>
      <w:r w:rsidR="005476DD">
        <w:rPr>
          <w:sz w:val="24"/>
          <w:szCs w:val="24"/>
        </w:rPr>
        <w:t>shared with</w:t>
      </w:r>
      <w:r w:rsidR="00EC2E00">
        <w:rPr>
          <w:sz w:val="24"/>
          <w:szCs w:val="24"/>
        </w:rPr>
        <w:t xml:space="preserve"> </w:t>
      </w:r>
      <w:r w:rsidR="003B1D51">
        <w:rPr>
          <w:sz w:val="24"/>
          <w:szCs w:val="24"/>
        </w:rPr>
        <w:t>AstraZeneca</w:t>
      </w:r>
      <w:r w:rsidR="00066A73">
        <w:rPr>
          <w:sz w:val="24"/>
          <w:szCs w:val="24"/>
        </w:rPr>
        <w:t xml:space="preserve"> until 30 April</w:t>
      </w:r>
      <w:r w:rsidR="008E55DB">
        <w:rPr>
          <w:sz w:val="24"/>
          <w:szCs w:val="24"/>
        </w:rPr>
        <w:t xml:space="preserve"> 2025</w:t>
      </w:r>
      <w:r w:rsidR="00066A73">
        <w:rPr>
          <w:sz w:val="24"/>
          <w:szCs w:val="24"/>
        </w:rPr>
        <w:t xml:space="preserve"> which was very close to the second </w:t>
      </w:r>
      <w:r w:rsidR="003B1D51">
        <w:rPr>
          <w:sz w:val="24"/>
          <w:szCs w:val="24"/>
        </w:rPr>
        <w:t>c</w:t>
      </w:r>
      <w:r w:rsidR="000B4556">
        <w:rPr>
          <w:sz w:val="24"/>
          <w:szCs w:val="24"/>
        </w:rPr>
        <w:t>ommittee</w:t>
      </w:r>
      <w:r w:rsidR="00066A73">
        <w:rPr>
          <w:sz w:val="24"/>
          <w:szCs w:val="24"/>
        </w:rPr>
        <w:t xml:space="preserve"> meeting.  She explained that </w:t>
      </w:r>
      <w:r w:rsidR="003B1D51">
        <w:rPr>
          <w:sz w:val="24"/>
          <w:szCs w:val="24"/>
        </w:rPr>
        <w:t>AstraZeneca</w:t>
      </w:r>
      <w:r w:rsidR="00066A73">
        <w:rPr>
          <w:sz w:val="24"/>
          <w:szCs w:val="24"/>
        </w:rPr>
        <w:t xml:space="preserve"> w</w:t>
      </w:r>
      <w:r w:rsidR="005476DD">
        <w:rPr>
          <w:sz w:val="24"/>
          <w:szCs w:val="24"/>
        </w:rPr>
        <w:t>as</w:t>
      </w:r>
      <w:r w:rsidR="00066A73">
        <w:rPr>
          <w:sz w:val="24"/>
          <w:szCs w:val="24"/>
        </w:rPr>
        <w:t xml:space="preserve"> provided with the opportunity to comment on t</w:t>
      </w:r>
      <w:r w:rsidR="00C77517">
        <w:rPr>
          <w:sz w:val="24"/>
          <w:szCs w:val="24"/>
        </w:rPr>
        <w:t xml:space="preserve">he assumption at the second </w:t>
      </w:r>
      <w:r w:rsidR="003B1D51">
        <w:rPr>
          <w:sz w:val="24"/>
          <w:szCs w:val="24"/>
        </w:rPr>
        <w:t>c</w:t>
      </w:r>
      <w:r w:rsidR="000B4556">
        <w:rPr>
          <w:sz w:val="24"/>
          <w:szCs w:val="24"/>
        </w:rPr>
        <w:t>ommittee</w:t>
      </w:r>
      <w:r w:rsidR="00C77517">
        <w:rPr>
          <w:sz w:val="24"/>
          <w:szCs w:val="24"/>
        </w:rPr>
        <w:t xml:space="preserve"> meeting </w:t>
      </w:r>
      <w:proofErr w:type="gramStart"/>
      <w:r w:rsidR="00C77517">
        <w:rPr>
          <w:sz w:val="24"/>
          <w:szCs w:val="24"/>
        </w:rPr>
        <w:t>and also</w:t>
      </w:r>
      <w:proofErr w:type="gramEnd"/>
      <w:r w:rsidR="00C77517">
        <w:rPr>
          <w:sz w:val="24"/>
          <w:szCs w:val="24"/>
        </w:rPr>
        <w:t xml:space="preserve"> provided with </w:t>
      </w:r>
      <w:r w:rsidR="00EA59ED">
        <w:rPr>
          <w:sz w:val="24"/>
          <w:szCs w:val="24"/>
        </w:rPr>
        <w:t>the opportunity to provide</w:t>
      </w:r>
      <w:r w:rsidR="000F0FD8">
        <w:rPr>
          <w:sz w:val="24"/>
          <w:szCs w:val="24"/>
        </w:rPr>
        <w:t xml:space="preserve"> a</w:t>
      </w:r>
      <w:r w:rsidR="00EA59ED">
        <w:rPr>
          <w:sz w:val="24"/>
          <w:szCs w:val="24"/>
        </w:rPr>
        <w:t xml:space="preserve"> written comment.  However, </w:t>
      </w:r>
      <w:r w:rsidR="00524B17">
        <w:rPr>
          <w:sz w:val="24"/>
          <w:szCs w:val="24"/>
        </w:rPr>
        <w:t xml:space="preserve">given NICE's remit to consider the technology in line with how </w:t>
      </w:r>
      <w:r w:rsidR="000F0FD8">
        <w:rPr>
          <w:sz w:val="24"/>
          <w:szCs w:val="24"/>
        </w:rPr>
        <w:t xml:space="preserve">the </w:t>
      </w:r>
      <w:r w:rsidR="001F7D92">
        <w:rPr>
          <w:sz w:val="24"/>
          <w:szCs w:val="24"/>
        </w:rPr>
        <w:t>Marketing A</w:t>
      </w:r>
      <w:r w:rsidR="000F0FD8">
        <w:rPr>
          <w:sz w:val="24"/>
          <w:szCs w:val="24"/>
        </w:rPr>
        <w:t>uthorisation had</w:t>
      </w:r>
      <w:r w:rsidR="001F7D92">
        <w:rPr>
          <w:sz w:val="24"/>
          <w:szCs w:val="24"/>
        </w:rPr>
        <w:t xml:space="preserve"> been </w:t>
      </w:r>
      <w:r w:rsidR="00C5483D">
        <w:rPr>
          <w:sz w:val="24"/>
          <w:szCs w:val="24"/>
        </w:rPr>
        <w:t>granted</w:t>
      </w:r>
      <w:r w:rsidR="00C75614">
        <w:rPr>
          <w:sz w:val="24"/>
          <w:szCs w:val="24"/>
        </w:rPr>
        <w:t>,</w:t>
      </w:r>
      <w:r w:rsidR="00144CCA">
        <w:rPr>
          <w:sz w:val="24"/>
          <w:szCs w:val="24"/>
        </w:rPr>
        <w:t xml:space="preserve"> </w:t>
      </w:r>
      <w:r w:rsidR="001F7D92">
        <w:rPr>
          <w:sz w:val="24"/>
          <w:szCs w:val="24"/>
        </w:rPr>
        <w:t xml:space="preserve">the </w:t>
      </w:r>
      <w:r w:rsidR="00C75614">
        <w:rPr>
          <w:sz w:val="24"/>
          <w:szCs w:val="24"/>
        </w:rPr>
        <w:t>c</w:t>
      </w:r>
      <w:r w:rsidR="000B4556">
        <w:rPr>
          <w:sz w:val="24"/>
          <w:szCs w:val="24"/>
        </w:rPr>
        <w:t>ommittee</w:t>
      </w:r>
      <w:r w:rsidR="00144CCA">
        <w:rPr>
          <w:sz w:val="24"/>
          <w:szCs w:val="24"/>
        </w:rPr>
        <w:t xml:space="preserve"> ultimately</w:t>
      </w:r>
      <w:r w:rsidR="001F7D92">
        <w:rPr>
          <w:sz w:val="24"/>
          <w:szCs w:val="24"/>
        </w:rPr>
        <w:t xml:space="preserve"> agreed it should be aligned to how it would be commissioned in the NHS.</w:t>
      </w:r>
    </w:p>
    <w:p w14:paraId="26C7EAA4" w14:textId="546ECBAE" w:rsidR="001F7D92" w:rsidRPr="00C134D3" w:rsidRDefault="008E73B3" w:rsidP="00A72AA6">
      <w:pPr>
        <w:pStyle w:val="Paragraph"/>
      </w:pPr>
      <w:r>
        <w:rPr>
          <w:sz w:val="24"/>
          <w:szCs w:val="24"/>
        </w:rPr>
        <w:t xml:space="preserve">Emily Crowe </w:t>
      </w:r>
      <w:r w:rsidR="00E10B84">
        <w:rPr>
          <w:sz w:val="24"/>
          <w:szCs w:val="24"/>
        </w:rPr>
        <w:t xml:space="preserve">explained that the </w:t>
      </w:r>
      <w:r w:rsidR="00C75614">
        <w:rPr>
          <w:sz w:val="24"/>
          <w:szCs w:val="24"/>
        </w:rPr>
        <w:t>c</w:t>
      </w:r>
      <w:r w:rsidR="000B4556">
        <w:rPr>
          <w:sz w:val="24"/>
          <w:szCs w:val="24"/>
        </w:rPr>
        <w:t>ommittee</w:t>
      </w:r>
      <w:r w:rsidR="00E10B84">
        <w:rPr>
          <w:sz w:val="24"/>
          <w:szCs w:val="24"/>
        </w:rPr>
        <w:t xml:space="preserve"> did not consider</w:t>
      </w:r>
      <w:r w:rsidR="00D56E21">
        <w:rPr>
          <w:sz w:val="24"/>
          <w:szCs w:val="24"/>
        </w:rPr>
        <w:t xml:space="preserve"> further consultation on the issue to be necessary.  She referred to paragraph 5.8.59 of the Manual </w:t>
      </w:r>
      <w:r w:rsidR="00D92FCE">
        <w:rPr>
          <w:sz w:val="24"/>
          <w:szCs w:val="24"/>
        </w:rPr>
        <w:t xml:space="preserve">which </w:t>
      </w:r>
      <w:r w:rsidR="0034731C">
        <w:rPr>
          <w:sz w:val="24"/>
          <w:szCs w:val="24"/>
        </w:rPr>
        <w:t xml:space="preserve">requires the chair of the </w:t>
      </w:r>
      <w:r w:rsidR="00C75614">
        <w:rPr>
          <w:sz w:val="24"/>
          <w:szCs w:val="24"/>
        </w:rPr>
        <w:t>c</w:t>
      </w:r>
      <w:r w:rsidR="000B4556">
        <w:rPr>
          <w:sz w:val="24"/>
          <w:szCs w:val="24"/>
        </w:rPr>
        <w:t>ommittee</w:t>
      </w:r>
      <w:r w:rsidR="0034731C">
        <w:rPr>
          <w:sz w:val="24"/>
          <w:szCs w:val="24"/>
        </w:rPr>
        <w:t xml:space="preserve"> to consider whether it is necessary to repeat the draft guidance </w:t>
      </w:r>
      <w:r w:rsidR="00C5483D">
        <w:rPr>
          <w:sz w:val="24"/>
          <w:szCs w:val="24"/>
        </w:rPr>
        <w:lastRenderedPageBreak/>
        <w:t>consultation</w:t>
      </w:r>
      <w:r w:rsidR="0034731C">
        <w:rPr>
          <w:sz w:val="24"/>
          <w:szCs w:val="24"/>
        </w:rPr>
        <w:t xml:space="preserve"> whe</w:t>
      </w:r>
      <w:r w:rsidR="001954EA">
        <w:rPr>
          <w:sz w:val="24"/>
          <w:szCs w:val="24"/>
        </w:rPr>
        <w:t>r</w:t>
      </w:r>
      <w:r w:rsidR="0034731C">
        <w:rPr>
          <w:sz w:val="24"/>
          <w:szCs w:val="24"/>
        </w:rPr>
        <w:t xml:space="preserve">e </w:t>
      </w:r>
      <w:r w:rsidR="000B57AC">
        <w:rPr>
          <w:sz w:val="24"/>
          <w:szCs w:val="24"/>
        </w:rPr>
        <w:t xml:space="preserve">there is a substantial revision of the </w:t>
      </w:r>
      <w:r w:rsidR="00C75614">
        <w:rPr>
          <w:sz w:val="24"/>
          <w:szCs w:val="24"/>
        </w:rPr>
        <w:t>c</w:t>
      </w:r>
      <w:r w:rsidR="000B4556">
        <w:rPr>
          <w:sz w:val="24"/>
          <w:szCs w:val="24"/>
        </w:rPr>
        <w:t>ommittee</w:t>
      </w:r>
      <w:r w:rsidR="000B57AC">
        <w:rPr>
          <w:sz w:val="24"/>
          <w:szCs w:val="24"/>
        </w:rPr>
        <w:t>'s previous decision, discussions or the evidence base.</w:t>
      </w:r>
      <w:r w:rsidR="00FD3F90">
        <w:rPr>
          <w:sz w:val="24"/>
          <w:szCs w:val="24"/>
        </w:rPr>
        <w:t xml:space="preserve">  </w:t>
      </w:r>
      <w:r w:rsidR="00855A0D">
        <w:rPr>
          <w:sz w:val="24"/>
          <w:szCs w:val="24"/>
        </w:rPr>
        <w:t xml:space="preserve">The </w:t>
      </w:r>
      <w:r w:rsidR="00684C66">
        <w:rPr>
          <w:sz w:val="24"/>
          <w:szCs w:val="24"/>
        </w:rPr>
        <w:t>c</w:t>
      </w:r>
      <w:r w:rsidR="000B4556">
        <w:rPr>
          <w:sz w:val="24"/>
          <w:szCs w:val="24"/>
        </w:rPr>
        <w:t>ommittee</w:t>
      </w:r>
      <w:r w:rsidR="00FD3F90">
        <w:rPr>
          <w:sz w:val="24"/>
          <w:szCs w:val="24"/>
        </w:rPr>
        <w:t xml:space="preserve"> did not consider this necessary </w:t>
      </w:r>
      <w:proofErr w:type="gramStart"/>
      <w:r w:rsidR="00FD3F90">
        <w:rPr>
          <w:sz w:val="24"/>
          <w:szCs w:val="24"/>
        </w:rPr>
        <w:t>taking into account</w:t>
      </w:r>
      <w:proofErr w:type="gramEnd"/>
      <w:r w:rsidR="00FD3F90">
        <w:rPr>
          <w:sz w:val="24"/>
          <w:szCs w:val="24"/>
        </w:rPr>
        <w:t xml:space="preserve"> that the technology had been appraised in line with </w:t>
      </w:r>
      <w:r w:rsidR="001954EA">
        <w:rPr>
          <w:sz w:val="24"/>
          <w:szCs w:val="24"/>
        </w:rPr>
        <w:t>t</w:t>
      </w:r>
      <w:r w:rsidR="00FD3F90">
        <w:rPr>
          <w:sz w:val="24"/>
          <w:szCs w:val="24"/>
        </w:rPr>
        <w:t xml:space="preserve">he Marketing </w:t>
      </w:r>
      <w:r w:rsidR="0050696B">
        <w:rPr>
          <w:sz w:val="24"/>
          <w:szCs w:val="24"/>
        </w:rPr>
        <w:t xml:space="preserve">Authorisation </w:t>
      </w:r>
      <w:r w:rsidR="00FD3F90">
        <w:rPr>
          <w:sz w:val="24"/>
          <w:szCs w:val="24"/>
        </w:rPr>
        <w:t xml:space="preserve">for durvalumab and </w:t>
      </w:r>
      <w:proofErr w:type="spellStart"/>
      <w:r w:rsidR="00FD3F90">
        <w:rPr>
          <w:sz w:val="24"/>
          <w:szCs w:val="24"/>
        </w:rPr>
        <w:t>ol</w:t>
      </w:r>
      <w:r w:rsidR="000E4DE7">
        <w:rPr>
          <w:sz w:val="24"/>
          <w:szCs w:val="24"/>
        </w:rPr>
        <w:t>aparib</w:t>
      </w:r>
      <w:proofErr w:type="spellEnd"/>
      <w:r w:rsidR="000E4DE7">
        <w:rPr>
          <w:sz w:val="24"/>
          <w:szCs w:val="24"/>
        </w:rPr>
        <w:t xml:space="preserve"> and the Marketing </w:t>
      </w:r>
      <w:r w:rsidR="0050696B">
        <w:rPr>
          <w:sz w:val="24"/>
          <w:szCs w:val="24"/>
        </w:rPr>
        <w:t xml:space="preserve">Authorisation </w:t>
      </w:r>
      <w:r w:rsidR="000E4DE7">
        <w:rPr>
          <w:sz w:val="24"/>
          <w:szCs w:val="24"/>
        </w:rPr>
        <w:t xml:space="preserve">was not subject to consultation, there was only a small change to the </w:t>
      </w:r>
      <w:proofErr w:type="gramStart"/>
      <w:r w:rsidR="000E4DE7">
        <w:rPr>
          <w:sz w:val="24"/>
          <w:szCs w:val="24"/>
        </w:rPr>
        <w:t>ICER</w:t>
      </w:r>
      <w:proofErr w:type="gramEnd"/>
      <w:r w:rsidR="000E4DE7">
        <w:rPr>
          <w:sz w:val="24"/>
          <w:szCs w:val="24"/>
        </w:rPr>
        <w:t xml:space="preserve"> and </w:t>
      </w:r>
      <w:r w:rsidR="00C5483D">
        <w:rPr>
          <w:sz w:val="24"/>
          <w:szCs w:val="24"/>
        </w:rPr>
        <w:t>the effect of this assumption would not have altered any conclusions on cost effectiveness.</w:t>
      </w:r>
    </w:p>
    <w:p w14:paraId="5E8169B9" w14:textId="6D1069D4" w:rsidR="00C134D3" w:rsidRPr="00147D4C" w:rsidRDefault="00C134D3" w:rsidP="00A72AA6">
      <w:pPr>
        <w:pStyle w:val="Paragraph"/>
      </w:pPr>
      <w:r>
        <w:rPr>
          <w:sz w:val="24"/>
          <w:szCs w:val="24"/>
        </w:rPr>
        <w:t xml:space="preserve">Emily Crowe confirmed that it was the </w:t>
      </w:r>
      <w:r w:rsidR="00684C66">
        <w:rPr>
          <w:sz w:val="24"/>
          <w:szCs w:val="24"/>
        </w:rPr>
        <w:t>c</w:t>
      </w:r>
      <w:r w:rsidR="000B4556">
        <w:rPr>
          <w:sz w:val="24"/>
          <w:szCs w:val="24"/>
        </w:rPr>
        <w:t>ommittee</w:t>
      </w:r>
      <w:r>
        <w:rPr>
          <w:sz w:val="24"/>
          <w:szCs w:val="24"/>
        </w:rPr>
        <w:t xml:space="preserve">'s understanding that </w:t>
      </w:r>
      <w:r w:rsidR="00BA3B8D">
        <w:rPr>
          <w:sz w:val="24"/>
          <w:szCs w:val="24"/>
        </w:rPr>
        <w:t xml:space="preserve">where a patient developed toxicity and they were unable to initiate </w:t>
      </w:r>
      <w:proofErr w:type="spellStart"/>
      <w:r w:rsidR="00BA3B8D">
        <w:rPr>
          <w:sz w:val="24"/>
          <w:szCs w:val="24"/>
        </w:rPr>
        <w:t>olaparib</w:t>
      </w:r>
      <w:proofErr w:type="spellEnd"/>
      <w:r w:rsidR="00BA3B8D">
        <w:rPr>
          <w:sz w:val="24"/>
          <w:szCs w:val="24"/>
        </w:rPr>
        <w:t xml:space="preserve"> </w:t>
      </w:r>
      <w:r w:rsidR="00D95B2A">
        <w:rPr>
          <w:sz w:val="24"/>
          <w:szCs w:val="24"/>
        </w:rPr>
        <w:t xml:space="preserve">they would also have to stop durvalumab.  She referred to table 2 of the </w:t>
      </w:r>
      <w:r w:rsidR="004E687C">
        <w:rPr>
          <w:sz w:val="24"/>
          <w:szCs w:val="24"/>
        </w:rPr>
        <w:t>Summary of Product Characteristics (“</w:t>
      </w:r>
      <w:r w:rsidR="00D95B2A">
        <w:rPr>
          <w:sz w:val="24"/>
          <w:szCs w:val="24"/>
        </w:rPr>
        <w:t>S</w:t>
      </w:r>
      <w:r w:rsidR="004B69AF">
        <w:rPr>
          <w:sz w:val="24"/>
          <w:szCs w:val="24"/>
        </w:rPr>
        <w:t>m</w:t>
      </w:r>
      <w:r w:rsidR="00D95B2A">
        <w:rPr>
          <w:sz w:val="24"/>
          <w:szCs w:val="24"/>
        </w:rPr>
        <w:t>PC</w:t>
      </w:r>
      <w:r w:rsidR="004E687C">
        <w:rPr>
          <w:sz w:val="24"/>
          <w:szCs w:val="24"/>
        </w:rPr>
        <w:t>”)</w:t>
      </w:r>
      <w:r w:rsidR="00D95B2A">
        <w:rPr>
          <w:sz w:val="24"/>
          <w:szCs w:val="24"/>
        </w:rPr>
        <w:t xml:space="preserve"> which states that </w:t>
      </w:r>
      <w:r w:rsidR="00586C30">
        <w:rPr>
          <w:sz w:val="24"/>
          <w:szCs w:val="24"/>
        </w:rPr>
        <w:t>for</w:t>
      </w:r>
      <w:r w:rsidR="000E30CC">
        <w:rPr>
          <w:sz w:val="24"/>
          <w:szCs w:val="24"/>
        </w:rPr>
        <w:t xml:space="preserve"> most</w:t>
      </w:r>
      <w:r w:rsidR="00586C30">
        <w:rPr>
          <w:sz w:val="24"/>
          <w:szCs w:val="24"/>
        </w:rPr>
        <w:t xml:space="preserve"> of the adverse events the advice is the permanent </w:t>
      </w:r>
      <w:r w:rsidR="000E30CC">
        <w:rPr>
          <w:sz w:val="24"/>
          <w:szCs w:val="24"/>
        </w:rPr>
        <w:t>discontinuation</w:t>
      </w:r>
      <w:r w:rsidR="00586C30">
        <w:rPr>
          <w:sz w:val="24"/>
          <w:szCs w:val="24"/>
        </w:rPr>
        <w:t xml:space="preserve"> of durvalumab</w:t>
      </w:r>
      <w:r w:rsidR="000E30CC">
        <w:rPr>
          <w:sz w:val="24"/>
          <w:szCs w:val="24"/>
        </w:rPr>
        <w:t>, or durvalumab in combination with other products.</w:t>
      </w:r>
    </w:p>
    <w:p w14:paraId="25C1B760" w14:textId="5F7CABBD" w:rsidR="002F2691" w:rsidRPr="002F2691" w:rsidRDefault="00147D4C" w:rsidP="00A72AA6">
      <w:pPr>
        <w:pStyle w:val="Paragraph"/>
      </w:pPr>
      <w:r>
        <w:rPr>
          <w:sz w:val="24"/>
          <w:szCs w:val="24"/>
        </w:rPr>
        <w:t xml:space="preserve">Adela Williams, for </w:t>
      </w:r>
      <w:r w:rsidR="007406B5">
        <w:rPr>
          <w:sz w:val="24"/>
          <w:szCs w:val="24"/>
        </w:rPr>
        <w:t>AstraZeneca</w:t>
      </w:r>
      <w:r w:rsidR="002D30B4">
        <w:rPr>
          <w:sz w:val="24"/>
          <w:szCs w:val="24"/>
        </w:rPr>
        <w:t xml:space="preserve">, </w:t>
      </w:r>
      <w:r w:rsidR="00A663AB">
        <w:rPr>
          <w:sz w:val="24"/>
          <w:szCs w:val="24"/>
        </w:rPr>
        <w:t xml:space="preserve">explained that following the first </w:t>
      </w:r>
      <w:r w:rsidR="007406B5">
        <w:rPr>
          <w:sz w:val="24"/>
          <w:szCs w:val="24"/>
        </w:rPr>
        <w:t>c</w:t>
      </w:r>
      <w:r w:rsidR="000B4556">
        <w:rPr>
          <w:sz w:val="24"/>
          <w:szCs w:val="24"/>
        </w:rPr>
        <w:t>ommittee</w:t>
      </w:r>
      <w:r w:rsidR="00A663AB">
        <w:rPr>
          <w:sz w:val="24"/>
          <w:szCs w:val="24"/>
        </w:rPr>
        <w:t xml:space="preserve"> meeting and draft guidance the </w:t>
      </w:r>
      <w:r w:rsidR="007406B5">
        <w:rPr>
          <w:sz w:val="24"/>
          <w:szCs w:val="24"/>
        </w:rPr>
        <w:t>c</w:t>
      </w:r>
      <w:r w:rsidR="000B4556">
        <w:rPr>
          <w:sz w:val="24"/>
          <w:szCs w:val="24"/>
        </w:rPr>
        <w:t>ommittee</w:t>
      </w:r>
      <w:r w:rsidR="00A663AB">
        <w:rPr>
          <w:sz w:val="24"/>
          <w:szCs w:val="24"/>
        </w:rPr>
        <w:t xml:space="preserve"> did not raise </w:t>
      </w:r>
      <w:r w:rsidR="007B6A44">
        <w:rPr>
          <w:sz w:val="24"/>
          <w:szCs w:val="24"/>
        </w:rPr>
        <w:t>an</w:t>
      </w:r>
      <w:r w:rsidR="00A663AB">
        <w:rPr>
          <w:sz w:val="24"/>
          <w:szCs w:val="24"/>
        </w:rPr>
        <w:t xml:space="preserve"> issue</w:t>
      </w:r>
      <w:r w:rsidR="007B6A44">
        <w:rPr>
          <w:sz w:val="24"/>
          <w:szCs w:val="24"/>
        </w:rPr>
        <w:t xml:space="preserve"> with the agreed assumption</w:t>
      </w:r>
      <w:r w:rsidR="00E66A2C">
        <w:rPr>
          <w:sz w:val="24"/>
          <w:szCs w:val="24"/>
        </w:rPr>
        <w:t xml:space="preserve">.  </w:t>
      </w:r>
      <w:r w:rsidR="007406B5">
        <w:rPr>
          <w:sz w:val="24"/>
          <w:szCs w:val="24"/>
        </w:rPr>
        <w:t>AstraZeneca</w:t>
      </w:r>
      <w:r w:rsidR="00E66A2C">
        <w:rPr>
          <w:sz w:val="24"/>
          <w:szCs w:val="24"/>
        </w:rPr>
        <w:t xml:space="preserve"> was only made aware</w:t>
      </w:r>
      <w:r w:rsidR="000D122D">
        <w:rPr>
          <w:sz w:val="24"/>
          <w:szCs w:val="24"/>
        </w:rPr>
        <w:t xml:space="preserve"> that the </w:t>
      </w:r>
      <w:r w:rsidR="007406B5">
        <w:rPr>
          <w:sz w:val="24"/>
          <w:szCs w:val="24"/>
        </w:rPr>
        <w:t>c</w:t>
      </w:r>
      <w:r w:rsidR="000B4556">
        <w:rPr>
          <w:sz w:val="24"/>
          <w:szCs w:val="24"/>
        </w:rPr>
        <w:t>ommittee</w:t>
      </w:r>
      <w:r w:rsidR="000D122D">
        <w:rPr>
          <w:sz w:val="24"/>
          <w:szCs w:val="24"/>
        </w:rPr>
        <w:t xml:space="preserve"> wanted to reopen the issue</w:t>
      </w:r>
      <w:r w:rsidR="00E66A2C">
        <w:rPr>
          <w:sz w:val="24"/>
          <w:szCs w:val="24"/>
        </w:rPr>
        <w:t xml:space="preserve"> immediately before the second </w:t>
      </w:r>
      <w:r w:rsidR="007406B5">
        <w:rPr>
          <w:sz w:val="24"/>
          <w:szCs w:val="24"/>
        </w:rPr>
        <w:t>c</w:t>
      </w:r>
      <w:r w:rsidR="000B4556">
        <w:rPr>
          <w:sz w:val="24"/>
          <w:szCs w:val="24"/>
        </w:rPr>
        <w:t>ommittee</w:t>
      </w:r>
      <w:r w:rsidR="00E66A2C">
        <w:rPr>
          <w:sz w:val="24"/>
          <w:szCs w:val="24"/>
        </w:rPr>
        <w:t xml:space="preserve"> meeting</w:t>
      </w:r>
      <w:r w:rsidR="004B69AF">
        <w:rPr>
          <w:sz w:val="24"/>
          <w:szCs w:val="24"/>
        </w:rPr>
        <w:t>.</w:t>
      </w:r>
      <w:r w:rsidR="00C5151C">
        <w:rPr>
          <w:sz w:val="24"/>
          <w:szCs w:val="24"/>
        </w:rPr>
        <w:t xml:space="preserve">  She stated </w:t>
      </w:r>
      <w:r w:rsidR="00213388">
        <w:rPr>
          <w:sz w:val="24"/>
          <w:szCs w:val="24"/>
        </w:rPr>
        <w:t xml:space="preserve">that </w:t>
      </w:r>
      <w:r w:rsidR="007406B5">
        <w:rPr>
          <w:sz w:val="24"/>
          <w:szCs w:val="24"/>
        </w:rPr>
        <w:t>AstraZeneca</w:t>
      </w:r>
      <w:r w:rsidR="00213388">
        <w:rPr>
          <w:sz w:val="24"/>
          <w:szCs w:val="24"/>
        </w:rPr>
        <w:t xml:space="preserve"> </w:t>
      </w:r>
      <w:r w:rsidR="00C362CC">
        <w:rPr>
          <w:sz w:val="24"/>
          <w:szCs w:val="24"/>
        </w:rPr>
        <w:t xml:space="preserve">did not have </w:t>
      </w:r>
      <w:r w:rsidR="00631358">
        <w:rPr>
          <w:sz w:val="24"/>
          <w:szCs w:val="24"/>
        </w:rPr>
        <w:t>time</w:t>
      </w:r>
      <w:r w:rsidR="008E76C7">
        <w:rPr>
          <w:sz w:val="24"/>
          <w:szCs w:val="24"/>
        </w:rPr>
        <w:t xml:space="preserve"> to prepare and was </w:t>
      </w:r>
      <w:r w:rsidR="00EF7C61">
        <w:rPr>
          <w:sz w:val="24"/>
          <w:szCs w:val="24"/>
        </w:rPr>
        <w:t xml:space="preserve">unable </w:t>
      </w:r>
      <w:r w:rsidR="00C362CC">
        <w:rPr>
          <w:sz w:val="24"/>
          <w:szCs w:val="24"/>
        </w:rPr>
        <w:t xml:space="preserve">to raise </w:t>
      </w:r>
      <w:proofErr w:type="gramStart"/>
      <w:r w:rsidR="00C362CC">
        <w:rPr>
          <w:sz w:val="24"/>
          <w:szCs w:val="24"/>
        </w:rPr>
        <w:t>a number of</w:t>
      </w:r>
      <w:proofErr w:type="gramEnd"/>
      <w:r w:rsidR="00C362CC">
        <w:rPr>
          <w:sz w:val="24"/>
          <w:szCs w:val="24"/>
        </w:rPr>
        <w:t xml:space="preserve"> points</w:t>
      </w:r>
      <w:r w:rsidR="00EF7C61">
        <w:rPr>
          <w:sz w:val="24"/>
          <w:szCs w:val="24"/>
        </w:rPr>
        <w:t xml:space="preserve">.  Furthermore, </w:t>
      </w:r>
      <w:r w:rsidR="00D75656">
        <w:rPr>
          <w:sz w:val="24"/>
          <w:szCs w:val="24"/>
        </w:rPr>
        <w:t xml:space="preserve">the absence of the clinical experts at the second </w:t>
      </w:r>
      <w:r w:rsidR="007406B5">
        <w:rPr>
          <w:sz w:val="24"/>
          <w:szCs w:val="24"/>
        </w:rPr>
        <w:t>c</w:t>
      </w:r>
      <w:r w:rsidR="000B4556">
        <w:rPr>
          <w:sz w:val="24"/>
          <w:szCs w:val="24"/>
        </w:rPr>
        <w:t>ommittee</w:t>
      </w:r>
      <w:r w:rsidR="00D75656">
        <w:rPr>
          <w:sz w:val="24"/>
          <w:szCs w:val="24"/>
        </w:rPr>
        <w:t xml:space="preserve"> meeting meant they were unable to comment. </w:t>
      </w:r>
      <w:r w:rsidR="00B07013">
        <w:rPr>
          <w:sz w:val="24"/>
          <w:szCs w:val="24"/>
        </w:rPr>
        <w:t xml:space="preserve"> </w:t>
      </w:r>
      <w:r w:rsidR="009A50E2">
        <w:rPr>
          <w:sz w:val="24"/>
          <w:szCs w:val="24"/>
        </w:rPr>
        <w:t>She said t</w:t>
      </w:r>
      <w:r w:rsidR="00B07013">
        <w:rPr>
          <w:sz w:val="24"/>
          <w:szCs w:val="24"/>
        </w:rPr>
        <w:t xml:space="preserve">he fact that </w:t>
      </w:r>
      <w:r w:rsidR="007406B5">
        <w:rPr>
          <w:sz w:val="24"/>
          <w:szCs w:val="24"/>
        </w:rPr>
        <w:t>AstraZeneca</w:t>
      </w:r>
      <w:r w:rsidR="00B07013">
        <w:rPr>
          <w:sz w:val="24"/>
          <w:szCs w:val="24"/>
        </w:rPr>
        <w:t xml:space="preserve"> was allowed to make written submissions reinforced the requirement that </w:t>
      </w:r>
      <w:r w:rsidR="002F2691">
        <w:rPr>
          <w:sz w:val="24"/>
          <w:szCs w:val="24"/>
        </w:rPr>
        <w:t>consultation</w:t>
      </w:r>
      <w:r w:rsidR="00B07013">
        <w:rPr>
          <w:sz w:val="24"/>
          <w:szCs w:val="24"/>
        </w:rPr>
        <w:t xml:space="preserve"> was required.  </w:t>
      </w:r>
      <w:r w:rsidR="00F04589">
        <w:rPr>
          <w:sz w:val="24"/>
          <w:szCs w:val="24"/>
        </w:rPr>
        <w:t xml:space="preserve">She noted that although it is the </w:t>
      </w:r>
      <w:r w:rsidR="007406B5">
        <w:rPr>
          <w:sz w:val="24"/>
          <w:szCs w:val="24"/>
        </w:rPr>
        <w:t>c</w:t>
      </w:r>
      <w:r w:rsidR="000B4556">
        <w:rPr>
          <w:sz w:val="24"/>
          <w:szCs w:val="24"/>
        </w:rPr>
        <w:t>ommittee</w:t>
      </w:r>
      <w:r w:rsidR="00F04589">
        <w:rPr>
          <w:sz w:val="24"/>
          <w:szCs w:val="24"/>
        </w:rPr>
        <w:t xml:space="preserve">'s position that </w:t>
      </w:r>
      <w:r w:rsidR="00E0240E">
        <w:rPr>
          <w:sz w:val="24"/>
          <w:szCs w:val="24"/>
        </w:rPr>
        <w:t xml:space="preserve">it would have made little difference to the ICER the </w:t>
      </w:r>
      <w:r w:rsidR="007406B5">
        <w:rPr>
          <w:sz w:val="24"/>
          <w:szCs w:val="24"/>
        </w:rPr>
        <w:t>c</w:t>
      </w:r>
      <w:r w:rsidR="001321C3">
        <w:rPr>
          <w:sz w:val="24"/>
          <w:szCs w:val="24"/>
        </w:rPr>
        <w:t>ompany</w:t>
      </w:r>
      <w:r w:rsidR="00E0240E">
        <w:rPr>
          <w:sz w:val="24"/>
          <w:szCs w:val="24"/>
        </w:rPr>
        <w:t xml:space="preserve"> is entitled to a fair procedure and </w:t>
      </w:r>
      <w:r w:rsidR="0050696B">
        <w:rPr>
          <w:sz w:val="24"/>
          <w:szCs w:val="24"/>
        </w:rPr>
        <w:t xml:space="preserve">if the change made any significant difference, the </w:t>
      </w:r>
      <w:r w:rsidR="007406B5">
        <w:rPr>
          <w:sz w:val="24"/>
          <w:szCs w:val="24"/>
        </w:rPr>
        <w:t>c</w:t>
      </w:r>
      <w:r w:rsidR="0050696B">
        <w:rPr>
          <w:sz w:val="24"/>
          <w:szCs w:val="24"/>
        </w:rPr>
        <w:t>ommittee should have consulted</w:t>
      </w:r>
      <w:r w:rsidR="002F2691">
        <w:rPr>
          <w:sz w:val="24"/>
          <w:szCs w:val="24"/>
        </w:rPr>
        <w:t>.</w:t>
      </w:r>
    </w:p>
    <w:p w14:paraId="13A49733" w14:textId="45166889" w:rsidR="00147D4C" w:rsidRPr="001A11C2" w:rsidRDefault="00F40589" w:rsidP="00A72AA6">
      <w:pPr>
        <w:pStyle w:val="Paragraph"/>
      </w:pPr>
      <w:r>
        <w:rPr>
          <w:sz w:val="24"/>
          <w:szCs w:val="24"/>
        </w:rPr>
        <w:t xml:space="preserve">Adela Williams </w:t>
      </w:r>
      <w:r w:rsidR="0050696B">
        <w:rPr>
          <w:sz w:val="24"/>
          <w:szCs w:val="24"/>
        </w:rPr>
        <w:t xml:space="preserve">addressed </w:t>
      </w:r>
      <w:r w:rsidR="007406B5">
        <w:rPr>
          <w:sz w:val="24"/>
          <w:szCs w:val="24"/>
        </w:rPr>
        <w:t>AstraZeneca</w:t>
      </w:r>
      <w:r w:rsidR="0050696B">
        <w:rPr>
          <w:sz w:val="24"/>
          <w:szCs w:val="24"/>
        </w:rPr>
        <w:t xml:space="preserve">'s position on </w:t>
      </w:r>
      <w:r w:rsidR="00841F86">
        <w:rPr>
          <w:sz w:val="24"/>
          <w:szCs w:val="24"/>
        </w:rPr>
        <w:t xml:space="preserve">whether the </w:t>
      </w:r>
      <w:r w:rsidR="009279AA">
        <w:rPr>
          <w:sz w:val="24"/>
          <w:szCs w:val="24"/>
        </w:rPr>
        <w:t>input of clinical experts was necessary</w:t>
      </w:r>
      <w:r w:rsidR="005A4D36">
        <w:rPr>
          <w:sz w:val="24"/>
          <w:szCs w:val="24"/>
        </w:rPr>
        <w:t xml:space="preserve">.  She </w:t>
      </w:r>
      <w:r w:rsidR="00B15C06">
        <w:rPr>
          <w:sz w:val="24"/>
          <w:szCs w:val="24"/>
        </w:rPr>
        <w:t xml:space="preserve">explained </w:t>
      </w:r>
      <w:r w:rsidR="00736FC2">
        <w:rPr>
          <w:sz w:val="24"/>
          <w:szCs w:val="24"/>
        </w:rPr>
        <w:t>that</w:t>
      </w:r>
      <w:r w:rsidR="00B15C06">
        <w:rPr>
          <w:sz w:val="24"/>
          <w:szCs w:val="24"/>
        </w:rPr>
        <w:t xml:space="preserve"> at the start of </w:t>
      </w:r>
      <w:r w:rsidR="00B15C06">
        <w:rPr>
          <w:sz w:val="24"/>
          <w:szCs w:val="24"/>
        </w:rPr>
        <w:lastRenderedPageBreak/>
        <w:t xml:space="preserve">treatment, patients must be suitable for durvalumab and </w:t>
      </w:r>
      <w:proofErr w:type="spellStart"/>
      <w:r w:rsidR="00B15C06">
        <w:rPr>
          <w:sz w:val="24"/>
          <w:szCs w:val="24"/>
        </w:rPr>
        <w:t>olaparib</w:t>
      </w:r>
      <w:proofErr w:type="spellEnd"/>
      <w:r w:rsidR="00B15C06">
        <w:rPr>
          <w:sz w:val="24"/>
          <w:szCs w:val="24"/>
        </w:rPr>
        <w:t xml:space="preserve">, however it is not possible to </w:t>
      </w:r>
      <w:r w:rsidR="006177B2">
        <w:rPr>
          <w:sz w:val="24"/>
          <w:szCs w:val="24"/>
        </w:rPr>
        <w:t>predict who would develop a toxicity that w</w:t>
      </w:r>
      <w:r w:rsidR="003D0DDF">
        <w:rPr>
          <w:sz w:val="24"/>
          <w:szCs w:val="24"/>
        </w:rPr>
        <w:t>ould</w:t>
      </w:r>
      <w:r w:rsidR="006177B2">
        <w:rPr>
          <w:sz w:val="24"/>
          <w:szCs w:val="24"/>
        </w:rPr>
        <w:t xml:space="preserve"> preclude </w:t>
      </w:r>
      <w:r w:rsidR="00736FC2">
        <w:rPr>
          <w:sz w:val="24"/>
          <w:szCs w:val="24"/>
        </w:rPr>
        <w:t>combination</w:t>
      </w:r>
      <w:r w:rsidR="006177B2">
        <w:rPr>
          <w:sz w:val="24"/>
          <w:szCs w:val="24"/>
        </w:rPr>
        <w:t xml:space="preserve"> treatment.</w:t>
      </w:r>
      <w:r w:rsidR="00281613">
        <w:rPr>
          <w:sz w:val="24"/>
          <w:szCs w:val="24"/>
        </w:rPr>
        <w:t xml:space="preserve">   </w:t>
      </w:r>
      <w:r w:rsidR="004662C3">
        <w:rPr>
          <w:sz w:val="24"/>
          <w:szCs w:val="24"/>
        </w:rPr>
        <w:t xml:space="preserve">She noted the </w:t>
      </w:r>
      <w:r w:rsidR="007406B5">
        <w:rPr>
          <w:sz w:val="24"/>
          <w:szCs w:val="24"/>
        </w:rPr>
        <w:t>c</w:t>
      </w:r>
      <w:r w:rsidR="000B4556">
        <w:rPr>
          <w:sz w:val="24"/>
          <w:szCs w:val="24"/>
        </w:rPr>
        <w:t>ommittee</w:t>
      </w:r>
      <w:r w:rsidR="004662C3">
        <w:rPr>
          <w:sz w:val="24"/>
          <w:szCs w:val="24"/>
        </w:rPr>
        <w:t xml:space="preserve"> concluded that this meant patients would be forced to </w:t>
      </w:r>
      <w:r w:rsidR="00CF622C">
        <w:rPr>
          <w:sz w:val="24"/>
          <w:szCs w:val="24"/>
        </w:rPr>
        <w:t>discontinue both treatments</w:t>
      </w:r>
      <w:r w:rsidR="001A11C2">
        <w:rPr>
          <w:sz w:val="24"/>
          <w:szCs w:val="24"/>
        </w:rPr>
        <w:t xml:space="preserve">. </w:t>
      </w:r>
      <w:r w:rsidR="00C523E1">
        <w:rPr>
          <w:sz w:val="24"/>
          <w:szCs w:val="24"/>
        </w:rPr>
        <w:t xml:space="preserve"> However, t</w:t>
      </w:r>
      <w:r w:rsidR="001A11C2">
        <w:rPr>
          <w:sz w:val="24"/>
          <w:szCs w:val="24"/>
        </w:rPr>
        <w:t xml:space="preserve">his was not how </w:t>
      </w:r>
      <w:r w:rsidR="007406B5">
        <w:rPr>
          <w:sz w:val="24"/>
          <w:szCs w:val="24"/>
        </w:rPr>
        <w:t>AstraZeneca</w:t>
      </w:r>
      <w:r w:rsidR="001A11C2">
        <w:rPr>
          <w:sz w:val="24"/>
          <w:szCs w:val="24"/>
        </w:rPr>
        <w:t xml:space="preserve"> had read the S</w:t>
      </w:r>
      <w:r w:rsidR="004B69AF">
        <w:rPr>
          <w:sz w:val="24"/>
          <w:szCs w:val="24"/>
        </w:rPr>
        <w:t>m</w:t>
      </w:r>
      <w:r w:rsidR="001A11C2">
        <w:rPr>
          <w:sz w:val="24"/>
          <w:szCs w:val="24"/>
        </w:rPr>
        <w:t>PC which is why clinical expert input was required.</w:t>
      </w:r>
    </w:p>
    <w:p w14:paraId="2C493148" w14:textId="2F522E66" w:rsidR="001A11C2" w:rsidRPr="002D6E44" w:rsidRDefault="00E80DF4" w:rsidP="00A72AA6">
      <w:pPr>
        <w:pStyle w:val="Paragraph"/>
      </w:pPr>
      <w:r>
        <w:rPr>
          <w:sz w:val="24"/>
          <w:szCs w:val="24"/>
        </w:rPr>
        <w:t xml:space="preserve">Philippa Murphy stated that </w:t>
      </w:r>
      <w:r w:rsidR="007406B5">
        <w:rPr>
          <w:sz w:val="24"/>
          <w:szCs w:val="24"/>
        </w:rPr>
        <w:t>AstraZeneca</w:t>
      </w:r>
      <w:r>
        <w:rPr>
          <w:sz w:val="24"/>
          <w:szCs w:val="24"/>
        </w:rPr>
        <w:t xml:space="preserve"> responded </w:t>
      </w:r>
      <w:r w:rsidR="00907E7E">
        <w:rPr>
          <w:sz w:val="24"/>
          <w:szCs w:val="24"/>
        </w:rPr>
        <w:t>with a written addendum on 9 May</w:t>
      </w:r>
      <w:r w:rsidR="008E55DB">
        <w:rPr>
          <w:sz w:val="24"/>
          <w:szCs w:val="24"/>
        </w:rPr>
        <w:t xml:space="preserve"> 2025</w:t>
      </w:r>
      <w:r w:rsidR="00907E7E">
        <w:rPr>
          <w:sz w:val="24"/>
          <w:szCs w:val="24"/>
        </w:rPr>
        <w:t xml:space="preserve">, the EAG shared </w:t>
      </w:r>
      <w:r w:rsidR="00EC3335">
        <w:rPr>
          <w:sz w:val="24"/>
          <w:szCs w:val="24"/>
        </w:rPr>
        <w:t>its</w:t>
      </w:r>
      <w:r w:rsidR="00907E7E">
        <w:rPr>
          <w:sz w:val="24"/>
          <w:szCs w:val="24"/>
        </w:rPr>
        <w:t xml:space="preserve"> comments on 13 May</w:t>
      </w:r>
      <w:r w:rsidR="008E55DB">
        <w:rPr>
          <w:sz w:val="24"/>
          <w:szCs w:val="24"/>
        </w:rPr>
        <w:t xml:space="preserve"> 2025</w:t>
      </w:r>
      <w:r w:rsidR="00907E7E">
        <w:rPr>
          <w:sz w:val="24"/>
          <w:szCs w:val="24"/>
        </w:rPr>
        <w:t xml:space="preserve"> and the FDG was </w:t>
      </w:r>
      <w:r w:rsidR="0033499E">
        <w:rPr>
          <w:sz w:val="24"/>
          <w:szCs w:val="24"/>
        </w:rPr>
        <w:t>circulated</w:t>
      </w:r>
      <w:r w:rsidR="00907E7E">
        <w:rPr>
          <w:sz w:val="24"/>
          <w:szCs w:val="24"/>
        </w:rPr>
        <w:t xml:space="preserve"> on 14 May</w:t>
      </w:r>
      <w:r w:rsidR="008E55DB">
        <w:rPr>
          <w:sz w:val="24"/>
          <w:szCs w:val="24"/>
        </w:rPr>
        <w:t xml:space="preserve"> 2025</w:t>
      </w:r>
      <w:r w:rsidR="00907E7E">
        <w:rPr>
          <w:sz w:val="24"/>
          <w:szCs w:val="24"/>
        </w:rPr>
        <w:t xml:space="preserve"> for comments.  </w:t>
      </w:r>
      <w:proofErr w:type="gramStart"/>
      <w:r w:rsidR="0050696B">
        <w:rPr>
          <w:sz w:val="24"/>
          <w:szCs w:val="24"/>
        </w:rPr>
        <w:t>In light of</w:t>
      </w:r>
      <w:proofErr w:type="gramEnd"/>
      <w:r w:rsidR="0050696B">
        <w:rPr>
          <w:sz w:val="24"/>
          <w:szCs w:val="24"/>
        </w:rPr>
        <w:t xml:space="preserve"> that </w:t>
      </w:r>
      <w:r w:rsidR="002C4A51">
        <w:rPr>
          <w:sz w:val="24"/>
          <w:szCs w:val="24"/>
        </w:rPr>
        <w:t>timetable,</w:t>
      </w:r>
      <w:r w:rsidR="0050696B">
        <w:rPr>
          <w:sz w:val="24"/>
          <w:szCs w:val="24"/>
        </w:rPr>
        <w:t xml:space="preserve"> she queried </w:t>
      </w:r>
      <w:r w:rsidR="002D6E44">
        <w:rPr>
          <w:sz w:val="24"/>
          <w:szCs w:val="24"/>
        </w:rPr>
        <w:t xml:space="preserve">what consideration had been given to </w:t>
      </w:r>
      <w:r w:rsidR="007406B5">
        <w:rPr>
          <w:sz w:val="24"/>
          <w:szCs w:val="24"/>
        </w:rPr>
        <w:t>AstraZeneca</w:t>
      </w:r>
      <w:r w:rsidR="002D6E44">
        <w:rPr>
          <w:sz w:val="24"/>
          <w:szCs w:val="24"/>
        </w:rPr>
        <w:t>'s comments.</w:t>
      </w:r>
    </w:p>
    <w:p w14:paraId="0EF46203" w14:textId="77777777" w:rsidR="002D6E44" w:rsidRPr="00513DA5" w:rsidRDefault="00E5770D" w:rsidP="00A72AA6">
      <w:pPr>
        <w:pStyle w:val="Paragraph"/>
      </w:pPr>
      <w:r>
        <w:rPr>
          <w:sz w:val="24"/>
          <w:szCs w:val="24"/>
        </w:rPr>
        <w:t xml:space="preserve">Emily Crowe stated that although the clinical experts could give an opinion on how they would like durvalumab and </w:t>
      </w:r>
      <w:proofErr w:type="spellStart"/>
      <w:r>
        <w:rPr>
          <w:sz w:val="24"/>
          <w:szCs w:val="24"/>
        </w:rPr>
        <w:t>olaparib</w:t>
      </w:r>
      <w:proofErr w:type="spellEnd"/>
      <w:r>
        <w:rPr>
          <w:sz w:val="24"/>
          <w:szCs w:val="24"/>
        </w:rPr>
        <w:t xml:space="preserve"> to be used </w:t>
      </w:r>
      <w:r w:rsidR="00C37F95">
        <w:rPr>
          <w:sz w:val="24"/>
          <w:szCs w:val="24"/>
        </w:rPr>
        <w:t>it would be down to how it was commissioned</w:t>
      </w:r>
      <w:r w:rsidR="004625EA">
        <w:rPr>
          <w:sz w:val="24"/>
          <w:szCs w:val="24"/>
        </w:rPr>
        <w:t>.  The</w:t>
      </w:r>
      <w:r w:rsidR="00482FC8">
        <w:rPr>
          <w:sz w:val="24"/>
          <w:szCs w:val="24"/>
        </w:rPr>
        <w:t xml:space="preserve"> Marketing A</w:t>
      </w:r>
      <w:r w:rsidR="004625EA">
        <w:rPr>
          <w:sz w:val="24"/>
          <w:szCs w:val="24"/>
        </w:rPr>
        <w:t>uthorisation a</w:t>
      </w:r>
      <w:r w:rsidR="00513DA5">
        <w:rPr>
          <w:sz w:val="24"/>
          <w:szCs w:val="24"/>
        </w:rPr>
        <w:t>nd table 2 of the S</w:t>
      </w:r>
      <w:r w:rsidR="004B69AF">
        <w:rPr>
          <w:sz w:val="24"/>
          <w:szCs w:val="24"/>
        </w:rPr>
        <w:t>m</w:t>
      </w:r>
      <w:r w:rsidR="00513DA5">
        <w:rPr>
          <w:sz w:val="24"/>
          <w:szCs w:val="24"/>
        </w:rPr>
        <w:t>PC stated durvalumab would be discontinued for most adverse events.</w:t>
      </w:r>
    </w:p>
    <w:p w14:paraId="5060D22C" w14:textId="77777777" w:rsidR="00513DA5" w:rsidRPr="00513DA5" w:rsidRDefault="004B69AF" w:rsidP="00A72AA6">
      <w:pPr>
        <w:pStyle w:val="Paragraph"/>
      </w:pPr>
      <w:r>
        <w:rPr>
          <w:sz w:val="24"/>
          <w:szCs w:val="24"/>
        </w:rPr>
        <w:t>Adela Williams</w:t>
      </w:r>
      <w:r w:rsidR="00513DA5">
        <w:rPr>
          <w:sz w:val="24"/>
          <w:szCs w:val="24"/>
        </w:rPr>
        <w:t xml:space="preserve"> challenged </w:t>
      </w:r>
      <w:r w:rsidR="00FF0842">
        <w:rPr>
          <w:sz w:val="24"/>
          <w:szCs w:val="24"/>
        </w:rPr>
        <w:t>NICE</w:t>
      </w:r>
      <w:r w:rsidR="00737870">
        <w:rPr>
          <w:sz w:val="24"/>
          <w:szCs w:val="24"/>
        </w:rPr>
        <w:t xml:space="preserve"> on </w:t>
      </w:r>
      <w:r w:rsidR="00513DA5">
        <w:rPr>
          <w:sz w:val="24"/>
          <w:szCs w:val="24"/>
        </w:rPr>
        <w:t xml:space="preserve">whether this would </w:t>
      </w:r>
      <w:r w:rsidR="00737870">
        <w:rPr>
          <w:sz w:val="24"/>
          <w:szCs w:val="24"/>
        </w:rPr>
        <w:t xml:space="preserve">also </w:t>
      </w:r>
      <w:r w:rsidR="00513DA5">
        <w:rPr>
          <w:sz w:val="24"/>
          <w:szCs w:val="24"/>
        </w:rPr>
        <w:t>include haematological toxicities.</w:t>
      </w:r>
    </w:p>
    <w:p w14:paraId="2D6BCDF5" w14:textId="0152F222" w:rsidR="00513DA5" w:rsidRPr="003A040E" w:rsidRDefault="00513DA5" w:rsidP="00A72AA6">
      <w:pPr>
        <w:pStyle w:val="Paragraph"/>
      </w:pPr>
      <w:r>
        <w:rPr>
          <w:sz w:val="24"/>
          <w:szCs w:val="24"/>
        </w:rPr>
        <w:t xml:space="preserve">Emily Crowe accepted that </w:t>
      </w:r>
      <w:r w:rsidR="00F93782">
        <w:rPr>
          <w:sz w:val="24"/>
          <w:szCs w:val="24"/>
        </w:rPr>
        <w:t xml:space="preserve">this would require a clinical expert to comment.  She explained </w:t>
      </w:r>
      <w:r w:rsidR="00462375">
        <w:rPr>
          <w:sz w:val="24"/>
          <w:szCs w:val="24"/>
        </w:rPr>
        <w:t xml:space="preserve">that </w:t>
      </w:r>
      <w:r w:rsidR="000B4A6B">
        <w:rPr>
          <w:sz w:val="24"/>
          <w:szCs w:val="24"/>
        </w:rPr>
        <w:t>a</w:t>
      </w:r>
      <w:r w:rsidR="00F0516E">
        <w:rPr>
          <w:sz w:val="24"/>
          <w:szCs w:val="24"/>
        </w:rPr>
        <w:t xml:space="preserve"> </w:t>
      </w:r>
      <w:r w:rsidR="007406B5">
        <w:rPr>
          <w:sz w:val="24"/>
          <w:szCs w:val="24"/>
        </w:rPr>
        <w:t>c</w:t>
      </w:r>
      <w:r w:rsidR="000B4556">
        <w:rPr>
          <w:sz w:val="24"/>
          <w:szCs w:val="24"/>
        </w:rPr>
        <w:t>ommittee</w:t>
      </w:r>
      <w:r w:rsidR="00F0516E">
        <w:rPr>
          <w:sz w:val="24"/>
          <w:szCs w:val="24"/>
        </w:rPr>
        <w:t xml:space="preserve"> </w:t>
      </w:r>
      <w:r w:rsidR="00C21C01">
        <w:rPr>
          <w:sz w:val="24"/>
          <w:szCs w:val="24"/>
        </w:rPr>
        <w:t>will</w:t>
      </w:r>
      <w:r w:rsidR="00737870">
        <w:rPr>
          <w:sz w:val="24"/>
          <w:szCs w:val="24"/>
        </w:rPr>
        <w:t xml:space="preserve"> only</w:t>
      </w:r>
      <w:r w:rsidR="00C21C01">
        <w:rPr>
          <w:sz w:val="24"/>
          <w:szCs w:val="24"/>
        </w:rPr>
        <w:t xml:space="preserve"> invite clinical experts to the second </w:t>
      </w:r>
      <w:r w:rsidR="007406B5">
        <w:rPr>
          <w:sz w:val="24"/>
          <w:szCs w:val="24"/>
        </w:rPr>
        <w:t>c</w:t>
      </w:r>
      <w:r w:rsidR="000B4556">
        <w:rPr>
          <w:sz w:val="24"/>
          <w:szCs w:val="24"/>
        </w:rPr>
        <w:t>ommittee</w:t>
      </w:r>
      <w:r w:rsidR="00C21C01">
        <w:rPr>
          <w:sz w:val="24"/>
          <w:szCs w:val="24"/>
        </w:rPr>
        <w:t xml:space="preserve"> meeting when required.  However, </w:t>
      </w:r>
      <w:r w:rsidR="007406B5">
        <w:rPr>
          <w:sz w:val="24"/>
          <w:szCs w:val="24"/>
        </w:rPr>
        <w:t>AstraZeneca</w:t>
      </w:r>
      <w:r w:rsidR="0095392C">
        <w:rPr>
          <w:sz w:val="24"/>
          <w:szCs w:val="24"/>
        </w:rPr>
        <w:t xml:space="preserve">'s consultation response had no new evidence and was </w:t>
      </w:r>
      <w:r w:rsidR="00FF0842">
        <w:rPr>
          <w:sz w:val="24"/>
          <w:szCs w:val="24"/>
        </w:rPr>
        <w:t>focused on the</w:t>
      </w:r>
      <w:r w:rsidR="0095392C">
        <w:rPr>
          <w:sz w:val="24"/>
          <w:szCs w:val="24"/>
        </w:rPr>
        <w:t xml:space="preserve"> ICER threshold.  There was nothing additional which required a clinical expert opinion.  </w:t>
      </w:r>
      <w:r w:rsidR="006E74A2">
        <w:rPr>
          <w:sz w:val="24"/>
          <w:szCs w:val="24"/>
        </w:rPr>
        <w:t xml:space="preserve">She also explained that the </w:t>
      </w:r>
      <w:r w:rsidR="007406B5">
        <w:rPr>
          <w:sz w:val="24"/>
          <w:szCs w:val="24"/>
        </w:rPr>
        <w:t>c</w:t>
      </w:r>
      <w:r w:rsidR="000B4556">
        <w:rPr>
          <w:sz w:val="24"/>
          <w:szCs w:val="24"/>
        </w:rPr>
        <w:t>ommittee</w:t>
      </w:r>
      <w:r w:rsidR="006E74A2">
        <w:rPr>
          <w:sz w:val="24"/>
          <w:szCs w:val="24"/>
        </w:rPr>
        <w:t xml:space="preserve"> could have had an additional round of con</w:t>
      </w:r>
      <w:r w:rsidR="003A040E">
        <w:rPr>
          <w:sz w:val="24"/>
          <w:szCs w:val="24"/>
        </w:rPr>
        <w:t>sultation but considered this unnecessary as there was nothing material that would change the decision, the difference on the ICER was very small and the M</w:t>
      </w:r>
      <w:r w:rsidR="00CE216C">
        <w:rPr>
          <w:sz w:val="24"/>
          <w:szCs w:val="24"/>
        </w:rPr>
        <w:t xml:space="preserve">arketing </w:t>
      </w:r>
      <w:r w:rsidR="003A040E">
        <w:rPr>
          <w:sz w:val="24"/>
          <w:szCs w:val="24"/>
        </w:rPr>
        <w:t>A</w:t>
      </w:r>
      <w:r w:rsidR="00CE216C">
        <w:rPr>
          <w:sz w:val="24"/>
          <w:szCs w:val="24"/>
        </w:rPr>
        <w:t>uthorisation</w:t>
      </w:r>
      <w:r w:rsidR="003A040E">
        <w:rPr>
          <w:sz w:val="24"/>
          <w:szCs w:val="24"/>
        </w:rPr>
        <w:t xml:space="preserve"> was clear about how it would be commissioned.</w:t>
      </w:r>
    </w:p>
    <w:p w14:paraId="1BC90008" w14:textId="5B563ADE" w:rsidR="003A040E" w:rsidRPr="005C6B93" w:rsidRDefault="003A040E" w:rsidP="00A72AA6">
      <w:pPr>
        <w:pStyle w:val="Paragraph"/>
      </w:pPr>
      <w:r>
        <w:rPr>
          <w:sz w:val="24"/>
          <w:szCs w:val="24"/>
        </w:rPr>
        <w:lastRenderedPageBreak/>
        <w:t>Jacoline Bouvy, for NIC</w:t>
      </w:r>
      <w:r w:rsidR="007358A7">
        <w:rPr>
          <w:sz w:val="24"/>
          <w:szCs w:val="24"/>
        </w:rPr>
        <w:t xml:space="preserve">E, acknowledged that it was unfortunate the information was shared with </w:t>
      </w:r>
      <w:r w:rsidR="007406B5">
        <w:rPr>
          <w:sz w:val="24"/>
          <w:szCs w:val="24"/>
        </w:rPr>
        <w:t>AstraZeneca</w:t>
      </w:r>
      <w:r w:rsidR="007358A7">
        <w:rPr>
          <w:sz w:val="24"/>
          <w:szCs w:val="24"/>
        </w:rPr>
        <w:t xml:space="preserve"> late.  She explained that when considering whether an additional round of </w:t>
      </w:r>
      <w:r w:rsidR="00052B06">
        <w:rPr>
          <w:sz w:val="24"/>
          <w:szCs w:val="24"/>
        </w:rPr>
        <w:t>consultation</w:t>
      </w:r>
      <w:r w:rsidR="007358A7">
        <w:rPr>
          <w:sz w:val="24"/>
          <w:szCs w:val="24"/>
        </w:rPr>
        <w:t xml:space="preserve"> is necessary NICE must balance </w:t>
      </w:r>
      <w:r w:rsidR="00646C37">
        <w:rPr>
          <w:sz w:val="24"/>
          <w:szCs w:val="24"/>
        </w:rPr>
        <w:t xml:space="preserve">procedural fairness with following its own process.  It must also factor in the </w:t>
      </w:r>
      <w:r w:rsidR="00052B06">
        <w:rPr>
          <w:sz w:val="24"/>
          <w:szCs w:val="24"/>
        </w:rPr>
        <w:t>proportionality</w:t>
      </w:r>
      <w:r w:rsidR="00646C37">
        <w:rPr>
          <w:sz w:val="24"/>
          <w:szCs w:val="24"/>
        </w:rPr>
        <w:t xml:space="preserve"> of the different options at its disposal.  </w:t>
      </w:r>
      <w:r w:rsidR="003C48F9">
        <w:rPr>
          <w:sz w:val="24"/>
          <w:szCs w:val="24"/>
        </w:rPr>
        <w:t xml:space="preserve">It was the </w:t>
      </w:r>
      <w:r w:rsidR="00C978C1">
        <w:rPr>
          <w:sz w:val="24"/>
          <w:szCs w:val="24"/>
        </w:rPr>
        <w:t>c</w:t>
      </w:r>
      <w:r w:rsidR="000B4556">
        <w:rPr>
          <w:sz w:val="24"/>
          <w:szCs w:val="24"/>
        </w:rPr>
        <w:t>ommittee</w:t>
      </w:r>
      <w:r w:rsidR="003C48F9">
        <w:rPr>
          <w:sz w:val="24"/>
          <w:szCs w:val="24"/>
        </w:rPr>
        <w:t xml:space="preserve">'s view that </w:t>
      </w:r>
      <w:r w:rsidR="00C978C1">
        <w:rPr>
          <w:sz w:val="24"/>
          <w:szCs w:val="24"/>
        </w:rPr>
        <w:t>AstraZeneca</w:t>
      </w:r>
      <w:r w:rsidR="003C48F9">
        <w:rPr>
          <w:sz w:val="24"/>
          <w:szCs w:val="24"/>
        </w:rPr>
        <w:t xml:space="preserve"> had adequate opportunity to share its reflections and response whilst the FDG was being developed</w:t>
      </w:r>
      <w:r w:rsidR="004369BB">
        <w:rPr>
          <w:sz w:val="24"/>
          <w:szCs w:val="24"/>
        </w:rPr>
        <w:t xml:space="preserve">.  </w:t>
      </w:r>
      <w:r w:rsidR="00166807">
        <w:rPr>
          <w:sz w:val="24"/>
          <w:szCs w:val="24"/>
        </w:rPr>
        <w:t>She explained that f</w:t>
      </w:r>
      <w:r w:rsidR="004369BB">
        <w:rPr>
          <w:sz w:val="24"/>
          <w:szCs w:val="24"/>
        </w:rPr>
        <w:t xml:space="preserve">urther </w:t>
      </w:r>
      <w:r w:rsidR="0033499E">
        <w:rPr>
          <w:sz w:val="24"/>
          <w:szCs w:val="24"/>
        </w:rPr>
        <w:t>consultation</w:t>
      </w:r>
      <w:r w:rsidR="004369BB">
        <w:rPr>
          <w:sz w:val="24"/>
          <w:szCs w:val="24"/>
        </w:rPr>
        <w:t xml:space="preserve"> </w:t>
      </w:r>
      <w:r w:rsidR="00FF0842">
        <w:rPr>
          <w:sz w:val="24"/>
          <w:szCs w:val="24"/>
        </w:rPr>
        <w:t xml:space="preserve">would have </w:t>
      </w:r>
      <w:r w:rsidR="004369BB">
        <w:rPr>
          <w:sz w:val="24"/>
          <w:szCs w:val="24"/>
        </w:rPr>
        <w:t xml:space="preserve">an opportunity cost </w:t>
      </w:r>
      <w:r w:rsidR="00877646">
        <w:rPr>
          <w:sz w:val="24"/>
          <w:szCs w:val="24"/>
        </w:rPr>
        <w:t xml:space="preserve">and resource implications which must be considered.  </w:t>
      </w:r>
      <w:r w:rsidR="00166807">
        <w:rPr>
          <w:sz w:val="24"/>
          <w:szCs w:val="24"/>
        </w:rPr>
        <w:t>F</w:t>
      </w:r>
      <w:r w:rsidR="00CF50FE">
        <w:rPr>
          <w:sz w:val="24"/>
          <w:szCs w:val="24"/>
        </w:rPr>
        <w:t>urther cons</w:t>
      </w:r>
      <w:r w:rsidR="0033499E">
        <w:rPr>
          <w:sz w:val="24"/>
          <w:szCs w:val="24"/>
        </w:rPr>
        <w:t>ultation</w:t>
      </w:r>
      <w:r w:rsidR="00CF50FE">
        <w:rPr>
          <w:sz w:val="24"/>
          <w:szCs w:val="24"/>
        </w:rPr>
        <w:t xml:space="preserve"> will usually only happen whe</w:t>
      </w:r>
      <w:r w:rsidR="00FF0842">
        <w:rPr>
          <w:sz w:val="24"/>
          <w:szCs w:val="24"/>
        </w:rPr>
        <w:t>n</w:t>
      </w:r>
      <w:r w:rsidR="00CF50FE">
        <w:rPr>
          <w:sz w:val="24"/>
          <w:szCs w:val="24"/>
        </w:rPr>
        <w:t xml:space="preserve"> </w:t>
      </w:r>
      <w:r w:rsidR="0033499E">
        <w:rPr>
          <w:sz w:val="24"/>
          <w:szCs w:val="24"/>
        </w:rPr>
        <w:t>there</w:t>
      </w:r>
      <w:r w:rsidR="00CF50FE">
        <w:rPr>
          <w:sz w:val="24"/>
          <w:szCs w:val="24"/>
        </w:rPr>
        <w:t xml:space="preserve"> are new key issues which </w:t>
      </w:r>
      <w:r w:rsidR="0033499E">
        <w:rPr>
          <w:sz w:val="24"/>
          <w:szCs w:val="24"/>
        </w:rPr>
        <w:t>may impact decision making.</w:t>
      </w:r>
    </w:p>
    <w:p w14:paraId="0912E616" w14:textId="56AC35B9" w:rsidR="005C6B93" w:rsidRPr="003F01B6" w:rsidRDefault="005C6B93" w:rsidP="00A72AA6">
      <w:pPr>
        <w:pStyle w:val="Paragraph"/>
      </w:pPr>
      <w:r>
        <w:rPr>
          <w:sz w:val="24"/>
          <w:szCs w:val="24"/>
        </w:rPr>
        <w:t xml:space="preserve">Adela Williams acknowledged that mistakes </w:t>
      </w:r>
      <w:proofErr w:type="gramStart"/>
      <w:r>
        <w:rPr>
          <w:sz w:val="24"/>
          <w:szCs w:val="24"/>
        </w:rPr>
        <w:t>can</w:t>
      </w:r>
      <w:proofErr w:type="gramEnd"/>
      <w:r>
        <w:rPr>
          <w:sz w:val="24"/>
          <w:szCs w:val="24"/>
        </w:rPr>
        <w:t xml:space="preserve"> </w:t>
      </w:r>
      <w:r w:rsidR="00C80F92">
        <w:rPr>
          <w:sz w:val="24"/>
          <w:szCs w:val="24"/>
        </w:rPr>
        <w:t>happen</w:t>
      </w:r>
      <w:r>
        <w:rPr>
          <w:sz w:val="24"/>
          <w:szCs w:val="24"/>
        </w:rPr>
        <w:t xml:space="preserve"> but stated that if the result is that </w:t>
      </w:r>
      <w:r w:rsidR="005E4CFD">
        <w:rPr>
          <w:sz w:val="24"/>
          <w:szCs w:val="24"/>
        </w:rPr>
        <w:t>AstraZeneca</w:t>
      </w:r>
      <w:r>
        <w:rPr>
          <w:sz w:val="24"/>
          <w:szCs w:val="24"/>
        </w:rPr>
        <w:t xml:space="preserve"> has been deprived of sufficient time to adequately consider and respond to a change in </w:t>
      </w:r>
      <w:r w:rsidR="00FB15F6">
        <w:rPr>
          <w:sz w:val="24"/>
          <w:szCs w:val="24"/>
        </w:rPr>
        <w:t xml:space="preserve">position then NICE cannot rely on </w:t>
      </w:r>
      <w:r w:rsidR="00FB15F6" w:rsidRPr="003F01B6">
        <w:rPr>
          <w:sz w:val="24"/>
          <w:szCs w:val="24"/>
        </w:rPr>
        <w:t xml:space="preserve">proportionality to avoid consultation. She explained that </w:t>
      </w:r>
      <w:r w:rsidR="005E4CFD">
        <w:rPr>
          <w:sz w:val="24"/>
          <w:szCs w:val="24"/>
        </w:rPr>
        <w:t>AstraZeneca</w:t>
      </w:r>
      <w:r w:rsidR="00FB15F6" w:rsidRPr="003F01B6">
        <w:rPr>
          <w:sz w:val="24"/>
          <w:szCs w:val="24"/>
        </w:rPr>
        <w:t xml:space="preserve"> consider</w:t>
      </w:r>
      <w:r w:rsidR="0050696B" w:rsidRPr="003F01B6">
        <w:rPr>
          <w:sz w:val="24"/>
          <w:szCs w:val="24"/>
        </w:rPr>
        <w:t>s</w:t>
      </w:r>
      <w:r w:rsidR="00FB15F6" w:rsidRPr="003F01B6">
        <w:rPr>
          <w:sz w:val="24"/>
          <w:szCs w:val="24"/>
        </w:rPr>
        <w:t xml:space="preserve"> this to be an important issue which made a material difference which required proper discussion, consultation and input from the clinical experts.</w:t>
      </w:r>
    </w:p>
    <w:p w14:paraId="35118FCB" w14:textId="03B4B4FF" w:rsidR="00D834BD" w:rsidRPr="003F01B6" w:rsidRDefault="00D834BD" w:rsidP="0072397E">
      <w:pPr>
        <w:pStyle w:val="Paragraph"/>
        <w:rPr>
          <w:sz w:val="24"/>
          <w:szCs w:val="24"/>
        </w:rPr>
      </w:pPr>
      <w:r w:rsidRPr="003F01B6">
        <w:rPr>
          <w:sz w:val="24"/>
          <w:szCs w:val="24"/>
        </w:rPr>
        <w:t xml:space="preserve">The </w:t>
      </w:r>
      <w:r w:rsidR="005E4CFD">
        <w:rPr>
          <w:sz w:val="24"/>
          <w:szCs w:val="24"/>
        </w:rPr>
        <w:t>a</w:t>
      </w:r>
      <w:r w:rsidR="00BE04E4">
        <w:rPr>
          <w:sz w:val="24"/>
          <w:szCs w:val="24"/>
        </w:rPr>
        <w:t>ppeal panel</w:t>
      </w:r>
      <w:r w:rsidRPr="003F01B6">
        <w:rPr>
          <w:sz w:val="24"/>
          <w:szCs w:val="24"/>
        </w:rPr>
        <w:t xml:space="preserve"> concluded as follows. It reminded itself that this appeal point related to a question of whether the procedure followed by the </w:t>
      </w:r>
      <w:r w:rsidR="005E4CFD">
        <w:rPr>
          <w:sz w:val="24"/>
          <w:szCs w:val="24"/>
        </w:rPr>
        <w:t>c</w:t>
      </w:r>
      <w:r w:rsidR="000B4556" w:rsidRPr="003F01B6">
        <w:rPr>
          <w:sz w:val="24"/>
          <w:szCs w:val="24"/>
        </w:rPr>
        <w:t>ommittee</w:t>
      </w:r>
      <w:r w:rsidRPr="003F01B6">
        <w:rPr>
          <w:sz w:val="24"/>
          <w:szCs w:val="24"/>
        </w:rPr>
        <w:t xml:space="preserve"> had been sufficiently transparent and fair</w:t>
      </w:r>
      <w:r w:rsidR="003F01B6">
        <w:rPr>
          <w:sz w:val="24"/>
          <w:szCs w:val="24"/>
        </w:rPr>
        <w:t>.</w:t>
      </w:r>
    </w:p>
    <w:p w14:paraId="7DC62241" w14:textId="24F8DBC7" w:rsidR="00BE43AC" w:rsidRPr="003F01B6" w:rsidRDefault="0033384C" w:rsidP="00A72AA6">
      <w:pPr>
        <w:pStyle w:val="Paragraph"/>
        <w:rPr>
          <w:sz w:val="24"/>
          <w:szCs w:val="24"/>
        </w:rPr>
      </w:pPr>
      <w:r w:rsidRPr="003F01B6">
        <w:rPr>
          <w:sz w:val="24"/>
          <w:szCs w:val="24"/>
        </w:rPr>
        <w:t xml:space="preserve">The </w:t>
      </w:r>
      <w:r w:rsidR="005E4CFD">
        <w:rPr>
          <w:sz w:val="24"/>
          <w:szCs w:val="24"/>
        </w:rPr>
        <w:t>a</w:t>
      </w:r>
      <w:r w:rsidR="00BE04E4">
        <w:rPr>
          <w:sz w:val="24"/>
          <w:szCs w:val="24"/>
        </w:rPr>
        <w:t>ppeal panel</w:t>
      </w:r>
      <w:r w:rsidRPr="003F01B6">
        <w:rPr>
          <w:sz w:val="24"/>
          <w:szCs w:val="24"/>
        </w:rPr>
        <w:t xml:space="preserve"> understood that the </w:t>
      </w:r>
      <w:r w:rsidR="005E4CFD">
        <w:rPr>
          <w:sz w:val="24"/>
          <w:szCs w:val="24"/>
        </w:rPr>
        <w:t>c</w:t>
      </w:r>
      <w:r w:rsidRPr="003F01B6">
        <w:rPr>
          <w:sz w:val="24"/>
          <w:szCs w:val="24"/>
        </w:rPr>
        <w:t>ommittee had changed their preferred assumption when they received additional information from the C</w:t>
      </w:r>
      <w:r w:rsidR="003F01B6">
        <w:rPr>
          <w:sz w:val="24"/>
          <w:szCs w:val="24"/>
        </w:rPr>
        <w:t xml:space="preserve">ancer </w:t>
      </w:r>
      <w:r w:rsidRPr="003F01B6">
        <w:rPr>
          <w:sz w:val="24"/>
          <w:szCs w:val="24"/>
        </w:rPr>
        <w:t>D</w:t>
      </w:r>
      <w:r w:rsidR="003F01B6">
        <w:rPr>
          <w:sz w:val="24"/>
          <w:szCs w:val="24"/>
        </w:rPr>
        <w:t xml:space="preserve">rug </w:t>
      </w:r>
      <w:r w:rsidRPr="003F01B6">
        <w:rPr>
          <w:sz w:val="24"/>
          <w:szCs w:val="24"/>
        </w:rPr>
        <w:t>F</w:t>
      </w:r>
      <w:r w:rsidR="003F01B6">
        <w:rPr>
          <w:sz w:val="24"/>
          <w:szCs w:val="24"/>
        </w:rPr>
        <w:t>und</w:t>
      </w:r>
      <w:r w:rsidRPr="003F01B6">
        <w:rPr>
          <w:sz w:val="24"/>
          <w:szCs w:val="24"/>
        </w:rPr>
        <w:t xml:space="preserve"> </w:t>
      </w:r>
      <w:r w:rsidR="003F01B6">
        <w:rPr>
          <w:sz w:val="24"/>
          <w:szCs w:val="24"/>
        </w:rPr>
        <w:t>L</w:t>
      </w:r>
      <w:r w:rsidRPr="003F01B6">
        <w:rPr>
          <w:sz w:val="24"/>
          <w:szCs w:val="24"/>
        </w:rPr>
        <w:t xml:space="preserve">ead immediately after the first </w:t>
      </w:r>
      <w:r w:rsidR="005E4CFD">
        <w:rPr>
          <w:sz w:val="24"/>
          <w:szCs w:val="24"/>
        </w:rPr>
        <w:t>c</w:t>
      </w:r>
      <w:r w:rsidRPr="003F01B6">
        <w:rPr>
          <w:sz w:val="24"/>
          <w:szCs w:val="24"/>
        </w:rPr>
        <w:t>ommittee meeting</w:t>
      </w:r>
      <w:r w:rsidR="00BE43AC" w:rsidRPr="003F01B6">
        <w:rPr>
          <w:sz w:val="24"/>
          <w:szCs w:val="24"/>
        </w:rPr>
        <w:t>.  An</w:t>
      </w:r>
      <w:r w:rsidRPr="003F01B6">
        <w:rPr>
          <w:sz w:val="24"/>
          <w:szCs w:val="24"/>
        </w:rPr>
        <w:t xml:space="preserve"> error meant that </w:t>
      </w:r>
      <w:r w:rsidR="005E4CFD">
        <w:rPr>
          <w:sz w:val="24"/>
          <w:szCs w:val="24"/>
        </w:rPr>
        <w:t>AstraZeneca</w:t>
      </w:r>
      <w:r w:rsidRPr="003F01B6">
        <w:rPr>
          <w:sz w:val="24"/>
          <w:szCs w:val="24"/>
        </w:rPr>
        <w:t xml:space="preserve"> were not alerted to this change until the working day prior to the second </w:t>
      </w:r>
      <w:r w:rsidR="005E4CFD">
        <w:rPr>
          <w:sz w:val="24"/>
          <w:szCs w:val="24"/>
        </w:rPr>
        <w:t>c</w:t>
      </w:r>
      <w:r w:rsidRPr="003F01B6">
        <w:rPr>
          <w:sz w:val="24"/>
          <w:szCs w:val="24"/>
        </w:rPr>
        <w:t xml:space="preserve">ommittee meeting. </w:t>
      </w:r>
    </w:p>
    <w:p w14:paraId="351D0AB4" w14:textId="3405AD3A" w:rsidR="00BE43AC" w:rsidRPr="003F01B6" w:rsidRDefault="00BE43AC" w:rsidP="00BE43AC">
      <w:pPr>
        <w:pStyle w:val="Paragraph"/>
        <w:rPr>
          <w:sz w:val="24"/>
          <w:szCs w:val="24"/>
        </w:rPr>
      </w:pPr>
      <w:r w:rsidRPr="003F01B6">
        <w:rPr>
          <w:sz w:val="24"/>
          <w:szCs w:val="24"/>
        </w:rPr>
        <w:t>The advice from the C</w:t>
      </w:r>
      <w:r w:rsidR="003F01B6">
        <w:rPr>
          <w:sz w:val="24"/>
          <w:szCs w:val="24"/>
        </w:rPr>
        <w:t xml:space="preserve">ancer </w:t>
      </w:r>
      <w:r w:rsidRPr="003F01B6">
        <w:rPr>
          <w:sz w:val="24"/>
          <w:szCs w:val="24"/>
        </w:rPr>
        <w:t>D</w:t>
      </w:r>
      <w:r w:rsidR="003F01B6">
        <w:rPr>
          <w:sz w:val="24"/>
          <w:szCs w:val="24"/>
        </w:rPr>
        <w:t xml:space="preserve">rug </w:t>
      </w:r>
      <w:r w:rsidRPr="003F01B6">
        <w:rPr>
          <w:sz w:val="24"/>
          <w:szCs w:val="24"/>
        </w:rPr>
        <w:t>F</w:t>
      </w:r>
      <w:r w:rsidR="003F01B6">
        <w:rPr>
          <w:sz w:val="24"/>
          <w:szCs w:val="24"/>
        </w:rPr>
        <w:t>und</w:t>
      </w:r>
      <w:r w:rsidRPr="003F01B6">
        <w:rPr>
          <w:sz w:val="24"/>
          <w:szCs w:val="24"/>
        </w:rPr>
        <w:t xml:space="preserve"> </w:t>
      </w:r>
      <w:r w:rsidR="003F01B6">
        <w:rPr>
          <w:sz w:val="24"/>
          <w:szCs w:val="24"/>
        </w:rPr>
        <w:t>L</w:t>
      </w:r>
      <w:r w:rsidRPr="003F01B6">
        <w:rPr>
          <w:sz w:val="24"/>
          <w:szCs w:val="24"/>
        </w:rPr>
        <w:t xml:space="preserve">ead stated </w:t>
      </w:r>
      <w:r w:rsidRPr="00370503">
        <w:rPr>
          <w:i/>
          <w:iCs/>
          <w:sz w:val="24"/>
          <w:szCs w:val="24"/>
        </w:rPr>
        <w:t xml:space="preserve">“For </w:t>
      </w:r>
      <w:proofErr w:type="spellStart"/>
      <w:r w:rsidRPr="00370503">
        <w:rPr>
          <w:i/>
          <w:iCs/>
          <w:sz w:val="24"/>
          <w:szCs w:val="24"/>
        </w:rPr>
        <w:t>pMMR</w:t>
      </w:r>
      <w:proofErr w:type="spellEnd"/>
      <w:r w:rsidRPr="00370503">
        <w:rPr>
          <w:i/>
          <w:iCs/>
          <w:sz w:val="24"/>
          <w:szCs w:val="24"/>
        </w:rPr>
        <w:t xml:space="preserve"> disease at the outset of maintenance treatment, patients must start both durvalumab and </w:t>
      </w:r>
      <w:proofErr w:type="spellStart"/>
      <w:r w:rsidR="00F94FE3" w:rsidRPr="00370503">
        <w:rPr>
          <w:i/>
          <w:iCs/>
          <w:sz w:val="24"/>
          <w:szCs w:val="24"/>
        </w:rPr>
        <w:t>o</w:t>
      </w:r>
      <w:r w:rsidRPr="00370503">
        <w:rPr>
          <w:i/>
          <w:iCs/>
          <w:sz w:val="24"/>
          <w:szCs w:val="24"/>
        </w:rPr>
        <w:t>laparib</w:t>
      </w:r>
      <w:proofErr w:type="spellEnd"/>
      <w:r w:rsidRPr="00370503">
        <w:rPr>
          <w:i/>
          <w:iCs/>
          <w:sz w:val="24"/>
          <w:szCs w:val="24"/>
        </w:rPr>
        <w:t xml:space="preserve">.  We expect dose reductions/relays in some </w:t>
      </w:r>
      <w:proofErr w:type="gramStart"/>
      <w:r w:rsidRPr="00370503">
        <w:rPr>
          <w:i/>
          <w:iCs/>
          <w:sz w:val="24"/>
          <w:szCs w:val="24"/>
        </w:rPr>
        <w:t>patients</w:t>
      </w:r>
      <w:proofErr w:type="gramEnd"/>
      <w:r w:rsidRPr="00370503">
        <w:rPr>
          <w:i/>
          <w:iCs/>
          <w:sz w:val="24"/>
          <w:szCs w:val="24"/>
        </w:rPr>
        <w:t xml:space="preserve"> and these will be delays for durvalumab and dose reductions and/or delays for </w:t>
      </w:r>
      <w:proofErr w:type="spellStart"/>
      <w:r w:rsidR="00F94FE3" w:rsidRPr="00370503">
        <w:rPr>
          <w:i/>
          <w:iCs/>
          <w:sz w:val="24"/>
          <w:szCs w:val="24"/>
        </w:rPr>
        <w:t>o</w:t>
      </w:r>
      <w:r w:rsidRPr="00370503">
        <w:rPr>
          <w:i/>
          <w:iCs/>
          <w:sz w:val="24"/>
          <w:szCs w:val="24"/>
        </w:rPr>
        <w:t>laparib</w:t>
      </w:r>
      <w:proofErr w:type="spellEnd"/>
      <w:r w:rsidRPr="00370503">
        <w:rPr>
          <w:i/>
          <w:iCs/>
          <w:sz w:val="24"/>
          <w:szCs w:val="24"/>
        </w:rPr>
        <w:t xml:space="preserve">.  If unacceptable toxicity arises </w:t>
      </w:r>
      <w:r w:rsidRPr="00370503">
        <w:rPr>
          <w:i/>
          <w:iCs/>
          <w:sz w:val="24"/>
          <w:szCs w:val="24"/>
        </w:rPr>
        <w:lastRenderedPageBreak/>
        <w:t xml:space="preserve">which means that durvalumab or </w:t>
      </w:r>
      <w:proofErr w:type="spellStart"/>
      <w:r w:rsidR="00F94FE3" w:rsidRPr="00370503">
        <w:rPr>
          <w:i/>
          <w:iCs/>
          <w:sz w:val="24"/>
          <w:szCs w:val="24"/>
        </w:rPr>
        <w:t>o</w:t>
      </w:r>
      <w:r w:rsidRPr="00370503">
        <w:rPr>
          <w:i/>
          <w:iCs/>
          <w:sz w:val="24"/>
          <w:szCs w:val="24"/>
        </w:rPr>
        <w:t>laparib</w:t>
      </w:r>
      <w:proofErr w:type="spellEnd"/>
      <w:r w:rsidRPr="00370503">
        <w:rPr>
          <w:i/>
          <w:iCs/>
          <w:sz w:val="24"/>
          <w:szCs w:val="24"/>
        </w:rPr>
        <w:t xml:space="preserve"> </w:t>
      </w:r>
      <w:proofErr w:type="gramStart"/>
      <w:r w:rsidRPr="00370503">
        <w:rPr>
          <w:i/>
          <w:iCs/>
          <w:sz w:val="24"/>
          <w:szCs w:val="24"/>
        </w:rPr>
        <w:t>have to</w:t>
      </w:r>
      <w:proofErr w:type="gramEnd"/>
      <w:r w:rsidRPr="00370503">
        <w:rPr>
          <w:i/>
          <w:iCs/>
          <w:sz w:val="24"/>
          <w:szCs w:val="24"/>
        </w:rPr>
        <w:t xml:space="preserve"> be stopped, then one can be stopped independently of the other.  However, if patients have a true contraindication to starting durvalumab (e</w:t>
      </w:r>
      <w:r w:rsidR="003F01B6" w:rsidRPr="00370503">
        <w:rPr>
          <w:i/>
          <w:iCs/>
          <w:sz w:val="24"/>
          <w:szCs w:val="24"/>
        </w:rPr>
        <w:t>.</w:t>
      </w:r>
      <w:r w:rsidRPr="00370503">
        <w:rPr>
          <w:i/>
          <w:iCs/>
          <w:sz w:val="24"/>
          <w:szCs w:val="24"/>
        </w:rPr>
        <w:t>g</w:t>
      </w:r>
      <w:r w:rsidR="003F01B6" w:rsidRPr="00370503">
        <w:rPr>
          <w:i/>
          <w:iCs/>
          <w:sz w:val="24"/>
          <w:szCs w:val="24"/>
        </w:rPr>
        <w:t>.</w:t>
      </w:r>
      <w:r w:rsidRPr="00370503">
        <w:rPr>
          <w:i/>
          <w:iCs/>
          <w:sz w:val="24"/>
          <w:szCs w:val="24"/>
        </w:rPr>
        <w:t xml:space="preserve"> autoimmune disorders) or to starting </w:t>
      </w:r>
      <w:proofErr w:type="spellStart"/>
      <w:r w:rsidR="00F94FE3" w:rsidRPr="00370503">
        <w:rPr>
          <w:i/>
          <w:iCs/>
          <w:sz w:val="24"/>
          <w:szCs w:val="24"/>
        </w:rPr>
        <w:t>o</w:t>
      </w:r>
      <w:r w:rsidRPr="00370503">
        <w:rPr>
          <w:i/>
          <w:iCs/>
          <w:sz w:val="24"/>
          <w:szCs w:val="24"/>
        </w:rPr>
        <w:t>laparib</w:t>
      </w:r>
      <w:proofErr w:type="spellEnd"/>
      <w:r w:rsidRPr="00370503">
        <w:rPr>
          <w:i/>
          <w:iCs/>
          <w:sz w:val="24"/>
          <w:szCs w:val="24"/>
        </w:rPr>
        <w:t xml:space="preserve"> (e</w:t>
      </w:r>
      <w:r w:rsidR="003F01B6" w:rsidRPr="00370503">
        <w:rPr>
          <w:i/>
          <w:iCs/>
          <w:sz w:val="24"/>
          <w:szCs w:val="24"/>
        </w:rPr>
        <w:t>.</w:t>
      </w:r>
      <w:r w:rsidRPr="00370503">
        <w:rPr>
          <w:i/>
          <w:iCs/>
          <w:sz w:val="24"/>
          <w:szCs w:val="24"/>
        </w:rPr>
        <w:t>g</w:t>
      </w:r>
      <w:r w:rsidR="003F01B6" w:rsidRPr="00370503">
        <w:rPr>
          <w:i/>
          <w:iCs/>
          <w:sz w:val="24"/>
          <w:szCs w:val="24"/>
        </w:rPr>
        <w:t>.</w:t>
      </w:r>
      <w:r w:rsidRPr="00370503">
        <w:rPr>
          <w:i/>
          <w:iCs/>
          <w:sz w:val="24"/>
          <w:szCs w:val="24"/>
        </w:rPr>
        <w:t xml:space="preserve"> the need to continue treatment with a strong CYP3A inducer), then they are disqualified from use of durvalumab and </w:t>
      </w:r>
      <w:proofErr w:type="spellStart"/>
      <w:r w:rsidR="003F01B6" w:rsidRPr="00370503">
        <w:rPr>
          <w:i/>
          <w:iCs/>
          <w:sz w:val="24"/>
          <w:szCs w:val="24"/>
        </w:rPr>
        <w:t>o</w:t>
      </w:r>
      <w:r w:rsidRPr="00370503">
        <w:rPr>
          <w:i/>
          <w:iCs/>
          <w:sz w:val="24"/>
          <w:szCs w:val="24"/>
        </w:rPr>
        <w:t>laparib</w:t>
      </w:r>
      <w:proofErr w:type="spellEnd"/>
      <w:r w:rsidRPr="00370503">
        <w:rPr>
          <w:i/>
          <w:iCs/>
          <w:sz w:val="24"/>
          <w:szCs w:val="24"/>
        </w:rPr>
        <w:t xml:space="preserve"> in this indication.”</w:t>
      </w:r>
      <w:r w:rsidRPr="00E56482">
        <w:rPr>
          <w:sz w:val="24"/>
          <w:szCs w:val="24"/>
        </w:rPr>
        <w:t xml:space="preserve">  </w:t>
      </w:r>
      <w:r w:rsidRPr="003F01B6">
        <w:rPr>
          <w:sz w:val="24"/>
          <w:szCs w:val="24"/>
        </w:rPr>
        <w:t xml:space="preserve">At the hearing, it was clear that the </w:t>
      </w:r>
      <w:r w:rsidR="005E4CFD">
        <w:rPr>
          <w:sz w:val="24"/>
          <w:szCs w:val="24"/>
        </w:rPr>
        <w:t>c</w:t>
      </w:r>
      <w:r w:rsidRPr="003F01B6">
        <w:rPr>
          <w:sz w:val="24"/>
          <w:szCs w:val="24"/>
        </w:rPr>
        <w:t xml:space="preserve">ommittee interpreted this to mean that there were no circumstances in which maintenance durvalumab could be given without </w:t>
      </w:r>
      <w:proofErr w:type="spellStart"/>
      <w:r w:rsidR="00F94FE3" w:rsidRPr="003F01B6">
        <w:rPr>
          <w:sz w:val="24"/>
          <w:szCs w:val="24"/>
        </w:rPr>
        <w:t>o</w:t>
      </w:r>
      <w:r w:rsidRPr="003F01B6">
        <w:rPr>
          <w:sz w:val="24"/>
          <w:szCs w:val="24"/>
        </w:rPr>
        <w:t>laparib</w:t>
      </w:r>
      <w:proofErr w:type="spellEnd"/>
      <w:r w:rsidRPr="003F01B6">
        <w:rPr>
          <w:sz w:val="24"/>
          <w:szCs w:val="24"/>
        </w:rPr>
        <w:t xml:space="preserve"> in NHS practice.  However, it was also clear that </w:t>
      </w:r>
      <w:r w:rsidR="005E4CFD">
        <w:rPr>
          <w:sz w:val="24"/>
          <w:szCs w:val="24"/>
        </w:rPr>
        <w:t>AstraZeneca</w:t>
      </w:r>
      <w:r w:rsidRPr="003F01B6">
        <w:rPr>
          <w:sz w:val="24"/>
          <w:szCs w:val="24"/>
        </w:rPr>
        <w:t xml:space="preserve"> were not convinced that the C</w:t>
      </w:r>
      <w:r w:rsidR="003F01B6">
        <w:rPr>
          <w:sz w:val="24"/>
          <w:szCs w:val="24"/>
        </w:rPr>
        <w:t xml:space="preserve">ancer </w:t>
      </w:r>
      <w:r w:rsidRPr="003F01B6">
        <w:rPr>
          <w:sz w:val="24"/>
          <w:szCs w:val="24"/>
        </w:rPr>
        <w:t>D</w:t>
      </w:r>
      <w:r w:rsidR="003F01B6">
        <w:rPr>
          <w:sz w:val="24"/>
          <w:szCs w:val="24"/>
        </w:rPr>
        <w:t xml:space="preserve">rug </w:t>
      </w:r>
      <w:r w:rsidRPr="003F01B6">
        <w:rPr>
          <w:sz w:val="24"/>
          <w:szCs w:val="24"/>
        </w:rPr>
        <w:t>F</w:t>
      </w:r>
      <w:r w:rsidR="003F01B6">
        <w:rPr>
          <w:sz w:val="24"/>
          <w:szCs w:val="24"/>
        </w:rPr>
        <w:t>und</w:t>
      </w:r>
      <w:r w:rsidRPr="003F01B6">
        <w:rPr>
          <w:sz w:val="24"/>
          <w:szCs w:val="24"/>
        </w:rPr>
        <w:t xml:space="preserve"> </w:t>
      </w:r>
      <w:r w:rsidR="003F01B6">
        <w:rPr>
          <w:sz w:val="24"/>
          <w:szCs w:val="24"/>
        </w:rPr>
        <w:t>L</w:t>
      </w:r>
      <w:r w:rsidRPr="003F01B6">
        <w:rPr>
          <w:sz w:val="24"/>
          <w:szCs w:val="24"/>
        </w:rPr>
        <w:t xml:space="preserve">ead had considered the </w:t>
      </w:r>
      <w:proofErr w:type="gramStart"/>
      <w:r w:rsidRPr="003F01B6">
        <w:rPr>
          <w:sz w:val="24"/>
          <w:szCs w:val="24"/>
        </w:rPr>
        <w:t>particular circumstance</w:t>
      </w:r>
      <w:proofErr w:type="gramEnd"/>
      <w:r w:rsidRPr="003F01B6">
        <w:rPr>
          <w:sz w:val="24"/>
          <w:szCs w:val="24"/>
        </w:rPr>
        <w:t xml:space="preserve"> of patients who develop a haematological toxicity during the initiation phase of treatment (which they said was an important reason for the proportion of patients starting </w:t>
      </w:r>
      <w:proofErr w:type="spellStart"/>
      <w:r w:rsidR="003F01B6">
        <w:rPr>
          <w:sz w:val="24"/>
          <w:szCs w:val="24"/>
        </w:rPr>
        <w:t>o</w:t>
      </w:r>
      <w:r w:rsidRPr="003F01B6">
        <w:rPr>
          <w:sz w:val="24"/>
          <w:szCs w:val="24"/>
        </w:rPr>
        <w:t>laparib</w:t>
      </w:r>
      <w:proofErr w:type="spellEnd"/>
      <w:r w:rsidRPr="003F01B6">
        <w:rPr>
          <w:sz w:val="24"/>
          <w:szCs w:val="24"/>
        </w:rPr>
        <w:t xml:space="preserve"> being &lt;100% in the </w:t>
      </w:r>
      <w:r w:rsidR="00EC3F66" w:rsidRPr="003F01B6">
        <w:rPr>
          <w:sz w:val="24"/>
          <w:szCs w:val="24"/>
        </w:rPr>
        <w:t>DUO-E trial</w:t>
      </w:r>
      <w:r w:rsidRPr="003F01B6">
        <w:rPr>
          <w:sz w:val="24"/>
          <w:szCs w:val="24"/>
        </w:rPr>
        <w:t xml:space="preserve">). </w:t>
      </w:r>
    </w:p>
    <w:p w14:paraId="3630753B" w14:textId="086856B3" w:rsidR="005C0F9B" w:rsidRPr="003F01B6" w:rsidRDefault="00F77757" w:rsidP="00A72AA6">
      <w:pPr>
        <w:pStyle w:val="Paragraph"/>
        <w:rPr>
          <w:sz w:val="24"/>
          <w:szCs w:val="24"/>
        </w:rPr>
      </w:pPr>
      <w:r w:rsidRPr="003F01B6">
        <w:rPr>
          <w:sz w:val="24"/>
          <w:szCs w:val="24"/>
        </w:rPr>
        <w:t xml:space="preserve">The </w:t>
      </w:r>
      <w:r w:rsidR="005E4CFD">
        <w:rPr>
          <w:sz w:val="24"/>
          <w:szCs w:val="24"/>
        </w:rPr>
        <w:t>appeal p</w:t>
      </w:r>
      <w:r w:rsidRPr="003F01B6">
        <w:rPr>
          <w:sz w:val="24"/>
          <w:szCs w:val="24"/>
        </w:rPr>
        <w:t xml:space="preserve">anel </w:t>
      </w:r>
      <w:r w:rsidR="0033384C" w:rsidRPr="003F01B6">
        <w:rPr>
          <w:sz w:val="24"/>
          <w:szCs w:val="24"/>
        </w:rPr>
        <w:t xml:space="preserve">noted that </w:t>
      </w:r>
      <w:r w:rsidR="005E4CFD">
        <w:rPr>
          <w:sz w:val="24"/>
          <w:szCs w:val="24"/>
        </w:rPr>
        <w:t>AstraZeneca</w:t>
      </w:r>
      <w:r w:rsidR="0033384C" w:rsidRPr="003F01B6">
        <w:rPr>
          <w:sz w:val="24"/>
          <w:szCs w:val="24"/>
        </w:rPr>
        <w:t xml:space="preserve"> had the opportunity to discuss this issue at the </w:t>
      </w:r>
      <w:r w:rsidR="00BE43AC" w:rsidRPr="003F01B6">
        <w:rPr>
          <w:sz w:val="24"/>
          <w:szCs w:val="24"/>
        </w:rPr>
        <w:t xml:space="preserve">second </w:t>
      </w:r>
      <w:r w:rsidR="005E4CFD">
        <w:rPr>
          <w:sz w:val="24"/>
          <w:szCs w:val="24"/>
        </w:rPr>
        <w:t>c</w:t>
      </w:r>
      <w:r w:rsidR="00BE43AC" w:rsidRPr="003F01B6">
        <w:rPr>
          <w:sz w:val="24"/>
          <w:szCs w:val="24"/>
        </w:rPr>
        <w:t xml:space="preserve">ommittee </w:t>
      </w:r>
      <w:r w:rsidR="0033384C" w:rsidRPr="003F01B6">
        <w:rPr>
          <w:sz w:val="24"/>
          <w:szCs w:val="24"/>
        </w:rPr>
        <w:t xml:space="preserve">meeting, but </w:t>
      </w:r>
      <w:r w:rsidR="00BE43AC" w:rsidRPr="003F01B6">
        <w:rPr>
          <w:sz w:val="24"/>
          <w:szCs w:val="24"/>
        </w:rPr>
        <w:t>they</w:t>
      </w:r>
      <w:r w:rsidR="0033384C" w:rsidRPr="003F01B6">
        <w:rPr>
          <w:sz w:val="24"/>
          <w:szCs w:val="24"/>
        </w:rPr>
        <w:t xml:space="preserve"> had very little time to prepare for this.  The </w:t>
      </w:r>
      <w:r w:rsidR="005E4CFD">
        <w:rPr>
          <w:sz w:val="24"/>
          <w:szCs w:val="24"/>
        </w:rPr>
        <w:t>appeal p</w:t>
      </w:r>
      <w:r w:rsidR="0033384C" w:rsidRPr="003F01B6">
        <w:rPr>
          <w:sz w:val="24"/>
          <w:szCs w:val="24"/>
        </w:rPr>
        <w:t xml:space="preserve">anel noted that NICE took </w:t>
      </w:r>
      <w:r w:rsidR="008F6594" w:rsidRPr="003F01B6">
        <w:rPr>
          <w:sz w:val="24"/>
          <w:szCs w:val="24"/>
        </w:rPr>
        <w:t xml:space="preserve">an </w:t>
      </w:r>
      <w:r w:rsidR="0033384C" w:rsidRPr="003F01B6">
        <w:rPr>
          <w:sz w:val="24"/>
          <w:szCs w:val="24"/>
        </w:rPr>
        <w:t>additional step to try to make a fair response to th</w:t>
      </w:r>
      <w:r w:rsidR="008F6594" w:rsidRPr="003F01B6">
        <w:rPr>
          <w:sz w:val="24"/>
          <w:szCs w:val="24"/>
        </w:rPr>
        <w:t>eir</w:t>
      </w:r>
      <w:r w:rsidR="0033384C" w:rsidRPr="003F01B6">
        <w:rPr>
          <w:sz w:val="24"/>
          <w:szCs w:val="24"/>
        </w:rPr>
        <w:t xml:space="preserve"> error by giving </w:t>
      </w:r>
      <w:r w:rsidR="005E4CFD">
        <w:rPr>
          <w:sz w:val="24"/>
          <w:szCs w:val="24"/>
        </w:rPr>
        <w:t>AstraZeneca</w:t>
      </w:r>
      <w:r w:rsidR="0033384C" w:rsidRPr="003F01B6">
        <w:rPr>
          <w:sz w:val="24"/>
          <w:szCs w:val="24"/>
        </w:rPr>
        <w:t xml:space="preserve"> an opportunity to submit additional written evidence on this point</w:t>
      </w:r>
      <w:r w:rsidR="008F6594" w:rsidRPr="003F01B6">
        <w:rPr>
          <w:sz w:val="24"/>
          <w:szCs w:val="24"/>
        </w:rPr>
        <w:t xml:space="preserve">, but also that the time between these comments being received and the FDG being published was short. </w:t>
      </w:r>
    </w:p>
    <w:p w14:paraId="7C0E2A1A" w14:textId="1480D238" w:rsidR="00BE43AC" w:rsidRPr="003F01B6" w:rsidRDefault="00BE43AC" w:rsidP="00BE43AC">
      <w:pPr>
        <w:pStyle w:val="Paragraph"/>
        <w:rPr>
          <w:sz w:val="24"/>
          <w:szCs w:val="24"/>
        </w:rPr>
      </w:pPr>
      <w:r w:rsidRPr="003F01B6">
        <w:rPr>
          <w:sz w:val="24"/>
          <w:szCs w:val="24"/>
        </w:rPr>
        <w:t xml:space="preserve">The </w:t>
      </w:r>
      <w:r w:rsidR="00C1693E">
        <w:rPr>
          <w:sz w:val="24"/>
          <w:szCs w:val="24"/>
        </w:rPr>
        <w:t>a</w:t>
      </w:r>
      <w:r w:rsidR="00BE04E4">
        <w:rPr>
          <w:sz w:val="24"/>
          <w:szCs w:val="24"/>
        </w:rPr>
        <w:t>ppeal panel</w:t>
      </w:r>
      <w:r w:rsidRPr="003F01B6">
        <w:rPr>
          <w:sz w:val="24"/>
          <w:szCs w:val="24"/>
        </w:rPr>
        <w:t xml:space="preserve"> were aware that when an error occurs (such as the delayed communication of a chang</w:t>
      </w:r>
      <w:r w:rsidR="008F6594" w:rsidRPr="003F01B6">
        <w:rPr>
          <w:sz w:val="24"/>
          <w:szCs w:val="24"/>
        </w:rPr>
        <w:t>e in a preferred</w:t>
      </w:r>
      <w:r w:rsidRPr="003F01B6">
        <w:rPr>
          <w:sz w:val="24"/>
          <w:szCs w:val="24"/>
        </w:rPr>
        <w:t xml:space="preserve"> assumption in th</w:t>
      </w:r>
      <w:r w:rsidR="008F6594" w:rsidRPr="003F01B6">
        <w:rPr>
          <w:sz w:val="24"/>
          <w:szCs w:val="24"/>
        </w:rPr>
        <w:t>is</w:t>
      </w:r>
      <w:r w:rsidRPr="003F01B6">
        <w:rPr>
          <w:sz w:val="24"/>
          <w:szCs w:val="24"/>
        </w:rPr>
        <w:t xml:space="preserve"> case) a fair response by NICE should be proportionate to the importance of the issue concerned.  They noted the </w:t>
      </w:r>
      <w:r w:rsidR="00C1693E">
        <w:rPr>
          <w:sz w:val="24"/>
          <w:szCs w:val="24"/>
        </w:rPr>
        <w:t>c</w:t>
      </w:r>
      <w:r w:rsidRPr="003F01B6">
        <w:rPr>
          <w:sz w:val="24"/>
          <w:szCs w:val="24"/>
        </w:rPr>
        <w:t xml:space="preserve">ommittee’s comments at the hearing that this was a minor issue that did not have a significant effect on the ICER.  However, the </w:t>
      </w:r>
      <w:r w:rsidR="00C1693E">
        <w:rPr>
          <w:sz w:val="24"/>
          <w:szCs w:val="24"/>
        </w:rPr>
        <w:t xml:space="preserve">appeal </w:t>
      </w:r>
      <w:r w:rsidR="00C1693E">
        <w:rPr>
          <w:sz w:val="24"/>
          <w:szCs w:val="24"/>
        </w:rPr>
        <w:t>p</w:t>
      </w:r>
      <w:r w:rsidRPr="003F01B6">
        <w:rPr>
          <w:sz w:val="24"/>
          <w:szCs w:val="24"/>
        </w:rPr>
        <w:t xml:space="preserve">anel also reviewed the slides </w:t>
      </w:r>
      <w:r w:rsidR="008F6594" w:rsidRPr="003F01B6">
        <w:rPr>
          <w:sz w:val="24"/>
          <w:szCs w:val="24"/>
        </w:rPr>
        <w:t>from the</w:t>
      </w:r>
      <w:r w:rsidRPr="003F01B6">
        <w:rPr>
          <w:sz w:val="24"/>
          <w:szCs w:val="24"/>
        </w:rPr>
        <w:t xml:space="preserve"> first </w:t>
      </w:r>
      <w:r w:rsidR="00C1693E">
        <w:rPr>
          <w:sz w:val="24"/>
          <w:szCs w:val="24"/>
        </w:rPr>
        <w:t>c</w:t>
      </w:r>
      <w:r w:rsidRPr="003F01B6">
        <w:rPr>
          <w:sz w:val="24"/>
          <w:szCs w:val="24"/>
        </w:rPr>
        <w:t xml:space="preserve">ommittee meeting. It noted that </w:t>
      </w:r>
      <w:r w:rsidR="008F6594" w:rsidRPr="003F01B6">
        <w:rPr>
          <w:sz w:val="24"/>
          <w:szCs w:val="24"/>
        </w:rPr>
        <w:t>this</w:t>
      </w:r>
      <w:r w:rsidRPr="003F01B6">
        <w:rPr>
          <w:sz w:val="24"/>
          <w:szCs w:val="24"/>
        </w:rPr>
        <w:t xml:space="preserve"> question had been described as a </w:t>
      </w:r>
      <w:r w:rsidR="008F6594" w:rsidRPr="003F01B6">
        <w:rPr>
          <w:sz w:val="24"/>
          <w:szCs w:val="24"/>
        </w:rPr>
        <w:t>“</w:t>
      </w:r>
      <w:r w:rsidRPr="003F01B6">
        <w:rPr>
          <w:sz w:val="24"/>
          <w:szCs w:val="24"/>
        </w:rPr>
        <w:t>key issue</w:t>
      </w:r>
      <w:r w:rsidR="008F6594" w:rsidRPr="003F01B6">
        <w:rPr>
          <w:sz w:val="24"/>
          <w:szCs w:val="24"/>
        </w:rPr>
        <w:t>”</w:t>
      </w:r>
      <w:r w:rsidRPr="003F01B6">
        <w:rPr>
          <w:sz w:val="24"/>
          <w:szCs w:val="24"/>
        </w:rPr>
        <w:t xml:space="preserve"> and that the proportion of patients who would receive both durvalumab and </w:t>
      </w:r>
      <w:proofErr w:type="spellStart"/>
      <w:r w:rsidRPr="003F01B6">
        <w:rPr>
          <w:sz w:val="24"/>
          <w:szCs w:val="24"/>
        </w:rPr>
        <w:t>olaparib</w:t>
      </w:r>
      <w:proofErr w:type="spellEnd"/>
      <w:r w:rsidRPr="003F01B6">
        <w:rPr>
          <w:sz w:val="24"/>
          <w:szCs w:val="24"/>
        </w:rPr>
        <w:t xml:space="preserve"> had been identified as having a </w:t>
      </w:r>
      <w:r w:rsidR="008F6594" w:rsidRPr="003F01B6">
        <w:rPr>
          <w:sz w:val="24"/>
          <w:szCs w:val="24"/>
        </w:rPr>
        <w:t>“</w:t>
      </w:r>
      <w:r w:rsidRPr="003F01B6">
        <w:rPr>
          <w:sz w:val="24"/>
          <w:szCs w:val="24"/>
        </w:rPr>
        <w:t>large</w:t>
      </w:r>
      <w:r w:rsidR="008F6594" w:rsidRPr="003F01B6">
        <w:rPr>
          <w:sz w:val="24"/>
          <w:szCs w:val="24"/>
        </w:rPr>
        <w:t>”</w:t>
      </w:r>
      <w:r w:rsidRPr="003F01B6">
        <w:rPr>
          <w:sz w:val="24"/>
          <w:szCs w:val="24"/>
        </w:rPr>
        <w:t xml:space="preserve"> impact on the ICER.  </w:t>
      </w:r>
    </w:p>
    <w:p w14:paraId="46722733" w14:textId="5BB731BC" w:rsidR="008F6594" w:rsidRPr="003F01B6" w:rsidRDefault="008F6594" w:rsidP="00BE43AC">
      <w:pPr>
        <w:pStyle w:val="Paragraph"/>
        <w:rPr>
          <w:sz w:val="24"/>
          <w:szCs w:val="24"/>
        </w:rPr>
      </w:pPr>
      <w:r w:rsidRPr="003F01B6">
        <w:rPr>
          <w:sz w:val="24"/>
          <w:szCs w:val="24"/>
        </w:rPr>
        <w:lastRenderedPageBreak/>
        <w:t xml:space="preserve">The </w:t>
      </w:r>
      <w:r w:rsidR="00C1693E">
        <w:rPr>
          <w:sz w:val="24"/>
          <w:szCs w:val="24"/>
        </w:rPr>
        <w:t>a</w:t>
      </w:r>
      <w:r w:rsidR="00BE04E4">
        <w:rPr>
          <w:sz w:val="24"/>
          <w:szCs w:val="24"/>
        </w:rPr>
        <w:t>ppeal panel</w:t>
      </w:r>
      <w:r w:rsidRPr="003F01B6">
        <w:rPr>
          <w:sz w:val="24"/>
          <w:szCs w:val="24"/>
        </w:rPr>
        <w:t xml:space="preserve"> also considered whether the written advice from the C</w:t>
      </w:r>
      <w:r w:rsidR="003F01B6">
        <w:rPr>
          <w:sz w:val="24"/>
          <w:szCs w:val="24"/>
        </w:rPr>
        <w:t xml:space="preserve">ancer </w:t>
      </w:r>
      <w:r w:rsidRPr="003F01B6">
        <w:rPr>
          <w:sz w:val="24"/>
          <w:szCs w:val="24"/>
        </w:rPr>
        <w:t>D</w:t>
      </w:r>
      <w:r w:rsidR="003F01B6">
        <w:rPr>
          <w:sz w:val="24"/>
          <w:szCs w:val="24"/>
        </w:rPr>
        <w:t xml:space="preserve">rug </w:t>
      </w:r>
      <w:r w:rsidRPr="003F01B6">
        <w:rPr>
          <w:sz w:val="24"/>
          <w:szCs w:val="24"/>
        </w:rPr>
        <w:t>F</w:t>
      </w:r>
      <w:r w:rsidR="003F01B6">
        <w:rPr>
          <w:sz w:val="24"/>
          <w:szCs w:val="24"/>
        </w:rPr>
        <w:t>und</w:t>
      </w:r>
      <w:r w:rsidRPr="003F01B6">
        <w:rPr>
          <w:sz w:val="24"/>
          <w:szCs w:val="24"/>
        </w:rPr>
        <w:t xml:space="preserve"> </w:t>
      </w:r>
      <w:r w:rsidR="003F01B6">
        <w:rPr>
          <w:sz w:val="24"/>
          <w:szCs w:val="24"/>
        </w:rPr>
        <w:t>L</w:t>
      </w:r>
      <w:r w:rsidRPr="003F01B6">
        <w:rPr>
          <w:sz w:val="24"/>
          <w:szCs w:val="24"/>
        </w:rPr>
        <w:t xml:space="preserve">ead meant that they could </w:t>
      </w:r>
      <w:r w:rsidRPr="003F01B6">
        <w:rPr>
          <w:i/>
          <w:iCs/>
          <w:sz w:val="24"/>
          <w:szCs w:val="24"/>
        </w:rPr>
        <w:t>only</w:t>
      </w:r>
      <w:r w:rsidRPr="003F01B6">
        <w:rPr>
          <w:sz w:val="24"/>
          <w:szCs w:val="24"/>
        </w:rPr>
        <w:t xml:space="preserve"> conclude that 100% of patients would start treatment with </w:t>
      </w:r>
      <w:proofErr w:type="spellStart"/>
      <w:r w:rsidR="00F94FE3" w:rsidRPr="003F01B6">
        <w:rPr>
          <w:sz w:val="24"/>
          <w:szCs w:val="24"/>
        </w:rPr>
        <w:t>o</w:t>
      </w:r>
      <w:r w:rsidRPr="003F01B6">
        <w:rPr>
          <w:sz w:val="24"/>
          <w:szCs w:val="24"/>
        </w:rPr>
        <w:t>laparib</w:t>
      </w:r>
      <w:proofErr w:type="spellEnd"/>
      <w:r w:rsidRPr="003F01B6">
        <w:rPr>
          <w:sz w:val="24"/>
          <w:szCs w:val="24"/>
        </w:rPr>
        <w:t xml:space="preserve">.  On balance, they concluded that this was not the case. </w:t>
      </w:r>
      <w:r w:rsidR="00795F59" w:rsidRPr="003F01B6">
        <w:rPr>
          <w:sz w:val="24"/>
          <w:szCs w:val="24"/>
        </w:rPr>
        <w:t xml:space="preserve"> </w:t>
      </w:r>
      <w:r w:rsidRPr="003F01B6">
        <w:rPr>
          <w:sz w:val="24"/>
          <w:szCs w:val="24"/>
        </w:rPr>
        <w:t>At the hearing, there was disagreement about how the C</w:t>
      </w:r>
      <w:r w:rsidR="00731918">
        <w:rPr>
          <w:sz w:val="24"/>
          <w:szCs w:val="24"/>
        </w:rPr>
        <w:t xml:space="preserve">ancer </w:t>
      </w:r>
      <w:r w:rsidRPr="003F01B6">
        <w:rPr>
          <w:sz w:val="24"/>
          <w:szCs w:val="24"/>
        </w:rPr>
        <w:t>D</w:t>
      </w:r>
      <w:r w:rsidR="00731918">
        <w:rPr>
          <w:sz w:val="24"/>
          <w:szCs w:val="24"/>
        </w:rPr>
        <w:t xml:space="preserve">rug </w:t>
      </w:r>
      <w:r w:rsidRPr="003F01B6">
        <w:rPr>
          <w:sz w:val="24"/>
          <w:szCs w:val="24"/>
        </w:rPr>
        <w:t>F</w:t>
      </w:r>
      <w:r w:rsidR="00731918">
        <w:rPr>
          <w:sz w:val="24"/>
          <w:szCs w:val="24"/>
        </w:rPr>
        <w:t>und</w:t>
      </w:r>
      <w:r w:rsidRPr="003F01B6">
        <w:rPr>
          <w:sz w:val="24"/>
          <w:szCs w:val="24"/>
        </w:rPr>
        <w:t xml:space="preserve"> </w:t>
      </w:r>
      <w:r w:rsidR="00731918">
        <w:rPr>
          <w:sz w:val="24"/>
          <w:szCs w:val="24"/>
        </w:rPr>
        <w:t>L</w:t>
      </w:r>
      <w:r w:rsidRPr="003F01B6">
        <w:rPr>
          <w:sz w:val="24"/>
          <w:szCs w:val="24"/>
        </w:rPr>
        <w:t>ead’s comments should be interpreted</w:t>
      </w:r>
      <w:r w:rsidR="00F94FE3" w:rsidRPr="003F01B6">
        <w:rPr>
          <w:sz w:val="24"/>
          <w:szCs w:val="24"/>
        </w:rPr>
        <w:t xml:space="preserve"> and whether they addressed the situation of the most relevant group of patients. </w:t>
      </w:r>
      <w:r w:rsidRPr="003F01B6">
        <w:rPr>
          <w:sz w:val="24"/>
          <w:szCs w:val="24"/>
        </w:rPr>
        <w:t xml:space="preserve"> The </w:t>
      </w:r>
      <w:r w:rsidR="007910B0">
        <w:rPr>
          <w:sz w:val="24"/>
          <w:szCs w:val="24"/>
        </w:rPr>
        <w:t>appeal p</w:t>
      </w:r>
      <w:r w:rsidRPr="003F01B6">
        <w:rPr>
          <w:sz w:val="24"/>
          <w:szCs w:val="24"/>
        </w:rPr>
        <w:t xml:space="preserve">anel felt that the discussion at the second </w:t>
      </w:r>
      <w:r w:rsidR="007910B0">
        <w:rPr>
          <w:sz w:val="24"/>
          <w:szCs w:val="24"/>
        </w:rPr>
        <w:t>c</w:t>
      </w:r>
      <w:r w:rsidRPr="003F01B6">
        <w:rPr>
          <w:sz w:val="24"/>
          <w:szCs w:val="24"/>
        </w:rPr>
        <w:t xml:space="preserve">ommittee meeting could arguably have reached a different </w:t>
      </w:r>
      <w:r w:rsidR="00EC3F66" w:rsidRPr="003F01B6">
        <w:rPr>
          <w:sz w:val="24"/>
          <w:szCs w:val="24"/>
        </w:rPr>
        <w:t xml:space="preserve">conclusion </w:t>
      </w:r>
      <w:r w:rsidRPr="003F01B6">
        <w:rPr>
          <w:sz w:val="24"/>
          <w:szCs w:val="24"/>
        </w:rPr>
        <w:t xml:space="preserve">if </w:t>
      </w:r>
      <w:r w:rsidR="007910B0">
        <w:rPr>
          <w:sz w:val="24"/>
          <w:szCs w:val="24"/>
        </w:rPr>
        <w:t>AstraZeneca</w:t>
      </w:r>
      <w:r w:rsidRPr="003F01B6">
        <w:rPr>
          <w:sz w:val="24"/>
          <w:szCs w:val="24"/>
        </w:rPr>
        <w:t xml:space="preserve"> had had greater chance to prepare, or if clinical experts had been present. The </w:t>
      </w:r>
      <w:r w:rsidR="007910B0">
        <w:rPr>
          <w:sz w:val="24"/>
          <w:szCs w:val="24"/>
        </w:rPr>
        <w:t>appeal p</w:t>
      </w:r>
      <w:r w:rsidRPr="003F01B6">
        <w:rPr>
          <w:sz w:val="24"/>
          <w:szCs w:val="24"/>
        </w:rPr>
        <w:t xml:space="preserve">anel were not convinced that the opportunity to provide further written submissions was a sufficient substitute for this form of discussion.  </w:t>
      </w:r>
    </w:p>
    <w:p w14:paraId="24569DD4" w14:textId="1D5327BD" w:rsidR="00BE43AC" w:rsidRPr="003F01B6" w:rsidRDefault="00BE43AC" w:rsidP="008F6594">
      <w:pPr>
        <w:pStyle w:val="Paragraph"/>
        <w:rPr>
          <w:sz w:val="24"/>
          <w:szCs w:val="24"/>
        </w:rPr>
      </w:pPr>
      <w:r w:rsidRPr="003F01B6">
        <w:rPr>
          <w:sz w:val="24"/>
          <w:szCs w:val="24"/>
        </w:rPr>
        <w:t xml:space="preserve">Taking </w:t>
      </w:r>
      <w:r w:rsidR="008F6594" w:rsidRPr="003F01B6">
        <w:rPr>
          <w:sz w:val="24"/>
          <w:szCs w:val="24"/>
        </w:rPr>
        <w:t xml:space="preserve">all </w:t>
      </w:r>
      <w:r w:rsidRPr="003F01B6">
        <w:rPr>
          <w:sz w:val="24"/>
          <w:szCs w:val="24"/>
        </w:rPr>
        <w:t xml:space="preserve">these factors into account, the </w:t>
      </w:r>
      <w:r w:rsidR="007910B0">
        <w:rPr>
          <w:sz w:val="24"/>
          <w:szCs w:val="24"/>
        </w:rPr>
        <w:t>appeal p</w:t>
      </w:r>
      <w:r w:rsidRPr="003F01B6">
        <w:rPr>
          <w:sz w:val="24"/>
          <w:szCs w:val="24"/>
        </w:rPr>
        <w:t>anel concluded that the opportunity for discussion at the</w:t>
      </w:r>
      <w:r w:rsidR="008F6594" w:rsidRPr="003F01B6">
        <w:rPr>
          <w:sz w:val="24"/>
          <w:szCs w:val="24"/>
        </w:rPr>
        <w:t xml:space="preserve"> second </w:t>
      </w:r>
      <w:r w:rsidR="007910B0">
        <w:rPr>
          <w:sz w:val="24"/>
          <w:szCs w:val="24"/>
        </w:rPr>
        <w:t>c</w:t>
      </w:r>
      <w:r w:rsidR="008F6594" w:rsidRPr="003F01B6">
        <w:rPr>
          <w:sz w:val="24"/>
          <w:szCs w:val="24"/>
        </w:rPr>
        <w:t>ommittee</w:t>
      </w:r>
      <w:r w:rsidRPr="003F01B6">
        <w:rPr>
          <w:sz w:val="24"/>
          <w:szCs w:val="24"/>
        </w:rPr>
        <w:t xml:space="preserve"> meeting and submission of additional written comments was not sufficient to constitute a fair opportunity to respond to this change in the preferred assumptions. </w:t>
      </w:r>
    </w:p>
    <w:p w14:paraId="29F1A0BD" w14:textId="214903A4" w:rsidR="00A72AA6" w:rsidRPr="003F01B6" w:rsidRDefault="00A72AA6" w:rsidP="00A72AA6">
      <w:pPr>
        <w:pStyle w:val="Paragraph"/>
        <w:rPr>
          <w:sz w:val="24"/>
          <w:szCs w:val="24"/>
        </w:rPr>
      </w:pPr>
      <w:r w:rsidRPr="003F01B6">
        <w:rPr>
          <w:sz w:val="24"/>
          <w:szCs w:val="24"/>
        </w:rPr>
        <w:t xml:space="preserve">The </w:t>
      </w:r>
      <w:r w:rsidR="007910B0">
        <w:rPr>
          <w:sz w:val="24"/>
          <w:szCs w:val="24"/>
        </w:rPr>
        <w:t>a</w:t>
      </w:r>
      <w:r w:rsidR="00BE04E4">
        <w:rPr>
          <w:sz w:val="24"/>
          <w:szCs w:val="24"/>
        </w:rPr>
        <w:t>ppeal panel</w:t>
      </w:r>
      <w:r w:rsidRPr="003F01B6">
        <w:rPr>
          <w:sz w:val="24"/>
          <w:szCs w:val="24"/>
        </w:rPr>
        <w:t xml:space="preserve"> therefore upheld the appeal on this point.</w:t>
      </w:r>
    </w:p>
    <w:p w14:paraId="35B03A84" w14:textId="3A48212B" w:rsidR="00A72AA6" w:rsidRPr="006B0851" w:rsidRDefault="00A72AA6">
      <w:pPr>
        <w:pStyle w:val="Paragraph"/>
        <w:numPr>
          <w:ilvl w:val="0"/>
          <w:numId w:val="0"/>
        </w:numPr>
        <w:rPr>
          <w:b/>
          <w:bCs/>
          <w:sz w:val="24"/>
          <w:szCs w:val="24"/>
        </w:rPr>
      </w:pPr>
      <w:r w:rsidRPr="006B0851">
        <w:rPr>
          <w:b/>
          <w:bCs/>
          <w:sz w:val="24"/>
          <w:szCs w:val="24"/>
        </w:rPr>
        <w:t xml:space="preserve">Appeal </w:t>
      </w:r>
      <w:r w:rsidR="00BC7BAF">
        <w:rPr>
          <w:b/>
          <w:bCs/>
          <w:sz w:val="24"/>
          <w:szCs w:val="24"/>
        </w:rPr>
        <w:t>point</w:t>
      </w:r>
      <w:r w:rsidR="00BC7BAF" w:rsidRPr="006B0851">
        <w:rPr>
          <w:b/>
          <w:bCs/>
          <w:sz w:val="24"/>
          <w:szCs w:val="24"/>
        </w:rPr>
        <w:t xml:space="preserve"> </w:t>
      </w:r>
      <w:r w:rsidRPr="006B0851">
        <w:rPr>
          <w:b/>
          <w:bCs/>
          <w:sz w:val="24"/>
          <w:szCs w:val="24"/>
        </w:rPr>
        <w:t>1</w:t>
      </w:r>
      <w:r w:rsidR="006B0851" w:rsidRPr="006B0851">
        <w:rPr>
          <w:b/>
          <w:bCs/>
          <w:sz w:val="24"/>
          <w:szCs w:val="24"/>
        </w:rPr>
        <w:t>a.6: The lack of any reasonable opportunity for commercial negotiation has prejudiced the conduct of this appraisal</w:t>
      </w:r>
    </w:p>
    <w:p w14:paraId="44C1BB36" w14:textId="315519F7" w:rsidR="006B0851" w:rsidRPr="009C36CD" w:rsidRDefault="00753E04">
      <w:pPr>
        <w:pStyle w:val="Paragraph"/>
      </w:pPr>
      <w:r w:rsidRPr="008703AC">
        <w:rPr>
          <w:sz w:val="24"/>
          <w:szCs w:val="24"/>
        </w:rPr>
        <w:t xml:space="preserve">Gavin Stewart, for </w:t>
      </w:r>
      <w:r w:rsidR="00727107">
        <w:rPr>
          <w:sz w:val="24"/>
          <w:szCs w:val="24"/>
        </w:rPr>
        <w:t>AstraZeneca</w:t>
      </w:r>
      <w:r w:rsidRPr="008703AC">
        <w:rPr>
          <w:sz w:val="24"/>
          <w:szCs w:val="24"/>
        </w:rPr>
        <w:t xml:space="preserve">, </w:t>
      </w:r>
      <w:r w:rsidR="00DF1CCF" w:rsidRPr="008703AC">
        <w:rPr>
          <w:sz w:val="24"/>
          <w:szCs w:val="24"/>
        </w:rPr>
        <w:t xml:space="preserve">stated that the </w:t>
      </w:r>
      <w:r w:rsidR="00727107">
        <w:rPr>
          <w:sz w:val="24"/>
          <w:szCs w:val="24"/>
        </w:rPr>
        <w:t>c</w:t>
      </w:r>
      <w:r w:rsidR="001321C3">
        <w:rPr>
          <w:sz w:val="24"/>
          <w:szCs w:val="24"/>
        </w:rPr>
        <w:t>ompany</w:t>
      </w:r>
      <w:r w:rsidR="00DF1CCF" w:rsidRPr="008703AC">
        <w:rPr>
          <w:sz w:val="24"/>
          <w:szCs w:val="24"/>
        </w:rPr>
        <w:t xml:space="preserve"> had no reasonable opportunity to access commercial negotiations and </w:t>
      </w:r>
      <w:r w:rsidR="00867342" w:rsidRPr="008703AC">
        <w:rPr>
          <w:sz w:val="24"/>
          <w:szCs w:val="24"/>
        </w:rPr>
        <w:t xml:space="preserve">as a result could not present the </w:t>
      </w:r>
      <w:r w:rsidR="00727107">
        <w:rPr>
          <w:sz w:val="24"/>
          <w:szCs w:val="24"/>
        </w:rPr>
        <w:t>c</w:t>
      </w:r>
      <w:r w:rsidR="000B4556">
        <w:rPr>
          <w:sz w:val="24"/>
          <w:szCs w:val="24"/>
        </w:rPr>
        <w:t>ommittee</w:t>
      </w:r>
      <w:r w:rsidR="00867342" w:rsidRPr="008703AC">
        <w:rPr>
          <w:sz w:val="24"/>
          <w:szCs w:val="24"/>
        </w:rPr>
        <w:t xml:space="preserve"> with a realistic value proposition</w:t>
      </w:r>
      <w:r w:rsidR="00071919" w:rsidRPr="008703AC">
        <w:rPr>
          <w:sz w:val="24"/>
          <w:szCs w:val="24"/>
        </w:rPr>
        <w:t xml:space="preserve">. </w:t>
      </w:r>
      <w:r w:rsidR="00F33805" w:rsidRPr="008703AC">
        <w:rPr>
          <w:sz w:val="24"/>
          <w:szCs w:val="24"/>
        </w:rPr>
        <w:t xml:space="preserve"> This was d</w:t>
      </w:r>
      <w:r w:rsidR="00A04017" w:rsidRPr="008703AC">
        <w:rPr>
          <w:sz w:val="24"/>
          <w:szCs w:val="24"/>
        </w:rPr>
        <w:t xml:space="preserve">espite multiple attempts by </w:t>
      </w:r>
      <w:r w:rsidR="00727107">
        <w:rPr>
          <w:sz w:val="24"/>
          <w:szCs w:val="24"/>
        </w:rPr>
        <w:t>AstraZeneca</w:t>
      </w:r>
      <w:r w:rsidR="00A04017" w:rsidRPr="008703AC">
        <w:rPr>
          <w:sz w:val="24"/>
          <w:szCs w:val="24"/>
        </w:rPr>
        <w:t xml:space="preserve"> to access commercial negotiations. </w:t>
      </w:r>
      <w:r w:rsidR="00071919" w:rsidRPr="008703AC">
        <w:rPr>
          <w:sz w:val="24"/>
          <w:szCs w:val="24"/>
        </w:rPr>
        <w:t xml:space="preserve"> He explained that</w:t>
      </w:r>
      <w:r w:rsidR="00D143F9" w:rsidRPr="008703AC">
        <w:rPr>
          <w:sz w:val="24"/>
          <w:szCs w:val="24"/>
        </w:rPr>
        <w:t xml:space="preserve"> </w:t>
      </w:r>
      <w:r w:rsidR="00071919" w:rsidRPr="008703AC">
        <w:rPr>
          <w:sz w:val="24"/>
          <w:szCs w:val="24"/>
        </w:rPr>
        <w:t>commercial negotiations are particularly important for combination therapies</w:t>
      </w:r>
      <w:r w:rsidR="00E17968" w:rsidRPr="008703AC">
        <w:rPr>
          <w:sz w:val="24"/>
          <w:szCs w:val="24"/>
        </w:rPr>
        <w:t xml:space="preserve">.  This is recognised in the Manual where it is acknowledged that combination therapies have additional challenges in demonstrating cost effectiveness.  </w:t>
      </w:r>
      <w:r w:rsidR="002D6370">
        <w:rPr>
          <w:sz w:val="24"/>
          <w:szCs w:val="24"/>
        </w:rPr>
        <w:t>A</w:t>
      </w:r>
      <w:r w:rsidR="00D30A96" w:rsidRPr="008703AC">
        <w:rPr>
          <w:sz w:val="24"/>
          <w:szCs w:val="24"/>
        </w:rPr>
        <w:t xml:space="preserve">s both durvalumab and </w:t>
      </w:r>
      <w:proofErr w:type="spellStart"/>
      <w:r w:rsidR="00D30A96" w:rsidRPr="008703AC">
        <w:rPr>
          <w:sz w:val="24"/>
          <w:szCs w:val="24"/>
        </w:rPr>
        <w:t>olap</w:t>
      </w:r>
      <w:r w:rsidR="00EC3335">
        <w:rPr>
          <w:sz w:val="24"/>
          <w:szCs w:val="24"/>
        </w:rPr>
        <w:t>ari</w:t>
      </w:r>
      <w:r w:rsidR="005F452A" w:rsidRPr="008703AC">
        <w:rPr>
          <w:sz w:val="24"/>
          <w:szCs w:val="24"/>
        </w:rPr>
        <w:t>b</w:t>
      </w:r>
      <w:proofErr w:type="spellEnd"/>
      <w:r w:rsidR="005F452A" w:rsidRPr="008703AC">
        <w:rPr>
          <w:sz w:val="24"/>
          <w:szCs w:val="24"/>
        </w:rPr>
        <w:t xml:space="preserve"> </w:t>
      </w:r>
      <w:r w:rsidR="002D6370">
        <w:rPr>
          <w:sz w:val="24"/>
          <w:szCs w:val="24"/>
        </w:rPr>
        <w:t xml:space="preserve">are </w:t>
      </w:r>
      <w:r w:rsidR="00BB34AD">
        <w:rPr>
          <w:sz w:val="24"/>
          <w:szCs w:val="24"/>
        </w:rPr>
        <w:t xml:space="preserve">already </w:t>
      </w:r>
      <w:r w:rsidR="002D6370">
        <w:rPr>
          <w:sz w:val="24"/>
          <w:szCs w:val="24"/>
        </w:rPr>
        <w:t xml:space="preserve">reimbursed for use in the NHS in </w:t>
      </w:r>
      <w:r w:rsidR="00BB34AD">
        <w:rPr>
          <w:sz w:val="24"/>
          <w:szCs w:val="24"/>
        </w:rPr>
        <w:t>multiple indications</w:t>
      </w:r>
      <w:r w:rsidR="002D6370">
        <w:rPr>
          <w:sz w:val="24"/>
          <w:szCs w:val="24"/>
        </w:rPr>
        <w:t>,</w:t>
      </w:r>
      <w:r w:rsidR="00BB34AD">
        <w:rPr>
          <w:sz w:val="24"/>
          <w:szCs w:val="24"/>
        </w:rPr>
        <w:t xml:space="preserve"> pricing is governed by complex arrangements with NHS England</w:t>
      </w:r>
      <w:r w:rsidR="002D6370">
        <w:rPr>
          <w:sz w:val="24"/>
          <w:szCs w:val="24"/>
        </w:rPr>
        <w:t xml:space="preserve">. A simple </w:t>
      </w:r>
      <w:r w:rsidR="00C258F9">
        <w:rPr>
          <w:sz w:val="24"/>
          <w:szCs w:val="24"/>
        </w:rPr>
        <w:t xml:space="preserve">Patient Access Scheme </w:t>
      </w:r>
      <w:r w:rsidR="00C258F9">
        <w:rPr>
          <w:sz w:val="24"/>
          <w:szCs w:val="24"/>
        </w:rPr>
        <w:lastRenderedPageBreak/>
        <w:t>(“</w:t>
      </w:r>
      <w:r w:rsidR="002E7A9C">
        <w:rPr>
          <w:sz w:val="24"/>
          <w:szCs w:val="24"/>
        </w:rPr>
        <w:t>PAS</w:t>
      </w:r>
      <w:r w:rsidR="00C258F9">
        <w:rPr>
          <w:sz w:val="24"/>
          <w:szCs w:val="24"/>
        </w:rPr>
        <w:t>”)</w:t>
      </w:r>
      <w:r w:rsidR="002E7A9C">
        <w:rPr>
          <w:sz w:val="24"/>
          <w:szCs w:val="24"/>
        </w:rPr>
        <w:t xml:space="preserve"> </w:t>
      </w:r>
      <w:r w:rsidR="002D6370">
        <w:rPr>
          <w:sz w:val="24"/>
          <w:szCs w:val="24"/>
        </w:rPr>
        <w:t>is not available in those circumstances</w:t>
      </w:r>
      <w:r w:rsidR="002E7A9C">
        <w:rPr>
          <w:sz w:val="24"/>
          <w:szCs w:val="24"/>
        </w:rPr>
        <w:t>.</w:t>
      </w:r>
      <w:r w:rsidR="00515792">
        <w:rPr>
          <w:sz w:val="24"/>
          <w:szCs w:val="24"/>
        </w:rPr>
        <w:t xml:space="preserve">  Following the first </w:t>
      </w:r>
      <w:r w:rsidR="00C258F9">
        <w:rPr>
          <w:sz w:val="24"/>
          <w:szCs w:val="24"/>
        </w:rPr>
        <w:t>c</w:t>
      </w:r>
      <w:r w:rsidR="000B4556">
        <w:rPr>
          <w:sz w:val="24"/>
          <w:szCs w:val="24"/>
        </w:rPr>
        <w:t>ommittee</w:t>
      </w:r>
      <w:r w:rsidR="00515792">
        <w:rPr>
          <w:sz w:val="24"/>
          <w:szCs w:val="24"/>
        </w:rPr>
        <w:t xml:space="preserve"> meeting </w:t>
      </w:r>
      <w:r w:rsidR="00C258F9">
        <w:rPr>
          <w:sz w:val="24"/>
          <w:szCs w:val="24"/>
        </w:rPr>
        <w:t>AstraZeneca</w:t>
      </w:r>
      <w:r w:rsidR="00515792">
        <w:rPr>
          <w:sz w:val="24"/>
          <w:szCs w:val="24"/>
        </w:rPr>
        <w:t xml:space="preserve"> was provided </w:t>
      </w:r>
      <w:r w:rsidR="00C779FB">
        <w:rPr>
          <w:sz w:val="24"/>
          <w:szCs w:val="24"/>
        </w:rPr>
        <w:t xml:space="preserve">with </w:t>
      </w:r>
      <w:r w:rsidR="00515792">
        <w:rPr>
          <w:sz w:val="24"/>
          <w:szCs w:val="24"/>
        </w:rPr>
        <w:t xml:space="preserve">the opportunity to access commercial negotiations </w:t>
      </w:r>
      <w:r w:rsidR="00BD2812">
        <w:rPr>
          <w:sz w:val="24"/>
          <w:szCs w:val="24"/>
        </w:rPr>
        <w:t xml:space="preserve">if it accepted the </w:t>
      </w:r>
      <w:r w:rsidR="007C47FF">
        <w:rPr>
          <w:sz w:val="24"/>
          <w:szCs w:val="24"/>
        </w:rPr>
        <w:t xml:space="preserve">preferred </w:t>
      </w:r>
      <w:r w:rsidR="00BD2812">
        <w:rPr>
          <w:sz w:val="24"/>
          <w:szCs w:val="24"/>
        </w:rPr>
        <w:t xml:space="preserve">assumptions and a £20,000 ICER threshold.  </w:t>
      </w:r>
      <w:r w:rsidR="00257CA0">
        <w:rPr>
          <w:sz w:val="24"/>
          <w:szCs w:val="24"/>
        </w:rPr>
        <w:t xml:space="preserve">Whilst </w:t>
      </w:r>
      <w:r w:rsidR="00C258F9">
        <w:rPr>
          <w:sz w:val="24"/>
          <w:szCs w:val="24"/>
        </w:rPr>
        <w:t>AstraZeneca</w:t>
      </w:r>
      <w:r w:rsidR="00257CA0">
        <w:rPr>
          <w:sz w:val="24"/>
          <w:szCs w:val="24"/>
        </w:rPr>
        <w:t xml:space="preserve"> </w:t>
      </w:r>
      <w:r w:rsidR="002D6370">
        <w:rPr>
          <w:sz w:val="24"/>
          <w:szCs w:val="24"/>
        </w:rPr>
        <w:t xml:space="preserve">was </w:t>
      </w:r>
      <w:r w:rsidR="00257CA0">
        <w:rPr>
          <w:sz w:val="24"/>
          <w:szCs w:val="24"/>
        </w:rPr>
        <w:t>happy to a</w:t>
      </w:r>
      <w:r w:rsidR="007C47FF">
        <w:rPr>
          <w:sz w:val="24"/>
          <w:szCs w:val="24"/>
        </w:rPr>
        <w:t>gree</w:t>
      </w:r>
      <w:r w:rsidR="00257CA0">
        <w:rPr>
          <w:sz w:val="24"/>
          <w:szCs w:val="24"/>
        </w:rPr>
        <w:t xml:space="preserve"> the assumptions it did not consider the lower band threshold appropriate. </w:t>
      </w:r>
      <w:r w:rsidR="00245CC2">
        <w:rPr>
          <w:sz w:val="24"/>
          <w:szCs w:val="24"/>
        </w:rPr>
        <w:t xml:space="preserve"> </w:t>
      </w:r>
      <w:r w:rsidR="00C258F9">
        <w:rPr>
          <w:sz w:val="24"/>
          <w:szCs w:val="24"/>
        </w:rPr>
        <w:t>AstraZeneca</w:t>
      </w:r>
      <w:r w:rsidR="00245CC2">
        <w:rPr>
          <w:sz w:val="24"/>
          <w:szCs w:val="24"/>
        </w:rPr>
        <w:t xml:space="preserve"> consider</w:t>
      </w:r>
      <w:r w:rsidR="002D6370">
        <w:rPr>
          <w:sz w:val="24"/>
          <w:szCs w:val="24"/>
        </w:rPr>
        <w:t>s</w:t>
      </w:r>
      <w:r w:rsidR="00245CC2">
        <w:rPr>
          <w:sz w:val="24"/>
          <w:szCs w:val="24"/>
        </w:rPr>
        <w:t xml:space="preserve"> it was fundamentally unfair to require it to </w:t>
      </w:r>
      <w:r w:rsidR="002D6370">
        <w:rPr>
          <w:sz w:val="24"/>
          <w:szCs w:val="24"/>
        </w:rPr>
        <w:t>agree to the</w:t>
      </w:r>
      <w:r w:rsidR="00AA321E">
        <w:rPr>
          <w:sz w:val="24"/>
          <w:szCs w:val="24"/>
        </w:rPr>
        <w:t xml:space="preserve"> uncertainty</w:t>
      </w:r>
      <w:r w:rsidR="002D6370">
        <w:rPr>
          <w:sz w:val="24"/>
          <w:szCs w:val="24"/>
        </w:rPr>
        <w:t>-</w:t>
      </w:r>
      <w:r w:rsidR="00AA321E">
        <w:rPr>
          <w:sz w:val="24"/>
          <w:szCs w:val="24"/>
        </w:rPr>
        <w:t xml:space="preserve">adjusted threshold as a prerequisite to commercial negotiations before </w:t>
      </w:r>
      <w:r w:rsidR="000C3B57">
        <w:rPr>
          <w:sz w:val="24"/>
          <w:szCs w:val="24"/>
        </w:rPr>
        <w:t>it had been</w:t>
      </w:r>
      <w:r w:rsidR="002D6370">
        <w:rPr>
          <w:sz w:val="24"/>
          <w:szCs w:val="24"/>
        </w:rPr>
        <w:t xml:space="preserve"> further</w:t>
      </w:r>
      <w:r w:rsidR="000C3B57">
        <w:rPr>
          <w:sz w:val="24"/>
          <w:szCs w:val="24"/>
        </w:rPr>
        <w:t xml:space="preserve"> investigated</w:t>
      </w:r>
      <w:r w:rsidR="002D6370">
        <w:rPr>
          <w:sz w:val="24"/>
          <w:szCs w:val="24"/>
        </w:rPr>
        <w:t xml:space="preserve"> and considered</w:t>
      </w:r>
      <w:r w:rsidR="000C3B57">
        <w:rPr>
          <w:sz w:val="24"/>
          <w:szCs w:val="24"/>
        </w:rPr>
        <w:t xml:space="preserve">.  </w:t>
      </w:r>
      <w:r w:rsidR="00C258F9">
        <w:rPr>
          <w:sz w:val="24"/>
          <w:szCs w:val="24"/>
        </w:rPr>
        <w:t>AstraZeneca</w:t>
      </w:r>
      <w:r w:rsidR="008950CA">
        <w:rPr>
          <w:sz w:val="24"/>
          <w:szCs w:val="24"/>
        </w:rPr>
        <w:t xml:space="preserve"> consider</w:t>
      </w:r>
      <w:r w:rsidR="002D6370">
        <w:rPr>
          <w:sz w:val="24"/>
          <w:szCs w:val="24"/>
        </w:rPr>
        <w:t>s that</w:t>
      </w:r>
      <w:r w:rsidR="008950CA">
        <w:rPr>
          <w:sz w:val="24"/>
          <w:szCs w:val="24"/>
        </w:rPr>
        <w:t xml:space="preserve"> this created an unfair process</w:t>
      </w:r>
      <w:r w:rsidR="005A3D45">
        <w:rPr>
          <w:sz w:val="24"/>
          <w:szCs w:val="24"/>
        </w:rPr>
        <w:t xml:space="preserve"> which was particularly acute given the pre-existing pricing mechanisms</w:t>
      </w:r>
      <w:r w:rsidR="002D6370">
        <w:rPr>
          <w:sz w:val="24"/>
          <w:szCs w:val="24"/>
        </w:rPr>
        <w:t>,</w:t>
      </w:r>
      <w:r w:rsidR="005A3D45">
        <w:rPr>
          <w:sz w:val="24"/>
          <w:szCs w:val="24"/>
        </w:rPr>
        <w:t xml:space="preserve"> </w:t>
      </w:r>
      <w:r w:rsidR="00241505">
        <w:rPr>
          <w:sz w:val="24"/>
          <w:szCs w:val="24"/>
        </w:rPr>
        <w:t>mean</w:t>
      </w:r>
      <w:r w:rsidR="002D6370">
        <w:rPr>
          <w:sz w:val="24"/>
          <w:szCs w:val="24"/>
        </w:rPr>
        <w:t>ing</w:t>
      </w:r>
      <w:r w:rsidR="00241505">
        <w:rPr>
          <w:sz w:val="24"/>
          <w:szCs w:val="24"/>
        </w:rPr>
        <w:t xml:space="preserve"> </w:t>
      </w:r>
      <w:r w:rsidR="00E62E19">
        <w:rPr>
          <w:sz w:val="24"/>
          <w:szCs w:val="24"/>
        </w:rPr>
        <w:t>AstraZeneca</w:t>
      </w:r>
      <w:r w:rsidR="00241505">
        <w:rPr>
          <w:sz w:val="24"/>
          <w:szCs w:val="24"/>
        </w:rPr>
        <w:t xml:space="preserve"> </w:t>
      </w:r>
      <w:r w:rsidR="005A3D45">
        <w:rPr>
          <w:sz w:val="24"/>
          <w:szCs w:val="24"/>
        </w:rPr>
        <w:t>ha</w:t>
      </w:r>
      <w:r w:rsidR="002D6370">
        <w:rPr>
          <w:sz w:val="24"/>
          <w:szCs w:val="24"/>
        </w:rPr>
        <w:t>d</w:t>
      </w:r>
      <w:r w:rsidR="005A3D45">
        <w:rPr>
          <w:sz w:val="24"/>
          <w:szCs w:val="24"/>
        </w:rPr>
        <w:t xml:space="preserve"> no way of introducing commercial pricing proposals.  </w:t>
      </w:r>
      <w:r w:rsidR="002D6370">
        <w:rPr>
          <w:sz w:val="24"/>
          <w:szCs w:val="24"/>
        </w:rPr>
        <w:t>C</w:t>
      </w:r>
      <w:r w:rsidR="0082134B">
        <w:rPr>
          <w:sz w:val="24"/>
          <w:szCs w:val="24"/>
        </w:rPr>
        <w:t xml:space="preserve">onducting the appraisal at an artificial price point meant the </w:t>
      </w:r>
      <w:r w:rsidR="00E62E19">
        <w:rPr>
          <w:sz w:val="24"/>
          <w:szCs w:val="24"/>
        </w:rPr>
        <w:t>c</w:t>
      </w:r>
      <w:r w:rsidR="000B4556">
        <w:rPr>
          <w:sz w:val="24"/>
          <w:szCs w:val="24"/>
        </w:rPr>
        <w:t>ommittee</w:t>
      </w:r>
      <w:r w:rsidR="0082134B">
        <w:rPr>
          <w:sz w:val="24"/>
          <w:szCs w:val="24"/>
        </w:rPr>
        <w:t xml:space="preserve"> was unable to quantify decision </w:t>
      </w:r>
      <w:r w:rsidR="004B69AF">
        <w:rPr>
          <w:sz w:val="24"/>
          <w:szCs w:val="24"/>
        </w:rPr>
        <w:t>risk or</w:t>
      </w:r>
      <w:r w:rsidR="0082134B">
        <w:rPr>
          <w:sz w:val="24"/>
          <w:szCs w:val="24"/>
        </w:rPr>
        <w:t xml:space="preserve"> adjust for uncertainty.</w:t>
      </w:r>
      <w:r w:rsidR="006106AA">
        <w:rPr>
          <w:sz w:val="24"/>
          <w:szCs w:val="24"/>
        </w:rPr>
        <w:t xml:space="preserve">  </w:t>
      </w:r>
      <w:r w:rsidR="006140E3">
        <w:rPr>
          <w:sz w:val="24"/>
          <w:szCs w:val="24"/>
        </w:rPr>
        <w:t>He said</w:t>
      </w:r>
      <w:r w:rsidR="006106AA">
        <w:rPr>
          <w:sz w:val="24"/>
          <w:szCs w:val="24"/>
        </w:rPr>
        <w:t xml:space="preserve"> that if </w:t>
      </w:r>
      <w:r w:rsidR="00E62E19">
        <w:rPr>
          <w:sz w:val="24"/>
          <w:szCs w:val="24"/>
        </w:rPr>
        <w:t>AstraZeneca</w:t>
      </w:r>
      <w:r w:rsidR="006106AA">
        <w:rPr>
          <w:sz w:val="24"/>
          <w:szCs w:val="24"/>
        </w:rPr>
        <w:t xml:space="preserve"> had been permitted to </w:t>
      </w:r>
      <w:r w:rsidR="003D77C3">
        <w:rPr>
          <w:sz w:val="24"/>
          <w:szCs w:val="24"/>
        </w:rPr>
        <w:t xml:space="preserve">access commercial </w:t>
      </w:r>
      <w:r w:rsidR="00EC3335">
        <w:rPr>
          <w:sz w:val="24"/>
          <w:szCs w:val="24"/>
        </w:rPr>
        <w:t>negotiations</w:t>
      </w:r>
      <w:r w:rsidR="003D77C3">
        <w:rPr>
          <w:sz w:val="24"/>
          <w:szCs w:val="24"/>
        </w:rPr>
        <w:t xml:space="preserve"> with </w:t>
      </w:r>
      <w:proofErr w:type="gramStart"/>
      <w:r w:rsidR="003D77C3">
        <w:rPr>
          <w:sz w:val="24"/>
          <w:szCs w:val="24"/>
        </w:rPr>
        <w:t>NHS</w:t>
      </w:r>
      <w:r w:rsidR="00241505">
        <w:rPr>
          <w:sz w:val="24"/>
          <w:szCs w:val="24"/>
        </w:rPr>
        <w:t xml:space="preserve"> </w:t>
      </w:r>
      <w:r w:rsidR="003D77C3">
        <w:rPr>
          <w:sz w:val="24"/>
          <w:szCs w:val="24"/>
        </w:rPr>
        <w:t>E</w:t>
      </w:r>
      <w:r w:rsidR="00241505">
        <w:rPr>
          <w:sz w:val="24"/>
          <w:szCs w:val="24"/>
        </w:rPr>
        <w:t>ngland</w:t>
      </w:r>
      <w:proofErr w:type="gramEnd"/>
      <w:r w:rsidR="003D77C3">
        <w:rPr>
          <w:sz w:val="24"/>
          <w:szCs w:val="24"/>
        </w:rPr>
        <w:t xml:space="preserve"> he </w:t>
      </w:r>
      <w:r w:rsidR="009C36CD">
        <w:rPr>
          <w:sz w:val="24"/>
          <w:szCs w:val="24"/>
        </w:rPr>
        <w:t>is</w:t>
      </w:r>
      <w:r w:rsidR="003D77C3">
        <w:rPr>
          <w:sz w:val="24"/>
          <w:szCs w:val="24"/>
        </w:rPr>
        <w:t xml:space="preserve"> confident that a positive outcome could have been achieved</w:t>
      </w:r>
      <w:r w:rsidR="009C36CD">
        <w:rPr>
          <w:sz w:val="24"/>
          <w:szCs w:val="24"/>
        </w:rPr>
        <w:t>.</w:t>
      </w:r>
    </w:p>
    <w:p w14:paraId="5737D79D" w14:textId="29B0C2A8" w:rsidR="009C36CD" w:rsidRPr="009A5B7F" w:rsidRDefault="009C36CD">
      <w:pPr>
        <w:pStyle w:val="Paragraph"/>
      </w:pPr>
      <w:r>
        <w:rPr>
          <w:sz w:val="24"/>
          <w:szCs w:val="24"/>
        </w:rPr>
        <w:t xml:space="preserve">Emily Crowe, for NICE, explained that </w:t>
      </w:r>
      <w:r w:rsidR="006D2D85">
        <w:rPr>
          <w:sz w:val="24"/>
          <w:szCs w:val="24"/>
        </w:rPr>
        <w:t xml:space="preserve">the ICER threshold serves two purposes. First, </w:t>
      </w:r>
      <w:r w:rsidR="006552B6">
        <w:rPr>
          <w:sz w:val="24"/>
          <w:szCs w:val="24"/>
        </w:rPr>
        <w:t xml:space="preserve">it is needed </w:t>
      </w:r>
      <w:proofErr w:type="gramStart"/>
      <w:r w:rsidR="009D5585">
        <w:rPr>
          <w:sz w:val="24"/>
          <w:szCs w:val="24"/>
        </w:rPr>
        <w:t>in order for</w:t>
      </w:r>
      <w:proofErr w:type="gramEnd"/>
      <w:r w:rsidR="009D5585">
        <w:rPr>
          <w:sz w:val="24"/>
          <w:szCs w:val="24"/>
        </w:rPr>
        <w:t xml:space="preserve"> </w:t>
      </w:r>
      <w:r w:rsidR="006552B6">
        <w:rPr>
          <w:sz w:val="24"/>
          <w:szCs w:val="24"/>
        </w:rPr>
        <w:t xml:space="preserve">commercial </w:t>
      </w:r>
      <w:r w:rsidR="00EE1FFA">
        <w:rPr>
          <w:sz w:val="24"/>
          <w:szCs w:val="24"/>
        </w:rPr>
        <w:t>negotiations</w:t>
      </w:r>
      <w:r w:rsidR="009D5585">
        <w:rPr>
          <w:sz w:val="24"/>
          <w:szCs w:val="24"/>
        </w:rPr>
        <w:t xml:space="preserve"> to take place</w:t>
      </w:r>
      <w:r w:rsidR="006552B6">
        <w:rPr>
          <w:sz w:val="24"/>
          <w:szCs w:val="24"/>
        </w:rPr>
        <w:t xml:space="preserve">, </w:t>
      </w:r>
      <w:r w:rsidR="009D5585">
        <w:rPr>
          <w:sz w:val="24"/>
          <w:szCs w:val="24"/>
        </w:rPr>
        <w:t xml:space="preserve">as </w:t>
      </w:r>
      <w:r w:rsidR="006552B6">
        <w:rPr>
          <w:sz w:val="24"/>
          <w:szCs w:val="24"/>
        </w:rPr>
        <w:t xml:space="preserve">it is not reasonable for a </w:t>
      </w:r>
      <w:r w:rsidR="009B2F6E">
        <w:rPr>
          <w:sz w:val="24"/>
          <w:szCs w:val="24"/>
        </w:rPr>
        <w:t>c</w:t>
      </w:r>
      <w:r w:rsidR="001321C3">
        <w:rPr>
          <w:sz w:val="24"/>
          <w:szCs w:val="24"/>
        </w:rPr>
        <w:t>ompany</w:t>
      </w:r>
      <w:r w:rsidR="006552B6">
        <w:rPr>
          <w:sz w:val="24"/>
          <w:szCs w:val="24"/>
        </w:rPr>
        <w:t xml:space="preserve"> and NHS England to </w:t>
      </w:r>
      <w:r w:rsidR="00EE1FFA">
        <w:rPr>
          <w:sz w:val="24"/>
          <w:szCs w:val="24"/>
        </w:rPr>
        <w:t xml:space="preserve">negotiate a price without considering the bar applied by an ICER threshold.  Second, </w:t>
      </w:r>
      <w:r w:rsidR="004F78FA">
        <w:rPr>
          <w:sz w:val="24"/>
          <w:szCs w:val="24"/>
        </w:rPr>
        <w:t>it is need</w:t>
      </w:r>
      <w:r w:rsidR="00022D2A">
        <w:rPr>
          <w:sz w:val="24"/>
          <w:szCs w:val="24"/>
        </w:rPr>
        <w:t>ed</w:t>
      </w:r>
      <w:r w:rsidR="004F78FA">
        <w:rPr>
          <w:sz w:val="24"/>
          <w:szCs w:val="24"/>
        </w:rPr>
        <w:t xml:space="preserve"> after commercial negotiations are concluded </w:t>
      </w:r>
      <w:r w:rsidR="00B80408">
        <w:rPr>
          <w:sz w:val="24"/>
          <w:szCs w:val="24"/>
        </w:rPr>
        <w:t xml:space="preserve">so that the chair can decide whether to approve </w:t>
      </w:r>
      <w:r w:rsidR="004E5745">
        <w:rPr>
          <w:sz w:val="24"/>
          <w:szCs w:val="24"/>
        </w:rPr>
        <w:t xml:space="preserve">the technology </w:t>
      </w:r>
      <w:r w:rsidR="00B80408">
        <w:rPr>
          <w:sz w:val="24"/>
          <w:szCs w:val="24"/>
        </w:rPr>
        <w:t xml:space="preserve">based on the threshold.  This is set out at </w:t>
      </w:r>
      <w:r w:rsidR="00EE4F0D">
        <w:rPr>
          <w:sz w:val="24"/>
          <w:szCs w:val="24"/>
        </w:rPr>
        <w:t>paragraph</w:t>
      </w:r>
      <w:r w:rsidR="00B80408">
        <w:rPr>
          <w:sz w:val="24"/>
          <w:szCs w:val="24"/>
        </w:rPr>
        <w:t xml:space="preserve"> 5.8.45</w:t>
      </w:r>
      <w:r w:rsidR="00EE4F0D">
        <w:rPr>
          <w:sz w:val="24"/>
          <w:szCs w:val="24"/>
        </w:rPr>
        <w:t xml:space="preserve"> of the </w:t>
      </w:r>
      <w:r w:rsidR="009B2F6E">
        <w:rPr>
          <w:sz w:val="24"/>
          <w:szCs w:val="24"/>
        </w:rPr>
        <w:t>M</w:t>
      </w:r>
      <w:r w:rsidR="00EE4F0D">
        <w:rPr>
          <w:sz w:val="24"/>
          <w:szCs w:val="24"/>
        </w:rPr>
        <w:t>anual.</w:t>
      </w:r>
      <w:r w:rsidR="00CA5B24">
        <w:rPr>
          <w:sz w:val="24"/>
          <w:szCs w:val="24"/>
        </w:rPr>
        <w:t xml:space="preserve">  </w:t>
      </w:r>
      <w:r w:rsidR="00F17CC1">
        <w:rPr>
          <w:sz w:val="24"/>
          <w:szCs w:val="24"/>
        </w:rPr>
        <w:t xml:space="preserve">Paragraph 5.8.35 </w:t>
      </w:r>
      <w:r w:rsidR="00BB5A5D">
        <w:rPr>
          <w:sz w:val="24"/>
          <w:szCs w:val="24"/>
        </w:rPr>
        <w:t xml:space="preserve">explains that the </w:t>
      </w:r>
      <w:r w:rsidR="009B2F6E">
        <w:rPr>
          <w:sz w:val="24"/>
          <w:szCs w:val="24"/>
        </w:rPr>
        <w:t>c</w:t>
      </w:r>
      <w:r w:rsidR="001321C3">
        <w:rPr>
          <w:sz w:val="24"/>
          <w:szCs w:val="24"/>
        </w:rPr>
        <w:t>ompany</w:t>
      </w:r>
      <w:r w:rsidR="00BB5A5D">
        <w:rPr>
          <w:sz w:val="24"/>
          <w:szCs w:val="24"/>
        </w:rPr>
        <w:t xml:space="preserve"> will </w:t>
      </w:r>
      <w:r w:rsidR="00F41C30">
        <w:rPr>
          <w:sz w:val="24"/>
          <w:szCs w:val="24"/>
        </w:rPr>
        <w:t xml:space="preserve">confirm whether they accept the </w:t>
      </w:r>
      <w:r w:rsidR="009B2F6E">
        <w:rPr>
          <w:sz w:val="24"/>
          <w:szCs w:val="24"/>
        </w:rPr>
        <w:t>c</w:t>
      </w:r>
      <w:r w:rsidR="000B4556">
        <w:rPr>
          <w:sz w:val="24"/>
          <w:szCs w:val="24"/>
        </w:rPr>
        <w:t>ommittee</w:t>
      </w:r>
      <w:r w:rsidR="00F41C30">
        <w:rPr>
          <w:sz w:val="24"/>
          <w:szCs w:val="24"/>
        </w:rPr>
        <w:t xml:space="preserve">'s key assumptions.  </w:t>
      </w:r>
      <w:r w:rsidR="00EC3335">
        <w:rPr>
          <w:sz w:val="24"/>
          <w:szCs w:val="24"/>
        </w:rPr>
        <w:t>Paragraph</w:t>
      </w:r>
      <w:r w:rsidR="00F41C30">
        <w:rPr>
          <w:sz w:val="24"/>
          <w:szCs w:val="24"/>
        </w:rPr>
        <w:t xml:space="preserve"> 5.8.42</w:t>
      </w:r>
      <w:r w:rsidR="006201A4">
        <w:rPr>
          <w:sz w:val="24"/>
          <w:szCs w:val="24"/>
        </w:rPr>
        <w:t xml:space="preserve"> explains that if the </w:t>
      </w:r>
      <w:r w:rsidR="009B2F6E">
        <w:rPr>
          <w:sz w:val="24"/>
          <w:szCs w:val="24"/>
        </w:rPr>
        <w:t>c</w:t>
      </w:r>
      <w:r w:rsidR="001321C3">
        <w:rPr>
          <w:sz w:val="24"/>
          <w:szCs w:val="24"/>
        </w:rPr>
        <w:t>ompany</w:t>
      </w:r>
      <w:r w:rsidR="006201A4">
        <w:rPr>
          <w:sz w:val="24"/>
          <w:szCs w:val="24"/>
        </w:rPr>
        <w:t xml:space="preserve"> informs NICE that it does not accept the </w:t>
      </w:r>
      <w:r w:rsidR="009B2F6E">
        <w:rPr>
          <w:sz w:val="24"/>
          <w:szCs w:val="24"/>
        </w:rPr>
        <w:t>c</w:t>
      </w:r>
      <w:r w:rsidR="000B4556">
        <w:rPr>
          <w:sz w:val="24"/>
          <w:szCs w:val="24"/>
        </w:rPr>
        <w:t>ommittee</w:t>
      </w:r>
      <w:r w:rsidR="006201A4">
        <w:rPr>
          <w:sz w:val="24"/>
          <w:szCs w:val="24"/>
        </w:rPr>
        <w:t xml:space="preserve">'s </w:t>
      </w:r>
      <w:r w:rsidR="00EC3335">
        <w:rPr>
          <w:sz w:val="24"/>
          <w:szCs w:val="24"/>
        </w:rPr>
        <w:t>preferences</w:t>
      </w:r>
      <w:r w:rsidR="006201A4">
        <w:rPr>
          <w:sz w:val="24"/>
          <w:szCs w:val="24"/>
        </w:rPr>
        <w:t xml:space="preserve"> and assumptions NICE will be unable to accommodate any further requests </w:t>
      </w:r>
      <w:r w:rsidR="00731918">
        <w:rPr>
          <w:sz w:val="24"/>
          <w:szCs w:val="24"/>
        </w:rPr>
        <w:t>to</w:t>
      </w:r>
      <w:r w:rsidR="006201A4">
        <w:rPr>
          <w:sz w:val="24"/>
          <w:szCs w:val="24"/>
        </w:rPr>
        <w:t xml:space="preserve"> delay its process to accommodate PAS or commercial access agreement discussions.  Emily Crowe explained </w:t>
      </w:r>
      <w:r w:rsidR="005B5863">
        <w:rPr>
          <w:sz w:val="24"/>
          <w:szCs w:val="24"/>
        </w:rPr>
        <w:t xml:space="preserve">that the issue was discussed at the second </w:t>
      </w:r>
      <w:r w:rsidR="00D5335A">
        <w:rPr>
          <w:sz w:val="24"/>
          <w:szCs w:val="24"/>
        </w:rPr>
        <w:t>c</w:t>
      </w:r>
      <w:r w:rsidR="000B4556">
        <w:rPr>
          <w:sz w:val="24"/>
          <w:szCs w:val="24"/>
        </w:rPr>
        <w:t>ommittee</w:t>
      </w:r>
      <w:r w:rsidR="005B5863">
        <w:rPr>
          <w:sz w:val="24"/>
          <w:szCs w:val="24"/>
        </w:rPr>
        <w:t xml:space="preserve"> meeting</w:t>
      </w:r>
      <w:r w:rsidR="00AB65B0">
        <w:rPr>
          <w:sz w:val="24"/>
          <w:szCs w:val="24"/>
        </w:rPr>
        <w:t xml:space="preserve">.  </w:t>
      </w:r>
      <w:r w:rsidR="00D5335A">
        <w:rPr>
          <w:sz w:val="24"/>
          <w:szCs w:val="24"/>
        </w:rPr>
        <w:t>AstraZeneca</w:t>
      </w:r>
      <w:r w:rsidR="00AB65B0">
        <w:rPr>
          <w:sz w:val="24"/>
          <w:szCs w:val="24"/>
        </w:rPr>
        <w:t xml:space="preserve"> could not accept a threshold at the lower end of the range</w:t>
      </w:r>
      <w:r w:rsidR="00A62FFD">
        <w:rPr>
          <w:sz w:val="24"/>
          <w:szCs w:val="24"/>
        </w:rPr>
        <w:t xml:space="preserve"> and</w:t>
      </w:r>
      <w:r w:rsidR="00AB65B0">
        <w:rPr>
          <w:sz w:val="24"/>
          <w:szCs w:val="24"/>
        </w:rPr>
        <w:t xml:space="preserve"> the </w:t>
      </w:r>
      <w:r w:rsidR="00D5335A">
        <w:rPr>
          <w:sz w:val="24"/>
          <w:szCs w:val="24"/>
        </w:rPr>
        <w:t>c</w:t>
      </w:r>
      <w:r w:rsidR="001321C3">
        <w:rPr>
          <w:sz w:val="24"/>
          <w:szCs w:val="24"/>
        </w:rPr>
        <w:t>ompany</w:t>
      </w:r>
      <w:r w:rsidR="00AB65B0">
        <w:rPr>
          <w:sz w:val="24"/>
          <w:szCs w:val="24"/>
        </w:rPr>
        <w:t xml:space="preserve"> did not </w:t>
      </w:r>
      <w:r w:rsidR="00F4262C">
        <w:rPr>
          <w:sz w:val="24"/>
          <w:szCs w:val="24"/>
        </w:rPr>
        <w:t xml:space="preserve">argue </w:t>
      </w:r>
      <w:r w:rsidR="00F4262C">
        <w:rPr>
          <w:sz w:val="24"/>
          <w:szCs w:val="24"/>
        </w:rPr>
        <w:lastRenderedPageBreak/>
        <w:t>that there should not be a threshold</w:t>
      </w:r>
      <w:r w:rsidR="000A46B4">
        <w:rPr>
          <w:sz w:val="24"/>
          <w:szCs w:val="24"/>
        </w:rPr>
        <w:t xml:space="preserve">. She also noted that </w:t>
      </w:r>
      <w:r w:rsidR="00D5335A">
        <w:rPr>
          <w:sz w:val="24"/>
          <w:szCs w:val="24"/>
        </w:rPr>
        <w:t>AstraZeneca</w:t>
      </w:r>
      <w:r w:rsidR="000A46B4">
        <w:rPr>
          <w:sz w:val="24"/>
          <w:szCs w:val="24"/>
        </w:rPr>
        <w:t xml:space="preserve"> are aware of the process and since 2022 the </w:t>
      </w:r>
      <w:r w:rsidR="00731918">
        <w:rPr>
          <w:sz w:val="24"/>
          <w:szCs w:val="24"/>
        </w:rPr>
        <w:t>C</w:t>
      </w:r>
      <w:r w:rsidR="000A46B4">
        <w:rPr>
          <w:sz w:val="24"/>
          <w:szCs w:val="24"/>
        </w:rPr>
        <w:t xml:space="preserve">ommercial </w:t>
      </w:r>
      <w:r w:rsidR="00731918">
        <w:rPr>
          <w:sz w:val="24"/>
          <w:szCs w:val="24"/>
        </w:rPr>
        <w:t>L</w:t>
      </w:r>
      <w:r w:rsidR="000A46B4">
        <w:rPr>
          <w:sz w:val="24"/>
          <w:szCs w:val="24"/>
        </w:rPr>
        <w:t xml:space="preserve">iaison team have issued 12 commercial briefings to the </w:t>
      </w:r>
      <w:r w:rsidR="00D5335A">
        <w:rPr>
          <w:sz w:val="24"/>
          <w:szCs w:val="24"/>
        </w:rPr>
        <w:t>c</w:t>
      </w:r>
      <w:r w:rsidR="001321C3">
        <w:rPr>
          <w:sz w:val="24"/>
          <w:szCs w:val="24"/>
        </w:rPr>
        <w:t>ompany</w:t>
      </w:r>
      <w:r w:rsidR="000A46B4">
        <w:rPr>
          <w:sz w:val="24"/>
          <w:szCs w:val="24"/>
        </w:rPr>
        <w:t xml:space="preserve">.  In each case </w:t>
      </w:r>
      <w:r w:rsidR="009A5B7F">
        <w:rPr>
          <w:sz w:val="24"/>
          <w:szCs w:val="24"/>
        </w:rPr>
        <w:t>an ICER threshold was included.</w:t>
      </w:r>
    </w:p>
    <w:p w14:paraId="14578970" w14:textId="454A34D7" w:rsidR="009A5B7F" w:rsidRPr="00C867FB" w:rsidRDefault="00EC3335">
      <w:pPr>
        <w:pStyle w:val="Paragraph"/>
      </w:pPr>
      <w:r w:rsidRPr="00C867FB">
        <w:rPr>
          <w:sz w:val="24"/>
          <w:szCs w:val="24"/>
        </w:rPr>
        <w:t>Jacoline</w:t>
      </w:r>
      <w:r w:rsidR="009A5B7F" w:rsidRPr="00C867FB">
        <w:rPr>
          <w:sz w:val="24"/>
          <w:szCs w:val="24"/>
        </w:rPr>
        <w:t xml:space="preserve"> Bouvy, for NICE, </w:t>
      </w:r>
      <w:r w:rsidR="0051645E" w:rsidRPr="00C867FB">
        <w:rPr>
          <w:sz w:val="24"/>
          <w:szCs w:val="24"/>
        </w:rPr>
        <w:t xml:space="preserve">explained that the Manual refers to the NHS England </w:t>
      </w:r>
      <w:r w:rsidR="00A62FFD" w:rsidRPr="00C867FB">
        <w:rPr>
          <w:sz w:val="24"/>
          <w:szCs w:val="24"/>
        </w:rPr>
        <w:t>C</w:t>
      </w:r>
      <w:r w:rsidR="0051645E" w:rsidRPr="00C867FB">
        <w:rPr>
          <w:sz w:val="24"/>
          <w:szCs w:val="24"/>
        </w:rPr>
        <w:t xml:space="preserve">ommercial </w:t>
      </w:r>
      <w:r w:rsidR="00A62FFD" w:rsidRPr="00C867FB">
        <w:rPr>
          <w:sz w:val="24"/>
          <w:szCs w:val="24"/>
        </w:rPr>
        <w:t>F</w:t>
      </w:r>
      <w:r w:rsidR="0051645E" w:rsidRPr="00C867FB">
        <w:rPr>
          <w:sz w:val="24"/>
          <w:szCs w:val="24"/>
        </w:rPr>
        <w:t>ramework</w:t>
      </w:r>
      <w:r w:rsidR="006C4FD9" w:rsidRPr="00C867FB">
        <w:rPr>
          <w:sz w:val="24"/>
          <w:szCs w:val="24"/>
        </w:rPr>
        <w:t xml:space="preserve"> which sets out the principles and practicalities regarding commercial medicines.  The first principle</w:t>
      </w:r>
      <w:r w:rsidR="000F7692" w:rsidRPr="00C867FB">
        <w:rPr>
          <w:sz w:val="24"/>
          <w:szCs w:val="24"/>
        </w:rPr>
        <w:t xml:space="preserve"> is that NHS England commercial activity serves to support the eval</w:t>
      </w:r>
      <w:r w:rsidR="00EB6A76" w:rsidRPr="00C867FB">
        <w:rPr>
          <w:sz w:val="24"/>
          <w:szCs w:val="24"/>
        </w:rPr>
        <w:t>uation rather than provide a substitute or alternative</w:t>
      </w:r>
      <w:r w:rsidR="00B6140D" w:rsidRPr="00C867FB">
        <w:rPr>
          <w:sz w:val="24"/>
          <w:szCs w:val="24"/>
        </w:rPr>
        <w:t xml:space="preserve"> for it.  Only after the </w:t>
      </w:r>
      <w:r w:rsidR="00E24BEA" w:rsidRPr="00C867FB">
        <w:rPr>
          <w:sz w:val="24"/>
          <w:szCs w:val="24"/>
        </w:rPr>
        <w:t>c</w:t>
      </w:r>
      <w:r w:rsidR="000B4556" w:rsidRPr="00C867FB">
        <w:rPr>
          <w:sz w:val="24"/>
          <w:szCs w:val="24"/>
        </w:rPr>
        <w:t>ommittee</w:t>
      </w:r>
      <w:r w:rsidR="00B6140D" w:rsidRPr="00C867FB">
        <w:rPr>
          <w:sz w:val="24"/>
          <w:szCs w:val="24"/>
        </w:rPr>
        <w:t xml:space="preserve"> has identified its preferred assumptions and a relevant ICER </w:t>
      </w:r>
      <w:r w:rsidR="009D5585" w:rsidRPr="00C867FB">
        <w:rPr>
          <w:sz w:val="24"/>
          <w:szCs w:val="24"/>
        </w:rPr>
        <w:t xml:space="preserve">threshold </w:t>
      </w:r>
      <w:r w:rsidR="00241505" w:rsidRPr="00C867FB">
        <w:rPr>
          <w:sz w:val="24"/>
          <w:szCs w:val="24"/>
        </w:rPr>
        <w:t xml:space="preserve">agreed </w:t>
      </w:r>
      <w:r w:rsidR="00B6140D" w:rsidRPr="00C867FB">
        <w:rPr>
          <w:sz w:val="24"/>
          <w:szCs w:val="24"/>
        </w:rPr>
        <w:t>can commercial discussions occur.</w:t>
      </w:r>
      <w:r w:rsidR="00B96795" w:rsidRPr="00C867FB">
        <w:rPr>
          <w:sz w:val="24"/>
          <w:szCs w:val="24"/>
        </w:rPr>
        <w:t xml:space="preserve">  The </w:t>
      </w:r>
      <w:r w:rsidR="0036022E" w:rsidRPr="00C867FB">
        <w:rPr>
          <w:sz w:val="24"/>
          <w:szCs w:val="24"/>
        </w:rPr>
        <w:t xml:space="preserve">fact that the </w:t>
      </w:r>
      <w:r w:rsidR="00673D67" w:rsidRPr="00C867FB">
        <w:rPr>
          <w:sz w:val="24"/>
          <w:szCs w:val="24"/>
        </w:rPr>
        <w:t>c</w:t>
      </w:r>
      <w:r w:rsidR="000B4556" w:rsidRPr="00C867FB">
        <w:rPr>
          <w:sz w:val="24"/>
          <w:szCs w:val="24"/>
        </w:rPr>
        <w:t>ommittee</w:t>
      </w:r>
      <w:r w:rsidR="0036022E" w:rsidRPr="00C867FB">
        <w:rPr>
          <w:sz w:val="24"/>
          <w:szCs w:val="24"/>
        </w:rPr>
        <w:t xml:space="preserve"> is not always presented with decision making ICERs, as suggested by </w:t>
      </w:r>
      <w:r w:rsidR="00673D67" w:rsidRPr="00C867FB">
        <w:rPr>
          <w:sz w:val="24"/>
          <w:szCs w:val="24"/>
        </w:rPr>
        <w:t>AstraZeneca</w:t>
      </w:r>
      <w:r w:rsidR="0036022E" w:rsidRPr="00C867FB">
        <w:rPr>
          <w:sz w:val="24"/>
          <w:szCs w:val="24"/>
        </w:rPr>
        <w:t xml:space="preserve">, does not mean </w:t>
      </w:r>
      <w:r w:rsidRPr="00C867FB">
        <w:rPr>
          <w:sz w:val="24"/>
          <w:szCs w:val="24"/>
        </w:rPr>
        <w:t>that</w:t>
      </w:r>
      <w:r w:rsidR="0036022E" w:rsidRPr="00C867FB">
        <w:rPr>
          <w:sz w:val="24"/>
          <w:szCs w:val="24"/>
        </w:rPr>
        <w:t xml:space="preserve"> the </w:t>
      </w:r>
      <w:r w:rsidR="00673D67" w:rsidRPr="00C867FB">
        <w:rPr>
          <w:sz w:val="24"/>
          <w:szCs w:val="24"/>
        </w:rPr>
        <w:t>c</w:t>
      </w:r>
      <w:r w:rsidR="000B4556" w:rsidRPr="00C867FB">
        <w:rPr>
          <w:sz w:val="24"/>
          <w:szCs w:val="24"/>
        </w:rPr>
        <w:t>ommittee</w:t>
      </w:r>
      <w:r w:rsidR="0036022E" w:rsidRPr="00C867FB">
        <w:rPr>
          <w:sz w:val="24"/>
          <w:szCs w:val="24"/>
        </w:rPr>
        <w:t xml:space="preserve"> can act differently in </w:t>
      </w:r>
      <w:r w:rsidR="004B5AA2" w:rsidRPr="00C867FB">
        <w:rPr>
          <w:sz w:val="24"/>
          <w:szCs w:val="24"/>
        </w:rPr>
        <w:t xml:space="preserve">identifying the most plausible assumptions.  </w:t>
      </w:r>
      <w:r w:rsidR="00F36D7E" w:rsidRPr="00C867FB">
        <w:rPr>
          <w:sz w:val="24"/>
          <w:szCs w:val="24"/>
        </w:rPr>
        <w:t xml:space="preserve">She explained that paragraph 85 of the </w:t>
      </w:r>
      <w:r w:rsidR="009228AE" w:rsidRPr="00C867FB">
        <w:rPr>
          <w:sz w:val="24"/>
          <w:szCs w:val="24"/>
        </w:rPr>
        <w:t>C</w:t>
      </w:r>
      <w:r w:rsidR="00F36D7E" w:rsidRPr="00C867FB">
        <w:rPr>
          <w:sz w:val="24"/>
          <w:szCs w:val="24"/>
        </w:rPr>
        <w:t xml:space="preserve">ommercial </w:t>
      </w:r>
      <w:r w:rsidR="009228AE" w:rsidRPr="00C867FB">
        <w:rPr>
          <w:sz w:val="24"/>
          <w:szCs w:val="24"/>
        </w:rPr>
        <w:t>F</w:t>
      </w:r>
      <w:r w:rsidR="00F36D7E" w:rsidRPr="00C867FB">
        <w:rPr>
          <w:sz w:val="24"/>
          <w:szCs w:val="24"/>
        </w:rPr>
        <w:t xml:space="preserve">ramework explicitly acknowledges that commercial arrangements </w:t>
      </w:r>
      <w:r w:rsidR="00142618" w:rsidRPr="00C867FB">
        <w:rPr>
          <w:sz w:val="24"/>
          <w:szCs w:val="24"/>
        </w:rPr>
        <w:t xml:space="preserve">support companies </w:t>
      </w:r>
      <w:r w:rsidR="005703E6" w:rsidRPr="00C867FB">
        <w:rPr>
          <w:sz w:val="24"/>
          <w:szCs w:val="24"/>
        </w:rPr>
        <w:t xml:space="preserve">in presenting a value proposition to NICE </w:t>
      </w:r>
      <w:r w:rsidR="00C867FB" w:rsidRPr="00370503">
        <w:rPr>
          <w:sz w:val="24"/>
          <w:szCs w:val="24"/>
        </w:rPr>
        <w:t xml:space="preserve">such that </w:t>
      </w:r>
      <w:r w:rsidR="005703E6" w:rsidRPr="00C867FB">
        <w:rPr>
          <w:sz w:val="24"/>
          <w:szCs w:val="24"/>
        </w:rPr>
        <w:t xml:space="preserve">after the commercial negotiations have concluded </w:t>
      </w:r>
      <w:r w:rsidR="00F06681" w:rsidRPr="00C867FB">
        <w:rPr>
          <w:sz w:val="24"/>
          <w:szCs w:val="24"/>
        </w:rPr>
        <w:t xml:space="preserve">the </w:t>
      </w:r>
      <w:r w:rsidR="002C0B99" w:rsidRPr="00C867FB">
        <w:rPr>
          <w:sz w:val="24"/>
          <w:szCs w:val="24"/>
        </w:rPr>
        <w:t>c</w:t>
      </w:r>
      <w:r w:rsidR="00F06681" w:rsidRPr="00C867FB">
        <w:rPr>
          <w:sz w:val="24"/>
          <w:szCs w:val="24"/>
        </w:rPr>
        <w:t xml:space="preserve">hair </w:t>
      </w:r>
      <w:r w:rsidR="00241505" w:rsidRPr="00C867FB">
        <w:rPr>
          <w:sz w:val="24"/>
          <w:szCs w:val="24"/>
        </w:rPr>
        <w:t>can</w:t>
      </w:r>
      <w:r w:rsidR="00F06681" w:rsidRPr="00C867FB">
        <w:rPr>
          <w:sz w:val="24"/>
          <w:szCs w:val="24"/>
        </w:rPr>
        <w:t xml:space="preserve"> </w:t>
      </w:r>
      <w:r w:rsidR="00241505" w:rsidRPr="00C867FB">
        <w:rPr>
          <w:sz w:val="24"/>
          <w:szCs w:val="24"/>
        </w:rPr>
        <w:t>decide</w:t>
      </w:r>
      <w:r w:rsidR="00F06681" w:rsidRPr="00C867FB">
        <w:rPr>
          <w:sz w:val="24"/>
          <w:szCs w:val="24"/>
        </w:rPr>
        <w:t xml:space="preserve"> whether a technology can be considered cost effective within the relevant threshold.</w:t>
      </w:r>
    </w:p>
    <w:p w14:paraId="7D405AA3" w14:textId="3C58A78B" w:rsidR="00F06681" w:rsidRPr="00934ED1" w:rsidRDefault="00F06681">
      <w:pPr>
        <w:pStyle w:val="Paragraph"/>
      </w:pPr>
      <w:r>
        <w:rPr>
          <w:sz w:val="24"/>
          <w:szCs w:val="24"/>
        </w:rPr>
        <w:t xml:space="preserve">Emily Crowe </w:t>
      </w:r>
      <w:r w:rsidR="005A66F8">
        <w:rPr>
          <w:sz w:val="24"/>
          <w:szCs w:val="24"/>
        </w:rPr>
        <w:t xml:space="preserve">explained that had </w:t>
      </w:r>
      <w:r w:rsidR="00AD27C2">
        <w:rPr>
          <w:sz w:val="24"/>
          <w:szCs w:val="24"/>
        </w:rPr>
        <w:t>AstraZeneca</w:t>
      </w:r>
      <w:r w:rsidR="005A66F8">
        <w:rPr>
          <w:sz w:val="24"/>
          <w:szCs w:val="24"/>
        </w:rPr>
        <w:t xml:space="preserve"> </w:t>
      </w:r>
      <w:proofErr w:type="gramStart"/>
      <w:r w:rsidR="005A66F8">
        <w:rPr>
          <w:sz w:val="24"/>
          <w:szCs w:val="24"/>
        </w:rPr>
        <w:t xml:space="preserve">entered </w:t>
      </w:r>
      <w:r w:rsidR="00F57765">
        <w:rPr>
          <w:sz w:val="24"/>
          <w:szCs w:val="24"/>
        </w:rPr>
        <w:t>into</w:t>
      </w:r>
      <w:proofErr w:type="gramEnd"/>
      <w:r w:rsidR="00F57765">
        <w:rPr>
          <w:sz w:val="24"/>
          <w:szCs w:val="24"/>
        </w:rPr>
        <w:t xml:space="preserve"> commercial negotiations and reached a deal which lowered the ICER below the threshold this would have been </w:t>
      </w:r>
      <w:proofErr w:type="gramStart"/>
      <w:r w:rsidR="00F57765">
        <w:rPr>
          <w:sz w:val="24"/>
          <w:szCs w:val="24"/>
        </w:rPr>
        <w:t>taken into account</w:t>
      </w:r>
      <w:proofErr w:type="gramEnd"/>
      <w:r w:rsidR="00F57765">
        <w:rPr>
          <w:sz w:val="24"/>
          <w:szCs w:val="24"/>
        </w:rPr>
        <w:t xml:space="preserve"> </w:t>
      </w:r>
      <w:r w:rsidR="00F11645">
        <w:rPr>
          <w:sz w:val="24"/>
          <w:szCs w:val="24"/>
        </w:rPr>
        <w:t xml:space="preserve">in the decision.  However, </w:t>
      </w:r>
      <w:r w:rsidR="00AD27C2">
        <w:rPr>
          <w:sz w:val="24"/>
          <w:szCs w:val="24"/>
        </w:rPr>
        <w:t>AstraZeneca</w:t>
      </w:r>
      <w:r w:rsidR="00F11645">
        <w:rPr>
          <w:sz w:val="24"/>
          <w:szCs w:val="24"/>
        </w:rPr>
        <w:t xml:space="preserve"> was not willing to negotiate at the </w:t>
      </w:r>
      <w:r w:rsidR="00AD27C2">
        <w:rPr>
          <w:sz w:val="24"/>
          <w:szCs w:val="24"/>
        </w:rPr>
        <w:t>c</w:t>
      </w:r>
      <w:r w:rsidR="000B4556">
        <w:rPr>
          <w:sz w:val="24"/>
          <w:szCs w:val="24"/>
        </w:rPr>
        <w:t>ommittee</w:t>
      </w:r>
      <w:r w:rsidR="00F11645">
        <w:rPr>
          <w:sz w:val="24"/>
          <w:szCs w:val="24"/>
        </w:rPr>
        <w:t>'s threshold.  This meant t</w:t>
      </w:r>
      <w:r w:rsidR="00E4479B">
        <w:rPr>
          <w:sz w:val="24"/>
          <w:szCs w:val="24"/>
        </w:rPr>
        <w:t xml:space="preserve">he ICERs presented to the </w:t>
      </w:r>
      <w:r w:rsidR="00AD27C2">
        <w:rPr>
          <w:sz w:val="24"/>
          <w:szCs w:val="24"/>
        </w:rPr>
        <w:t>c</w:t>
      </w:r>
      <w:r w:rsidR="000B4556">
        <w:rPr>
          <w:sz w:val="24"/>
          <w:szCs w:val="24"/>
        </w:rPr>
        <w:t>ommittee</w:t>
      </w:r>
      <w:r w:rsidR="00E4479B">
        <w:rPr>
          <w:sz w:val="24"/>
          <w:szCs w:val="24"/>
        </w:rPr>
        <w:t xml:space="preserve">, including all the relevant (commercial in confidence) discounts represented the best offer </w:t>
      </w:r>
      <w:r w:rsidR="00AD27C2">
        <w:rPr>
          <w:sz w:val="24"/>
          <w:szCs w:val="24"/>
        </w:rPr>
        <w:t>AstraZeneca</w:t>
      </w:r>
      <w:r w:rsidR="00E4479B">
        <w:rPr>
          <w:sz w:val="24"/>
          <w:szCs w:val="24"/>
        </w:rPr>
        <w:t xml:space="preserve"> was prepared to give.</w:t>
      </w:r>
    </w:p>
    <w:p w14:paraId="28E20DF6" w14:textId="79EA8031" w:rsidR="00413FED" w:rsidRPr="00C47CB7" w:rsidRDefault="00934ED1">
      <w:pPr>
        <w:pStyle w:val="Paragraph"/>
      </w:pPr>
      <w:r>
        <w:rPr>
          <w:sz w:val="24"/>
          <w:szCs w:val="24"/>
        </w:rPr>
        <w:t xml:space="preserve">Gavin Stewart confirmed that </w:t>
      </w:r>
      <w:r w:rsidR="00AD27C2">
        <w:rPr>
          <w:sz w:val="24"/>
          <w:szCs w:val="24"/>
        </w:rPr>
        <w:t>AstraZeneca</w:t>
      </w:r>
      <w:r w:rsidR="00417DD7">
        <w:rPr>
          <w:sz w:val="24"/>
          <w:szCs w:val="24"/>
        </w:rPr>
        <w:t xml:space="preserve"> considered NICE's process </w:t>
      </w:r>
      <w:r w:rsidR="00731918">
        <w:rPr>
          <w:sz w:val="24"/>
          <w:szCs w:val="24"/>
        </w:rPr>
        <w:t>to be</w:t>
      </w:r>
      <w:r w:rsidR="00417DD7">
        <w:rPr>
          <w:sz w:val="24"/>
          <w:szCs w:val="24"/>
        </w:rPr>
        <w:t xml:space="preserve"> unfair but also the </w:t>
      </w:r>
      <w:r w:rsidR="00AD27C2">
        <w:rPr>
          <w:sz w:val="24"/>
          <w:szCs w:val="24"/>
        </w:rPr>
        <w:t>c</w:t>
      </w:r>
      <w:r w:rsidR="000B4556">
        <w:rPr>
          <w:sz w:val="24"/>
          <w:szCs w:val="24"/>
        </w:rPr>
        <w:t>ommittee</w:t>
      </w:r>
      <w:r w:rsidR="00417DD7">
        <w:rPr>
          <w:sz w:val="24"/>
          <w:szCs w:val="24"/>
        </w:rPr>
        <w:t xml:space="preserve"> </w:t>
      </w:r>
      <w:r w:rsidR="00BA17D3">
        <w:rPr>
          <w:sz w:val="24"/>
          <w:szCs w:val="24"/>
        </w:rPr>
        <w:t xml:space="preserve">applied the process incorrectly.  </w:t>
      </w:r>
      <w:r w:rsidR="00DB3A2E">
        <w:rPr>
          <w:sz w:val="24"/>
          <w:szCs w:val="24"/>
        </w:rPr>
        <w:t xml:space="preserve">He said that the </w:t>
      </w:r>
      <w:r w:rsidR="00AD27C2">
        <w:rPr>
          <w:sz w:val="24"/>
          <w:szCs w:val="24"/>
        </w:rPr>
        <w:t>M</w:t>
      </w:r>
      <w:r w:rsidR="00DB3A2E">
        <w:rPr>
          <w:sz w:val="24"/>
          <w:szCs w:val="24"/>
        </w:rPr>
        <w:t xml:space="preserve">anual does not require a threshold </w:t>
      </w:r>
      <w:r w:rsidR="007D7097">
        <w:rPr>
          <w:sz w:val="24"/>
          <w:szCs w:val="24"/>
        </w:rPr>
        <w:t xml:space="preserve">as a </w:t>
      </w:r>
      <w:r w:rsidR="00EC3335">
        <w:rPr>
          <w:sz w:val="24"/>
          <w:szCs w:val="24"/>
        </w:rPr>
        <w:t>prerequisite</w:t>
      </w:r>
      <w:r w:rsidR="007D7097">
        <w:rPr>
          <w:sz w:val="24"/>
          <w:szCs w:val="24"/>
        </w:rPr>
        <w:t xml:space="preserve"> to commercial negotiations, it only requires the </w:t>
      </w:r>
      <w:r w:rsidR="00AD27C2">
        <w:rPr>
          <w:sz w:val="24"/>
          <w:szCs w:val="24"/>
        </w:rPr>
        <w:t>c</w:t>
      </w:r>
      <w:r w:rsidR="001321C3">
        <w:rPr>
          <w:sz w:val="24"/>
          <w:szCs w:val="24"/>
        </w:rPr>
        <w:t>ompany</w:t>
      </w:r>
      <w:r w:rsidR="007D7097">
        <w:rPr>
          <w:sz w:val="24"/>
          <w:szCs w:val="24"/>
        </w:rPr>
        <w:t xml:space="preserve"> to accept the </w:t>
      </w:r>
      <w:r w:rsidR="007D7097">
        <w:rPr>
          <w:sz w:val="24"/>
          <w:szCs w:val="24"/>
        </w:rPr>
        <w:lastRenderedPageBreak/>
        <w:t xml:space="preserve">preferred assumptions.  </w:t>
      </w:r>
      <w:r w:rsidR="00157A04">
        <w:rPr>
          <w:sz w:val="24"/>
          <w:szCs w:val="24"/>
        </w:rPr>
        <w:t xml:space="preserve">The NICE process </w:t>
      </w:r>
      <w:r w:rsidR="00C47CB7">
        <w:rPr>
          <w:sz w:val="24"/>
          <w:szCs w:val="24"/>
        </w:rPr>
        <w:t>requires the ability to quantify the uncertainty and how it relates to the threshold, this is not possible if it is done upfront.</w:t>
      </w:r>
    </w:p>
    <w:p w14:paraId="033E5BD4" w14:textId="1EE2D6D4" w:rsidR="00C47CB7" w:rsidRPr="00295E34" w:rsidRDefault="00C47CB7">
      <w:pPr>
        <w:pStyle w:val="Paragraph"/>
      </w:pPr>
      <w:r>
        <w:rPr>
          <w:sz w:val="24"/>
          <w:szCs w:val="24"/>
        </w:rPr>
        <w:t xml:space="preserve">Adela Williams, </w:t>
      </w:r>
      <w:r w:rsidR="00051C45">
        <w:rPr>
          <w:sz w:val="24"/>
          <w:szCs w:val="24"/>
        </w:rPr>
        <w:t xml:space="preserve">for </w:t>
      </w:r>
      <w:r w:rsidR="008B1B1B">
        <w:rPr>
          <w:sz w:val="24"/>
          <w:szCs w:val="24"/>
        </w:rPr>
        <w:t>AstraZeneca</w:t>
      </w:r>
      <w:r w:rsidR="00051C45">
        <w:rPr>
          <w:sz w:val="24"/>
          <w:szCs w:val="24"/>
        </w:rPr>
        <w:t>, stated that paragraph 5.8.</w:t>
      </w:r>
      <w:r w:rsidR="00EE69B0">
        <w:rPr>
          <w:sz w:val="24"/>
          <w:szCs w:val="24"/>
        </w:rPr>
        <w:t xml:space="preserve">45 refers to the </w:t>
      </w:r>
      <w:r w:rsidR="008B1B1B">
        <w:rPr>
          <w:sz w:val="24"/>
          <w:szCs w:val="24"/>
        </w:rPr>
        <w:t>c</w:t>
      </w:r>
      <w:r w:rsidR="001321C3">
        <w:rPr>
          <w:sz w:val="24"/>
          <w:szCs w:val="24"/>
        </w:rPr>
        <w:t>ompany</w:t>
      </w:r>
      <w:r w:rsidR="00EE69B0">
        <w:rPr>
          <w:sz w:val="24"/>
          <w:szCs w:val="24"/>
        </w:rPr>
        <w:t xml:space="preserve"> accepting the preferred assum</w:t>
      </w:r>
      <w:r w:rsidR="00112234">
        <w:rPr>
          <w:sz w:val="24"/>
          <w:szCs w:val="24"/>
        </w:rPr>
        <w:t>ptions</w:t>
      </w:r>
      <w:r w:rsidR="009623EE">
        <w:rPr>
          <w:sz w:val="24"/>
          <w:szCs w:val="24"/>
        </w:rPr>
        <w:t>. However,</w:t>
      </w:r>
      <w:r w:rsidR="00112234">
        <w:rPr>
          <w:sz w:val="24"/>
          <w:szCs w:val="24"/>
        </w:rPr>
        <w:t xml:space="preserve"> </w:t>
      </w:r>
      <w:r w:rsidR="009D5585">
        <w:rPr>
          <w:sz w:val="24"/>
          <w:szCs w:val="24"/>
        </w:rPr>
        <w:t xml:space="preserve">it is </w:t>
      </w:r>
      <w:r w:rsidR="008B1B1B">
        <w:rPr>
          <w:sz w:val="24"/>
          <w:szCs w:val="24"/>
        </w:rPr>
        <w:t>AstraZeneca</w:t>
      </w:r>
      <w:r w:rsidR="009D5585">
        <w:rPr>
          <w:sz w:val="24"/>
          <w:szCs w:val="24"/>
        </w:rPr>
        <w:t xml:space="preserve">'s position that </w:t>
      </w:r>
      <w:r w:rsidR="00112234">
        <w:rPr>
          <w:sz w:val="24"/>
          <w:szCs w:val="24"/>
        </w:rPr>
        <w:t>th</w:t>
      </w:r>
      <w:r w:rsidR="002C0B99">
        <w:rPr>
          <w:sz w:val="24"/>
          <w:szCs w:val="24"/>
        </w:rPr>
        <w:t>is is different from accepting the</w:t>
      </w:r>
      <w:r w:rsidR="00112234">
        <w:rPr>
          <w:sz w:val="24"/>
          <w:szCs w:val="24"/>
        </w:rPr>
        <w:t xml:space="preserve"> maximum plausible </w:t>
      </w:r>
      <w:r w:rsidR="00AB6564">
        <w:rPr>
          <w:sz w:val="24"/>
          <w:szCs w:val="24"/>
        </w:rPr>
        <w:t>I</w:t>
      </w:r>
      <w:r w:rsidR="00112234">
        <w:rPr>
          <w:sz w:val="24"/>
          <w:szCs w:val="24"/>
        </w:rPr>
        <w:t>CER</w:t>
      </w:r>
      <w:r w:rsidR="002C0B99">
        <w:rPr>
          <w:sz w:val="24"/>
          <w:szCs w:val="24"/>
        </w:rPr>
        <w:t xml:space="preserve">. </w:t>
      </w:r>
      <w:r w:rsidR="00112234">
        <w:rPr>
          <w:sz w:val="24"/>
          <w:szCs w:val="24"/>
        </w:rPr>
        <w:t xml:space="preserve"> </w:t>
      </w:r>
      <w:r w:rsidR="003A1B6A">
        <w:rPr>
          <w:sz w:val="24"/>
          <w:szCs w:val="24"/>
        </w:rPr>
        <w:t xml:space="preserve">There is no requirement for the </w:t>
      </w:r>
      <w:r w:rsidR="008B1B1B">
        <w:rPr>
          <w:sz w:val="24"/>
          <w:szCs w:val="24"/>
        </w:rPr>
        <w:t>c</w:t>
      </w:r>
      <w:r w:rsidR="001321C3">
        <w:rPr>
          <w:sz w:val="24"/>
          <w:szCs w:val="24"/>
        </w:rPr>
        <w:t>ompany</w:t>
      </w:r>
      <w:r w:rsidR="003A1B6A">
        <w:rPr>
          <w:sz w:val="24"/>
          <w:szCs w:val="24"/>
        </w:rPr>
        <w:t xml:space="preserve"> to accept the maximum ICER </w:t>
      </w:r>
      <w:r w:rsidR="003A1BB6">
        <w:rPr>
          <w:sz w:val="24"/>
          <w:szCs w:val="24"/>
        </w:rPr>
        <w:t xml:space="preserve">set by the </w:t>
      </w:r>
      <w:r w:rsidR="008B1B1B">
        <w:rPr>
          <w:sz w:val="24"/>
          <w:szCs w:val="24"/>
        </w:rPr>
        <w:t>c</w:t>
      </w:r>
      <w:r w:rsidR="000B4556">
        <w:rPr>
          <w:sz w:val="24"/>
          <w:szCs w:val="24"/>
        </w:rPr>
        <w:t>ommittee</w:t>
      </w:r>
      <w:r w:rsidR="003A1BB6">
        <w:rPr>
          <w:sz w:val="24"/>
          <w:szCs w:val="24"/>
        </w:rPr>
        <w:t xml:space="preserve"> to proceed with commercial </w:t>
      </w:r>
      <w:r w:rsidR="00AB6564">
        <w:rPr>
          <w:sz w:val="24"/>
          <w:szCs w:val="24"/>
        </w:rPr>
        <w:t>negotiations</w:t>
      </w:r>
      <w:r w:rsidR="003A1BB6">
        <w:rPr>
          <w:sz w:val="24"/>
          <w:szCs w:val="24"/>
        </w:rPr>
        <w:t xml:space="preserve">.  </w:t>
      </w:r>
      <w:r w:rsidR="00AB6564">
        <w:rPr>
          <w:sz w:val="24"/>
          <w:szCs w:val="24"/>
        </w:rPr>
        <w:t xml:space="preserve">If the maximum ICER is influenced by uncertainty over </w:t>
      </w:r>
      <w:proofErr w:type="gramStart"/>
      <w:r w:rsidR="00AB6564">
        <w:rPr>
          <w:sz w:val="24"/>
          <w:szCs w:val="24"/>
        </w:rPr>
        <w:t>price</w:t>
      </w:r>
      <w:proofErr w:type="gramEnd"/>
      <w:r w:rsidR="00AB6564">
        <w:rPr>
          <w:sz w:val="24"/>
          <w:szCs w:val="24"/>
        </w:rPr>
        <w:t xml:space="preserve"> then it makes sense for the </w:t>
      </w:r>
      <w:r w:rsidR="008B1B1B">
        <w:rPr>
          <w:sz w:val="24"/>
          <w:szCs w:val="24"/>
        </w:rPr>
        <w:t>c</w:t>
      </w:r>
      <w:r w:rsidR="001321C3">
        <w:rPr>
          <w:sz w:val="24"/>
          <w:szCs w:val="24"/>
        </w:rPr>
        <w:t>ompany</w:t>
      </w:r>
      <w:r w:rsidR="00AB6564">
        <w:rPr>
          <w:sz w:val="24"/>
          <w:szCs w:val="24"/>
        </w:rPr>
        <w:t xml:space="preserve"> to be able to negotiate on price before any firm decision is made on the threshold.   </w:t>
      </w:r>
    </w:p>
    <w:p w14:paraId="0A55961B" w14:textId="5D96412E" w:rsidR="00295E34" w:rsidRPr="00EC3C5D" w:rsidRDefault="00295E34">
      <w:pPr>
        <w:pStyle w:val="Paragraph"/>
      </w:pPr>
      <w:r>
        <w:rPr>
          <w:sz w:val="24"/>
          <w:szCs w:val="24"/>
        </w:rPr>
        <w:t xml:space="preserve">Jacoline Bouvy </w:t>
      </w:r>
      <w:r w:rsidR="00331B3A">
        <w:rPr>
          <w:sz w:val="24"/>
          <w:szCs w:val="24"/>
        </w:rPr>
        <w:t>stated there are three reasons</w:t>
      </w:r>
      <w:r w:rsidR="00452B34">
        <w:rPr>
          <w:sz w:val="24"/>
          <w:szCs w:val="24"/>
        </w:rPr>
        <w:t xml:space="preserve"> why it is </w:t>
      </w:r>
      <w:proofErr w:type="gramStart"/>
      <w:r w:rsidR="00452B34">
        <w:rPr>
          <w:sz w:val="24"/>
          <w:szCs w:val="24"/>
        </w:rPr>
        <w:t>absolutely essential</w:t>
      </w:r>
      <w:proofErr w:type="gramEnd"/>
      <w:r w:rsidR="00452B34">
        <w:rPr>
          <w:sz w:val="24"/>
          <w:szCs w:val="24"/>
        </w:rPr>
        <w:t xml:space="preserve"> to have an agreed ICER threshold before commercial negotiations.  First, for NHS England and the </w:t>
      </w:r>
      <w:r w:rsidR="00411189">
        <w:rPr>
          <w:sz w:val="24"/>
          <w:szCs w:val="24"/>
        </w:rPr>
        <w:t>c</w:t>
      </w:r>
      <w:r w:rsidR="001321C3">
        <w:rPr>
          <w:sz w:val="24"/>
          <w:szCs w:val="24"/>
        </w:rPr>
        <w:t>ompany</w:t>
      </w:r>
      <w:r w:rsidR="00452B34">
        <w:rPr>
          <w:sz w:val="24"/>
          <w:szCs w:val="24"/>
        </w:rPr>
        <w:t xml:space="preserve"> to be able to agree on a c</w:t>
      </w:r>
      <w:r w:rsidR="00593F9B">
        <w:rPr>
          <w:sz w:val="24"/>
          <w:szCs w:val="24"/>
        </w:rPr>
        <w:t xml:space="preserve">ommercial agreement that can bring the ICER into the positive recommendation range, they </w:t>
      </w:r>
      <w:r w:rsidR="006862D8">
        <w:rPr>
          <w:sz w:val="24"/>
          <w:szCs w:val="24"/>
        </w:rPr>
        <w:t>fundamentally need to know two things, what the final ICERs are that best reflect the evidence</w:t>
      </w:r>
      <w:r w:rsidR="00BF3866">
        <w:rPr>
          <w:sz w:val="24"/>
          <w:szCs w:val="24"/>
        </w:rPr>
        <w:t xml:space="preserve"> and</w:t>
      </w:r>
      <w:r w:rsidR="00DA55A5">
        <w:rPr>
          <w:sz w:val="24"/>
          <w:szCs w:val="24"/>
        </w:rPr>
        <w:t>,</w:t>
      </w:r>
      <w:r w:rsidR="00BF3866">
        <w:rPr>
          <w:sz w:val="24"/>
          <w:szCs w:val="24"/>
        </w:rPr>
        <w:t xml:space="preserve"> what the relevant threshold is</w:t>
      </w:r>
      <w:r w:rsidR="009D5585">
        <w:rPr>
          <w:sz w:val="24"/>
          <w:szCs w:val="24"/>
        </w:rPr>
        <w:t xml:space="preserve"> at which</w:t>
      </w:r>
      <w:r w:rsidR="00BF3866">
        <w:rPr>
          <w:sz w:val="24"/>
          <w:szCs w:val="24"/>
        </w:rPr>
        <w:t xml:space="preserve"> the </w:t>
      </w:r>
      <w:r w:rsidR="00411189">
        <w:rPr>
          <w:sz w:val="24"/>
          <w:szCs w:val="24"/>
        </w:rPr>
        <w:t>c</w:t>
      </w:r>
      <w:r w:rsidR="000B4556">
        <w:rPr>
          <w:sz w:val="24"/>
          <w:szCs w:val="24"/>
        </w:rPr>
        <w:t>ommittee</w:t>
      </w:r>
      <w:r w:rsidR="00BF3866">
        <w:rPr>
          <w:sz w:val="24"/>
          <w:szCs w:val="24"/>
        </w:rPr>
        <w:t xml:space="preserve"> </w:t>
      </w:r>
      <w:r w:rsidR="00EC3C5D">
        <w:rPr>
          <w:sz w:val="24"/>
          <w:szCs w:val="24"/>
        </w:rPr>
        <w:t>considers</w:t>
      </w:r>
      <w:r w:rsidR="00BF3866">
        <w:rPr>
          <w:sz w:val="24"/>
          <w:szCs w:val="24"/>
        </w:rPr>
        <w:t xml:space="preserve"> the technology to represent an effective use of resources.  Second, </w:t>
      </w:r>
      <w:r w:rsidR="00BE4EEA">
        <w:rPr>
          <w:sz w:val="24"/>
          <w:szCs w:val="24"/>
        </w:rPr>
        <w:t xml:space="preserve">it is the role of NICE to determine what represents value for money to the NHS, not the </w:t>
      </w:r>
      <w:r w:rsidR="00411189">
        <w:rPr>
          <w:sz w:val="24"/>
          <w:szCs w:val="24"/>
        </w:rPr>
        <w:t>c</w:t>
      </w:r>
      <w:r w:rsidR="001321C3">
        <w:rPr>
          <w:sz w:val="24"/>
          <w:szCs w:val="24"/>
        </w:rPr>
        <w:t>ompany</w:t>
      </w:r>
      <w:r w:rsidR="00BE4EEA">
        <w:rPr>
          <w:sz w:val="24"/>
          <w:szCs w:val="24"/>
        </w:rPr>
        <w:t xml:space="preserve"> or NHS England.  </w:t>
      </w:r>
      <w:r w:rsidR="0032148E">
        <w:rPr>
          <w:sz w:val="24"/>
          <w:szCs w:val="24"/>
        </w:rPr>
        <w:t xml:space="preserve">If it </w:t>
      </w:r>
      <w:r w:rsidR="004B69AF">
        <w:rPr>
          <w:sz w:val="24"/>
          <w:szCs w:val="24"/>
        </w:rPr>
        <w:t xml:space="preserve">was </w:t>
      </w:r>
      <w:r w:rsidR="0032148E">
        <w:rPr>
          <w:sz w:val="24"/>
          <w:szCs w:val="24"/>
        </w:rPr>
        <w:t xml:space="preserve">left open to NHS England and the </w:t>
      </w:r>
      <w:r w:rsidR="00411189">
        <w:rPr>
          <w:sz w:val="24"/>
          <w:szCs w:val="24"/>
        </w:rPr>
        <w:t>c</w:t>
      </w:r>
      <w:r w:rsidR="001321C3">
        <w:rPr>
          <w:sz w:val="24"/>
          <w:szCs w:val="24"/>
        </w:rPr>
        <w:t>ompany</w:t>
      </w:r>
      <w:r w:rsidR="0032148E">
        <w:rPr>
          <w:sz w:val="24"/>
          <w:szCs w:val="24"/>
        </w:rPr>
        <w:t xml:space="preserve"> to agree an appropriate threshold it would undermine NICE's independence and process.  Third, if after successful commercial discussions</w:t>
      </w:r>
      <w:r w:rsidR="005B1636">
        <w:rPr>
          <w:sz w:val="24"/>
          <w:szCs w:val="24"/>
        </w:rPr>
        <w:t xml:space="preserve"> </w:t>
      </w:r>
      <w:r w:rsidR="00EC3C5D">
        <w:rPr>
          <w:sz w:val="24"/>
          <w:szCs w:val="24"/>
        </w:rPr>
        <w:t>there</w:t>
      </w:r>
      <w:r w:rsidR="005B1636">
        <w:rPr>
          <w:sz w:val="24"/>
          <w:szCs w:val="24"/>
        </w:rPr>
        <w:t xml:space="preserve"> is a change to the relevant decision making </w:t>
      </w:r>
      <w:r w:rsidR="00B515EF">
        <w:rPr>
          <w:sz w:val="24"/>
          <w:szCs w:val="24"/>
        </w:rPr>
        <w:t>I</w:t>
      </w:r>
      <w:r w:rsidR="005B1636">
        <w:rPr>
          <w:sz w:val="24"/>
          <w:szCs w:val="24"/>
        </w:rPr>
        <w:t>CE</w:t>
      </w:r>
      <w:r w:rsidR="00B515EF">
        <w:rPr>
          <w:sz w:val="24"/>
          <w:szCs w:val="24"/>
        </w:rPr>
        <w:t>R</w:t>
      </w:r>
      <w:r w:rsidR="005B1636">
        <w:rPr>
          <w:sz w:val="24"/>
          <w:szCs w:val="24"/>
        </w:rPr>
        <w:t xml:space="preserve">s the </w:t>
      </w:r>
      <w:r w:rsidR="00411189">
        <w:rPr>
          <w:sz w:val="24"/>
          <w:szCs w:val="24"/>
        </w:rPr>
        <w:t>c</w:t>
      </w:r>
      <w:r w:rsidR="000B4556">
        <w:rPr>
          <w:sz w:val="24"/>
          <w:szCs w:val="24"/>
        </w:rPr>
        <w:t>ommittee</w:t>
      </w:r>
      <w:r w:rsidR="005B1636">
        <w:rPr>
          <w:sz w:val="24"/>
          <w:szCs w:val="24"/>
        </w:rPr>
        <w:t xml:space="preserve"> can give a mandate to the </w:t>
      </w:r>
      <w:r w:rsidR="00411189">
        <w:rPr>
          <w:sz w:val="24"/>
          <w:szCs w:val="24"/>
        </w:rPr>
        <w:t>c</w:t>
      </w:r>
      <w:r w:rsidR="000B4556">
        <w:rPr>
          <w:sz w:val="24"/>
          <w:szCs w:val="24"/>
        </w:rPr>
        <w:t>ommittee</w:t>
      </w:r>
      <w:r w:rsidR="00B33159">
        <w:rPr>
          <w:sz w:val="24"/>
          <w:szCs w:val="24"/>
        </w:rPr>
        <w:t xml:space="preserve"> chair</w:t>
      </w:r>
      <w:r w:rsidR="00151971">
        <w:rPr>
          <w:sz w:val="24"/>
          <w:szCs w:val="24"/>
        </w:rPr>
        <w:t xml:space="preserve"> to agree if it is cost effective.  To do so, the chair must be able to understand the mandate and the </w:t>
      </w:r>
      <w:r w:rsidR="00411189">
        <w:rPr>
          <w:sz w:val="24"/>
          <w:szCs w:val="24"/>
        </w:rPr>
        <w:t>c</w:t>
      </w:r>
      <w:r w:rsidR="000B4556">
        <w:rPr>
          <w:sz w:val="24"/>
          <w:szCs w:val="24"/>
        </w:rPr>
        <w:t>ommittee</w:t>
      </w:r>
      <w:r w:rsidR="00151971">
        <w:rPr>
          <w:sz w:val="24"/>
          <w:szCs w:val="24"/>
        </w:rPr>
        <w:t xml:space="preserve"> must be clear what it considers to be a relevant </w:t>
      </w:r>
      <w:proofErr w:type="gramStart"/>
      <w:r w:rsidR="00151971">
        <w:rPr>
          <w:sz w:val="24"/>
          <w:szCs w:val="24"/>
        </w:rPr>
        <w:t>decision making</w:t>
      </w:r>
      <w:proofErr w:type="gramEnd"/>
      <w:r w:rsidR="00151971">
        <w:rPr>
          <w:sz w:val="24"/>
          <w:szCs w:val="24"/>
        </w:rPr>
        <w:t xml:space="preserve"> th</w:t>
      </w:r>
      <w:r w:rsidR="00EC3C5D">
        <w:rPr>
          <w:sz w:val="24"/>
          <w:szCs w:val="24"/>
        </w:rPr>
        <w:t xml:space="preserve">reshold and what would be a </w:t>
      </w:r>
      <w:proofErr w:type="gramStart"/>
      <w:r w:rsidR="00EC3C5D">
        <w:rPr>
          <w:sz w:val="24"/>
          <w:szCs w:val="24"/>
        </w:rPr>
        <w:t>cost effective</w:t>
      </w:r>
      <w:proofErr w:type="gramEnd"/>
      <w:r w:rsidR="00EC3C5D">
        <w:rPr>
          <w:sz w:val="24"/>
          <w:szCs w:val="24"/>
        </w:rPr>
        <w:t xml:space="preserve"> use of NHS resources.  </w:t>
      </w:r>
      <w:r w:rsidR="0025358B">
        <w:rPr>
          <w:sz w:val="24"/>
          <w:szCs w:val="24"/>
        </w:rPr>
        <w:t>She</w:t>
      </w:r>
      <w:r w:rsidR="00EC3C5D">
        <w:rPr>
          <w:sz w:val="24"/>
          <w:szCs w:val="24"/>
        </w:rPr>
        <w:t xml:space="preserve"> confirmed that there are no circumstances in which a technology could be referred to commercial negotiation without an ICER threshold.</w:t>
      </w:r>
    </w:p>
    <w:p w14:paraId="106C453B" w14:textId="35169E59" w:rsidR="00EC3C5D" w:rsidRPr="003E21CD" w:rsidRDefault="00B515EF">
      <w:pPr>
        <w:pStyle w:val="Paragraph"/>
      </w:pPr>
      <w:r w:rsidRPr="00564641">
        <w:rPr>
          <w:sz w:val="24"/>
          <w:szCs w:val="24"/>
        </w:rPr>
        <w:lastRenderedPageBreak/>
        <w:t>James Fotheringham</w:t>
      </w:r>
      <w:r>
        <w:rPr>
          <w:sz w:val="24"/>
          <w:szCs w:val="24"/>
        </w:rPr>
        <w:t xml:space="preserve">, for NICE, </w:t>
      </w:r>
      <w:r w:rsidR="00E65F71">
        <w:rPr>
          <w:sz w:val="24"/>
          <w:szCs w:val="24"/>
        </w:rPr>
        <w:t xml:space="preserve">clarified that the </w:t>
      </w:r>
      <w:r w:rsidR="00116F23">
        <w:rPr>
          <w:sz w:val="24"/>
          <w:szCs w:val="24"/>
        </w:rPr>
        <w:t>c</w:t>
      </w:r>
      <w:r w:rsidR="000B4556">
        <w:rPr>
          <w:sz w:val="24"/>
          <w:szCs w:val="24"/>
        </w:rPr>
        <w:t>ommittee</w:t>
      </w:r>
      <w:r w:rsidR="00E65F71">
        <w:rPr>
          <w:sz w:val="24"/>
          <w:szCs w:val="24"/>
        </w:rPr>
        <w:t xml:space="preserve"> </w:t>
      </w:r>
      <w:r w:rsidR="00C051CD">
        <w:rPr>
          <w:sz w:val="24"/>
          <w:szCs w:val="24"/>
        </w:rPr>
        <w:t>used the</w:t>
      </w:r>
      <w:r w:rsidR="00E65F71">
        <w:rPr>
          <w:sz w:val="24"/>
          <w:szCs w:val="24"/>
        </w:rPr>
        <w:t xml:space="preserve"> discounted </w:t>
      </w:r>
      <w:r w:rsidR="004D7626">
        <w:rPr>
          <w:sz w:val="24"/>
          <w:szCs w:val="24"/>
        </w:rPr>
        <w:t xml:space="preserve">costs and were not making decisions based on the list price.  </w:t>
      </w:r>
      <w:r w:rsidR="003E21CD">
        <w:rPr>
          <w:sz w:val="24"/>
          <w:szCs w:val="24"/>
        </w:rPr>
        <w:t xml:space="preserve">The </w:t>
      </w:r>
      <w:r w:rsidR="00116F23">
        <w:rPr>
          <w:sz w:val="24"/>
          <w:szCs w:val="24"/>
        </w:rPr>
        <w:t>c</w:t>
      </w:r>
      <w:r w:rsidR="000B4556">
        <w:rPr>
          <w:sz w:val="24"/>
          <w:szCs w:val="24"/>
        </w:rPr>
        <w:t>ommittee</w:t>
      </w:r>
      <w:r w:rsidR="003E21CD">
        <w:rPr>
          <w:sz w:val="24"/>
          <w:szCs w:val="24"/>
        </w:rPr>
        <w:t xml:space="preserve"> recognised that the</w:t>
      </w:r>
      <w:r w:rsidR="00C051CD">
        <w:rPr>
          <w:sz w:val="24"/>
          <w:szCs w:val="24"/>
        </w:rPr>
        <w:t>re could</w:t>
      </w:r>
      <w:r w:rsidR="008176D2">
        <w:rPr>
          <w:sz w:val="24"/>
          <w:szCs w:val="24"/>
        </w:rPr>
        <w:t xml:space="preserve"> </w:t>
      </w:r>
      <w:r w:rsidR="003E21CD">
        <w:rPr>
          <w:sz w:val="24"/>
          <w:szCs w:val="24"/>
        </w:rPr>
        <w:t>be further discount</w:t>
      </w:r>
      <w:r w:rsidR="008176D2">
        <w:rPr>
          <w:sz w:val="24"/>
          <w:szCs w:val="24"/>
        </w:rPr>
        <w:t>s</w:t>
      </w:r>
      <w:r w:rsidR="003E21CD">
        <w:rPr>
          <w:sz w:val="24"/>
          <w:szCs w:val="24"/>
        </w:rPr>
        <w:t xml:space="preserve"> after commercial negotiation.</w:t>
      </w:r>
    </w:p>
    <w:p w14:paraId="24A8B47A" w14:textId="0049A45F" w:rsidR="008335A6" w:rsidRPr="00FE123E" w:rsidRDefault="00F36EB6">
      <w:pPr>
        <w:pStyle w:val="Paragraph"/>
      </w:pPr>
      <w:r>
        <w:rPr>
          <w:sz w:val="24"/>
          <w:szCs w:val="24"/>
        </w:rPr>
        <w:t>Jacoline Bouvy</w:t>
      </w:r>
      <w:r w:rsidR="0017043F">
        <w:rPr>
          <w:sz w:val="24"/>
          <w:szCs w:val="24"/>
        </w:rPr>
        <w:t xml:space="preserve"> considered whether </w:t>
      </w:r>
      <w:r w:rsidR="00167703">
        <w:rPr>
          <w:sz w:val="24"/>
          <w:szCs w:val="24"/>
        </w:rPr>
        <w:t xml:space="preserve">the </w:t>
      </w:r>
      <w:r w:rsidR="00116F23">
        <w:rPr>
          <w:sz w:val="24"/>
          <w:szCs w:val="24"/>
        </w:rPr>
        <w:t>c</w:t>
      </w:r>
      <w:r w:rsidR="000B4556">
        <w:rPr>
          <w:sz w:val="24"/>
          <w:szCs w:val="24"/>
        </w:rPr>
        <w:t>ommittee</w:t>
      </w:r>
      <w:r w:rsidR="00167703">
        <w:rPr>
          <w:sz w:val="24"/>
          <w:szCs w:val="24"/>
        </w:rPr>
        <w:t xml:space="preserve"> should have varied its approach </w:t>
      </w:r>
      <w:r w:rsidR="00645FCC">
        <w:rPr>
          <w:sz w:val="24"/>
          <w:szCs w:val="24"/>
        </w:rPr>
        <w:t xml:space="preserve">and referred the technology for commercial negotiation </w:t>
      </w:r>
      <w:r w:rsidR="0017043F">
        <w:rPr>
          <w:sz w:val="24"/>
          <w:szCs w:val="24"/>
        </w:rPr>
        <w:t xml:space="preserve">given </w:t>
      </w:r>
      <w:r w:rsidR="00167703">
        <w:rPr>
          <w:sz w:val="24"/>
          <w:szCs w:val="24"/>
        </w:rPr>
        <w:t xml:space="preserve">it </w:t>
      </w:r>
      <w:r w:rsidR="00645FCC">
        <w:rPr>
          <w:sz w:val="24"/>
          <w:szCs w:val="24"/>
        </w:rPr>
        <w:t xml:space="preserve">was </w:t>
      </w:r>
      <w:r w:rsidR="00B84C82">
        <w:rPr>
          <w:sz w:val="24"/>
          <w:szCs w:val="24"/>
        </w:rPr>
        <w:t xml:space="preserve">conceivable that the </w:t>
      </w:r>
      <w:r w:rsidR="00116F23">
        <w:rPr>
          <w:sz w:val="24"/>
          <w:szCs w:val="24"/>
        </w:rPr>
        <w:t>c</w:t>
      </w:r>
      <w:r w:rsidR="000B4556">
        <w:rPr>
          <w:sz w:val="24"/>
          <w:szCs w:val="24"/>
        </w:rPr>
        <w:t>ommittee</w:t>
      </w:r>
      <w:r w:rsidR="00B84C82">
        <w:rPr>
          <w:sz w:val="24"/>
          <w:szCs w:val="24"/>
        </w:rPr>
        <w:t xml:space="preserve">'s view may have changed following consultation </w:t>
      </w:r>
      <w:r w:rsidR="00777F73">
        <w:rPr>
          <w:sz w:val="24"/>
          <w:szCs w:val="24"/>
        </w:rPr>
        <w:t xml:space="preserve">and that </w:t>
      </w:r>
      <w:r w:rsidR="00116F23">
        <w:rPr>
          <w:sz w:val="24"/>
          <w:szCs w:val="24"/>
        </w:rPr>
        <w:t>AstraZeneca</w:t>
      </w:r>
      <w:r w:rsidR="00777F73">
        <w:rPr>
          <w:sz w:val="24"/>
          <w:szCs w:val="24"/>
        </w:rPr>
        <w:t xml:space="preserve"> argue that had the ICE</w:t>
      </w:r>
      <w:r w:rsidR="00645FCC">
        <w:rPr>
          <w:sz w:val="24"/>
          <w:szCs w:val="24"/>
        </w:rPr>
        <w:t xml:space="preserve">R </w:t>
      </w:r>
      <w:r w:rsidR="00777F73">
        <w:rPr>
          <w:sz w:val="24"/>
          <w:szCs w:val="24"/>
        </w:rPr>
        <w:t xml:space="preserve">landed in the middle range the </w:t>
      </w:r>
      <w:r w:rsidR="0066519A">
        <w:rPr>
          <w:sz w:val="24"/>
          <w:szCs w:val="24"/>
        </w:rPr>
        <w:t>c</w:t>
      </w:r>
      <w:r w:rsidR="000B4556">
        <w:rPr>
          <w:sz w:val="24"/>
          <w:szCs w:val="24"/>
        </w:rPr>
        <w:t>ommittee</w:t>
      </w:r>
      <w:r w:rsidR="00777F73">
        <w:rPr>
          <w:sz w:val="24"/>
          <w:szCs w:val="24"/>
        </w:rPr>
        <w:t xml:space="preserve"> may have been persuaded to accept a higher maximum ICER.</w:t>
      </w:r>
      <w:r w:rsidR="00645FCC">
        <w:rPr>
          <w:sz w:val="24"/>
          <w:szCs w:val="24"/>
        </w:rPr>
        <w:t xml:space="preserve">  </w:t>
      </w:r>
      <w:r w:rsidR="008335A6">
        <w:rPr>
          <w:sz w:val="24"/>
          <w:szCs w:val="24"/>
        </w:rPr>
        <w:t>She explained that</w:t>
      </w:r>
      <w:r w:rsidR="000418AD">
        <w:rPr>
          <w:sz w:val="24"/>
          <w:szCs w:val="24"/>
        </w:rPr>
        <w:t xml:space="preserve"> by pausing the appraisal after the first </w:t>
      </w:r>
      <w:r w:rsidR="0066519A">
        <w:rPr>
          <w:sz w:val="24"/>
          <w:szCs w:val="24"/>
        </w:rPr>
        <w:t>c</w:t>
      </w:r>
      <w:r w:rsidR="000B4556">
        <w:rPr>
          <w:sz w:val="24"/>
          <w:szCs w:val="24"/>
        </w:rPr>
        <w:t>ommittee</w:t>
      </w:r>
      <w:r w:rsidR="000418AD">
        <w:rPr>
          <w:sz w:val="24"/>
          <w:szCs w:val="24"/>
        </w:rPr>
        <w:t xml:space="preserve"> meeting to allow for </w:t>
      </w:r>
      <w:r w:rsidR="009C777C">
        <w:rPr>
          <w:sz w:val="24"/>
          <w:szCs w:val="24"/>
        </w:rPr>
        <w:t xml:space="preserve">commercial negotiations the second </w:t>
      </w:r>
      <w:r w:rsidR="0066519A">
        <w:rPr>
          <w:sz w:val="24"/>
          <w:szCs w:val="24"/>
        </w:rPr>
        <w:t>c</w:t>
      </w:r>
      <w:r w:rsidR="000B4556">
        <w:rPr>
          <w:sz w:val="24"/>
          <w:szCs w:val="24"/>
        </w:rPr>
        <w:t>ommittee</w:t>
      </w:r>
      <w:r w:rsidR="0097414B">
        <w:rPr>
          <w:sz w:val="24"/>
          <w:szCs w:val="24"/>
        </w:rPr>
        <w:t xml:space="preserve"> </w:t>
      </w:r>
      <w:r w:rsidR="009C777C">
        <w:rPr>
          <w:sz w:val="24"/>
          <w:szCs w:val="24"/>
        </w:rPr>
        <w:t xml:space="preserve">meeting slot would </w:t>
      </w:r>
      <w:r w:rsidR="0035516A">
        <w:rPr>
          <w:sz w:val="24"/>
          <w:szCs w:val="24"/>
        </w:rPr>
        <w:t>be lost</w:t>
      </w:r>
      <w:r w:rsidR="0097414B">
        <w:rPr>
          <w:sz w:val="24"/>
          <w:szCs w:val="24"/>
        </w:rPr>
        <w:t xml:space="preserve">. Had it gone to commercial negotiations the most likely outcome </w:t>
      </w:r>
      <w:r w:rsidR="005838B1">
        <w:rPr>
          <w:sz w:val="24"/>
          <w:szCs w:val="24"/>
        </w:rPr>
        <w:t xml:space="preserve">is that the </w:t>
      </w:r>
      <w:r w:rsidR="0066519A">
        <w:rPr>
          <w:sz w:val="24"/>
          <w:szCs w:val="24"/>
        </w:rPr>
        <w:t>c</w:t>
      </w:r>
      <w:r w:rsidR="000B4556">
        <w:rPr>
          <w:sz w:val="24"/>
          <w:szCs w:val="24"/>
        </w:rPr>
        <w:t>ommittee</w:t>
      </w:r>
      <w:r w:rsidR="0097414B">
        <w:rPr>
          <w:sz w:val="24"/>
          <w:szCs w:val="24"/>
        </w:rPr>
        <w:t xml:space="preserve"> </w:t>
      </w:r>
      <w:r w:rsidR="005838B1">
        <w:rPr>
          <w:sz w:val="24"/>
          <w:szCs w:val="24"/>
        </w:rPr>
        <w:t>would have been</w:t>
      </w:r>
      <w:r w:rsidR="0097414B">
        <w:rPr>
          <w:sz w:val="24"/>
          <w:szCs w:val="24"/>
        </w:rPr>
        <w:t xml:space="preserve"> presented with an ICER that would not enable chair's </w:t>
      </w:r>
      <w:proofErr w:type="gramStart"/>
      <w:r w:rsidR="0097414B">
        <w:rPr>
          <w:sz w:val="24"/>
          <w:szCs w:val="24"/>
        </w:rPr>
        <w:t>action</w:t>
      </w:r>
      <w:proofErr w:type="gramEnd"/>
      <w:r w:rsidR="0097414B">
        <w:rPr>
          <w:sz w:val="24"/>
          <w:szCs w:val="24"/>
        </w:rPr>
        <w:t xml:space="preserve"> and the </w:t>
      </w:r>
      <w:r w:rsidR="0066519A">
        <w:rPr>
          <w:sz w:val="24"/>
          <w:szCs w:val="24"/>
        </w:rPr>
        <w:t>c</w:t>
      </w:r>
      <w:r w:rsidR="000B4556">
        <w:rPr>
          <w:sz w:val="24"/>
          <w:szCs w:val="24"/>
        </w:rPr>
        <w:t>ommittee</w:t>
      </w:r>
      <w:r w:rsidR="0097414B">
        <w:rPr>
          <w:sz w:val="24"/>
          <w:szCs w:val="24"/>
        </w:rPr>
        <w:t xml:space="preserve"> w</w:t>
      </w:r>
      <w:r w:rsidR="0098345B">
        <w:rPr>
          <w:sz w:val="24"/>
          <w:szCs w:val="24"/>
        </w:rPr>
        <w:t>ould</w:t>
      </w:r>
      <w:r w:rsidR="0097414B">
        <w:rPr>
          <w:sz w:val="24"/>
          <w:szCs w:val="24"/>
        </w:rPr>
        <w:t xml:space="preserve"> still be in the same position with a negative recommendation</w:t>
      </w:r>
      <w:r w:rsidR="00B2666D">
        <w:rPr>
          <w:sz w:val="24"/>
          <w:szCs w:val="24"/>
        </w:rPr>
        <w:t xml:space="preserve">.  Whilst in theory NICE could have taken an alternative approach it would have ended up in the exact same </w:t>
      </w:r>
      <w:r w:rsidR="0098345B">
        <w:rPr>
          <w:sz w:val="24"/>
          <w:szCs w:val="24"/>
        </w:rPr>
        <w:t xml:space="preserve">position and </w:t>
      </w:r>
      <w:r w:rsidR="00B2666D">
        <w:rPr>
          <w:sz w:val="24"/>
          <w:szCs w:val="24"/>
        </w:rPr>
        <w:t xml:space="preserve">would have allowed </w:t>
      </w:r>
      <w:r w:rsidR="0066519A">
        <w:rPr>
          <w:sz w:val="24"/>
          <w:szCs w:val="24"/>
        </w:rPr>
        <w:t>AstraZeneca</w:t>
      </w:r>
      <w:r w:rsidR="00B2666D">
        <w:rPr>
          <w:sz w:val="24"/>
          <w:szCs w:val="24"/>
        </w:rPr>
        <w:t xml:space="preserve"> to present a commercial arrangement closer to the threshold but with a substantial delay to the process</w:t>
      </w:r>
      <w:r w:rsidR="001C1740">
        <w:rPr>
          <w:sz w:val="24"/>
          <w:szCs w:val="24"/>
        </w:rPr>
        <w:t xml:space="preserve">.  She explained </w:t>
      </w:r>
      <w:r w:rsidR="007912ED">
        <w:rPr>
          <w:sz w:val="24"/>
          <w:szCs w:val="24"/>
        </w:rPr>
        <w:t xml:space="preserve">that </w:t>
      </w:r>
      <w:r w:rsidR="001C1740">
        <w:rPr>
          <w:sz w:val="24"/>
          <w:szCs w:val="24"/>
        </w:rPr>
        <w:t xml:space="preserve">the </w:t>
      </w:r>
      <w:r w:rsidR="007C1B7A">
        <w:rPr>
          <w:sz w:val="24"/>
          <w:szCs w:val="24"/>
        </w:rPr>
        <w:t>c</w:t>
      </w:r>
      <w:r w:rsidR="000B4556">
        <w:rPr>
          <w:sz w:val="24"/>
          <w:szCs w:val="24"/>
        </w:rPr>
        <w:t>ommittee</w:t>
      </w:r>
      <w:r w:rsidR="001C1740">
        <w:rPr>
          <w:sz w:val="24"/>
          <w:szCs w:val="24"/>
        </w:rPr>
        <w:t xml:space="preserve"> do not force a </w:t>
      </w:r>
      <w:r w:rsidR="007C1B7A">
        <w:rPr>
          <w:sz w:val="24"/>
          <w:szCs w:val="24"/>
        </w:rPr>
        <w:t>c</w:t>
      </w:r>
      <w:r w:rsidR="001321C3">
        <w:rPr>
          <w:sz w:val="24"/>
          <w:szCs w:val="24"/>
        </w:rPr>
        <w:t>ompany</w:t>
      </w:r>
      <w:r w:rsidR="001C1740">
        <w:rPr>
          <w:sz w:val="24"/>
          <w:szCs w:val="24"/>
        </w:rPr>
        <w:t xml:space="preserve"> to accept a threshold they do not agree w</w:t>
      </w:r>
      <w:r w:rsidR="00AE4F79">
        <w:rPr>
          <w:sz w:val="24"/>
          <w:szCs w:val="24"/>
        </w:rPr>
        <w:t xml:space="preserve">ith and an appropriate way to mitigate this is by issuing draft guidance and allowing the </w:t>
      </w:r>
      <w:r w:rsidR="007C1B7A">
        <w:rPr>
          <w:sz w:val="24"/>
          <w:szCs w:val="24"/>
        </w:rPr>
        <w:t>c</w:t>
      </w:r>
      <w:r w:rsidR="001321C3">
        <w:rPr>
          <w:sz w:val="24"/>
          <w:szCs w:val="24"/>
        </w:rPr>
        <w:t>ompany</w:t>
      </w:r>
      <w:r w:rsidR="00AE4F79">
        <w:rPr>
          <w:sz w:val="24"/>
          <w:szCs w:val="24"/>
        </w:rPr>
        <w:t xml:space="preserve"> to respond and engage on any </w:t>
      </w:r>
      <w:r w:rsidR="004B69AF">
        <w:rPr>
          <w:sz w:val="24"/>
          <w:szCs w:val="24"/>
        </w:rPr>
        <w:t>disagreement.</w:t>
      </w:r>
      <w:r w:rsidR="00AE4F79">
        <w:rPr>
          <w:sz w:val="24"/>
          <w:szCs w:val="24"/>
        </w:rPr>
        <w:t xml:space="preserve">  </w:t>
      </w:r>
      <w:r w:rsidR="00B51DF8">
        <w:rPr>
          <w:sz w:val="24"/>
          <w:szCs w:val="24"/>
        </w:rPr>
        <w:t xml:space="preserve">Commercial negotiations can still take place after the second </w:t>
      </w:r>
      <w:r w:rsidR="000B4556">
        <w:rPr>
          <w:sz w:val="24"/>
          <w:szCs w:val="24"/>
        </w:rPr>
        <w:t>Committee</w:t>
      </w:r>
      <w:r w:rsidR="00B51DF8">
        <w:rPr>
          <w:sz w:val="24"/>
          <w:szCs w:val="24"/>
        </w:rPr>
        <w:t xml:space="preserve"> </w:t>
      </w:r>
      <w:r w:rsidR="00F1767F">
        <w:rPr>
          <w:sz w:val="24"/>
          <w:szCs w:val="24"/>
        </w:rPr>
        <w:t>meeting</w:t>
      </w:r>
      <w:r w:rsidR="00B51DF8">
        <w:rPr>
          <w:sz w:val="24"/>
          <w:szCs w:val="24"/>
        </w:rPr>
        <w:t xml:space="preserve"> if the </w:t>
      </w:r>
      <w:r w:rsidR="007C1B7A">
        <w:rPr>
          <w:sz w:val="24"/>
          <w:szCs w:val="24"/>
        </w:rPr>
        <w:t>c</w:t>
      </w:r>
      <w:r w:rsidR="001321C3">
        <w:rPr>
          <w:sz w:val="24"/>
          <w:szCs w:val="24"/>
        </w:rPr>
        <w:t>ompany</w:t>
      </w:r>
      <w:r w:rsidR="00B51DF8">
        <w:rPr>
          <w:sz w:val="24"/>
          <w:szCs w:val="24"/>
        </w:rPr>
        <w:t xml:space="preserve"> is willing to accept the assumptions and threshold.</w:t>
      </w:r>
      <w:r w:rsidR="007B03B3">
        <w:rPr>
          <w:sz w:val="24"/>
          <w:szCs w:val="24"/>
        </w:rPr>
        <w:t xml:space="preserve">  </w:t>
      </w:r>
      <w:r w:rsidR="009E3502">
        <w:rPr>
          <w:sz w:val="24"/>
          <w:szCs w:val="24"/>
        </w:rPr>
        <w:t>A</w:t>
      </w:r>
      <w:r w:rsidR="007B03B3">
        <w:rPr>
          <w:sz w:val="24"/>
          <w:szCs w:val="24"/>
        </w:rPr>
        <w:t xml:space="preserve">t least half of appraisals </w:t>
      </w:r>
      <w:r w:rsidR="009E3502">
        <w:rPr>
          <w:sz w:val="24"/>
          <w:szCs w:val="24"/>
        </w:rPr>
        <w:t>are</w:t>
      </w:r>
      <w:r w:rsidR="007B03B3">
        <w:rPr>
          <w:sz w:val="24"/>
          <w:szCs w:val="24"/>
        </w:rPr>
        <w:t xml:space="preserve"> paused after the second </w:t>
      </w:r>
      <w:r w:rsidR="007C1B7A">
        <w:rPr>
          <w:sz w:val="24"/>
          <w:szCs w:val="24"/>
        </w:rPr>
        <w:t>c</w:t>
      </w:r>
      <w:r w:rsidR="000B4556">
        <w:rPr>
          <w:sz w:val="24"/>
          <w:szCs w:val="24"/>
        </w:rPr>
        <w:t>ommittee</w:t>
      </w:r>
      <w:r w:rsidR="007B03B3">
        <w:rPr>
          <w:sz w:val="24"/>
          <w:szCs w:val="24"/>
        </w:rPr>
        <w:t xml:space="preserve"> meeting to allow for commercial negotiations.</w:t>
      </w:r>
    </w:p>
    <w:p w14:paraId="772084EC" w14:textId="74FF8A17" w:rsidR="002350CE" w:rsidRPr="002350CE" w:rsidRDefault="002350CE">
      <w:pPr>
        <w:pStyle w:val="Paragraph"/>
      </w:pPr>
      <w:r>
        <w:rPr>
          <w:sz w:val="24"/>
          <w:szCs w:val="24"/>
        </w:rPr>
        <w:t xml:space="preserve">Gavin Stewart confirmed </w:t>
      </w:r>
      <w:r w:rsidR="007C1B7A">
        <w:rPr>
          <w:sz w:val="24"/>
          <w:szCs w:val="24"/>
        </w:rPr>
        <w:t>AstraZeneca</w:t>
      </w:r>
      <w:r>
        <w:rPr>
          <w:sz w:val="24"/>
          <w:szCs w:val="24"/>
        </w:rPr>
        <w:t xml:space="preserve"> did not consider entering commercial negotiations after the second </w:t>
      </w:r>
      <w:r w:rsidR="007C1B7A">
        <w:rPr>
          <w:sz w:val="24"/>
          <w:szCs w:val="24"/>
        </w:rPr>
        <w:t>c</w:t>
      </w:r>
      <w:r w:rsidR="000B4556">
        <w:rPr>
          <w:sz w:val="24"/>
          <w:szCs w:val="24"/>
        </w:rPr>
        <w:t>ommittee</w:t>
      </w:r>
      <w:r>
        <w:rPr>
          <w:sz w:val="24"/>
          <w:szCs w:val="24"/>
        </w:rPr>
        <w:t xml:space="preserve"> meeting as it did not accept the threshold.</w:t>
      </w:r>
    </w:p>
    <w:p w14:paraId="359836B4" w14:textId="21C39458" w:rsidR="002350CE" w:rsidRPr="00CB375C" w:rsidRDefault="001B6930">
      <w:pPr>
        <w:pStyle w:val="Paragraph"/>
      </w:pPr>
      <w:r>
        <w:rPr>
          <w:sz w:val="24"/>
          <w:szCs w:val="24"/>
        </w:rPr>
        <w:lastRenderedPageBreak/>
        <w:t>Jacoline Bouvy</w:t>
      </w:r>
      <w:r w:rsidR="00A03047">
        <w:rPr>
          <w:sz w:val="24"/>
          <w:szCs w:val="24"/>
        </w:rPr>
        <w:t xml:space="preserve"> </w:t>
      </w:r>
      <w:r w:rsidR="00B249FB">
        <w:rPr>
          <w:sz w:val="24"/>
          <w:szCs w:val="24"/>
        </w:rPr>
        <w:t xml:space="preserve">said </w:t>
      </w:r>
      <w:r w:rsidR="009C1863">
        <w:rPr>
          <w:sz w:val="24"/>
          <w:szCs w:val="24"/>
        </w:rPr>
        <w:t xml:space="preserve">the commercial framework </w:t>
      </w:r>
      <w:r w:rsidR="00B249FB">
        <w:rPr>
          <w:sz w:val="24"/>
          <w:szCs w:val="24"/>
        </w:rPr>
        <w:t xml:space="preserve">is clear </w:t>
      </w:r>
      <w:r w:rsidR="004245B2">
        <w:rPr>
          <w:sz w:val="24"/>
          <w:szCs w:val="24"/>
        </w:rPr>
        <w:t xml:space="preserve">that </w:t>
      </w:r>
      <w:r w:rsidR="00B249FB">
        <w:rPr>
          <w:sz w:val="24"/>
          <w:szCs w:val="24"/>
        </w:rPr>
        <w:t>a</w:t>
      </w:r>
      <w:r w:rsidR="009C1863">
        <w:rPr>
          <w:sz w:val="24"/>
          <w:szCs w:val="24"/>
        </w:rPr>
        <w:t xml:space="preserve"> commercial briefing requires an explicit</w:t>
      </w:r>
      <w:r w:rsidR="004245B2">
        <w:rPr>
          <w:sz w:val="24"/>
          <w:szCs w:val="24"/>
        </w:rPr>
        <w:t xml:space="preserve"> ICER threshold</w:t>
      </w:r>
      <w:r w:rsidR="009C1863">
        <w:rPr>
          <w:sz w:val="24"/>
          <w:szCs w:val="24"/>
        </w:rPr>
        <w:t xml:space="preserve">.  </w:t>
      </w:r>
      <w:r w:rsidR="001C7C4D">
        <w:rPr>
          <w:sz w:val="24"/>
          <w:szCs w:val="24"/>
        </w:rPr>
        <w:t xml:space="preserve">She also stated that </w:t>
      </w:r>
      <w:r w:rsidR="00AE57C6">
        <w:rPr>
          <w:sz w:val="24"/>
          <w:szCs w:val="24"/>
        </w:rPr>
        <w:t>AstraZeneca</w:t>
      </w:r>
      <w:r w:rsidR="001C7C4D">
        <w:rPr>
          <w:sz w:val="24"/>
          <w:szCs w:val="24"/>
        </w:rPr>
        <w:t xml:space="preserve"> w</w:t>
      </w:r>
      <w:r w:rsidR="00523FE8">
        <w:rPr>
          <w:sz w:val="24"/>
          <w:szCs w:val="24"/>
        </w:rPr>
        <w:t>as</w:t>
      </w:r>
      <w:r w:rsidR="001C7C4D">
        <w:rPr>
          <w:sz w:val="24"/>
          <w:szCs w:val="24"/>
        </w:rPr>
        <w:t xml:space="preserve"> very experience</w:t>
      </w:r>
      <w:r w:rsidR="00E66CDE">
        <w:rPr>
          <w:sz w:val="24"/>
          <w:szCs w:val="24"/>
        </w:rPr>
        <w:t>d</w:t>
      </w:r>
      <w:r w:rsidR="001C7C4D">
        <w:rPr>
          <w:sz w:val="24"/>
          <w:szCs w:val="24"/>
        </w:rPr>
        <w:t xml:space="preserve"> in the commercial negotiation process</w:t>
      </w:r>
      <w:r w:rsidR="00C53D61">
        <w:rPr>
          <w:sz w:val="24"/>
          <w:szCs w:val="24"/>
        </w:rPr>
        <w:t xml:space="preserve"> and that the </w:t>
      </w:r>
      <w:r w:rsidR="00EA6F33">
        <w:rPr>
          <w:sz w:val="24"/>
          <w:szCs w:val="24"/>
        </w:rPr>
        <w:t xml:space="preserve">issue is potentially not </w:t>
      </w:r>
      <w:r w:rsidR="00E66CDE">
        <w:rPr>
          <w:sz w:val="24"/>
          <w:szCs w:val="24"/>
        </w:rPr>
        <w:t>whether</w:t>
      </w:r>
      <w:r w:rsidR="00EA6F33">
        <w:rPr>
          <w:sz w:val="24"/>
          <w:szCs w:val="24"/>
        </w:rPr>
        <w:t xml:space="preserve"> there needed to be a </w:t>
      </w:r>
      <w:proofErr w:type="gramStart"/>
      <w:r w:rsidR="00EA6F33">
        <w:rPr>
          <w:sz w:val="24"/>
          <w:szCs w:val="24"/>
        </w:rPr>
        <w:t>threshold</w:t>
      </w:r>
      <w:proofErr w:type="gramEnd"/>
      <w:r w:rsidR="00EA6F33">
        <w:rPr>
          <w:sz w:val="24"/>
          <w:szCs w:val="24"/>
        </w:rPr>
        <w:t xml:space="preserve"> but that </w:t>
      </w:r>
      <w:r w:rsidR="00AE57C6">
        <w:rPr>
          <w:sz w:val="24"/>
          <w:szCs w:val="24"/>
        </w:rPr>
        <w:t>AstraZeneca</w:t>
      </w:r>
      <w:r w:rsidR="00EA6F33">
        <w:rPr>
          <w:sz w:val="24"/>
          <w:szCs w:val="24"/>
        </w:rPr>
        <w:t xml:space="preserve"> viewed the threshold as too low.</w:t>
      </w:r>
      <w:r w:rsidR="004245B2">
        <w:rPr>
          <w:sz w:val="24"/>
          <w:szCs w:val="24"/>
        </w:rPr>
        <w:t xml:space="preserve"> </w:t>
      </w:r>
    </w:p>
    <w:p w14:paraId="2B7754E9" w14:textId="7715629B" w:rsidR="00CB375C" w:rsidRPr="00533350" w:rsidRDefault="00CB375C">
      <w:pPr>
        <w:pStyle w:val="Paragraph"/>
      </w:pPr>
      <w:r>
        <w:rPr>
          <w:sz w:val="24"/>
          <w:szCs w:val="24"/>
        </w:rPr>
        <w:t>Gavin Stewart</w:t>
      </w:r>
      <w:r w:rsidR="00F6417C">
        <w:rPr>
          <w:sz w:val="24"/>
          <w:szCs w:val="24"/>
        </w:rPr>
        <w:t xml:space="preserve"> said that the uncertainty had not been quantified and that there </w:t>
      </w:r>
      <w:proofErr w:type="gramStart"/>
      <w:r w:rsidR="00F6417C">
        <w:rPr>
          <w:sz w:val="24"/>
          <w:szCs w:val="24"/>
        </w:rPr>
        <w:t>has to</w:t>
      </w:r>
      <w:proofErr w:type="gramEnd"/>
      <w:r w:rsidR="00F6417C">
        <w:rPr>
          <w:sz w:val="24"/>
          <w:szCs w:val="24"/>
        </w:rPr>
        <w:t xml:space="preserve"> be a relationship with price.  </w:t>
      </w:r>
      <w:r w:rsidR="00950BA3">
        <w:rPr>
          <w:sz w:val="24"/>
          <w:szCs w:val="24"/>
        </w:rPr>
        <w:t xml:space="preserve">This is a combination therapy with multiple novel </w:t>
      </w:r>
      <w:proofErr w:type="gramStart"/>
      <w:r w:rsidR="000D08A5">
        <w:rPr>
          <w:sz w:val="24"/>
          <w:szCs w:val="24"/>
        </w:rPr>
        <w:t>treatments</w:t>
      </w:r>
      <w:proofErr w:type="gramEnd"/>
      <w:r w:rsidR="00950BA3">
        <w:rPr>
          <w:sz w:val="24"/>
          <w:szCs w:val="24"/>
        </w:rPr>
        <w:t xml:space="preserve"> and the </w:t>
      </w:r>
      <w:r w:rsidR="00AE57C6">
        <w:rPr>
          <w:sz w:val="24"/>
          <w:szCs w:val="24"/>
        </w:rPr>
        <w:t>M</w:t>
      </w:r>
      <w:r w:rsidR="00950BA3">
        <w:rPr>
          <w:sz w:val="24"/>
          <w:szCs w:val="24"/>
        </w:rPr>
        <w:t xml:space="preserve">anual reiterates the importance of commercial solutions for </w:t>
      </w:r>
      <w:r w:rsidR="000D08A5">
        <w:rPr>
          <w:sz w:val="24"/>
          <w:szCs w:val="24"/>
        </w:rPr>
        <w:t>combination</w:t>
      </w:r>
      <w:r w:rsidR="00950BA3">
        <w:rPr>
          <w:sz w:val="24"/>
          <w:szCs w:val="24"/>
        </w:rPr>
        <w:t xml:space="preserve"> therapies.</w:t>
      </w:r>
      <w:r w:rsidR="002021DE">
        <w:rPr>
          <w:sz w:val="24"/>
          <w:szCs w:val="24"/>
        </w:rPr>
        <w:t xml:space="preserve">  He explained </w:t>
      </w:r>
      <w:r w:rsidR="000D08A5">
        <w:rPr>
          <w:sz w:val="24"/>
          <w:szCs w:val="24"/>
        </w:rPr>
        <w:t>that</w:t>
      </w:r>
      <w:r w:rsidR="002021DE">
        <w:rPr>
          <w:sz w:val="24"/>
          <w:szCs w:val="24"/>
        </w:rPr>
        <w:t xml:space="preserve"> this is a unique circumstance in </w:t>
      </w:r>
      <w:r w:rsidR="00AE57C6">
        <w:rPr>
          <w:sz w:val="24"/>
          <w:szCs w:val="24"/>
        </w:rPr>
        <w:t>AstraZeneca</w:t>
      </w:r>
      <w:r w:rsidR="002021DE">
        <w:rPr>
          <w:sz w:val="24"/>
          <w:szCs w:val="24"/>
        </w:rPr>
        <w:t>'s portfolio.</w:t>
      </w:r>
    </w:p>
    <w:p w14:paraId="1C0126FE" w14:textId="7ABACDA8" w:rsidR="00533350" w:rsidRPr="00C57F58" w:rsidRDefault="00533350">
      <w:pPr>
        <w:pStyle w:val="Paragraph"/>
      </w:pPr>
      <w:r>
        <w:rPr>
          <w:sz w:val="24"/>
          <w:szCs w:val="24"/>
        </w:rPr>
        <w:t xml:space="preserve">Gavin Stewart considered whether any new evidence had been submitted following the first </w:t>
      </w:r>
      <w:r w:rsidR="00F76DB6">
        <w:rPr>
          <w:sz w:val="24"/>
          <w:szCs w:val="24"/>
        </w:rPr>
        <w:t>c</w:t>
      </w:r>
      <w:r w:rsidR="000B4556">
        <w:rPr>
          <w:sz w:val="24"/>
          <w:szCs w:val="24"/>
        </w:rPr>
        <w:t>ommittee</w:t>
      </w:r>
      <w:r>
        <w:rPr>
          <w:sz w:val="24"/>
          <w:szCs w:val="24"/>
        </w:rPr>
        <w:t xml:space="preserve"> meeting.  He explained that </w:t>
      </w:r>
      <w:r w:rsidR="00F76DB6">
        <w:rPr>
          <w:sz w:val="24"/>
          <w:szCs w:val="24"/>
        </w:rPr>
        <w:t>AstraZeneca</w:t>
      </w:r>
      <w:r>
        <w:rPr>
          <w:sz w:val="24"/>
          <w:szCs w:val="24"/>
        </w:rPr>
        <w:t xml:space="preserve"> had be</w:t>
      </w:r>
      <w:r w:rsidR="00C57F58">
        <w:rPr>
          <w:sz w:val="24"/>
          <w:szCs w:val="24"/>
        </w:rPr>
        <w:t>en engaging in conversation to try</w:t>
      </w:r>
      <w:r>
        <w:rPr>
          <w:sz w:val="24"/>
          <w:szCs w:val="24"/>
        </w:rPr>
        <w:t xml:space="preserve"> to ge</w:t>
      </w:r>
      <w:r w:rsidR="00C57F58">
        <w:rPr>
          <w:sz w:val="24"/>
          <w:szCs w:val="24"/>
        </w:rPr>
        <w:t>t</w:t>
      </w:r>
      <w:r>
        <w:rPr>
          <w:sz w:val="24"/>
          <w:szCs w:val="24"/>
        </w:rPr>
        <w:t xml:space="preserve"> the </w:t>
      </w:r>
      <w:r w:rsidR="00F76DB6">
        <w:rPr>
          <w:sz w:val="24"/>
          <w:szCs w:val="24"/>
        </w:rPr>
        <w:t>c</w:t>
      </w:r>
      <w:r w:rsidR="000B4556">
        <w:rPr>
          <w:sz w:val="24"/>
          <w:szCs w:val="24"/>
        </w:rPr>
        <w:t>ommittee</w:t>
      </w:r>
      <w:r>
        <w:rPr>
          <w:sz w:val="24"/>
          <w:szCs w:val="24"/>
        </w:rPr>
        <w:t xml:space="preserve"> to consider the extent of the uncertainty. </w:t>
      </w:r>
    </w:p>
    <w:p w14:paraId="7341A886" w14:textId="517F44BD" w:rsidR="00C57F58" w:rsidRPr="00DA55A5" w:rsidRDefault="001A03AD">
      <w:pPr>
        <w:pStyle w:val="Paragraph"/>
      </w:pPr>
      <w:r>
        <w:rPr>
          <w:sz w:val="24"/>
          <w:szCs w:val="24"/>
        </w:rPr>
        <w:t>Jacoline</w:t>
      </w:r>
      <w:r w:rsidR="00C57F58">
        <w:rPr>
          <w:sz w:val="24"/>
          <w:szCs w:val="24"/>
        </w:rPr>
        <w:t xml:space="preserve"> Bouvy said NICE does deal with com</w:t>
      </w:r>
      <w:r w:rsidR="00DB3D83">
        <w:rPr>
          <w:sz w:val="24"/>
          <w:szCs w:val="24"/>
        </w:rPr>
        <w:t xml:space="preserve">bination therapies relatively frequently, especially in cancer appraisals.  She </w:t>
      </w:r>
      <w:r w:rsidRPr="00DA55A5">
        <w:rPr>
          <w:sz w:val="24"/>
          <w:szCs w:val="24"/>
        </w:rPr>
        <w:t>acknowledged</w:t>
      </w:r>
      <w:r w:rsidR="00DB3D83" w:rsidRPr="00DA55A5">
        <w:rPr>
          <w:sz w:val="24"/>
          <w:szCs w:val="24"/>
        </w:rPr>
        <w:t xml:space="preserve"> that different prices </w:t>
      </w:r>
      <w:r w:rsidR="004D04C3" w:rsidRPr="00DA55A5">
        <w:rPr>
          <w:sz w:val="24"/>
          <w:szCs w:val="24"/>
        </w:rPr>
        <w:t>can</w:t>
      </w:r>
      <w:r w:rsidR="00DB3D83" w:rsidRPr="00DA55A5">
        <w:rPr>
          <w:sz w:val="24"/>
          <w:szCs w:val="24"/>
        </w:rPr>
        <w:t xml:space="preserve"> sometimes add complexity but not to the extent that an ICER threshold would </w:t>
      </w:r>
      <w:r w:rsidR="00E82A6E" w:rsidRPr="00DA55A5">
        <w:rPr>
          <w:sz w:val="24"/>
          <w:szCs w:val="24"/>
        </w:rPr>
        <w:t>n</w:t>
      </w:r>
      <w:r w:rsidR="00DB3D83" w:rsidRPr="00DA55A5">
        <w:rPr>
          <w:sz w:val="24"/>
          <w:szCs w:val="24"/>
        </w:rPr>
        <w:t>ot be appropriate</w:t>
      </w:r>
      <w:r w:rsidRPr="00DA55A5">
        <w:rPr>
          <w:sz w:val="24"/>
          <w:szCs w:val="24"/>
        </w:rPr>
        <w:t xml:space="preserve">.  The complexities are unrelated to the decision making ICER and unrelated to what the </w:t>
      </w:r>
      <w:r w:rsidR="00F76DB6">
        <w:rPr>
          <w:sz w:val="24"/>
          <w:szCs w:val="24"/>
        </w:rPr>
        <w:t>c</w:t>
      </w:r>
      <w:r w:rsidR="000B4556" w:rsidRPr="00DA55A5">
        <w:rPr>
          <w:sz w:val="24"/>
          <w:szCs w:val="24"/>
        </w:rPr>
        <w:t>ommittee</w:t>
      </w:r>
      <w:r w:rsidRPr="00DA55A5">
        <w:rPr>
          <w:sz w:val="24"/>
          <w:szCs w:val="24"/>
        </w:rPr>
        <w:t xml:space="preserve"> consider</w:t>
      </w:r>
      <w:r w:rsidR="00E82A6E" w:rsidRPr="00DA55A5">
        <w:rPr>
          <w:sz w:val="24"/>
          <w:szCs w:val="24"/>
        </w:rPr>
        <w:t>ed</w:t>
      </w:r>
      <w:r w:rsidRPr="00DA55A5">
        <w:rPr>
          <w:sz w:val="24"/>
          <w:szCs w:val="24"/>
        </w:rPr>
        <w:t xml:space="preserve"> would be cost effective.</w:t>
      </w:r>
    </w:p>
    <w:p w14:paraId="38EB1D1C" w14:textId="416E5098" w:rsidR="00795F59" w:rsidRPr="00DA55A5" w:rsidRDefault="00B36031" w:rsidP="00795F59">
      <w:pPr>
        <w:pStyle w:val="Paragraph"/>
        <w:rPr>
          <w:strike/>
          <w:sz w:val="24"/>
          <w:szCs w:val="24"/>
        </w:rPr>
      </w:pPr>
      <w:r w:rsidRPr="00DA55A5">
        <w:rPr>
          <w:sz w:val="24"/>
          <w:szCs w:val="24"/>
        </w:rPr>
        <w:t xml:space="preserve">The </w:t>
      </w:r>
      <w:r w:rsidR="00C422CC">
        <w:rPr>
          <w:sz w:val="24"/>
          <w:szCs w:val="24"/>
        </w:rPr>
        <w:t>a</w:t>
      </w:r>
      <w:r w:rsidR="00BE04E4">
        <w:rPr>
          <w:sz w:val="24"/>
          <w:szCs w:val="24"/>
        </w:rPr>
        <w:t xml:space="preserve">ppeal </w:t>
      </w:r>
      <w:r w:rsidR="00C422CC">
        <w:rPr>
          <w:sz w:val="24"/>
          <w:szCs w:val="24"/>
        </w:rPr>
        <w:t>p</w:t>
      </w:r>
      <w:r w:rsidR="00BE04E4">
        <w:rPr>
          <w:sz w:val="24"/>
          <w:szCs w:val="24"/>
        </w:rPr>
        <w:t>anel</w:t>
      </w:r>
      <w:r w:rsidRPr="00DA55A5">
        <w:rPr>
          <w:sz w:val="24"/>
          <w:szCs w:val="24"/>
        </w:rPr>
        <w:t xml:space="preserve"> concluded as follows.  The </w:t>
      </w:r>
      <w:r w:rsidR="00C422CC">
        <w:rPr>
          <w:sz w:val="24"/>
          <w:szCs w:val="24"/>
        </w:rPr>
        <w:t>a</w:t>
      </w:r>
      <w:r w:rsidR="00BE04E4">
        <w:rPr>
          <w:sz w:val="24"/>
          <w:szCs w:val="24"/>
        </w:rPr>
        <w:t xml:space="preserve">ppeal </w:t>
      </w:r>
      <w:r w:rsidR="00C422CC">
        <w:rPr>
          <w:sz w:val="24"/>
          <w:szCs w:val="24"/>
        </w:rPr>
        <w:t>p</w:t>
      </w:r>
      <w:r w:rsidR="00BE04E4">
        <w:rPr>
          <w:sz w:val="24"/>
          <w:szCs w:val="24"/>
        </w:rPr>
        <w:t>anel</w:t>
      </w:r>
      <w:r w:rsidRPr="00DA55A5">
        <w:rPr>
          <w:sz w:val="24"/>
          <w:szCs w:val="24"/>
        </w:rPr>
        <w:t xml:space="preserve"> </w:t>
      </w:r>
      <w:r w:rsidR="00795F59" w:rsidRPr="00DA55A5">
        <w:rPr>
          <w:sz w:val="24"/>
          <w:szCs w:val="24"/>
        </w:rPr>
        <w:t>considered</w:t>
      </w:r>
      <w:r w:rsidRPr="00DA55A5">
        <w:rPr>
          <w:sz w:val="24"/>
          <w:szCs w:val="24"/>
        </w:rPr>
        <w:t xml:space="preserve"> whether NICE had been fair to </w:t>
      </w:r>
      <w:r w:rsidR="00056331">
        <w:rPr>
          <w:sz w:val="24"/>
          <w:szCs w:val="24"/>
        </w:rPr>
        <w:t>AstraZeneca</w:t>
      </w:r>
      <w:r w:rsidRPr="00DA55A5">
        <w:rPr>
          <w:sz w:val="24"/>
          <w:szCs w:val="24"/>
        </w:rPr>
        <w:t xml:space="preserve"> in </w:t>
      </w:r>
      <w:r w:rsidR="00795F59" w:rsidRPr="00DA55A5">
        <w:rPr>
          <w:sz w:val="24"/>
          <w:szCs w:val="24"/>
        </w:rPr>
        <w:t xml:space="preserve">its approach to the process for providing </w:t>
      </w:r>
      <w:r w:rsidRPr="00DA55A5">
        <w:rPr>
          <w:sz w:val="24"/>
          <w:szCs w:val="24"/>
        </w:rPr>
        <w:t>opportunity for commercial negotiation</w:t>
      </w:r>
      <w:r w:rsidR="00795F59" w:rsidRPr="00DA55A5">
        <w:rPr>
          <w:sz w:val="24"/>
          <w:szCs w:val="24"/>
        </w:rPr>
        <w:t xml:space="preserve"> as set out in the Manual</w:t>
      </w:r>
      <w:r w:rsidRPr="00DA55A5">
        <w:rPr>
          <w:sz w:val="24"/>
          <w:szCs w:val="24"/>
        </w:rPr>
        <w:t>.</w:t>
      </w:r>
      <w:r w:rsidR="00795F59" w:rsidRPr="00DA55A5">
        <w:rPr>
          <w:sz w:val="24"/>
          <w:szCs w:val="24"/>
        </w:rPr>
        <w:t xml:space="preserve"> (It was not for the </w:t>
      </w:r>
      <w:r w:rsidR="00056331">
        <w:rPr>
          <w:sz w:val="24"/>
          <w:szCs w:val="24"/>
        </w:rPr>
        <w:t>a</w:t>
      </w:r>
      <w:r w:rsidR="00BE04E4">
        <w:rPr>
          <w:sz w:val="24"/>
          <w:szCs w:val="24"/>
        </w:rPr>
        <w:t>ppeal panel</w:t>
      </w:r>
      <w:r w:rsidR="00795F59" w:rsidRPr="00DA55A5">
        <w:rPr>
          <w:sz w:val="24"/>
          <w:szCs w:val="24"/>
        </w:rPr>
        <w:t xml:space="preserve"> to consider the broader issue raised by </w:t>
      </w:r>
      <w:r w:rsidR="00056331">
        <w:rPr>
          <w:sz w:val="24"/>
          <w:szCs w:val="24"/>
        </w:rPr>
        <w:t>AstraZeneca</w:t>
      </w:r>
      <w:r w:rsidR="00795F59" w:rsidRPr="00DA55A5">
        <w:rPr>
          <w:sz w:val="24"/>
          <w:szCs w:val="24"/>
        </w:rPr>
        <w:t xml:space="preserve"> at the hearing of whether the current NICE process is appropriate in this regard.)  </w:t>
      </w:r>
    </w:p>
    <w:p w14:paraId="2EC87B89" w14:textId="6DA0B0E1" w:rsidR="00795F59" w:rsidRPr="00DA55A5" w:rsidRDefault="00795F59" w:rsidP="00795F59">
      <w:pPr>
        <w:pStyle w:val="Paragraph"/>
        <w:rPr>
          <w:strike/>
          <w:sz w:val="24"/>
          <w:szCs w:val="24"/>
        </w:rPr>
      </w:pPr>
      <w:r w:rsidRPr="00DA55A5">
        <w:rPr>
          <w:sz w:val="24"/>
          <w:szCs w:val="24"/>
        </w:rPr>
        <w:t xml:space="preserve">The </w:t>
      </w:r>
      <w:r w:rsidR="00056331">
        <w:rPr>
          <w:sz w:val="24"/>
          <w:szCs w:val="24"/>
        </w:rPr>
        <w:t>appeal p</w:t>
      </w:r>
      <w:r w:rsidRPr="00DA55A5">
        <w:rPr>
          <w:sz w:val="24"/>
          <w:szCs w:val="24"/>
        </w:rPr>
        <w:t>anel</w:t>
      </w:r>
      <w:r w:rsidR="00D7173D" w:rsidRPr="00DA55A5">
        <w:rPr>
          <w:sz w:val="24"/>
          <w:szCs w:val="24"/>
        </w:rPr>
        <w:t xml:space="preserve"> reminded itself of the wording of the Manual (published 31 Jan</w:t>
      </w:r>
      <w:r w:rsidR="00975316">
        <w:rPr>
          <w:sz w:val="24"/>
          <w:szCs w:val="24"/>
        </w:rPr>
        <w:t>uary</w:t>
      </w:r>
      <w:r w:rsidR="00D7173D" w:rsidRPr="00DA55A5">
        <w:rPr>
          <w:sz w:val="24"/>
          <w:szCs w:val="24"/>
        </w:rPr>
        <w:t xml:space="preserve"> 2022</w:t>
      </w:r>
      <w:r w:rsidR="007E66F9" w:rsidRPr="00DA55A5">
        <w:rPr>
          <w:sz w:val="24"/>
          <w:szCs w:val="24"/>
        </w:rPr>
        <w:t xml:space="preserve"> and updated in October 2023</w:t>
      </w:r>
      <w:r w:rsidR="00D7173D" w:rsidRPr="00DA55A5">
        <w:rPr>
          <w:sz w:val="24"/>
          <w:szCs w:val="24"/>
        </w:rPr>
        <w:t>) regarding the process for commercial access agreements.  At</w:t>
      </w:r>
      <w:r w:rsidR="00975316">
        <w:rPr>
          <w:sz w:val="24"/>
          <w:szCs w:val="24"/>
        </w:rPr>
        <w:t xml:space="preserve"> paragrap</w:t>
      </w:r>
      <w:r w:rsidR="00DE6994">
        <w:rPr>
          <w:sz w:val="24"/>
          <w:szCs w:val="24"/>
        </w:rPr>
        <w:t>h</w:t>
      </w:r>
      <w:r w:rsidR="00D7173D" w:rsidRPr="00DA55A5">
        <w:rPr>
          <w:sz w:val="24"/>
          <w:szCs w:val="24"/>
        </w:rPr>
        <w:t xml:space="preserve"> 5.8.35 it </w:t>
      </w:r>
      <w:r w:rsidR="00D7173D" w:rsidRPr="00DA55A5">
        <w:rPr>
          <w:sz w:val="24"/>
          <w:szCs w:val="24"/>
        </w:rPr>
        <w:lastRenderedPageBreak/>
        <w:t xml:space="preserve">states that </w:t>
      </w:r>
      <w:r w:rsidR="00D7173D" w:rsidRPr="00A038B1">
        <w:rPr>
          <w:sz w:val="24"/>
          <w:szCs w:val="24"/>
        </w:rPr>
        <w:t xml:space="preserve">“NICE will inform the </w:t>
      </w:r>
      <w:r w:rsidR="001321C3" w:rsidRPr="00A038B1">
        <w:rPr>
          <w:sz w:val="24"/>
          <w:szCs w:val="24"/>
        </w:rPr>
        <w:t>company</w:t>
      </w:r>
      <w:r w:rsidR="00D7173D" w:rsidRPr="00A038B1">
        <w:rPr>
          <w:sz w:val="24"/>
          <w:szCs w:val="24"/>
        </w:rPr>
        <w:t xml:space="preserve"> of the committees' recommendation and key assumptions. The </w:t>
      </w:r>
      <w:r w:rsidR="001321C3" w:rsidRPr="00A038B1">
        <w:rPr>
          <w:sz w:val="24"/>
          <w:szCs w:val="24"/>
        </w:rPr>
        <w:t>company</w:t>
      </w:r>
      <w:r w:rsidR="00D7173D" w:rsidRPr="00A038B1">
        <w:rPr>
          <w:sz w:val="24"/>
          <w:szCs w:val="24"/>
        </w:rPr>
        <w:t xml:space="preserve"> will confirm to NICE within 14 days of the first committee meeting whether they accept the committees' preferences and assumptions and if they wish to request a delay to publication of the draft guidance for up to 42 days to allow discussions with NHS England and NHS Improvement.”</w:t>
      </w:r>
      <w:r w:rsidR="00D7173D" w:rsidRPr="00DA55A5">
        <w:rPr>
          <w:sz w:val="24"/>
          <w:szCs w:val="24"/>
        </w:rPr>
        <w:t xml:space="preserve">  The </w:t>
      </w:r>
      <w:r w:rsidR="00A038B1">
        <w:rPr>
          <w:sz w:val="24"/>
          <w:szCs w:val="24"/>
        </w:rPr>
        <w:t>appeal p</w:t>
      </w:r>
      <w:r w:rsidR="00D7173D" w:rsidRPr="00DA55A5">
        <w:rPr>
          <w:sz w:val="24"/>
          <w:szCs w:val="24"/>
        </w:rPr>
        <w:t xml:space="preserve">anel </w:t>
      </w:r>
      <w:r w:rsidR="0072397E" w:rsidRPr="00DA55A5">
        <w:rPr>
          <w:sz w:val="24"/>
          <w:szCs w:val="24"/>
        </w:rPr>
        <w:t>agreed</w:t>
      </w:r>
      <w:r w:rsidR="00D7173D" w:rsidRPr="00DA55A5">
        <w:rPr>
          <w:sz w:val="24"/>
          <w:szCs w:val="24"/>
        </w:rPr>
        <w:t xml:space="preserve"> that “the committees’ preferences and assumptions” must refer to the ICER threshold in addition to the preferred assumptions in the economic model.  This interpretation is supported by the description of draft guidance at </w:t>
      </w:r>
      <w:r w:rsidR="00DE6994">
        <w:rPr>
          <w:sz w:val="24"/>
          <w:szCs w:val="24"/>
        </w:rPr>
        <w:t xml:space="preserve">paragraph </w:t>
      </w:r>
      <w:r w:rsidR="00D7173D" w:rsidRPr="00DA55A5">
        <w:rPr>
          <w:sz w:val="24"/>
          <w:szCs w:val="24"/>
        </w:rPr>
        <w:t>5.8.45 that specifies that draft guidance usually contains “the committee's preferred assumptions and maximum acceptable ICER, if appropriate”.</w:t>
      </w:r>
    </w:p>
    <w:p w14:paraId="5C3811BB" w14:textId="30EA7521" w:rsidR="00D7173D" w:rsidRPr="00DA55A5" w:rsidRDefault="00D7173D" w:rsidP="00795F59">
      <w:pPr>
        <w:pStyle w:val="Paragraph"/>
        <w:rPr>
          <w:strike/>
          <w:sz w:val="24"/>
          <w:szCs w:val="24"/>
        </w:rPr>
      </w:pPr>
      <w:r w:rsidRPr="00DA55A5">
        <w:rPr>
          <w:sz w:val="24"/>
          <w:szCs w:val="24"/>
        </w:rPr>
        <w:t xml:space="preserve">The </w:t>
      </w:r>
      <w:r w:rsidR="00DE6994">
        <w:rPr>
          <w:sz w:val="24"/>
          <w:szCs w:val="24"/>
        </w:rPr>
        <w:t>appeal p</w:t>
      </w:r>
      <w:r w:rsidRPr="00DA55A5">
        <w:rPr>
          <w:sz w:val="24"/>
          <w:szCs w:val="24"/>
        </w:rPr>
        <w:t xml:space="preserve">anel was aware that processes should not be applied rigidly, but consideration should be given to whether a different approach may be needed </w:t>
      </w:r>
      <w:proofErr w:type="gramStart"/>
      <w:r w:rsidRPr="00DA55A5">
        <w:rPr>
          <w:sz w:val="24"/>
          <w:szCs w:val="24"/>
        </w:rPr>
        <w:t>in particular circumstances</w:t>
      </w:r>
      <w:proofErr w:type="gramEnd"/>
      <w:r w:rsidRPr="00DA55A5">
        <w:rPr>
          <w:sz w:val="24"/>
          <w:szCs w:val="24"/>
        </w:rPr>
        <w:t xml:space="preserve">.  However, </w:t>
      </w:r>
      <w:r w:rsidR="0072397E" w:rsidRPr="00DA55A5">
        <w:rPr>
          <w:sz w:val="24"/>
          <w:szCs w:val="24"/>
        </w:rPr>
        <w:t xml:space="preserve">the </w:t>
      </w:r>
      <w:r w:rsidR="00DE6994">
        <w:rPr>
          <w:sz w:val="24"/>
          <w:szCs w:val="24"/>
        </w:rPr>
        <w:t>appeal p</w:t>
      </w:r>
      <w:r w:rsidR="0072397E" w:rsidRPr="00DA55A5">
        <w:rPr>
          <w:sz w:val="24"/>
          <w:szCs w:val="24"/>
        </w:rPr>
        <w:t>anel were</w:t>
      </w:r>
      <w:r w:rsidRPr="00DA55A5">
        <w:rPr>
          <w:sz w:val="24"/>
          <w:szCs w:val="24"/>
        </w:rPr>
        <w:t xml:space="preserve"> persuaded by the NICE team’s view that </w:t>
      </w:r>
      <w:r w:rsidR="0072397E" w:rsidRPr="00DA55A5">
        <w:rPr>
          <w:sz w:val="24"/>
          <w:szCs w:val="24"/>
        </w:rPr>
        <w:t>having a clear ICER threshold prior to commercial negotiation is vital both as a basis for negotiation and</w:t>
      </w:r>
      <w:r w:rsidR="00F94FE3" w:rsidRPr="00DA55A5">
        <w:rPr>
          <w:sz w:val="24"/>
          <w:szCs w:val="24"/>
        </w:rPr>
        <w:t xml:space="preserve"> to</w:t>
      </w:r>
      <w:r w:rsidR="0072397E" w:rsidRPr="00DA55A5">
        <w:rPr>
          <w:sz w:val="24"/>
          <w:szCs w:val="24"/>
        </w:rPr>
        <w:t xml:space="preserve"> then</w:t>
      </w:r>
      <w:r w:rsidR="00F94FE3" w:rsidRPr="00DA55A5">
        <w:rPr>
          <w:sz w:val="24"/>
          <w:szCs w:val="24"/>
        </w:rPr>
        <w:t xml:space="preserve"> </w:t>
      </w:r>
      <w:r w:rsidR="0072397E" w:rsidRPr="00DA55A5">
        <w:rPr>
          <w:sz w:val="24"/>
          <w:szCs w:val="24"/>
        </w:rPr>
        <w:t xml:space="preserve">allow a </w:t>
      </w:r>
      <w:r w:rsidR="00DE6994">
        <w:rPr>
          <w:sz w:val="24"/>
          <w:szCs w:val="24"/>
        </w:rPr>
        <w:t>c</w:t>
      </w:r>
      <w:r w:rsidR="0072397E" w:rsidRPr="00DA55A5">
        <w:rPr>
          <w:sz w:val="24"/>
          <w:szCs w:val="24"/>
        </w:rPr>
        <w:t xml:space="preserve">ommittee </w:t>
      </w:r>
      <w:r w:rsidR="005143A7">
        <w:rPr>
          <w:sz w:val="24"/>
          <w:szCs w:val="24"/>
        </w:rPr>
        <w:t>c</w:t>
      </w:r>
      <w:r w:rsidR="0072397E" w:rsidRPr="00DA55A5">
        <w:rPr>
          <w:sz w:val="24"/>
          <w:szCs w:val="24"/>
        </w:rPr>
        <w:t xml:space="preserve">hair to </w:t>
      </w:r>
      <w:proofErr w:type="gramStart"/>
      <w:r w:rsidR="0072397E" w:rsidRPr="00DA55A5">
        <w:rPr>
          <w:sz w:val="24"/>
          <w:szCs w:val="24"/>
        </w:rPr>
        <w:t>make a decision</w:t>
      </w:r>
      <w:proofErr w:type="gramEnd"/>
      <w:r w:rsidR="0072397E" w:rsidRPr="00DA55A5">
        <w:rPr>
          <w:sz w:val="24"/>
          <w:szCs w:val="24"/>
        </w:rPr>
        <w:t xml:space="preserve"> on whether to recommend a technology following that negotiation. The </w:t>
      </w:r>
      <w:r w:rsidR="005C7F93">
        <w:rPr>
          <w:sz w:val="24"/>
          <w:szCs w:val="24"/>
        </w:rPr>
        <w:t>appeal p</w:t>
      </w:r>
      <w:r w:rsidR="0072397E" w:rsidRPr="00DA55A5">
        <w:rPr>
          <w:sz w:val="24"/>
          <w:szCs w:val="24"/>
        </w:rPr>
        <w:t>anel did not hear a convincing argument for why this accepted process</w:t>
      </w:r>
      <w:r w:rsidR="00F94FE3" w:rsidRPr="00DA55A5">
        <w:rPr>
          <w:sz w:val="24"/>
          <w:szCs w:val="24"/>
        </w:rPr>
        <w:t xml:space="preserve">, for which there is such a strong rationale, </w:t>
      </w:r>
      <w:r w:rsidR="0072397E" w:rsidRPr="00DA55A5">
        <w:rPr>
          <w:sz w:val="24"/>
          <w:szCs w:val="24"/>
        </w:rPr>
        <w:t xml:space="preserve">should have been departed from in the circumstances of this appraisal.  </w:t>
      </w:r>
    </w:p>
    <w:p w14:paraId="6E0D2067" w14:textId="29EF507E" w:rsidR="006B0851" w:rsidRPr="00DA55A5" w:rsidRDefault="006B0851" w:rsidP="006B0851">
      <w:pPr>
        <w:pStyle w:val="Paragraph"/>
        <w:rPr>
          <w:sz w:val="24"/>
          <w:szCs w:val="24"/>
        </w:rPr>
      </w:pPr>
      <w:r w:rsidRPr="00DA55A5">
        <w:rPr>
          <w:sz w:val="24"/>
          <w:szCs w:val="24"/>
        </w:rPr>
        <w:t xml:space="preserve">The </w:t>
      </w:r>
      <w:r w:rsidR="005C7F93">
        <w:rPr>
          <w:sz w:val="24"/>
          <w:szCs w:val="24"/>
        </w:rPr>
        <w:t>a</w:t>
      </w:r>
      <w:r w:rsidR="00BE04E4">
        <w:rPr>
          <w:sz w:val="24"/>
          <w:szCs w:val="24"/>
        </w:rPr>
        <w:t>ppeal panel</w:t>
      </w:r>
      <w:r w:rsidRPr="00DA55A5">
        <w:rPr>
          <w:sz w:val="24"/>
          <w:szCs w:val="24"/>
        </w:rPr>
        <w:t xml:space="preserve"> therefore dismissed the appeal on this point.</w:t>
      </w:r>
    </w:p>
    <w:p w14:paraId="08A0F7B9" w14:textId="77777777" w:rsidR="00FF6D23" w:rsidRPr="00DA55A5" w:rsidRDefault="00FF6D23" w:rsidP="00FF6D23">
      <w:pPr>
        <w:pStyle w:val="Heading3"/>
        <w:spacing w:line="360" w:lineRule="auto"/>
        <w:rPr>
          <w:i/>
          <w:iCs/>
          <w:sz w:val="28"/>
          <w:szCs w:val="28"/>
        </w:rPr>
      </w:pPr>
      <w:r w:rsidRPr="00A12EF0">
        <w:rPr>
          <w:i/>
          <w:iCs/>
          <w:sz w:val="28"/>
          <w:szCs w:val="28"/>
        </w:rPr>
        <w:t>Appeal Ground 1b: In making</w:t>
      </w:r>
      <w:r w:rsidRPr="00DA55A5">
        <w:rPr>
          <w:i/>
          <w:iCs/>
          <w:sz w:val="28"/>
          <w:szCs w:val="28"/>
        </w:rPr>
        <w:t xml:space="preserve"> the assessment that preceded the recommendation, NICE has exceeded its powers</w:t>
      </w:r>
    </w:p>
    <w:p w14:paraId="224C21B1" w14:textId="48B216C0" w:rsidR="00B52670" w:rsidRPr="00DA55A5" w:rsidRDefault="00FF6D23">
      <w:pPr>
        <w:pStyle w:val="Paragraph"/>
        <w:numPr>
          <w:ilvl w:val="0"/>
          <w:numId w:val="0"/>
        </w:numPr>
        <w:rPr>
          <w:b/>
          <w:bCs/>
          <w:sz w:val="24"/>
          <w:szCs w:val="24"/>
        </w:rPr>
      </w:pPr>
      <w:r w:rsidRPr="00DA55A5">
        <w:rPr>
          <w:b/>
          <w:bCs/>
          <w:sz w:val="24"/>
          <w:szCs w:val="24"/>
        </w:rPr>
        <w:t xml:space="preserve">Appeal </w:t>
      </w:r>
      <w:r w:rsidR="00B42629">
        <w:rPr>
          <w:b/>
          <w:bCs/>
          <w:sz w:val="24"/>
          <w:szCs w:val="24"/>
        </w:rPr>
        <w:t>point</w:t>
      </w:r>
      <w:r w:rsidR="00B42629" w:rsidRPr="00DA55A5">
        <w:rPr>
          <w:b/>
          <w:bCs/>
          <w:sz w:val="24"/>
          <w:szCs w:val="24"/>
        </w:rPr>
        <w:t xml:space="preserve"> </w:t>
      </w:r>
      <w:r w:rsidRPr="00DA55A5">
        <w:rPr>
          <w:b/>
          <w:bCs/>
          <w:sz w:val="24"/>
          <w:szCs w:val="24"/>
        </w:rPr>
        <w:t>1b</w:t>
      </w:r>
      <w:r w:rsidR="002D258F">
        <w:rPr>
          <w:b/>
          <w:bCs/>
          <w:sz w:val="24"/>
          <w:szCs w:val="24"/>
        </w:rPr>
        <w:t>.1</w:t>
      </w:r>
      <w:r w:rsidRPr="00DA55A5">
        <w:rPr>
          <w:b/>
          <w:bCs/>
          <w:sz w:val="24"/>
          <w:szCs w:val="24"/>
        </w:rPr>
        <w:t>:</w:t>
      </w:r>
      <w:r w:rsidR="00BF6E8F" w:rsidRPr="00DA55A5">
        <w:rPr>
          <w:b/>
          <w:bCs/>
          <w:sz w:val="24"/>
          <w:szCs w:val="24"/>
        </w:rPr>
        <w:t xml:space="preserve"> Failure to act fairly by not complying with the Public Sector Equality Duty under section 149 of the Equality Act 2010</w:t>
      </w:r>
    </w:p>
    <w:p w14:paraId="5DB54097" w14:textId="05DF6E6E" w:rsidR="00BF6E8F" w:rsidRPr="00EB7A22" w:rsidRDefault="00107435" w:rsidP="00BF6E8F">
      <w:pPr>
        <w:pStyle w:val="Paragraph"/>
      </w:pPr>
      <w:r w:rsidRPr="00DA55A5">
        <w:rPr>
          <w:sz w:val="24"/>
          <w:szCs w:val="24"/>
        </w:rPr>
        <w:t xml:space="preserve">Adela Williams, for </w:t>
      </w:r>
      <w:r w:rsidR="005C7F93">
        <w:rPr>
          <w:sz w:val="24"/>
          <w:szCs w:val="24"/>
        </w:rPr>
        <w:t>AstraZeneca</w:t>
      </w:r>
      <w:r w:rsidRPr="00DA55A5">
        <w:rPr>
          <w:sz w:val="24"/>
          <w:szCs w:val="24"/>
        </w:rPr>
        <w:t xml:space="preserve">, stated </w:t>
      </w:r>
      <w:r w:rsidR="00E948B9" w:rsidRPr="00DA55A5">
        <w:rPr>
          <w:sz w:val="24"/>
          <w:szCs w:val="24"/>
        </w:rPr>
        <w:t xml:space="preserve">that </w:t>
      </w:r>
      <w:r w:rsidRPr="00DA55A5">
        <w:rPr>
          <w:sz w:val="24"/>
          <w:szCs w:val="24"/>
        </w:rPr>
        <w:t xml:space="preserve">section 149 of the Equality Act 2010 requires NICE to have </w:t>
      </w:r>
      <w:r w:rsidR="00E948B9" w:rsidRPr="00DA55A5">
        <w:rPr>
          <w:sz w:val="24"/>
          <w:szCs w:val="24"/>
        </w:rPr>
        <w:t>'</w:t>
      </w:r>
      <w:r w:rsidRPr="00DA55A5">
        <w:rPr>
          <w:sz w:val="24"/>
          <w:szCs w:val="24"/>
        </w:rPr>
        <w:t>due regard</w:t>
      </w:r>
      <w:r w:rsidR="00E948B9" w:rsidRPr="00DA55A5">
        <w:rPr>
          <w:sz w:val="24"/>
          <w:szCs w:val="24"/>
        </w:rPr>
        <w:t>'</w:t>
      </w:r>
      <w:r w:rsidRPr="00DA55A5">
        <w:rPr>
          <w:sz w:val="24"/>
          <w:szCs w:val="24"/>
        </w:rPr>
        <w:t xml:space="preserve"> to eliminating discrimination, advancing equality of opportunity and fostering good </w:t>
      </w:r>
      <w:r w:rsidRPr="00DA55A5">
        <w:rPr>
          <w:sz w:val="24"/>
          <w:szCs w:val="24"/>
        </w:rPr>
        <w:lastRenderedPageBreak/>
        <w:t>relations.</w:t>
      </w:r>
      <w:r w:rsidR="00A35240" w:rsidRPr="00DA55A5">
        <w:rPr>
          <w:sz w:val="24"/>
          <w:szCs w:val="24"/>
        </w:rPr>
        <w:t xml:space="preserve">  The statutory duty requires NICE to take positive steps to advance equality and minimise disa</w:t>
      </w:r>
      <w:r w:rsidR="00CF5C31" w:rsidRPr="00DA55A5">
        <w:rPr>
          <w:sz w:val="24"/>
          <w:szCs w:val="24"/>
        </w:rPr>
        <w:t xml:space="preserve">dvantage and to transparently address these obligations. </w:t>
      </w:r>
      <w:r w:rsidR="00D35F7A">
        <w:rPr>
          <w:sz w:val="24"/>
          <w:szCs w:val="24"/>
        </w:rPr>
        <w:t xml:space="preserve"> </w:t>
      </w:r>
      <w:r w:rsidR="00CF5C31" w:rsidRPr="00DA55A5">
        <w:rPr>
          <w:sz w:val="24"/>
          <w:szCs w:val="24"/>
        </w:rPr>
        <w:t xml:space="preserve">It is a duty of substance </w:t>
      </w:r>
      <w:proofErr w:type="gramStart"/>
      <w:r w:rsidR="00CF5C31" w:rsidRPr="00DA55A5">
        <w:rPr>
          <w:sz w:val="24"/>
          <w:szCs w:val="24"/>
        </w:rPr>
        <w:t>not form</w:t>
      </w:r>
      <w:proofErr w:type="gramEnd"/>
      <w:r w:rsidR="00CF5C31" w:rsidRPr="00DA55A5">
        <w:rPr>
          <w:sz w:val="24"/>
          <w:szCs w:val="24"/>
        </w:rPr>
        <w:t xml:space="preserve">. </w:t>
      </w:r>
      <w:r w:rsidR="000772BA">
        <w:rPr>
          <w:sz w:val="24"/>
          <w:szCs w:val="24"/>
        </w:rPr>
        <w:t xml:space="preserve"> </w:t>
      </w:r>
      <w:r w:rsidR="00CF5C31" w:rsidRPr="00DA55A5">
        <w:rPr>
          <w:sz w:val="24"/>
          <w:szCs w:val="24"/>
        </w:rPr>
        <w:t>T</w:t>
      </w:r>
      <w:r w:rsidR="00CC690C" w:rsidRPr="00DA55A5">
        <w:rPr>
          <w:sz w:val="24"/>
          <w:szCs w:val="24"/>
        </w:rPr>
        <w:t>he public body must make reasonable enquir</w:t>
      </w:r>
      <w:r w:rsidR="00EC4680" w:rsidRPr="00DA55A5">
        <w:rPr>
          <w:sz w:val="24"/>
          <w:szCs w:val="24"/>
        </w:rPr>
        <w:t>i</w:t>
      </w:r>
      <w:r w:rsidR="00CC690C" w:rsidRPr="00DA55A5">
        <w:rPr>
          <w:sz w:val="24"/>
          <w:szCs w:val="24"/>
        </w:rPr>
        <w:t>es about the potential impact</w:t>
      </w:r>
      <w:r w:rsidR="00E30B58" w:rsidRPr="00DA55A5">
        <w:rPr>
          <w:sz w:val="24"/>
          <w:szCs w:val="24"/>
        </w:rPr>
        <w:t>,</w:t>
      </w:r>
      <w:r w:rsidR="00CC690C" w:rsidRPr="00DA55A5">
        <w:rPr>
          <w:sz w:val="24"/>
          <w:szCs w:val="24"/>
        </w:rPr>
        <w:t xml:space="preserve"> o</w:t>
      </w:r>
      <w:r w:rsidR="00DD599B" w:rsidRPr="00DA55A5">
        <w:rPr>
          <w:sz w:val="24"/>
          <w:szCs w:val="24"/>
        </w:rPr>
        <w:t>r</w:t>
      </w:r>
      <w:r w:rsidR="00E30B58" w:rsidRPr="00DA55A5">
        <w:rPr>
          <w:sz w:val="24"/>
          <w:szCs w:val="24"/>
        </w:rPr>
        <w:t xml:space="preserve"> the</w:t>
      </w:r>
      <w:r w:rsidR="00DD599B" w:rsidRPr="00DA55A5">
        <w:rPr>
          <w:sz w:val="24"/>
          <w:szCs w:val="24"/>
        </w:rPr>
        <w:t xml:space="preserve"> proposed impact</w:t>
      </w:r>
      <w:r w:rsidR="00E30B58" w:rsidRPr="00DA55A5">
        <w:rPr>
          <w:sz w:val="24"/>
          <w:szCs w:val="24"/>
        </w:rPr>
        <w:t>,</w:t>
      </w:r>
      <w:r w:rsidR="00DD599B" w:rsidRPr="00DA55A5">
        <w:rPr>
          <w:sz w:val="24"/>
          <w:szCs w:val="24"/>
        </w:rPr>
        <w:t xml:space="preserve"> of the policy or decision on people with relevant characteristics.</w:t>
      </w:r>
      <w:r w:rsidR="009C11D2" w:rsidRPr="00DA55A5">
        <w:rPr>
          <w:sz w:val="24"/>
          <w:szCs w:val="24"/>
        </w:rPr>
        <w:t xml:space="preserve"> </w:t>
      </w:r>
      <w:r w:rsidR="00E30B58" w:rsidRPr="00DA55A5">
        <w:rPr>
          <w:sz w:val="24"/>
          <w:szCs w:val="24"/>
        </w:rPr>
        <w:t xml:space="preserve"> She sa</w:t>
      </w:r>
      <w:r w:rsidR="009C11D2" w:rsidRPr="00DA55A5">
        <w:rPr>
          <w:sz w:val="24"/>
          <w:szCs w:val="24"/>
        </w:rPr>
        <w:t xml:space="preserve">id that this appraisal </w:t>
      </w:r>
      <w:r w:rsidR="00724A22" w:rsidRPr="00DA55A5">
        <w:rPr>
          <w:sz w:val="24"/>
          <w:szCs w:val="24"/>
        </w:rPr>
        <w:t>disproportionately</w:t>
      </w:r>
      <w:r w:rsidR="009C11D2" w:rsidRPr="00DA55A5">
        <w:rPr>
          <w:sz w:val="24"/>
          <w:szCs w:val="24"/>
        </w:rPr>
        <w:t xml:space="preserve"> impacted people of black ethnicity, women and people disabled by obesity, all protected characteristics.  </w:t>
      </w:r>
      <w:r w:rsidR="00605AD0" w:rsidRPr="00DA55A5">
        <w:rPr>
          <w:sz w:val="24"/>
          <w:szCs w:val="24"/>
        </w:rPr>
        <w:t>She noted the FDG identifies at least some of the</w:t>
      </w:r>
      <w:r w:rsidR="00F40EF9" w:rsidRPr="00DA55A5">
        <w:rPr>
          <w:sz w:val="24"/>
          <w:szCs w:val="24"/>
        </w:rPr>
        <w:t xml:space="preserve"> equality issues</w:t>
      </w:r>
      <w:r w:rsidR="00605AD0" w:rsidRPr="00DA55A5">
        <w:rPr>
          <w:sz w:val="24"/>
          <w:szCs w:val="24"/>
        </w:rPr>
        <w:t xml:space="preserve"> but </w:t>
      </w:r>
      <w:r w:rsidR="00EC4680" w:rsidRPr="00DA55A5">
        <w:rPr>
          <w:sz w:val="24"/>
          <w:szCs w:val="24"/>
        </w:rPr>
        <w:t xml:space="preserve">said that </w:t>
      </w:r>
      <w:r w:rsidR="00605AD0" w:rsidRPr="00DA55A5">
        <w:rPr>
          <w:sz w:val="24"/>
          <w:szCs w:val="24"/>
        </w:rPr>
        <w:t xml:space="preserve">the </w:t>
      </w:r>
      <w:r w:rsidR="009A2A3B">
        <w:rPr>
          <w:sz w:val="24"/>
          <w:szCs w:val="24"/>
        </w:rPr>
        <w:t>c</w:t>
      </w:r>
      <w:r w:rsidR="000B4556" w:rsidRPr="00DA55A5">
        <w:rPr>
          <w:sz w:val="24"/>
          <w:szCs w:val="24"/>
        </w:rPr>
        <w:t>ommittee</w:t>
      </w:r>
      <w:r w:rsidR="00605AD0" w:rsidRPr="00DA55A5">
        <w:rPr>
          <w:sz w:val="24"/>
          <w:szCs w:val="24"/>
        </w:rPr>
        <w:t xml:space="preserve"> failed to</w:t>
      </w:r>
      <w:r w:rsidR="00724A22" w:rsidRPr="00DA55A5">
        <w:rPr>
          <w:sz w:val="24"/>
          <w:szCs w:val="24"/>
        </w:rPr>
        <w:t xml:space="preserve"> </w:t>
      </w:r>
      <w:r w:rsidR="00605AD0" w:rsidRPr="00DA55A5">
        <w:rPr>
          <w:sz w:val="24"/>
          <w:szCs w:val="24"/>
        </w:rPr>
        <w:t>meet the duty to</w:t>
      </w:r>
      <w:r w:rsidR="00605AD0">
        <w:rPr>
          <w:sz w:val="24"/>
          <w:szCs w:val="24"/>
        </w:rPr>
        <w:t xml:space="preserve"> advance equality o</w:t>
      </w:r>
      <w:r w:rsidR="00594A51">
        <w:rPr>
          <w:sz w:val="24"/>
          <w:szCs w:val="24"/>
        </w:rPr>
        <w:t xml:space="preserve">r minimise </w:t>
      </w:r>
      <w:r w:rsidR="00724A22">
        <w:rPr>
          <w:sz w:val="24"/>
          <w:szCs w:val="24"/>
        </w:rPr>
        <w:t>the disadvantages</w:t>
      </w:r>
      <w:r w:rsidR="00594A51">
        <w:rPr>
          <w:sz w:val="24"/>
          <w:szCs w:val="24"/>
        </w:rPr>
        <w:t xml:space="preserve">. </w:t>
      </w:r>
      <w:r w:rsidR="00D35F7A">
        <w:rPr>
          <w:sz w:val="24"/>
          <w:szCs w:val="24"/>
        </w:rPr>
        <w:t xml:space="preserve"> </w:t>
      </w:r>
      <w:r w:rsidR="00594A51">
        <w:rPr>
          <w:sz w:val="24"/>
          <w:szCs w:val="24"/>
        </w:rPr>
        <w:t xml:space="preserve">She said the detail in the </w:t>
      </w:r>
      <w:proofErr w:type="gramStart"/>
      <w:r w:rsidR="00594A51">
        <w:rPr>
          <w:sz w:val="24"/>
          <w:szCs w:val="24"/>
        </w:rPr>
        <w:t>FDG</w:t>
      </w:r>
      <w:proofErr w:type="gramEnd"/>
      <w:r w:rsidR="00594A51">
        <w:rPr>
          <w:sz w:val="24"/>
          <w:szCs w:val="24"/>
        </w:rPr>
        <w:t xml:space="preserve"> and equality impact assessments </w:t>
      </w:r>
      <w:r w:rsidR="00BF6AC7">
        <w:rPr>
          <w:sz w:val="24"/>
          <w:szCs w:val="24"/>
        </w:rPr>
        <w:t>(</w:t>
      </w:r>
      <w:r w:rsidR="009A2A3B">
        <w:rPr>
          <w:sz w:val="24"/>
          <w:szCs w:val="24"/>
        </w:rPr>
        <w:t>“</w:t>
      </w:r>
      <w:r w:rsidR="00BF6AC7">
        <w:rPr>
          <w:sz w:val="24"/>
          <w:szCs w:val="24"/>
        </w:rPr>
        <w:t>EIAs</w:t>
      </w:r>
      <w:r w:rsidR="009A2A3B">
        <w:rPr>
          <w:sz w:val="24"/>
          <w:szCs w:val="24"/>
        </w:rPr>
        <w:t>”</w:t>
      </w:r>
      <w:r w:rsidR="00BF6AC7">
        <w:rPr>
          <w:sz w:val="24"/>
          <w:szCs w:val="24"/>
        </w:rPr>
        <w:t xml:space="preserve">) </w:t>
      </w:r>
      <w:r w:rsidR="00EC4680">
        <w:rPr>
          <w:sz w:val="24"/>
          <w:szCs w:val="24"/>
        </w:rPr>
        <w:t xml:space="preserve">is </w:t>
      </w:r>
      <w:r w:rsidR="00594A51">
        <w:rPr>
          <w:sz w:val="24"/>
          <w:szCs w:val="24"/>
        </w:rPr>
        <w:t>remarkably thin</w:t>
      </w:r>
      <w:r w:rsidR="00EC4680">
        <w:rPr>
          <w:sz w:val="24"/>
          <w:szCs w:val="24"/>
        </w:rPr>
        <w:t>;</w:t>
      </w:r>
      <w:r w:rsidR="008D3223">
        <w:rPr>
          <w:sz w:val="24"/>
          <w:szCs w:val="24"/>
        </w:rPr>
        <w:t xml:space="preserve"> </w:t>
      </w:r>
      <w:r w:rsidR="00F40EF9">
        <w:rPr>
          <w:sz w:val="24"/>
          <w:szCs w:val="24"/>
        </w:rPr>
        <w:t xml:space="preserve">only </w:t>
      </w:r>
      <w:r w:rsidR="008D3223">
        <w:rPr>
          <w:sz w:val="24"/>
          <w:szCs w:val="24"/>
        </w:rPr>
        <w:t>providing</w:t>
      </w:r>
      <w:r w:rsidR="00594A51">
        <w:rPr>
          <w:sz w:val="24"/>
          <w:szCs w:val="24"/>
        </w:rPr>
        <w:t xml:space="preserve"> a </w:t>
      </w:r>
      <w:proofErr w:type="gramStart"/>
      <w:r w:rsidR="00594A51">
        <w:rPr>
          <w:sz w:val="24"/>
          <w:szCs w:val="24"/>
        </w:rPr>
        <w:t>high level</w:t>
      </w:r>
      <w:proofErr w:type="gramEnd"/>
      <w:r w:rsidR="00594A51">
        <w:rPr>
          <w:sz w:val="24"/>
          <w:szCs w:val="24"/>
        </w:rPr>
        <w:t xml:space="preserve"> </w:t>
      </w:r>
      <w:r w:rsidR="00323CCC">
        <w:rPr>
          <w:sz w:val="24"/>
          <w:szCs w:val="24"/>
        </w:rPr>
        <w:t>assessment</w:t>
      </w:r>
      <w:r w:rsidR="008D3223">
        <w:rPr>
          <w:sz w:val="24"/>
          <w:szCs w:val="24"/>
        </w:rPr>
        <w:t xml:space="preserve"> which </w:t>
      </w:r>
      <w:r w:rsidR="00323CCC">
        <w:rPr>
          <w:sz w:val="24"/>
          <w:szCs w:val="24"/>
        </w:rPr>
        <w:t>conclud</w:t>
      </w:r>
      <w:r w:rsidR="008D3223">
        <w:rPr>
          <w:sz w:val="24"/>
          <w:szCs w:val="24"/>
        </w:rPr>
        <w:t xml:space="preserve">es that </w:t>
      </w:r>
      <w:r w:rsidR="00323CCC">
        <w:rPr>
          <w:sz w:val="24"/>
          <w:szCs w:val="24"/>
        </w:rPr>
        <w:t xml:space="preserve">it is not necessary to take these factors into account </w:t>
      </w:r>
      <w:r w:rsidR="00724A22">
        <w:rPr>
          <w:sz w:val="24"/>
          <w:szCs w:val="24"/>
        </w:rPr>
        <w:t>because</w:t>
      </w:r>
      <w:r w:rsidR="00323CCC">
        <w:rPr>
          <w:sz w:val="24"/>
          <w:szCs w:val="24"/>
        </w:rPr>
        <w:t xml:space="preserve"> the technology is not cost effective.</w:t>
      </w:r>
      <w:r w:rsidR="00F128D9">
        <w:rPr>
          <w:sz w:val="24"/>
          <w:szCs w:val="24"/>
        </w:rPr>
        <w:t xml:space="preserve"> </w:t>
      </w:r>
      <w:r w:rsidR="00724A22">
        <w:rPr>
          <w:sz w:val="24"/>
          <w:szCs w:val="24"/>
        </w:rPr>
        <w:t xml:space="preserve">She </w:t>
      </w:r>
      <w:r w:rsidR="00AB3EB0">
        <w:rPr>
          <w:sz w:val="24"/>
          <w:szCs w:val="24"/>
        </w:rPr>
        <w:t xml:space="preserve">noted the information </w:t>
      </w:r>
      <w:r w:rsidR="006D41E0">
        <w:rPr>
          <w:sz w:val="24"/>
          <w:szCs w:val="24"/>
        </w:rPr>
        <w:t>provided by</w:t>
      </w:r>
      <w:r w:rsidR="00AB3EB0">
        <w:rPr>
          <w:sz w:val="24"/>
          <w:szCs w:val="24"/>
        </w:rPr>
        <w:t xml:space="preserve"> Peaches Womb Cancer Trust in response to the draft guidance which details the </w:t>
      </w:r>
      <w:r w:rsidR="000D08A5">
        <w:rPr>
          <w:sz w:val="24"/>
          <w:szCs w:val="24"/>
        </w:rPr>
        <w:t>disadvantages</w:t>
      </w:r>
      <w:r w:rsidR="00AB3EB0">
        <w:rPr>
          <w:sz w:val="24"/>
          <w:szCs w:val="24"/>
        </w:rPr>
        <w:t xml:space="preserve"> faced by black people, women and those </w:t>
      </w:r>
      <w:r w:rsidR="00774E88">
        <w:rPr>
          <w:sz w:val="24"/>
          <w:szCs w:val="24"/>
        </w:rPr>
        <w:t xml:space="preserve">from socially deprived backgrounds. </w:t>
      </w:r>
      <w:r w:rsidR="00F128D9">
        <w:rPr>
          <w:sz w:val="24"/>
          <w:szCs w:val="24"/>
        </w:rPr>
        <w:t xml:space="preserve"> </w:t>
      </w:r>
      <w:r w:rsidR="00AF588F">
        <w:rPr>
          <w:sz w:val="24"/>
          <w:szCs w:val="24"/>
        </w:rPr>
        <w:t>AstraZeneca</w:t>
      </w:r>
      <w:r w:rsidR="00F128D9">
        <w:rPr>
          <w:sz w:val="24"/>
          <w:szCs w:val="24"/>
        </w:rPr>
        <w:t xml:space="preserve"> argue</w:t>
      </w:r>
      <w:r w:rsidR="00EC4680">
        <w:rPr>
          <w:sz w:val="24"/>
          <w:szCs w:val="24"/>
        </w:rPr>
        <w:t>s</w:t>
      </w:r>
      <w:r w:rsidR="00F128D9">
        <w:rPr>
          <w:sz w:val="24"/>
          <w:szCs w:val="24"/>
        </w:rPr>
        <w:t xml:space="preserve"> that the </w:t>
      </w:r>
      <w:r w:rsidR="00AF588F">
        <w:rPr>
          <w:sz w:val="24"/>
          <w:szCs w:val="24"/>
        </w:rPr>
        <w:t>c</w:t>
      </w:r>
      <w:r w:rsidR="000B4556">
        <w:rPr>
          <w:sz w:val="24"/>
          <w:szCs w:val="24"/>
        </w:rPr>
        <w:t>ommittee</w:t>
      </w:r>
      <w:r w:rsidR="00F128D9">
        <w:rPr>
          <w:sz w:val="24"/>
          <w:szCs w:val="24"/>
        </w:rPr>
        <w:t xml:space="preserve"> should have done more </w:t>
      </w:r>
      <w:r w:rsidR="00774E88">
        <w:rPr>
          <w:sz w:val="24"/>
          <w:szCs w:val="24"/>
        </w:rPr>
        <w:t xml:space="preserve">to </w:t>
      </w:r>
      <w:r w:rsidR="00F128D9">
        <w:rPr>
          <w:sz w:val="24"/>
          <w:szCs w:val="24"/>
        </w:rPr>
        <w:t xml:space="preserve">consider possible </w:t>
      </w:r>
      <w:r w:rsidR="00724A22">
        <w:rPr>
          <w:sz w:val="24"/>
          <w:szCs w:val="24"/>
        </w:rPr>
        <w:t>mitigation</w:t>
      </w:r>
      <w:r w:rsidR="00F128D9">
        <w:rPr>
          <w:sz w:val="24"/>
          <w:szCs w:val="24"/>
        </w:rPr>
        <w:t xml:space="preserve"> to reduce the disadvantage </w:t>
      </w:r>
      <w:r w:rsidR="00774E88">
        <w:rPr>
          <w:sz w:val="24"/>
          <w:szCs w:val="24"/>
        </w:rPr>
        <w:t>and to document analys</w:t>
      </w:r>
      <w:r w:rsidR="006D41E0">
        <w:rPr>
          <w:sz w:val="24"/>
          <w:szCs w:val="24"/>
        </w:rPr>
        <w:t>es</w:t>
      </w:r>
      <w:r w:rsidR="00774E88">
        <w:rPr>
          <w:sz w:val="24"/>
          <w:szCs w:val="24"/>
        </w:rPr>
        <w:t xml:space="preserve"> of why alternative strategies were not adopted</w:t>
      </w:r>
      <w:r w:rsidR="00A12EF0">
        <w:rPr>
          <w:sz w:val="24"/>
          <w:szCs w:val="24"/>
        </w:rPr>
        <w:t>,</w:t>
      </w:r>
      <w:r w:rsidR="00774E88">
        <w:rPr>
          <w:sz w:val="24"/>
          <w:szCs w:val="24"/>
        </w:rPr>
        <w:t xml:space="preserve"> both of which are absent from the FDG and EIAs.</w:t>
      </w:r>
    </w:p>
    <w:p w14:paraId="0D7BD107" w14:textId="65D49914" w:rsidR="00EB7A22" w:rsidRPr="00556BD6" w:rsidRDefault="00EB7A22" w:rsidP="00BF6E8F">
      <w:pPr>
        <w:pStyle w:val="Paragraph"/>
      </w:pPr>
      <w:r>
        <w:rPr>
          <w:sz w:val="24"/>
          <w:szCs w:val="24"/>
        </w:rPr>
        <w:t>Jacoline Bouvy, for NICE, said that NICE takes it responsibilities under the Equality Act 2010 very seriously</w:t>
      </w:r>
      <w:r w:rsidR="00EA6590">
        <w:rPr>
          <w:sz w:val="24"/>
          <w:szCs w:val="24"/>
        </w:rPr>
        <w:t xml:space="preserve"> and the </w:t>
      </w:r>
      <w:r w:rsidR="00AF588F">
        <w:rPr>
          <w:sz w:val="24"/>
          <w:szCs w:val="24"/>
        </w:rPr>
        <w:t>c</w:t>
      </w:r>
      <w:r w:rsidR="000B4556">
        <w:rPr>
          <w:sz w:val="24"/>
          <w:szCs w:val="24"/>
        </w:rPr>
        <w:t>ommittee</w:t>
      </w:r>
      <w:r w:rsidR="00EA6590">
        <w:rPr>
          <w:sz w:val="24"/>
          <w:szCs w:val="24"/>
        </w:rPr>
        <w:t xml:space="preserve"> consider</w:t>
      </w:r>
      <w:r w:rsidR="00EC4680">
        <w:rPr>
          <w:sz w:val="24"/>
          <w:szCs w:val="24"/>
        </w:rPr>
        <w:t>s</w:t>
      </w:r>
      <w:r w:rsidR="00EA6590">
        <w:rPr>
          <w:sz w:val="24"/>
          <w:szCs w:val="24"/>
        </w:rPr>
        <w:t xml:space="preserve"> it has met the public sector equality duty (</w:t>
      </w:r>
      <w:r w:rsidR="00AF588F">
        <w:rPr>
          <w:sz w:val="24"/>
          <w:szCs w:val="24"/>
        </w:rPr>
        <w:t>“</w:t>
      </w:r>
      <w:r w:rsidR="00EA6590">
        <w:rPr>
          <w:sz w:val="24"/>
          <w:szCs w:val="24"/>
        </w:rPr>
        <w:t>PSED</w:t>
      </w:r>
      <w:r w:rsidR="00AF588F">
        <w:rPr>
          <w:sz w:val="24"/>
          <w:szCs w:val="24"/>
        </w:rPr>
        <w:t>”</w:t>
      </w:r>
      <w:r w:rsidR="00EA6590">
        <w:rPr>
          <w:sz w:val="24"/>
          <w:szCs w:val="24"/>
        </w:rPr>
        <w:t xml:space="preserve">).  </w:t>
      </w:r>
      <w:r w:rsidR="00C834AB">
        <w:rPr>
          <w:sz w:val="24"/>
          <w:szCs w:val="24"/>
        </w:rPr>
        <w:t xml:space="preserve">She explained </w:t>
      </w:r>
      <w:r w:rsidR="00F97879">
        <w:rPr>
          <w:sz w:val="24"/>
          <w:szCs w:val="24"/>
        </w:rPr>
        <w:t xml:space="preserve">that </w:t>
      </w:r>
      <w:r w:rsidR="00C834AB">
        <w:rPr>
          <w:sz w:val="24"/>
          <w:szCs w:val="24"/>
        </w:rPr>
        <w:t xml:space="preserve">NICE's obligation to comply with the PSED goes beyond the </w:t>
      </w:r>
      <w:r w:rsidR="00065465">
        <w:rPr>
          <w:sz w:val="24"/>
          <w:szCs w:val="24"/>
        </w:rPr>
        <w:t>e</w:t>
      </w:r>
      <w:r w:rsidR="00C834AB">
        <w:rPr>
          <w:sz w:val="24"/>
          <w:szCs w:val="24"/>
        </w:rPr>
        <w:t xml:space="preserve">qualities section of the FDG and </w:t>
      </w:r>
      <w:r w:rsidR="00BF6AC7">
        <w:rPr>
          <w:sz w:val="24"/>
          <w:szCs w:val="24"/>
        </w:rPr>
        <w:t>EIAs</w:t>
      </w:r>
      <w:r w:rsidR="00065465">
        <w:rPr>
          <w:sz w:val="24"/>
          <w:szCs w:val="24"/>
        </w:rPr>
        <w:t xml:space="preserve"> and is </w:t>
      </w:r>
      <w:r w:rsidR="00BF6AC7">
        <w:rPr>
          <w:sz w:val="24"/>
          <w:szCs w:val="24"/>
        </w:rPr>
        <w:t xml:space="preserve">embedded in </w:t>
      </w:r>
      <w:r w:rsidR="00065465">
        <w:rPr>
          <w:sz w:val="24"/>
          <w:szCs w:val="24"/>
        </w:rPr>
        <w:t xml:space="preserve">the </w:t>
      </w:r>
      <w:r w:rsidR="00BF6AC7">
        <w:rPr>
          <w:sz w:val="24"/>
          <w:szCs w:val="24"/>
        </w:rPr>
        <w:t xml:space="preserve">processes and NICE's approach to developing guidance.  </w:t>
      </w:r>
      <w:r w:rsidR="00F139D4">
        <w:rPr>
          <w:sz w:val="24"/>
          <w:szCs w:val="24"/>
        </w:rPr>
        <w:t>This includes giving consideration to equality impacts when developing guidance</w:t>
      </w:r>
      <w:r w:rsidR="00975181">
        <w:rPr>
          <w:sz w:val="24"/>
          <w:szCs w:val="24"/>
        </w:rPr>
        <w:t xml:space="preserve">, hearing from patients, carers and the public to </w:t>
      </w:r>
      <w:r w:rsidR="000D08A5">
        <w:rPr>
          <w:sz w:val="24"/>
          <w:szCs w:val="24"/>
        </w:rPr>
        <w:t>identify</w:t>
      </w:r>
      <w:r w:rsidR="00975181">
        <w:rPr>
          <w:sz w:val="24"/>
          <w:szCs w:val="24"/>
        </w:rPr>
        <w:t xml:space="preserve"> areas of potential discrimination and opportunities to advance equality, ensuring </w:t>
      </w:r>
      <w:r w:rsidR="000D08A5">
        <w:rPr>
          <w:sz w:val="24"/>
          <w:szCs w:val="24"/>
        </w:rPr>
        <w:t>diversity</w:t>
      </w:r>
      <w:r w:rsidR="00975181">
        <w:rPr>
          <w:sz w:val="24"/>
          <w:szCs w:val="24"/>
        </w:rPr>
        <w:t xml:space="preserve"> in its </w:t>
      </w:r>
      <w:r w:rsidR="00AF588F">
        <w:rPr>
          <w:sz w:val="24"/>
          <w:szCs w:val="24"/>
        </w:rPr>
        <w:t>c</w:t>
      </w:r>
      <w:r w:rsidR="000B4556">
        <w:rPr>
          <w:sz w:val="24"/>
          <w:szCs w:val="24"/>
        </w:rPr>
        <w:t>ommittee</w:t>
      </w:r>
      <w:r w:rsidR="00975181">
        <w:rPr>
          <w:sz w:val="24"/>
          <w:szCs w:val="24"/>
        </w:rPr>
        <w:t xml:space="preserve">s, </w:t>
      </w:r>
      <w:r w:rsidR="000D08A5">
        <w:rPr>
          <w:sz w:val="24"/>
          <w:szCs w:val="24"/>
        </w:rPr>
        <w:t>producing</w:t>
      </w:r>
      <w:r w:rsidR="0090731E">
        <w:rPr>
          <w:sz w:val="24"/>
          <w:szCs w:val="24"/>
        </w:rPr>
        <w:t xml:space="preserve"> an annual equality report where </w:t>
      </w:r>
      <w:r w:rsidR="000D08A5">
        <w:rPr>
          <w:sz w:val="24"/>
          <w:szCs w:val="24"/>
        </w:rPr>
        <w:t>considerations</w:t>
      </w:r>
      <w:r w:rsidR="0090731E">
        <w:rPr>
          <w:sz w:val="24"/>
          <w:szCs w:val="24"/>
        </w:rPr>
        <w:t xml:space="preserve"> during guidance development are co</w:t>
      </w:r>
      <w:r w:rsidR="003A2BC1">
        <w:rPr>
          <w:sz w:val="24"/>
          <w:szCs w:val="24"/>
        </w:rPr>
        <w:t xml:space="preserve">llated and </w:t>
      </w:r>
      <w:r w:rsidR="003A2BC1">
        <w:rPr>
          <w:sz w:val="24"/>
          <w:szCs w:val="24"/>
        </w:rPr>
        <w:lastRenderedPageBreak/>
        <w:t xml:space="preserve">summarised, and continuing to learn and improve </w:t>
      </w:r>
      <w:r w:rsidR="002577E2">
        <w:rPr>
          <w:sz w:val="24"/>
          <w:szCs w:val="24"/>
        </w:rPr>
        <w:t>by providing</w:t>
      </w:r>
      <w:r w:rsidR="003A2BC1">
        <w:rPr>
          <w:sz w:val="24"/>
          <w:szCs w:val="24"/>
        </w:rPr>
        <w:t xml:space="preserve"> specific training sessions on </w:t>
      </w:r>
      <w:r w:rsidR="002577E2">
        <w:rPr>
          <w:sz w:val="24"/>
          <w:szCs w:val="24"/>
        </w:rPr>
        <w:t xml:space="preserve">the </w:t>
      </w:r>
      <w:r w:rsidR="003A2BC1">
        <w:rPr>
          <w:sz w:val="24"/>
          <w:szCs w:val="24"/>
        </w:rPr>
        <w:t xml:space="preserve">PSED to appraisal </w:t>
      </w:r>
      <w:r w:rsidR="00AF588F">
        <w:rPr>
          <w:sz w:val="24"/>
          <w:szCs w:val="24"/>
        </w:rPr>
        <w:t xml:space="preserve">committee </w:t>
      </w:r>
      <w:r w:rsidR="003A2BC1">
        <w:rPr>
          <w:sz w:val="24"/>
          <w:szCs w:val="24"/>
        </w:rPr>
        <w:t xml:space="preserve">members.  In this specific appraisal the </w:t>
      </w:r>
      <w:r w:rsidR="00AF588F">
        <w:rPr>
          <w:sz w:val="24"/>
          <w:szCs w:val="24"/>
        </w:rPr>
        <w:t xml:space="preserve">committee </w:t>
      </w:r>
      <w:r w:rsidR="00E57443">
        <w:rPr>
          <w:sz w:val="24"/>
          <w:szCs w:val="24"/>
        </w:rPr>
        <w:t>ha</w:t>
      </w:r>
      <w:r w:rsidR="00D022E9">
        <w:rPr>
          <w:sz w:val="24"/>
          <w:szCs w:val="24"/>
        </w:rPr>
        <w:t>s</w:t>
      </w:r>
      <w:r w:rsidR="00E57443">
        <w:rPr>
          <w:sz w:val="24"/>
          <w:szCs w:val="24"/>
        </w:rPr>
        <w:t xml:space="preserve"> invited stakeholders to identify </w:t>
      </w:r>
      <w:r w:rsidR="00740E62">
        <w:rPr>
          <w:sz w:val="24"/>
          <w:szCs w:val="24"/>
        </w:rPr>
        <w:t xml:space="preserve">equality issues.  At </w:t>
      </w:r>
      <w:r w:rsidR="00C03120">
        <w:rPr>
          <w:sz w:val="24"/>
          <w:szCs w:val="24"/>
        </w:rPr>
        <w:t xml:space="preserve">the </w:t>
      </w:r>
      <w:r w:rsidR="00740E62">
        <w:rPr>
          <w:sz w:val="24"/>
          <w:szCs w:val="24"/>
        </w:rPr>
        <w:t>scoping</w:t>
      </w:r>
      <w:r w:rsidR="00C03120">
        <w:rPr>
          <w:sz w:val="24"/>
          <w:szCs w:val="24"/>
        </w:rPr>
        <w:t xml:space="preserve"> stage</w:t>
      </w:r>
      <w:r w:rsidR="00740E62">
        <w:rPr>
          <w:sz w:val="24"/>
          <w:szCs w:val="24"/>
        </w:rPr>
        <w:t xml:space="preserve"> stakeholders were asked to identify any preliminary issues</w:t>
      </w:r>
      <w:r w:rsidR="00365F89">
        <w:rPr>
          <w:sz w:val="24"/>
          <w:szCs w:val="24"/>
        </w:rPr>
        <w:t xml:space="preserve">, </w:t>
      </w:r>
      <w:r w:rsidR="00EC4680">
        <w:rPr>
          <w:sz w:val="24"/>
          <w:szCs w:val="24"/>
        </w:rPr>
        <w:t xml:space="preserve">and </w:t>
      </w:r>
      <w:r w:rsidR="00365F89">
        <w:rPr>
          <w:sz w:val="24"/>
          <w:szCs w:val="24"/>
        </w:rPr>
        <w:t xml:space="preserve">no relevant equality issues were received.  In response to draft guidance </w:t>
      </w:r>
      <w:r w:rsidR="0027613D">
        <w:rPr>
          <w:sz w:val="24"/>
          <w:szCs w:val="24"/>
        </w:rPr>
        <w:t xml:space="preserve">the </w:t>
      </w:r>
      <w:r w:rsidR="00AF588F">
        <w:rPr>
          <w:sz w:val="24"/>
          <w:szCs w:val="24"/>
        </w:rPr>
        <w:t>c</w:t>
      </w:r>
      <w:r w:rsidR="000B4556">
        <w:rPr>
          <w:sz w:val="24"/>
          <w:szCs w:val="24"/>
        </w:rPr>
        <w:t>ommittee</w:t>
      </w:r>
      <w:r w:rsidR="0027613D">
        <w:rPr>
          <w:sz w:val="24"/>
          <w:szCs w:val="24"/>
        </w:rPr>
        <w:t xml:space="preserve"> received </w:t>
      </w:r>
      <w:r w:rsidR="00365FBF">
        <w:rPr>
          <w:sz w:val="24"/>
          <w:szCs w:val="24"/>
        </w:rPr>
        <w:t>comments</w:t>
      </w:r>
      <w:r w:rsidR="0027613D">
        <w:rPr>
          <w:sz w:val="24"/>
          <w:szCs w:val="24"/>
        </w:rPr>
        <w:t xml:space="preserve"> regarding eth</w:t>
      </w:r>
      <w:r w:rsidR="00EC4680">
        <w:rPr>
          <w:sz w:val="24"/>
          <w:szCs w:val="24"/>
        </w:rPr>
        <w:t>n</w:t>
      </w:r>
      <w:r w:rsidR="0027613D">
        <w:rPr>
          <w:sz w:val="24"/>
          <w:szCs w:val="24"/>
        </w:rPr>
        <w:t>ic and social equality issues.</w:t>
      </w:r>
      <w:r w:rsidR="003A2BC1">
        <w:rPr>
          <w:sz w:val="24"/>
          <w:szCs w:val="24"/>
        </w:rPr>
        <w:t xml:space="preserve"> </w:t>
      </w:r>
      <w:r w:rsidR="00365FBF">
        <w:rPr>
          <w:sz w:val="24"/>
          <w:szCs w:val="24"/>
        </w:rPr>
        <w:t xml:space="preserve">The </w:t>
      </w:r>
      <w:r w:rsidR="00AF588F">
        <w:rPr>
          <w:sz w:val="24"/>
          <w:szCs w:val="24"/>
        </w:rPr>
        <w:t xml:space="preserve">committee </w:t>
      </w:r>
      <w:r w:rsidR="00365FBF">
        <w:rPr>
          <w:sz w:val="24"/>
          <w:szCs w:val="24"/>
        </w:rPr>
        <w:t xml:space="preserve">requested further </w:t>
      </w:r>
      <w:r w:rsidR="0029548B">
        <w:rPr>
          <w:sz w:val="24"/>
          <w:szCs w:val="24"/>
        </w:rPr>
        <w:t>evidence on the P53 subgroup which was overexpressed in the black ethnic group</w:t>
      </w:r>
      <w:r w:rsidR="00C03120">
        <w:rPr>
          <w:sz w:val="24"/>
          <w:szCs w:val="24"/>
        </w:rPr>
        <w:t>.</w:t>
      </w:r>
      <w:r w:rsidR="0004109E">
        <w:rPr>
          <w:sz w:val="24"/>
          <w:szCs w:val="24"/>
        </w:rPr>
        <w:t xml:space="preserve">  </w:t>
      </w:r>
      <w:r w:rsidR="00AF588F">
        <w:rPr>
          <w:sz w:val="24"/>
          <w:szCs w:val="24"/>
        </w:rPr>
        <w:t>AstraZeneca</w:t>
      </w:r>
      <w:r w:rsidR="0004109E">
        <w:rPr>
          <w:sz w:val="24"/>
          <w:szCs w:val="24"/>
        </w:rPr>
        <w:t xml:space="preserve"> declined to provide this analysis and the </w:t>
      </w:r>
      <w:r w:rsidR="00AF588F">
        <w:rPr>
          <w:sz w:val="24"/>
          <w:szCs w:val="24"/>
        </w:rPr>
        <w:t>c</w:t>
      </w:r>
      <w:r w:rsidR="000B4556">
        <w:rPr>
          <w:sz w:val="24"/>
          <w:szCs w:val="24"/>
        </w:rPr>
        <w:t>ommittee</w:t>
      </w:r>
      <w:r w:rsidR="0004109E">
        <w:rPr>
          <w:sz w:val="24"/>
          <w:szCs w:val="24"/>
        </w:rPr>
        <w:t xml:space="preserve"> was unable to progress </w:t>
      </w:r>
      <w:r w:rsidR="00556BD6">
        <w:rPr>
          <w:sz w:val="24"/>
          <w:szCs w:val="24"/>
        </w:rPr>
        <w:t xml:space="preserve">this further.  </w:t>
      </w:r>
      <w:r w:rsidR="003B1301">
        <w:rPr>
          <w:sz w:val="24"/>
          <w:szCs w:val="24"/>
        </w:rPr>
        <w:t>S</w:t>
      </w:r>
      <w:r w:rsidR="00556BD6">
        <w:rPr>
          <w:sz w:val="24"/>
          <w:szCs w:val="24"/>
        </w:rPr>
        <w:t xml:space="preserve">he explained </w:t>
      </w:r>
      <w:r w:rsidR="003B1301">
        <w:rPr>
          <w:sz w:val="24"/>
          <w:szCs w:val="24"/>
        </w:rPr>
        <w:t xml:space="preserve">that through this approach </w:t>
      </w:r>
      <w:r w:rsidR="00556BD6">
        <w:rPr>
          <w:sz w:val="24"/>
          <w:szCs w:val="24"/>
        </w:rPr>
        <w:t xml:space="preserve">the </w:t>
      </w:r>
      <w:r w:rsidR="00AF588F">
        <w:rPr>
          <w:sz w:val="24"/>
          <w:szCs w:val="24"/>
        </w:rPr>
        <w:t xml:space="preserve">committee </w:t>
      </w:r>
      <w:r w:rsidR="00556BD6">
        <w:rPr>
          <w:sz w:val="24"/>
          <w:szCs w:val="24"/>
        </w:rPr>
        <w:t>had compl</w:t>
      </w:r>
      <w:r w:rsidR="00BD1363">
        <w:rPr>
          <w:sz w:val="24"/>
          <w:szCs w:val="24"/>
        </w:rPr>
        <w:t>ied</w:t>
      </w:r>
      <w:r w:rsidR="00556BD6">
        <w:rPr>
          <w:sz w:val="24"/>
          <w:szCs w:val="24"/>
        </w:rPr>
        <w:t xml:space="preserve"> with the PSED and had </w:t>
      </w:r>
      <w:r w:rsidR="00D022E9">
        <w:rPr>
          <w:sz w:val="24"/>
          <w:szCs w:val="24"/>
        </w:rPr>
        <w:t>shown</w:t>
      </w:r>
      <w:r w:rsidR="00556BD6">
        <w:rPr>
          <w:sz w:val="24"/>
          <w:szCs w:val="24"/>
        </w:rPr>
        <w:t xml:space="preserve"> due regard to the need to advance equality of opportunity by </w:t>
      </w:r>
      <w:r w:rsidR="000D08A5">
        <w:rPr>
          <w:sz w:val="24"/>
          <w:szCs w:val="24"/>
        </w:rPr>
        <w:t>actively</w:t>
      </w:r>
      <w:r w:rsidR="00556BD6">
        <w:rPr>
          <w:sz w:val="24"/>
          <w:szCs w:val="24"/>
        </w:rPr>
        <w:t xml:space="preserve"> identifying areas for further exploration within this subgroup based on what it had heard in the first meeting from clinical experts.</w:t>
      </w:r>
    </w:p>
    <w:p w14:paraId="620EA9CC" w14:textId="5193B5C1" w:rsidR="00556BD6" w:rsidRPr="00D451F2" w:rsidRDefault="00556BD6" w:rsidP="00BF6E8F">
      <w:pPr>
        <w:pStyle w:val="Paragraph"/>
      </w:pPr>
      <w:r>
        <w:rPr>
          <w:sz w:val="24"/>
          <w:szCs w:val="24"/>
        </w:rPr>
        <w:t>James Fotheringham, for NICE</w:t>
      </w:r>
      <w:r w:rsidR="009767B1">
        <w:rPr>
          <w:sz w:val="24"/>
          <w:szCs w:val="24"/>
        </w:rPr>
        <w:t xml:space="preserve">, </w:t>
      </w:r>
      <w:r w:rsidR="000D08A5">
        <w:rPr>
          <w:sz w:val="24"/>
          <w:szCs w:val="24"/>
        </w:rPr>
        <w:t>said</w:t>
      </w:r>
      <w:r w:rsidR="009767B1">
        <w:rPr>
          <w:sz w:val="24"/>
          <w:szCs w:val="24"/>
        </w:rPr>
        <w:t xml:space="preserve"> the </w:t>
      </w:r>
      <w:r w:rsidR="002A493B">
        <w:rPr>
          <w:sz w:val="24"/>
          <w:szCs w:val="24"/>
        </w:rPr>
        <w:t xml:space="preserve">committee </w:t>
      </w:r>
      <w:r w:rsidR="009767B1">
        <w:rPr>
          <w:sz w:val="24"/>
          <w:szCs w:val="24"/>
        </w:rPr>
        <w:t xml:space="preserve">had been presented with evidence which was associated with high uncertainty and higher ICERs.  The </w:t>
      </w:r>
      <w:r w:rsidR="002A493B">
        <w:rPr>
          <w:sz w:val="24"/>
          <w:szCs w:val="24"/>
        </w:rPr>
        <w:t>c</w:t>
      </w:r>
      <w:r w:rsidR="000B4556">
        <w:rPr>
          <w:sz w:val="24"/>
          <w:szCs w:val="24"/>
        </w:rPr>
        <w:t>ommittee</w:t>
      </w:r>
      <w:r w:rsidR="009767B1">
        <w:rPr>
          <w:sz w:val="24"/>
          <w:szCs w:val="24"/>
        </w:rPr>
        <w:t xml:space="preserve"> looked for evidence that could support a positive recommendation.  </w:t>
      </w:r>
      <w:r w:rsidR="00543A06">
        <w:rPr>
          <w:sz w:val="24"/>
          <w:szCs w:val="24"/>
        </w:rPr>
        <w:t xml:space="preserve">He noted that during the appraisal process the </w:t>
      </w:r>
      <w:r w:rsidR="002A493B">
        <w:rPr>
          <w:sz w:val="24"/>
          <w:szCs w:val="24"/>
        </w:rPr>
        <w:t>c</w:t>
      </w:r>
      <w:r w:rsidR="000B4556">
        <w:rPr>
          <w:sz w:val="24"/>
          <w:szCs w:val="24"/>
        </w:rPr>
        <w:t>ommittee</w:t>
      </w:r>
      <w:r w:rsidR="00543A06">
        <w:rPr>
          <w:sz w:val="24"/>
          <w:szCs w:val="24"/>
        </w:rPr>
        <w:t xml:space="preserve"> </w:t>
      </w:r>
      <w:r w:rsidR="002C4A51">
        <w:rPr>
          <w:sz w:val="24"/>
          <w:szCs w:val="24"/>
        </w:rPr>
        <w:t>was</w:t>
      </w:r>
      <w:r w:rsidR="00543A06">
        <w:rPr>
          <w:sz w:val="24"/>
          <w:szCs w:val="24"/>
        </w:rPr>
        <w:t xml:space="preserve"> presented with three important facts.  First</w:t>
      </w:r>
      <w:r w:rsidR="009F559C">
        <w:rPr>
          <w:sz w:val="24"/>
          <w:szCs w:val="24"/>
        </w:rPr>
        <w:t xml:space="preserve">, </w:t>
      </w:r>
      <w:proofErr w:type="spellStart"/>
      <w:r w:rsidR="009F559C" w:rsidRPr="009F559C">
        <w:rPr>
          <w:sz w:val="24"/>
          <w:szCs w:val="24"/>
        </w:rPr>
        <w:t>pMMR</w:t>
      </w:r>
      <w:proofErr w:type="spellEnd"/>
      <w:r w:rsidR="009F559C" w:rsidRPr="009F559C">
        <w:rPr>
          <w:sz w:val="24"/>
          <w:szCs w:val="24"/>
        </w:rPr>
        <w:t xml:space="preserve"> endo</w:t>
      </w:r>
      <w:r w:rsidR="009F559C">
        <w:rPr>
          <w:sz w:val="24"/>
          <w:szCs w:val="24"/>
        </w:rPr>
        <w:t xml:space="preserve">metrial </w:t>
      </w:r>
      <w:r w:rsidR="009F559C" w:rsidRPr="009F559C">
        <w:rPr>
          <w:sz w:val="24"/>
          <w:szCs w:val="24"/>
        </w:rPr>
        <w:t xml:space="preserve">cancer is </w:t>
      </w:r>
      <w:r w:rsidR="009F559C">
        <w:rPr>
          <w:sz w:val="24"/>
          <w:szCs w:val="24"/>
        </w:rPr>
        <w:t xml:space="preserve">a </w:t>
      </w:r>
      <w:r w:rsidR="009F559C" w:rsidRPr="009F559C">
        <w:rPr>
          <w:sz w:val="24"/>
          <w:szCs w:val="24"/>
        </w:rPr>
        <w:t xml:space="preserve">heterogenous group </w:t>
      </w:r>
      <w:r w:rsidR="004967B0">
        <w:rPr>
          <w:sz w:val="24"/>
          <w:szCs w:val="24"/>
        </w:rPr>
        <w:t>which</w:t>
      </w:r>
      <w:r w:rsidR="009F559C" w:rsidRPr="009F559C">
        <w:rPr>
          <w:sz w:val="24"/>
          <w:szCs w:val="24"/>
        </w:rPr>
        <w:t xml:space="preserve"> could explain why </w:t>
      </w:r>
      <w:r w:rsidR="0003489A">
        <w:rPr>
          <w:sz w:val="24"/>
          <w:szCs w:val="24"/>
        </w:rPr>
        <w:t>outcomes</w:t>
      </w:r>
      <w:r w:rsidR="009F559C" w:rsidRPr="009F559C">
        <w:rPr>
          <w:sz w:val="24"/>
          <w:szCs w:val="24"/>
        </w:rPr>
        <w:t xml:space="preserve"> </w:t>
      </w:r>
      <w:r w:rsidR="004967B0">
        <w:rPr>
          <w:sz w:val="24"/>
          <w:szCs w:val="24"/>
        </w:rPr>
        <w:t xml:space="preserve">were </w:t>
      </w:r>
      <w:r w:rsidR="009F559C" w:rsidRPr="009F559C">
        <w:rPr>
          <w:sz w:val="24"/>
          <w:szCs w:val="24"/>
        </w:rPr>
        <w:t xml:space="preserve">less effective in </w:t>
      </w:r>
      <w:proofErr w:type="spellStart"/>
      <w:r w:rsidR="009F559C" w:rsidRPr="009F559C">
        <w:rPr>
          <w:sz w:val="24"/>
          <w:szCs w:val="24"/>
        </w:rPr>
        <w:t>pMMR</w:t>
      </w:r>
      <w:proofErr w:type="spellEnd"/>
      <w:r w:rsidR="009F559C" w:rsidRPr="009F559C">
        <w:rPr>
          <w:sz w:val="24"/>
          <w:szCs w:val="24"/>
        </w:rPr>
        <w:t xml:space="preserve"> than </w:t>
      </w:r>
      <w:proofErr w:type="spellStart"/>
      <w:r w:rsidR="009F559C" w:rsidRPr="009F559C">
        <w:rPr>
          <w:sz w:val="24"/>
          <w:szCs w:val="24"/>
        </w:rPr>
        <w:t>dMMR</w:t>
      </w:r>
      <w:proofErr w:type="spellEnd"/>
      <w:r w:rsidR="004967B0">
        <w:rPr>
          <w:sz w:val="24"/>
          <w:szCs w:val="24"/>
        </w:rPr>
        <w:t xml:space="preserve">. Second, </w:t>
      </w:r>
      <w:r w:rsidR="002C22DC">
        <w:rPr>
          <w:sz w:val="24"/>
          <w:szCs w:val="24"/>
        </w:rPr>
        <w:t>less than 5% of people recruited in the DUO-E trial were</w:t>
      </w:r>
      <w:r w:rsidR="001B4398">
        <w:rPr>
          <w:sz w:val="24"/>
          <w:szCs w:val="24"/>
        </w:rPr>
        <w:t xml:space="preserve"> </w:t>
      </w:r>
      <w:r w:rsidR="004B69AF">
        <w:rPr>
          <w:sz w:val="24"/>
          <w:szCs w:val="24"/>
        </w:rPr>
        <w:t>of black</w:t>
      </w:r>
      <w:r w:rsidR="001B4398">
        <w:rPr>
          <w:sz w:val="24"/>
          <w:szCs w:val="24"/>
        </w:rPr>
        <w:t xml:space="preserve"> ethnicity</w:t>
      </w:r>
      <w:r w:rsidR="002C22DC">
        <w:rPr>
          <w:sz w:val="24"/>
          <w:szCs w:val="24"/>
        </w:rPr>
        <w:t xml:space="preserve">.  Third, P53 is one of three molecular subtypes which </w:t>
      </w:r>
      <w:r w:rsidR="002A493B">
        <w:rPr>
          <w:sz w:val="24"/>
          <w:szCs w:val="24"/>
        </w:rPr>
        <w:t>AstraZeneca</w:t>
      </w:r>
      <w:r w:rsidR="002C22DC">
        <w:rPr>
          <w:sz w:val="24"/>
          <w:szCs w:val="24"/>
        </w:rPr>
        <w:t xml:space="preserve">'s submissions </w:t>
      </w:r>
      <w:r w:rsidR="000D08A5">
        <w:rPr>
          <w:sz w:val="24"/>
          <w:szCs w:val="24"/>
        </w:rPr>
        <w:t>said</w:t>
      </w:r>
      <w:r w:rsidR="002C22DC">
        <w:rPr>
          <w:sz w:val="24"/>
          <w:szCs w:val="24"/>
        </w:rPr>
        <w:t xml:space="preserve"> </w:t>
      </w:r>
      <w:r w:rsidR="00DE002C">
        <w:rPr>
          <w:sz w:val="24"/>
          <w:szCs w:val="24"/>
        </w:rPr>
        <w:t>have</w:t>
      </w:r>
      <w:r w:rsidR="002C22DC">
        <w:rPr>
          <w:sz w:val="24"/>
          <w:szCs w:val="24"/>
        </w:rPr>
        <w:t xml:space="preserve"> distinct features that have been included in </w:t>
      </w:r>
      <w:proofErr w:type="gramStart"/>
      <w:r w:rsidR="002C22DC">
        <w:rPr>
          <w:sz w:val="24"/>
          <w:szCs w:val="24"/>
        </w:rPr>
        <w:t>guidance</w:t>
      </w:r>
      <w:proofErr w:type="gramEnd"/>
      <w:r w:rsidR="00004F34">
        <w:rPr>
          <w:sz w:val="24"/>
          <w:szCs w:val="24"/>
        </w:rPr>
        <w:t xml:space="preserve"> and which </w:t>
      </w:r>
      <w:r w:rsidR="002C22DC">
        <w:rPr>
          <w:sz w:val="24"/>
          <w:szCs w:val="24"/>
        </w:rPr>
        <w:t>is overexpressed in black people</w:t>
      </w:r>
      <w:r w:rsidR="00C8023C">
        <w:rPr>
          <w:sz w:val="24"/>
          <w:szCs w:val="24"/>
        </w:rPr>
        <w:t xml:space="preserve">.  In </w:t>
      </w:r>
      <w:proofErr w:type="gramStart"/>
      <w:r w:rsidR="00C8023C">
        <w:rPr>
          <w:sz w:val="24"/>
          <w:szCs w:val="24"/>
        </w:rPr>
        <w:t>general</w:t>
      </w:r>
      <w:proofErr w:type="gramEnd"/>
      <w:r w:rsidR="00C8023C">
        <w:rPr>
          <w:sz w:val="24"/>
          <w:szCs w:val="24"/>
        </w:rPr>
        <w:t xml:space="preserve"> </w:t>
      </w:r>
      <w:r w:rsidR="005B1CA7">
        <w:rPr>
          <w:sz w:val="24"/>
          <w:szCs w:val="24"/>
        </w:rPr>
        <w:t xml:space="preserve">one third of people with </w:t>
      </w:r>
      <w:proofErr w:type="spellStart"/>
      <w:r w:rsidR="005B1CA7">
        <w:rPr>
          <w:sz w:val="24"/>
          <w:szCs w:val="24"/>
        </w:rPr>
        <w:t>pMMR</w:t>
      </w:r>
      <w:proofErr w:type="spellEnd"/>
      <w:r w:rsidR="005B1CA7">
        <w:rPr>
          <w:sz w:val="24"/>
          <w:szCs w:val="24"/>
        </w:rPr>
        <w:t xml:space="preserve"> have P53, this </w:t>
      </w:r>
      <w:r w:rsidR="00004F34">
        <w:rPr>
          <w:sz w:val="24"/>
          <w:szCs w:val="24"/>
        </w:rPr>
        <w:t>increase</w:t>
      </w:r>
      <w:r w:rsidR="00343287">
        <w:rPr>
          <w:sz w:val="24"/>
          <w:szCs w:val="24"/>
        </w:rPr>
        <w:t>s</w:t>
      </w:r>
      <w:r w:rsidR="00004F34">
        <w:rPr>
          <w:sz w:val="24"/>
          <w:szCs w:val="24"/>
        </w:rPr>
        <w:t xml:space="preserve"> to </w:t>
      </w:r>
      <w:r w:rsidR="005B1CA7">
        <w:rPr>
          <w:sz w:val="24"/>
          <w:szCs w:val="24"/>
        </w:rPr>
        <w:t xml:space="preserve">half in black populations.  At the first </w:t>
      </w:r>
      <w:r w:rsidR="00AE6980">
        <w:rPr>
          <w:sz w:val="24"/>
          <w:szCs w:val="24"/>
        </w:rPr>
        <w:t>c</w:t>
      </w:r>
      <w:r w:rsidR="000B4556">
        <w:rPr>
          <w:sz w:val="24"/>
          <w:szCs w:val="24"/>
        </w:rPr>
        <w:t>ommittee</w:t>
      </w:r>
      <w:r w:rsidR="005B1CA7">
        <w:rPr>
          <w:sz w:val="24"/>
          <w:szCs w:val="24"/>
        </w:rPr>
        <w:t xml:space="preserve"> meeting</w:t>
      </w:r>
      <w:r w:rsidR="00D87C88">
        <w:rPr>
          <w:sz w:val="24"/>
          <w:szCs w:val="24"/>
        </w:rPr>
        <w:t xml:space="preserve"> the clinical experts confirmed that </w:t>
      </w:r>
      <w:proofErr w:type="spellStart"/>
      <w:r w:rsidR="00D87C88">
        <w:rPr>
          <w:sz w:val="24"/>
          <w:szCs w:val="24"/>
        </w:rPr>
        <w:t>olapa</w:t>
      </w:r>
      <w:r w:rsidR="000D08A5">
        <w:rPr>
          <w:sz w:val="24"/>
          <w:szCs w:val="24"/>
        </w:rPr>
        <w:t>r</w:t>
      </w:r>
      <w:r w:rsidR="00D87C88">
        <w:rPr>
          <w:sz w:val="24"/>
          <w:szCs w:val="24"/>
        </w:rPr>
        <w:t>ib</w:t>
      </w:r>
      <w:proofErr w:type="spellEnd"/>
      <w:r w:rsidR="00D87C88">
        <w:rPr>
          <w:sz w:val="24"/>
          <w:szCs w:val="24"/>
        </w:rPr>
        <w:t xml:space="preserve"> offers significantly better outcomes than other </w:t>
      </w:r>
      <w:r w:rsidR="00245FD0">
        <w:rPr>
          <w:sz w:val="24"/>
          <w:szCs w:val="24"/>
        </w:rPr>
        <w:t xml:space="preserve">indication </w:t>
      </w:r>
      <w:r w:rsidR="0003489A">
        <w:rPr>
          <w:sz w:val="24"/>
          <w:szCs w:val="24"/>
        </w:rPr>
        <w:t>outcomes</w:t>
      </w:r>
      <w:r w:rsidR="00D87C88">
        <w:rPr>
          <w:sz w:val="24"/>
          <w:szCs w:val="24"/>
        </w:rPr>
        <w:t xml:space="preserve"> </w:t>
      </w:r>
      <w:r w:rsidR="00A04752">
        <w:rPr>
          <w:sz w:val="24"/>
          <w:szCs w:val="24"/>
        </w:rPr>
        <w:t>for</w:t>
      </w:r>
      <w:r w:rsidR="00D87C88">
        <w:rPr>
          <w:sz w:val="24"/>
          <w:szCs w:val="24"/>
        </w:rPr>
        <w:t xml:space="preserve"> P53</w:t>
      </w:r>
      <w:r w:rsidR="00A04752">
        <w:rPr>
          <w:sz w:val="24"/>
          <w:szCs w:val="24"/>
        </w:rPr>
        <w:t xml:space="preserve"> disease</w:t>
      </w:r>
      <w:r w:rsidR="00D87C88">
        <w:rPr>
          <w:sz w:val="24"/>
          <w:szCs w:val="24"/>
        </w:rPr>
        <w:t>.</w:t>
      </w:r>
      <w:r w:rsidR="001C780B">
        <w:rPr>
          <w:sz w:val="24"/>
          <w:szCs w:val="24"/>
        </w:rPr>
        <w:t xml:space="preserve">  </w:t>
      </w:r>
      <w:proofErr w:type="gramStart"/>
      <w:r w:rsidR="00E236C2">
        <w:rPr>
          <w:sz w:val="24"/>
          <w:szCs w:val="24"/>
        </w:rPr>
        <w:t>Taking into account</w:t>
      </w:r>
      <w:proofErr w:type="gramEnd"/>
      <w:r w:rsidR="00E236C2">
        <w:rPr>
          <w:sz w:val="24"/>
          <w:szCs w:val="24"/>
        </w:rPr>
        <w:t xml:space="preserve"> this evidence, the expert testimony and the unmet need the </w:t>
      </w:r>
      <w:r w:rsidR="00AE6980">
        <w:rPr>
          <w:sz w:val="24"/>
          <w:szCs w:val="24"/>
        </w:rPr>
        <w:t>c</w:t>
      </w:r>
      <w:r w:rsidR="000B4556">
        <w:rPr>
          <w:sz w:val="24"/>
          <w:szCs w:val="24"/>
        </w:rPr>
        <w:t>ommittee</w:t>
      </w:r>
      <w:r w:rsidR="00E236C2">
        <w:rPr>
          <w:sz w:val="24"/>
          <w:szCs w:val="24"/>
        </w:rPr>
        <w:t xml:space="preserve"> </w:t>
      </w:r>
      <w:r w:rsidR="00A56310">
        <w:rPr>
          <w:sz w:val="24"/>
          <w:szCs w:val="24"/>
        </w:rPr>
        <w:t xml:space="preserve">requested </w:t>
      </w:r>
      <w:r w:rsidR="000D08A5">
        <w:rPr>
          <w:sz w:val="24"/>
          <w:szCs w:val="24"/>
        </w:rPr>
        <w:t>clinical</w:t>
      </w:r>
      <w:r w:rsidR="00A56310">
        <w:rPr>
          <w:sz w:val="24"/>
          <w:szCs w:val="24"/>
        </w:rPr>
        <w:t xml:space="preserve"> and cost effectiveness evidence for the P53 </w:t>
      </w:r>
      <w:r w:rsidR="00A56310">
        <w:rPr>
          <w:sz w:val="24"/>
          <w:szCs w:val="24"/>
        </w:rPr>
        <w:lastRenderedPageBreak/>
        <w:t xml:space="preserve">subgroup from </w:t>
      </w:r>
      <w:r w:rsidR="00AE6980">
        <w:rPr>
          <w:sz w:val="24"/>
          <w:szCs w:val="24"/>
        </w:rPr>
        <w:t>AstraZeneca</w:t>
      </w:r>
      <w:r w:rsidR="00A56310">
        <w:rPr>
          <w:sz w:val="24"/>
          <w:szCs w:val="24"/>
        </w:rPr>
        <w:t xml:space="preserve">.  </w:t>
      </w:r>
      <w:r w:rsidR="00D12021">
        <w:rPr>
          <w:sz w:val="24"/>
          <w:szCs w:val="24"/>
        </w:rPr>
        <w:t>Unfortunately</w:t>
      </w:r>
      <w:r w:rsidR="00A56310">
        <w:rPr>
          <w:sz w:val="24"/>
          <w:szCs w:val="24"/>
        </w:rPr>
        <w:t xml:space="preserve">, </w:t>
      </w:r>
      <w:r w:rsidR="00AE6980">
        <w:rPr>
          <w:sz w:val="24"/>
          <w:szCs w:val="24"/>
        </w:rPr>
        <w:t>AstraZeneca</w:t>
      </w:r>
      <w:r w:rsidR="00A56310">
        <w:rPr>
          <w:sz w:val="24"/>
          <w:szCs w:val="24"/>
        </w:rPr>
        <w:t xml:space="preserve"> did not submit this data.</w:t>
      </w:r>
      <w:r w:rsidR="00C03C0D">
        <w:rPr>
          <w:sz w:val="24"/>
          <w:szCs w:val="24"/>
        </w:rPr>
        <w:t xml:space="preserve"> </w:t>
      </w:r>
      <w:r w:rsidR="006C79F4">
        <w:rPr>
          <w:sz w:val="24"/>
          <w:szCs w:val="24"/>
        </w:rPr>
        <w:t xml:space="preserve">He </w:t>
      </w:r>
      <w:r w:rsidR="00C03C0D">
        <w:rPr>
          <w:sz w:val="24"/>
          <w:szCs w:val="24"/>
        </w:rPr>
        <w:t xml:space="preserve">explained that in other </w:t>
      </w:r>
      <w:r w:rsidR="00D12021">
        <w:rPr>
          <w:sz w:val="24"/>
          <w:szCs w:val="24"/>
        </w:rPr>
        <w:t>appraisals</w:t>
      </w:r>
      <w:r w:rsidR="00C03C0D">
        <w:rPr>
          <w:sz w:val="24"/>
          <w:szCs w:val="24"/>
        </w:rPr>
        <w:t xml:space="preserve"> the </w:t>
      </w:r>
      <w:r w:rsidR="00AE6980">
        <w:rPr>
          <w:sz w:val="24"/>
          <w:szCs w:val="24"/>
        </w:rPr>
        <w:t>c</w:t>
      </w:r>
      <w:r w:rsidR="000B4556">
        <w:rPr>
          <w:sz w:val="24"/>
          <w:szCs w:val="24"/>
        </w:rPr>
        <w:t>ommittee</w:t>
      </w:r>
      <w:r w:rsidR="00C03C0D">
        <w:rPr>
          <w:sz w:val="24"/>
          <w:szCs w:val="24"/>
        </w:rPr>
        <w:t xml:space="preserve"> had received information on P53 </w:t>
      </w:r>
      <w:r w:rsidR="00D12021">
        <w:rPr>
          <w:sz w:val="24"/>
          <w:szCs w:val="24"/>
        </w:rPr>
        <w:t>disease</w:t>
      </w:r>
      <w:r w:rsidR="00C03C0D">
        <w:rPr>
          <w:sz w:val="24"/>
          <w:szCs w:val="24"/>
        </w:rPr>
        <w:t xml:space="preserve"> in </w:t>
      </w:r>
      <w:proofErr w:type="spellStart"/>
      <w:r w:rsidR="00C03C0D">
        <w:rPr>
          <w:sz w:val="24"/>
          <w:szCs w:val="24"/>
        </w:rPr>
        <w:t>pMMR</w:t>
      </w:r>
      <w:proofErr w:type="spellEnd"/>
      <w:r w:rsidR="00C03C0D">
        <w:rPr>
          <w:sz w:val="24"/>
          <w:szCs w:val="24"/>
        </w:rPr>
        <w:t xml:space="preserve"> </w:t>
      </w:r>
      <w:r w:rsidR="00D12021">
        <w:rPr>
          <w:sz w:val="24"/>
          <w:szCs w:val="24"/>
        </w:rPr>
        <w:t>populations</w:t>
      </w:r>
      <w:r w:rsidR="00C03C0D">
        <w:rPr>
          <w:sz w:val="24"/>
          <w:szCs w:val="24"/>
        </w:rPr>
        <w:t xml:space="preserve"> that has enabled a positive </w:t>
      </w:r>
      <w:r w:rsidR="00D12021">
        <w:rPr>
          <w:sz w:val="24"/>
          <w:szCs w:val="24"/>
        </w:rPr>
        <w:t>recommendation.</w:t>
      </w:r>
    </w:p>
    <w:p w14:paraId="6794D00C" w14:textId="214939B7" w:rsidR="00D451F2" w:rsidRPr="00353082" w:rsidRDefault="00D451F2" w:rsidP="00BF6E8F">
      <w:pPr>
        <w:pStyle w:val="Paragraph"/>
      </w:pPr>
      <w:r>
        <w:rPr>
          <w:sz w:val="24"/>
          <w:szCs w:val="24"/>
        </w:rPr>
        <w:t xml:space="preserve">James Fotheringham noted that </w:t>
      </w:r>
      <w:r w:rsidR="000D08A5">
        <w:rPr>
          <w:sz w:val="24"/>
          <w:szCs w:val="24"/>
        </w:rPr>
        <w:t>obesity</w:t>
      </w:r>
      <w:r>
        <w:rPr>
          <w:sz w:val="24"/>
          <w:szCs w:val="24"/>
        </w:rPr>
        <w:t xml:space="preserve"> </w:t>
      </w:r>
      <w:r w:rsidR="004967AD">
        <w:rPr>
          <w:sz w:val="24"/>
          <w:szCs w:val="24"/>
        </w:rPr>
        <w:t>was</w:t>
      </w:r>
      <w:r>
        <w:rPr>
          <w:sz w:val="24"/>
          <w:szCs w:val="24"/>
        </w:rPr>
        <w:t xml:space="preserve"> no</w:t>
      </w:r>
      <w:r w:rsidR="004967AD">
        <w:rPr>
          <w:sz w:val="24"/>
          <w:szCs w:val="24"/>
        </w:rPr>
        <w:t>t</w:t>
      </w:r>
      <w:r>
        <w:rPr>
          <w:sz w:val="24"/>
          <w:szCs w:val="24"/>
        </w:rPr>
        <w:t xml:space="preserve"> in </w:t>
      </w:r>
      <w:r w:rsidR="00AE6980">
        <w:rPr>
          <w:sz w:val="24"/>
          <w:szCs w:val="24"/>
        </w:rPr>
        <w:t>AstraZeneca</w:t>
      </w:r>
      <w:r w:rsidR="004967AD">
        <w:rPr>
          <w:sz w:val="24"/>
          <w:szCs w:val="24"/>
        </w:rPr>
        <w:t>'s equality</w:t>
      </w:r>
      <w:r>
        <w:rPr>
          <w:sz w:val="24"/>
          <w:szCs w:val="24"/>
        </w:rPr>
        <w:t xml:space="preserve"> submissions.  He explained </w:t>
      </w:r>
      <w:r w:rsidR="004967AD">
        <w:rPr>
          <w:sz w:val="24"/>
          <w:szCs w:val="24"/>
        </w:rPr>
        <w:t xml:space="preserve">that </w:t>
      </w:r>
      <w:r>
        <w:rPr>
          <w:sz w:val="24"/>
          <w:szCs w:val="24"/>
        </w:rPr>
        <w:t xml:space="preserve">it was difficult for the </w:t>
      </w:r>
      <w:r w:rsidR="00AE6980">
        <w:rPr>
          <w:sz w:val="24"/>
          <w:szCs w:val="24"/>
        </w:rPr>
        <w:t>c</w:t>
      </w:r>
      <w:r w:rsidR="000B4556">
        <w:rPr>
          <w:sz w:val="24"/>
          <w:szCs w:val="24"/>
        </w:rPr>
        <w:t>ommittee</w:t>
      </w:r>
      <w:r>
        <w:rPr>
          <w:sz w:val="24"/>
          <w:szCs w:val="24"/>
        </w:rPr>
        <w:t xml:space="preserve"> to </w:t>
      </w:r>
      <w:r w:rsidR="00FE2562">
        <w:rPr>
          <w:sz w:val="24"/>
          <w:szCs w:val="24"/>
        </w:rPr>
        <w:t>make</w:t>
      </w:r>
      <w:r>
        <w:rPr>
          <w:sz w:val="24"/>
          <w:szCs w:val="24"/>
        </w:rPr>
        <w:t xml:space="preserve"> an </w:t>
      </w:r>
      <w:r w:rsidR="00FE2562">
        <w:rPr>
          <w:sz w:val="24"/>
          <w:szCs w:val="24"/>
        </w:rPr>
        <w:t>optimised</w:t>
      </w:r>
      <w:r>
        <w:rPr>
          <w:sz w:val="24"/>
          <w:szCs w:val="24"/>
        </w:rPr>
        <w:t xml:space="preserve"> recommendation about obesity </w:t>
      </w:r>
      <w:r w:rsidR="00BD5C36">
        <w:rPr>
          <w:sz w:val="24"/>
          <w:szCs w:val="24"/>
        </w:rPr>
        <w:t xml:space="preserve">because it is not a protected characteristic, although he noted that the </w:t>
      </w:r>
      <w:proofErr w:type="gramStart"/>
      <w:r w:rsidR="00BD5C36">
        <w:rPr>
          <w:sz w:val="24"/>
          <w:szCs w:val="24"/>
        </w:rPr>
        <w:t>disease causing</w:t>
      </w:r>
      <w:proofErr w:type="gramEnd"/>
      <w:r w:rsidR="00BD5C36">
        <w:rPr>
          <w:sz w:val="24"/>
          <w:szCs w:val="24"/>
        </w:rPr>
        <w:t xml:space="preserve"> </w:t>
      </w:r>
      <w:r w:rsidR="00267EB1">
        <w:rPr>
          <w:sz w:val="24"/>
          <w:szCs w:val="24"/>
        </w:rPr>
        <w:t>obesity</w:t>
      </w:r>
      <w:r w:rsidR="00BD5C36">
        <w:rPr>
          <w:sz w:val="24"/>
          <w:szCs w:val="24"/>
        </w:rPr>
        <w:t xml:space="preserve"> </w:t>
      </w:r>
      <w:r w:rsidR="00EC4680">
        <w:rPr>
          <w:sz w:val="24"/>
          <w:szCs w:val="24"/>
        </w:rPr>
        <w:t xml:space="preserve">can be </w:t>
      </w:r>
      <w:r w:rsidR="00BD5C36">
        <w:rPr>
          <w:sz w:val="24"/>
          <w:szCs w:val="24"/>
        </w:rPr>
        <w:t xml:space="preserve">a protected </w:t>
      </w:r>
      <w:r w:rsidR="00267EB1">
        <w:rPr>
          <w:sz w:val="24"/>
          <w:szCs w:val="24"/>
        </w:rPr>
        <w:t>characteristic</w:t>
      </w:r>
      <w:r w:rsidR="00BD5C36">
        <w:rPr>
          <w:sz w:val="24"/>
          <w:szCs w:val="24"/>
        </w:rPr>
        <w:t xml:space="preserve">.  He confirmed the </w:t>
      </w:r>
      <w:r w:rsidR="007C5C59">
        <w:rPr>
          <w:sz w:val="24"/>
          <w:szCs w:val="24"/>
        </w:rPr>
        <w:t>c</w:t>
      </w:r>
      <w:r w:rsidR="000B4556">
        <w:rPr>
          <w:sz w:val="24"/>
          <w:szCs w:val="24"/>
        </w:rPr>
        <w:t>ommittee</w:t>
      </w:r>
      <w:r w:rsidR="00BD5C36">
        <w:rPr>
          <w:sz w:val="24"/>
          <w:szCs w:val="24"/>
        </w:rPr>
        <w:t xml:space="preserve"> did not take this any further.</w:t>
      </w:r>
      <w:r w:rsidR="00904B5A">
        <w:rPr>
          <w:sz w:val="24"/>
          <w:szCs w:val="24"/>
        </w:rPr>
        <w:t xml:space="preserve">  In respect to people of black ethnicity he confirmed the </w:t>
      </w:r>
      <w:r w:rsidR="007C5C59">
        <w:rPr>
          <w:sz w:val="24"/>
          <w:szCs w:val="24"/>
        </w:rPr>
        <w:t>c</w:t>
      </w:r>
      <w:r w:rsidR="000B4556">
        <w:rPr>
          <w:sz w:val="24"/>
          <w:szCs w:val="24"/>
        </w:rPr>
        <w:t>ommittee</w:t>
      </w:r>
      <w:r w:rsidR="00904B5A">
        <w:rPr>
          <w:sz w:val="24"/>
          <w:szCs w:val="24"/>
        </w:rPr>
        <w:t xml:space="preserve"> were hampered b</w:t>
      </w:r>
      <w:r w:rsidR="00FE2562">
        <w:rPr>
          <w:sz w:val="24"/>
          <w:szCs w:val="24"/>
        </w:rPr>
        <w:t>y</w:t>
      </w:r>
      <w:r w:rsidR="00904B5A">
        <w:rPr>
          <w:sz w:val="24"/>
          <w:szCs w:val="24"/>
        </w:rPr>
        <w:t xml:space="preserve"> </w:t>
      </w:r>
      <w:r w:rsidR="00FE2562">
        <w:rPr>
          <w:sz w:val="24"/>
          <w:szCs w:val="24"/>
        </w:rPr>
        <w:t>the</w:t>
      </w:r>
      <w:r w:rsidR="00904B5A">
        <w:rPr>
          <w:sz w:val="24"/>
          <w:szCs w:val="24"/>
        </w:rPr>
        <w:t xml:space="preserve"> data</w:t>
      </w:r>
      <w:r w:rsidR="00D15848">
        <w:rPr>
          <w:sz w:val="24"/>
          <w:szCs w:val="24"/>
        </w:rPr>
        <w:t xml:space="preserve"> and without anything </w:t>
      </w:r>
      <w:r w:rsidR="00267EB1">
        <w:rPr>
          <w:sz w:val="24"/>
          <w:szCs w:val="24"/>
        </w:rPr>
        <w:t>quanti</w:t>
      </w:r>
      <w:r w:rsidR="00A43055">
        <w:rPr>
          <w:sz w:val="24"/>
          <w:szCs w:val="24"/>
        </w:rPr>
        <w:t>tative</w:t>
      </w:r>
      <w:r w:rsidR="00D15848">
        <w:rPr>
          <w:sz w:val="24"/>
          <w:szCs w:val="24"/>
        </w:rPr>
        <w:t xml:space="preserve"> they could not change the ICER threshold.  He noted the </w:t>
      </w:r>
      <w:r w:rsidR="007C5C59">
        <w:rPr>
          <w:sz w:val="24"/>
          <w:szCs w:val="24"/>
        </w:rPr>
        <w:t>c</w:t>
      </w:r>
      <w:r w:rsidR="000B4556">
        <w:rPr>
          <w:sz w:val="24"/>
          <w:szCs w:val="24"/>
        </w:rPr>
        <w:t>ommittee</w:t>
      </w:r>
      <w:r w:rsidR="00D15848">
        <w:rPr>
          <w:sz w:val="24"/>
          <w:szCs w:val="24"/>
        </w:rPr>
        <w:t xml:space="preserve"> are allowed to let population health and wealth inform decisions around </w:t>
      </w:r>
      <w:r w:rsidR="00A12EF0">
        <w:rPr>
          <w:sz w:val="24"/>
          <w:szCs w:val="24"/>
        </w:rPr>
        <w:t xml:space="preserve">the </w:t>
      </w:r>
      <w:r w:rsidR="00353082">
        <w:rPr>
          <w:sz w:val="24"/>
          <w:szCs w:val="24"/>
        </w:rPr>
        <w:t xml:space="preserve">ICER threshold and with a </w:t>
      </w:r>
      <w:r w:rsidR="0047165C">
        <w:rPr>
          <w:sz w:val="24"/>
          <w:szCs w:val="24"/>
        </w:rPr>
        <w:t>superior</w:t>
      </w:r>
      <w:r w:rsidR="00353082">
        <w:rPr>
          <w:sz w:val="24"/>
          <w:szCs w:val="24"/>
        </w:rPr>
        <w:t xml:space="preserve"> </w:t>
      </w:r>
      <w:proofErr w:type="gramStart"/>
      <w:r w:rsidR="00353082">
        <w:rPr>
          <w:sz w:val="24"/>
          <w:szCs w:val="24"/>
        </w:rPr>
        <w:t>evidence based</w:t>
      </w:r>
      <w:proofErr w:type="gramEnd"/>
      <w:r w:rsidR="00353082">
        <w:rPr>
          <w:sz w:val="24"/>
          <w:szCs w:val="24"/>
        </w:rPr>
        <w:t xml:space="preserve"> package to help the </w:t>
      </w:r>
      <w:r w:rsidR="007C5C59">
        <w:rPr>
          <w:sz w:val="24"/>
          <w:szCs w:val="24"/>
        </w:rPr>
        <w:t>c</w:t>
      </w:r>
      <w:r w:rsidR="000B4556">
        <w:rPr>
          <w:sz w:val="24"/>
          <w:szCs w:val="24"/>
        </w:rPr>
        <w:t>ommittee</w:t>
      </w:r>
      <w:r w:rsidR="00353082">
        <w:rPr>
          <w:sz w:val="24"/>
          <w:szCs w:val="24"/>
        </w:rPr>
        <w:t xml:space="preserve"> understand the uncertainties it may have been able to increase the ICER threshold in response to the </w:t>
      </w:r>
      <w:r w:rsidR="00267EB1">
        <w:rPr>
          <w:sz w:val="24"/>
          <w:szCs w:val="24"/>
        </w:rPr>
        <w:t>inequalities</w:t>
      </w:r>
      <w:r w:rsidR="00353082">
        <w:rPr>
          <w:sz w:val="24"/>
          <w:szCs w:val="24"/>
        </w:rPr>
        <w:t>.</w:t>
      </w:r>
    </w:p>
    <w:p w14:paraId="52FE4D80" w14:textId="5244D38C" w:rsidR="00353082" w:rsidRPr="00267EB1" w:rsidRDefault="00117140" w:rsidP="219D0D3A">
      <w:pPr>
        <w:pStyle w:val="Paragraph"/>
        <w:rPr>
          <w:sz w:val="24"/>
          <w:szCs w:val="24"/>
        </w:rPr>
      </w:pPr>
      <w:r w:rsidRPr="10DE84B5">
        <w:rPr>
          <w:sz w:val="24"/>
          <w:szCs w:val="24"/>
        </w:rPr>
        <w:t>Jacoline Bo</w:t>
      </w:r>
      <w:r w:rsidR="00D022E9" w:rsidRPr="10DE84B5">
        <w:rPr>
          <w:sz w:val="24"/>
          <w:szCs w:val="24"/>
        </w:rPr>
        <w:t>u</w:t>
      </w:r>
      <w:r w:rsidRPr="10DE84B5">
        <w:rPr>
          <w:sz w:val="24"/>
          <w:szCs w:val="24"/>
        </w:rPr>
        <w:t>vy</w:t>
      </w:r>
      <w:r w:rsidR="007612B5" w:rsidRPr="10DE84B5">
        <w:rPr>
          <w:sz w:val="24"/>
          <w:szCs w:val="24"/>
        </w:rPr>
        <w:t xml:space="preserve"> </w:t>
      </w:r>
      <w:r w:rsidRPr="10DE84B5">
        <w:rPr>
          <w:sz w:val="24"/>
          <w:szCs w:val="24"/>
        </w:rPr>
        <w:t xml:space="preserve">noted that page 86 of the appeal </w:t>
      </w:r>
      <w:r w:rsidR="0047165C" w:rsidRPr="10DE84B5">
        <w:rPr>
          <w:sz w:val="24"/>
          <w:szCs w:val="24"/>
        </w:rPr>
        <w:t>papers</w:t>
      </w:r>
      <w:r w:rsidR="325B575E" w:rsidRPr="10DE84B5">
        <w:rPr>
          <w:sz w:val="24"/>
          <w:szCs w:val="24"/>
        </w:rPr>
        <w:t xml:space="preserve"> (slide 10 in the public committee slides published on 6 June 2025)</w:t>
      </w:r>
      <w:r w:rsidRPr="10DE84B5">
        <w:rPr>
          <w:sz w:val="24"/>
          <w:szCs w:val="24"/>
        </w:rPr>
        <w:t xml:space="preserve"> shows specific consideration of the equalities concer</w:t>
      </w:r>
      <w:r w:rsidR="0047165C" w:rsidRPr="10DE84B5">
        <w:rPr>
          <w:sz w:val="24"/>
          <w:szCs w:val="24"/>
        </w:rPr>
        <w:t>n</w:t>
      </w:r>
      <w:r w:rsidRPr="10DE84B5">
        <w:rPr>
          <w:sz w:val="24"/>
          <w:szCs w:val="24"/>
        </w:rPr>
        <w:t>s</w:t>
      </w:r>
      <w:r w:rsidR="00267EB1" w:rsidRPr="10DE84B5">
        <w:rPr>
          <w:sz w:val="24"/>
          <w:szCs w:val="24"/>
        </w:rPr>
        <w:t xml:space="preserve"> from both Peaches Womb Cancer </w:t>
      </w:r>
      <w:r w:rsidR="00FE2562" w:rsidRPr="10DE84B5">
        <w:rPr>
          <w:sz w:val="24"/>
          <w:szCs w:val="24"/>
        </w:rPr>
        <w:t>Trust</w:t>
      </w:r>
      <w:r w:rsidR="00267EB1" w:rsidRPr="10DE84B5">
        <w:rPr>
          <w:sz w:val="24"/>
          <w:szCs w:val="24"/>
        </w:rPr>
        <w:t xml:space="preserve"> and </w:t>
      </w:r>
      <w:r w:rsidR="007612B5" w:rsidRPr="10DE84B5">
        <w:rPr>
          <w:sz w:val="24"/>
          <w:szCs w:val="24"/>
        </w:rPr>
        <w:t>AstraZeneca</w:t>
      </w:r>
      <w:r w:rsidR="00267EB1" w:rsidRPr="10DE84B5">
        <w:rPr>
          <w:sz w:val="24"/>
          <w:szCs w:val="24"/>
        </w:rPr>
        <w:t>.</w:t>
      </w:r>
    </w:p>
    <w:p w14:paraId="00F00BFC" w14:textId="27867D9D" w:rsidR="00992654" w:rsidRPr="00992654" w:rsidRDefault="00267EB1" w:rsidP="00BF6E8F">
      <w:pPr>
        <w:pStyle w:val="Paragraph"/>
      </w:pPr>
      <w:r>
        <w:rPr>
          <w:sz w:val="24"/>
          <w:szCs w:val="24"/>
        </w:rPr>
        <w:t>Adela Williams</w:t>
      </w:r>
      <w:r w:rsidR="003013EB">
        <w:rPr>
          <w:sz w:val="24"/>
          <w:szCs w:val="24"/>
        </w:rPr>
        <w:t xml:space="preserve"> s</w:t>
      </w:r>
      <w:r w:rsidR="00B540C6">
        <w:rPr>
          <w:sz w:val="24"/>
          <w:szCs w:val="24"/>
        </w:rPr>
        <w:t xml:space="preserve">tated that the duty is on NICE and they must </w:t>
      </w:r>
      <w:r w:rsidR="00D63504">
        <w:rPr>
          <w:sz w:val="24"/>
          <w:szCs w:val="24"/>
        </w:rPr>
        <w:t xml:space="preserve">discharge this duty based on the information which is available to them.  The </w:t>
      </w:r>
      <w:r w:rsidR="007612B5">
        <w:rPr>
          <w:sz w:val="24"/>
          <w:szCs w:val="24"/>
        </w:rPr>
        <w:t>c</w:t>
      </w:r>
      <w:r w:rsidR="000B4556">
        <w:rPr>
          <w:sz w:val="24"/>
          <w:szCs w:val="24"/>
        </w:rPr>
        <w:t>ommittee</w:t>
      </w:r>
      <w:r w:rsidR="00D63504">
        <w:rPr>
          <w:sz w:val="24"/>
          <w:szCs w:val="24"/>
        </w:rPr>
        <w:t xml:space="preserve"> cannot say </w:t>
      </w:r>
      <w:r w:rsidR="007612B5">
        <w:rPr>
          <w:sz w:val="24"/>
          <w:szCs w:val="24"/>
        </w:rPr>
        <w:t>AstraZeneca</w:t>
      </w:r>
      <w:r w:rsidR="00D63504">
        <w:rPr>
          <w:sz w:val="24"/>
          <w:szCs w:val="24"/>
        </w:rPr>
        <w:t xml:space="preserve"> failed to provide the data and </w:t>
      </w:r>
      <w:r w:rsidR="003B5606">
        <w:rPr>
          <w:sz w:val="24"/>
          <w:szCs w:val="24"/>
        </w:rPr>
        <w:t xml:space="preserve">they </w:t>
      </w:r>
      <w:r w:rsidR="00D63504">
        <w:rPr>
          <w:sz w:val="24"/>
          <w:szCs w:val="24"/>
        </w:rPr>
        <w:t xml:space="preserve">have a </w:t>
      </w:r>
      <w:r w:rsidR="008E6522">
        <w:rPr>
          <w:sz w:val="24"/>
          <w:szCs w:val="24"/>
        </w:rPr>
        <w:t>proactive</w:t>
      </w:r>
      <w:r w:rsidR="00D63504">
        <w:rPr>
          <w:sz w:val="24"/>
          <w:szCs w:val="24"/>
        </w:rPr>
        <w:t xml:space="preserve"> duty to go out and look for information </w:t>
      </w:r>
      <w:r w:rsidR="008E6522">
        <w:rPr>
          <w:sz w:val="24"/>
          <w:szCs w:val="24"/>
        </w:rPr>
        <w:t xml:space="preserve">and consider whether it enables the advancement of equality.  </w:t>
      </w:r>
      <w:r w:rsidR="007810BE">
        <w:rPr>
          <w:sz w:val="24"/>
          <w:szCs w:val="24"/>
        </w:rPr>
        <w:t xml:space="preserve">She noted the submission from Peaches Womb Cancer Trust which </w:t>
      </w:r>
      <w:r w:rsidR="002D06BC">
        <w:rPr>
          <w:sz w:val="24"/>
          <w:szCs w:val="24"/>
        </w:rPr>
        <w:t>refers to the fact that black ethnic groups in the UK are much more likely to die than other groups and that black women are twice as likely to die than white women.</w:t>
      </w:r>
      <w:r w:rsidR="00CB5F08">
        <w:rPr>
          <w:sz w:val="24"/>
          <w:szCs w:val="24"/>
        </w:rPr>
        <w:t xml:space="preserve">  She noted it can be difficult to recruit people of black ethnic</w:t>
      </w:r>
      <w:r w:rsidR="00181E3F">
        <w:rPr>
          <w:sz w:val="24"/>
          <w:szCs w:val="24"/>
        </w:rPr>
        <w:t>ity to</w:t>
      </w:r>
      <w:r w:rsidR="00CB5F08">
        <w:rPr>
          <w:sz w:val="24"/>
          <w:szCs w:val="24"/>
        </w:rPr>
        <w:t xml:space="preserve"> trials which may explain the low participation in the DUO-E </w:t>
      </w:r>
      <w:r w:rsidR="00181E3F">
        <w:rPr>
          <w:sz w:val="24"/>
          <w:szCs w:val="24"/>
        </w:rPr>
        <w:t>t</w:t>
      </w:r>
      <w:r w:rsidR="00CB5F08">
        <w:rPr>
          <w:sz w:val="24"/>
          <w:szCs w:val="24"/>
        </w:rPr>
        <w:t xml:space="preserve">rial.  </w:t>
      </w:r>
      <w:r w:rsidR="00181E3F">
        <w:rPr>
          <w:sz w:val="24"/>
          <w:szCs w:val="24"/>
        </w:rPr>
        <w:t>She</w:t>
      </w:r>
      <w:r w:rsidR="00CB5F08">
        <w:rPr>
          <w:sz w:val="24"/>
          <w:szCs w:val="24"/>
        </w:rPr>
        <w:t xml:space="preserve"> </w:t>
      </w:r>
      <w:r w:rsidR="00CB5F08">
        <w:rPr>
          <w:sz w:val="24"/>
          <w:szCs w:val="24"/>
        </w:rPr>
        <w:lastRenderedPageBreak/>
        <w:t>said t</w:t>
      </w:r>
      <w:r w:rsidR="001A09C2">
        <w:rPr>
          <w:sz w:val="24"/>
          <w:szCs w:val="24"/>
        </w:rPr>
        <w:t xml:space="preserve">here </w:t>
      </w:r>
      <w:r w:rsidR="00C47564">
        <w:rPr>
          <w:sz w:val="24"/>
          <w:szCs w:val="24"/>
        </w:rPr>
        <w:t xml:space="preserve">are other things the </w:t>
      </w:r>
      <w:r w:rsidR="007612B5">
        <w:rPr>
          <w:sz w:val="24"/>
          <w:szCs w:val="24"/>
        </w:rPr>
        <w:t>c</w:t>
      </w:r>
      <w:r w:rsidR="000B4556">
        <w:rPr>
          <w:sz w:val="24"/>
          <w:szCs w:val="24"/>
        </w:rPr>
        <w:t>ommittee</w:t>
      </w:r>
      <w:r w:rsidR="00C47564">
        <w:rPr>
          <w:sz w:val="24"/>
          <w:szCs w:val="24"/>
        </w:rPr>
        <w:t xml:space="preserve"> could have done, most obviously amending the ICER threshold.  </w:t>
      </w:r>
      <w:r w:rsidR="00557A0F">
        <w:rPr>
          <w:sz w:val="24"/>
          <w:szCs w:val="24"/>
        </w:rPr>
        <w:t>She referred to the Manual which specifically refers t</w:t>
      </w:r>
      <w:r w:rsidR="002B36D8">
        <w:rPr>
          <w:sz w:val="24"/>
          <w:szCs w:val="24"/>
        </w:rPr>
        <w:t>o</w:t>
      </w:r>
      <w:r w:rsidR="00557A0F">
        <w:rPr>
          <w:sz w:val="24"/>
          <w:szCs w:val="24"/>
        </w:rPr>
        <w:t xml:space="preserve"> the need to reduce health inequalities as something that should influence the threshold</w:t>
      </w:r>
      <w:r w:rsidR="00992654">
        <w:rPr>
          <w:sz w:val="24"/>
          <w:szCs w:val="24"/>
        </w:rPr>
        <w:t>.</w:t>
      </w:r>
    </w:p>
    <w:p w14:paraId="140865EB" w14:textId="45CC0F30" w:rsidR="00267EB1" w:rsidRPr="00204E57" w:rsidRDefault="00992654" w:rsidP="00BF6E8F">
      <w:pPr>
        <w:pStyle w:val="Paragraph"/>
      </w:pPr>
      <w:r>
        <w:rPr>
          <w:sz w:val="24"/>
          <w:szCs w:val="24"/>
        </w:rPr>
        <w:t>Jacoline Bo</w:t>
      </w:r>
      <w:r w:rsidR="00D022E9">
        <w:rPr>
          <w:sz w:val="24"/>
          <w:szCs w:val="24"/>
        </w:rPr>
        <w:t>u</w:t>
      </w:r>
      <w:r>
        <w:rPr>
          <w:sz w:val="24"/>
          <w:szCs w:val="24"/>
        </w:rPr>
        <w:t xml:space="preserve">vy </w:t>
      </w:r>
      <w:r w:rsidR="00760B41">
        <w:rPr>
          <w:sz w:val="24"/>
          <w:szCs w:val="24"/>
        </w:rPr>
        <w:t xml:space="preserve">stated that it is important to note that the version of the </w:t>
      </w:r>
      <w:r w:rsidR="007612B5">
        <w:rPr>
          <w:sz w:val="24"/>
          <w:szCs w:val="24"/>
        </w:rPr>
        <w:t>M</w:t>
      </w:r>
      <w:r w:rsidR="00760B41">
        <w:rPr>
          <w:sz w:val="24"/>
          <w:szCs w:val="24"/>
        </w:rPr>
        <w:t xml:space="preserve">anual </w:t>
      </w:r>
      <w:r>
        <w:rPr>
          <w:sz w:val="24"/>
          <w:szCs w:val="24"/>
        </w:rPr>
        <w:t>relevant to this appraisal</w:t>
      </w:r>
      <w:r w:rsidR="00760B41">
        <w:rPr>
          <w:sz w:val="24"/>
          <w:szCs w:val="24"/>
        </w:rPr>
        <w:t xml:space="preserve"> did not include the </w:t>
      </w:r>
      <w:r w:rsidR="00E66F7C">
        <w:rPr>
          <w:sz w:val="24"/>
          <w:szCs w:val="24"/>
        </w:rPr>
        <w:t xml:space="preserve">provision requiring the </w:t>
      </w:r>
      <w:r w:rsidR="007612B5">
        <w:rPr>
          <w:sz w:val="24"/>
          <w:szCs w:val="24"/>
        </w:rPr>
        <w:t>c</w:t>
      </w:r>
      <w:r w:rsidR="000B4556">
        <w:rPr>
          <w:sz w:val="24"/>
          <w:szCs w:val="24"/>
        </w:rPr>
        <w:t>ommittee</w:t>
      </w:r>
      <w:r w:rsidR="00E66F7C">
        <w:rPr>
          <w:sz w:val="24"/>
          <w:szCs w:val="24"/>
        </w:rPr>
        <w:t xml:space="preserve"> to have regard to inequalities when considering the threshold and that this was a recent addition.</w:t>
      </w:r>
      <w:r w:rsidR="00F67F61">
        <w:rPr>
          <w:sz w:val="24"/>
          <w:szCs w:val="24"/>
        </w:rPr>
        <w:t xml:space="preserve">  She explained </w:t>
      </w:r>
      <w:r w:rsidR="00FE2562">
        <w:rPr>
          <w:sz w:val="24"/>
          <w:szCs w:val="24"/>
        </w:rPr>
        <w:t>that</w:t>
      </w:r>
      <w:r w:rsidR="00F67F61">
        <w:rPr>
          <w:sz w:val="24"/>
          <w:szCs w:val="24"/>
        </w:rPr>
        <w:t xml:space="preserve"> the </w:t>
      </w:r>
      <w:r w:rsidR="007612B5">
        <w:rPr>
          <w:sz w:val="24"/>
          <w:szCs w:val="24"/>
        </w:rPr>
        <w:t>c</w:t>
      </w:r>
      <w:r w:rsidR="000B4556">
        <w:rPr>
          <w:sz w:val="24"/>
          <w:szCs w:val="24"/>
        </w:rPr>
        <w:t>ommittee</w:t>
      </w:r>
      <w:r w:rsidR="00F67F61">
        <w:rPr>
          <w:sz w:val="24"/>
          <w:szCs w:val="24"/>
        </w:rPr>
        <w:t xml:space="preserve"> understood what having 'due regard' means and that it actively sought ways to advance equality by </w:t>
      </w:r>
      <w:r w:rsidR="004F5F1C">
        <w:rPr>
          <w:sz w:val="24"/>
          <w:szCs w:val="24"/>
        </w:rPr>
        <w:t xml:space="preserve">going beyond the issues in front of it.  She said she appreciates that there may be reasons why </w:t>
      </w:r>
      <w:r w:rsidR="007612B5">
        <w:rPr>
          <w:sz w:val="24"/>
          <w:szCs w:val="24"/>
        </w:rPr>
        <w:t>AstraZeneca</w:t>
      </w:r>
      <w:r w:rsidR="004F5F1C">
        <w:rPr>
          <w:sz w:val="24"/>
          <w:szCs w:val="24"/>
        </w:rPr>
        <w:t xml:space="preserve"> could not provide the P53 </w:t>
      </w:r>
      <w:proofErr w:type="gramStart"/>
      <w:r w:rsidR="004F5F1C">
        <w:rPr>
          <w:sz w:val="24"/>
          <w:szCs w:val="24"/>
        </w:rPr>
        <w:t>data</w:t>
      </w:r>
      <w:proofErr w:type="gramEnd"/>
      <w:r w:rsidR="004F5F1C">
        <w:rPr>
          <w:sz w:val="24"/>
          <w:szCs w:val="24"/>
        </w:rPr>
        <w:t xml:space="preserve"> </w:t>
      </w:r>
      <w:r w:rsidR="00F1767F">
        <w:rPr>
          <w:sz w:val="24"/>
          <w:szCs w:val="24"/>
        </w:rPr>
        <w:t>but</w:t>
      </w:r>
      <w:r w:rsidR="004F5F1C">
        <w:rPr>
          <w:sz w:val="24"/>
          <w:szCs w:val="24"/>
        </w:rPr>
        <w:t xml:space="preserve"> the </w:t>
      </w:r>
      <w:r w:rsidR="007612B5">
        <w:rPr>
          <w:sz w:val="24"/>
          <w:szCs w:val="24"/>
        </w:rPr>
        <w:t>c</w:t>
      </w:r>
      <w:r w:rsidR="000B4556">
        <w:rPr>
          <w:sz w:val="24"/>
          <w:szCs w:val="24"/>
        </w:rPr>
        <w:t>ommittee</w:t>
      </w:r>
      <w:r w:rsidR="004F5F1C">
        <w:rPr>
          <w:sz w:val="24"/>
          <w:szCs w:val="24"/>
        </w:rPr>
        <w:t xml:space="preserve"> </w:t>
      </w:r>
      <w:r w:rsidR="004C518B">
        <w:rPr>
          <w:sz w:val="24"/>
          <w:szCs w:val="24"/>
        </w:rPr>
        <w:t>tried</w:t>
      </w:r>
      <w:r w:rsidR="00F13DA9">
        <w:rPr>
          <w:sz w:val="24"/>
          <w:szCs w:val="24"/>
        </w:rPr>
        <w:t xml:space="preserve"> to address the inequalities in this subgroup</w:t>
      </w:r>
      <w:r w:rsidR="00204E57">
        <w:rPr>
          <w:sz w:val="24"/>
          <w:szCs w:val="24"/>
        </w:rPr>
        <w:t>.</w:t>
      </w:r>
    </w:p>
    <w:p w14:paraId="213A91A9" w14:textId="55189D5B" w:rsidR="00204E57" w:rsidRPr="00B90421" w:rsidRDefault="00204E57" w:rsidP="00627BB2">
      <w:pPr>
        <w:pStyle w:val="Paragraph"/>
      </w:pPr>
      <w:r>
        <w:rPr>
          <w:sz w:val="24"/>
          <w:szCs w:val="24"/>
        </w:rPr>
        <w:t xml:space="preserve">Jacoline Bouvy explained that in exceptional circumstances </w:t>
      </w:r>
      <w:r w:rsidR="004A4357">
        <w:rPr>
          <w:sz w:val="24"/>
          <w:szCs w:val="24"/>
        </w:rPr>
        <w:t xml:space="preserve">NICE has adjusted the </w:t>
      </w:r>
      <w:r w:rsidR="00B40F1E">
        <w:rPr>
          <w:sz w:val="24"/>
          <w:szCs w:val="24"/>
        </w:rPr>
        <w:t>I</w:t>
      </w:r>
      <w:r w:rsidR="004A4357">
        <w:rPr>
          <w:sz w:val="24"/>
          <w:szCs w:val="24"/>
        </w:rPr>
        <w:t>CER threshold</w:t>
      </w:r>
      <w:r w:rsidR="00B40F1E">
        <w:rPr>
          <w:sz w:val="24"/>
          <w:szCs w:val="24"/>
        </w:rPr>
        <w:t xml:space="preserve"> in</w:t>
      </w:r>
      <w:r w:rsidR="002359DA">
        <w:rPr>
          <w:sz w:val="24"/>
          <w:szCs w:val="24"/>
        </w:rPr>
        <w:t xml:space="preserve"> other appraisals</w:t>
      </w:r>
      <w:r w:rsidR="004A4357">
        <w:rPr>
          <w:sz w:val="24"/>
          <w:szCs w:val="24"/>
        </w:rPr>
        <w:t xml:space="preserve"> as a way of advancing equality.  </w:t>
      </w:r>
      <w:r w:rsidR="0083354E">
        <w:rPr>
          <w:sz w:val="24"/>
          <w:szCs w:val="24"/>
        </w:rPr>
        <w:t xml:space="preserve">She recalled one appraisal for sickle cell disease </w:t>
      </w:r>
      <w:r w:rsidR="002359DA">
        <w:rPr>
          <w:sz w:val="24"/>
          <w:szCs w:val="24"/>
        </w:rPr>
        <w:t>in which the ICER threshold was adjusted</w:t>
      </w:r>
      <w:r w:rsidR="00E832E0">
        <w:rPr>
          <w:sz w:val="24"/>
          <w:szCs w:val="24"/>
        </w:rPr>
        <w:t xml:space="preserve">.  However, </w:t>
      </w:r>
      <w:r w:rsidR="0083354E">
        <w:rPr>
          <w:sz w:val="24"/>
          <w:szCs w:val="24"/>
        </w:rPr>
        <w:t xml:space="preserve">in that appraisal the evidence available </w:t>
      </w:r>
      <w:r w:rsidR="00BD7D17">
        <w:rPr>
          <w:sz w:val="24"/>
          <w:szCs w:val="24"/>
        </w:rPr>
        <w:t xml:space="preserve">to the </w:t>
      </w:r>
      <w:r w:rsidR="007612B5">
        <w:rPr>
          <w:sz w:val="24"/>
          <w:szCs w:val="24"/>
        </w:rPr>
        <w:t>c</w:t>
      </w:r>
      <w:r w:rsidR="000B4556">
        <w:rPr>
          <w:sz w:val="24"/>
          <w:szCs w:val="24"/>
        </w:rPr>
        <w:t>ommittee</w:t>
      </w:r>
      <w:r w:rsidR="00BD7D17">
        <w:rPr>
          <w:sz w:val="24"/>
          <w:szCs w:val="24"/>
        </w:rPr>
        <w:t xml:space="preserve"> was significantly different and </w:t>
      </w:r>
      <w:r w:rsidR="00627BB2">
        <w:rPr>
          <w:sz w:val="24"/>
          <w:szCs w:val="24"/>
        </w:rPr>
        <w:t>dealt</w:t>
      </w:r>
      <w:r w:rsidR="00BD7D17">
        <w:rPr>
          <w:sz w:val="24"/>
          <w:szCs w:val="24"/>
        </w:rPr>
        <w:t xml:space="preserve"> with different populations.  </w:t>
      </w:r>
      <w:r w:rsidR="00B90421">
        <w:rPr>
          <w:sz w:val="24"/>
          <w:szCs w:val="24"/>
        </w:rPr>
        <w:t>This meant there was significantly different explorations in th</w:t>
      </w:r>
      <w:r w:rsidR="00627BB2">
        <w:rPr>
          <w:sz w:val="24"/>
          <w:szCs w:val="24"/>
        </w:rPr>
        <w:t xml:space="preserve">at </w:t>
      </w:r>
      <w:r w:rsidR="00F1767F">
        <w:rPr>
          <w:sz w:val="24"/>
          <w:szCs w:val="24"/>
        </w:rPr>
        <w:t>appraisal</w:t>
      </w:r>
      <w:r w:rsidR="00B90421" w:rsidRPr="00627BB2">
        <w:rPr>
          <w:sz w:val="24"/>
          <w:szCs w:val="24"/>
        </w:rPr>
        <w:t>, including quantitative evidence to explore.</w:t>
      </w:r>
    </w:p>
    <w:p w14:paraId="5EF2C298" w14:textId="50C70B13" w:rsidR="00B90421" w:rsidRPr="007F25F0" w:rsidRDefault="00A20B67" w:rsidP="00BF6E8F">
      <w:pPr>
        <w:pStyle w:val="Paragraph"/>
      </w:pPr>
      <w:r>
        <w:rPr>
          <w:sz w:val="24"/>
          <w:szCs w:val="24"/>
        </w:rPr>
        <w:t xml:space="preserve">James Fotheringham explained that there are different stages of the appraisal where equalities information is generated.  The </w:t>
      </w:r>
      <w:r w:rsidR="007612B5">
        <w:rPr>
          <w:sz w:val="24"/>
          <w:szCs w:val="24"/>
        </w:rPr>
        <w:t>c</w:t>
      </w:r>
      <w:r w:rsidR="001321C3">
        <w:rPr>
          <w:sz w:val="24"/>
          <w:szCs w:val="24"/>
        </w:rPr>
        <w:t>ompany</w:t>
      </w:r>
      <w:r>
        <w:rPr>
          <w:sz w:val="24"/>
          <w:szCs w:val="24"/>
        </w:rPr>
        <w:t xml:space="preserve"> and other </w:t>
      </w:r>
      <w:r w:rsidR="00F1767F">
        <w:rPr>
          <w:sz w:val="24"/>
          <w:szCs w:val="24"/>
        </w:rPr>
        <w:t>stakeholders</w:t>
      </w:r>
      <w:r>
        <w:rPr>
          <w:sz w:val="24"/>
          <w:szCs w:val="24"/>
        </w:rPr>
        <w:t xml:space="preserve"> make submissions at </w:t>
      </w:r>
      <w:r w:rsidR="007C4A36">
        <w:rPr>
          <w:sz w:val="24"/>
          <w:szCs w:val="24"/>
        </w:rPr>
        <w:t xml:space="preserve">the </w:t>
      </w:r>
      <w:r>
        <w:rPr>
          <w:sz w:val="24"/>
          <w:szCs w:val="24"/>
        </w:rPr>
        <w:t>scoping</w:t>
      </w:r>
      <w:r w:rsidR="007C4A36">
        <w:rPr>
          <w:sz w:val="24"/>
          <w:szCs w:val="24"/>
        </w:rPr>
        <w:t xml:space="preserve"> stage</w:t>
      </w:r>
      <w:r>
        <w:rPr>
          <w:sz w:val="24"/>
          <w:szCs w:val="24"/>
        </w:rPr>
        <w:t xml:space="preserve">.  The </w:t>
      </w:r>
      <w:r w:rsidR="007612B5">
        <w:rPr>
          <w:sz w:val="24"/>
          <w:szCs w:val="24"/>
        </w:rPr>
        <w:t xml:space="preserve">committee </w:t>
      </w:r>
      <w:r>
        <w:rPr>
          <w:sz w:val="24"/>
          <w:szCs w:val="24"/>
        </w:rPr>
        <w:t xml:space="preserve">review this </w:t>
      </w:r>
      <w:proofErr w:type="gramStart"/>
      <w:r w:rsidR="00F1767F">
        <w:rPr>
          <w:sz w:val="24"/>
          <w:szCs w:val="24"/>
        </w:rPr>
        <w:t>information</w:t>
      </w:r>
      <w:proofErr w:type="gramEnd"/>
      <w:r>
        <w:rPr>
          <w:sz w:val="24"/>
          <w:szCs w:val="24"/>
        </w:rPr>
        <w:t xml:space="preserve"> and the tec</w:t>
      </w:r>
      <w:r w:rsidR="008427C3">
        <w:rPr>
          <w:sz w:val="24"/>
          <w:szCs w:val="24"/>
        </w:rPr>
        <w:t xml:space="preserve">hnical team create a core slide deck for consideration at the first </w:t>
      </w:r>
      <w:r w:rsidR="007612B5">
        <w:rPr>
          <w:sz w:val="24"/>
          <w:szCs w:val="24"/>
        </w:rPr>
        <w:t xml:space="preserve">committee </w:t>
      </w:r>
      <w:r w:rsidR="008427C3">
        <w:rPr>
          <w:sz w:val="24"/>
          <w:szCs w:val="24"/>
        </w:rPr>
        <w:t xml:space="preserve">meeting.  This is then considered by the stakeholders and </w:t>
      </w:r>
      <w:r w:rsidR="007612B5">
        <w:rPr>
          <w:sz w:val="24"/>
          <w:szCs w:val="24"/>
        </w:rPr>
        <w:t>c</w:t>
      </w:r>
      <w:r w:rsidR="000B4556">
        <w:rPr>
          <w:sz w:val="24"/>
          <w:szCs w:val="24"/>
        </w:rPr>
        <w:t>ommittee</w:t>
      </w:r>
      <w:r w:rsidR="008427C3">
        <w:rPr>
          <w:sz w:val="24"/>
          <w:szCs w:val="24"/>
        </w:rPr>
        <w:t xml:space="preserve"> </w:t>
      </w:r>
      <w:r w:rsidR="00360CAA">
        <w:rPr>
          <w:sz w:val="24"/>
          <w:szCs w:val="24"/>
        </w:rPr>
        <w:t xml:space="preserve">with patient and clinical experts providing a view on any unmet need areas and potential equality issues.  </w:t>
      </w:r>
      <w:r w:rsidR="00C821FB">
        <w:rPr>
          <w:sz w:val="24"/>
          <w:szCs w:val="24"/>
        </w:rPr>
        <w:t xml:space="preserve">This is generally narrative evidence but can also involve quantitative evidence.  In part 2 the </w:t>
      </w:r>
      <w:r w:rsidR="007612B5">
        <w:rPr>
          <w:sz w:val="24"/>
          <w:szCs w:val="24"/>
        </w:rPr>
        <w:t>c</w:t>
      </w:r>
      <w:r w:rsidR="000B4556">
        <w:rPr>
          <w:sz w:val="24"/>
          <w:szCs w:val="24"/>
        </w:rPr>
        <w:t>ommittee</w:t>
      </w:r>
      <w:r w:rsidR="00C821FB">
        <w:rPr>
          <w:sz w:val="24"/>
          <w:szCs w:val="24"/>
        </w:rPr>
        <w:t xml:space="preserve"> </w:t>
      </w:r>
      <w:r w:rsidR="00D022E9">
        <w:rPr>
          <w:sz w:val="24"/>
          <w:szCs w:val="24"/>
        </w:rPr>
        <w:t>decide</w:t>
      </w:r>
      <w:r w:rsidR="0054650A">
        <w:rPr>
          <w:sz w:val="24"/>
          <w:szCs w:val="24"/>
        </w:rPr>
        <w:t xml:space="preserve"> parameters and assumptions </w:t>
      </w:r>
      <w:r w:rsidR="00D022E9">
        <w:rPr>
          <w:sz w:val="24"/>
          <w:szCs w:val="24"/>
        </w:rPr>
        <w:t>including an</w:t>
      </w:r>
      <w:r w:rsidR="0054650A">
        <w:rPr>
          <w:sz w:val="24"/>
          <w:szCs w:val="24"/>
        </w:rPr>
        <w:t xml:space="preserve"> ICER threshold.  At this point </w:t>
      </w:r>
      <w:r w:rsidR="0054650A">
        <w:rPr>
          <w:sz w:val="24"/>
          <w:szCs w:val="24"/>
        </w:rPr>
        <w:lastRenderedPageBreak/>
        <w:t xml:space="preserve">the </w:t>
      </w:r>
      <w:r w:rsidR="007612B5">
        <w:rPr>
          <w:sz w:val="24"/>
          <w:szCs w:val="24"/>
        </w:rPr>
        <w:t>c</w:t>
      </w:r>
      <w:r w:rsidR="000B4556">
        <w:rPr>
          <w:sz w:val="24"/>
          <w:szCs w:val="24"/>
        </w:rPr>
        <w:t>ommittee</w:t>
      </w:r>
      <w:r w:rsidR="0054650A">
        <w:rPr>
          <w:sz w:val="24"/>
          <w:szCs w:val="24"/>
        </w:rPr>
        <w:t xml:space="preserve"> will again consider the equality impacts.  During the process the </w:t>
      </w:r>
      <w:r w:rsidR="007612B5">
        <w:rPr>
          <w:sz w:val="24"/>
          <w:szCs w:val="24"/>
        </w:rPr>
        <w:t>c</w:t>
      </w:r>
      <w:r w:rsidR="000B4556">
        <w:rPr>
          <w:sz w:val="24"/>
          <w:szCs w:val="24"/>
        </w:rPr>
        <w:t>ommittee</w:t>
      </w:r>
      <w:r w:rsidR="0054650A">
        <w:rPr>
          <w:sz w:val="24"/>
          <w:szCs w:val="24"/>
        </w:rPr>
        <w:t xml:space="preserve"> will write to </w:t>
      </w:r>
      <w:r w:rsidR="00F1767F">
        <w:rPr>
          <w:sz w:val="24"/>
          <w:szCs w:val="24"/>
        </w:rPr>
        <w:t>stakeholders</w:t>
      </w:r>
      <w:r w:rsidR="0054650A">
        <w:rPr>
          <w:sz w:val="24"/>
          <w:szCs w:val="24"/>
        </w:rPr>
        <w:t xml:space="preserve"> to confirm what they are doing and often receive additional </w:t>
      </w:r>
      <w:r w:rsidR="00F1767F">
        <w:rPr>
          <w:sz w:val="24"/>
          <w:szCs w:val="24"/>
        </w:rPr>
        <w:t>equalities</w:t>
      </w:r>
      <w:r w:rsidR="0054650A">
        <w:rPr>
          <w:sz w:val="24"/>
          <w:szCs w:val="24"/>
        </w:rPr>
        <w:t xml:space="preserve"> evidence.</w:t>
      </w:r>
      <w:r w:rsidR="007F25F0">
        <w:rPr>
          <w:sz w:val="24"/>
          <w:szCs w:val="24"/>
        </w:rPr>
        <w:t xml:space="preserve">  This will allow the </w:t>
      </w:r>
      <w:r w:rsidR="007612B5">
        <w:rPr>
          <w:sz w:val="24"/>
          <w:szCs w:val="24"/>
        </w:rPr>
        <w:t>c</w:t>
      </w:r>
      <w:r w:rsidR="000B4556">
        <w:rPr>
          <w:sz w:val="24"/>
          <w:szCs w:val="24"/>
        </w:rPr>
        <w:t>ommittee</w:t>
      </w:r>
      <w:r w:rsidR="007F25F0">
        <w:rPr>
          <w:sz w:val="24"/>
          <w:szCs w:val="24"/>
        </w:rPr>
        <w:t xml:space="preserve"> to </w:t>
      </w:r>
      <w:r w:rsidR="00DE002C">
        <w:rPr>
          <w:sz w:val="24"/>
          <w:szCs w:val="24"/>
        </w:rPr>
        <w:t>specify</w:t>
      </w:r>
      <w:r w:rsidR="007F25F0">
        <w:rPr>
          <w:sz w:val="24"/>
          <w:szCs w:val="24"/>
        </w:rPr>
        <w:t xml:space="preserve"> </w:t>
      </w:r>
      <w:proofErr w:type="gramStart"/>
      <w:r w:rsidR="007F25F0">
        <w:rPr>
          <w:sz w:val="24"/>
          <w:szCs w:val="24"/>
        </w:rPr>
        <w:t>particular analyses</w:t>
      </w:r>
      <w:proofErr w:type="gramEnd"/>
      <w:r w:rsidR="007F25F0">
        <w:rPr>
          <w:sz w:val="24"/>
          <w:szCs w:val="24"/>
        </w:rPr>
        <w:t xml:space="preserve"> which will allow it to further understand the </w:t>
      </w:r>
      <w:r w:rsidR="00F1767F">
        <w:rPr>
          <w:sz w:val="24"/>
          <w:szCs w:val="24"/>
        </w:rPr>
        <w:t>equality</w:t>
      </w:r>
      <w:r w:rsidR="007F25F0">
        <w:rPr>
          <w:sz w:val="24"/>
          <w:szCs w:val="24"/>
        </w:rPr>
        <w:t xml:space="preserve"> obligations.</w:t>
      </w:r>
    </w:p>
    <w:p w14:paraId="22201A46" w14:textId="355FFEF2" w:rsidR="00D85DB0" w:rsidRPr="00A12EF0" w:rsidRDefault="007F25F0" w:rsidP="00BF6E8F">
      <w:pPr>
        <w:pStyle w:val="Paragraph"/>
      </w:pPr>
      <w:r>
        <w:rPr>
          <w:sz w:val="24"/>
          <w:szCs w:val="24"/>
        </w:rPr>
        <w:t xml:space="preserve">Jacoline Bouvy </w:t>
      </w:r>
      <w:r w:rsidR="00F1767F">
        <w:rPr>
          <w:sz w:val="24"/>
          <w:szCs w:val="24"/>
        </w:rPr>
        <w:t>said</w:t>
      </w:r>
      <w:r>
        <w:rPr>
          <w:sz w:val="24"/>
          <w:szCs w:val="24"/>
        </w:rPr>
        <w:t xml:space="preserve"> a key component of NICE's approach</w:t>
      </w:r>
      <w:r w:rsidR="00461212">
        <w:rPr>
          <w:sz w:val="24"/>
          <w:szCs w:val="24"/>
        </w:rPr>
        <w:t xml:space="preserve"> to </w:t>
      </w:r>
      <w:r w:rsidR="001A5074">
        <w:rPr>
          <w:sz w:val="24"/>
          <w:szCs w:val="24"/>
        </w:rPr>
        <w:t>equalities</w:t>
      </w:r>
      <w:r w:rsidR="00461212">
        <w:rPr>
          <w:sz w:val="24"/>
          <w:szCs w:val="24"/>
        </w:rPr>
        <w:t xml:space="preserve"> is making </w:t>
      </w:r>
      <w:r w:rsidR="009D443A">
        <w:rPr>
          <w:sz w:val="24"/>
          <w:szCs w:val="24"/>
        </w:rPr>
        <w:t>sure</w:t>
      </w:r>
      <w:r w:rsidR="00461212">
        <w:rPr>
          <w:sz w:val="24"/>
          <w:szCs w:val="24"/>
        </w:rPr>
        <w:t xml:space="preserve"> it asks </w:t>
      </w:r>
      <w:r w:rsidR="009D443A">
        <w:rPr>
          <w:sz w:val="24"/>
          <w:szCs w:val="24"/>
        </w:rPr>
        <w:t>stakeholders</w:t>
      </w:r>
      <w:r w:rsidR="00461212">
        <w:rPr>
          <w:sz w:val="24"/>
          <w:szCs w:val="24"/>
        </w:rPr>
        <w:t xml:space="preserve"> to </w:t>
      </w:r>
      <w:r w:rsidR="00E22CDB">
        <w:rPr>
          <w:sz w:val="24"/>
          <w:szCs w:val="24"/>
        </w:rPr>
        <w:t>identify any inequalities</w:t>
      </w:r>
      <w:r w:rsidR="00461212">
        <w:rPr>
          <w:sz w:val="24"/>
          <w:szCs w:val="24"/>
        </w:rPr>
        <w:t>.</w:t>
      </w:r>
      <w:r w:rsidR="00D85DB0">
        <w:rPr>
          <w:sz w:val="24"/>
          <w:szCs w:val="24"/>
        </w:rPr>
        <w:t xml:space="preserve">  However, NICE's duty goes beyond that.  In this case although there was no </w:t>
      </w:r>
      <w:r w:rsidR="00DB05AD">
        <w:rPr>
          <w:sz w:val="24"/>
          <w:szCs w:val="24"/>
        </w:rPr>
        <w:t>explicit reference to P53 in scoping or submission</w:t>
      </w:r>
      <w:r w:rsidR="003351F8">
        <w:rPr>
          <w:sz w:val="24"/>
          <w:szCs w:val="24"/>
        </w:rPr>
        <w:t xml:space="preserve">, during the first </w:t>
      </w:r>
      <w:r w:rsidR="007612B5">
        <w:rPr>
          <w:sz w:val="24"/>
          <w:szCs w:val="24"/>
        </w:rPr>
        <w:t>c</w:t>
      </w:r>
      <w:r w:rsidR="000B4556">
        <w:rPr>
          <w:sz w:val="24"/>
          <w:szCs w:val="24"/>
        </w:rPr>
        <w:t>ommittee</w:t>
      </w:r>
      <w:r w:rsidR="003351F8">
        <w:rPr>
          <w:sz w:val="24"/>
          <w:szCs w:val="24"/>
        </w:rPr>
        <w:t xml:space="preserve"> meeting</w:t>
      </w:r>
      <w:r w:rsidR="00E22CDB">
        <w:rPr>
          <w:sz w:val="24"/>
          <w:szCs w:val="24"/>
        </w:rPr>
        <w:t xml:space="preserve"> the </w:t>
      </w:r>
      <w:r w:rsidR="003351F8">
        <w:rPr>
          <w:sz w:val="24"/>
          <w:szCs w:val="24"/>
        </w:rPr>
        <w:t>clinical expert</w:t>
      </w:r>
      <w:r w:rsidR="00DB05AD">
        <w:rPr>
          <w:sz w:val="24"/>
          <w:szCs w:val="24"/>
        </w:rPr>
        <w:t xml:space="preserve"> gave a testimony linking P53 with overexpression in </w:t>
      </w:r>
      <w:r w:rsidR="003351F8">
        <w:rPr>
          <w:sz w:val="24"/>
          <w:szCs w:val="24"/>
        </w:rPr>
        <w:t>people of black ethnicity</w:t>
      </w:r>
      <w:r w:rsidR="00224860">
        <w:rPr>
          <w:sz w:val="24"/>
          <w:szCs w:val="24"/>
        </w:rPr>
        <w:t xml:space="preserve">.  This was an important prognostic indicator in terms of both potential outcomes and the ability to benefit from </w:t>
      </w:r>
      <w:proofErr w:type="gramStart"/>
      <w:r w:rsidR="00224860">
        <w:rPr>
          <w:sz w:val="24"/>
          <w:szCs w:val="24"/>
        </w:rPr>
        <w:t>particular types</w:t>
      </w:r>
      <w:proofErr w:type="gramEnd"/>
      <w:r w:rsidR="00224860">
        <w:rPr>
          <w:sz w:val="24"/>
          <w:szCs w:val="24"/>
        </w:rPr>
        <w:t xml:space="preserve"> of treatment.  </w:t>
      </w:r>
      <w:r w:rsidR="001A5F4C">
        <w:rPr>
          <w:sz w:val="24"/>
          <w:szCs w:val="24"/>
        </w:rPr>
        <w:t xml:space="preserve">The </w:t>
      </w:r>
      <w:r w:rsidR="007612B5">
        <w:rPr>
          <w:sz w:val="24"/>
          <w:szCs w:val="24"/>
        </w:rPr>
        <w:t>c</w:t>
      </w:r>
      <w:r w:rsidR="000B4556">
        <w:rPr>
          <w:sz w:val="24"/>
          <w:szCs w:val="24"/>
        </w:rPr>
        <w:t>ommittee</w:t>
      </w:r>
      <w:r w:rsidR="001A5F4C">
        <w:rPr>
          <w:sz w:val="24"/>
          <w:szCs w:val="24"/>
        </w:rPr>
        <w:t xml:space="preserve"> </w:t>
      </w:r>
      <w:r w:rsidR="004A4B66">
        <w:rPr>
          <w:sz w:val="24"/>
          <w:szCs w:val="24"/>
        </w:rPr>
        <w:t>actively</w:t>
      </w:r>
      <w:r w:rsidR="001A5F4C">
        <w:rPr>
          <w:sz w:val="24"/>
          <w:szCs w:val="24"/>
        </w:rPr>
        <w:t xml:space="preserve"> requested additional information.  </w:t>
      </w:r>
      <w:r w:rsidR="001C55CD">
        <w:rPr>
          <w:sz w:val="24"/>
          <w:szCs w:val="24"/>
        </w:rPr>
        <w:t xml:space="preserve">This demonstrates how </w:t>
      </w:r>
      <w:r w:rsidR="001A5F4C">
        <w:rPr>
          <w:sz w:val="24"/>
          <w:szCs w:val="24"/>
        </w:rPr>
        <w:t xml:space="preserve">NICE does </w:t>
      </w:r>
      <w:r w:rsidR="00D022E9">
        <w:rPr>
          <w:sz w:val="24"/>
          <w:szCs w:val="24"/>
        </w:rPr>
        <w:t xml:space="preserve">not </w:t>
      </w:r>
      <w:r w:rsidR="001A5F4C">
        <w:rPr>
          <w:sz w:val="24"/>
          <w:szCs w:val="24"/>
        </w:rPr>
        <w:t xml:space="preserve">have to rely on the evidence presented to and </w:t>
      </w:r>
      <w:r w:rsidR="004A4B66">
        <w:rPr>
          <w:sz w:val="24"/>
          <w:szCs w:val="24"/>
        </w:rPr>
        <w:t>shared</w:t>
      </w:r>
      <w:r w:rsidR="001A5F4C">
        <w:rPr>
          <w:sz w:val="24"/>
          <w:szCs w:val="24"/>
        </w:rPr>
        <w:t xml:space="preserve"> by stakeholder but does go beyond simply asking others to </w:t>
      </w:r>
      <w:r w:rsidR="001C55CD">
        <w:rPr>
          <w:sz w:val="24"/>
          <w:szCs w:val="24"/>
        </w:rPr>
        <w:t>explain</w:t>
      </w:r>
      <w:r w:rsidR="001A5F4C">
        <w:rPr>
          <w:sz w:val="24"/>
          <w:szCs w:val="24"/>
        </w:rPr>
        <w:t xml:space="preserve"> </w:t>
      </w:r>
      <w:r w:rsidR="001A5F4C" w:rsidRPr="00A12EF0">
        <w:rPr>
          <w:sz w:val="24"/>
          <w:szCs w:val="24"/>
        </w:rPr>
        <w:t>what the issues are.</w:t>
      </w:r>
    </w:p>
    <w:p w14:paraId="449CB184" w14:textId="6AD6CA3F" w:rsidR="00B36031" w:rsidRPr="00A12EF0" w:rsidRDefault="00D022E9" w:rsidP="00BF6E8F">
      <w:pPr>
        <w:pStyle w:val="Paragraph"/>
        <w:rPr>
          <w:sz w:val="24"/>
          <w:szCs w:val="24"/>
        </w:rPr>
      </w:pPr>
      <w:r w:rsidRPr="00A12EF0">
        <w:rPr>
          <w:sz w:val="24"/>
          <w:szCs w:val="24"/>
        </w:rPr>
        <w:t xml:space="preserve">The </w:t>
      </w:r>
      <w:r w:rsidR="007612B5">
        <w:rPr>
          <w:sz w:val="24"/>
          <w:szCs w:val="24"/>
        </w:rPr>
        <w:t>a</w:t>
      </w:r>
      <w:r w:rsidR="00BE04E4">
        <w:rPr>
          <w:sz w:val="24"/>
          <w:szCs w:val="24"/>
        </w:rPr>
        <w:t>ppeal panel</w:t>
      </w:r>
      <w:r w:rsidRPr="00A12EF0">
        <w:rPr>
          <w:sz w:val="24"/>
          <w:szCs w:val="24"/>
        </w:rPr>
        <w:t xml:space="preserve"> concluded as follows.  </w:t>
      </w:r>
      <w:r w:rsidR="00B36031" w:rsidRPr="00A12EF0">
        <w:rPr>
          <w:sz w:val="24"/>
          <w:szCs w:val="24"/>
        </w:rPr>
        <w:t xml:space="preserve">The </w:t>
      </w:r>
      <w:r w:rsidR="007612B5">
        <w:rPr>
          <w:sz w:val="24"/>
          <w:szCs w:val="24"/>
        </w:rPr>
        <w:t>a</w:t>
      </w:r>
      <w:r w:rsidR="00BE04E4">
        <w:rPr>
          <w:sz w:val="24"/>
          <w:szCs w:val="24"/>
        </w:rPr>
        <w:t>ppeal panel</w:t>
      </w:r>
      <w:r w:rsidR="00B36031" w:rsidRPr="00A12EF0">
        <w:rPr>
          <w:sz w:val="24"/>
          <w:szCs w:val="24"/>
        </w:rPr>
        <w:t xml:space="preserve"> had received a legal briefing </w:t>
      </w:r>
      <w:proofErr w:type="gramStart"/>
      <w:r w:rsidR="00B36031" w:rsidRPr="00A12EF0">
        <w:rPr>
          <w:sz w:val="24"/>
          <w:szCs w:val="24"/>
        </w:rPr>
        <w:t>with regard to</w:t>
      </w:r>
      <w:proofErr w:type="gramEnd"/>
      <w:r w:rsidR="00B36031" w:rsidRPr="00A12EF0">
        <w:rPr>
          <w:sz w:val="24"/>
          <w:szCs w:val="24"/>
        </w:rPr>
        <w:t xml:space="preserve"> the PSED prior to the </w:t>
      </w:r>
      <w:r w:rsidR="002C4A51" w:rsidRPr="00A12EF0">
        <w:rPr>
          <w:sz w:val="24"/>
          <w:szCs w:val="24"/>
        </w:rPr>
        <w:t>meeting and</w:t>
      </w:r>
      <w:r w:rsidR="00EC4680" w:rsidRPr="00A12EF0">
        <w:rPr>
          <w:sz w:val="24"/>
          <w:szCs w:val="24"/>
        </w:rPr>
        <w:t xml:space="preserve"> had also received comments from </w:t>
      </w:r>
      <w:r w:rsidR="007612B5">
        <w:rPr>
          <w:sz w:val="24"/>
          <w:szCs w:val="24"/>
        </w:rPr>
        <w:t>AstraZeneca</w:t>
      </w:r>
      <w:r w:rsidR="00EC4680" w:rsidRPr="00A12EF0">
        <w:rPr>
          <w:sz w:val="24"/>
          <w:szCs w:val="24"/>
        </w:rPr>
        <w:t xml:space="preserve"> on the legal briefing</w:t>
      </w:r>
      <w:r w:rsidR="00B36031" w:rsidRPr="00A12EF0">
        <w:rPr>
          <w:sz w:val="24"/>
          <w:szCs w:val="24"/>
        </w:rPr>
        <w:t xml:space="preserve">. The </w:t>
      </w:r>
      <w:r w:rsidR="007612B5">
        <w:rPr>
          <w:sz w:val="24"/>
          <w:szCs w:val="24"/>
        </w:rPr>
        <w:t>a</w:t>
      </w:r>
      <w:r w:rsidR="00BE04E4">
        <w:rPr>
          <w:sz w:val="24"/>
          <w:szCs w:val="24"/>
        </w:rPr>
        <w:t>ppeal panel</w:t>
      </w:r>
      <w:r w:rsidR="00B36031" w:rsidRPr="00A12EF0">
        <w:rPr>
          <w:sz w:val="24"/>
          <w:szCs w:val="24"/>
        </w:rPr>
        <w:t xml:space="preserve"> </w:t>
      </w:r>
      <w:r w:rsidR="0072397E" w:rsidRPr="00A12EF0">
        <w:rPr>
          <w:sz w:val="24"/>
          <w:szCs w:val="24"/>
        </w:rPr>
        <w:t>w</w:t>
      </w:r>
      <w:r w:rsidR="002C4A51">
        <w:rPr>
          <w:sz w:val="24"/>
          <w:szCs w:val="24"/>
        </w:rPr>
        <w:t>as</w:t>
      </w:r>
      <w:r w:rsidR="0072397E" w:rsidRPr="00A12EF0">
        <w:rPr>
          <w:sz w:val="24"/>
          <w:szCs w:val="24"/>
        </w:rPr>
        <w:t xml:space="preserve"> aware </w:t>
      </w:r>
      <w:r w:rsidR="00B36031" w:rsidRPr="00A12EF0">
        <w:rPr>
          <w:sz w:val="24"/>
          <w:szCs w:val="24"/>
        </w:rPr>
        <w:t xml:space="preserve">that section 149 of the Equality Act requires NICE to have due regard to eliminating discrimination, advancing equality of opportunity and fostering good relations: the emphasis being on NICE as a public body to </w:t>
      </w:r>
      <w:r w:rsidR="00AD553D" w:rsidRPr="00A12EF0">
        <w:rPr>
          <w:sz w:val="24"/>
          <w:szCs w:val="24"/>
        </w:rPr>
        <w:t>consider taking</w:t>
      </w:r>
      <w:r w:rsidR="00B36031" w:rsidRPr="00A12EF0">
        <w:rPr>
          <w:sz w:val="24"/>
          <w:szCs w:val="24"/>
        </w:rPr>
        <w:t xml:space="preserve"> positive steps to achieve such aims.</w:t>
      </w:r>
    </w:p>
    <w:p w14:paraId="4A52F6BC" w14:textId="58EA951C" w:rsidR="00B36031" w:rsidRPr="00A12EF0" w:rsidRDefault="00B36031" w:rsidP="00BF6E8F">
      <w:pPr>
        <w:pStyle w:val="Paragraph"/>
        <w:rPr>
          <w:sz w:val="24"/>
          <w:szCs w:val="24"/>
        </w:rPr>
      </w:pPr>
      <w:r w:rsidRPr="00A12EF0">
        <w:rPr>
          <w:sz w:val="24"/>
          <w:szCs w:val="24"/>
        </w:rPr>
        <w:t xml:space="preserve">The </w:t>
      </w:r>
      <w:r w:rsidR="007612B5">
        <w:rPr>
          <w:sz w:val="24"/>
          <w:szCs w:val="24"/>
        </w:rPr>
        <w:t>a</w:t>
      </w:r>
      <w:r w:rsidR="00BE04E4">
        <w:rPr>
          <w:sz w:val="24"/>
          <w:szCs w:val="24"/>
        </w:rPr>
        <w:t>ppeal panel</w:t>
      </w:r>
      <w:r w:rsidRPr="00A12EF0">
        <w:rPr>
          <w:sz w:val="24"/>
          <w:szCs w:val="24"/>
        </w:rPr>
        <w:t xml:space="preserve"> understood that </w:t>
      </w:r>
      <w:proofErr w:type="spellStart"/>
      <w:r w:rsidRPr="00A12EF0">
        <w:rPr>
          <w:sz w:val="24"/>
          <w:szCs w:val="24"/>
        </w:rPr>
        <w:t>pMMR</w:t>
      </w:r>
      <w:proofErr w:type="spellEnd"/>
      <w:r w:rsidRPr="00A12EF0">
        <w:rPr>
          <w:sz w:val="24"/>
          <w:szCs w:val="24"/>
        </w:rPr>
        <w:t xml:space="preserve"> status in patients with endometrial cancer was a condition that was found disproportionately among people with black ethnicity as well as in those </w:t>
      </w:r>
      <w:r w:rsidR="00AD553D" w:rsidRPr="00A12EF0">
        <w:rPr>
          <w:sz w:val="24"/>
          <w:szCs w:val="24"/>
        </w:rPr>
        <w:t>with</w:t>
      </w:r>
      <w:r w:rsidRPr="00A12EF0">
        <w:rPr>
          <w:sz w:val="24"/>
          <w:szCs w:val="24"/>
        </w:rPr>
        <w:t xml:space="preserve"> obesity and lower economic status.</w:t>
      </w:r>
    </w:p>
    <w:p w14:paraId="6BD065B5" w14:textId="54A48E5E" w:rsidR="0072397E" w:rsidRPr="00A12EF0" w:rsidRDefault="0072397E" w:rsidP="00BF6E8F">
      <w:pPr>
        <w:pStyle w:val="Paragraph"/>
        <w:rPr>
          <w:sz w:val="24"/>
          <w:szCs w:val="24"/>
        </w:rPr>
      </w:pPr>
      <w:r w:rsidRPr="00A12EF0">
        <w:rPr>
          <w:sz w:val="24"/>
          <w:szCs w:val="24"/>
        </w:rPr>
        <w:t xml:space="preserve">At the hearing, the </w:t>
      </w:r>
      <w:r w:rsidR="007612B5">
        <w:rPr>
          <w:sz w:val="24"/>
          <w:szCs w:val="24"/>
        </w:rPr>
        <w:t>appeal p</w:t>
      </w:r>
      <w:r w:rsidRPr="00A12EF0">
        <w:rPr>
          <w:sz w:val="24"/>
          <w:szCs w:val="24"/>
        </w:rPr>
        <w:t xml:space="preserve">anel heard that </w:t>
      </w:r>
      <w:r w:rsidR="00B36031" w:rsidRPr="00A12EF0">
        <w:rPr>
          <w:sz w:val="24"/>
          <w:szCs w:val="24"/>
        </w:rPr>
        <w:t>NICE takes its responsibilities under the E</w:t>
      </w:r>
      <w:r w:rsidR="0059533B" w:rsidRPr="00A12EF0">
        <w:rPr>
          <w:sz w:val="24"/>
          <w:szCs w:val="24"/>
        </w:rPr>
        <w:t xml:space="preserve">quality </w:t>
      </w:r>
      <w:r w:rsidR="00B36031" w:rsidRPr="00A12EF0">
        <w:rPr>
          <w:sz w:val="24"/>
          <w:szCs w:val="24"/>
        </w:rPr>
        <w:t>A</w:t>
      </w:r>
      <w:r w:rsidR="0059533B" w:rsidRPr="00A12EF0">
        <w:rPr>
          <w:sz w:val="24"/>
          <w:szCs w:val="24"/>
        </w:rPr>
        <w:t>ct 2010</w:t>
      </w:r>
      <w:r w:rsidR="00B36031" w:rsidRPr="00A12EF0">
        <w:rPr>
          <w:sz w:val="24"/>
          <w:szCs w:val="24"/>
        </w:rPr>
        <w:t xml:space="preserve"> seriously</w:t>
      </w:r>
      <w:r w:rsidRPr="00A12EF0">
        <w:rPr>
          <w:sz w:val="24"/>
          <w:szCs w:val="24"/>
        </w:rPr>
        <w:t xml:space="preserve"> and that these </w:t>
      </w:r>
      <w:r w:rsidRPr="00A12EF0">
        <w:rPr>
          <w:sz w:val="24"/>
          <w:szCs w:val="24"/>
        </w:rPr>
        <w:lastRenderedPageBreak/>
        <w:t xml:space="preserve">are embedded throughout NICE processes (e.g. through </w:t>
      </w:r>
      <w:r w:rsidR="00B36031" w:rsidRPr="00A12EF0">
        <w:rPr>
          <w:sz w:val="24"/>
          <w:szCs w:val="24"/>
        </w:rPr>
        <w:t xml:space="preserve">identifying equality issues from an early stage, listening to patients public and stakeholders, ensuring diversity on its </w:t>
      </w:r>
      <w:r w:rsidR="00C87769">
        <w:rPr>
          <w:sz w:val="24"/>
          <w:szCs w:val="24"/>
        </w:rPr>
        <w:t>c</w:t>
      </w:r>
      <w:r w:rsidR="000B4556" w:rsidRPr="00A12EF0">
        <w:rPr>
          <w:sz w:val="24"/>
          <w:szCs w:val="24"/>
        </w:rPr>
        <w:t>ommittee</w:t>
      </w:r>
      <w:r w:rsidR="00B36031" w:rsidRPr="00A12EF0">
        <w:rPr>
          <w:sz w:val="24"/>
          <w:szCs w:val="24"/>
        </w:rPr>
        <w:t>s as well as consideration of equality issues during guidance development.</w:t>
      </w:r>
      <w:r w:rsidRPr="00A12EF0">
        <w:rPr>
          <w:sz w:val="24"/>
          <w:szCs w:val="24"/>
        </w:rPr>
        <w:t xml:space="preserve">)  It was clear that the </w:t>
      </w:r>
      <w:r w:rsidR="00E7403B">
        <w:rPr>
          <w:sz w:val="24"/>
          <w:szCs w:val="24"/>
        </w:rPr>
        <w:t>c</w:t>
      </w:r>
      <w:r w:rsidRPr="00A12EF0">
        <w:rPr>
          <w:sz w:val="24"/>
          <w:szCs w:val="24"/>
        </w:rPr>
        <w:t>ommittee understood that the Public Sector Equality Duty</w:t>
      </w:r>
      <w:r w:rsidR="00713730" w:rsidRPr="00A12EF0">
        <w:rPr>
          <w:sz w:val="24"/>
          <w:szCs w:val="24"/>
        </w:rPr>
        <w:t xml:space="preserve"> is distinct from the duty to avoid unlawful indirect </w:t>
      </w:r>
      <w:r w:rsidR="002C4A51" w:rsidRPr="00A12EF0">
        <w:rPr>
          <w:sz w:val="24"/>
          <w:szCs w:val="24"/>
        </w:rPr>
        <w:t>discrimination and</w:t>
      </w:r>
      <w:r w:rsidR="00713730" w:rsidRPr="00A12EF0">
        <w:rPr>
          <w:sz w:val="24"/>
          <w:szCs w:val="24"/>
        </w:rPr>
        <w:t xml:space="preserve"> requires it to have due regard to the </w:t>
      </w:r>
      <w:r w:rsidR="007E66F9" w:rsidRPr="00A12EF0">
        <w:rPr>
          <w:sz w:val="24"/>
          <w:szCs w:val="24"/>
        </w:rPr>
        <w:t xml:space="preserve">relevant </w:t>
      </w:r>
      <w:r w:rsidR="00713730" w:rsidRPr="00A12EF0">
        <w:rPr>
          <w:sz w:val="24"/>
          <w:szCs w:val="24"/>
        </w:rPr>
        <w:t>need</w:t>
      </w:r>
      <w:r w:rsidR="007E66F9" w:rsidRPr="00A12EF0">
        <w:rPr>
          <w:sz w:val="24"/>
          <w:szCs w:val="24"/>
        </w:rPr>
        <w:t>s</w:t>
      </w:r>
      <w:r w:rsidR="00713730" w:rsidRPr="00A12EF0">
        <w:rPr>
          <w:sz w:val="24"/>
          <w:szCs w:val="24"/>
        </w:rPr>
        <w:t xml:space="preserve"> to eliminate discrimination and advance equality of opportunity. </w:t>
      </w:r>
    </w:p>
    <w:p w14:paraId="34DAC1AC" w14:textId="68A00654" w:rsidR="00713730" w:rsidRPr="00A12EF0" w:rsidRDefault="00713730" w:rsidP="00BF6E8F">
      <w:pPr>
        <w:pStyle w:val="Paragraph"/>
        <w:rPr>
          <w:sz w:val="24"/>
          <w:szCs w:val="24"/>
        </w:rPr>
      </w:pPr>
      <w:r w:rsidRPr="00A12EF0">
        <w:rPr>
          <w:sz w:val="24"/>
          <w:szCs w:val="24"/>
        </w:rPr>
        <w:t xml:space="preserve">The </w:t>
      </w:r>
      <w:r w:rsidR="00C87769">
        <w:rPr>
          <w:sz w:val="24"/>
          <w:szCs w:val="24"/>
        </w:rPr>
        <w:t>appeal p</w:t>
      </w:r>
      <w:r w:rsidRPr="00A12EF0">
        <w:rPr>
          <w:sz w:val="24"/>
          <w:szCs w:val="24"/>
        </w:rPr>
        <w:t>anel noted that this issue was addressed specifically in the EIA published alongside the draft guidance</w:t>
      </w:r>
      <w:r w:rsidR="00AD553D" w:rsidRPr="00A12EF0">
        <w:rPr>
          <w:sz w:val="24"/>
          <w:szCs w:val="24"/>
        </w:rPr>
        <w:t>.</w:t>
      </w:r>
      <w:r w:rsidRPr="00A12EF0">
        <w:rPr>
          <w:sz w:val="24"/>
          <w:szCs w:val="24"/>
        </w:rPr>
        <w:t xml:space="preserve"> (</w:t>
      </w:r>
      <w:r w:rsidR="00AD553D" w:rsidRPr="00A12EF0">
        <w:rPr>
          <w:sz w:val="24"/>
          <w:szCs w:val="24"/>
        </w:rPr>
        <w:t>T</w:t>
      </w:r>
      <w:r w:rsidRPr="00A12EF0">
        <w:rPr>
          <w:sz w:val="24"/>
          <w:szCs w:val="24"/>
        </w:rPr>
        <w:t xml:space="preserve">he question "Are there any recommendations or explanations that the committee could make to remove or alleviate barriers to, or difficulties with, access identified in questions 4 or 5, or otherwise fulfil NICE’s obligations to promote equality?"  is answered “No”.)  The </w:t>
      </w:r>
      <w:r w:rsidR="00C87769">
        <w:rPr>
          <w:sz w:val="24"/>
          <w:szCs w:val="24"/>
        </w:rPr>
        <w:t>appeal p</w:t>
      </w:r>
      <w:r w:rsidRPr="00A12EF0">
        <w:rPr>
          <w:sz w:val="24"/>
          <w:szCs w:val="24"/>
        </w:rPr>
        <w:t xml:space="preserve">anel agreed that a more detailed answer to explain the </w:t>
      </w:r>
      <w:r w:rsidR="00C87769">
        <w:rPr>
          <w:sz w:val="24"/>
          <w:szCs w:val="24"/>
        </w:rPr>
        <w:t>c</w:t>
      </w:r>
      <w:r w:rsidRPr="00A12EF0">
        <w:rPr>
          <w:sz w:val="24"/>
          <w:szCs w:val="24"/>
        </w:rPr>
        <w:t xml:space="preserve">ommittee’s reasoning on this point would have been </w:t>
      </w:r>
      <w:r w:rsidR="002C4A51" w:rsidRPr="00A12EF0">
        <w:rPr>
          <w:sz w:val="24"/>
          <w:szCs w:val="24"/>
        </w:rPr>
        <w:t>helpful but</w:t>
      </w:r>
      <w:r w:rsidRPr="00A12EF0">
        <w:rPr>
          <w:sz w:val="24"/>
          <w:szCs w:val="24"/>
        </w:rPr>
        <w:t xml:space="preserve"> nevertheless judged that this provided evidence that the question had been considered.  </w:t>
      </w:r>
    </w:p>
    <w:p w14:paraId="4744B322" w14:textId="61D80352" w:rsidR="00B36031" w:rsidRPr="00A12EF0" w:rsidRDefault="00713730" w:rsidP="00BF6E8F">
      <w:pPr>
        <w:pStyle w:val="Paragraph"/>
        <w:rPr>
          <w:sz w:val="24"/>
          <w:szCs w:val="24"/>
        </w:rPr>
      </w:pPr>
      <w:r w:rsidRPr="00A12EF0">
        <w:rPr>
          <w:sz w:val="24"/>
          <w:szCs w:val="24"/>
        </w:rPr>
        <w:t>In addition, t</w:t>
      </w:r>
      <w:r w:rsidR="0072397E" w:rsidRPr="00A12EF0">
        <w:rPr>
          <w:sz w:val="24"/>
          <w:szCs w:val="24"/>
        </w:rPr>
        <w:t xml:space="preserve">he </w:t>
      </w:r>
      <w:r w:rsidR="00C87769">
        <w:rPr>
          <w:sz w:val="24"/>
          <w:szCs w:val="24"/>
        </w:rPr>
        <w:t>appeal p</w:t>
      </w:r>
      <w:r w:rsidR="0072397E" w:rsidRPr="00A12EF0">
        <w:rPr>
          <w:sz w:val="24"/>
          <w:szCs w:val="24"/>
        </w:rPr>
        <w:t xml:space="preserve">anel noted that the </w:t>
      </w:r>
      <w:r w:rsidR="00C87769">
        <w:rPr>
          <w:sz w:val="24"/>
          <w:szCs w:val="24"/>
        </w:rPr>
        <w:t>c</w:t>
      </w:r>
      <w:r w:rsidR="0072397E" w:rsidRPr="00A12EF0">
        <w:rPr>
          <w:sz w:val="24"/>
          <w:szCs w:val="24"/>
        </w:rPr>
        <w:t xml:space="preserve">ommittee </w:t>
      </w:r>
      <w:r w:rsidR="00B36031" w:rsidRPr="00A12EF0">
        <w:rPr>
          <w:sz w:val="24"/>
          <w:szCs w:val="24"/>
        </w:rPr>
        <w:t xml:space="preserve">had </w:t>
      </w:r>
      <w:r w:rsidRPr="00A12EF0">
        <w:rPr>
          <w:sz w:val="24"/>
          <w:szCs w:val="24"/>
        </w:rPr>
        <w:t xml:space="preserve">proactively asked for additional evidence that might support making a recommendation for patients with </w:t>
      </w:r>
      <w:r w:rsidR="00B36031" w:rsidRPr="00A12EF0">
        <w:rPr>
          <w:sz w:val="24"/>
          <w:szCs w:val="24"/>
        </w:rPr>
        <w:t xml:space="preserve">the </w:t>
      </w:r>
      <w:r w:rsidR="0059533B" w:rsidRPr="00A12EF0">
        <w:rPr>
          <w:sz w:val="24"/>
          <w:szCs w:val="24"/>
        </w:rPr>
        <w:t>P</w:t>
      </w:r>
      <w:r w:rsidR="00B36031" w:rsidRPr="00A12EF0">
        <w:rPr>
          <w:sz w:val="24"/>
          <w:szCs w:val="24"/>
        </w:rPr>
        <w:t xml:space="preserve">53 mutation </w:t>
      </w:r>
      <w:r w:rsidRPr="00A12EF0">
        <w:rPr>
          <w:sz w:val="24"/>
          <w:szCs w:val="24"/>
        </w:rPr>
        <w:t>(</w:t>
      </w:r>
      <w:r w:rsidR="00B36031" w:rsidRPr="00A12EF0">
        <w:rPr>
          <w:sz w:val="24"/>
          <w:szCs w:val="24"/>
        </w:rPr>
        <w:t>a variant that is more common in black ethnic populations</w:t>
      </w:r>
      <w:r w:rsidRPr="00A12EF0">
        <w:rPr>
          <w:sz w:val="24"/>
          <w:szCs w:val="24"/>
        </w:rPr>
        <w:t>).</w:t>
      </w:r>
      <w:r w:rsidR="00B36031" w:rsidRPr="00A12EF0">
        <w:rPr>
          <w:sz w:val="24"/>
          <w:szCs w:val="24"/>
        </w:rPr>
        <w:t xml:space="preserve"> </w:t>
      </w:r>
    </w:p>
    <w:p w14:paraId="3198FC6A" w14:textId="5A77B544" w:rsidR="00B36031" w:rsidRPr="00A12EF0" w:rsidRDefault="00713730" w:rsidP="00713730">
      <w:pPr>
        <w:pStyle w:val="Paragraph"/>
        <w:rPr>
          <w:sz w:val="24"/>
          <w:szCs w:val="24"/>
        </w:rPr>
      </w:pPr>
      <w:r w:rsidRPr="00A12EF0">
        <w:rPr>
          <w:sz w:val="24"/>
          <w:szCs w:val="24"/>
        </w:rPr>
        <w:t xml:space="preserve">The </w:t>
      </w:r>
      <w:r w:rsidR="00C87769">
        <w:rPr>
          <w:sz w:val="24"/>
          <w:szCs w:val="24"/>
        </w:rPr>
        <w:t>a</w:t>
      </w:r>
      <w:r w:rsidR="00BE04E4">
        <w:rPr>
          <w:sz w:val="24"/>
          <w:szCs w:val="24"/>
        </w:rPr>
        <w:t>ppeal panel</w:t>
      </w:r>
      <w:r w:rsidRPr="00A12EF0">
        <w:rPr>
          <w:sz w:val="24"/>
          <w:szCs w:val="24"/>
        </w:rPr>
        <w:t xml:space="preserve"> also noted</w:t>
      </w:r>
      <w:r w:rsidR="00AD553D" w:rsidRPr="00A12EF0">
        <w:rPr>
          <w:sz w:val="24"/>
          <w:szCs w:val="24"/>
        </w:rPr>
        <w:t xml:space="preserve"> that the </w:t>
      </w:r>
      <w:r w:rsidR="00C87769">
        <w:rPr>
          <w:sz w:val="24"/>
          <w:szCs w:val="24"/>
        </w:rPr>
        <w:t>c</w:t>
      </w:r>
      <w:r w:rsidR="00AD553D" w:rsidRPr="00A12EF0">
        <w:rPr>
          <w:sz w:val="24"/>
          <w:szCs w:val="24"/>
        </w:rPr>
        <w:t xml:space="preserve">ommittee decision making slide from the second </w:t>
      </w:r>
      <w:r w:rsidR="00C87769">
        <w:rPr>
          <w:sz w:val="24"/>
          <w:szCs w:val="24"/>
        </w:rPr>
        <w:t>c</w:t>
      </w:r>
      <w:r w:rsidR="00AD553D" w:rsidRPr="00A12EF0">
        <w:rPr>
          <w:sz w:val="24"/>
          <w:szCs w:val="24"/>
        </w:rPr>
        <w:t xml:space="preserve">ommittee meeting (Part 2, slide 2) poses the question “Accounting for the consultation responses on equalities, uncertainties, and uncaptured benefits, what is the committee’s preferred cost-effectiveness threshold?”.  </w:t>
      </w:r>
      <w:r w:rsidR="00B36031" w:rsidRPr="00A12EF0">
        <w:rPr>
          <w:sz w:val="24"/>
          <w:szCs w:val="24"/>
        </w:rPr>
        <w:t xml:space="preserve">The </w:t>
      </w:r>
      <w:r w:rsidR="00022745">
        <w:rPr>
          <w:sz w:val="24"/>
          <w:szCs w:val="24"/>
        </w:rPr>
        <w:t>appeal p</w:t>
      </w:r>
      <w:r w:rsidR="000B4556" w:rsidRPr="00A12EF0">
        <w:rPr>
          <w:sz w:val="24"/>
          <w:szCs w:val="24"/>
        </w:rPr>
        <w:t>anel</w:t>
      </w:r>
      <w:r w:rsidR="00B36031" w:rsidRPr="00A12EF0">
        <w:rPr>
          <w:sz w:val="24"/>
          <w:szCs w:val="24"/>
        </w:rPr>
        <w:t xml:space="preserve"> </w:t>
      </w:r>
      <w:r w:rsidR="00AD553D" w:rsidRPr="00A12EF0">
        <w:rPr>
          <w:sz w:val="24"/>
          <w:szCs w:val="24"/>
        </w:rPr>
        <w:t xml:space="preserve">therefore judged that the </w:t>
      </w:r>
      <w:r w:rsidR="00022745">
        <w:rPr>
          <w:sz w:val="24"/>
          <w:szCs w:val="24"/>
        </w:rPr>
        <w:t>c</w:t>
      </w:r>
      <w:r w:rsidR="00AD553D" w:rsidRPr="00A12EF0">
        <w:rPr>
          <w:sz w:val="24"/>
          <w:szCs w:val="24"/>
        </w:rPr>
        <w:t xml:space="preserve">ommittee had considered whether to modify the ICER </w:t>
      </w:r>
      <w:r w:rsidR="00F94FE3" w:rsidRPr="00A12EF0">
        <w:rPr>
          <w:sz w:val="24"/>
          <w:szCs w:val="24"/>
        </w:rPr>
        <w:t>threshold</w:t>
      </w:r>
      <w:r w:rsidR="00AD553D" w:rsidRPr="00A12EF0">
        <w:rPr>
          <w:sz w:val="24"/>
          <w:szCs w:val="24"/>
        </w:rPr>
        <w:t xml:space="preserve"> to address equality concerns (even though this was not explicitly required </w:t>
      </w:r>
      <w:r w:rsidR="00F94FE3" w:rsidRPr="00A12EF0">
        <w:rPr>
          <w:sz w:val="24"/>
          <w:szCs w:val="24"/>
        </w:rPr>
        <w:t>by the</w:t>
      </w:r>
      <w:r w:rsidR="00B36031" w:rsidRPr="00A12EF0">
        <w:rPr>
          <w:sz w:val="24"/>
          <w:szCs w:val="24"/>
        </w:rPr>
        <w:t xml:space="preserve"> version of the </w:t>
      </w:r>
      <w:r w:rsidR="00022745">
        <w:rPr>
          <w:sz w:val="24"/>
          <w:szCs w:val="24"/>
        </w:rPr>
        <w:t>M</w:t>
      </w:r>
      <w:r w:rsidR="00B36031" w:rsidRPr="00A12EF0">
        <w:rPr>
          <w:sz w:val="24"/>
          <w:szCs w:val="24"/>
        </w:rPr>
        <w:t>anual governing this appraisal</w:t>
      </w:r>
      <w:r w:rsidR="00AD553D" w:rsidRPr="00A12EF0">
        <w:rPr>
          <w:sz w:val="24"/>
          <w:szCs w:val="24"/>
        </w:rPr>
        <w:t>).</w:t>
      </w:r>
    </w:p>
    <w:p w14:paraId="551838E9" w14:textId="06C21415" w:rsidR="00AD553D" w:rsidRPr="00A12EF0" w:rsidRDefault="00AD553D" w:rsidP="00AD553D">
      <w:pPr>
        <w:pStyle w:val="Paragraph"/>
        <w:rPr>
          <w:sz w:val="24"/>
          <w:szCs w:val="24"/>
        </w:rPr>
      </w:pPr>
      <w:r w:rsidRPr="00A12EF0">
        <w:rPr>
          <w:sz w:val="24"/>
          <w:szCs w:val="24"/>
        </w:rPr>
        <w:t xml:space="preserve">Overall, the </w:t>
      </w:r>
      <w:r w:rsidR="00022745">
        <w:rPr>
          <w:sz w:val="24"/>
          <w:szCs w:val="24"/>
        </w:rPr>
        <w:t>a</w:t>
      </w:r>
      <w:r w:rsidR="00BE04E4">
        <w:rPr>
          <w:sz w:val="24"/>
          <w:szCs w:val="24"/>
        </w:rPr>
        <w:t>ppeal panel</w:t>
      </w:r>
      <w:r w:rsidRPr="00A12EF0">
        <w:rPr>
          <w:sz w:val="24"/>
          <w:szCs w:val="24"/>
        </w:rPr>
        <w:t xml:space="preserve"> w</w:t>
      </w:r>
      <w:r w:rsidR="00025D8B">
        <w:rPr>
          <w:sz w:val="24"/>
          <w:szCs w:val="24"/>
        </w:rPr>
        <w:t>as</w:t>
      </w:r>
      <w:r w:rsidRPr="00A12EF0">
        <w:rPr>
          <w:sz w:val="24"/>
          <w:szCs w:val="24"/>
        </w:rPr>
        <w:t xml:space="preserve"> satisfied that the approach taken by the </w:t>
      </w:r>
      <w:r w:rsidR="00022745">
        <w:rPr>
          <w:sz w:val="24"/>
          <w:szCs w:val="24"/>
        </w:rPr>
        <w:t>c</w:t>
      </w:r>
      <w:r w:rsidRPr="00A12EF0">
        <w:rPr>
          <w:sz w:val="24"/>
          <w:szCs w:val="24"/>
        </w:rPr>
        <w:t xml:space="preserve">ommittee demonstrated that they had due regard to the needs to </w:t>
      </w:r>
      <w:r w:rsidRPr="00A12EF0">
        <w:rPr>
          <w:sz w:val="24"/>
          <w:szCs w:val="24"/>
        </w:rPr>
        <w:lastRenderedPageBreak/>
        <w:t xml:space="preserve">advance equality of opportunity and eliminate discrimination in the circumstances of this </w:t>
      </w:r>
      <w:r w:rsidR="002C4A51" w:rsidRPr="00A12EF0">
        <w:rPr>
          <w:sz w:val="24"/>
          <w:szCs w:val="24"/>
        </w:rPr>
        <w:t>appraisal.</w:t>
      </w:r>
    </w:p>
    <w:p w14:paraId="1D4C2AA6" w14:textId="79AB9AE2" w:rsidR="00BF6E8F" w:rsidRPr="00A12EF0" w:rsidRDefault="00BF6E8F" w:rsidP="00BF6E8F">
      <w:pPr>
        <w:pStyle w:val="Paragraph"/>
        <w:rPr>
          <w:sz w:val="24"/>
          <w:szCs w:val="24"/>
        </w:rPr>
      </w:pPr>
      <w:r w:rsidRPr="00A12EF0">
        <w:rPr>
          <w:sz w:val="24"/>
          <w:szCs w:val="24"/>
        </w:rPr>
        <w:t xml:space="preserve">The </w:t>
      </w:r>
      <w:r w:rsidR="00022745">
        <w:rPr>
          <w:sz w:val="24"/>
          <w:szCs w:val="24"/>
        </w:rPr>
        <w:t>a</w:t>
      </w:r>
      <w:r w:rsidR="00BE04E4">
        <w:rPr>
          <w:sz w:val="24"/>
          <w:szCs w:val="24"/>
        </w:rPr>
        <w:t>ppeal panel</w:t>
      </w:r>
      <w:r w:rsidRPr="00A12EF0">
        <w:rPr>
          <w:sz w:val="24"/>
          <w:szCs w:val="24"/>
        </w:rPr>
        <w:t xml:space="preserve"> therefore dismissed the appeal on this point.</w:t>
      </w:r>
    </w:p>
    <w:p w14:paraId="0E0CDA48" w14:textId="145D698B" w:rsidR="00CC79EF" w:rsidRPr="00EE04EE" w:rsidRDefault="00CC79EF" w:rsidP="000A42BB">
      <w:pPr>
        <w:pStyle w:val="Heading3"/>
        <w:spacing w:line="360" w:lineRule="auto"/>
        <w:rPr>
          <w:i/>
          <w:iCs/>
          <w:sz w:val="28"/>
          <w:szCs w:val="28"/>
        </w:rPr>
      </w:pPr>
      <w:r w:rsidRPr="00EE04EE">
        <w:rPr>
          <w:i/>
          <w:iCs/>
          <w:sz w:val="28"/>
          <w:szCs w:val="28"/>
        </w:rPr>
        <w:t>Appeal Ground 2: The recommendation is unreasonable in the light of the evidence submitted to NICE</w:t>
      </w:r>
    </w:p>
    <w:p w14:paraId="1E1EA392" w14:textId="4C467B2C" w:rsidR="00CC79EF" w:rsidRDefault="00CC79EF" w:rsidP="004C6B30">
      <w:pPr>
        <w:pStyle w:val="Heading3"/>
        <w:spacing w:line="360" w:lineRule="auto"/>
      </w:pPr>
      <w:r w:rsidRPr="00B93E19">
        <w:t xml:space="preserve">Appeal </w:t>
      </w:r>
      <w:proofErr w:type="gramStart"/>
      <w:r w:rsidRPr="00D3130C">
        <w:t>point</w:t>
      </w:r>
      <w:proofErr w:type="gramEnd"/>
      <w:r w:rsidRPr="00D3130C">
        <w:t xml:space="preserve"> 2.1: </w:t>
      </w:r>
      <w:r w:rsidR="004C6B30">
        <w:t xml:space="preserve">The Committee’s conclusions regarding the proportion of people with </w:t>
      </w:r>
      <w:proofErr w:type="spellStart"/>
      <w:r w:rsidR="004C6B30">
        <w:t>pMMR</w:t>
      </w:r>
      <w:proofErr w:type="spellEnd"/>
      <w:r w:rsidR="004C6B30">
        <w:t xml:space="preserve"> endometrial cancer on durvalumab who commence treatment with </w:t>
      </w:r>
      <w:proofErr w:type="spellStart"/>
      <w:r w:rsidR="004C6B30">
        <w:t>olaparib</w:t>
      </w:r>
      <w:proofErr w:type="spellEnd"/>
      <w:r w:rsidR="004C6B30">
        <w:t xml:space="preserve"> do not reflect the SmPC or the DUO-E clinical trial</w:t>
      </w:r>
    </w:p>
    <w:p w14:paraId="1875E059" w14:textId="70A7AA49" w:rsidR="00356790" w:rsidRPr="00E96647" w:rsidRDefault="00356790" w:rsidP="00356790">
      <w:pPr>
        <w:pStyle w:val="Paragraph"/>
      </w:pPr>
      <w:r>
        <w:rPr>
          <w:sz w:val="24"/>
          <w:szCs w:val="24"/>
        </w:rPr>
        <w:t xml:space="preserve">David Harland, for </w:t>
      </w:r>
      <w:r w:rsidR="00022745">
        <w:rPr>
          <w:sz w:val="24"/>
          <w:szCs w:val="24"/>
        </w:rPr>
        <w:t>AstraZeneca</w:t>
      </w:r>
      <w:r>
        <w:rPr>
          <w:sz w:val="24"/>
          <w:szCs w:val="24"/>
        </w:rPr>
        <w:t>, explained that the Cancer Drug Fund Lead's email stated that under the M</w:t>
      </w:r>
      <w:r w:rsidR="008A20E7">
        <w:rPr>
          <w:sz w:val="24"/>
          <w:szCs w:val="24"/>
        </w:rPr>
        <w:t xml:space="preserve">arketing Authorisation </w:t>
      </w:r>
      <w:r>
        <w:rPr>
          <w:sz w:val="24"/>
          <w:szCs w:val="24"/>
        </w:rPr>
        <w:t xml:space="preserve">patients must start both durvalumab and </w:t>
      </w:r>
      <w:proofErr w:type="spellStart"/>
      <w:r>
        <w:rPr>
          <w:sz w:val="24"/>
          <w:szCs w:val="24"/>
        </w:rPr>
        <w:t>olaparib</w:t>
      </w:r>
      <w:proofErr w:type="spellEnd"/>
      <w:r w:rsidR="008A20E7">
        <w:rPr>
          <w:sz w:val="24"/>
          <w:szCs w:val="24"/>
        </w:rPr>
        <w:t xml:space="preserve"> and</w:t>
      </w:r>
      <w:r>
        <w:rPr>
          <w:sz w:val="24"/>
          <w:szCs w:val="24"/>
        </w:rPr>
        <w:t xml:space="preserve"> they cannot start maintenance with one and not the other.  However, the S</w:t>
      </w:r>
      <w:r w:rsidR="004B69AF">
        <w:rPr>
          <w:sz w:val="24"/>
          <w:szCs w:val="24"/>
        </w:rPr>
        <w:t>m</w:t>
      </w:r>
      <w:r>
        <w:rPr>
          <w:sz w:val="24"/>
          <w:szCs w:val="24"/>
        </w:rPr>
        <w:t xml:space="preserve">PC for </w:t>
      </w:r>
      <w:proofErr w:type="spellStart"/>
      <w:r>
        <w:rPr>
          <w:sz w:val="24"/>
          <w:szCs w:val="24"/>
        </w:rPr>
        <w:t>olaparib</w:t>
      </w:r>
      <w:proofErr w:type="spellEnd"/>
      <w:r>
        <w:rPr>
          <w:sz w:val="24"/>
          <w:szCs w:val="24"/>
        </w:rPr>
        <w:t xml:space="preserve"> states that </w:t>
      </w:r>
      <w:proofErr w:type="spellStart"/>
      <w:r>
        <w:rPr>
          <w:sz w:val="24"/>
          <w:szCs w:val="24"/>
        </w:rPr>
        <w:t>olaparib</w:t>
      </w:r>
      <w:proofErr w:type="spellEnd"/>
      <w:r>
        <w:rPr>
          <w:sz w:val="24"/>
          <w:szCs w:val="24"/>
        </w:rPr>
        <w:t xml:space="preserve"> should not be sta</w:t>
      </w:r>
      <w:r w:rsidR="008A20E7">
        <w:rPr>
          <w:sz w:val="24"/>
          <w:szCs w:val="24"/>
        </w:rPr>
        <w:t>r</w:t>
      </w:r>
      <w:r>
        <w:rPr>
          <w:sz w:val="24"/>
          <w:szCs w:val="24"/>
        </w:rPr>
        <w:t>ted until the patient is recovered from haematological toxicity caused by previous cancer treatment.  Therefore</w:t>
      </w:r>
      <w:r w:rsidR="00025D8B">
        <w:rPr>
          <w:sz w:val="24"/>
          <w:szCs w:val="24"/>
        </w:rPr>
        <w:t>,</w:t>
      </w:r>
      <w:r>
        <w:rPr>
          <w:sz w:val="24"/>
          <w:szCs w:val="24"/>
        </w:rPr>
        <w:t xml:space="preserve"> the patient would not </w:t>
      </w:r>
      <w:r w:rsidR="0011757D">
        <w:rPr>
          <w:sz w:val="24"/>
          <w:szCs w:val="24"/>
        </w:rPr>
        <w:t>commence</w:t>
      </w:r>
      <w:r>
        <w:rPr>
          <w:sz w:val="24"/>
          <w:szCs w:val="24"/>
        </w:rPr>
        <w:t xml:space="preserve"> </w:t>
      </w:r>
      <w:proofErr w:type="spellStart"/>
      <w:r>
        <w:rPr>
          <w:sz w:val="24"/>
          <w:szCs w:val="24"/>
        </w:rPr>
        <w:t>olaparib</w:t>
      </w:r>
      <w:proofErr w:type="spellEnd"/>
      <w:r>
        <w:rPr>
          <w:sz w:val="24"/>
          <w:szCs w:val="24"/>
        </w:rPr>
        <w:t xml:space="preserve"> at the start of the maintenance phase.  He explained that table 2 of the durvalumab S</w:t>
      </w:r>
      <w:r w:rsidR="004B69AF">
        <w:rPr>
          <w:sz w:val="24"/>
          <w:szCs w:val="24"/>
        </w:rPr>
        <w:t>m</w:t>
      </w:r>
      <w:r>
        <w:rPr>
          <w:sz w:val="24"/>
          <w:szCs w:val="24"/>
        </w:rPr>
        <w:t>PC does not provide a specific reason to discontinue</w:t>
      </w:r>
      <w:r w:rsidR="004F4620">
        <w:rPr>
          <w:sz w:val="24"/>
          <w:szCs w:val="24"/>
        </w:rPr>
        <w:t>. He also explained that the S</w:t>
      </w:r>
      <w:r w:rsidR="004B69AF">
        <w:rPr>
          <w:sz w:val="24"/>
          <w:szCs w:val="24"/>
        </w:rPr>
        <w:t>m</w:t>
      </w:r>
      <w:r w:rsidR="004F4620">
        <w:rPr>
          <w:sz w:val="24"/>
          <w:szCs w:val="24"/>
        </w:rPr>
        <w:t xml:space="preserve">PC considers </w:t>
      </w:r>
      <w:r>
        <w:rPr>
          <w:sz w:val="24"/>
          <w:szCs w:val="24"/>
        </w:rPr>
        <w:t>there is 40% risk of haematological t</w:t>
      </w:r>
      <w:r w:rsidR="004F4620">
        <w:rPr>
          <w:sz w:val="24"/>
          <w:szCs w:val="24"/>
        </w:rPr>
        <w:t xml:space="preserve">oxicity </w:t>
      </w:r>
      <w:r>
        <w:rPr>
          <w:sz w:val="24"/>
          <w:szCs w:val="24"/>
        </w:rPr>
        <w:t xml:space="preserve">which can be assumed would result in the pausing of </w:t>
      </w:r>
      <w:proofErr w:type="spellStart"/>
      <w:r>
        <w:rPr>
          <w:sz w:val="24"/>
          <w:szCs w:val="24"/>
        </w:rPr>
        <w:t>olaparib</w:t>
      </w:r>
      <w:proofErr w:type="spellEnd"/>
      <w:r>
        <w:rPr>
          <w:sz w:val="24"/>
          <w:szCs w:val="24"/>
        </w:rPr>
        <w:t xml:space="preserve"> but continuation of durvalumab.  This is reflected in the design of the DUO-E trial.  In DUO-E</w:t>
      </w:r>
      <w:r w:rsidR="002836B9">
        <w:rPr>
          <w:sz w:val="24"/>
          <w:szCs w:val="24"/>
        </w:rPr>
        <w:t>,</w:t>
      </w:r>
      <w:r>
        <w:rPr>
          <w:sz w:val="24"/>
          <w:szCs w:val="24"/>
        </w:rPr>
        <w:t xml:space="preserve"> patients who are unable to start </w:t>
      </w:r>
      <w:proofErr w:type="spellStart"/>
      <w:r>
        <w:rPr>
          <w:sz w:val="24"/>
          <w:szCs w:val="24"/>
        </w:rPr>
        <w:t>olaparib</w:t>
      </w:r>
      <w:proofErr w:type="spellEnd"/>
      <w:r>
        <w:rPr>
          <w:sz w:val="24"/>
          <w:szCs w:val="24"/>
        </w:rPr>
        <w:t xml:space="preserve"> within 9 weeks continue to receive durvalumab at the licenced dose until the </w:t>
      </w:r>
      <w:proofErr w:type="spellStart"/>
      <w:r>
        <w:rPr>
          <w:sz w:val="24"/>
          <w:szCs w:val="24"/>
        </w:rPr>
        <w:t>olaparib</w:t>
      </w:r>
      <w:proofErr w:type="spellEnd"/>
      <w:r>
        <w:rPr>
          <w:sz w:val="24"/>
          <w:szCs w:val="24"/>
        </w:rPr>
        <w:t xml:space="preserve"> criteria are met.  Whilst it is always the intention to start durvalumab and </w:t>
      </w:r>
      <w:proofErr w:type="spellStart"/>
      <w:r>
        <w:rPr>
          <w:sz w:val="24"/>
          <w:szCs w:val="24"/>
        </w:rPr>
        <w:t>olaparib</w:t>
      </w:r>
      <w:proofErr w:type="spellEnd"/>
      <w:r>
        <w:rPr>
          <w:sz w:val="24"/>
          <w:szCs w:val="24"/>
        </w:rPr>
        <w:t>, it is inconsistent with the evidence and S</w:t>
      </w:r>
      <w:r w:rsidR="004B69AF">
        <w:rPr>
          <w:sz w:val="24"/>
          <w:szCs w:val="24"/>
        </w:rPr>
        <w:t>m</w:t>
      </w:r>
      <w:r>
        <w:rPr>
          <w:sz w:val="24"/>
          <w:szCs w:val="24"/>
        </w:rPr>
        <w:t xml:space="preserve">PC for </w:t>
      </w:r>
      <w:proofErr w:type="spellStart"/>
      <w:r>
        <w:rPr>
          <w:sz w:val="24"/>
          <w:szCs w:val="24"/>
        </w:rPr>
        <w:t>olaparib</w:t>
      </w:r>
      <w:proofErr w:type="spellEnd"/>
      <w:r>
        <w:rPr>
          <w:sz w:val="24"/>
          <w:szCs w:val="24"/>
        </w:rPr>
        <w:t xml:space="preserve"> to assume 100% of patients would go on to receive </w:t>
      </w:r>
      <w:proofErr w:type="spellStart"/>
      <w:r>
        <w:rPr>
          <w:sz w:val="24"/>
          <w:szCs w:val="24"/>
        </w:rPr>
        <w:t>olaparib</w:t>
      </w:r>
      <w:proofErr w:type="spellEnd"/>
      <w:r>
        <w:rPr>
          <w:sz w:val="24"/>
          <w:szCs w:val="24"/>
        </w:rPr>
        <w:t xml:space="preserve"> in UK clinical practice.</w:t>
      </w:r>
    </w:p>
    <w:p w14:paraId="7D2C74AB" w14:textId="055754FB" w:rsidR="00356790" w:rsidRPr="000B7347" w:rsidRDefault="00356790" w:rsidP="00356790">
      <w:pPr>
        <w:pStyle w:val="Paragraph"/>
      </w:pPr>
      <w:r>
        <w:rPr>
          <w:sz w:val="24"/>
          <w:szCs w:val="24"/>
        </w:rPr>
        <w:t>James Fotheringham, for NICE, stated it was reasonable to allow the M</w:t>
      </w:r>
      <w:r w:rsidR="004F4620">
        <w:rPr>
          <w:sz w:val="24"/>
          <w:szCs w:val="24"/>
        </w:rPr>
        <w:t xml:space="preserve">arketing </w:t>
      </w:r>
      <w:r>
        <w:rPr>
          <w:sz w:val="24"/>
          <w:szCs w:val="24"/>
        </w:rPr>
        <w:t>A</w:t>
      </w:r>
      <w:r w:rsidR="004F4620">
        <w:rPr>
          <w:sz w:val="24"/>
          <w:szCs w:val="24"/>
        </w:rPr>
        <w:t>uth</w:t>
      </w:r>
      <w:r w:rsidR="00F52C05">
        <w:rPr>
          <w:sz w:val="24"/>
          <w:szCs w:val="24"/>
        </w:rPr>
        <w:t>orisation</w:t>
      </w:r>
      <w:r>
        <w:rPr>
          <w:sz w:val="24"/>
          <w:szCs w:val="24"/>
        </w:rPr>
        <w:t xml:space="preserve"> to inform the proportion of people commencing </w:t>
      </w:r>
      <w:proofErr w:type="spellStart"/>
      <w:r>
        <w:rPr>
          <w:sz w:val="24"/>
          <w:szCs w:val="24"/>
        </w:rPr>
        <w:t>olaparib</w:t>
      </w:r>
      <w:proofErr w:type="spellEnd"/>
      <w:r>
        <w:rPr>
          <w:sz w:val="24"/>
          <w:szCs w:val="24"/>
        </w:rPr>
        <w:t xml:space="preserve">.  He noted that the fundamental difficulty is that the Marketing </w:t>
      </w:r>
      <w:r>
        <w:rPr>
          <w:sz w:val="24"/>
          <w:szCs w:val="24"/>
        </w:rPr>
        <w:lastRenderedPageBreak/>
        <w:t>Authorisation does not align with the design of the DUO-E trial.  H</w:t>
      </w:r>
      <w:r w:rsidR="00F52C05">
        <w:rPr>
          <w:sz w:val="24"/>
          <w:szCs w:val="24"/>
        </w:rPr>
        <w:t>e</w:t>
      </w:r>
      <w:r>
        <w:rPr>
          <w:sz w:val="24"/>
          <w:szCs w:val="24"/>
        </w:rPr>
        <w:t xml:space="preserve"> explained that </w:t>
      </w:r>
      <w:r w:rsidR="00F539E9">
        <w:rPr>
          <w:sz w:val="24"/>
          <w:szCs w:val="24"/>
        </w:rPr>
        <w:t>c</w:t>
      </w:r>
      <w:r w:rsidR="000B4556">
        <w:rPr>
          <w:sz w:val="24"/>
          <w:szCs w:val="24"/>
        </w:rPr>
        <w:t>ommittee</w:t>
      </w:r>
      <w:r>
        <w:rPr>
          <w:sz w:val="24"/>
          <w:szCs w:val="24"/>
        </w:rPr>
        <w:t xml:space="preserve">s </w:t>
      </w:r>
      <w:proofErr w:type="gramStart"/>
      <w:r>
        <w:rPr>
          <w:sz w:val="24"/>
          <w:szCs w:val="24"/>
        </w:rPr>
        <w:t>have to</w:t>
      </w:r>
      <w:proofErr w:type="gramEnd"/>
      <w:r>
        <w:rPr>
          <w:sz w:val="24"/>
          <w:szCs w:val="24"/>
        </w:rPr>
        <w:t xml:space="preserve"> respond to information from NHS England on how the indication will be used in the NHS</w:t>
      </w:r>
      <w:r w:rsidR="00F52C05">
        <w:rPr>
          <w:sz w:val="24"/>
          <w:szCs w:val="24"/>
        </w:rPr>
        <w:t xml:space="preserve"> which ensures</w:t>
      </w:r>
      <w:r>
        <w:rPr>
          <w:sz w:val="24"/>
          <w:szCs w:val="24"/>
        </w:rPr>
        <w:t xml:space="preserve"> the recommendation is aligned to clinical practice.  The </w:t>
      </w:r>
      <w:r w:rsidR="00F539E9">
        <w:rPr>
          <w:sz w:val="24"/>
          <w:szCs w:val="24"/>
        </w:rPr>
        <w:t>c</w:t>
      </w:r>
      <w:r w:rsidR="000B4556">
        <w:rPr>
          <w:sz w:val="24"/>
          <w:szCs w:val="24"/>
        </w:rPr>
        <w:t>ommittee</w:t>
      </w:r>
      <w:r>
        <w:rPr>
          <w:sz w:val="24"/>
          <w:szCs w:val="24"/>
        </w:rPr>
        <w:t xml:space="preserve"> considered the numbers presented by </w:t>
      </w:r>
      <w:r w:rsidR="00F539E9">
        <w:rPr>
          <w:sz w:val="24"/>
          <w:szCs w:val="24"/>
        </w:rPr>
        <w:t>AstraZeneca</w:t>
      </w:r>
      <w:r>
        <w:rPr>
          <w:sz w:val="24"/>
          <w:szCs w:val="24"/>
        </w:rPr>
        <w:t xml:space="preserve"> at the second </w:t>
      </w:r>
      <w:r w:rsidR="00F539E9">
        <w:rPr>
          <w:sz w:val="24"/>
          <w:szCs w:val="24"/>
        </w:rPr>
        <w:t>c</w:t>
      </w:r>
      <w:r w:rsidR="000B4556">
        <w:rPr>
          <w:sz w:val="24"/>
          <w:szCs w:val="24"/>
        </w:rPr>
        <w:t>ommittee</w:t>
      </w:r>
      <w:r>
        <w:rPr>
          <w:sz w:val="24"/>
          <w:szCs w:val="24"/>
        </w:rPr>
        <w:t xml:space="preserve"> meeting, which were based on the DUO-E trial, however, it was reasonable not to use them in the recommendation because they were not aligned to the Marketing Authorisation. This requires everyone within the </w:t>
      </w:r>
      <w:proofErr w:type="spellStart"/>
      <w:r>
        <w:rPr>
          <w:sz w:val="24"/>
          <w:szCs w:val="24"/>
        </w:rPr>
        <w:t>pMMR</w:t>
      </w:r>
      <w:proofErr w:type="spellEnd"/>
      <w:r>
        <w:rPr>
          <w:sz w:val="24"/>
          <w:szCs w:val="24"/>
        </w:rPr>
        <w:t xml:space="preserve"> subtype to at least start durvalumab with </w:t>
      </w:r>
      <w:proofErr w:type="spellStart"/>
      <w:r>
        <w:rPr>
          <w:sz w:val="24"/>
          <w:szCs w:val="24"/>
        </w:rPr>
        <w:t>olaparib</w:t>
      </w:r>
      <w:proofErr w:type="spellEnd"/>
      <w:r>
        <w:rPr>
          <w:sz w:val="24"/>
          <w:szCs w:val="24"/>
        </w:rPr>
        <w:t xml:space="preserve"> if eligible, even i</w:t>
      </w:r>
      <w:r w:rsidR="00340A6B">
        <w:rPr>
          <w:sz w:val="24"/>
          <w:szCs w:val="24"/>
        </w:rPr>
        <w:t>f it is only</w:t>
      </w:r>
      <w:r>
        <w:rPr>
          <w:sz w:val="24"/>
          <w:szCs w:val="24"/>
        </w:rPr>
        <w:t xml:space="preserve"> one dose of </w:t>
      </w:r>
      <w:proofErr w:type="spellStart"/>
      <w:r>
        <w:rPr>
          <w:sz w:val="24"/>
          <w:szCs w:val="24"/>
        </w:rPr>
        <w:t>olaparib</w:t>
      </w:r>
      <w:proofErr w:type="spellEnd"/>
      <w:r w:rsidR="00340A6B">
        <w:rPr>
          <w:sz w:val="24"/>
          <w:szCs w:val="24"/>
        </w:rPr>
        <w:t>.</w:t>
      </w:r>
      <w:r>
        <w:rPr>
          <w:sz w:val="24"/>
          <w:szCs w:val="24"/>
        </w:rPr>
        <w:t xml:space="preserve">  However, a patient cannot start durvalumab without </w:t>
      </w:r>
      <w:proofErr w:type="spellStart"/>
      <w:r>
        <w:rPr>
          <w:sz w:val="24"/>
          <w:szCs w:val="24"/>
        </w:rPr>
        <w:t>olaparib</w:t>
      </w:r>
      <w:proofErr w:type="spellEnd"/>
      <w:r>
        <w:rPr>
          <w:sz w:val="24"/>
          <w:szCs w:val="24"/>
        </w:rPr>
        <w:t xml:space="preserve"> so 0% has face validity.  He also noted that the </w:t>
      </w:r>
      <w:r w:rsidR="00F539E9">
        <w:rPr>
          <w:sz w:val="24"/>
          <w:szCs w:val="24"/>
        </w:rPr>
        <w:t>c</w:t>
      </w:r>
      <w:r w:rsidR="000B4556">
        <w:rPr>
          <w:sz w:val="24"/>
          <w:szCs w:val="24"/>
        </w:rPr>
        <w:t>ommittee</w:t>
      </w:r>
      <w:r>
        <w:rPr>
          <w:sz w:val="24"/>
          <w:szCs w:val="24"/>
        </w:rPr>
        <w:t xml:space="preserve"> heard from the clinicians at the first </w:t>
      </w:r>
      <w:r w:rsidR="00F539E9">
        <w:rPr>
          <w:sz w:val="24"/>
          <w:szCs w:val="24"/>
        </w:rPr>
        <w:t>c</w:t>
      </w:r>
      <w:r w:rsidR="000B4556">
        <w:rPr>
          <w:sz w:val="24"/>
          <w:szCs w:val="24"/>
        </w:rPr>
        <w:t>ommittee</w:t>
      </w:r>
      <w:r>
        <w:rPr>
          <w:sz w:val="24"/>
          <w:szCs w:val="24"/>
        </w:rPr>
        <w:t xml:space="preserve"> meeting that they can reasonably predict the outset of cancer therapy</w:t>
      </w:r>
      <w:r w:rsidR="000A06E2">
        <w:rPr>
          <w:sz w:val="24"/>
          <w:szCs w:val="24"/>
        </w:rPr>
        <w:t xml:space="preserve"> and</w:t>
      </w:r>
      <w:r>
        <w:rPr>
          <w:sz w:val="24"/>
          <w:szCs w:val="24"/>
        </w:rPr>
        <w:t xml:space="preserve"> who will be eligible for durvalumab and </w:t>
      </w:r>
      <w:proofErr w:type="spellStart"/>
      <w:r>
        <w:rPr>
          <w:sz w:val="24"/>
          <w:szCs w:val="24"/>
        </w:rPr>
        <w:t>olaparib</w:t>
      </w:r>
      <w:proofErr w:type="spellEnd"/>
      <w:r>
        <w:rPr>
          <w:sz w:val="24"/>
          <w:szCs w:val="24"/>
        </w:rPr>
        <w:t xml:space="preserve"> after that therapy.  H</w:t>
      </w:r>
      <w:r w:rsidR="000A06E2">
        <w:rPr>
          <w:sz w:val="24"/>
          <w:szCs w:val="24"/>
        </w:rPr>
        <w:t>e</w:t>
      </w:r>
      <w:r>
        <w:rPr>
          <w:sz w:val="24"/>
          <w:szCs w:val="24"/>
        </w:rPr>
        <w:t xml:space="preserve"> explained it was standard practice for </w:t>
      </w:r>
      <w:r w:rsidR="00F539E9">
        <w:rPr>
          <w:sz w:val="24"/>
          <w:szCs w:val="24"/>
        </w:rPr>
        <w:t>c</w:t>
      </w:r>
      <w:r w:rsidR="000B4556">
        <w:rPr>
          <w:sz w:val="24"/>
          <w:szCs w:val="24"/>
        </w:rPr>
        <w:t>ommittee</w:t>
      </w:r>
      <w:r>
        <w:rPr>
          <w:sz w:val="24"/>
          <w:szCs w:val="24"/>
        </w:rPr>
        <w:t xml:space="preserve">s to use Marketing </w:t>
      </w:r>
      <w:r w:rsidR="000A06E2">
        <w:rPr>
          <w:sz w:val="24"/>
          <w:szCs w:val="24"/>
        </w:rPr>
        <w:t>A</w:t>
      </w:r>
      <w:r>
        <w:rPr>
          <w:sz w:val="24"/>
          <w:szCs w:val="24"/>
        </w:rPr>
        <w:t>uthorisations to ensure economic modelling reflects practice in the NHS.</w:t>
      </w:r>
    </w:p>
    <w:p w14:paraId="2D84C91F" w14:textId="47F2A337" w:rsidR="00356790" w:rsidRPr="005F1976" w:rsidRDefault="00356790" w:rsidP="00356790">
      <w:pPr>
        <w:pStyle w:val="Paragraph"/>
      </w:pPr>
      <w:r>
        <w:rPr>
          <w:sz w:val="24"/>
          <w:szCs w:val="24"/>
        </w:rPr>
        <w:t>James Fotheringham considered whether it would be necessary for a patient to discontinue durvalumab i</w:t>
      </w:r>
      <w:r w:rsidR="007133FA">
        <w:rPr>
          <w:sz w:val="24"/>
          <w:szCs w:val="24"/>
        </w:rPr>
        <w:t>f</w:t>
      </w:r>
      <w:r>
        <w:rPr>
          <w:sz w:val="24"/>
          <w:szCs w:val="24"/>
        </w:rPr>
        <w:t xml:space="preserve"> they developed a toxicity to </w:t>
      </w:r>
      <w:proofErr w:type="spellStart"/>
      <w:r>
        <w:rPr>
          <w:sz w:val="24"/>
          <w:szCs w:val="24"/>
        </w:rPr>
        <w:t>olaparib</w:t>
      </w:r>
      <w:proofErr w:type="spellEnd"/>
      <w:r>
        <w:rPr>
          <w:sz w:val="24"/>
          <w:szCs w:val="24"/>
        </w:rPr>
        <w:t xml:space="preserve"> during previous therapy.  He explained that </w:t>
      </w:r>
      <w:r w:rsidR="0059533B">
        <w:rPr>
          <w:sz w:val="24"/>
          <w:szCs w:val="24"/>
        </w:rPr>
        <w:t xml:space="preserve">he is unclear whether the </w:t>
      </w:r>
      <w:r>
        <w:rPr>
          <w:sz w:val="24"/>
          <w:szCs w:val="24"/>
        </w:rPr>
        <w:t>Cancer Drug Fund Lead consider</w:t>
      </w:r>
      <w:r w:rsidR="0059533B">
        <w:rPr>
          <w:sz w:val="24"/>
          <w:szCs w:val="24"/>
        </w:rPr>
        <w:t>ed</w:t>
      </w:r>
      <w:r>
        <w:rPr>
          <w:sz w:val="24"/>
          <w:szCs w:val="24"/>
        </w:rPr>
        <w:t xml:space="preserve"> these </w:t>
      </w:r>
      <w:proofErr w:type="gramStart"/>
      <w:r>
        <w:rPr>
          <w:sz w:val="24"/>
          <w:szCs w:val="24"/>
        </w:rPr>
        <w:t>issues</w:t>
      </w:r>
      <w:proofErr w:type="gramEnd"/>
      <w:r>
        <w:rPr>
          <w:sz w:val="24"/>
          <w:szCs w:val="24"/>
        </w:rPr>
        <w:t xml:space="preserve"> but this was the understanding of the </w:t>
      </w:r>
      <w:r w:rsidR="007133FA">
        <w:rPr>
          <w:sz w:val="24"/>
          <w:szCs w:val="24"/>
        </w:rPr>
        <w:t>c</w:t>
      </w:r>
      <w:r w:rsidR="000B4556">
        <w:rPr>
          <w:sz w:val="24"/>
          <w:szCs w:val="24"/>
        </w:rPr>
        <w:t>ommittee</w:t>
      </w:r>
      <w:r>
        <w:rPr>
          <w:sz w:val="24"/>
          <w:szCs w:val="24"/>
        </w:rPr>
        <w:t xml:space="preserve">. </w:t>
      </w:r>
    </w:p>
    <w:p w14:paraId="5A246D9F" w14:textId="7D3498B8" w:rsidR="00356790" w:rsidRPr="003371DF" w:rsidRDefault="00356790" w:rsidP="00356790">
      <w:pPr>
        <w:pStyle w:val="Paragraph"/>
      </w:pPr>
      <w:r>
        <w:rPr>
          <w:sz w:val="24"/>
          <w:szCs w:val="24"/>
        </w:rPr>
        <w:t xml:space="preserve">James Fotheringham explained that the NHS England view on how durvalumab with </w:t>
      </w:r>
      <w:proofErr w:type="spellStart"/>
      <w:r>
        <w:rPr>
          <w:sz w:val="24"/>
          <w:szCs w:val="24"/>
        </w:rPr>
        <w:t>olaparib</w:t>
      </w:r>
      <w:proofErr w:type="spellEnd"/>
      <w:r>
        <w:rPr>
          <w:sz w:val="24"/>
          <w:szCs w:val="24"/>
        </w:rPr>
        <w:t xml:space="preserve"> would be commissioned was</w:t>
      </w:r>
      <w:r w:rsidR="00200EA5">
        <w:rPr>
          <w:sz w:val="24"/>
          <w:szCs w:val="24"/>
        </w:rPr>
        <w:t xml:space="preserve"> only </w:t>
      </w:r>
      <w:r>
        <w:rPr>
          <w:sz w:val="24"/>
          <w:szCs w:val="24"/>
        </w:rPr>
        <w:t xml:space="preserve">clarified after the first </w:t>
      </w:r>
      <w:r w:rsidR="007133FA">
        <w:rPr>
          <w:sz w:val="24"/>
          <w:szCs w:val="24"/>
        </w:rPr>
        <w:t>c</w:t>
      </w:r>
      <w:r w:rsidR="000B4556">
        <w:rPr>
          <w:sz w:val="24"/>
          <w:szCs w:val="24"/>
        </w:rPr>
        <w:t>ommittee</w:t>
      </w:r>
      <w:r>
        <w:rPr>
          <w:sz w:val="24"/>
          <w:szCs w:val="24"/>
        </w:rPr>
        <w:t xml:space="preserve"> meeting.   </w:t>
      </w:r>
    </w:p>
    <w:p w14:paraId="428E51EA" w14:textId="77777777" w:rsidR="00356790" w:rsidRPr="00001181" w:rsidRDefault="00356790" w:rsidP="00356790">
      <w:pPr>
        <w:pStyle w:val="Paragraph"/>
      </w:pPr>
      <w:r>
        <w:rPr>
          <w:sz w:val="24"/>
          <w:szCs w:val="24"/>
        </w:rPr>
        <w:t>Joanna Richar</w:t>
      </w:r>
      <w:r w:rsidR="0054072D">
        <w:rPr>
          <w:sz w:val="24"/>
          <w:szCs w:val="24"/>
        </w:rPr>
        <w:t>d</w:t>
      </w:r>
      <w:r>
        <w:rPr>
          <w:sz w:val="24"/>
          <w:szCs w:val="24"/>
        </w:rPr>
        <w:t xml:space="preserve">son, for NICE, explained that the Cancer Drug Fund Lead confirmed that they would expect contraindications or toxicity in some patients who would be disqualified at the maintenance stage but </w:t>
      </w:r>
      <w:r w:rsidR="002836B9">
        <w:rPr>
          <w:sz w:val="24"/>
          <w:szCs w:val="24"/>
        </w:rPr>
        <w:t xml:space="preserve">that </w:t>
      </w:r>
      <w:r>
        <w:rPr>
          <w:sz w:val="24"/>
          <w:szCs w:val="24"/>
        </w:rPr>
        <w:t xml:space="preserve">at least one dose of </w:t>
      </w:r>
      <w:proofErr w:type="spellStart"/>
      <w:r>
        <w:rPr>
          <w:sz w:val="24"/>
          <w:szCs w:val="24"/>
        </w:rPr>
        <w:t>olaparib</w:t>
      </w:r>
      <w:proofErr w:type="spellEnd"/>
      <w:r>
        <w:rPr>
          <w:sz w:val="24"/>
          <w:szCs w:val="24"/>
        </w:rPr>
        <w:t xml:space="preserve"> </w:t>
      </w:r>
      <w:r w:rsidR="002836B9">
        <w:rPr>
          <w:sz w:val="24"/>
          <w:szCs w:val="24"/>
        </w:rPr>
        <w:t xml:space="preserve">would be required </w:t>
      </w:r>
      <w:r>
        <w:rPr>
          <w:sz w:val="24"/>
          <w:szCs w:val="24"/>
        </w:rPr>
        <w:t>before either drug could be stopped.</w:t>
      </w:r>
    </w:p>
    <w:p w14:paraId="68E96016" w14:textId="195E98C1" w:rsidR="00356790" w:rsidRPr="00637032" w:rsidRDefault="00356790" w:rsidP="00356790">
      <w:pPr>
        <w:pStyle w:val="Paragraph"/>
      </w:pPr>
      <w:r>
        <w:rPr>
          <w:sz w:val="24"/>
          <w:szCs w:val="24"/>
        </w:rPr>
        <w:lastRenderedPageBreak/>
        <w:t xml:space="preserve">Jacoline Bouvy, for NICE, said that from a reasonableness perspective the </w:t>
      </w:r>
      <w:r w:rsidR="00FB570C">
        <w:rPr>
          <w:sz w:val="24"/>
          <w:szCs w:val="24"/>
        </w:rPr>
        <w:t>c</w:t>
      </w:r>
      <w:r w:rsidR="000B4556">
        <w:rPr>
          <w:sz w:val="24"/>
          <w:szCs w:val="24"/>
        </w:rPr>
        <w:t>ommittee</w:t>
      </w:r>
      <w:r>
        <w:rPr>
          <w:sz w:val="24"/>
          <w:szCs w:val="24"/>
        </w:rPr>
        <w:t xml:space="preserve"> had to consider, if there </w:t>
      </w:r>
      <w:r w:rsidR="00CA2F73">
        <w:rPr>
          <w:sz w:val="24"/>
          <w:szCs w:val="24"/>
        </w:rPr>
        <w:t>was</w:t>
      </w:r>
      <w:r>
        <w:rPr>
          <w:sz w:val="24"/>
          <w:szCs w:val="24"/>
        </w:rPr>
        <w:t xml:space="preserve"> uncertainty about the </w:t>
      </w:r>
      <w:r w:rsidR="00FA6F0C">
        <w:rPr>
          <w:sz w:val="24"/>
          <w:szCs w:val="24"/>
        </w:rPr>
        <w:t>number</w:t>
      </w:r>
      <w:r>
        <w:rPr>
          <w:sz w:val="24"/>
          <w:szCs w:val="24"/>
        </w:rPr>
        <w:t xml:space="preserve">, whether </w:t>
      </w:r>
      <w:r w:rsidR="00025D8B">
        <w:rPr>
          <w:sz w:val="24"/>
          <w:szCs w:val="24"/>
        </w:rPr>
        <w:t xml:space="preserve">it </w:t>
      </w:r>
      <w:r>
        <w:rPr>
          <w:sz w:val="24"/>
          <w:szCs w:val="24"/>
        </w:rPr>
        <w:t xml:space="preserve">had considered </w:t>
      </w:r>
      <w:proofErr w:type="gramStart"/>
      <w:r>
        <w:rPr>
          <w:sz w:val="24"/>
          <w:szCs w:val="24"/>
        </w:rPr>
        <w:t>all of</w:t>
      </w:r>
      <w:proofErr w:type="gramEnd"/>
      <w:r>
        <w:rPr>
          <w:sz w:val="24"/>
          <w:szCs w:val="24"/>
        </w:rPr>
        <w:t xml:space="preserve"> the evidence and having done so decide what </w:t>
      </w:r>
      <w:r w:rsidR="00025D8B">
        <w:rPr>
          <w:sz w:val="24"/>
          <w:szCs w:val="24"/>
        </w:rPr>
        <w:t>it</w:t>
      </w:r>
      <w:r>
        <w:rPr>
          <w:sz w:val="24"/>
          <w:szCs w:val="24"/>
        </w:rPr>
        <w:t xml:space="preserve"> th</w:t>
      </w:r>
      <w:r w:rsidR="00025D8B">
        <w:rPr>
          <w:sz w:val="24"/>
          <w:szCs w:val="24"/>
        </w:rPr>
        <w:t>ought</w:t>
      </w:r>
      <w:r>
        <w:rPr>
          <w:sz w:val="24"/>
          <w:szCs w:val="24"/>
        </w:rPr>
        <w:t xml:space="preserve"> </w:t>
      </w:r>
      <w:r w:rsidR="00025D8B">
        <w:rPr>
          <w:sz w:val="24"/>
          <w:szCs w:val="24"/>
        </w:rPr>
        <w:t>was</w:t>
      </w:r>
      <w:r>
        <w:rPr>
          <w:sz w:val="24"/>
          <w:szCs w:val="24"/>
        </w:rPr>
        <w:t xml:space="preserve"> the most appropriate way to model the assumptions.  She explained that the </w:t>
      </w:r>
      <w:r w:rsidR="00FB570C">
        <w:rPr>
          <w:sz w:val="24"/>
          <w:szCs w:val="24"/>
        </w:rPr>
        <w:t>c</w:t>
      </w:r>
      <w:r w:rsidR="000B4556">
        <w:rPr>
          <w:sz w:val="24"/>
          <w:szCs w:val="24"/>
        </w:rPr>
        <w:t>ommittee</w:t>
      </w:r>
      <w:r>
        <w:rPr>
          <w:sz w:val="24"/>
          <w:szCs w:val="24"/>
        </w:rPr>
        <w:t xml:space="preserve"> heard from the Cancer Drug Fund Lead about how it would be commissioned in practice, therefore applying this logic </w:t>
      </w:r>
      <w:r w:rsidR="00F82CD7">
        <w:rPr>
          <w:sz w:val="24"/>
          <w:szCs w:val="24"/>
        </w:rPr>
        <w:t xml:space="preserve">it </w:t>
      </w:r>
      <w:r>
        <w:rPr>
          <w:sz w:val="24"/>
          <w:szCs w:val="24"/>
        </w:rPr>
        <w:t>was</w:t>
      </w:r>
      <w:r w:rsidR="00F82CD7">
        <w:rPr>
          <w:sz w:val="24"/>
          <w:szCs w:val="24"/>
        </w:rPr>
        <w:t xml:space="preserve"> a </w:t>
      </w:r>
      <w:r>
        <w:rPr>
          <w:sz w:val="24"/>
          <w:szCs w:val="24"/>
        </w:rPr>
        <w:t xml:space="preserve">reasonable assumption to make.  </w:t>
      </w:r>
      <w:r w:rsidRPr="00AD38B8">
        <w:rPr>
          <w:sz w:val="24"/>
          <w:szCs w:val="24"/>
        </w:rPr>
        <w:t xml:space="preserve">Committees often acknowledge that there are alternative ways that it can be modelled, but </w:t>
      </w:r>
      <w:r w:rsidR="00F82CD7">
        <w:rPr>
          <w:sz w:val="24"/>
          <w:szCs w:val="24"/>
        </w:rPr>
        <w:t xml:space="preserve">the </w:t>
      </w:r>
      <w:r w:rsidR="00FB570C">
        <w:rPr>
          <w:sz w:val="24"/>
          <w:szCs w:val="24"/>
        </w:rPr>
        <w:t>c</w:t>
      </w:r>
      <w:r w:rsidR="000B4556">
        <w:rPr>
          <w:sz w:val="24"/>
          <w:szCs w:val="24"/>
        </w:rPr>
        <w:t>ommittee</w:t>
      </w:r>
      <w:r w:rsidR="00F82CD7">
        <w:rPr>
          <w:sz w:val="24"/>
          <w:szCs w:val="24"/>
        </w:rPr>
        <w:t xml:space="preserve"> </w:t>
      </w:r>
      <w:r w:rsidR="00AE5287">
        <w:rPr>
          <w:sz w:val="24"/>
          <w:szCs w:val="24"/>
        </w:rPr>
        <w:t xml:space="preserve">felt the evidence of the Cancer Drug Fund Lead </w:t>
      </w:r>
      <w:r w:rsidRPr="00AD38B8">
        <w:rPr>
          <w:sz w:val="24"/>
          <w:szCs w:val="24"/>
        </w:rPr>
        <w:t>weighed heavily</w:t>
      </w:r>
      <w:r w:rsidR="00F82CD7">
        <w:rPr>
          <w:sz w:val="24"/>
          <w:szCs w:val="24"/>
        </w:rPr>
        <w:t xml:space="preserve"> </w:t>
      </w:r>
      <w:r w:rsidR="00AE5287">
        <w:rPr>
          <w:sz w:val="24"/>
          <w:szCs w:val="24"/>
        </w:rPr>
        <w:t>as it provided evidence on how the technology would b</w:t>
      </w:r>
      <w:r w:rsidRPr="00AD38B8">
        <w:rPr>
          <w:sz w:val="24"/>
          <w:szCs w:val="24"/>
        </w:rPr>
        <w:t>e commissioned.</w:t>
      </w:r>
    </w:p>
    <w:p w14:paraId="5C182347" w14:textId="77777777" w:rsidR="00356790" w:rsidRPr="002B1DF9" w:rsidRDefault="00462C3D" w:rsidP="00356790">
      <w:pPr>
        <w:pStyle w:val="Paragraph"/>
      </w:pPr>
      <w:r>
        <w:rPr>
          <w:sz w:val="24"/>
          <w:szCs w:val="24"/>
        </w:rPr>
        <w:t>David Harland</w:t>
      </w:r>
      <w:r w:rsidR="00356790">
        <w:rPr>
          <w:sz w:val="24"/>
          <w:szCs w:val="24"/>
        </w:rPr>
        <w:t xml:space="preserve"> explained that the indication and S</w:t>
      </w:r>
      <w:r w:rsidR="004B69AF">
        <w:rPr>
          <w:sz w:val="24"/>
          <w:szCs w:val="24"/>
        </w:rPr>
        <w:t>m</w:t>
      </w:r>
      <w:r w:rsidR="00356790">
        <w:rPr>
          <w:sz w:val="24"/>
          <w:szCs w:val="24"/>
        </w:rPr>
        <w:t>PC is based entirely on the DUO-E study</w:t>
      </w:r>
      <w:r w:rsidR="00A5678C">
        <w:rPr>
          <w:sz w:val="24"/>
          <w:szCs w:val="24"/>
        </w:rPr>
        <w:t xml:space="preserve"> which </w:t>
      </w:r>
      <w:r w:rsidR="00356790">
        <w:rPr>
          <w:sz w:val="24"/>
          <w:szCs w:val="24"/>
        </w:rPr>
        <w:t>is updated when it goes through the regulatory process.  H</w:t>
      </w:r>
      <w:r w:rsidR="00A5678C">
        <w:rPr>
          <w:sz w:val="24"/>
          <w:szCs w:val="24"/>
        </w:rPr>
        <w:t>e</w:t>
      </w:r>
      <w:r w:rsidR="00356790">
        <w:rPr>
          <w:sz w:val="24"/>
          <w:szCs w:val="24"/>
        </w:rPr>
        <w:t xml:space="preserve"> noted there was a difference between a contraindication and </w:t>
      </w:r>
      <w:r w:rsidR="00A5678C">
        <w:rPr>
          <w:sz w:val="24"/>
          <w:szCs w:val="24"/>
        </w:rPr>
        <w:t xml:space="preserve">a </w:t>
      </w:r>
      <w:r w:rsidR="00356790">
        <w:rPr>
          <w:sz w:val="24"/>
          <w:szCs w:val="24"/>
        </w:rPr>
        <w:t>toxicity.  The C</w:t>
      </w:r>
      <w:r w:rsidR="0059533B">
        <w:rPr>
          <w:sz w:val="24"/>
          <w:szCs w:val="24"/>
        </w:rPr>
        <w:t xml:space="preserve">ancer </w:t>
      </w:r>
      <w:r w:rsidR="00356790">
        <w:rPr>
          <w:sz w:val="24"/>
          <w:szCs w:val="24"/>
        </w:rPr>
        <w:t>D</w:t>
      </w:r>
      <w:r w:rsidR="0059533B">
        <w:rPr>
          <w:sz w:val="24"/>
          <w:szCs w:val="24"/>
        </w:rPr>
        <w:t xml:space="preserve">rug </w:t>
      </w:r>
      <w:r w:rsidR="00356790">
        <w:rPr>
          <w:sz w:val="24"/>
          <w:szCs w:val="24"/>
        </w:rPr>
        <w:t>F</w:t>
      </w:r>
      <w:r w:rsidR="0059533B">
        <w:rPr>
          <w:sz w:val="24"/>
          <w:szCs w:val="24"/>
        </w:rPr>
        <w:t>und</w:t>
      </w:r>
      <w:r w:rsidR="00356790">
        <w:rPr>
          <w:sz w:val="24"/>
          <w:szCs w:val="24"/>
        </w:rPr>
        <w:t xml:space="preserve"> </w:t>
      </w:r>
      <w:r w:rsidR="0059533B">
        <w:rPr>
          <w:sz w:val="24"/>
          <w:szCs w:val="24"/>
        </w:rPr>
        <w:t>L</w:t>
      </w:r>
      <w:r w:rsidR="00356790">
        <w:rPr>
          <w:sz w:val="24"/>
          <w:szCs w:val="24"/>
        </w:rPr>
        <w:t xml:space="preserve">ead did not reasonably include the scenario whereby a toxicity </w:t>
      </w:r>
      <w:proofErr w:type="gramStart"/>
      <w:r w:rsidR="00356790">
        <w:rPr>
          <w:sz w:val="24"/>
          <w:szCs w:val="24"/>
        </w:rPr>
        <w:t>result</w:t>
      </w:r>
      <w:proofErr w:type="gramEnd"/>
      <w:r w:rsidR="00356790">
        <w:rPr>
          <w:sz w:val="24"/>
          <w:szCs w:val="24"/>
        </w:rPr>
        <w:t xml:space="preserve"> from carboplatin and </w:t>
      </w:r>
      <w:proofErr w:type="spellStart"/>
      <w:r w:rsidR="00356790">
        <w:rPr>
          <w:sz w:val="24"/>
          <w:szCs w:val="24"/>
        </w:rPr>
        <w:t>plackataxel</w:t>
      </w:r>
      <w:proofErr w:type="spellEnd"/>
      <w:r w:rsidR="00356790">
        <w:rPr>
          <w:sz w:val="24"/>
          <w:szCs w:val="24"/>
        </w:rPr>
        <w:t xml:space="preserve"> chemotherapy would prevent the</w:t>
      </w:r>
      <w:r w:rsidR="00A5678C">
        <w:rPr>
          <w:sz w:val="24"/>
          <w:szCs w:val="24"/>
        </w:rPr>
        <w:t xml:space="preserve"> patient from</w:t>
      </w:r>
      <w:r w:rsidR="00356790">
        <w:rPr>
          <w:sz w:val="24"/>
          <w:szCs w:val="24"/>
        </w:rPr>
        <w:t xml:space="preserve"> starting </w:t>
      </w:r>
      <w:proofErr w:type="spellStart"/>
      <w:r w:rsidR="00356790">
        <w:rPr>
          <w:sz w:val="24"/>
          <w:szCs w:val="24"/>
        </w:rPr>
        <w:t>olaparib</w:t>
      </w:r>
      <w:proofErr w:type="spellEnd"/>
      <w:r w:rsidR="00356790">
        <w:rPr>
          <w:sz w:val="24"/>
          <w:szCs w:val="24"/>
        </w:rPr>
        <w:t xml:space="preserve"> as opposed to starting durvalumab and </w:t>
      </w:r>
      <w:proofErr w:type="spellStart"/>
      <w:r w:rsidR="00356790">
        <w:rPr>
          <w:sz w:val="24"/>
          <w:szCs w:val="24"/>
        </w:rPr>
        <w:t>olaparib</w:t>
      </w:r>
      <w:proofErr w:type="spellEnd"/>
      <w:r w:rsidR="00356790">
        <w:rPr>
          <w:sz w:val="24"/>
          <w:szCs w:val="24"/>
        </w:rPr>
        <w:t>.  H</w:t>
      </w:r>
      <w:r w:rsidR="00A5678C">
        <w:rPr>
          <w:sz w:val="24"/>
          <w:szCs w:val="24"/>
        </w:rPr>
        <w:t>e</w:t>
      </w:r>
      <w:r w:rsidR="00356790">
        <w:rPr>
          <w:sz w:val="24"/>
          <w:szCs w:val="24"/>
        </w:rPr>
        <w:t xml:space="preserve"> explained that the C</w:t>
      </w:r>
      <w:r w:rsidR="0059533B">
        <w:rPr>
          <w:sz w:val="24"/>
          <w:szCs w:val="24"/>
        </w:rPr>
        <w:t xml:space="preserve">ancer </w:t>
      </w:r>
      <w:r w:rsidR="00356790">
        <w:rPr>
          <w:sz w:val="24"/>
          <w:szCs w:val="24"/>
        </w:rPr>
        <w:t>D</w:t>
      </w:r>
      <w:r w:rsidR="0059533B">
        <w:rPr>
          <w:sz w:val="24"/>
          <w:szCs w:val="24"/>
        </w:rPr>
        <w:t xml:space="preserve">rug </w:t>
      </w:r>
      <w:r w:rsidR="00356790">
        <w:rPr>
          <w:sz w:val="24"/>
          <w:szCs w:val="24"/>
        </w:rPr>
        <w:t>F</w:t>
      </w:r>
      <w:r w:rsidR="0059533B">
        <w:rPr>
          <w:sz w:val="24"/>
          <w:szCs w:val="24"/>
        </w:rPr>
        <w:t>und</w:t>
      </w:r>
      <w:r w:rsidR="00356790">
        <w:rPr>
          <w:sz w:val="24"/>
          <w:szCs w:val="24"/>
        </w:rPr>
        <w:t xml:space="preserve"> </w:t>
      </w:r>
      <w:r w:rsidR="0059533B">
        <w:rPr>
          <w:sz w:val="24"/>
          <w:szCs w:val="24"/>
        </w:rPr>
        <w:t>L</w:t>
      </w:r>
      <w:r w:rsidR="00356790">
        <w:rPr>
          <w:sz w:val="24"/>
          <w:szCs w:val="24"/>
        </w:rPr>
        <w:t>ead consider</w:t>
      </w:r>
      <w:r w:rsidR="00A5678C">
        <w:rPr>
          <w:sz w:val="24"/>
          <w:szCs w:val="24"/>
        </w:rPr>
        <w:t>ed</w:t>
      </w:r>
      <w:r w:rsidR="00356790">
        <w:rPr>
          <w:sz w:val="24"/>
          <w:szCs w:val="24"/>
        </w:rPr>
        <w:t xml:space="preserve"> the </w:t>
      </w:r>
      <w:r w:rsidR="00356790" w:rsidRPr="00FB23F6">
        <w:rPr>
          <w:sz w:val="24"/>
          <w:szCs w:val="24"/>
        </w:rPr>
        <w:t>scenario where</w:t>
      </w:r>
      <w:r w:rsidR="00356790">
        <w:rPr>
          <w:sz w:val="24"/>
          <w:szCs w:val="24"/>
        </w:rPr>
        <w:t xml:space="preserve"> a patient </w:t>
      </w:r>
      <w:proofErr w:type="gramStart"/>
      <w:r w:rsidR="00356790">
        <w:rPr>
          <w:sz w:val="24"/>
          <w:szCs w:val="24"/>
        </w:rPr>
        <w:t>is</w:t>
      </w:r>
      <w:r w:rsidR="00356790" w:rsidRPr="00FB23F6">
        <w:rPr>
          <w:sz w:val="24"/>
          <w:szCs w:val="24"/>
        </w:rPr>
        <w:t xml:space="preserve"> able to</w:t>
      </w:r>
      <w:proofErr w:type="gramEnd"/>
      <w:r w:rsidR="00356790" w:rsidRPr="00FB23F6">
        <w:rPr>
          <w:sz w:val="24"/>
          <w:szCs w:val="24"/>
        </w:rPr>
        <w:t xml:space="preserve"> start </w:t>
      </w:r>
      <w:proofErr w:type="spellStart"/>
      <w:r w:rsidR="00356790">
        <w:rPr>
          <w:sz w:val="24"/>
          <w:szCs w:val="24"/>
        </w:rPr>
        <w:t>olaparib</w:t>
      </w:r>
      <w:proofErr w:type="spellEnd"/>
      <w:r w:rsidR="00356790" w:rsidRPr="00FB23F6">
        <w:rPr>
          <w:sz w:val="24"/>
          <w:szCs w:val="24"/>
        </w:rPr>
        <w:t xml:space="preserve"> </w:t>
      </w:r>
      <w:r w:rsidR="00A5678C">
        <w:rPr>
          <w:sz w:val="24"/>
          <w:szCs w:val="24"/>
        </w:rPr>
        <w:t xml:space="preserve">but </w:t>
      </w:r>
      <w:r w:rsidR="00356790" w:rsidRPr="00FB23F6">
        <w:rPr>
          <w:sz w:val="24"/>
          <w:szCs w:val="24"/>
        </w:rPr>
        <w:t xml:space="preserve">then develops </w:t>
      </w:r>
      <w:r w:rsidR="00A5678C">
        <w:rPr>
          <w:sz w:val="24"/>
          <w:szCs w:val="24"/>
        </w:rPr>
        <w:t xml:space="preserve">a </w:t>
      </w:r>
      <w:r w:rsidR="00356790" w:rsidRPr="00FB23F6">
        <w:rPr>
          <w:sz w:val="24"/>
          <w:szCs w:val="24"/>
        </w:rPr>
        <w:t>toxicity on one or both and so may need to stop one or both.</w:t>
      </w:r>
      <w:r w:rsidR="00356790">
        <w:rPr>
          <w:sz w:val="24"/>
          <w:szCs w:val="24"/>
        </w:rPr>
        <w:t xml:space="preserve"> However, he does not consider toxicity developed during chemotherapy.</w:t>
      </w:r>
    </w:p>
    <w:p w14:paraId="250E3B3A" w14:textId="46346424" w:rsidR="00356790" w:rsidRPr="002E2FE2" w:rsidRDefault="00356790" w:rsidP="00356790">
      <w:pPr>
        <w:pStyle w:val="Paragraph"/>
      </w:pPr>
      <w:r>
        <w:rPr>
          <w:sz w:val="24"/>
          <w:szCs w:val="24"/>
        </w:rPr>
        <w:t xml:space="preserve">Emily Crowe, for NICE, stated that the </w:t>
      </w:r>
      <w:r w:rsidR="00F9564A">
        <w:rPr>
          <w:sz w:val="24"/>
          <w:szCs w:val="24"/>
        </w:rPr>
        <w:t>c</w:t>
      </w:r>
      <w:r w:rsidR="000B4556">
        <w:rPr>
          <w:sz w:val="24"/>
          <w:szCs w:val="24"/>
        </w:rPr>
        <w:t>ommittee</w:t>
      </w:r>
      <w:r>
        <w:rPr>
          <w:sz w:val="24"/>
          <w:szCs w:val="24"/>
        </w:rPr>
        <w:t xml:space="preserve"> cannot say exactly what the Cancer Drug Fund Lead ha</w:t>
      </w:r>
      <w:r w:rsidR="0088390B">
        <w:rPr>
          <w:sz w:val="24"/>
          <w:szCs w:val="24"/>
        </w:rPr>
        <w:t>d</w:t>
      </w:r>
      <w:r>
        <w:rPr>
          <w:sz w:val="24"/>
          <w:szCs w:val="24"/>
        </w:rPr>
        <w:t xml:space="preserve"> considered.  However, it can reiterate that based on what the </w:t>
      </w:r>
      <w:r w:rsidR="0088390B">
        <w:rPr>
          <w:sz w:val="24"/>
          <w:szCs w:val="24"/>
        </w:rPr>
        <w:t>Marketing Authorisation</w:t>
      </w:r>
      <w:r>
        <w:rPr>
          <w:sz w:val="24"/>
          <w:szCs w:val="24"/>
        </w:rPr>
        <w:t xml:space="preserve"> say</w:t>
      </w:r>
      <w:r w:rsidR="0088390B">
        <w:rPr>
          <w:sz w:val="24"/>
          <w:szCs w:val="24"/>
        </w:rPr>
        <w:t>s</w:t>
      </w:r>
      <w:r>
        <w:rPr>
          <w:sz w:val="24"/>
          <w:szCs w:val="24"/>
        </w:rPr>
        <w:t xml:space="preserve">, durvalumab and </w:t>
      </w:r>
      <w:proofErr w:type="spellStart"/>
      <w:r>
        <w:rPr>
          <w:sz w:val="24"/>
          <w:szCs w:val="24"/>
        </w:rPr>
        <w:t>olaparib</w:t>
      </w:r>
      <w:proofErr w:type="spellEnd"/>
      <w:r>
        <w:rPr>
          <w:sz w:val="24"/>
          <w:szCs w:val="24"/>
        </w:rPr>
        <w:t xml:space="preserve"> must be started together in the maintenance phase.  After that </w:t>
      </w:r>
      <w:r w:rsidR="0088390B">
        <w:rPr>
          <w:sz w:val="24"/>
          <w:szCs w:val="24"/>
        </w:rPr>
        <w:t xml:space="preserve">the </w:t>
      </w:r>
      <w:r w:rsidR="00F9564A">
        <w:rPr>
          <w:sz w:val="24"/>
          <w:szCs w:val="24"/>
        </w:rPr>
        <w:t>c</w:t>
      </w:r>
      <w:r w:rsidR="000B4556">
        <w:rPr>
          <w:sz w:val="24"/>
          <w:szCs w:val="24"/>
        </w:rPr>
        <w:t>ommittee</w:t>
      </w:r>
      <w:r w:rsidR="0088390B">
        <w:rPr>
          <w:sz w:val="24"/>
          <w:szCs w:val="24"/>
        </w:rPr>
        <w:t xml:space="preserve"> </w:t>
      </w:r>
      <w:r>
        <w:rPr>
          <w:sz w:val="24"/>
          <w:szCs w:val="24"/>
        </w:rPr>
        <w:t>expect some dose reductions as one can be stopped independently of the other</w:t>
      </w:r>
      <w:r w:rsidR="0088390B">
        <w:rPr>
          <w:sz w:val="24"/>
          <w:szCs w:val="24"/>
        </w:rPr>
        <w:t>.</w:t>
      </w:r>
    </w:p>
    <w:p w14:paraId="2E02F125" w14:textId="77777777" w:rsidR="00356790" w:rsidRPr="00A14EE4" w:rsidRDefault="00462C3D" w:rsidP="00356790">
      <w:pPr>
        <w:pStyle w:val="Paragraph"/>
      </w:pPr>
      <w:r>
        <w:rPr>
          <w:sz w:val="24"/>
          <w:szCs w:val="24"/>
        </w:rPr>
        <w:t>David Harland</w:t>
      </w:r>
      <w:r w:rsidR="00356790">
        <w:rPr>
          <w:sz w:val="24"/>
          <w:szCs w:val="24"/>
        </w:rPr>
        <w:t xml:space="preserve"> stated that this is contrary to the S</w:t>
      </w:r>
      <w:r w:rsidR="004B69AF">
        <w:rPr>
          <w:sz w:val="24"/>
          <w:szCs w:val="24"/>
        </w:rPr>
        <w:t>m</w:t>
      </w:r>
      <w:r w:rsidR="00356790">
        <w:rPr>
          <w:sz w:val="24"/>
          <w:szCs w:val="24"/>
        </w:rPr>
        <w:t xml:space="preserve">PC and that the commissioning scenario where </w:t>
      </w:r>
      <w:proofErr w:type="spellStart"/>
      <w:r w:rsidR="00356790">
        <w:rPr>
          <w:sz w:val="24"/>
          <w:szCs w:val="24"/>
        </w:rPr>
        <w:t>olaparib</w:t>
      </w:r>
      <w:proofErr w:type="spellEnd"/>
      <w:r w:rsidR="00356790">
        <w:rPr>
          <w:sz w:val="24"/>
          <w:szCs w:val="24"/>
        </w:rPr>
        <w:t xml:space="preserve"> could not start because of a haematological toxicity ha</w:t>
      </w:r>
      <w:r w:rsidR="00026DB1">
        <w:rPr>
          <w:sz w:val="24"/>
          <w:szCs w:val="24"/>
        </w:rPr>
        <w:t>d</w:t>
      </w:r>
      <w:r w:rsidR="00356790">
        <w:rPr>
          <w:sz w:val="24"/>
          <w:szCs w:val="24"/>
        </w:rPr>
        <w:t xml:space="preserve"> not been considered.</w:t>
      </w:r>
    </w:p>
    <w:p w14:paraId="41E9E073" w14:textId="074AC1EE" w:rsidR="00356790" w:rsidRPr="00DD17D9" w:rsidRDefault="00462C3D" w:rsidP="00356790">
      <w:pPr>
        <w:pStyle w:val="Paragraph"/>
      </w:pPr>
      <w:r>
        <w:rPr>
          <w:sz w:val="24"/>
          <w:szCs w:val="24"/>
        </w:rPr>
        <w:lastRenderedPageBreak/>
        <w:t>James Fotheringham</w:t>
      </w:r>
      <w:r w:rsidR="00356790">
        <w:rPr>
          <w:sz w:val="24"/>
          <w:szCs w:val="24"/>
        </w:rPr>
        <w:t xml:space="preserve"> clarified that the model assumed 100% of patients who are alive and</w:t>
      </w:r>
      <w:r w:rsidR="00026DB1">
        <w:rPr>
          <w:sz w:val="24"/>
          <w:szCs w:val="24"/>
        </w:rPr>
        <w:t xml:space="preserve"> who</w:t>
      </w:r>
      <w:r w:rsidR="00356790">
        <w:rPr>
          <w:sz w:val="24"/>
          <w:szCs w:val="24"/>
        </w:rPr>
        <w:t xml:space="preserve"> have not progressed at </w:t>
      </w:r>
      <w:r w:rsidR="00026DB1">
        <w:rPr>
          <w:sz w:val="24"/>
          <w:szCs w:val="24"/>
        </w:rPr>
        <w:t xml:space="preserve">the </w:t>
      </w:r>
      <w:r w:rsidR="00356790">
        <w:rPr>
          <w:sz w:val="24"/>
          <w:szCs w:val="24"/>
        </w:rPr>
        <w:t xml:space="preserve">maintenance phase would initiate durvalumab and </w:t>
      </w:r>
      <w:proofErr w:type="spellStart"/>
      <w:r w:rsidR="00356790">
        <w:rPr>
          <w:sz w:val="24"/>
          <w:szCs w:val="24"/>
        </w:rPr>
        <w:t>olaparib</w:t>
      </w:r>
      <w:proofErr w:type="spellEnd"/>
      <w:r w:rsidR="00356790">
        <w:rPr>
          <w:sz w:val="24"/>
          <w:szCs w:val="24"/>
        </w:rPr>
        <w:t xml:space="preserve">.  He noted that this is a devastating condition and a proportion of people who develop toxicity will either progress or die and would not be eligible for </w:t>
      </w:r>
      <w:proofErr w:type="spellStart"/>
      <w:r w:rsidR="00356790">
        <w:rPr>
          <w:sz w:val="24"/>
          <w:szCs w:val="24"/>
        </w:rPr>
        <w:t>olaparib</w:t>
      </w:r>
      <w:proofErr w:type="spellEnd"/>
      <w:r w:rsidR="00356790">
        <w:rPr>
          <w:sz w:val="24"/>
          <w:szCs w:val="24"/>
        </w:rPr>
        <w:t xml:space="preserve"> under the Marketing Authorisation.  He explained that the </w:t>
      </w:r>
      <w:r w:rsidR="002E3D81">
        <w:rPr>
          <w:sz w:val="24"/>
          <w:szCs w:val="24"/>
        </w:rPr>
        <w:t>c</w:t>
      </w:r>
      <w:r w:rsidR="000B4556">
        <w:rPr>
          <w:sz w:val="24"/>
          <w:szCs w:val="24"/>
        </w:rPr>
        <w:t>ommittee</w:t>
      </w:r>
      <w:r w:rsidR="00356790">
        <w:rPr>
          <w:sz w:val="24"/>
          <w:szCs w:val="24"/>
        </w:rPr>
        <w:t xml:space="preserve"> was not presented with evidence from </w:t>
      </w:r>
      <w:r w:rsidR="002E3D81">
        <w:rPr>
          <w:sz w:val="24"/>
          <w:szCs w:val="24"/>
        </w:rPr>
        <w:t>AstraZeneca</w:t>
      </w:r>
      <w:r w:rsidR="00356790">
        <w:rPr>
          <w:sz w:val="24"/>
          <w:szCs w:val="24"/>
        </w:rPr>
        <w:t xml:space="preserve"> on the proportion of people who might have a </w:t>
      </w:r>
      <w:proofErr w:type="gramStart"/>
      <w:r w:rsidR="00356790">
        <w:rPr>
          <w:sz w:val="24"/>
          <w:szCs w:val="24"/>
        </w:rPr>
        <w:t>toxicity</w:t>
      </w:r>
      <w:proofErr w:type="gramEnd"/>
      <w:r w:rsidR="00356790">
        <w:rPr>
          <w:sz w:val="24"/>
          <w:szCs w:val="24"/>
        </w:rPr>
        <w:t xml:space="preserve"> and the DUO-E trial is not reflected in the Marketing Authorisation.</w:t>
      </w:r>
    </w:p>
    <w:p w14:paraId="4454649C" w14:textId="22E659E2" w:rsidR="00356790" w:rsidRPr="00025D8B" w:rsidRDefault="00356790" w:rsidP="00356790">
      <w:pPr>
        <w:pStyle w:val="Paragraph"/>
      </w:pPr>
      <w:r>
        <w:rPr>
          <w:sz w:val="24"/>
          <w:szCs w:val="24"/>
        </w:rPr>
        <w:t>David Harland clarified that the S</w:t>
      </w:r>
      <w:r w:rsidR="004B69AF">
        <w:rPr>
          <w:sz w:val="24"/>
          <w:szCs w:val="24"/>
        </w:rPr>
        <w:t>m</w:t>
      </w:r>
      <w:r>
        <w:rPr>
          <w:sz w:val="24"/>
          <w:szCs w:val="24"/>
        </w:rPr>
        <w:t xml:space="preserve">PC for </w:t>
      </w:r>
      <w:proofErr w:type="spellStart"/>
      <w:r>
        <w:rPr>
          <w:sz w:val="24"/>
          <w:szCs w:val="24"/>
        </w:rPr>
        <w:t>olaparib</w:t>
      </w:r>
      <w:proofErr w:type="spellEnd"/>
      <w:r>
        <w:rPr>
          <w:sz w:val="24"/>
          <w:szCs w:val="24"/>
        </w:rPr>
        <w:t xml:space="preserve"> specifies that where a patient has a haematological toxicity they should recover before commencing durvalumab with </w:t>
      </w:r>
      <w:proofErr w:type="spellStart"/>
      <w:r>
        <w:rPr>
          <w:sz w:val="24"/>
          <w:szCs w:val="24"/>
        </w:rPr>
        <w:t>ol</w:t>
      </w:r>
      <w:r w:rsidR="007600EA">
        <w:rPr>
          <w:sz w:val="24"/>
          <w:szCs w:val="24"/>
        </w:rPr>
        <w:t>a</w:t>
      </w:r>
      <w:r>
        <w:rPr>
          <w:sz w:val="24"/>
          <w:szCs w:val="24"/>
        </w:rPr>
        <w:t>parib</w:t>
      </w:r>
      <w:proofErr w:type="spellEnd"/>
      <w:r>
        <w:rPr>
          <w:sz w:val="24"/>
          <w:szCs w:val="24"/>
        </w:rPr>
        <w:t xml:space="preserve">.  However, in the durvalumab </w:t>
      </w:r>
      <w:r w:rsidRPr="00025D8B">
        <w:rPr>
          <w:sz w:val="24"/>
          <w:szCs w:val="24"/>
        </w:rPr>
        <w:t>S</w:t>
      </w:r>
      <w:r w:rsidR="004B69AF" w:rsidRPr="00025D8B">
        <w:rPr>
          <w:sz w:val="24"/>
          <w:szCs w:val="24"/>
        </w:rPr>
        <w:t>m</w:t>
      </w:r>
      <w:r w:rsidRPr="00025D8B">
        <w:rPr>
          <w:sz w:val="24"/>
          <w:szCs w:val="24"/>
        </w:rPr>
        <w:t xml:space="preserve">PC there </w:t>
      </w:r>
      <w:r w:rsidR="007600EA" w:rsidRPr="00025D8B">
        <w:rPr>
          <w:sz w:val="24"/>
          <w:szCs w:val="24"/>
        </w:rPr>
        <w:t>is</w:t>
      </w:r>
      <w:r w:rsidRPr="00025D8B">
        <w:rPr>
          <w:sz w:val="24"/>
          <w:szCs w:val="24"/>
        </w:rPr>
        <w:t xml:space="preserve"> no such warning.  It also states that where durvalumab is used in combination with chemotherapy there is a toxicity of c</w:t>
      </w:r>
      <w:r w:rsidR="00C343FB">
        <w:rPr>
          <w:sz w:val="24"/>
          <w:szCs w:val="24"/>
        </w:rPr>
        <w:t xml:space="preserve">irca </w:t>
      </w:r>
      <w:r w:rsidRPr="00025D8B">
        <w:rPr>
          <w:sz w:val="24"/>
          <w:szCs w:val="24"/>
        </w:rPr>
        <w:t>40%.</w:t>
      </w:r>
    </w:p>
    <w:p w14:paraId="74A47D6D" w14:textId="7B155E2C" w:rsidR="004555F2" w:rsidRPr="00025D8B" w:rsidRDefault="00B36031" w:rsidP="00356790">
      <w:pPr>
        <w:pStyle w:val="Paragraph"/>
        <w:rPr>
          <w:sz w:val="24"/>
          <w:szCs w:val="24"/>
        </w:rPr>
      </w:pPr>
      <w:r w:rsidRPr="00025D8B">
        <w:rPr>
          <w:sz w:val="24"/>
          <w:szCs w:val="24"/>
        </w:rPr>
        <w:t xml:space="preserve">The </w:t>
      </w:r>
      <w:r w:rsidR="00C343FB">
        <w:rPr>
          <w:sz w:val="24"/>
          <w:szCs w:val="24"/>
        </w:rPr>
        <w:t>a</w:t>
      </w:r>
      <w:r w:rsidR="00BE04E4">
        <w:rPr>
          <w:sz w:val="24"/>
          <w:szCs w:val="24"/>
        </w:rPr>
        <w:t>ppeal panel</w:t>
      </w:r>
      <w:r w:rsidRPr="00025D8B">
        <w:rPr>
          <w:sz w:val="24"/>
          <w:szCs w:val="24"/>
        </w:rPr>
        <w:t xml:space="preserve"> concluded as follows. It noted that this appeal point related to the reasonableness of the decision. </w:t>
      </w:r>
      <w:r w:rsidR="00AD553D" w:rsidRPr="00025D8B">
        <w:rPr>
          <w:sz w:val="24"/>
          <w:szCs w:val="24"/>
        </w:rPr>
        <w:t xml:space="preserve">The </w:t>
      </w:r>
      <w:r w:rsidR="00C343FB">
        <w:rPr>
          <w:sz w:val="24"/>
          <w:szCs w:val="24"/>
        </w:rPr>
        <w:t>appeal p</w:t>
      </w:r>
      <w:r w:rsidR="00AD553D" w:rsidRPr="00025D8B">
        <w:rPr>
          <w:sz w:val="24"/>
          <w:szCs w:val="24"/>
        </w:rPr>
        <w:t xml:space="preserve">anel understood the </w:t>
      </w:r>
      <w:r w:rsidR="00C343FB">
        <w:rPr>
          <w:sz w:val="24"/>
          <w:szCs w:val="24"/>
        </w:rPr>
        <w:t>c</w:t>
      </w:r>
      <w:r w:rsidR="00AD553D" w:rsidRPr="00025D8B">
        <w:rPr>
          <w:sz w:val="24"/>
          <w:szCs w:val="24"/>
        </w:rPr>
        <w:t xml:space="preserve">ommittee’s reasoning in relation to this point.  As discussed under </w:t>
      </w:r>
      <w:r w:rsidR="00C343FB">
        <w:rPr>
          <w:sz w:val="24"/>
          <w:szCs w:val="24"/>
        </w:rPr>
        <w:t xml:space="preserve">appeal </w:t>
      </w:r>
      <w:r w:rsidR="00AD553D" w:rsidRPr="00025D8B">
        <w:rPr>
          <w:sz w:val="24"/>
          <w:szCs w:val="24"/>
        </w:rPr>
        <w:t>point 1a</w:t>
      </w:r>
      <w:r w:rsidR="00025D8B">
        <w:rPr>
          <w:sz w:val="24"/>
          <w:szCs w:val="24"/>
        </w:rPr>
        <w:t>.</w:t>
      </w:r>
      <w:r w:rsidR="00AD553D" w:rsidRPr="00025D8B">
        <w:rPr>
          <w:sz w:val="24"/>
          <w:szCs w:val="24"/>
        </w:rPr>
        <w:t xml:space="preserve">5, the </w:t>
      </w:r>
      <w:r w:rsidR="00C343FB">
        <w:rPr>
          <w:sz w:val="24"/>
          <w:szCs w:val="24"/>
        </w:rPr>
        <w:t>c</w:t>
      </w:r>
      <w:r w:rsidR="00AD553D" w:rsidRPr="00025D8B">
        <w:rPr>
          <w:sz w:val="24"/>
          <w:szCs w:val="24"/>
        </w:rPr>
        <w:t xml:space="preserve">ommittee </w:t>
      </w:r>
      <w:r w:rsidR="004555F2" w:rsidRPr="00025D8B">
        <w:rPr>
          <w:sz w:val="24"/>
          <w:szCs w:val="24"/>
        </w:rPr>
        <w:t>took</w:t>
      </w:r>
      <w:r w:rsidR="00AD553D" w:rsidRPr="00025D8B">
        <w:rPr>
          <w:sz w:val="24"/>
          <w:szCs w:val="24"/>
        </w:rPr>
        <w:t xml:space="preserve"> the advice from the C</w:t>
      </w:r>
      <w:r w:rsidR="00025D8B">
        <w:rPr>
          <w:sz w:val="24"/>
          <w:szCs w:val="24"/>
        </w:rPr>
        <w:t xml:space="preserve">ancer </w:t>
      </w:r>
      <w:r w:rsidR="00AD553D" w:rsidRPr="00025D8B">
        <w:rPr>
          <w:sz w:val="24"/>
          <w:szCs w:val="24"/>
        </w:rPr>
        <w:t>D</w:t>
      </w:r>
      <w:r w:rsidR="00025D8B">
        <w:rPr>
          <w:sz w:val="24"/>
          <w:szCs w:val="24"/>
        </w:rPr>
        <w:t xml:space="preserve">rug </w:t>
      </w:r>
      <w:r w:rsidR="00AD553D" w:rsidRPr="00025D8B">
        <w:rPr>
          <w:sz w:val="24"/>
          <w:szCs w:val="24"/>
        </w:rPr>
        <w:t>F</w:t>
      </w:r>
      <w:r w:rsidR="00025D8B">
        <w:rPr>
          <w:sz w:val="24"/>
          <w:szCs w:val="24"/>
        </w:rPr>
        <w:t>und</w:t>
      </w:r>
      <w:r w:rsidR="00AD553D" w:rsidRPr="00025D8B">
        <w:rPr>
          <w:sz w:val="24"/>
          <w:szCs w:val="24"/>
        </w:rPr>
        <w:t xml:space="preserve"> </w:t>
      </w:r>
      <w:proofErr w:type="gramStart"/>
      <w:r w:rsidR="00025D8B">
        <w:rPr>
          <w:sz w:val="24"/>
          <w:szCs w:val="24"/>
        </w:rPr>
        <w:t>L</w:t>
      </w:r>
      <w:r w:rsidR="00AD553D" w:rsidRPr="00025D8B">
        <w:rPr>
          <w:sz w:val="24"/>
          <w:szCs w:val="24"/>
        </w:rPr>
        <w:t>ead</w:t>
      </w:r>
      <w:proofErr w:type="gramEnd"/>
      <w:r w:rsidR="00AD553D" w:rsidRPr="00025D8B">
        <w:rPr>
          <w:sz w:val="24"/>
          <w:szCs w:val="24"/>
        </w:rPr>
        <w:t xml:space="preserve"> to mean that</w:t>
      </w:r>
      <w:r w:rsidR="004555F2" w:rsidRPr="00025D8B">
        <w:rPr>
          <w:sz w:val="24"/>
          <w:szCs w:val="24"/>
        </w:rPr>
        <w:t xml:space="preserve"> in NHS clinical practice</w:t>
      </w:r>
      <w:r w:rsidR="00AD553D" w:rsidRPr="00025D8B">
        <w:rPr>
          <w:sz w:val="24"/>
          <w:szCs w:val="24"/>
        </w:rPr>
        <w:t xml:space="preserve"> there were no circumstances in which patients would have maintenance treatment with </w:t>
      </w:r>
      <w:r w:rsidR="00F94FE3" w:rsidRPr="00025D8B">
        <w:rPr>
          <w:sz w:val="24"/>
          <w:szCs w:val="24"/>
        </w:rPr>
        <w:t>d</w:t>
      </w:r>
      <w:r w:rsidR="00AD553D" w:rsidRPr="00025D8B">
        <w:rPr>
          <w:sz w:val="24"/>
          <w:szCs w:val="24"/>
        </w:rPr>
        <w:t xml:space="preserve">urvalumab without starting </w:t>
      </w:r>
      <w:proofErr w:type="spellStart"/>
      <w:r w:rsidR="00F94FE3" w:rsidRPr="00025D8B">
        <w:rPr>
          <w:sz w:val="24"/>
          <w:szCs w:val="24"/>
        </w:rPr>
        <w:t>o</w:t>
      </w:r>
      <w:r w:rsidR="00AD553D" w:rsidRPr="00025D8B">
        <w:rPr>
          <w:sz w:val="24"/>
          <w:szCs w:val="24"/>
        </w:rPr>
        <w:t>laparib</w:t>
      </w:r>
      <w:proofErr w:type="spellEnd"/>
      <w:r w:rsidR="00AD553D" w:rsidRPr="00025D8B">
        <w:rPr>
          <w:sz w:val="24"/>
          <w:szCs w:val="24"/>
        </w:rPr>
        <w:t>.  If this conclusion</w:t>
      </w:r>
      <w:r w:rsidR="004555F2" w:rsidRPr="00025D8B">
        <w:rPr>
          <w:sz w:val="24"/>
          <w:szCs w:val="24"/>
        </w:rPr>
        <w:t xml:space="preserve"> is accepted</w:t>
      </w:r>
      <w:r w:rsidR="00AD553D" w:rsidRPr="00025D8B">
        <w:rPr>
          <w:sz w:val="24"/>
          <w:szCs w:val="24"/>
        </w:rPr>
        <w:t xml:space="preserve">, then the </w:t>
      </w:r>
      <w:r w:rsidR="00C343FB">
        <w:rPr>
          <w:sz w:val="24"/>
          <w:szCs w:val="24"/>
        </w:rPr>
        <w:t xml:space="preserve">appeal panel </w:t>
      </w:r>
      <w:r w:rsidR="00AD553D" w:rsidRPr="00025D8B">
        <w:rPr>
          <w:sz w:val="24"/>
          <w:szCs w:val="24"/>
        </w:rPr>
        <w:t>agree</w:t>
      </w:r>
      <w:r w:rsidR="004555F2" w:rsidRPr="00025D8B">
        <w:rPr>
          <w:sz w:val="24"/>
          <w:szCs w:val="24"/>
        </w:rPr>
        <w:t>d</w:t>
      </w:r>
      <w:r w:rsidR="00AD553D" w:rsidRPr="00025D8B">
        <w:rPr>
          <w:sz w:val="24"/>
          <w:szCs w:val="24"/>
        </w:rPr>
        <w:t xml:space="preserve"> that the </w:t>
      </w:r>
      <w:r w:rsidR="00C343FB">
        <w:rPr>
          <w:sz w:val="24"/>
          <w:szCs w:val="24"/>
        </w:rPr>
        <w:t>c</w:t>
      </w:r>
      <w:r w:rsidR="00AD553D" w:rsidRPr="00025D8B">
        <w:rPr>
          <w:sz w:val="24"/>
          <w:szCs w:val="24"/>
        </w:rPr>
        <w:t xml:space="preserve">ommittee’s </w:t>
      </w:r>
      <w:r w:rsidR="004555F2" w:rsidRPr="00025D8B">
        <w:rPr>
          <w:sz w:val="24"/>
          <w:szCs w:val="24"/>
        </w:rPr>
        <w:t xml:space="preserve">preferred assumption of 100% of patients receiving </w:t>
      </w:r>
      <w:proofErr w:type="spellStart"/>
      <w:r w:rsidR="00F94FE3" w:rsidRPr="00025D8B">
        <w:rPr>
          <w:sz w:val="24"/>
          <w:szCs w:val="24"/>
        </w:rPr>
        <w:t>o</w:t>
      </w:r>
      <w:r w:rsidR="004555F2" w:rsidRPr="00025D8B">
        <w:rPr>
          <w:sz w:val="24"/>
          <w:szCs w:val="24"/>
        </w:rPr>
        <w:t>laparib</w:t>
      </w:r>
      <w:proofErr w:type="spellEnd"/>
      <w:r w:rsidR="004555F2" w:rsidRPr="00025D8B">
        <w:rPr>
          <w:sz w:val="24"/>
          <w:szCs w:val="24"/>
        </w:rPr>
        <w:t xml:space="preserve"> was reasonable.  </w:t>
      </w:r>
    </w:p>
    <w:p w14:paraId="656CA6BF" w14:textId="11DEFAA4" w:rsidR="004555F2" w:rsidRPr="00025D8B" w:rsidRDefault="004555F2" w:rsidP="004555F2">
      <w:pPr>
        <w:pStyle w:val="Paragraph"/>
        <w:rPr>
          <w:sz w:val="24"/>
          <w:szCs w:val="24"/>
        </w:rPr>
      </w:pPr>
      <w:r w:rsidRPr="00025D8B">
        <w:rPr>
          <w:sz w:val="24"/>
          <w:szCs w:val="24"/>
        </w:rPr>
        <w:t xml:space="preserve">However, when considering </w:t>
      </w:r>
      <w:r w:rsidR="00C343FB">
        <w:rPr>
          <w:sz w:val="24"/>
          <w:szCs w:val="24"/>
        </w:rPr>
        <w:t xml:space="preserve">appeal </w:t>
      </w:r>
      <w:r w:rsidRPr="00025D8B">
        <w:rPr>
          <w:sz w:val="24"/>
          <w:szCs w:val="24"/>
        </w:rPr>
        <w:t>point 1a</w:t>
      </w:r>
      <w:r w:rsidR="00025D8B">
        <w:rPr>
          <w:sz w:val="24"/>
          <w:szCs w:val="24"/>
        </w:rPr>
        <w:t>.</w:t>
      </w:r>
      <w:r w:rsidRPr="00025D8B">
        <w:rPr>
          <w:sz w:val="24"/>
          <w:szCs w:val="24"/>
        </w:rPr>
        <w:t xml:space="preserve">5, the </w:t>
      </w:r>
      <w:r w:rsidR="00C343FB">
        <w:rPr>
          <w:sz w:val="24"/>
          <w:szCs w:val="24"/>
        </w:rPr>
        <w:t>a</w:t>
      </w:r>
      <w:r w:rsidR="00BE04E4">
        <w:rPr>
          <w:sz w:val="24"/>
          <w:szCs w:val="24"/>
        </w:rPr>
        <w:t>ppeal panel</w:t>
      </w:r>
      <w:r w:rsidRPr="00025D8B">
        <w:rPr>
          <w:sz w:val="24"/>
          <w:szCs w:val="24"/>
        </w:rPr>
        <w:t xml:space="preserve"> concluded that </w:t>
      </w:r>
      <w:r w:rsidR="00C343FB">
        <w:rPr>
          <w:sz w:val="24"/>
          <w:szCs w:val="24"/>
        </w:rPr>
        <w:t>AstraZeneca</w:t>
      </w:r>
      <w:r w:rsidRPr="00025D8B">
        <w:rPr>
          <w:sz w:val="24"/>
          <w:szCs w:val="24"/>
        </w:rPr>
        <w:t xml:space="preserve"> had not had a fair opportunity to fully engage with this issue during the appraisal.  The</w:t>
      </w:r>
      <w:r w:rsidR="00BC7BAF">
        <w:rPr>
          <w:sz w:val="24"/>
          <w:szCs w:val="24"/>
        </w:rPr>
        <w:t xml:space="preserve"> appeal p</w:t>
      </w:r>
      <w:r w:rsidRPr="00025D8B">
        <w:rPr>
          <w:sz w:val="24"/>
          <w:szCs w:val="24"/>
        </w:rPr>
        <w:t xml:space="preserve">anel judged that in the absence of a fair process, the </w:t>
      </w:r>
      <w:r w:rsidR="00BC7BAF">
        <w:rPr>
          <w:sz w:val="24"/>
          <w:szCs w:val="24"/>
        </w:rPr>
        <w:t>c</w:t>
      </w:r>
      <w:r w:rsidRPr="00025D8B">
        <w:rPr>
          <w:sz w:val="24"/>
          <w:szCs w:val="24"/>
        </w:rPr>
        <w:t xml:space="preserve">ommittee may not have had all the relevant facts to inform their decision, and that a decision without all the relevant facts could not be considered reasonable. </w:t>
      </w:r>
    </w:p>
    <w:p w14:paraId="1445D9D0" w14:textId="7CB1F56C" w:rsidR="00356790" w:rsidRPr="00025D8B" w:rsidRDefault="00356790" w:rsidP="00356790">
      <w:pPr>
        <w:pStyle w:val="Paragraph"/>
        <w:rPr>
          <w:sz w:val="24"/>
          <w:szCs w:val="24"/>
        </w:rPr>
      </w:pPr>
      <w:r w:rsidRPr="00025D8B">
        <w:rPr>
          <w:sz w:val="24"/>
          <w:szCs w:val="24"/>
        </w:rPr>
        <w:lastRenderedPageBreak/>
        <w:t xml:space="preserve">The </w:t>
      </w:r>
      <w:r w:rsidR="00BC7BAF">
        <w:rPr>
          <w:sz w:val="24"/>
          <w:szCs w:val="24"/>
        </w:rPr>
        <w:t>a</w:t>
      </w:r>
      <w:r w:rsidR="00BE04E4">
        <w:rPr>
          <w:sz w:val="24"/>
          <w:szCs w:val="24"/>
        </w:rPr>
        <w:t>ppeal panel</w:t>
      </w:r>
      <w:r w:rsidRPr="00025D8B">
        <w:rPr>
          <w:sz w:val="24"/>
          <w:szCs w:val="24"/>
        </w:rPr>
        <w:t xml:space="preserve"> therefore </w:t>
      </w:r>
      <w:r w:rsidR="00AD553D" w:rsidRPr="00025D8B">
        <w:rPr>
          <w:sz w:val="24"/>
          <w:szCs w:val="24"/>
        </w:rPr>
        <w:t>upheld</w:t>
      </w:r>
      <w:r w:rsidRPr="00025D8B">
        <w:rPr>
          <w:sz w:val="24"/>
          <w:szCs w:val="24"/>
        </w:rPr>
        <w:t xml:space="preserve"> the appeal on this point.</w:t>
      </w:r>
    </w:p>
    <w:p w14:paraId="56C1ADAB" w14:textId="72DA2824" w:rsidR="00BF6E8F" w:rsidRDefault="00BF6E8F" w:rsidP="008C699A">
      <w:pPr>
        <w:rPr>
          <w:rFonts w:ascii="Arial" w:eastAsiaTheme="majorEastAsia" w:hAnsi="Arial" w:cstheme="majorBidi"/>
          <w:b/>
          <w:sz w:val="24"/>
          <w:szCs w:val="24"/>
        </w:rPr>
      </w:pPr>
      <w:r w:rsidRPr="008C699A">
        <w:rPr>
          <w:rFonts w:ascii="Arial" w:eastAsiaTheme="majorEastAsia" w:hAnsi="Arial" w:cstheme="majorBidi"/>
          <w:b/>
          <w:sz w:val="24"/>
          <w:szCs w:val="24"/>
        </w:rPr>
        <w:t xml:space="preserve">Appeal </w:t>
      </w:r>
      <w:proofErr w:type="gramStart"/>
      <w:r w:rsidRPr="008C699A">
        <w:rPr>
          <w:rFonts w:ascii="Arial" w:eastAsiaTheme="majorEastAsia" w:hAnsi="Arial" w:cstheme="majorBidi"/>
          <w:b/>
          <w:sz w:val="24"/>
          <w:szCs w:val="24"/>
        </w:rPr>
        <w:t>point</w:t>
      </w:r>
      <w:proofErr w:type="gramEnd"/>
      <w:r w:rsidRPr="008C699A">
        <w:rPr>
          <w:rFonts w:ascii="Arial" w:eastAsiaTheme="majorEastAsia" w:hAnsi="Arial" w:cstheme="majorBidi"/>
          <w:b/>
          <w:sz w:val="24"/>
          <w:szCs w:val="24"/>
        </w:rPr>
        <w:t xml:space="preserve"> 2.2 </w:t>
      </w:r>
      <w:r w:rsidR="008C699A" w:rsidRPr="008C699A">
        <w:rPr>
          <w:rFonts w:ascii="Arial" w:eastAsiaTheme="majorEastAsia" w:hAnsi="Arial" w:cstheme="majorBidi"/>
          <w:b/>
          <w:sz w:val="24"/>
          <w:szCs w:val="24"/>
        </w:rPr>
        <w:t>The Committee’s conclusion that the ICER threshold should be limited to £20,000 per QALY due to “uncertainties” in the data, is unreasonable in the context of the evidence relied upon</w:t>
      </w:r>
    </w:p>
    <w:p w14:paraId="5F30604C" w14:textId="0D952F5C" w:rsidR="00356790" w:rsidRPr="00025D8B" w:rsidRDefault="00356790" w:rsidP="00356790">
      <w:pPr>
        <w:pStyle w:val="Paragraph"/>
        <w:rPr>
          <w:sz w:val="24"/>
          <w:szCs w:val="24"/>
        </w:rPr>
      </w:pPr>
      <w:r>
        <w:rPr>
          <w:sz w:val="24"/>
          <w:szCs w:val="24"/>
        </w:rPr>
        <w:t xml:space="preserve">This </w:t>
      </w:r>
      <w:r w:rsidRPr="00025D8B">
        <w:rPr>
          <w:sz w:val="24"/>
          <w:szCs w:val="24"/>
        </w:rPr>
        <w:t xml:space="preserve">appeal point was considered with </w:t>
      </w:r>
      <w:r w:rsidR="00B42629">
        <w:rPr>
          <w:sz w:val="24"/>
          <w:szCs w:val="24"/>
        </w:rPr>
        <w:t>a</w:t>
      </w:r>
      <w:r w:rsidRPr="00025D8B">
        <w:rPr>
          <w:sz w:val="24"/>
          <w:szCs w:val="24"/>
        </w:rPr>
        <w:t xml:space="preserve">ppeal </w:t>
      </w:r>
      <w:r w:rsidR="00B42629">
        <w:rPr>
          <w:sz w:val="24"/>
          <w:szCs w:val="24"/>
        </w:rPr>
        <w:t>p</w:t>
      </w:r>
      <w:r w:rsidRPr="00025D8B">
        <w:rPr>
          <w:sz w:val="24"/>
          <w:szCs w:val="24"/>
        </w:rPr>
        <w:t xml:space="preserve">oint 1a.1.  Please see </w:t>
      </w:r>
      <w:r w:rsidR="00B42629">
        <w:rPr>
          <w:sz w:val="24"/>
          <w:szCs w:val="24"/>
        </w:rPr>
        <w:t>a</w:t>
      </w:r>
      <w:r w:rsidRPr="00025D8B">
        <w:rPr>
          <w:sz w:val="24"/>
          <w:szCs w:val="24"/>
        </w:rPr>
        <w:t xml:space="preserve">ppeal </w:t>
      </w:r>
      <w:r w:rsidR="00B42629">
        <w:rPr>
          <w:sz w:val="24"/>
          <w:szCs w:val="24"/>
        </w:rPr>
        <w:t>p</w:t>
      </w:r>
      <w:r w:rsidRPr="00025D8B">
        <w:rPr>
          <w:sz w:val="24"/>
          <w:szCs w:val="24"/>
        </w:rPr>
        <w:t>oint 1a.1 above for a summary of the discussions.</w:t>
      </w:r>
    </w:p>
    <w:p w14:paraId="5DEB2204" w14:textId="1FE4FD4D" w:rsidR="003442BF" w:rsidRPr="00025D8B" w:rsidRDefault="00B36031" w:rsidP="00356790">
      <w:pPr>
        <w:pStyle w:val="Paragraph"/>
        <w:rPr>
          <w:sz w:val="24"/>
          <w:szCs w:val="24"/>
        </w:rPr>
      </w:pPr>
      <w:r w:rsidRPr="00025D8B">
        <w:rPr>
          <w:sz w:val="24"/>
          <w:szCs w:val="24"/>
        </w:rPr>
        <w:t xml:space="preserve">The </w:t>
      </w:r>
      <w:r w:rsidR="00B42629">
        <w:rPr>
          <w:sz w:val="24"/>
          <w:szCs w:val="24"/>
        </w:rPr>
        <w:t>a</w:t>
      </w:r>
      <w:r w:rsidR="00BE04E4">
        <w:rPr>
          <w:sz w:val="24"/>
          <w:szCs w:val="24"/>
        </w:rPr>
        <w:t>ppeal panel</w:t>
      </w:r>
      <w:r w:rsidRPr="00025D8B">
        <w:rPr>
          <w:sz w:val="24"/>
          <w:szCs w:val="24"/>
        </w:rPr>
        <w:t xml:space="preserve"> concluded as follows.  The </w:t>
      </w:r>
      <w:r w:rsidR="00B42629">
        <w:rPr>
          <w:sz w:val="24"/>
          <w:szCs w:val="24"/>
        </w:rPr>
        <w:t>ap</w:t>
      </w:r>
      <w:r w:rsidR="00BE04E4">
        <w:rPr>
          <w:sz w:val="24"/>
          <w:szCs w:val="24"/>
        </w:rPr>
        <w:t>peal panel</w:t>
      </w:r>
      <w:r w:rsidRPr="00025D8B">
        <w:rPr>
          <w:sz w:val="24"/>
          <w:szCs w:val="24"/>
        </w:rPr>
        <w:t xml:space="preserve"> consider</w:t>
      </w:r>
      <w:r w:rsidR="009F6445" w:rsidRPr="00025D8B">
        <w:rPr>
          <w:sz w:val="24"/>
          <w:szCs w:val="24"/>
        </w:rPr>
        <w:t>ed</w:t>
      </w:r>
      <w:r w:rsidRPr="00025D8B">
        <w:rPr>
          <w:sz w:val="24"/>
          <w:szCs w:val="24"/>
        </w:rPr>
        <w:t xml:space="preserve"> whether NICE’s decision had been reasonable. </w:t>
      </w:r>
      <w:r w:rsidR="004555F2" w:rsidRPr="00025D8B">
        <w:rPr>
          <w:sz w:val="24"/>
          <w:szCs w:val="24"/>
        </w:rPr>
        <w:t>T</w:t>
      </w:r>
      <w:r w:rsidR="004213A2" w:rsidRPr="00025D8B">
        <w:rPr>
          <w:sz w:val="24"/>
          <w:szCs w:val="24"/>
        </w:rPr>
        <w:t xml:space="preserve">he </w:t>
      </w:r>
      <w:r w:rsidR="00B42629">
        <w:rPr>
          <w:sz w:val="24"/>
          <w:szCs w:val="24"/>
        </w:rPr>
        <w:t>appeal p</w:t>
      </w:r>
      <w:r w:rsidR="004213A2" w:rsidRPr="00025D8B">
        <w:rPr>
          <w:sz w:val="24"/>
          <w:szCs w:val="24"/>
        </w:rPr>
        <w:t xml:space="preserve">anel did not consider whether it preferred the view of </w:t>
      </w:r>
      <w:r w:rsidR="00B42629">
        <w:rPr>
          <w:sz w:val="24"/>
          <w:szCs w:val="24"/>
        </w:rPr>
        <w:t xml:space="preserve">AstraZeneca </w:t>
      </w:r>
      <w:r w:rsidR="004213A2" w:rsidRPr="00025D8B">
        <w:rPr>
          <w:sz w:val="24"/>
          <w:szCs w:val="24"/>
        </w:rPr>
        <w:t xml:space="preserve">or the </w:t>
      </w:r>
      <w:r w:rsidR="00B42629">
        <w:rPr>
          <w:sz w:val="24"/>
          <w:szCs w:val="24"/>
        </w:rPr>
        <w:t>c</w:t>
      </w:r>
      <w:r w:rsidR="004213A2" w:rsidRPr="00025D8B">
        <w:rPr>
          <w:sz w:val="24"/>
          <w:szCs w:val="24"/>
        </w:rPr>
        <w:t xml:space="preserve">ommittee on the question of how the identified uncertainties should inform the ICER threshold. </w:t>
      </w:r>
    </w:p>
    <w:p w14:paraId="2084EE90" w14:textId="018DA136" w:rsidR="003442BF" w:rsidRPr="00025D8B" w:rsidRDefault="004213A2" w:rsidP="00356790">
      <w:pPr>
        <w:pStyle w:val="Paragraph"/>
        <w:rPr>
          <w:sz w:val="24"/>
          <w:szCs w:val="24"/>
        </w:rPr>
      </w:pPr>
      <w:r w:rsidRPr="00025D8B">
        <w:rPr>
          <w:sz w:val="24"/>
          <w:szCs w:val="24"/>
        </w:rPr>
        <w:t xml:space="preserve">At the hearing, the </w:t>
      </w:r>
      <w:r w:rsidR="00B42629">
        <w:rPr>
          <w:sz w:val="24"/>
          <w:szCs w:val="24"/>
        </w:rPr>
        <w:t>appeal p</w:t>
      </w:r>
      <w:r w:rsidRPr="00025D8B">
        <w:rPr>
          <w:sz w:val="24"/>
          <w:szCs w:val="24"/>
        </w:rPr>
        <w:t xml:space="preserve">anel heard detailed and logical arguments from the </w:t>
      </w:r>
      <w:r w:rsidR="00B42629">
        <w:rPr>
          <w:sz w:val="24"/>
          <w:szCs w:val="24"/>
        </w:rPr>
        <w:t>c</w:t>
      </w:r>
      <w:r w:rsidRPr="00025D8B">
        <w:rPr>
          <w:sz w:val="24"/>
          <w:szCs w:val="24"/>
        </w:rPr>
        <w:t xml:space="preserve">ommittee about each of the three key areas of uncertainty.  In relation to the lack of a statistically significant overall survival benefit, the </w:t>
      </w:r>
      <w:r w:rsidR="00B42629">
        <w:rPr>
          <w:sz w:val="24"/>
          <w:szCs w:val="24"/>
        </w:rPr>
        <w:t>appeal p</w:t>
      </w:r>
      <w:r w:rsidRPr="00025D8B">
        <w:rPr>
          <w:sz w:val="24"/>
          <w:szCs w:val="24"/>
        </w:rPr>
        <w:t xml:space="preserve">anel agreed that the </w:t>
      </w:r>
      <w:r w:rsidR="00B42629">
        <w:rPr>
          <w:sz w:val="24"/>
          <w:szCs w:val="24"/>
        </w:rPr>
        <w:t>c</w:t>
      </w:r>
      <w:r w:rsidRPr="00025D8B">
        <w:rPr>
          <w:sz w:val="24"/>
          <w:szCs w:val="24"/>
        </w:rPr>
        <w:t xml:space="preserve">ommittee’s argument that this made all </w:t>
      </w:r>
      <w:r w:rsidR="002C4A51">
        <w:rPr>
          <w:sz w:val="24"/>
          <w:szCs w:val="24"/>
        </w:rPr>
        <w:t>overall survival</w:t>
      </w:r>
      <w:r w:rsidRPr="00025D8B">
        <w:rPr>
          <w:sz w:val="24"/>
          <w:szCs w:val="24"/>
        </w:rPr>
        <w:t xml:space="preserve"> extrapolations highly uncertain was </w:t>
      </w:r>
      <w:r w:rsidR="003442BF" w:rsidRPr="00025D8B">
        <w:rPr>
          <w:sz w:val="24"/>
          <w:szCs w:val="24"/>
        </w:rPr>
        <w:t>reasonable</w:t>
      </w:r>
      <w:r w:rsidRPr="00025D8B">
        <w:rPr>
          <w:sz w:val="24"/>
          <w:szCs w:val="24"/>
        </w:rPr>
        <w:t xml:space="preserve">.  In relation to subsequent </w:t>
      </w:r>
      <w:r w:rsidR="003442BF" w:rsidRPr="00025D8B">
        <w:rPr>
          <w:sz w:val="24"/>
          <w:szCs w:val="24"/>
        </w:rPr>
        <w:t>treatment</w:t>
      </w:r>
      <w:r w:rsidRPr="00025D8B">
        <w:rPr>
          <w:sz w:val="24"/>
          <w:szCs w:val="24"/>
        </w:rPr>
        <w:t xml:space="preserve">, the </w:t>
      </w:r>
      <w:r w:rsidR="00B42629">
        <w:rPr>
          <w:sz w:val="24"/>
          <w:szCs w:val="24"/>
        </w:rPr>
        <w:t>appeal p</w:t>
      </w:r>
      <w:r w:rsidR="003442BF" w:rsidRPr="00025D8B">
        <w:rPr>
          <w:sz w:val="24"/>
          <w:szCs w:val="24"/>
        </w:rPr>
        <w:t>anel considered</w:t>
      </w:r>
      <w:r w:rsidRPr="00025D8B">
        <w:rPr>
          <w:sz w:val="24"/>
          <w:szCs w:val="24"/>
        </w:rPr>
        <w:t xml:space="preserve"> </w:t>
      </w:r>
      <w:r w:rsidR="003442BF" w:rsidRPr="00025D8B">
        <w:rPr>
          <w:sz w:val="24"/>
          <w:szCs w:val="24"/>
        </w:rPr>
        <w:t xml:space="preserve">NICE’s position that there was insufficient evidence to support </w:t>
      </w:r>
      <w:r w:rsidR="00B42629">
        <w:rPr>
          <w:sz w:val="24"/>
          <w:szCs w:val="24"/>
        </w:rPr>
        <w:t>AstraZeneca</w:t>
      </w:r>
      <w:r w:rsidR="003442BF" w:rsidRPr="00025D8B">
        <w:rPr>
          <w:sz w:val="24"/>
          <w:szCs w:val="24"/>
        </w:rPr>
        <w:t xml:space="preserve">’s view that second line immunotherapy would not influence outcomes:  they agreed that this view was a reasonable one.  In relation to a treatment cap, the </w:t>
      </w:r>
      <w:r w:rsidR="00780A8F">
        <w:rPr>
          <w:sz w:val="24"/>
          <w:szCs w:val="24"/>
        </w:rPr>
        <w:t>appeal p</w:t>
      </w:r>
      <w:r w:rsidR="003442BF" w:rsidRPr="00025D8B">
        <w:rPr>
          <w:sz w:val="24"/>
          <w:szCs w:val="24"/>
        </w:rPr>
        <w:t xml:space="preserve">anel considered NICE’s position that this increased uncertainty about clinical outcomes and agreed that this was also reasonable.  </w:t>
      </w:r>
    </w:p>
    <w:p w14:paraId="26C0CE80" w14:textId="4BF13700" w:rsidR="003442BF" w:rsidRPr="00025D8B" w:rsidRDefault="003442BF" w:rsidP="00356790">
      <w:pPr>
        <w:pStyle w:val="Paragraph"/>
        <w:rPr>
          <w:sz w:val="24"/>
          <w:szCs w:val="24"/>
        </w:rPr>
      </w:pPr>
      <w:r w:rsidRPr="00025D8B">
        <w:rPr>
          <w:sz w:val="24"/>
          <w:szCs w:val="24"/>
        </w:rPr>
        <w:t>As discussed under 1a</w:t>
      </w:r>
      <w:r w:rsidR="002C4A51">
        <w:rPr>
          <w:sz w:val="24"/>
          <w:szCs w:val="24"/>
        </w:rPr>
        <w:t>.</w:t>
      </w:r>
      <w:r w:rsidRPr="00025D8B">
        <w:rPr>
          <w:sz w:val="24"/>
          <w:szCs w:val="24"/>
        </w:rPr>
        <w:t xml:space="preserve">1, the </w:t>
      </w:r>
      <w:r w:rsidR="00780A8F">
        <w:rPr>
          <w:sz w:val="24"/>
          <w:szCs w:val="24"/>
        </w:rPr>
        <w:t>appeal p</w:t>
      </w:r>
      <w:r w:rsidRPr="00025D8B">
        <w:rPr>
          <w:sz w:val="24"/>
          <w:szCs w:val="24"/>
        </w:rPr>
        <w:t xml:space="preserve">anel were satisfied that the </w:t>
      </w:r>
      <w:r w:rsidR="00780A8F">
        <w:rPr>
          <w:sz w:val="24"/>
          <w:szCs w:val="24"/>
        </w:rPr>
        <w:t>c</w:t>
      </w:r>
      <w:r w:rsidRPr="00025D8B">
        <w:rPr>
          <w:sz w:val="24"/>
          <w:szCs w:val="24"/>
        </w:rPr>
        <w:t xml:space="preserve">ommittee had considered the degree of uncertainty as well as the mere presence of uncertainty in taking a deliberative approach to deciding on the appropriate ICER threshold.  </w:t>
      </w:r>
    </w:p>
    <w:p w14:paraId="4DBEC337" w14:textId="2A0949FA" w:rsidR="00EC3F66" w:rsidRPr="00025D8B" w:rsidRDefault="00EC3F66" w:rsidP="00356790">
      <w:pPr>
        <w:pStyle w:val="Paragraph"/>
        <w:rPr>
          <w:sz w:val="24"/>
          <w:szCs w:val="24"/>
        </w:rPr>
      </w:pPr>
      <w:r w:rsidRPr="00025D8B">
        <w:rPr>
          <w:sz w:val="24"/>
          <w:szCs w:val="24"/>
        </w:rPr>
        <w:t xml:space="preserve">The </w:t>
      </w:r>
      <w:r w:rsidR="00780A8F">
        <w:rPr>
          <w:sz w:val="24"/>
          <w:szCs w:val="24"/>
        </w:rPr>
        <w:t xml:space="preserve">appeal </w:t>
      </w:r>
      <w:r w:rsidRPr="00025D8B">
        <w:rPr>
          <w:sz w:val="24"/>
          <w:szCs w:val="24"/>
        </w:rPr>
        <w:t xml:space="preserve">panel was aware that such uncertainties are not uncommon in appraisals of cancer </w:t>
      </w:r>
      <w:r w:rsidR="00F94FE3" w:rsidRPr="00025D8B">
        <w:rPr>
          <w:sz w:val="24"/>
          <w:szCs w:val="24"/>
        </w:rPr>
        <w:t>therapies and</w:t>
      </w:r>
      <w:r w:rsidRPr="00025D8B">
        <w:rPr>
          <w:sz w:val="24"/>
          <w:szCs w:val="24"/>
        </w:rPr>
        <w:t xml:space="preserve"> judged that there was </w:t>
      </w:r>
      <w:r w:rsidRPr="00025D8B">
        <w:rPr>
          <w:sz w:val="24"/>
          <w:szCs w:val="24"/>
        </w:rPr>
        <w:lastRenderedPageBreak/>
        <w:t xml:space="preserve">a range of reasonable approaches to incorporating these uncertainties into the decision about the ICER threshold in this </w:t>
      </w:r>
      <w:proofErr w:type="gramStart"/>
      <w:r w:rsidRPr="00025D8B">
        <w:rPr>
          <w:sz w:val="24"/>
          <w:szCs w:val="24"/>
        </w:rPr>
        <w:t>particular case</w:t>
      </w:r>
      <w:proofErr w:type="gramEnd"/>
      <w:r w:rsidRPr="00025D8B">
        <w:rPr>
          <w:sz w:val="24"/>
          <w:szCs w:val="24"/>
        </w:rPr>
        <w:t>.</w:t>
      </w:r>
    </w:p>
    <w:p w14:paraId="2A53F018" w14:textId="067A3F4D" w:rsidR="003442BF" w:rsidRPr="00025D8B" w:rsidRDefault="003442BF" w:rsidP="00356790">
      <w:pPr>
        <w:pStyle w:val="Paragraph"/>
        <w:rPr>
          <w:sz w:val="24"/>
          <w:szCs w:val="24"/>
        </w:rPr>
      </w:pPr>
      <w:r w:rsidRPr="00025D8B">
        <w:rPr>
          <w:sz w:val="24"/>
          <w:szCs w:val="24"/>
        </w:rPr>
        <w:t xml:space="preserve">Overall, </w:t>
      </w:r>
      <w:r w:rsidR="00EC3F66" w:rsidRPr="00025D8B">
        <w:rPr>
          <w:sz w:val="24"/>
          <w:szCs w:val="24"/>
        </w:rPr>
        <w:t xml:space="preserve">the </w:t>
      </w:r>
      <w:r w:rsidR="00780A8F">
        <w:rPr>
          <w:sz w:val="24"/>
          <w:szCs w:val="24"/>
        </w:rPr>
        <w:t>a</w:t>
      </w:r>
      <w:r w:rsidR="00BE04E4">
        <w:rPr>
          <w:sz w:val="24"/>
          <w:szCs w:val="24"/>
        </w:rPr>
        <w:t>ppeal panel</w:t>
      </w:r>
      <w:r w:rsidRPr="00025D8B">
        <w:rPr>
          <w:sz w:val="24"/>
          <w:szCs w:val="24"/>
        </w:rPr>
        <w:t xml:space="preserve"> </w:t>
      </w:r>
      <w:r w:rsidR="00EC3F66" w:rsidRPr="00025D8B">
        <w:rPr>
          <w:sz w:val="24"/>
          <w:szCs w:val="24"/>
        </w:rPr>
        <w:t xml:space="preserve">judged that the approach to deciding the ICER threshold taken by the </w:t>
      </w:r>
      <w:r w:rsidR="00780A8F">
        <w:rPr>
          <w:sz w:val="24"/>
          <w:szCs w:val="24"/>
        </w:rPr>
        <w:t>c</w:t>
      </w:r>
      <w:r w:rsidR="00EC3F66" w:rsidRPr="00025D8B">
        <w:rPr>
          <w:sz w:val="24"/>
          <w:szCs w:val="24"/>
        </w:rPr>
        <w:t xml:space="preserve">ommittee had not been unreasonable. </w:t>
      </w:r>
    </w:p>
    <w:p w14:paraId="712E9DC2" w14:textId="62D4A222" w:rsidR="00CC79EF" w:rsidRPr="00025D8B" w:rsidRDefault="00CC79EF" w:rsidP="000A42BB">
      <w:pPr>
        <w:pStyle w:val="Heading3"/>
        <w:spacing w:line="360" w:lineRule="auto"/>
        <w:rPr>
          <w:i/>
          <w:iCs/>
          <w:sz w:val="28"/>
          <w:szCs w:val="28"/>
        </w:rPr>
      </w:pPr>
      <w:r w:rsidRPr="00025D8B">
        <w:rPr>
          <w:i/>
          <w:iCs/>
          <w:sz w:val="28"/>
          <w:szCs w:val="28"/>
        </w:rPr>
        <w:t xml:space="preserve">Conclusion and effect of the </w:t>
      </w:r>
      <w:r w:rsidR="00780A8F">
        <w:rPr>
          <w:i/>
          <w:iCs/>
          <w:sz w:val="28"/>
          <w:szCs w:val="28"/>
        </w:rPr>
        <w:t>ap</w:t>
      </w:r>
      <w:r w:rsidR="00BE04E4">
        <w:rPr>
          <w:i/>
          <w:iCs/>
          <w:sz w:val="28"/>
          <w:szCs w:val="28"/>
        </w:rPr>
        <w:t>peal panel</w:t>
      </w:r>
      <w:r w:rsidRPr="00025D8B">
        <w:rPr>
          <w:i/>
          <w:iCs/>
          <w:sz w:val="28"/>
          <w:szCs w:val="28"/>
        </w:rPr>
        <w:t>’s decisi</w:t>
      </w:r>
      <w:r w:rsidR="00B93E19" w:rsidRPr="00025D8B">
        <w:rPr>
          <w:i/>
          <w:iCs/>
          <w:sz w:val="28"/>
          <w:szCs w:val="28"/>
        </w:rPr>
        <w:t>on</w:t>
      </w:r>
    </w:p>
    <w:p w14:paraId="246721E6" w14:textId="1DC53EDB" w:rsidR="0050252F" w:rsidRPr="00025D8B" w:rsidRDefault="0050252F" w:rsidP="0050252F">
      <w:pPr>
        <w:pStyle w:val="Paragraph"/>
        <w:rPr>
          <w:sz w:val="24"/>
          <w:szCs w:val="24"/>
        </w:rPr>
      </w:pPr>
      <w:r w:rsidRPr="00025D8B">
        <w:rPr>
          <w:sz w:val="24"/>
          <w:szCs w:val="24"/>
        </w:rPr>
        <w:t xml:space="preserve">The </w:t>
      </w:r>
      <w:r w:rsidR="00203DC8">
        <w:rPr>
          <w:sz w:val="24"/>
          <w:szCs w:val="24"/>
        </w:rPr>
        <w:t>a</w:t>
      </w:r>
      <w:r w:rsidR="00BE04E4">
        <w:rPr>
          <w:sz w:val="24"/>
          <w:szCs w:val="24"/>
        </w:rPr>
        <w:t>ppeal panel</w:t>
      </w:r>
      <w:r w:rsidRPr="00025D8B">
        <w:rPr>
          <w:sz w:val="24"/>
          <w:szCs w:val="24"/>
        </w:rPr>
        <w:t xml:space="preserve"> therefore upholds </w:t>
      </w:r>
      <w:r w:rsidR="00203DC8">
        <w:rPr>
          <w:sz w:val="24"/>
          <w:szCs w:val="24"/>
        </w:rPr>
        <w:t>AstraZeneca</w:t>
      </w:r>
      <w:r w:rsidR="009F6445" w:rsidRPr="00025D8B">
        <w:rPr>
          <w:sz w:val="24"/>
          <w:szCs w:val="24"/>
        </w:rPr>
        <w:t xml:space="preserve">'s </w:t>
      </w:r>
      <w:r w:rsidRPr="00025D8B">
        <w:rPr>
          <w:sz w:val="24"/>
          <w:szCs w:val="24"/>
        </w:rPr>
        <w:t xml:space="preserve">appeal on </w:t>
      </w:r>
      <w:r w:rsidR="00203DC8">
        <w:rPr>
          <w:sz w:val="24"/>
          <w:szCs w:val="24"/>
        </w:rPr>
        <w:t xml:space="preserve">appeal point </w:t>
      </w:r>
      <w:r w:rsidR="009F6445" w:rsidRPr="00025D8B">
        <w:rPr>
          <w:sz w:val="24"/>
          <w:szCs w:val="24"/>
        </w:rPr>
        <w:t>1a.5</w:t>
      </w:r>
      <w:r w:rsidR="00693CC4" w:rsidRPr="00025D8B">
        <w:rPr>
          <w:sz w:val="24"/>
          <w:szCs w:val="24"/>
        </w:rPr>
        <w:t xml:space="preserve"> and </w:t>
      </w:r>
      <w:r w:rsidR="00203DC8">
        <w:rPr>
          <w:sz w:val="24"/>
          <w:szCs w:val="24"/>
        </w:rPr>
        <w:t>appeal point</w:t>
      </w:r>
      <w:r w:rsidR="00693CC4" w:rsidRPr="00025D8B">
        <w:rPr>
          <w:sz w:val="24"/>
          <w:szCs w:val="24"/>
        </w:rPr>
        <w:t xml:space="preserve"> 2.1</w:t>
      </w:r>
      <w:r w:rsidR="009F6445" w:rsidRPr="00025D8B">
        <w:rPr>
          <w:sz w:val="24"/>
          <w:szCs w:val="24"/>
        </w:rPr>
        <w:t xml:space="preserve">. </w:t>
      </w:r>
      <w:r w:rsidRPr="00025D8B">
        <w:rPr>
          <w:sz w:val="24"/>
          <w:szCs w:val="24"/>
        </w:rPr>
        <w:t>The appeal is dismissed on all other grounds.</w:t>
      </w:r>
    </w:p>
    <w:p w14:paraId="238C494D" w14:textId="7B8E8B9D" w:rsidR="0050252F" w:rsidRPr="00025D8B" w:rsidRDefault="0050252F" w:rsidP="0050252F">
      <w:pPr>
        <w:pStyle w:val="Paragraph"/>
        <w:rPr>
          <w:color w:val="FF0000"/>
          <w:sz w:val="24"/>
          <w:szCs w:val="24"/>
        </w:rPr>
      </w:pPr>
      <w:r w:rsidRPr="00025D8B">
        <w:rPr>
          <w:sz w:val="24"/>
          <w:szCs w:val="24"/>
        </w:rPr>
        <w:t xml:space="preserve">The appraisal is remitted to the appraisal </w:t>
      </w:r>
      <w:r w:rsidR="0040534B">
        <w:rPr>
          <w:sz w:val="24"/>
          <w:szCs w:val="24"/>
        </w:rPr>
        <w:t>c</w:t>
      </w:r>
      <w:r w:rsidR="0040534B" w:rsidRPr="00025D8B">
        <w:rPr>
          <w:sz w:val="24"/>
          <w:szCs w:val="24"/>
        </w:rPr>
        <w:t xml:space="preserve">ommittee </w:t>
      </w:r>
      <w:r w:rsidRPr="00025D8B">
        <w:rPr>
          <w:sz w:val="24"/>
          <w:szCs w:val="24"/>
        </w:rPr>
        <w:t xml:space="preserve">who must now take all reasonable steps to </w:t>
      </w:r>
      <w:r w:rsidR="003C703C" w:rsidRPr="00025D8B">
        <w:rPr>
          <w:sz w:val="24"/>
          <w:szCs w:val="24"/>
        </w:rPr>
        <w:t xml:space="preserve">allow </w:t>
      </w:r>
      <w:r w:rsidR="0040534B">
        <w:rPr>
          <w:sz w:val="24"/>
          <w:szCs w:val="24"/>
        </w:rPr>
        <w:t>AstraZeneca</w:t>
      </w:r>
      <w:r w:rsidR="003C703C" w:rsidRPr="00025D8B">
        <w:rPr>
          <w:sz w:val="24"/>
          <w:szCs w:val="24"/>
        </w:rPr>
        <w:t xml:space="preserve"> a further opportunity for discussion of the </w:t>
      </w:r>
      <w:r w:rsidR="00E24BEA">
        <w:rPr>
          <w:sz w:val="24"/>
          <w:szCs w:val="24"/>
        </w:rPr>
        <w:t>c</w:t>
      </w:r>
      <w:r w:rsidR="003C703C" w:rsidRPr="00025D8B">
        <w:rPr>
          <w:sz w:val="24"/>
          <w:szCs w:val="24"/>
        </w:rPr>
        <w:t xml:space="preserve">ommittee’s preferred assumption regarding the proportion of patients who commence </w:t>
      </w:r>
      <w:proofErr w:type="spellStart"/>
      <w:r w:rsidR="003C703C" w:rsidRPr="00025D8B">
        <w:rPr>
          <w:sz w:val="24"/>
          <w:szCs w:val="24"/>
        </w:rPr>
        <w:t>olaparib</w:t>
      </w:r>
      <w:proofErr w:type="spellEnd"/>
      <w:r w:rsidR="003C703C" w:rsidRPr="00025D8B">
        <w:rPr>
          <w:sz w:val="24"/>
          <w:szCs w:val="24"/>
        </w:rPr>
        <w:t xml:space="preserve"> therapy.  One way to achieve this might be a further round of consultation.  </w:t>
      </w:r>
    </w:p>
    <w:p w14:paraId="57E4D328" w14:textId="216B559D" w:rsidR="008814FB" w:rsidRPr="0050252F" w:rsidRDefault="0050252F" w:rsidP="0050252F">
      <w:pPr>
        <w:pStyle w:val="Paragraph"/>
        <w:rPr>
          <w:sz w:val="24"/>
          <w:szCs w:val="24"/>
        </w:rPr>
      </w:pPr>
      <w:r w:rsidRPr="00025D8B">
        <w:rPr>
          <w:sz w:val="24"/>
          <w:szCs w:val="24"/>
        </w:rPr>
        <w:t>There is no possibility of further appeal against this decision</w:t>
      </w:r>
      <w:r w:rsidRPr="0050252F">
        <w:rPr>
          <w:sz w:val="24"/>
          <w:szCs w:val="24"/>
        </w:rPr>
        <w:t xml:space="preserve"> of the </w:t>
      </w:r>
      <w:r w:rsidR="00E24BEA">
        <w:rPr>
          <w:sz w:val="24"/>
          <w:szCs w:val="24"/>
        </w:rPr>
        <w:t>a</w:t>
      </w:r>
      <w:r w:rsidR="00BE04E4">
        <w:rPr>
          <w:sz w:val="24"/>
          <w:szCs w:val="24"/>
        </w:rPr>
        <w:t>ppeal panel</w:t>
      </w:r>
      <w:r w:rsidRPr="0050252F">
        <w:rPr>
          <w:sz w:val="24"/>
          <w:szCs w:val="24"/>
        </w:rPr>
        <w:t>. However, this decision and NICE’s decision to issue the final guidance may be challenged by applying to the High Court for permission to apply for a judicial review. Any such application must be made within three months of NICE publishing the final guidance.</w:t>
      </w:r>
    </w:p>
    <w:sectPr w:rsidR="008814FB" w:rsidRPr="0050252F" w:rsidSect="002D50A5">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EB431" w14:textId="77777777" w:rsidR="00797BC9" w:rsidRDefault="00797BC9" w:rsidP="00446BEE">
      <w:r>
        <w:separator/>
      </w:r>
    </w:p>
  </w:endnote>
  <w:endnote w:type="continuationSeparator" w:id="0">
    <w:p w14:paraId="34B6A32A" w14:textId="77777777" w:rsidR="00797BC9" w:rsidRDefault="00797BC9"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18C82" w14:textId="589E55C3" w:rsidR="00446BEE" w:rsidRDefault="00FB4373" w:rsidP="009B4BA0">
    <w:pPr>
      <w:pStyle w:val="Footer"/>
    </w:pPr>
    <w:r>
      <w:t xml:space="preserve">Appeal Decision - </w:t>
    </w:r>
    <w:r w:rsidR="00D33A43" w:rsidRPr="00D33A43">
      <w:t xml:space="preserve">durvalumab with platinum-based chemotherapy, then with </w:t>
    </w:r>
    <w:r w:rsidR="00D702B2">
      <w:t xml:space="preserve">or </w:t>
    </w:r>
    <w:r w:rsidR="00D33A43" w:rsidRPr="00D33A43">
      <w:t>without</w:t>
    </w:r>
    <w:r w:rsidR="00906051">
      <w:t xml:space="preserve"> </w:t>
    </w:r>
    <w:proofErr w:type="spellStart"/>
    <w:r w:rsidR="00906051">
      <w:t>o</w:t>
    </w:r>
    <w:r w:rsidR="00D33A43" w:rsidRPr="00D33A43">
      <w:t>laparib</w:t>
    </w:r>
    <w:proofErr w:type="spellEnd"/>
    <w:r w:rsidR="00D33A43" w:rsidRPr="00D33A43">
      <w:t>, for treating newly diagnosed advanced or recurrent endometrial cancer [ID6317]</w:t>
    </w:r>
    <w:r w:rsidR="00446BEE">
      <w:tab/>
    </w:r>
    <w:r w:rsidR="00446BEE">
      <w:tab/>
    </w:r>
    <w:r w:rsidR="00446BEE">
      <w:fldChar w:fldCharType="begin"/>
    </w:r>
    <w:r w:rsidR="00446BEE">
      <w:instrText xml:space="preserve"> PAGE </w:instrText>
    </w:r>
    <w:r w:rsidR="00446BEE">
      <w:fldChar w:fldCharType="separate"/>
    </w:r>
    <w:r w:rsidR="00FA2C5A">
      <w:rPr>
        <w:noProof/>
      </w:rPr>
      <w:t>1</w:t>
    </w:r>
    <w:r w:rsidR="00446BEE">
      <w:fldChar w:fldCharType="end"/>
    </w:r>
    <w:r w:rsidR="00446BEE">
      <w:t xml:space="preserve"> of </w:t>
    </w:r>
    <w:r w:rsidR="00FA2C5A">
      <w:fldChar w:fldCharType="begin"/>
    </w:r>
    <w:r w:rsidR="00FA2C5A">
      <w:instrText xml:space="preserve"> NUMPAGES  </w:instrText>
    </w:r>
    <w:r w:rsidR="00FA2C5A">
      <w:fldChar w:fldCharType="separate"/>
    </w:r>
    <w:r w:rsidR="00FA2C5A">
      <w:rPr>
        <w:noProof/>
      </w:rPr>
      <w:t>1</w:t>
    </w:r>
    <w:r w:rsidR="00FA2C5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54FE1" w14:textId="77777777" w:rsidR="00797BC9" w:rsidRDefault="00797BC9" w:rsidP="00446BEE">
      <w:r>
        <w:separator/>
      </w:r>
    </w:p>
  </w:footnote>
  <w:footnote w:type="continuationSeparator" w:id="0">
    <w:p w14:paraId="76B8B266" w14:textId="77777777" w:rsidR="00797BC9" w:rsidRDefault="00797BC9"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F503EB"/>
    <w:multiLevelType w:val="hybridMultilevel"/>
    <w:tmpl w:val="4BFC7ECC"/>
    <w:lvl w:ilvl="0" w:tplc="E9F63234">
      <w:start w:val="1"/>
      <w:numFmt w:val="decimal"/>
      <w:lvlText w:val="%1."/>
      <w:lvlJc w:val="left"/>
      <w:pPr>
        <w:ind w:left="360" w:hanging="360"/>
      </w:pPr>
      <w:rPr>
        <w:rFonts w:ascii="Arial" w:hAnsi="Arial" w:cs="Arial" w:hint="default"/>
        <w:b w:val="0"/>
        <w:i w:val="0"/>
        <w:color w:val="auto"/>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DF63400"/>
    <w:multiLevelType w:val="hybridMultilevel"/>
    <w:tmpl w:val="BEC05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BD1EE9"/>
    <w:multiLevelType w:val="hybridMultilevel"/>
    <w:tmpl w:val="3346731C"/>
    <w:lvl w:ilvl="0" w:tplc="97A4165E">
      <w:start w:val="1"/>
      <w:numFmt w:val="lowerLetter"/>
      <w:lvlText w:val="%1)"/>
      <w:lvlJc w:val="left"/>
      <w:pPr>
        <w:ind w:left="1080" w:hanging="360"/>
      </w:pPr>
      <w:rPr>
        <w:rFonts w:ascii="Arial" w:hAnsi="Arial" w:cs="Arial" w:hint="default"/>
        <w:b/>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2A41B99"/>
    <w:multiLevelType w:val="hybridMultilevel"/>
    <w:tmpl w:val="8EACE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9C93D14"/>
    <w:multiLevelType w:val="hybridMultilevel"/>
    <w:tmpl w:val="F85EE08C"/>
    <w:lvl w:ilvl="0" w:tplc="E26E1E1E">
      <w:start w:val="1"/>
      <w:numFmt w:val="decimal"/>
      <w:pStyle w:val="Paragraph"/>
      <w:lvlText w:val="%1."/>
      <w:lvlJc w:val="left"/>
      <w:pPr>
        <w:ind w:left="851" w:hanging="851"/>
      </w:pPr>
      <w:rPr>
        <w:rFonts w:hint="default"/>
        <w:b w:val="0"/>
        <w:bCs/>
        <w:strike w:val="0"/>
        <w:color w:val="auto"/>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6F2189"/>
    <w:multiLevelType w:val="hybridMultilevel"/>
    <w:tmpl w:val="4F4CA314"/>
    <w:lvl w:ilvl="0" w:tplc="E24060C6">
      <w:start w:val="1"/>
      <w:numFmt w:val="bullet"/>
      <w:pStyle w:val="Bullets"/>
      <w:lvlText w:val=""/>
      <w:lvlJc w:val="left"/>
      <w:pPr>
        <w:ind w:left="1134" w:hanging="454"/>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3564764">
    <w:abstractNumId w:val="15"/>
  </w:num>
  <w:num w:numId="2" w16cid:durableId="1215968135">
    <w:abstractNumId w:val="16"/>
  </w:num>
  <w:num w:numId="3" w16cid:durableId="1123036315">
    <w:abstractNumId w:val="16"/>
    <w:lvlOverride w:ilvl="0">
      <w:startOverride w:val="1"/>
    </w:lvlOverride>
  </w:num>
  <w:num w:numId="4" w16cid:durableId="1962029493">
    <w:abstractNumId w:val="16"/>
    <w:lvlOverride w:ilvl="0">
      <w:startOverride w:val="1"/>
    </w:lvlOverride>
  </w:num>
  <w:num w:numId="5" w16cid:durableId="828594966">
    <w:abstractNumId w:val="16"/>
    <w:lvlOverride w:ilvl="0">
      <w:startOverride w:val="1"/>
    </w:lvlOverride>
  </w:num>
  <w:num w:numId="6" w16cid:durableId="2062551872">
    <w:abstractNumId w:val="16"/>
    <w:lvlOverride w:ilvl="0">
      <w:startOverride w:val="1"/>
    </w:lvlOverride>
  </w:num>
  <w:num w:numId="7" w16cid:durableId="1750080115">
    <w:abstractNumId w:val="16"/>
    <w:lvlOverride w:ilvl="0">
      <w:startOverride w:val="1"/>
    </w:lvlOverride>
  </w:num>
  <w:num w:numId="8" w16cid:durableId="1056659755">
    <w:abstractNumId w:val="9"/>
  </w:num>
  <w:num w:numId="9" w16cid:durableId="1358508294">
    <w:abstractNumId w:val="7"/>
  </w:num>
  <w:num w:numId="10" w16cid:durableId="1499347687">
    <w:abstractNumId w:val="6"/>
  </w:num>
  <w:num w:numId="11" w16cid:durableId="1508061195">
    <w:abstractNumId w:val="5"/>
  </w:num>
  <w:num w:numId="12" w16cid:durableId="1919440124">
    <w:abstractNumId w:val="4"/>
  </w:num>
  <w:num w:numId="13" w16cid:durableId="211893969">
    <w:abstractNumId w:val="8"/>
  </w:num>
  <w:num w:numId="14" w16cid:durableId="256446596">
    <w:abstractNumId w:val="3"/>
  </w:num>
  <w:num w:numId="15" w16cid:durableId="1352221067">
    <w:abstractNumId w:val="2"/>
  </w:num>
  <w:num w:numId="16" w16cid:durableId="948195593">
    <w:abstractNumId w:val="1"/>
  </w:num>
  <w:num w:numId="17" w16cid:durableId="882136630">
    <w:abstractNumId w:val="0"/>
  </w:num>
  <w:num w:numId="18" w16cid:durableId="2036803415">
    <w:abstractNumId w:val="10"/>
  </w:num>
  <w:num w:numId="19" w16cid:durableId="1245459062">
    <w:abstractNumId w:val="10"/>
    <w:lvlOverride w:ilvl="0">
      <w:startOverride w:val="1"/>
    </w:lvlOverride>
  </w:num>
  <w:num w:numId="20" w16cid:durableId="1577279352">
    <w:abstractNumId w:val="11"/>
  </w:num>
  <w:num w:numId="21" w16cid:durableId="676737510">
    <w:abstractNumId w:val="13"/>
  </w:num>
  <w:num w:numId="22" w16cid:durableId="693307393">
    <w:abstractNumId w:val="12"/>
  </w:num>
  <w:num w:numId="23" w16cid:durableId="989477544">
    <w:abstractNumId w:val="14"/>
  </w:num>
  <w:num w:numId="24" w16cid:durableId="11955758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9EF"/>
    <w:rsid w:val="00001181"/>
    <w:rsid w:val="00004F34"/>
    <w:rsid w:val="000053F8"/>
    <w:rsid w:val="000104F6"/>
    <w:rsid w:val="00014B67"/>
    <w:rsid w:val="00017A31"/>
    <w:rsid w:val="000216C0"/>
    <w:rsid w:val="00022745"/>
    <w:rsid w:val="00022D2A"/>
    <w:rsid w:val="00022E0A"/>
    <w:rsid w:val="0002406F"/>
    <w:rsid w:val="00024D0A"/>
    <w:rsid w:val="00025D8B"/>
    <w:rsid w:val="00026DB1"/>
    <w:rsid w:val="0003489A"/>
    <w:rsid w:val="0004109E"/>
    <w:rsid w:val="000418AD"/>
    <w:rsid w:val="0004416E"/>
    <w:rsid w:val="000447E2"/>
    <w:rsid w:val="000447F6"/>
    <w:rsid w:val="00045980"/>
    <w:rsid w:val="000473B7"/>
    <w:rsid w:val="00051C45"/>
    <w:rsid w:val="00052B06"/>
    <w:rsid w:val="00056331"/>
    <w:rsid w:val="000601E2"/>
    <w:rsid w:val="00061D9D"/>
    <w:rsid w:val="0006276E"/>
    <w:rsid w:val="00065465"/>
    <w:rsid w:val="00066A73"/>
    <w:rsid w:val="00066C2A"/>
    <w:rsid w:val="00067A76"/>
    <w:rsid w:val="00070065"/>
    <w:rsid w:val="00071919"/>
    <w:rsid w:val="00074B64"/>
    <w:rsid w:val="00074CCB"/>
    <w:rsid w:val="000772BA"/>
    <w:rsid w:val="000905B5"/>
    <w:rsid w:val="000935CF"/>
    <w:rsid w:val="000A0005"/>
    <w:rsid w:val="000A06E2"/>
    <w:rsid w:val="000A42BB"/>
    <w:rsid w:val="000A46B4"/>
    <w:rsid w:val="000A4FEE"/>
    <w:rsid w:val="000A5286"/>
    <w:rsid w:val="000B0BC1"/>
    <w:rsid w:val="000B4556"/>
    <w:rsid w:val="000B4A6B"/>
    <w:rsid w:val="000B57AC"/>
    <w:rsid w:val="000B5939"/>
    <w:rsid w:val="000B5E61"/>
    <w:rsid w:val="000B7347"/>
    <w:rsid w:val="000C0070"/>
    <w:rsid w:val="000C095D"/>
    <w:rsid w:val="000C21E9"/>
    <w:rsid w:val="000C3B57"/>
    <w:rsid w:val="000D08A5"/>
    <w:rsid w:val="000D122D"/>
    <w:rsid w:val="000D2B45"/>
    <w:rsid w:val="000D4503"/>
    <w:rsid w:val="000D5679"/>
    <w:rsid w:val="000D735B"/>
    <w:rsid w:val="000E30CC"/>
    <w:rsid w:val="000E49A4"/>
    <w:rsid w:val="000E4DE7"/>
    <w:rsid w:val="000F03B5"/>
    <w:rsid w:val="000F0AEC"/>
    <w:rsid w:val="000F0FD8"/>
    <w:rsid w:val="000F5DB6"/>
    <w:rsid w:val="000F7692"/>
    <w:rsid w:val="00101068"/>
    <w:rsid w:val="0010145D"/>
    <w:rsid w:val="00101BBF"/>
    <w:rsid w:val="00107435"/>
    <w:rsid w:val="0011160E"/>
    <w:rsid w:val="00112234"/>
    <w:rsid w:val="001134E7"/>
    <w:rsid w:val="001156BF"/>
    <w:rsid w:val="00116F23"/>
    <w:rsid w:val="00117140"/>
    <w:rsid w:val="0011757D"/>
    <w:rsid w:val="00117899"/>
    <w:rsid w:val="00120B38"/>
    <w:rsid w:val="00123906"/>
    <w:rsid w:val="00125CF0"/>
    <w:rsid w:val="00127664"/>
    <w:rsid w:val="001321C3"/>
    <w:rsid w:val="00136A82"/>
    <w:rsid w:val="00142618"/>
    <w:rsid w:val="001445BB"/>
    <w:rsid w:val="00144CCA"/>
    <w:rsid w:val="00145130"/>
    <w:rsid w:val="00147D4C"/>
    <w:rsid w:val="00151971"/>
    <w:rsid w:val="00157A04"/>
    <w:rsid w:val="00164B13"/>
    <w:rsid w:val="00165E6B"/>
    <w:rsid w:val="00166807"/>
    <w:rsid w:val="00166C37"/>
    <w:rsid w:val="00167274"/>
    <w:rsid w:val="00167703"/>
    <w:rsid w:val="0017043F"/>
    <w:rsid w:val="0017169E"/>
    <w:rsid w:val="00174BA8"/>
    <w:rsid w:val="0017712E"/>
    <w:rsid w:val="00177474"/>
    <w:rsid w:val="001803F0"/>
    <w:rsid w:val="00181E3F"/>
    <w:rsid w:val="0019224F"/>
    <w:rsid w:val="00192891"/>
    <w:rsid w:val="001954EA"/>
    <w:rsid w:val="00196E7C"/>
    <w:rsid w:val="001A03AD"/>
    <w:rsid w:val="001A09C2"/>
    <w:rsid w:val="001A11C2"/>
    <w:rsid w:val="001A5074"/>
    <w:rsid w:val="001A51CB"/>
    <w:rsid w:val="001A5F4C"/>
    <w:rsid w:val="001A6503"/>
    <w:rsid w:val="001B0EE9"/>
    <w:rsid w:val="001B1E8C"/>
    <w:rsid w:val="001B2F37"/>
    <w:rsid w:val="001B3523"/>
    <w:rsid w:val="001B4398"/>
    <w:rsid w:val="001B453E"/>
    <w:rsid w:val="001B4723"/>
    <w:rsid w:val="001B496C"/>
    <w:rsid w:val="001B65B3"/>
    <w:rsid w:val="001B674C"/>
    <w:rsid w:val="001B6930"/>
    <w:rsid w:val="001C1740"/>
    <w:rsid w:val="001C55CD"/>
    <w:rsid w:val="001C577F"/>
    <w:rsid w:val="001C780B"/>
    <w:rsid w:val="001C7C4D"/>
    <w:rsid w:val="001D3DB1"/>
    <w:rsid w:val="001D5DE0"/>
    <w:rsid w:val="001D7DFA"/>
    <w:rsid w:val="001E7C7E"/>
    <w:rsid w:val="001F0B86"/>
    <w:rsid w:val="001F2836"/>
    <w:rsid w:val="001F6BC4"/>
    <w:rsid w:val="001F6FE8"/>
    <w:rsid w:val="001F7D92"/>
    <w:rsid w:val="0020029B"/>
    <w:rsid w:val="00200EA5"/>
    <w:rsid w:val="002021DE"/>
    <w:rsid w:val="00202D37"/>
    <w:rsid w:val="00203DC8"/>
    <w:rsid w:val="00204E57"/>
    <w:rsid w:val="00207CA0"/>
    <w:rsid w:val="00210414"/>
    <w:rsid w:val="00211B33"/>
    <w:rsid w:val="00213388"/>
    <w:rsid w:val="0021604A"/>
    <w:rsid w:val="00224860"/>
    <w:rsid w:val="00226062"/>
    <w:rsid w:val="0022682D"/>
    <w:rsid w:val="00233ABF"/>
    <w:rsid w:val="00234918"/>
    <w:rsid w:val="002350CE"/>
    <w:rsid w:val="002359DA"/>
    <w:rsid w:val="002408EA"/>
    <w:rsid w:val="00241505"/>
    <w:rsid w:val="00245CC2"/>
    <w:rsid w:val="00245FD0"/>
    <w:rsid w:val="00250E97"/>
    <w:rsid w:val="00252A07"/>
    <w:rsid w:val="00252F0A"/>
    <w:rsid w:val="0025358B"/>
    <w:rsid w:val="00254883"/>
    <w:rsid w:val="0025541A"/>
    <w:rsid w:val="00257741"/>
    <w:rsid w:val="002577E2"/>
    <w:rsid w:val="00257CA0"/>
    <w:rsid w:val="00267837"/>
    <w:rsid w:val="00267EB1"/>
    <w:rsid w:val="00274E5E"/>
    <w:rsid w:val="00275A62"/>
    <w:rsid w:val="0027613D"/>
    <w:rsid w:val="002804B7"/>
    <w:rsid w:val="00281613"/>
    <w:rsid w:val="002819D7"/>
    <w:rsid w:val="002836B9"/>
    <w:rsid w:val="00285399"/>
    <w:rsid w:val="002853A2"/>
    <w:rsid w:val="0029548B"/>
    <w:rsid w:val="00295E34"/>
    <w:rsid w:val="002A0CFE"/>
    <w:rsid w:val="002A158A"/>
    <w:rsid w:val="002A3376"/>
    <w:rsid w:val="002A36AB"/>
    <w:rsid w:val="002A4383"/>
    <w:rsid w:val="002A493B"/>
    <w:rsid w:val="002A6CA9"/>
    <w:rsid w:val="002B1DF9"/>
    <w:rsid w:val="002B2570"/>
    <w:rsid w:val="002B36D8"/>
    <w:rsid w:val="002C0B99"/>
    <w:rsid w:val="002C1802"/>
    <w:rsid w:val="002C1A7E"/>
    <w:rsid w:val="002C22DC"/>
    <w:rsid w:val="002C4A51"/>
    <w:rsid w:val="002C637B"/>
    <w:rsid w:val="002D06BC"/>
    <w:rsid w:val="002D258F"/>
    <w:rsid w:val="002D30B4"/>
    <w:rsid w:val="002D3376"/>
    <w:rsid w:val="002D50A5"/>
    <w:rsid w:val="002D6370"/>
    <w:rsid w:val="002D65AC"/>
    <w:rsid w:val="002D672F"/>
    <w:rsid w:val="002D6E44"/>
    <w:rsid w:val="002D77A6"/>
    <w:rsid w:val="002E0AF3"/>
    <w:rsid w:val="002E2BC6"/>
    <w:rsid w:val="002E2FE2"/>
    <w:rsid w:val="002E3D81"/>
    <w:rsid w:val="002E7A9C"/>
    <w:rsid w:val="002E7D87"/>
    <w:rsid w:val="002E7D8D"/>
    <w:rsid w:val="002F20F5"/>
    <w:rsid w:val="002F2691"/>
    <w:rsid w:val="002F4B43"/>
    <w:rsid w:val="002F54A8"/>
    <w:rsid w:val="002F6BB7"/>
    <w:rsid w:val="002F7231"/>
    <w:rsid w:val="003013EB"/>
    <w:rsid w:val="003022C7"/>
    <w:rsid w:val="0030461A"/>
    <w:rsid w:val="00305645"/>
    <w:rsid w:val="00311ED0"/>
    <w:rsid w:val="003157DF"/>
    <w:rsid w:val="0031610C"/>
    <w:rsid w:val="0032148E"/>
    <w:rsid w:val="00322675"/>
    <w:rsid w:val="00323CCC"/>
    <w:rsid w:val="00324514"/>
    <w:rsid w:val="00325F83"/>
    <w:rsid w:val="00331B3A"/>
    <w:rsid w:val="003324C0"/>
    <w:rsid w:val="0033384C"/>
    <w:rsid w:val="0033499E"/>
    <w:rsid w:val="003351F8"/>
    <w:rsid w:val="00337199"/>
    <w:rsid w:val="003371DF"/>
    <w:rsid w:val="00340A6B"/>
    <w:rsid w:val="00343287"/>
    <w:rsid w:val="003442BF"/>
    <w:rsid w:val="003445B8"/>
    <w:rsid w:val="0034731C"/>
    <w:rsid w:val="0034760E"/>
    <w:rsid w:val="00350082"/>
    <w:rsid w:val="003505E8"/>
    <w:rsid w:val="00352AE0"/>
    <w:rsid w:val="00353082"/>
    <w:rsid w:val="0035516A"/>
    <w:rsid w:val="00356790"/>
    <w:rsid w:val="0036022E"/>
    <w:rsid w:val="00360CAA"/>
    <w:rsid w:val="00362DC3"/>
    <w:rsid w:val="003648C5"/>
    <w:rsid w:val="00364FE2"/>
    <w:rsid w:val="00365F89"/>
    <w:rsid w:val="00365FBF"/>
    <w:rsid w:val="00370503"/>
    <w:rsid w:val="00370C24"/>
    <w:rsid w:val="00371664"/>
    <w:rsid w:val="003722FA"/>
    <w:rsid w:val="00372C53"/>
    <w:rsid w:val="00373190"/>
    <w:rsid w:val="00384ED5"/>
    <w:rsid w:val="0038592F"/>
    <w:rsid w:val="003906AE"/>
    <w:rsid w:val="003A040E"/>
    <w:rsid w:val="003A0E28"/>
    <w:rsid w:val="003A1B6A"/>
    <w:rsid w:val="003A1BB6"/>
    <w:rsid w:val="003A2BC1"/>
    <w:rsid w:val="003A4807"/>
    <w:rsid w:val="003A7C09"/>
    <w:rsid w:val="003B044D"/>
    <w:rsid w:val="003B1301"/>
    <w:rsid w:val="003B1D51"/>
    <w:rsid w:val="003B2AA9"/>
    <w:rsid w:val="003B5606"/>
    <w:rsid w:val="003C4850"/>
    <w:rsid w:val="003C48F9"/>
    <w:rsid w:val="003C5F04"/>
    <w:rsid w:val="003C703C"/>
    <w:rsid w:val="003C775A"/>
    <w:rsid w:val="003C7AAF"/>
    <w:rsid w:val="003D0D93"/>
    <w:rsid w:val="003D0DDF"/>
    <w:rsid w:val="003D5795"/>
    <w:rsid w:val="003D67F3"/>
    <w:rsid w:val="003D77C3"/>
    <w:rsid w:val="003E21CD"/>
    <w:rsid w:val="003E5308"/>
    <w:rsid w:val="003E66D5"/>
    <w:rsid w:val="003F01B6"/>
    <w:rsid w:val="003F06AC"/>
    <w:rsid w:val="003F084F"/>
    <w:rsid w:val="003F2EE5"/>
    <w:rsid w:val="003F406A"/>
    <w:rsid w:val="003F4878"/>
    <w:rsid w:val="003F5404"/>
    <w:rsid w:val="00400916"/>
    <w:rsid w:val="00402EE7"/>
    <w:rsid w:val="0040442A"/>
    <w:rsid w:val="0040534B"/>
    <w:rsid w:val="004075B6"/>
    <w:rsid w:val="00411189"/>
    <w:rsid w:val="00413FED"/>
    <w:rsid w:val="00417DD7"/>
    <w:rsid w:val="0042037A"/>
    <w:rsid w:val="00420952"/>
    <w:rsid w:val="004211A9"/>
    <w:rsid w:val="004213A2"/>
    <w:rsid w:val="004217C7"/>
    <w:rsid w:val="00421ACF"/>
    <w:rsid w:val="004245B2"/>
    <w:rsid w:val="00424D7F"/>
    <w:rsid w:val="0042724E"/>
    <w:rsid w:val="00427B0D"/>
    <w:rsid w:val="004322B4"/>
    <w:rsid w:val="00435A94"/>
    <w:rsid w:val="00435D7A"/>
    <w:rsid w:val="004369BB"/>
    <w:rsid w:val="00436D91"/>
    <w:rsid w:val="00442A58"/>
    <w:rsid w:val="00442C85"/>
    <w:rsid w:val="004434ED"/>
    <w:rsid w:val="00443C4A"/>
    <w:rsid w:val="004444EB"/>
    <w:rsid w:val="00445FAF"/>
    <w:rsid w:val="00446BEE"/>
    <w:rsid w:val="00452B34"/>
    <w:rsid w:val="00453203"/>
    <w:rsid w:val="004555F2"/>
    <w:rsid w:val="00455EF1"/>
    <w:rsid w:val="00461212"/>
    <w:rsid w:val="00462375"/>
    <w:rsid w:val="004625EA"/>
    <w:rsid w:val="00462C3D"/>
    <w:rsid w:val="004633B5"/>
    <w:rsid w:val="004662C3"/>
    <w:rsid w:val="0047093E"/>
    <w:rsid w:val="0047165C"/>
    <w:rsid w:val="00473D24"/>
    <w:rsid w:val="00482FC8"/>
    <w:rsid w:val="00490977"/>
    <w:rsid w:val="00493285"/>
    <w:rsid w:val="004967AD"/>
    <w:rsid w:val="004967B0"/>
    <w:rsid w:val="004A1728"/>
    <w:rsid w:val="004A228C"/>
    <w:rsid w:val="004A324A"/>
    <w:rsid w:val="004A4357"/>
    <w:rsid w:val="004A4B66"/>
    <w:rsid w:val="004B316F"/>
    <w:rsid w:val="004B5AA2"/>
    <w:rsid w:val="004B6159"/>
    <w:rsid w:val="004B69AF"/>
    <w:rsid w:val="004C0937"/>
    <w:rsid w:val="004C518B"/>
    <w:rsid w:val="004C6B30"/>
    <w:rsid w:val="004D04C3"/>
    <w:rsid w:val="004D0576"/>
    <w:rsid w:val="004D5A8F"/>
    <w:rsid w:val="004D6EF6"/>
    <w:rsid w:val="004D7626"/>
    <w:rsid w:val="004D79BF"/>
    <w:rsid w:val="004E0D0C"/>
    <w:rsid w:val="004E4808"/>
    <w:rsid w:val="004E5745"/>
    <w:rsid w:val="004E65E1"/>
    <w:rsid w:val="004E687C"/>
    <w:rsid w:val="004F17E1"/>
    <w:rsid w:val="004F2B94"/>
    <w:rsid w:val="004F3FE7"/>
    <w:rsid w:val="004F4620"/>
    <w:rsid w:val="004F5F1C"/>
    <w:rsid w:val="004F78FA"/>
    <w:rsid w:val="0050252F"/>
    <w:rsid w:val="005025A1"/>
    <w:rsid w:val="0050696B"/>
    <w:rsid w:val="0051036D"/>
    <w:rsid w:val="005135CB"/>
    <w:rsid w:val="00513DA5"/>
    <w:rsid w:val="005143A7"/>
    <w:rsid w:val="00515792"/>
    <w:rsid w:val="0051645E"/>
    <w:rsid w:val="00521B37"/>
    <w:rsid w:val="00523B78"/>
    <w:rsid w:val="00523CDB"/>
    <w:rsid w:val="00523FE8"/>
    <w:rsid w:val="00524B17"/>
    <w:rsid w:val="00526225"/>
    <w:rsid w:val="00531F27"/>
    <w:rsid w:val="00533350"/>
    <w:rsid w:val="0054072D"/>
    <w:rsid w:val="00542ED9"/>
    <w:rsid w:val="00543A06"/>
    <w:rsid w:val="0054650A"/>
    <w:rsid w:val="005476DD"/>
    <w:rsid w:val="00547767"/>
    <w:rsid w:val="00553E5A"/>
    <w:rsid w:val="00554286"/>
    <w:rsid w:val="00554B40"/>
    <w:rsid w:val="00556B90"/>
    <w:rsid w:val="00556BD6"/>
    <w:rsid w:val="00557210"/>
    <w:rsid w:val="00557A0F"/>
    <w:rsid w:val="00564641"/>
    <w:rsid w:val="00564BEE"/>
    <w:rsid w:val="005703E6"/>
    <w:rsid w:val="00573191"/>
    <w:rsid w:val="00573C5E"/>
    <w:rsid w:val="00574046"/>
    <w:rsid w:val="005769B8"/>
    <w:rsid w:val="005838B1"/>
    <w:rsid w:val="00585556"/>
    <w:rsid w:val="005865D5"/>
    <w:rsid w:val="00586C30"/>
    <w:rsid w:val="00593F9B"/>
    <w:rsid w:val="005946ED"/>
    <w:rsid w:val="00594A51"/>
    <w:rsid w:val="0059533B"/>
    <w:rsid w:val="005A12E4"/>
    <w:rsid w:val="005A26F9"/>
    <w:rsid w:val="005A3D45"/>
    <w:rsid w:val="005A4D36"/>
    <w:rsid w:val="005A576B"/>
    <w:rsid w:val="005A66F8"/>
    <w:rsid w:val="005A6D55"/>
    <w:rsid w:val="005A7B85"/>
    <w:rsid w:val="005B0E39"/>
    <w:rsid w:val="005B1636"/>
    <w:rsid w:val="005B1CA7"/>
    <w:rsid w:val="005B2349"/>
    <w:rsid w:val="005B5863"/>
    <w:rsid w:val="005C0725"/>
    <w:rsid w:val="005C0B74"/>
    <w:rsid w:val="005C0F7A"/>
    <w:rsid w:val="005C0F9B"/>
    <w:rsid w:val="005C15BF"/>
    <w:rsid w:val="005C5133"/>
    <w:rsid w:val="005C6B93"/>
    <w:rsid w:val="005C7F93"/>
    <w:rsid w:val="005D1B65"/>
    <w:rsid w:val="005D2210"/>
    <w:rsid w:val="005D2908"/>
    <w:rsid w:val="005D5C9D"/>
    <w:rsid w:val="005E1E67"/>
    <w:rsid w:val="005E4CFD"/>
    <w:rsid w:val="005E7BA2"/>
    <w:rsid w:val="005E7F32"/>
    <w:rsid w:val="005F1648"/>
    <w:rsid w:val="005F1976"/>
    <w:rsid w:val="005F2738"/>
    <w:rsid w:val="005F452A"/>
    <w:rsid w:val="0060037D"/>
    <w:rsid w:val="00602B54"/>
    <w:rsid w:val="006037DA"/>
    <w:rsid w:val="0060538D"/>
    <w:rsid w:val="00605AD0"/>
    <w:rsid w:val="00607D39"/>
    <w:rsid w:val="006106AA"/>
    <w:rsid w:val="006140E3"/>
    <w:rsid w:val="006158B1"/>
    <w:rsid w:val="00615C8C"/>
    <w:rsid w:val="0061705B"/>
    <w:rsid w:val="006177B2"/>
    <w:rsid w:val="006201A4"/>
    <w:rsid w:val="0062050D"/>
    <w:rsid w:val="00623EBD"/>
    <w:rsid w:val="006250C5"/>
    <w:rsid w:val="00627BB2"/>
    <w:rsid w:val="00631358"/>
    <w:rsid w:val="006363E3"/>
    <w:rsid w:val="00637032"/>
    <w:rsid w:val="00637DBD"/>
    <w:rsid w:val="00641E21"/>
    <w:rsid w:val="00644D17"/>
    <w:rsid w:val="00645FCC"/>
    <w:rsid w:val="00646A86"/>
    <w:rsid w:val="00646C37"/>
    <w:rsid w:val="00650F75"/>
    <w:rsid w:val="00652A28"/>
    <w:rsid w:val="00653752"/>
    <w:rsid w:val="00654E16"/>
    <w:rsid w:val="006552B6"/>
    <w:rsid w:val="006553FD"/>
    <w:rsid w:val="0066519A"/>
    <w:rsid w:val="00667C82"/>
    <w:rsid w:val="0067174C"/>
    <w:rsid w:val="00672C00"/>
    <w:rsid w:val="00673D67"/>
    <w:rsid w:val="00675789"/>
    <w:rsid w:val="00677FE1"/>
    <w:rsid w:val="00684B29"/>
    <w:rsid w:val="00684C66"/>
    <w:rsid w:val="006862D8"/>
    <w:rsid w:val="00686D38"/>
    <w:rsid w:val="00686ECC"/>
    <w:rsid w:val="006921E1"/>
    <w:rsid w:val="00692408"/>
    <w:rsid w:val="006931F7"/>
    <w:rsid w:val="00693CC4"/>
    <w:rsid w:val="006A6A3B"/>
    <w:rsid w:val="006A6C34"/>
    <w:rsid w:val="006B0851"/>
    <w:rsid w:val="006B2ECB"/>
    <w:rsid w:val="006B3B8D"/>
    <w:rsid w:val="006B55D8"/>
    <w:rsid w:val="006C3961"/>
    <w:rsid w:val="006C481F"/>
    <w:rsid w:val="006C4FD9"/>
    <w:rsid w:val="006C79F4"/>
    <w:rsid w:val="006D1039"/>
    <w:rsid w:val="006D155F"/>
    <w:rsid w:val="006D2D85"/>
    <w:rsid w:val="006D41E0"/>
    <w:rsid w:val="006D5A0C"/>
    <w:rsid w:val="006D6A76"/>
    <w:rsid w:val="006E4FA8"/>
    <w:rsid w:val="006E5A0B"/>
    <w:rsid w:val="006E74A2"/>
    <w:rsid w:val="006E7F0A"/>
    <w:rsid w:val="007033A1"/>
    <w:rsid w:val="00703F0A"/>
    <w:rsid w:val="00704959"/>
    <w:rsid w:val="007104DA"/>
    <w:rsid w:val="00712FD4"/>
    <w:rsid w:val="007133FA"/>
    <w:rsid w:val="00713730"/>
    <w:rsid w:val="007166B0"/>
    <w:rsid w:val="0071691F"/>
    <w:rsid w:val="00722ACC"/>
    <w:rsid w:val="00722ED5"/>
    <w:rsid w:val="0072397E"/>
    <w:rsid w:val="00724A22"/>
    <w:rsid w:val="00724E2C"/>
    <w:rsid w:val="00727107"/>
    <w:rsid w:val="00731918"/>
    <w:rsid w:val="00735450"/>
    <w:rsid w:val="007358A7"/>
    <w:rsid w:val="00736348"/>
    <w:rsid w:val="00736FC2"/>
    <w:rsid w:val="00737870"/>
    <w:rsid w:val="007406B5"/>
    <w:rsid w:val="00740E62"/>
    <w:rsid w:val="00744535"/>
    <w:rsid w:val="007452B7"/>
    <w:rsid w:val="007536F3"/>
    <w:rsid w:val="00753E04"/>
    <w:rsid w:val="007600EA"/>
    <w:rsid w:val="00760438"/>
    <w:rsid w:val="00760B41"/>
    <w:rsid w:val="007612B5"/>
    <w:rsid w:val="007619D0"/>
    <w:rsid w:val="00763E3E"/>
    <w:rsid w:val="00774E88"/>
    <w:rsid w:val="00777F73"/>
    <w:rsid w:val="007804FF"/>
    <w:rsid w:val="00780A8F"/>
    <w:rsid w:val="00780FCD"/>
    <w:rsid w:val="007810BE"/>
    <w:rsid w:val="007811D2"/>
    <w:rsid w:val="0078213F"/>
    <w:rsid w:val="007845F1"/>
    <w:rsid w:val="007910B0"/>
    <w:rsid w:val="007912ED"/>
    <w:rsid w:val="007936A8"/>
    <w:rsid w:val="00793DE6"/>
    <w:rsid w:val="00794937"/>
    <w:rsid w:val="00794E5D"/>
    <w:rsid w:val="00795A19"/>
    <w:rsid w:val="00795F59"/>
    <w:rsid w:val="00796246"/>
    <w:rsid w:val="007970C8"/>
    <w:rsid w:val="00797BC9"/>
    <w:rsid w:val="007A352B"/>
    <w:rsid w:val="007A51C1"/>
    <w:rsid w:val="007A69FA"/>
    <w:rsid w:val="007A746A"/>
    <w:rsid w:val="007A76AF"/>
    <w:rsid w:val="007B03B3"/>
    <w:rsid w:val="007B4C7C"/>
    <w:rsid w:val="007B5B53"/>
    <w:rsid w:val="007B69DA"/>
    <w:rsid w:val="007B6A44"/>
    <w:rsid w:val="007C14DD"/>
    <w:rsid w:val="007C1B7A"/>
    <w:rsid w:val="007C3A43"/>
    <w:rsid w:val="007C47FF"/>
    <w:rsid w:val="007C4A36"/>
    <w:rsid w:val="007C5C59"/>
    <w:rsid w:val="007D141B"/>
    <w:rsid w:val="007D199C"/>
    <w:rsid w:val="007D5C4C"/>
    <w:rsid w:val="007D65B2"/>
    <w:rsid w:val="007D6CAB"/>
    <w:rsid w:val="007D7097"/>
    <w:rsid w:val="007E0F5D"/>
    <w:rsid w:val="007E3EF9"/>
    <w:rsid w:val="007E4DAC"/>
    <w:rsid w:val="007E66F9"/>
    <w:rsid w:val="007F0BB5"/>
    <w:rsid w:val="007F25F0"/>
    <w:rsid w:val="007F27FE"/>
    <w:rsid w:val="007F3EBB"/>
    <w:rsid w:val="007F56FC"/>
    <w:rsid w:val="00801597"/>
    <w:rsid w:val="00805B4A"/>
    <w:rsid w:val="00810A4A"/>
    <w:rsid w:val="00811313"/>
    <w:rsid w:val="00811FBB"/>
    <w:rsid w:val="00812716"/>
    <w:rsid w:val="00813533"/>
    <w:rsid w:val="00814AC0"/>
    <w:rsid w:val="0081540D"/>
    <w:rsid w:val="008176D2"/>
    <w:rsid w:val="0082134B"/>
    <w:rsid w:val="008225EB"/>
    <w:rsid w:val="0082349C"/>
    <w:rsid w:val="00823E8E"/>
    <w:rsid w:val="0082602F"/>
    <w:rsid w:val="00826992"/>
    <w:rsid w:val="00830778"/>
    <w:rsid w:val="0083354E"/>
    <w:rsid w:val="008335A6"/>
    <w:rsid w:val="00837030"/>
    <w:rsid w:val="00841F86"/>
    <w:rsid w:val="008427C3"/>
    <w:rsid w:val="0084303F"/>
    <w:rsid w:val="008430C9"/>
    <w:rsid w:val="0084341F"/>
    <w:rsid w:val="008450AA"/>
    <w:rsid w:val="00850B74"/>
    <w:rsid w:val="008517FE"/>
    <w:rsid w:val="008523BC"/>
    <w:rsid w:val="00855336"/>
    <w:rsid w:val="00855A0D"/>
    <w:rsid w:val="00857377"/>
    <w:rsid w:val="008578CC"/>
    <w:rsid w:val="00861B92"/>
    <w:rsid w:val="008628E9"/>
    <w:rsid w:val="00864C1F"/>
    <w:rsid w:val="00867342"/>
    <w:rsid w:val="00867CC6"/>
    <w:rsid w:val="008703AC"/>
    <w:rsid w:val="00875FA9"/>
    <w:rsid w:val="00877646"/>
    <w:rsid w:val="008778BA"/>
    <w:rsid w:val="00880F3D"/>
    <w:rsid w:val="0088134F"/>
    <w:rsid w:val="008814FB"/>
    <w:rsid w:val="00881714"/>
    <w:rsid w:val="0088390B"/>
    <w:rsid w:val="00883D48"/>
    <w:rsid w:val="0088441D"/>
    <w:rsid w:val="00884467"/>
    <w:rsid w:val="00884F23"/>
    <w:rsid w:val="008916B3"/>
    <w:rsid w:val="0089334C"/>
    <w:rsid w:val="0089353A"/>
    <w:rsid w:val="00894580"/>
    <w:rsid w:val="0089463F"/>
    <w:rsid w:val="008950CA"/>
    <w:rsid w:val="008977F7"/>
    <w:rsid w:val="008A20E7"/>
    <w:rsid w:val="008A343E"/>
    <w:rsid w:val="008A6567"/>
    <w:rsid w:val="008A7B35"/>
    <w:rsid w:val="008B0B65"/>
    <w:rsid w:val="008B1B1B"/>
    <w:rsid w:val="008B3133"/>
    <w:rsid w:val="008B4189"/>
    <w:rsid w:val="008B470E"/>
    <w:rsid w:val="008C06FB"/>
    <w:rsid w:val="008C0853"/>
    <w:rsid w:val="008C5786"/>
    <w:rsid w:val="008C699A"/>
    <w:rsid w:val="008D1B2C"/>
    <w:rsid w:val="008D3223"/>
    <w:rsid w:val="008E55DB"/>
    <w:rsid w:val="008E6522"/>
    <w:rsid w:val="008E73B3"/>
    <w:rsid w:val="008E76C7"/>
    <w:rsid w:val="008E7E21"/>
    <w:rsid w:val="008F43B2"/>
    <w:rsid w:val="008F4409"/>
    <w:rsid w:val="008F47EE"/>
    <w:rsid w:val="008F5E30"/>
    <w:rsid w:val="008F6174"/>
    <w:rsid w:val="008F6594"/>
    <w:rsid w:val="00901CDE"/>
    <w:rsid w:val="00904B5A"/>
    <w:rsid w:val="009052ED"/>
    <w:rsid w:val="00906051"/>
    <w:rsid w:val="0090731E"/>
    <w:rsid w:val="009079FE"/>
    <w:rsid w:val="00907E7E"/>
    <w:rsid w:val="009141F7"/>
    <w:rsid w:val="00914D7F"/>
    <w:rsid w:val="00922075"/>
    <w:rsid w:val="009228AE"/>
    <w:rsid w:val="00924833"/>
    <w:rsid w:val="00925181"/>
    <w:rsid w:val="009279AA"/>
    <w:rsid w:val="00931F30"/>
    <w:rsid w:val="009342B7"/>
    <w:rsid w:val="00934ED1"/>
    <w:rsid w:val="00945A47"/>
    <w:rsid w:val="00950BA3"/>
    <w:rsid w:val="00950D2C"/>
    <w:rsid w:val="0095392C"/>
    <w:rsid w:val="009623EE"/>
    <w:rsid w:val="0096559F"/>
    <w:rsid w:val="00967572"/>
    <w:rsid w:val="00970042"/>
    <w:rsid w:val="0097414B"/>
    <w:rsid w:val="00974FA2"/>
    <w:rsid w:val="00975181"/>
    <w:rsid w:val="00975316"/>
    <w:rsid w:val="009767B1"/>
    <w:rsid w:val="009828B6"/>
    <w:rsid w:val="0098345B"/>
    <w:rsid w:val="00984F79"/>
    <w:rsid w:val="00992654"/>
    <w:rsid w:val="009A0C6F"/>
    <w:rsid w:val="009A19F5"/>
    <w:rsid w:val="009A2A3B"/>
    <w:rsid w:val="009A4FDD"/>
    <w:rsid w:val="009A50E2"/>
    <w:rsid w:val="009A5B7F"/>
    <w:rsid w:val="009B0BE6"/>
    <w:rsid w:val="009B2908"/>
    <w:rsid w:val="009B2F6E"/>
    <w:rsid w:val="009B4BA0"/>
    <w:rsid w:val="009B4DEB"/>
    <w:rsid w:val="009C11D2"/>
    <w:rsid w:val="009C1863"/>
    <w:rsid w:val="009C36CD"/>
    <w:rsid w:val="009C777C"/>
    <w:rsid w:val="009D0EBA"/>
    <w:rsid w:val="009D443A"/>
    <w:rsid w:val="009D5585"/>
    <w:rsid w:val="009E0FFF"/>
    <w:rsid w:val="009E1E1E"/>
    <w:rsid w:val="009E3502"/>
    <w:rsid w:val="009E45D3"/>
    <w:rsid w:val="009E680B"/>
    <w:rsid w:val="009E69D3"/>
    <w:rsid w:val="009F001F"/>
    <w:rsid w:val="009F03CB"/>
    <w:rsid w:val="009F447E"/>
    <w:rsid w:val="009F559C"/>
    <w:rsid w:val="009F6445"/>
    <w:rsid w:val="009F694D"/>
    <w:rsid w:val="009F6C15"/>
    <w:rsid w:val="009F700B"/>
    <w:rsid w:val="00A03047"/>
    <w:rsid w:val="00A038B1"/>
    <w:rsid w:val="00A04017"/>
    <w:rsid w:val="00A04752"/>
    <w:rsid w:val="00A06A68"/>
    <w:rsid w:val="00A1257C"/>
    <w:rsid w:val="00A12EF0"/>
    <w:rsid w:val="00A14996"/>
    <w:rsid w:val="00A14EE4"/>
    <w:rsid w:val="00A15A1F"/>
    <w:rsid w:val="00A174B7"/>
    <w:rsid w:val="00A20B67"/>
    <w:rsid w:val="00A212DF"/>
    <w:rsid w:val="00A31CD2"/>
    <w:rsid w:val="00A3325A"/>
    <w:rsid w:val="00A334E0"/>
    <w:rsid w:val="00A35240"/>
    <w:rsid w:val="00A41942"/>
    <w:rsid w:val="00A43013"/>
    <w:rsid w:val="00A43055"/>
    <w:rsid w:val="00A4679A"/>
    <w:rsid w:val="00A56310"/>
    <w:rsid w:val="00A5678C"/>
    <w:rsid w:val="00A5739F"/>
    <w:rsid w:val="00A604E3"/>
    <w:rsid w:val="00A61EA6"/>
    <w:rsid w:val="00A62FFD"/>
    <w:rsid w:val="00A63362"/>
    <w:rsid w:val="00A64217"/>
    <w:rsid w:val="00A64DEC"/>
    <w:rsid w:val="00A65634"/>
    <w:rsid w:val="00A663AB"/>
    <w:rsid w:val="00A67426"/>
    <w:rsid w:val="00A72AA6"/>
    <w:rsid w:val="00A732D6"/>
    <w:rsid w:val="00A81A22"/>
    <w:rsid w:val="00A825FD"/>
    <w:rsid w:val="00A8360A"/>
    <w:rsid w:val="00A84446"/>
    <w:rsid w:val="00A85B4E"/>
    <w:rsid w:val="00A938E9"/>
    <w:rsid w:val="00A95497"/>
    <w:rsid w:val="00A959F6"/>
    <w:rsid w:val="00A97AF2"/>
    <w:rsid w:val="00AA1C11"/>
    <w:rsid w:val="00AA321E"/>
    <w:rsid w:val="00AB2177"/>
    <w:rsid w:val="00AB3093"/>
    <w:rsid w:val="00AB3EB0"/>
    <w:rsid w:val="00AB6564"/>
    <w:rsid w:val="00AB65B0"/>
    <w:rsid w:val="00AB7307"/>
    <w:rsid w:val="00AC0A2C"/>
    <w:rsid w:val="00AC2216"/>
    <w:rsid w:val="00AC5E21"/>
    <w:rsid w:val="00AD1305"/>
    <w:rsid w:val="00AD27C2"/>
    <w:rsid w:val="00AD38B8"/>
    <w:rsid w:val="00AD4F43"/>
    <w:rsid w:val="00AD553D"/>
    <w:rsid w:val="00AE1EF2"/>
    <w:rsid w:val="00AE2638"/>
    <w:rsid w:val="00AE2C32"/>
    <w:rsid w:val="00AE4F79"/>
    <w:rsid w:val="00AE5287"/>
    <w:rsid w:val="00AE57C6"/>
    <w:rsid w:val="00AE58B2"/>
    <w:rsid w:val="00AE6980"/>
    <w:rsid w:val="00AF108A"/>
    <w:rsid w:val="00AF588F"/>
    <w:rsid w:val="00B00056"/>
    <w:rsid w:val="00B02E55"/>
    <w:rsid w:val="00B036C1"/>
    <w:rsid w:val="00B07013"/>
    <w:rsid w:val="00B0707C"/>
    <w:rsid w:val="00B13ABB"/>
    <w:rsid w:val="00B14166"/>
    <w:rsid w:val="00B14BC4"/>
    <w:rsid w:val="00B15C06"/>
    <w:rsid w:val="00B236B4"/>
    <w:rsid w:val="00B249FB"/>
    <w:rsid w:val="00B2666D"/>
    <w:rsid w:val="00B27B8E"/>
    <w:rsid w:val="00B303E5"/>
    <w:rsid w:val="00B30665"/>
    <w:rsid w:val="00B30772"/>
    <w:rsid w:val="00B33159"/>
    <w:rsid w:val="00B34FD3"/>
    <w:rsid w:val="00B3504C"/>
    <w:rsid w:val="00B354FE"/>
    <w:rsid w:val="00B36031"/>
    <w:rsid w:val="00B368FE"/>
    <w:rsid w:val="00B40F1E"/>
    <w:rsid w:val="00B42629"/>
    <w:rsid w:val="00B428E7"/>
    <w:rsid w:val="00B46253"/>
    <w:rsid w:val="00B46410"/>
    <w:rsid w:val="00B46583"/>
    <w:rsid w:val="00B47F9C"/>
    <w:rsid w:val="00B515EF"/>
    <w:rsid w:val="00B51DF8"/>
    <w:rsid w:val="00B5213E"/>
    <w:rsid w:val="00B52670"/>
    <w:rsid w:val="00B5328F"/>
    <w:rsid w:val="00B540C6"/>
    <w:rsid w:val="00B5431F"/>
    <w:rsid w:val="00B544B9"/>
    <w:rsid w:val="00B601B7"/>
    <w:rsid w:val="00B6140D"/>
    <w:rsid w:val="00B622C2"/>
    <w:rsid w:val="00B63E44"/>
    <w:rsid w:val="00B65FF9"/>
    <w:rsid w:val="00B70148"/>
    <w:rsid w:val="00B706B0"/>
    <w:rsid w:val="00B709EA"/>
    <w:rsid w:val="00B768A4"/>
    <w:rsid w:val="00B80408"/>
    <w:rsid w:val="00B8194D"/>
    <w:rsid w:val="00B84C82"/>
    <w:rsid w:val="00B85584"/>
    <w:rsid w:val="00B86B5A"/>
    <w:rsid w:val="00B90421"/>
    <w:rsid w:val="00B93E19"/>
    <w:rsid w:val="00B945FC"/>
    <w:rsid w:val="00B94AD5"/>
    <w:rsid w:val="00B96795"/>
    <w:rsid w:val="00BA17D3"/>
    <w:rsid w:val="00BA3932"/>
    <w:rsid w:val="00BA3B8D"/>
    <w:rsid w:val="00BA5E90"/>
    <w:rsid w:val="00BB16EF"/>
    <w:rsid w:val="00BB2FAF"/>
    <w:rsid w:val="00BB34AD"/>
    <w:rsid w:val="00BB4FBF"/>
    <w:rsid w:val="00BB5A5D"/>
    <w:rsid w:val="00BB6241"/>
    <w:rsid w:val="00BC5F86"/>
    <w:rsid w:val="00BC748F"/>
    <w:rsid w:val="00BC7BAF"/>
    <w:rsid w:val="00BD1363"/>
    <w:rsid w:val="00BD2812"/>
    <w:rsid w:val="00BD5C36"/>
    <w:rsid w:val="00BD7D17"/>
    <w:rsid w:val="00BE04E4"/>
    <w:rsid w:val="00BE1673"/>
    <w:rsid w:val="00BE43AC"/>
    <w:rsid w:val="00BE4EEA"/>
    <w:rsid w:val="00BF3866"/>
    <w:rsid w:val="00BF38DB"/>
    <w:rsid w:val="00BF697F"/>
    <w:rsid w:val="00BF6AC7"/>
    <w:rsid w:val="00BF6E8F"/>
    <w:rsid w:val="00BF7C1A"/>
    <w:rsid w:val="00BF7EF4"/>
    <w:rsid w:val="00BF7FE0"/>
    <w:rsid w:val="00C03120"/>
    <w:rsid w:val="00C03C0D"/>
    <w:rsid w:val="00C051CD"/>
    <w:rsid w:val="00C05E9B"/>
    <w:rsid w:val="00C07E03"/>
    <w:rsid w:val="00C1247E"/>
    <w:rsid w:val="00C134D3"/>
    <w:rsid w:val="00C13B3F"/>
    <w:rsid w:val="00C15C40"/>
    <w:rsid w:val="00C1693E"/>
    <w:rsid w:val="00C16EB2"/>
    <w:rsid w:val="00C21C01"/>
    <w:rsid w:val="00C22D31"/>
    <w:rsid w:val="00C23EEF"/>
    <w:rsid w:val="00C24569"/>
    <w:rsid w:val="00C258F9"/>
    <w:rsid w:val="00C343FB"/>
    <w:rsid w:val="00C362CC"/>
    <w:rsid w:val="00C370A9"/>
    <w:rsid w:val="00C37F95"/>
    <w:rsid w:val="00C4116E"/>
    <w:rsid w:val="00C422CC"/>
    <w:rsid w:val="00C43DB1"/>
    <w:rsid w:val="00C44D3E"/>
    <w:rsid w:val="00C47564"/>
    <w:rsid w:val="00C47B37"/>
    <w:rsid w:val="00C47CB7"/>
    <w:rsid w:val="00C505C2"/>
    <w:rsid w:val="00C5151C"/>
    <w:rsid w:val="00C523E1"/>
    <w:rsid w:val="00C53D61"/>
    <w:rsid w:val="00C53E2A"/>
    <w:rsid w:val="00C5483D"/>
    <w:rsid w:val="00C57F58"/>
    <w:rsid w:val="00C61028"/>
    <w:rsid w:val="00C6138D"/>
    <w:rsid w:val="00C627A1"/>
    <w:rsid w:val="00C6353C"/>
    <w:rsid w:val="00C74097"/>
    <w:rsid w:val="00C7505D"/>
    <w:rsid w:val="00C75614"/>
    <w:rsid w:val="00C76BE5"/>
    <w:rsid w:val="00C7703D"/>
    <w:rsid w:val="00C77517"/>
    <w:rsid w:val="00C779FB"/>
    <w:rsid w:val="00C8023C"/>
    <w:rsid w:val="00C80F92"/>
    <w:rsid w:val="00C821FB"/>
    <w:rsid w:val="00C834AB"/>
    <w:rsid w:val="00C85920"/>
    <w:rsid w:val="00C867FB"/>
    <w:rsid w:val="00C87769"/>
    <w:rsid w:val="00C95801"/>
    <w:rsid w:val="00C96411"/>
    <w:rsid w:val="00C978C1"/>
    <w:rsid w:val="00C97ACB"/>
    <w:rsid w:val="00CA2931"/>
    <w:rsid w:val="00CA2F73"/>
    <w:rsid w:val="00CA3CC9"/>
    <w:rsid w:val="00CA40CA"/>
    <w:rsid w:val="00CA5B24"/>
    <w:rsid w:val="00CB0502"/>
    <w:rsid w:val="00CB298C"/>
    <w:rsid w:val="00CB375C"/>
    <w:rsid w:val="00CB5F08"/>
    <w:rsid w:val="00CC0335"/>
    <w:rsid w:val="00CC44DF"/>
    <w:rsid w:val="00CC690C"/>
    <w:rsid w:val="00CC6D2A"/>
    <w:rsid w:val="00CC79EF"/>
    <w:rsid w:val="00CD4FE1"/>
    <w:rsid w:val="00CD6E2F"/>
    <w:rsid w:val="00CE0847"/>
    <w:rsid w:val="00CE0F79"/>
    <w:rsid w:val="00CE216C"/>
    <w:rsid w:val="00CE2D44"/>
    <w:rsid w:val="00CE5D8D"/>
    <w:rsid w:val="00CE5FAE"/>
    <w:rsid w:val="00CE6199"/>
    <w:rsid w:val="00CE7F59"/>
    <w:rsid w:val="00CF019F"/>
    <w:rsid w:val="00CF50FE"/>
    <w:rsid w:val="00CF52BE"/>
    <w:rsid w:val="00CF563E"/>
    <w:rsid w:val="00CF58B7"/>
    <w:rsid w:val="00CF5C31"/>
    <w:rsid w:val="00CF622C"/>
    <w:rsid w:val="00D01093"/>
    <w:rsid w:val="00D022E9"/>
    <w:rsid w:val="00D06734"/>
    <w:rsid w:val="00D12021"/>
    <w:rsid w:val="00D14103"/>
    <w:rsid w:val="00D143F9"/>
    <w:rsid w:val="00D15848"/>
    <w:rsid w:val="00D163DC"/>
    <w:rsid w:val="00D17CE1"/>
    <w:rsid w:val="00D2223E"/>
    <w:rsid w:val="00D2225C"/>
    <w:rsid w:val="00D24C1A"/>
    <w:rsid w:val="00D30A96"/>
    <w:rsid w:val="00D3130C"/>
    <w:rsid w:val="00D32833"/>
    <w:rsid w:val="00D33A43"/>
    <w:rsid w:val="00D351C1"/>
    <w:rsid w:val="00D35EFB"/>
    <w:rsid w:val="00D35F7A"/>
    <w:rsid w:val="00D378C4"/>
    <w:rsid w:val="00D436A6"/>
    <w:rsid w:val="00D43775"/>
    <w:rsid w:val="00D4512B"/>
    <w:rsid w:val="00D451F2"/>
    <w:rsid w:val="00D45FEE"/>
    <w:rsid w:val="00D47FEB"/>
    <w:rsid w:val="00D504B3"/>
    <w:rsid w:val="00D504D4"/>
    <w:rsid w:val="00D50AE3"/>
    <w:rsid w:val="00D5103B"/>
    <w:rsid w:val="00D5335A"/>
    <w:rsid w:val="00D53427"/>
    <w:rsid w:val="00D55680"/>
    <w:rsid w:val="00D56E21"/>
    <w:rsid w:val="00D601FC"/>
    <w:rsid w:val="00D62574"/>
    <w:rsid w:val="00D6295A"/>
    <w:rsid w:val="00D63046"/>
    <w:rsid w:val="00D63504"/>
    <w:rsid w:val="00D702B2"/>
    <w:rsid w:val="00D7173D"/>
    <w:rsid w:val="00D75656"/>
    <w:rsid w:val="00D75854"/>
    <w:rsid w:val="00D767FC"/>
    <w:rsid w:val="00D82880"/>
    <w:rsid w:val="00D834BD"/>
    <w:rsid w:val="00D85DB0"/>
    <w:rsid w:val="00D8653E"/>
    <w:rsid w:val="00D8660A"/>
    <w:rsid w:val="00D86BF0"/>
    <w:rsid w:val="00D877F2"/>
    <w:rsid w:val="00D87C88"/>
    <w:rsid w:val="00D92FCE"/>
    <w:rsid w:val="00D933EC"/>
    <w:rsid w:val="00D95B2A"/>
    <w:rsid w:val="00DA55A5"/>
    <w:rsid w:val="00DB05AD"/>
    <w:rsid w:val="00DB3A2E"/>
    <w:rsid w:val="00DB3D83"/>
    <w:rsid w:val="00DB4015"/>
    <w:rsid w:val="00DB49F2"/>
    <w:rsid w:val="00DC7E24"/>
    <w:rsid w:val="00DD17D9"/>
    <w:rsid w:val="00DD2063"/>
    <w:rsid w:val="00DD599B"/>
    <w:rsid w:val="00DE002C"/>
    <w:rsid w:val="00DE31FC"/>
    <w:rsid w:val="00DE5A79"/>
    <w:rsid w:val="00DE6994"/>
    <w:rsid w:val="00DE7156"/>
    <w:rsid w:val="00DF1CCF"/>
    <w:rsid w:val="00DF27A4"/>
    <w:rsid w:val="00DF506A"/>
    <w:rsid w:val="00DF67C4"/>
    <w:rsid w:val="00E0240E"/>
    <w:rsid w:val="00E10A6A"/>
    <w:rsid w:val="00E10B84"/>
    <w:rsid w:val="00E10D6B"/>
    <w:rsid w:val="00E12901"/>
    <w:rsid w:val="00E17968"/>
    <w:rsid w:val="00E22CDB"/>
    <w:rsid w:val="00E23425"/>
    <w:rsid w:val="00E236C2"/>
    <w:rsid w:val="00E23C30"/>
    <w:rsid w:val="00E24134"/>
    <w:rsid w:val="00E24BEA"/>
    <w:rsid w:val="00E2733C"/>
    <w:rsid w:val="00E30B58"/>
    <w:rsid w:val="00E31751"/>
    <w:rsid w:val="00E368FB"/>
    <w:rsid w:val="00E41EBE"/>
    <w:rsid w:val="00E4416F"/>
    <w:rsid w:val="00E4479B"/>
    <w:rsid w:val="00E5133F"/>
    <w:rsid w:val="00E51920"/>
    <w:rsid w:val="00E533E7"/>
    <w:rsid w:val="00E54441"/>
    <w:rsid w:val="00E55787"/>
    <w:rsid w:val="00E56482"/>
    <w:rsid w:val="00E57443"/>
    <w:rsid w:val="00E575B4"/>
    <w:rsid w:val="00E5770D"/>
    <w:rsid w:val="00E62E19"/>
    <w:rsid w:val="00E64120"/>
    <w:rsid w:val="00E64597"/>
    <w:rsid w:val="00E65F71"/>
    <w:rsid w:val="00E660A1"/>
    <w:rsid w:val="00E66A2C"/>
    <w:rsid w:val="00E66CDE"/>
    <w:rsid w:val="00E66F7C"/>
    <w:rsid w:val="00E72BA5"/>
    <w:rsid w:val="00E7403B"/>
    <w:rsid w:val="00E74946"/>
    <w:rsid w:val="00E80B46"/>
    <w:rsid w:val="00E80DF4"/>
    <w:rsid w:val="00E8143A"/>
    <w:rsid w:val="00E82A6E"/>
    <w:rsid w:val="00E832E0"/>
    <w:rsid w:val="00E924C5"/>
    <w:rsid w:val="00E94630"/>
    <w:rsid w:val="00E94895"/>
    <w:rsid w:val="00E948B9"/>
    <w:rsid w:val="00E96647"/>
    <w:rsid w:val="00EA264C"/>
    <w:rsid w:val="00EA331F"/>
    <w:rsid w:val="00EA3F4E"/>
    <w:rsid w:val="00EA59ED"/>
    <w:rsid w:val="00EA6590"/>
    <w:rsid w:val="00EA6F33"/>
    <w:rsid w:val="00EB01D4"/>
    <w:rsid w:val="00EB30B5"/>
    <w:rsid w:val="00EB37ED"/>
    <w:rsid w:val="00EB6A76"/>
    <w:rsid w:val="00EB7A22"/>
    <w:rsid w:val="00EC2E00"/>
    <w:rsid w:val="00EC2E5E"/>
    <w:rsid w:val="00EC3335"/>
    <w:rsid w:val="00EC3C5D"/>
    <w:rsid w:val="00EC3F66"/>
    <w:rsid w:val="00EC4680"/>
    <w:rsid w:val="00EC60E9"/>
    <w:rsid w:val="00ED2AE5"/>
    <w:rsid w:val="00EE04EE"/>
    <w:rsid w:val="00EE1FFA"/>
    <w:rsid w:val="00EE4F0D"/>
    <w:rsid w:val="00EE5D08"/>
    <w:rsid w:val="00EE5EFF"/>
    <w:rsid w:val="00EE69B0"/>
    <w:rsid w:val="00EF0D93"/>
    <w:rsid w:val="00EF70B0"/>
    <w:rsid w:val="00EF7C61"/>
    <w:rsid w:val="00F03D87"/>
    <w:rsid w:val="00F04589"/>
    <w:rsid w:val="00F0516E"/>
    <w:rsid w:val="00F055F1"/>
    <w:rsid w:val="00F058BE"/>
    <w:rsid w:val="00F06681"/>
    <w:rsid w:val="00F11645"/>
    <w:rsid w:val="00F128D9"/>
    <w:rsid w:val="00F139D4"/>
    <w:rsid w:val="00F13DA9"/>
    <w:rsid w:val="00F1578A"/>
    <w:rsid w:val="00F15C83"/>
    <w:rsid w:val="00F168F9"/>
    <w:rsid w:val="00F16A60"/>
    <w:rsid w:val="00F1767F"/>
    <w:rsid w:val="00F17CC1"/>
    <w:rsid w:val="00F260C3"/>
    <w:rsid w:val="00F27289"/>
    <w:rsid w:val="00F33805"/>
    <w:rsid w:val="00F35DDE"/>
    <w:rsid w:val="00F36D7E"/>
    <w:rsid w:val="00F36EB6"/>
    <w:rsid w:val="00F40589"/>
    <w:rsid w:val="00F40EF9"/>
    <w:rsid w:val="00F41C30"/>
    <w:rsid w:val="00F4262C"/>
    <w:rsid w:val="00F443E0"/>
    <w:rsid w:val="00F44779"/>
    <w:rsid w:val="00F46D4F"/>
    <w:rsid w:val="00F52C05"/>
    <w:rsid w:val="00F535A8"/>
    <w:rsid w:val="00F539E9"/>
    <w:rsid w:val="00F53AFB"/>
    <w:rsid w:val="00F53B37"/>
    <w:rsid w:val="00F5458E"/>
    <w:rsid w:val="00F57765"/>
    <w:rsid w:val="00F57A74"/>
    <w:rsid w:val="00F60E7C"/>
    <w:rsid w:val="00F610AF"/>
    <w:rsid w:val="00F623CD"/>
    <w:rsid w:val="00F6417C"/>
    <w:rsid w:val="00F64CEC"/>
    <w:rsid w:val="00F67859"/>
    <w:rsid w:val="00F67F61"/>
    <w:rsid w:val="00F74D62"/>
    <w:rsid w:val="00F76DB6"/>
    <w:rsid w:val="00F77599"/>
    <w:rsid w:val="00F77757"/>
    <w:rsid w:val="00F82CD7"/>
    <w:rsid w:val="00F85887"/>
    <w:rsid w:val="00F8748F"/>
    <w:rsid w:val="00F93782"/>
    <w:rsid w:val="00F938B6"/>
    <w:rsid w:val="00F94FE3"/>
    <w:rsid w:val="00F9564A"/>
    <w:rsid w:val="00F97879"/>
    <w:rsid w:val="00F97C18"/>
    <w:rsid w:val="00FA1104"/>
    <w:rsid w:val="00FA2C5A"/>
    <w:rsid w:val="00FA6B18"/>
    <w:rsid w:val="00FA6F0C"/>
    <w:rsid w:val="00FB131E"/>
    <w:rsid w:val="00FB15F6"/>
    <w:rsid w:val="00FB23A4"/>
    <w:rsid w:val="00FB23F6"/>
    <w:rsid w:val="00FB4373"/>
    <w:rsid w:val="00FB570C"/>
    <w:rsid w:val="00FB5DD6"/>
    <w:rsid w:val="00FC2D11"/>
    <w:rsid w:val="00FC6230"/>
    <w:rsid w:val="00FD26EF"/>
    <w:rsid w:val="00FD3064"/>
    <w:rsid w:val="00FD3F90"/>
    <w:rsid w:val="00FD5AFF"/>
    <w:rsid w:val="00FD6A30"/>
    <w:rsid w:val="00FE123E"/>
    <w:rsid w:val="00FE1FB4"/>
    <w:rsid w:val="00FE2562"/>
    <w:rsid w:val="00FF0285"/>
    <w:rsid w:val="00FF0842"/>
    <w:rsid w:val="00FF0AC8"/>
    <w:rsid w:val="00FF246D"/>
    <w:rsid w:val="00FF29DC"/>
    <w:rsid w:val="00FF61E7"/>
    <w:rsid w:val="00FF6D23"/>
    <w:rsid w:val="10DE84B5"/>
    <w:rsid w:val="219D0D3A"/>
    <w:rsid w:val="325B575E"/>
    <w:rsid w:val="6E27B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A052B8"/>
  <w15:chartTrackingRefBased/>
  <w15:docId w15:val="{3CD00BDF-FC65-48AB-BD8F-368DA6E75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GB" w:bidi="ar-SA"/>
      </w:rPr>
    </w:rPrDefault>
    <w:pPrDefault>
      <w:pPr>
        <w:spacing w:after="200" w:line="288" w:lineRule="auto"/>
      </w:pPr>
    </w:pPrDefault>
  </w:docDefaults>
  <w:latentStyles w:defLockedState="0" w:defUIPriority="0" w:defSemiHidden="0" w:defUnhideWhenUsed="0" w:defQFormat="0" w:count="376">
    <w:lsdException w:name="Normal"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5887"/>
  </w:style>
  <w:style w:type="paragraph" w:styleId="Heading1">
    <w:name w:val="heading 1"/>
    <w:basedOn w:val="Normal"/>
    <w:next w:val="Normal"/>
    <w:link w:val="Heading1Char"/>
    <w:uiPriority w:val="9"/>
    <w:qFormat/>
    <w:rsid w:val="00F85887"/>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unhideWhenUsed/>
    <w:qFormat/>
    <w:rsid w:val="00F85887"/>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unhideWhenUsed/>
    <w:qFormat/>
    <w:rsid w:val="00B601B7"/>
    <w:pPr>
      <w:keepNext/>
      <w:keepLines/>
      <w:spacing w:before="80" w:after="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uiPriority w:val="9"/>
    <w:semiHidden/>
    <w:unhideWhenUsed/>
    <w:qFormat/>
    <w:rsid w:val="00F85887"/>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F85887"/>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F85887"/>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F85887"/>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F85887"/>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F85887"/>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numPr>
        <w:numId w:val="1"/>
      </w:numPr>
      <w:spacing w:before="240" w:after="240" w:line="360" w:lineRule="auto"/>
      <w:ind w:left="709" w:hanging="709"/>
    </w:pPr>
    <w:rPr>
      <w:rFonts w:ascii="Arial" w:hAnsi="Arial"/>
    </w:rPr>
  </w:style>
  <w:style w:type="paragraph" w:styleId="Title">
    <w:name w:val="Title"/>
    <w:basedOn w:val="Normal"/>
    <w:next w:val="Normal"/>
    <w:link w:val="TitleChar"/>
    <w:uiPriority w:val="10"/>
    <w:qFormat/>
    <w:rsid w:val="00F85887"/>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F85887"/>
    <w:rPr>
      <w:rFonts w:asciiTheme="majorHAnsi" w:eastAsiaTheme="majorEastAsia" w:hAnsiTheme="majorHAnsi" w:cstheme="majorBidi"/>
      <w:color w:val="262626" w:themeColor="text1" w:themeTint="D9"/>
      <w:spacing w:val="-15"/>
      <w:sz w:val="96"/>
      <w:szCs w:val="96"/>
    </w:rPr>
  </w:style>
  <w:style w:type="character" w:customStyle="1" w:styleId="Heading1Char">
    <w:name w:val="Heading 1 Char"/>
    <w:basedOn w:val="DefaultParagraphFont"/>
    <w:link w:val="Heading1"/>
    <w:uiPriority w:val="9"/>
    <w:rsid w:val="00F85887"/>
    <w:rPr>
      <w:rFonts w:asciiTheme="majorHAnsi" w:eastAsiaTheme="majorEastAsia" w:hAnsiTheme="majorHAnsi" w:cstheme="majorBidi"/>
      <w:color w:val="538135" w:themeColor="accent6" w:themeShade="BF"/>
      <w:sz w:val="40"/>
      <w:szCs w:val="40"/>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uiPriority w:val="9"/>
    <w:rsid w:val="00F85887"/>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rsid w:val="00B601B7"/>
    <w:rPr>
      <w:rFonts w:ascii="Arial" w:eastAsiaTheme="majorEastAsia" w:hAnsi="Arial" w:cstheme="majorBidi"/>
      <w:b/>
      <w:sz w:val="24"/>
      <w:szCs w:val="24"/>
    </w:rPr>
  </w:style>
  <w:style w:type="paragraph" w:customStyle="1" w:styleId="Subbullets">
    <w:name w:val="Sub bullets"/>
    <w:basedOn w:val="Normal"/>
    <w:uiPriority w:val="6"/>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styleId="ListParagraph">
    <w:name w:val="List Paragraph"/>
    <w:basedOn w:val="Normal"/>
    <w:uiPriority w:val="34"/>
    <w:qFormat/>
    <w:rsid w:val="00CC79EF"/>
    <w:pPr>
      <w:ind w:left="720"/>
      <w:contextualSpacing/>
    </w:pPr>
  </w:style>
  <w:style w:type="paragraph" w:customStyle="1" w:styleId="Unnumberedboldheading">
    <w:name w:val="Unnumbered bold heading"/>
    <w:next w:val="Normal"/>
    <w:rsid w:val="00CC79EF"/>
    <w:pPr>
      <w:keepNext/>
      <w:widowControl w:val="0"/>
      <w:spacing w:after="120"/>
    </w:pPr>
    <w:rPr>
      <w:rFonts w:ascii="Arial" w:hAnsi="Arial"/>
      <w:b/>
      <w:sz w:val="24"/>
      <w:szCs w:val="24"/>
      <w:lang w:eastAsia="en-US"/>
    </w:rPr>
  </w:style>
  <w:style w:type="table" w:styleId="TableGrid">
    <w:name w:val="Table Grid"/>
    <w:basedOn w:val="TableNormal"/>
    <w:rsid w:val="00CC79EF"/>
    <w:tblPr/>
  </w:style>
  <w:style w:type="character" w:styleId="CommentReference">
    <w:name w:val="annotation reference"/>
    <w:basedOn w:val="DefaultParagraphFont"/>
    <w:semiHidden/>
    <w:rsid w:val="0088441D"/>
    <w:rPr>
      <w:sz w:val="16"/>
      <w:szCs w:val="16"/>
    </w:rPr>
  </w:style>
  <w:style w:type="paragraph" w:styleId="CommentText">
    <w:name w:val="annotation text"/>
    <w:basedOn w:val="Normal"/>
    <w:link w:val="CommentTextChar"/>
    <w:semiHidden/>
    <w:rsid w:val="0088441D"/>
    <w:pPr>
      <w:spacing w:line="240" w:lineRule="auto"/>
    </w:pPr>
    <w:rPr>
      <w:sz w:val="20"/>
      <w:szCs w:val="20"/>
    </w:rPr>
  </w:style>
  <w:style w:type="character" w:customStyle="1" w:styleId="CommentTextChar">
    <w:name w:val="Comment Text Char"/>
    <w:basedOn w:val="DefaultParagraphFont"/>
    <w:link w:val="CommentText"/>
    <w:semiHidden/>
    <w:rsid w:val="0088441D"/>
    <w:rPr>
      <w:rFonts w:ascii="Calibri" w:eastAsia="Calibri" w:hAnsi="Calibri"/>
      <w:lang w:eastAsia="en-US"/>
    </w:rPr>
  </w:style>
  <w:style w:type="paragraph" w:styleId="CommentSubject">
    <w:name w:val="annotation subject"/>
    <w:basedOn w:val="CommentText"/>
    <w:next w:val="CommentText"/>
    <w:link w:val="CommentSubjectChar"/>
    <w:semiHidden/>
    <w:rsid w:val="004E0D0C"/>
    <w:rPr>
      <w:b/>
      <w:bCs/>
    </w:rPr>
  </w:style>
  <w:style w:type="character" w:customStyle="1" w:styleId="CommentSubjectChar">
    <w:name w:val="Comment Subject Char"/>
    <w:basedOn w:val="CommentTextChar"/>
    <w:link w:val="CommentSubject"/>
    <w:semiHidden/>
    <w:rsid w:val="004E0D0C"/>
    <w:rPr>
      <w:rFonts w:ascii="Calibri" w:eastAsia="Calibri" w:hAnsi="Calibri"/>
      <w:b/>
      <w:bCs/>
      <w:lang w:eastAsia="en-US"/>
    </w:rPr>
  </w:style>
  <w:style w:type="character" w:styleId="Hyperlink">
    <w:name w:val="Hyperlink"/>
    <w:basedOn w:val="DefaultParagraphFont"/>
    <w:semiHidden/>
    <w:rsid w:val="00675789"/>
    <w:rPr>
      <w:color w:val="0563C1" w:themeColor="hyperlink"/>
      <w:u w:val="single"/>
    </w:rPr>
  </w:style>
  <w:style w:type="character" w:styleId="UnresolvedMention">
    <w:name w:val="Unresolved Mention"/>
    <w:basedOn w:val="DefaultParagraphFont"/>
    <w:uiPriority w:val="99"/>
    <w:semiHidden/>
    <w:unhideWhenUsed/>
    <w:rsid w:val="00675789"/>
    <w:rPr>
      <w:color w:val="605E5C"/>
      <w:shd w:val="clear" w:color="auto" w:fill="E1DFDD"/>
    </w:rPr>
  </w:style>
  <w:style w:type="character" w:styleId="FollowedHyperlink">
    <w:name w:val="FollowedHyperlink"/>
    <w:basedOn w:val="DefaultParagraphFont"/>
    <w:semiHidden/>
    <w:rsid w:val="001445BB"/>
    <w:rPr>
      <w:color w:val="954F72" w:themeColor="followedHyperlink"/>
      <w:u w:val="single"/>
    </w:rPr>
  </w:style>
  <w:style w:type="character" w:customStyle="1" w:styleId="Heading4Char">
    <w:name w:val="Heading 4 Char"/>
    <w:basedOn w:val="DefaultParagraphFont"/>
    <w:link w:val="Heading4"/>
    <w:uiPriority w:val="9"/>
    <w:semiHidden/>
    <w:rsid w:val="00F85887"/>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F85887"/>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F85887"/>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F85887"/>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F85887"/>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F85887"/>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F85887"/>
    <w:pPr>
      <w:spacing w:line="240" w:lineRule="auto"/>
    </w:pPr>
    <w:rPr>
      <w:b/>
      <w:bCs/>
      <w:smallCaps/>
      <w:color w:val="595959" w:themeColor="text1" w:themeTint="A6"/>
    </w:rPr>
  </w:style>
  <w:style w:type="paragraph" w:styleId="Subtitle">
    <w:name w:val="Subtitle"/>
    <w:basedOn w:val="Normal"/>
    <w:next w:val="Normal"/>
    <w:link w:val="SubtitleChar"/>
    <w:uiPriority w:val="11"/>
    <w:qFormat/>
    <w:rsid w:val="00F85887"/>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F85887"/>
    <w:rPr>
      <w:rFonts w:asciiTheme="majorHAnsi" w:eastAsiaTheme="majorEastAsia" w:hAnsiTheme="majorHAnsi" w:cstheme="majorBidi"/>
      <w:sz w:val="30"/>
      <w:szCs w:val="30"/>
    </w:rPr>
  </w:style>
  <w:style w:type="character" w:styleId="Strong">
    <w:name w:val="Strong"/>
    <w:basedOn w:val="DefaultParagraphFont"/>
    <w:uiPriority w:val="22"/>
    <w:qFormat/>
    <w:rsid w:val="00F85887"/>
    <w:rPr>
      <w:b/>
      <w:bCs/>
    </w:rPr>
  </w:style>
  <w:style w:type="character" w:styleId="Emphasis">
    <w:name w:val="Emphasis"/>
    <w:basedOn w:val="DefaultParagraphFont"/>
    <w:uiPriority w:val="20"/>
    <w:qFormat/>
    <w:rsid w:val="00F85887"/>
    <w:rPr>
      <w:i/>
      <w:iCs/>
      <w:color w:val="70AD47" w:themeColor="accent6"/>
    </w:rPr>
  </w:style>
  <w:style w:type="paragraph" w:styleId="NoSpacing">
    <w:name w:val="No Spacing"/>
    <w:uiPriority w:val="1"/>
    <w:qFormat/>
    <w:rsid w:val="00F85887"/>
    <w:pPr>
      <w:spacing w:after="0" w:line="240" w:lineRule="auto"/>
    </w:pPr>
  </w:style>
  <w:style w:type="paragraph" w:styleId="Quote">
    <w:name w:val="Quote"/>
    <w:basedOn w:val="Normal"/>
    <w:next w:val="Normal"/>
    <w:link w:val="QuoteChar"/>
    <w:uiPriority w:val="29"/>
    <w:qFormat/>
    <w:rsid w:val="00F85887"/>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F85887"/>
    <w:rPr>
      <w:i/>
      <w:iCs/>
      <w:color w:val="262626" w:themeColor="text1" w:themeTint="D9"/>
    </w:rPr>
  </w:style>
  <w:style w:type="paragraph" w:styleId="IntenseQuote">
    <w:name w:val="Intense Quote"/>
    <w:basedOn w:val="Normal"/>
    <w:next w:val="Normal"/>
    <w:link w:val="IntenseQuoteChar"/>
    <w:uiPriority w:val="30"/>
    <w:qFormat/>
    <w:rsid w:val="00F85887"/>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F85887"/>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F85887"/>
    <w:rPr>
      <w:i/>
      <w:iCs/>
    </w:rPr>
  </w:style>
  <w:style w:type="character" w:styleId="IntenseEmphasis">
    <w:name w:val="Intense Emphasis"/>
    <w:basedOn w:val="DefaultParagraphFont"/>
    <w:uiPriority w:val="21"/>
    <w:qFormat/>
    <w:rsid w:val="00F85887"/>
    <w:rPr>
      <w:b/>
      <w:bCs/>
      <w:i/>
      <w:iCs/>
    </w:rPr>
  </w:style>
  <w:style w:type="character" w:styleId="SubtleReference">
    <w:name w:val="Subtle Reference"/>
    <w:basedOn w:val="DefaultParagraphFont"/>
    <w:uiPriority w:val="31"/>
    <w:qFormat/>
    <w:rsid w:val="00F85887"/>
    <w:rPr>
      <w:smallCaps/>
      <w:color w:val="595959" w:themeColor="text1" w:themeTint="A6"/>
    </w:rPr>
  </w:style>
  <w:style w:type="character" w:styleId="IntenseReference">
    <w:name w:val="Intense Reference"/>
    <w:basedOn w:val="DefaultParagraphFont"/>
    <w:uiPriority w:val="32"/>
    <w:qFormat/>
    <w:rsid w:val="00F85887"/>
    <w:rPr>
      <w:b/>
      <w:bCs/>
      <w:smallCaps/>
      <w:color w:val="70AD47" w:themeColor="accent6"/>
    </w:rPr>
  </w:style>
  <w:style w:type="character" w:styleId="BookTitle">
    <w:name w:val="Book Title"/>
    <w:basedOn w:val="DefaultParagraphFont"/>
    <w:uiPriority w:val="33"/>
    <w:qFormat/>
    <w:rsid w:val="00F85887"/>
    <w:rPr>
      <w:b/>
      <w:bCs/>
      <w:caps w:val="0"/>
      <w:smallCaps/>
      <w:spacing w:val="7"/>
      <w:sz w:val="21"/>
      <w:szCs w:val="21"/>
    </w:rPr>
  </w:style>
  <w:style w:type="paragraph" w:styleId="TOCHeading">
    <w:name w:val="TOC Heading"/>
    <w:basedOn w:val="Heading1"/>
    <w:next w:val="Normal"/>
    <w:uiPriority w:val="39"/>
    <w:semiHidden/>
    <w:unhideWhenUsed/>
    <w:qFormat/>
    <w:rsid w:val="00F85887"/>
    <w:pPr>
      <w:outlineLvl w:val="9"/>
    </w:pPr>
  </w:style>
  <w:style w:type="paragraph" w:styleId="Revision">
    <w:name w:val="Revision"/>
    <w:hidden/>
    <w:uiPriority w:val="99"/>
    <w:semiHidden/>
    <w:rsid w:val="00811313"/>
    <w:pPr>
      <w:spacing w:after="0" w:line="240" w:lineRule="auto"/>
    </w:pPr>
  </w:style>
  <w:style w:type="paragraph" w:styleId="FootnoteText">
    <w:name w:val="footnote text"/>
    <w:basedOn w:val="Normal"/>
    <w:link w:val="FootnoteTextChar"/>
    <w:semiHidden/>
    <w:rsid w:val="00022D2A"/>
    <w:pPr>
      <w:spacing w:after="0" w:line="240" w:lineRule="auto"/>
    </w:pPr>
    <w:rPr>
      <w:sz w:val="20"/>
      <w:szCs w:val="20"/>
    </w:rPr>
  </w:style>
  <w:style w:type="character" w:customStyle="1" w:styleId="FootnoteTextChar">
    <w:name w:val="Footnote Text Char"/>
    <w:basedOn w:val="DefaultParagraphFont"/>
    <w:link w:val="FootnoteText"/>
    <w:semiHidden/>
    <w:rsid w:val="00022D2A"/>
    <w:rPr>
      <w:sz w:val="20"/>
      <w:szCs w:val="20"/>
    </w:rPr>
  </w:style>
  <w:style w:type="character" w:styleId="FootnoteReference">
    <w:name w:val="footnote reference"/>
    <w:basedOn w:val="DefaultParagraphFont"/>
    <w:semiHidden/>
    <w:rsid w:val="00022D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72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4" ma:contentTypeDescription="Create a new document." ma:contentTypeScope="" ma:versionID="95adbcf419d9d33608bf0df25d48a56c">
  <xsd:schema xmlns:xsd="http://www.w3.org/2001/XMLSchema" xmlns:xs="http://www.w3.org/2001/XMLSchema" xmlns:p="http://schemas.microsoft.com/office/2006/metadata/properties" xmlns:ns2="465a54fe-435b-4423-8fe2-c9a3626b31f7" xmlns:ns3="68f19371-ebe6-4483-8e72-73d36cd7064e" xmlns:ns4="0eb656aa-4e79-4e95-9076-bc119a23e0cc" targetNamespace="http://schemas.microsoft.com/office/2006/metadata/properties" ma:root="true" ma:fieldsID="eff57b8a4fa252ff1f4c864930a310bc" ns2:_="" ns3:_="" ns4:_="">
    <xsd:import namespace="465a54fe-435b-4423-8fe2-c9a3626b31f7"/>
    <xsd:import namespace="68f19371-ebe6-4483-8e72-73d36cd7064e"/>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4d61abc-4cd0-41d5-925d-20cb28cbf0f5}" ma:internalName="TaxCatchAll" ma:showField="CatchAllData" ma:web="68f19371-ebe6-4483-8e72-73d36cd70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465a54fe-435b-4423-8fe2-c9a3626b31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D6E947-C028-4250-A269-6A6F28089408}">
  <ds:schemaRefs>
    <ds:schemaRef ds:uri="http://schemas.microsoft.com/sharepoint/v3/contenttype/forms"/>
  </ds:schemaRefs>
</ds:datastoreItem>
</file>

<file path=customXml/itemProps2.xml><?xml version="1.0" encoding="utf-8"?>
<ds:datastoreItem xmlns:ds="http://schemas.openxmlformats.org/officeDocument/2006/customXml" ds:itemID="{156CF3F2-72F6-4251-86E3-13C8C36F228D}"/>
</file>

<file path=customXml/itemProps3.xml><?xml version="1.0" encoding="utf-8"?>
<ds:datastoreItem xmlns:ds="http://schemas.openxmlformats.org/officeDocument/2006/customXml" ds:itemID="{BCB0F18F-DA00-420A-A912-971CABD0A8E9}">
  <ds:schemaRefs>
    <ds:schemaRef ds:uri="http://schemas.microsoft.com/office/2006/metadata/properties"/>
    <ds:schemaRef ds:uri="http://schemas.microsoft.com/office/infopath/2007/PartnerControls"/>
    <ds:schemaRef ds:uri="0eb656aa-4e79-4e95-9076-bc119a23e0cc"/>
    <ds:schemaRef ds:uri="465a54fe-435b-4423-8fe2-c9a3626b31f7"/>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32</Pages>
  <Words>9473</Words>
  <Characters>51155</Characters>
  <Application>Microsoft Office Word</Application>
  <DocSecurity>0</DocSecurity>
  <Lines>965</Lines>
  <Paragraphs>170</Paragraphs>
  <ScaleCrop>false</ScaleCrop>
  <Company/>
  <LinksUpToDate>false</LinksUpToDate>
  <CharactersWithSpaces>60458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Coombs</dc:creator>
  <cp:keywords/>
  <cp:lastModifiedBy>Lynn Woodward</cp:lastModifiedBy>
  <cp:revision>133</cp:revision>
  <dcterms:created xsi:type="dcterms:W3CDTF">2025-10-27T19:49:00Z</dcterms:created>
  <dcterms:modified xsi:type="dcterms:W3CDTF">2025-11-03T16:46:00Z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0x0101003300E5E64B980D458C754FFE05DEE26D</vt:lpwstr>
  </property>
  <property fmtid="{D5CDD505-2E9C-101B-9397-08002B2CF9AE}" pid="3" name="MSIP_Label_37c1caf1-e4f0-4b5d-9415-ebd897024cb8_Enabled">
    <vt:lpwstr>true</vt:lpwstr>
  </property>
  <property fmtid="{D5CDD505-2E9C-101B-9397-08002B2CF9AE}" pid="4" name="MSIP_Label_37c1caf1-e4f0-4b5d-9415-ebd897024cb8_SetDate">
    <vt:lpwstr>2025-10-27T12:48:47Z</vt:lpwstr>
  </property>
  <property fmtid="{D5CDD505-2E9C-101B-9397-08002B2CF9AE}" pid="5" name="MSIP_Label_37c1caf1-e4f0-4b5d-9415-ebd897024cb8_Method">
    <vt:lpwstr>Privileged</vt:lpwstr>
  </property>
  <property fmtid="{D5CDD505-2E9C-101B-9397-08002B2CF9AE}" pid="6" name="MSIP_Label_37c1caf1-e4f0-4b5d-9415-ebd897024cb8_Name">
    <vt:lpwstr>OFFICIAL-SENSITIVE PRE-PUBLICATION</vt:lpwstr>
  </property>
  <property fmtid="{D5CDD505-2E9C-101B-9397-08002B2CF9AE}" pid="7" name="MSIP_Label_37c1caf1-e4f0-4b5d-9415-ebd897024cb8_SiteId">
    <vt:lpwstr>6030f479-b342-472d-a5dd-740ff7538de9</vt:lpwstr>
  </property>
  <property fmtid="{D5CDD505-2E9C-101B-9397-08002B2CF9AE}" pid="8" name="MSIP_Label_37c1caf1-e4f0-4b5d-9415-ebd897024cb8_ActionId">
    <vt:lpwstr>cd6e0730-39df-4557-87b9-3ca331d53a47</vt:lpwstr>
  </property>
  <property fmtid="{D5CDD505-2E9C-101B-9397-08002B2CF9AE}" pid="9" name="MSIP_Label_37c1caf1-e4f0-4b5d-9415-ebd897024cb8_ContentBits">
    <vt:lpwstr>0</vt:lpwstr>
  </property>
  <property fmtid="{D5CDD505-2E9C-101B-9397-08002B2CF9AE}" pid="10" name="MSIP_Label_37c1caf1-e4f0-4b5d-9415-ebd897024cb8_Tag">
    <vt:lpwstr>10, 0, 1, 1</vt:lpwstr>
  </property>
  <property fmtid="{D5CDD505-2E9C-101B-9397-08002B2CF9AE}" pid="11" name="MediaServiceImageTags">
    <vt:lpwstr/>
  </property>
</Properties>
</file>