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6BA9" w14:textId="77777777" w:rsidR="006F4CB1" w:rsidRDefault="00810B0E">
      <w:pPr>
        <w:pStyle w:val="Heading1"/>
        <w:spacing w:before="63" w:line="278" w:lineRule="auto"/>
        <w:ind w:right="20"/>
        <w:jc w:val="both"/>
        <w:rPr>
          <w:u w:val="none"/>
        </w:rPr>
      </w:pPr>
      <w:r>
        <w:t>APPEAL BY ASTRAZENECA AGAINST THE FINAL DRAFT GUIDANCE FOR</w:t>
      </w:r>
      <w:r>
        <w:rPr>
          <w:u w:val="none"/>
        </w:rPr>
        <w:t xml:space="preserve"> </w:t>
      </w:r>
      <w:r>
        <w:t>DURVALUMAB WITH PLATINUM-BASED CHEMOTHERAPY THEN WITH OR</w:t>
      </w:r>
      <w:r>
        <w:rPr>
          <w:u w:val="none"/>
        </w:rPr>
        <w:t xml:space="preserve"> </w:t>
      </w:r>
      <w:r>
        <w:t>WITHOUT OLAPARIB, FOR UNTREATED ADVANCED OR RECURRENT</w:t>
      </w:r>
      <w:r>
        <w:rPr>
          <w:u w:val="none"/>
        </w:rPr>
        <w:t xml:space="preserve"> </w:t>
      </w:r>
      <w:r>
        <w:t>ENDOMETRIAL</w:t>
      </w:r>
      <w:r>
        <w:rPr>
          <w:spacing w:val="-1"/>
        </w:rPr>
        <w:t xml:space="preserve"> </w:t>
      </w:r>
      <w:r>
        <w:t>CANCER</w:t>
      </w:r>
    </w:p>
    <w:p w14:paraId="23956BAA" w14:textId="77777777" w:rsidR="006F4CB1" w:rsidRDefault="006F4CB1">
      <w:pPr>
        <w:pStyle w:val="BodyText"/>
        <w:ind w:left="0"/>
        <w:jc w:val="left"/>
        <w:rPr>
          <w:b/>
        </w:rPr>
      </w:pPr>
    </w:p>
    <w:p w14:paraId="23956BAB" w14:textId="77777777" w:rsidR="006F4CB1" w:rsidRDefault="006F4CB1">
      <w:pPr>
        <w:pStyle w:val="BodyText"/>
        <w:spacing w:before="88"/>
        <w:ind w:left="0"/>
        <w:jc w:val="left"/>
        <w:rPr>
          <w:b/>
        </w:rPr>
      </w:pPr>
    </w:p>
    <w:p w14:paraId="23956BAC" w14:textId="77777777" w:rsidR="006F4CB1" w:rsidRDefault="00810B0E">
      <w:pPr>
        <w:ind w:left="23"/>
        <w:rPr>
          <w:b/>
          <w:sz w:val="24"/>
        </w:rPr>
      </w:pPr>
      <w:r>
        <w:rPr>
          <w:b/>
          <w:sz w:val="24"/>
          <w:u w:val="single"/>
        </w:rPr>
        <w:t>EXECUTIVE</w:t>
      </w:r>
      <w:r>
        <w:rPr>
          <w:b/>
          <w:spacing w:val="-8"/>
          <w:sz w:val="24"/>
          <w:u w:val="single"/>
        </w:rPr>
        <w:t xml:space="preserve"> </w:t>
      </w:r>
      <w:r>
        <w:rPr>
          <w:b/>
          <w:spacing w:val="-2"/>
          <w:sz w:val="24"/>
          <w:u w:val="single"/>
        </w:rPr>
        <w:t>SUMMARY</w:t>
      </w:r>
    </w:p>
    <w:p w14:paraId="23956BAD" w14:textId="77777777" w:rsidR="006F4CB1" w:rsidRDefault="00810B0E">
      <w:pPr>
        <w:pStyle w:val="BodyText"/>
        <w:spacing w:before="205"/>
        <w:ind w:left="23"/>
        <w:jc w:val="left"/>
      </w:pPr>
      <w:r>
        <w:t>AstraZeneca’s</w:t>
      </w:r>
      <w:r>
        <w:rPr>
          <w:spacing w:val="-8"/>
        </w:rPr>
        <w:t xml:space="preserve"> </w:t>
      </w:r>
      <w:r>
        <w:t>appeal</w:t>
      </w:r>
      <w:r>
        <w:rPr>
          <w:spacing w:val="-3"/>
        </w:rPr>
        <w:t xml:space="preserve"> </w:t>
      </w:r>
      <w:r>
        <w:t>is</w:t>
      </w:r>
      <w:r>
        <w:rPr>
          <w:spacing w:val="-5"/>
        </w:rPr>
        <w:t xml:space="preserve"> </w:t>
      </w:r>
      <w:r>
        <w:t>advanced</w:t>
      </w:r>
      <w:r>
        <w:rPr>
          <w:spacing w:val="-3"/>
        </w:rPr>
        <w:t xml:space="preserve"> </w:t>
      </w:r>
      <w:r>
        <w:t>under</w:t>
      </w:r>
      <w:r>
        <w:rPr>
          <w:spacing w:val="-2"/>
        </w:rPr>
        <w:t xml:space="preserve"> </w:t>
      </w:r>
      <w:r>
        <w:t>the following</w:t>
      </w:r>
      <w:r>
        <w:rPr>
          <w:spacing w:val="-3"/>
        </w:rPr>
        <w:t xml:space="preserve"> </w:t>
      </w:r>
      <w:proofErr w:type="gramStart"/>
      <w:r>
        <w:rPr>
          <w:spacing w:val="-2"/>
        </w:rPr>
        <w:t>grounds:-</w:t>
      </w:r>
      <w:proofErr w:type="gramEnd"/>
    </w:p>
    <w:p w14:paraId="23956BAE" w14:textId="77777777" w:rsidR="006F4CB1" w:rsidRDefault="00810B0E">
      <w:pPr>
        <w:tabs>
          <w:tab w:val="left" w:pos="1324"/>
          <w:tab w:val="left" w:pos="1800"/>
          <w:tab w:val="left" w:pos="2299"/>
          <w:tab w:val="left" w:pos="3566"/>
          <w:tab w:val="left" w:pos="4285"/>
          <w:tab w:val="left" w:pos="6099"/>
          <w:tab w:val="left" w:pos="6986"/>
          <w:tab w:val="left" w:pos="8536"/>
        </w:tabs>
        <w:spacing w:before="204" w:line="276" w:lineRule="auto"/>
        <w:ind w:left="23" w:right="26"/>
        <w:rPr>
          <w:b/>
          <w:sz w:val="24"/>
        </w:rPr>
      </w:pPr>
      <w:r>
        <w:rPr>
          <w:b/>
          <w:spacing w:val="-2"/>
          <w:sz w:val="24"/>
          <w:u w:val="single"/>
        </w:rPr>
        <w:t>GROUND</w:t>
      </w:r>
      <w:r>
        <w:rPr>
          <w:b/>
          <w:sz w:val="24"/>
          <w:u w:val="single"/>
        </w:rPr>
        <w:tab/>
      </w:r>
      <w:r>
        <w:rPr>
          <w:b/>
          <w:spacing w:val="-6"/>
          <w:sz w:val="24"/>
          <w:u w:val="single"/>
        </w:rPr>
        <w:t>1a</w:t>
      </w:r>
      <w:r>
        <w:rPr>
          <w:b/>
          <w:sz w:val="24"/>
          <w:u w:val="single"/>
        </w:rPr>
        <w:tab/>
      </w:r>
      <w:r>
        <w:rPr>
          <w:b/>
          <w:spacing w:val="-6"/>
          <w:sz w:val="24"/>
          <w:u w:val="single"/>
        </w:rPr>
        <w:t>IN</w:t>
      </w:r>
      <w:r>
        <w:rPr>
          <w:b/>
          <w:sz w:val="24"/>
          <w:u w:val="single"/>
        </w:rPr>
        <w:tab/>
      </w:r>
      <w:r>
        <w:rPr>
          <w:b/>
          <w:spacing w:val="-2"/>
          <w:sz w:val="24"/>
          <w:u w:val="single"/>
        </w:rPr>
        <w:t>MAKING</w:t>
      </w:r>
      <w:r>
        <w:rPr>
          <w:b/>
          <w:sz w:val="24"/>
          <w:u w:val="single"/>
        </w:rPr>
        <w:tab/>
      </w:r>
      <w:r>
        <w:rPr>
          <w:b/>
          <w:spacing w:val="-4"/>
          <w:sz w:val="24"/>
          <w:u w:val="single"/>
        </w:rPr>
        <w:t>THE</w:t>
      </w:r>
      <w:r>
        <w:rPr>
          <w:b/>
          <w:sz w:val="24"/>
          <w:u w:val="single"/>
        </w:rPr>
        <w:tab/>
      </w:r>
      <w:r>
        <w:rPr>
          <w:b/>
          <w:spacing w:val="-2"/>
          <w:sz w:val="24"/>
          <w:u w:val="single"/>
        </w:rPr>
        <w:t>ASSESSMENT</w:t>
      </w:r>
      <w:r>
        <w:rPr>
          <w:b/>
          <w:sz w:val="24"/>
          <w:u w:val="single"/>
        </w:rPr>
        <w:tab/>
      </w:r>
      <w:r>
        <w:rPr>
          <w:b/>
          <w:spacing w:val="-4"/>
          <w:sz w:val="24"/>
          <w:u w:val="single"/>
        </w:rPr>
        <w:t>THAT</w:t>
      </w:r>
      <w:r>
        <w:rPr>
          <w:b/>
          <w:sz w:val="24"/>
          <w:u w:val="single"/>
        </w:rPr>
        <w:tab/>
      </w:r>
      <w:r>
        <w:rPr>
          <w:b/>
          <w:spacing w:val="-2"/>
          <w:sz w:val="24"/>
          <w:u w:val="single"/>
        </w:rPr>
        <w:t>PRECEDED</w:t>
      </w:r>
      <w:r>
        <w:rPr>
          <w:b/>
          <w:sz w:val="24"/>
          <w:u w:val="single"/>
        </w:rPr>
        <w:tab/>
      </w:r>
      <w:r>
        <w:rPr>
          <w:b/>
          <w:spacing w:val="-4"/>
          <w:sz w:val="24"/>
          <w:u w:val="single"/>
        </w:rPr>
        <w:t>THE</w:t>
      </w:r>
      <w:r>
        <w:rPr>
          <w:b/>
          <w:spacing w:val="-4"/>
          <w:sz w:val="24"/>
        </w:rPr>
        <w:t xml:space="preserve"> </w:t>
      </w:r>
      <w:r>
        <w:rPr>
          <w:b/>
          <w:sz w:val="24"/>
          <w:u w:val="single"/>
        </w:rPr>
        <w:t>RECOMMENDATION, NICE HAS FAILED TO</w:t>
      </w:r>
      <w:r>
        <w:rPr>
          <w:b/>
          <w:spacing w:val="-5"/>
          <w:sz w:val="24"/>
          <w:u w:val="single"/>
        </w:rPr>
        <w:t xml:space="preserve"> </w:t>
      </w:r>
      <w:r>
        <w:rPr>
          <w:b/>
          <w:sz w:val="24"/>
          <w:u w:val="single"/>
        </w:rPr>
        <w:t>ACT FAIRLY</w:t>
      </w:r>
    </w:p>
    <w:p w14:paraId="23956BAF" w14:textId="77777777" w:rsidR="006F4CB1" w:rsidRDefault="006F4CB1">
      <w:pPr>
        <w:pStyle w:val="BodyText"/>
        <w:spacing w:before="41"/>
        <w:ind w:left="0"/>
        <w:jc w:val="left"/>
        <w:rPr>
          <w:b/>
        </w:rPr>
      </w:pPr>
    </w:p>
    <w:p w14:paraId="23956BB0" w14:textId="77777777" w:rsidR="006F4CB1" w:rsidRDefault="00810B0E">
      <w:pPr>
        <w:pStyle w:val="ListParagraph"/>
        <w:numPr>
          <w:ilvl w:val="0"/>
          <w:numId w:val="6"/>
        </w:numPr>
        <w:tabs>
          <w:tab w:val="left" w:pos="383"/>
        </w:tabs>
        <w:spacing w:line="278" w:lineRule="auto"/>
        <w:ind w:right="17"/>
        <w:rPr>
          <w:sz w:val="24"/>
        </w:rPr>
      </w:pPr>
      <w:r>
        <w:rPr>
          <w:sz w:val="24"/>
        </w:rPr>
        <w:t>The Committee has concluded that the ICER threshold should be limited to £20,000 per QALY</w:t>
      </w:r>
      <w:r>
        <w:rPr>
          <w:spacing w:val="-12"/>
          <w:sz w:val="24"/>
        </w:rPr>
        <w:t xml:space="preserve"> </w:t>
      </w:r>
      <w:r>
        <w:rPr>
          <w:sz w:val="24"/>
        </w:rPr>
        <w:t>due</w:t>
      </w:r>
      <w:r>
        <w:rPr>
          <w:spacing w:val="-3"/>
          <w:sz w:val="24"/>
        </w:rPr>
        <w:t xml:space="preserve"> </w:t>
      </w:r>
      <w:r>
        <w:rPr>
          <w:sz w:val="24"/>
        </w:rPr>
        <w:t>to</w:t>
      </w:r>
      <w:r>
        <w:rPr>
          <w:spacing w:val="-2"/>
          <w:sz w:val="24"/>
        </w:rPr>
        <w:t xml:space="preserve"> </w:t>
      </w:r>
      <w:r>
        <w:rPr>
          <w:sz w:val="24"/>
        </w:rPr>
        <w:t>“uncertainties”</w:t>
      </w:r>
      <w:r>
        <w:rPr>
          <w:spacing w:val="-3"/>
          <w:sz w:val="24"/>
        </w:rPr>
        <w:t xml:space="preserve"> </w:t>
      </w:r>
      <w:r>
        <w:rPr>
          <w:sz w:val="24"/>
        </w:rPr>
        <w:t>in</w:t>
      </w:r>
      <w:r>
        <w:rPr>
          <w:spacing w:val="-2"/>
          <w:sz w:val="24"/>
        </w:rPr>
        <w:t xml:space="preserve"> </w:t>
      </w:r>
      <w:r>
        <w:rPr>
          <w:sz w:val="24"/>
        </w:rPr>
        <w:t>the</w:t>
      </w:r>
      <w:r>
        <w:rPr>
          <w:spacing w:val="-3"/>
          <w:sz w:val="24"/>
        </w:rPr>
        <w:t xml:space="preserve"> </w:t>
      </w:r>
      <w:proofErr w:type="gramStart"/>
      <w:r>
        <w:rPr>
          <w:sz w:val="24"/>
        </w:rPr>
        <w:t>data,</w:t>
      </w:r>
      <w:r>
        <w:rPr>
          <w:spacing w:val="-1"/>
          <w:sz w:val="24"/>
        </w:rPr>
        <w:t xml:space="preserve"> </w:t>
      </w:r>
      <w:r>
        <w:rPr>
          <w:sz w:val="24"/>
        </w:rPr>
        <w:t>but</w:t>
      </w:r>
      <w:proofErr w:type="gramEnd"/>
      <w:r>
        <w:rPr>
          <w:spacing w:val="-2"/>
          <w:sz w:val="24"/>
        </w:rPr>
        <w:t xml:space="preserve"> </w:t>
      </w:r>
      <w:r>
        <w:rPr>
          <w:sz w:val="24"/>
        </w:rPr>
        <w:t>has</w:t>
      </w:r>
      <w:r>
        <w:rPr>
          <w:spacing w:val="-5"/>
          <w:sz w:val="24"/>
        </w:rPr>
        <w:t xml:space="preserve"> </w:t>
      </w:r>
      <w:r>
        <w:rPr>
          <w:sz w:val="24"/>
        </w:rPr>
        <w:t>failed</w:t>
      </w:r>
      <w:r>
        <w:rPr>
          <w:spacing w:val="-2"/>
          <w:sz w:val="24"/>
        </w:rPr>
        <w:t xml:space="preserve"> </w:t>
      </w:r>
      <w:r>
        <w:rPr>
          <w:sz w:val="24"/>
        </w:rPr>
        <w:t>to</w:t>
      </w:r>
      <w:r>
        <w:rPr>
          <w:spacing w:val="-2"/>
          <w:sz w:val="24"/>
        </w:rPr>
        <w:t xml:space="preserve"> </w:t>
      </w:r>
      <w:r>
        <w:rPr>
          <w:sz w:val="24"/>
        </w:rPr>
        <w:t>explain</w:t>
      </w:r>
      <w:r>
        <w:rPr>
          <w:spacing w:val="-2"/>
          <w:sz w:val="24"/>
        </w:rPr>
        <w:t xml:space="preserve"> </w:t>
      </w:r>
      <w:r>
        <w:rPr>
          <w:sz w:val="24"/>
        </w:rPr>
        <w:t xml:space="preserve">and/or </w:t>
      </w:r>
      <w:proofErr w:type="gramStart"/>
      <w:r>
        <w:rPr>
          <w:sz w:val="24"/>
        </w:rPr>
        <w:t>take</w:t>
      </w:r>
      <w:r>
        <w:rPr>
          <w:spacing w:val="-4"/>
          <w:sz w:val="24"/>
        </w:rPr>
        <w:t xml:space="preserve"> </w:t>
      </w:r>
      <w:r>
        <w:rPr>
          <w:sz w:val="24"/>
        </w:rPr>
        <w:t>into</w:t>
      </w:r>
      <w:r>
        <w:rPr>
          <w:spacing w:val="-2"/>
          <w:sz w:val="24"/>
        </w:rPr>
        <w:t xml:space="preserve"> </w:t>
      </w:r>
      <w:r>
        <w:rPr>
          <w:sz w:val="24"/>
        </w:rPr>
        <w:t>account</w:t>
      </w:r>
      <w:proofErr w:type="gramEnd"/>
      <w:r>
        <w:rPr>
          <w:sz w:val="24"/>
        </w:rPr>
        <w:t xml:space="preserve"> the limited impact of such uncertainties on the ICER.</w:t>
      </w:r>
    </w:p>
    <w:p w14:paraId="23956BB1" w14:textId="77777777" w:rsidR="006F4CB1" w:rsidRDefault="00810B0E">
      <w:pPr>
        <w:pStyle w:val="ListParagraph"/>
        <w:numPr>
          <w:ilvl w:val="0"/>
          <w:numId w:val="6"/>
        </w:numPr>
        <w:tabs>
          <w:tab w:val="left" w:pos="383"/>
        </w:tabs>
        <w:spacing w:before="157" w:line="276" w:lineRule="auto"/>
        <w:ind w:right="20"/>
        <w:rPr>
          <w:sz w:val="24"/>
        </w:rPr>
      </w:pPr>
      <w:r>
        <w:rPr>
          <w:sz w:val="24"/>
        </w:rPr>
        <w:t xml:space="preserve">The reasons given for imposing a £20,000 ICER threshold fail to </w:t>
      </w:r>
      <w:proofErr w:type="gramStart"/>
      <w:r>
        <w:rPr>
          <w:sz w:val="24"/>
        </w:rPr>
        <w:t>take into account</w:t>
      </w:r>
      <w:proofErr w:type="gramEnd"/>
      <w:r>
        <w:rPr>
          <w:sz w:val="24"/>
        </w:rPr>
        <w:t xml:space="preserve"> the factors listed at paragraph 6.3.5 of the Manual.</w:t>
      </w:r>
    </w:p>
    <w:p w14:paraId="23956BB2" w14:textId="77777777" w:rsidR="006F4CB1" w:rsidRDefault="00810B0E">
      <w:pPr>
        <w:pStyle w:val="ListParagraph"/>
        <w:numPr>
          <w:ilvl w:val="0"/>
          <w:numId w:val="6"/>
        </w:numPr>
        <w:tabs>
          <w:tab w:val="left" w:pos="383"/>
        </w:tabs>
        <w:spacing w:before="161" w:line="276" w:lineRule="auto"/>
        <w:ind w:right="20"/>
        <w:rPr>
          <w:sz w:val="24"/>
        </w:rPr>
      </w:pPr>
      <w:r>
        <w:rPr>
          <w:sz w:val="24"/>
        </w:rPr>
        <w:t>The Committee has failed to consider reduction in health inequalities in breach of the requirements of the Manual.</w:t>
      </w:r>
    </w:p>
    <w:p w14:paraId="23956BB3" w14:textId="77777777" w:rsidR="006F4CB1" w:rsidRDefault="00810B0E">
      <w:pPr>
        <w:pStyle w:val="ListParagraph"/>
        <w:numPr>
          <w:ilvl w:val="0"/>
          <w:numId w:val="6"/>
        </w:numPr>
        <w:tabs>
          <w:tab w:val="left" w:pos="383"/>
        </w:tabs>
        <w:spacing w:before="161" w:line="276" w:lineRule="auto"/>
        <w:ind w:right="25"/>
        <w:rPr>
          <w:sz w:val="24"/>
        </w:rPr>
      </w:pPr>
      <w:r>
        <w:rPr>
          <w:sz w:val="24"/>
        </w:rPr>
        <w:t>Failure to act fairly by not complying with the Public Sector Equality Duty under section 149 of the Equality Act 2010.</w:t>
      </w:r>
    </w:p>
    <w:p w14:paraId="23956BB4" w14:textId="77777777" w:rsidR="006F4CB1" w:rsidRDefault="00810B0E">
      <w:pPr>
        <w:pStyle w:val="ListParagraph"/>
        <w:numPr>
          <w:ilvl w:val="0"/>
          <w:numId w:val="6"/>
        </w:numPr>
        <w:tabs>
          <w:tab w:val="left" w:pos="383"/>
        </w:tabs>
        <w:spacing w:before="161" w:line="278" w:lineRule="auto"/>
        <w:ind w:right="22"/>
        <w:rPr>
          <w:sz w:val="24"/>
        </w:rPr>
      </w:pPr>
      <w:r>
        <w:rPr>
          <w:sz w:val="24"/>
        </w:rPr>
        <w:t>The</w:t>
      </w:r>
      <w:r>
        <w:rPr>
          <w:spacing w:val="-15"/>
          <w:sz w:val="24"/>
        </w:rPr>
        <w:t xml:space="preserve"> </w:t>
      </w:r>
      <w:r>
        <w:rPr>
          <w:sz w:val="24"/>
        </w:rPr>
        <w:t>fact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Committee</w:t>
      </w:r>
      <w:r>
        <w:rPr>
          <w:spacing w:val="-15"/>
          <w:sz w:val="24"/>
        </w:rPr>
        <w:t xml:space="preserve"> </w:t>
      </w:r>
      <w:r>
        <w:rPr>
          <w:sz w:val="24"/>
        </w:rPr>
        <w:t>altered</w:t>
      </w:r>
      <w:r>
        <w:rPr>
          <w:spacing w:val="-15"/>
          <w:sz w:val="24"/>
        </w:rPr>
        <w:t xml:space="preserve"> </w:t>
      </w:r>
      <w:r>
        <w:rPr>
          <w:sz w:val="24"/>
        </w:rPr>
        <w:t>its</w:t>
      </w:r>
      <w:r>
        <w:rPr>
          <w:spacing w:val="-15"/>
          <w:sz w:val="24"/>
        </w:rPr>
        <w:t xml:space="preserve"> </w:t>
      </w:r>
      <w:r>
        <w:rPr>
          <w:sz w:val="24"/>
        </w:rPr>
        <w:t>position</w:t>
      </w:r>
      <w:r>
        <w:rPr>
          <w:spacing w:val="-15"/>
          <w:sz w:val="24"/>
        </w:rPr>
        <w:t xml:space="preserve"> </w:t>
      </w:r>
      <w:r>
        <w:rPr>
          <w:sz w:val="24"/>
        </w:rPr>
        <w:t>in</w:t>
      </w:r>
      <w:r>
        <w:rPr>
          <w:spacing w:val="-15"/>
          <w:sz w:val="24"/>
        </w:rPr>
        <w:t xml:space="preserve"> </w:t>
      </w:r>
      <w:r>
        <w:rPr>
          <w:sz w:val="24"/>
        </w:rPr>
        <w:t>relation</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key</w:t>
      </w:r>
      <w:r>
        <w:rPr>
          <w:spacing w:val="-15"/>
          <w:sz w:val="24"/>
        </w:rPr>
        <w:t xml:space="preserve"> </w:t>
      </w:r>
      <w:r>
        <w:rPr>
          <w:sz w:val="24"/>
        </w:rPr>
        <w:t>issue</w:t>
      </w:r>
      <w:r>
        <w:rPr>
          <w:spacing w:val="-15"/>
          <w:sz w:val="24"/>
        </w:rPr>
        <w:t xml:space="preserve"> </w:t>
      </w:r>
      <w:r>
        <w:rPr>
          <w:sz w:val="24"/>
        </w:rPr>
        <w:t>immediately</w:t>
      </w:r>
      <w:r>
        <w:rPr>
          <w:spacing w:val="-15"/>
          <w:sz w:val="24"/>
        </w:rPr>
        <w:t xml:space="preserve"> </w:t>
      </w:r>
      <w:r>
        <w:rPr>
          <w:sz w:val="24"/>
        </w:rPr>
        <w:t>before ACM2 with no opportunity for consideration or consultation by</w:t>
      </w:r>
      <w:r>
        <w:rPr>
          <w:spacing w:val="-11"/>
          <w:sz w:val="24"/>
        </w:rPr>
        <w:t xml:space="preserve"> </w:t>
      </w:r>
      <w:r>
        <w:rPr>
          <w:sz w:val="24"/>
        </w:rPr>
        <w:t>AZ is not consistent with NICE’s procedures or standards of fairness.</w:t>
      </w:r>
    </w:p>
    <w:p w14:paraId="23956BB5" w14:textId="77777777" w:rsidR="006F4CB1" w:rsidRDefault="00810B0E">
      <w:pPr>
        <w:pStyle w:val="ListParagraph"/>
        <w:numPr>
          <w:ilvl w:val="0"/>
          <w:numId w:val="6"/>
        </w:numPr>
        <w:tabs>
          <w:tab w:val="left" w:pos="383"/>
        </w:tabs>
        <w:spacing w:before="156" w:line="276" w:lineRule="auto"/>
        <w:ind w:right="19"/>
        <w:rPr>
          <w:sz w:val="24"/>
        </w:rPr>
      </w:pPr>
      <w:r>
        <w:rPr>
          <w:sz w:val="24"/>
        </w:rPr>
        <w:t>The lack of any reasonable opportunity for commercial negotiation has prejudiced the conduct of this appraisal.</w:t>
      </w:r>
    </w:p>
    <w:p w14:paraId="23956BB6" w14:textId="77777777" w:rsidR="006F4CB1" w:rsidRDefault="00810B0E">
      <w:pPr>
        <w:pStyle w:val="Heading1"/>
        <w:spacing w:before="164" w:line="280" w:lineRule="auto"/>
        <w:rPr>
          <w:u w:val="none"/>
        </w:rPr>
      </w:pPr>
      <w:r>
        <w:t>GROUND 2: THE RECOMMENDATION IS UNREASONABLE IN THE LIGHT OF</w:t>
      </w:r>
      <w:r>
        <w:rPr>
          <w:u w:val="none"/>
        </w:rPr>
        <w:t xml:space="preserve"> </w:t>
      </w:r>
      <w:r>
        <w:t>THE EVIDENCE SUBMITTED TO NICE</w:t>
      </w:r>
    </w:p>
    <w:p w14:paraId="23956BB7" w14:textId="77777777" w:rsidR="006F4CB1" w:rsidRDefault="00810B0E">
      <w:pPr>
        <w:pStyle w:val="ListParagraph"/>
        <w:numPr>
          <w:ilvl w:val="0"/>
          <w:numId w:val="6"/>
        </w:numPr>
        <w:tabs>
          <w:tab w:val="left" w:pos="383"/>
        </w:tabs>
        <w:spacing w:before="153" w:line="278" w:lineRule="auto"/>
        <w:ind w:right="19"/>
        <w:rPr>
          <w:sz w:val="24"/>
        </w:rPr>
      </w:pPr>
      <w:r>
        <w:rPr>
          <w:sz w:val="24"/>
        </w:rPr>
        <w:t>The</w:t>
      </w:r>
      <w:r>
        <w:rPr>
          <w:spacing w:val="-5"/>
          <w:sz w:val="24"/>
        </w:rPr>
        <w:t xml:space="preserve"> </w:t>
      </w:r>
      <w:r>
        <w:rPr>
          <w:sz w:val="24"/>
        </w:rPr>
        <w:t>Committee’s</w:t>
      </w:r>
      <w:r>
        <w:rPr>
          <w:spacing w:val="-6"/>
          <w:sz w:val="24"/>
        </w:rPr>
        <w:t xml:space="preserve"> </w:t>
      </w:r>
      <w:r>
        <w:rPr>
          <w:sz w:val="24"/>
        </w:rPr>
        <w:t>conclusions</w:t>
      </w:r>
      <w:r>
        <w:rPr>
          <w:spacing w:val="-6"/>
          <w:sz w:val="24"/>
        </w:rPr>
        <w:t xml:space="preserve"> </w:t>
      </w:r>
      <w:r>
        <w:rPr>
          <w:sz w:val="24"/>
        </w:rPr>
        <w:t>regarding</w:t>
      </w:r>
      <w:r>
        <w:rPr>
          <w:spacing w:val="-8"/>
          <w:sz w:val="24"/>
        </w:rPr>
        <w:t xml:space="preserve"> </w:t>
      </w:r>
      <w:r>
        <w:rPr>
          <w:sz w:val="24"/>
        </w:rPr>
        <w:t>the</w:t>
      </w:r>
      <w:r>
        <w:rPr>
          <w:spacing w:val="-9"/>
          <w:sz w:val="24"/>
        </w:rPr>
        <w:t xml:space="preserve"> </w:t>
      </w:r>
      <w:r>
        <w:rPr>
          <w:sz w:val="24"/>
        </w:rPr>
        <w:t>proportion</w:t>
      </w:r>
      <w:r>
        <w:rPr>
          <w:spacing w:val="-4"/>
          <w:sz w:val="24"/>
        </w:rPr>
        <w:t xml:space="preserve"> </w:t>
      </w:r>
      <w:r>
        <w:rPr>
          <w:sz w:val="24"/>
        </w:rPr>
        <w:t>of</w:t>
      </w:r>
      <w:r>
        <w:rPr>
          <w:spacing w:val="-6"/>
          <w:sz w:val="24"/>
        </w:rPr>
        <w:t xml:space="preserve"> </w:t>
      </w:r>
      <w:r>
        <w:rPr>
          <w:sz w:val="24"/>
        </w:rPr>
        <w:t>people</w:t>
      </w:r>
      <w:r>
        <w:rPr>
          <w:spacing w:val="-9"/>
          <w:sz w:val="24"/>
        </w:rPr>
        <w:t xml:space="preserve"> </w:t>
      </w:r>
      <w:r>
        <w:rPr>
          <w:sz w:val="24"/>
        </w:rPr>
        <w:t>with</w:t>
      </w:r>
      <w:r>
        <w:rPr>
          <w:spacing w:val="-4"/>
          <w:sz w:val="24"/>
        </w:rPr>
        <w:t xml:space="preserve"> </w:t>
      </w:r>
      <w:proofErr w:type="spellStart"/>
      <w:r>
        <w:rPr>
          <w:sz w:val="24"/>
        </w:rPr>
        <w:t>pMMR</w:t>
      </w:r>
      <w:proofErr w:type="spellEnd"/>
      <w:r>
        <w:rPr>
          <w:spacing w:val="-6"/>
          <w:sz w:val="24"/>
        </w:rPr>
        <w:t xml:space="preserve"> </w:t>
      </w:r>
      <w:r>
        <w:rPr>
          <w:sz w:val="24"/>
        </w:rPr>
        <w:t>endometrial cancer on durvalumab</w:t>
      </w:r>
      <w:r>
        <w:rPr>
          <w:spacing w:val="-1"/>
          <w:sz w:val="24"/>
        </w:rPr>
        <w:t xml:space="preserve"> </w:t>
      </w:r>
      <w:r>
        <w:rPr>
          <w:sz w:val="24"/>
        </w:rPr>
        <w:t>who commence treatment</w:t>
      </w:r>
      <w:r>
        <w:rPr>
          <w:spacing w:val="-6"/>
          <w:sz w:val="24"/>
        </w:rPr>
        <w:t xml:space="preserve"> </w:t>
      </w:r>
      <w:r>
        <w:rPr>
          <w:sz w:val="24"/>
        </w:rPr>
        <w:t xml:space="preserve">with </w:t>
      </w:r>
      <w:proofErr w:type="spellStart"/>
      <w:r>
        <w:rPr>
          <w:sz w:val="24"/>
        </w:rPr>
        <w:t>olaparib</w:t>
      </w:r>
      <w:proofErr w:type="spellEnd"/>
      <w:r>
        <w:rPr>
          <w:spacing w:val="-1"/>
          <w:sz w:val="24"/>
        </w:rPr>
        <w:t xml:space="preserve"> </w:t>
      </w:r>
      <w:r>
        <w:rPr>
          <w:sz w:val="24"/>
        </w:rPr>
        <w:t>do</w:t>
      </w:r>
      <w:r>
        <w:rPr>
          <w:spacing w:val="-1"/>
          <w:sz w:val="24"/>
        </w:rPr>
        <w:t xml:space="preserve"> </w:t>
      </w:r>
      <w:r>
        <w:rPr>
          <w:sz w:val="24"/>
        </w:rPr>
        <w:t>not</w:t>
      </w:r>
      <w:r>
        <w:rPr>
          <w:spacing w:val="-6"/>
          <w:sz w:val="24"/>
        </w:rPr>
        <w:t xml:space="preserve"> </w:t>
      </w:r>
      <w:r>
        <w:rPr>
          <w:sz w:val="24"/>
        </w:rPr>
        <w:t>reflect</w:t>
      </w:r>
      <w:r>
        <w:rPr>
          <w:spacing w:val="-1"/>
          <w:sz w:val="24"/>
        </w:rPr>
        <w:t xml:space="preserve"> </w:t>
      </w:r>
      <w:r>
        <w:rPr>
          <w:sz w:val="24"/>
        </w:rPr>
        <w:t>the</w:t>
      </w:r>
      <w:r>
        <w:rPr>
          <w:spacing w:val="-2"/>
          <w:sz w:val="24"/>
        </w:rPr>
        <w:t xml:space="preserve"> </w:t>
      </w:r>
      <w:r>
        <w:rPr>
          <w:sz w:val="24"/>
        </w:rPr>
        <w:t>SmPC or the DUO-E clinical trial.</w:t>
      </w:r>
    </w:p>
    <w:p w14:paraId="23956BB8" w14:textId="77777777" w:rsidR="006F4CB1" w:rsidRDefault="00810B0E">
      <w:pPr>
        <w:pStyle w:val="ListParagraph"/>
        <w:numPr>
          <w:ilvl w:val="0"/>
          <w:numId w:val="6"/>
        </w:numPr>
        <w:tabs>
          <w:tab w:val="left" w:pos="383"/>
        </w:tabs>
        <w:spacing w:before="152" w:line="278" w:lineRule="auto"/>
        <w:ind w:right="22"/>
        <w:rPr>
          <w:sz w:val="24"/>
        </w:rPr>
      </w:pPr>
      <w:r>
        <w:rPr>
          <w:sz w:val="24"/>
        </w:rPr>
        <w:t>The Committee’s conclusion that the ICER threshold should be limited to £20,000 per QALY due to “uncertainties” in the data, is unreasonable in the context of the evidence relied upon.</w:t>
      </w:r>
    </w:p>
    <w:p w14:paraId="23956BB9" w14:textId="77777777" w:rsidR="006F4CB1" w:rsidRDefault="00810B0E">
      <w:pPr>
        <w:pStyle w:val="Heading1"/>
        <w:spacing w:before="159"/>
        <w:rPr>
          <w:u w:val="none"/>
        </w:rPr>
      </w:pPr>
      <w:r>
        <w:rPr>
          <w:spacing w:val="-2"/>
        </w:rPr>
        <w:t>INTRODUCTION</w:t>
      </w:r>
    </w:p>
    <w:p w14:paraId="23956BBA" w14:textId="77777777" w:rsidR="006F4CB1" w:rsidRDefault="00810B0E">
      <w:pPr>
        <w:pStyle w:val="BodyText"/>
        <w:spacing w:before="204" w:line="280" w:lineRule="auto"/>
        <w:ind w:left="23"/>
        <w:jc w:val="left"/>
      </w:pPr>
      <w:r>
        <w:t>AstraZeneca provides certain background information in relation to endometrial cancer and</w:t>
      </w:r>
      <w:r>
        <w:rPr>
          <w:spacing w:val="40"/>
        </w:rPr>
        <w:t xml:space="preserve"> </w:t>
      </w:r>
      <w:r>
        <w:t>durvalumab</w:t>
      </w:r>
      <w:r>
        <w:rPr>
          <w:spacing w:val="11"/>
        </w:rPr>
        <w:t xml:space="preserve"> </w:t>
      </w:r>
      <w:r>
        <w:t>and</w:t>
      </w:r>
      <w:r>
        <w:rPr>
          <w:spacing w:val="14"/>
        </w:rPr>
        <w:t xml:space="preserve"> </w:t>
      </w:r>
      <w:proofErr w:type="spellStart"/>
      <w:r>
        <w:t>olaparib</w:t>
      </w:r>
      <w:proofErr w:type="spellEnd"/>
      <w:r>
        <w:rPr>
          <w:spacing w:val="16"/>
        </w:rPr>
        <w:t xml:space="preserve"> </w:t>
      </w:r>
      <w:proofErr w:type="gramStart"/>
      <w:r>
        <w:t>in</w:t>
      </w:r>
      <w:r>
        <w:rPr>
          <w:spacing w:val="10"/>
        </w:rPr>
        <w:t xml:space="preserve"> </w:t>
      </w:r>
      <w:r>
        <w:t>order</w:t>
      </w:r>
      <w:r>
        <w:rPr>
          <w:spacing w:val="15"/>
        </w:rPr>
        <w:t xml:space="preserve"> </w:t>
      </w:r>
      <w:r>
        <w:t>to</w:t>
      </w:r>
      <w:proofErr w:type="gramEnd"/>
      <w:r>
        <w:rPr>
          <w:spacing w:val="10"/>
        </w:rPr>
        <w:t xml:space="preserve"> </w:t>
      </w:r>
      <w:r>
        <w:t>assist</w:t>
      </w:r>
      <w:r>
        <w:rPr>
          <w:spacing w:val="15"/>
        </w:rPr>
        <w:t xml:space="preserve"> </w:t>
      </w:r>
      <w:r>
        <w:t>the</w:t>
      </w:r>
      <w:r>
        <w:rPr>
          <w:spacing w:val="-5"/>
        </w:rPr>
        <w:t xml:space="preserve"> </w:t>
      </w:r>
      <w:r>
        <w:t>Appeal</w:t>
      </w:r>
      <w:r>
        <w:rPr>
          <w:spacing w:val="14"/>
        </w:rPr>
        <w:t xml:space="preserve"> </w:t>
      </w:r>
      <w:r>
        <w:t>Panel.</w:t>
      </w:r>
      <w:r>
        <w:rPr>
          <w:spacing w:val="7"/>
        </w:rPr>
        <w:t xml:space="preserve"> </w:t>
      </w:r>
      <w:r>
        <w:t>This</w:t>
      </w:r>
      <w:r>
        <w:rPr>
          <w:spacing w:val="12"/>
        </w:rPr>
        <w:t xml:space="preserve"> </w:t>
      </w:r>
      <w:r>
        <w:t>summary</w:t>
      </w:r>
      <w:r>
        <w:rPr>
          <w:spacing w:val="14"/>
        </w:rPr>
        <w:t xml:space="preserve"> </w:t>
      </w:r>
      <w:r>
        <w:t>does</w:t>
      </w:r>
      <w:r>
        <w:rPr>
          <w:spacing w:val="12"/>
        </w:rPr>
        <w:t xml:space="preserve"> </w:t>
      </w:r>
      <w:r>
        <w:t>not</w:t>
      </w:r>
      <w:r>
        <w:rPr>
          <w:spacing w:val="10"/>
        </w:rPr>
        <w:t xml:space="preserve"> </w:t>
      </w:r>
      <w:r>
        <w:rPr>
          <w:spacing w:val="-2"/>
        </w:rPr>
        <w:t>replace</w:t>
      </w:r>
    </w:p>
    <w:p w14:paraId="23956BBB" w14:textId="77777777" w:rsidR="006F4CB1" w:rsidRDefault="006F4CB1">
      <w:pPr>
        <w:pStyle w:val="BodyText"/>
        <w:spacing w:line="280" w:lineRule="auto"/>
        <w:jc w:val="left"/>
        <w:sectPr w:rsidR="006F4CB1">
          <w:footerReference w:type="default" r:id="rId7"/>
          <w:type w:val="continuous"/>
          <w:pgSz w:w="11910" w:h="16840"/>
          <w:pgMar w:top="1360" w:right="1417" w:bottom="1280" w:left="1417" w:header="0" w:footer="1091" w:gutter="0"/>
          <w:pgNumType w:start="1"/>
          <w:cols w:space="720"/>
        </w:sectPr>
      </w:pPr>
    </w:p>
    <w:p w14:paraId="23956BBC" w14:textId="77777777" w:rsidR="006F4CB1" w:rsidRDefault="00810B0E">
      <w:pPr>
        <w:pStyle w:val="BodyText"/>
        <w:spacing w:before="63" w:line="280" w:lineRule="auto"/>
        <w:ind w:left="23" w:right="11"/>
      </w:pPr>
      <w:r>
        <w:lastRenderedPageBreak/>
        <w:t>the more detailed information provided by AstraZeneca in its original submission dated October 2024 for the purposes of this appraisal.</w:t>
      </w:r>
    </w:p>
    <w:p w14:paraId="23956BBD" w14:textId="77777777" w:rsidR="006F4CB1" w:rsidRDefault="00810B0E">
      <w:pPr>
        <w:pStyle w:val="BodyText"/>
        <w:spacing w:before="157"/>
        <w:ind w:left="23"/>
      </w:pPr>
      <w:r>
        <w:rPr>
          <w:u w:val="single"/>
        </w:rPr>
        <w:t>Endometrial</w:t>
      </w:r>
      <w:r>
        <w:rPr>
          <w:spacing w:val="2"/>
          <w:u w:val="single"/>
        </w:rPr>
        <w:t xml:space="preserve"> </w:t>
      </w:r>
      <w:r>
        <w:rPr>
          <w:spacing w:val="-2"/>
          <w:u w:val="single"/>
        </w:rPr>
        <w:t>cancer</w:t>
      </w:r>
    </w:p>
    <w:p w14:paraId="23956BBE" w14:textId="77777777" w:rsidR="006F4CB1" w:rsidRDefault="00810B0E">
      <w:pPr>
        <w:pStyle w:val="BodyText"/>
        <w:spacing w:before="199" w:line="278" w:lineRule="auto"/>
        <w:ind w:left="23" w:right="12"/>
      </w:pPr>
      <w:r>
        <w:t>Endometrial cancer is the fourth most common cancer among women in the UK, accounting for approximately 9,700 diagnoses each year, including approximately 2,227 patients with newly</w:t>
      </w:r>
      <w:r>
        <w:rPr>
          <w:spacing w:val="-12"/>
        </w:rPr>
        <w:t xml:space="preserve"> </w:t>
      </w:r>
      <w:r>
        <w:t>diagnosed</w:t>
      </w:r>
      <w:r>
        <w:rPr>
          <w:spacing w:val="-11"/>
        </w:rPr>
        <w:t xml:space="preserve"> </w:t>
      </w:r>
      <w:r>
        <w:t>advanced</w:t>
      </w:r>
      <w:r>
        <w:rPr>
          <w:spacing w:val="-11"/>
        </w:rPr>
        <w:t xml:space="preserve"> </w:t>
      </w:r>
      <w:r>
        <w:t>or</w:t>
      </w:r>
      <w:r>
        <w:rPr>
          <w:spacing w:val="-10"/>
        </w:rPr>
        <w:t xml:space="preserve"> </w:t>
      </w:r>
      <w:r>
        <w:t>recurrent</w:t>
      </w:r>
      <w:r>
        <w:rPr>
          <w:spacing w:val="-11"/>
        </w:rPr>
        <w:t xml:space="preserve"> </w:t>
      </w:r>
      <w:r>
        <w:t>disease,</w:t>
      </w:r>
      <w:r>
        <w:rPr>
          <w:spacing w:val="-9"/>
        </w:rPr>
        <w:t xml:space="preserve"> </w:t>
      </w:r>
      <w:r>
        <w:t>who</w:t>
      </w:r>
      <w:r>
        <w:rPr>
          <w:spacing w:val="-11"/>
        </w:rPr>
        <w:t xml:space="preserve"> </w:t>
      </w:r>
      <w:r>
        <w:t>would</w:t>
      </w:r>
      <w:r>
        <w:rPr>
          <w:spacing w:val="-11"/>
        </w:rPr>
        <w:t xml:space="preserve"> </w:t>
      </w:r>
      <w:r>
        <w:t>be</w:t>
      </w:r>
      <w:r>
        <w:rPr>
          <w:spacing w:val="-12"/>
        </w:rPr>
        <w:t xml:space="preserve"> </w:t>
      </w:r>
      <w:r>
        <w:t>eligible</w:t>
      </w:r>
      <w:r>
        <w:rPr>
          <w:spacing w:val="-15"/>
        </w:rPr>
        <w:t xml:space="preserve"> </w:t>
      </w:r>
      <w:r>
        <w:t>for</w:t>
      </w:r>
      <w:r>
        <w:rPr>
          <w:spacing w:val="-14"/>
        </w:rPr>
        <w:t xml:space="preserve"> </w:t>
      </w:r>
      <w:r>
        <w:t>first-line</w:t>
      </w:r>
      <w:r>
        <w:rPr>
          <w:spacing w:val="-12"/>
        </w:rPr>
        <w:t xml:space="preserve"> </w:t>
      </w:r>
      <w:r>
        <w:t>anti-cancer systemic treatment,</w:t>
      </w:r>
      <w:r>
        <w:rPr>
          <w:spacing w:val="40"/>
        </w:rPr>
        <w:t xml:space="preserve"> </w:t>
      </w:r>
      <w:r>
        <w:t>Patients diagnosed with advanced or recurrent endometrial cancer face particularly</w:t>
      </w:r>
      <w:r>
        <w:rPr>
          <w:spacing w:val="-13"/>
        </w:rPr>
        <w:t xml:space="preserve"> </w:t>
      </w:r>
      <w:r>
        <w:t>poor</w:t>
      </w:r>
      <w:r>
        <w:rPr>
          <w:spacing w:val="-15"/>
        </w:rPr>
        <w:t xml:space="preserve"> </w:t>
      </w:r>
      <w:r>
        <w:t>prognoses</w:t>
      </w:r>
      <w:r>
        <w:rPr>
          <w:spacing w:val="-14"/>
        </w:rPr>
        <w:t xml:space="preserve"> </w:t>
      </w:r>
      <w:r>
        <w:t>and</w:t>
      </w:r>
      <w:r>
        <w:rPr>
          <w:spacing w:val="-12"/>
        </w:rPr>
        <w:t xml:space="preserve"> </w:t>
      </w:r>
      <w:r>
        <w:t>high</w:t>
      </w:r>
      <w:r>
        <w:rPr>
          <w:spacing w:val="-15"/>
        </w:rPr>
        <w:t xml:space="preserve"> </w:t>
      </w:r>
      <w:r>
        <w:t>rates</w:t>
      </w:r>
      <w:r>
        <w:rPr>
          <w:spacing w:val="-14"/>
        </w:rPr>
        <w:t xml:space="preserve"> </w:t>
      </w:r>
      <w:r>
        <w:t>of</w:t>
      </w:r>
      <w:r>
        <w:rPr>
          <w:spacing w:val="-15"/>
        </w:rPr>
        <w:t xml:space="preserve"> </w:t>
      </w:r>
      <w:r>
        <w:t>mortality,</w:t>
      </w:r>
      <w:r>
        <w:rPr>
          <w:spacing w:val="-14"/>
        </w:rPr>
        <w:t xml:space="preserve"> </w:t>
      </w:r>
      <w:r>
        <w:t>with</w:t>
      </w:r>
      <w:r>
        <w:rPr>
          <w:spacing w:val="-15"/>
        </w:rPr>
        <w:t xml:space="preserve"> </w:t>
      </w:r>
      <w:r>
        <w:t>five</w:t>
      </w:r>
      <w:r>
        <w:rPr>
          <w:spacing w:val="-15"/>
        </w:rPr>
        <w:t xml:space="preserve"> </w:t>
      </w:r>
      <w:r>
        <w:t>year</w:t>
      </w:r>
      <w:r>
        <w:rPr>
          <w:spacing w:val="-15"/>
        </w:rPr>
        <w:t xml:space="preserve"> </w:t>
      </w:r>
      <w:r>
        <w:t>survival</w:t>
      </w:r>
      <w:r>
        <w:rPr>
          <w:spacing w:val="-15"/>
        </w:rPr>
        <w:t xml:space="preserve"> </w:t>
      </w:r>
      <w:r>
        <w:t>rates</w:t>
      </w:r>
      <w:r>
        <w:rPr>
          <w:spacing w:val="-14"/>
        </w:rPr>
        <w:t xml:space="preserve"> </w:t>
      </w:r>
      <w:r>
        <w:t>of</w:t>
      </w:r>
      <w:r>
        <w:rPr>
          <w:spacing w:val="-15"/>
        </w:rPr>
        <w:t xml:space="preserve"> </w:t>
      </w:r>
      <w:r>
        <w:t>just</w:t>
      </w:r>
      <w:r>
        <w:rPr>
          <w:spacing w:val="-15"/>
        </w:rPr>
        <w:t xml:space="preserve"> </w:t>
      </w:r>
      <w:r>
        <w:t>15% and 20%, respectively, for patients with Stage IV disease and recurrent disease.</w:t>
      </w:r>
      <w:r>
        <w:rPr>
          <w:spacing w:val="40"/>
        </w:rPr>
        <w:t xml:space="preserve"> </w:t>
      </w:r>
      <w:r>
        <w:t>The main symptoms of endometrial cancer include periodic, continuous, or abnormal vaginal bleeding, which may be extremely heavy for some patients. Additional symptoms include pain in the lower back or pelvic region, blood in the urine, the presence of a mass in the lower abdomen or unintentional weight loss.</w:t>
      </w:r>
      <w:r>
        <w:rPr>
          <w:spacing w:val="40"/>
        </w:rPr>
        <w:t xml:space="preserve"> </w:t>
      </w:r>
      <w:r>
        <w:t>Patients also report</w:t>
      </w:r>
      <w:r>
        <w:rPr>
          <w:spacing w:val="-3"/>
        </w:rPr>
        <w:t xml:space="preserve"> </w:t>
      </w:r>
      <w:r>
        <w:t>abdominal distention, early satiety, changes in</w:t>
      </w:r>
      <w:r>
        <w:rPr>
          <w:spacing w:val="-1"/>
        </w:rPr>
        <w:t xml:space="preserve"> </w:t>
      </w:r>
      <w:r>
        <w:t>bowel</w:t>
      </w:r>
      <w:r>
        <w:rPr>
          <w:spacing w:val="-6"/>
        </w:rPr>
        <w:t xml:space="preserve"> </w:t>
      </w:r>
      <w:r>
        <w:t>or</w:t>
      </w:r>
      <w:r>
        <w:rPr>
          <w:spacing w:val="-4"/>
        </w:rPr>
        <w:t xml:space="preserve"> </w:t>
      </w:r>
      <w:r>
        <w:t>bladder</w:t>
      </w:r>
      <w:r>
        <w:rPr>
          <w:spacing w:val="-9"/>
        </w:rPr>
        <w:t xml:space="preserve"> </w:t>
      </w:r>
      <w:r>
        <w:t>function,</w:t>
      </w:r>
      <w:r>
        <w:rPr>
          <w:spacing w:val="-4"/>
        </w:rPr>
        <w:t xml:space="preserve"> </w:t>
      </w:r>
      <w:r>
        <w:t>and</w:t>
      </w:r>
      <w:r>
        <w:rPr>
          <w:spacing w:val="-6"/>
        </w:rPr>
        <w:t xml:space="preserve"> </w:t>
      </w:r>
      <w:r>
        <w:t>pain</w:t>
      </w:r>
      <w:r>
        <w:rPr>
          <w:spacing w:val="-6"/>
        </w:rPr>
        <w:t xml:space="preserve"> </w:t>
      </w:r>
      <w:r>
        <w:t>during</w:t>
      </w:r>
      <w:r>
        <w:rPr>
          <w:spacing w:val="-6"/>
        </w:rPr>
        <w:t xml:space="preserve"> </w:t>
      </w:r>
      <w:r>
        <w:t>inte</w:t>
      </w:r>
      <w:r>
        <w:t>rcourse.</w:t>
      </w:r>
      <w:r>
        <w:rPr>
          <w:spacing w:val="40"/>
        </w:rPr>
        <w:t xml:space="preserve"> </w:t>
      </w:r>
      <w:r>
        <w:t>These</w:t>
      </w:r>
      <w:r>
        <w:rPr>
          <w:spacing w:val="-2"/>
        </w:rPr>
        <w:t xml:space="preserve"> </w:t>
      </w:r>
      <w:r>
        <w:t>symptoms</w:t>
      </w:r>
      <w:r>
        <w:rPr>
          <w:spacing w:val="-8"/>
        </w:rPr>
        <w:t xml:space="preserve"> </w:t>
      </w:r>
      <w:r>
        <w:t>negatively</w:t>
      </w:r>
      <w:r>
        <w:rPr>
          <w:spacing w:val="-5"/>
        </w:rPr>
        <w:t xml:space="preserve"> </w:t>
      </w:r>
      <w:r>
        <w:t xml:space="preserve">impact patient </w:t>
      </w:r>
      <w:proofErr w:type="spellStart"/>
      <w:r>
        <w:t>HRQoL</w:t>
      </w:r>
      <w:proofErr w:type="spellEnd"/>
      <w:r>
        <w:t xml:space="preserve">, interfere with their daily lives and contribute to significant psychological </w:t>
      </w:r>
      <w:r>
        <w:rPr>
          <w:spacing w:val="-2"/>
        </w:rPr>
        <w:t>burden.</w:t>
      </w:r>
    </w:p>
    <w:p w14:paraId="23956BBF" w14:textId="77777777" w:rsidR="006F4CB1" w:rsidRDefault="00810B0E">
      <w:pPr>
        <w:pStyle w:val="BodyText"/>
        <w:spacing w:before="160" w:line="278" w:lineRule="auto"/>
        <w:ind w:left="23" w:right="14"/>
      </w:pPr>
      <w:r>
        <w:t>Endometrial cancers are principally classified using a molecular approach, particularly functionality</w:t>
      </w:r>
      <w:r>
        <w:rPr>
          <w:spacing w:val="-5"/>
        </w:rPr>
        <w:t xml:space="preserve"> </w:t>
      </w:r>
      <w:r>
        <w:t>of</w:t>
      </w:r>
      <w:r>
        <w:rPr>
          <w:spacing w:val="-9"/>
        </w:rPr>
        <w:t xml:space="preserve"> </w:t>
      </w:r>
      <w:r>
        <w:t>the</w:t>
      </w:r>
      <w:r>
        <w:rPr>
          <w:spacing w:val="-5"/>
        </w:rPr>
        <w:t xml:space="preserve"> </w:t>
      </w:r>
      <w:r>
        <w:t>MMR</w:t>
      </w:r>
      <w:r>
        <w:rPr>
          <w:spacing w:val="-8"/>
        </w:rPr>
        <w:t xml:space="preserve"> </w:t>
      </w:r>
      <w:r>
        <w:t>(or</w:t>
      </w:r>
      <w:r>
        <w:rPr>
          <w:spacing w:val="-9"/>
        </w:rPr>
        <w:t xml:space="preserve"> </w:t>
      </w:r>
      <w:r>
        <w:t>mismatch</w:t>
      </w:r>
      <w:r>
        <w:rPr>
          <w:spacing w:val="-11"/>
        </w:rPr>
        <w:t xml:space="preserve"> </w:t>
      </w:r>
      <w:r>
        <w:t>repair)</w:t>
      </w:r>
      <w:r>
        <w:rPr>
          <w:spacing w:val="-7"/>
        </w:rPr>
        <w:t xml:space="preserve"> </w:t>
      </w:r>
      <w:r>
        <w:t>system,</w:t>
      </w:r>
      <w:r>
        <w:rPr>
          <w:spacing w:val="-4"/>
        </w:rPr>
        <w:t xml:space="preserve"> </w:t>
      </w:r>
      <w:r>
        <w:t>a</w:t>
      </w:r>
      <w:r>
        <w:rPr>
          <w:spacing w:val="-12"/>
        </w:rPr>
        <w:t xml:space="preserve"> </w:t>
      </w:r>
      <w:r>
        <w:t>multiprotein</w:t>
      </w:r>
      <w:r>
        <w:rPr>
          <w:spacing w:val="-11"/>
        </w:rPr>
        <w:t xml:space="preserve"> </w:t>
      </w:r>
      <w:r>
        <w:t>pathway</w:t>
      </w:r>
      <w:r>
        <w:rPr>
          <w:spacing w:val="-6"/>
        </w:rPr>
        <w:t xml:space="preserve"> </w:t>
      </w:r>
      <w:r>
        <w:t>involved</w:t>
      </w:r>
      <w:r>
        <w:rPr>
          <w:spacing w:val="-11"/>
        </w:rPr>
        <w:t xml:space="preserve"> </w:t>
      </w:r>
      <w:r>
        <w:t>in</w:t>
      </w:r>
      <w:r>
        <w:rPr>
          <w:spacing w:val="-5"/>
        </w:rPr>
        <w:t xml:space="preserve"> </w:t>
      </w:r>
      <w:r>
        <w:t xml:space="preserve">the recognition and repair of DNA damage in cells and whether a </w:t>
      </w:r>
      <w:proofErr w:type="spellStart"/>
      <w:r>
        <w:t>tumour</w:t>
      </w:r>
      <w:proofErr w:type="spellEnd"/>
      <w:r>
        <w:t xml:space="preserve"> is mismatch repair deficient (</w:t>
      </w:r>
      <w:proofErr w:type="spellStart"/>
      <w:r>
        <w:t>dMMR</w:t>
      </w:r>
      <w:proofErr w:type="spellEnd"/>
      <w:r>
        <w:t>) or mismatch repair proficient (</w:t>
      </w:r>
      <w:proofErr w:type="spellStart"/>
      <w:r>
        <w:t>pMMR</w:t>
      </w:r>
      <w:proofErr w:type="spellEnd"/>
      <w:r>
        <w:t>).</w:t>
      </w:r>
      <w:r>
        <w:rPr>
          <w:spacing w:val="40"/>
        </w:rPr>
        <w:t xml:space="preserve"> </w:t>
      </w:r>
      <w:r>
        <w:t xml:space="preserve">MMR status is particularly important in influencing disease outcomes and treatment decisions in endometrial cancer </w:t>
      </w:r>
      <w:r>
        <w:rPr>
          <w:spacing w:val="-2"/>
        </w:rPr>
        <w:t>patients.</w:t>
      </w:r>
    </w:p>
    <w:p w14:paraId="23956BC0" w14:textId="77777777" w:rsidR="006F4CB1" w:rsidRDefault="00810B0E">
      <w:pPr>
        <w:pStyle w:val="BodyText"/>
        <w:spacing w:before="158" w:line="278" w:lineRule="auto"/>
        <w:ind w:left="23" w:right="13"/>
      </w:pPr>
      <w:r>
        <w:t>The incidence of endometrial cancer increases with age; 27% of all new uterine cancer cases in the UK between 2016–</w:t>
      </w:r>
      <w:r>
        <w:rPr>
          <w:spacing w:val="-1"/>
        </w:rPr>
        <w:t xml:space="preserve"> </w:t>
      </w:r>
      <w:r>
        <w:t>2018 were diagnosed in women aged 75</w:t>
      </w:r>
      <w:r>
        <w:rPr>
          <w:spacing w:val="-1"/>
        </w:rPr>
        <w:t xml:space="preserve"> </w:t>
      </w:r>
      <w:r>
        <w:t>and over. High body</w:t>
      </w:r>
      <w:r>
        <w:rPr>
          <w:spacing w:val="-1"/>
        </w:rPr>
        <w:t xml:space="preserve"> </w:t>
      </w:r>
      <w:r>
        <w:t>mass index (BMI) is also an important risk factor for endometrial cancer, with 34% of cases in the UK linked with increased BMI.</w:t>
      </w:r>
      <w:r>
        <w:rPr>
          <w:spacing w:val="40"/>
        </w:rPr>
        <w:t xml:space="preserve"> </w:t>
      </w:r>
      <w:r>
        <w:t>Differences in risk related to ethnicity have also been identified, with</w:t>
      </w:r>
      <w:r>
        <w:rPr>
          <w:spacing w:val="-1"/>
        </w:rPr>
        <w:t xml:space="preserve"> </w:t>
      </w:r>
      <w:r>
        <w:t>higher risks</w:t>
      </w:r>
      <w:r>
        <w:rPr>
          <w:spacing w:val="-4"/>
        </w:rPr>
        <w:t xml:space="preserve"> </w:t>
      </w:r>
      <w:r>
        <w:t>in</w:t>
      </w:r>
      <w:r>
        <w:rPr>
          <w:spacing w:val="-1"/>
        </w:rPr>
        <w:t xml:space="preserve"> </w:t>
      </w:r>
      <w:r>
        <w:t>black</w:t>
      </w:r>
      <w:r>
        <w:rPr>
          <w:spacing w:val="-1"/>
        </w:rPr>
        <w:t xml:space="preserve"> </w:t>
      </w:r>
      <w:r>
        <w:t>ethnic</w:t>
      </w:r>
      <w:r>
        <w:rPr>
          <w:spacing w:val="-2"/>
        </w:rPr>
        <w:t xml:space="preserve"> </w:t>
      </w:r>
      <w:r>
        <w:t>groups,</w:t>
      </w:r>
      <w:r>
        <w:rPr>
          <w:spacing w:val="-4"/>
        </w:rPr>
        <w:t xml:space="preserve"> </w:t>
      </w:r>
      <w:r>
        <w:t>lower risks</w:t>
      </w:r>
      <w:r>
        <w:rPr>
          <w:spacing w:val="-2"/>
        </w:rPr>
        <w:t xml:space="preserve"> </w:t>
      </w:r>
      <w:r>
        <w:t>in</w:t>
      </w:r>
      <w:r>
        <w:rPr>
          <w:spacing w:val="-1"/>
        </w:rPr>
        <w:t xml:space="preserve"> </w:t>
      </w:r>
      <w:r>
        <w:t>people</w:t>
      </w:r>
      <w:r>
        <w:rPr>
          <w:spacing w:val="-2"/>
        </w:rPr>
        <w:t xml:space="preserve"> </w:t>
      </w:r>
      <w:r>
        <w:t>of mixed</w:t>
      </w:r>
      <w:r>
        <w:rPr>
          <w:spacing w:val="-1"/>
        </w:rPr>
        <w:t xml:space="preserve"> </w:t>
      </w:r>
      <w:r>
        <w:t>or multiple ethnicities, and similar in</w:t>
      </w:r>
      <w:r>
        <w:rPr>
          <w:spacing w:val="-2"/>
        </w:rPr>
        <w:t xml:space="preserve"> </w:t>
      </w:r>
      <w:r>
        <w:t>Asian ethnic groups, compared with white ethnicities.</w:t>
      </w:r>
    </w:p>
    <w:p w14:paraId="23956BC1" w14:textId="77777777" w:rsidR="006F4CB1" w:rsidRDefault="00810B0E">
      <w:pPr>
        <w:pStyle w:val="BodyText"/>
        <w:spacing w:before="153"/>
        <w:ind w:left="23"/>
      </w:pPr>
      <w:r>
        <w:t>Current</w:t>
      </w:r>
      <w:r>
        <w:rPr>
          <w:spacing w:val="12"/>
        </w:rPr>
        <w:t xml:space="preserve"> </w:t>
      </w:r>
      <w:r>
        <w:t>clinical</w:t>
      </w:r>
      <w:r>
        <w:rPr>
          <w:spacing w:val="11"/>
        </w:rPr>
        <w:t xml:space="preserve"> </w:t>
      </w:r>
      <w:r>
        <w:t>guidelines</w:t>
      </w:r>
      <w:r>
        <w:rPr>
          <w:spacing w:val="7"/>
        </w:rPr>
        <w:t xml:space="preserve"> </w:t>
      </w:r>
      <w:r>
        <w:t>recommend</w:t>
      </w:r>
      <w:r>
        <w:rPr>
          <w:spacing w:val="14"/>
        </w:rPr>
        <w:t xml:space="preserve"> </w:t>
      </w:r>
      <w:r>
        <w:t>the</w:t>
      </w:r>
      <w:r>
        <w:rPr>
          <w:spacing w:val="8"/>
        </w:rPr>
        <w:t xml:space="preserve"> </w:t>
      </w:r>
      <w:r>
        <w:t>use</w:t>
      </w:r>
      <w:r>
        <w:rPr>
          <w:spacing w:val="13"/>
        </w:rPr>
        <w:t xml:space="preserve"> </w:t>
      </w:r>
      <w:r>
        <w:t>of</w:t>
      </w:r>
      <w:r>
        <w:rPr>
          <w:spacing w:val="5"/>
        </w:rPr>
        <w:t xml:space="preserve"> </w:t>
      </w:r>
      <w:r>
        <w:t>platinum-based</w:t>
      </w:r>
      <w:r>
        <w:rPr>
          <w:spacing w:val="14"/>
        </w:rPr>
        <w:t xml:space="preserve"> </w:t>
      </w:r>
      <w:r>
        <w:t>chemotherapy</w:t>
      </w:r>
      <w:r>
        <w:rPr>
          <w:spacing w:val="9"/>
        </w:rPr>
        <w:t xml:space="preserve"> </w:t>
      </w:r>
      <w:r>
        <w:rPr>
          <w:spacing w:val="-2"/>
        </w:rPr>
        <w:t>(carboplatin</w:t>
      </w:r>
    </w:p>
    <w:p w14:paraId="23956BC2" w14:textId="77777777" w:rsidR="006F4CB1" w:rsidRDefault="00810B0E">
      <w:pPr>
        <w:pStyle w:val="BodyText"/>
        <w:spacing w:before="46" w:line="278" w:lineRule="auto"/>
        <w:ind w:left="23" w:right="15"/>
      </w:pPr>
      <w:r>
        <w:t>+ paclitaxel) as the first-line treatment for patients with recurrent or advanced endometrial cancer.</w:t>
      </w:r>
      <w:r>
        <w:rPr>
          <w:spacing w:val="40"/>
        </w:rPr>
        <w:t xml:space="preserve"> </w:t>
      </w:r>
      <w:r>
        <w:t>There is currently no agreed second-line standard of care for such patients.</w:t>
      </w:r>
      <w:r>
        <w:rPr>
          <w:spacing w:val="40"/>
        </w:rPr>
        <w:t xml:space="preserve"> </w:t>
      </w:r>
      <w:r>
        <w:t>Patients may therefore</w:t>
      </w:r>
      <w:r>
        <w:rPr>
          <w:spacing w:val="-3"/>
        </w:rPr>
        <w:t xml:space="preserve"> </w:t>
      </w:r>
      <w:r>
        <w:t>receive a range of different options,</w:t>
      </w:r>
      <w:r>
        <w:rPr>
          <w:spacing w:val="-1"/>
        </w:rPr>
        <w:t xml:space="preserve"> </w:t>
      </w:r>
      <w:r>
        <w:t>including re-treatment with</w:t>
      </w:r>
      <w:r>
        <w:rPr>
          <w:spacing w:val="-3"/>
        </w:rPr>
        <w:t xml:space="preserve"> </w:t>
      </w:r>
      <w:r>
        <w:t>chemotherapy, enrolment in a clinical trial or hormonal therapy.</w:t>
      </w:r>
    </w:p>
    <w:p w14:paraId="23956BC3" w14:textId="77777777" w:rsidR="006F4CB1" w:rsidRDefault="00810B0E">
      <w:pPr>
        <w:pStyle w:val="BodyText"/>
        <w:spacing w:before="159" w:line="278" w:lineRule="auto"/>
        <w:ind w:left="23" w:right="11"/>
      </w:pPr>
      <w:r>
        <w:t>Advanced or recurrent endometrial cancer is associated with particularly poor prognosis and high mortality rate.</w:t>
      </w:r>
      <w:r>
        <w:rPr>
          <w:spacing w:val="40"/>
        </w:rPr>
        <w:t xml:space="preserve"> </w:t>
      </w:r>
      <w:r>
        <w:t>In the UK, approximately 99% of patients diagnosed with stage I endometrial cancer will survive for one year or more, whereas less than 50% of patients diagnosed with stage IV will survive for one year.</w:t>
      </w:r>
      <w:r>
        <w:rPr>
          <w:spacing w:val="40"/>
        </w:rPr>
        <w:t xml:space="preserve"> </w:t>
      </w:r>
      <w:r>
        <w:t>Disease recurrence is associated with a similarly</w:t>
      </w:r>
      <w:r>
        <w:rPr>
          <w:spacing w:val="-6"/>
        </w:rPr>
        <w:t xml:space="preserve"> </w:t>
      </w:r>
      <w:r>
        <w:t>poor</w:t>
      </w:r>
      <w:r>
        <w:rPr>
          <w:spacing w:val="-5"/>
        </w:rPr>
        <w:t xml:space="preserve"> </w:t>
      </w:r>
      <w:r>
        <w:t>prognosis,</w:t>
      </w:r>
      <w:r>
        <w:rPr>
          <w:spacing w:val="-5"/>
        </w:rPr>
        <w:t xml:space="preserve"> </w:t>
      </w:r>
      <w:r>
        <w:t>with</w:t>
      </w:r>
      <w:r>
        <w:rPr>
          <w:spacing w:val="-11"/>
        </w:rPr>
        <w:t xml:space="preserve"> </w:t>
      </w:r>
      <w:r>
        <w:t>only</w:t>
      </w:r>
      <w:r>
        <w:rPr>
          <w:spacing w:val="-11"/>
        </w:rPr>
        <w:t xml:space="preserve"> </w:t>
      </w:r>
      <w:r>
        <w:t>20%</w:t>
      </w:r>
      <w:r>
        <w:rPr>
          <w:spacing w:val="-10"/>
        </w:rPr>
        <w:t xml:space="preserve"> </w:t>
      </w:r>
      <w:r>
        <w:t>of</w:t>
      </w:r>
      <w:r>
        <w:rPr>
          <w:spacing w:val="-10"/>
        </w:rPr>
        <w:t xml:space="preserve"> </w:t>
      </w:r>
      <w:r>
        <w:t>patients</w:t>
      </w:r>
      <w:r>
        <w:rPr>
          <w:spacing w:val="-9"/>
        </w:rPr>
        <w:t xml:space="preserve"> </w:t>
      </w:r>
      <w:r>
        <w:t>surviving</w:t>
      </w:r>
      <w:r>
        <w:rPr>
          <w:spacing w:val="-12"/>
        </w:rPr>
        <w:t xml:space="preserve"> </w:t>
      </w:r>
      <w:r>
        <w:t>beyond</w:t>
      </w:r>
      <w:r>
        <w:rPr>
          <w:spacing w:val="-12"/>
        </w:rPr>
        <w:t xml:space="preserve"> </w:t>
      </w:r>
      <w:r>
        <w:t>5</w:t>
      </w:r>
      <w:r>
        <w:rPr>
          <w:spacing w:val="-12"/>
        </w:rPr>
        <w:t xml:space="preserve"> </w:t>
      </w:r>
      <w:r>
        <w:t>years.</w:t>
      </w:r>
      <w:r>
        <w:rPr>
          <w:spacing w:val="-5"/>
        </w:rPr>
        <w:t xml:space="preserve"> </w:t>
      </w:r>
      <w:r>
        <w:t>Despite</w:t>
      </w:r>
      <w:r>
        <w:rPr>
          <w:spacing w:val="-12"/>
        </w:rPr>
        <w:t xml:space="preserve"> </w:t>
      </w:r>
      <w:r>
        <w:t>the</w:t>
      </w:r>
      <w:r>
        <w:rPr>
          <w:spacing w:val="-7"/>
        </w:rPr>
        <w:t xml:space="preserve"> </w:t>
      </w:r>
      <w:r>
        <w:t>high mortality rates in newly diagnosed advanced or recurrent endometrial cancer, there has been limited advancement in the first-line treatment of advanced or recurrent, disease.</w:t>
      </w:r>
    </w:p>
    <w:p w14:paraId="23956BC4" w14:textId="77777777" w:rsidR="006F4CB1" w:rsidRDefault="006F4CB1">
      <w:pPr>
        <w:pStyle w:val="BodyText"/>
        <w:spacing w:line="278" w:lineRule="auto"/>
        <w:sectPr w:rsidR="006F4CB1">
          <w:pgSz w:w="11910" w:h="16840"/>
          <w:pgMar w:top="1360" w:right="1417" w:bottom="1280" w:left="1417" w:header="0" w:footer="1091" w:gutter="0"/>
          <w:cols w:space="720"/>
        </w:sectPr>
      </w:pPr>
    </w:p>
    <w:p w14:paraId="23956BC5" w14:textId="77777777" w:rsidR="006F4CB1" w:rsidRDefault="00810B0E">
      <w:pPr>
        <w:pStyle w:val="BodyText"/>
        <w:spacing w:before="63"/>
        <w:ind w:left="23"/>
      </w:pPr>
      <w:r>
        <w:rPr>
          <w:u w:val="single"/>
        </w:rPr>
        <w:lastRenderedPageBreak/>
        <w:t>Durvalumab and</w:t>
      </w:r>
      <w:r>
        <w:rPr>
          <w:spacing w:val="1"/>
          <w:u w:val="single"/>
        </w:rPr>
        <w:t xml:space="preserve"> </w:t>
      </w:r>
      <w:proofErr w:type="spellStart"/>
      <w:r>
        <w:rPr>
          <w:spacing w:val="-2"/>
          <w:u w:val="single"/>
        </w:rPr>
        <w:t>olaparib</w:t>
      </w:r>
      <w:proofErr w:type="spellEnd"/>
    </w:p>
    <w:p w14:paraId="23956BC6" w14:textId="77777777" w:rsidR="006F4CB1" w:rsidRDefault="00810B0E">
      <w:pPr>
        <w:pStyle w:val="BodyText"/>
        <w:spacing w:before="204" w:line="278" w:lineRule="auto"/>
        <w:ind w:left="23" w:right="11"/>
      </w:pPr>
      <w:r>
        <w:t>Durvalumab, an immunotherapy, is an anti-programmed cell death ligand 1 (PDL1) monoclonal antibody.5, 6 PD-L1 is a protein that disguises cancer cells from the immune system.</w:t>
      </w:r>
      <w:r>
        <w:rPr>
          <w:spacing w:val="-15"/>
        </w:rPr>
        <w:t xml:space="preserve"> </w:t>
      </w:r>
      <w:r>
        <w:t>Durvalumab</w:t>
      </w:r>
      <w:r>
        <w:rPr>
          <w:spacing w:val="-15"/>
        </w:rPr>
        <w:t xml:space="preserve"> </w:t>
      </w:r>
      <w:r>
        <w:t>binds</w:t>
      </w:r>
      <w:r>
        <w:rPr>
          <w:spacing w:val="-15"/>
        </w:rPr>
        <w:t xml:space="preserve"> </w:t>
      </w:r>
      <w:r>
        <w:t>to</w:t>
      </w:r>
      <w:r>
        <w:rPr>
          <w:spacing w:val="-15"/>
        </w:rPr>
        <w:t xml:space="preserve"> </w:t>
      </w:r>
      <w:r>
        <w:t>and</w:t>
      </w:r>
      <w:r>
        <w:rPr>
          <w:spacing w:val="-15"/>
        </w:rPr>
        <w:t xml:space="preserve"> </w:t>
      </w:r>
      <w:r>
        <w:t>blocks</w:t>
      </w:r>
      <w:r>
        <w:rPr>
          <w:spacing w:val="-15"/>
        </w:rPr>
        <w:t xml:space="preserve"> </w:t>
      </w:r>
      <w:r>
        <w:t>PD-L1,</w:t>
      </w:r>
      <w:r>
        <w:rPr>
          <w:spacing w:val="-15"/>
        </w:rPr>
        <w:t xml:space="preserve"> </w:t>
      </w:r>
      <w:r>
        <w:t>enabling</w:t>
      </w:r>
      <w:r>
        <w:rPr>
          <w:spacing w:val="-15"/>
        </w:rPr>
        <w:t xml:space="preserve"> </w:t>
      </w:r>
      <w:r>
        <w:t>the</w:t>
      </w:r>
      <w:r>
        <w:rPr>
          <w:spacing w:val="-15"/>
        </w:rPr>
        <w:t xml:space="preserve"> </w:t>
      </w:r>
      <w:r>
        <w:t>immune</w:t>
      </w:r>
      <w:r>
        <w:rPr>
          <w:spacing w:val="-15"/>
        </w:rPr>
        <w:t xml:space="preserve"> </w:t>
      </w:r>
      <w:r>
        <w:t>system</w:t>
      </w:r>
      <w:r>
        <w:rPr>
          <w:spacing w:val="-15"/>
        </w:rPr>
        <w:t xml:space="preserve"> </w:t>
      </w:r>
      <w:r>
        <w:t>to</w:t>
      </w:r>
      <w:r>
        <w:rPr>
          <w:spacing w:val="-15"/>
        </w:rPr>
        <w:t xml:space="preserve"> </w:t>
      </w:r>
      <w:r>
        <w:t>find</w:t>
      </w:r>
      <w:r>
        <w:rPr>
          <w:spacing w:val="-15"/>
        </w:rPr>
        <w:t xml:space="preserve"> </w:t>
      </w:r>
      <w:r>
        <w:t>and</w:t>
      </w:r>
      <w:r>
        <w:rPr>
          <w:spacing w:val="-15"/>
        </w:rPr>
        <w:t xml:space="preserve"> </w:t>
      </w:r>
      <w:r>
        <w:t>attack cancer cells.</w:t>
      </w:r>
    </w:p>
    <w:p w14:paraId="23956BC7" w14:textId="77777777" w:rsidR="006F4CB1" w:rsidRDefault="00810B0E">
      <w:pPr>
        <w:pStyle w:val="BodyText"/>
        <w:spacing w:before="160" w:line="278" w:lineRule="auto"/>
        <w:ind w:left="23" w:right="11"/>
      </w:pPr>
      <w:r>
        <w:t>Durvalumab in combination with carboplatin and paclitaxel is indicated for the first-line treatment of adults with primary advanced or recurrent EC who are candidates for systemic therapy, followed by maintenance treatment with:</w:t>
      </w:r>
    </w:p>
    <w:p w14:paraId="23956BC8" w14:textId="77777777" w:rsidR="006F4CB1" w:rsidRDefault="00810B0E">
      <w:pPr>
        <w:pStyle w:val="ListParagraph"/>
        <w:numPr>
          <w:ilvl w:val="1"/>
          <w:numId w:val="6"/>
        </w:numPr>
        <w:tabs>
          <w:tab w:val="left" w:pos="892"/>
        </w:tabs>
        <w:spacing w:before="159"/>
        <w:ind w:hanging="148"/>
        <w:rPr>
          <w:sz w:val="24"/>
        </w:rPr>
      </w:pPr>
      <w:r>
        <w:rPr>
          <w:sz w:val="24"/>
        </w:rPr>
        <w:t>durvalumab</w:t>
      </w:r>
      <w:r>
        <w:rPr>
          <w:spacing w:val="-6"/>
          <w:sz w:val="24"/>
        </w:rPr>
        <w:t xml:space="preserve"> </w:t>
      </w:r>
      <w:r>
        <w:rPr>
          <w:sz w:val="24"/>
        </w:rPr>
        <w:t>as</w:t>
      </w:r>
      <w:r>
        <w:rPr>
          <w:spacing w:val="-2"/>
          <w:sz w:val="24"/>
        </w:rPr>
        <w:t xml:space="preserve"> </w:t>
      </w:r>
      <w:r>
        <w:rPr>
          <w:sz w:val="24"/>
        </w:rPr>
        <w:t>monotherapy</w:t>
      </w:r>
      <w:r>
        <w:rPr>
          <w:spacing w:val="3"/>
          <w:sz w:val="24"/>
        </w:rPr>
        <w:t xml:space="preserve"> </w:t>
      </w:r>
      <w:r>
        <w:rPr>
          <w:sz w:val="24"/>
        </w:rPr>
        <w:t>in</w:t>
      </w:r>
      <w:r>
        <w:rPr>
          <w:spacing w:val="-3"/>
          <w:sz w:val="24"/>
        </w:rPr>
        <w:t xml:space="preserve"> </w:t>
      </w:r>
      <w:r>
        <w:rPr>
          <w:sz w:val="24"/>
        </w:rPr>
        <w:t>endometrial</w:t>
      </w:r>
      <w:r>
        <w:rPr>
          <w:spacing w:val="-4"/>
          <w:sz w:val="24"/>
        </w:rPr>
        <w:t xml:space="preserve"> </w:t>
      </w:r>
      <w:r>
        <w:rPr>
          <w:sz w:val="24"/>
        </w:rPr>
        <w:t>cancer</w:t>
      </w:r>
      <w:r>
        <w:rPr>
          <w:spacing w:val="2"/>
          <w:sz w:val="24"/>
        </w:rPr>
        <w:t xml:space="preserve"> </w:t>
      </w:r>
      <w:r>
        <w:rPr>
          <w:sz w:val="24"/>
        </w:rPr>
        <w:t>that</w:t>
      </w:r>
      <w:r>
        <w:rPr>
          <w:spacing w:val="1"/>
          <w:sz w:val="24"/>
        </w:rPr>
        <w:t xml:space="preserve"> </w:t>
      </w:r>
      <w:r>
        <w:rPr>
          <w:sz w:val="24"/>
        </w:rPr>
        <w:t>is</w:t>
      </w:r>
      <w:r>
        <w:rPr>
          <w:spacing w:val="-1"/>
          <w:sz w:val="24"/>
        </w:rPr>
        <w:t xml:space="preserve"> </w:t>
      </w:r>
      <w:proofErr w:type="spellStart"/>
      <w:r>
        <w:rPr>
          <w:spacing w:val="-2"/>
          <w:sz w:val="24"/>
        </w:rPr>
        <w:t>dMMR</w:t>
      </w:r>
      <w:proofErr w:type="spellEnd"/>
      <w:r>
        <w:rPr>
          <w:spacing w:val="-2"/>
          <w:sz w:val="24"/>
        </w:rPr>
        <w:t>.</w:t>
      </w:r>
    </w:p>
    <w:p w14:paraId="23956BC9" w14:textId="77777777" w:rsidR="006F4CB1" w:rsidRDefault="00810B0E">
      <w:pPr>
        <w:pStyle w:val="ListParagraph"/>
        <w:numPr>
          <w:ilvl w:val="1"/>
          <w:numId w:val="6"/>
        </w:numPr>
        <w:tabs>
          <w:tab w:val="left" w:pos="892"/>
        </w:tabs>
        <w:spacing w:before="204"/>
        <w:ind w:hanging="148"/>
        <w:rPr>
          <w:sz w:val="24"/>
        </w:rPr>
      </w:pPr>
      <w:r>
        <w:rPr>
          <w:sz w:val="24"/>
        </w:rPr>
        <w:t>durvalumab</w:t>
      </w:r>
      <w:r>
        <w:rPr>
          <w:spacing w:val="-7"/>
          <w:sz w:val="24"/>
        </w:rPr>
        <w:t xml:space="preserve"> </w:t>
      </w:r>
      <w:r>
        <w:rPr>
          <w:sz w:val="24"/>
        </w:rPr>
        <w:t>in</w:t>
      </w:r>
      <w:r>
        <w:rPr>
          <w:spacing w:val="1"/>
          <w:sz w:val="24"/>
        </w:rPr>
        <w:t xml:space="preserve"> </w:t>
      </w:r>
      <w:r>
        <w:rPr>
          <w:sz w:val="24"/>
        </w:rPr>
        <w:t>combination</w:t>
      </w:r>
      <w:r>
        <w:rPr>
          <w:spacing w:val="-5"/>
          <w:sz w:val="24"/>
        </w:rPr>
        <w:t xml:space="preserve"> </w:t>
      </w:r>
      <w:r>
        <w:rPr>
          <w:sz w:val="24"/>
        </w:rPr>
        <w:t>with</w:t>
      </w:r>
      <w:r>
        <w:rPr>
          <w:spacing w:val="-4"/>
          <w:sz w:val="24"/>
        </w:rPr>
        <w:t xml:space="preserve"> </w:t>
      </w:r>
      <w:proofErr w:type="spellStart"/>
      <w:r>
        <w:rPr>
          <w:sz w:val="24"/>
        </w:rPr>
        <w:t>olaparib</w:t>
      </w:r>
      <w:proofErr w:type="spellEnd"/>
      <w:r>
        <w:rPr>
          <w:spacing w:val="1"/>
          <w:sz w:val="24"/>
        </w:rPr>
        <w:t xml:space="preserve"> </w:t>
      </w:r>
      <w:r>
        <w:rPr>
          <w:sz w:val="24"/>
        </w:rPr>
        <w:t>in endometrial</w:t>
      </w:r>
      <w:r>
        <w:rPr>
          <w:spacing w:val="1"/>
          <w:sz w:val="24"/>
        </w:rPr>
        <w:t xml:space="preserve"> </w:t>
      </w:r>
      <w:r>
        <w:rPr>
          <w:sz w:val="24"/>
        </w:rPr>
        <w:t>cancer</w:t>
      </w:r>
      <w:r>
        <w:rPr>
          <w:spacing w:val="3"/>
          <w:sz w:val="24"/>
        </w:rPr>
        <w:t xml:space="preserve"> </w:t>
      </w:r>
      <w:r>
        <w:rPr>
          <w:sz w:val="24"/>
        </w:rPr>
        <w:t>that</w:t>
      </w:r>
      <w:r>
        <w:rPr>
          <w:spacing w:val="-4"/>
          <w:sz w:val="24"/>
        </w:rPr>
        <w:t xml:space="preserve"> </w:t>
      </w:r>
      <w:r>
        <w:rPr>
          <w:sz w:val="24"/>
        </w:rPr>
        <w:t>is</w:t>
      </w:r>
      <w:r>
        <w:rPr>
          <w:spacing w:val="-1"/>
          <w:sz w:val="24"/>
        </w:rPr>
        <w:t xml:space="preserve"> </w:t>
      </w:r>
      <w:proofErr w:type="spellStart"/>
      <w:r>
        <w:rPr>
          <w:spacing w:val="-2"/>
          <w:sz w:val="24"/>
        </w:rPr>
        <w:t>pMMR</w:t>
      </w:r>
      <w:proofErr w:type="spellEnd"/>
      <w:r>
        <w:rPr>
          <w:spacing w:val="-2"/>
          <w:sz w:val="24"/>
        </w:rPr>
        <w:t>.</w:t>
      </w:r>
    </w:p>
    <w:p w14:paraId="23956BCA" w14:textId="77777777" w:rsidR="006F4CB1" w:rsidRDefault="00810B0E">
      <w:pPr>
        <w:pStyle w:val="BodyText"/>
        <w:spacing w:before="204" w:line="278" w:lineRule="auto"/>
        <w:ind w:left="23" w:right="16"/>
      </w:pPr>
      <w:r>
        <w:t xml:space="preserve">Olaparib is a poly (ADP-ribose) polymerase (PARP) inhibitor. The PARP enzyme repairs accumulated or therapy-induced DNA damage to </w:t>
      </w:r>
      <w:proofErr w:type="spellStart"/>
      <w:r>
        <w:t>tumour</w:t>
      </w:r>
      <w:proofErr w:type="spellEnd"/>
      <w:r>
        <w:t xml:space="preserve"> cells. Olaparib targets PARP to disrupt the DNA-repair process, which ultimately destroys </w:t>
      </w:r>
      <w:proofErr w:type="spellStart"/>
      <w:r>
        <w:t>tumour</w:t>
      </w:r>
      <w:proofErr w:type="spellEnd"/>
      <w:r>
        <w:t xml:space="preserve"> cells.</w:t>
      </w:r>
    </w:p>
    <w:p w14:paraId="23956BCB" w14:textId="77777777" w:rsidR="006F4CB1" w:rsidRDefault="00810B0E">
      <w:pPr>
        <w:pStyle w:val="Heading1"/>
        <w:spacing w:before="158"/>
        <w:jc w:val="both"/>
        <w:rPr>
          <w:u w:val="none"/>
        </w:rPr>
      </w:pPr>
      <w:r>
        <w:rPr>
          <w:spacing w:val="-2"/>
        </w:rPr>
        <w:t>PROCEDURAL</w:t>
      </w:r>
      <w:r>
        <w:rPr>
          <w:spacing w:val="-7"/>
        </w:rPr>
        <w:t xml:space="preserve"> </w:t>
      </w:r>
      <w:r>
        <w:rPr>
          <w:spacing w:val="-2"/>
        </w:rPr>
        <w:t>HISTORY</w:t>
      </w:r>
      <w:r>
        <w:rPr>
          <w:spacing w:val="-4"/>
        </w:rPr>
        <w:t xml:space="preserve"> </w:t>
      </w:r>
      <w:r>
        <w:rPr>
          <w:spacing w:val="-2"/>
        </w:rPr>
        <w:t>OF</w:t>
      </w:r>
      <w:r>
        <w:rPr>
          <w:spacing w:val="-6"/>
        </w:rPr>
        <w:t xml:space="preserve"> </w:t>
      </w:r>
      <w:r>
        <w:rPr>
          <w:spacing w:val="-2"/>
        </w:rPr>
        <w:t>THE</w:t>
      </w:r>
      <w:r>
        <w:rPr>
          <w:spacing w:val="-10"/>
        </w:rPr>
        <w:t xml:space="preserve"> </w:t>
      </w:r>
      <w:r>
        <w:rPr>
          <w:spacing w:val="-2"/>
        </w:rPr>
        <w:t>APPRAISAL</w:t>
      </w:r>
    </w:p>
    <w:p w14:paraId="23956BCC" w14:textId="77777777" w:rsidR="006F4CB1" w:rsidRDefault="006F4CB1">
      <w:pPr>
        <w:pStyle w:val="BodyText"/>
        <w:spacing w:before="7"/>
        <w:ind w:left="0"/>
        <w:jc w:val="left"/>
        <w:rPr>
          <w:b/>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9"/>
        <w:gridCol w:w="4509"/>
      </w:tblGrid>
      <w:tr w:rsidR="006F4CB1" w14:paraId="23956BCF" w14:textId="77777777">
        <w:trPr>
          <w:trHeight w:val="273"/>
        </w:trPr>
        <w:tc>
          <w:tcPr>
            <w:tcW w:w="4509" w:type="dxa"/>
          </w:tcPr>
          <w:p w14:paraId="23956BCD" w14:textId="77777777" w:rsidR="006F4CB1" w:rsidRDefault="00810B0E">
            <w:pPr>
              <w:pStyle w:val="TableParagraph"/>
              <w:spacing w:line="254" w:lineRule="exact"/>
              <w:rPr>
                <w:b/>
                <w:sz w:val="24"/>
              </w:rPr>
            </w:pPr>
            <w:r>
              <w:rPr>
                <w:b/>
                <w:spacing w:val="-4"/>
                <w:sz w:val="24"/>
              </w:rPr>
              <w:t>DATE</w:t>
            </w:r>
          </w:p>
        </w:tc>
        <w:tc>
          <w:tcPr>
            <w:tcW w:w="4509" w:type="dxa"/>
          </w:tcPr>
          <w:p w14:paraId="23956BCE" w14:textId="77777777" w:rsidR="006F4CB1" w:rsidRDefault="00810B0E">
            <w:pPr>
              <w:pStyle w:val="TableParagraph"/>
              <w:spacing w:line="254" w:lineRule="exact"/>
              <w:rPr>
                <w:b/>
                <w:sz w:val="24"/>
              </w:rPr>
            </w:pPr>
            <w:r>
              <w:rPr>
                <w:b/>
                <w:spacing w:val="-2"/>
                <w:sz w:val="24"/>
              </w:rPr>
              <w:t>EVENT</w:t>
            </w:r>
          </w:p>
        </w:tc>
      </w:tr>
      <w:tr w:rsidR="006F4CB1" w14:paraId="23956BD2" w14:textId="77777777">
        <w:trPr>
          <w:trHeight w:val="277"/>
        </w:trPr>
        <w:tc>
          <w:tcPr>
            <w:tcW w:w="4509" w:type="dxa"/>
          </w:tcPr>
          <w:p w14:paraId="23956BD0" w14:textId="77777777" w:rsidR="006F4CB1" w:rsidRDefault="00810B0E">
            <w:pPr>
              <w:pStyle w:val="TableParagraph"/>
              <w:spacing w:line="258" w:lineRule="exact"/>
              <w:rPr>
                <w:sz w:val="24"/>
              </w:rPr>
            </w:pPr>
            <w:r>
              <w:rPr>
                <w:sz w:val="24"/>
              </w:rPr>
              <w:t>July</w:t>
            </w:r>
            <w:r>
              <w:rPr>
                <w:spacing w:val="-1"/>
                <w:sz w:val="24"/>
              </w:rPr>
              <w:t xml:space="preserve"> </w:t>
            </w:r>
            <w:r>
              <w:rPr>
                <w:spacing w:val="-4"/>
                <w:sz w:val="24"/>
              </w:rPr>
              <w:t>2024</w:t>
            </w:r>
          </w:p>
        </w:tc>
        <w:tc>
          <w:tcPr>
            <w:tcW w:w="4509" w:type="dxa"/>
          </w:tcPr>
          <w:p w14:paraId="23956BD1" w14:textId="77777777" w:rsidR="006F4CB1" w:rsidRDefault="00810B0E">
            <w:pPr>
              <w:pStyle w:val="TableParagraph"/>
              <w:spacing w:line="258" w:lineRule="exact"/>
              <w:rPr>
                <w:sz w:val="24"/>
              </w:rPr>
            </w:pPr>
            <w:r>
              <w:rPr>
                <w:sz w:val="24"/>
              </w:rPr>
              <w:t xml:space="preserve">Final </w:t>
            </w:r>
            <w:r>
              <w:rPr>
                <w:spacing w:val="-2"/>
                <w:sz w:val="24"/>
              </w:rPr>
              <w:t>Scope</w:t>
            </w:r>
          </w:p>
        </w:tc>
      </w:tr>
      <w:tr w:rsidR="006F4CB1" w14:paraId="23956BD5" w14:textId="77777777">
        <w:trPr>
          <w:trHeight w:val="273"/>
        </w:trPr>
        <w:tc>
          <w:tcPr>
            <w:tcW w:w="4509" w:type="dxa"/>
          </w:tcPr>
          <w:p w14:paraId="23956BD3" w14:textId="77777777" w:rsidR="006F4CB1" w:rsidRDefault="00810B0E">
            <w:pPr>
              <w:pStyle w:val="TableParagraph"/>
              <w:spacing w:line="253" w:lineRule="exact"/>
              <w:rPr>
                <w:sz w:val="24"/>
              </w:rPr>
            </w:pPr>
            <w:r>
              <w:rPr>
                <w:sz w:val="24"/>
              </w:rPr>
              <w:t>30 July</w:t>
            </w:r>
            <w:r>
              <w:rPr>
                <w:spacing w:val="1"/>
                <w:sz w:val="24"/>
              </w:rPr>
              <w:t xml:space="preserve"> </w:t>
            </w:r>
            <w:r>
              <w:rPr>
                <w:spacing w:val="-4"/>
                <w:sz w:val="24"/>
              </w:rPr>
              <w:t>2024</w:t>
            </w:r>
          </w:p>
        </w:tc>
        <w:tc>
          <w:tcPr>
            <w:tcW w:w="4509" w:type="dxa"/>
          </w:tcPr>
          <w:p w14:paraId="23956BD4" w14:textId="77777777" w:rsidR="006F4CB1" w:rsidRDefault="00810B0E">
            <w:pPr>
              <w:pStyle w:val="TableParagraph"/>
              <w:spacing w:line="253" w:lineRule="exact"/>
              <w:rPr>
                <w:sz w:val="24"/>
              </w:rPr>
            </w:pPr>
            <w:r>
              <w:rPr>
                <w:sz w:val="24"/>
              </w:rPr>
              <w:t>Invitation</w:t>
            </w:r>
            <w:r>
              <w:rPr>
                <w:spacing w:val="2"/>
                <w:sz w:val="24"/>
              </w:rPr>
              <w:t xml:space="preserve"> </w:t>
            </w:r>
            <w:r>
              <w:rPr>
                <w:sz w:val="24"/>
              </w:rPr>
              <w:t>to</w:t>
            </w:r>
            <w:r>
              <w:rPr>
                <w:spacing w:val="-3"/>
                <w:sz w:val="24"/>
              </w:rPr>
              <w:t xml:space="preserve"> </w:t>
            </w:r>
            <w:r>
              <w:rPr>
                <w:spacing w:val="-2"/>
                <w:sz w:val="24"/>
              </w:rPr>
              <w:t>participate</w:t>
            </w:r>
          </w:p>
        </w:tc>
      </w:tr>
      <w:tr w:rsidR="006F4CB1" w14:paraId="23956BD8" w14:textId="77777777">
        <w:trPr>
          <w:trHeight w:val="278"/>
        </w:trPr>
        <w:tc>
          <w:tcPr>
            <w:tcW w:w="4509" w:type="dxa"/>
          </w:tcPr>
          <w:p w14:paraId="23956BD6" w14:textId="77777777" w:rsidR="006F4CB1" w:rsidRDefault="00810B0E">
            <w:pPr>
              <w:pStyle w:val="TableParagraph"/>
              <w:spacing w:before="1" w:line="257" w:lineRule="exact"/>
              <w:rPr>
                <w:sz w:val="24"/>
              </w:rPr>
            </w:pPr>
            <w:r>
              <w:rPr>
                <w:sz w:val="24"/>
              </w:rPr>
              <w:t>2</w:t>
            </w:r>
            <w:r>
              <w:rPr>
                <w:spacing w:val="1"/>
                <w:sz w:val="24"/>
              </w:rPr>
              <w:t xml:space="preserve"> </w:t>
            </w:r>
            <w:r>
              <w:rPr>
                <w:sz w:val="24"/>
              </w:rPr>
              <w:t>October</w:t>
            </w:r>
            <w:r>
              <w:rPr>
                <w:spacing w:val="2"/>
                <w:sz w:val="24"/>
              </w:rPr>
              <w:t xml:space="preserve"> </w:t>
            </w:r>
            <w:r>
              <w:rPr>
                <w:spacing w:val="-4"/>
                <w:sz w:val="24"/>
              </w:rPr>
              <w:t>2024</w:t>
            </w:r>
          </w:p>
        </w:tc>
        <w:tc>
          <w:tcPr>
            <w:tcW w:w="4509" w:type="dxa"/>
          </w:tcPr>
          <w:p w14:paraId="23956BD7" w14:textId="77777777" w:rsidR="006F4CB1" w:rsidRDefault="00810B0E">
            <w:pPr>
              <w:pStyle w:val="TableParagraph"/>
              <w:spacing w:before="1" w:line="257" w:lineRule="exact"/>
              <w:rPr>
                <w:sz w:val="24"/>
              </w:rPr>
            </w:pPr>
            <w:r>
              <w:rPr>
                <w:sz w:val="24"/>
              </w:rPr>
              <w:t>AstraZeneca</w:t>
            </w:r>
            <w:r>
              <w:rPr>
                <w:spacing w:val="-5"/>
                <w:sz w:val="24"/>
              </w:rPr>
              <w:t xml:space="preserve"> </w:t>
            </w:r>
            <w:r>
              <w:rPr>
                <w:sz w:val="24"/>
              </w:rPr>
              <w:t>provides</w:t>
            </w:r>
            <w:r>
              <w:rPr>
                <w:spacing w:val="-6"/>
                <w:sz w:val="24"/>
              </w:rPr>
              <w:t xml:space="preserve"> </w:t>
            </w:r>
            <w:r>
              <w:rPr>
                <w:sz w:val="24"/>
              </w:rPr>
              <w:t>submission</w:t>
            </w:r>
            <w:r>
              <w:rPr>
                <w:spacing w:val="-3"/>
                <w:sz w:val="24"/>
              </w:rPr>
              <w:t xml:space="preserve"> </w:t>
            </w:r>
            <w:r>
              <w:rPr>
                <w:sz w:val="24"/>
              </w:rPr>
              <w:t>to</w:t>
            </w:r>
            <w:r>
              <w:rPr>
                <w:spacing w:val="-2"/>
                <w:sz w:val="24"/>
              </w:rPr>
              <w:t xml:space="preserve"> </w:t>
            </w:r>
            <w:r>
              <w:rPr>
                <w:spacing w:val="-4"/>
                <w:sz w:val="24"/>
              </w:rPr>
              <w:t>NICE</w:t>
            </w:r>
          </w:p>
        </w:tc>
      </w:tr>
      <w:tr w:rsidR="006F4CB1" w14:paraId="23956BDC" w14:textId="77777777">
        <w:trPr>
          <w:trHeight w:val="551"/>
        </w:trPr>
        <w:tc>
          <w:tcPr>
            <w:tcW w:w="4509" w:type="dxa"/>
          </w:tcPr>
          <w:p w14:paraId="23956BD9" w14:textId="77777777" w:rsidR="006F4CB1" w:rsidRDefault="00810B0E">
            <w:pPr>
              <w:pStyle w:val="TableParagraph"/>
              <w:rPr>
                <w:sz w:val="24"/>
              </w:rPr>
            </w:pPr>
            <w:r>
              <w:rPr>
                <w:sz w:val="24"/>
              </w:rPr>
              <w:t>5 December</w:t>
            </w:r>
            <w:r>
              <w:rPr>
                <w:spacing w:val="1"/>
                <w:sz w:val="24"/>
              </w:rPr>
              <w:t xml:space="preserve"> </w:t>
            </w:r>
            <w:r>
              <w:rPr>
                <w:spacing w:val="-4"/>
                <w:sz w:val="24"/>
              </w:rPr>
              <w:t>2024</w:t>
            </w:r>
          </w:p>
        </w:tc>
        <w:tc>
          <w:tcPr>
            <w:tcW w:w="4509" w:type="dxa"/>
          </w:tcPr>
          <w:p w14:paraId="23956BDA" w14:textId="77777777" w:rsidR="006F4CB1" w:rsidRDefault="00810B0E">
            <w:pPr>
              <w:pStyle w:val="TableParagraph"/>
              <w:rPr>
                <w:sz w:val="24"/>
              </w:rPr>
            </w:pPr>
            <w:r>
              <w:rPr>
                <w:sz w:val="24"/>
              </w:rPr>
              <w:t>External</w:t>
            </w:r>
            <w:r>
              <w:rPr>
                <w:spacing w:val="-15"/>
                <w:sz w:val="24"/>
              </w:rPr>
              <w:t xml:space="preserve"> </w:t>
            </w:r>
            <w:r>
              <w:rPr>
                <w:sz w:val="24"/>
              </w:rPr>
              <w:t>Assessment</w:t>
            </w:r>
            <w:r>
              <w:rPr>
                <w:spacing w:val="-3"/>
                <w:sz w:val="24"/>
              </w:rPr>
              <w:t xml:space="preserve"> </w:t>
            </w:r>
            <w:r>
              <w:rPr>
                <w:sz w:val="24"/>
              </w:rPr>
              <w:t>Report</w:t>
            </w:r>
            <w:r>
              <w:rPr>
                <w:spacing w:val="-3"/>
                <w:sz w:val="24"/>
              </w:rPr>
              <w:t xml:space="preserve"> </w:t>
            </w:r>
            <w:r>
              <w:rPr>
                <w:sz w:val="24"/>
              </w:rPr>
              <w:t>prepared</w:t>
            </w:r>
            <w:r>
              <w:rPr>
                <w:spacing w:val="-2"/>
                <w:sz w:val="24"/>
              </w:rPr>
              <w:t xml:space="preserve"> </w:t>
            </w:r>
            <w:r>
              <w:rPr>
                <w:spacing w:val="-5"/>
                <w:sz w:val="24"/>
              </w:rPr>
              <w:t>by</w:t>
            </w:r>
          </w:p>
          <w:p w14:paraId="23956BDB" w14:textId="77777777" w:rsidR="006F4CB1" w:rsidRDefault="00810B0E">
            <w:pPr>
              <w:pStyle w:val="TableParagraph"/>
              <w:spacing w:before="2" w:line="257" w:lineRule="exact"/>
              <w:rPr>
                <w:sz w:val="24"/>
              </w:rPr>
            </w:pPr>
            <w:r>
              <w:rPr>
                <w:spacing w:val="-2"/>
                <w:sz w:val="24"/>
              </w:rPr>
              <w:t>BMJ</w:t>
            </w:r>
            <w:r>
              <w:rPr>
                <w:spacing w:val="-3"/>
                <w:sz w:val="24"/>
              </w:rPr>
              <w:t xml:space="preserve"> </w:t>
            </w:r>
            <w:r>
              <w:rPr>
                <w:spacing w:val="-2"/>
                <w:sz w:val="24"/>
              </w:rPr>
              <w:t>Technology</w:t>
            </w:r>
            <w:r>
              <w:rPr>
                <w:spacing w:val="-8"/>
                <w:sz w:val="24"/>
              </w:rPr>
              <w:t xml:space="preserve"> </w:t>
            </w:r>
            <w:r>
              <w:rPr>
                <w:spacing w:val="-2"/>
                <w:sz w:val="24"/>
              </w:rPr>
              <w:t>Assessments</w:t>
            </w:r>
            <w:r>
              <w:rPr>
                <w:spacing w:val="5"/>
                <w:sz w:val="24"/>
              </w:rPr>
              <w:t xml:space="preserve"> </w:t>
            </w:r>
            <w:r>
              <w:rPr>
                <w:spacing w:val="-2"/>
                <w:sz w:val="24"/>
              </w:rPr>
              <w:t>Group</w:t>
            </w:r>
          </w:p>
        </w:tc>
      </w:tr>
      <w:tr w:rsidR="006F4CB1" w14:paraId="23956BDF" w14:textId="77777777">
        <w:trPr>
          <w:trHeight w:val="278"/>
        </w:trPr>
        <w:tc>
          <w:tcPr>
            <w:tcW w:w="4509" w:type="dxa"/>
          </w:tcPr>
          <w:p w14:paraId="23956BDD" w14:textId="77777777" w:rsidR="006F4CB1" w:rsidRDefault="00810B0E">
            <w:pPr>
              <w:pStyle w:val="TableParagraph"/>
              <w:spacing w:line="258" w:lineRule="exact"/>
              <w:rPr>
                <w:sz w:val="24"/>
              </w:rPr>
            </w:pPr>
            <w:r>
              <w:rPr>
                <w:sz w:val="24"/>
              </w:rPr>
              <w:t xml:space="preserve">4 March </w:t>
            </w:r>
            <w:r>
              <w:rPr>
                <w:spacing w:val="-4"/>
                <w:sz w:val="24"/>
              </w:rPr>
              <w:t>2025</w:t>
            </w:r>
          </w:p>
        </w:tc>
        <w:tc>
          <w:tcPr>
            <w:tcW w:w="4509" w:type="dxa"/>
          </w:tcPr>
          <w:p w14:paraId="23956BDE" w14:textId="77777777" w:rsidR="006F4CB1" w:rsidRDefault="00810B0E">
            <w:pPr>
              <w:pStyle w:val="TableParagraph"/>
              <w:spacing w:line="258" w:lineRule="exact"/>
              <w:rPr>
                <w:sz w:val="24"/>
              </w:rPr>
            </w:pPr>
            <w:r>
              <w:rPr>
                <w:sz w:val="24"/>
              </w:rPr>
              <w:t>First</w:t>
            </w:r>
            <w:r>
              <w:rPr>
                <w:spacing w:val="-3"/>
                <w:sz w:val="24"/>
              </w:rPr>
              <w:t xml:space="preserve"> </w:t>
            </w:r>
            <w:r>
              <w:rPr>
                <w:sz w:val="24"/>
              </w:rPr>
              <w:t>meeting</w:t>
            </w:r>
            <w:r>
              <w:rPr>
                <w:spacing w:val="-2"/>
                <w:sz w:val="24"/>
              </w:rPr>
              <w:t xml:space="preserve"> </w:t>
            </w:r>
            <w:r>
              <w:rPr>
                <w:sz w:val="24"/>
              </w:rPr>
              <w:t>of</w:t>
            </w:r>
            <w:r>
              <w:rPr>
                <w:spacing w:val="-2"/>
                <w:sz w:val="24"/>
              </w:rPr>
              <w:t xml:space="preserve"> </w:t>
            </w:r>
            <w:r>
              <w:rPr>
                <w:sz w:val="24"/>
              </w:rPr>
              <w:t>the</w:t>
            </w:r>
            <w:r>
              <w:rPr>
                <w:spacing w:val="-15"/>
                <w:sz w:val="24"/>
              </w:rPr>
              <w:t xml:space="preserve"> </w:t>
            </w:r>
            <w:r>
              <w:rPr>
                <w:sz w:val="24"/>
              </w:rPr>
              <w:t>Appraisal</w:t>
            </w:r>
            <w:r>
              <w:rPr>
                <w:spacing w:val="-1"/>
                <w:sz w:val="24"/>
              </w:rPr>
              <w:t xml:space="preserve"> </w:t>
            </w:r>
            <w:r>
              <w:rPr>
                <w:spacing w:val="-2"/>
                <w:sz w:val="24"/>
              </w:rPr>
              <w:t>Committee</w:t>
            </w:r>
          </w:p>
        </w:tc>
      </w:tr>
      <w:tr w:rsidR="006F4CB1" w14:paraId="23956BE2" w14:textId="77777777">
        <w:trPr>
          <w:trHeight w:val="273"/>
        </w:trPr>
        <w:tc>
          <w:tcPr>
            <w:tcW w:w="4509" w:type="dxa"/>
          </w:tcPr>
          <w:p w14:paraId="23956BE0" w14:textId="77777777" w:rsidR="006F4CB1" w:rsidRDefault="00810B0E">
            <w:pPr>
              <w:pStyle w:val="TableParagraph"/>
              <w:spacing w:line="253" w:lineRule="exact"/>
              <w:rPr>
                <w:sz w:val="24"/>
              </w:rPr>
            </w:pPr>
            <w:r>
              <w:rPr>
                <w:sz w:val="24"/>
              </w:rPr>
              <w:t xml:space="preserve">19 March </w:t>
            </w:r>
            <w:r>
              <w:rPr>
                <w:spacing w:val="-4"/>
                <w:sz w:val="24"/>
              </w:rPr>
              <w:t>2025</w:t>
            </w:r>
          </w:p>
        </w:tc>
        <w:tc>
          <w:tcPr>
            <w:tcW w:w="4509" w:type="dxa"/>
          </w:tcPr>
          <w:p w14:paraId="23956BE1" w14:textId="77777777" w:rsidR="006F4CB1" w:rsidRDefault="00810B0E">
            <w:pPr>
              <w:pStyle w:val="TableParagraph"/>
              <w:spacing w:line="253" w:lineRule="exact"/>
              <w:rPr>
                <w:sz w:val="24"/>
              </w:rPr>
            </w:pPr>
            <w:r>
              <w:rPr>
                <w:sz w:val="24"/>
              </w:rPr>
              <w:t>Draft Guidance is</w:t>
            </w:r>
            <w:r>
              <w:rPr>
                <w:spacing w:val="-2"/>
                <w:sz w:val="24"/>
              </w:rPr>
              <w:t xml:space="preserve"> </w:t>
            </w:r>
            <w:r>
              <w:rPr>
                <w:sz w:val="24"/>
              </w:rPr>
              <w:t>sent</w:t>
            </w:r>
            <w:r>
              <w:rPr>
                <w:spacing w:val="1"/>
                <w:sz w:val="24"/>
              </w:rPr>
              <w:t xml:space="preserve"> </w:t>
            </w:r>
            <w:r>
              <w:rPr>
                <w:sz w:val="24"/>
              </w:rPr>
              <w:t>to</w:t>
            </w:r>
            <w:r>
              <w:rPr>
                <w:spacing w:val="-4"/>
                <w:sz w:val="24"/>
              </w:rPr>
              <w:t xml:space="preserve"> </w:t>
            </w:r>
            <w:r>
              <w:rPr>
                <w:spacing w:val="-2"/>
                <w:sz w:val="24"/>
              </w:rPr>
              <w:t>consultees</w:t>
            </w:r>
          </w:p>
        </w:tc>
      </w:tr>
      <w:tr w:rsidR="006F4CB1" w14:paraId="23956BE6" w14:textId="77777777">
        <w:trPr>
          <w:trHeight w:val="551"/>
        </w:trPr>
        <w:tc>
          <w:tcPr>
            <w:tcW w:w="4509" w:type="dxa"/>
          </w:tcPr>
          <w:p w14:paraId="23956BE3" w14:textId="77777777" w:rsidR="006F4CB1" w:rsidRDefault="00810B0E">
            <w:pPr>
              <w:pStyle w:val="TableParagraph"/>
              <w:rPr>
                <w:sz w:val="24"/>
              </w:rPr>
            </w:pPr>
            <w:r>
              <w:rPr>
                <w:sz w:val="24"/>
              </w:rPr>
              <w:t>16</w:t>
            </w:r>
            <w:r>
              <w:rPr>
                <w:spacing w:val="-12"/>
                <w:sz w:val="24"/>
              </w:rPr>
              <w:t xml:space="preserve"> </w:t>
            </w:r>
            <w:r>
              <w:rPr>
                <w:sz w:val="24"/>
              </w:rPr>
              <w:t>April</w:t>
            </w:r>
            <w:r>
              <w:rPr>
                <w:spacing w:val="2"/>
                <w:sz w:val="24"/>
              </w:rPr>
              <w:t xml:space="preserve"> </w:t>
            </w:r>
            <w:r>
              <w:rPr>
                <w:spacing w:val="-4"/>
                <w:sz w:val="24"/>
              </w:rPr>
              <w:t>2025</w:t>
            </w:r>
          </w:p>
        </w:tc>
        <w:tc>
          <w:tcPr>
            <w:tcW w:w="4509" w:type="dxa"/>
          </w:tcPr>
          <w:p w14:paraId="23956BE4" w14:textId="77777777" w:rsidR="006F4CB1" w:rsidRDefault="00810B0E">
            <w:pPr>
              <w:pStyle w:val="TableParagraph"/>
              <w:rPr>
                <w:sz w:val="24"/>
              </w:rPr>
            </w:pPr>
            <w:r>
              <w:rPr>
                <w:sz w:val="24"/>
              </w:rPr>
              <w:t>AstraZeneca</w:t>
            </w:r>
            <w:r>
              <w:rPr>
                <w:spacing w:val="-6"/>
                <w:sz w:val="24"/>
              </w:rPr>
              <w:t xml:space="preserve"> </w:t>
            </w:r>
            <w:r>
              <w:rPr>
                <w:sz w:val="24"/>
              </w:rPr>
              <w:t>submits</w:t>
            </w:r>
            <w:r>
              <w:rPr>
                <w:spacing w:val="-4"/>
                <w:sz w:val="24"/>
              </w:rPr>
              <w:t xml:space="preserve"> </w:t>
            </w:r>
            <w:r>
              <w:rPr>
                <w:sz w:val="24"/>
              </w:rPr>
              <w:t>response</w:t>
            </w:r>
            <w:r>
              <w:rPr>
                <w:spacing w:val="-5"/>
                <w:sz w:val="24"/>
              </w:rPr>
              <w:t xml:space="preserve"> to</w:t>
            </w:r>
          </w:p>
          <w:p w14:paraId="23956BE5" w14:textId="77777777" w:rsidR="006F4CB1" w:rsidRDefault="00810B0E">
            <w:pPr>
              <w:pStyle w:val="TableParagraph"/>
              <w:spacing w:before="2" w:line="257" w:lineRule="exact"/>
              <w:rPr>
                <w:sz w:val="24"/>
              </w:rPr>
            </w:pPr>
            <w:r>
              <w:rPr>
                <w:sz w:val="24"/>
              </w:rPr>
              <w:t>consultation</w:t>
            </w:r>
            <w:r>
              <w:rPr>
                <w:spacing w:val="-1"/>
                <w:sz w:val="24"/>
              </w:rPr>
              <w:t xml:space="preserve"> </w:t>
            </w:r>
            <w:r>
              <w:rPr>
                <w:sz w:val="24"/>
              </w:rPr>
              <w:t>on Draft</w:t>
            </w:r>
            <w:r>
              <w:rPr>
                <w:spacing w:val="-5"/>
                <w:sz w:val="24"/>
              </w:rPr>
              <w:t xml:space="preserve"> </w:t>
            </w:r>
            <w:r>
              <w:rPr>
                <w:spacing w:val="-2"/>
                <w:sz w:val="24"/>
              </w:rPr>
              <w:t>Guidance</w:t>
            </w:r>
          </w:p>
        </w:tc>
      </w:tr>
      <w:tr w:rsidR="006F4CB1" w14:paraId="23956BEA" w14:textId="77777777">
        <w:trPr>
          <w:trHeight w:val="1382"/>
        </w:trPr>
        <w:tc>
          <w:tcPr>
            <w:tcW w:w="4509" w:type="dxa"/>
          </w:tcPr>
          <w:p w14:paraId="23956BE7" w14:textId="77777777" w:rsidR="006F4CB1" w:rsidRDefault="00810B0E">
            <w:pPr>
              <w:pStyle w:val="TableParagraph"/>
              <w:rPr>
                <w:sz w:val="24"/>
              </w:rPr>
            </w:pPr>
            <w:r>
              <w:rPr>
                <w:sz w:val="24"/>
              </w:rPr>
              <w:t xml:space="preserve">1 May </w:t>
            </w:r>
            <w:r>
              <w:rPr>
                <w:spacing w:val="-4"/>
                <w:sz w:val="24"/>
              </w:rPr>
              <w:t>2025</w:t>
            </w:r>
          </w:p>
        </w:tc>
        <w:tc>
          <w:tcPr>
            <w:tcW w:w="4509" w:type="dxa"/>
          </w:tcPr>
          <w:p w14:paraId="23956BE8" w14:textId="77777777" w:rsidR="006F4CB1" w:rsidRDefault="00810B0E">
            <w:pPr>
              <w:pStyle w:val="TableParagraph"/>
              <w:spacing w:line="240" w:lineRule="auto"/>
              <w:rPr>
                <w:sz w:val="24"/>
              </w:rPr>
            </w:pPr>
            <w:r>
              <w:rPr>
                <w:sz w:val="24"/>
              </w:rPr>
              <w:t>First</w:t>
            </w:r>
            <w:r>
              <w:rPr>
                <w:spacing w:val="-7"/>
                <w:sz w:val="24"/>
              </w:rPr>
              <w:t xml:space="preserve"> </w:t>
            </w:r>
            <w:r>
              <w:rPr>
                <w:sz w:val="24"/>
              </w:rPr>
              <w:t>version</w:t>
            </w:r>
            <w:r>
              <w:rPr>
                <w:spacing w:val="-7"/>
                <w:sz w:val="24"/>
              </w:rPr>
              <w:t xml:space="preserve"> </w:t>
            </w:r>
            <w:r>
              <w:rPr>
                <w:sz w:val="24"/>
              </w:rPr>
              <w:t>of</w:t>
            </w:r>
            <w:r>
              <w:rPr>
                <w:spacing w:val="-6"/>
                <w:sz w:val="24"/>
              </w:rPr>
              <w:t xml:space="preserve"> </w:t>
            </w:r>
            <w:r>
              <w:rPr>
                <w:sz w:val="24"/>
              </w:rPr>
              <w:t>Committee</w:t>
            </w:r>
            <w:r>
              <w:rPr>
                <w:spacing w:val="-9"/>
                <w:sz w:val="24"/>
              </w:rPr>
              <w:t xml:space="preserve"> </w:t>
            </w:r>
            <w:r>
              <w:rPr>
                <w:sz w:val="24"/>
              </w:rPr>
              <w:t>slides</w:t>
            </w:r>
            <w:r>
              <w:rPr>
                <w:spacing w:val="-9"/>
                <w:sz w:val="24"/>
              </w:rPr>
              <w:t xml:space="preserve"> </w:t>
            </w:r>
            <w:r>
              <w:rPr>
                <w:sz w:val="24"/>
              </w:rPr>
              <w:t>for</w:t>
            </w:r>
            <w:r>
              <w:rPr>
                <w:spacing w:val="-6"/>
                <w:sz w:val="24"/>
              </w:rPr>
              <w:t xml:space="preserve"> </w:t>
            </w:r>
            <w:r>
              <w:rPr>
                <w:sz w:val="24"/>
              </w:rPr>
              <w:t>second Appraisal Committee meeting sent to AstraZeneca –no reference to change in</w:t>
            </w:r>
          </w:p>
          <w:p w14:paraId="23956BE9" w14:textId="77777777" w:rsidR="006F4CB1" w:rsidRDefault="00810B0E">
            <w:pPr>
              <w:pStyle w:val="TableParagraph"/>
              <w:spacing w:line="274" w:lineRule="exact"/>
              <w:ind w:right="210"/>
              <w:rPr>
                <w:sz w:val="24"/>
              </w:rPr>
            </w:pPr>
            <w:r>
              <w:rPr>
                <w:sz w:val="24"/>
              </w:rPr>
              <w:t>Committee’s</w:t>
            </w:r>
            <w:r>
              <w:rPr>
                <w:spacing w:val="-15"/>
                <w:sz w:val="24"/>
              </w:rPr>
              <w:t xml:space="preserve"> </w:t>
            </w:r>
            <w:r>
              <w:rPr>
                <w:sz w:val="24"/>
              </w:rPr>
              <w:t>position</w:t>
            </w:r>
            <w:r>
              <w:rPr>
                <w:spacing w:val="-13"/>
                <w:sz w:val="24"/>
              </w:rPr>
              <w:t xml:space="preserve"> </w:t>
            </w:r>
            <w:r>
              <w:rPr>
                <w:sz w:val="24"/>
              </w:rPr>
              <w:t>on</w:t>
            </w:r>
            <w:r>
              <w:rPr>
                <w:spacing w:val="-13"/>
                <w:sz w:val="24"/>
              </w:rPr>
              <w:t xml:space="preserve"> </w:t>
            </w:r>
            <w:r>
              <w:rPr>
                <w:sz w:val="24"/>
              </w:rPr>
              <w:t>proportion</w:t>
            </w:r>
            <w:r>
              <w:rPr>
                <w:spacing w:val="-13"/>
                <w:sz w:val="24"/>
              </w:rPr>
              <w:t xml:space="preserve"> </w:t>
            </w:r>
            <w:r>
              <w:rPr>
                <w:sz w:val="24"/>
              </w:rPr>
              <w:t>of patients who will take Olaparib</w:t>
            </w:r>
          </w:p>
        </w:tc>
      </w:tr>
      <w:tr w:rsidR="006F4CB1" w14:paraId="23956BEF" w14:textId="77777777">
        <w:trPr>
          <w:trHeight w:val="1377"/>
        </w:trPr>
        <w:tc>
          <w:tcPr>
            <w:tcW w:w="4509" w:type="dxa"/>
          </w:tcPr>
          <w:p w14:paraId="23956BEB" w14:textId="77777777" w:rsidR="006F4CB1" w:rsidRDefault="00810B0E">
            <w:pPr>
              <w:pStyle w:val="TableParagraph"/>
              <w:rPr>
                <w:sz w:val="24"/>
              </w:rPr>
            </w:pPr>
            <w:r>
              <w:rPr>
                <w:sz w:val="24"/>
              </w:rPr>
              <w:t xml:space="preserve">2 May </w:t>
            </w:r>
            <w:r>
              <w:rPr>
                <w:spacing w:val="-4"/>
                <w:sz w:val="24"/>
              </w:rPr>
              <w:t>2025</w:t>
            </w:r>
          </w:p>
        </w:tc>
        <w:tc>
          <w:tcPr>
            <w:tcW w:w="4509" w:type="dxa"/>
          </w:tcPr>
          <w:p w14:paraId="23956BEC" w14:textId="77777777" w:rsidR="006F4CB1" w:rsidRDefault="00810B0E">
            <w:pPr>
              <w:pStyle w:val="TableParagraph"/>
              <w:spacing w:line="240" w:lineRule="auto"/>
              <w:ind w:right="210"/>
              <w:rPr>
                <w:sz w:val="24"/>
              </w:rPr>
            </w:pPr>
            <w:r>
              <w:rPr>
                <w:sz w:val="24"/>
              </w:rPr>
              <w:t>Second version of Committee slides for second</w:t>
            </w:r>
            <w:r>
              <w:rPr>
                <w:spacing w:val="-15"/>
                <w:sz w:val="24"/>
              </w:rPr>
              <w:t xml:space="preserve"> </w:t>
            </w:r>
            <w:r>
              <w:rPr>
                <w:sz w:val="24"/>
              </w:rPr>
              <w:t>Appraisal</w:t>
            </w:r>
            <w:r>
              <w:rPr>
                <w:spacing w:val="-15"/>
                <w:sz w:val="24"/>
              </w:rPr>
              <w:t xml:space="preserve"> </w:t>
            </w:r>
            <w:r>
              <w:rPr>
                <w:sz w:val="24"/>
              </w:rPr>
              <w:t>Committee</w:t>
            </w:r>
            <w:r>
              <w:rPr>
                <w:spacing w:val="-14"/>
                <w:sz w:val="24"/>
              </w:rPr>
              <w:t xml:space="preserve"> </w:t>
            </w:r>
            <w:r>
              <w:rPr>
                <w:sz w:val="24"/>
              </w:rPr>
              <w:t>meeting</w:t>
            </w:r>
            <w:r>
              <w:rPr>
                <w:spacing w:val="-10"/>
                <w:sz w:val="24"/>
              </w:rPr>
              <w:t xml:space="preserve"> </w:t>
            </w:r>
            <w:r>
              <w:rPr>
                <w:sz w:val="24"/>
              </w:rPr>
              <w:t>sent to AstraZeneca – indicate change in</w:t>
            </w:r>
          </w:p>
          <w:p w14:paraId="23956BED" w14:textId="77777777" w:rsidR="006F4CB1" w:rsidRDefault="00810B0E">
            <w:pPr>
              <w:pStyle w:val="TableParagraph"/>
              <w:spacing w:line="274" w:lineRule="exact"/>
              <w:rPr>
                <w:sz w:val="24"/>
              </w:rPr>
            </w:pPr>
            <w:r>
              <w:rPr>
                <w:sz w:val="24"/>
              </w:rPr>
              <w:t>Committee’s</w:t>
            </w:r>
            <w:r>
              <w:rPr>
                <w:spacing w:val="-9"/>
                <w:sz w:val="24"/>
              </w:rPr>
              <w:t xml:space="preserve"> </w:t>
            </w:r>
            <w:r>
              <w:rPr>
                <w:sz w:val="24"/>
              </w:rPr>
              <w:t>position</w:t>
            </w:r>
            <w:r>
              <w:rPr>
                <w:spacing w:val="-3"/>
                <w:sz w:val="24"/>
              </w:rPr>
              <w:t xml:space="preserve"> </w:t>
            </w:r>
            <w:r>
              <w:rPr>
                <w:sz w:val="24"/>
              </w:rPr>
              <w:t>on</w:t>
            </w:r>
            <w:r>
              <w:rPr>
                <w:spacing w:val="-4"/>
                <w:sz w:val="24"/>
              </w:rPr>
              <w:t xml:space="preserve"> </w:t>
            </w:r>
            <w:r>
              <w:rPr>
                <w:sz w:val="24"/>
              </w:rPr>
              <w:t>proportion</w:t>
            </w:r>
            <w:r>
              <w:rPr>
                <w:spacing w:val="-4"/>
                <w:sz w:val="24"/>
              </w:rPr>
              <w:t xml:space="preserve"> </w:t>
            </w:r>
            <w:r>
              <w:rPr>
                <w:spacing w:val="-5"/>
                <w:sz w:val="24"/>
              </w:rPr>
              <w:t>of</w:t>
            </w:r>
          </w:p>
          <w:p w14:paraId="23956BEE" w14:textId="77777777" w:rsidR="006F4CB1" w:rsidRDefault="00810B0E">
            <w:pPr>
              <w:pStyle w:val="TableParagraph"/>
              <w:spacing w:line="257" w:lineRule="exact"/>
              <w:rPr>
                <w:sz w:val="24"/>
              </w:rPr>
            </w:pPr>
            <w:r>
              <w:rPr>
                <w:sz w:val="24"/>
              </w:rPr>
              <w:t>patients</w:t>
            </w:r>
            <w:r>
              <w:rPr>
                <w:spacing w:val="-1"/>
                <w:sz w:val="24"/>
              </w:rPr>
              <w:t xml:space="preserve"> </w:t>
            </w:r>
            <w:r>
              <w:rPr>
                <w:sz w:val="24"/>
              </w:rPr>
              <w:t xml:space="preserve">who will take </w:t>
            </w:r>
            <w:r>
              <w:rPr>
                <w:spacing w:val="-2"/>
                <w:sz w:val="24"/>
              </w:rPr>
              <w:t>Olaparib</w:t>
            </w:r>
          </w:p>
        </w:tc>
      </w:tr>
      <w:tr w:rsidR="006F4CB1" w14:paraId="23956BF2" w14:textId="77777777">
        <w:trPr>
          <w:trHeight w:val="277"/>
        </w:trPr>
        <w:tc>
          <w:tcPr>
            <w:tcW w:w="4509" w:type="dxa"/>
          </w:tcPr>
          <w:p w14:paraId="23956BF0" w14:textId="77777777" w:rsidR="006F4CB1" w:rsidRDefault="00810B0E">
            <w:pPr>
              <w:pStyle w:val="TableParagraph"/>
              <w:spacing w:before="1" w:line="257" w:lineRule="exact"/>
              <w:rPr>
                <w:sz w:val="24"/>
              </w:rPr>
            </w:pPr>
            <w:r>
              <w:rPr>
                <w:sz w:val="24"/>
              </w:rPr>
              <w:t xml:space="preserve">6 May </w:t>
            </w:r>
            <w:r>
              <w:rPr>
                <w:spacing w:val="-4"/>
                <w:sz w:val="24"/>
              </w:rPr>
              <w:t>2025</w:t>
            </w:r>
          </w:p>
        </w:tc>
        <w:tc>
          <w:tcPr>
            <w:tcW w:w="4509" w:type="dxa"/>
          </w:tcPr>
          <w:p w14:paraId="23956BF1" w14:textId="77777777" w:rsidR="006F4CB1" w:rsidRDefault="00810B0E">
            <w:pPr>
              <w:pStyle w:val="TableParagraph"/>
              <w:spacing w:before="1" w:line="257" w:lineRule="exact"/>
              <w:rPr>
                <w:sz w:val="24"/>
              </w:rPr>
            </w:pPr>
            <w:r>
              <w:rPr>
                <w:sz w:val="24"/>
              </w:rPr>
              <w:t>Second meeting of</w:t>
            </w:r>
            <w:r>
              <w:rPr>
                <w:spacing w:val="-3"/>
                <w:sz w:val="24"/>
              </w:rPr>
              <w:t xml:space="preserve"> </w:t>
            </w:r>
            <w:r>
              <w:rPr>
                <w:sz w:val="24"/>
              </w:rPr>
              <w:t>the</w:t>
            </w:r>
            <w:r>
              <w:rPr>
                <w:spacing w:val="-15"/>
                <w:sz w:val="24"/>
              </w:rPr>
              <w:t xml:space="preserve"> </w:t>
            </w:r>
            <w:r>
              <w:rPr>
                <w:sz w:val="24"/>
              </w:rPr>
              <w:t>Appraisal</w:t>
            </w:r>
            <w:r>
              <w:rPr>
                <w:spacing w:val="1"/>
                <w:sz w:val="24"/>
              </w:rPr>
              <w:t xml:space="preserve"> </w:t>
            </w:r>
            <w:r>
              <w:rPr>
                <w:spacing w:val="-2"/>
                <w:sz w:val="24"/>
              </w:rPr>
              <w:t>Committee</w:t>
            </w:r>
          </w:p>
        </w:tc>
      </w:tr>
      <w:tr w:rsidR="006F4CB1" w14:paraId="23956BF6" w14:textId="77777777">
        <w:trPr>
          <w:trHeight w:val="830"/>
        </w:trPr>
        <w:tc>
          <w:tcPr>
            <w:tcW w:w="4509" w:type="dxa"/>
          </w:tcPr>
          <w:p w14:paraId="23956BF3" w14:textId="77777777" w:rsidR="006F4CB1" w:rsidRDefault="00810B0E">
            <w:pPr>
              <w:pStyle w:val="TableParagraph"/>
              <w:rPr>
                <w:sz w:val="24"/>
              </w:rPr>
            </w:pPr>
            <w:r>
              <w:rPr>
                <w:sz w:val="24"/>
              </w:rPr>
              <w:t xml:space="preserve">9 May </w:t>
            </w:r>
            <w:r>
              <w:rPr>
                <w:spacing w:val="-4"/>
                <w:sz w:val="24"/>
              </w:rPr>
              <w:t>2025</w:t>
            </w:r>
          </w:p>
        </w:tc>
        <w:tc>
          <w:tcPr>
            <w:tcW w:w="4509" w:type="dxa"/>
          </w:tcPr>
          <w:p w14:paraId="23956BF4" w14:textId="77777777" w:rsidR="006F4CB1" w:rsidRDefault="00810B0E">
            <w:pPr>
              <w:pStyle w:val="TableParagraph"/>
              <w:rPr>
                <w:sz w:val="24"/>
              </w:rPr>
            </w:pPr>
            <w:r>
              <w:rPr>
                <w:sz w:val="24"/>
              </w:rPr>
              <w:t>AstraZeneca</w:t>
            </w:r>
            <w:r>
              <w:rPr>
                <w:spacing w:val="-7"/>
                <w:sz w:val="24"/>
              </w:rPr>
              <w:t xml:space="preserve"> </w:t>
            </w:r>
            <w:r>
              <w:rPr>
                <w:sz w:val="24"/>
              </w:rPr>
              <w:t>provides</w:t>
            </w:r>
            <w:r>
              <w:rPr>
                <w:spacing w:val="-7"/>
                <w:sz w:val="24"/>
              </w:rPr>
              <w:t xml:space="preserve"> </w:t>
            </w:r>
            <w:r>
              <w:rPr>
                <w:sz w:val="24"/>
              </w:rPr>
              <w:t>submission</w:t>
            </w:r>
            <w:r>
              <w:rPr>
                <w:spacing w:val="-4"/>
                <w:sz w:val="24"/>
              </w:rPr>
              <w:t xml:space="preserve"> </w:t>
            </w:r>
            <w:r>
              <w:rPr>
                <w:spacing w:val="-5"/>
                <w:sz w:val="24"/>
              </w:rPr>
              <w:t>on</w:t>
            </w:r>
          </w:p>
          <w:p w14:paraId="23956BF5" w14:textId="77777777" w:rsidR="006F4CB1" w:rsidRDefault="00810B0E">
            <w:pPr>
              <w:pStyle w:val="TableParagraph"/>
              <w:spacing w:line="274" w:lineRule="exact"/>
              <w:ind w:right="210"/>
              <w:rPr>
                <w:sz w:val="24"/>
              </w:rPr>
            </w:pPr>
            <w:r>
              <w:rPr>
                <w:sz w:val="24"/>
              </w:rPr>
              <w:t>proportion</w:t>
            </w:r>
            <w:r>
              <w:rPr>
                <w:spacing w:val="-6"/>
                <w:sz w:val="24"/>
              </w:rPr>
              <w:t xml:space="preserve"> </w:t>
            </w:r>
            <w:r>
              <w:rPr>
                <w:sz w:val="24"/>
              </w:rPr>
              <w:t>of</w:t>
            </w:r>
            <w:r>
              <w:rPr>
                <w:spacing w:val="-5"/>
                <w:sz w:val="24"/>
              </w:rPr>
              <w:t xml:space="preserve"> </w:t>
            </w:r>
            <w:r>
              <w:rPr>
                <w:sz w:val="24"/>
              </w:rPr>
              <w:t>patients</w:t>
            </w:r>
            <w:r>
              <w:rPr>
                <w:spacing w:val="-8"/>
                <w:sz w:val="24"/>
              </w:rPr>
              <w:t xml:space="preserve"> </w:t>
            </w:r>
            <w:r>
              <w:rPr>
                <w:sz w:val="24"/>
              </w:rPr>
              <w:t>who</w:t>
            </w:r>
            <w:r>
              <w:rPr>
                <w:spacing w:val="-11"/>
                <w:sz w:val="24"/>
              </w:rPr>
              <w:t xml:space="preserve"> </w:t>
            </w:r>
            <w:r>
              <w:rPr>
                <w:sz w:val="24"/>
              </w:rPr>
              <w:t>will</w:t>
            </w:r>
            <w:r>
              <w:rPr>
                <w:spacing w:val="-10"/>
                <w:sz w:val="24"/>
              </w:rPr>
              <w:t xml:space="preserve"> </w:t>
            </w:r>
            <w:r>
              <w:rPr>
                <w:sz w:val="24"/>
              </w:rPr>
              <w:t xml:space="preserve">take </w:t>
            </w:r>
            <w:r>
              <w:rPr>
                <w:spacing w:val="-2"/>
                <w:sz w:val="24"/>
              </w:rPr>
              <w:t>Olaparib</w:t>
            </w:r>
          </w:p>
        </w:tc>
      </w:tr>
      <w:tr w:rsidR="006F4CB1" w14:paraId="23956BF9" w14:textId="77777777">
        <w:trPr>
          <w:trHeight w:val="273"/>
        </w:trPr>
        <w:tc>
          <w:tcPr>
            <w:tcW w:w="4509" w:type="dxa"/>
          </w:tcPr>
          <w:p w14:paraId="23956BF7" w14:textId="77777777" w:rsidR="006F4CB1" w:rsidRDefault="00810B0E">
            <w:pPr>
              <w:pStyle w:val="TableParagraph"/>
              <w:spacing w:line="253" w:lineRule="exact"/>
              <w:rPr>
                <w:sz w:val="24"/>
              </w:rPr>
            </w:pPr>
            <w:r>
              <w:rPr>
                <w:sz w:val="24"/>
              </w:rPr>
              <w:t xml:space="preserve">5 June </w:t>
            </w:r>
            <w:r>
              <w:rPr>
                <w:spacing w:val="-4"/>
                <w:sz w:val="24"/>
              </w:rPr>
              <w:t>2025</w:t>
            </w:r>
          </w:p>
        </w:tc>
        <w:tc>
          <w:tcPr>
            <w:tcW w:w="4509" w:type="dxa"/>
          </w:tcPr>
          <w:p w14:paraId="23956BF8" w14:textId="77777777" w:rsidR="006F4CB1" w:rsidRDefault="00810B0E">
            <w:pPr>
              <w:pStyle w:val="TableParagraph"/>
              <w:spacing w:line="253" w:lineRule="exact"/>
              <w:rPr>
                <w:sz w:val="24"/>
              </w:rPr>
            </w:pPr>
            <w:r>
              <w:rPr>
                <w:sz w:val="24"/>
              </w:rPr>
              <w:t>Final</w:t>
            </w:r>
            <w:r>
              <w:rPr>
                <w:spacing w:val="-2"/>
                <w:sz w:val="24"/>
              </w:rPr>
              <w:t xml:space="preserve"> </w:t>
            </w:r>
            <w:r>
              <w:rPr>
                <w:sz w:val="24"/>
              </w:rPr>
              <w:t>Draft</w:t>
            </w:r>
            <w:r>
              <w:rPr>
                <w:spacing w:val="-4"/>
                <w:sz w:val="24"/>
              </w:rPr>
              <w:t xml:space="preserve"> </w:t>
            </w:r>
            <w:r>
              <w:rPr>
                <w:sz w:val="24"/>
              </w:rPr>
              <w:t>Guidance is</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pacing w:val="-2"/>
                <w:sz w:val="24"/>
              </w:rPr>
              <w:t>consultees</w:t>
            </w:r>
          </w:p>
        </w:tc>
      </w:tr>
      <w:tr w:rsidR="006F4CB1" w14:paraId="23956BFD" w14:textId="77777777">
        <w:trPr>
          <w:trHeight w:val="551"/>
        </w:trPr>
        <w:tc>
          <w:tcPr>
            <w:tcW w:w="4509" w:type="dxa"/>
          </w:tcPr>
          <w:p w14:paraId="23956BFA" w14:textId="77777777" w:rsidR="006F4CB1" w:rsidRDefault="00810B0E">
            <w:pPr>
              <w:pStyle w:val="TableParagraph"/>
              <w:rPr>
                <w:sz w:val="24"/>
              </w:rPr>
            </w:pPr>
            <w:r>
              <w:rPr>
                <w:sz w:val="24"/>
              </w:rPr>
              <w:t>26 June</w:t>
            </w:r>
            <w:r>
              <w:rPr>
                <w:spacing w:val="1"/>
                <w:sz w:val="24"/>
              </w:rPr>
              <w:t xml:space="preserve"> </w:t>
            </w:r>
            <w:r>
              <w:rPr>
                <w:spacing w:val="-4"/>
                <w:sz w:val="24"/>
              </w:rPr>
              <w:t>2025</w:t>
            </w:r>
          </w:p>
        </w:tc>
        <w:tc>
          <w:tcPr>
            <w:tcW w:w="4509" w:type="dxa"/>
          </w:tcPr>
          <w:p w14:paraId="23956BFB" w14:textId="77777777" w:rsidR="006F4CB1" w:rsidRDefault="00810B0E">
            <w:pPr>
              <w:pStyle w:val="TableParagraph"/>
              <w:rPr>
                <w:sz w:val="24"/>
              </w:rPr>
            </w:pPr>
            <w:r>
              <w:rPr>
                <w:sz w:val="24"/>
              </w:rPr>
              <w:t>Date</w:t>
            </w:r>
            <w:r>
              <w:rPr>
                <w:spacing w:val="-2"/>
                <w:sz w:val="24"/>
              </w:rPr>
              <w:t xml:space="preserve"> </w:t>
            </w:r>
            <w:r>
              <w:rPr>
                <w:sz w:val="24"/>
              </w:rPr>
              <w:t>for submission</w:t>
            </w:r>
            <w:r>
              <w:rPr>
                <w:spacing w:val="-1"/>
                <w:sz w:val="24"/>
              </w:rPr>
              <w:t xml:space="preserve"> </w:t>
            </w:r>
            <w:r>
              <w:rPr>
                <w:sz w:val="24"/>
              </w:rPr>
              <w:t>of</w:t>
            </w:r>
            <w:r>
              <w:rPr>
                <w:spacing w:val="-3"/>
                <w:sz w:val="24"/>
              </w:rPr>
              <w:t xml:space="preserve"> </w:t>
            </w:r>
            <w:r>
              <w:rPr>
                <w:sz w:val="24"/>
              </w:rPr>
              <w:t>appeal</w:t>
            </w:r>
            <w:r>
              <w:rPr>
                <w:spacing w:val="-1"/>
                <w:sz w:val="24"/>
              </w:rPr>
              <w:t xml:space="preserve"> </w:t>
            </w:r>
            <w:r>
              <w:rPr>
                <w:sz w:val="24"/>
              </w:rPr>
              <w:t xml:space="preserve">extended </w:t>
            </w:r>
            <w:r>
              <w:rPr>
                <w:spacing w:val="-5"/>
                <w:sz w:val="24"/>
              </w:rPr>
              <w:t>to</w:t>
            </w:r>
          </w:p>
          <w:p w14:paraId="23956BFC" w14:textId="77777777" w:rsidR="006F4CB1" w:rsidRDefault="00810B0E">
            <w:pPr>
              <w:pStyle w:val="TableParagraph"/>
              <w:spacing w:before="2" w:line="257" w:lineRule="exact"/>
              <w:rPr>
                <w:sz w:val="24"/>
              </w:rPr>
            </w:pPr>
            <w:r>
              <w:rPr>
                <w:sz w:val="24"/>
              </w:rPr>
              <w:t>10</w:t>
            </w:r>
            <w:r>
              <w:rPr>
                <w:spacing w:val="1"/>
                <w:sz w:val="24"/>
              </w:rPr>
              <w:t xml:space="preserve"> </w:t>
            </w:r>
            <w:r>
              <w:rPr>
                <w:sz w:val="24"/>
              </w:rPr>
              <w:t>July</w:t>
            </w:r>
            <w:r>
              <w:rPr>
                <w:spacing w:val="1"/>
                <w:sz w:val="24"/>
              </w:rPr>
              <w:t xml:space="preserve"> </w:t>
            </w:r>
            <w:r>
              <w:rPr>
                <w:sz w:val="24"/>
              </w:rPr>
              <w:t>2025</w:t>
            </w:r>
            <w:r>
              <w:rPr>
                <w:spacing w:val="1"/>
                <w:sz w:val="24"/>
              </w:rPr>
              <w:t xml:space="preserve"> </w:t>
            </w:r>
            <w:r>
              <w:rPr>
                <w:sz w:val="24"/>
              </w:rPr>
              <w:t>by</w:t>
            </w:r>
            <w:r>
              <w:rPr>
                <w:spacing w:val="-3"/>
                <w:sz w:val="24"/>
              </w:rPr>
              <w:t xml:space="preserve"> </w:t>
            </w:r>
            <w:r>
              <w:rPr>
                <w:spacing w:val="-4"/>
                <w:sz w:val="24"/>
              </w:rPr>
              <w:t>NICE</w:t>
            </w:r>
          </w:p>
        </w:tc>
      </w:tr>
      <w:tr w:rsidR="006F4CB1" w14:paraId="23956C00" w14:textId="77777777">
        <w:trPr>
          <w:trHeight w:val="277"/>
        </w:trPr>
        <w:tc>
          <w:tcPr>
            <w:tcW w:w="4509" w:type="dxa"/>
          </w:tcPr>
          <w:p w14:paraId="23956BFE" w14:textId="77777777" w:rsidR="006F4CB1" w:rsidRDefault="00810B0E">
            <w:pPr>
              <w:pStyle w:val="TableParagraph"/>
              <w:spacing w:line="258" w:lineRule="exact"/>
              <w:rPr>
                <w:sz w:val="24"/>
              </w:rPr>
            </w:pPr>
            <w:r>
              <w:rPr>
                <w:sz w:val="24"/>
              </w:rPr>
              <w:t>10 July</w:t>
            </w:r>
            <w:r>
              <w:rPr>
                <w:spacing w:val="1"/>
                <w:sz w:val="24"/>
              </w:rPr>
              <w:t xml:space="preserve"> </w:t>
            </w:r>
            <w:r>
              <w:rPr>
                <w:spacing w:val="-4"/>
                <w:sz w:val="24"/>
              </w:rPr>
              <w:t>2025</w:t>
            </w:r>
          </w:p>
        </w:tc>
        <w:tc>
          <w:tcPr>
            <w:tcW w:w="4509" w:type="dxa"/>
          </w:tcPr>
          <w:p w14:paraId="23956BFF" w14:textId="77777777" w:rsidR="006F4CB1" w:rsidRDefault="00810B0E">
            <w:pPr>
              <w:pStyle w:val="TableParagraph"/>
              <w:spacing w:line="258" w:lineRule="exact"/>
              <w:rPr>
                <w:sz w:val="24"/>
              </w:rPr>
            </w:pPr>
            <w:r>
              <w:rPr>
                <w:sz w:val="24"/>
              </w:rPr>
              <w:t>Appeal</w:t>
            </w:r>
            <w:r>
              <w:rPr>
                <w:spacing w:val="-3"/>
                <w:sz w:val="24"/>
              </w:rPr>
              <w:t xml:space="preserve"> </w:t>
            </w:r>
            <w:r>
              <w:rPr>
                <w:sz w:val="24"/>
              </w:rPr>
              <w:t>to be</w:t>
            </w:r>
            <w:r>
              <w:rPr>
                <w:spacing w:val="-1"/>
                <w:sz w:val="24"/>
              </w:rPr>
              <w:t xml:space="preserve"> </w:t>
            </w:r>
            <w:r>
              <w:rPr>
                <w:sz w:val="24"/>
              </w:rPr>
              <w:t xml:space="preserve">submitted to </w:t>
            </w:r>
            <w:r>
              <w:rPr>
                <w:spacing w:val="-4"/>
                <w:sz w:val="24"/>
              </w:rPr>
              <w:t>NICE</w:t>
            </w:r>
          </w:p>
        </w:tc>
      </w:tr>
    </w:tbl>
    <w:p w14:paraId="23956C01" w14:textId="77777777" w:rsidR="006F4CB1" w:rsidRDefault="006F4CB1">
      <w:pPr>
        <w:pStyle w:val="TableParagraph"/>
        <w:spacing w:line="258" w:lineRule="exact"/>
        <w:rPr>
          <w:sz w:val="24"/>
        </w:rPr>
        <w:sectPr w:rsidR="006F4CB1">
          <w:pgSz w:w="11910" w:h="16840"/>
          <w:pgMar w:top="1360" w:right="1417" w:bottom="1280" w:left="1417" w:header="0" w:footer="1091" w:gutter="0"/>
          <w:cols w:space="720"/>
        </w:sectPr>
      </w:pPr>
    </w:p>
    <w:p w14:paraId="23956C02" w14:textId="77777777" w:rsidR="006F4CB1" w:rsidRDefault="00810B0E">
      <w:pPr>
        <w:spacing w:before="63"/>
        <w:ind w:left="23"/>
        <w:rPr>
          <w:b/>
          <w:sz w:val="24"/>
        </w:rPr>
      </w:pPr>
      <w:r>
        <w:rPr>
          <w:b/>
          <w:sz w:val="24"/>
          <w:u w:val="single"/>
        </w:rPr>
        <w:lastRenderedPageBreak/>
        <w:t>GROUNDS</w:t>
      </w:r>
      <w:r>
        <w:rPr>
          <w:b/>
          <w:spacing w:val="1"/>
          <w:sz w:val="24"/>
          <w:u w:val="single"/>
        </w:rPr>
        <w:t xml:space="preserve"> </w:t>
      </w:r>
      <w:r>
        <w:rPr>
          <w:b/>
          <w:sz w:val="24"/>
          <w:u w:val="single"/>
        </w:rPr>
        <w:t xml:space="preserve">OF </w:t>
      </w:r>
      <w:r>
        <w:rPr>
          <w:b/>
          <w:spacing w:val="-2"/>
          <w:sz w:val="24"/>
          <w:u w:val="single"/>
        </w:rPr>
        <w:t>APPEAL</w:t>
      </w:r>
    </w:p>
    <w:p w14:paraId="23956C03" w14:textId="77777777" w:rsidR="006F4CB1" w:rsidRDefault="00810B0E">
      <w:pPr>
        <w:pStyle w:val="ListParagraph"/>
        <w:numPr>
          <w:ilvl w:val="0"/>
          <w:numId w:val="5"/>
        </w:numPr>
        <w:tabs>
          <w:tab w:val="left" w:pos="383"/>
        </w:tabs>
        <w:spacing w:before="238" w:line="280" w:lineRule="auto"/>
        <w:ind w:right="26"/>
        <w:rPr>
          <w:b/>
          <w:sz w:val="24"/>
        </w:rPr>
      </w:pPr>
      <w:r>
        <w:rPr>
          <w:b/>
          <w:sz w:val="24"/>
        </w:rPr>
        <w:t>GROUND</w:t>
      </w:r>
      <w:r>
        <w:rPr>
          <w:b/>
          <w:spacing w:val="80"/>
          <w:sz w:val="24"/>
        </w:rPr>
        <w:t xml:space="preserve"> </w:t>
      </w:r>
      <w:r>
        <w:rPr>
          <w:b/>
          <w:sz w:val="24"/>
        </w:rPr>
        <w:t>1a:</w:t>
      </w:r>
      <w:r>
        <w:rPr>
          <w:b/>
          <w:spacing w:val="80"/>
          <w:sz w:val="24"/>
        </w:rPr>
        <w:t xml:space="preserve"> </w:t>
      </w:r>
      <w:r>
        <w:rPr>
          <w:b/>
          <w:sz w:val="24"/>
        </w:rPr>
        <w:t>IN</w:t>
      </w:r>
      <w:r>
        <w:rPr>
          <w:b/>
          <w:spacing w:val="80"/>
          <w:sz w:val="24"/>
        </w:rPr>
        <w:t xml:space="preserve"> </w:t>
      </w:r>
      <w:r>
        <w:rPr>
          <w:b/>
          <w:sz w:val="24"/>
        </w:rPr>
        <w:t>MAKING</w:t>
      </w:r>
      <w:r>
        <w:rPr>
          <w:b/>
          <w:spacing w:val="80"/>
          <w:sz w:val="24"/>
        </w:rPr>
        <w:t xml:space="preserve"> </w:t>
      </w:r>
      <w:r>
        <w:rPr>
          <w:b/>
          <w:sz w:val="24"/>
        </w:rPr>
        <w:t>THE</w:t>
      </w:r>
      <w:r>
        <w:rPr>
          <w:b/>
          <w:spacing w:val="80"/>
          <w:sz w:val="24"/>
        </w:rPr>
        <w:t xml:space="preserve"> </w:t>
      </w:r>
      <w:r>
        <w:rPr>
          <w:b/>
          <w:sz w:val="24"/>
        </w:rPr>
        <w:t>ASSESSMENT</w:t>
      </w:r>
      <w:r>
        <w:rPr>
          <w:b/>
          <w:spacing w:val="80"/>
          <w:sz w:val="24"/>
        </w:rPr>
        <w:t xml:space="preserve"> </w:t>
      </w:r>
      <w:r>
        <w:rPr>
          <w:b/>
          <w:sz w:val="24"/>
        </w:rPr>
        <w:t>THAT</w:t>
      </w:r>
      <w:r>
        <w:rPr>
          <w:b/>
          <w:spacing w:val="80"/>
          <w:sz w:val="24"/>
        </w:rPr>
        <w:t xml:space="preserve"> </w:t>
      </w:r>
      <w:r>
        <w:rPr>
          <w:b/>
          <w:sz w:val="24"/>
        </w:rPr>
        <w:t>PRECEDED</w:t>
      </w:r>
      <w:r>
        <w:rPr>
          <w:b/>
          <w:spacing w:val="80"/>
          <w:sz w:val="24"/>
        </w:rPr>
        <w:t xml:space="preserve"> </w:t>
      </w:r>
      <w:r>
        <w:rPr>
          <w:b/>
          <w:sz w:val="24"/>
        </w:rPr>
        <w:t>THE</w:t>
      </w:r>
      <w:r>
        <w:rPr>
          <w:b/>
          <w:spacing w:val="40"/>
          <w:sz w:val="24"/>
        </w:rPr>
        <w:t xml:space="preserve"> </w:t>
      </w:r>
      <w:r>
        <w:rPr>
          <w:b/>
          <w:sz w:val="24"/>
        </w:rPr>
        <w:t>RECOMMENDATION, NICE HAS FAILED TO</w:t>
      </w:r>
      <w:r>
        <w:rPr>
          <w:b/>
          <w:spacing w:val="-5"/>
          <w:sz w:val="24"/>
        </w:rPr>
        <w:t xml:space="preserve"> </w:t>
      </w:r>
      <w:r>
        <w:rPr>
          <w:b/>
          <w:sz w:val="24"/>
        </w:rPr>
        <w:t>ACT FAIRLY</w:t>
      </w:r>
    </w:p>
    <w:p w14:paraId="23956C04" w14:textId="77777777" w:rsidR="006F4CB1" w:rsidRDefault="006F4CB1">
      <w:pPr>
        <w:pStyle w:val="BodyText"/>
        <w:spacing w:before="202"/>
        <w:ind w:left="0"/>
        <w:jc w:val="left"/>
        <w:rPr>
          <w:b/>
        </w:rPr>
      </w:pPr>
    </w:p>
    <w:p w14:paraId="23956C05" w14:textId="77777777" w:rsidR="006F4CB1" w:rsidRDefault="00810B0E">
      <w:pPr>
        <w:pStyle w:val="ListParagraph"/>
        <w:numPr>
          <w:ilvl w:val="1"/>
          <w:numId w:val="5"/>
        </w:numPr>
        <w:tabs>
          <w:tab w:val="left" w:pos="814"/>
        </w:tabs>
        <w:ind w:left="814" w:hanging="431"/>
        <w:jc w:val="both"/>
        <w:rPr>
          <w:b/>
          <w:sz w:val="24"/>
        </w:rPr>
      </w:pPr>
      <w:r>
        <w:rPr>
          <w:b/>
          <w:sz w:val="24"/>
        </w:rPr>
        <w:t>The</w:t>
      </w:r>
      <w:r>
        <w:rPr>
          <w:b/>
          <w:spacing w:val="45"/>
          <w:sz w:val="24"/>
        </w:rPr>
        <w:t xml:space="preserve"> </w:t>
      </w:r>
      <w:r>
        <w:rPr>
          <w:b/>
          <w:sz w:val="24"/>
        </w:rPr>
        <w:t>Committee</w:t>
      </w:r>
      <w:r>
        <w:rPr>
          <w:b/>
          <w:spacing w:val="40"/>
          <w:sz w:val="24"/>
        </w:rPr>
        <w:t xml:space="preserve"> </w:t>
      </w:r>
      <w:r>
        <w:rPr>
          <w:b/>
          <w:sz w:val="24"/>
        </w:rPr>
        <w:t>has</w:t>
      </w:r>
      <w:r>
        <w:rPr>
          <w:b/>
          <w:spacing w:val="44"/>
          <w:sz w:val="24"/>
        </w:rPr>
        <w:t xml:space="preserve"> </w:t>
      </w:r>
      <w:r>
        <w:rPr>
          <w:b/>
          <w:sz w:val="24"/>
        </w:rPr>
        <w:t>concluded</w:t>
      </w:r>
      <w:r>
        <w:rPr>
          <w:b/>
          <w:spacing w:val="46"/>
          <w:sz w:val="24"/>
        </w:rPr>
        <w:t xml:space="preserve"> </w:t>
      </w:r>
      <w:r>
        <w:rPr>
          <w:b/>
          <w:sz w:val="24"/>
        </w:rPr>
        <w:t>that</w:t>
      </w:r>
      <w:r>
        <w:rPr>
          <w:b/>
          <w:spacing w:val="44"/>
          <w:sz w:val="24"/>
        </w:rPr>
        <w:t xml:space="preserve"> </w:t>
      </w:r>
      <w:r>
        <w:rPr>
          <w:b/>
          <w:sz w:val="24"/>
        </w:rPr>
        <w:t>the</w:t>
      </w:r>
      <w:r>
        <w:rPr>
          <w:b/>
          <w:spacing w:val="40"/>
          <w:sz w:val="24"/>
        </w:rPr>
        <w:t xml:space="preserve"> </w:t>
      </w:r>
      <w:r>
        <w:rPr>
          <w:b/>
          <w:sz w:val="24"/>
        </w:rPr>
        <w:t>ICER</w:t>
      </w:r>
      <w:r>
        <w:rPr>
          <w:b/>
          <w:spacing w:val="46"/>
          <w:sz w:val="24"/>
        </w:rPr>
        <w:t xml:space="preserve"> </w:t>
      </w:r>
      <w:r>
        <w:rPr>
          <w:b/>
          <w:sz w:val="24"/>
        </w:rPr>
        <w:t>threshold</w:t>
      </w:r>
      <w:r>
        <w:rPr>
          <w:b/>
          <w:spacing w:val="42"/>
          <w:sz w:val="24"/>
        </w:rPr>
        <w:t xml:space="preserve"> </w:t>
      </w:r>
      <w:r>
        <w:rPr>
          <w:b/>
          <w:sz w:val="24"/>
        </w:rPr>
        <w:t>should</w:t>
      </w:r>
      <w:r>
        <w:rPr>
          <w:b/>
          <w:spacing w:val="42"/>
          <w:sz w:val="24"/>
        </w:rPr>
        <w:t xml:space="preserve"> </w:t>
      </w:r>
      <w:r>
        <w:rPr>
          <w:b/>
          <w:sz w:val="24"/>
        </w:rPr>
        <w:t>be</w:t>
      </w:r>
      <w:r>
        <w:rPr>
          <w:b/>
          <w:spacing w:val="41"/>
          <w:sz w:val="24"/>
        </w:rPr>
        <w:t xml:space="preserve"> </w:t>
      </w:r>
      <w:r>
        <w:rPr>
          <w:b/>
          <w:sz w:val="24"/>
        </w:rPr>
        <w:t>limited</w:t>
      </w:r>
      <w:r>
        <w:rPr>
          <w:b/>
          <w:spacing w:val="43"/>
          <w:sz w:val="24"/>
        </w:rPr>
        <w:t xml:space="preserve"> </w:t>
      </w:r>
      <w:r>
        <w:rPr>
          <w:b/>
          <w:spacing w:val="-5"/>
          <w:sz w:val="24"/>
        </w:rPr>
        <w:t>to</w:t>
      </w:r>
    </w:p>
    <w:p w14:paraId="23956C06" w14:textId="77777777" w:rsidR="006F4CB1" w:rsidRDefault="00810B0E">
      <w:pPr>
        <w:spacing w:before="41" w:line="280" w:lineRule="auto"/>
        <w:ind w:left="816" w:right="13"/>
        <w:jc w:val="both"/>
        <w:rPr>
          <w:b/>
          <w:sz w:val="24"/>
        </w:rPr>
      </w:pPr>
      <w:r>
        <w:rPr>
          <w:b/>
          <w:sz w:val="24"/>
        </w:rPr>
        <w:t xml:space="preserve">£20,000 per QALY due to “uncertainties” in the data, but has failed to explain and/or </w:t>
      </w:r>
      <w:proofErr w:type="gramStart"/>
      <w:r>
        <w:rPr>
          <w:b/>
          <w:sz w:val="24"/>
        </w:rPr>
        <w:t>take into account</w:t>
      </w:r>
      <w:proofErr w:type="gramEnd"/>
      <w:r>
        <w:rPr>
          <w:b/>
          <w:sz w:val="24"/>
        </w:rPr>
        <w:t xml:space="preserve"> the limited impact of such uncertainties on the ICER</w:t>
      </w:r>
    </w:p>
    <w:p w14:paraId="23956C07" w14:textId="77777777" w:rsidR="006F4CB1" w:rsidRDefault="00810B0E">
      <w:pPr>
        <w:pStyle w:val="BodyText"/>
        <w:spacing w:before="156"/>
      </w:pPr>
      <w:r>
        <w:t>The</w:t>
      </w:r>
      <w:r>
        <w:rPr>
          <w:spacing w:val="-1"/>
        </w:rPr>
        <w:t xml:space="preserve"> </w:t>
      </w:r>
      <w:r>
        <w:t>Committee</w:t>
      </w:r>
      <w:r>
        <w:rPr>
          <w:spacing w:val="-6"/>
        </w:rPr>
        <w:t xml:space="preserve"> </w:t>
      </w:r>
      <w:r>
        <w:t>has</w:t>
      </w:r>
      <w:r>
        <w:rPr>
          <w:spacing w:val="-2"/>
        </w:rPr>
        <w:t xml:space="preserve"> </w:t>
      </w:r>
      <w:r>
        <w:t>concluded</w:t>
      </w:r>
      <w:r>
        <w:rPr>
          <w:spacing w:val="-5"/>
        </w:rPr>
        <w:t xml:space="preserve"> </w:t>
      </w:r>
      <w:proofErr w:type="gramStart"/>
      <w:r>
        <w:t>at</w:t>
      </w:r>
      <w:proofErr w:type="gramEnd"/>
      <w:r>
        <w:rPr>
          <w:spacing w:val="-4"/>
        </w:rPr>
        <w:t xml:space="preserve"> </w:t>
      </w:r>
      <w:r>
        <w:t>paragraph</w:t>
      </w:r>
      <w:r>
        <w:rPr>
          <w:spacing w:val="-4"/>
        </w:rPr>
        <w:t xml:space="preserve"> </w:t>
      </w:r>
      <w:r>
        <w:t>3.14</w:t>
      </w:r>
      <w:r>
        <w:rPr>
          <w:spacing w:val="-4"/>
        </w:rPr>
        <w:t xml:space="preserve"> </w:t>
      </w:r>
      <w:r>
        <w:t>of</w:t>
      </w:r>
      <w:r>
        <w:rPr>
          <w:spacing w:val="-2"/>
        </w:rPr>
        <w:t xml:space="preserve"> </w:t>
      </w:r>
      <w:r>
        <w:t>the</w:t>
      </w:r>
      <w:r>
        <w:rPr>
          <w:spacing w:val="-5"/>
        </w:rPr>
        <w:t xml:space="preserve"> </w:t>
      </w:r>
      <w:r>
        <w:t>FDG</w:t>
      </w:r>
      <w:r>
        <w:rPr>
          <w:spacing w:val="-5"/>
        </w:rPr>
        <w:t xml:space="preserve"> </w:t>
      </w:r>
      <w:r>
        <w:t>that</w:t>
      </w:r>
      <w:r>
        <w:rPr>
          <w:spacing w:val="-4"/>
        </w:rPr>
        <w:t xml:space="preserve"> </w:t>
      </w:r>
      <w:r>
        <w:t>an</w:t>
      </w:r>
      <w:r>
        <w:rPr>
          <w:spacing w:val="-4"/>
        </w:rPr>
        <w:t xml:space="preserve"> </w:t>
      </w:r>
      <w:r>
        <w:t>ICER</w:t>
      </w:r>
      <w:r>
        <w:rPr>
          <w:spacing w:val="-5"/>
        </w:rPr>
        <w:t xml:space="preserve"> </w:t>
      </w:r>
      <w:r>
        <w:t>threshold</w:t>
      </w:r>
      <w:r>
        <w:rPr>
          <w:spacing w:val="-4"/>
        </w:rPr>
        <w:t xml:space="preserve"> </w:t>
      </w:r>
      <w:r>
        <w:rPr>
          <w:spacing w:val="-5"/>
        </w:rPr>
        <w:t>of</w:t>
      </w:r>
    </w:p>
    <w:p w14:paraId="23956C08" w14:textId="77777777" w:rsidR="006F4CB1" w:rsidRDefault="00810B0E">
      <w:pPr>
        <w:pStyle w:val="BodyText"/>
        <w:spacing w:before="41" w:line="278" w:lineRule="auto"/>
        <w:ind w:right="12"/>
      </w:pPr>
      <w:r>
        <w:t>£20,000</w:t>
      </w:r>
      <w:r>
        <w:rPr>
          <w:spacing w:val="-1"/>
        </w:rPr>
        <w:t xml:space="preserve"> </w:t>
      </w:r>
      <w:r>
        <w:t>should</w:t>
      </w:r>
      <w:r>
        <w:rPr>
          <w:spacing w:val="-1"/>
        </w:rPr>
        <w:t xml:space="preserve"> </w:t>
      </w:r>
      <w:r>
        <w:t>be</w:t>
      </w:r>
      <w:r>
        <w:rPr>
          <w:spacing w:val="-2"/>
        </w:rPr>
        <w:t xml:space="preserve"> </w:t>
      </w:r>
      <w:r>
        <w:t>imposed</w:t>
      </w:r>
      <w:r>
        <w:rPr>
          <w:spacing w:val="-1"/>
        </w:rPr>
        <w:t xml:space="preserve"> </w:t>
      </w:r>
      <w:r>
        <w:t>because</w:t>
      </w:r>
      <w:r>
        <w:rPr>
          <w:spacing w:val="-2"/>
        </w:rPr>
        <w:t xml:space="preserve"> </w:t>
      </w:r>
      <w:r>
        <w:t>the</w:t>
      </w:r>
      <w:r>
        <w:rPr>
          <w:spacing w:val="-2"/>
        </w:rPr>
        <w:t xml:space="preserve"> </w:t>
      </w:r>
      <w:r>
        <w:t>assumptions</w:t>
      </w:r>
      <w:r>
        <w:rPr>
          <w:spacing w:val="-3"/>
        </w:rPr>
        <w:t xml:space="preserve"> </w:t>
      </w:r>
      <w:r>
        <w:t>relied</w:t>
      </w:r>
      <w:r>
        <w:rPr>
          <w:spacing w:val="-1"/>
        </w:rPr>
        <w:t xml:space="preserve"> </w:t>
      </w:r>
      <w:r>
        <w:t>upon</w:t>
      </w:r>
      <w:r>
        <w:rPr>
          <w:spacing w:val="-1"/>
        </w:rPr>
        <w:t xml:space="preserve"> </w:t>
      </w:r>
      <w:r>
        <w:t>are</w:t>
      </w:r>
      <w:r>
        <w:rPr>
          <w:spacing w:val="-2"/>
        </w:rPr>
        <w:t xml:space="preserve"> </w:t>
      </w:r>
      <w:r>
        <w:t>uncertain</w:t>
      </w:r>
      <w:r>
        <w:rPr>
          <w:spacing w:val="-6"/>
        </w:rPr>
        <w:t xml:space="preserve"> </w:t>
      </w:r>
      <w:r>
        <w:t>in</w:t>
      </w:r>
      <w:r>
        <w:rPr>
          <w:spacing w:val="-1"/>
        </w:rPr>
        <w:t xml:space="preserve"> </w:t>
      </w:r>
      <w:r>
        <w:t xml:space="preserve">three areas: (a) short follow-up from DUO-E, with immature PFS and OS data and a non- statistically significant OS benefit in </w:t>
      </w:r>
      <w:proofErr w:type="spellStart"/>
      <w:r>
        <w:t>pMMR</w:t>
      </w:r>
      <w:proofErr w:type="spellEnd"/>
      <w:r>
        <w:t xml:space="preserve"> patients; (b) subsequent treatment in DUO-E was not </w:t>
      </w:r>
      <w:proofErr w:type="spellStart"/>
      <w:r>
        <w:t>generalisable</w:t>
      </w:r>
      <w:proofErr w:type="spellEnd"/>
      <w:r>
        <w:t xml:space="preserve"> to NHS patients with the result that the trial may have overestimated durvalumab/ </w:t>
      </w:r>
      <w:proofErr w:type="spellStart"/>
      <w:r>
        <w:t>olaparib</w:t>
      </w:r>
      <w:proofErr w:type="spellEnd"/>
      <w:r>
        <w:t xml:space="preserve"> efficacy and underestimated standard care efficacy; and (c) it is unclear how the introduction of the treatment cap might affect outcomes</w:t>
      </w:r>
      <w:r>
        <w:rPr>
          <w:spacing w:val="-15"/>
        </w:rPr>
        <w:t xml:space="preserve"> </w:t>
      </w:r>
      <w:r>
        <w:t>and</w:t>
      </w:r>
      <w:r>
        <w:rPr>
          <w:spacing w:val="-11"/>
        </w:rPr>
        <w:t xml:space="preserve"> </w:t>
      </w:r>
      <w:r>
        <w:t>whether</w:t>
      </w:r>
      <w:r>
        <w:rPr>
          <w:spacing w:val="-11"/>
        </w:rPr>
        <w:t xml:space="preserve"> </w:t>
      </w:r>
      <w:r>
        <w:t>th</w:t>
      </w:r>
      <w:r>
        <w:t>e</w:t>
      </w:r>
      <w:r>
        <w:rPr>
          <w:spacing w:val="-15"/>
        </w:rPr>
        <w:t xml:space="preserve"> </w:t>
      </w:r>
      <w:r>
        <w:t>outcomes</w:t>
      </w:r>
      <w:r>
        <w:rPr>
          <w:spacing w:val="37"/>
        </w:rPr>
        <w:t xml:space="preserve"> </w:t>
      </w:r>
      <w:r>
        <w:t>of</w:t>
      </w:r>
      <w:r>
        <w:rPr>
          <w:spacing w:val="-10"/>
        </w:rPr>
        <w:t xml:space="preserve"> </w:t>
      </w:r>
      <w:r>
        <w:t>DUO-E</w:t>
      </w:r>
      <w:r>
        <w:rPr>
          <w:spacing w:val="-14"/>
        </w:rPr>
        <w:t xml:space="preserve"> </w:t>
      </w:r>
      <w:r>
        <w:t>(which</w:t>
      </w:r>
      <w:r>
        <w:rPr>
          <w:spacing w:val="-12"/>
        </w:rPr>
        <w:t xml:space="preserve"> </w:t>
      </w:r>
      <w:r>
        <w:t>did</w:t>
      </w:r>
      <w:r>
        <w:rPr>
          <w:spacing w:val="-11"/>
        </w:rPr>
        <w:t xml:space="preserve"> </w:t>
      </w:r>
      <w:r>
        <w:t>not</w:t>
      </w:r>
      <w:r>
        <w:rPr>
          <w:spacing w:val="-15"/>
        </w:rPr>
        <w:t xml:space="preserve"> </w:t>
      </w:r>
      <w:r>
        <w:t>include</w:t>
      </w:r>
      <w:r>
        <w:rPr>
          <w:spacing w:val="-15"/>
        </w:rPr>
        <w:t xml:space="preserve"> </w:t>
      </w:r>
      <w:r>
        <w:t>a</w:t>
      </w:r>
      <w:r>
        <w:rPr>
          <w:spacing w:val="-13"/>
        </w:rPr>
        <w:t xml:space="preserve"> </w:t>
      </w:r>
      <w:r>
        <w:t>treatment</w:t>
      </w:r>
      <w:r>
        <w:rPr>
          <w:spacing w:val="-11"/>
        </w:rPr>
        <w:t xml:space="preserve"> </w:t>
      </w:r>
      <w:r>
        <w:t xml:space="preserve">cap) were </w:t>
      </w:r>
      <w:proofErr w:type="spellStart"/>
      <w:r>
        <w:t>generalisable</w:t>
      </w:r>
      <w:proofErr w:type="spellEnd"/>
      <w:r>
        <w:t xml:space="preserve"> to the NHS.</w:t>
      </w:r>
    </w:p>
    <w:p w14:paraId="23956C09" w14:textId="77777777" w:rsidR="006F4CB1" w:rsidRDefault="00810B0E">
      <w:pPr>
        <w:pStyle w:val="BodyText"/>
        <w:spacing w:before="156" w:line="278" w:lineRule="auto"/>
        <w:ind w:right="11"/>
      </w:pPr>
      <w:r>
        <w:t>However,</w:t>
      </w:r>
      <w:r>
        <w:rPr>
          <w:spacing w:val="-9"/>
        </w:rPr>
        <w:t xml:space="preserve"> </w:t>
      </w:r>
      <w:r>
        <w:t>the</w:t>
      </w:r>
      <w:r>
        <w:rPr>
          <w:spacing w:val="-12"/>
        </w:rPr>
        <w:t xml:space="preserve"> </w:t>
      </w:r>
      <w:r>
        <w:t>Committee</w:t>
      </w:r>
      <w:r>
        <w:rPr>
          <w:spacing w:val="-13"/>
        </w:rPr>
        <w:t xml:space="preserve"> </w:t>
      </w:r>
      <w:r>
        <w:t>does</w:t>
      </w:r>
      <w:r>
        <w:rPr>
          <w:spacing w:val="-14"/>
        </w:rPr>
        <w:t xml:space="preserve"> </w:t>
      </w:r>
      <w:r>
        <w:t>not</w:t>
      </w:r>
      <w:r>
        <w:rPr>
          <w:spacing w:val="-11"/>
        </w:rPr>
        <w:t xml:space="preserve"> </w:t>
      </w:r>
      <w:r>
        <w:t>appear</w:t>
      </w:r>
      <w:r>
        <w:rPr>
          <w:spacing w:val="-10"/>
        </w:rPr>
        <w:t xml:space="preserve"> </w:t>
      </w:r>
      <w:r>
        <w:t>to</w:t>
      </w:r>
      <w:r>
        <w:rPr>
          <w:spacing w:val="-11"/>
        </w:rPr>
        <w:t xml:space="preserve"> </w:t>
      </w:r>
      <w:r>
        <w:t>have</w:t>
      </w:r>
      <w:r>
        <w:rPr>
          <w:spacing w:val="-13"/>
        </w:rPr>
        <w:t xml:space="preserve"> </w:t>
      </w:r>
      <w:proofErr w:type="spellStart"/>
      <w:r>
        <w:t>recognised</w:t>
      </w:r>
      <w:proofErr w:type="spellEnd"/>
      <w:r>
        <w:rPr>
          <w:spacing w:val="-12"/>
        </w:rPr>
        <w:t xml:space="preserve"> </w:t>
      </w:r>
      <w:r>
        <w:t>and</w:t>
      </w:r>
      <w:r>
        <w:rPr>
          <w:spacing w:val="-12"/>
        </w:rPr>
        <w:t xml:space="preserve"> </w:t>
      </w:r>
      <w:proofErr w:type="gramStart"/>
      <w:r>
        <w:t>taken</w:t>
      </w:r>
      <w:r>
        <w:rPr>
          <w:spacing w:val="-12"/>
        </w:rPr>
        <w:t xml:space="preserve"> </w:t>
      </w:r>
      <w:r>
        <w:t>into</w:t>
      </w:r>
      <w:r>
        <w:rPr>
          <w:spacing w:val="-12"/>
        </w:rPr>
        <w:t xml:space="preserve"> </w:t>
      </w:r>
      <w:r>
        <w:t>account</w:t>
      </w:r>
      <w:proofErr w:type="gramEnd"/>
      <w:r>
        <w:rPr>
          <w:spacing w:val="-11"/>
        </w:rPr>
        <w:t xml:space="preserve"> </w:t>
      </w:r>
      <w:r>
        <w:t>the fact</w:t>
      </w:r>
      <w:r>
        <w:rPr>
          <w:spacing w:val="-8"/>
        </w:rPr>
        <w:t xml:space="preserve"> </w:t>
      </w:r>
      <w:r>
        <w:t>that</w:t>
      </w:r>
      <w:r>
        <w:rPr>
          <w:spacing w:val="-6"/>
        </w:rPr>
        <w:t xml:space="preserve"> </w:t>
      </w:r>
      <w:r>
        <w:t>the</w:t>
      </w:r>
      <w:r>
        <w:rPr>
          <w:spacing w:val="-7"/>
        </w:rPr>
        <w:t xml:space="preserve"> </w:t>
      </w:r>
      <w:r>
        <w:t>identified</w:t>
      </w:r>
      <w:r>
        <w:rPr>
          <w:spacing w:val="-7"/>
        </w:rPr>
        <w:t xml:space="preserve"> </w:t>
      </w:r>
      <w:r>
        <w:t>parameters</w:t>
      </w:r>
      <w:r>
        <w:rPr>
          <w:spacing w:val="-9"/>
        </w:rPr>
        <w:t xml:space="preserve"> </w:t>
      </w:r>
      <w:r>
        <w:t>exert</w:t>
      </w:r>
      <w:r>
        <w:rPr>
          <w:spacing w:val="-5"/>
        </w:rPr>
        <w:t xml:space="preserve"> </w:t>
      </w:r>
      <w:r>
        <w:t>only</w:t>
      </w:r>
      <w:r>
        <w:rPr>
          <w:spacing w:val="-10"/>
        </w:rPr>
        <w:t xml:space="preserve"> </w:t>
      </w:r>
      <w:r>
        <w:t>a</w:t>
      </w:r>
      <w:r>
        <w:rPr>
          <w:spacing w:val="-8"/>
        </w:rPr>
        <w:t xml:space="preserve"> </w:t>
      </w:r>
      <w:r>
        <w:t>modest</w:t>
      </w:r>
      <w:r>
        <w:rPr>
          <w:spacing w:val="-6"/>
        </w:rPr>
        <w:t xml:space="preserve"> </w:t>
      </w:r>
      <w:r>
        <w:t>effect</w:t>
      </w:r>
      <w:r>
        <w:rPr>
          <w:spacing w:val="-6"/>
        </w:rPr>
        <w:t xml:space="preserve"> </w:t>
      </w:r>
      <w:r>
        <w:t>on</w:t>
      </w:r>
      <w:r>
        <w:rPr>
          <w:spacing w:val="-7"/>
        </w:rPr>
        <w:t xml:space="preserve"> </w:t>
      </w:r>
      <w:r>
        <w:t>the</w:t>
      </w:r>
      <w:r>
        <w:rPr>
          <w:spacing w:val="-11"/>
        </w:rPr>
        <w:t xml:space="preserve"> </w:t>
      </w:r>
      <w:r>
        <w:t>ICER.</w:t>
      </w:r>
      <w:r>
        <w:rPr>
          <w:spacing w:val="-15"/>
        </w:rPr>
        <w:t xml:space="preserve"> </w:t>
      </w:r>
      <w:r>
        <w:t>As</w:t>
      </w:r>
      <w:r>
        <w:rPr>
          <w:spacing w:val="-9"/>
        </w:rPr>
        <w:t xml:space="preserve"> </w:t>
      </w:r>
      <w:r>
        <w:t>such,</w:t>
      </w:r>
      <w:r>
        <w:rPr>
          <w:spacing w:val="-4"/>
        </w:rPr>
        <w:t xml:space="preserve"> </w:t>
      </w:r>
      <w:r>
        <w:t>any uncertainty</w:t>
      </w:r>
      <w:r>
        <w:rPr>
          <w:spacing w:val="-4"/>
        </w:rPr>
        <w:t xml:space="preserve"> </w:t>
      </w:r>
      <w:r>
        <w:t>makes</w:t>
      </w:r>
      <w:r>
        <w:rPr>
          <w:spacing w:val="-6"/>
        </w:rPr>
        <w:t xml:space="preserve"> </w:t>
      </w:r>
      <w:r>
        <w:t>only</w:t>
      </w:r>
      <w:r>
        <w:rPr>
          <w:spacing w:val="-4"/>
        </w:rPr>
        <w:t xml:space="preserve"> </w:t>
      </w:r>
      <w:r>
        <w:t>a</w:t>
      </w:r>
      <w:r>
        <w:rPr>
          <w:spacing w:val="-3"/>
        </w:rPr>
        <w:t xml:space="preserve"> </w:t>
      </w:r>
      <w:r>
        <w:t>small</w:t>
      </w:r>
      <w:r>
        <w:rPr>
          <w:spacing w:val="-3"/>
        </w:rPr>
        <w:t xml:space="preserve"> </w:t>
      </w:r>
      <w:r>
        <w:t>difference</w:t>
      </w:r>
      <w:r>
        <w:rPr>
          <w:spacing w:val="-4"/>
        </w:rPr>
        <w:t xml:space="preserve"> </w:t>
      </w:r>
      <w:r>
        <w:t>to</w:t>
      </w:r>
      <w:r>
        <w:rPr>
          <w:spacing w:val="-4"/>
        </w:rPr>
        <w:t xml:space="preserve"> </w:t>
      </w:r>
      <w:r>
        <w:t>the</w:t>
      </w:r>
      <w:r>
        <w:rPr>
          <w:spacing w:val="-4"/>
        </w:rPr>
        <w:t xml:space="preserve"> </w:t>
      </w:r>
      <w:r>
        <w:t>overall</w:t>
      </w:r>
      <w:r>
        <w:rPr>
          <w:spacing w:val="-4"/>
        </w:rPr>
        <w:t xml:space="preserve"> </w:t>
      </w:r>
      <w:r>
        <w:t>cost-effectiveness</w:t>
      </w:r>
      <w:r>
        <w:rPr>
          <w:spacing w:val="-4"/>
        </w:rPr>
        <w:t xml:space="preserve"> </w:t>
      </w:r>
      <w:r>
        <w:t>results.</w:t>
      </w:r>
      <w:r>
        <w:rPr>
          <w:spacing w:val="40"/>
        </w:rPr>
        <w:t xml:space="preserve"> </w:t>
      </w:r>
      <w:r>
        <w:t>We refer to each of the assumptions identified by the Committee in the context of its consideration of the ICER threshold below.</w:t>
      </w:r>
    </w:p>
    <w:p w14:paraId="23956C0A" w14:textId="77777777" w:rsidR="006F4CB1" w:rsidRDefault="00810B0E">
      <w:pPr>
        <w:pStyle w:val="ListParagraph"/>
        <w:numPr>
          <w:ilvl w:val="2"/>
          <w:numId w:val="5"/>
        </w:numPr>
        <w:tabs>
          <w:tab w:val="left" w:pos="1104"/>
        </w:tabs>
        <w:spacing w:before="162" w:line="276" w:lineRule="auto"/>
        <w:ind w:left="1104" w:right="13" w:hanging="360"/>
        <w:rPr>
          <w:sz w:val="24"/>
        </w:rPr>
      </w:pPr>
      <w:r>
        <w:rPr>
          <w:sz w:val="24"/>
          <w:u w:val="single"/>
        </w:rPr>
        <w:t>short</w:t>
      </w:r>
      <w:r>
        <w:rPr>
          <w:spacing w:val="66"/>
          <w:sz w:val="24"/>
          <w:u w:val="single"/>
        </w:rPr>
        <w:t xml:space="preserve"> </w:t>
      </w:r>
      <w:r>
        <w:rPr>
          <w:sz w:val="24"/>
          <w:u w:val="single"/>
        </w:rPr>
        <w:t>follow-up</w:t>
      </w:r>
      <w:r>
        <w:rPr>
          <w:spacing w:val="66"/>
          <w:sz w:val="24"/>
          <w:u w:val="single"/>
        </w:rPr>
        <w:t xml:space="preserve"> </w:t>
      </w:r>
      <w:r>
        <w:rPr>
          <w:sz w:val="24"/>
          <w:u w:val="single"/>
        </w:rPr>
        <w:t>from</w:t>
      </w:r>
      <w:r>
        <w:rPr>
          <w:spacing w:val="66"/>
          <w:sz w:val="24"/>
          <w:u w:val="single"/>
        </w:rPr>
        <w:t xml:space="preserve"> </w:t>
      </w:r>
      <w:r>
        <w:rPr>
          <w:sz w:val="24"/>
          <w:u w:val="single"/>
        </w:rPr>
        <w:t>DUO-E,</w:t>
      </w:r>
      <w:r>
        <w:rPr>
          <w:spacing w:val="68"/>
          <w:sz w:val="24"/>
          <w:u w:val="single"/>
        </w:rPr>
        <w:t xml:space="preserve"> </w:t>
      </w:r>
      <w:r>
        <w:rPr>
          <w:sz w:val="24"/>
          <w:u w:val="single"/>
        </w:rPr>
        <w:t>with</w:t>
      </w:r>
      <w:r>
        <w:rPr>
          <w:spacing w:val="67"/>
          <w:sz w:val="24"/>
          <w:u w:val="single"/>
        </w:rPr>
        <w:t xml:space="preserve"> </w:t>
      </w:r>
      <w:r>
        <w:rPr>
          <w:sz w:val="24"/>
          <w:u w:val="single"/>
        </w:rPr>
        <w:t>immature</w:t>
      </w:r>
      <w:r>
        <w:rPr>
          <w:spacing w:val="65"/>
          <w:sz w:val="24"/>
          <w:u w:val="single"/>
        </w:rPr>
        <w:t xml:space="preserve"> </w:t>
      </w:r>
      <w:r>
        <w:rPr>
          <w:sz w:val="24"/>
          <w:u w:val="single"/>
        </w:rPr>
        <w:t>PFS</w:t>
      </w:r>
      <w:r>
        <w:rPr>
          <w:spacing w:val="67"/>
          <w:sz w:val="24"/>
          <w:u w:val="single"/>
        </w:rPr>
        <w:t xml:space="preserve"> </w:t>
      </w:r>
      <w:r>
        <w:rPr>
          <w:sz w:val="24"/>
          <w:u w:val="single"/>
        </w:rPr>
        <w:t>and</w:t>
      </w:r>
      <w:r>
        <w:rPr>
          <w:spacing w:val="66"/>
          <w:sz w:val="24"/>
          <w:u w:val="single"/>
        </w:rPr>
        <w:t xml:space="preserve"> </w:t>
      </w:r>
      <w:r>
        <w:rPr>
          <w:sz w:val="24"/>
          <w:u w:val="single"/>
        </w:rPr>
        <w:t>OS</w:t>
      </w:r>
      <w:r>
        <w:rPr>
          <w:spacing w:val="66"/>
          <w:sz w:val="24"/>
          <w:u w:val="single"/>
        </w:rPr>
        <w:t xml:space="preserve"> </w:t>
      </w:r>
      <w:r>
        <w:rPr>
          <w:sz w:val="24"/>
          <w:u w:val="single"/>
        </w:rPr>
        <w:t>data</w:t>
      </w:r>
      <w:r>
        <w:rPr>
          <w:spacing w:val="65"/>
          <w:sz w:val="24"/>
          <w:u w:val="single"/>
        </w:rPr>
        <w:t xml:space="preserve"> </w:t>
      </w:r>
      <w:r>
        <w:rPr>
          <w:sz w:val="24"/>
          <w:u w:val="single"/>
        </w:rPr>
        <w:t>and</w:t>
      </w:r>
      <w:r>
        <w:rPr>
          <w:spacing w:val="71"/>
          <w:sz w:val="24"/>
          <w:u w:val="single"/>
        </w:rPr>
        <w:t xml:space="preserve"> </w:t>
      </w:r>
      <w:r>
        <w:rPr>
          <w:sz w:val="24"/>
          <w:u w:val="single"/>
        </w:rPr>
        <w:t>a</w:t>
      </w:r>
      <w:r>
        <w:rPr>
          <w:spacing w:val="65"/>
          <w:sz w:val="24"/>
          <w:u w:val="single"/>
        </w:rPr>
        <w:t xml:space="preserve"> </w:t>
      </w:r>
      <w:r>
        <w:rPr>
          <w:sz w:val="24"/>
          <w:u w:val="single"/>
        </w:rPr>
        <w:t>non-</w:t>
      </w:r>
      <w:r>
        <w:rPr>
          <w:sz w:val="24"/>
        </w:rPr>
        <w:t xml:space="preserve"> </w:t>
      </w:r>
      <w:r>
        <w:rPr>
          <w:sz w:val="24"/>
          <w:u w:val="single"/>
        </w:rPr>
        <w:t xml:space="preserve">statistically significant OS benefit in </w:t>
      </w:r>
      <w:proofErr w:type="spellStart"/>
      <w:r>
        <w:rPr>
          <w:sz w:val="24"/>
          <w:u w:val="single"/>
        </w:rPr>
        <w:t>pMMR</w:t>
      </w:r>
      <w:proofErr w:type="spellEnd"/>
      <w:r>
        <w:rPr>
          <w:sz w:val="24"/>
          <w:u w:val="single"/>
        </w:rPr>
        <w:t xml:space="preserve"> patients</w:t>
      </w:r>
    </w:p>
    <w:p w14:paraId="23956C0B" w14:textId="77777777" w:rsidR="006F4CB1" w:rsidRDefault="00810B0E">
      <w:pPr>
        <w:pStyle w:val="BodyText"/>
        <w:spacing w:before="162" w:line="278" w:lineRule="auto"/>
        <w:ind w:right="15"/>
      </w:pPr>
      <w:r>
        <w:t>The period of follow-up in the DUO-E trial submitted to NICE (a median of 12.6 months in the standard care arm and 15.4 months in the two intervention arms) is consistent with that available for many oncology trials, as confirmed by the</w:t>
      </w:r>
      <w:r>
        <w:rPr>
          <w:spacing w:val="-2"/>
        </w:rPr>
        <w:t xml:space="preserve"> </w:t>
      </w:r>
      <w:r>
        <w:t>following recent examples:</w:t>
      </w:r>
    </w:p>
    <w:p w14:paraId="23956C0C" w14:textId="77777777" w:rsidR="006F4CB1" w:rsidRDefault="00810B0E">
      <w:pPr>
        <w:pStyle w:val="ListParagraph"/>
        <w:numPr>
          <w:ilvl w:val="0"/>
          <w:numId w:val="4"/>
        </w:numPr>
        <w:tabs>
          <w:tab w:val="left" w:pos="742"/>
          <w:tab w:val="left" w:pos="744"/>
        </w:tabs>
        <w:spacing w:before="157" w:line="276" w:lineRule="auto"/>
        <w:ind w:right="13"/>
        <w:rPr>
          <w:sz w:val="24"/>
        </w:rPr>
      </w:pPr>
      <w:r>
        <w:rPr>
          <w:sz w:val="24"/>
        </w:rPr>
        <w:t>TA1008 published 25 September 2024 (Trifluridine–</w:t>
      </w:r>
      <w:proofErr w:type="spellStart"/>
      <w:r>
        <w:rPr>
          <w:sz w:val="24"/>
        </w:rPr>
        <w:t>tipiracil</w:t>
      </w:r>
      <w:proofErr w:type="spellEnd"/>
      <w:r>
        <w:rPr>
          <w:sz w:val="24"/>
        </w:rPr>
        <w:t xml:space="preserve"> with bevacizumab for treating metastatic colorectal cancer</w:t>
      </w:r>
      <w:r>
        <w:rPr>
          <w:spacing w:val="-1"/>
          <w:sz w:val="24"/>
        </w:rPr>
        <w:t xml:space="preserve"> </w:t>
      </w:r>
      <w:r>
        <w:rPr>
          <w:sz w:val="24"/>
        </w:rPr>
        <w:t>after</w:t>
      </w:r>
      <w:r>
        <w:rPr>
          <w:spacing w:val="-1"/>
          <w:sz w:val="24"/>
        </w:rPr>
        <w:t xml:space="preserve"> </w:t>
      </w:r>
      <w:r>
        <w:rPr>
          <w:sz w:val="24"/>
        </w:rPr>
        <w:t>2</w:t>
      </w:r>
      <w:r>
        <w:rPr>
          <w:spacing w:val="-2"/>
          <w:sz w:val="24"/>
        </w:rPr>
        <w:t xml:space="preserve"> </w:t>
      </w:r>
      <w:r>
        <w:rPr>
          <w:sz w:val="24"/>
        </w:rPr>
        <w:t>systemic treatments):</w:t>
      </w:r>
      <w:r>
        <w:rPr>
          <w:spacing w:val="-2"/>
          <w:sz w:val="24"/>
        </w:rPr>
        <w:t xml:space="preserve"> </w:t>
      </w:r>
      <w:r>
        <w:rPr>
          <w:sz w:val="24"/>
        </w:rPr>
        <w:t>median</w:t>
      </w:r>
      <w:r>
        <w:rPr>
          <w:spacing w:val="-3"/>
          <w:sz w:val="24"/>
        </w:rPr>
        <w:t xml:space="preserve"> </w:t>
      </w:r>
      <w:r>
        <w:rPr>
          <w:sz w:val="24"/>
        </w:rPr>
        <w:t>follow-up of</w:t>
      </w:r>
    </w:p>
    <w:p w14:paraId="23956C0D" w14:textId="77777777" w:rsidR="006F4CB1" w:rsidRDefault="00810B0E">
      <w:pPr>
        <w:pStyle w:val="BodyText"/>
        <w:spacing w:before="5" w:line="276" w:lineRule="auto"/>
        <w:ind w:right="17"/>
      </w:pPr>
      <w:r>
        <w:t>14.2</w:t>
      </w:r>
      <w:r>
        <w:rPr>
          <w:spacing w:val="-11"/>
        </w:rPr>
        <w:t xml:space="preserve"> </w:t>
      </w:r>
      <w:r>
        <w:t>months</w:t>
      </w:r>
      <w:r>
        <w:rPr>
          <w:spacing w:val="-12"/>
        </w:rPr>
        <w:t xml:space="preserve"> </w:t>
      </w:r>
      <w:r>
        <w:t>+</w:t>
      </w:r>
      <w:r>
        <w:rPr>
          <w:spacing w:val="-15"/>
        </w:rPr>
        <w:t xml:space="preserve"> </w:t>
      </w:r>
      <w:r>
        <w:t>13.6</w:t>
      </w:r>
      <w:r>
        <w:rPr>
          <w:spacing w:val="-14"/>
        </w:rPr>
        <w:t xml:space="preserve"> </w:t>
      </w:r>
      <w:r>
        <w:t>months</w:t>
      </w:r>
      <w:r>
        <w:rPr>
          <w:spacing w:val="-12"/>
        </w:rPr>
        <w:t xml:space="preserve"> </w:t>
      </w:r>
      <w:r>
        <w:t>in</w:t>
      </w:r>
      <w:r>
        <w:rPr>
          <w:spacing w:val="-14"/>
        </w:rPr>
        <w:t xml:space="preserve"> </w:t>
      </w:r>
      <w:r>
        <w:t>the</w:t>
      </w:r>
      <w:r>
        <w:rPr>
          <w:spacing w:val="-10"/>
        </w:rPr>
        <w:t xml:space="preserve"> </w:t>
      </w:r>
      <w:r>
        <w:t>two</w:t>
      </w:r>
      <w:r>
        <w:rPr>
          <w:spacing w:val="-14"/>
        </w:rPr>
        <w:t xml:space="preserve"> </w:t>
      </w:r>
      <w:r>
        <w:t>trial</w:t>
      </w:r>
      <w:r>
        <w:rPr>
          <w:spacing w:val="-14"/>
        </w:rPr>
        <w:t xml:space="preserve"> </w:t>
      </w:r>
      <w:r>
        <w:t>arms</w:t>
      </w:r>
      <w:r>
        <w:rPr>
          <w:spacing w:val="-15"/>
        </w:rPr>
        <w:t xml:space="preserve"> </w:t>
      </w:r>
      <w:r>
        <w:t>respectively;</w:t>
      </w:r>
      <w:r>
        <w:rPr>
          <w:spacing w:val="-9"/>
        </w:rPr>
        <w:t xml:space="preserve"> </w:t>
      </w:r>
      <w:r>
        <w:t>the</w:t>
      </w:r>
      <w:r>
        <w:rPr>
          <w:spacing w:val="-10"/>
        </w:rPr>
        <w:t xml:space="preserve"> </w:t>
      </w:r>
      <w:r>
        <w:t>Committee</w:t>
      </w:r>
      <w:r>
        <w:rPr>
          <w:spacing w:val="-11"/>
        </w:rPr>
        <w:t xml:space="preserve"> </w:t>
      </w:r>
      <w:r>
        <w:t>concluded that an acceptable ICER would be up to £30,000 per QALY gained</w:t>
      </w:r>
    </w:p>
    <w:p w14:paraId="23956C0E" w14:textId="77777777" w:rsidR="006F4CB1" w:rsidRDefault="00810B0E">
      <w:pPr>
        <w:pStyle w:val="ListParagraph"/>
        <w:numPr>
          <w:ilvl w:val="0"/>
          <w:numId w:val="4"/>
        </w:numPr>
        <w:tabs>
          <w:tab w:val="left" w:pos="742"/>
          <w:tab w:val="left" w:pos="744"/>
        </w:tabs>
        <w:spacing w:before="160" w:line="278" w:lineRule="auto"/>
        <w:ind w:right="11"/>
        <w:rPr>
          <w:sz w:val="24"/>
        </w:rPr>
      </w:pPr>
      <w:r>
        <w:rPr>
          <w:sz w:val="24"/>
        </w:rPr>
        <w:t>TA1062 published 12 May 2025 (Erdafitinib for treating unresectable or metastatic urothelial cancer with FGFR3 alterations after a PD-1 or PD-L1 inhibitor): median follow-up</w:t>
      </w:r>
      <w:r>
        <w:rPr>
          <w:spacing w:val="-11"/>
          <w:sz w:val="24"/>
        </w:rPr>
        <w:t xml:space="preserve"> </w:t>
      </w:r>
      <w:r>
        <w:rPr>
          <w:sz w:val="24"/>
        </w:rPr>
        <w:t>of</w:t>
      </w:r>
      <w:r>
        <w:rPr>
          <w:spacing w:val="-9"/>
          <w:sz w:val="24"/>
        </w:rPr>
        <w:t xml:space="preserve"> </w:t>
      </w:r>
      <w:r>
        <w:rPr>
          <w:sz w:val="24"/>
        </w:rPr>
        <w:t>15.9</w:t>
      </w:r>
      <w:r>
        <w:rPr>
          <w:spacing w:val="-11"/>
          <w:sz w:val="24"/>
        </w:rPr>
        <w:t xml:space="preserve"> </w:t>
      </w:r>
      <w:r>
        <w:rPr>
          <w:sz w:val="24"/>
        </w:rPr>
        <w:t>months;</w:t>
      </w:r>
      <w:r>
        <w:rPr>
          <w:spacing w:val="-10"/>
          <w:sz w:val="24"/>
        </w:rPr>
        <w:t xml:space="preserve"> </w:t>
      </w:r>
      <w:r>
        <w:rPr>
          <w:sz w:val="24"/>
        </w:rPr>
        <w:t>the</w:t>
      </w:r>
      <w:r>
        <w:rPr>
          <w:spacing w:val="-6"/>
          <w:sz w:val="24"/>
        </w:rPr>
        <w:t xml:space="preserve"> </w:t>
      </w:r>
      <w:r>
        <w:rPr>
          <w:sz w:val="24"/>
        </w:rPr>
        <w:t>Committee</w:t>
      </w:r>
      <w:r>
        <w:rPr>
          <w:spacing w:val="-7"/>
          <w:sz w:val="24"/>
        </w:rPr>
        <w:t xml:space="preserve"> </w:t>
      </w:r>
      <w:r>
        <w:rPr>
          <w:sz w:val="24"/>
        </w:rPr>
        <w:t>concluded</w:t>
      </w:r>
      <w:r>
        <w:rPr>
          <w:spacing w:val="-6"/>
          <w:sz w:val="24"/>
        </w:rPr>
        <w:t xml:space="preserve"> </w:t>
      </w:r>
      <w:r>
        <w:rPr>
          <w:sz w:val="24"/>
        </w:rPr>
        <w:t>that</w:t>
      </w:r>
      <w:r>
        <w:rPr>
          <w:spacing w:val="-11"/>
          <w:sz w:val="24"/>
        </w:rPr>
        <w:t xml:space="preserve"> </w:t>
      </w:r>
      <w:r>
        <w:rPr>
          <w:sz w:val="24"/>
        </w:rPr>
        <w:t>an</w:t>
      </w:r>
      <w:r>
        <w:rPr>
          <w:spacing w:val="-6"/>
          <w:sz w:val="24"/>
        </w:rPr>
        <w:t xml:space="preserve"> </w:t>
      </w:r>
      <w:r>
        <w:rPr>
          <w:sz w:val="24"/>
        </w:rPr>
        <w:t>acceptable</w:t>
      </w:r>
      <w:r>
        <w:rPr>
          <w:spacing w:val="-7"/>
          <w:sz w:val="24"/>
        </w:rPr>
        <w:t xml:space="preserve"> </w:t>
      </w:r>
      <w:r>
        <w:rPr>
          <w:sz w:val="24"/>
        </w:rPr>
        <w:t>ICER</w:t>
      </w:r>
      <w:r>
        <w:rPr>
          <w:spacing w:val="-12"/>
          <w:sz w:val="24"/>
        </w:rPr>
        <w:t xml:space="preserve"> </w:t>
      </w:r>
      <w:r>
        <w:rPr>
          <w:sz w:val="24"/>
        </w:rPr>
        <w:t>would</w:t>
      </w:r>
      <w:r>
        <w:rPr>
          <w:spacing w:val="-11"/>
          <w:sz w:val="24"/>
        </w:rPr>
        <w:t xml:space="preserve"> </w:t>
      </w:r>
      <w:r>
        <w:rPr>
          <w:sz w:val="24"/>
        </w:rPr>
        <w:t>be towards the upper end of the range (£30,000 per QALY gained)</w:t>
      </w:r>
    </w:p>
    <w:p w14:paraId="23956C0F" w14:textId="77777777" w:rsidR="006F4CB1" w:rsidRDefault="00810B0E">
      <w:pPr>
        <w:pStyle w:val="BodyText"/>
        <w:spacing w:before="161" w:line="276" w:lineRule="auto"/>
        <w:ind w:right="18"/>
      </w:pPr>
      <w:r>
        <w:t xml:space="preserve">The basis for the Committee’s conclusion that the PFS data were immature is unexplained and appears inconsistent with the fact that more than 50% of events </w:t>
      </w:r>
      <w:proofErr w:type="gramStart"/>
      <w:r>
        <w:t>had occurred</w:t>
      </w:r>
      <w:proofErr w:type="gramEnd"/>
      <w:r>
        <w:rPr>
          <w:spacing w:val="-6"/>
        </w:rPr>
        <w:t xml:space="preserve"> </w:t>
      </w:r>
      <w:r>
        <w:t>at</w:t>
      </w:r>
      <w:r>
        <w:rPr>
          <w:spacing w:val="-5"/>
        </w:rPr>
        <w:t xml:space="preserve"> </w:t>
      </w:r>
      <w:r>
        <w:t>the</w:t>
      </w:r>
      <w:r>
        <w:rPr>
          <w:spacing w:val="-6"/>
        </w:rPr>
        <w:t xml:space="preserve"> </w:t>
      </w:r>
      <w:r>
        <w:t>date</w:t>
      </w:r>
      <w:r>
        <w:rPr>
          <w:spacing w:val="-11"/>
        </w:rPr>
        <w:t xml:space="preserve"> </w:t>
      </w:r>
      <w:r>
        <w:t>of</w:t>
      </w:r>
      <w:r>
        <w:rPr>
          <w:spacing w:val="-8"/>
        </w:rPr>
        <w:t xml:space="preserve"> </w:t>
      </w:r>
      <w:r>
        <w:t>the</w:t>
      </w:r>
      <w:r>
        <w:rPr>
          <w:spacing w:val="-6"/>
        </w:rPr>
        <w:t xml:space="preserve"> </w:t>
      </w:r>
      <w:r>
        <w:t>data</w:t>
      </w:r>
      <w:r>
        <w:rPr>
          <w:spacing w:val="-7"/>
        </w:rPr>
        <w:t xml:space="preserve"> </w:t>
      </w:r>
      <w:r>
        <w:t>cut</w:t>
      </w:r>
      <w:r>
        <w:rPr>
          <w:spacing w:val="-5"/>
        </w:rPr>
        <w:t xml:space="preserve"> </w:t>
      </w:r>
      <w:r>
        <w:t>off.</w:t>
      </w:r>
      <w:r>
        <w:rPr>
          <w:spacing w:val="38"/>
        </w:rPr>
        <w:t xml:space="preserve"> </w:t>
      </w:r>
      <w:r>
        <w:t>As</w:t>
      </w:r>
      <w:r>
        <w:rPr>
          <w:spacing w:val="-8"/>
        </w:rPr>
        <w:t xml:space="preserve"> </w:t>
      </w:r>
      <w:r>
        <w:t>confirmed</w:t>
      </w:r>
      <w:r>
        <w:rPr>
          <w:spacing w:val="-6"/>
        </w:rPr>
        <w:t xml:space="preserve"> </w:t>
      </w:r>
      <w:r>
        <w:t>by</w:t>
      </w:r>
      <w:r>
        <w:rPr>
          <w:spacing w:val="-6"/>
        </w:rPr>
        <w:t xml:space="preserve"> </w:t>
      </w:r>
      <w:r>
        <w:t>the</w:t>
      </w:r>
      <w:r>
        <w:rPr>
          <w:spacing w:val="-11"/>
        </w:rPr>
        <w:t xml:space="preserve"> </w:t>
      </w:r>
      <w:r>
        <w:t>EAG</w:t>
      </w:r>
      <w:r>
        <w:rPr>
          <w:spacing w:val="-7"/>
        </w:rPr>
        <w:t xml:space="preserve"> </w:t>
      </w:r>
      <w:r>
        <w:t>at</w:t>
      </w:r>
      <w:r>
        <w:rPr>
          <w:spacing w:val="-5"/>
        </w:rPr>
        <w:t xml:space="preserve"> </w:t>
      </w:r>
      <w:r>
        <w:t>section</w:t>
      </w:r>
      <w:r>
        <w:rPr>
          <w:spacing w:val="-6"/>
        </w:rPr>
        <w:t xml:space="preserve"> </w:t>
      </w:r>
      <w:r>
        <w:t>3.3.1</w:t>
      </w:r>
      <w:r>
        <w:rPr>
          <w:spacing w:val="-11"/>
        </w:rPr>
        <w:t xml:space="preserve"> </w:t>
      </w:r>
      <w:r>
        <w:t>of</w:t>
      </w:r>
      <w:r>
        <w:rPr>
          <w:spacing w:val="-9"/>
        </w:rPr>
        <w:t xml:space="preserve"> </w:t>
      </w:r>
      <w:r>
        <w:t>its report,</w:t>
      </w:r>
      <w:r>
        <w:rPr>
          <w:spacing w:val="-17"/>
        </w:rPr>
        <w:t xml:space="preserve"> </w:t>
      </w:r>
      <w:r>
        <w:t>in</w:t>
      </w:r>
      <w:r>
        <w:rPr>
          <w:spacing w:val="-15"/>
        </w:rPr>
        <w:t xml:space="preserve"> </w:t>
      </w:r>
      <w:r>
        <w:t>the</w:t>
      </w:r>
      <w:r>
        <w:rPr>
          <w:spacing w:val="-15"/>
        </w:rPr>
        <w:t xml:space="preserve"> </w:t>
      </w:r>
      <w:proofErr w:type="spellStart"/>
      <w:r>
        <w:t>pMMR</w:t>
      </w:r>
      <w:proofErr w:type="spellEnd"/>
      <w:r>
        <w:rPr>
          <w:spacing w:val="-15"/>
        </w:rPr>
        <w:t xml:space="preserve"> </w:t>
      </w:r>
      <w:r>
        <w:t>population,</w:t>
      </w:r>
      <w:r>
        <w:rPr>
          <w:spacing w:val="-15"/>
        </w:rPr>
        <w:t xml:space="preserve"> </w:t>
      </w:r>
      <w:r>
        <w:t>the</w:t>
      </w:r>
      <w:r>
        <w:rPr>
          <w:spacing w:val="-15"/>
        </w:rPr>
        <w:t xml:space="preserve"> </w:t>
      </w:r>
      <w:r>
        <w:t>overall</w:t>
      </w:r>
      <w:r>
        <w:rPr>
          <w:spacing w:val="-15"/>
        </w:rPr>
        <w:t xml:space="preserve"> </w:t>
      </w:r>
      <w:r>
        <w:t>data</w:t>
      </w:r>
      <w:r>
        <w:rPr>
          <w:spacing w:val="-15"/>
        </w:rPr>
        <w:t xml:space="preserve"> </w:t>
      </w:r>
      <w:r>
        <w:t>maturity</w:t>
      </w:r>
      <w:r>
        <w:rPr>
          <w:spacing w:val="-15"/>
        </w:rPr>
        <w:t xml:space="preserve"> </w:t>
      </w:r>
      <w:r>
        <w:t>for</w:t>
      </w:r>
      <w:r>
        <w:rPr>
          <w:spacing w:val="-14"/>
        </w:rPr>
        <w:t xml:space="preserve"> </w:t>
      </w:r>
      <w:r>
        <w:t>investigator-assessed</w:t>
      </w:r>
      <w:r>
        <w:rPr>
          <w:spacing w:val="-14"/>
        </w:rPr>
        <w:t xml:space="preserve"> </w:t>
      </w:r>
      <w:r>
        <w:rPr>
          <w:spacing w:val="-5"/>
        </w:rPr>
        <w:t>PFS</w:t>
      </w:r>
    </w:p>
    <w:p w14:paraId="23956C10" w14:textId="77777777" w:rsidR="006F4CB1" w:rsidRDefault="006F4CB1">
      <w:pPr>
        <w:pStyle w:val="BodyText"/>
        <w:spacing w:line="276" w:lineRule="auto"/>
        <w:sectPr w:rsidR="006F4CB1">
          <w:pgSz w:w="11910" w:h="16840"/>
          <w:pgMar w:top="1360" w:right="1417" w:bottom="1280" w:left="1417" w:header="0" w:footer="1091" w:gutter="0"/>
          <w:cols w:space="720"/>
        </w:sectPr>
      </w:pPr>
    </w:p>
    <w:p w14:paraId="23956C11" w14:textId="77777777" w:rsidR="006F4CB1" w:rsidRDefault="00810B0E">
      <w:pPr>
        <w:pStyle w:val="BodyText"/>
        <w:spacing w:before="63" w:line="278" w:lineRule="auto"/>
        <w:ind w:right="19"/>
      </w:pPr>
      <w:proofErr w:type="gramStart"/>
      <w:r>
        <w:lastRenderedPageBreak/>
        <w:t>at</w:t>
      </w:r>
      <w:proofErr w:type="gramEnd"/>
      <w:r>
        <w:t xml:space="preserve"> the time of the data cut off on 12 April </w:t>
      </w:r>
      <w:proofErr w:type="gramStart"/>
      <w:r>
        <w:t>2023</w:t>
      </w:r>
      <w:proofErr w:type="gramEnd"/>
      <w:r>
        <w:t xml:space="preserve"> was 66.1% and </w:t>
      </w:r>
      <w:proofErr w:type="spellStart"/>
      <w:r>
        <w:t>SoC+D+O</w:t>
      </w:r>
      <w:proofErr w:type="spellEnd"/>
      <w:r>
        <w:t xml:space="preserve"> was associated with an improvement in investigator-assessed PFS when compared to SoC (median</w:t>
      </w:r>
      <w:r>
        <w:rPr>
          <w:spacing w:val="-14"/>
        </w:rPr>
        <w:t xml:space="preserve"> </w:t>
      </w:r>
      <w:r>
        <w:t>PFS:</w:t>
      </w:r>
      <w:r>
        <w:rPr>
          <w:spacing w:val="-9"/>
        </w:rPr>
        <w:t xml:space="preserve"> </w:t>
      </w:r>
      <w:r>
        <w:t>15.0</w:t>
      </w:r>
      <w:r>
        <w:rPr>
          <w:spacing w:val="-13"/>
        </w:rPr>
        <w:t xml:space="preserve"> </w:t>
      </w:r>
      <w:r>
        <w:t>months</w:t>
      </w:r>
      <w:r>
        <w:rPr>
          <w:spacing w:val="-12"/>
        </w:rPr>
        <w:t xml:space="preserve"> </w:t>
      </w:r>
      <w:r>
        <w:t>vs</w:t>
      </w:r>
      <w:r>
        <w:rPr>
          <w:spacing w:val="-15"/>
        </w:rPr>
        <w:t xml:space="preserve"> </w:t>
      </w:r>
      <w:r>
        <w:t>9.7</w:t>
      </w:r>
      <w:r>
        <w:rPr>
          <w:spacing w:val="-14"/>
        </w:rPr>
        <w:t xml:space="preserve"> </w:t>
      </w:r>
      <w:r>
        <w:t>months,</w:t>
      </w:r>
      <w:r>
        <w:rPr>
          <w:spacing w:val="-12"/>
        </w:rPr>
        <w:t xml:space="preserve"> </w:t>
      </w:r>
      <w:r>
        <w:t>respectively;</w:t>
      </w:r>
      <w:r>
        <w:rPr>
          <w:spacing w:val="-8"/>
        </w:rPr>
        <w:t xml:space="preserve"> </w:t>
      </w:r>
      <w:r>
        <w:t>HR</w:t>
      </w:r>
      <w:r>
        <w:rPr>
          <w:spacing w:val="-12"/>
        </w:rPr>
        <w:t xml:space="preserve"> </w:t>
      </w:r>
      <w:r>
        <w:t>0.57;</w:t>
      </w:r>
      <w:r>
        <w:rPr>
          <w:spacing w:val="-14"/>
        </w:rPr>
        <w:t xml:space="preserve"> </w:t>
      </w:r>
      <w:r>
        <w:t>95%</w:t>
      </w:r>
      <w:r>
        <w:rPr>
          <w:spacing w:val="-12"/>
        </w:rPr>
        <w:t xml:space="preserve"> </w:t>
      </w:r>
      <w:r>
        <w:t>CI:</w:t>
      </w:r>
      <w:r>
        <w:rPr>
          <w:spacing w:val="-14"/>
        </w:rPr>
        <w:t xml:space="preserve"> </w:t>
      </w:r>
      <w:r>
        <w:t>0.44</w:t>
      </w:r>
      <w:r>
        <w:rPr>
          <w:spacing w:val="-14"/>
        </w:rPr>
        <w:t xml:space="preserve"> </w:t>
      </w:r>
      <w:r>
        <w:t>to</w:t>
      </w:r>
      <w:r>
        <w:rPr>
          <w:spacing w:val="-13"/>
        </w:rPr>
        <w:t xml:space="preserve"> </w:t>
      </w:r>
      <w:r>
        <w:rPr>
          <w:spacing w:val="-2"/>
        </w:rPr>
        <w:t>0.73).</w:t>
      </w:r>
    </w:p>
    <w:p w14:paraId="23956C12" w14:textId="77777777" w:rsidR="006F4CB1" w:rsidRDefault="00810B0E">
      <w:pPr>
        <w:pStyle w:val="BodyText"/>
        <w:spacing w:before="159" w:line="280" w:lineRule="auto"/>
        <w:ind w:right="11"/>
      </w:pPr>
      <w:r>
        <w:t>The</w:t>
      </w:r>
      <w:r>
        <w:rPr>
          <w:spacing w:val="-4"/>
        </w:rPr>
        <w:t xml:space="preserve"> </w:t>
      </w:r>
      <w:r>
        <w:t>non-statistically</w:t>
      </w:r>
      <w:r>
        <w:rPr>
          <w:spacing w:val="-3"/>
        </w:rPr>
        <w:t xml:space="preserve"> </w:t>
      </w:r>
      <w:r>
        <w:t>significant OS</w:t>
      </w:r>
      <w:r>
        <w:rPr>
          <w:spacing w:val="-7"/>
        </w:rPr>
        <w:t xml:space="preserve"> </w:t>
      </w:r>
      <w:r>
        <w:t>benefit</w:t>
      </w:r>
      <w:r>
        <w:rPr>
          <w:spacing w:val="-5"/>
        </w:rPr>
        <w:t xml:space="preserve"> </w:t>
      </w:r>
      <w:r>
        <w:t>in</w:t>
      </w:r>
      <w:r>
        <w:rPr>
          <w:spacing w:val="-7"/>
        </w:rPr>
        <w:t xml:space="preserve"> </w:t>
      </w:r>
      <w:proofErr w:type="spellStart"/>
      <w:r>
        <w:t>pMMR</w:t>
      </w:r>
      <w:proofErr w:type="spellEnd"/>
      <w:r>
        <w:rPr>
          <w:spacing w:val="-4"/>
        </w:rPr>
        <w:t xml:space="preserve"> </w:t>
      </w:r>
      <w:r>
        <w:t>patients</w:t>
      </w:r>
      <w:r>
        <w:rPr>
          <w:spacing w:val="-3"/>
        </w:rPr>
        <w:t xml:space="preserve"> </w:t>
      </w:r>
      <w:r>
        <w:t>seen</w:t>
      </w:r>
      <w:r>
        <w:rPr>
          <w:spacing w:val="-3"/>
        </w:rPr>
        <w:t xml:space="preserve"> </w:t>
      </w:r>
      <w:r>
        <w:t>in</w:t>
      </w:r>
      <w:r>
        <w:rPr>
          <w:spacing w:val="-3"/>
        </w:rPr>
        <w:t xml:space="preserve"> </w:t>
      </w:r>
      <w:r>
        <w:t>DUO-</w:t>
      </w:r>
      <w:proofErr w:type="gramStart"/>
      <w:r>
        <w:t>E,</w:t>
      </w:r>
      <w:proofErr w:type="gramEnd"/>
      <w:r>
        <w:rPr>
          <w:spacing w:val="-4"/>
        </w:rPr>
        <w:t xml:space="preserve"> </w:t>
      </w:r>
      <w:r>
        <w:t>reflects the fact that OS was not a primary endpoint in the trial.</w:t>
      </w:r>
    </w:p>
    <w:p w14:paraId="23956C13" w14:textId="77777777" w:rsidR="006F4CB1" w:rsidRDefault="00810B0E">
      <w:pPr>
        <w:pStyle w:val="BodyText"/>
        <w:spacing w:before="156" w:line="278" w:lineRule="auto"/>
        <w:ind w:right="13"/>
      </w:pPr>
      <w:r>
        <w:t>The methods for extrapolating OS in the model were supported by UK clinical expert opinion and viewed as appropriate by the External</w:t>
      </w:r>
      <w:r>
        <w:rPr>
          <w:spacing w:val="-4"/>
        </w:rPr>
        <w:t xml:space="preserve"> </w:t>
      </w:r>
      <w:r>
        <w:t>Assessment Group (EAG) and the clinical experts they consulted.</w:t>
      </w:r>
      <w:r>
        <w:rPr>
          <w:spacing w:val="40"/>
        </w:rPr>
        <w:t xml:space="preserve"> </w:t>
      </w:r>
      <w:r>
        <w:t>Scenario analyses (table 97 of AstraZeneca’s submission dated 2 October 2024) demonstrated that alternative plausible OS extrapolations (log-normal; gamma) and PFS extrapolations (log-normal) had a slight positive impact on the Company ICER, indicating that the Committee’s preferred ICERs are likely to be conservative.</w:t>
      </w:r>
    </w:p>
    <w:p w14:paraId="23956C14" w14:textId="77777777" w:rsidR="006F4CB1" w:rsidRDefault="00810B0E">
      <w:pPr>
        <w:pStyle w:val="BodyText"/>
        <w:spacing w:before="155" w:line="280" w:lineRule="auto"/>
        <w:ind w:right="16"/>
      </w:pPr>
      <w:r>
        <w:t>Overall, therefore, the impact of uncertainty on OS benefit has been investigated and makes little difference to the ICER.</w:t>
      </w:r>
    </w:p>
    <w:p w14:paraId="23956C15" w14:textId="77777777" w:rsidR="006F4CB1" w:rsidRDefault="00810B0E">
      <w:pPr>
        <w:pStyle w:val="ListParagraph"/>
        <w:numPr>
          <w:ilvl w:val="2"/>
          <w:numId w:val="5"/>
        </w:numPr>
        <w:tabs>
          <w:tab w:val="left" w:pos="1102"/>
          <w:tab w:val="left" w:pos="1104"/>
        </w:tabs>
        <w:spacing w:before="156" w:line="278" w:lineRule="auto"/>
        <w:ind w:left="1104" w:right="15" w:hanging="360"/>
        <w:jc w:val="both"/>
        <w:rPr>
          <w:sz w:val="24"/>
        </w:rPr>
      </w:pPr>
      <w:r>
        <w:rPr>
          <w:sz w:val="24"/>
          <w:u w:val="single"/>
        </w:rPr>
        <w:t xml:space="preserve">subsequent treatment in DUO-E was not </w:t>
      </w:r>
      <w:proofErr w:type="spellStart"/>
      <w:r>
        <w:rPr>
          <w:sz w:val="24"/>
          <w:u w:val="single"/>
        </w:rPr>
        <w:t>generalisable</w:t>
      </w:r>
      <w:proofErr w:type="spellEnd"/>
      <w:r>
        <w:rPr>
          <w:sz w:val="24"/>
          <w:u w:val="single"/>
        </w:rPr>
        <w:t xml:space="preserve"> to NHS patients with the</w:t>
      </w:r>
      <w:r>
        <w:rPr>
          <w:sz w:val="24"/>
        </w:rPr>
        <w:t xml:space="preserve"> </w:t>
      </w:r>
      <w:r>
        <w:rPr>
          <w:sz w:val="24"/>
          <w:u w:val="single"/>
        </w:rPr>
        <w:t xml:space="preserve">result that the trial may have overestimated durvalumab/ </w:t>
      </w:r>
      <w:proofErr w:type="spellStart"/>
      <w:r>
        <w:rPr>
          <w:sz w:val="24"/>
          <w:u w:val="single"/>
        </w:rPr>
        <w:t>olaparib</w:t>
      </w:r>
      <w:proofErr w:type="spellEnd"/>
      <w:r>
        <w:rPr>
          <w:sz w:val="24"/>
          <w:u w:val="single"/>
        </w:rPr>
        <w:t xml:space="preserve"> efficacy and</w:t>
      </w:r>
      <w:r>
        <w:rPr>
          <w:sz w:val="24"/>
        </w:rPr>
        <w:t xml:space="preserve"> </w:t>
      </w:r>
      <w:r>
        <w:rPr>
          <w:sz w:val="24"/>
          <w:u w:val="single"/>
        </w:rPr>
        <w:t>underestimated standard care efficacy</w:t>
      </w:r>
    </w:p>
    <w:p w14:paraId="23956C16" w14:textId="77777777" w:rsidR="006F4CB1" w:rsidRDefault="00810B0E">
      <w:pPr>
        <w:pStyle w:val="BodyText"/>
        <w:spacing w:before="158" w:line="278" w:lineRule="auto"/>
        <w:ind w:right="15"/>
      </w:pPr>
      <w:r>
        <w:t>The Committee expressed concerns regarding (</w:t>
      </w:r>
      <w:proofErr w:type="spellStart"/>
      <w:r>
        <w:t>i</w:t>
      </w:r>
      <w:proofErr w:type="spellEnd"/>
      <w:r>
        <w:t xml:space="preserve">) underuse of immunotherapies in the standard care arm of the trial and (ii) the fact that immunotherapies were used in the durvalumab plus </w:t>
      </w:r>
      <w:proofErr w:type="spellStart"/>
      <w:r>
        <w:t>olaparib</w:t>
      </w:r>
      <w:proofErr w:type="spellEnd"/>
      <w:r>
        <w:t xml:space="preserve"> </w:t>
      </w:r>
      <w:proofErr w:type="gramStart"/>
      <w:r>
        <w:t>arm, but</w:t>
      </w:r>
      <w:proofErr w:type="gramEnd"/>
      <w:r>
        <w:t xml:space="preserve"> would not be permitted in NHS practice.</w:t>
      </w:r>
    </w:p>
    <w:p w14:paraId="23956C17" w14:textId="77777777" w:rsidR="006F4CB1" w:rsidRDefault="00810B0E">
      <w:pPr>
        <w:pStyle w:val="BodyText"/>
        <w:spacing w:before="159" w:line="278" w:lineRule="auto"/>
        <w:ind w:right="13"/>
      </w:pPr>
      <w:r>
        <w:t>In</w:t>
      </w:r>
      <w:r>
        <w:rPr>
          <w:spacing w:val="-15"/>
        </w:rPr>
        <w:t xml:space="preserve"> </w:t>
      </w:r>
      <w:r>
        <w:t>relation</w:t>
      </w:r>
      <w:r>
        <w:rPr>
          <w:spacing w:val="-15"/>
        </w:rPr>
        <w:t xml:space="preserve"> </w:t>
      </w:r>
      <w:r>
        <w:t>to</w:t>
      </w:r>
      <w:r>
        <w:rPr>
          <w:spacing w:val="-15"/>
        </w:rPr>
        <w:t xml:space="preserve"> </w:t>
      </w:r>
      <w:r>
        <w:t>(</w:t>
      </w:r>
      <w:proofErr w:type="spellStart"/>
      <w:r>
        <w:t>i</w:t>
      </w:r>
      <w:proofErr w:type="spellEnd"/>
      <w:r>
        <w:t>),</w:t>
      </w:r>
      <w:r>
        <w:rPr>
          <w:spacing w:val="-15"/>
        </w:rPr>
        <w:t xml:space="preserve"> </w:t>
      </w:r>
      <w:r>
        <w:t>the</w:t>
      </w:r>
      <w:r>
        <w:rPr>
          <w:spacing w:val="-15"/>
        </w:rPr>
        <w:t xml:space="preserve"> </w:t>
      </w:r>
      <w:r>
        <w:t>number</w:t>
      </w:r>
      <w:r>
        <w:rPr>
          <w:spacing w:val="-15"/>
        </w:rPr>
        <w:t xml:space="preserve"> </w:t>
      </w:r>
      <w:r>
        <w:t>of</w:t>
      </w:r>
      <w:r>
        <w:rPr>
          <w:spacing w:val="-15"/>
        </w:rPr>
        <w:t xml:space="preserve"> </w:t>
      </w:r>
      <w:r>
        <w:t>patients</w:t>
      </w:r>
      <w:r>
        <w:rPr>
          <w:spacing w:val="-15"/>
        </w:rPr>
        <w:t xml:space="preserve"> </w:t>
      </w:r>
      <w:r>
        <w:t>who</w:t>
      </w:r>
      <w:r>
        <w:rPr>
          <w:spacing w:val="-15"/>
        </w:rPr>
        <w:t xml:space="preserve"> </w:t>
      </w:r>
      <w:r>
        <w:t>received</w:t>
      </w:r>
      <w:r>
        <w:rPr>
          <w:spacing w:val="-15"/>
        </w:rPr>
        <w:t xml:space="preserve"> </w:t>
      </w:r>
      <w:proofErr w:type="gramStart"/>
      <w:r>
        <w:t>an</w:t>
      </w:r>
      <w:r>
        <w:rPr>
          <w:spacing w:val="-15"/>
        </w:rPr>
        <w:t xml:space="preserve"> </w:t>
      </w:r>
      <w:r>
        <w:t>immunotherapy</w:t>
      </w:r>
      <w:proofErr w:type="gramEnd"/>
      <w:r>
        <w:rPr>
          <w:spacing w:val="-15"/>
        </w:rPr>
        <w:t xml:space="preserve"> </w:t>
      </w:r>
      <w:r>
        <w:t>as</w:t>
      </w:r>
      <w:r>
        <w:rPr>
          <w:spacing w:val="-15"/>
        </w:rPr>
        <w:t xml:space="preserve"> </w:t>
      </w:r>
      <w:r>
        <w:t>a</w:t>
      </w:r>
      <w:r>
        <w:rPr>
          <w:spacing w:val="-15"/>
        </w:rPr>
        <w:t xml:space="preserve"> </w:t>
      </w:r>
      <w:r>
        <w:t>proportion of</w:t>
      </w:r>
      <w:r>
        <w:rPr>
          <w:spacing w:val="-2"/>
        </w:rPr>
        <w:t xml:space="preserve"> </w:t>
      </w:r>
      <w:r>
        <w:t>all</w:t>
      </w:r>
      <w:r>
        <w:rPr>
          <w:spacing w:val="-7"/>
        </w:rPr>
        <w:t xml:space="preserve"> </w:t>
      </w:r>
      <w:r>
        <w:t>patients</w:t>
      </w:r>
      <w:r>
        <w:rPr>
          <w:spacing w:val="-9"/>
        </w:rPr>
        <w:t xml:space="preserve"> </w:t>
      </w:r>
      <w:r>
        <w:t>who</w:t>
      </w:r>
      <w:r>
        <w:rPr>
          <w:spacing w:val="-8"/>
        </w:rPr>
        <w:t xml:space="preserve"> </w:t>
      </w:r>
      <w:r>
        <w:t>received</w:t>
      </w:r>
      <w:r>
        <w:rPr>
          <w:spacing w:val="-4"/>
        </w:rPr>
        <w:t xml:space="preserve"> </w:t>
      </w:r>
      <w:r>
        <w:t>any</w:t>
      </w:r>
      <w:r>
        <w:rPr>
          <w:spacing w:val="-8"/>
        </w:rPr>
        <w:t xml:space="preserve"> </w:t>
      </w:r>
      <w:r>
        <w:t>second-line</w:t>
      </w:r>
      <w:r>
        <w:rPr>
          <w:spacing w:val="-3"/>
        </w:rPr>
        <w:t xml:space="preserve"> </w:t>
      </w:r>
      <w:r>
        <w:t>or</w:t>
      </w:r>
      <w:r>
        <w:rPr>
          <w:spacing w:val="-6"/>
        </w:rPr>
        <w:t xml:space="preserve"> </w:t>
      </w:r>
      <w:r>
        <w:t>subsequent</w:t>
      </w:r>
      <w:r>
        <w:rPr>
          <w:spacing w:val="-2"/>
        </w:rPr>
        <w:t xml:space="preserve"> </w:t>
      </w:r>
      <w:r>
        <w:t>therapy</w:t>
      </w:r>
      <w:r>
        <w:rPr>
          <w:spacing w:val="-3"/>
        </w:rPr>
        <w:t xml:space="preserve"> </w:t>
      </w:r>
      <w:r>
        <w:t>was</w:t>
      </w:r>
      <w:r>
        <w:rPr>
          <w:spacing w:val="-4"/>
        </w:rPr>
        <w:t xml:space="preserve"> </w:t>
      </w:r>
      <w:r>
        <w:t>consistent</w:t>
      </w:r>
      <w:r>
        <w:rPr>
          <w:spacing w:val="-3"/>
        </w:rPr>
        <w:t xml:space="preserve"> </w:t>
      </w:r>
      <w:r>
        <w:t>with clinical</w:t>
      </w:r>
      <w:r>
        <w:rPr>
          <w:spacing w:val="-2"/>
        </w:rPr>
        <w:t xml:space="preserve"> </w:t>
      </w:r>
      <w:r>
        <w:t>opinion</w:t>
      </w:r>
      <w:r>
        <w:rPr>
          <w:spacing w:val="-4"/>
        </w:rPr>
        <w:t xml:space="preserve"> </w:t>
      </w:r>
      <w:r>
        <w:t>regarding</w:t>
      </w:r>
      <w:r>
        <w:rPr>
          <w:spacing w:val="1"/>
        </w:rPr>
        <w:t xml:space="preserve"> </w:t>
      </w:r>
      <w:r>
        <w:t>expected UK</w:t>
      </w:r>
      <w:r>
        <w:rPr>
          <w:spacing w:val="-5"/>
        </w:rPr>
        <w:t xml:space="preserve"> </w:t>
      </w:r>
      <w:r>
        <w:t>practice.</w:t>
      </w:r>
      <w:r>
        <w:rPr>
          <w:spacing w:val="49"/>
        </w:rPr>
        <w:t xml:space="preserve"> </w:t>
      </w:r>
      <w:r>
        <w:t>The Committee</w:t>
      </w:r>
      <w:r>
        <w:rPr>
          <w:spacing w:val="-1"/>
        </w:rPr>
        <w:t xml:space="preserve"> </w:t>
      </w:r>
      <w:r>
        <w:t>accepts</w:t>
      </w:r>
      <w:r>
        <w:rPr>
          <w:spacing w:val="1"/>
        </w:rPr>
        <w:t xml:space="preserve"> </w:t>
      </w:r>
      <w:r>
        <w:t>at</w:t>
      </w:r>
      <w:r>
        <w:rPr>
          <w:spacing w:val="1"/>
        </w:rPr>
        <w:t xml:space="preserve"> </w:t>
      </w:r>
      <w:r>
        <w:rPr>
          <w:spacing w:val="-2"/>
        </w:rPr>
        <w:t>paragraph</w:t>
      </w:r>
    </w:p>
    <w:p w14:paraId="23956C18" w14:textId="77777777" w:rsidR="006F4CB1" w:rsidRDefault="00810B0E">
      <w:pPr>
        <w:pStyle w:val="BodyText"/>
        <w:spacing w:line="278" w:lineRule="auto"/>
        <w:ind w:right="11"/>
      </w:pPr>
      <w:r>
        <w:t xml:space="preserve">3.14 of the FDG that the potential underuse of immunotherapies in the standard care arm “was more of an issue in the </w:t>
      </w:r>
      <w:proofErr w:type="spellStart"/>
      <w:r>
        <w:t>dMMR</w:t>
      </w:r>
      <w:proofErr w:type="spellEnd"/>
      <w:r>
        <w:t xml:space="preserve"> subgroup” and that subsequent immunotherapy use in the </w:t>
      </w:r>
      <w:proofErr w:type="spellStart"/>
      <w:r>
        <w:t>pMMR</w:t>
      </w:r>
      <w:proofErr w:type="spellEnd"/>
      <w:r>
        <w:t xml:space="preserve"> subgroup was only “slightly” lower than would be expected in NHS practice.</w:t>
      </w:r>
      <w:r>
        <w:rPr>
          <w:spacing w:val="40"/>
        </w:rPr>
        <w:t xml:space="preserve"> </w:t>
      </w:r>
      <w:r>
        <w:t>This conclusion reflects AstraZeneca’s response to consultation on the</w:t>
      </w:r>
      <w:r>
        <w:rPr>
          <w:spacing w:val="-1"/>
        </w:rPr>
        <w:t xml:space="preserve"> </w:t>
      </w:r>
      <w:r>
        <w:t>Draft Guidance</w:t>
      </w:r>
      <w:r>
        <w:rPr>
          <w:spacing w:val="-1"/>
        </w:rPr>
        <w:t xml:space="preserve"> </w:t>
      </w:r>
      <w:r>
        <w:t>which included the</w:t>
      </w:r>
      <w:r>
        <w:rPr>
          <w:spacing w:val="-1"/>
        </w:rPr>
        <w:t xml:space="preserve"> </w:t>
      </w:r>
      <w:r>
        <w:t>relevant figures</w:t>
      </w:r>
      <w:r>
        <w:rPr>
          <w:spacing w:val="-3"/>
        </w:rPr>
        <w:t xml:space="preserve"> </w:t>
      </w:r>
      <w:r>
        <w:t>for the</w:t>
      </w:r>
      <w:r>
        <w:rPr>
          <w:spacing w:val="-1"/>
        </w:rPr>
        <w:t xml:space="preserve"> </w:t>
      </w:r>
      <w:proofErr w:type="spellStart"/>
      <w:r>
        <w:t>pMMR</w:t>
      </w:r>
      <w:proofErr w:type="spellEnd"/>
      <w:r>
        <w:t xml:space="preserve"> subgroup and NHS practice (based on UK clinician opinion) at section 2</w:t>
      </w:r>
      <w:r>
        <w:rPr>
          <w:spacing w:val="-1"/>
        </w:rPr>
        <w:t xml:space="preserve"> </w:t>
      </w:r>
      <w:r>
        <w:t>(page 6) and showed that the difference was only 3.5%.</w:t>
      </w:r>
      <w:r>
        <w:rPr>
          <w:spacing w:val="40"/>
        </w:rPr>
        <w:t xml:space="preserve"> </w:t>
      </w:r>
      <w:r>
        <w:t>The difference between these figures is so small that AstraZeneca submits that any uncertainty should be viewed</w:t>
      </w:r>
      <w:r>
        <w:t xml:space="preserve"> as immaterial and does not justify a reduction in the level of the acceptable ICER threshold.</w:t>
      </w:r>
    </w:p>
    <w:p w14:paraId="23956C19" w14:textId="77777777" w:rsidR="006F4CB1" w:rsidRDefault="00810B0E">
      <w:pPr>
        <w:pStyle w:val="BodyText"/>
        <w:spacing w:before="153" w:line="278" w:lineRule="auto"/>
        <w:ind w:right="12"/>
      </w:pPr>
      <w:r>
        <w:t>With respect to (ii), the</w:t>
      </w:r>
      <w:r>
        <w:rPr>
          <w:spacing w:val="-2"/>
        </w:rPr>
        <w:t xml:space="preserve"> </w:t>
      </w:r>
      <w:r>
        <w:t>evidence available to the</w:t>
      </w:r>
      <w:r>
        <w:rPr>
          <w:spacing w:val="-2"/>
        </w:rPr>
        <w:t xml:space="preserve"> </w:t>
      </w:r>
      <w:r>
        <w:t>Committee (see paragraph 3.6 of the FDG) was that multiple subsequent immunotherapies in the active treatment arms of DUO-E would probably not be clinically beneficial and would not therefore have a significant impact on OS.</w:t>
      </w:r>
      <w:r>
        <w:rPr>
          <w:spacing w:val="40"/>
        </w:rPr>
        <w:t xml:space="preserve"> </w:t>
      </w:r>
      <w:r>
        <w:t xml:space="preserve">This view is supported by the fact that the modelled OS extrapolation for the durvalumab plus </w:t>
      </w:r>
      <w:proofErr w:type="spellStart"/>
      <w:r>
        <w:t>olaparib</w:t>
      </w:r>
      <w:proofErr w:type="spellEnd"/>
      <w:r>
        <w:t xml:space="preserve"> arm reflected UK clinical expert feedback and was considered appropriate by the EAG and the EAG’s clinical experts.</w:t>
      </w:r>
    </w:p>
    <w:p w14:paraId="23956C1A" w14:textId="77777777" w:rsidR="006F4CB1" w:rsidRDefault="006F4CB1">
      <w:pPr>
        <w:pStyle w:val="BodyText"/>
        <w:spacing w:line="278" w:lineRule="auto"/>
        <w:sectPr w:rsidR="006F4CB1">
          <w:pgSz w:w="11910" w:h="16840"/>
          <w:pgMar w:top="1360" w:right="1417" w:bottom="1280" w:left="1417" w:header="0" w:footer="1091" w:gutter="0"/>
          <w:cols w:space="720"/>
        </w:sectPr>
      </w:pPr>
    </w:p>
    <w:p w14:paraId="23956C1B" w14:textId="77777777" w:rsidR="006F4CB1" w:rsidRDefault="00810B0E">
      <w:pPr>
        <w:pStyle w:val="BodyText"/>
        <w:spacing w:before="63" w:line="278" w:lineRule="auto"/>
        <w:ind w:right="12"/>
      </w:pPr>
      <w:r>
        <w:lastRenderedPageBreak/>
        <w:t>In summary neither the “slightly” lower use of immunotherapies in the standard care arm nor the use of subsequent immunotherapies in the active arms without expected clinical</w:t>
      </w:r>
      <w:r>
        <w:rPr>
          <w:spacing w:val="-6"/>
        </w:rPr>
        <w:t xml:space="preserve"> </w:t>
      </w:r>
      <w:r>
        <w:t>benefit</w:t>
      </w:r>
      <w:r>
        <w:rPr>
          <w:spacing w:val="-10"/>
        </w:rPr>
        <w:t xml:space="preserve"> </w:t>
      </w:r>
      <w:r>
        <w:t>would</w:t>
      </w:r>
      <w:r>
        <w:rPr>
          <w:spacing w:val="-12"/>
        </w:rPr>
        <w:t xml:space="preserve"> </w:t>
      </w:r>
      <w:r>
        <w:t>be</w:t>
      </w:r>
      <w:r>
        <w:rPr>
          <w:spacing w:val="-13"/>
        </w:rPr>
        <w:t xml:space="preserve"> </w:t>
      </w:r>
      <w:r>
        <w:t>expected</w:t>
      </w:r>
      <w:r>
        <w:rPr>
          <w:spacing w:val="-7"/>
        </w:rPr>
        <w:t xml:space="preserve"> </w:t>
      </w:r>
      <w:r>
        <w:t>to</w:t>
      </w:r>
      <w:r>
        <w:rPr>
          <w:spacing w:val="-11"/>
        </w:rPr>
        <w:t xml:space="preserve"> </w:t>
      </w:r>
      <w:r>
        <w:t>lead</w:t>
      </w:r>
      <w:r>
        <w:rPr>
          <w:spacing w:val="-12"/>
        </w:rPr>
        <w:t xml:space="preserve"> </w:t>
      </w:r>
      <w:r>
        <w:t>to</w:t>
      </w:r>
      <w:r>
        <w:rPr>
          <w:spacing w:val="-11"/>
        </w:rPr>
        <w:t xml:space="preserve"> </w:t>
      </w:r>
      <w:r>
        <w:t>any</w:t>
      </w:r>
      <w:r>
        <w:rPr>
          <w:spacing w:val="-12"/>
        </w:rPr>
        <w:t xml:space="preserve"> </w:t>
      </w:r>
      <w:r>
        <w:t>meaningful</w:t>
      </w:r>
      <w:r>
        <w:rPr>
          <w:spacing w:val="-6"/>
        </w:rPr>
        <w:t xml:space="preserve"> </w:t>
      </w:r>
      <w:r>
        <w:t>differences</w:t>
      </w:r>
      <w:r>
        <w:rPr>
          <w:spacing w:val="-9"/>
        </w:rPr>
        <w:t xml:space="preserve"> </w:t>
      </w:r>
      <w:r>
        <w:t>in</w:t>
      </w:r>
      <w:r>
        <w:rPr>
          <w:spacing w:val="-11"/>
        </w:rPr>
        <w:t xml:space="preserve"> </w:t>
      </w:r>
      <w:r>
        <w:t>OS</w:t>
      </w:r>
      <w:r>
        <w:rPr>
          <w:spacing w:val="-11"/>
        </w:rPr>
        <w:t xml:space="preserve"> </w:t>
      </w:r>
      <w:r>
        <w:t>between the treatment groups.</w:t>
      </w:r>
    </w:p>
    <w:p w14:paraId="23956C1C" w14:textId="77777777" w:rsidR="006F4CB1" w:rsidRDefault="00810B0E">
      <w:pPr>
        <w:pStyle w:val="ListParagraph"/>
        <w:numPr>
          <w:ilvl w:val="2"/>
          <w:numId w:val="5"/>
        </w:numPr>
        <w:tabs>
          <w:tab w:val="left" w:pos="1088"/>
        </w:tabs>
        <w:spacing w:before="160" w:line="278" w:lineRule="auto"/>
        <w:ind w:left="744" w:right="17" w:firstLine="0"/>
        <w:jc w:val="both"/>
        <w:rPr>
          <w:sz w:val="24"/>
        </w:rPr>
      </w:pPr>
      <w:r>
        <w:rPr>
          <w:sz w:val="24"/>
          <w:u w:val="single"/>
        </w:rPr>
        <w:t>It is unclear how the introduction of the treatment cap might affect outcomes and</w:t>
      </w:r>
      <w:r>
        <w:rPr>
          <w:sz w:val="24"/>
        </w:rPr>
        <w:t xml:space="preserve"> </w:t>
      </w:r>
      <w:r>
        <w:rPr>
          <w:sz w:val="24"/>
          <w:u w:val="single"/>
        </w:rPr>
        <w:t>whether the outcomes of DUO-E (which did not include a treatment cap) were</w:t>
      </w:r>
      <w:r>
        <w:rPr>
          <w:sz w:val="24"/>
        </w:rPr>
        <w:t xml:space="preserve"> </w:t>
      </w:r>
      <w:proofErr w:type="spellStart"/>
      <w:r>
        <w:rPr>
          <w:sz w:val="24"/>
          <w:u w:val="single"/>
        </w:rPr>
        <w:t>generalisable</w:t>
      </w:r>
      <w:proofErr w:type="spellEnd"/>
      <w:r>
        <w:rPr>
          <w:sz w:val="24"/>
          <w:u w:val="single"/>
        </w:rPr>
        <w:t xml:space="preserve"> to the NHS</w:t>
      </w:r>
      <w:r>
        <w:rPr>
          <w:sz w:val="24"/>
        </w:rPr>
        <w:t>.</w:t>
      </w:r>
    </w:p>
    <w:p w14:paraId="23956C1D" w14:textId="77777777" w:rsidR="006F4CB1" w:rsidRDefault="00810B0E">
      <w:pPr>
        <w:pStyle w:val="BodyText"/>
        <w:spacing w:before="159" w:line="278" w:lineRule="auto"/>
        <w:ind w:right="13"/>
      </w:pPr>
      <w:r>
        <w:t>At paragraph 3.10, the FDG introduces a cap on treatment duration of three years consistent with advice from clinical experts on NHS clinical practice.</w:t>
      </w:r>
      <w:r>
        <w:rPr>
          <w:spacing w:val="40"/>
        </w:rPr>
        <w:t xml:space="preserve"> </w:t>
      </w:r>
      <w:r>
        <w:t>The EAG however</w:t>
      </w:r>
      <w:r>
        <w:rPr>
          <w:spacing w:val="-2"/>
        </w:rPr>
        <w:t xml:space="preserve"> </w:t>
      </w:r>
      <w:r>
        <w:t>suggested</w:t>
      </w:r>
      <w:r>
        <w:rPr>
          <w:spacing w:val="-3"/>
        </w:rPr>
        <w:t xml:space="preserve"> </w:t>
      </w:r>
      <w:r>
        <w:t>that</w:t>
      </w:r>
      <w:r>
        <w:rPr>
          <w:spacing w:val="-2"/>
        </w:rPr>
        <w:t xml:space="preserve"> </w:t>
      </w:r>
      <w:r>
        <w:t>this</w:t>
      </w:r>
      <w:r>
        <w:rPr>
          <w:spacing w:val="-5"/>
        </w:rPr>
        <w:t xml:space="preserve"> </w:t>
      </w:r>
      <w:r>
        <w:t>could artificially</w:t>
      </w:r>
      <w:r>
        <w:rPr>
          <w:spacing w:val="-7"/>
        </w:rPr>
        <w:t xml:space="preserve"> </w:t>
      </w:r>
      <w:r>
        <w:t>reduce</w:t>
      </w:r>
      <w:r>
        <w:rPr>
          <w:spacing w:val="-3"/>
        </w:rPr>
        <w:t xml:space="preserve"> </w:t>
      </w:r>
      <w:r>
        <w:t>costs</w:t>
      </w:r>
      <w:r>
        <w:rPr>
          <w:spacing w:val="-4"/>
        </w:rPr>
        <w:t xml:space="preserve"> </w:t>
      </w:r>
      <w:r>
        <w:t>and introduce</w:t>
      </w:r>
      <w:r>
        <w:rPr>
          <w:spacing w:val="-3"/>
        </w:rPr>
        <w:t xml:space="preserve"> </w:t>
      </w:r>
      <w:r>
        <w:t>uncertainty</w:t>
      </w:r>
      <w:r>
        <w:rPr>
          <w:spacing w:val="-7"/>
        </w:rPr>
        <w:t xml:space="preserve"> </w:t>
      </w:r>
      <w:r>
        <w:t>in relation</w:t>
      </w:r>
      <w:r>
        <w:rPr>
          <w:spacing w:val="-6"/>
        </w:rPr>
        <w:t xml:space="preserve"> </w:t>
      </w:r>
      <w:r>
        <w:t>to</w:t>
      </w:r>
      <w:r>
        <w:rPr>
          <w:spacing w:val="-11"/>
        </w:rPr>
        <w:t xml:space="preserve"> </w:t>
      </w:r>
      <w:r>
        <w:t>long</w:t>
      </w:r>
      <w:r>
        <w:rPr>
          <w:spacing w:val="-11"/>
        </w:rPr>
        <w:t xml:space="preserve"> </w:t>
      </w:r>
      <w:r>
        <w:t>term</w:t>
      </w:r>
      <w:r>
        <w:rPr>
          <w:spacing w:val="-11"/>
        </w:rPr>
        <w:t xml:space="preserve"> </w:t>
      </w:r>
      <w:r>
        <w:t>efficacy</w:t>
      </w:r>
      <w:r>
        <w:rPr>
          <w:spacing w:val="-5"/>
        </w:rPr>
        <w:t xml:space="preserve"> </w:t>
      </w:r>
      <w:r>
        <w:t>in</w:t>
      </w:r>
      <w:r>
        <w:rPr>
          <w:spacing w:val="-11"/>
        </w:rPr>
        <w:t xml:space="preserve"> </w:t>
      </w:r>
      <w:r>
        <w:t>circumstances</w:t>
      </w:r>
      <w:r>
        <w:rPr>
          <w:spacing w:val="-9"/>
        </w:rPr>
        <w:t xml:space="preserve"> </w:t>
      </w:r>
      <w:r>
        <w:t>where</w:t>
      </w:r>
      <w:r>
        <w:rPr>
          <w:spacing w:val="-8"/>
        </w:rPr>
        <w:t xml:space="preserve"> </w:t>
      </w:r>
      <w:r>
        <w:t>treatment</w:t>
      </w:r>
      <w:r>
        <w:rPr>
          <w:spacing w:val="-11"/>
        </w:rPr>
        <w:t xml:space="preserve"> </w:t>
      </w:r>
      <w:r>
        <w:t>in</w:t>
      </w:r>
      <w:r>
        <w:rPr>
          <w:spacing w:val="-11"/>
        </w:rPr>
        <w:t xml:space="preserve"> </w:t>
      </w:r>
      <w:r>
        <w:t>DUO-E</w:t>
      </w:r>
      <w:r>
        <w:rPr>
          <w:spacing w:val="-9"/>
        </w:rPr>
        <w:t xml:space="preserve"> </w:t>
      </w:r>
      <w:r>
        <w:t>continued</w:t>
      </w:r>
      <w:r>
        <w:rPr>
          <w:spacing w:val="-11"/>
        </w:rPr>
        <w:t xml:space="preserve"> </w:t>
      </w:r>
      <w:r>
        <w:t>to disease progression and this is reflected in the SmPC.</w:t>
      </w:r>
    </w:p>
    <w:p w14:paraId="23956C1E" w14:textId="77777777" w:rsidR="006F4CB1" w:rsidRDefault="00810B0E">
      <w:pPr>
        <w:pStyle w:val="BodyText"/>
        <w:spacing w:before="156" w:line="278" w:lineRule="auto"/>
        <w:ind w:right="13"/>
      </w:pPr>
      <w:r>
        <w:t>In its original submission to NICE in this appraisal and reiterated in response to consultation on the Draft Guidance (point 2, page 7),</w:t>
      </w:r>
      <w:r>
        <w:rPr>
          <w:spacing w:val="-3"/>
        </w:rPr>
        <w:t xml:space="preserve"> </w:t>
      </w:r>
      <w:r>
        <w:t xml:space="preserve">AstraZeneca provided evidence that the benefit of treatment with durvalumab/ </w:t>
      </w:r>
      <w:proofErr w:type="spellStart"/>
      <w:r>
        <w:t>olaparib</w:t>
      </w:r>
      <w:proofErr w:type="spellEnd"/>
      <w:r>
        <w:t xml:space="preserve"> principally accrues during the first 2-3 years, with the result that treatment would be discontinued after that time irrespective</w:t>
      </w:r>
      <w:r>
        <w:rPr>
          <w:spacing w:val="-6"/>
        </w:rPr>
        <w:t xml:space="preserve"> </w:t>
      </w:r>
      <w:r>
        <w:t>of</w:t>
      </w:r>
      <w:r>
        <w:rPr>
          <w:spacing w:val="-3"/>
        </w:rPr>
        <w:t xml:space="preserve"> </w:t>
      </w:r>
      <w:r>
        <w:t>any</w:t>
      </w:r>
      <w:r>
        <w:rPr>
          <w:spacing w:val="-5"/>
        </w:rPr>
        <w:t xml:space="preserve"> </w:t>
      </w:r>
      <w:r>
        <w:t>stopping</w:t>
      </w:r>
      <w:r>
        <w:rPr>
          <w:spacing w:val="-5"/>
        </w:rPr>
        <w:t xml:space="preserve"> </w:t>
      </w:r>
      <w:r>
        <w:t>rule.</w:t>
      </w:r>
      <w:r>
        <w:rPr>
          <w:spacing w:val="40"/>
        </w:rPr>
        <w:t xml:space="preserve"> </w:t>
      </w:r>
      <w:r>
        <w:t>The</w:t>
      </w:r>
      <w:r>
        <w:rPr>
          <w:spacing w:val="-6"/>
        </w:rPr>
        <w:t xml:space="preserve"> </w:t>
      </w:r>
      <w:r>
        <w:t>result</w:t>
      </w:r>
      <w:r>
        <w:rPr>
          <w:spacing w:val="-4"/>
        </w:rPr>
        <w:t xml:space="preserve"> </w:t>
      </w:r>
      <w:r>
        <w:t>of</w:t>
      </w:r>
      <w:r>
        <w:rPr>
          <w:spacing w:val="-8"/>
        </w:rPr>
        <w:t xml:space="preserve"> </w:t>
      </w:r>
      <w:r>
        <w:t>the</w:t>
      </w:r>
      <w:r>
        <w:rPr>
          <w:spacing w:val="-10"/>
        </w:rPr>
        <w:t xml:space="preserve"> </w:t>
      </w:r>
      <w:r>
        <w:t>stopping</w:t>
      </w:r>
      <w:r>
        <w:rPr>
          <w:spacing w:val="-5"/>
        </w:rPr>
        <w:t xml:space="preserve"> </w:t>
      </w:r>
      <w:r>
        <w:t>rule</w:t>
      </w:r>
      <w:r>
        <w:rPr>
          <w:spacing w:val="-5"/>
        </w:rPr>
        <w:t xml:space="preserve"> </w:t>
      </w:r>
      <w:r>
        <w:t>is</w:t>
      </w:r>
      <w:r>
        <w:rPr>
          <w:spacing w:val="-7"/>
        </w:rPr>
        <w:t xml:space="preserve"> </w:t>
      </w:r>
      <w:r>
        <w:t>therefore</w:t>
      </w:r>
      <w:r>
        <w:rPr>
          <w:spacing w:val="-6"/>
        </w:rPr>
        <w:t xml:space="preserve"> </w:t>
      </w:r>
      <w:r>
        <w:t>to</w:t>
      </w:r>
      <w:r>
        <w:rPr>
          <w:spacing w:val="-6"/>
        </w:rPr>
        <w:t xml:space="preserve"> </w:t>
      </w:r>
      <w:r>
        <w:t>remove uncertainty</w:t>
      </w:r>
      <w:r>
        <w:rPr>
          <w:spacing w:val="-10"/>
        </w:rPr>
        <w:t xml:space="preserve"> </w:t>
      </w:r>
      <w:r>
        <w:t>in</w:t>
      </w:r>
      <w:r>
        <w:rPr>
          <w:spacing w:val="-15"/>
        </w:rPr>
        <w:t xml:space="preserve"> </w:t>
      </w:r>
      <w:r>
        <w:t>relation</w:t>
      </w:r>
      <w:r>
        <w:rPr>
          <w:spacing w:val="-15"/>
        </w:rPr>
        <w:t xml:space="preserve"> </w:t>
      </w:r>
      <w:r>
        <w:t>to</w:t>
      </w:r>
      <w:r>
        <w:rPr>
          <w:spacing w:val="-15"/>
        </w:rPr>
        <w:t xml:space="preserve"> </w:t>
      </w:r>
      <w:r>
        <w:t>costs</w:t>
      </w:r>
      <w:r>
        <w:rPr>
          <w:spacing w:val="-12"/>
        </w:rPr>
        <w:t xml:space="preserve"> </w:t>
      </w:r>
      <w:r>
        <w:t>by</w:t>
      </w:r>
      <w:r>
        <w:rPr>
          <w:spacing w:val="-12"/>
        </w:rPr>
        <w:t xml:space="preserve"> </w:t>
      </w:r>
      <w:r>
        <w:t>providing</w:t>
      </w:r>
      <w:r>
        <w:rPr>
          <w:spacing w:val="-15"/>
        </w:rPr>
        <w:t xml:space="preserve"> </w:t>
      </w:r>
      <w:r>
        <w:t>that</w:t>
      </w:r>
      <w:r>
        <w:rPr>
          <w:spacing w:val="-15"/>
        </w:rPr>
        <w:t xml:space="preserve"> </w:t>
      </w:r>
      <w:r>
        <w:t>these</w:t>
      </w:r>
      <w:r>
        <w:rPr>
          <w:spacing w:val="-13"/>
        </w:rPr>
        <w:t xml:space="preserve"> </w:t>
      </w:r>
      <w:r>
        <w:t>reflect</w:t>
      </w:r>
      <w:r>
        <w:rPr>
          <w:spacing w:val="-11"/>
        </w:rPr>
        <w:t xml:space="preserve"> </w:t>
      </w:r>
      <w:r>
        <w:t>actual</w:t>
      </w:r>
      <w:r>
        <w:rPr>
          <w:spacing w:val="-15"/>
        </w:rPr>
        <w:t xml:space="preserve"> </w:t>
      </w:r>
      <w:r>
        <w:t>prescribing</w:t>
      </w:r>
      <w:r>
        <w:rPr>
          <w:spacing w:val="-15"/>
        </w:rPr>
        <w:t xml:space="preserve"> </w:t>
      </w:r>
      <w:r>
        <w:t>practice anticipated in clinical practice rather than an artificially elevated figure, without any material impact on treatment benefit.</w:t>
      </w:r>
    </w:p>
    <w:p w14:paraId="23956C1F" w14:textId="77777777" w:rsidR="006F4CB1" w:rsidRDefault="00810B0E">
      <w:pPr>
        <w:pStyle w:val="BodyText"/>
        <w:spacing w:before="157" w:line="278" w:lineRule="auto"/>
        <w:ind w:right="15"/>
      </w:pPr>
      <w:r>
        <w:t>Overall,</w:t>
      </w:r>
      <w:r>
        <w:rPr>
          <w:spacing w:val="-9"/>
        </w:rPr>
        <w:t xml:space="preserve"> </w:t>
      </w:r>
      <w:r>
        <w:t>while</w:t>
      </w:r>
      <w:r>
        <w:rPr>
          <w:spacing w:val="-11"/>
        </w:rPr>
        <w:t xml:space="preserve"> </w:t>
      </w:r>
      <w:r>
        <w:t>the</w:t>
      </w:r>
      <w:r>
        <w:rPr>
          <w:spacing w:val="-11"/>
        </w:rPr>
        <w:t xml:space="preserve"> </w:t>
      </w:r>
      <w:r>
        <w:t>Committee</w:t>
      </w:r>
      <w:r>
        <w:rPr>
          <w:spacing w:val="-12"/>
        </w:rPr>
        <w:t xml:space="preserve"> </w:t>
      </w:r>
      <w:r>
        <w:t>has</w:t>
      </w:r>
      <w:r>
        <w:rPr>
          <w:spacing w:val="-11"/>
        </w:rPr>
        <w:t xml:space="preserve"> </w:t>
      </w:r>
      <w:r>
        <w:t>identified</w:t>
      </w:r>
      <w:r>
        <w:rPr>
          <w:spacing w:val="-11"/>
        </w:rPr>
        <w:t xml:space="preserve"> </w:t>
      </w:r>
      <w:r>
        <w:t>three</w:t>
      </w:r>
      <w:r>
        <w:rPr>
          <w:spacing w:val="-12"/>
        </w:rPr>
        <w:t xml:space="preserve"> </w:t>
      </w:r>
      <w:r>
        <w:t>areas</w:t>
      </w:r>
      <w:r>
        <w:rPr>
          <w:spacing w:val="-13"/>
        </w:rPr>
        <w:t xml:space="preserve"> </w:t>
      </w:r>
      <w:r>
        <w:t>of</w:t>
      </w:r>
      <w:r>
        <w:rPr>
          <w:spacing w:val="-9"/>
        </w:rPr>
        <w:t xml:space="preserve"> </w:t>
      </w:r>
      <w:r>
        <w:t>“uncertainty”</w:t>
      </w:r>
      <w:r>
        <w:rPr>
          <w:spacing w:val="-11"/>
        </w:rPr>
        <w:t xml:space="preserve"> </w:t>
      </w:r>
      <w:r>
        <w:t>relied</w:t>
      </w:r>
      <w:r>
        <w:rPr>
          <w:spacing w:val="-11"/>
        </w:rPr>
        <w:t xml:space="preserve"> </w:t>
      </w:r>
      <w:r>
        <w:t>upon</w:t>
      </w:r>
      <w:r>
        <w:rPr>
          <w:spacing w:val="-11"/>
        </w:rPr>
        <w:t xml:space="preserve"> </w:t>
      </w:r>
      <w:r>
        <w:t>for the purposes of defining an ICER threshold at the lowest end of the range, it has not carried out any assessment of the extent of the uncertainties in these parameters and how they could affect the</w:t>
      </w:r>
      <w:r>
        <w:rPr>
          <w:spacing w:val="-3"/>
        </w:rPr>
        <w:t xml:space="preserve"> </w:t>
      </w:r>
      <w:r>
        <w:t>ICER calculations.</w:t>
      </w:r>
      <w:r>
        <w:rPr>
          <w:spacing w:val="40"/>
        </w:rPr>
        <w:t xml:space="preserve"> </w:t>
      </w:r>
      <w:r>
        <w:t>This</w:t>
      </w:r>
      <w:r>
        <w:rPr>
          <w:spacing w:val="-4"/>
        </w:rPr>
        <w:t xml:space="preserve"> </w:t>
      </w:r>
      <w:r>
        <w:t>is procedurally</w:t>
      </w:r>
      <w:r>
        <w:rPr>
          <w:spacing w:val="-2"/>
        </w:rPr>
        <w:t xml:space="preserve"> </w:t>
      </w:r>
      <w:r>
        <w:t>unfair.</w:t>
      </w:r>
      <w:r>
        <w:rPr>
          <w:spacing w:val="40"/>
        </w:rPr>
        <w:t xml:space="preserve"> </w:t>
      </w:r>
      <w:r>
        <w:t>All three of these</w:t>
      </w:r>
      <w:r>
        <w:rPr>
          <w:spacing w:val="-3"/>
        </w:rPr>
        <w:t xml:space="preserve"> </w:t>
      </w:r>
      <w:r>
        <w:t>uncertainties</w:t>
      </w:r>
      <w:r>
        <w:rPr>
          <w:spacing w:val="-3"/>
        </w:rPr>
        <w:t xml:space="preserve"> </w:t>
      </w:r>
      <w:r>
        <w:t>exert,</w:t>
      </w:r>
      <w:r>
        <w:rPr>
          <w:spacing w:val="-4"/>
        </w:rPr>
        <w:t xml:space="preserve"> </w:t>
      </w:r>
      <w:r>
        <w:t>at</w:t>
      </w:r>
      <w:r>
        <w:rPr>
          <w:spacing w:val="-7"/>
        </w:rPr>
        <w:t xml:space="preserve"> </w:t>
      </w:r>
      <w:r>
        <w:t>most,</w:t>
      </w:r>
      <w:r>
        <w:rPr>
          <w:spacing w:val="-4"/>
        </w:rPr>
        <w:t xml:space="preserve"> </w:t>
      </w:r>
      <w:r>
        <w:t>a</w:t>
      </w:r>
      <w:r>
        <w:rPr>
          <w:spacing w:val="-8"/>
        </w:rPr>
        <w:t xml:space="preserve"> </w:t>
      </w:r>
      <w:r>
        <w:t>modest</w:t>
      </w:r>
      <w:r>
        <w:rPr>
          <w:spacing w:val="-7"/>
        </w:rPr>
        <w:t xml:space="preserve"> </w:t>
      </w:r>
      <w:r>
        <w:t>effect</w:t>
      </w:r>
      <w:r>
        <w:rPr>
          <w:spacing w:val="-7"/>
        </w:rPr>
        <w:t xml:space="preserve"> </w:t>
      </w:r>
      <w:r>
        <w:t>on</w:t>
      </w:r>
      <w:r>
        <w:rPr>
          <w:spacing w:val="-2"/>
        </w:rPr>
        <w:t xml:space="preserve"> </w:t>
      </w:r>
      <w:r>
        <w:t>the</w:t>
      </w:r>
      <w:r>
        <w:rPr>
          <w:spacing w:val="-8"/>
        </w:rPr>
        <w:t xml:space="preserve"> </w:t>
      </w:r>
      <w:r>
        <w:t>ICER</w:t>
      </w:r>
      <w:r>
        <w:rPr>
          <w:spacing w:val="-9"/>
        </w:rPr>
        <w:t xml:space="preserve"> </w:t>
      </w:r>
      <w:r>
        <w:t>calculations which</w:t>
      </w:r>
      <w:r>
        <w:rPr>
          <w:spacing w:val="-7"/>
        </w:rPr>
        <w:t xml:space="preserve"> </w:t>
      </w:r>
      <w:r>
        <w:t>does not justify the ICER threshold imposed by the Committee.</w:t>
      </w:r>
    </w:p>
    <w:p w14:paraId="23956C20" w14:textId="77777777" w:rsidR="006F4CB1" w:rsidRDefault="00810B0E">
      <w:pPr>
        <w:pStyle w:val="Heading2"/>
        <w:numPr>
          <w:ilvl w:val="1"/>
          <w:numId w:val="5"/>
        </w:numPr>
        <w:tabs>
          <w:tab w:val="left" w:pos="814"/>
          <w:tab w:val="left" w:pos="816"/>
        </w:tabs>
        <w:spacing w:before="158" w:line="280" w:lineRule="auto"/>
        <w:ind w:right="16"/>
        <w:jc w:val="both"/>
      </w:pPr>
      <w:r>
        <w:t>The</w:t>
      </w:r>
      <w:r>
        <w:rPr>
          <w:spacing w:val="-15"/>
        </w:rPr>
        <w:t xml:space="preserve"> </w:t>
      </w:r>
      <w:r>
        <w:t>reasons</w:t>
      </w:r>
      <w:r>
        <w:rPr>
          <w:spacing w:val="-15"/>
        </w:rPr>
        <w:t xml:space="preserve"> </w:t>
      </w:r>
      <w:r>
        <w:t>given</w:t>
      </w:r>
      <w:r>
        <w:rPr>
          <w:spacing w:val="-12"/>
        </w:rPr>
        <w:t xml:space="preserve"> </w:t>
      </w:r>
      <w:r>
        <w:t>for</w:t>
      </w:r>
      <w:r>
        <w:rPr>
          <w:spacing w:val="-15"/>
        </w:rPr>
        <w:t xml:space="preserve"> </w:t>
      </w:r>
      <w:r>
        <w:t>imposing</w:t>
      </w:r>
      <w:r>
        <w:rPr>
          <w:spacing w:val="-15"/>
        </w:rPr>
        <w:t xml:space="preserve"> </w:t>
      </w:r>
      <w:r>
        <w:t>a</w:t>
      </w:r>
      <w:r>
        <w:rPr>
          <w:spacing w:val="-14"/>
        </w:rPr>
        <w:t xml:space="preserve"> </w:t>
      </w:r>
      <w:r>
        <w:t>£20,000</w:t>
      </w:r>
      <w:r>
        <w:rPr>
          <w:spacing w:val="-15"/>
        </w:rPr>
        <w:t xml:space="preserve"> </w:t>
      </w:r>
      <w:r>
        <w:t>ICER</w:t>
      </w:r>
      <w:r>
        <w:rPr>
          <w:spacing w:val="-15"/>
        </w:rPr>
        <w:t xml:space="preserve"> </w:t>
      </w:r>
      <w:r>
        <w:t>threshold</w:t>
      </w:r>
      <w:r>
        <w:rPr>
          <w:spacing w:val="-8"/>
        </w:rPr>
        <w:t xml:space="preserve"> </w:t>
      </w:r>
      <w:r>
        <w:t>fail</w:t>
      </w:r>
      <w:r>
        <w:rPr>
          <w:spacing w:val="-15"/>
        </w:rPr>
        <w:t xml:space="preserve"> </w:t>
      </w:r>
      <w:r>
        <w:t>to</w:t>
      </w:r>
      <w:r>
        <w:rPr>
          <w:spacing w:val="-15"/>
        </w:rPr>
        <w:t xml:space="preserve"> </w:t>
      </w:r>
      <w:proofErr w:type="gramStart"/>
      <w:r>
        <w:t>take</w:t>
      </w:r>
      <w:r>
        <w:rPr>
          <w:spacing w:val="-15"/>
        </w:rPr>
        <w:t xml:space="preserve"> </w:t>
      </w:r>
      <w:r>
        <w:t>into</w:t>
      </w:r>
      <w:r>
        <w:rPr>
          <w:spacing w:val="-15"/>
        </w:rPr>
        <w:t xml:space="preserve"> </w:t>
      </w:r>
      <w:r>
        <w:t>account</w:t>
      </w:r>
      <w:proofErr w:type="gramEnd"/>
      <w:r>
        <w:t xml:space="preserve"> the factors listed at paragraph 6.3.5 of the Manual</w:t>
      </w:r>
    </w:p>
    <w:p w14:paraId="23956C21" w14:textId="77777777" w:rsidR="006F4CB1" w:rsidRDefault="00810B0E">
      <w:pPr>
        <w:pStyle w:val="BodyText"/>
        <w:spacing w:before="156"/>
      </w:pPr>
      <w:r>
        <w:t>Paragraph</w:t>
      </w:r>
      <w:r>
        <w:rPr>
          <w:spacing w:val="-1"/>
        </w:rPr>
        <w:t xml:space="preserve"> </w:t>
      </w:r>
      <w:r>
        <w:t>6.3.5</w:t>
      </w:r>
      <w:r>
        <w:rPr>
          <w:spacing w:val="2"/>
        </w:rPr>
        <w:t xml:space="preserve"> </w:t>
      </w:r>
      <w:r>
        <w:t>of the</w:t>
      </w:r>
      <w:r>
        <w:rPr>
          <w:spacing w:val="-6"/>
        </w:rPr>
        <w:t xml:space="preserve"> </w:t>
      </w:r>
      <w:r>
        <w:t>Manual</w:t>
      </w:r>
      <w:r>
        <w:rPr>
          <w:spacing w:val="2"/>
        </w:rPr>
        <w:t xml:space="preserve"> </w:t>
      </w:r>
      <w:r>
        <w:rPr>
          <w:spacing w:val="-2"/>
        </w:rPr>
        <w:t>states:</w:t>
      </w:r>
    </w:p>
    <w:p w14:paraId="23956C22" w14:textId="77777777" w:rsidR="006F4CB1" w:rsidRDefault="00810B0E">
      <w:pPr>
        <w:spacing w:before="204" w:line="276" w:lineRule="auto"/>
        <w:ind w:left="1104" w:right="12"/>
        <w:jc w:val="both"/>
        <w:rPr>
          <w:i/>
          <w:sz w:val="24"/>
        </w:rPr>
      </w:pPr>
      <w:r>
        <w:rPr>
          <w:sz w:val="24"/>
        </w:rPr>
        <w:t>“</w:t>
      </w:r>
      <w:r>
        <w:rPr>
          <w:i/>
          <w:sz w:val="24"/>
        </w:rPr>
        <w:t>Above</w:t>
      </w:r>
      <w:r>
        <w:rPr>
          <w:i/>
          <w:spacing w:val="-13"/>
          <w:sz w:val="24"/>
        </w:rPr>
        <w:t xml:space="preserve"> </w:t>
      </w:r>
      <w:r>
        <w:rPr>
          <w:i/>
          <w:sz w:val="24"/>
        </w:rPr>
        <w:t>a</w:t>
      </w:r>
      <w:r>
        <w:rPr>
          <w:i/>
          <w:spacing w:val="-12"/>
          <w:sz w:val="24"/>
        </w:rPr>
        <w:t xml:space="preserve"> </w:t>
      </w:r>
      <w:r>
        <w:rPr>
          <w:i/>
          <w:sz w:val="24"/>
        </w:rPr>
        <w:t>most</w:t>
      </w:r>
      <w:r>
        <w:rPr>
          <w:i/>
          <w:spacing w:val="-11"/>
          <w:sz w:val="24"/>
        </w:rPr>
        <w:t xml:space="preserve"> </w:t>
      </w:r>
      <w:r>
        <w:rPr>
          <w:i/>
          <w:sz w:val="24"/>
        </w:rPr>
        <w:t>plausible</w:t>
      </w:r>
      <w:r>
        <w:rPr>
          <w:i/>
          <w:spacing w:val="-13"/>
          <w:sz w:val="24"/>
        </w:rPr>
        <w:t xml:space="preserve"> </w:t>
      </w:r>
      <w:r>
        <w:rPr>
          <w:i/>
          <w:sz w:val="24"/>
        </w:rPr>
        <w:t>ICER</w:t>
      </w:r>
      <w:r>
        <w:rPr>
          <w:i/>
          <w:spacing w:val="-14"/>
          <w:sz w:val="24"/>
        </w:rPr>
        <w:t xml:space="preserve"> </w:t>
      </w:r>
      <w:r>
        <w:rPr>
          <w:i/>
          <w:sz w:val="24"/>
        </w:rPr>
        <w:t>of</w:t>
      </w:r>
      <w:r>
        <w:rPr>
          <w:i/>
          <w:spacing w:val="-11"/>
          <w:sz w:val="24"/>
        </w:rPr>
        <w:t xml:space="preserve"> </w:t>
      </w:r>
      <w:r>
        <w:rPr>
          <w:i/>
          <w:sz w:val="24"/>
        </w:rPr>
        <w:t>£20,000</w:t>
      </w:r>
      <w:r>
        <w:rPr>
          <w:i/>
          <w:spacing w:val="-12"/>
          <w:sz w:val="24"/>
        </w:rPr>
        <w:t xml:space="preserve"> </w:t>
      </w:r>
      <w:r>
        <w:rPr>
          <w:i/>
          <w:sz w:val="24"/>
        </w:rPr>
        <w:t>per</w:t>
      </w:r>
      <w:r>
        <w:rPr>
          <w:i/>
          <w:spacing w:val="-14"/>
          <w:sz w:val="24"/>
        </w:rPr>
        <w:t xml:space="preserve"> </w:t>
      </w:r>
      <w:r>
        <w:rPr>
          <w:i/>
          <w:sz w:val="24"/>
        </w:rPr>
        <w:t>QALY</w:t>
      </w:r>
      <w:r>
        <w:rPr>
          <w:i/>
          <w:spacing w:val="-11"/>
          <w:sz w:val="24"/>
        </w:rPr>
        <w:t xml:space="preserve"> </w:t>
      </w:r>
      <w:r>
        <w:rPr>
          <w:i/>
          <w:sz w:val="24"/>
        </w:rPr>
        <w:t>gained,</w:t>
      </w:r>
      <w:r>
        <w:rPr>
          <w:i/>
          <w:spacing w:val="-15"/>
          <w:sz w:val="24"/>
        </w:rPr>
        <w:t xml:space="preserve"> </w:t>
      </w:r>
      <w:r>
        <w:rPr>
          <w:i/>
          <w:sz w:val="24"/>
        </w:rPr>
        <w:t>or</w:t>
      </w:r>
      <w:r>
        <w:rPr>
          <w:i/>
          <w:spacing w:val="-14"/>
          <w:sz w:val="24"/>
        </w:rPr>
        <w:t xml:space="preserve"> </w:t>
      </w:r>
      <w:r>
        <w:rPr>
          <w:i/>
          <w:sz w:val="24"/>
        </w:rPr>
        <w:t>£100,000</w:t>
      </w:r>
      <w:r>
        <w:rPr>
          <w:i/>
          <w:spacing w:val="-15"/>
          <w:sz w:val="24"/>
        </w:rPr>
        <w:t xml:space="preserve"> </w:t>
      </w:r>
      <w:r>
        <w:rPr>
          <w:i/>
          <w:sz w:val="24"/>
        </w:rPr>
        <w:t>per</w:t>
      </w:r>
      <w:r>
        <w:rPr>
          <w:i/>
          <w:spacing w:val="-9"/>
          <w:sz w:val="24"/>
        </w:rPr>
        <w:t xml:space="preserve"> </w:t>
      </w:r>
      <w:r>
        <w:rPr>
          <w:i/>
          <w:sz w:val="24"/>
        </w:rPr>
        <w:t>QALY gained</w:t>
      </w:r>
      <w:r>
        <w:rPr>
          <w:i/>
          <w:spacing w:val="-1"/>
          <w:sz w:val="24"/>
        </w:rPr>
        <w:t xml:space="preserve"> </w:t>
      </w:r>
      <w:r>
        <w:rPr>
          <w:i/>
          <w:sz w:val="24"/>
        </w:rPr>
        <w:t>for</w:t>
      </w:r>
      <w:r>
        <w:rPr>
          <w:i/>
          <w:spacing w:val="-2"/>
          <w:sz w:val="24"/>
        </w:rPr>
        <w:t xml:space="preserve"> </w:t>
      </w:r>
      <w:r>
        <w:rPr>
          <w:i/>
          <w:sz w:val="24"/>
        </w:rPr>
        <w:t>highly</w:t>
      </w:r>
      <w:r>
        <w:rPr>
          <w:i/>
          <w:spacing w:val="-1"/>
          <w:sz w:val="24"/>
        </w:rPr>
        <w:t xml:space="preserve"> </w:t>
      </w:r>
      <w:proofErr w:type="spellStart"/>
      <w:r>
        <w:rPr>
          <w:i/>
          <w:sz w:val="24"/>
        </w:rPr>
        <w:t>specialised</w:t>
      </w:r>
      <w:proofErr w:type="spellEnd"/>
      <w:r>
        <w:rPr>
          <w:i/>
          <w:sz w:val="24"/>
        </w:rPr>
        <w:t xml:space="preserve"> technologies, decisions</w:t>
      </w:r>
      <w:r>
        <w:rPr>
          <w:i/>
          <w:spacing w:val="-3"/>
          <w:sz w:val="24"/>
        </w:rPr>
        <w:t xml:space="preserve"> </w:t>
      </w:r>
      <w:r>
        <w:rPr>
          <w:i/>
          <w:sz w:val="24"/>
        </w:rPr>
        <w:t>about the</w:t>
      </w:r>
      <w:r>
        <w:rPr>
          <w:i/>
          <w:spacing w:val="-1"/>
          <w:sz w:val="24"/>
        </w:rPr>
        <w:t xml:space="preserve"> </w:t>
      </w:r>
      <w:r>
        <w:rPr>
          <w:i/>
          <w:sz w:val="24"/>
        </w:rPr>
        <w:t>acceptability</w:t>
      </w:r>
      <w:r>
        <w:rPr>
          <w:i/>
          <w:spacing w:val="-1"/>
          <w:sz w:val="24"/>
        </w:rPr>
        <w:t xml:space="preserve"> </w:t>
      </w:r>
      <w:r>
        <w:rPr>
          <w:i/>
          <w:sz w:val="24"/>
        </w:rPr>
        <w:t>of the technology as an effective use of NHS resources will specifically consider the following factors:</w:t>
      </w:r>
    </w:p>
    <w:p w14:paraId="23956C23" w14:textId="77777777" w:rsidR="006F4CB1" w:rsidRDefault="00810B0E">
      <w:pPr>
        <w:pStyle w:val="ListParagraph"/>
        <w:numPr>
          <w:ilvl w:val="0"/>
          <w:numId w:val="3"/>
        </w:numPr>
        <w:tabs>
          <w:tab w:val="left" w:pos="1464"/>
        </w:tabs>
        <w:spacing w:before="166"/>
        <w:ind w:hanging="360"/>
        <w:jc w:val="left"/>
        <w:rPr>
          <w:i/>
          <w:sz w:val="24"/>
        </w:rPr>
      </w:pPr>
      <w:r>
        <w:rPr>
          <w:i/>
          <w:sz w:val="24"/>
        </w:rPr>
        <w:t>the</w:t>
      </w:r>
      <w:r>
        <w:rPr>
          <w:i/>
          <w:spacing w:val="-3"/>
          <w:sz w:val="24"/>
        </w:rPr>
        <w:t xml:space="preserve"> </w:t>
      </w:r>
      <w:r>
        <w:rPr>
          <w:i/>
          <w:sz w:val="24"/>
        </w:rPr>
        <w:t>degree</w:t>
      </w:r>
      <w:r>
        <w:rPr>
          <w:i/>
          <w:spacing w:val="-3"/>
          <w:sz w:val="24"/>
        </w:rPr>
        <w:t xml:space="preserve"> </w:t>
      </w:r>
      <w:r>
        <w:rPr>
          <w:i/>
          <w:sz w:val="24"/>
        </w:rPr>
        <w:t>of</w:t>
      </w:r>
      <w:r>
        <w:rPr>
          <w:i/>
          <w:spacing w:val="-1"/>
          <w:sz w:val="24"/>
        </w:rPr>
        <w:t xml:space="preserve"> </w:t>
      </w:r>
      <w:r>
        <w:rPr>
          <w:i/>
          <w:sz w:val="24"/>
        </w:rPr>
        <w:t>certainty</w:t>
      </w:r>
      <w:r>
        <w:rPr>
          <w:i/>
          <w:spacing w:val="-3"/>
          <w:sz w:val="24"/>
        </w:rPr>
        <w:t xml:space="preserve"> </w:t>
      </w:r>
      <w:r>
        <w:rPr>
          <w:i/>
          <w:sz w:val="24"/>
        </w:rPr>
        <w:t>and</w:t>
      </w:r>
      <w:r>
        <w:rPr>
          <w:i/>
          <w:spacing w:val="-6"/>
          <w:sz w:val="24"/>
        </w:rPr>
        <w:t xml:space="preserve"> </w:t>
      </w:r>
      <w:r>
        <w:rPr>
          <w:i/>
          <w:sz w:val="24"/>
        </w:rPr>
        <w:t>uncertainty</w:t>
      </w:r>
      <w:r>
        <w:rPr>
          <w:i/>
          <w:spacing w:val="-3"/>
          <w:sz w:val="24"/>
        </w:rPr>
        <w:t xml:space="preserve"> </w:t>
      </w:r>
      <w:r>
        <w:rPr>
          <w:i/>
          <w:sz w:val="24"/>
        </w:rPr>
        <w:t>around</w:t>
      </w:r>
      <w:r>
        <w:rPr>
          <w:i/>
          <w:spacing w:val="-6"/>
          <w:sz w:val="24"/>
        </w:rPr>
        <w:t xml:space="preserve"> </w:t>
      </w:r>
      <w:r>
        <w:rPr>
          <w:i/>
          <w:sz w:val="24"/>
        </w:rPr>
        <w:t>the</w:t>
      </w:r>
      <w:r>
        <w:rPr>
          <w:i/>
          <w:spacing w:val="-6"/>
          <w:sz w:val="24"/>
        </w:rPr>
        <w:t xml:space="preserve"> </w:t>
      </w:r>
      <w:r>
        <w:rPr>
          <w:i/>
          <w:spacing w:val="-4"/>
          <w:sz w:val="24"/>
        </w:rPr>
        <w:t>ICER</w:t>
      </w:r>
    </w:p>
    <w:p w14:paraId="23956C24" w14:textId="77777777" w:rsidR="006F4CB1" w:rsidRDefault="00810B0E">
      <w:pPr>
        <w:pStyle w:val="ListParagraph"/>
        <w:numPr>
          <w:ilvl w:val="0"/>
          <w:numId w:val="3"/>
        </w:numPr>
        <w:tabs>
          <w:tab w:val="left" w:pos="1464"/>
        </w:tabs>
        <w:spacing w:before="205"/>
        <w:ind w:hanging="360"/>
        <w:jc w:val="left"/>
        <w:rPr>
          <w:i/>
          <w:sz w:val="24"/>
        </w:rPr>
      </w:pPr>
      <w:r>
        <w:rPr>
          <w:i/>
          <w:sz w:val="24"/>
        </w:rPr>
        <w:t>aspects</w:t>
      </w:r>
      <w:r>
        <w:rPr>
          <w:i/>
          <w:spacing w:val="-7"/>
          <w:sz w:val="24"/>
        </w:rPr>
        <w:t xml:space="preserve"> </w:t>
      </w:r>
      <w:r>
        <w:rPr>
          <w:i/>
          <w:sz w:val="24"/>
        </w:rPr>
        <w:t>that</w:t>
      </w:r>
      <w:r>
        <w:rPr>
          <w:i/>
          <w:spacing w:val="-2"/>
          <w:sz w:val="24"/>
        </w:rPr>
        <w:t xml:space="preserve"> </w:t>
      </w:r>
      <w:r>
        <w:rPr>
          <w:i/>
          <w:sz w:val="24"/>
        </w:rPr>
        <w:t>relate</w:t>
      </w:r>
      <w:r>
        <w:rPr>
          <w:i/>
          <w:spacing w:val="-3"/>
          <w:sz w:val="24"/>
        </w:rPr>
        <w:t xml:space="preserve"> </w:t>
      </w:r>
      <w:r>
        <w:rPr>
          <w:i/>
          <w:sz w:val="24"/>
        </w:rPr>
        <w:t>to</w:t>
      </w:r>
      <w:r>
        <w:rPr>
          <w:i/>
          <w:spacing w:val="-2"/>
          <w:sz w:val="24"/>
        </w:rPr>
        <w:t xml:space="preserve"> </w:t>
      </w:r>
      <w:r>
        <w:rPr>
          <w:i/>
          <w:sz w:val="24"/>
        </w:rPr>
        <w:t>uncaptured</w:t>
      </w:r>
      <w:r>
        <w:rPr>
          <w:i/>
          <w:spacing w:val="-2"/>
          <w:sz w:val="24"/>
        </w:rPr>
        <w:t xml:space="preserve"> </w:t>
      </w:r>
      <w:r>
        <w:rPr>
          <w:i/>
          <w:sz w:val="24"/>
        </w:rPr>
        <w:t>benefits</w:t>
      </w:r>
      <w:r>
        <w:rPr>
          <w:i/>
          <w:spacing w:val="-4"/>
          <w:sz w:val="24"/>
        </w:rPr>
        <w:t xml:space="preserve"> </w:t>
      </w:r>
      <w:r>
        <w:rPr>
          <w:i/>
          <w:sz w:val="24"/>
        </w:rPr>
        <w:t>and</w:t>
      </w:r>
      <w:r>
        <w:rPr>
          <w:i/>
          <w:spacing w:val="-7"/>
          <w:sz w:val="24"/>
        </w:rPr>
        <w:t xml:space="preserve"> </w:t>
      </w:r>
      <w:r>
        <w:rPr>
          <w:i/>
          <w:sz w:val="24"/>
        </w:rPr>
        <w:t>non-health</w:t>
      </w:r>
      <w:r>
        <w:rPr>
          <w:i/>
          <w:spacing w:val="-2"/>
          <w:sz w:val="24"/>
        </w:rPr>
        <w:t xml:space="preserve"> factors</w:t>
      </w:r>
    </w:p>
    <w:p w14:paraId="23956C25" w14:textId="77777777" w:rsidR="006F4CB1" w:rsidRDefault="00810B0E">
      <w:pPr>
        <w:pStyle w:val="ListParagraph"/>
        <w:numPr>
          <w:ilvl w:val="0"/>
          <w:numId w:val="3"/>
        </w:numPr>
        <w:tabs>
          <w:tab w:val="left" w:pos="1464"/>
        </w:tabs>
        <w:spacing w:before="204"/>
        <w:ind w:hanging="360"/>
        <w:jc w:val="left"/>
        <w:rPr>
          <w:sz w:val="24"/>
        </w:rPr>
      </w:pPr>
      <w:r>
        <w:rPr>
          <w:i/>
          <w:sz w:val="24"/>
        </w:rPr>
        <w:t>aspects</w:t>
      </w:r>
      <w:r>
        <w:rPr>
          <w:i/>
          <w:spacing w:val="-4"/>
          <w:sz w:val="24"/>
        </w:rPr>
        <w:t xml:space="preserve"> </w:t>
      </w:r>
      <w:r>
        <w:rPr>
          <w:i/>
          <w:sz w:val="24"/>
        </w:rPr>
        <w:t>that</w:t>
      </w:r>
      <w:r>
        <w:rPr>
          <w:i/>
          <w:spacing w:val="-1"/>
          <w:sz w:val="24"/>
        </w:rPr>
        <w:t xml:space="preserve"> </w:t>
      </w:r>
      <w:r>
        <w:rPr>
          <w:i/>
          <w:sz w:val="24"/>
        </w:rPr>
        <w:t>relate</w:t>
      </w:r>
      <w:r>
        <w:rPr>
          <w:i/>
          <w:spacing w:val="-2"/>
          <w:sz w:val="24"/>
        </w:rPr>
        <w:t xml:space="preserve"> </w:t>
      </w:r>
      <w:r>
        <w:rPr>
          <w:i/>
          <w:sz w:val="24"/>
        </w:rPr>
        <w:t>to</w:t>
      </w:r>
      <w:r>
        <w:rPr>
          <w:i/>
          <w:spacing w:val="-1"/>
          <w:sz w:val="24"/>
        </w:rPr>
        <w:t xml:space="preserve"> </w:t>
      </w:r>
      <w:r>
        <w:rPr>
          <w:i/>
          <w:sz w:val="24"/>
        </w:rPr>
        <w:t>health</w:t>
      </w:r>
      <w:r>
        <w:rPr>
          <w:i/>
          <w:spacing w:val="-6"/>
          <w:sz w:val="24"/>
        </w:rPr>
        <w:t xml:space="preserve"> </w:t>
      </w:r>
      <w:r>
        <w:rPr>
          <w:i/>
          <w:spacing w:val="-2"/>
          <w:sz w:val="24"/>
        </w:rPr>
        <w:t>inequalities”</w:t>
      </w:r>
      <w:r>
        <w:rPr>
          <w:spacing w:val="-2"/>
          <w:sz w:val="24"/>
        </w:rPr>
        <w:t>.</w:t>
      </w:r>
    </w:p>
    <w:p w14:paraId="23956C26" w14:textId="77777777" w:rsidR="006F4CB1" w:rsidRDefault="00810B0E">
      <w:pPr>
        <w:pStyle w:val="BodyText"/>
        <w:spacing w:before="204" w:line="280" w:lineRule="auto"/>
        <w:ind w:left="816" w:right="15"/>
      </w:pPr>
      <w:proofErr w:type="gramStart"/>
      <w:r>
        <w:t>However</w:t>
      </w:r>
      <w:proofErr w:type="gramEnd"/>
      <w:r>
        <w:t xml:space="preserve"> the decision of the Committee at paragraph 3.14 of the FDG that the ICER threshold</w:t>
      </w:r>
      <w:r>
        <w:rPr>
          <w:spacing w:val="1"/>
        </w:rPr>
        <w:t xml:space="preserve"> </w:t>
      </w:r>
      <w:r>
        <w:t>should</w:t>
      </w:r>
      <w:r>
        <w:rPr>
          <w:spacing w:val="1"/>
        </w:rPr>
        <w:t xml:space="preserve"> </w:t>
      </w:r>
      <w:r>
        <w:t>be</w:t>
      </w:r>
      <w:r>
        <w:rPr>
          <w:spacing w:val="2"/>
        </w:rPr>
        <w:t xml:space="preserve"> </w:t>
      </w:r>
      <w:r>
        <w:t>at</w:t>
      </w:r>
      <w:r>
        <w:rPr>
          <w:spacing w:val="1"/>
        </w:rPr>
        <w:t xml:space="preserve"> </w:t>
      </w:r>
      <w:r>
        <w:t>the lowest</w:t>
      </w:r>
      <w:r>
        <w:rPr>
          <w:spacing w:val="1"/>
        </w:rPr>
        <w:t xml:space="preserve"> </w:t>
      </w:r>
      <w:r>
        <w:t>end</w:t>
      </w:r>
      <w:r>
        <w:rPr>
          <w:spacing w:val="1"/>
        </w:rPr>
        <w:t xml:space="preserve"> </w:t>
      </w:r>
      <w:r>
        <w:t>of</w:t>
      </w:r>
      <w:r>
        <w:rPr>
          <w:spacing w:val="3"/>
        </w:rPr>
        <w:t xml:space="preserve"> </w:t>
      </w:r>
      <w:r>
        <w:t>the £20,000</w:t>
      </w:r>
      <w:r>
        <w:rPr>
          <w:spacing w:val="3"/>
        </w:rPr>
        <w:t xml:space="preserve"> </w:t>
      </w:r>
      <w:r>
        <w:t>-30,000</w:t>
      </w:r>
      <w:r>
        <w:rPr>
          <w:spacing w:val="1"/>
        </w:rPr>
        <w:t xml:space="preserve"> </w:t>
      </w:r>
      <w:r>
        <w:t>range is</w:t>
      </w:r>
      <w:r>
        <w:rPr>
          <w:spacing w:val="-1"/>
        </w:rPr>
        <w:t xml:space="preserve"> </w:t>
      </w:r>
      <w:r>
        <w:t>based</w:t>
      </w:r>
      <w:r>
        <w:rPr>
          <w:spacing w:val="1"/>
        </w:rPr>
        <w:t xml:space="preserve"> </w:t>
      </w:r>
      <w:r>
        <w:t>purely</w:t>
      </w:r>
      <w:r>
        <w:rPr>
          <w:spacing w:val="2"/>
        </w:rPr>
        <w:t xml:space="preserve"> </w:t>
      </w:r>
      <w:r>
        <w:rPr>
          <w:spacing w:val="-5"/>
        </w:rPr>
        <w:t>on</w:t>
      </w:r>
    </w:p>
    <w:p w14:paraId="23956C27" w14:textId="77777777" w:rsidR="006F4CB1" w:rsidRDefault="006F4CB1">
      <w:pPr>
        <w:pStyle w:val="BodyText"/>
        <w:spacing w:line="280" w:lineRule="auto"/>
        <w:sectPr w:rsidR="006F4CB1">
          <w:pgSz w:w="11910" w:h="16840"/>
          <w:pgMar w:top="1360" w:right="1417" w:bottom="1280" w:left="1417" w:header="0" w:footer="1091" w:gutter="0"/>
          <w:cols w:space="720"/>
        </w:sectPr>
      </w:pPr>
    </w:p>
    <w:p w14:paraId="23956C28" w14:textId="77777777" w:rsidR="006F4CB1" w:rsidRDefault="00810B0E">
      <w:pPr>
        <w:pStyle w:val="BodyText"/>
        <w:spacing w:before="63" w:line="278" w:lineRule="auto"/>
        <w:ind w:left="816" w:right="12"/>
      </w:pPr>
      <w:r>
        <w:lastRenderedPageBreak/>
        <w:t xml:space="preserve">its assessment that certain issues relevant to the appraisal are “uncertain” and fails to give due consideration to “uncaptured benefits and non-health factors” and “health inequalities” despite the requirement in the Manual to give these matters specific </w:t>
      </w:r>
      <w:r>
        <w:rPr>
          <w:spacing w:val="-2"/>
        </w:rPr>
        <w:t>consideration.</w:t>
      </w:r>
    </w:p>
    <w:p w14:paraId="23956C29" w14:textId="77777777" w:rsidR="006F4CB1" w:rsidRDefault="00810B0E">
      <w:pPr>
        <w:pStyle w:val="ListParagraph"/>
        <w:numPr>
          <w:ilvl w:val="2"/>
          <w:numId w:val="5"/>
        </w:numPr>
        <w:tabs>
          <w:tab w:val="left" w:pos="1463"/>
        </w:tabs>
        <w:spacing w:before="160"/>
        <w:ind w:left="1463" w:hanging="359"/>
        <w:jc w:val="both"/>
        <w:rPr>
          <w:sz w:val="24"/>
        </w:rPr>
      </w:pPr>
      <w:r>
        <w:rPr>
          <w:sz w:val="24"/>
          <w:u w:val="single"/>
        </w:rPr>
        <w:t>Uncaptured benefits</w:t>
      </w:r>
      <w:r>
        <w:rPr>
          <w:spacing w:val="-2"/>
          <w:sz w:val="24"/>
          <w:u w:val="single"/>
        </w:rPr>
        <w:t xml:space="preserve"> </w:t>
      </w:r>
      <w:r>
        <w:rPr>
          <w:sz w:val="24"/>
          <w:u w:val="single"/>
        </w:rPr>
        <w:t>and</w:t>
      </w:r>
      <w:r>
        <w:rPr>
          <w:spacing w:val="1"/>
          <w:sz w:val="24"/>
          <w:u w:val="single"/>
        </w:rPr>
        <w:t xml:space="preserve"> </w:t>
      </w:r>
      <w:r>
        <w:rPr>
          <w:sz w:val="24"/>
          <w:u w:val="single"/>
        </w:rPr>
        <w:t>non-health</w:t>
      </w:r>
      <w:r>
        <w:rPr>
          <w:spacing w:val="-3"/>
          <w:sz w:val="24"/>
          <w:u w:val="single"/>
        </w:rPr>
        <w:t xml:space="preserve"> </w:t>
      </w:r>
      <w:r>
        <w:rPr>
          <w:spacing w:val="-2"/>
          <w:sz w:val="24"/>
          <w:u w:val="single"/>
        </w:rPr>
        <w:t>factors</w:t>
      </w:r>
    </w:p>
    <w:p w14:paraId="23956C2A" w14:textId="77777777" w:rsidR="006F4CB1" w:rsidRDefault="00810B0E">
      <w:pPr>
        <w:spacing w:before="204" w:line="278" w:lineRule="auto"/>
        <w:ind w:left="744" w:right="12"/>
        <w:jc w:val="both"/>
        <w:rPr>
          <w:sz w:val="24"/>
        </w:rPr>
      </w:pPr>
      <w:r>
        <w:rPr>
          <w:sz w:val="24"/>
        </w:rPr>
        <w:t xml:space="preserve">At paragraph 3.18 of the FDG, the Committee </w:t>
      </w:r>
      <w:proofErr w:type="spellStart"/>
      <w:r>
        <w:rPr>
          <w:sz w:val="24"/>
        </w:rPr>
        <w:t>recognises</w:t>
      </w:r>
      <w:proofErr w:type="spellEnd"/>
      <w:r>
        <w:rPr>
          <w:sz w:val="24"/>
        </w:rPr>
        <w:t xml:space="preserve"> the additional benefits of durvalumab</w:t>
      </w:r>
      <w:r>
        <w:rPr>
          <w:spacing w:val="-12"/>
          <w:sz w:val="24"/>
        </w:rPr>
        <w:t xml:space="preserve"> </w:t>
      </w:r>
      <w:r>
        <w:rPr>
          <w:sz w:val="24"/>
        </w:rPr>
        <w:t>with</w:t>
      </w:r>
      <w:r>
        <w:rPr>
          <w:spacing w:val="-12"/>
          <w:sz w:val="24"/>
        </w:rPr>
        <w:t xml:space="preserve"> </w:t>
      </w:r>
      <w:proofErr w:type="gramStart"/>
      <w:r>
        <w:rPr>
          <w:sz w:val="24"/>
        </w:rPr>
        <w:t>platinum</w:t>
      </w:r>
      <w:r>
        <w:rPr>
          <w:spacing w:val="-15"/>
          <w:sz w:val="24"/>
        </w:rPr>
        <w:t xml:space="preserve"> </w:t>
      </w:r>
      <w:r>
        <w:rPr>
          <w:sz w:val="24"/>
        </w:rPr>
        <w:t>based</w:t>
      </w:r>
      <w:proofErr w:type="gramEnd"/>
      <w:r>
        <w:rPr>
          <w:spacing w:val="-12"/>
          <w:sz w:val="24"/>
        </w:rPr>
        <w:t xml:space="preserve"> </w:t>
      </w:r>
      <w:r>
        <w:rPr>
          <w:sz w:val="24"/>
        </w:rPr>
        <w:t>chemotherapy</w:t>
      </w:r>
      <w:r>
        <w:rPr>
          <w:spacing w:val="-12"/>
          <w:sz w:val="24"/>
        </w:rPr>
        <w:t xml:space="preserve"> </w:t>
      </w:r>
      <w:r>
        <w:rPr>
          <w:sz w:val="24"/>
        </w:rPr>
        <w:t>followed</w:t>
      </w:r>
      <w:r>
        <w:rPr>
          <w:spacing w:val="-12"/>
          <w:sz w:val="24"/>
        </w:rPr>
        <w:t xml:space="preserve"> </w:t>
      </w:r>
      <w:r>
        <w:rPr>
          <w:sz w:val="24"/>
        </w:rPr>
        <w:t>by</w:t>
      </w:r>
      <w:r>
        <w:rPr>
          <w:spacing w:val="-12"/>
          <w:sz w:val="24"/>
        </w:rPr>
        <w:t xml:space="preserve"> </w:t>
      </w:r>
      <w:r>
        <w:rPr>
          <w:sz w:val="24"/>
        </w:rPr>
        <w:t>durvalumab</w:t>
      </w:r>
      <w:r>
        <w:rPr>
          <w:spacing w:val="-12"/>
          <w:sz w:val="24"/>
        </w:rPr>
        <w:t xml:space="preserve"> </w:t>
      </w:r>
      <w:r>
        <w:rPr>
          <w:sz w:val="24"/>
        </w:rPr>
        <w:t>with</w:t>
      </w:r>
      <w:r>
        <w:rPr>
          <w:spacing w:val="-8"/>
          <w:sz w:val="24"/>
        </w:rPr>
        <w:t xml:space="preserve"> </w:t>
      </w:r>
      <w:proofErr w:type="spellStart"/>
      <w:r>
        <w:rPr>
          <w:sz w:val="24"/>
        </w:rPr>
        <w:t>olaparib</w:t>
      </w:r>
      <w:proofErr w:type="spellEnd"/>
      <w:r>
        <w:rPr>
          <w:sz w:val="24"/>
        </w:rPr>
        <w:t>, including</w:t>
      </w:r>
      <w:r>
        <w:rPr>
          <w:spacing w:val="-7"/>
          <w:sz w:val="24"/>
        </w:rPr>
        <w:t xml:space="preserve"> </w:t>
      </w:r>
      <w:r>
        <w:rPr>
          <w:sz w:val="24"/>
        </w:rPr>
        <w:t>the</w:t>
      </w:r>
      <w:r>
        <w:rPr>
          <w:spacing w:val="-8"/>
          <w:sz w:val="24"/>
        </w:rPr>
        <w:t xml:space="preserve"> </w:t>
      </w:r>
      <w:r>
        <w:rPr>
          <w:sz w:val="24"/>
        </w:rPr>
        <w:t>particularly</w:t>
      </w:r>
      <w:r>
        <w:rPr>
          <w:spacing w:val="-7"/>
          <w:sz w:val="24"/>
        </w:rPr>
        <w:t xml:space="preserve"> </w:t>
      </w:r>
      <w:r>
        <w:rPr>
          <w:sz w:val="24"/>
        </w:rPr>
        <w:t>high</w:t>
      </w:r>
      <w:r>
        <w:rPr>
          <w:spacing w:val="-11"/>
          <w:sz w:val="24"/>
        </w:rPr>
        <w:t xml:space="preserve"> </w:t>
      </w:r>
      <w:r>
        <w:rPr>
          <w:sz w:val="24"/>
        </w:rPr>
        <w:t>unmet</w:t>
      </w:r>
      <w:r>
        <w:rPr>
          <w:spacing w:val="-8"/>
          <w:sz w:val="24"/>
        </w:rPr>
        <w:t xml:space="preserve"> </w:t>
      </w:r>
      <w:r>
        <w:rPr>
          <w:sz w:val="24"/>
        </w:rPr>
        <w:t>need</w:t>
      </w:r>
      <w:r>
        <w:rPr>
          <w:spacing w:val="-8"/>
          <w:sz w:val="24"/>
        </w:rPr>
        <w:t xml:space="preserve"> </w:t>
      </w:r>
      <w:r>
        <w:rPr>
          <w:sz w:val="24"/>
        </w:rPr>
        <w:t>of</w:t>
      </w:r>
      <w:r>
        <w:rPr>
          <w:spacing w:val="-6"/>
          <w:sz w:val="24"/>
        </w:rPr>
        <w:t xml:space="preserve"> </w:t>
      </w:r>
      <w:r>
        <w:rPr>
          <w:sz w:val="24"/>
        </w:rPr>
        <w:t>patients</w:t>
      </w:r>
      <w:r>
        <w:rPr>
          <w:spacing w:val="-10"/>
          <w:sz w:val="24"/>
        </w:rPr>
        <w:t xml:space="preserve"> </w:t>
      </w:r>
      <w:r>
        <w:rPr>
          <w:sz w:val="24"/>
        </w:rPr>
        <w:t>with</w:t>
      </w:r>
      <w:r>
        <w:rPr>
          <w:spacing w:val="-7"/>
          <w:sz w:val="24"/>
        </w:rPr>
        <w:t xml:space="preserve"> </w:t>
      </w:r>
      <w:proofErr w:type="spellStart"/>
      <w:r>
        <w:rPr>
          <w:sz w:val="24"/>
        </w:rPr>
        <w:t>pMMR</w:t>
      </w:r>
      <w:proofErr w:type="spellEnd"/>
      <w:r>
        <w:rPr>
          <w:spacing w:val="-6"/>
          <w:sz w:val="24"/>
        </w:rPr>
        <w:t xml:space="preserve"> </w:t>
      </w:r>
      <w:r>
        <w:rPr>
          <w:sz w:val="24"/>
        </w:rPr>
        <w:t>endometrial</w:t>
      </w:r>
      <w:r>
        <w:rPr>
          <w:spacing w:val="-8"/>
          <w:sz w:val="24"/>
        </w:rPr>
        <w:t xml:space="preserve"> </w:t>
      </w:r>
      <w:r>
        <w:rPr>
          <w:sz w:val="24"/>
        </w:rPr>
        <w:t>cancer. The Committee agreed to take these additional benefits into account in its decision making and states that “</w:t>
      </w:r>
      <w:r>
        <w:rPr>
          <w:i/>
          <w:sz w:val="24"/>
        </w:rPr>
        <w:t xml:space="preserve">it considered whether it should increase its decision-making ICER threshold for the </w:t>
      </w:r>
      <w:proofErr w:type="spellStart"/>
      <w:r>
        <w:rPr>
          <w:i/>
          <w:sz w:val="24"/>
        </w:rPr>
        <w:t>pMMR</w:t>
      </w:r>
      <w:proofErr w:type="spellEnd"/>
      <w:r>
        <w:rPr>
          <w:i/>
          <w:sz w:val="24"/>
        </w:rPr>
        <w:t xml:space="preserve"> subgroup</w:t>
      </w:r>
      <w:r>
        <w:rPr>
          <w:sz w:val="24"/>
        </w:rPr>
        <w:t xml:space="preserve">”. However, the Committee proceeds to </w:t>
      </w:r>
      <w:proofErr w:type="gramStart"/>
      <w:r>
        <w:rPr>
          <w:sz w:val="24"/>
        </w:rPr>
        <w:t>say</w:t>
      </w:r>
      <w:proofErr w:type="gramEnd"/>
      <w:r>
        <w:rPr>
          <w:sz w:val="24"/>
        </w:rPr>
        <w:t xml:space="preserve"> “</w:t>
      </w:r>
      <w:r>
        <w:rPr>
          <w:i/>
          <w:sz w:val="24"/>
        </w:rPr>
        <w:t>but on balance it remained highly uncertain about the clini</w:t>
      </w:r>
      <w:r>
        <w:rPr>
          <w:i/>
          <w:sz w:val="24"/>
        </w:rPr>
        <w:t xml:space="preserve">cal effectiveness of durvalumab for </w:t>
      </w:r>
      <w:proofErr w:type="spellStart"/>
      <w:r>
        <w:rPr>
          <w:i/>
          <w:sz w:val="24"/>
        </w:rPr>
        <w:t>pMMR</w:t>
      </w:r>
      <w:proofErr w:type="spellEnd"/>
      <w:r>
        <w:rPr>
          <w:i/>
          <w:sz w:val="24"/>
        </w:rPr>
        <w:t xml:space="preserve"> endometrial cancer because of the uncertainties listed in paragraph 3.14</w:t>
      </w:r>
      <w:r>
        <w:rPr>
          <w:sz w:val="24"/>
        </w:rPr>
        <w:t>”. The Committee therefore concludes that the acceptable ICER is around £20,000 per QALY.</w:t>
      </w:r>
    </w:p>
    <w:p w14:paraId="23956C2B" w14:textId="77777777" w:rsidR="006F4CB1" w:rsidRDefault="00810B0E">
      <w:pPr>
        <w:pStyle w:val="BodyText"/>
        <w:spacing w:before="155" w:line="278" w:lineRule="auto"/>
        <w:ind w:right="12"/>
      </w:pPr>
      <w:r>
        <w:t>There is no explanation as to how, if at all, the additional benefits (including the evidence of experts and patient groups) were taken into account by the Committee in determining the ICER threshold or how they were weighed against the identified uncertainties (which as explained at appeal point 1.1, are modest and result in only small changes to the ICER) to result in the Committee’s conclusion.</w:t>
      </w:r>
    </w:p>
    <w:p w14:paraId="23956C2C" w14:textId="77777777" w:rsidR="006F4CB1" w:rsidRDefault="00810B0E">
      <w:pPr>
        <w:pStyle w:val="ListParagraph"/>
        <w:numPr>
          <w:ilvl w:val="2"/>
          <w:numId w:val="5"/>
        </w:numPr>
        <w:tabs>
          <w:tab w:val="left" w:pos="1463"/>
        </w:tabs>
        <w:spacing w:before="157"/>
        <w:ind w:left="1463" w:hanging="359"/>
        <w:jc w:val="both"/>
        <w:rPr>
          <w:sz w:val="24"/>
        </w:rPr>
      </w:pPr>
      <w:r>
        <w:rPr>
          <w:sz w:val="24"/>
          <w:u w:val="single"/>
        </w:rPr>
        <w:t>Health</w:t>
      </w:r>
      <w:r>
        <w:rPr>
          <w:spacing w:val="-1"/>
          <w:sz w:val="24"/>
          <w:u w:val="single"/>
        </w:rPr>
        <w:t xml:space="preserve"> </w:t>
      </w:r>
      <w:r>
        <w:rPr>
          <w:spacing w:val="-2"/>
          <w:sz w:val="24"/>
          <w:u w:val="single"/>
        </w:rPr>
        <w:t>inequalities</w:t>
      </w:r>
    </w:p>
    <w:p w14:paraId="23956C2D" w14:textId="77777777" w:rsidR="006F4CB1" w:rsidRDefault="00810B0E">
      <w:pPr>
        <w:pStyle w:val="BodyText"/>
        <w:spacing w:before="204" w:line="276" w:lineRule="auto"/>
        <w:ind w:right="15"/>
      </w:pPr>
      <w:r>
        <w:t>The general obligation placed on NICE to take health inequalities into account in the context</w:t>
      </w:r>
      <w:r>
        <w:rPr>
          <w:spacing w:val="-15"/>
        </w:rPr>
        <w:t xml:space="preserve"> </w:t>
      </w:r>
      <w:r>
        <w:t>of</w:t>
      </w:r>
      <w:r>
        <w:rPr>
          <w:spacing w:val="-15"/>
        </w:rPr>
        <w:t xml:space="preserve"> </w:t>
      </w:r>
      <w:r>
        <w:t>its</w:t>
      </w:r>
      <w:r>
        <w:rPr>
          <w:spacing w:val="-15"/>
        </w:rPr>
        <w:t xml:space="preserve"> </w:t>
      </w:r>
      <w:r>
        <w:t>guidance</w:t>
      </w:r>
      <w:r>
        <w:rPr>
          <w:spacing w:val="-15"/>
        </w:rPr>
        <w:t xml:space="preserve"> </w:t>
      </w:r>
      <w:r>
        <w:t>is</w:t>
      </w:r>
      <w:r>
        <w:rPr>
          <w:spacing w:val="-15"/>
        </w:rPr>
        <w:t xml:space="preserve"> </w:t>
      </w:r>
      <w:r>
        <w:t>referenced</w:t>
      </w:r>
      <w:r>
        <w:rPr>
          <w:spacing w:val="-15"/>
        </w:rPr>
        <w:t xml:space="preserve"> </w:t>
      </w:r>
      <w:r>
        <w:t>at</w:t>
      </w:r>
      <w:r>
        <w:rPr>
          <w:spacing w:val="-15"/>
        </w:rPr>
        <w:t xml:space="preserve"> </w:t>
      </w:r>
      <w:r>
        <w:t>appeal</w:t>
      </w:r>
      <w:r>
        <w:rPr>
          <w:spacing w:val="-15"/>
        </w:rPr>
        <w:t xml:space="preserve"> </w:t>
      </w:r>
      <w:r>
        <w:t>point</w:t>
      </w:r>
      <w:r>
        <w:rPr>
          <w:spacing w:val="-15"/>
        </w:rPr>
        <w:t xml:space="preserve"> </w:t>
      </w:r>
      <w:r>
        <w:t>1.3</w:t>
      </w:r>
      <w:r>
        <w:rPr>
          <w:spacing w:val="-15"/>
        </w:rPr>
        <w:t xml:space="preserve"> </w:t>
      </w:r>
      <w:r>
        <w:t>below.</w:t>
      </w:r>
      <w:r>
        <w:rPr>
          <w:spacing w:val="-15"/>
        </w:rPr>
        <w:t xml:space="preserve"> </w:t>
      </w:r>
      <w:r>
        <w:t>However,</w:t>
      </w:r>
      <w:r>
        <w:rPr>
          <w:spacing w:val="-15"/>
        </w:rPr>
        <w:t xml:space="preserve"> </w:t>
      </w:r>
      <w:r>
        <w:t xml:space="preserve">AstraZeneca’s general submissions in relation to health inequalities in the context of </w:t>
      </w:r>
      <w:proofErr w:type="spellStart"/>
      <w:r>
        <w:t>pMMR</w:t>
      </w:r>
      <w:proofErr w:type="spellEnd"/>
      <w:r>
        <w:t xml:space="preserve"> endometrial cancer are also applicable here.</w:t>
      </w:r>
    </w:p>
    <w:p w14:paraId="23956C2E" w14:textId="77777777" w:rsidR="006F4CB1" w:rsidRDefault="00810B0E">
      <w:pPr>
        <w:pStyle w:val="BodyText"/>
        <w:spacing w:before="162" w:line="276" w:lineRule="auto"/>
        <w:ind w:right="11"/>
      </w:pPr>
      <w:r>
        <w:t>This appeal point relates to the specific requirement under paragraph 6.3.5 of the Manual for NICE to</w:t>
      </w:r>
      <w:r>
        <w:rPr>
          <w:spacing w:val="-5"/>
        </w:rPr>
        <w:t xml:space="preserve"> </w:t>
      </w:r>
      <w:proofErr w:type="gramStart"/>
      <w:r>
        <w:t>take</w:t>
      </w:r>
      <w:r>
        <w:rPr>
          <w:spacing w:val="-2"/>
        </w:rPr>
        <w:t xml:space="preserve"> </w:t>
      </w:r>
      <w:r>
        <w:t>into account</w:t>
      </w:r>
      <w:proofErr w:type="gramEnd"/>
      <w:r>
        <w:t xml:space="preserve"> reduction</w:t>
      </w:r>
      <w:r>
        <w:rPr>
          <w:spacing w:val="-5"/>
        </w:rPr>
        <w:t xml:space="preserve"> </w:t>
      </w:r>
      <w:r>
        <w:t>in</w:t>
      </w:r>
      <w:r>
        <w:rPr>
          <w:spacing w:val="-5"/>
        </w:rPr>
        <w:t xml:space="preserve"> </w:t>
      </w:r>
      <w:r>
        <w:t>health inequalities in the</w:t>
      </w:r>
      <w:r>
        <w:rPr>
          <w:spacing w:val="-1"/>
        </w:rPr>
        <w:t xml:space="preserve"> </w:t>
      </w:r>
      <w:r>
        <w:t>context of determination of the ICER threshold.</w:t>
      </w:r>
    </w:p>
    <w:p w14:paraId="23956C2F" w14:textId="77777777" w:rsidR="006F4CB1" w:rsidRDefault="00810B0E">
      <w:pPr>
        <w:pStyle w:val="BodyText"/>
        <w:spacing w:before="243"/>
      </w:pPr>
      <w:r>
        <w:t>However,</w:t>
      </w:r>
      <w:r>
        <w:rPr>
          <w:spacing w:val="-12"/>
        </w:rPr>
        <w:t xml:space="preserve"> </w:t>
      </w:r>
      <w:r>
        <w:t>the</w:t>
      </w:r>
      <w:r>
        <w:rPr>
          <w:spacing w:val="-18"/>
        </w:rPr>
        <w:t xml:space="preserve"> </w:t>
      </w:r>
      <w:r>
        <w:t>Appraisal</w:t>
      </w:r>
      <w:r>
        <w:rPr>
          <w:spacing w:val="-7"/>
        </w:rPr>
        <w:t xml:space="preserve"> </w:t>
      </w:r>
      <w:r>
        <w:t>Committee’s</w:t>
      </w:r>
      <w:r>
        <w:rPr>
          <w:spacing w:val="-11"/>
        </w:rPr>
        <w:t xml:space="preserve"> </w:t>
      </w:r>
      <w:r>
        <w:t>determination</w:t>
      </w:r>
      <w:r>
        <w:rPr>
          <w:spacing w:val="-8"/>
        </w:rPr>
        <w:t xml:space="preserve"> </w:t>
      </w:r>
      <w:r>
        <w:t>of</w:t>
      </w:r>
      <w:r>
        <w:rPr>
          <w:spacing w:val="-8"/>
        </w:rPr>
        <w:t xml:space="preserve"> </w:t>
      </w:r>
      <w:r>
        <w:t>the</w:t>
      </w:r>
      <w:r>
        <w:rPr>
          <w:spacing w:val="-13"/>
        </w:rPr>
        <w:t xml:space="preserve"> </w:t>
      </w:r>
      <w:r>
        <w:t>ICER</w:t>
      </w:r>
      <w:r>
        <w:rPr>
          <w:spacing w:val="-14"/>
        </w:rPr>
        <w:t xml:space="preserve"> </w:t>
      </w:r>
      <w:r>
        <w:t>threshold</w:t>
      </w:r>
      <w:r>
        <w:rPr>
          <w:spacing w:val="-7"/>
        </w:rPr>
        <w:t xml:space="preserve"> </w:t>
      </w:r>
      <w:r>
        <w:t>at</w:t>
      </w:r>
      <w:r>
        <w:rPr>
          <w:spacing w:val="-11"/>
        </w:rPr>
        <w:t xml:space="preserve"> </w:t>
      </w:r>
      <w:r>
        <w:rPr>
          <w:spacing w:val="-2"/>
        </w:rPr>
        <w:t>paragraph</w:t>
      </w:r>
    </w:p>
    <w:p w14:paraId="23956C30" w14:textId="77777777" w:rsidR="006F4CB1" w:rsidRDefault="00810B0E">
      <w:pPr>
        <w:pStyle w:val="BodyText"/>
        <w:spacing w:before="41" w:line="276" w:lineRule="auto"/>
        <w:ind w:right="12"/>
      </w:pPr>
      <w:r>
        <w:t xml:space="preserve">3.14 of the FDG does not refer to </w:t>
      </w:r>
      <w:proofErr w:type="gramStart"/>
      <w:r>
        <w:t>reduction</w:t>
      </w:r>
      <w:proofErr w:type="gramEnd"/>
      <w:r>
        <w:t xml:space="preserve"> in health inequalities or even mention the obligation to take these into account.</w:t>
      </w:r>
      <w:r>
        <w:rPr>
          <w:spacing w:val="40"/>
        </w:rPr>
        <w:t xml:space="preserve"> </w:t>
      </w:r>
      <w:r>
        <w:t>In circumstances where, as explained at appeal point</w:t>
      </w:r>
      <w:r>
        <w:rPr>
          <w:spacing w:val="-14"/>
        </w:rPr>
        <w:t xml:space="preserve"> </w:t>
      </w:r>
      <w:r>
        <w:t>1.3,</w:t>
      </w:r>
      <w:r>
        <w:rPr>
          <w:spacing w:val="-11"/>
        </w:rPr>
        <w:t xml:space="preserve"> </w:t>
      </w:r>
      <w:r>
        <w:t>endometrial</w:t>
      </w:r>
      <w:r>
        <w:rPr>
          <w:spacing w:val="-13"/>
        </w:rPr>
        <w:t xml:space="preserve"> </w:t>
      </w:r>
      <w:r>
        <w:t>cancer</w:t>
      </w:r>
      <w:r>
        <w:rPr>
          <w:spacing w:val="-11"/>
        </w:rPr>
        <w:t xml:space="preserve"> </w:t>
      </w:r>
      <w:r>
        <w:t>is</w:t>
      </w:r>
      <w:r>
        <w:rPr>
          <w:spacing w:val="-14"/>
        </w:rPr>
        <w:t xml:space="preserve"> </w:t>
      </w:r>
      <w:r>
        <w:t>a</w:t>
      </w:r>
      <w:r>
        <w:rPr>
          <w:spacing w:val="-15"/>
        </w:rPr>
        <w:t xml:space="preserve"> </w:t>
      </w:r>
      <w:r>
        <w:t>condition</w:t>
      </w:r>
      <w:r>
        <w:rPr>
          <w:spacing w:val="-12"/>
        </w:rPr>
        <w:t xml:space="preserve"> </w:t>
      </w:r>
      <w:r>
        <w:t>strongly</w:t>
      </w:r>
      <w:r>
        <w:rPr>
          <w:spacing w:val="-13"/>
        </w:rPr>
        <w:t xml:space="preserve"> </w:t>
      </w:r>
      <w:r>
        <w:t>associated</w:t>
      </w:r>
      <w:r>
        <w:rPr>
          <w:spacing w:val="-10"/>
        </w:rPr>
        <w:t xml:space="preserve"> </w:t>
      </w:r>
      <w:r>
        <w:t>with</w:t>
      </w:r>
      <w:r>
        <w:rPr>
          <w:spacing w:val="-12"/>
        </w:rPr>
        <w:t xml:space="preserve"> </w:t>
      </w:r>
      <w:r>
        <w:t>health</w:t>
      </w:r>
      <w:r>
        <w:rPr>
          <w:spacing w:val="-13"/>
        </w:rPr>
        <w:t xml:space="preserve"> </w:t>
      </w:r>
      <w:r>
        <w:t>inequalities, this omission is highly relevant to the Committee’s consideration of this appraisal. In summary, the Committee has failed to consider two of the three factors specifically identified</w:t>
      </w:r>
      <w:r>
        <w:rPr>
          <w:spacing w:val="-6"/>
        </w:rPr>
        <w:t xml:space="preserve"> </w:t>
      </w:r>
      <w:r>
        <w:t>in</w:t>
      </w:r>
      <w:r>
        <w:rPr>
          <w:spacing w:val="-5"/>
        </w:rPr>
        <w:t xml:space="preserve"> </w:t>
      </w:r>
      <w:r>
        <w:t>the</w:t>
      </w:r>
      <w:r>
        <w:rPr>
          <w:spacing w:val="-6"/>
        </w:rPr>
        <w:t xml:space="preserve"> </w:t>
      </w:r>
      <w:r>
        <w:t>Manual</w:t>
      </w:r>
      <w:r>
        <w:rPr>
          <w:spacing w:val="-4"/>
        </w:rPr>
        <w:t xml:space="preserve"> </w:t>
      </w:r>
      <w:r>
        <w:t>as</w:t>
      </w:r>
      <w:r>
        <w:rPr>
          <w:spacing w:val="-7"/>
        </w:rPr>
        <w:t xml:space="preserve"> </w:t>
      </w:r>
      <w:r>
        <w:t>matters</w:t>
      </w:r>
      <w:r>
        <w:rPr>
          <w:spacing w:val="-7"/>
        </w:rPr>
        <w:t xml:space="preserve"> </w:t>
      </w:r>
      <w:r>
        <w:t>which</w:t>
      </w:r>
      <w:r>
        <w:rPr>
          <w:spacing w:val="-6"/>
        </w:rPr>
        <w:t xml:space="preserve"> </w:t>
      </w:r>
      <w:r>
        <w:t>“will”</w:t>
      </w:r>
      <w:r>
        <w:rPr>
          <w:spacing w:val="-6"/>
        </w:rPr>
        <w:t xml:space="preserve"> </w:t>
      </w:r>
      <w:r>
        <w:t>be</w:t>
      </w:r>
      <w:r>
        <w:rPr>
          <w:spacing w:val="-11"/>
        </w:rPr>
        <w:t xml:space="preserve"> </w:t>
      </w:r>
      <w:proofErr w:type="gramStart"/>
      <w:r>
        <w:t>taken</w:t>
      </w:r>
      <w:r>
        <w:rPr>
          <w:spacing w:val="-6"/>
        </w:rPr>
        <w:t xml:space="preserve"> </w:t>
      </w:r>
      <w:r>
        <w:t>into</w:t>
      </w:r>
      <w:r>
        <w:rPr>
          <w:spacing w:val="-6"/>
        </w:rPr>
        <w:t xml:space="preserve"> </w:t>
      </w:r>
      <w:r>
        <w:t>account</w:t>
      </w:r>
      <w:proofErr w:type="gramEnd"/>
      <w:r>
        <w:rPr>
          <w:spacing w:val="-3"/>
        </w:rPr>
        <w:t xml:space="preserve"> </w:t>
      </w:r>
      <w:r>
        <w:t>in</w:t>
      </w:r>
      <w:r>
        <w:rPr>
          <w:spacing w:val="-5"/>
        </w:rPr>
        <w:t xml:space="preserve"> </w:t>
      </w:r>
      <w:r>
        <w:t>the</w:t>
      </w:r>
      <w:r>
        <w:rPr>
          <w:spacing w:val="-6"/>
        </w:rPr>
        <w:t xml:space="preserve"> </w:t>
      </w:r>
      <w:r>
        <w:t>context</w:t>
      </w:r>
      <w:r>
        <w:rPr>
          <w:spacing w:val="-10"/>
        </w:rPr>
        <w:t xml:space="preserve"> </w:t>
      </w:r>
      <w:r>
        <w:t>of the ICER threshold.</w:t>
      </w:r>
      <w:r>
        <w:rPr>
          <w:spacing w:val="40"/>
        </w:rPr>
        <w:t xml:space="preserve"> </w:t>
      </w:r>
      <w:r>
        <w:t xml:space="preserve">As confirmed by evidence available to the Committee, these matters are highly pertinent to </w:t>
      </w:r>
      <w:proofErr w:type="spellStart"/>
      <w:r>
        <w:t>pMMR</w:t>
      </w:r>
      <w:proofErr w:type="spellEnd"/>
      <w:r>
        <w:t xml:space="preserve"> endometrial cancer and would be expected materially</w:t>
      </w:r>
      <w:r>
        <w:rPr>
          <w:spacing w:val="-15"/>
        </w:rPr>
        <w:t xml:space="preserve"> </w:t>
      </w:r>
      <w:r>
        <w:t>to</w:t>
      </w:r>
      <w:r>
        <w:rPr>
          <w:spacing w:val="-15"/>
        </w:rPr>
        <w:t xml:space="preserve"> </w:t>
      </w:r>
      <w:r>
        <w:t>influence</w:t>
      </w:r>
      <w:r>
        <w:rPr>
          <w:spacing w:val="-15"/>
        </w:rPr>
        <w:t xml:space="preserve"> </w:t>
      </w:r>
      <w:r>
        <w:t>the</w:t>
      </w:r>
      <w:r>
        <w:rPr>
          <w:spacing w:val="-15"/>
        </w:rPr>
        <w:t xml:space="preserve"> </w:t>
      </w:r>
      <w:r>
        <w:t>Committee’s</w:t>
      </w:r>
      <w:r>
        <w:rPr>
          <w:spacing w:val="-15"/>
        </w:rPr>
        <w:t xml:space="preserve"> </w:t>
      </w:r>
      <w:r>
        <w:t>decision</w:t>
      </w:r>
      <w:r>
        <w:rPr>
          <w:spacing w:val="-13"/>
        </w:rPr>
        <w:t xml:space="preserve"> </w:t>
      </w:r>
      <w:r>
        <w:t>making</w:t>
      </w:r>
      <w:r>
        <w:rPr>
          <w:spacing w:val="-11"/>
        </w:rPr>
        <w:t xml:space="preserve"> </w:t>
      </w:r>
      <w:r>
        <w:t>in</w:t>
      </w:r>
      <w:r>
        <w:rPr>
          <w:spacing w:val="-13"/>
        </w:rPr>
        <w:t xml:space="preserve"> </w:t>
      </w:r>
      <w:proofErr w:type="spellStart"/>
      <w:r>
        <w:t>favour</w:t>
      </w:r>
      <w:proofErr w:type="spellEnd"/>
      <w:r>
        <w:rPr>
          <w:spacing w:val="-15"/>
        </w:rPr>
        <w:t xml:space="preserve"> </w:t>
      </w:r>
      <w:r>
        <w:t>of</w:t>
      </w:r>
      <w:r>
        <w:rPr>
          <w:spacing w:val="-15"/>
        </w:rPr>
        <w:t xml:space="preserve"> </w:t>
      </w:r>
      <w:r>
        <w:t>a</w:t>
      </w:r>
      <w:r>
        <w:rPr>
          <w:spacing w:val="-15"/>
        </w:rPr>
        <w:t xml:space="preserve"> </w:t>
      </w:r>
      <w:r>
        <w:t>higher</w:t>
      </w:r>
      <w:r>
        <w:rPr>
          <w:spacing w:val="-15"/>
        </w:rPr>
        <w:t xml:space="preserve"> </w:t>
      </w:r>
      <w:r>
        <w:t>th</w:t>
      </w:r>
      <w:r>
        <w:t xml:space="preserve">reshold </w:t>
      </w:r>
      <w:r>
        <w:rPr>
          <w:spacing w:val="-2"/>
        </w:rPr>
        <w:t>value.</w:t>
      </w:r>
    </w:p>
    <w:p w14:paraId="23956C31" w14:textId="77777777" w:rsidR="006F4CB1" w:rsidRDefault="006F4CB1">
      <w:pPr>
        <w:pStyle w:val="BodyText"/>
        <w:spacing w:line="276" w:lineRule="auto"/>
        <w:sectPr w:rsidR="006F4CB1">
          <w:pgSz w:w="11910" w:h="16840"/>
          <w:pgMar w:top="1360" w:right="1417" w:bottom="1280" w:left="1417" w:header="0" w:footer="1091" w:gutter="0"/>
          <w:cols w:space="720"/>
        </w:sectPr>
      </w:pPr>
    </w:p>
    <w:p w14:paraId="23956C32" w14:textId="77777777" w:rsidR="006F4CB1" w:rsidRDefault="00810B0E">
      <w:pPr>
        <w:pStyle w:val="Heading2"/>
        <w:numPr>
          <w:ilvl w:val="1"/>
          <w:numId w:val="5"/>
        </w:numPr>
        <w:tabs>
          <w:tab w:val="left" w:pos="814"/>
          <w:tab w:val="left" w:pos="816"/>
        </w:tabs>
        <w:spacing w:before="63" w:line="280" w:lineRule="auto"/>
        <w:ind w:right="25"/>
        <w:jc w:val="both"/>
      </w:pPr>
      <w:r>
        <w:lastRenderedPageBreak/>
        <w:t xml:space="preserve">The Committee has failed to consider </w:t>
      </w:r>
      <w:proofErr w:type="gramStart"/>
      <w:r>
        <w:t>reduction</w:t>
      </w:r>
      <w:proofErr w:type="gramEnd"/>
      <w:r>
        <w:t xml:space="preserve"> in health inequalities in breach of the requirements of the Manual</w:t>
      </w:r>
    </w:p>
    <w:p w14:paraId="23956C33" w14:textId="77777777" w:rsidR="006F4CB1" w:rsidRDefault="00810B0E">
      <w:pPr>
        <w:spacing w:before="157" w:line="276" w:lineRule="auto"/>
        <w:ind w:left="744" w:right="16"/>
        <w:jc w:val="both"/>
        <w:rPr>
          <w:sz w:val="24"/>
        </w:rPr>
      </w:pPr>
      <w:r>
        <w:rPr>
          <w:sz w:val="24"/>
        </w:rPr>
        <w:t>Health inequalities are defined by NHS England as “</w:t>
      </w:r>
      <w:r>
        <w:rPr>
          <w:i/>
          <w:sz w:val="24"/>
        </w:rPr>
        <w:t>unfair and avoidable differences in</w:t>
      </w:r>
      <w:r>
        <w:rPr>
          <w:i/>
          <w:spacing w:val="-7"/>
          <w:sz w:val="24"/>
        </w:rPr>
        <w:t xml:space="preserve"> </w:t>
      </w:r>
      <w:r>
        <w:rPr>
          <w:i/>
          <w:sz w:val="24"/>
        </w:rPr>
        <w:t>health</w:t>
      </w:r>
      <w:r>
        <w:rPr>
          <w:i/>
          <w:spacing w:val="-7"/>
          <w:sz w:val="24"/>
        </w:rPr>
        <w:t xml:space="preserve"> </w:t>
      </w:r>
      <w:r>
        <w:rPr>
          <w:i/>
          <w:sz w:val="24"/>
        </w:rPr>
        <w:t>across</w:t>
      </w:r>
      <w:r>
        <w:rPr>
          <w:i/>
          <w:spacing w:val="-10"/>
          <w:sz w:val="24"/>
        </w:rPr>
        <w:t xml:space="preserve"> </w:t>
      </w:r>
      <w:r>
        <w:rPr>
          <w:i/>
          <w:sz w:val="24"/>
        </w:rPr>
        <w:t>the</w:t>
      </w:r>
      <w:r>
        <w:rPr>
          <w:i/>
          <w:spacing w:val="-8"/>
          <w:sz w:val="24"/>
        </w:rPr>
        <w:t xml:space="preserve"> </w:t>
      </w:r>
      <w:r>
        <w:rPr>
          <w:i/>
          <w:sz w:val="24"/>
        </w:rPr>
        <w:t>population,</w:t>
      </w:r>
      <w:r>
        <w:rPr>
          <w:i/>
          <w:spacing w:val="-5"/>
          <w:sz w:val="24"/>
        </w:rPr>
        <w:t xml:space="preserve"> </w:t>
      </w:r>
      <w:r>
        <w:rPr>
          <w:i/>
          <w:sz w:val="24"/>
        </w:rPr>
        <w:t>and</w:t>
      </w:r>
      <w:r>
        <w:rPr>
          <w:i/>
          <w:spacing w:val="-8"/>
          <w:sz w:val="24"/>
        </w:rPr>
        <w:t xml:space="preserve"> </w:t>
      </w:r>
      <w:r>
        <w:rPr>
          <w:i/>
          <w:sz w:val="24"/>
        </w:rPr>
        <w:t>between</w:t>
      </w:r>
      <w:r>
        <w:rPr>
          <w:i/>
          <w:spacing w:val="-8"/>
          <w:sz w:val="24"/>
        </w:rPr>
        <w:t xml:space="preserve"> </w:t>
      </w:r>
      <w:r>
        <w:rPr>
          <w:i/>
          <w:sz w:val="24"/>
        </w:rPr>
        <w:t>different</w:t>
      </w:r>
      <w:r>
        <w:rPr>
          <w:i/>
          <w:spacing w:val="-7"/>
          <w:sz w:val="24"/>
        </w:rPr>
        <w:t xml:space="preserve"> </w:t>
      </w:r>
      <w:r>
        <w:rPr>
          <w:i/>
          <w:sz w:val="24"/>
        </w:rPr>
        <w:t>groups</w:t>
      </w:r>
      <w:r>
        <w:rPr>
          <w:i/>
          <w:spacing w:val="-10"/>
          <w:sz w:val="24"/>
        </w:rPr>
        <w:t xml:space="preserve"> </w:t>
      </w:r>
      <w:r>
        <w:rPr>
          <w:i/>
          <w:sz w:val="24"/>
        </w:rPr>
        <w:t>within</w:t>
      </w:r>
      <w:r>
        <w:rPr>
          <w:i/>
          <w:spacing w:val="-7"/>
          <w:sz w:val="24"/>
        </w:rPr>
        <w:t xml:space="preserve"> </w:t>
      </w:r>
      <w:r>
        <w:rPr>
          <w:i/>
          <w:sz w:val="24"/>
        </w:rPr>
        <w:t>society</w:t>
      </w:r>
      <w:r>
        <w:rPr>
          <w:sz w:val="24"/>
        </w:rPr>
        <w:t>”.</w:t>
      </w:r>
      <w:r>
        <w:rPr>
          <w:spacing w:val="40"/>
          <w:sz w:val="24"/>
        </w:rPr>
        <w:t xml:space="preserve"> </w:t>
      </w:r>
      <w:r>
        <w:rPr>
          <w:sz w:val="24"/>
        </w:rPr>
        <w:t>NICE</w:t>
      </w:r>
      <w:r>
        <w:rPr>
          <w:spacing w:val="-5"/>
          <w:sz w:val="24"/>
        </w:rPr>
        <w:t xml:space="preserve"> </w:t>
      </w:r>
      <w:r>
        <w:rPr>
          <w:sz w:val="24"/>
        </w:rPr>
        <w:t>is committed to reducing such health inequalities and has stated:</w:t>
      </w:r>
    </w:p>
    <w:p w14:paraId="23956C34" w14:textId="77777777" w:rsidR="006F4CB1" w:rsidRDefault="00810B0E">
      <w:pPr>
        <w:spacing w:before="156" w:line="276" w:lineRule="auto"/>
        <w:ind w:left="1464" w:right="16"/>
        <w:jc w:val="both"/>
        <w:rPr>
          <w:i/>
          <w:sz w:val="24"/>
        </w:rPr>
      </w:pPr>
      <w:r>
        <w:rPr>
          <w:spacing w:val="-2"/>
          <w:sz w:val="24"/>
        </w:rPr>
        <w:t>“</w:t>
      </w:r>
      <w:r>
        <w:rPr>
          <w:i/>
          <w:spacing w:val="-2"/>
          <w:sz w:val="24"/>
        </w:rPr>
        <w:t>We</w:t>
      </w:r>
      <w:r>
        <w:rPr>
          <w:i/>
          <w:spacing w:val="-6"/>
          <w:sz w:val="24"/>
        </w:rPr>
        <w:t xml:space="preserve"> </w:t>
      </w:r>
      <w:r>
        <w:rPr>
          <w:i/>
          <w:spacing w:val="-2"/>
          <w:sz w:val="24"/>
        </w:rPr>
        <w:t>consider</w:t>
      </w:r>
      <w:r>
        <w:rPr>
          <w:i/>
          <w:spacing w:val="-7"/>
          <w:sz w:val="24"/>
        </w:rPr>
        <w:t xml:space="preserve"> </w:t>
      </w:r>
      <w:r>
        <w:rPr>
          <w:i/>
          <w:spacing w:val="-2"/>
          <w:sz w:val="24"/>
        </w:rPr>
        <w:t>health</w:t>
      </w:r>
      <w:r>
        <w:rPr>
          <w:i/>
          <w:spacing w:val="-9"/>
          <w:sz w:val="24"/>
        </w:rPr>
        <w:t xml:space="preserve"> </w:t>
      </w:r>
      <w:r>
        <w:rPr>
          <w:i/>
          <w:spacing w:val="-2"/>
          <w:sz w:val="24"/>
        </w:rPr>
        <w:t>inequalities</w:t>
      </w:r>
      <w:r>
        <w:rPr>
          <w:i/>
          <w:spacing w:val="-7"/>
          <w:sz w:val="24"/>
        </w:rPr>
        <w:t xml:space="preserve"> </w:t>
      </w:r>
      <w:r>
        <w:rPr>
          <w:i/>
          <w:spacing w:val="-2"/>
          <w:sz w:val="24"/>
        </w:rPr>
        <w:t>in</w:t>
      </w:r>
      <w:r>
        <w:rPr>
          <w:i/>
          <w:spacing w:val="-9"/>
          <w:sz w:val="24"/>
        </w:rPr>
        <w:t xml:space="preserve"> </w:t>
      </w:r>
      <w:r>
        <w:rPr>
          <w:i/>
          <w:spacing w:val="-2"/>
          <w:sz w:val="24"/>
        </w:rPr>
        <w:t>all</w:t>
      </w:r>
      <w:r>
        <w:rPr>
          <w:i/>
          <w:spacing w:val="-8"/>
          <w:sz w:val="24"/>
        </w:rPr>
        <w:t xml:space="preserve"> </w:t>
      </w:r>
      <w:r>
        <w:rPr>
          <w:i/>
          <w:spacing w:val="-2"/>
          <w:sz w:val="24"/>
        </w:rPr>
        <w:t>aspects</w:t>
      </w:r>
      <w:r>
        <w:rPr>
          <w:i/>
          <w:spacing w:val="-6"/>
          <w:sz w:val="24"/>
        </w:rPr>
        <w:t xml:space="preserve"> </w:t>
      </w:r>
      <w:r>
        <w:rPr>
          <w:i/>
          <w:spacing w:val="-2"/>
          <w:sz w:val="24"/>
        </w:rPr>
        <w:t>of</w:t>
      </w:r>
      <w:r>
        <w:rPr>
          <w:i/>
          <w:spacing w:val="-9"/>
          <w:sz w:val="24"/>
        </w:rPr>
        <w:t xml:space="preserve"> </w:t>
      </w:r>
      <w:r>
        <w:rPr>
          <w:i/>
          <w:spacing w:val="-2"/>
          <w:sz w:val="24"/>
        </w:rPr>
        <w:t>our</w:t>
      </w:r>
      <w:r>
        <w:rPr>
          <w:i/>
          <w:spacing w:val="-7"/>
          <w:sz w:val="24"/>
        </w:rPr>
        <w:t xml:space="preserve"> </w:t>
      </w:r>
      <w:r>
        <w:rPr>
          <w:i/>
          <w:spacing w:val="-2"/>
          <w:sz w:val="24"/>
        </w:rPr>
        <w:t>work.</w:t>
      </w:r>
      <w:r>
        <w:rPr>
          <w:i/>
          <w:spacing w:val="-3"/>
          <w:sz w:val="24"/>
        </w:rPr>
        <w:t xml:space="preserve"> </w:t>
      </w:r>
      <w:r>
        <w:rPr>
          <w:i/>
          <w:spacing w:val="-2"/>
          <w:sz w:val="24"/>
        </w:rPr>
        <w:t>We</w:t>
      </w:r>
      <w:r>
        <w:rPr>
          <w:i/>
          <w:spacing w:val="-10"/>
          <w:sz w:val="24"/>
        </w:rPr>
        <w:t xml:space="preserve"> </w:t>
      </w:r>
      <w:r>
        <w:rPr>
          <w:i/>
          <w:spacing w:val="-2"/>
          <w:sz w:val="24"/>
        </w:rPr>
        <w:t>need</w:t>
      </w:r>
      <w:r>
        <w:rPr>
          <w:i/>
          <w:spacing w:val="-9"/>
          <w:sz w:val="24"/>
        </w:rPr>
        <w:t xml:space="preserve"> </w:t>
      </w:r>
      <w:r>
        <w:rPr>
          <w:i/>
          <w:spacing w:val="-2"/>
          <w:sz w:val="24"/>
        </w:rPr>
        <w:t>to</w:t>
      </w:r>
      <w:r>
        <w:rPr>
          <w:i/>
          <w:spacing w:val="-9"/>
          <w:sz w:val="24"/>
        </w:rPr>
        <w:t xml:space="preserve"> </w:t>
      </w:r>
      <w:proofErr w:type="spellStart"/>
      <w:r>
        <w:rPr>
          <w:i/>
          <w:spacing w:val="-2"/>
          <w:sz w:val="24"/>
        </w:rPr>
        <w:t>prioritise</w:t>
      </w:r>
      <w:proofErr w:type="spellEnd"/>
      <w:r>
        <w:rPr>
          <w:i/>
          <w:spacing w:val="-2"/>
          <w:sz w:val="24"/>
        </w:rPr>
        <w:t xml:space="preserve"> </w:t>
      </w:r>
      <w:r>
        <w:rPr>
          <w:i/>
          <w:sz w:val="24"/>
        </w:rPr>
        <w:t>our</w:t>
      </w:r>
      <w:r>
        <w:rPr>
          <w:i/>
          <w:spacing w:val="-7"/>
          <w:sz w:val="24"/>
        </w:rPr>
        <w:t xml:space="preserve"> </w:t>
      </w:r>
      <w:r>
        <w:rPr>
          <w:i/>
          <w:sz w:val="24"/>
        </w:rPr>
        <w:t>efforts</w:t>
      </w:r>
      <w:r>
        <w:rPr>
          <w:i/>
          <w:spacing w:val="-6"/>
          <w:sz w:val="24"/>
        </w:rPr>
        <w:t xml:space="preserve"> </w:t>
      </w:r>
      <w:r>
        <w:rPr>
          <w:i/>
          <w:sz w:val="24"/>
        </w:rPr>
        <w:t>on</w:t>
      </w:r>
      <w:r>
        <w:rPr>
          <w:i/>
          <w:spacing w:val="-9"/>
          <w:sz w:val="24"/>
        </w:rPr>
        <w:t xml:space="preserve"> </w:t>
      </w:r>
      <w:r>
        <w:rPr>
          <w:i/>
          <w:sz w:val="24"/>
        </w:rPr>
        <w:t>those</w:t>
      </w:r>
      <w:r>
        <w:rPr>
          <w:i/>
          <w:spacing w:val="-5"/>
          <w:sz w:val="24"/>
        </w:rPr>
        <w:t xml:space="preserve"> </w:t>
      </w:r>
      <w:r>
        <w:rPr>
          <w:i/>
          <w:sz w:val="24"/>
        </w:rPr>
        <w:t>areas</w:t>
      </w:r>
      <w:r>
        <w:rPr>
          <w:i/>
          <w:spacing w:val="-7"/>
          <w:sz w:val="24"/>
        </w:rPr>
        <w:t xml:space="preserve"> </w:t>
      </w:r>
      <w:r>
        <w:rPr>
          <w:i/>
          <w:sz w:val="24"/>
        </w:rPr>
        <w:t>of</w:t>
      </w:r>
      <w:r>
        <w:rPr>
          <w:i/>
          <w:spacing w:val="-9"/>
          <w:sz w:val="24"/>
        </w:rPr>
        <w:t xml:space="preserve"> </w:t>
      </w:r>
      <w:r>
        <w:rPr>
          <w:i/>
          <w:sz w:val="24"/>
        </w:rPr>
        <w:t>guidance</w:t>
      </w:r>
      <w:r>
        <w:rPr>
          <w:i/>
          <w:spacing w:val="-11"/>
          <w:sz w:val="24"/>
        </w:rPr>
        <w:t xml:space="preserve"> </w:t>
      </w:r>
      <w:r>
        <w:rPr>
          <w:i/>
          <w:sz w:val="24"/>
        </w:rPr>
        <w:t>and</w:t>
      </w:r>
      <w:r>
        <w:rPr>
          <w:i/>
          <w:spacing w:val="-9"/>
          <w:sz w:val="24"/>
        </w:rPr>
        <w:t xml:space="preserve"> </w:t>
      </w:r>
      <w:r>
        <w:rPr>
          <w:i/>
          <w:sz w:val="24"/>
        </w:rPr>
        <w:t>appraisal</w:t>
      </w:r>
      <w:r>
        <w:rPr>
          <w:i/>
          <w:spacing w:val="-4"/>
          <w:sz w:val="24"/>
        </w:rPr>
        <w:t xml:space="preserve"> </w:t>
      </w:r>
      <w:r>
        <w:rPr>
          <w:i/>
          <w:sz w:val="24"/>
        </w:rPr>
        <w:t>that</w:t>
      </w:r>
      <w:r>
        <w:rPr>
          <w:i/>
          <w:spacing w:val="-8"/>
          <w:sz w:val="24"/>
        </w:rPr>
        <w:t xml:space="preserve"> </w:t>
      </w:r>
      <w:r>
        <w:rPr>
          <w:i/>
          <w:sz w:val="24"/>
        </w:rPr>
        <w:t>target</w:t>
      </w:r>
      <w:r>
        <w:rPr>
          <w:i/>
          <w:spacing w:val="-9"/>
          <w:sz w:val="24"/>
        </w:rPr>
        <w:t xml:space="preserve"> </w:t>
      </w:r>
      <w:r>
        <w:rPr>
          <w:i/>
          <w:sz w:val="24"/>
        </w:rPr>
        <w:t>specific</w:t>
      </w:r>
      <w:r>
        <w:rPr>
          <w:i/>
          <w:spacing w:val="-5"/>
          <w:sz w:val="24"/>
        </w:rPr>
        <w:t xml:space="preserve"> </w:t>
      </w:r>
      <w:r>
        <w:rPr>
          <w:i/>
          <w:sz w:val="24"/>
        </w:rPr>
        <w:t>groups or conditions where there is widest variation in practice or outcomes. And, where it can have the greatest impact”.</w:t>
      </w:r>
    </w:p>
    <w:p w14:paraId="23956C35" w14:textId="77777777" w:rsidR="006F4CB1" w:rsidRDefault="00810B0E">
      <w:pPr>
        <w:pStyle w:val="BodyText"/>
        <w:spacing w:before="162"/>
        <w:jc w:val="left"/>
      </w:pPr>
      <w:r>
        <w:t>Paragraph</w:t>
      </w:r>
      <w:r>
        <w:rPr>
          <w:spacing w:val="-5"/>
        </w:rPr>
        <w:t xml:space="preserve"> </w:t>
      </w:r>
      <w:r>
        <w:t>3.3.30</w:t>
      </w:r>
      <w:r>
        <w:rPr>
          <w:spacing w:val="-4"/>
        </w:rPr>
        <w:t xml:space="preserve"> </w:t>
      </w:r>
      <w:r>
        <w:t>of</w:t>
      </w:r>
      <w:r>
        <w:rPr>
          <w:spacing w:val="-3"/>
        </w:rPr>
        <w:t xml:space="preserve"> </w:t>
      </w:r>
      <w:r>
        <w:t>NICE’s</w:t>
      </w:r>
      <w:r>
        <w:rPr>
          <w:spacing w:val="-7"/>
        </w:rPr>
        <w:t xml:space="preserve"> </w:t>
      </w:r>
      <w:r>
        <w:t>Manual</w:t>
      </w:r>
      <w:r>
        <w:rPr>
          <w:spacing w:val="-4"/>
        </w:rPr>
        <w:t xml:space="preserve"> </w:t>
      </w:r>
      <w:r>
        <w:rPr>
          <w:spacing w:val="-2"/>
        </w:rPr>
        <w:t>states:</w:t>
      </w:r>
    </w:p>
    <w:p w14:paraId="23956C36" w14:textId="77777777" w:rsidR="006F4CB1" w:rsidRDefault="00810B0E">
      <w:pPr>
        <w:spacing w:before="199"/>
        <w:ind w:left="744"/>
        <w:rPr>
          <w:i/>
          <w:sz w:val="24"/>
        </w:rPr>
      </w:pPr>
      <w:r>
        <w:rPr>
          <w:sz w:val="24"/>
        </w:rPr>
        <w:t>“</w:t>
      </w:r>
      <w:r>
        <w:rPr>
          <w:i/>
          <w:sz w:val="24"/>
        </w:rPr>
        <w:t>Important</w:t>
      </w:r>
      <w:r>
        <w:rPr>
          <w:i/>
          <w:spacing w:val="-1"/>
          <w:sz w:val="24"/>
        </w:rPr>
        <w:t xml:space="preserve"> </w:t>
      </w:r>
      <w:r>
        <w:rPr>
          <w:i/>
          <w:sz w:val="24"/>
        </w:rPr>
        <w:t>context on</w:t>
      </w:r>
      <w:r>
        <w:rPr>
          <w:i/>
          <w:spacing w:val="-1"/>
          <w:sz w:val="24"/>
        </w:rPr>
        <w:t xml:space="preserve"> </w:t>
      </w:r>
      <w:r>
        <w:rPr>
          <w:i/>
          <w:sz w:val="24"/>
        </w:rPr>
        <w:t>health</w:t>
      </w:r>
      <w:r>
        <w:rPr>
          <w:i/>
          <w:spacing w:val="-5"/>
          <w:sz w:val="24"/>
        </w:rPr>
        <w:t xml:space="preserve"> </w:t>
      </w:r>
      <w:r>
        <w:rPr>
          <w:i/>
          <w:sz w:val="24"/>
        </w:rPr>
        <w:t>inequalities</w:t>
      </w:r>
      <w:r>
        <w:rPr>
          <w:i/>
          <w:spacing w:val="-3"/>
          <w:sz w:val="24"/>
        </w:rPr>
        <w:t xml:space="preserve"> </w:t>
      </w:r>
      <w:r>
        <w:rPr>
          <w:i/>
          <w:sz w:val="24"/>
        </w:rPr>
        <w:t>can</w:t>
      </w:r>
      <w:r>
        <w:rPr>
          <w:i/>
          <w:spacing w:val="-1"/>
          <w:sz w:val="24"/>
        </w:rPr>
        <w:t xml:space="preserve"> </w:t>
      </w:r>
      <w:r>
        <w:rPr>
          <w:i/>
          <w:sz w:val="24"/>
        </w:rPr>
        <w:t>be</w:t>
      </w:r>
      <w:r>
        <w:rPr>
          <w:i/>
          <w:spacing w:val="-1"/>
          <w:sz w:val="24"/>
        </w:rPr>
        <w:t xml:space="preserve"> </w:t>
      </w:r>
      <w:r>
        <w:rPr>
          <w:i/>
          <w:sz w:val="24"/>
        </w:rPr>
        <w:t>provided</w:t>
      </w:r>
      <w:r>
        <w:rPr>
          <w:i/>
          <w:spacing w:val="-1"/>
          <w:sz w:val="24"/>
        </w:rPr>
        <w:t xml:space="preserve"> </w:t>
      </w:r>
      <w:r>
        <w:rPr>
          <w:i/>
          <w:sz w:val="24"/>
        </w:rPr>
        <w:t>by</w:t>
      </w:r>
      <w:r>
        <w:rPr>
          <w:i/>
          <w:spacing w:val="-2"/>
          <w:sz w:val="24"/>
        </w:rPr>
        <w:t xml:space="preserve"> </w:t>
      </w:r>
      <w:r>
        <w:rPr>
          <w:i/>
          <w:sz w:val="24"/>
        </w:rPr>
        <w:t>data</w:t>
      </w:r>
      <w:r>
        <w:rPr>
          <w:i/>
          <w:spacing w:val="-5"/>
          <w:sz w:val="24"/>
        </w:rPr>
        <w:t xml:space="preserve"> </w:t>
      </w:r>
      <w:r>
        <w:rPr>
          <w:i/>
          <w:sz w:val="24"/>
        </w:rPr>
        <w:t xml:space="preserve">that </w:t>
      </w:r>
      <w:r>
        <w:rPr>
          <w:i/>
          <w:spacing w:val="-2"/>
          <w:sz w:val="24"/>
        </w:rPr>
        <w:t>shows:</w:t>
      </w:r>
    </w:p>
    <w:p w14:paraId="23956C37" w14:textId="77777777" w:rsidR="006F4CB1" w:rsidRDefault="00810B0E">
      <w:pPr>
        <w:pStyle w:val="ListParagraph"/>
        <w:numPr>
          <w:ilvl w:val="0"/>
          <w:numId w:val="2"/>
        </w:numPr>
        <w:tabs>
          <w:tab w:val="left" w:pos="1103"/>
        </w:tabs>
        <w:spacing w:before="46"/>
        <w:ind w:left="1103" w:hanging="359"/>
        <w:jc w:val="left"/>
        <w:rPr>
          <w:i/>
          <w:sz w:val="24"/>
        </w:rPr>
      </w:pPr>
      <w:r>
        <w:rPr>
          <w:i/>
          <w:sz w:val="24"/>
        </w:rPr>
        <w:t>differences</w:t>
      </w:r>
      <w:r>
        <w:rPr>
          <w:i/>
          <w:spacing w:val="-8"/>
          <w:sz w:val="24"/>
        </w:rPr>
        <w:t xml:space="preserve"> </w:t>
      </w:r>
      <w:r>
        <w:rPr>
          <w:i/>
          <w:sz w:val="24"/>
        </w:rPr>
        <w:t>in</w:t>
      </w:r>
      <w:r>
        <w:rPr>
          <w:i/>
          <w:spacing w:val="-3"/>
          <w:sz w:val="24"/>
        </w:rPr>
        <w:t xml:space="preserve"> </w:t>
      </w:r>
      <w:r>
        <w:rPr>
          <w:i/>
          <w:sz w:val="24"/>
        </w:rPr>
        <w:t>health</w:t>
      </w:r>
      <w:r>
        <w:rPr>
          <w:i/>
          <w:spacing w:val="-2"/>
          <w:sz w:val="24"/>
        </w:rPr>
        <w:t xml:space="preserve"> </w:t>
      </w:r>
      <w:r>
        <w:rPr>
          <w:i/>
          <w:sz w:val="24"/>
        </w:rPr>
        <w:t>outcomes</w:t>
      </w:r>
      <w:r>
        <w:rPr>
          <w:i/>
          <w:spacing w:val="-6"/>
          <w:sz w:val="24"/>
        </w:rPr>
        <w:t xml:space="preserve"> </w:t>
      </w:r>
      <w:r>
        <w:rPr>
          <w:i/>
          <w:sz w:val="24"/>
        </w:rPr>
        <w:t>between</w:t>
      </w:r>
      <w:r>
        <w:rPr>
          <w:i/>
          <w:spacing w:val="-2"/>
          <w:sz w:val="24"/>
        </w:rPr>
        <w:t xml:space="preserve"> </w:t>
      </w:r>
      <w:r>
        <w:rPr>
          <w:i/>
          <w:sz w:val="24"/>
        </w:rPr>
        <w:t>social</w:t>
      </w:r>
      <w:r>
        <w:rPr>
          <w:i/>
          <w:spacing w:val="-3"/>
          <w:sz w:val="24"/>
        </w:rPr>
        <w:t xml:space="preserve"> </w:t>
      </w:r>
      <w:r>
        <w:rPr>
          <w:i/>
          <w:sz w:val="24"/>
        </w:rPr>
        <w:t>groups</w:t>
      </w:r>
      <w:r>
        <w:rPr>
          <w:i/>
          <w:spacing w:val="-5"/>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eligible</w:t>
      </w:r>
      <w:r>
        <w:rPr>
          <w:i/>
          <w:spacing w:val="-8"/>
          <w:sz w:val="24"/>
        </w:rPr>
        <w:t xml:space="preserve"> </w:t>
      </w:r>
      <w:r>
        <w:rPr>
          <w:i/>
          <w:spacing w:val="-2"/>
          <w:sz w:val="24"/>
        </w:rPr>
        <w:t>population</w:t>
      </w:r>
    </w:p>
    <w:p w14:paraId="23956C38" w14:textId="77777777" w:rsidR="006F4CB1" w:rsidRDefault="00810B0E">
      <w:pPr>
        <w:pStyle w:val="ListParagraph"/>
        <w:numPr>
          <w:ilvl w:val="0"/>
          <w:numId w:val="2"/>
        </w:numPr>
        <w:tabs>
          <w:tab w:val="left" w:pos="1103"/>
        </w:tabs>
        <w:spacing w:before="41"/>
        <w:ind w:left="1103" w:hanging="359"/>
        <w:jc w:val="left"/>
        <w:rPr>
          <w:sz w:val="24"/>
        </w:rPr>
      </w:pPr>
      <w:r>
        <w:rPr>
          <w:i/>
          <w:sz w:val="24"/>
        </w:rPr>
        <w:t>that</w:t>
      </w:r>
      <w:r>
        <w:rPr>
          <w:i/>
          <w:spacing w:val="-5"/>
          <w:sz w:val="24"/>
        </w:rPr>
        <w:t xml:space="preserve"> </w:t>
      </w:r>
      <w:r>
        <w:rPr>
          <w:i/>
          <w:sz w:val="24"/>
        </w:rPr>
        <w:t>specific</w:t>
      </w:r>
      <w:r>
        <w:rPr>
          <w:i/>
          <w:spacing w:val="-4"/>
          <w:sz w:val="24"/>
        </w:rPr>
        <w:t xml:space="preserve"> </w:t>
      </w:r>
      <w:r>
        <w:rPr>
          <w:i/>
          <w:sz w:val="24"/>
        </w:rPr>
        <w:t>conditions</w:t>
      </w:r>
      <w:r>
        <w:rPr>
          <w:i/>
          <w:spacing w:val="-5"/>
          <w:sz w:val="24"/>
        </w:rPr>
        <w:t xml:space="preserve"> </w:t>
      </w:r>
      <w:r>
        <w:rPr>
          <w:i/>
          <w:sz w:val="24"/>
        </w:rPr>
        <w:t>are</w:t>
      </w:r>
      <w:r>
        <w:rPr>
          <w:i/>
          <w:spacing w:val="-4"/>
          <w:sz w:val="24"/>
        </w:rPr>
        <w:t xml:space="preserve"> </w:t>
      </w:r>
      <w:r>
        <w:rPr>
          <w:i/>
          <w:sz w:val="24"/>
        </w:rPr>
        <w:t>more</w:t>
      </w:r>
      <w:r>
        <w:rPr>
          <w:i/>
          <w:spacing w:val="-4"/>
          <w:sz w:val="24"/>
        </w:rPr>
        <w:t xml:space="preserve"> </w:t>
      </w:r>
      <w:r>
        <w:rPr>
          <w:i/>
          <w:sz w:val="24"/>
        </w:rPr>
        <w:t>common</w:t>
      </w:r>
      <w:r>
        <w:rPr>
          <w:i/>
          <w:spacing w:val="-3"/>
          <w:sz w:val="24"/>
        </w:rPr>
        <w:t xml:space="preserve"> </w:t>
      </w:r>
      <w:r>
        <w:rPr>
          <w:i/>
          <w:sz w:val="24"/>
        </w:rPr>
        <w:t>in</w:t>
      </w:r>
      <w:r>
        <w:rPr>
          <w:i/>
          <w:spacing w:val="-8"/>
          <w:sz w:val="24"/>
        </w:rPr>
        <w:t xml:space="preserve"> </w:t>
      </w:r>
      <w:r>
        <w:rPr>
          <w:i/>
          <w:sz w:val="24"/>
        </w:rPr>
        <w:t>disadvantaged</w:t>
      </w:r>
      <w:r>
        <w:rPr>
          <w:i/>
          <w:spacing w:val="-3"/>
          <w:sz w:val="24"/>
        </w:rPr>
        <w:t xml:space="preserve"> </w:t>
      </w:r>
      <w:r>
        <w:rPr>
          <w:i/>
          <w:spacing w:val="-2"/>
          <w:sz w:val="24"/>
        </w:rPr>
        <w:t>groups</w:t>
      </w:r>
      <w:r>
        <w:rPr>
          <w:spacing w:val="-2"/>
          <w:sz w:val="24"/>
        </w:rPr>
        <w:t>”.</w:t>
      </w:r>
    </w:p>
    <w:p w14:paraId="23956C39" w14:textId="77777777" w:rsidR="006F4CB1" w:rsidRDefault="006F4CB1">
      <w:pPr>
        <w:pStyle w:val="BodyText"/>
        <w:spacing w:before="5"/>
        <w:ind w:left="0"/>
        <w:jc w:val="left"/>
      </w:pPr>
    </w:p>
    <w:p w14:paraId="23956C3A" w14:textId="77777777" w:rsidR="006F4CB1" w:rsidRDefault="00810B0E">
      <w:pPr>
        <w:pStyle w:val="BodyText"/>
        <w:spacing w:line="276" w:lineRule="auto"/>
        <w:ind w:right="12"/>
      </w:pPr>
      <w:r>
        <w:t>However, the Committee’s consideration of health inequalities is inadequate. Paragraph 3.17 of the FDG addresses discrimination under the Equality Act 2010 (although,</w:t>
      </w:r>
      <w:r>
        <w:rPr>
          <w:spacing w:val="-6"/>
        </w:rPr>
        <w:t xml:space="preserve"> </w:t>
      </w:r>
      <w:r>
        <w:t>as</w:t>
      </w:r>
      <w:r>
        <w:rPr>
          <w:spacing w:val="-9"/>
        </w:rPr>
        <w:t xml:space="preserve"> </w:t>
      </w:r>
      <w:r>
        <w:t>explained</w:t>
      </w:r>
      <w:r>
        <w:rPr>
          <w:spacing w:val="-12"/>
        </w:rPr>
        <w:t xml:space="preserve"> </w:t>
      </w:r>
      <w:r>
        <w:t>at</w:t>
      </w:r>
      <w:r>
        <w:rPr>
          <w:spacing w:val="-7"/>
        </w:rPr>
        <w:t xml:space="preserve"> </w:t>
      </w:r>
      <w:r>
        <w:t>appeal</w:t>
      </w:r>
      <w:r>
        <w:rPr>
          <w:spacing w:val="-7"/>
        </w:rPr>
        <w:t xml:space="preserve"> </w:t>
      </w:r>
      <w:r>
        <w:t>point</w:t>
      </w:r>
      <w:r>
        <w:rPr>
          <w:spacing w:val="-11"/>
        </w:rPr>
        <w:t xml:space="preserve"> </w:t>
      </w:r>
      <w:r>
        <w:t>1.4</w:t>
      </w:r>
      <w:r>
        <w:rPr>
          <w:spacing w:val="-11"/>
        </w:rPr>
        <w:t xml:space="preserve"> </w:t>
      </w:r>
      <w:r>
        <w:t>below,</w:t>
      </w:r>
      <w:r>
        <w:rPr>
          <w:spacing w:val="-6"/>
        </w:rPr>
        <w:t xml:space="preserve"> </w:t>
      </w:r>
      <w:r>
        <w:t>it</w:t>
      </w:r>
      <w:r>
        <w:rPr>
          <w:spacing w:val="-10"/>
        </w:rPr>
        <w:t xml:space="preserve"> </w:t>
      </w:r>
      <w:r>
        <w:t>fails</w:t>
      </w:r>
      <w:r>
        <w:rPr>
          <w:spacing w:val="-9"/>
        </w:rPr>
        <w:t xml:space="preserve"> </w:t>
      </w:r>
      <w:r>
        <w:t>to</w:t>
      </w:r>
      <w:r>
        <w:rPr>
          <w:spacing w:val="-10"/>
        </w:rPr>
        <w:t xml:space="preserve"> </w:t>
      </w:r>
      <w:r>
        <w:t>comply</w:t>
      </w:r>
      <w:r>
        <w:rPr>
          <w:spacing w:val="-8"/>
        </w:rPr>
        <w:t xml:space="preserve"> </w:t>
      </w:r>
      <w:r>
        <w:t>with</w:t>
      </w:r>
      <w:r>
        <w:rPr>
          <w:spacing w:val="-11"/>
        </w:rPr>
        <w:t xml:space="preserve"> </w:t>
      </w:r>
      <w:r>
        <w:t>NICE’s</w:t>
      </w:r>
      <w:r>
        <w:rPr>
          <w:spacing w:val="-14"/>
        </w:rPr>
        <w:t xml:space="preserve"> </w:t>
      </w:r>
      <w:r>
        <w:t>public sector equality duty) but does not consider NICE’s broader obligation to take health inequalities into account when preparing its guidance.</w:t>
      </w:r>
    </w:p>
    <w:p w14:paraId="23956C3B" w14:textId="77777777" w:rsidR="006F4CB1" w:rsidRDefault="00810B0E">
      <w:pPr>
        <w:pStyle w:val="ListParagraph"/>
        <w:numPr>
          <w:ilvl w:val="1"/>
          <w:numId w:val="2"/>
        </w:numPr>
        <w:tabs>
          <w:tab w:val="left" w:pos="1464"/>
        </w:tabs>
        <w:spacing w:before="239" w:line="276" w:lineRule="auto"/>
        <w:ind w:right="11"/>
        <w:rPr>
          <w:sz w:val="24"/>
        </w:rPr>
      </w:pPr>
      <w:r>
        <w:rPr>
          <w:sz w:val="24"/>
        </w:rPr>
        <w:t>NICE’s obligation to reduce health inequalities is wholly distinct from its Equality</w:t>
      </w:r>
      <w:r>
        <w:rPr>
          <w:spacing w:val="-15"/>
          <w:sz w:val="24"/>
        </w:rPr>
        <w:t xml:space="preserve"> </w:t>
      </w:r>
      <w:r>
        <w:rPr>
          <w:sz w:val="24"/>
        </w:rPr>
        <w:t>Act</w:t>
      </w:r>
      <w:r>
        <w:rPr>
          <w:spacing w:val="-14"/>
          <w:sz w:val="24"/>
        </w:rPr>
        <w:t xml:space="preserve"> </w:t>
      </w:r>
      <w:r>
        <w:rPr>
          <w:sz w:val="24"/>
        </w:rPr>
        <w:t>duty</w:t>
      </w:r>
      <w:r>
        <w:rPr>
          <w:spacing w:val="-10"/>
          <w:sz w:val="24"/>
        </w:rPr>
        <w:t xml:space="preserve"> </w:t>
      </w:r>
      <w:r>
        <w:rPr>
          <w:sz w:val="24"/>
        </w:rPr>
        <w:t>and</w:t>
      </w:r>
      <w:r>
        <w:rPr>
          <w:spacing w:val="-10"/>
          <w:sz w:val="24"/>
        </w:rPr>
        <w:t xml:space="preserve"> </w:t>
      </w:r>
      <w:r>
        <w:rPr>
          <w:sz w:val="24"/>
        </w:rPr>
        <w:t>includes</w:t>
      </w:r>
      <w:r>
        <w:rPr>
          <w:spacing w:val="-13"/>
          <w:sz w:val="24"/>
        </w:rPr>
        <w:t xml:space="preserve"> </w:t>
      </w:r>
      <w:r>
        <w:rPr>
          <w:sz w:val="24"/>
        </w:rPr>
        <w:t>consideration</w:t>
      </w:r>
      <w:r>
        <w:rPr>
          <w:spacing w:val="-11"/>
          <w:sz w:val="24"/>
        </w:rPr>
        <w:t xml:space="preserve"> </w:t>
      </w:r>
      <w:r>
        <w:rPr>
          <w:sz w:val="24"/>
        </w:rPr>
        <w:t>of</w:t>
      </w:r>
      <w:r>
        <w:rPr>
          <w:spacing w:val="-8"/>
          <w:sz w:val="24"/>
        </w:rPr>
        <w:t xml:space="preserve"> </w:t>
      </w:r>
      <w:r>
        <w:rPr>
          <w:sz w:val="24"/>
        </w:rPr>
        <w:t>matters,</w:t>
      </w:r>
      <w:r>
        <w:rPr>
          <w:spacing w:val="-9"/>
          <w:sz w:val="24"/>
        </w:rPr>
        <w:t xml:space="preserve"> </w:t>
      </w:r>
      <w:r>
        <w:rPr>
          <w:sz w:val="24"/>
        </w:rPr>
        <w:t>such</w:t>
      </w:r>
      <w:r>
        <w:rPr>
          <w:spacing w:val="-11"/>
          <w:sz w:val="24"/>
        </w:rPr>
        <w:t xml:space="preserve"> </w:t>
      </w:r>
      <w:r>
        <w:rPr>
          <w:sz w:val="24"/>
        </w:rPr>
        <w:t>as</w:t>
      </w:r>
      <w:r>
        <w:rPr>
          <w:spacing w:val="-13"/>
          <w:sz w:val="24"/>
        </w:rPr>
        <w:t xml:space="preserve"> </w:t>
      </w:r>
      <w:r>
        <w:rPr>
          <w:sz w:val="24"/>
        </w:rPr>
        <w:t>socioeconomic status, education and access to treatment, which may be linked to inequalities although they are not protected characteristics.</w:t>
      </w:r>
      <w:r>
        <w:rPr>
          <w:spacing w:val="40"/>
          <w:sz w:val="24"/>
        </w:rPr>
        <w:t xml:space="preserve"> </w:t>
      </w:r>
      <w:r>
        <w:rPr>
          <w:sz w:val="24"/>
        </w:rPr>
        <w:t>Information regarding such health inequalities in the context of endometrial cancer was made available to the Committee, including in</w:t>
      </w:r>
      <w:r>
        <w:rPr>
          <w:spacing w:val="-7"/>
          <w:sz w:val="24"/>
        </w:rPr>
        <w:t xml:space="preserve"> </w:t>
      </w:r>
      <w:r>
        <w:rPr>
          <w:sz w:val="24"/>
        </w:rPr>
        <w:t>AstraZeneca’s initial submission (sections B 1.3- B1.4) and its response to consultation on the Draft Guidance (section 3, pages 7-10).</w:t>
      </w:r>
      <w:r>
        <w:rPr>
          <w:spacing w:val="40"/>
          <w:sz w:val="24"/>
        </w:rPr>
        <w:t xml:space="preserve"> </w:t>
      </w:r>
      <w:r>
        <w:rPr>
          <w:sz w:val="24"/>
        </w:rPr>
        <w:t>Some</w:t>
      </w:r>
      <w:r>
        <w:rPr>
          <w:spacing w:val="-5"/>
          <w:sz w:val="24"/>
        </w:rPr>
        <w:t xml:space="preserve"> </w:t>
      </w:r>
      <w:r>
        <w:rPr>
          <w:sz w:val="24"/>
        </w:rPr>
        <w:t>of</w:t>
      </w:r>
      <w:r>
        <w:rPr>
          <w:spacing w:val="-4"/>
          <w:sz w:val="24"/>
        </w:rPr>
        <w:t xml:space="preserve"> </w:t>
      </w:r>
      <w:r>
        <w:rPr>
          <w:sz w:val="24"/>
        </w:rPr>
        <w:t>these</w:t>
      </w:r>
      <w:r>
        <w:rPr>
          <w:spacing w:val="-2"/>
          <w:sz w:val="24"/>
        </w:rPr>
        <w:t xml:space="preserve"> </w:t>
      </w:r>
      <w:r>
        <w:rPr>
          <w:sz w:val="24"/>
        </w:rPr>
        <w:t>matters</w:t>
      </w:r>
      <w:r>
        <w:rPr>
          <w:spacing w:val="-4"/>
          <w:sz w:val="24"/>
        </w:rPr>
        <w:t xml:space="preserve"> </w:t>
      </w:r>
      <w:r>
        <w:rPr>
          <w:sz w:val="24"/>
        </w:rPr>
        <w:t>are</w:t>
      </w:r>
      <w:r>
        <w:rPr>
          <w:spacing w:val="-5"/>
          <w:sz w:val="24"/>
        </w:rPr>
        <w:t xml:space="preserve"> </w:t>
      </w:r>
      <w:r>
        <w:rPr>
          <w:sz w:val="24"/>
        </w:rPr>
        <w:t>reflected</w:t>
      </w:r>
      <w:r>
        <w:rPr>
          <w:spacing w:val="-2"/>
          <w:sz w:val="24"/>
        </w:rPr>
        <w:t xml:space="preserve"> </w:t>
      </w:r>
      <w:r>
        <w:rPr>
          <w:sz w:val="24"/>
        </w:rPr>
        <w:t>in</w:t>
      </w:r>
      <w:r>
        <w:rPr>
          <w:spacing w:val="-6"/>
          <w:sz w:val="24"/>
        </w:rPr>
        <w:t xml:space="preserve"> </w:t>
      </w:r>
      <w:r>
        <w:rPr>
          <w:sz w:val="24"/>
        </w:rPr>
        <w:t>the</w:t>
      </w:r>
      <w:r>
        <w:rPr>
          <w:spacing w:val="-7"/>
          <w:sz w:val="24"/>
        </w:rPr>
        <w:t xml:space="preserve"> </w:t>
      </w:r>
      <w:r>
        <w:rPr>
          <w:sz w:val="24"/>
        </w:rPr>
        <w:t>FDG</w:t>
      </w:r>
      <w:r>
        <w:rPr>
          <w:spacing w:val="-2"/>
          <w:sz w:val="24"/>
        </w:rPr>
        <w:t xml:space="preserve"> </w:t>
      </w:r>
      <w:r>
        <w:rPr>
          <w:sz w:val="24"/>
        </w:rPr>
        <w:t>at</w:t>
      </w:r>
      <w:r>
        <w:rPr>
          <w:spacing w:val="-1"/>
          <w:sz w:val="24"/>
        </w:rPr>
        <w:t xml:space="preserve"> </w:t>
      </w:r>
      <w:r>
        <w:rPr>
          <w:sz w:val="24"/>
        </w:rPr>
        <w:t>paragraph</w:t>
      </w:r>
      <w:r>
        <w:rPr>
          <w:spacing w:val="-1"/>
          <w:sz w:val="24"/>
        </w:rPr>
        <w:t xml:space="preserve"> </w:t>
      </w:r>
      <w:r>
        <w:rPr>
          <w:sz w:val="24"/>
        </w:rPr>
        <w:t>3.17,</w:t>
      </w:r>
      <w:r>
        <w:rPr>
          <w:spacing w:val="-4"/>
          <w:sz w:val="24"/>
        </w:rPr>
        <w:t xml:space="preserve"> </w:t>
      </w:r>
      <w:r>
        <w:rPr>
          <w:sz w:val="24"/>
        </w:rPr>
        <w:t>albeit in the context of NICE’s Eq</w:t>
      </w:r>
      <w:r>
        <w:rPr>
          <w:sz w:val="24"/>
        </w:rPr>
        <w:t>uality</w:t>
      </w:r>
      <w:r>
        <w:rPr>
          <w:spacing w:val="-4"/>
          <w:sz w:val="24"/>
        </w:rPr>
        <w:t xml:space="preserve"> </w:t>
      </w:r>
      <w:r>
        <w:rPr>
          <w:sz w:val="24"/>
        </w:rPr>
        <w:t>Act duties.</w:t>
      </w:r>
    </w:p>
    <w:p w14:paraId="23956C3C" w14:textId="77777777" w:rsidR="006F4CB1" w:rsidRDefault="00810B0E">
      <w:pPr>
        <w:pStyle w:val="ListParagraph"/>
        <w:numPr>
          <w:ilvl w:val="1"/>
          <w:numId w:val="2"/>
        </w:numPr>
        <w:tabs>
          <w:tab w:val="left" w:pos="1464"/>
        </w:tabs>
        <w:spacing w:line="276" w:lineRule="auto"/>
        <w:ind w:right="13"/>
        <w:rPr>
          <w:sz w:val="24"/>
        </w:rPr>
      </w:pPr>
      <w:r>
        <w:rPr>
          <w:sz w:val="24"/>
        </w:rPr>
        <w:t>The duty under the Equality Act relates principally to the prevention of discrimination</w:t>
      </w:r>
      <w:r>
        <w:rPr>
          <w:spacing w:val="-8"/>
          <w:sz w:val="24"/>
        </w:rPr>
        <w:t xml:space="preserve"> </w:t>
      </w:r>
      <w:r>
        <w:rPr>
          <w:sz w:val="24"/>
        </w:rPr>
        <w:t>based</w:t>
      </w:r>
      <w:r>
        <w:rPr>
          <w:spacing w:val="-9"/>
          <w:sz w:val="24"/>
        </w:rPr>
        <w:t xml:space="preserve"> </w:t>
      </w:r>
      <w:r>
        <w:rPr>
          <w:sz w:val="24"/>
        </w:rPr>
        <w:t>on</w:t>
      </w:r>
      <w:r>
        <w:rPr>
          <w:spacing w:val="-14"/>
          <w:sz w:val="24"/>
        </w:rPr>
        <w:t xml:space="preserve"> </w:t>
      </w:r>
      <w:r>
        <w:rPr>
          <w:sz w:val="24"/>
        </w:rPr>
        <w:t>protected</w:t>
      </w:r>
      <w:r>
        <w:rPr>
          <w:spacing w:val="-9"/>
          <w:sz w:val="24"/>
        </w:rPr>
        <w:t xml:space="preserve"> </w:t>
      </w:r>
      <w:r>
        <w:rPr>
          <w:sz w:val="24"/>
        </w:rPr>
        <w:t>characteristics,</w:t>
      </w:r>
      <w:r>
        <w:rPr>
          <w:spacing w:val="-11"/>
          <w:sz w:val="24"/>
        </w:rPr>
        <w:t xml:space="preserve"> </w:t>
      </w:r>
      <w:r>
        <w:rPr>
          <w:sz w:val="24"/>
        </w:rPr>
        <w:t>such</w:t>
      </w:r>
      <w:r>
        <w:rPr>
          <w:spacing w:val="-9"/>
          <w:sz w:val="24"/>
        </w:rPr>
        <w:t xml:space="preserve"> </w:t>
      </w:r>
      <w:r>
        <w:rPr>
          <w:sz w:val="24"/>
        </w:rPr>
        <w:t>as</w:t>
      </w:r>
      <w:r>
        <w:rPr>
          <w:spacing w:val="-11"/>
          <w:sz w:val="24"/>
        </w:rPr>
        <w:t xml:space="preserve"> </w:t>
      </w:r>
      <w:r>
        <w:rPr>
          <w:sz w:val="24"/>
        </w:rPr>
        <w:t>race</w:t>
      </w:r>
      <w:r>
        <w:rPr>
          <w:spacing w:val="-10"/>
          <w:sz w:val="24"/>
        </w:rPr>
        <w:t xml:space="preserve"> </w:t>
      </w:r>
      <w:r>
        <w:rPr>
          <w:sz w:val="24"/>
        </w:rPr>
        <w:t>or</w:t>
      </w:r>
      <w:r>
        <w:rPr>
          <w:spacing w:val="-7"/>
          <w:sz w:val="24"/>
        </w:rPr>
        <w:t xml:space="preserve"> </w:t>
      </w:r>
      <w:r>
        <w:rPr>
          <w:sz w:val="24"/>
        </w:rPr>
        <w:t>ethnicity.</w:t>
      </w:r>
      <w:r>
        <w:rPr>
          <w:spacing w:val="32"/>
          <w:sz w:val="24"/>
        </w:rPr>
        <w:t xml:space="preserve"> </w:t>
      </w:r>
      <w:r>
        <w:rPr>
          <w:sz w:val="24"/>
        </w:rPr>
        <w:t>The Committee concludes at paragraph 3.17 that a negative recommendation for durvalumab/</w:t>
      </w:r>
      <w:proofErr w:type="spellStart"/>
      <w:r>
        <w:rPr>
          <w:sz w:val="24"/>
        </w:rPr>
        <w:t>olaparib</w:t>
      </w:r>
      <w:proofErr w:type="spellEnd"/>
      <w:r>
        <w:rPr>
          <w:sz w:val="24"/>
        </w:rPr>
        <w:t xml:space="preserve"> is “</w:t>
      </w:r>
      <w:r>
        <w:rPr>
          <w:i/>
          <w:sz w:val="24"/>
        </w:rPr>
        <w:t xml:space="preserve">justifiable as a proportionate means of achieving the legitimate aim of </w:t>
      </w:r>
      <w:proofErr w:type="spellStart"/>
      <w:r>
        <w:rPr>
          <w:i/>
          <w:sz w:val="24"/>
        </w:rPr>
        <w:t>maximising</w:t>
      </w:r>
      <w:proofErr w:type="spellEnd"/>
      <w:r>
        <w:rPr>
          <w:i/>
          <w:sz w:val="24"/>
        </w:rPr>
        <w:t xml:space="preserve"> public health</w:t>
      </w:r>
      <w:r>
        <w:rPr>
          <w:sz w:val="24"/>
        </w:rPr>
        <w:t xml:space="preserve">” even though it could indirectly discriminate against people in black ethnic groups, </w:t>
      </w:r>
      <w:proofErr w:type="gramStart"/>
      <w:r>
        <w:rPr>
          <w:sz w:val="24"/>
        </w:rPr>
        <w:t>as a result of</w:t>
      </w:r>
      <w:proofErr w:type="gramEnd"/>
      <w:r>
        <w:rPr>
          <w:sz w:val="24"/>
        </w:rPr>
        <w:t xml:space="preserve"> the Committee’s conclusion that durvalumab/</w:t>
      </w:r>
      <w:proofErr w:type="spellStart"/>
      <w:r>
        <w:rPr>
          <w:sz w:val="24"/>
        </w:rPr>
        <w:t>olaparib</w:t>
      </w:r>
      <w:proofErr w:type="spellEnd"/>
      <w:r>
        <w:rPr>
          <w:sz w:val="24"/>
        </w:rPr>
        <w:t xml:space="preserve"> is not cost effective in the </w:t>
      </w:r>
      <w:proofErr w:type="spellStart"/>
      <w:r>
        <w:rPr>
          <w:sz w:val="24"/>
        </w:rPr>
        <w:t>pMMR</w:t>
      </w:r>
      <w:proofErr w:type="spellEnd"/>
      <w:r>
        <w:rPr>
          <w:sz w:val="24"/>
        </w:rPr>
        <w:t xml:space="preserve"> population.</w:t>
      </w:r>
    </w:p>
    <w:p w14:paraId="23956C3D" w14:textId="77777777" w:rsidR="006F4CB1" w:rsidRDefault="00810B0E">
      <w:pPr>
        <w:pStyle w:val="ListParagraph"/>
        <w:numPr>
          <w:ilvl w:val="1"/>
          <w:numId w:val="2"/>
        </w:numPr>
        <w:tabs>
          <w:tab w:val="left" w:pos="1464"/>
        </w:tabs>
        <w:spacing w:line="276" w:lineRule="auto"/>
        <w:ind w:right="12"/>
        <w:rPr>
          <w:sz w:val="24"/>
        </w:rPr>
      </w:pPr>
      <w:r>
        <w:rPr>
          <w:sz w:val="24"/>
        </w:rPr>
        <w:t>However, the FDG (including paragraph 3.17), gives no consideration to reduction in health inequalities, including the fact</w:t>
      </w:r>
      <w:r>
        <w:rPr>
          <w:spacing w:val="-1"/>
          <w:sz w:val="24"/>
        </w:rPr>
        <w:t xml:space="preserve"> </w:t>
      </w:r>
      <w:r>
        <w:rPr>
          <w:sz w:val="24"/>
        </w:rPr>
        <w:t xml:space="preserve">that some of the risk factors for endometrial cancer and for poor prognosis in this condition (including obesity, lower education and deprivation), are clearly linked to health </w:t>
      </w:r>
      <w:r>
        <w:rPr>
          <w:spacing w:val="-2"/>
          <w:sz w:val="24"/>
        </w:rPr>
        <w:t>inequalities.</w:t>
      </w:r>
    </w:p>
    <w:p w14:paraId="23956C3E" w14:textId="77777777" w:rsidR="006F4CB1" w:rsidRDefault="006F4CB1">
      <w:pPr>
        <w:pStyle w:val="ListParagraph"/>
        <w:spacing w:line="276" w:lineRule="auto"/>
        <w:rPr>
          <w:sz w:val="24"/>
        </w:rPr>
        <w:sectPr w:rsidR="006F4CB1">
          <w:pgSz w:w="11910" w:h="16840"/>
          <w:pgMar w:top="1360" w:right="1417" w:bottom="1280" w:left="1417" w:header="0" w:footer="1091" w:gutter="0"/>
          <w:cols w:space="720"/>
        </w:sectPr>
      </w:pPr>
    </w:p>
    <w:p w14:paraId="23956C3F" w14:textId="77777777" w:rsidR="006F4CB1" w:rsidRDefault="00810B0E">
      <w:pPr>
        <w:pStyle w:val="BodyText"/>
        <w:spacing w:before="63" w:line="278" w:lineRule="auto"/>
        <w:ind w:right="10"/>
      </w:pPr>
      <w:r>
        <w:lastRenderedPageBreak/>
        <w:t>The omission of any consideration of reduction in health inequalities which, as identified</w:t>
      </w:r>
      <w:r>
        <w:rPr>
          <w:spacing w:val="-15"/>
        </w:rPr>
        <w:t xml:space="preserve"> </w:t>
      </w:r>
      <w:r>
        <w:t>in</w:t>
      </w:r>
      <w:r>
        <w:rPr>
          <w:spacing w:val="-15"/>
        </w:rPr>
        <w:t xml:space="preserve"> </w:t>
      </w:r>
      <w:r>
        <w:t>evidence</w:t>
      </w:r>
      <w:r>
        <w:rPr>
          <w:spacing w:val="-15"/>
        </w:rPr>
        <w:t xml:space="preserve"> </w:t>
      </w:r>
      <w:r>
        <w:t>available</w:t>
      </w:r>
      <w:r>
        <w:rPr>
          <w:spacing w:val="-15"/>
        </w:rPr>
        <w:t xml:space="preserve"> </w:t>
      </w:r>
      <w:r>
        <w:t>to</w:t>
      </w:r>
      <w:r>
        <w:rPr>
          <w:spacing w:val="-15"/>
        </w:rPr>
        <w:t xml:space="preserve"> </w:t>
      </w:r>
      <w:r>
        <w:t>the</w:t>
      </w:r>
      <w:r>
        <w:rPr>
          <w:spacing w:val="-12"/>
        </w:rPr>
        <w:t xml:space="preserve"> </w:t>
      </w:r>
      <w:r>
        <w:t>Committee,</w:t>
      </w:r>
      <w:r>
        <w:rPr>
          <w:spacing w:val="-12"/>
        </w:rPr>
        <w:t xml:space="preserve"> </w:t>
      </w:r>
      <w:r>
        <w:t>are</w:t>
      </w:r>
      <w:r>
        <w:rPr>
          <w:spacing w:val="-13"/>
        </w:rPr>
        <w:t xml:space="preserve"> </w:t>
      </w:r>
      <w:r>
        <w:t>particularly</w:t>
      </w:r>
      <w:r>
        <w:rPr>
          <w:spacing w:val="-15"/>
        </w:rPr>
        <w:t xml:space="preserve"> </w:t>
      </w:r>
      <w:r>
        <w:t>significant</w:t>
      </w:r>
      <w:r>
        <w:rPr>
          <w:spacing w:val="-15"/>
        </w:rPr>
        <w:t xml:space="preserve"> </w:t>
      </w:r>
      <w:r>
        <w:t>in</w:t>
      </w:r>
      <w:r>
        <w:rPr>
          <w:spacing w:val="-15"/>
        </w:rPr>
        <w:t xml:space="preserve"> </w:t>
      </w:r>
      <w:r>
        <w:t xml:space="preserve">patients with </w:t>
      </w:r>
      <w:proofErr w:type="spellStart"/>
      <w:r>
        <w:t>pMMR</w:t>
      </w:r>
      <w:proofErr w:type="spellEnd"/>
      <w:r>
        <w:t xml:space="preserve"> endometrial cancer, breaches the requirements of NICE’s Manual.</w:t>
      </w:r>
      <w:r>
        <w:rPr>
          <w:spacing w:val="40"/>
        </w:rPr>
        <w:t xml:space="preserve"> </w:t>
      </w:r>
      <w:r>
        <w:t>One place where the</w:t>
      </w:r>
      <w:r>
        <w:rPr>
          <w:spacing w:val="-2"/>
        </w:rPr>
        <w:t xml:space="preserve"> </w:t>
      </w:r>
      <w:r>
        <w:t>Committee must</w:t>
      </w:r>
      <w:r>
        <w:rPr>
          <w:spacing w:val="-1"/>
        </w:rPr>
        <w:t xml:space="preserve"> </w:t>
      </w:r>
      <w:proofErr w:type="gramStart"/>
      <w:r>
        <w:t>take into</w:t>
      </w:r>
      <w:r>
        <w:rPr>
          <w:spacing w:val="-1"/>
        </w:rPr>
        <w:t xml:space="preserve"> </w:t>
      </w:r>
      <w:r>
        <w:t>account</w:t>
      </w:r>
      <w:proofErr w:type="gramEnd"/>
      <w:r>
        <w:t xml:space="preserve"> health inequalities</w:t>
      </w:r>
      <w:r>
        <w:rPr>
          <w:spacing w:val="-1"/>
        </w:rPr>
        <w:t xml:space="preserve"> </w:t>
      </w:r>
      <w:r>
        <w:t>is in</w:t>
      </w:r>
      <w:r>
        <w:rPr>
          <w:spacing w:val="-1"/>
        </w:rPr>
        <w:t xml:space="preserve"> </w:t>
      </w:r>
      <w:r>
        <w:t>the context of</w:t>
      </w:r>
      <w:r>
        <w:rPr>
          <w:spacing w:val="-15"/>
        </w:rPr>
        <w:t xml:space="preserve"> </w:t>
      </w:r>
      <w:r>
        <w:t>the</w:t>
      </w:r>
      <w:r>
        <w:rPr>
          <w:spacing w:val="-15"/>
        </w:rPr>
        <w:t xml:space="preserve"> </w:t>
      </w:r>
      <w:r>
        <w:t>ICER</w:t>
      </w:r>
      <w:r>
        <w:rPr>
          <w:spacing w:val="-15"/>
        </w:rPr>
        <w:t xml:space="preserve"> </w:t>
      </w:r>
      <w:r>
        <w:t>threshold,</w:t>
      </w:r>
      <w:r>
        <w:rPr>
          <w:spacing w:val="-15"/>
        </w:rPr>
        <w:t xml:space="preserve"> </w:t>
      </w:r>
      <w:r>
        <w:t>addressed</w:t>
      </w:r>
      <w:r>
        <w:rPr>
          <w:spacing w:val="-15"/>
        </w:rPr>
        <w:t xml:space="preserve"> </w:t>
      </w:r>
      <w:r>
        <w:t>at</w:t>
      </w:r>
      <w:r>
        <w:rPr>
          <w:spacing w:val="-15"/>
        </w:rPr>
        <w:t xml:space="preserve"> </w:t>
      </w:r>
      <w:r>
        <w:t>paragraph</w:t>
      </w:r>
      <w:r>
        <w:rPr>
          <w:spacing w:val="-15"/>
        </w:rPr>
        <w:t xml:space="preserve"> </w:t>
      </w:r>
      <w:r>
        <w:t>3.14</w:t>
      </w:r>
      <w:r>
        <w:rPr>
          <w:spacing w:val="-15"/>
        </w:rPr>
        <w:t xml:space="preserve"> </w:t>
      </w:r>
      <w:r>
        <w:t>of</w:t>
      </w:r>
      <w:r>
        <w:rPr>
          <w:spacing w:val="-15"/>
        </w:rPr>
        <w:t xml:space="preserve"> </w:t>
      </w:r>
      <w:r>
        <w:t>the</w:t>
      </w:r>
      <w:r>
        <w:rPr>
          <w:spacing w:val="-15"/>
        </w:rPr>
        <w:t xml:space="preserve"> </w:t>
      </w:r>
      <w:r>
        <w:t>FDG</w:t>
      </w:r>
      <w:r>
        <w:rPr>
          <w:spacing w:val="-15"/>
        </w:rPr>
        <w:t xml:space="preserve"> </w:t>
      </w:r>
      <w:r>
        <w:t>(an</w:t>
      </w:r>
      <w:r>
        <w:rPr>
          <w:spacing w:val="-15"/>
        </w:rPr>
        <w:t xml:space="preserve"> </w:t>
      </w:r>
      <w:r>
        <w:t>issue</w:t>
      </w:r>
      <w:r>
        <w:rPr>
          <w:spacing w:val="-15"/>
        </w:rPr>
        <w:t xml:space="preserve"> </w:t>
      </w:r>
      <w:r>
        <w:t>raised</w:t>
      </w:r>
      <w:r>
        <w:rPr>
          <w:spacing w:val="-15"/>
        </w:rPr>
        <w:t xml:space="preserve"> </w:t>
      </w:r>
      <w:r>
        <w:t>at</w:t>
      </w:r>
      <w:r>
        <w:rPr>
          <w:spacing w:val="-15"/>
        </w:rPr>
        <w:t xml:space="preserve"> </w:t>
      </w:r>
      <w:r>
        <w:t>appeal point</w:t>
      </w:r>
      <w:r>
        <w:rPr>
          <w:spacing w:val="-2"/>
        </w:rPr>
        <w:t xml:space="preserve"> </w:t>
      </w:r>
      <w:r>
        <w:t>1.2</w:t>
      </w:r>
      <w:r>
        <w:rPr>
          <w:spacing w:val="-6"/>
        </w:rPr>
        <w:t xml:space="preserve"> </w:t>
      </w:r>
      <w:r>
        <w:t>above).</w:t>
      </w:r>
      <w:r>
        <w:rPr>
          <w:spacing w:val="40"/>
        </w:rPr>
        <w:t xml:space="preserve"> </w:t>
      </w:r>
      <w:r>
        <w:t>However,</w:t>
      </w:r>
      <w:r>
        <w:rPr>
          <w:spacing w:val="-4"/>
        </w:rPr>
        <w:t xml:space="preserve"> </w:t>
      </w:r>
      <w:r>
        <w:t>it</w:t>
      </w:r>
      <w:r>
        <w:rPr>
          <w:spacing w:val="-5"/>
        </w:rPr>
        <w:t xml:space="preserve"> </w:t>
      </w:r>
      <w:r>
        <w:t>is</w:t>
      </w:r>
      <w:r>
        <w:rPr>
          <w:spacing w:val="-15"/>
        </w:rPr>
        <w:t xml:space="preserve"> </w:t>
      </w:r>
      <w:r>
        <w:t>AZ’s</w:t>
      </w:r>
      <w:r>
        <w:rPr>
          <w:spacing w:val="-4"/>
        </w:rPr>
        <w:t xml:space="preserve"> </w:t>
      </w:r>
      <w:r>
        <w:t>firm</w:t>
      </w:r>
      <w:r>
        <w:rPr>
          <w:spacing w:val="-6"/>
        </w:rPr>
        <w:t xml:space="preserve"> </w:t>
      </w:r>
      <w:r>
        <w:t>view</w:t>
      </w:r>
      <w:r>
        <w:rPr>
          <w:spacing w:val="-3"/>
        </w:rPr>
        <w:t xml:space="preserve"> </w:t>
      </w:r>
      <w:r>
        <w:t>that, in</w:t>
      </w:r>
      <w:r>
        <w:rPr>
          <w:spacing w:val="-6"/>
        </w:rPr>
        <w:t xml:space="preserve"> </w:t>
      </w:r>
      <w:r>
        <w:t>contrast</w:t>
      </w:r>
      <w:r>
        <w:rPr>
          <w:spacing w:val="-2"/>
        </w:rPr>
        <w:t xml:space="preserve"> </w:t>
      </w:r>
      <w:r>
        <w:t>to</w:t>
      </w:r>
      <w:r>
        <w:rPr>
          <w:spacing w:val="-6"/>
        </w:rPr>
        <w:t xml:space="preserve"> </w:t>
      </w:r>
      <w:r>
        <w:t>the</w:t>
      </w:r>
      <w:r>
        <w:rPr>
          <w:spacing w:val="-3"/>
        </w:rPr>
        <w:t xml:space="preserve"> </w:t>
      </w:r>
      <w:r>
        <w:t>approach</w:t>
      </w:r>
      <w:r>
        <w:rPr>
          <w:spacing w:val="-2"/>
        </w:rPr>
        <w:t xml:space="preserve"> </w:t>
      </w:r>
      <w:r>
        <w:t>of</w:t>
      </w:r>
      <w:r>
        <w:rPr>
          <w:spacing w:val="-4"/>
        </w:rPr>
        <w:t xml:space="preserve"> </w:t>
      </w:r>
      <w:r>
        <w:t>the Committee in this appraisal, NICE’s obligation under the Manual and its commitment referenced above require that reduction in health inequalities is considered in all parts of the guidance.</w:t>
      </w:r>
    </w:p>
    <w:p w14:paraId="23956C40" w14:textId="77777777" w:rsidR="006F4CB1" w:rsidRDefault="00810B0E">
      <w:pPr>
        <w:pStyle w:val="Heading2"/>
        <w:numPr>
          <w:ilvl w:val="1"/>
          <w:numId w:val="5"/>
        </w:numPr>
        <w:tabs>
          <w:tab w:val="left" w:pos="814"/>
          <w:tab w:val="left" w:pos="816"/>
        </w:tabs>
        <w:spacing w:before="158" w:line="276" w:lineRule="auto"/>
        <w:jc w:val="both"/>
      </w:pPr>
      <w:r>
        <w:t>Failure</w:t>
      </w:r>
      <w:r>
        <w:rPr>
          <w:spacing w:val="-11"/>
        </w:rPr>
        <w:t xml:space="preserve"> </w:t>
      </w:r>
      <w:r>
        <w:t>to</w:t>
      </w:r>
      <w:r>
        <w:rPr>
          <w:spacing w:val="-4"/>
        </w:rPr>
        <w:t xml:space="preserve"> </w:t>
      </w:r>
      <w:r>
        <w:t>act</w:t>
      </w:r>
      <w:r>
        <w:rPr>
          <w:spacing w:val="-13"/>
        </w:rPr>
        <w:t xml:space="preserve"> </w:t>
      </w:r>
      <w:r>
        <w:t>fairly</w:t>
      </w:r>
      <w:r>
        <w:rPr>
          <w:spacing w:val="-10"/>
        </w:rPr>
        <w:t xml:space="preserve"> </w:t>
      </w:r>
      <w:r>
        <w:t>by</w:t>
      </w:r>
      <w:r>
        <w:rPr>
          <w:spacing w:val="-9"/>
        </w:rPr>
        <w:t xml:space="preserve"> </w:t>
      </w:r>
      <w:r>
        <w:t>not</w:t>
      </w:r>
      <w:r>
        <w:rPr>
          <w:spacing w:val="-8"/>
        </w:rPr>
        <w:t xml:space="preserve"> </w:t>
      </w:r>
      <w:r>
        <w:t>complying</w:t>
      </w:r>
      <w:r>
        <w:rPr>
          <w:spacing w:val="-5"/>
        </w:rPr>
        <w:t xml:space="preserve"> </w:t>
      </w:r>
      <w:r>
        <w:t>with</w:t>
      </w:r>
      <w:r>
        <w:rPr>
          <w:spacing w:val="-9"/>
        </w:rPr>
        <w:t xml:space="preserve"> </w:t>
      </w:r>
      <w:r>
        <w:t>the</w:t>
      </w:r>
      <w:r>
        <w:rPr>
          <w:spacing w:val="-11"/>
        </w:rPr>
        <w:t xml:space="preserve"> </w:t>
      </w:r>
      <w:r>
        <w:t>Public</w:t>
      </w:r>
      <w:r>
        <w:rPr>
          <w:spacing w:val="-6"/>
        </w:rPr>
        <w:t xml:space="preserve"> </w:t>
      </w:r>
      <w:r>
        <w:t>Sector</w:t>
      </w:r>
      <w:r>
        <w:rPr>
          <w:spacing w:val="-15"/>
        </w:rPr>
        <w:t xml:space="preserve"> </w:t>
      </w:r>
      <w:r>
        <w:t>Equality</w:t>
      </w:r>
      <w:r>
        <w:rPr>
          <w:spacing w:val="-10"/>
        </w:rPr>
        <w:t xml:space="preserve"> </w:t>
      </w:r>
      <w:r>
        <w:t>Duty</w:t>
      </w:r>
      <w:r>
        <w:rPr>
          <w:spacing w:val="-10"/>
        </w:rPr>
        <w:t xml:space="preserve"> </w:t>
      </w:r>
      <w:r>
        <w:t>under section 149 of the Equality Act 2010</w:t>
      </w:r>
    </w:p>
    <w:p w14:paraId="23956C41" w14:textId="77777777" w:rsidR="006F4CB1" w:rsidRDefault="00810B0E">
      <w:pPr>
        <w:pStyle w:val="BodyText"/>
        <w:spacing w:before="162" w:line="280" w:lineRule="auto"/>
        <w:ind w:right="22"/>
      </w:pPr>
      <w:r>
        <w:t>The FDG fails to satisfy NICE’s Public Sector Equality Duty (PSED) as required by section 149 of the Equality</w:t>
      </w:r>
      <w:r>
        <w:rPr>
          <w:spacing w:val="-8"/>
        </w:rPr>
        <w:t xml:space="preserve"> </w:t>
      </w:r>
      <w:r>
        <w:t>Act 2010.</w:t>
      </w:r>
      <w:r>
        <w:rPr>
          <w:spacing w:val="40"/>
        </w:rPr>
        <w:t xml:space="preserve"> </w:t>
      </w:r>
      <w:r>
        <w:t>Section 149(1) provides:</w:t>
      </w:r>
    </w:p>
    <w:p w14:paraId="23956C42" w14:textId="77777777" w:rsidR="006F4CB1" w:rsidRDefault="00810B0E">
      <w:pPr>
        <w:spacing w:before="157" w:line="276" w:lineRule="auto"/>
        <w:ind w:left="1464"/>
        <w:rPr>
          <w:i/>
          <w:sz w:val="24"/>
        </w:rPr>
      </w:pPr>
      <w:r>
        <w:rPr>
          <w:i/>
          <w:sz w:val="24"/>
        </w:rPr>
        <w:t>“(1)A</w:t>
      </w:r>
      <w:r>
        <w:rPr>
          <w:i/>
          <w:spacing w:val="-6"/>
          <w:sz w:val="24"/>
        </w:rPr>
        <w:t xml:space="preserve"> </w:t>
      </w:r>
      <w:r>
        <w:rPr>
          <w:i/>
          <w:sz w:val="24"/>
        </w:rPr>
        <w:t>public</w:t>
      </w:r>
      <w:r>
        <w:rPr>
          <w:i/>
          <w:spacing w:val="-4"/>
          <w:sz w:val="24"/>
        </w:rPr>
        <w:t xml:space="preserve"> </w:t>
      </w:r>
      <w:r>
        <w:rPr>
          <w:i/>
          <w:sz w:val="24"/>
        </w:rPr>
        <w:t>authority</w:t>
      </w:r>
      <w:r>
        <w:rPr>
          <w:i/>
          <w:spacing w:val="-4"/>
          <w:sz w:val="24"/>
        </w:rPr>
        <w:t xml:space="preserve"> </w:t>
      </w:r>
      <w:r>
        <w:rPr>
          <w:i/>
          <w:sz w:val="24"/>
        </w:rPr>
        <w:t>must,</w:t>
      </w:r>
      <w:r>
        <w:rPr>
          <w:i/>
          <w:spacing w:val="-1"/>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exercise</w:t>
      </w:r>
      <w:r>
        <w:rPr>
          <w:i/>
          <w:spacing w:val="-4"/>
          <w:sz w:val="24"/>
        </w:rPr>
        <w:t xml:space="preserve"> </w:t>
      </w:r>
      <w:r>
        <w:rPr>
          <w:i/>
          <w:sz w:val="24"/>
        </w:rPr>
        <w:t>of</w:t>
      </w:r>
      <w:r>
        <w:rPr>
          <w:i/>
          <w:spacing w:val="-3"/>
          <w:sz w:val="24"/>
        </w:rPr>
        <w:t xml:space="preserve"> </w:t>
      </w:r>
      <w:r>
        <w:rPr>
          <w:i/>
          <w:sz w:val="24"/>
        </w:rPr>
        <w:t>its</w:t>
      </w:r>
      <w:r>
        <w:rPr>
          <w:i/>
          <w:spacing w:val="-6"/>
          <w:sz w:val="24"/>
        </w:rPr>
        <w:t xml:space="preserve"> </w:t>
      </w:r>
      <w:r>
        <w:rPr>
          <w:i/>
          <w:sz w:val="24"/>
        </w:rPr>
        <w:t>functions,</w:t>
      </w:r>
      <w:r>
        <w:rPr>
          <w:i/>
          <w:spacing w:val="-1"/>
          <w:sz w:val="24"/>
        </w:rPr>
        <w:t xml:space="preserve"> </w:t>
      </w:r>
      <w:r>
        <w:rPr>
          <w:i/>
          <w:sz w:val="24"/>
        </w:rPr>
        <w:t>have</w:t>
      </w:r>
      <w:r>
        <w:rPr>
          <w:i/>
          <w:spacing w:val="-4"/>
          <w:sz w:val="24"/>
        </w:rPr>
        <w:t xml:space="preserve"> </w:t>
      </w:r>
      <w:r>
        <w:rPr>
          <w:i/>
          <w:sz w:val="24"/>
        </w:rPr>
        <w:t>due</w:t>
      </w:r>
      <w:r>
        <w:rPr>
          <w:i/>
          <w:spacing w:val="-4"/>
          <w:sz w:val="24"/>
        </w:rPr>
        <w:t xml:space="preserve"> </w:t>
      </w:r>
      <w:r>
        <w:rPr>
          <w:i/>
          <w:sz w:val="24"/>
        </w:rPr>
        <w:t>regard</w:t>
      </w:r>
      <w:r>
        <w:rPr>
          <w:i/>
          <w:spacing w:val="-3"/>
          <w:sz w:val="24"/>
        </w:rPr>
        <w:t xml:space="preserve"> </w:t>
      </w:r>
      <w:r>
        <w:rPr>
          <w:i/>
          <w:sz w:val="24"/>
        </w:rPr>
        <w:t>to the need to—</w:t>
      </w:r>
    </w:p>
    <w:p w14:paraId="23956C43" w14:textId="77777777" w:rsidR="006F4CB1" w:rsidRDefault="00810B0E">
      <w:pPr>
        <w:pStyle w:val="ListParagraph"/>
        <w:numPr>
          <w:ilvl w:val="2"/>
          <w:numId w:val="5"/>
        </w:numPr>
        <w:tabs>
          <w:tab w:val="left" w:pos="1817"/>
        </w:tabs>
        <w:spacing w:before="162" w:line="280" w:lineRule="auto"/>
        <w:ind w:right="24" w:firstLine="0"/>
        <w:jc w:val="both"/>
        <w:rPr>
          <w:i/>
          <w:sz w:val="24"/>
        </w:rPr>
      </w:pPr>
      <w:r>
        <w:rPr>
          <w:i/>
          <w:sz w:val="24"/>
        </w:rPr>
        <w:t xml:space="preserve">eliminate discrimination, harassment, </w:t>
      </w:r>
      <w:proofErr w:type="spellStart"/>
      <w:r>
        <w:rPr>
          <w:i/>
          <w:sz w:val="24"/>
        </w:rPr>
        <w:t>victimisation</w:t>
      </w:r>
      <w:proofErr w:type="spellEnd"/>
      <w:r>
        <w:rPr>
          <w:i/>
          <w:sz w:val="24"/>
        </w:rPr>
        <w:t xml:space="preserve"> and any other conduct that is prohibited by or under this </w:t>
      </w:r>
      <w:proofErr w:type="gramStart"/>
      <w:r>
        <w:rPr>
          <w:i/>
          <w:sz w:val="24"/>
        </w:rPr>
        <w:t>Act;</w:t>
      </w:r>
      <w:proofErr w:type="gramEnd"/>
    </w:p>
    <w:p w14:paraId="23956C44" w14:textId="77777777" w:rsidR="006F4CB1" w:rsidRDefault="00810B0E">
      <w:pPr>
        <w:pStyle w:val="ListParagraph"/>
        <w:numPr>
          <w:ilvl w:val="2"/>
          <w:numId w:val="5"/>
        </w:numPr>
        <w:tabs>
          <w:tab w:val="left" w:pos="1855"/>
        </w:tabs>
        <w:spacing w:before="156" w:line="276" w:lineRule="auto"/>
        <w:ind w:right="23" w:firstLine="0"/>
        <w:jc w:val="both"/>
        <w:rPr>
          <w:i/>
          <w:sz w:val="24"/>
        </w:rPr>
      </w:pPr>
      <w:r>
        <w:rPr>
          <w:i/>
          <w:sz w:val="24"/>
        </w:rPr>
        <w:t xml:space="preserve">advance equality of opportunity between </w:t>
      </w:r>
      <w:proofErr w:type="gramStart"/>
      <w:r>
        <w:rPr>
          <w:i/>
          <w:sz w:val="24"/>
        </w:rPr>
        <w:t>persons</w:t>
      </w:r>
      <w:proofErr w:type="gramEnd"/>
      <w:r>
        <w:rPr>
          <w:i/>
          <w:sz w:val="24"/>
        </w:rPr>
        <w:t xml:space="preserve"> who share a relevant protected characteristic and </w:t>
      </w:r>
      <w:proofErr w:type="gramStart"/>
      <w:r>
        <w:rPr>
          <w:i/>
          <w:sz w:val="24"/>
        </w:rPr>
        <w:t>persons</w:t>
      </w:r>
      <w:proofErr w:type="gramEnd"/>
      <w:r>
        <w:rPr>
          <w:i/>
          <w:sz w:val="24"/>
        </w:rPr>
        <w:t xml:space="preserve"> who do not share </w:t>
      </w:r>
      <w:proofErr w:type="gramStart"/>
      <w:r>
        <w:rPr>
          <w:i/>
          <w:sz w:val="24"/>
        </w:rPr>
        <w:t>it;</w:t>
      </w:r>
      <w:proofErr w:type="gramEnd"/>
    </w:p>
    <w:p w14:paraId="23956C45" w14:textId="77777777" w:rsidR="006F4CB1" w:rsidRDefault="00810B0E">
      <w:pPr>
        <w:pStyle w:val="ListParagraph"/>
        <w:numPr>
          <w:ilvl w:val="2"/>
          <w:numId w:val="5"/>
        </w:numPr>
        <w:tabs>
          <w:tab w:val="left" w:pos="1851"/>
        </w:tabs>
        <w:spacing w:before="162" w:line="280" w:lineRule="auto"/>
        <w:ind w:right="24" w:firstLine="0"/>
        <w:jc w:val="both"/>
        <w:rPr>
          <w:i/>
          <w:sz w:val="24"/>
        </w:rPr>
      </w:pPr>
      <w:r>
        <w:rPr>
          <w:i/>
          <w:sz w:val="24"/>
        </w:rPr>
        <w:t>foster good relations between persons who share a relevant protected characteristic and persons who do not share it”.</w:t>
      </w:r>
    </w:p>
    <w:p w14:paraId="23956C46" w14:textId="77777777" w:rsidR="006F4CB1" w:rsidRDefault="00810B0E">
      <w:pPr>
        <w:pStyle w:val="BodyText"/>
        <w:spacing w:before="156" w:line="280" w:lineRule="auto"/>
        <w:ind w:right="14"/>
      </w:pPr>
      <w:r>
        <w:t>Public</w:t>
      </w:r>
      <w:r>
        <w:rPr>
          <w:spacing w:val="-5"/>
        </w:rPr>
        <w:t xml:space="preserve"> </w:t>
      </w:r>
      <w:r>
        <w:t>bodies</w:t>
      </w:r>
      <w:r>
        <w:rPr>
          <w:spacing w:val="-4"/>
        </w:rPr>
        <w:t xml:space="preserve"> </w:t>
      </w:r>
      <w:r>
        <w:t>listed</w:t>
      </w:r>
      <w:r>
        <w:rPr>
          <w:spacing w:val="-2"/>
        </w:rPr>
        <w:t xml:space="preserve"> </w:t>
      </w:r>
      <w:r>
        <w:t>in</w:t>
      </w:r>
      <w:r>
        <w:rPr>
          <w:spacing w:val="-5"/>
        </w:rPr>
        <w:t xml:space="preserve"> </w:t>
      </w:r>
      <w:r>
        <w:t>Schedule</w:t>
      </w:r>
      <w:r>
        <w:rPr>
          <w:spacing w:val="-2"/>
        </w:rPr>
        <w:t xml:space="preserve"> </w:t>
      </w:r>
      <w:r>
        <w:t>19</w:t>
      </w:r>
      <w:r>
        <w:rPr>
          <w:spacing w:val="-5"/>
        </w:rPr>
        <w:t xml:space="preserve"> </w:t>
      </w:r>
      <w:r>
        <w:t>to</w:t>
      </w:r>
      <w:r>
        <w:rPr>
          <w:spacing w:val="-1"/>
        </w:rPr>
        <w:t xml:space="preserve"> </w:t>
      </w:r>
      <w:r>
        <w:t>the</w:t>
      </w:r>
      <w:r>
        <w:rPr>
          <w:spacing w:val="-2"/>
        </w:rPr>
        <w:t xml:space="preserve"> </w:t>
      </w:r>
      <w:r>
        <w:t>Equality</w:t>
      </w:r>
      <w:r>
        <w:rPr>
          <w:spacing w:val="-15"/>
        </w:rPr>
        <w:t xml:space="preserve"> </w:t>
      </w:r>
      <w:r>
        <w:t>Act are</w:t>
      </w:r>
      <w:r>
        <w:rPr>
          <w:spacing w:val="-2"/>
        </w:rPr>
        <w:t xml:space="preserve"> </w:t>
      </w:r>
      <w:r>
        <w:t>required</w:t>
      </w:r>
      <w:r>
        <w:rPr>
          <w:spacing w:val="-1"/>
        </w:rPr>
        <w:t xml:space="preserve"> </w:t>
      </w:r>
      <w:r>
        <w:t>to</w:t>
      </w:r>
      <w:r>
        <w:rPr>
          <w:spacing w:val="-5"/>
        </w:rPr>
        <w:t xml:space="preserve"> </w:t>
      </w:r>
      <w:r>
        <w:t>comply</w:t>
      </w:r>
      <w:r>
        <w:rPr>
          <w:spacing w:val="-1"/>
        </w:rPr>
        <w:t xml:space="preserve"> </w:t>
      </w:r>
      <w:r>
        <w:t>with</w:t>
      </w:r>
      <w:r>
        <w:rPr>
          <w:spacing w:val="-5"/>
        </w:rPr>
        <w:t xml:space="preserve"> </w:t>
      </w:r>
      <w:r>
        <w:t>the duty under section 149.</w:t>
      </w:r>
      <w:r>
        <w:rPr>
          <w:spacing w:val="40"/>
        </w:rPr>
        <w:t xml:space="preserve"> </w:t>
      </w:r>
      <w:r>
        <w:t>NICE is listed in Schedule 19.</w:t>
      </w:r>
    </w:p>
    <w:p w14:paraId="23956C47" w14:textId="77777777" w:rsidR="006F4CB1" w:rsidRDefault="00810B0E">
      <w:pPr>
        <w:pStyle w:val="BodyText"/>
        <w:spacing w:before="151" w:line="278" w:lineRule="auto"/>
        <w:ind w:right="11"/>
      </w:pPr>
      <w:r>
        <w:t>Guidance issued by the Government Equalities Office indicates that the general duty imposed on public bodies requires them to have due regard to matters including the need</w:t>
      </w:r>
      <w:r>
        <w:rPr>
          <w:spacing w:val="-10"/>
        </w:rPr>
        <w:t xml:space="preserve"> </w:t>
      </w:r>
      <w:r>
        <w:t>to</w:t>
      </w:r>
      <w:r>
        <w:rPr>
          <w:spacing w:val="-9"/>
        </w:rPr>
        <w:t xml:space="preserve"> </w:t>
      </w:r>
      <w:r>
        <w:t>“advance</w:t>
      </w:r>
      <w:r>
        <w:rPr>
          <w:spacing w:val="-11"/>
        </w:rPr>
        <w:t xml:space="preserve"> </w:t>
      </w:r>
      <w:r>
        <w:t>equality</w:t>
      </w:r>
      <w:r>
        <w:rPr>
          <w:spacing w:val="-9"/>
        </w:rPr>
        <w:t xml:space="preserve"> </w:t>
      </w:r>
      <w:r>
        <w:t>of</w:t>
      </w:r>
      <w:r>
        <w:rPr>
          <w:spacing w:val="-8"/>
        </w:rPr>
        <w:t xml:space="preserve"> </w:t>
      </w:r>
      <w:r>
        <w:t>opportunity</w:t>
      </w:r>
      <w:r>
        <w:rPr>
          <w:spacing w:val="-9"/>
        </w:rPr>
        <w:t xml:space="preserve"> </w:t>
      </w:r>
      <w:r>
        <w:t>between</w:t>
      </w:r>
      <w:r>
        <w:rPr>
          <w:spacing w:val="-10"/>
        </w:rPr>
        <w:t xml:space="preserve"> </w:t>
      </w:r>
      <w:r>
        <w:t>people</w:t>
      </w:r>
      <w:r>
        <w:rPr>
          <w:spacing w:val="-10"/>
        </w:rPr>
        <w:t xml:space="preserve"> </w:t>
      </w:r>
      <w:r>
        <w:t>who</w:t>
      </w:r>
      <w:r>
        <w:rPr>
          <w:spacing w:val="-10"/>
        </w:rPr>
        <w:t xml:space="preserve"> </w:t>
      </w:r>
      <w:r>
        <w:t>share</w:t>
      </w:r>
      <w:r>
        <w:rPr>
          <w:spacing w:val="-11"/>
        </w:rPr>
        <w:t xml:space="preserve"> </w:t>
      </w:r>
      <w:r>
        <w:t>and</w:t>
      </w:r>
      <w:r>
        <w:rPr>
          <w:spacing w:val="-10"/>
        </w:rPr>
        <w:t xml:space="preserve"> </w:t>
      </w:r>
      <w:r>
        <w:t>people</w:t>
      </w:r>
      <w:r>
        <w:rPr>
          <w:spacing w:val="-10"/>
        </w:rPr>
        <w:t xml:space="preserve"> </w:t>
      </w:r>
      <w:r>
        <w:t>who</w:t>
      </w:r>
      <w:r>
        <w:rPr>
          <w:spacing w:val="-10"/>
        </w:rPr>
        <w:t xml:space="preserve"> </w:t>
      </w:r>
      <w:r>
        <w:t xml:space="preserve">do not share a relevant protected characteristic”. Advancing equality of opportunity includes having due regard to the need to: (a) remove or </w:t>
      </w:r>
      <w:proofErr w:type="spellStart"/>
      <w:r>
        <w:t>minimise</w:t>
      </w:r>
      <w:proofErr w:type="spellEnd"/>
      <w:r>
        <w:t xml:space="preserve"> disadvantages suffered by people due to their relevant protected characteristics; and (b) take steps to meet the different needs of people who share a relevant protected characteristic.</w:t>
      </w:r>
    </w:p>
    <w:p w14:paraId="23956C48" w14:textId="77777777" w:rsidR="006F4CB1" w:rsidRDefault="00810B0E">
      <w:pPr>
        <w:pStyle w:val="BodyText"/>
        <w:spacing w:before="161" w:line="278" w:lineRule="auto"/>
        <w:ind w:right="17"/>
      </w:pPr>
      <w:r>
        <w:t>While paragraph 3.17 gives a limited assessment of potential indirect discrimination against people in Black ethnic groups, it has failed to engage with NICE’s wider duty to proactively advance equality and reduce disparities in outcomes as required by the Government Equalities Act Guidance.</w:t>
      </w:r>
      <w:r>
        <w:rPr>
          <w:spacing w:val="40"/>
        </w:rPr>
        <w:t xml:space="preserve"> </w:t>
      </w:r>
      <w:r>
        <w:t>This limited consideration is reflected in the accompanying Equalities Impact Assessment (EIA).</w:t>
      </w:r>
    </w:p>
    <w:p w14:paraId="23956C49" w14:textId="77777777" w:rsidR="006F4CB1" w:rsidRDefault="00810B0E">
      <w:pPr>
        <w:pStyle w:val="BodyText"/>
        <w:spacing w:before="156" w:line="278" w:lineRule="auto"/>
        <w:ind w:right="17"/>
      </w:pPr>
      <w:r>
        <w:t>The shortcomings listed above demonstrate NICE’s failure to comply with the substantive</w:t>
      </w:r>
      <w:r>
        <w:rPr>
          <w:spacing w:val="-15"/>
        </w:rPr>
        <w:t xml:space="preserve"> </w:t>
      </w:r>
      <w:r>
        <w:t>and</w:t>
      </w:r>
      <w:r>
        <w:rPr>
          <w:spacing w:val="-15"/>
        </w:rPr>
        <w:t xml:space="preserve"> </w:t>
      </w:r>
      <w:r>
        <w:t>procedural</w:t>
      </w:r>
      <w:r>
        <w:rPr>
          <w:spacing w:val="-15"/>
        </w:rPr>
        <w:t xml:space="preserve"> </w:t>
      </w:r>
      <w:r>
        <w:t>requirements</w:t>
      </w:r>
      <w:r>
        <w:rPr>
          <w:spacing w:val="-15"/>
        </w:rPr>
        <w:t xml:space="preserve"> </w:t>
      </w:r>
      <w:r>
        <w:t>under</w:t>
      </w:r>
      <w:r>
        <w:rPr>
          <w:spacing w:val="-15"/>
        </w:rPr>
        <w:t xml:space="preserve"> </w:t>
      </w:r>
      <w:r>
        <w:t>the</w:t>
      </w:r>
      <w:r>
        <w:rPr>
          <w:spacing w:val="-15"/>
        </w:rPr>
        <w:t xml:space="preserve"> </w:t>
      </w:r>
      <w:r>
        <w:t>PSED</w:t>
      </w:r>
      <w:r>
        <w:rPr>
          <w:spacing w:val="-13"/>
        </w:rPr>
        <w:t xml:space="preserve"> </w:t>
      </w:r>
      <w:r>
        <w:t>or</w:t>
      </w:r>
      <w:r>
        <w:rPr>
          <w:spacing w:val="-14"/>
        </w:rPr>
        <w:t xml:space="preserve"> </w:t>
      </w:r>
      <w:r>
        <w:t>to</w:t>
      </w:r>
      <w:r>
        <w:rPr>
          <w:spacing w:val="-15"/>
        </w:rPr>
        <w:t xml:space="preserve"> </w:t>
      </w:r>
      <w:r>
        <w:t>carry</w:t>
      </w:r>
      <w:r>
        <w:rPr>
          <w:spacing w:val="-15"/>
        </w:rPr>
        <w:t xml:space="preserve"> </w:t>
      </w:r>
      <w:r>
        <w:t>out</w:t>
      </w:r>
      <w:r>
        <w:rPr>
          <w:spacing w:val="-15"/>
        </w:rPr>
        <w:t xml:space="preserve"> </w:t>
      </w:r>
      <w:r>
        <w:t>any</w:t>
      </w:r>
      <w:r>
        <w:rPr>
          <w:spacing w:val="-15"/>
        </w:rPr>
        <w:t xml:space="preserve"> </w:t>
      </w:r>
      <w:r>
        <w:t xml:space="preserve">assessment </w:t>
      </w:r>
      <w:proofErr w:type="gramStart"/>
      <w:r>
        <w:t>of</w:t>
      </w:r>
      <w:r>
        <w:rPr>
          <w:spacing w:val="55"/>
        </w:rPr>
        <w:t xml:space="preserve">  </w:t>
      </w:r>
      <w:r>
        <w:t>the</w:t>
      </w:r>
      <w:proofErr w:type="gramEnd"/>
      <w:r>
        <w:rPr>
          <w:spacing w:val="53"/>
        </w:rPr>
        <w:t xml:space="preserve">  </w:t>
      </w:r>
      <w:proofErr w:type="gramStart"/>
      <w:r>
        <w:t>impact</w:t>
      </w:r>
      <w:r>
        <w:rPr>
          <w:spacing w:val="55"/>
        </w:rPr>
        <w:t xml:space="preserve">  </w:t>
      </w:r>
      <w:r>
        <w:t>of</w:t>
      </w:r>
      <w:proofErr w:type="gramEnd"/>
      <w:r>
        <w:rPr>
          <w:spacing w:val="54"/>
        </w:rPr>
        <w:t xml:space="preserve">  </w:t>
      </w:r>
      <w:proofErr w:type="gramStart"/>
      <w:r>
        <w:t>the</w:t>
      </w:r>
      <w:r>
        <w:rPr>
          <w:spacing w:val="54"/>
        </w:rPr>
        <w:t xml:space="preserve">  </w:t>
      </w:r>
      <w:r>
        <w:t>draft</w:t>
      </w:r>
      <w:proofErr w:type="gramEnd"/>
      <w:r>
        <w:rPr>
          <w:spacing w:val="54"/>
        </w:rPr>
        <w:t xml:space="preserve">  </w:t>
      </w:r>
      <w:proofErr w:type="gramStart"/>
      <w:r>
        <w:t>recommendations</w:t>
      </w:r>
      <w:r>
        <w:rPr>
          <w:spacing w:val="55"/>
        </w:rPr>
        <w:t xml:space="preserve">  </w:t>
      </w:r>
      <w:r>
        <w:t>on</w:t>
      </w:r>
      <w:proofErr w:type="gramEnd"/>
      <w:r>
        <w:rPr>
          <w:spacing w:val="60"/>
        </w:rPr>
        <w:t xml:space="preserve">  </w:t>
      </w:r>
      <w:proofErr w:type="gramStart"/>
      <w:r>
        <w:t>people</w:t>
      </w:r>
      <w:r>
        <w:rPr>
          <w:spacing w:val="53"/>
        </w:rPr>
        <w:t xml:space="preserve">  </w:t>
      </w:r>
      <w:r>
        <w:t>with</w:t>
      </w:r>
      <w:proofErr w:type="gramEnd"/>
      <w:r>
        <w:rPr>
          <w:spacing w:val="55"/>
        </w:rPr>
        <w:t xml:space="preserve">  </w:t>
      </w:r>
      <w:r>
        <w:rPr>
          <w:spacing w:val="-2"/>
        </w:rPr>
        <w:t>protected</w:t>
      </w:r>
    </w:p>
    <w:p w14:paraId="23956C4A" w14:textId="77777777" w:rsidR="006F4CB1" w:rsidRDefault="006F4CB1">
      <w:pPr>
        <w:pStyle w:val="BodyText"/>
        <w:spacing w:line="278" w:lineRule="auto"/>
        <w:sectPr w:rsidR="006F4CB1">
          <w:pgSz w:w="11910" w:h="16840"/>
          <w:pgMar w:top="1360" w:right="1417" w:bottom="1280" w:left="1417" w:header="0" w:footer="1091" w:gutter="0"/>
          <w:cols w:space="720"/>
        </w:sectPr>
      </w:pPr>
    </w:p>
    <w:p w14:paraId="23956C4B" w14:textId="77777777" w:rsidR="006F4CB1" w:rsidRDefault="00810B0E">
      <w:pPr>
        <w:pStyle w:val="BodyText"/>
        <w:spacing w:before="63" w:line="278" w:lineRule="auto"/>
        <w:ind w:right="18"/>
      </w:pPr>
      <w:r>
        <w:lastRenderedPageBreak/>
        <w:t>characteristics.</w:t>
      </w:r>
      <w:r>
        <w:rPr>
          <w:spacing w:val="40"/>
        </w:rPr>
        <w:t xml:space="preserve"> </w:t>
      </w:r>
      <w:r>
        <w:t>We request that the FDG be remitted to the Committee for a documented and evidence</w:t>
      </w:r>
      <w:proofErr w:type="gramStart"/>
      <w:r>
        <w:t>-</w:t>
      </w:r>
      <w:r>
        <w:rPr>
          <w:spacing w:val="-2"/>
        </w:rPr>
        <w:t xml:space="preserve"> </w:t>
      </w:r>
      <w:r>
        <w:t>based</w:t>
      </w:r>
      <w:proofErr w:type="gramEnd"/>
      <w:r>
        <w:t xml:space="preserve"> assessment of equality and</w:t>
      </w:r>
      <w:r>
        <w:rPr>
          <w:spacing w:val="-4"/>
        </w:rPr>
        <w:t xml:space="preserve"> </w:t>
      </w:r>
      <w:r>
        <w:t>health</w:t>
      </w:r>
      <w:r>
        <w:rPr>
          <w:spacing w:val="-4"/>
        </w:rPr>
        <w:t xml:space="preserve"> </w:t>
      </w:r>
      <w:r>
        <w:t>inequality</w:t>
      </w:r>
      <w:r>
        <w:rPr>
          <w:spacing w:val="-4"/>
        </w:rPr>
        <w:t xml:space="preserve"> </w:t>
      </w:r>
      <w:r>
        <w:t>impacts across all relevant protected groups to ensure that NICE’s legal duties under section 149 of the Equality</w:t>
      </w:r>
      <w:r>
        <w:rPr>
          <w:spacing w:val="-4"/>
        </w:rPr>
        <w:t xml:space="preserve"> </w:t>
      </w:r>
      <w:r>
        <w:t>Act 2010 are fully met.</w:t>
      </w:r>
    </w:p>
    <w:p w14:paraId="23956C4C" w14:textId="77777777" w:rsidR="006F4CB1" w:rsidRDefault="006F4CB1">
      <w:pPr>
        <w:pStyle w:val="BodyText"/>
        <w:ind w:left="0"/>
        <w:jc w:val="left"/>
      </w:pPr>
    </w:p>
    <w:p w14:paraId="23956C4D" w14:textId="77777777" w:rsidR="006F4CB1" w:rsidRDefault="006F4CB1">
      <w:pPr>
        <w:pStyle w:val="BodyText"/>
        <w:spacing w:before="88"/>
        <w:ind w:left="0"/>
        <w:jc w:val="left"/>
      </w:pPr>
    </w:p>
    <w:p w14:paraId="23956C4E" w14:textId="77777777" w:rsidR="006F4CB1" w:rsidRDefault="00810B0E">
      <w:pPr>
        <w:pStyle w:val="Heading2"/>
        <w:numPr>
          <w:ilvl w:val="1"/>
          <w:numId w:val="5"/>
        </w:numPr>
        <w:tabs>
          <w:tab w:val="left" w:pos="814"/>
          <w:tab w:val="left" w:pos="816"/>
        </w:tabs>
        <w:spacing w:line="278" w:lineRule="auto"/>
        <w:ind w:right="24"/>
        <w:jc w:val="both"/>
      </w:pPr>
      <w:r>
        <w:t>The fact that the Committee altered its position in relation to a key issue immediately</w:t>
      </w:r>
      <w:r>
        <w:rPr>
          <w:spacing w:val="-8"/>
        </w:rPr>
        <w:t xml:space="preserve"> </w:t>
      </w:r>
      <w:r>
        <w:t>before</w:t>
      </w:r>
      <w:r>
        <w:rPr>
          <w:spacing w:val="-15"/>
        </w:rPr>
        <w:t xml:space="preserve"> </w:t>
      </w:r>
      <w:r>
        <w:t>ACM2</w:t>
      </w:r>
      <w:r>
        <w:rPr>
          <w:spacing w:val="-2"/>
        </w:rPr>
        <w:t xml:space="preserve"> </w:t>
      </w:r>
      <w:r>
        <w:t>with</w:t>
      </w:r>
      <w:r>
        <w:rPr>
          <w:spacing w:val="-6"/>
        </w:rPr>
        <w:t xml:space="preserve"> </w:t>
      </w:r>
      <w:r>
        <w:t>no</w:t>
      </w:r>
      <w:r>
        <w:rPr>
          <w:spacing w:val="-7"/>
        </w:rPr>
        <w:t xml:space="preserve"> </w:t>
      </w:r>
      <w:r>
        <w:t>opportunity</w:t>
      </w:r>
      <w:r>
        <w:rPr>
          <w:spacing w:val="-12"/>
        </w:rPr>
        <w:t xml:space="preserve"> </w:t>
      </w:r>
      <w:r>
        <w:t>for</w:t>
      </w:r>
      <w:r>
        <w:rPr>
          <w:spacing w:val="-8"/>
        </w:rPr>
        <w:t xml:space="preserve"> </w:t>
      </w:r>
      <w:r>
        <w:t>consideration</w:t>
      </w:r>
      <w:r>
        <w:rPr>
          <w:spacing w:val="-1"/>
        </w:rPr>
        <w:t xml:space="preserve"> </w:t>
      </w:r>
      <w:r>
        <w:t>or</w:t>
      </w:r>
      <w:r>
        <w:rPr>
          <w:spacing w:val="-8"/>
        </w:rPr>
        <w:t xml:space="preserve"> </w:t>
      </w:r>
      <w:r>
        <w:t>consultation by</w:t>
      </w:r>
      <w:r>
        <w:rPr>
          <w:spacing w:val="-5"/>
        </w:rPr>
        <w:t xml:space="preserve"> </w:t>
      </w:r>
      <w:r>
        <w:t>AZ is not consistent with NICE’s procedures or standards of fairness</w:t>
      </w:r>
    </w:p>
    <w:p w14:paraId="23956C4F" w14:textId="77777777" w:rsidR="006F4CB1" w:rsidRDefault="00810B0E">
      <w:pPr>
        <w:pStyle w:val="BodyText"/>
        <w:spacing w:before="159" w:line="278" w:lineRule="auto"/>
        <w:ind w:right="11"/>
      </w:pPr>
      <w:r>
        <w:t xml:space="preserve">The proportion of people with </w:t>
      </w:r>
      <w:proofErr w:type="spellStart"/>
      <w:r>
        <w:t>pMMR</w:t>
      </w:r>
      <w:proofErr w:type="spellEnd"/>
      <w:r>
        <w:t xml:space="preserve"> endometrial cancer who commence </w:t>
      </w:r>
      <w:proofErr w:type="spellStart"/>
      <w:r>
        <w:t>olaparib</w:t>
      </w:r>
      <w:proofErr w:type="spellEnd"/>
      <w:r>
        <w:t xml:space="preserve"> therapy is addressed at paragraph 3.11 of the FDG.</w:t>
      </w:r>
      <w:r>
        <w:rPr>
          <w:spacing w:val="40"/>
        </w:rPr>
        <w:t xml:space="preserve"> </w:t>
      </w:r>
      <w:r>
        <w:t>At the first</w:t>
      </w:r>
      <w:r>
        <w:rPr>
          <w:spacing w:val="-6"/>
        </w:rPr>
        <w:t xml:space="preserve"> </w:t>
      </w:r>
      <w:r>
        <w:t>Appraisal Committee meeting, the Committee considered the proportions proposed by</w:t>
      </w:r>
      <w:r>
        <w:rPr>
          <w:spacing w:val="-6"/>
        </w:rPr>
        <w:t xml:space="preserve"> </w:t>
      </w:r>
      <w:r>
        <w:t>AstraZeneca and by the</w:t>
      </w:r>
      <w:r>
        <w:rPr>
          <w:spacing w:val="-8"/>
        </w:rPr>
        <w:t xml:space="preserve"> </w:t>
      </w:r>
      <w:r>
        <w:t>EAG</w:t>
      </w:r>
      <w:r>
        <w:rPr>
          <w:spacing w:val="-8"/>
        </w:rPr>
        <w:t xml:space="preserve"> </w:t>
      </w:r>
      <w:r>
        <w:t>and</w:t>
      </w:r>
      <w:r>
        <w:rPr>
          <w:spacing w:val="-2"/>
        </w:rPr>
        <w:t xml:space="preserve"> </w:t>
      </w:r>
      <w:r>
        <w:t>concluded</w:t>
      </w:r>
      <w:r>
        <w:rPr>
          <w:spacing w:val="-3"/>
        </w:rPr>
        <w:t xml:space="preserve"> </w:t>
      </w:r>
      <w:r>
        <w:t>that</w:t>
      </w:r>
      <w:r>
        <w:rPr>
          <w:spacing w:val="-15"/>
        </w:rPr>
        <w:t xml:space="preserve"> </w:t>
      </w:r>
      <w:r>
        <w:t>AstraZeneca’s</w:t>
      </w:r>
      <w:r>
        <w:rPr>
          <w:spacing w:val="-5"/>
        </w:rPr>
        <w:t xml:space="preserve"> </w:t>
      </w:r>
      <w:r>
        <w:t>estimate of</w:t>
      </w:r>
      <w:r>
        <w:rPr>
          <w:spacing w:val="-5"/>
        </w:rPr>
        <w:t xml:space="preserve"> </w:t>
      </w:r>
      <w:r>
        <w:t>79.1%,</w:t>
      </w:r>
      <w:r>
        <w:rPr>
          <w:spacing w:val="-5"/>
        </w:rPr>
        <w:t xml:space="preserve"> </w:t>
      </w:r>
      <w:r>
        <w:t>derived</w:t>
      </w:r>
      <w:r>
        <w:rPr>
          <w:spacing w:val="-7"/>
        </w:rPr>
        <w:t xml:space="preserve"> </w:t>
      </w:r>
      <w:r>
        <w:t>from</w:t>
      </w:r>
      <w:r>
        <w:rPr>
          <w:spacing w:val="-7"/>
        </w:rPr>
        <w:t xml:space="preserve"> </w:t>
      </w:r>
      <w:r>
        <w:t>the</w:t>
      </w:r>
      <w:r>
        <w:rPr>
          <w:spacing w:val="-5"/>
        </w:rPr>
        <w:t xml:space="preserve"> </w:t>
      </w:r>
      <w:r>
        <w:t>DUO- E</w:t>
      </w:r>
      <w:r>
        <w:rPr>
          <w:spacing w:val="-8"/>
        </w:rPr>
        <w:t xml:space="preserve"> </w:t>
      </w:r>
      <w:r>
        <w:t>trial</w:t>
      </w:r>
      <w:r>
        <w:rPr>
          <w:spacing w:val="-9"/>
        </w:rPr>
        <w:t xml:space="preserve"> </w:t>
      </w:r>
      <w:r>
        <w:t>was</w:t>
      </w:r>
      <w:r>
        <w:rPr>
          <w:spacing w:val="-12"/>
        </w:rPr>
        <w:t xml:space="preserve"> </w:t>
      </w:r>
      <w:r>
        <w:t>the</w:t>
      </w:r>
      <w:r>
        <w:rPr>
          <w:spacing w:val="-10"/>
        </w:rPr>
        <w:t xml:space="preserve"> </w:t>
      </w:r>
      <w:r>
        <w:t>preferred</w:t>
      </w:r>
      <w:r>
        <w:rPr>
          <w:spacing w:val="-10"/>
        </w:rPr>
        <w:t xml:space="preserve"> </w:t>
      </w:r>
      <w:r>
        <w:t>figure</w:t>
      </w:r>
      <w:r>
        <w:rPr>
          <w:spacing w:val="-13"/>
        </w:rPr>
        <w:t xml:space="preserve"> </w:t>
      </w:r>
      <w:r>
        <w:t>(see</w:t>
      </w:r>
      <w:r>
        <w:rPr>
          <w:spacing w:val="-11"/>
        </w:rPr>
        <w:t xml:space="preserve"> </w:t>
      </w:r>
      <w:r>
        <w:t>email</w:t>
      </w:r>
      <w:r>
        <w:rPr>
          <w:spacing w:val="-9"/>
        </w:rPr>
        <w:t xml:space="preserve"> </w:t>
      </w:r>
      <w:r>
        <w:t>dated</w:t>
      </w:r>
      <w:r>
        <w:rPr>
          <w:spacing w:val="-10"/>
        </w:rPr>
        <w:t xml:space="preserve"> </w:t>
      </w:r>
      <w:r>
        <w:t>18</w:t>
      </w:r>
      <w:r>
        <w:rPr>
          <w:spacing w:val="-10"/>
        </w:rPr>
        <w:t xml:space="preserve"> </w:t>
      </w:r>
      <w:r>
        <w:t>March</w:t>
      </w:r>
      <w:r>
        <w:rPr>
          <w:spacing w:val="-10"/>
        </w:rPr>
        <w:t xml:space="preserve"> </w:t>
      </w:r>
      <w:r>
        <w:t>2025</w:t>
      </w:r>
      <w:r>
        <w:rPr>
          <w:spacing w:val="-10"/>
        </w:rPr>
        <w:t xml:space="preserve"> </w:t>
      </w:r>
      <w:r>
        <w:t>from</w:t>
      </w:r>
      <w:r>
        <w:rPr>
          <w:spacing w:val="-6"/>
        </w:rPr>
        <w:t xml:space="preserve"> </w:t>
      </w:r>
      <w:r>
        <w:t>Dr</w:t>
      </w:r>
      <w:r>
        <w:rPr>
          <w:spacing w:val="-14"/>
        </w:rPr>
        <w:t xml:space="preserve"> </w:t>
      </w:r>
      <w:r>
        <w:t>Emily</w:t>
      </w:r>
      <w:r>
        <w:rPr>
          <w:spacing w:val="-9"/>
        </w:rPr>
        <w:t xml:space="preserve"> </w:t>
      </w:r>
      <w:r>
        <w:t xml:space="preserve">Crowe). This was the assumption </w:t>
      </w:r>
      <w:proofErr w:type="gramStart"/>
      <w:r>
        <w:t>taken into account</w:t>
      </w:r>
      <w:proofErr w:type="gramEnd"/>
      <w:r>
        <w:t xml:space="preserve"> for the purposes of Draft Guidance and subject to consultation.</w:t>
      </w:r>
      <w:r>
        <w:rPr>
          <w:spacing w:val="40"/>
        </w:rPr>
        <w:t xml:space="preserve"> </w:t>
      </w:r>
      <w:r>
        <w:t>In circumstances where Ast</w:t>
      </w:r>
      <w:r>
        <w:t xml:space="preserve">raZeneca’s estimation had been accepted, we did not provide further submissions on this issue in our consultation </w:t>
      </w:r>
      <w:r>
        <w:rPr>
          <w:spacing w:val="-2"/>
        </w:rPr>
        <w:t>response.</w:t>
      </w:r>
    </w:p>
    <w:p w14:paraId="23956C50" w14:textId="77777777" w:rsidR="006F4CB1" w:rsidRDefault="00810B0E">
      <w:pPr>
        <w:pStyle w:val="BodyText"/>
        <w:spacing w:before="158" w:line="278" w:lineRule="auto"/>
        <w:ind w:right="9"/>
      </w:pPr>
      <w:r>
        <w:t>On 2 May 2025, the last working day before the second meeting of the Appraisal Committee, NICE sent AstraZeneca an email which indicated that the Committee intended</w:t>
      </w:r>
      <w:r>
        <w:rPr>
          <w:spacing w:val="-7"/>
        </w:rPr>
        <w:t xml:space="preserve"> </w:t>
      </w:r>
      <w:r>
        <w:t>to</w:t>
      </w:r>
      <w:r>
        <w:rPr>
          <w:spacing w:val="-11"/>
        </w:rPr>
        <w:t xml:space="preserve"> </w:t>
      </w:r>
      <w:r>
        <w:t>reopen</w:t>
      </w:r>
      <w:r>
        <w:rPr>
          <w:spacing w:val="-7"/>
        </w:rPr>
        <w:t xml:space="preserve"> </w:t>
      </w:r>
      <w:r>
        <w:t>the</w:t>
      </w:r>
      <w:r>
        <w:rPr>
          <w:spacing w:val="-12"/>
        </w:rPr>
        <w:t xml:space="preserve"> </w:t>
      </w:r>
      <w:r>
        <w:t>consideration</w:t>
      </w:r>
      <w:r>
        <w:rPr>
          <w:spacing w:val="-7"/>
        </w:rPr>
        <w:t xml:space="preserve"> </w:t>
      </w:r>
      <w:r>
        <w:t>of</w:t>
      </w:r>
      <w:r>
        <w:rPr>
          <w:spacing w:val="-10"/>
        </w:rPr>
        <w:t xml:space="preserve"> </w:t>
      </w:r>
      <w:r>
        <w:t>this</w:t>
      </w:r>
      <w:r>
        <w:rPr>
          <w:spacing w:val="-9"/>
        </w:rPr>
        <w:t xml:space="preserve"> </w:t>
      </w:r>
      <w:r>
        <w:t>issue</w:t>
      </w:r>
      <w:r>
        <w:rPr>
          <w:spacing w:val="-8"/>
        </w:rPr>
        <w:t xml:space="preserve"> </w:t>
      </w:r>
      <w:r>
        <w:t>including</w:t>
      </w:r>
      <w:r>
        <w:rPr>
          <w:spacing w:val="-7"/>
        </w:rPr>
        <w:t xml:space="preserve"> </w:t>
      </w:r>
      <w:r>
        <w:t>the</w:t>
      </w:r>
      <w:r>
        <w:rPr>
          <w:spacing w:val="-7"/>
        </w:rPr>
        <w:t xml:space="preserve"> </w:t>
      </w:r>
      <w:r>
        <w:t>possibility</w:t>
      </w:r>
      <w:r>
        <w:rPr>
          <w:spacing w:val="-7"/>
        </w:rPr>
        <w:t xml:space="preserve"> </w:t>
      </w:r>
      <w:r>
        <w:t>that</w:t>
      </w:r>
      <w:r>
        <w:rPr>
          <w:spacing w:val="-7"/>
        </w:rPr>
        <w:t xml:space="preserve"> </w:t>
      </w:r>
      <w:r>
        <w:t>100%</w:t>
      </w:r>
      <w:r>
        <w:rPr>
          <w:spacing w:val="-5"/>
        </w:rPr>
        <w:t xml:space="preserve"> </w:t>
      </w:r>
      <w:r>
        <w:t>of people</w:t>
      </w:r>
      <w:r>
        <w:rPr>
          <w:spacing w:val="-3"/>
        </w:rPr>
        <w:t xml:space="preserve"> </w:t>
      </w:r>
      <w:r>
        <w:t>who</w:t>
      </w:r>
      <w:r>
        <w:rPr>
          <w:spacing w:val="-3"/>
        </w:rPr>
        <w:t xml:space="preserve"> </w:t>
      </w:r>
      <w:r>
        <w:t>commenced</w:t>
      </w:r>
      <w:r>
        <w:rPr>
          <w:spacing w:val="-2"/>
        </w:rPr>
        <w:t xml:space="preserve"> </w:t>
      </w:r>
      <w:r>
        <w:t>on</w:t>
      </w:r>
      <w:r>
        <w:rPr>
          <w:spacing w:val="-6"/>
        </w:rPr>
        <w:t xml:space="preserve"> </w:t>
      </w:r>
      <w:r>
        <w:t>treatment</w:t>
      </w:r>
      <w:r>
        <w:rPr>
          <w:spacing w:val="-2"/>
        </w:rPr>
        <w:t xml:space="preserve"> </w:t>
      </w:r>
      <w:r>
        <w:t>with</w:t>
      </w:r>
      <w:r>
        <w:rPr>
          <w:spacing w:val="-6"/>
        </w:rPr>
        <w:t xml:space="preserve"> </w:t>
      </w:r>
      <w:r>
        <w:t>durvalumab</w:t>
      </w:r>
      <w:r>
        <w:rPr>
          <w:spacing w:val="-3"/>
        </w:rPr>
        <w:t xml:space="preserve"> </w:t>
      </w:r>
      <w:r>
        <w:t>would</w:t>
      </w:r>
      <w:r>
        <w:rPr>
          <w:spacing w:val="-2"/>
        </w:rPr>
        <w:t xml:space="preserve"> </w:t>
      </w:r>
      <w:r>
        <w:t>commence</w:t>
      </w:r>
      <w:r>
        <w:rPr>
          <w:spacing w:val="-7"/>
        </w:rPr>
        <w:t xml:space="preserve"> </w:t>
      </w:r>
      <w:r>
        <w:t>on</w:t>
      </w:r>
      <w:r>
        <w:rPr>
          <w:spacing w:val="-6"/>
        </w:rPr>
        <w:t xml:space="preserve"> </w:t>
      </w:r>
      <w:r>
        <w:t xml:space="preserve">treatment with </w:t>
      </w:r>
      <w:proofErr w:type="spellStart"/>
      <w:r>
        <w:t>olaparib</w:t>
      </w:r>
      <w:proofErr w:type="spellEnd"/>
      <w:r>
        <w:t>, rather than 79% which retained internal consistency with the DUO-E clinical trial.</w:t>
      </w:r>
      <w:r>
        <w:rPr>
          <w:spacing w:val="40"/>
        </w:rPr>
        <w:t xml:space="preserve"> </w:t>
      </w:r>
      <w:r>
        <w:t>There was no opportunity for any consultation on this change prior to ACM2</w:t>
      </w:r>
      <w:r>
        <w:rPr>
          <w:spacing w:val="-1"/>
        </w:rPr>
        <w:t xml:space="preserve"> </w:t>
      </w:r>
      <w:r>
        <w:t>and</w:t>
      </w:r>
      <w:r>
        <w:rPr>
          <w:spacing w:val="-14"/>
        </w:rPr>
        <w:t xml:space="preserve"> </w:t>
      </w:r>
      <w:r>
        <w:t>AstraZeneca</w:t>
      </w:r>
      <w:r>
        <w:rPr>
          <w:spacing w:val="-2"/>
        </w:rPr>
        <w:t xml:space="preserve"> </w:t>
      </w:r>
      <w:r>
        <w:t>was</w:t>
      </w:r>
      <w:r>
        <w:rPr>
          <w:spacing w:val="-4"/>
        </w:rPr>
        <w:t xml:space="preserve"> </w:t>
      </w:r>
      <w:r>
        <w:t>not</w:t>
      </w:r>
      <w:r>
        <w:rPr>
          <w:spacing w:val="-1"/>
        </w:rPr>
        <w:t xml:space="preserve"> </w:t>
      </w:r>
      <w:r>
        <w:t>invited</w:t>
      </w:r>
      <w:r>
        <w:rPr>
          <w:spacing w:val="-6"/>
        </w:rPr>
        <w:t xml:space="preserve"> </w:t>
      </w:r>
      <w:r>
        <w:t>to</w:t>
      </w:r>
      <w:r>
        <w:rPr>
          <w:spacing w:val="-1"/>
        </w:rPr>
        <w:t xml:space="preserve"> </w:t>
      </w:r>
      <w:r>
        <w:t>make</w:t>
      </w:r>
      <w:r>
        <w:rPr>
          <w:spacing w:val="-8"/>
        </w:rPr>
        <w:t xml:space="preserve"> </w:t>
      </w:r>
      <w:r>
        <w:t>a</w:t>
      </w:r>
      <w:r>
        <w:rPr>
          <w:spacing w:val="-7"/>
        </w:rPr>
        <w:t xml:space="preserve"> </w:t>
      </w:r>
      <w:r>
        <w:t>submission.</w:t>
      </w:r>
      <w:r>
        <w:rPr>
          <w:spacing w:val="40"/>
        </w:rPr>
        <w:t xml:space="preserve"> </w:t>
      </w:r>
      <w:r>
        <w:t>The</w:t>
      </w:r>
      <w:r>
        <w:rPr>
          <w:spacing w:val="-7"/>
        </w:rPr>
        <w:t xml:space="preserve"> </w:t>
      </w:r>
      <w:r>
        <w:t>Committee</w:t>
      </w:r>
      <w:r>
        <w:rPr>
          <w:spacing w:val="-3"/>
        </w:rPr>
        <w:t xml:space="preserve"> </w:t>
      </w:r>
      <w:r>
        <w:t>Slides for</w:t>
      </w:r>
      <w:r>
        <w:rPr>
          <w:spacing w:val="-15"/>
        </w:rPr>
        <w:t xml:space="preserve"> </w:t>
      </w:r>
      <w:r>
        <w:t>the</w:t>
      </w:r>
      <w:r>
        <w:rPr>
          <w:spacing w:val="-15"/>
        </w:rPr>
        <w:t xml:space="preserve"> </w:t>
      </w:r>
      <w:r>
        <w:t>Second</w:t>
      </w:r>
      <w:r>
        <w:rPr>
          <w:spacing w:val="-15"/>
        </w:rPr>
        <w:t xml:space="preserve"> </w:t>
      </w:r>
      <w:r>
        <w:t>Committee</w:t>
      </w:r>
      <w:r>
        <w:rPr>
          <w:spacing w:val="-15"/>
        </w:rPr>
        <w:t xml:space="preserve"> </w:t>
      </w:r>
      <w:r>
        <w:t>meeting</w:t>
      </w:r>
      <w:r>
        <w:rPr>
          <w:spacing w:val="-15"/>
        </w:rPr>
        <w:t xml:space="preserve"> </w:t>
      </w:r>
      <w:r>
        <w:t>suggested</w:t>
      </w:r>
      <w:r>
        <w:rPr>
          <w:spacing w:val="-15"/>
        </w:rPr>
        <w:t xml:space="preserve"> </w:t>
      </w:r>
      <w:r>
        <w:t>that</w:t>
      </w:r>
      <w:r>
        <w:rPr>
          <w:spacing w:val="-15"/>
        </w:rPr>
        <w:t xml:space="preserve"> </w:t>
      </w:r>
      <w:r>
        <w:t>this</w:t>
      </w:r>
      <w:r>
        <w:rPr>
          <w:spacing w:val="-15"/>
        </w:rPr>
        <w:t xml:space="preserve"> </w:t>
      </w:r>
      <w:r>
        <w:t>change</w:t>
      </w:r>
      <w:r>
        <w:rPr>
          <w:spacing w:val="-15"/>
        </w:rPr>
        <w:t xml:space="preserve"> </w:t>
      </w:r>
      <w:r>
        <w:t>was</w:t>
      </w:r>
      <w:r>
        <w:rPr>
          <w:spacing w:val="-15"/>
        </w:rPr>
        <w:t xml:space="preserve"> </w:t>
      </w:r>
      <w:r>
        <w:t>based</w:t>
      </w:r>
      <w:r>
        <w:rPr>
          <w:spacing w:val="-15"/>
        </w:rPr>
        <w:t xml:space="preserve"> </w:t>
      </w:r>
      <w:r>
        <w:t>on</w:t>
      </w:r>
      <w:r>
        <w:rPr>
          <w:spacing w:val="-15"/>
        </w:rPr>
        <w:t xml:space="preserve"> </w:t>
      </w:r>
      <w:r>
        <w:t>advice</w:t>
      </w:r>
      <w:r>
        <w:rPr>
          <w:spacing w:val="-15"/>
        </w:rPr>
        <w:t xml:space="preserve"> </w:t>
      </w:r>
      <w:r>
        <w:t xml:space="preserve">from the CDF Clinical Lead that patients must start both durvalumab and </w:t>
      </w:r>
      <w:proofErr w:type="spellStart"/>
      <w:r>
        <w:t>olaparib</w:t>
      </w:r>
      <w:proofErr w:type="spellEnd"/>
      <w:r>
        <w:t xml:space="preserve"> at maintenance</w:t>
      </w:r>
      <w:r>
        <w:rPr>
          <w:spacing w:val="-9"/>
        </w:rPr>
        <w:t xml:space="preserve"> </w:t>
      </w:r>
      <w:r>
        <w:t>and</w:t>
      </w:r>
      <w:r>
        <w:rPr>
          <w:spacing w:val="-8"/>
        </w:rPr>
        <w:t xml:space="preserve"> </w:t>
      </w:r>
      <w:r>
        <w:t>cannot</w:t>
      </w:r>
      <w:r>
        <w:rPr>
          <w:spacing w:val="-11"/>
        </w:rPr>
        <w:t xml:space="preserve"> </w:t>
      </w:r>
      <w:r>
        <w:t>have</w:t>
      </w:r>
      <w:r>
        <w:rPr>
          <w:spacing w:val="-9"/>
        </w:rPr>
        <w:t xml:space="preserve"> </w:t>
      </w:r>
      <w:r>
        <w:t>only</w:t>
      </w:r>
      <w:r>
        <w:rPr>
          <w:spacing w:val="-11"/>
        </w:rPr>
        <w:t xml:space="preserve"> </w:t>
      </w:r>
      <w:r>
        <w:t>one</w:t>
      </w:r>
      <w:r>
        <w:rPr>
          <w:spacing w:val="-13"/>
        </w:rPr>
        <w:t xml:space="preserve"> </w:t>
      </w:r>
      <w:r>
        <w:t>as</w:t>
      </w:r>
      <w:r>
        <w:rPr>
          <w:spacing w:val="-9"/>
        </w:rPr>
        <w:t xml:space="preserve"> </w:t>
      </w:r>
      <w:r>
        <w:t>monotherapy.</w:t>
      </w:r>
      <w:r>
        <w:rPr>
          <w:spacing w:val="35"/>
        </w:rPr>
        <w:t xml:space="preserve"> </w:t>
      </w:r>
      <w:r>
        <w:t>The</w:t>
      </w:r>
      <w:r>
        <w:rPr>
          <w:spacing w:val="-13"/>
        </w:rPr>
        <w:t xml:space="preserve"> </w:t>
      </w:r>
      <w:r>
        <w:t>issue</w:t>
      </w:r>
      <w:r>
        <w:rPr>
          <w:spacing w:val="-9"/>
        </w:rPr>
        <w:t xml:space="preserve"> </w:t>
      </w:r>
      <w:r>
        <w:t>was</w:t>
      </w:r>
      <w:r>
        <w:rPr>
          <w:spacing w:val="-9"/>
        </w:rPr>
        <w:t xml:space="preserve"> </w:t>
      </w:r>
      <w:r>
        <w:t>then</w:t>
      </w:r>
      <w:r>
        <w:rPr>
          <w:spacing w:val="-8"/>
        </w:rPr>
        <w:t xml:space="preserve"> </w:t>
      </w:r>
      <w:r>
        <w:t>considered during</w:t>
      </w:r>
      <w:r>
        <w:rPr>
          <w:spacing w:val="-15"/>
        </w:rPr>
        <w:t xml:space="preserve"> </w:t>
      </w:r>
      <w:r>
        <w:t>ACM2</w:t>
      </w:r>
      <w:r>
        <w:rPr>
          <w:spacing w:val="-15"/>
        </w:rPr>
        <w:t xml:space="preserve"> </w:t>
      </w:r>
      <w:r>
        <w:t>in</w:t>
      </w:r>
      <w:r>
        <w:rPr>
          <w:spacing w:val="-15"/>
        </w:rPr>
        <w:t xml:space="preserve"> </w:t>
      </w:r>
      <w:r>
        <w:t>the</w:t>
      </w:r>
      <w:r>
        <w:rPr>
          <w:spacing w:val="-15"/>
        </w:rPr>
        <w:t xml:space="preserve"> </w:t>
      </w:r>
      <w:r>
        <w:t>absence</w:t>
      </w:r>
      <w:r>
        <w:rPr>
          <w:spacing w:val="-15"/>
        </w:rPr>
        <w:t xml:space="preserve"> </w:t>
      </w:r>
      <w:r>
        <w:t>of</w:t>
      </w:r>
      <w:r>
        <w:rPr>
          <w:spacing w:val="-13"/>
        </w:rPr>
        <w:t xml:space="preserve"> </w:t>
      </w:r>
      <w:r>
        <w:t>the</w:t>
      </w:r>
      <w:r>
        <w:rPr>
          <w:spacing w:val="-15"/>
        </w:rPr>
        <w:t xml:space="preserve"> </w:t>
      </w:r>
      <w:r>
        <w:t>clinical</w:t>
      </w:r>
      <w:r>
        <w:rPr>
          <w:spacing w:val="-10"/>
        </w:rPr>
        <w:t xml:space="preserve"> </w:t>
      </w:r>
      <w:r>
        <w:t>experts</w:t>
      </w:r>
      <w:r>
        <w:rPr>
          <w:spacing w:val="-15"/>
        </w:rPr>
        <w:t xml:space="preserve"> </w:t>
      </w:r>
      <w:r>
        <w:t>(who</w:t>
      </w:r>
      <w:r>
        <w:rPr>
          <w:spacing w:val="-11"/>
        </w:rPr>
        <w:t xml:space="preserve"> </w:t>
      </w:r>
      <w:r>
        <w:t>had</w:t>
      </w:r>
      <w:r>
        <w:rPr>
          <w:spacing w:val="-11"/>
        </w:rPr>
        <w:t xml:space="preserve"> </w:t>
      </w:r>
      <w:r>
        <w:t>agreed</w:t>
      </w:r>
      <w:r>
        <w:rPr>
          <w:spacing w:val="-8"/>
        </w:rPr>
        <w:t xml:space="preserve"> </w:t>
      </w:r>
      <w:r>
        <w:t>during</w:t>
      </w:r>
      <w:r>
        <w:rPr>
          <w:spacing w:val="-15"/>
        </w:rPr>
        <w:t xml:space="preserve"> </w:t>
      </w:r>
      <w:r>
        <w:t>ACM1</w:t>
      </w:r>
      <w:r>
        <w:rPr>
          <w:spacing w:val="-11"/>
        </w:rPr>
        <w:t xml:space="preserve"> </w:t>
      </w:r>
      <w:r>
        <w:t>with the figures proposed by AstraZeneca). Following ACM2, NICE confirmed, during a telephone</w:t>
      </w:r>
      <w:r>
        <w:rPr>
          <w:spacing w:val="-15"/>
        </w:rPr>
        <w:t xml:space="preserve"> </w:t>
      </w:r>
      <w:r>
        <w:t>call</w:t>
      </w:r>
      <w:r>
        <w:rPr>
          <w:spacing w:val="-15"/>
        </w:rPr>
        <w:t xml:space="preserve"> </w:t>
      </w:r>
      <w:r>
        <w:t>on</w:t>
      </w:r>
      <w:r>
        <w:rPr>
          <w:spacing w:val="-15"/>
        </w:rPr>
        <w:t xml:space="preserve"> </w:t>
      </w:r>
      <w:r>
        <w:t>8</w:t>
      </w:r>
      <w:r>
        <w:rPr>
          <w:spacing w:val="-15"/>
        </w:rPr>
        <w:t xml:space="preserve"> </w:t>
      </w:r>
      <w:r>
        <w:t>May</w:t>
      </w:r>
      <w:r>
        <w:rPr>
          <w:spacing w:val="-15"/>
        </w:rPr>
        <w:t xml:space="preserve"> </w:t>
      </w:r>
      <w:r>
        <w:t>2025,</w:t>
      </w:r>
      <w:r>
        <w:rPr>
          <w:spacing w:val="-15"/>
        </w:rPr>
        <w:t xml:space="preserve"> </w:t>
      </w:r>
      <w:r>
        <w:t>that</w:t>
      </w:r>
      <w:r>
        <w:rPr>
          <w:spacing w:val="-15"/>
        </w:rPr>
        <w:t xml:space="preserve"> </w:t>
      </w:r>
      <w:r>
        <w:t>the</w:t>
      </w:r>
      <w:r>
        <w:rPr>
          <w:spacing w:val="-15"/>
        </w:rPr>
        <w:t xml:space="preserve"> </w:t>
      </w:r>
      <w:r>
        <w:t>Committee’s</w:t>
      </w:r>
      <w:r>
        <w:rPr>
          <w:spacing w:val="-15"/>
        </w:rPr>
        <w:t xml:space="preserve"> </w:t>
      </w:r>
      <w:r>
        <w:t>preference</w:t>
      </w:r>
      <w:r>
        <w:rPr>
          <w:spacing w:val="-15"/>
        </w:rPr>
        <w:t xml:space="preserve"> </w:t>
      </w:r>
      <w:r>
        <w:t>was</w:t>
      </w:r>
      <w:r>
        <w:rPr>
          <w:spacing w:val="-15"/>
        </w:rPr>
        <w:t xml:space="preserve"> </w:t>
      </w:r>
      <w:r>
        <w:t>that</w:t>
      </w:r>
      <w:r>
        <w:rPr>
          <w:spacing w:val="-15"/>
        </w:rPr>
        <w:t xml:space="preserve"> </w:t>
      </w:r>
      <w:r>
        <w:t>100%</w:t>
      </w:r>
      <w:r>
        <w:rPr>
          <w:spacing w:val="-15"/>
        </w:rPr>
        <w:t xml:space="preserve"> </w:t>
      </w:r>
      <w:r>
        <w:t>of</w:t>
      </w:r>
      <w:r>
        <w:rPr>
          <w:spacing w:val="-15"/>
        </w:rPr>
        <w:t xml:space="preserve"> </w:t>
      </w:r>
      <w:r>
        <w:t xml:space="preserve">people who commenced on treatment with durvalumab would commence on treatment with </w:t>
      </w:r>
      <w:proofErr w:type="spellStart"/>
      <w:r>
        <w:t>olaparib</w:t>
      </w:r>
      <w:proofErr w:type="spellEnd"/>
      <w:r>
        <w:t>.</w:t>
      </w:r>
      <w:r>
        <w:rPr>
          <w:spacing w:val="40"/>
        </w:rPr>
        <w:t xml:space="preserve"> </w:t>
      </w:r>
      <w:r>
        <w:t>In the absence of any opportunity to consult on this issue, AstraZeneca provided a document explaining why the 100% figure was incorrect.</w:t>
      </w:r>
      <w:r>
        <w:rPr>
          <w:spacing w:val="40"/>
        </w:rPr>
        <w:t xml:space="preserve"> </w:t>
      </w:r>
      <w:r>
        <w:t xml:space="preserve">No </w:t>
      </w:r>
      <w:proofErr w:type="gramStart"/>
      <w:r>
        <w:t>feedback or conclusion</w:t>
      </w:r>
      <w:proofErr w:type="gramEnd"/>
      <w:r>
        <w:t xml:space="preserve"> on</w:t>
      </w:r>
      <w:r>
        <w:t xml:space="preserve"> this issue from the Committee was provided until the FDG was </w:t>
      </w:r>
      <w:r>
        <w:rPr>
          <w:spacing w:val="-2"/>
        </w:rPr>
        <w:t>published.</w:t>
      </w:r>
    </w:p>
    <w:p w14:paraId="23956C51" w14:textId="77777777" w:rsidR="006F4CB1" w:rsidRDefault="00810B0E">
      <w:pPr>
        <w:pStyle w:val="BodyText"/>
        <w:spacing w:before="153" w:line="278" w:lineRule="auto"/>
        <w:ind w:right="16"/>
      </w:pPr>
      <w:r>
        <w:t>It is AstraZeneca’s position that, in circumstances where this assumption makes a material difference to the ICER, that the change in position of the Committee with no possibility for consultation, was inconsistent with standards of procedural fairness. The</w:t>
      </w:r>
      <w:r>
        <w:rPr>
          <w:spacing w:val="-15"/>
        </w:rPr>
        <w:t xml:space="preserve"> </w:t>
      </w:r>
      <w:r>
        <w:t>material</w:t>
      </w:r>
      <w:r>
        <w:rPr>
          <w:spacing w:val="-15"/>
        </w:rPr>
        <w:t xml:space="preserve"> </w:t>
      </w:r>
      <w:r>
        <w:t>shift</w:t>
      </w:r>
      <w:r>
        <w:rPr>
          <w:spacing w:val="-15"/>
        </w:rPr>
        <w:t xml:space="preserve"> </w:t>
      </w:r>
      <w:r>
        <w:t>in</w:t>
      </w:r>
      <w:r>
        <w:rPr>
          <w:spacing w:val="-15"/>
        </w:rPr>
        <w:t xml:space="preserve"> </w:t>
      </w:r>
      <w:r>
        <w:t>the</w:t>
      </w:r>
      <w:r>
        <w:rPr>
          <w:spacing w:val="-15"/>
        </w:rPr>
        <w:t xml:space="preserve"> </w:t>
      </w:r>
      <w:r>
        <w:t>view</w:t>
      </w:r>
      <w:r>
        <w:rPr>
          <w:spacing w:val="-12"/>
        </w:rPr>
        <w:t xml:space="preserve"> </w:t>
      </w:r>
      <w:r>
        <w:t>of</w:t>
      </w:r>
      <w:r>
        <w:rPr>
          <w:spacing w:val="-15"/>
        </w:rPr>
        <w:t xml:space="preserve"> </w:t>
      </w:r>
      <w:r>
        <w:t>the</w:t>
      </w:r>
      <w:r>
        <w:rPr>
          <w:spacing w:val="-15"/>
        </w:rPr>
        <w:t xml:space="preserve"> </w:t>
      </w:r>
      <w:r>
        <w:t>Committee</w:t>
      </w:r>
      <w:r>
        <w:rPr>
          <w:spacing w:val="-13"/>
        </w:rPr>
        <w:t xml:space="preserve"> </w:t>
      </w:r>
      <w:r>
        <w:t>should</w:t>
      </w:r>
      <w:r>
        <w:rPr>
          <w:spacing w:val="-11"/>
        </w:rPr>
        <w:t xml:space="preserve"> </w:t>
      </w:r>
      <w:r>
        <w:t>instead</w:t>
      </w:r>
      <w:r>
        <w:rPr>
          <w:spacing w:val="-12"/>
        </w:rPr>
        <w:t xml:space="preserve"> </w:t>
      </w:r>
      <w:r>
        <w:t>have</w:t>
      </w:r>
      <w:r>
        <w:rPr>
          <w:spacing w:val="-15"/>
        </w:rPr>
        <w:t xml:space="preserve"> </w:t>
      </w:r>
      <w:r>
        <w:t>resulted</w:t>
      </w:r>
      <w:r>
        <w:rPr>
          <w:spacing w:val="-15"/>
        </w:rPr>
        <w:t xml:space="preserve"> </w:t>
      </w:r>
      <w:r>
        <w:t>in</w:t>
      </w:r>
      <w:r>
        <w:rPr>
          <w:spacing w:val="-13"/>
        </w:rPr>
        <w:t xml:space="preserve"> </w:t>
      </w:r>
      <w:r>
        <w:t>a</w:t>
      </w:r>
      <w:r>
        <w:rPr>
          <w:spacing w:val="-15"/>
        </w:rPr>
        <w:t xml:space="preserve"> </w:t>
      </w:r>
      <w:r>
        <w:t>second period</w:t>
      </w:r>
      <w:r>
        <w:rPr>
          <w:spacing w:val="27"/>
        </w:rPr>
        <w:t xml:space="preserve"> </w:t>
      </w:r>
      <w:r>
        <w:t>of</w:t>
      </w:r>
      <w:r>
        <w:rPr>
          <w:spacing w:val="30"/>
        </w:rPr>
        <w:t xml:space="preserve"> </w:t>
      </w:r>
      <w:r>
        <w:t>consultation</w:t>
      </w:r>
      <w:r>
        <w:rPr>
          <w:spacing w:val="32"/>
        </w:rPr>
        <w:t xml:space="preserve"> </w:t>
      </w:r>
      <w:r>
        <w:t>and</w:t>
      </w:r>
      <w:r>
        <w:rPr>
          <w:spacing w:val="24"/>
        </w:rPr>
        <w:t xml:space="preserve"> </w:t>
      </w:r>
      <w:r>
        <w:t>input</w:t>
      </w:r>
      <w:r>
        <w:rPr>
          <w:spacing w:val="24"/>
        </w:rPr>
        <w:t xml:space="preserve"> </w:t>
      </w:r>
      <w:r>
        <w:t>from</w:t>
      </w:r>
      <w:r>
        <w:rPr>
          <w:spacing w:val="25"/>
        </w:rPr>
        <w:t xml:space="preserve"> </w:t>
      </w:r>
      <w:r>
        <w:t>the</w:t>
      </w:r>
      <w:r>
        <w:rPr>
          <w:spacing w:val="28"/>
        </w:rPr>
        <w:t xml:space="preserve"> </w:t>
      </w:r>
      <w:r>
        <w:t>clinical</w:t>
      </w:r>
      <w:r>
        <w:rPr>
          <w:spacing w:val="30"/>
        </w:rPr>
        <w:t xml:space="preserve"> </w:t>
      </w:r>
      <w:r>
        <w:t>experts</w:t>
      </w:r>
      <w:r>
        <w:rPr>
          <w:spacing w:val="31"/>
        </w:rPr>
        <w:t xml:space="preserve"> </w:t>
      </w:r>
      <w:r>
        <w:t>and</w:t>
      </w:r>
      <w:r>
        <w:rPr>
          <w:spacing w:val="28"/>
        </w:rPr>
        <w:t xml:space="preserve"> </w:t>
      </w:r>
      <w:r>
        <w:t>the</w:t>
      </w:r>
      <w:r>
        <w:rPr>
          <w:spacing w:val="29"/>
        </w:rPr>
        <w:t xml:space="preserve"> </w:t>
      </w:r>
      <w:r>
        <w:t>matters</w:t>
      </w:r>
      <w:r>
        <w:rPr>
          <w:spacing w:val="23"/>
        </w:rPr>
        <w:t xml:space="preserve"> </w:t>
      </w:r>
      <w:r>
        <w:t>raised</w:t>
      </w:r>
      <w:r>
        <w:rPr>
          <w:spacing w:val="29"/>
        </w:rPr>
        <w:t xml:space="preserve"> </w:t>
      </w:r>
      <w:r>
        <w:rPr>
          <w:spacing w:val="-5"/>
        </w:rPr>
        <w:t>by</w:t>
      </w:r>
    </w:p>
    <w:p w14:paraId="23956C52" w14:textId="77777777" w:rsidR="006F4CB1" w:rsidRDefault="006F4CB1">
      <w:pPr>
        <w:pStyle w:val="BodyText"/>
        <w:spacing w:line="278" w:lineRule="auto"/>
        <w:sectPr w:rsidR="006F4CB1">
          <w:footerReference w:type="default" r:id="rId8"/>
          <w:pgSz w:w="11910" w:h="16840"/>
          <w:pgMar w:top="1360" w:right="1417" w:bottom="1280" w:left="1417" w:header="0" w:footer="1091" w:gutter="0"/>
          <w:cols w:space="720"/>
        </w:sectPr>
      </w:pPr>
    </w:p>
    <w:p w14:paraId="23956C53" w14:textId="77777777" w:rsidR="006F4CB1" w:rsidRDefault="00810B0E">
      <w:pPr>
        <w:pStyle w:val="BodyText"/>
        <w:spacing w:before="63" w:line="280" w:lineRule="auto"/>
        <w:ind w:right="17"/>
      </w:pPr>
      <w:r>
        <w:lastRenderedPageBreak/>
        <w:t>AstraZeneca following</w:t>
      </w:r>
      <w:r>
        <w:rPr>
          <w:spacing w:val="-11"/>
        </w:rPr>
        <w:t xml:space="preserve"> </w:t>
      </w:r>
      <w:r>
        <w:t xml:space="preserve">ACM2 should have been </w:t>
      </w:r>
      <w:proofErr w:type="gramStart"/>
      <w:r>
        <w:t>taken into account</w:t>
      </w:r>
      <w:proofErr w:type="gramEnd"/>
      <w:r>
        <w:t xml:space="preserve"> by the Committee and addressed in the FDG.</w:t>
      </w:r>
      <w:r>
        <w:rPr>
          <w:spacing w:val="40"/>
        </w:rPr>
        <w:t xml:space="preserve"> </w:t>
      </w:r>
      <w:r>
        <w:t>Failure to adopt such an approach was unfair.</w:t>
      </w:r>
    </w:p>
    <w:p w14:paraId="23956C54" w14:textId="77777777" w:rsidR="006F4CB1" w:rsidRDefault="00810B0E">
      <w:pPr>
        <w:pStyle w:val="Heading2"/>
        <w:numPr>
          <w:ilvl w:val="1"/>
          <w:numId w:val="5"/>
        </w:numPr>
        <w:tabs>
          <w:tab w:val="left" w:pos="814"/>
          <w:tab w:val="left" w:pos="816"/>
        </w:tabs>
        <w:spacing w:before="157" w:line="276" w:lineRule="auto"/>
        <w:ind w:right="15"/>
        <w:jc w:val="both"/>
      </w:pPr>
      <w:r>
        <w:t>The lack of any reasonable opportunity for commercial negotiation has prejudiced the conduct of this appraisal</w:t>
      </w:r>
    </w:p>
    <w:p w14:paraId="23956C55" w14:textId="77777777" w:rsidR="006F4CB1" w:rsidRDefault="00810B0E">
      <w:pPr>
        <w:pStyle w:val="BodyText"/>
        <w:spacing w:before="162" w:line="278" w:lineRule="auto"/>
        <w:ind w:right="10"/>
      </w:pPr>
      <w:r>
        <w:t>Durvalumab</w:t>
      </w:r>
      <w:r>
        <w:rPr>
          <w:spacing w:val="-2"/>
        </w:rPr>
        <w:t xml:space="preserve"> </w:t>
      </w:r>
      <w:r>
        <w:t>and</w:t>
      </w:r>
      <w:r>
        <w:rPr>
          <w:spacing w:val="-1"/>
        </w:rPr>
        <w:t xml:space="preserve"> </w:t>
      </w:r>
      <w:proofErr w:type="spellStart"/>
      <w:r>
        <w:t>olaparib</w:t>
      </w:r>
      <w:proofErr w:type="spellEnd"/>
      <w:r>
        <w:rPr>
          <w:spacing w:val="-2"/>
        </w:rPr>
        <w:t xml:space="preserve"> </w:t>
      </w:r>
      <w:r>
        <w:t>are</w:t>
      </w:r>
      <w:r>
        <w:rPr>
          <w:spacing w:val="-2"/>
        </w:rPr>
        <w:t xml:space="preserve"> </w:t>
      </w:r>
      <w:r>
        <w:t>both</w:t>
      </w:r>
      <w:r>
        <w:rPr>
          <w:spacing w:val="-1"/>
        </w:rPr>
        <w:t xml:space="preserve"> </w:t>
      </w:r>
      <w:proofErr w:type="spellStart"/>
      <w:r>
        <w:t>authorised</w:t>
      </w:r>
      <w:proofErr w:type="spellEnd"/>
      <w:r>
        <w:rPr>
          <w:spacing w:val="-2"/>
        </w:rPr>
        <w:t xml:space="preserve"> </w:t>
      </w:r>
      <w:r>
        <w:t>and</w:t>
      </w:r>
      <w:r>
        <w:rPr>
          <w:spacing w:val="-7"/>
        </w:rPr>
        <w:t xml:space="preserve"> </w:t>
      </w:r>
      <w:r>
        <w:t>recommended</w:t>
      </w:r>
      <w:r>
        <w:rPr>
          <w:spacing w:val="-2"/>
        </w:rPr>
        <w:t xml:space="preserve"> </w:t>
      </w:r>
      <w:r>
        <w:t>by</w:t>
      </w:r>
      <w:r>
        <w:rPr>
          <w:spacing w:val="-2"/>
        </w:rPr>
        <w:t xml:space="preserve"> </w:t>
      </w:r>
      <w:r>
        <w:t>NICE for</w:t>
      </w:r>
      <w:r>
        <w:rPr>
          <w:spacing w:val="-1"/>
        </w:rPr>
        <w:t xml:space="preserve"> </w:t>
      </w:r>
      <w:r>
        <w:t>multiple indications and in the context of multiple commercial agreements with NHS England. In these circumstances it was not possible, in practice, for AstraZeneca to propose patient</w:t>
      </w:r>
      <w:r>
        <w:rPr>
          <w:spacing w:val="-11"/>
        </w:rPr>
        <w:t xml:space="preserve"> </w:t>
      </w:r>
      <w:r>
        <w:t>access</w:t>
      </w:r>
      <w:r>
        <w:rPr>
          <w:spacing w:val="-9"/>
        </w:rPr>
        <w:t xml:space="preserve"> </w:t>
      </w:r>
      <w:r>
        <w:t>schemes,</w:t>
      </w:r>
      <w:r>
        <w:rPr>
          <w:spacing w:val="-9"/>
        </w:rPr>
        <w:t xml:space="preserve"> </w:t>
      </w:r>
      <w:r>
        <w:t>involving</w:t>
      </w:r>
      <w:r>
        <w:rPr>
          <w:spacing w:val="-11"/>
        </w:rPr>
        <w:t xml:space="preserve"> </w:t>
      </w:r>
      <w:r>
        <w:t>simple</w:t>
      </w:r>
      <w:r>
        <w:rPr>
          <w:spacing w:val="-12"/>
        </w:rPr>
        <w:t xml:space="preserve"> </w:t>
      </w:r>
      <w:r>
        <w:t>discounts</w:t>
      </w:r>
      <w:r>
        <w:rPr>
          <w:spacing w:val="-13"/>
        </w:rPr>
        <w:t xml:space="preserve"> </w:t>
      </w:r>
      <w:r>
        <w:t>off</w:t>
      </w:r>
      <w:r>
        <w:rPr>
          <w:spacing w:val="-10"/>
        </w:rPr>
        <w:t xml:space="preserve"> </w:t>
      </w:r>
      <w:r>
        <w:t>list</w:t>
      </w:r>
      <w:r>
        <w:rPr>
          <w:spacing w:val="-11"/>
        </w:rPr>
        <w:t xml:space="preserve"> </w:t>
      </w:r>
      <w:r>
        <w:t>price,</w:t>
      </w:r>
      <w:r>
        <w:rPr>
          <w:spacing w:val="-9"/>
        </w:rPr>
        <w:t xml:space="preserve"> </w:t>
      </w:r>
      <w:r>
        <w:t>for</w:t>
      </w:r>
      <w:r>
        <w:rPr>
          <w:spacing w:val="-10"/>
        </w:rPr>
        <w:t xml:space="preserve"> </w:t>
      </w:r>
      <w:r>
        <w:t>the</w:t>
      </w:r>
      <w:r>
        <w:rPr>
          <w:spacing w:val="-13"/>
        </w:rPr>
        <w:t xml:space="preserve"> </w:t>
      </w:r>
      <w:r>
        <w:t>purposes</w:t>
      </w:r>
      <w:r>
        <w:rPr>
          <w:spacing w:val="-14"/>
        </w:rPr>
        <w:t xml:space="preserve"> </w:t>
      </w:r>
      <w:r>
        <w:t>of</w:t>
      </w:r>
      <w:r>
        <w:rPr>
          <w:spacing w:val="-10"/>
        </w:rPr>
        <w:t xml:space="preserve"> </w:t>
      </w:r>
      <w:r>
        <w:t>the current</w:t>
      </w:r>
      <w:r>
        <w:rPr>
          <w:spacing w:val="-15"/>
        </w:rPr>
        <w:t xml:space="preserve"> </w:t>
      </w:r>
      <w:r>
        <w:t>appraisal</w:t>
      </w:r>
      <w:r>
        <w:rPr>
          <w:spacing w:val="-15"/>
        </w:rPr>
        <w:t xml:space="preserve"> </w:t>
      </w:r>
      <w:r>
        <w:t>in</w:t>
      </w:r>
      <w:r>
        <w:rPr>
          <w:spacing w:val="-13"/>
        </w:rPr>
        <w:t xml:space="preserve"> </w:t>
      </w:r>
      <w:r>
        <w:t>endometrial</w:t>
      </w:r>
      <w:r>
        <w:rPr>
          <w:spacing w:val="-13"/>
        </w:rPr>
        <w:t xml:space="preserve"> </w:t>
      </w:r>
      <w:r>
        <w:t>cancer.</w:t>
      </w:r>
      <w:r>
        <w:rPr>
          <w:spacing w:val="-15"/>
        </w:rPr>
        <w:t xml:space="preserve"> </w:t>
      </w:r>
      <w:r>
        <w:t>These</w:t>
      </w:r>
      <w:r>
        <w:rPr>
          <w:spacing w:val="-13"/>
        </w:rPr>
        <w:t xml:space="preserve"> </w:t>
      </w:r>
      <w:r>
        <w:t>would</w:t>
      </w:r>
      <w:r>
        <w:rPr>
          <w:spacing w:val="-13"/>
        </w:rPr>
        <w:t xml:space="preserve"> </w:t>
      </w:r>
      <w:proofErr w:type="gramStart"/>
      <w:r>
        <w:t>impact</w:t>
      </w:r>
      <w:proofErr w:type="gramEnd"/>
      <w:r>
        <w:rPr>
          <w:spacing w:val="-12"/>
        </w:rPr>
        <w:t xml:space="preserve"> </w:t>
      </w:r>
      <w:r>
        <w:t>the</w:t>
      </w:r>
      <w:r>
        <w:rPr>
          <w:spacing w:val="-15"/>
        </w:rPr>
        <w:t xml:space="preserve"> </w:t>
      </w:r>
      <w:r>
        <w:t>financial</w:t>
      </w:r>
      <w:r>
        <w:rPr>
          <w:spacing w:val="-13"/>
        </w:rPr>
        <w:t xml:space="preserve"> </w:t>
      </w:r>
      <w:r>
        <w:t>arrangements agreed for other indications, where cost effectiveness assessments are different.</w:t>
      </w:r>
      <w:r>
        <w:rPr>
          <w:spacing w:val="40"/>
        </w:rPr>
        <w:t xml:space="preserve"> </w:t>
      </w:r>
      <w:r>
        <w:t>The only possibilit</w:t>
      </w:r>
      <w:r>
        <w:t>y for</w:t>
      </w:r>
      <w:r>
        <w:rPr>
          <w:spacing w:val="-9"/>
        </w:rPr>
        <w:t xml:space="preserve"> </w:t>
      </w:r>
      <w:r>
        <w:t>AstraZeneca to offer a discounted price to the NHS is therefore to negotiate commercial terms with</w:t>
      </w:r>
      <w:r>
        <w:rPr>
          <w:spacing w:val="-1"/>
        </w:rPr>
        <w:t xml:space="preserve"> </w:t>
      </w:r>
      <w:r>
        <w:t>NHS</w:t>
      </w:r>
      <w:r>
        <w:rPr>
          <w:spacing w:val="-1"/>
        </w:rPr>
        <w:t xml:space="preserve"> </w:t>
      </w:r>
      <w:r>
        <w:t>England.</w:t>
      </w:r>
      <w:r>
        <w:rPr>
          <w:spacing w:val="40"/>
        </w:rPr>
        <w:t xml:space="preserve"> </w:t>
      </w:r>
      <w:proofErr w:type="gramStart"/>
      <w:r>
        <w:t>However</w:t>
      </w:r>
      <w:proofErr w:type="gramEnd"/>
      <w:r>
        <w:t xml:space="preserve"> the process followed</w:t>
      </w:r>
      <w:r>
        <w:rPr>
          <w:spacing w:val="-1"/>
        </w:rPr>
        <w:t xml:space="preserve"> </w:t>
      </w:r>
      <w:r>
        <w:t>in</w:t>
      </w:r>
      <w:r>
        <w:rPr>
          <w:spacing w:val="-1"/>
        </w:rPr>
        <w:t xml:space="preserve"> </w:t>
      </w:r>
      <w:r>
        <w:t>the current appraisal did not allow for reasonable opportunity for such negotiations.</w:t>
      </w:r>
    </w:p>
    <w:p w14:paraId="23956C56" w14:textId="77777777" w:rsidR="006F4CB1" w:rsidRDefault="00810B0E">
      <w:pPr>
        <w:pStyle w:val="BodyText"/>
        <w:spacing w:before="158" w:line="278" w:lineRule="auto"/>
        <w:ind w:right="12"/>
      </w:pPr>
      <w:r>
        <w:t xml:space="preserve">The consequence is that the prices for durvalumab and </w:t>
      </w:r>
      <w:proofErr w:type="spellStart"/>
      <w:r>
        <w:t>olaparib</w:t>
      </w:r>
      <w:proofErr w:type="spellEnd"/>
      <w:r>
        <w:t xml:space="preserve"> considered by the Appraisal</w:t>
      </w:r>
      <w:r>
        <w:rPr>
          <w:spacing w:val="-1"/>
        </w:rPr>
        <w:t xml:space="preserve"> </w:t>
      </w:r>
      <w:r>
        <w:t>Committee</w:t>
      </w:r>
      <w:r>
        <w:rPr>
          <w:spacing w:val="-3"/>
        </w:rPr>
        <w:t xml:space="preserve"> </w:t>
      </w:r>
      <w:r>
        <w:t>in</w:t>
      </w:r>
      <w:r>
        <w:rPr>
          <w:spacing w:val="-2"/>
        </w:rPr>
        <w:t xml:space="preserve"> </w:t>
      </w:r>
      <w:r>
        <w:t>this</w:t>
      </w:r>
      <w:r>
        <w:rPr>
          <w:spacing w:val="-4"/>
        </w:rPr>
        <w:t xml:space="preserve"> </w:t>
      </w:r>
      <w:r>
        <w:t>appraisal</w:t>
      </w:r>
      <w:r>
        <w:rPr>
          <w:spacing w:val="-2"/>
        </w:rPr>
        <w:t xml:space="preserve"> </w:t>
      </w:r>
      <w:r>
        <w:t>do</w:t>
      </w:r>
      <w:r>
        <w:rPr>
          <w:spacing w:val="-6"/>
        </w:rPr>
        <w:t xml:space="preserve"> </w:t>
      </w:r>
      <w:r>
        <w:t>not</w:t>
      </w:r>
      <w:r>
        <w:rPr>
          <w:spacing w:val="-3"/>
        </w:rPr>
        <w:t xml:space="preserve"> </w:t>
      </w:r>
      <w:r>
        <w:t>reflect</w:t>
      </w:r>
      <w:r>
        <w:rPr>
          <w:spacing w:val="-2"/>
        </w:rPr>
        <w:t xml:space="preserve"> </w:t>
      </w:r>
      <w:r>
        <w:t>the</w:t>
      </w:r>
      <w:r>
        <w:rPr>
          <w:spacing w:val="-3"/>
        </w:rPr>
        <w:t xml:space="preserve"> </w:t>
      </w:r>
      <w:r>
        <w:t>prices</w:t>
      </w:r>
      <w:r>
        <w:rPr>
          <w:spacing w:val="-4"/>
        </w:rPr>
        <w:t xml:space="preserve"> </w:t>
      </w:r>
      <w:r>
        <w:t>that</w:t>
      </w:r>
      <w:r>
        <w:rPr>
          <w:spacing w:val="-13"/>
        </w:rPr>
        <w:t xml:space="preserve"> </w:t>
      </w:r>
      <w:r>
        <w:t>AstraZeneca</w:t>
      </w:r>
      <w:r>
        <w:rPr>
          <w:spacing w:val="-2"/>
        </w:rPr>
        <w:t xml:space="preserve"> </w:t>
      </w:r>
      <w:r>
        <w:t>would have</w:t>
      </w:r>
      <w:r>
        <w:rPr>
          <w:spacing w:val="-12"/>
        </w:rPr>
        <w:t xml:space="preserve"> </w:t>
      </w:r>
      <w:r>
        <w:t>offered</w:t>
      </w:r>
      <w:r>
        <w:rPr>
          <w:spacing w:val="-11"/>
        </w:rPr>
        <w:t xml:space="preserve"> </w:t>
      </w:r>
      <w:r>
        <w:t>to</w:t>
      </w:r>
      <w:r>
        <w:rPr>
          <w:spacing w:val="-10"/>
        </w:rPr>
        <w:t xml:space="preserve"> </w:t>
      </w:r>
      <w:r>
        <w:t>the</w:t>
      </w:r>
      <w:r>
        <w:rPr>
          <w:spacing w:val="-11"/>
        </w:rPr>
        <w:t xml:space="preserve"> </w:t>
      </w:r>
      <w:r>
        <w:t>NHS</w:t>
      </w:r>
      <w:r>
        <w:rPr>
          <w:spacing w:val="-10"/>
        </w:rPr>
        <w:t xml:space="preserve"> </w:t>
      </w:r>
      <w:r>
        <w:t>and</w:t>
      </w:r>
      <w:r>
        <w:rPr>
          <w:spacing w:val="-11"/>
        </w:rPr>
        <w:t xml:space="preserve"> </w:t>
      </w:r>
      <w:r>
        <w:t>the</w:t>
      </w:r>
      <w:r>
        <w:rPr>
          <w:spacing w:val="-11"/>
        </w:rPr>
        <w:t xml:space="preserve"> </w:t>
      </w:r>
      <w:r>
        <w:t>most</w:t>
      </w:r>
      <w:r>
        <w:rPr>
          <w:spacing w:val="-10"/>
        </w:rPr>
        <w:t xml:space="preserve"> </w:t>
      </w:r>
      <w:r>
        <w:t>plausible</w:t>
      </w:r>
      <w:r>
        <w:rPr>
          <w:spacing w:val="-12"/>
        </w:rPr>
        <w:t xml:space="preserve"> </w:t>
      </w:r>
      <w:r>
        <w:t>ICERs</w:t>
      </w:r>
      <w:r>
        <w:rPr>
          <w:spacing w:val="-13"/>
        </w:rPr>
        <w:t xml:space="preserve"> </w:t>
      </w:r>
      <w:r>
        <w:t>calculated</w:t>
      </w:r>
      <w:r>
        <w:rPr>
          <w:spacing w:val="-11"/>
        </w:rPr>
        <w:t xml:space="preserve"> </w:t>
      </w:r>
      <w:r>
        <w:t>by</w:t>
      </w:r>
      <w:r>
        <w:rPr>
          <w:spacing w:val="-11"/>
        </w:rPr>
        <w:t xml:space="preserve"> </w:t>
      </w:r>
      <w:r>
        <w:t>the</w:t>
      </w:r>
      <w:r>
        <w:rPr>
          <w:spacing w:val="-11"/>
        </w:rPr>
        <w:t xml:space="preserve"> </w:t>
      </w:r>
      <w:r>
        <w:t>Committee</w:t>
      </w:r>
      <w:r>
        <w:rPr>
          <w:spacing w:val="-12"/>
        </w:rPr>
        <w:t xml:space="preserve"> </w:t>
      </w:r>
      <w:r>
        <w:t xml:space="preserve">are disproportionately high. The result is that the overall assessment is, in practice, </w:t>
      </w:r>
      <w:r>
        <w:rPr>
          <w:spacing w:val="-2"/>
        </w:rPr>
        <w:t>meaningless.</w:t>
      </w:r>
    </w:p>
    <w:p w14:paraId="23956C57" w14:textId="77777777" w:rsidR="006F4CB1" w:rsidRDefault="00810B0E">
      <w:pPr>
        <w:pStyle w:val="BodyText"/>
        <w:spacing w:before="156" w:line="278" w:lineRule="auto"/>
        <w:ind w:right="13"/>
      </w:pPr>
      <w:r>
        <w:t xml:space="preserve">AstraZeneca specifically asked NICE to ensure that the Committee was aware that, while it would be considering ICERs that exceed the £30,000 threshold due to the commercial arrangements in place for both durvalumab and </w:t>
      </w:r>
      <w:proofErr w:type="spellStart"/>
      <w:r>
        <w:t>olaparib</w:t>
      </w:r>
      <w:proofErr w:type="spellEnd"/>
      <w:r>
        <w:t xml:space="preserve">, this should not prevent commercial </w:t>
      </w:r>
      <w:proofErr w:type="gramStart"/>
      <w:r>
        <w:t>negotiations</w:t>
      </w:r>
      <w:proofErr w:type="gramEnd"/>
      <w:r>
        <w:t xml:space="preserve"> and the process should not be obstructed by a pre- determined ICER threshold.</w:t>
      </w:r>
      <w:r>
        <w:rPr>
          <w:spacing w:val="40"/>
        </w:rPr>
        <w:t xml:space="preserve"> </w:t>
      </w:r>
      <w:r>
        <w:t>As far as AstraZeneca is aware, however, no such information was provided to the Committee.</w:t>
      </w:r>
    </w:p>
    <w:p w14:paraId="23956C58" w14:textId="77777777" w:rsidR="006F4CB1" w:rsidRDefault="00810B0E">
      <w:pPr>
        <w:pStyle w:val="BodyText"/>
        <w:spacing w:before="158" w:line="278" w:lineRule="auto"/>
        <w:ind w:right="9"/>
      </w:pPr>
      <w:r>
        <w:t xml:space="preserve">There is accordingly no indication in the FDG that the </w:t>
      </w:r>
      <w:proofErr w:type="gramStart"/>
      <w:r>
        <w:t>particular situation</w:t>
      </w:r>
      <w:proofErr w:type="gramEnd"/>
      <w:r>
        <w:t xml:space="preserve"> of combination</w:t>
      </w:r>
      <w:r>
        <w:rPr>
          <w:spacing w:val="-7"/>
        </w:rPr>
        <w:t xml:space="preserve"> </w:t>
      </w:r>
      <w:r>
        <w:t>products</w:t>
      </w:r>
      <w:r>
        <w:rPr>
          <w:spacing w:val="-13"/>
        </w:rPr>
        <w:t xml:space="preserve"> </w:t>
      </w:r>
      <w:r>
        <w:t>for</w:t>
      </w:r>
      <w:r>
        <w:rPr>
          <w:spacing w:val="-10"/>
        </w:rPr>
        <w:t xml:space="preserve"> </w:t>
      </w:r>
      <w:r>
        <w:t>multiple</w:t>
      </w:r>
      <w:r>
        <w:rPr>
          <w:spacing w:val="-12"/>
        </w:rPr>
        <w:t xml:space="preserve"> </w:t>
      </w:r>
      <w:r>
        <w:t>indications</w:t>
      </w:r>
      <w:r>
        <w:rPr>
          <w:spacing w:val="-9"/>
        </w:rPr>
        <w:t xml:space="preserve"> </w:t>
      </w:r>
      <w:r>
        <w:t>was</w:t>
      </w:r>
      <w:r>
        <w:rPr>
          <w:spacing w:val="-14"/>
        </w:rPr>
        <w:t xml:space="preserve"> </w:t>
      </w:r>
      <w:r>
        <w:t>communicated</w:t>
      </w:r>
      <w:r>
        <w:rPr>
          <w:spacing w:val="-7"/>
        </w:rPr>
        <w:t xml:space="preserve"> </w:t>
      </w:r>
      <w:r>
        <w:t>to</w:t>
      </w:r>
      <w:r>
        <w:rPr>
          <w:spacing w:val="-11"/>
        </w:rPr>
        <w:t xml:space="preserve"> </w:t>
      </w:r>
      <w:r>
        <w:t>the</w:t>
      </w:r>
      <w:r>
        <w:rPr>
          <w:spacing w:val="-7"/>
        </w:rPr>
        <w:t xml:space="preserve"> </w:t>
      </w:r>
      <w:r>
        <w:t>Committee</w:t>
      </w:r>
      <w:r>
        <w:rPr>
          <w:spacing w:val="-3"/>
        </w:rPr>
        <w:t xml:space="preserve"> </w:t>
      </w:r>
      <w:r>
        <w:t>-or that</w:t>
      </w:r>
      <w:r>
        <w:rPr>
          <w:spacing w:val="-1"/>
        </w:rPr>
        <w:t xml:space="preserve"> </w:t>
      </w:r>
      <w:r>
        <w:t>it</w:t>
      </w:r>
      <w:r>
        <w:rPr>
          <w:spacing w:val="-5"/>
        </w:rPr>
        <w:t xml:space="preserve"> </w:t>
      </w:r>
      <w:r>
        <w:t>was</w:t>
      </w:r>
      <w:r>
        <w:rPr>
          <w:spacing w:val="-8"/>
        </w:rPr>
        <w:t xml:space="preserve"> </w:t>
      </w:r>
      <w:proofErr w:type="gramStart"/>
      <w:r>
        <w:t>taken</w:t>
      </w:r>
      <w:r>
        <w:rPr>
          <w:spacing w:val="-1"/>
        </w:rPr>
        <w:t xml:space="preserve"> </w:t>
      </w:r>
      <w:r>
        <w:t>into</w:t>
      </w:r>
      <w:r>
        <w:rPr>
          <w:spacing w:val="-6"/>
        </w:rPr>
        <w:t xml:space="preserve"> </w:t>
      </w:r>
      <w:r>
        <w:t>account</w:t>
      </w:r>
      <w:proofErr w:type="gramEnd"/>
      <w:r>
        <w:rPr>
          <w:spacing w:val="-6"/>
        </w:rPr>
        <w:t xml:space="preserve"> </w:t>
      </w:r>
      <w:r>
        <w:t>when</w:t>
      </w:r>
      <w:r>
        <w:rPr>
          <w:spacing w:val="-6"/>
        </w:rPr>
        <w:t xml:space="preserve"> </w:t>
      </w:r>
      <w:r>
        <w:t>the</w:t>
      </w:r>
      <w:r>
        <w:rPr>
          <w:spacing w:val="-2"/>
        </w:rPr>
        <w:t xml:space="preserve"> </w:t>
      </w:r>
      <w:r>
        <w:t>Committee</w:t>
      </w:r>
      <w:r>
        <w:rPr>
          <w:spacing w:val="-7"/>
        </w:rPr>
        <w:t xml:space="preserve"> </w:t>
      </w:r>
      <w:r>
        <w:t>reached</w:t>
      </w:r>
      <w:r>
        <w:rPr>
          <w:spacing w:val="-1"/>
        </w:rPr>
        <w:t xml:space="preserve"> </w:t>
      </w:r>
      <w:r>
        <w:t>its</w:t>
      </w:r>
      <w:r>
        <w:rPr>
          <w:spacing w:val="-4"/>
        </w:rPr>
        <w:t xml:space="preserve"> </w:t>
      </w:r>
      <w:r>
        <w:t>conclusions</w:t>
      </w:r>
      <w:r>
        <w:rPr>
          <w:spacing w:val="-3"/>
        </w:rPr>
        <w:t xml:space="preserve"> </w:t>
      </w:r>
      <w:r>
        <w:t>at</w:t>
      </w:r>
      <w:r>
        <w:rPr>
          <w:spacing w:val="-6"/>
        </w:rPr>
        <w:t xml:space="preserve"> </w:t>
      </w:r>
      <w:r>
        <w:t>para</w:t>
      </w:r>
      <w:r>
        <w:rPr>
          <w:spacing w:val="-7"/>
        </w:rPr>
        <w:t xml:space="preserve"> </w:t>
      </w:r>
      <w:r>
        <w:t xml:space="preserve">3.19 that the ICER in the </w:t>
      </w:r>
      <w:proofErr w:type="spellStart"/>
      <w:r>
        <w:t>pMMR</w:t>
      </w:r>
      <w:proofErr w:type="spellEnd"/>
      <w:r>
        <w:t xml:space="preserve"> subgroup “</w:t>
      </w:r>
      <w:r>
        <w:rPr>
          <w:i/>
        </w:rPr>
        <w:t>was substantially above the range that NICE considers an acceptable use of NHS resources</w:t>
      </w:r>
      <w:r>
        <w:t>”.</w:t>
      </w:r>
      <w:r>
        <w:rPr>
          <w:spacing w:val="40"/>
        </w:rPr>
        <w:t xml:space="preserve"> </w:t>
      </w:r>
      <w:r>
        <w:t>This is unfair.</w:t>
      </w:r>
      <w:r>
        <w:rPr>
          <w:spacing w:val="40"/>
        </w:rPr>
        <w:t xml:space="preserve"> </w:t>
      </w:r>
      <w:r>
        <w:t xml:space="preserve">It is incumbent on NICE to ensure that it </w:t>
      </w:r>
      <w:proofErr w:type="gramStart"/>
      <w:r>
        <w:t>create</w:t>
      </w:r>
      <w:proofErr w:type="gramEnd"/>
      <w:r>
        <w:t xml:space="preserve"> a level playing field for all companies and products and the inflexible application of procedures which obstruct access to certain medicines is not in the interests of patients or the NHS.</w:t>
      </w:r>
    </w:p>
    <w:p w14:paraId="23956C59" w14:textId="77777777" w:rsidR="006F4CB1" w:rsidRDefault="006F4CB1">
      <w:pPr>
        <w:pStyle w:val="BodyText"/>
        <w:ind w:left="0"/>
        <w:jc w:val="left"/>
      </w:pPr>
    </w:p>
    <w:p w14:paraId="23956C5A" w14:textId="77777777" w:rsidR="006F4CB1" w:rsidRDefault="006F4CB1">
      <w:pPr>
        <w:pStyle w:val="BodyText"/>
        <w:spacing w:before="85"/>
        <w:ind w:left="0"/>
        <w:jc w:val="left"/>
      </w:pPr>
    </w:p>
    <w:p w14:paraId="23956C5B" w14:textId="77777777" w:rsidR="006F4CB1" w:rsidRDefault="00810B0E">
      <w:pPr>
        <w:pStyle w:val="Heading1"/>
        <w:numPr>
          <w:ilvl w:val="0"/>
          <w:numId w:val="5"/>
        </w:numPr>
        <w:tabs>
          <w:tab w:val="left" w:pos="383"/>
        </w:tabs>
        <w:spacing w:line="280" w:lineRule="auto"/>
        <w:ind w:right="236"/>
        <w:rPr>
          <w:u w:val="none"/>
        </w:rPr>
      </w:pPr>
      <w:r>
        <w:rPr>
          <w:u w:val="none"/>
        </w:rPr>
        <w:t>GROUND</w:t>
      </w:r>
      <w:r>
        <w:rPr>
          <w:spacing w:val="-8"/>
          <w:u w:val="none"/>
        </w:rPr>
        <w:t xml:space="preserve"> </w:t>
      </w:r>
      <w:r>
        <w:rPr>
          <w:u w:val="none"/>
        </w:rPr>
        <w:t>2:</w:t>
      </w:r>
      <w:r>
        <w:rPr>
          <w:spacing w:val="-9"/>
          <w:u w:val="none"/>
        </w:rPr>
        <w:t xml:space="preserve"> </w:t>
      </w:r>
      <w:r>
        <w:rPr>
          <w:u w:val="none"/>
        </w:rPr>
        <w:t>THE</w:t>
      </w:r>
      <w:r>
        <w:rPr>
          <w:spacing w:val="-9"/>
          <w:u w:val="none"/>
        </w:rPr>
        <w:t xml:space="preserve"> </w:t>
      </w:r>
      <w:r>
        <w:rPr>
          <w:u w:val="none"/>
        </w:rPr>
        <w:t>RECOMMENDATION</w:t>
      </w:r>
      <w:r>
        <w:rPr>
          <w:spacing w:val="-7"/>
          <w:u w:val="none"/>
        </w:rPr>
        <w:t xml:space="preserve"> </w:t>
      </w:r>
      <w:r>
        <w:rPr>
          <w:u w:val="none"/>
        </w:rPr>
        <w:t>IS</w:t>
      </w:r>
      <w:r>
        <w:rPr>
          <w:spacing w:val="-7"/>
          <w:u w:val="none"/>
        </w:rPr>
        <w:t xml:space="preserve"> </w:t>
      </w:r>
      <w:r>
        <w:rPr>
          <w:u w:val="none"/>
        </w:rPr>
        <w:t>UNREASONABLE</w:t>
      </w:r>
      <w:r>
        <w:rPr>
          <w:spacing w:val="-9"/>
          <w:u w:val="none"/>
        </w:rPr>
        <w:t xml:space="preserve"> </w:t>
      </w:r>
      <w:r>
        <w:rPr>
          <w:u w:val="none"/>
        </w:rPr>
        <w:t>IN</w:t>
      </w:r>
      <w:r>
        <w:rPr>
          <w:spacing w:val="-11"/>
          <w:u w:val="none"/>
        </w:rPr>
        <w:t xml:space="preserve"> </w:t>
      </w:r>
      <w:r>
        <w:rPr>
          <w:u w:val="none"/>
        </w:rPr>
        <w:t>THE</w:t>
      </w:r>
      <w:r>
        <w:rPr>
          <w:spacing w:val="-9"/>
          <w:u w:val="none"/>
        </w:rPr>
        <w:t xml:space="preserve"> </w:t>
      </w:r>
      <w:r>
        <w:rPr>
          <w:u w:val="none"/>
        </w:rPr>
        <w:t>LIGHT OF THE EVIDENCE SUBMITTED TO NICE.</w:t>
      </w:r>
    </w:p>
    <w:p w14:paraId="23956C5C" w14:textId="77777777" w:rsidR="006F4CB1" w:rsidRDefault="006F4CB1">
      <w:pPr>
        <w:pStyle w:val="BodyText"/>
        <w:spacing w:before="39"/>
        <w:ind w:left="0"/>
        <w:jc w:val="left"/>
        <w:rPr>
          <w:b/>
        </w:rPr>
      </w:pPr>
    </w:p>
    <w:p w14:paraId="23956C5D" w14:textId="77777777" w:rsidR="006F4CB1" w:rsidRDefault="00810B0E">
      <w:pPr>
        <w:pStyle w:val="Heading2"/>
        <w:numPr>
          <w:ilvl w:val="1"/>
          <w:numId w:val="5"/>
        </w:numPr>
        <w:tabs>
          <w:tab w:val="left" w:pos="814"/>
          <w:tab w:val="left" w:pos="816"/>
        </w:tabs>
        <w:spacing w:line="278" w:lineRule="auto"/>
        <w:jc w:val="both"/>
      </w:pPr>
      <w:r>
        <w:t xml:space="preserve">The Committee’s conclusions regarding the proportion of people with </w:t>
      </w:r>
      <w:proofErr w:type="spellStart"/>
      <w:r>
        <w:t>pMMR</w:t>
      </w:r>
      <w:proofErr w:type="spellEnd"/>
      <w:r>
        <w:t xml:space="preserve"> endometrial cancer on durvalumab who commence treatment with </w:t>
      </w:r>
      <w:proofErr w:type="spellStart"/>
      <w:r>
        <w:t>olaparib</w:t>
      </w:r>
      <w:proofErr w:type="spellEnd"/>
      <w:r>
        <w:t xml:space="preserve"> do not reflect the SmPC or the DUO-E clinical trial</w:t>
      </w:r>
    </w:p>
    <w:p w14:paraId="23956C5E" w14:textId="77777777" w:rsidR="006F4CB1" w:rsidRDefault="006F4CB1">
      <w:pPr>
        <w:pStyle w:val="Heading2"/>
        <w:spacing w:line="278" w:lineRule="auto"/>
        <w:sectPr w:rsidR="006F4CB1">
          <w:footerReference w:type="default" r:id="rId9"/>
          <w:pgSz w:w="11910" w:h="16840"/>
          <w:pgMar w:top="1360" w:right="1417" w:bottom="1280" w:left="1417" w:header="0" w:footer="1091" w:gutter="0"/>
          <w:pgNumType w:start="1"/>
          <w:cols w:space="720"/>
        </w:sectPr>
      </w:pPr>
    </w:p>
    <w:p w14:paraId="23956C5F" w14:textId="77777777" w:rsidR="006F4CB1" w:rsidRDefault="00810B0E">
      <w:pPr>
        <w:pStyle w:val="BodyText"/>
        <w:spacing w:before="63" w:line="278" w:lineRule="auto"/>
        <w:ind w:right="13"/>
      </w:pPr>
      <w:r>
        <w:lastRenderedPageBreak/>
        <w:t>At appeal point 1.4 above,</w:t>
      </w:r>
      <w:r>
        <w:rPr>
          <w:spacing w:val="-2"/>
        </w:rPr>
        <w:t xml:space="preserve"> </w:t>
      </w:r>
      <w:r>
        <w:t xml:space="preserve">AstraZeneca addresses the absence of consultation on the change in the Committee’s position on the proportion of people with </w:t>
      </w:r>
      <w:proofErr w:type="spellStart"/>
      <w:r>
        <w:t>pMMR</w:t>
      </w:r>
      <w:proofErr w:type="spellEnd"/>
      <w:r>
        <w:t xml:space="preserve"> endometrial cancer on durvalumab who commence </w:t>
      </w:r>
      <w:proofErr w:type="spellStart"/>
      <w:r>
        <w:t>olaparib</w:t>
      </w:r>
      <w:proofErr w:type="spellEnd"/>
      <w:r>
        <w:t xml:space="preserve"> therapy, as a matter of procedural fairness.</w:t>
      </w:r>
      <w:r>
        <w:rPr>
          <w:spacing w:val="40"/>
        </w:rPr>
        <w:t xml:space="preserve"> </w:t>
      </w:r>
      <w:r>
        <w:t xml:space="preserve">We refer to appeal point 1.4 for the background to the issue. However, the Committee’s preferred assumption in relation to this matter as set out </w:t>
      </w:r>
      <w:proofErr w:type="gramStart"/>
      <w:r>
        <w:t>at</w:t>
      </w:r>
      <w:proofErr w:type="gramEnd"/>
      <w:r>
        <w:t xml:space="preserve"> paragraph 3.11 of the FDG is also unreasonable.</w:t>
      </w:r>
    </w:p>
    <w:p w14:paraId="23956C60" w14:textId="77777777" w:rsidR="006F4CB1" w:rsidRDefault="006F4CB1">
      <w:pPr>
        <w:pStyle w:val="BodyText"/>
        <w:spacing w:before="41"/>
        <w:ind w:left="0"/>
        <w:jc w:val="left"/>
      </w:pPr>
    </w:p>
    <w:p w14:paraId="23956C61" w14:textId="77777777" w:rsidR="006F4CB1" w:rsidRDefault="00810B0E">
      <w:pPr>
        <w:spacing w:line="278" w:lineRule="auto"/>
        <w:ind w:left="744" w:right="8"/>
        <w:jc w:val="both"/>
        <w:rPr>
          <w:sz w:val="24"/>
        </w:rPr>
      </w:pPr>
      <w:r>
        <w:rPr>
          <w:sz w:val="24"/>
        </w:rPr>
        <w:t>At paragraph</w:t>
      </w:r>
      <w:r>
        <w:rPr>
          <w:spacing w:val="-5"/>
          <w:sz w:val="24"/>
        </w:rPr>
        <w:t xml:space="preserve"> </w:t>
      </w:r>
      <w:r>
        <w:rPr>
          <w:sz w:val="24"/>
        </w:rPr>
        <w:t>3.11</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FDG,</w:t>
      </w:r>
      <w:r>
        <w:rPr>
          <w:spacing w:val="-3"/>
          <w:sz w:val="24"/>
        </w:rPr>
        <w:t xml:space="preserve"> </w:t>
      </w:r>
      <w:r>
        <w:rPr>
          <w:sz w:val="24"/>
        </w:rPr>
        <w:t>the</w:t>
      </w:r>
      <w:r>
        <w:rPr>
          <w:spacing w:val="-6"/>
          <w:sz w:val="24"/>
        </w:rPr>
        <w:t xml:space="preserve"> </w:t>
      </w:r>
      <w:r>
        <w:rPr>
          <w:sz w:val="24"/>
        </w:rPr>
        <w:t>Committee</w:t>
      </w:r>
      <w:r>
        <w:rPr>
          <w:spacing w:val="-2"/>
          <w:sz w:val="24"/>
        </w:rPr>
        <w:t xml:space="preserve"> </w:t>
      </w:r>
      <w:r>
        <w:rPr>
          <w:sz w:val="24"/>
        </w:rPr>
        <w:t>refers</w:t>
      </w:r>
      <w:r>
        <w:rPr>
          <w:spacing w:val="-3"/>
          <w:sz w:val="24"/>
        </w:rPr>
        <w:t xml:space="preserve"> </w:t>
      </w:r>
      <w:r>
        <w:rPr>
          <w:sz w:val="24"/>
        </w:rPr>
        <w:t>to</w:t>
      </w:r>
      <w:r>
        <w:rPr>
          <w:spacing w:val="-5"/>
          <w:sz w:val="24"/>
        </w:rPr>
        <w:t xml:space="preserve"> </w:t>
      </w:r>
      <w:r>
        <w:rPr>
          <w:sz w:val="24"/>
        </w:rPr>
        <w:t>advice</w:t>
      </w:r>
      <w:r>
        <w:rPr>
          <w:spacing w:val="-2"/>
          <w:sz w:val="24"/>
        </w:rPr>
        <w:t xml:space="preserve"> </w:t>
      </w:r>
      <w:r>
        <w:rPr>
          <w:sz w:val="24"/>
        </w:rPr>
        <w:t>from</w:t>
      </w:r>
      <w:r>
        <w:rPr>
          <w:spacing w:val="-5"/>
          <w:sz w:val="24"/>
        </w:rPr>
        <w:t xml:space="preserve"> </w:t>
      </w:r>
      <w:r>
        <w:rPr>
          <w:sz w:val="24"/>
        </w:rPr>
        <w:t>the</w:t>
      </w:r>
      <w:r>
        <w:rPr>
          <w:spacing w:val="-1"/>
          <w:sz w:val="24"/>
        </w:rPr>
        <w:t xml:space="preserve"> </w:t>
      </w:r>
      <w:r>
        <w:rPr>
          <w:sz w:val="24"/>
        </w:rPr>
        <w:t>CDF</w:t>
      </w:r>
      <w:r>
        <w:rPr>
          <w:spacing w:val="-5"/>
          <w:sz w:val="24"/>
        </w:rPr>
        <w:t xml:space="preserve"> </w:t>
      </w:r>
      <w:r>
        <w:rPr>
          <w:sz w:val="24"/>
        </w:rPr>
        <w:t>Lead</w:t>
      </w:r>
      <w:r>
        <w:rPr>
          <w:spacing w:val="-5"/>
          <w:sz w:val="24"/>
        </w:rPr>
        <w:t xml:space="preserve"> </w:t>
      </w:r>
      <w:r>
        <w:rPr>
          <w:sz w:val="24"/>
        </w:rPr>
        <w:t>that people</w:t>
      </w:r>
      <w:r>
        <w:rPr>
          <w:spacing w:val="-2"/>
          <w:sz w:val="24"/>
        </w:rPr>
        <w:t xml:space="preserve"> </w:t>
      </w:r>
      <w:r>
        <w:rPr>
          <w:sz w:val="24"/>
        </w:rPr>
        <w:t>with</w:t>
      </w:r>
      <w:r>
        <w:rPr>
          <w:spacing w:val="-6"/>
          <w:sz w:val="24"/>
        </w:rPr>
        <w:t xml:space="preserve"> </w:t>
      </w:r>
      <w:proofErr w:type="spellStart"/>
      <w:r>
        <w:rPr>
          <w:sz w:val="24"/>
        </w:rPr>
        <w:t>pMMR</w:t>
      </w:r>
      <w:proofErr w:type="spellEnd"/>
      <w:r>
        <w:rPr>
          <w:spacing w:val="-3"/>
          <w:sz w:val="24"/>
        </w:rPr>
        <w:t xml:space="preserve"> </w:t>
      </w:r>
      <w:r>
        <w:rPr>
          <w:sz w:val="24"/>
        </w:rPr>
        <w:t>endometrial</w:t>
      </w:r>
      <w:r>
        <w:rPr>
          <w:spacing w:val="-6"/>
          <w:sz w:val="24"/>
        </w:rPr>
        <w:t xml:space="preserve"> </w:t>
      </w:r>
      <w:r>
        <w:rPr>
          <w:sz w:val="24"/>
        </w:rPr>
        <w:t>cancer must</w:t>
      </w:r>
      <w:r>
        <w:rPr>
          <w:spacing w:val="-6"/>
          <w:sz w:val="24"/>
        </w:rPr>
        <w:t xml:space="preserve"> </w:t>
      </w:r>
      <w:r>
        <w:rPr>
          <w:sz w:val="24"/>
        </w:rPr>
        <w:t>start</w:t>
      </w:r>
      <w:r>
        <w:rPr>
          <w:spacing w:val="-10"/>
          <w:sz w:val="24"/>
        </w:rPr>
        <w:t xml:space="preserve"> </w:t>
      </w:r>
      <w:r>
        <w:rPr>
          <w:sz w:val="24"/>
        </w:rPr>
        <w:t>both</w:t>
      </w:r>
      <w:r>
        <w:rPr>
          <w:spacing w:val="-1"/>
          <w:sz w:val="24"/>
        </w:rPr>
        <w:t xml:space="preserve"> </w:t>
      </w:r>
      <w:r>
        <w:rPr>
          <w:sz w:val="24"/>
        </w:rPr>
        <w:t>durvalumab</w:t>
      </w:r>
      <w:r>
        <w:rPr>
          <w:spacing w:val="-6"/>
          <w:sz w:val="24"/>
        </w:rPr>
        <w:t xml:space="preserve"> </w:t>
      </w:r>
      <w:r>
        <w:rPr>
          <w:sz w:val="24"/>
        </w:rPr>
        <w:t xml:space="preserve">and </w:t>
      </w:r>
      <w:proofErr w:type="spellStart"/>
      <w:r>
        <w:rPr>
          <w:sz w:val="24"/>
        </w:rPr>
        <w:t>olaparib</w:t>
      </w:r>
      <w:proofErr w:type="spellEnd"/>
      <w:r>
        <w:rPr>
          <w:spacing w:val="-6"/>
          <w:sz w:val="24"/>
        </w:rPr>
        <w:t xml:space="preserve"> </w:t>
      </w:r>
      <w:r>
        <w:rPr>
          <w:sz w:val="24"/>
        </w:rPr>
        <w:t>in</w:t>
      </w:r>
      <w:r>
        <w:rPr>
          <w:spacing w:val="-6"/>
          <w:sz w:val="24"/>
        </w:rPr>
        <w:t xml:space="preserve"> </w:t>
      </w:r>
      <w:r>
        <w:rPr>
          <w:sz w:val="24"/>
        </w:rPr>
        <w:t>the maintenance</w:t>
      </w:r>
      <w:r>
        <w:rPr>
          <w:spacing w:val="-15"/>
          <w:sz w:val="24"/>
        </w:rPr>
        <w:t xml:space="preserve"> </w:t>
      </w:r>
      <w:r>
        <w:rPr>
          <w:sz w:val="24"/>
        </w:rPr>
        <w:t>phase</w:t>
      </w:r>
      <w:r>
        <w:rPr>
          <w:spacing w:val="-12"/>
          <w:sz w:val="24"/>
        </w:rPr>
        <w:t xml:space="preserve"> </w:t>
      </w:r>
      <w:r>
        <w:rPr>
          <w:sz w:val="24"/>
        </w:rPr>
        <w:t>and</w:t>
      </w:r>
      <w:r>
        <w:rPr>
          <w:spacing w:val="-11"/>
          <w:sz w:val="24"/>
        </w:rPr>
        <w:t xml:space="preserve"> </w:t>
      </w:r>
      <w:r>
        <w:rPr>
          <w:sz w:val="24"/>
        </w:rPr>
        <w:t>cannot</w:t>
      </w:r>
      <w:r>
        <w:rPr>
          <w:spacing w:val="-10"/>
          <w:sz w:val="24"/>
        </w:rPr>
        <w:t xml:space="preserve"> </w:t>
      </w:r>
      <w:r>
        <w:rPr>
          <w:sz w:val="24"/>
        </w:rPr>
        <w:t>start</w:t>
      </w:r>
      <w:r>
        <w:rPr>
          <w:spacing w:val="-10"/>
          <w:sz w:val="24"/>
        </w:rPr>
        <w:t xml:space="preserve"> </w:t>
      </w:r>
      <w:r>
        <w:rPr>
          <w:sz w:val="24"/>
        </w:rPr>
        <w:t>either</w:t>
      </w:r>
      <w:r>
        <w:rPr>
          <w:spacing w:val="-9"/>
          <w:sz w:val="24"/>
        </w:rPr>
        <w:t xml:space="preserve"> </w:t>
      </w:r>
      <w:r>
        <w:rPr>
          <w:sz w:val="24"/>
        </w:rPr>
        <w:t>as</w:t>
      </w:r>
      <w:r>
        <w:rPr>
          <w:spacing w:val="-13"/>
          <w:sz w:val="24"/>
        </w:rPr>
        <w:t xml:space="preserve"> </w:t>
      </w:r>
      <w:r>
        <w:rPr>
          <w:sz w:val="24"/>
        </w:rPr>
        <w:t>monotherapy.</w:t>
      </w:r>
      <w:r>
        <w:rPr>
          <w:spacing w:val="-15"/>
          <w:sz w:val="24"/>
        </w:rPr>
        <w:t xml:space="preserve"> </w:t>
      </w:r>
      <w:r>
        <w:rPr>
          <w:sz w:val="24"/>
        </w:rPr>
        <w:t>As</w:t>
      </w:r>
      <w:r>
        <w:rPr>
          <w:spacing w:val="-13"/>
          <w:sz w:val="24"/>
        </w:rPr>
        <w:t xml:space="preserve"> </w:t>
      </w:r>
      <w:r>
        <w:rPr>
          <w:sz w:val="24"/>
        </w:rPr>
        <w:t>a</w:t>
      </w:r>
      <w:r>
        <w:rPr>
          <w:spacing w:val="-12"/>
          <w:sz w:val="24"/>
        </w:rPr>
        <w:t xml:space="preserve"> </w:t>
      </w:r>
      <w:r>
        <w:rPr>
          <w:sz w:val="24"/>
        </w:rPr>
        <w:t>result</w:t>
      </w:r>
      <w:r>
        <w:rPr>
          <w:spacing w:val="-10"/>
          <w:sz w:val="24"/>
        </w:rPr>
        <w:t xml:space="preserve"> </w:t>
      </w:r>
      <w:r>
        <w:rPr>
          <w:sz w:val="24"/>
        </w:rPr>
        <w:t>of</w:t>
      </w:r>
      <w:r>
        <w:rPr>
          <w:spacing w:val="-14"/>
          <w:sz w:val="24"/>
        </w:rPr>
        <w:t xml:space="preserve"> </w:t>
      </w:r>
      <w:r>
        <w:rPr>
          <w:sz w:val="24"/>
        </w:rPr>
        <w:t>this</w:t>
      </w:r>
      <w:r>
        <w:rPr>
          <w:spacing w:val="-13"/>
          <w:sz w:val="24"/>
        </w:rPr>
        <w:t xml:space="preserve"> </w:t>
      </w:r>
      <w:r>
        <w:rPr>
          <w:sz w:val="24"/>
        </w:rPr>
        <w:t>advice</w:t>
      </w:r>
      <w:r>
        <w:rPr>
          <w:spacing w:val="-7"/>
          <w:sz w:val="24"/>
        </w:rPr>
        <w:t xml:space="preserve"> </w:t>
      </w:r>
      <w:r>
        <w:rPr>
          <w:sz w:val="24"/>
        </w:rPr>
        <w:t>the Committee “</w:t>
      </w:r>
      <w:r>
        <w:rPr>
          <w:i/>
          <w:sz w:val="24"/>
        </w:rPr>
        <w:t xml:space="preserve">concluded that the model should apply costs of </w:t>
      </w:r>
      <w:proofErr w:type="spellStart"/>
      <w:r>
        <w:rPr>
          <w:i/>
          <w:sz w:val="24"/>
        </w:rPr>
        <w:t>olaparib</w:t>
      </w:r>
      <w:proofErr w:type="spellEnd"/>
      <w:r>
        <w:rPr>
          <w:i/>
          <w:sz w:val="24"/>
        </w:rPr>
        <w:t xml:space="preserve"> maintenance to all people with </w:t>
      </w:r>
      <w:proofErr w:type="spellStart"/>
      <w:r>
        <w:rPr>
          <w:i/>
          <w:sz w:val="24"/>
        </w:rPr>
        <w:t>pMMR</w:t>
      </w:r>
      <w:proofErr w:type="spellEnd"/>
      <w:r>
        <w:rPr>
          <w:i/>
          <w:sz w:val="24"/>
        </w:rPr>
        <w:t xml:space="preserve"> endometrial cancer who are progression-free and alive at 18 weeks</w:t>
      </w:r>
      <w:r>
        <w:rPr>
          <w:sz w:val="24"/>
        </w:rPr>
        <w:t>”.</w:t>
      </w:r>
      <w:r>
        <w:rPr>
          <w:spacing w:val="40"/>
          <w:sz w:val="24"/>
        </w:rPr>
        <w:t xml:space="preserve"> </w:t>
      </w:r>
      <w:r>
        <w:rPr>
          <w:sz w:val="24"/>
        </w:rPr>
        <w:t>However, there may be reasons why the situation of the patient may change between commencement of durvalumab treatment and the start of maintenance.</w:t>
      </w:r>
    </w:p>
    <w:p w14:paraId="23956C62" w14:textId="77777777" w:rsidR="006F4CB1" w:rsidRDefault="006F4CB1">
      <w:pPr>
        <w:pStyle w:val="BodyText"/>
        <w:spacing w:before="42"/>
        <w:ind w:left="0"/>
        <w:jc w:val="left"/>
      </w:pPr>
    </w:p>
    <w:p w14:paraId="23956C63" w14:textId="77777777" w:rsidR="006F4CB1" w:rsidRDefault="00810B0E">
      <w:pPr>
        <w:pStyle w:val="BodyText"/>
        <w:spacing w:line="280" w:lineRule="auto"/>
        <w:ind w:right="20"/>
      </w:pPr>
      <w:r>
        <w:t xml:space="preserve">By way of example the SmPC for </w:t>
      </w:r>
      <w:proofErr w:type="spellStart"/>
      <w:r>
        <w:t>olaparib</w:t>
      </w:r>
      <w:proofErr w:type="spellEnd"/>
      <w:r>
        <w:t xml:space="preserve">, states at section 4.4 (Precautions and </w:t>
      </w:r>
      <w:r>
        <w:rPr>
          <w:spacing w:val="-2"/>
        </w:rPr>
        <w:t>Warnings):</w:t>
      </w:r>
    </w:p>
    <w:p w14:paraId="23956C64" w14:textId="77777777" w:rsidR="006F4CB1" w:rsidRDefault="00810B0E">
      <w:pPr>
        <w:spacing w:line="278" w:lineRule="auto"/>
        <w:ind w:left="1464" w:right="18"/>
        <w:jc w:val="both"/>
        <w:rPr>
          <w:sz w:val="24"/>
        </w:rPr>
      </w:pPr>
      <w:r>
        <w:rPr>
          <w:sz w:val="24"/>
        </w:rPr>
        <w:t>“</w:t>
      </w:r>
      <w:r>
        <w:rPr>
          <w:i/>
          <w:sz w:val="24"/>
        </w:rPr>
        <w:t xml:space="preserve">Patients should not start treatment with Lynparza until they have recovered from </w:t>
      </w:r>
      <w:proofErr w:type="spellStart"/>
      <w:r>
        <w:rPr>
          <w:i/>
          <w:sz w:val="24"/>
        </w:rPr>
        <w:t>haematological</w:t>
      </w:r>
      <w:proofErr w:type="spellEnd"/>
      <w:r>
        <w:rPr>
          <w:i/>
          <w:sz w:val="24"/>
        </w:rPr>
        <w:t xml:space="preserve"> toxicity caused by previous anticancer therapy (</w:t>
      </w:r>
      <w:proofErr w:type="spellStart"/>
      <w:r>
        <w:rPr>
          <w:i/>
          <w:sz w:val="24"/>
        </w:rPr>
        <w:t>haemoglobin</w:t>
      </w:r>
      <w:proofErr w:type="spellEnd"/>
      <w:r>
        <w:rPr>
          <w:i/>
          <w:sz w:val="24"/>
        </w:rPr>
        <w:t>, platelet and neutrophil levels should be ≤CTCAE grade 1)”</w:t>
      </w:r>
      <w:r>
        <w:rPr>
          <w:sz w:val="24"/>
        </w:rPr>
        <w:t>.</w:t>
      </w:r>
    </w:p>
    <w:p w14:paraId="23956C65" w14:textId="77777777" w:rsidR="006F4CB1" w:rsidRDefault="006F4CB1">
      <w:pPr>
        <w:pStyle w:val="BodyText"/>
        <w:spacing w:before="38"/>
        <w:ind w:left="0"/>
        <w:jc w:val="left"/>
      </w:pPr>
    </w:p>
    <w:p w14:paraId="23956C66" w14:textId="77777777" w:rsidR="006F4CB1" w:rsidRDefault="00810B0E">
      <w:pPr>
        <w:pStyle w:val="BodyText"/>
        <w:spacing w:before="1" w:line="278" w:lineRule="auto"/>
        <w:ind w:left="816" w:right="11"/>
      </w:pPr>
      <w:r>
        <w:t>Treating clinicians are unable to predict the potential toxicity resulting from the cytotoxic</w:t>
      </w:r>
      <w:r>
        <w:rPr>
          <w:spacing w:val="-15"/>
        </w:rPr>
        <w:t xml:space="preserve"> </w:t>
      </w:r>
      <w:r>
        <w:t>chemotherapy</w:t>
      </w:r>
      <w:r>
        <w:rPr>
          <w:spacing w:val="-15"/>
        </w:rPr>
        <w:t xml:space="preserve"> </w:t>
      </w:r>
      <w:r>
        <w:t>component</w:t>
      </w:r>
      <w:r>
        <w:rPr>
          <w:spacing w:val="-15"/>
        </w:rPr>
        <w:t xml:space="preserve"> </w:t>
      </w:r>
      <w:r>
        <w:t>of</w:t>
      </w:r>
      <w:r>
        <w:rPr>
          <w:spacing w:val="-15"/>
        </w:rPr>
        <w:t xml:space="preserve"> </w:t>
      </w:r>
      <w:r>
        <w:t>the</w:t>
      </w:r>
      <w:r>
        <w:rPr>
          <w:spacing w:val="-15"/>
        </w:rPr>
        <w:t xml:space="preserve"> </w:t>
      </w:r>
      <w:r>
        <w:t>induction</w:t>
      </w:r>
      <w:r>
        <w:rPr>
          <w:spacing w:val="-15"/>
        </w:rPr>
        <w:t xml:space="preserve"> </w:t>
      </w:r>
      <w:r>
        <w:t>regimen</w:t>
      </w:r>
      <w:r>
        <w:rPr>
          <w:spacing w:val="-15"/>
        </w:rPr>
        <w:t xml:space="preserve"> </w:t>
      </w:r>
      <w:r>
        <w:t>accurately.</w:t>
      </w:r>
      <w:r>
        <w:rPr>
          <w:spacing w:val="20"/>
        </w:rPr>
        <w:t xml:space="preserve"> </w:t>
      </w:r>
      <w:r>
        <w:t>It</w:t>
      </w:r>
      <w:r>
        <w:rPr>
          <w:spacing w:val="-15"/>
        </w:rPr>
        <w:t xml:space="preserve"> </w:t>
      </w:r>
      <w:r>
        <w:t>is</w:t>
      </w:r>
      <w:r>
        <w:rPr>
          <w:spacing w:val="-15"/>
        </w:rPr>
        <w:t xml:space="preserve"> </w:t>
      </w:r>
      <w:r>
        <w:t>therefore inevitable</w:t>
      </w:r>
      <w:r>
        <w:rPr>
          <w:spacing w:val="-1"/>
        </w:rPr>
        <w:t xml:space="preserve"> </w:t>
      </w:r>
      <w:r>
        <w:t>that some</w:t>
      </w:r>
      <w:r>
        <w:rPr>
          <w:spacing w:val="-1"/>
        </w:rPr>
        <w:t xml:space="preserve"> </w:t>
      </w:r>
      <w:r>
        <w:t>patients</w:t>
      </w:r>
      <w:r>
        <w:rPr>
          <w:spacing w:val="-1"/>
        </w:rPr>
        <w:t xml:space="preserve"> </w:t>
      </w:r>
      <w:r>
        <w:t>who</w:t>
      </w:r>
      <w:r>
        <w:rPr>
          <w:spacing w:val="-6"/>
        </w:rPr>
        <w:t xml:space="preserve"> </w:t>
      </w:r>
      <w:r>
        <w:t>are considered at</w:t>
      </w:r>
      <w:r>
        <w:rPr>
          <w:spacing w:val="-5"/>
        </w:rPr>
        <w:t xml:space="preserve"> </w:t>
      </w:r>
      <w:r>
        <w:t>the</w:t>
      </w:r>
      <w:r>
        <w:rPr>
          <w:spacing w:val="-1"/>
        </w:rPr>
        <w:t xml:space="preserve"> </w:t>
      </w:r>
      <w:r>
        <w:t>time</w:t>
      </w:r>
      <w:r>
        <w:rPr>
          <w:spacing w:val="-6"/>
        </w:rPr>
        <w:t xml:space="preserve"> </w:t>
      </w:r>
      <w:r>
        <w:t>of</w:t>
      </w:r>
      <w:r>
        <w:rPr>
          <w:spacing w:val="-3"/>
        </w:rPr>
        <w:t xml:space="preserve"> </w:t>
      </w:r>
      <w:proofErr w:type="spellStart"/>
      <w:r>
        <w:t>randomisation</w:t>
      </w:r>
      <w:proofErr w:type="spellEnd"/>
      <w:r>
        <w:t xml:space="preserve"> to</w:t>
      </w:r>
      <w:r>
        <w:rPr>
          <w:spacing w:val="-5"/>
        </w:rPr>
        <w:t xml:space="preserve"> </w:t>
      </w:r>
      <w:r>
        <w:t>be</w:t>
      </w:r>
      <w:r>
        <w:rPr>
          <w:spacing w:val="-6"/>
        </w:rPr>
        <w:t xml:space="preserve"> </w:t>
      </w:r>
      <w:r>
        <w:t>fit enough to</w:t>
      </w:r>
      <w:r>
        <w:rPr>
          <w:spacing w:val="-1"/>
        </w:rPr>
        <w:t xml:space="preserve"> </w:t>
      </w:r>
      <w:r>
        <w:t>receive</w:t>
      </w:r>
      <w:r>
        <w:rPr>
          <w:spacing w:val="-2"/>
        </w:rPr>
        <w:t xml:space="preserve"> </w:t>
      </w:r>
      <w:r>
        <w:t>standard care</w:t>
      </w:r>
      <w:r>
        <w:rPr>
          <w:spacing w:val="-2"/>
        </w:rPr>
        <w:t xml:space="preserve"> </w:t>
      </w:r>
      <w:r>
        <w:t>plus</w:t>
      </w:r>
      <w:r>
        <w:rPr>
          <w:spacing w:val="-3"/>
        </w:rPr>
        <w:t xml:space="preserve"> </w:t>
      </w:r>
      <w:r>
        <w:t>durvalumab</w:t>
      </w:r>
      <w:r>
        <w:rPr>
          <w:spacing w:val="-1"/>
        </w:rPr>
        <w:t xml:space="preserve"> </w:t>
      </w:r>
      <w:r>
        <w:t xml:space="preserve">plus </w:t>
      </w:r>
      <w:proofErr w:type="spellStart"/>
      <w:r>
        <w:t>olaparib</w:t>
      </w:r>
      <w:proofErr w:type="spellEnd"/>
      <w:r>
        <w:t>, are</w:t>
      </w:r>
      <w:r>
        <w:rPr>
          <w:spacing w:val="-1"/>
        </w:rPr>
        <w:t xml:space="preserve"> </w:t>
      </w:r>
      <w:r>
        <w:t>no</w:t>
      </w:r>
      <w:r>
        <w:rPr>
          <w:spacing w:val="-1"/>
        </w:rPr>
        <w:t xml:space="preserve"> </w:t>
      </w:r>
      <w:r>
        <w:t xml:space="preserve">longer deemed fit enough to receive the </w:t>
      </w:r>
      <w:proofErr w:type="spellStart"/>
      <w:r>
        <w:t>olaparib</w:t>
      </w:r>
      <w:proofErr w:type="spellEnd"/>
      <w:r>
        <w:t xml:space="preserve"> component at the point that they commence the maintenance phase. This</w:t>
      </w:r>
      <w:r>
        <w:rPr>
          <w:spacing w:val="-2"/>
        </w:rPr>
        <w:t xml:space="preserve"> </w:t>
      </w:r>
      <w:r>
        <w:t>reflects</w:t>
      </w:r>
      <w:r>
        <w:rPr>
          <w:spacing w:val="-2"/>
        </w:rPr>
        <w:t xml:space="preserve"> </w:t>
      </w:r>
      <w:r>
        <w:t>the data</w:t>
      </w:r>
      <w:r>
        <w:rPr>
          <w:spacing w:val="-2"/>
        </w:rPr>
        <w:t xml:space="preserve"> </w:t>
      </w:r>
      <w:r>
        <w:t>available to</w:t>
      </w:r>
      <w:r>
        <w:rPr>
          <w:spacing w:val="-1"/>
        </w:rPr>
        <w:t xml:space="preserve"> </w:t>
      </w:r>
      <w:r>
        <w:t>the</w:t>
      </w:r>
      <w:r>
        <w:rPr>
          <w:spacing w:val="-2"/>
        </w:rPr>
        <w:t xml:space="preserve"> </w:t>
      </w:r>
      <w:r>
        <w:t>Committee</w:t>
      </w:r>
      <w:r>
        <w:rPr>
          <w:spacing w:val="-3"/>
        </w:rPr>
        <w:t xml:space="preserve"> </w:t>
      </w:r>
      <w:r>
        <w:t>from</w:t>
      </w:r>
      <w:r>
        <w:rPr>
          <w:spacing w:val="40"/>
        </w:rPr>
        <w:t xml:space="preserve"> </w:t>
      </w:r>
      <w:r>
        <w:t>the DUO- E</w:t>
      </w:r>
      <w:r>
        <w:rPr>
          <w:spacing w:val="-2"/>
        </w:rPr>
        <w:t xml:space="preserve"> </w:t>
      </w:r>
      <w:r>
        <w:t>trial</w:t>
      </w:r>
      <w:r>
        <w:rPr>
          <w:spacing w:val="-3"/>
        </w:rPr>
        <w:t xml:space="preserve"> </w:t>
      </w:r>
      <w:r>
        <w:t>(as</w:t>
      </w:r>
      <w:r>
        <w:rPr>
          <w:spacing w:val="-7"/>
        </w:rPr>
        <w:t xml:space="preserve"> </w:t>
      </w:r>
      <w:r>
        <w:t>described</w:t>
      </w:r>
      <w:r>
        <w:rPr>
          <w:spacing w:val="-5"/>
        </w:rPr>
        <w:t xml:space="preserve"> </w:t>
      </w:r>
      <w:r>
        <w:t>at</w:t>
      </w:r>
      <w:r>
        <w:rPr>
          <w:spacing w:val="-8"/>
        </w:rPr>
        <w:t xml:space="preserve"> </w:t>
      </w:r>
      <w:r>
        <w:t>section</w:t>
      </w:r>
      <w:r>
        <w:rPr>
          <w:spacing w:val="-4"/>
        </w:rPr>
        <w:t xml:space="preserve"> </w:t>
      </w:r>
      <w:r>
        <w:t>B.3.3.5.2</w:t>
      </w:r>
      <w:r>
        <w:rPr>
          <w:spacing w:val="-4"/>
        </w:rPr>
        <w:t xml:space="preserve"> </w:t>
      </w:r>
      <w:r>
        <w:t>of</w:t>
      </w:r>
      <w:r>
        <w:rPr>
          <w:spacing w:val="-15"/>
        </w:rPr>
        <w:t xml:space="preserve"> </w:t>
      </w:r>
      <w:r>
        <w:t>AstraZeneca’s</w:t>
      </w:r>
      <w:r>
        <w:rPr>
          <w:spacing w:val="-7"/>
        </w:rPr>
        <w:t xml:space="preserve"> </w:t>
      </w:r>
      <w:r>
        <w:t>original</w:t>
      </w:r>
      <w:r>
        <w:rPr>
          <w:spacing w:val="-4"/>
        </w:rPr>
        <w:t xml:space="preserve"> </w:t>
      </w:r>
      <w:r>
        <w:t>submission),</w:t>
      </w:r>
      <w:r>
        <w:rPr>
          <w:spacing w:val="-2"/>
        </w:rPr>
        <w:t xml:space="preserve"> </w:t>
      </w:r>
      <w:r>
        <w:t xml:space="preserve">where some patients did not initiate </w:t>
      </w:r>
      <w:proofErr w:type="spellStart"/>
      <w:r>
        <w:t>olaparib</w:t>
      </w:r>
      <w:proofErr w:type="spellEnd"/>
      <w:r>
        <w:t>, but were able to continue to receive the durvalumab component of the maintenance regimen and clinical expert advice to the Committee that this is likely to be the approach followed in UK clinical practice.</w:t>
      </w:r>
    </w:p>
    <w:p w14:paraId="23956C67" w14:textId="77777777" w:rsidR="006F4CB1" w:rsidRDefault="006F4CB1">
      <w:pPr>
        <w:pStyle w:val="BodyText"/>
        <w:spacing w:before="37"/>
        <w:ind w:left="0"/>
        <w:jc w:val="left"/>
      </w:pPr>
    </w:p>
    <w:p w14:paraId="23956C68" w14:textId="77777777" w:rsidR="006F4CB1" w:rsidRDefault="00810B0E">
      <w:pPr>
        <w:pStyle w:val="BodyText"/>
        <w:spacing w:line="278" w:lineRule="auto"/>
        <w:ind w:left="816" w:right="11"/>
      </w:pPr>
      <w:r>
        <w:t>In summary,</w:t>
      </w:r>
      <w:r>
        <w:rPr>
          <w:spacing w:val="-2"/>
        </w:rPr>
        <w:t xml:space="preserve"> </w:t>
      </w:r>
      <w:r>
        <w:t>there will be</w:t>
      </w:r>
      <w:r>
        <w:rPr>
          <w:spacing w:val="-4"/>
        </w:rPr>
        <w:t xml:space="preserve"> </w:t>
      </w:r>
      <w:r>
        <w:t>circumstances</w:t>
      </w:r>
      <w:r>
        <w:rPr>
          <w:spacing w:val="-2"/>
        </w:rPr>
        <w:t xml:space="preserve"> </w:t>
      </w:r>
      <w:r>
        <w:t>where patients</w:t>
      </w:r>
      <w:r>
        <w:rPr>
          <w:spacing w:val="-2"/>
        </w:rPr>
        <w:t xml:space="preserve"> </w:t>
      </w:r>
      <w:r>
        <w:t>with medical</w:t>
      </w:r>
      <w:r>
        <w:rPr>
          <w:spacing w:val="-4"/>
        </w:rPr>
        <w:t xml:space="preserve"> </w:t>
      </w:r>
      <w:r>
        <w:t>conditions</w:t>
      </w:r>
      <w:r>
        <w:rPr>
          <w:spacing w:val="-1"/>
        </w:rPr>
        <w:t xml:space="preserve"> </w:t>
      </w:r>
      <w:r>
        <w:t xml:space="preserve">such as </w:t>
      </w:r>
      <w:proofErr w:type="spellStart"/>
      <w:r>
        <w:t>haematological</w:t>
      </w:r>
      <w:proofErr w:type="spellEnd"/>
      <w:r>
        <w:t xml:space="preserve"> toxicities, not present at the time of </w:t>
      </w:r>
      <w:proofErr w:type="spellStart"/>
      <w:r>
        <w:t>randomisation</w:t>
      </w:r>
      <w:proofErr w:type="spellEnd"/>
      <w:r>
        <w:t xml:space="preserve">, will not be commenced on </w:t>
      </w:r>
      <w:proofErr w:type="spellStart"/>
      <w:r>
        <w:t>olaparib</w:t>
      </w:r>
      <w:proofErr w:type="spellEnd"/>
      <w:r>
        <w:t xml:space="preserve"> therapy.</w:t>
      </w:r>
      <w:r>
        <w:rPr>
          <w:spacing w:val="-1"/>
        </w:rPr>
        <w:t xml:space="preserve"> </w:t>
      </w:r>
      <w:r>
        <w:t>Therefore, the assumption in the FDG that 100% of people</w:t>
      </w:r>
      <w:r>
        <w:rPr>
          <w:spacing w:val="-14"/>
        </w:rPr>
        <w:t xml:space="preserve"> </w:t>
      </w:r>
      <w:r>
        <w:t>with</w:t>
      </w:r>
      <w:r>
        <w:rPr>
          <w:spacing w:val="-15"/>
        </w:rPr>
        <w:t xml:space="preserve"> </w:t>
      </w:r>
      <w:proofErr w:type="spellStart"/>
      <w:r>
        <w:t>pMMR</w:t>
      </w:r>
      <w:proofErr w:type="spellEnd"/>
      <w:r>
        <w:rPr>
          <w:spacing w:val="-13"/>
        </w:rPr>
        <w:t xml:space="preserve"> </w:t>
      </w:r>
      <w:r>
        <w:t>endometrial</w:t>
      </w:r>
      <w:r>
        <w:rPr>
          <w:spacing w:val="-12"/>
        </w:rPr>
        <w:t xml:space="preserve"> </w:t>
      </w:r>
      <w:r>
        <w:t>cancer</w:t>
      </w:r>
      <w:r>
        <w:rPr>
          <w:spacing w:val="-15"/>
        </w:rPr>
        <w:t xml:space="preserve"> </w:t>
      </w:r>
      <w:r>
        <w:t>who</w:t>
      </w:r>
      <w:r>
        <w:rPr>
          <w:spacing w:val="-15"/>
        </w:rPr>
        <w:t xml:space="preserve"> </w:t>
      </w:r>
      <w:r>
        <w:t>are</w:t>
      </w:r>
      <w:r>
        <w:rPr>
          <w:spacing w:val="-10"/>
        </w:rPr>
        <w:t xml:space="preserve"> </w:t>
      </w:r>
      <w:r>
        <w:t>progression-free</w:t>
      </w:r>
      <w:r>
        <w:rPr>
          <w:spacing w:val="-13"/>
        </w:rPr>
        <w:t xml:space="preserve"> </w:t>
      </w:r>
      <w:r>
        <w:t>and</w:t>
      </w:r>
      <w:r>
        <w:rPr>
          <w:spacing w:val="-15"/>
        </w:rPr>
        <w:t xml:space="preserve"> </w:t>
      </w:r>
      <w:r>
        <w:t>alive</w:t>
      </w:r>
      <w:r>
        <w:rPr>
          <w:spacing w:val="-13"/>
        </w:rPr>
        <w:t xml:space="preserve"> </w:t>
      </w:r>
      <w:r>
        <w:t>at</w:t>
      </w:r>
      <w:r>
        <w:rPr>
          <w:spacing w:val="-15"/>
        </w:rPr>
        <w:t xml:space="preserve"> </w:t>
      </w:r>
      <w:r>
        <w:t>18</w:t>
      </w:r>
      <w:r>
        <w:rPr>
          <w:spacing w:val="-15"/>
        </w:rPr>
        <w:t xml:space="preserve"> </w:t>
      </w:r>
      <w:r>
        <w:t>weeks will</w:t>
      </w:r>
      <w:r>
        <w:rPr>
          <w:spacing w:val="-10"/>
        </w:rPr>
        <w:t xml:space="preserve"> </w:t>
      </w:r>
      <w:r>
        <w:t>be</w:t>
      </w:r>
      <w:r>
        <w:rPr>
          <w:spacing w:val="-12"/>
        </w:rPr>
        <w:t xml:space="preserve"> </w:t>
      </w:r>
      <w:r>
        <w:t>commenced</w:t>
      </w:r>
      <w:r>
        <w:rPr>
          <w:spacing w:val="-11"/>
        </w:rPr>
        <w:t xml:space="preserve"> </w:t>
      </w:r>
      <w:r>
        <w:t>on</w:t>
      </w:r>
      <w:r>
        <w:rPr>
          <w:spacing w:val="-11"/>
        </w:rPr>
        <w:t xml:space="preserve"> </w:t>
      </w:r>
      <w:r>
        <w:t>treatment</w:t>
      </w:r>
      <w:r>
        <w:rPr>
          <w:spacing w:val="-10"/>
        </w:rPr>
        <w:t xml:space="preserve"> </w:t>
      </w:r>
      <w:r>
        <w:t>with</w:t>
      </w:r>
      <w:r>
        <w:rPr>
          <w:spacing w:val="-10"/>
        </w:rPr>
        <w:t xml:space="preserve"> </w:t>
      </w:r>
      <w:proofErr w:type="spellStart"/>
      <w:r>
        <w:t>olaparib</w:t>
      </w:r>
      <w:proofErr w:type="spellEnd"/>
      <w:r>
        <w:t>,</w:t>
      </w:r>
      <w:r>
        <w:rPr>
          <w:spacing w:val="-9"/>
        </w:rPr>
        <w:t xml:space="preserve"> </w:t>
      </w:r>
      <w:r>
        <w:t>disregards</w:t>
      </w:r>
      <w:r>
        <w:rPr>
          <w:spacing w:val="-13"/>
        </w:rPr>
        <w:t xml:space="preserve"> </w:t>
      </w:r>
      <w:r>
        <w:t>the</w:t>
      </w:r>
      <w:r>
        <w:rPr>
          <w:spacing w:val="-10"/>
        </w:rPr>
        <w:t xml:space="preserve"> </w:t>
      </w:r>
      <w:r>
        <w:t>recommendations</w:t>
      </w:r>
      <w:r>
        <w:rPr>
          <w:spacing w:val="-13"/>
        </w:rPr>
        <w:t xml:space="preserve"> </w:t>
      </w:r>
      <w:r>
        <w:t>of</w:t>
      </w:r>
      <w:r>
        <w:rPr>
          <w:spacing w:val="-9"/>
        </w:rPr>
        <w:t xml:space="preserve"> </w:t>
      </w:r>
      <w:r>
        <w:t>the SmPC and the data from DUO-E and is therefore unreasonable.</w:t>
      </w:r>
    </w:p>
    <w:p w14:paraId="23956C69" w14:textId="77777777" w:rsidR="006F4CB1" w:rsidRDefault="006F4CB1">
      <w:pPr>
        <w:pStyle w:val="BodyText"/>
        <w:spacing w:before="41"/>
        <w:ind w:left="0"/>
        <w:jc w:val="left"/>
      </w:pPr>
    </w:p>
    <w:p w14:paraId="23956C6A" w14:textId="77777777" w:rsidR="006F4CB1" w:rsidRDefault="00810B0E">
      <w:pPr>
        <w:pStyle w:val="Heading2"/>
        <w:numPr>
          <w:ilvl w:val="1"/>
          <w:numId w:val="5"/>
        </w:numPr>
        <w:tabs>
          <w:tab w:val="left" w:pos="814"/>
          <w:tab w:val="left" w:pos="816"/>
        </w:tabs>
        <w:spacing w:line="280" w:lineRule="auto"/>
        <w:ind w:right="13"/>
        <w:jc w:val="both"/>
      </w:pPr>
      <w:r>
        <w:t>The</w:t>
      </w:r>
      <w:r>
        <w:rPr>
          <w:spacing w:val="-15"/>
        </w:rPr>
        <w:t xml:space="preserve"> </w:t>
      </w:r>
      <w:r>
        <w:t>Committee’s</w:t>
      </w:r>
      <w:r>
        <w:rPr>
          <w:spacing w:val="-15"/>
        </w:rPr>
        <w:t xml:space="preserve"> </w:t>
      </w:r>
      <w:r>
        <w:t>conclusion</w:t>
      </w:r>
      <w:r>
        <w:rPr>
          <w:spacing w:val="-15"/>
        </w:rPr>
        <w:t xml:space="preserve"> </w:t>
      </w:r>
      <w:r>
        <w:t>that</w:t>
      </w:r>
      <w:r>
        <w:rPr>
          <w:spacing w:val="-15"/>
        </w:rPr>
        <w:t xml:space="preserve"> </w:t>
      </w:r>
      <w:r>
        <w:t>the</w:t>
      </w:r>
      <w:r>
        <w:rPr>
          <w:spacing w:val="-15"/>
        </w:rPr>
        <w:t xml:space="preserve"> </w:t>
      </w:r>
      <w:r>
        <w:t>ICER</w:t>
      </w:r>
      <w:r>
        <w:rPr>
          <w:spacing w:val="-15"/>
        </w:rPr>
        <w:t xml:space="preserve"> </w:t>
      </w:r>
      <w:r>
        <w:t>threshold</w:t>
      </w:r>
      <w:r>
        <w:rPr>
          <w:spacing w:val="-15"/>
        </w:rPr>
        <w:t xml:space="preserve"> </w:t>
      </w:r>
      <w:r>
        <w:t>should</w:t>
      </w:r>
      <w:r>
        <w:rPr>
          <w:spacing w:val="-15"/>
        </w:rPr>
        <w:t xml:space="preserve"> </w:t>
      </w:r>
      <w:r>
        <w:t>be</w:t>
      </w:r>
      <w:r>
        <w:rPr>
          <w:spacing w:val="-15"/>
        </w:rPr>
        <w:t xml:space="preserve"> </w:t>
      </w:r>
      <w:r>
        <w:t>limited</w:t>
      </w:r>
      <w:r>
        <w:rPr>
          <w:spacing w:val="-15"/>
        </w:rPr>
        <w:t xml:space="preserve"> </w:t>
      </w:r>
      <w:r>
        <w:t>to</w:t>
      </w:r>
      <w:r>
        <w:rPr>
          <w:spacing w:val="-15"/>
        </w:rPr>
        <w:t xml:space="preserve"> </w:t>
      </w:r>
      <w:r>
        <w:t>£20,000 per</w:t>
      </w:r>
      <w:r>
        <w:rPr>
          <w:spacing w:val="-15"/>
        </w:rPr>
        <w:t xml:space="preserve"> </w:t>
      </w:r>
      <w:r>
        <w:t>QALY</w:t>
      </w:r>
      <w:r>
        <w:rPr>
          <w:spacing w:val="-15"/>
        </w:rPr>
        <w:t xml:space="preserve"> </w:t>
      </w:r>
      <w:r>
        <w:t>due</w:t>
      </w:r>
      <w:r>
        <w:rPr>
          <w:spacing w:val="-15"/>
        </w:rPr>
        <w:t xml:space="preserve"> </w:t>
      </w:r>
      <w:r>
        <w:t>to</w:t>
      </w:r>
      <w:r>
        <w:rPr>
          <w:spacing w:val="-15"/>
        </w:rPr>
        <w:t xml:space="preserve"> </w:t>
      </w:r>
      <w:r>
        <w:t>“uncertainties”</w:t>
      </w:r>
      <w:r>
        <w:rPr>
          <w:spacing w:val="-15"/>
        </w:rPr>
        <w:t xml:space="preserve"> </w:t>
      </w:r>
      <w:r>
        <w:t>in</w:t>
      </w:r>
      <w:r>
        <w:rPr>
          <w:spacing w:val="-9"/>
        </w:rPr>
        <w:t xml:space="preserve"> </w:t>
      </w:r>
      <w:r>
        <w:t>the</w:t>
      </w:r>
      <w:r>
        <w:rPr>
          <w:spacing w:val="-13"/>
        </w:rPr>
        <w:t xml:space="preserve"> </w:t>
      </w:r>
      <w:r>
        <w:t>data,</w:t>
      </w:r>
      <w:r>
        <w:rPr>
          <w:spacing w:val="-10"/>
        </w:rPr>
        <w:t xml:space="preserve"> </w:t>
      </w:r>
      <w:r>
        <w:t>is</w:t>
      </w:r>
      <w:r>
        <w:rPr>
          <w:spacing w:val="-15"/>
        </w:rPr>
        <w:t xml:space="preserve"> </w:t>
      </w:r>
      <w:r>
        <w:t>unreasonable</w:t>
      </w:r>
      <w:r>
        <w:rPr>
          <w:spacing w:val="-12"/>
        </w:rPr>
        <w:t xml:space="preserve"> </w:t>
      </w:r>
      <w:r>
        <w:t>in</w:t>
      </w:r>
      <w:r>
        <w:rPr>
          <w:spacing w:val="-9"/>
        </w:rPr>
        <w:t xml:space="preserve"> </w:t>
      </w:r>
      <w:r>
        <w:t>the</w:t>
      </w:r>
      <w:r>
        <w:rPr>
          <w:spacing w:val="-13"/>
        </w:rPr>
        <w:t xml:space="preserve"> </w:t>
      </w:r>
      <w:r>
        <w:t>context</w:t>
      </w:r>
      <w:r>
        <w:rPr>
          <w:spacing w:val="-10"/>
        </w:rPr>
        <w:t xml:space="preserve"> </w:t>
      </w:r>
      <w:r>
        <w:t>of</w:t>
      </w:r>
      <w:r>
        <w:rPr>
          <w:spacing w:val="-10"/>
        </w:rPr>
        <w:t xml:space="preserve"> </w:t>
      </w:r>
      <w:r>
        <w:t>the evidence relied upon</w:t>
      </w:r>
    </w:p>
    <w:p w14:paraId="23956C6B" w14:textId="77777777" w:rsidR="006F4CB1" w:rsidRDefault="006F4CB1">
      <w:pPr>
        <w:pStyle w:val="Heading2"/>
        <w:spacing w:line="280" w:lineRule="auto"/>
        <w:sectPr w:rsidR="006F4CB1">
          <w:pgSz w:w="11910" w:h="16840"/>
          <w:pgMar w:top="1360" w:right="1417" w:bottom="1280" w:left="1417" w:header="0" w:footer="1091" w:gutter="0"/>
          <w:cols w:space="720"/>
        </w:sectPr>
      </w:pPr>
    </w:p>
    <w:p w14:paraId="23956C6C" w14:textId="77777777" w:rsidR="006F4CB1" w:rsidRDefault="00810B0E">
      <w:pPr>
        <w:pStyle w:val="BodyText"/>
        <w:spacing w:before="63" w:line="278" w:lineRule="auto"/>
        <w:ind w:right="14"/>
      </w:pPr>
      <w:r>
        <w:lastRenderedPageBreak/>
        <w:t>At appeal point 1.1,</w:t>
      </w:r>
      <w:r>
        <w:rPr>
          <w:spacing w:val="-4"/>
        </w:rPr>
        <w:t xml:space="preserve"> </w:t>
      </w:r>
      <w:r>
        <w:t>AstraZeneca refers to the lack of fairness in the current appraisal in circumstances where the Committee imposes an ICER threshold of £20,000 per QALY</w:t>
      </w:r>
      <w:r>
        <w:rPr>
          <w:spacing w:val="-9"/>
        </w:rPr>
        <w:t xml:space="preserve"> </w:t>
      </w:r>
      <w:r>
        <w:t>based on</w:t>
      </w:r>
      <w:r>
        <w:rPr>
          <w:spacing w:val="-2"/>
        </w:rPr>
        <w:t xml:space="preserve"> </w:t>
      </w:r>
      <w:r>
        <w:t>“uncertainties” in</w:t>
      </w:r>
      <w:r>
        <w:rPr>
          <w:spacing w:val="-3"/>
        </w:rPr>
        <w:t xml:space="preserve"> </w:t>
      </w:r>
      <w:r>
        <w:t>three</w:t>
      </w:r>
      <w:r>
        <w:rPr>
          <w:spacing w:val="-4"/>
        </w:rPr>
        <w:t xml:space="preserve"> </w:t>
      </w:r>
      <w:r>
        <w:t>parameters</w:t>
      </w:r>
      <w:r>
        <w:rPr>
          <w:spacing w:val="-2"/>
        </w:rPr>
        <w:t xml:space="preserve"> </w:t>
      </w:r>
      <w:r>
        <w:t>but does</w:t>
      </w:r>
      <w:r>
        <w:rPr>
          <w:spacing w:val="-6"/>
        </w:rPr>
        <w:t xml:space="preserve"> </w:t>
      </w:r>
      <w:r>
        <w:t>not</w:t>
      </w:r>
      <w:r>
        <w:rPr>
          <w:spacing w:val="-3"/>
        </w:rPr>
        <w:t xml:space="preserve"> </w:t>
      </w:r>
      <w:r>
        <w:t>investigate the</w:t>
      </w:r>
      <w:r>
        <w:rPr>
          <w:spacing w:val="-4"/>
        </w:rPr>
        <w:t xml:space="preserve"> </w:t>
      </w:r>
      <w:r>
        <w:t>extent of such uncertainties or their impact on the ICER</w:t>
      </w:r>
      <w:r>
        <w:rPr>
          <w:spacing w:val="-2"/>
        </w:rPr>
        <w:t xml:space="preserve"> </w:t>
      </w:r>
      <w:r>
        <w:t>calculations.</w:t>
      </w:r>
      <w:r>
        <w:rPr>
          <w:spacing w:val="40"/>
        </w:rPr>
        <w:t xml:space="preserve"> </w:t>
      </w:r>
      <w:r>
        <w:t xml:space="preserve">In the alternative, it is AstraZeneca’s position that the Committee’s conclusions in relation to the ICER threshold are unreasonable </w:t>
      </w:r>
      <w:proofErr w:type="gramStart"/>
      <w:r>
        <w:t>in light of</w:t>
      </w:r>
      <w:proofErr w:type="gramEnd"/>
      <w:r>
        <w:t xml:space="preserve"> the evidence</w:t>
      </w:r>
      <w:r>
        <w:rPr>
          <w:spacing w:val="-2"/>
        </w:rPr>
        <w:t xml:space="preserve"> </w:t>
      </w:r>
      <w:r>
        <w:t>relied upon.</w:t>
      </w:r>
      <w:r>
        <w:rPr>
          <w:spacing w:val="40"/>
        </w:rPr>
        <w:t xml:space="preserve"> </w:t>
      </w:r>
      <w:r>
        <w:t xml:space="preserve">The matters set out at appeal point 1.1 are </w:t>
      </w:r>
      <w:r>
        <w:t>repeated.</w:t>
      </w:r>
    </w:p>
    <w:p w14:paraId="23956C6D" w14:textId="77777777" w:rsidR="006F4CB1" w:rsidRDefault="00810B0E">
      <w:pPr>
        <w:pStyle w:val="Heading1"/>
        <w:spacing w:before="160"/>
        <w:jc w:val="both"/>
        <w:rPr>
          <w:u w:val="none"/>
        </w:rPr>
      </w:pPr>
      <w:r>
        <w:t>THE</w:t>
      </w:r>
      <w:r>
        <w:rPr>
          <w:spacing w:val="-4"/>
        </w:rPr>
        <w:t xml:space="preserve"> </w:t>
      </w:r>
      <w:r>
        <w:t>DETERMINATION</w:t>
      </w:r>
      <w:r>
        <w:rPr>
          <w:spacing w:val="-2"/>
        </w:rPr>
        <w:t xml:space="preserve"> </w:t>
      </w:r>
      <w:r>
        <w:t>OF THIS</w:t>
      </w:r>
      <w:r>
        <w:rPr>
          <w:spacing w:val="-1"/>
        </w:rPr>
        <w:t xml:space="preserve"> </w:t>
      </w:r>
      <w:r>
        <w:rPr>
          <w:spacing w:val="-2"/>
        </w:rPr>
        <w:t>APPEAL</w:t>
      </w:r>
    </w:p>
    <w:p w14:paraId="23956C6E" w14:textId="77777777" w:rsidR="006F4CB1" w:rsidRDefault="00810B0E">
      <w:pPr>
        <w:pStyle w:val="BodyText"/>
        <w:spacing w:before="238"/>
        <w:ind w:left="23"/>
      </w:pPr>
      <w:r>
        <w:t>AstraZeneca</w:t>
      </w:r>
      <w:r>
        <w:rPr>
          <w:spacing w:val="-2"/>
        </w:rPr>
        <w:t xml:space="preserve"> </w:t>
      </w:r>
      <w:r>
        <w:t>requests</w:t>
      </w:r>
      <w:r>
        <w:rPr>
          <w:spacing w:val="-3"/>
        </w:rPr>
        <w:t xml:space="preserve"> </w:t>
      </w:r>
      <w:r>
        <w:t>that this</w:t>
      </w:r>
      <w:r>
        <w:rPr>
          <w:spacing w:val="-3"/>
        </w:rPr>
        <w:t xml:space="preserve"> </w:t>
      </w:r>
      <w:r>
        <w:t>appeal</w:t>
      </w:r>
      <w:r>
        <w:rPr>
          <w:spacing w:val="-1"/>
        </w:rPr>
        <w:t xml:space="preserve"> </w:t>
      </w:r>
      <w:r>
        <w:t>should be</w:t>
      </w:r>
      <w:r>
        <w:rPr>
          <w:spacing w:val="-2"/>
        </w:rPr>
        <w:t xml:space="preserve"> </w:t>
      </w:r>
      <w:r>
        <w:t>determined</w:t>
      </w:r>
      <w:r>
        <w:rPr>
          <w:spacing w:val="-1"/>
        </w:rPr>
        <w:t xml:space="preserve"> </w:t>
      </w:r>
      <w:r>
        <w:t>at an</w:t>
      </w:r>
      <w:r>
        <w:rPr>
          <w:spacing w:val="-1"/>
        </w:rPr>
        <w:t xml:space="preserve"> </w:t>
      </w:r>
      <w:r>
        <w:t xml:space="preserve">oral </w:t>
      </w:r>
      <w:r>
        <w:rPr>
          <w:spacing w:val="-2"/>
        </w:rPr>
        <w:t>hearing.</w:t>
      </w:r>
    </w:p>
    <w:p w14:paraId="23956C6F" w14:textId="77777777" w:rsidR="006F4CB1" w:rsidRDefault="00810B0E">
      <w:pPr>
        <w:pStyle w:val="Heading1"/>
        <w:spacing w:before="242"/>
        <w:jc w:val="both"/>
        <w:rPr>
          <w:u w:val="none"/>
        </w:rPr>
      </w:pPr>
      <w:r>
        <w:t>REQUESTED</w:t>
      </w:r>
      <w:r>
        <w:rPr>
          <w:spacing w:val="-4"/>
        </w:rPr>
        <w:t xml:space="preserve"> </w:t>
      </w:r>
      <w:r>
        <w:t>OUTCOME</w:t>
      </w:r>
      <w:r>
        <w:rPr>
          <w:spacing w:val="-4"/>
        </w:rPr>
        <w:t xml:space="preserve"> </w:t>
      </w:r>
      <w:r>
        <w:t>FOLLOWING</w:t>
      </w:r>
      <w:r>
        <w:rPr>
          <w:spacing w:val="-2"/>
        </w:rPr>
        <w:t xml:space="preserve"> APPEAL</w:t>
      </w:r>
    </w:p>
    <w:p w14:paraId="23956C70" w14:textId="77777777" w:rsidR="006F4CB1" w:rsidRDefault="00810B0E">
      <w:pPr>
        <w:pStyle w:val="BodyText"/>
        <w:spacing w:before="238" w:line="280" w:lineRule="auto"/>
        <w:ind w:left="23" w:right="26"/>
      </w:pPr>
      <w:r>
        <w:t>AstraZeneca requests that the</w:t>
      </w:r>
      <w:r>
        <w:rPr>
          <w:spacing w:val="-1"/>
        </w:rPr>
        <w:t xml:space="preserve"> </w:t>
      </w:r>
      <w:r>
        <w:t>Appeal Panel should grant this appeal and refer this appraisal back to the Appraisal Committee with the following directions:</w:t>
      </w:r>
    </w:p>
    <w:p w14:paraId="23956C71" w14:textId="77777777" w:rsidR="006F4CB1" w:rsidRDefault="00810B0E">
      <w:pPr>
        <w:pStyle w:val="ListParagraph"/>
        <w:numPr>
          <w:ilvl w:val="0"/>
          <w:numId w:val="1"/>
        </w:numPr>
        <w:tabs>
          <w:tab w:val="left" w:pos="742"/>
          <w:tab w:val="left" w:pos="744"/>
        </w:tabs>
        <w:spacing w:before="154" w:line="278" w:lineRule="auto"/>
        <w:ind w:right="12"/>
        <w:rPr>
          <w:sz w:val="24"/>
        </w:rPr>
      </w:pPr>
      <w:r>
        <w:rPr>
          <w:sz w:val="24"/>
        </w:rPr>
        <w:t xml:space="preserve">The Committee should reconsider the ICER threshold for this appraisal </w:t>
      </w:r>
      <w:proofErr w:type="gramStart"/>
      <w:r>
        <w:rPr>
          <w:sz w:val="24"/>
        </w:rPr>
        <w:t>taking into account</w:t>
      </w:r>
      <w:proofErr w:type="gramEnd"/>
      <w:r>
        <w:rPr>
          <w:sz w:val="24"/>
        </w:rPr>
        <w:t xml:space="preserve"> the limited impact of the identified uncertainties and the requirement to </w:t>
      </w:r>
      <w:proofErr w:type="gramStart"/>
      <w:r>
        <w:rPr>
          <w:sz w:val="24"/>
        </w:rPr>
        <w:t>take into account</w:t>
      </w:r>
      <w:proofErr w:type="gramEnd"/>
      <w:r>
        <w:rPr>
          <w:sz w:val="24"/>
        </w:rPr>
        <w:t xml:space="preserve"> the other factors listed in the Manual, including uncaptured benefits and the reduction of health inequalities.</w:t>
      </w:r>
    </w:p>
    <w:p w14:paraId="23956C72" w14:textId="77777777" w:rsidR="006F4CB1" w:rsidRDefault="00810B0E">
      <w:pPr>
        <w:pStyle w:val="ListParagraph"/>
        <w:numPr>
          <w:ilvl w:val="0"/>
          <w:numId w:val="1"/>
        </w:numPr>
        <w:tabs>
          <w:tab w:val="left" w:pos="742"/>
          <w:tab w:val="left" w:pos="744"/>
        </w:tabs>
        <w:spacing w:line="278" w:lineRule="auto"/>
        <w:ind w:right="10"/>
        <w:rPr>
          <w:sz w:val="24"/>
        </w:rPr>
      </w:pPr>
      <w:r>
        <w:rPr>
          <w:sz w:val="24"/>
        </w:rPr>
        <w:t>AstraZeneca</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permitted</w:t>
      </w:r>
      <w:r>
        <w:rPr>
          <w:spacing w:val="-1"/>
          <w:sz w:val="24"/>
        </w:rPr>
        <w:t xml:space="preserve"> </w:t>
      </w:r>
      <w:r>
        <w:rPr>
          <w:sz w:val="24"/>
        </w:rPr>
        <w:t>to</w:t>
      </w:r>
      <w:r>
        <w:rPr>
          <w:spacing w:val="-1"/>
          <w:sz w:val="24"/>
        </w:rPr>
        <w:t xml:space="preserve"> </w:t>
      </w:r>
      <w:r>
        <w:rPr>
          <w:sz w:val="24"/>
        </w:rPr>
        <w:t>make submissions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consult</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the proportion</w:t>
      </w:r>
      <w:r>
        <w:rPr>
          <w:spacing w:val="-5"/>
          <w:sz w:val="24"/>
        </w:rPr>
        <w:t xml:space="preserve"> </w:t>
      </w:r>
      <w:r>
        <w:rPr>
          <w:sz w:val="24"/>
        </w:rPr>
        <w:t>of</w:t>
      </w:r>
      <w:r>
        <w:rPr>
          <w:spacing w:val="-8"/>
          <w:sz w:val="24"/>
        </w:rPr>
        <w:t xml:space="preserve"> </w:t>
      </w:r>
      <w:r>
        <w:rPr>
          <w:sz w:val="24"/>
        </w:rPr>
        <w:t>people</w:t>
      </w:r>
      <w:r>
        <w:rPr>
          <w:spacing w:val="-5"/>
          <w:sz w:val="24"/>
        </w:rPr>
        <w:t xml:space="preserve"> </w:t>
      </w:r>
      <w:r>
        <w:rPr>
          <w:sz w:val="24"/>
        </w:rPr>
        <w:t>with</w:t>
      </w:r>
      <w:r>
        <w:rPr>
          <w:spacing w:val="-4"/>
          <w:sz w:val="24"/>
        </w:rPr>
        <w:t xml:space="preserve"> </w:t>
      </w:r>
      <w:proofErr w:type="spellStart"/>
      <w:r>
        <w:rPr>
          <w:sz w:val="24"/>
        </w:rPr>
        <w:t>pMMR</w:t>
      </w:r>
      <w:proofErr w:type="spellEnd"/>
      <w:r>
        <w:rPr>
          <w:spacing w:val="-7"/>
          <w:sz w:val="24"/>
        </w:rPr>
        <w:t xml:space="preserve"> </w:t>
      </w:r>
      <w:r>
        <w:rPr>
          <w:sz w:val="24"/>
        </w:rPr>
        <w:t>endometrial</w:t>
      </w:r>
      <w:r>
        <w:rPr>
          <w:spacing w:val="-5"/>
          <w:sz w:val="24"/>
        </w:rPr>
        <w:t xml:space="preserve"> </w:t>
      </w:r>
      <w:r>
        <w:rPr>
          <w:sz w:val="24"/>
        </w:rPr>
        <w:t>cancer</w:t>
      </w:r>
      <w:r>
        <w:rPr>
          <w:spacing w:val="-3"/>
          <w:sz w:val="24"/>
        </w:rPr>
        <w:t xml:space="preserve"> </w:t>
      </w:r>
      <w:r>
        <w:rPr>
          <w:sz w:val="24"/>
        </w:rPr>
        <w:t>on</w:t>
      </w:r>
      <w:r>
        <w:rPr>
          <w:spacing w:val="-5"/>
          <w:sz w:val="24"/>
        </w:rPr>
        <w:t xml:space="preserve"> </w:t>
      </w:r>
      <w:r>
        <w:rPr>
          <w:sz w:val="24"/>
        </w:rPr>
        <w:t>durvalumab</w:t>
      </w:r>
      <w:r>
        <w:rPr>
          <w:spacing w:val="-5"/>
          <w:sz w:val="24"/>
        </w:rPr>
        <w:t xml:space="preserve"> </w:t>
      </w:r>
      <w:r>
        <w:rPr>
          <w:sz w:val="24"/>
        </w:rPr>
        <w:t>who</w:t>
      </w:r>
      <w:r>
        <w:rPr>
          <w:spacing w:val="-5"/>
          <w:sz w:val="24"/>
        </w:rPr>
        <w:t xml:space="preserve"> </w:t>
      </w:r>
      <w:r>
        <w:rPr>
          <w:sz w:val="24"/>
        </w:rPr>
        <w:t>are</w:t>
      </w:r>
      <w:r>
        <w:rPr>
          <w:spacing w:val="-6"/>
          <w:sz w:val="24"/>
        </w:rPr>
        <w:t xml:space="preserve"> </w:t>
      </w:r>
      <w:r>
        <w:rPr>
          <w:sz w:val="24"/>
        </w:rPr>
        <w:t>assumed to commence</w:t>
      </w:r>
      <w:r>
        <w:rPr>
          <w:spacing w:val="-1"/>
          <w:sz w:val="24"/>
        </w:rPr>
        <w:t xml:space="preserve"> </w:t>
      </w:r>
      <w:r>
        <w:rPr>
          <w:sz w:val="24"/>
        </w:rPr>
        <w:t>treatment with</w:t>
      </w:r>
      <w:r>
        <w:rPr>
          <w:spacing w:val="-5"/>
          <w:sz w:val="24"/>
        </w:rPr>
        <w:t xml:space="preserve"> </w:t>
      </w:r>
      <w:proofErr w:type="spellStart"/>
      <w:r>
        <w:rPr>
          <w:sz w:val="24"/>
        </w:rPr>
        <w:t>olaparib</w:t>
      </w:r>
      <w:proofErr w:type="spellEnd"/>
      <w:r>
        <w:rPr>
          <w:spacing w:val="-5"/>
          <w:sz w:val="24"/>
        </w:rPr>
        <w:t xml:space="preserve"> </w:t>
      </w:r>
      <w:r>
        <w:rPr>
          <w:sz w:val="24"/>
        </w:rPr>
        <w:t>for</w:t>
      </w:r>
      <w:r>
        <w:rPr>
          <w:spacing w:val="-3"/>
          <w:sz w:val="24"/>
        </w:rPr>
        <w:t xml:space="preserve"> </w:t>
      </w:r>
      <w:r>
        <w:rPr>
          <w:sz w:val="24"/>
        </w:rPr>
        <w:t>the</w:t>
      </w:r>
      <w:r>
        <w:rPr>
          <w:spacing w:val="-1"/>
          <w:sz w:val="24"/>
        </w:rPr>
        <w:t xml:space="preserve"> </w:t>
      </w:r>
      <w:r>
        <w:rPr>
          <w:sz w:val="24"/>
        </w:rPr>
        <w:t>purposes</w:t>
      </w:r>
      <w:r>
        <w:rPr>
          <w:spacing w:val="-3"/>
          <w:sz w:val="24"/>
        </w:rPr>
        <w:t xml:space="preserve"> </w:t>
      </w:r>
      <w:r>
        <w:rPr>
          <w:sz w:val="24"/>
        </w:rPr>
        <w:t>of modelling.</w:t>
      </w:r>
      <w:r>
        <w:rPr>
          <w:spacing w:val="40"/>
          <w:sz w:val="24"/>
        </w:rPr>
        <w:t xml:space="preserve"> </w:t>
      </w:r>
      <w:r>
        <w:rPr>
          <w:sz w:val="24"/>
        </w:rPr>
        <w:t>If the</w:t>
      </w:r>
      <w:r>
        <w:rPr>
          <w:spacing w:val="-6"/>
          <w:sz w:val="24"/>
        </w:rPr>
        <w:t xml:space="preserve"> </w:t>
      </w:r>
      <w:r>
        <w:rPr>
          <w:sz w:val="24"/>
        </w:rPr>
        <w:t>Committee considers that the assumptions used in modelling should be based on anything other than data from the DUO-E clinical trial, it should give its reasons.</w:t>
      </w:r>
    </w:p>
    <w:p w14:paraId="23956C73" w14:textId="77777777" w:rsidR="006F4CB1" w:rsidRDefault="00810B0E">
      <w:pPr>
        <w:pStyle w:val="ListParagraph"/>
        <w:numPr>
          <w:ilvl w:val="0"/>
          <w:numId w:val="1"/>
        </w:numPr>
        <w:tabs>
          <w:tab w:val="left" w:pos="742"/>
          <w:tab w:val="left" w:pos="744"/>
        </w:tabs>
        <w:spacing w:line="276" w:lineRule="auto"/>
        <w:ind w:right="20"/>
        <w:rPr>
          <w:sz w:val="24"/>
        </w:rPr>
      </w:pPr>
      <w:r>
        <w:rPr>
          <w:sz w:val="24"/>
        </w:rPr>
        <w:t>The</w:t>
      </w:r>
      <w:r>
        <w:rPr>
          <w:spacing w:val="-7"/>
          <w:sz w:val="24"/>
        </w:rPr>
        <w:t xml:space="preserve"> </w:t>
      </w:r>
      <w:r>
        <w:rPr>
          <w:sz w:val="24"/>
        </w:rPr>
        <w:t>Committee</w:t>
      </w:r>
      <w:r>
        <w:rPr>
          <w:spacing w:val="-7"/>
          <w:sz w:val="24"/>
        </w:rPr>
        <w:t xml:space="preserve"> </w:t>
      </w:r>
      <w:r>
        <w:rPr>
          <w:sz w:val="24"/>
        </w:rPr>
        <w:t>should</w:t>
      </w:r>
      <w:r>
        <w:rPr>
          <w:spacing w:val="-10"/>
          <w:sz w:val="24"/>
        </w:rPr>
        <w:t xml:space="preserve"> </w:t>
      </w:r>
      <w:r>
        <w:rPr>
          <w:sz w:val="24"/>
        </w:rPr>
        <w:t>ensure</w:t>
      </w:r>
      <w:r>
        <w:rPr>
          <w:spacing w:val="-7"/>
          <w:sz w:val="24"/>
        </w:rPr>
        <w:t xml:space="preserve"> </w:t>
      </w:r>
      <w:r>
        <w:rPr>
          <w:sz w:val="24"/>
        </w:rPr>
        <w:t>that</w:t>
      </w:r>
      <w:r>
        <w:rPr>
          <w:spacing w:val="-11"/>
          <w:sz w:val="24"/>
        </w:rPr>
        <w:t xml:space="preserve"> </w:t>
      </w:r>
      <w:r>
        <w:rPr>
          <w:sz w:val="24"/>
        </w:rPr>
        <w:t>it</w:t>
      </w:r>
      <w:r>
        <w:rPr>
          <w:spacing w:val="-6"/>
          <w:sz w:val="24"/>
        </w:rPr>
        <w:t xml:space="preserve"> </w:t>
      </w:r>
      <w:r>
        <w:rPr>
          <w:sz w:val="24"/>
        </w:rPr>
        <w:t>has</w:t>
      </w:r>
      <w:r>
        <w:rPr>
          <w:spacing w:val="-8"/>
          <w:sz w:val="24"/>
        </w:rPr>
        <w:t xml:space="preserve"> </w:t>
      </w:r>
      <w:r>
        <w:rPr>
          <w:sz w:val="24"/>
        </w:rPr>
        <w:t>considered</w:t>
      </w:r>
      <w:r>
        <w:rPr>
          <w:spacing w:val="-7"/>
          <w:sz w:val="24"/>
        </w:rPr>
        <w:t xml:space="preserve"> </w:t>
      </w:r>
      <w:r>
        <w:rPr>
          <w:sz w:val="24"/>
        </w:rPr>
        <w:t>the</w:t>
      </w:r>
      <w:r>
        <w:rPr>
          <w:spacing w:val="-11"/>
          <w:sz w:val="24"/>
        </w:rPr>
        <w:t xml:space="preserve"> </w:t>
      </w:r>
      <w:r>
        <w:rPr>
          <w:sz w:val="24"/>
        </w:rPr>
        <w:t>reduction</w:t>
      </w:r>
      <w:r>
        <w:rPr>
          <w:spacing w:val="-7"/>
          <w:sz w:val="24"/>
        </w:rPr>
        <w:t xml:space="preserve"> </w:t>
      </w:r>
      <w:r>
        <w:rPr>
          <w:sz w:val="24"/>
        </w:rPr>
        <w:t>of</w:t>
      </w:r>
      <w:r>
        <w:rPr>
          <w:spacing w:val="-9"/>
          <w:sz w:val="24"/>
        </w:rPr>
        <w:t xml:space="preserve"> </w:t>
      </w:r>
      <w:r>
        <w:rPr>
          <w:sz w:val="24"/>
        </w:rPr>
        <w:t>health</w:t>
      </w:r>
      <w:r>
        <w:rPr>
          <w:spacing w:val="-11"/>
          <w:sz w:val="24"/>
        </w:rPr>
        <w:t xml:space="preserve"> </w:t>
      </w:r>
      <w:r>
        <w:rPr>
          <w:sz w:val="24"/>
        </w:rPr>
        <w:t xml:space="preserve">inequalities throughout this </w:t>
      </w:r>
      <w:proofErr w:type="gramStart"/>
      <w:r>
        <w:rPr>
          <w:sz w:val="24"/>
        </w:rPr>
        <w:t>guidance</w:t>
      </w:r>
      <w:proofErr w:type="gramEnd"/>
      <w:r>
        <w:rPr>
          <w:sz w:val="24"/>
        </w:rPr>
        <w:t>.</w:t>
      </w:r>
    </w:p>
    <w:p w14:paraId="23956C74" w14:textId="77777777" w:rsidR="006F4CB1" w:rsidRDefault="00810B0E">
      <w:pPr>
        <w:pStyle w:val="ListParagraph"/>
        <w:numPr>
          <w:ilvl w:val="0"/>
          <w:numId w:val="1"/>
        </w:numPr>
        <w:tabs>
          <w:tab w:val="left" w:pos="742"/>
          <w:tab w:val="left" w:pos="744"/>
        </w:tabs>
        <w:spacing w:line="278" w:lineRule="auto"/>
        <w:ind w:right="19"/>
        <w:rPr>
          <w:sz w:val="24"/>
        </w:rPr>
      </w:pPr>
      <w:r>
        <w:rPr>
          <w:sz w:val="24"/>
        </w:rPr>
        <w:t xml:space="preserve">The FDG </w:t>
      </w:r>
      <w:proofErr w:type="gramStart"/>
      <w:r>
        <w:rPr>
          <w:sz w:val="24"/>
        </w:rPr>
        <w:t>to</w:t>
      </w:r>
      <w:proofErr w:type="gramEnd"/>
      <w:r>
        <w:rPr>
          <w:sz w:val="24"/>
        </w:rPr>
        <w:t xml:space="preserve"> be remitted to the Committee for a documented and evidence</w:t>
      </w:r>
      <w:proofErr w:type="gramStart"/>
      <w:r>
        <w:rPr>
          <w:sz w:val="24"/>
        </w:rPr>
        <w:t>- based</w:t>
      </w:r>
      <w:proofErr w:type="gramEnd"/>
      <w:r>
        <w:rPr>
          <w:sz w:val="24"/>
        </w:rPr>
        <w:t xml:space="preserve"> assessment of equality and health inequality impacts across all relevant protected groups to ensure that NICE’s legal duties under section 149 of the Equality</w:t>
      </w:r>
      <w:r>
        <w:rPr>
          <w:spacing w:val="-10"/>
          <w:sz w:val="24"/>
        </w:rPr>
        <w:t xml:space="preserve"> </w:t>
      </w:r>
      <w:r>
        <w:rPr>
          <w:sz w:val="24"/>
        </w:rPr>
        <w:t>Act 2010 are fully met.</w:t>
      </w:r>
    </w:p>
    <w:p w14:paraId="23956C75" w14:textId="77777777" w:rsidR="006F4CB1" w:rsidRDefault="00810B0E">
      <w:pPr>
        <w:pStyle w:val="ListParagraph"/>
        <w:numPr>
          <w:ilvl w:val="0"/>
          <w:numId w:val="1"/>
        </w:numPr>
        <w:tabs>
          <w:tab w:val="left" w:pos="742"/>
          <w:tab w:val="left" w:pos="744"/>
        </w:tabs>
        <w:spacing w:line="278" w:lineRule="auto"/>
        <w:ind w:right="22"/>
        <w:rPr>
          <w:sz w:val="24"/>
        </w:rPr>
      </w:pPr>
      <w:r>
        <w:rPr>
          <w:sz w:val="24"/>
        </w:rPr>
        <w:t xml:space="preserve">NICE should facilitate commercial discussions between AstraZeneca and NHS England, </w:t>
      </w:r>
      <w:proofErr w:type="gramStart"/>
      <w:r>
        <w:rPr>
          <w:sz w:val="24"/>
        </w:rPr>
        <w:t>taking into account</w:t>
      </w:r>
      <w:proofErr w:type="gramEnd"/>
      <w:r>
        <w:rPr>
          <w:sz w:val="24"/>
        </w:rPr>
        <w:t xml:space="preserve"> that any assessment of cost effectiveness prior to such discussions is unrealistic and AstraZeneca may not reasonably propose a simple discount for two products given in combination and for multiple indications.</w:t>
      </w:r>
    </w:p>
    <w:sectPr w:rsidR="006F4CB1">
      <w:pgSz w:w="11910" w:h="16840"/>
      <w:pgMar w:top="1360" w:right="1417" w:bottom="1280" w:left="1417"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6C7D" w14:textId="77777777" w:rsidR="00810B0E" w:rsidRDefault="00810B0E">
      <w:r>
        <w:separator/>
      </w:r>
    </w:p>
  </w:endnote>
  <w:endnote w:type="continuationSeparator" w:id="0">
    <w:p w14:paraId="23956C7F" w14:textId="77777777" w:rsidR="00810B0E" w:rsidRDefault="0081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C76" w14:textId="77777777" w:rsidR="006F4CB1" w:rsidRDefault="00810B0E">
    <w:pPr>
      <w:pStyle w:val="BodyText"/>
      <w:spacing w:line="14" w:lineRule="auto"/>
      <w:ind w:left="0"/>
      <w:jc w:val="left"/>
      <w:rPr>
        <w:sz w:val="20"/>
      </w:rPr>
    </w:pPr>
    <w:r>
      <w:rPr>
        <w:noProof/>
        <w:sz w:val="20"/>
      </w:rPr>
      <mc:AlternateContent>
        <mc:Choice Requires="wps">
          <w:drawing>
            <wp:anchor distT="0" distB="0" distL="0" distR="0" simplePos="0" relativeHeight="487421440" behindDoc="1" locked="0" layoutInCell="1" allowOverlap="1" wp14:anchorId="23956C79" wp14:editId="23956C7A">
              <wp:simplePos x="0" y="0"/>
              <wp:positionH relativeFrom="page">
                <wp:posOffset>3700271</wp:posOffset>
              </wp:positionH>
              <wp:positionV relativeFrom="page">
                <wp:posOffset>9859929</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23956C7F" w14:textId="77777777" w:rsidR="006F4CB1" w:rsidRDefault="00810B0E">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23956C79" id="_x0000_t202" coordsize="21600,21600" o:spt="202" path="m,l,21600r21600,l21600,xe">
              <v:stroke joinstyle="miter"/>
              <v:path gradientshapeok="t" o:connecttype="rect"/>
            </v:shapetype>
            <v:shape id="Textbox 1" o:spid="_x0000_s1026" type="#_x0000_t202" style="position:absolute;margin-left:291.35pt;margin-top:776.35pt;width:13.45pt;height:16.6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" filled="f" stroked="f">
              <v:textbox inset="0,0,0,0">
                <w:txbxContent>
                  <w:p w14:paraId="23956C7F" w14:textId="77777777" w:rsidR="006F4CB1" w:rsidRDefault="00810B0E">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C77" w14:textId="77777777" w:rsidR="006F4CB1" w:rsidRDefault="00810B0E">
    <w:pPr>
      <w:pStyle w:val="BodyText"/>
      <w:spacing w:line="14" w:lineRule="auto"/>
      <w:ind w:left="0"/>
      <w:jc w:val="left"/>
      <w:rPr>
        <w:sz w:val="20"/>
      </w:rPr>
    </w:pPr>
    <w:r>
      <w:rPr>
        <w:noProof/>
        <w:sz w:val="20"/>
      </w:rPr>
      <mc:AlternateContent>
        <mc:Choice Requires="wps">
          <w:drawing>
            <wp:anchor distT="0" distB="0" distL="0" distR="0" simplePos="0" relativeHeight="487421952" behindDoc="1" locked="0" layoutInCell="1" allowOverlap="1" wp14:anchorId="23956C7B" wp14:editId="23956C7C">
              <wp:simplePos x="0" y="0"/>
              <wp:positionH relativeFrom="page">
                <wp:posOffset>3686047</wp:posOffset>
              </wp:positionH>
              <wp:positionV relativeFrom="page">
                <wp:posOffset>9859929</wp:posOffset>
              </wp:positionV>
              <wp:extent cx="190500"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11454"/>
                      </a:xfrm>
                      <a:prstGeom prst="rect">
                        <a:avLst/>
                      </a:prstGeom>
                    </wps:spPr>
                    <wps:txbx>
                      <w:txbxContent>
                        <w:p w14:paraId="23956C80" w14:textId="77777777" w:rsidR="006F4CB1" w:rsidRDefault="00810B0E">
                          <w:pPr>
                            <w:pStyle w:val="BodyText"/>
                            <w:spacing w:before="20"/>
                            <w:ind w:left="20"/>
                            <w:jc w:val="left"/>
                            <w:rPr>
                              <w:rFonts w:ascii="Trebuchet MS"/>
                            </w:rPr>
                          </w:pPr>
                          <w:r>
                            <w:rPr>
                              <w:rFonts w:ascii="Trebuchet MS"/>
                              <w:spacing w:val="-5"/>
                            </w:rPr>
                            <w:t>10</w:t>
                          </w:r>
                        </w:p>
                      </w:txbxContent>
                    </wps:txbx>
                    <wps:bodyPr wrap="square" lIns="0" tIns="0" rIns="0" bIns="0" rtlCol="0">
                      <a:noAutofit/>
                    </wps:bodyPr>
                  </wps:wsp>
                </a:graphicData>
              </a:graphic>
            </wp:anchor>
          </w:drawing>
        </mc:Choice>
        <mc:Fallback>
          <w:pict>
            <v:shapetype w14:anchorId="23956C7B" id="_x0000_t202" coordsize="21600,21600" o:spt="202" path="m,l,21600r21600,l21600,xe">
              <v:stroke joinstyle="miter"/>
              <v:path gradientshapeok="t" o:connecttype="rect"/>
            </v:shapetype>
            <v:shape id="Textbox 2" o:spid="_x0000_s1027" type="#_x0000_t202" style="position:absolute;margin-left:290.25pt;margin-top:776.35pt;width:15pt;height:16.6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" filled="f" stroked="f">
              <v:textbox inset="0,0,0,0">
                <w:txbxContent>
                  <w:p w14:paraId="23956C80" w14:textId="77777777" w:rsidR="006F4CB1" w:rsidRDefault="00810B0E">
                    <w:pPr>
                      <w:pStyle w:val="BodyText"/>
                      <w:spacing w:before="20"/>
                      <w:ind w:left="20"/>
                      <w:jc w:val="left"/>
                      <w:rPr>
                        <w:rFonts w:ascii="Trebuchet MS"/>
                      </w:rPr>
                    </w:pPr>
                    <w:r>
                      <w:rPr>
                        <w:rFonts w:ascii="Trebuchet MS"/>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C78" w14:textId="77777777" w:rsidR="006F4CB1" w:rsidRDefault="00810B0E">
    <w:pPr>
      <w:pStyle w:val="BodyText"/>
      <w:spacing w:line="14" w:lineRule="auto"/>
      <w:ind w:left="0"/>
      <w:jc w:val="left"/>
      <w:rPr>
        <w:sz w:val="20"/>
      </w:rPr>
    </w:pPr>
    <w:r>
      <w:rPr>
        <w:noProof/>
        <w:sz w:val="20"/>
      </w:rPr>
      <mc:AlternateContent>
        <mc:Choice Requires="wps">
          <w:drawing>
            <wp:anchor distT="0" distB="0" distL="0" distR="0" simplePos="0" relativeHeight="487422464" behindDoc="1" locked="0" layoutInCell="1" allowOverlap="1" wp14:anchorId="23956C7D" wp14:editId="23956C7E">
              <wp:simplePos x="0" y="0"/>
              <wp:positionH relativeFrom="page">
                <wp:posOffset>3686047</wp:posOffset>
              </wp:positionH>
              <wp:positionV relativeFrom="page">
                <wp:posOffset>9859929</wp:posOffset>
              </wp:positionV>
              <wp:extent cx="22860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1454"/>
                      </a:xfrm>
                      <a:prstGeom prst="rect">
                        <a:avLst/>
                      </a:prstGeom>
                    </wps:spPr>
                    <wps:txbx>
                      <w:txbxContent>
                        <w:p w14:paraId="23956C81" w14:textId="77777777" w:rsidR="006F4CB1" w:rsidRDefault="00810B0E">
                          <w:pPr>
                            <w:pStyle w:val="BodyText"/>
                            <w:spacing w:before="20"/>
                            <w:ind w:left="20"/>
                            <w:jc w:val="left"/>
                            <w:rPr>
                              <w:rFonts w:ascii="Trebuchet MS"/>
                            </w:rPr>
                          </w:pPr>
                          <w:r>
                            <w:rPr>
                              <w:rFonts w:ascii="Trebuchet MS"/>
                              <w:spacing w:val="-5"/>
                            </w:rPr>
                            <w:t>1</w:t>
                          </w: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23956C7D" id="_x0000_t202" coordsize="21600,21600" o:spt="202" path="m,l,21600r21600,l21600,xe">
              <v:stroke joinstyle="miter"/>
              <v:path gradientshapeok="t" o:connecttype="rect"/>
            </v:shapetype>
            <v:shape id="Textbox 3" o:spid="_x0000_s1028" type="#_x0000_t202" style="position:absolute;margin-left:290.25pt;margin-top:776.35pt;width:18pt;height:16.6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" filled="f" stroked="f">
              <v:textbox inset="0,0,0,0">
                <w:txbxContent>
                  <w:p w14:paraId="23956C81" w14:textId="77777777" w:rsidR="006F4CB1" w:rsidRDefault="00810B0E">
                    <w:pPr>
                      <w:pStyle w:val="BodyText"/>
                      <w:spacing w:before="20"/>
                      <w:ind w:left="20"/>
                      <w:jc w:val="left"/>
                      <w:rPr>
                        <w:rFonts w:ascii="Trebuchet MS"/>
                      </w:rPr>
                    </w:pPr>
                    <w:r>
                      <w:rPr>
                        <w:rFonts w:ascii="Trebuchet MS"/>
                        <w:spacing w:val="-5"/>
                      </w:rPr>
                      <w:t>1</w:t>
                    </w: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6C79" w14:textId="77777777" w:rsidR="00810B0E" w:rsidRDefault="00810B0E">
      <w:r>
        <w:separator/>
      </w:r>
    </w:p>
  </w:footnote>
  <w:footnote w:type="continuationSeparator" w:id="0">
    <w:p w14:paraId="23956C7B" w14:textId="77777777" w:rsidR="00810B0E" w:rsidRDefault="0081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4C4C"/>
    <w:multiLevelType w:val="hybridMultilevel"/>
    <w:tmpl w:val="7A801C74"/>
    <w:lvl w:ilvl="0" w:tplc="EB38412E">
      <w:numFmt w:val="bullet"/>
      <w:lvlText w:val=""/>
      <w:lvlJc w:val="left"/>
      <w:pPr>
        <w:ind w:left="1104" w:hanging="360"/>
      </w:pPr>
      <w:rPr>
        <w:rFonts w:ascii="Symbol" w:eastAsia="Symbol" w:hAnsi="Symbol" w:cs="Symbol" w:hint="default"/>
        <w:b w:val="0"/>
        <w:bCs w:val="0"/>
        <w:i w:val="0"/>
        <w:iCs w:val="0"/>
        <w:spacing w:val="0"/>
        <w:w w:val="100"/>
        <w:sz w:val="20"/>
        <w:szCs w:val="20"/>
        <w:lang w:val="en-US" w:eastAsia="en-US" w:bidi="ar-SA"/>
      </w:rPr>
    </w:lvl>
    <w:lvl w:ilvl="1" w:tplc="E8686E7A">
      <w:numFmt w:val="bullet"/>
      <w:lvlText w:val=""/>
      <w:lvlJc w:val="left"/>
      <w:pPr>
        <w:ind w:left="1464" w:hanging="361"/>
      </w:pPr>
      <w:rPr>
        <w:rFonts w:ascii="Symbol" w:eastAsia="Symbol" w:hAnsi="Symbol" w:cs="Symbol" w:hint="default"/>
        <w:b w:val="0"/>
        <w:bCs w:val="0"/>
        <w:i w:val="0"/>
        <w:iCs w:val="0"/>
        <w:spacing w:val="0"/>
        <w:w w:val="100"/>
        <w:sz w:val="24"/>
        <w:szCs w:val="24"/>
        <w:lang w:val="en-US" w:eastAsia="en-US" w:bidi="ar-SA"/>
      </w:rPr>
    </w:lvl>
    <w:lvl w:ilvl="2" w:tplc="CB6A1BD4">
      <w:numFmt w:val="bullet"/>
      <w:lvlText w:val="•"/>
      <w:lvlJc w:val="left"/>
      <w:pPr>
        <w:ind w:left="2305" w:hanging="361"/>
      </w:pPr>
      <w:rPr>
        <w:rFonts w:hint="default"/>
        <w:lang w:val="en-US" w:eastAsia="en-US" w:bidi="ar-SA"/>
      </w:rPr>
    </w:lvl>
    <w:lvl w:ilvl="3" w:tplc="D3588AD0">
      <w:numFmt w:val="bullet"/>
      <w:lvlText w:val="•"/>
      <w:lvlJc w:val="left"/>
      <w:pPr>
        <w:ind w:left="3151" w:hanging="361"/>
      </w:pPr>
      <w:rPr>
        <w:rFonts w:hint="default"/>
        <w:lang w:val="en-US" w:eastAsia="en-US" w:bidi="ar-SA"/>
      </w:rPr>
    </w:lvl>
    <w:lvl w:ilvl="4" w:tplc="DAA2062A">
      <w:numFmt w:val="bullet"/>
      <w:lvlText w:val="•"/>
      <w:lvlJc w:val="left"/>
      <w:pPr>
        <w:ind w:left="3996" w:hanging="361"/>
      </w:pPr>
      <w:rPr>
        <w:rFonts w:hint="default"/>
        <w:lang w:val="en-US" w:eastAsia="en-US" w:bidi="ar-SA"/>
      </w:rPr>
    </w:lvl>
    <w:lvl w:ilvl="5" w:tplc="CBD4F86C">
      <w:numFmt w:val="bullet"/>
      <w:lvlText w:val="•"/>
      <w:lvlJc w:val="left"/>
      <w:pPr>
        <w:ind w:left="4842" w:hanging="361"/>
      </w:pPr>
      <w:rPr>
        <w:rFonts w:hint="default"/>
        <w:lang w:val="en-US" w:eastAsia="en-US" w:bidi="ar-SA"/>
      </w:rPr>
    </w:lvl>
    <w:lvl w:ilvl="6" w:tplc="FE8AA5A2">
      <w:numFmt w:val="bullet"/>
      <w:lvlText w:val="•"/>
      <w:lvlJc w:val="left"/>
      <w:pPr>
        <w:ind w:left="5687" w:hanging="361"/>
      </w:pPr>
      <w:rPr>
        <w:rFonts w:hint="default"/>
        <w:lang w:val="en-US" w:eastAsia="en-US" w:bidi="ar-SA"/>
      </w:rPr>
    </w:lvl>
    <w:lvl w:ilvl="7" w:tplc="A3C2BD76">
      <w:numFmt w:val="bullet"/>
      <w:lvlText w:val="•"/>
      <w:lvlJc w:val="left"/>
      <w:pPr>
        <w:ind w:left="6533" w:hanging="361"/>
      </w:pPr>
      <w:rPr>
        <w:rFonts w:hint="default"/>
        <w:lang w:val="en-US" w:eastAsia="en-US" w:bidi="ar-SA"/>
      </w:rPr>
    </w:lvl>
    <w:lvl w:ilvl="8" w:tplc="F1002E98">
      <w:numFmt w:val="bullet"/>
      <w:lvlText w:val="•"/>
      <w:lvlJc w:val="left"/>
      <w:pPr>
        <w:ind w:left="7378" w:hanging="361"/>
      </w:pPr>
      <w:rPr>
        <w:rFonts w:hint="default"/>
        <w:lang w:val="en-US" w:eastAsia="en-US" w:bidi="ar-SA"/>
      </w:rPr>
    </w:lvl>
  </w:abstractNum>
  <w:abstractNum w:abstractNumId="1" w15:restartNumberingAfterBreak="0">
    <w:nsid w:val="364F3551"/>
    <w:multiLevelType w:val="hybridMultilevel"/>
    <w:tmpl w:val="C6289B82"/>
    <w:lvl w:ilvl="0" w:tplc="5B903FE6">
      <w:numFmt w:val="bullet"/>
      <w:lvlText w:val=""/>
      <w:lvlJc w:val="left"/>
      <w:pPr>
        <w:ind w:left="744" w:hanging="361"/>
      </w:pPr>
      <w:rPr>
        <w:rFonts w:ascii="Symbol" w:eastAsia="Symbol" w:hAnsi="Symbol" w:cs="Symbol" w:hint="default"/>
        <w:b w:val="0"/>
        <w:bCs w:val="0"/>
        <w:i w:val="0"/>
        <w:iCs w:val="0"/>
        <w:spacing w:val="0"/>
        <w:w w:val="100"/>
        <w:sz w:val="24"/>
        <w:szCs w:val="24"/>
        <w:lang w:val="en-US" w:eastAsia="en-US" w:bidi="ar-SA"/>
      </w:rPr>
    </w:lvl>
    <w:lvl w:ilvl="1" w:tplc="C14C0646">
      <w:numFmt w:val="bullet"/>
      <w:lvlText w:val="•"/>
      <w:lvlJc w:val="left"/>
      <w:pPr>
        <w:ind w:left="1573" w:hanging="361"/>
      </w:pPr>
      <w:rPr>
        <w:rFonts w:hint="default"/>
        <w:lang w:val="en-US" w:eastAsia="en-US" w:bidi="ar-SA"/>
      </w:rPr>
    </w:lvl>
    <w:lvl w:ilvl="2" w:tplc="E38AA0C2">
      <w:numFmt w:val="bullet"/>
      <w:lvlText w:val="•"/>
      <w:lvlJc w:val="left"/>
      <w:pPr>
        <w:ind w:left="2406" w:hanging="361"/>
      </w:pPr>
      <w:rPr>
        <w:rFonts w:hint="default"/>
        <w:lang w:val="en-US" w:eastAsia="en-US" w:bidi="ar-SA"/>
      </w:rPr>
    </w:lvl>
    <w:lvl w:ilvl="3" w:tplc="D932E26C">
      <w:numFmt w:val="bullet"/>
      <w:lvlText w:val="•"/>
      <w:lvlJc w:val="left"/>
      <w:pPr>
        <w:ind w:left="3239" w:hanging="361"/>
      </w:pPr>
      <w:rPr>
        <w:rFonts w:hint="default"/>
        <w:lang w:val="en-US" w:eastAsia="en-US" w:bidi="ar-SA"/>
      </w:rPr>
    </w:lvl>
    <w:lvl w:ilvl="4" w:tplc="FCBC69C8">
      <w:numFmt w:val="bullet"/>
      <w:lvlText w:val="•"/>
      <w:lvlJc w:val="left"/>
      <w:pPr>
        <w:ind w:left="4072" w:hanging="361"/>
      </w:pPr>
      <w:rPr>
        <w:rFonts w:hint="default"/>
        <w:lang w:val="en-US" w:eastAsia="en-US" w:bidi="ar-SA"/>
      </w:rPr>
    </w:lvl>
    <w:lvl w:ilvl="5" w:tplc="97C851C8">
      <w:numFmt w:val="bullet"/>
      <w:lvlText w:val="•"/>
      <w:lvlJc w:val="left"/>
      <w:pPr>
        <w:ind w:left="4905" w:hanging="361"/>
      </w:pPr>
      <w:rPr>
        <w:rFonts w:hint="default"/>
        <w:lang w:val="en-US" w:eastAsia="en-US" w:bidi="ar-SA"/>
      </w:rPr>
    </w:lvl>
    <w:lvl w:ilvl="6" w:tplc="D5662C22">
      <w:numFmt w:val="bullet"/>
      <w:lvlText w:val="•"/>
      <w:lvlJc w:val="left"/>
      <w:pPr>
        <w:ind w:left="5738" w:hanging="361"/>
      </w:pPr>
      <w:rPr>
        <w:rFonts w:hint="default"/>
        <w:lang w:val="en-US" w:eastAsia="en-US" w:bidi="ar-SA"/>
      </w:rPr>
    </w:lvl>
    <w:lvl w:ilvl="7" w:tplc="5E6A9D4C">
      <w:numFmt w:val="bullet"/>
      <w:lvlText w:val="•"/>
      <w:lvlJc w:val="left"/>
      <w:pPr>
        <w:ind w:left="6571" w:hanging="361"/>
      </w:pPr>
      <w:rPr>
        <w:rFonts w:hint="default"/>
        <w:lang w:val="en-US" w:eastAsia="en-US" w:bidi="ar-SA"/>
      </w:rPr>
    </w:lvl>
    <w:lvl w:ilvl="8" w:tplc="F46216A8">
      <w:numFmt w:val="bullet"/>
      <w:lvlText w:val="•"/>
      <w:lvlJc w:val="left"/>
      <w:pPr>
        <w:ind w:left="7404" w:hanging="361"/>
      </w:pPr>
      <w:rPr>
        <w:rFonts w:hint="default"/>
        <w:lang w:val="en-US" w:eastAsia="en-US" w:bidi="ar-SA"/>
      </w:rPr>
    </w:lvl>
  </w:abstractNum>
  <w:abstractNum w:abstractNumId="2" w15:restartNumberingAfterBreak="0">
    <w:nsid w:val="3C6704E7"/>
    <w:multiLevelType w:val="multilevel"/>
    <w:tmpl w:val="8B5825E6"/>
    <w:lvl w:ilvl="0">
      <w:start w:val="1"/>
      <w:numFmt w:val="decimal"/>
      <w:lvlText w:val="%1."/>
      <w:lvlJc w:val="left"/>
      <w:pPr>
        <w:ind w:left="383"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16" w:hanging="43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464" w:hanging="355"/>
        <w:jc w:val="left"/>
      </w:pPr>
      <w:rPr>
        <w:rFonts w:hint="default"/>
        <w:spacing w:val="0"/>
        <w:w w:val="100"/>
        <w:lang w:val="en-US" w:eastAsia="en-US" w:bidi="ar-SA"/>
      </w:rPr>
    </w:lvl>
    <w:lvl w:ilvl="3">
      <w:numFmt w:val="bullet"/>
      <w:lvlText w:val="•"/>
      <w:lvlJc w:val="left"/>
      <w:pPr>
        <w:ind w:left="1460" w:hanging="355"/>
      </w:pPr>
      <w:rPr>
        <w:rFonts w:hint="default"/>
        <w:lang w:val="en-US" w:eastAsia="en-US" w:bidi="ar-SA"/>
      </w:rPr>
    </w:lvl>
    <w:lvl w:ilvl="4">
      <w:numFmt w:val="bullet"/>
      <w:lvlText w:val="•"/>
      <w:lvlJc w:val="left"/>
      <w:pPr>
        <w:ind w:left="2547" w:hanging="355"/>
      </w:pPr>
      <w:rPr>
        <w:rFonts w:hint="default"/>
        <w:lang w:val="en-US" w:eastAsia="en-US" w:bidi="ar-SA"/>
      </w:rPr>
    </w:lvl>
    <w:lvl w:ilvl="5">
      <w:numFmt w:val="bullet"/>
      <w:lvlText w:val="•"/>
      <w:lvlJc w:val="left"/>
      <w:pPr>
        <w:ind w:left="3634" w:hanging="355"/>
      </w:pPr>
      <w:rPr>
        <w:rFonts w:hint="default"/>
        <w:lang w:val="en-US" w:eastAsia="en-US" w:bidi="ar-SA"/>
      </w:rPr>
    </w:lvl>
    <w:lvl w:ilvl="6">
      <w:numFmt w:val="bullet"/>
      <w:lvlText w:val="•"/>
      <w:lvlJc w:val="left"/>
      <w:pPr>
        <w:ind w:left="4721" w:hanging="355"/>
      </w:pPr>
      <w:rPr>
        <w:rFonts w:hint="default"/>
        <w:lang w:val="en-US" w:eastAsia="en-US" w:bidi="ar-SA"/>
      </w:rPr>
    </w:lvl>
    <w:lvl w:ilvl="7">
      <w:numFmt w:val="bullet"/>
      <w:lvlText w:val="•"/>
      <w:lvlJc w:val="left"/>
      <w:pPr>
        <w:ind w:left="5808" w:hanging="355"/>
      </w:pPr>
      <w:rPr>
        <w:rFonts w:hint="default"/>
        <w:lang w:val="en-US" w:eastAsia="en-US" w:bidi="ar-SA"/>
      </w:rPr>
    </w:lvl>
    <w:lvl w:ilvl="8">
      <w:numFmt w:val="bullet"/>
      <w:lvlText w:val="•"/>
      <w:lvlJc w:val="left"/>
      <w:pPr>
        <w:ind w:left="6895" w:hanging="355"/>
      </w:pPr>
      <w:rPr>
        <w:rFonts w:hint="default"/>
        <w:lang w:val="en-US" w:eastAsia="en-US" w:bidi="ar-SA"/>
      </w:rPr>
    </w:lvl>
  </w:abstractNum>
  <w:abstractNum w:abstractNumId="3" w15:restartNumberingAfterBreak="0">
    <w:nsid w:val="571D2DFC"/>
    <w:multiLevelType w:val="hybridMultilevel"/>
    <w:tmpl w:val="99A25D58"/>
    <w:lvl w:ilvl="0" w:tplc="93966DA8">
      <w:numFmt w:val="bullet"/>
      <w:lvlText w:val=""/>
      <w:lvlJc w:val="left"/>
      <w:pPr>
        <w:ind w:left="1464" w:hanging="361"/>
      </w:pPr>
      <w:rPr>
        <w:rFonts w:ascii="Symbol" w:eastAsia="Symbol" w:hAnsi="Symbol" w:cs="Symbol" w:hint="default"/>
        <w:b w:val="0"/>
        <w:bCs w:val="0"/>
        <w:i w:val="0"/>
        <w:iCs w:val="0"/>
        <w:spacing w:val="0"/>
        <w:w w:val="100"/>
        <w:sz w:val="20"/>
        <w:szCs w:val="20"/>
        <w:lang w:val="en-US" w:eastAsia="en-US" w:bidi="ar-SA"/>
      </w:rPr>
    </w:lvl>
    <w:lvl w:ilvl="1" w:tplc="37484F18">
      <w:numFmt w:val="bullet"/>
      <w:lvlText w:val="•"/>
      <w:lvlJc w:val="left"/>
      <w:pPr>
        <w:ind w:left="2221" w:hanging="361"/>
      </w:pPr>
      <w:rPr>
        <w:rFonts w:hint="default"/>
        <w:lang w:val="en-US" w:eastAsia="en-US" w:bidi="ar-SA"/>
      </w:rPr>
    </w:lvl>
    <w:lvl w:ilvl="2" w:tplc="B8C6FAEA">
      <w:numFmt w:val="bullet"/>
      <w:lvlText w:val="•"/>
      <w:lvlJc w:val="left"/>
      <w:pPr>
        <w:ind w:left="2982" w:hanging="361"/>
      </w:pPr>
      <w:rPr>
        <w:rFonts w:hint="default"/>
        <w:lang w:val="en-US" w:eastAsia="en-US" w:bidi="ar-SA"/>
      </w:rPr>
    </w:lvl>
    <w:lvl w:ilvl="3" w:tplc="9F866018">
      <w:numFmt w:val="bullet"/>
      <w:lvlText w:val="•"/>
      <w:lvlJc w:val="left"/>
      <w:pPr>
        <w:ind w:left="3743" w:hanging="361"/>
      </w:pPr>
      <w:rPr>
        <w:rFonts w:hint="default"/>
        <w:lang w:val="en-US" w:eastAsia="en-US" w:bidi="ar-SA"/>
      </w:rPr>
    </w:lvl>
    <w:lvl w:ilvl="4" w:tplc="FC74866A">
      <w:numFmt w:val="bullet"/>
      <w:lvlText w:val="•"/>
      <w:lvlJc w:val="left"/>
      <w:pPr>
        <w:ind w:left="4504" w:hanging="361"/>
      </w:pPr>
      <w:rPr>
        <w:rFonts w:hint="default"/>
        <w:lang w:val="en-US" w:eastAsia="en-US" w:bidi="ar-SA"/>
      </w:rPr>
    </w:lvl>
    <w:lvl w:ilvl="5" w:tplc="2B68A388">
      <w:numFmt w:val="bullet"/>
      <w:lvlText w:val="•"/>
      <w:lvlJc w:val="left"/>
      <w:pPr>
        <w:ind w:left="5265" w:hanging="361"/>
      </w:pPr>
      <w:rPr>
        <w:rFonts w:hint="default"/>
        <w:lang w:val="en-US" w:eastAsia="en-US" w:bidi="ar-SA"/>
      </w:rPr>
    </w:lvl>
    <w:lvl w:ilvl="6" w:tplc="32008AE2">
      <w:numFmt w:val="bullet"/>
      <w:lvlText w:val="•"/>
      <w:lvlJc w:val="left"/>
      <w:pPr>
        <w:ind w:left="6026" w:hanging="361"/>
      </w:pPr>
      <w:rPr>
        <w:rFonts w:hint="default"/>
        <w:lang w:val="en-US" w:eastAsia="en-US" w:bidi="ar-SA"/>
      </w:rPr>
    </w:lvl>
    <w:lvl w:ilvl="7" w:tplc="643CE044">
      <w:numFmt w:val="bullet"/>
      <w:lvlText w:val="•"/>
      <w:lvlJc w:val="left"/>
      <w:pPr>
        <w:ind w:left="6787" w:hanging="361"/>
      </w:pPr>
      <w:rPr>
        <w:rFonts w:hint="default"/>
        <w:lang w:val="en-US" w:eastAsia="en-US" w:bidi="ar-SA"/>
      </w:rPr>
    </w:lvl>
    <w:lvl w:ilvl="8" w:tplc="2B582AE6">
      <w:numFmt w:val="bullet"/>
      <w:lvlText w:val="•"/>
      <w:lvlJc w:val="left"/>
      <w:pPr>
        <w:ind w:left="7548" w:hanging="361"/>
      </w:pPr>
      <w:rPr>
        <w:rFonts w:hint="default"/>
        <w:lang w:val="en-US" w:eastAsia="en-US" w:bidi="ar-SA"/>
      </w:rPr>
    </w:lvl>
  </w:abstractNum>
  <w:abstractNum w:abstractNumId="4" w15:restartNumberingAfterBreak="0">
    <w:nsid w:val="684D1D06"/>
    <w:multiLevelType w:val="hybridMultilevel"/>
    <w:tmpl w:val="6722F0E2"/>
    <w:lvl w:ilvl="0" w:tplc="B7EC4DF6">
      <w:numFmt w:val="bullet"/>
      <w:lvlText w:val=""/>
      <w:lvlJc w:val="left"/>
      <w:pPr>
        <w:ind w:left="744" w:hanging="361"/>
      </w:pPr>
      <w:rPr>
        <w:rFonts w:ascii="Symbol" w:eastAsia="Symbol" w:hAnsi="Symbol" w:cs="Symbol" w:hint="default"/>
        <w:b w:val="0"/>
        <w:bCs w:val="0"/>
        <w:i w:val="0"/>
        <w:iCs w:val="0"/>
        <w:spacing w:val="0"/>
        <w:w w:val="100"/>
        <w:sz w:val="24"/>
        <w:szCs w:val="24"/>
        <w:lang w:val="en-US" w:eastAsia="en-US" w:bidi="ar-SA"/>
      </w:rPr>
    </w:lvl>
    <w:lvl w:ilvl="1" w:tplc="62C81F5E">
      <w:numFmt w:val="bullet"/>
      <w:lvlText w:val="•"/>
      <w:lvlJc w:val="left"/>
      <w:pPr>
        <w:ind w:left="1573" w:hanging="361"/>
      </w:pPr>
      <w:rPr>
        <w:rFonts w:hint="default"/>
        <w:lang w:val="en-US" w:eastAsia="en-US" w:bidi="ar-SA"/>
      </w:rPr>
    </w:lvl>
    <w:lvl w:ilvl="2" w:tplc="DB70152E">
      <w:numFmt w:val="bullet"/>
      <w:lvlText w:val="•"/>
      <w:lvlJc w:val="left"/>
      <w:pPr>
        <w:ind w:left="2406" w:hanging="361"/>
      </w:pPr>
      <w:rPr>
        <w:rFonts w:hint="default"/>
        <w:lang w:val="en-US" w:eastAsia="en-US" w:bidi="ar-SA"/>
      </w:rPr>
    </w:lvl>
    <w:lvl w:ilvl="3" w:tplc="E4EA7660">
      <w:numFmt w:val="bullet"/>
      <w:lvlText w:val="•"/>
      <w:lvlJc w:val="left"/>
      <w:pPr>
        <w:ind w:left="3239" w:hanging="361"/>
      </w:pPr>
      <w:rPr>
        <w:rFonts w:hint="default"/>
        <w:lang w:val="en-US" w:eastAsia="en-US" w:bidi="ar-SA"/>
      </w:rPr>
    </w:lvl>
    <w:lvl w:ilvl="4" w:tplc="A4E0D868">
      <w:numFmt w:val="bullet"/>
      <w:lvlText w:val="•"/>
      <w:lvlJc w:val="left"/>
      <w:pPr>
        <w:ind w:left="4072" w:hanging="361"/>
      </w:pPr>
      <w:rPr>
        <w:rFonts w:hint="default"/>
        <w:lang w:val="en-US" w:eastAsia="en-US" w:bidi="ar-SA"/>
      </w:rPr>
    </w:lvl>
    <w:lvl w:ilvl="5" w:tplc="BD168106">
      <w:numFmt w:val="bullet"/>
      <w:lvlText w:val="•"/>
      <w:lvlJc w:val="left"/>
      <w:pPr>
        <w:ind w:left="4905" w:hanging="361"/>
      </w:pPr>
      <w:rPr>
        <w:rFonts w:hint="default"/>
        <w:lang w:val="en-US" w:eastAsia="en-US" w:bidi="ar-SA"/>
      </w:rPr>
    </w:lvl>
    <w:lvl w:ilvl="6" w:tplc="5FFA95F6">
      <w:numFmt w:val="bullet"/>
      <w:lvlText w:val="•"/>
      <w:lvlJc w:val="left"/>
      <w:pPr>
        <w:ind w:left="5738" w:hanging="361"/>
      </w:pPr>
      <w:rPr>
        <w:rFonts w:hint="default"/>
        <w:lang w:val="en-US" w:eastAsia="en-US" w:bidi="ar-SA"/>
      </w:rPr>
    </w:lvl>
    <w:lvl w:ilvl="7" w:tplc="7FF41EAC">
      <w:numFmt w:val="bullet"/>
      <w:lvlText w:val="•"/>
      <w:lvlJc w:val="left"/>
      <w:pPr>
        <w:ind w:left="6571" w:hanging="361"/>
      </w:pPr>
      <w:rPr>
        <w:rFonts w:hint="default"/>
        <w:lang w:val="en-US" w:eastAsia="en-US" w:bidi="ar-SA"/>
      </w:rPr>
    </w:lvl>
    <w:lvl w:ilvl="8" w:tplc="0770D006">
      <w:numFmt w:val="bullet"/>
      <w:lvlText w:val="•"/>
      <w:lvlJc w:val="left"/>
      <w:pPr>
        <w:ind w:left="7404" w:hanging="361"/>
      </w:pPr>
      <w:rPr>
        <w:rFonts w:hint="default"/>
        <w:lang w:val="en-US" w:eastAsia="en-US" w:bidi="ar-SA"/>
      </w:rPr>
    </w:lvl>
  </w:abstractNum>
  <w:abstractNum w:abstractNumId="5" w15:restartNumberingAfterBreak="0">
    <w:nsid w:val="7F3B5D79"/>
    <w:multiLevelType w:val="hybridMultilevel"/>
    <w:tmpl w:val="7F5EB454"/>
    <w:lvl w:ilvl="0" w:tplc="A2C4C902">
      <w:numFmt w:val="bullet"/>
      <w:lvlText w:val=""/>
      <w:lvlJc w:val="left"/>
      <w:pPr>
        <w:ind w:left="383" w:hanging="361"/>
      </w:pPr>
      <w:rPr>
        <w:rFonts w:ascii="Symbol" w:eastAsia="Symbol" w:hAnsi="Symbol" w:cs="Symbol" w:hint="default"/>
        <w:b w:val="0"/>
        <w:bCs w:val="0"/>
        <w:i w:val="0"/>
        <w:iCs w:val="0"/>
        <w:spacing w:val="0"/>
        <w:w w:val="100"/>
        <w:sz w:val="24"/>
        <w:szCs w:val="24"/>
        <w:lang w:val="en-US" w:eastAsia="en-US" w:bidi="ar-SA"/>
      </w:rPr>
    </w:lvl>
    <w:lvl w:ilvl="1" w:tplc="00D65264">
      <w:numFmt w:val="bullet"/>
      <w:lvlText w:val="•"/>
      <w:lvlJc w:val="left"/>
      <w:pPr>
        <w:ind w:left="892" w:hanging="149"/>
      </w:pPr>
      <w:rPr>
        <w:rFonts w:ascii="Times New Roman" w:eastAsia="Times New Roman" w:hAnsi="Times New Roman" w:cs="Times New Roman" w:hint="default"/>
        <w:b w:val="0"/>
        <w:bCs w:val="0"/>
        <w:i w:val="0"/>
        <w:iCs w:val="0"/>
        <w:spacing w:val="0"/>
        <w:w w:val="100"/>
        <w:sz w:val="24"/>
        <w:szCs w:val="24"/>
        <w:lang w:val="en-US" w:eastAsia="en-US" w:bidi="ar-SA"/>
      </w:rPr>
    </w:lvl>
    <w:lvl w:ilvl="2" w:tplc="30EAC77C">
      <w:numFmt w:val="bullet"/>
      <w:lvlText w:val="•"/>
      <w:lvlJc w:val="left"/>
      <w:pPr>
        <w:ind w:left="1807" w:hanging="149"/>
      </w:pPr>
      <w:rPr>
        <w:rFonts w:hint="default"/>
        <w:lang w:val="en-US" w:eastAsia="en-US" w:bidi="ar-SA"/>
      </w:rPr>
    </w:lvl>
    <w:lvl w:ilvl="3" w:tplc="66EAA572">
      <w:numFmt w:val="bullet"/>
      <w:lvlText w:val="•"/>
      <w:lvlJc w:val="left"/>
      <w:pPr>
        <w:ind w:left="2715" w:hanging="149"/>
      </w:pPr>
      <w:rPr>
        <w:rFonts w:hint="default"/>
        <w:lang w:val="en-US" w:eastAsia="en-US" w:bidi="ar-SA"/>
      </w:rPr>
    </w:lvl>
    <w:lvl w:ilvl="4" w:tplc="9E9C2C70">
      <w:numFmt w:val="bullet"/>
      <w:lvlText w:val="•"/>
      <w:lvlJc w:val="left"/>
      <w:pPr>
        <w:ind w:left="3623" w:hanging="149"/>
      </w:pPr>
      <w:rPr>
        <w:rFonts w:hint="default"/>
        <w:lang w:val="en-US" w:eastAsia="en-US" w:bidi="ar-SA"/>
      </w:rPr>
    </w:lvl>
    <w:lvl w:ilvl="5" w:tplc="2FFC3286">
      <w:numFmt w:val="bullet"/>
      <w:lvlText w:val="•"/>
      <w:lvlJc w:val="left"/>
      <w:pPr>
        <w:ind w:left="4531" w:hanging="149"/>
      </w:pPr>
      <w:rPr>
        <w:rFonts w:hint="default"/>
        <w:lang w:val="en-US" w:eastAsia="en-US" w:bidi="ar-SA"/>
      </w:rPr>
    </w:lvl>
    <w:lvl w:ilvl="6" w:tplc="BE52F5C0">
      <w:numFmt w:val="bullet"/>
      <w:lvlText w:val="•"/>
      <w:lvlJc w:val="left"/>
      <w:pPr>
        <w:ind w:left="5438" w:hanging="149"/>
      </w:pPr>
      <w:rPr>
        <w:rFonts w:hint="default"/>
        <w:lang w:val="en-US" w:eastAsia="en-US" w:bidi="ar-SA"/>
      </w:rPr>
    </w:lvl>
    <w:lvl w:ilvl="7" w:tplc="73F4DB0A">
      <w:numFmt w:val="bullet"/>
      <w:lvlText w:val="•"/>
      <w:lvlJc w:val="left"/>
      <w:pPr>
        <w:ind w:left="6346" w:hanging="149"/>
      </w:pPr>
      <w:rPr>
        <w:rFonts w:hint="default"/>
        <w:lang w:val="en-US" w:eastAsia="en-US" w:bidi="ar-SA"/>
      </w:rPr>
    </w:lvl>
    <w:lvl w:ilvl="8" w:tplc="974008EE">
      <w:numFmt w:val="bullet"/>
      <w:lvlText w:val="•"/>
      <w:lvlJc w:val="left"/>
      <w:pPr>
        <w:ind w:left="7254" w:hanging="149"/>
      </w:pPr>
      <w:rPr>
        <w:rFonts w:hint="default"/>
        <w:lang w:val="en-US" w:eastAsia="en-US" w:bidi="ar-SA"/>
      </w:rPr>
    </w:lvl>
  </w:abstractNum>
  <w:num w:numId="1" w16cid:durableId="881214815">
    <w:abstractNumId w:val="1"/>
  </w:num>
  <w:num w:numId="2" w16cid:durableId="563835201">
    <w:abstractNumId w:val="0"/>
  </w:num>
  <w:num w:numId="3" w16cid:durableId="384529800">
    <w:abstractNumId w:val="3"/>
  </w:num>
  <w:num w:numId="4" w16cid:durableId="1316490843">
    <w:abstractNumId w:val="4"/>
  </w:num>
  <w:num w:numId="5" w16cid:durableId="1793934670">
    <w:abstractNumId w:val="2"/>
  </w:num>
  <w:num w:numId="6" w16cid:durableId="157504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4CB1"/>
    <w:rsid w:val="001F7198"/>
    <w:rsid w:val="006F4CB1"/>
    <w:rsid w:val="00810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6BA9"/>
  <w15:docId w15:val="{59240C19-EAD3-4CC2-8BD6-ED4C2AE4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u w:val="single" w:color="000000"/>
    </w:rPr>
  </w:style>
  <w:style w:type="paragraph" w:styleId="Heading2">
    <w:name w:val="heading 2"/>
    <w:basedOn w:val="Normal"/>
    <w:uiPriority w:val="9"/>
    <w:unhideWhenUsed/>
    <w:qFormat/>
    <w:pPr>
      <w:ind w:left="816" w:right="12" w:hanging="43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4"/>
      <w:jc w:val="both"/>
    </w:pPr>
    <w:rPr>
      <w:sz w:val="24"/>
      <w:szCs w:val="24"/>
    </w:rPr>
  </w:style>
  <w:style w:type="paragraph" w:styleId="ListParagraph">
    <w:name w:val="List Paragraph"/>
    <w:basedOn w:val="Normal"/>
    <w:uiPriority w:val="1"/>
    <w:qFormat/>
    <w:pPr>
      <w:ind w:left="383" w:hanging="361"/>
      <w:jc w:val="both"/>
    </w:pPr>
  </w:style>
  <w:style w:type="paragraph" w:customStyle="1" w:styleId="TableParagraph">
    <w:name w:val="Table Paragraph"/>
    <w:basedOn w:val="Normal"/>
    <w:uiPriority w:val="1"/>
    <w:qFormat/>
    <w:pPr>
      <w:spacing w:line="273"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25957-E859-42EE-80B1-65786E5A9A95}"/>
</file>

<file path=customXml/itemProps2.xml><?xml version="1.0" encoding="utf-8"?>
<ds:datastoreItem xmlns:ds="http://schemas.openxmlformats.org/officeDocument/2006/customXml" ds:itemID="{EF72A9DE-C594-4D17-91E6-78C8E6E83829}"/>
</file>

<file path=customXml/itemProps3.xml><?xml version="1.0" encoding="utf-8"?>
<ds:datastoreItem xmlns:ds="http://schemas.openxmlformats.org/officeDocument/2006/customXml" ds:itemID="{A419A3CE-BCE9-4E1F-9208-BA0ECB4EAA5A}"/>
</file>

<file path=docProps/app.xml><?xml version="1.0" encoding="utf-8"?>
<Properties xmlns="http://schemas.openxmlformats.org/officeDocument/2006/extended-properties" xmlns:vt="http://schemas.openxmlformats.org/officeDocument/2006/docPropsVTypes">
  <Template>Normal</Template>
  <TotalTime>1</TotalTime>
  <Pages>13</Pages>
  <Words>5242</Words>
  <Characters>29881</Characters>
  <Application>Microsoft Office Word</Application>
  <DocSecurity>0</DocSecurity>
  <Lines>249</Lines>
  <Paragraphs>70</Paragraphs>
  <ScaleCrop>false</ScaleCrop>
  <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Dolan, Tanya</dc:creator>
  <cp:lastModifiedBy>Lyn Davies</cp:lastModifiedBy>
  <cp:revision>2</cp:revision>
  <dcterms:created xsi:type="dcterms:W3CDTF">2025-09-08T14:21:00Z</dcterms:created>
  <dcterms:modified xsi:type="dcterms:W3CDTF">2025-09-08T14:21:00Z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2025-09-08T14:21:00Z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310bb6ae-5659-4469-895d-adb1d4aa060a</vt:lpwstr>
  </property>
  <property fmtid="{D5CDD505-2E9C-101B-9397-08002B2CF9AE}" pid="12" name="MSIP_Label_c69d85d5-6d9e-4305-a294-1f636ec0f2d6_ContentBits">
    <vt:lpwstr>0</vt:lpwstr>
  </property>
  <property fmtid="{D5CDD505-2E9C-101B-9397-08002B2CF9AE}" pid="13" name="MSIP_Label_c69d85d5-6d9e-4305-a294-1f636ec0f2d6_Tag">
    <vt:lpwstr>10, 3, 0, 1</vt:lpwstr>
  </property>
  <property fmtid="{D5CDD505-2E9C-101B-9397-08002B2CF9AE}" pid="14" name="ContentTypeId">
    <vt:lpwstr>0x0101003300E5E64B980D458C754FFE05DEE26D</vt:lpwstr>
  </property>
</Properties>
</file>