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1232" w14:textId="7C69B1F0" w:rsidR="00A25FDA" w:rsidRPr="00912512" w:rsidRDefault="00A25FDA" w:rsidP="00A25FDA">
      <w:pPr>
        <w:rPr>
          <w:rStyle w:val="Hyperlink"/>
          <w:rFonts w:asciiTheme="minorHAnsi" w:hAnsiTheme="minorHAnsi" w:cstheme="minorHAnsi"/>
        </w:rPr>
      </w:pPr>
      <w:r w:rsidRPr="00912512">
        <w:rPr>
          <w:rFonts w:asciiTheme="minorHAnsi" w:hAnsiTheme="minorHAnsi" w:cstheme="minorHAnsi"/>
        </w:rPr>
        <w:t xml:space="preserve">Sent by e-mail only: </w:t>
      </w:r>
      <w:r w:rsidR="00B84FAE" w:rsidRPr="00B84FAE">
        <w:rPr>
          <w:rFonts w:asciiTheme="minorHAnsi" w:hAnsiTheme="minorHAnsi" w:cstheme="minorHAnsi"/>
          <w:highlight w:val="black"/>
        </w:rPr>
        <w:t>XXXXXXXXXXX</w:t>
      </w:r>
    </w:p>
    <w:p w14:paraId="16D56E80" w14:textId="601F6A45"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 xml:space="preserve">FAO: </w:t>
      </w:r>
      <w:r w:rsidR="00B84FAE" w:rsidRPr="00B84FAE">
        <w:rPr>
          <w:rFonts w:asciiTheme="minorHAnsi" w:hAnsiTheme="minorHAnsi" w:cstheme="minorHAnsi"/>
          <w:highlight w:val="black"/>
        </w:rPr>
        <w:t>XXXXXXXXX</w:t>
      </w:r>
      <w:r w:rsidRPr="00DB65D6">
        <w:rPr>
          <w:rFonts w:asciiTheme="minorHAnsi" w:hAnsiTheme="minorHAnsi" w:cstheme="minorHAnsi"/>
        </w:rPr>
        <w:t> </w:t>
      </w:r>
    </w:p>
    <w:p w14:paraId="14FCF307"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AstraZeneca </w:t>
      </w:r>
    </w:p>
    <w:p w14:paraId="470414CE"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Oncology Business Unit </w:t>
      </w:r>
    </w:p>
    <w:p w14:paraId="029F04B2"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2 Pancras Square </w:t>
      </w:r>
    </w:p>
    <w:p w14:paraId="2983DCAF"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9</w:t>
      </w:r>
      <w:r w:rsidRPr="00DB65D6">
        <w:rPr>
          <w:rFonts w:asciiTheme="minorHAnsi" w:hAnsiTheme="minorHAnsi" w:cstheme="minorHAnsi"/>
          <w:vertAlign w:val="superscript"/>
        </w:rPr>
        <w:t>th</w:t>
      </w:r>
      <w:r w:rsidRPr="00DB65D6">
        <w:rPr>
          <w:rFonts w:asciiTheme="minorHAnsi" w:hAnsiTheme="minorHAnsi" w:cstheme="minorHAnsi"/>
        </w:rPr>
        <w:t xml:space="preserve"> Floor </w:t>
      </w:r>
    </w:p>
    <w:p w14:paraId="42B5EC02"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London </w:t>
      </w:r>
    </w:p>
    <w:p w14:paraId="582BEFAD" w14:textId="77777777" w:rsidR="00DB65D6" w:rsidRPr="00DB65D6" w:rsidRDefault="00DB65D6" w:rsidP="00DB65D6">
      <w:pPr>
        <w:spacing w:after="0" w:line="240" w:lineRule="auto"/>
        <w:jc w:val="both"/>
        <w:rPr>
          <w:rFonts w:asciiTheme="minorHAnsi" w:hAnsiTheme="minorHAnsi" w:cstheme="minorHAnsi"/>
        </w:rPr>
      </w:pPr>
      <w:r w:rsidRPr="00DB65D6">
        <w:rPr>
          <w:rFonts w:asciiTheme="minorHAnsi" w:hAnsiTheme="minorHAnsi" w:cstheme="minorHAnsi"/>
        </w:rPr>
        <w:t>NC1 4AG </w:t>
      </w:r>
    </w:p>
    <w:p w14:paraId="4DE9447F" w14:textId="77777777" w:rsidR="00A25FDA" w:rsidRPr="00912512" w:rsidRDefault="00A25FDA" w:rsidP="00A25FDA">
      <w:pPr>
        <w:rPr>
          <w:rFonts w:asciiTheme="minorHAnsi" w:hAnsiTheme="minorHAnsi" w:cstheme="minorHAnsi"/>
        </w:rPr>
      </w:pPr>
    </w:p>
    <w:p w14:paraId="6E3E7ED6" w14:textId="22044371" w:rsidR="00A25FDA" w:rsidRPr="00912512" w:rsidRDefault="00DB65D6" w:rsidP="00A25FDA">
      <w:pPr>
        <w:rPr>
          <w:rFonts w:asciiTheme="minorHAnsi" w:hAnsiTheme="minorHAnsi" w:cstheme="minorHAnsi"/>
        </w:rPr>
      </w:pPr>
      <w:r>
        <w:rPr>
          <w:rFonts w:asciiTheme="minorHAnsi" w:hAnsiTheme="minorHAnsi" w:cstheme="minorHAnsi"/>
        </w:rPr>
        <w:t>11 August 2025</w:t>
      </w:r>
    </w:p>
    <w:p w14:paraId="481124EB" w14:textId="77777777" w:rsidR="00A25FDA" w:rsidRPr="00912512" w:rsidRDefault="00A25FDA" w:rsidP="00A25FDA">
      <w:pPr>
        <w:rPr>
          <w:rFonts w:asciiTheme="minorHAnsi" w:hAnsiTheme="minorHAnsi" w:cstheme="minorHAnsi"/>
        </w:rPr>
      </w:pPr>
    </w:p>
    <w:p w14:paraId="5B7B7B48" w14:textId="2862842A" w:rsidR="00A25FDA" w:rsidRPr="00912512" w:rsidRDefault="00A25FDA" w:rsidP="00A25FDA">
      <w:pPr>
        <w:ind w:left="426" w:right="468" w:hanging="426"/>
        <w:jc w:val="both"/>
        <w:rPr>
          <w:rFonts w:ascii="Arial" w:hAnsi="Arial" w:cs="Arial"/>
          <w:noProof/>
          <w:spacing w:val="-3"/>
          <w:sz w:val="20"/>
          <w:szCs w:val="20"/>
          <w:lang w:eastAsia="en-GB"/>
        </w:rPr>
      </w:pPr>
      <w:r w:rsidRPr="0FA00D16">
        <w:rPr>
          <w:rFonts w:ascii="Arial" w:hAnsi="Arial" w:cs="Arial"/>
          <w:sz w:val="20"/>
          <w:szCs w:val="20"/>
        </w:rPr>
        <w:t xml:space="preserve">Dear </w:t>
      </w:r>
      <w:bookmarkStart w:id="0" w:name="Sal"/>
      <w:bookmarkEnd w:id="0"/>
      <w:r w:rsidR="00B84FAE" w:rsidRPr="00B84FAE">
        <w:rPr>
          <w:rFonts w:ascii="Arial" w:hAnsi="Arial" w:cs="Arial"/>
          <w:sz w:val="20"/>
          <w:szCs w:val="20"/>
          <w:highlight w:val="black"/>
        </w:rPr>
        <w:t>XXXXXXX</w:t>
      </w:r>
    </w:p>
    <w:p w14:paraId="67AFD44F" w14:textId="68586980" w:rsidR="00F24B1D" w:rsidRPr="00912512" w:rsidRDefault="00F24B1D" w:rsidP="00F24B1D">
      <w:pPr>
        <w:ind w:left="426" w:right="468" w:hanging="426"/>
        <w:jc w:val="both"/>
        <w:rPr>
          <w:rFonts w:ascii="Arial" w:hAnsi="Arial" w:cs="Arial"/>
          <w:b/>
          <w:sz w:val="20"/>
          <w:szCs w:val="20"/>
        </w:rPr>
      </w:pPr>
      <w:r w:rsidRPr="00912512">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03C476A">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912512">
        <w:rPr>
          <w:rFonts w:ascii="Arial" w:hAnsi="Arial" w:cs="Arial"/>
          <w:b/>
          <w:spacing w:val="-3"/>
          <w:sz w:val="20"/>
          <w:szCs w:val="20"/>
        </w:rPr>
        <w:t xml:space="preserve">Re: </w:t>
      </w:r>
      <w:r w:rsidR="00A25FDA" w:rsidRPr="00912512">
        <w:rPr>
          <w:rFonts w:ascii="Arial" w:hAnsi="Arial" w:cs="Arial"/>
          <w:b/>
          <w:sz w:val="20"/>
          <w:szCs w:val="20"/>
        </w:rPr>
        <w:t>Final Draft Guidance — Durvalumab with platinum-based chemotherapy, then with or without olaparib, for treating newly diagnosed advanced or recurrent endometrial cancer (ID6317)</w:t>
      </w:r>
    </w:p>
    <w:p w14:paraId="645F333C" w14:textId="337CDFE1" w:rsidR="00DB178D" w:rsidRPr="00912512" w:rsidRDefault="00DB178D" w:rsidP="00DB178D">
      <w:pPr>
        <w:spacing w:before="240" w:after="240"/>
        <w:jc w:val="both"/>
        <w:rPr>
          <w:rFonts w:ascii="Arial" w:eastAsia="Times New Roman" w:hAnsi="Arial" w:cs="Arial"/>
          <w:sz w:val="20"/>
          <w:szCs w:val="20"/>
        </w:rPr>
      </w:pPr>
      <w:r w:rsidRPr="00912512">
        <w:rPr>
          <w:rFonts w:ascii="Arial" w:eastAsia="Times New Roman" w:hAnsi="Arial" w:cs="Arial"/>
          <w:sz w:val="20"/>
          <w:szCs w:val="20"/>
        </w:rPr>
        <w:t xml:space="preserve">Thank you for your letter of </w:t>
      </w:r>
      <w:r w:rsidR="00A25FDA" w:rsidRPr="00912512">
        <w:rPr>
          <w:rFonts w:ascii="Arial" w:eastAsia="Times New Roman" w:hAnsi="Arial" w:cs="Arial"/>
          <w:sz w:val="20"/>
          <w:szCs w:val="20"/>
        </w:rPr>
        <w:t>4 August 2025</w:t>
      </w:r>
      <w:r w:rsidRPr="00912512">
        <w:rPr>
          <w:rFonts w:ascii="Arial" w:eastAsia="Times New Roman" w:hAnsi="Arial" w:cs="Arial"/>
          <w:sz w:val="20"/>
          <w:szCs w:val="20"/>
        </w:rPr>
        <w:t xml:space="preserve"> responding to my initial scrutiny views.  This is my final decision on initial scrutiny.</w:t>
      </w:r>
    </w:p>
    <w:p w14:paraId="55B1D5E2" w14:textId="28FD5E0E" w:rsidR="00DB178D" w:rsidRPr="00912512" w:rsidRDefault="00DB178D" w:rsidP="00DB178D">
      <w:pPr>
        <w:spacing w:before="240" w:after="240"/>
        <w:jc w:val="both"/>
        <w:rPr>
          <w:rFonts w:ascii="Arial" w:eastAsia="Times New Roman" w:hAnsi="Arial" w:cs="Arial"/>
          <w:sz w:val="20"/>
          <w:szCs w:val="20"/>
        </w:rPr>
      </w:pPr>
      <w:r w:rsidRPr="00912512">
        <w:rPr>
          <w:rFonts w:ascii="Arial" w:eastAsia="Times New Roman" w:hAnsi="Arial" w:cs="Arial"/>
          <w:sz w:val="20"/>
          <w:szCs w:val="20"/>
        </w:rPr>
        <w:t xml:space="preserve">I </w:t>
      </w:r>
      <w:r w:rsidR="00BB16DB" w:rsidRPr="00912512">
        <w:rPr>
          <w:rFonts w:ascii="Arial" w:eastAsia="Times New Roman" w:hAnsi="Arial" w:cs="Arial"/>
          <w:sz w:val="20"/>
          <w:szCs w:val="20"/>
        </w:rPr>
        <w:t>assess each of your points in turn.</w:t>
      </w:r>
    </w:p>
    <w:p w14:paraId="5E545C55" w14:textId="77777777" w:rsidR="00A25FDA" w:rsidRPr="00912512" w:rsidRDefault="00A25FDA" w:rsidP="00A25FDA">
      <w:pPr>
        <w:spacing w:before="120" w:after="0" w:line="240" w:lineRule="auto"/>
        <w:rPr>
          <w:rFonts w:ascii="Arial" w:hAnsi="Arial" w:cs="Arial"/>
          <w:b/>
          <w:i/>
          <w:sz w:val="20"/>
          <w:szCs w:val="20"/>
          <w:lang w:eastAsia="en-GB"/>
        </w:rPr>
      </w:pPr>
      <w:r w:rsidRPr="00912512">
        <w:rPr>
          <w:rFonts w:ascii="Arial" w:hAnsi="Arial" w:cs="Arial"/>
          <w:b/>
          <w:i/>
          <w:sz w:val="20"/>
          <w:szCs w:val="20"/>
          <w:lang w:eastAsia="en-GB"/>
        </w:rPr>
        <w:t>Ground 1(a): In making the assessment that preceded the recommendation, NICE has failed to act fairly</w:t>
      </w:r>
    </w:p>
    <w:p w14:paraId="656711DA" w14:textId="77777777" w:rsidR="00A25FDA" w:rsidRPr="00912512" w:rsidRDefault="00A25FDA" w:rsidP="00A25FDA">
      <w:pPr>
        <w:spacing w:before="240" w:after="240"/>
        <w:jc w:val="both"/>
        <w:rPr>
          <w:rFonts w:ascii="Arial" w:hAnsi="Arial" w:cs="Arial"/>
          <w:b/>
          <w:sz w:val="20"/>
          <w:szCs w:val="20"/>
          <w:u w:val="single"/>
        </w:rPr>
      </w:pPr>
      <w:r w:rsidRPr="00912512">
        <w:rPr>
          <w:rFonts w:ascii="Arial" w:hAnsi="Arial" w:cs="Arial"/>
          <w:b/>
          <w:sz w:val="20"/>
          <w:szCs w:val="20"/>
          <w:u w:val="single"/>
        </w:rPr>
        <w:t>Appeal point 1(a).1: The Committee has concluded that the ICER threshold should be limited to £20,000 per QALY due to “uncertainties” in the data, but has failed to explain and/or take into account the limited impact of such uncertainties on the ICER</w:t>
      </w:r>
    </w:p>
    <w:p w14:paraId="75BEA8EC" w14:textId="3986FF98" w:rsidR="00A960A2" w:rsidRPr="00912512" w:rsidRDefault="00A960A2" w:rsidP="00A960A2">
      <w:pPr>
        <w:spacing w:before="120" w:after="240"/>
        <w:rPr>
          <w:rFonts w:ascii="Arial" w:eastAsia="Times New Roman" w:hAnsi="Arial" w:cs="Arial"/>
          <w:color w:val="0D0D0D" w:themeColor="text1" w:themeTint="F2"/>
          <w:sz w:val="20"/>
          <w:szCs w:val="20"/>
          <w:lang w:eastAsia="en-GB"/>
        </w:rPr>
      </w:pPr>
      <w:r w:rsidRPr="00912512">
        <w:rPr>
          <w:rFonts w:ascii="Arial" w:eastAsia="Times New Roman" w:hAnsi="Arial" w:cs="Arial"/>
          <w:color w:val="0D0D0D" w:themeColor="text1" w:themeTint="F2"/>
          <w:sz w:val="20"/>
          <w:szCs w:val="20"/>
          <w:lang w:eastAsia="en-GB"/>
        </w:rPr>
        <w:t xml:space="preserve">Having considered the additional arguments made in your letter of 4 August 2025, I </w:t>
      </w:r>
      <w:r w:rsidR="00D43D27">
        <w:rPr>
          <w:rFonts w:ascii="Arial" w:eastAsia="Times New Roman" w:hAnsi="Arial" w:cs="Arial"/>
          <w:color w:val="0D0D0D" w:themeColor="text1" w:themeTint="F2"/>
          <w:sz w:val="20"/>
          <w:szCs w:val="20"/>
          <w:lang w:eastAsia="en-GB"/>
        </w:rPr>
        <w:t>accept</w:t>
      </w:r>
      <w:r w:rsidRPr="00912512">
        <w:rPr>
          <w:rFonts w:ascii="Arial" w:eastAsia="Times New Roman" w:hAnsi="Arial" w:cs="Arial"/>
          <w:color w:val="0D0D0D" w:themeColor="text1" w:themeTint="F2"/>
          <w:sz w:val="20"/>
          <w:szCs w:val="20"/>
          <w:lang w:eastAsia="en-GB"/>
        </w:rPr>
        <w:t xml:space="preserve"> that this is a valid appeal point</w:t>
      </w:r>
      <w:r w:rsidR="00D43D27">
        <w:rPr>
          <w:rFonts w:ascii="Arial" w:eastAsia="Times New Roman" w:hAnsi="Arial" w:cs="Arial"/>
          <w:color w:val="0D0D0D" w:themeColor="text1" w:themeTint="F2"/>
          <w:sz w:val="20"/>
          <w:szCs w:val="20"/>
          <w:lang w:eastAsia="en-GB"/>
        </w:rPr>
        <w:t xml:space="preserve"> under ground 1</w:t>
      </w:r>
      <w:r w:rsidRPr="00912512">
        <w:rPr>
          <w:rFonts w:ascii="Arial" w:eastAsia="Times New Roman" w:hAnsi="Arial" w:cs="Arial"/>
          <w:color w:val="0D0D0D" w:themeColor="text1" w:themeTint="F2"/>
          <w:sz w:val="20"/>
          <w:szCs w:val="20"/>
          <w:lang w:eastAsia="en-GB"/>
        </w:rPr>
        <w:t xml:space="preserve">.   </w:t>
      </w:r>
    </w:p>
    <w:p w14:paraId="1D3A0A5C" w14:textId="77777777" w:rsidR="002D1F05" w:rsidRDefault="002D1F05" w:rsidP="00A960A2">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 xml:space="preserve">The basis for the appeal point is that the Committee has arguably failed to comply with paragraph 6.3.5 of the Manual, which requires that </w:t>
      </w:r>
    </w:p>
    <w:p w14:paraId="24DF4715" w14:textId="4261AB2E" w:rsidR="002D1F05" w:rsidRPr="002D1F05" w:rsidRDefault="002D1F05" w:rsidP="002D1F05">
      <w:pPr>
        <w:spacing w:before="120" w:after="240"/>
        <w:ind w:left="360"/>
        <w:rPr>
          <w:rFonts w:ascii="Arial" w:eastAsia="Times New Roman" w:hAnsi="Arial" w:cs="Arial"/>
          <w:i/>
          <w:iCs/>
          <w:color w:val="0D0D0D" w:themeColor="text1" w:themeTint="F2"/>
          <w:sz w:val="20"/>
          <w:szCs w:val="20"/>
          <w:lang w:eastAsia="en-GB"/>
        </w:rPr>
      </w:pPr>
      <w:r w:rsidRPr="002D1F05">
        <w:rPr>
          <w:rFonts w:ascii="Arial" w:eastAsia="Times New Roman" w:hAnsi="Arial" w:cs="Arial"/>
          <w:i/>
          <w:iCs/>
          <w:color w:val="0D0D0D" w:themeColor="text1" w:themeTint="F2"/>
          <w:sz w:val="20"/>
          <w:szCs w:val="20"/>
          <w:lang w:eastAsia="en-GB"/>
        </w:rPr>
        <w:t>Above a most plausible ICER of £20,000 per QALY gained… decisions about the acceptability of the technology as an acceptable use of NHS resources will specifically consider…</w:t>
      </w:r>
    </w:p>
    <w:p w14:paraId="3FC137B1" w14:textId="44CB53C8" w:rsidR="002D1F05" w:rsidRPr="002D1F05" w:rsidRDefault="002D1F05" w:rsidP="002D1F05">
      <w:pPr>
        <w:pStyle w:val="ListParagraph"/>
        <w:numPr>
          <w:ilvl w:val="0"/>
          <w:numId w:val="12"/>
        </w:numPr>
        <w:spacing w:before="120" w:after="240"/>
        <w:ind w:left="1080"/>
        <w:rPr>
          <w:rFonts w:cs="Arial"/>
          <w:i/>
          <w:iCs/>
          <w:color w:val="0D0D0D" w:themeColor="text1" w:themeTint="F2"/>
          <w:lang w:eastAsia="en-GB"/>
        </w:rPr>
      </w:pPr>
      <w:r w:rsidRPr="002D1F05">
        <w:rPr>
          <w:rFonts w:cs="Arial"/>
          <w:i/>
          <w:iCs/>
          <w:color w:val="0D0D0D" w:themeColor="text1" w:themeTint="F2"/>
          <w:lang w:eastAsia="en-GB"/>
        </w:rPr>
        <w:t>the degree of certainty and uncertainty around the ICER</w:t>
      </w:r>
    </w:p>
    <w:p w14:paraId="62214AAB" w14:textId="73E69A96" w:rsidR="002D1F05" w:rsidRPr="002D1F05" w:rsidRDefault="002D1F05" w:rsidP="002D1F05">
      <w:pPr>
        <w:pStyle w:val="ListParagraph"/>
        <w:spacing w:before="120" w:after="240"/>
        <w:ind w:left="1080"/>
        <w:rPr>
          <w:rFonts w:cs="Arial"/>
          <w:color w:val="0D0D0D" w:themeColor="text1" w:themeTint="F2"/>
          <w:lang w:eastAsia="en-GB"/>
        </w:rPr>
      </w:pPr>
      <w:r w:rsidRPr="002D1F05">
        <w:rPr>
          <w:rFonts w:cs="Arial"/>
          <w:i/>
          <w:iCs/>
          <w:color w:val="0D0D0D" w:themeColor="text1" w:themeTint="F2"/>
          <w:lang w:eastAsia="en-GB"/>
        </w:rPr>
        <w:t>…</w:t>
      </w:r>
    </w:p>
    <w:p w14:paraId="077ED663" w14:textId="76F5ED1A" w:rsidR="00D43D27" w:rsidRDefault="002D1F05" w:rsidP="002D1F05">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The Company's argument, as I understand it, is that the most plausible ICER for this technology is above £20,000, and that whilst the Committee has considered uncert</w:t>
      </w:r>
      <w:r w:rsidR="00792B33">
        <w:rPr>
          <w:rFonts w:ascii="Arial" w:eastAsia="Times New Roman" w:hAnsi="Arial" w:cs="Arial"/>
          <w:color w:val="0D0D0D" w:themeColor="text1" w:themeTint="F2"/>
          <w:sz w:val="20"/>
          <w:szCs w:val="20"/>
          <w:lang w:eastAsia="en-GB"/>
        </w:rPr>
        <w:t>ainty in the FDG, "the Committee has seemingly given no consideration at all to the extent to which any modest uncertainties arising from the three identified areas impacts the acceptable ICER for [the technology</w:t>
      </w:r>
      <w:r w:rsidR="00D73246">
        <w:rPr>
          <w:rFonts w:ascii="Arial" w:eastAsia="Times New Roman" w:hAnsi="Arial" w:cs="Arial"/>
          <w:color w:val="0D0D0D" w:themeColor="text1" w:themeTint="F2"/>
          <w:sz w:val="20"/>
          <w:szCs w:val="20"/>
          <w:lang w:eastAsia="en-GB"/>
        </w:rPr>
        <w:t>]</w:t>
      </w:r>
      <w:r w:rsidR="00792B33">
        <w:rPr>
          <w:rFonts w:ascii="Arial" w:eastAsia="Times New Roman" w:hAnsi="Arial" w:cs="Arial"/>
          <w:color w:val="0D0D0D" w:themeColor="text1" w:themeTint="F2"/>
          <w:sz w:val="20"/>
          <w:szCs w:val="20"/>
          <w:lang w:eastAsia="en-GB"/>
        </w:rPr>
        <w:t xml:space="preserve"> or why these </w:t>
      </w:r>
      <w:r w:rsidR="00792B33">
        <w:rPr>
          <w:rFonts w:ascii="Arial" w:eastAsia="Times New Roman" w:hAnsi="Arial" w:cs="Arial"/>
          <w:color w:val="0D0D0D" w:themeColor="text1" w:themeTint="F2"/>
          <w:sz w:val="20"/>
          <w:szCs w:val="20"/>
          <w:lang w:eastAsia="en-GB"/>
        </w:rPr>
        <w:lastRenderedPageBreak/>
        <w:t>uncertainties justify its conclusion that any ICER must be at the lowest end of the £20,000-£30,000 range".</w:t>
      </w:r>
    </w:p>
    <w:p w14:paraId="359EA01E" w14:textId="1E9CDB97" w:rsidR="00792B33" w:rsidRDefault="00792B33" w:rsidP="002D1F05">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 xml:space="preserve">I anticipate that the Appeal Panel will wish to consider whether paragraph 6.3.5 of the Manual requires the Committee to expressly record its conclusions in the FDG as to the impact of uncertainties on the </w:t>
      </w:r>
      <w:r w:rsidR="00ED7C6F">
        <w:rPr>
          <w:rFonts w:ascii="Arial" w:eastAsia="Times New Roman" w:hAnsi="Arial" w:cs="Arial"/>
          <w:color w:val="0D0D0D" w:themeColor="text1" w:themeTint="F2"/>
          <w:sz w:val="20"/>
          <w:szCs w:val="20"/>
          <w:lang w:eastAsia="en-GB"/>
        </w:rPr>
        <w:t>level</w:t>
      </w:r>
      <w:r>
        <w:rPr>
          <w:rFonts w:ascii="Arial" w:eastAsia="Times New Roman" w:hAnsi="Arial" w:cs="Arial"/>
          <w:color w:val="0D0D0D" w:themeColor="text1" w:themeTint="F2"/>
          <w:sz w:val="20"/>
          <w:szCs w:val="20"/>
          <w:lang w:eastAsia="en-GB"/>
        </w:rPr>
        <w:t xml:space="preserve"> of the acceptable ICER.</w:t>
      </w:r>
    </w:p>
    <w:p w14:paraId="4E596354" w14:textId="03149387" w:rsidR="00792B33" w:rsidRPr="00912512" w:rsidRDefault="00792B33" w:rsidP="00792B33">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I note that your letter of 4 August draws my attention to an extract from NICE's August 2021 consultation paper setting out its proposals for change to its methods for health technology evaluation programmes.  That paper was followed by a public consultation exercise, and following that consultation, NICE finalised its proposed changes and captured them in the Manual.  It is the Manual which binds the Committee, rather than the proposals for change document</w:t>
      </w:r>
      <w:r w:rsidR="00ED7C6F">
        <w:rPr>
          <w:rFonts w:ascii="Arial" w:eastAsia="Times New Roman" w:hAnsi="Arial" w:cs="Arial"/>
          <w:color w:val="0D0D0D" w:themeColor="text1" w:themeTint="F2"/>
          <w:sz w:val="20"/>
          <w:szCs w:val="20"/>
          <w:lang w:eastAsia="en-GB"/>
        </w:rPr>
        <w:t xml:space="preserve"> which preceded consultation on those proposals</w:t>
      </w:r>
      <w:r>
        <w:rPr>
          <w:rFonts w:ascii="Arial" w:eastAsia="Times New Roman" w:hAnsi="Arial" w:cs="Arial"/>
          <w:color w:val="0D0D0D" w:themeColor="text1" w:themeTint="F2"/>
          <w:sz w:val="20"/>
          <w:szCs w:val="20"/>
          <w:lang w:eastAsia="en-GB"/>
        </w:rPr>
        <w:t>.</w:t>
      </w:r>
    </w:p>
    <w:p w14:paraId="33287390" w14:textId="77777777" w:rsidR="00A25FDA" w:rsidRPr="00912512" w:rsidRDefault="00A25FDA" w:rsidP="00A25FDA">
      <w:pPr>
        <w:spacing w:before="240" w:after="240"/>
        <w:jc w:val="both"/>
        <w:rPr>
          <w:rFonts w:ascii="Arial" w:hAnsi="Arial" w:cs="Arial"/>
          <w:b/>
          <w:sz w:val="20"/>
          <w:szCs w:val="20"/>
          <w:u w:val="single"/>
        </w:rPr>
      </w:pPr>
      <w:r w:rsidRPr="00912512">
        <w:rPr>
          <w:rFonts w:ascii="Arial" w:hAnsi="Arial" w:cs="Arial"/>
          <w:b/>
          <w:sz w:val="20"/>
          <w:szCs w:val="20"/>
          <w:u w:val="single"/>
        </w:rPr>
        <w:t xml:space="preserve">Appeal point 1(a).2: </w:t>
      </w:r>
      <w:r w:rsidRPr="00912512">
        <w:rPr>
          <w:rFonts w:ascii="Arial" w:hAnsi="Arial" w:cs="Arial"/>
          <w:b/>
          <w:bCs/>
          <w:sz w:val="20"/>
          <w:szCs w:val="20"/>
          <w:u w:val="single"/>
        </w:rPr>
        <w:t xml:space="preserve">The reasons given for imposing a £20,000 ICER threshold fail to take into account the factors listed at paragraph 6.3.5 of the Manual </w:t>
      </w:r>
    </w:p>
    <w:p w14:paraId="180244DC" w14:textId="178A7195" w:rsidR="00790FDE" w:rsidRPr="00797FF7" w:rsidRDefault="00A960A2" w:rsidP="00A960A2">
      <w:pPr>
        <w:spacing w:before="120" w:after="240"/>
        <w:rPr>
          <w:rFonts w:ascii="Arial" w:eastAsia="Times New Roman" w:hAnsi="Arial" w:cs="Arial"/>
          <w:color w:val="0D0D0D" w:themeColor="text1" w:themeTint="F2"/>
          <w:sz w:val="20"/>
          <w:szCs w:val="20"/>
          <w:lang w:eastAsia="en-GB"/>
        </w:rPr>
      </w:pPr>
      <w:r w:rsidRPr="00797FF7">
        <w:rPr>
          <w:rFonts w:ascii="Arial" w:eastAsia="Times New Roman" w:hAnsi="Arial" w:cs="Arial"/>
          <w:color w:val="0D0D0D" w:themeColor="text1" w:themeTint="F2"/>
          <w:sz w:val="20"/>
          <w:szCs w:val="20"/>
          <w:lang w:eastAsia="en-GB"/>
        </w:rPr>
        <w:t xml:space="preserve">Having considered the additional arguments made in your letter of 4 August 2025, I </w:t>
      </w:r>
      <w:r w:rsidR="00814800">
        <w:rPr>
          <w:rFonts w:ascii="Arial" w:eastAsia="Times New Roman" w:hAnsi="Arial" w:cs="Arial"/>
          <w:color w:val="0D0D0D" w:themeColor="text1" w:themeTint="F2"/>
          <w:sz w:val="20"/>
          <w:szCs w:val="20"/>
          <w:lang w:eastAsia="en-GB"/>
        </w:rPr>
        <w:t>remain of the view that this appeal point should not be referred to the Appeal Panel</w:t>
      </w:r>
      <w:r w:rsidRPr="00797FF7">
        <w:rPr>
          <w:rFonts w:ascii="Arial" w:eastAsia="Times New Roman" w:hAnsi="Arial" w:cs="Arial"/>
          <w:color w:val="0D0D0D" w:themeColor="text1" w:themeTint="F2"/>
          <w:sz w:val="20"/>
          <w:szCs w:val="20"/>
          <w:lang w:eastAsia="en-GB"/>
        </w:rPr>
        <w:t xml:space="preserve">.  </w:t>
      </w:r>
    </w:p>
    <w:p w14:paraId="04CB4A17" w14:textId="1DEFC79D" w:rsidR="00814800" w:rsidRDefault="00814800" w:rsidP="00A960A2">
      <w:pPr>
        <w:spacing w:before="120" w:after="240"/>
        <w:rPr>
          <w:rFonts w:ascii="Arial" w:eastAsia="Times New Roman" w:hAnsi="Arial" w:cs="Arial"/>
          <w:color w:val="0D0D0D" w:themeColor="text1" w:themeTint="F2"/>
          <w:sz w:val="20"/>
          <w:szCs w:val="20"/>
          <w:lang w:eastAsia="en-GB"/>
        </w:rPr>
      </w:pPr>
      <w:bookmarkStart w:id="1" w:name="_Hlk204780069"/>
      <w:r>
        <w:rPr>
          <w:rFonts w:ascii="Arial" w:eastAsia="Times New Roman" w:hAnsi="Arial" w:cs="Arial"/>
          <w:color w:val="0D0D0D" w:themeColor="text1" w:themeTint="F2"/>
          <w:sz w:val="20"/>
          <w:szCs w:val="20"/>
          <w:lang w:eastAsia="en-GB"/>
        </w:rPr>
        <w:t>As a preliminary point, I note that this evaluation was conducted in accordance with the Manual in place when it started, i.e. the Manual as updated in October 2023.  Paragraph 6.35 of the applicable version of the Manual reads as follows:</w:t>
      </w:r>
    </w:p>
    <w:p w14:paraId="5BA01B65" w14:textId="559A1417" w:rsidR="00814800" w:rsidRDefault="00814800" w:rsidP="00A960A2">
      <w:pPr>
        <w:spacing w:before="120" w:after="240"/>
        <w:rPr>
          <w:rFonts w:ascii="Arial" w:eastAsia="Times New Roman" w:hAnsi="Arial" w:cs="Arial"/>
          <w:color w:val="0D0D0D" w:themeColor="text1" w:themeTint="F2"/>
          <w:sz w:val="20"/>
          <w:szCs w:val="20"/>
          <w:lang w:eastAsia="en-GB"/>
        </w:rPr>
      </w:pPr>
      <w:r w:rsidRPr="00814800">
        <w:rPr>
          <w:rFonts w:ascii="Arial" w:eastAsia="Times New Roman" w:hAnsi="Arial" w:cs="Arial"/>
          <w:noProof/>
          <w:color w:val="0D0D0D" w:themeColor="text1" w:themeTint="F2"/>
          <w:sz w:val="20"/>
          <w:szCs w:val="20"/>
          <w:lang w:eastAsia="en-GB"/>
        </w:rPr>
        <w:drawing>
          <wp:inline distT="0" distB="0" distL="0" distR="0" wp14:anchorId="1301A6FA" wp14:editId="6C6F6CE4">
            <wp:extent cx="5677692" cy="1781424"/>
            <wp:effectExtent l="0" t="0" r="0" b="9525"/>
            <wp:docPr id="107812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29264" name="Picture 1" descr="A white background with black text&#10;&#10;AI-generated content may be incorrect."/>
                    <pic:cNvPicPr/>
                  </pic:nvPicPr>
                  <pic:blipFill>
                    <a:blip r:embed="rId10"/>
                    <a:stretch>
                      <a:fillRect/>
                    </a:stretch>
                  </pic:blipFill>
                  <pic:spPr>
                    <a:xfrm>
                      <a:off x="0" y="0"/>
                      <a:ext cx="5677692" cy="1781424"/>
                    </a:xfrm>
                    <a:prstGeom prst="rect">
                      <a:avLst/>
                    </a:prstGeom>
                  </pic:spPr>
                </pic:pic>
              </a:graphicData>
            </a:graphic>
          </wp:inline>
        </w:drawing>
      </w:r>
    </w:p>
    <w:p w14:paraId="73DEE5B1" w14:textId="47785F47" w:rsidR="00814800" w:rsidRDefault="00814800" w:rsidP="00A960A2">
      <w:pPr>
        <w:spacing w:before="120" w:after="240"/>
        <w:rPr>
          <w:rFonts w:ascii="Arial" w:eastAsia="Times New Roman" w:hAnsi="Arial" w:cs="Arial"/>
          <w:color w:val="0D0D0D" w:themeColor="text1" w:themeTint="F2"/>
          <w:sz w:val="20"/>
          <w:szCs w:val="20"/>
          <w:lang w:eastAsia="en-GB"/>
        </w:rPr>
      </w:pPr>
      <w:r>
        <w:rPr>
          <w:rFonts w:ascii="Arial" w:eastAsia="Times New Roman" w:hAnsi="Arial" w:cs="Arial"/>
          <w:color w:val="0D0D0D" w:themeColor="text1" w:themeTint="F2"/>
          <w:sz w:val="20"/>
          <w:szCs w:val="20"/>
          <w:lang w:eastAsia="en-GB"/>
        </w:rPr>
        <w:t>The third bullet point under 6.35 relating to health inequalities was added in May 2025, and is not relevant to this evaluation.</w:t>
      </w:r>
    </w:p>
    <w:p w14:paraId="73A1C86B" w14:textId="09B15A39" w:rsidR="009145BA" w:rsidRPr="00797FF7" w:rsidRDefault="00830578" w:rsidP="00A960A2">
      <w:pPr>
        <w:spacing w:before="120" w:after="240"/>
        <w:rPr>
          <w:rFonts w:ascii="Arial" w:eastAsia="Times New Roman" w:hAnsi="Arial" w:cs="Arial"/>
          <w:color w:val="0D0D0D" w:themeColor="text1" w:themeTint="F2"/>
          <w:sz w:val="20"/>
          <w:szCs w:val="20"/>
          <w:lang w:eastAsia="en-GB"/>
        </w:rPr>
      </w:pPr>
      <w:r w:rsidRPr="00830578">
        <w:rPr>
          <w:rFonts w:ascii="Arial" w:eastAsia="Times New Roman" w:hAnsi="Arial" w:cs="Arial"/>
          <w:color w:val="0D0D0D" w:themeColor="text1" w:themeTint="F2"/>
          <w:sz w:val="20"/>
          <w:szCs w:val="20"/>
          <w:lang w:eastAsia="en-GB"/>
        </w:rPr>
        <w:t xml:space="preserve">In order to reach a decision about whether to recommend a technology, the Committee has to consider both (1) the most plausible ICER for that technology; and (2) whether to depart from the usual threshold for a positive recommendation. I agree that a decision to recommend (or not recommend) a technology with a most plausible ICER above £20,000 should be taken following consideration of the factors listed in paragraph 6.3.5 of the Manual.  </w:t>
      </w:r>
    </w:p>
    <w:p w14:paraId="323EEA16" w14:textId="28247D90" w:rsidR="009145BA" w:rsidRPr="00797FF7" w:rsidRDefault="009145BA" w:rsidP="00A960A2">
      <w:pPr>
        <w:spacing w:before="120" w:after="240"/>
        <w:rPr>
          <w:rFonts w:ascii="Arial" w:eastAsia="Times New Roman" w:hAnsi="Arial" w:cs="Arial"/>
          <w:color w:val="0D0D0D" w:themeColor="text1" w:themeTint="F2"/>
          <w:sz w:val="20"/>
          <w:szCs w:val="20"/>
          <w:lang w:eastAsia="en-GB"/>
        </w:rPr>
      </w:pPr>
      <w:r w:rsidRPr="00797FF7">
        <w:rPr>
          <w:rFonts w:ascii="Arial" w:eastAsia="Times New Roman" w:hAnsi="Arial" w:cs="Arial"/>
          <w:color w:val="0D0D0D" w:themeColor="text1" w:themeTint="F2"/>
          <w:sz w:val="20"/>
          <w:szCs w:val="20"/>
          <w:lang w:eastAsia="en-GB"/>
        </w:rPr>
        <w:t>Additional context to the requirements of paragraph 6.3.5 is provided in the preceding paragraphs of the Manual, and in particular:</w:t>
      </w:r>
    </w:p>
    <w:p w14:paraId="499B9311" w14:textId="7B441A95" w:rsidR="009145BA" w:rsidRPr="00797FF7" w:rsidRDefault="009145BA" w:rsidP="009145BA">
      <w:pPr>
        <w:pStyle w:val="ListParagraph"/>
        <w:numPr>
          <w:ilvl w:val="0"/>
          <w:numId w:val="12"/>
        </w:numPr>
        <w:spacing w:before="120" w:after="240"/>
        <w:rPr>
          <w:rFonts w:cs="Arial"/>
          <w:color w:val="0D0D0D" w:themeColor="text1" w:themeTint="F2"/>
          <w:lang w:eastAsia="en-GB"/>
        </w:rPr>
      </w:pPr>
      <w:r w:rsidRPr="00797FF7">
        <w:rPr>
          <w:rFonts w:cs="Arial"/>
          <w:color w:val="0D0D0D" w:themeColor="text1" w:themeTint="F2"/>
          <w:lang w:eastAsia="en-GB"/>
        </w:rPr>
        <w:t>6.2.26 – which explains that decisions about a new technology must consider implications for healthcare programmes for other patient groups that may be displaced by the adoption of the new technology; the opportunity cost, including those programme or technologies not evaluated by NICE;</w:t>
      </w:r>
      <w:r w:rsidRPr="00797FF7">
        <w:rPr>
          <w:rFonts w:cs="Arial"/>
          <w:color w:val="0D0D0D" w:themeColor="text1" w:themeTint="F2"/>
          <w:lang w:eastAsia="en-GB"/>
        </w:rPr>
        <w:br/>
      </w:r>
    </w:p>
    <w:p w14:paraId="6FABF456" w14:textId="7EBCBE63" w:rsidR="009145BA" w:rsidRPr="00797FF7" w:rsidRDefault="009145BA" w:rsidP="009145BA">
      <w:pPr>
        <w:pStyle w:val="ListParagraph"/>
        <w:numPr>
          <w:ilvl w:val="0"/>
          <w:numId w:val="12"/>
        </w:numPr>
        <w:spacing w:before="120" w:after="240"/>
        <w:rPr>
          <w:rFonts w:cs="Arial"/>
          <w:color w:val="0D0D0D" w:themeColor="text1" w:themeTint="F2"/>
          <w:lang w:eastAsia="en-GB"/>
        </w:rPr>
      </w:pPr>
      <w:r w:rsidRPr="00797FF7">
        <w:rPr>
          <w:rFonts w:cs="Arial"/>
          <w:color w:val="0D0D0D" w:themeColor="text1" w:themeTint="F2"/>
          <w:lang w:eastAsia="en-GB"/>
        </w:rPr>
        <w:lastRenderedPageBreak/>
        <w:t>6.2.34 – which explains that decisions about the acceptability of a technology as an effective use of NHS resources will specifically take account of the degree of certainty around the value for money, and that in particular the committee will normally be more cautious about recommending a technology if they are less certain about the evidence presented;</w:t>
      </w:r>
      <w:r w:rsidRPr="00797FF7">
        <w:rPr>
          <w:rFonts w:cs="Arial"/>
          <w:color w:val="0D0D0D" w:themeColor="text1" w:themeTint="F2"/>
          <w:lang w:eastAsia="en-GB"/>
        </w:rPr>
        <w:br/>
      </w:r>
    </w:p>
    <w:p w14:paraId="1E9CC1D9" w14:textId="77777777" w:rsidR="009145BA" w:rsidRPr="00797FF7" w:rsidRDefault="009145BA" w:rsidP="009145BA">
      <w:pPr>
        <w:pStyle w:val="ListParagraph"/>
        <w:numPr>
          <w:ilvl w:val="0"/>
          <w:numId w:val="12"/>
        </w:numPr>
        <w:spacing w:before="120" w:after="240"/>
        <w:rPr>
          <w:rFonts w:cs="Arial"/>
          <w:color w:val="0D0D0D" w:themeColor="text1" w:themeTint="F2"/>
          <w:lang w:eastAsia="en-GB"/>
        </w:rPr>
      </w:pPr>
      <w:r w:rsidRPr="00797FF7">
        <w:rPr>
          <w:rFonts w:cs="Arial"/>
          <w:color w:val="0D0D0D" w:themeColor="text1" w:themeTint="F2"/>
          <w:lang w:eastAsia="en-GB"/>
        </w:rPr>
        <w:t xml:space="preserve">6.3.1 – which explains that </w:t>
      </w:r>
      <w:r w:rsidRPr="00797FF7">
        <w:rPr>
          <w:rFonts w:cs="Arial"/>
          <w:color w:val="0D0D0D" w:themeColor="text1" w:themeTint="F2"/>
          <w:lang w:eastAsia="en-GB"/>
        </w:rPr>
        <w:br/>
      </w:r>
    </w:p>
    <w:p w14:paraId="795A6C9E" w14:textId="5CE6D596" w:rsidR="009145BA" w:rsidRPr="00797FF7" w:rsidRDefault="009145BA" w:rsidP="009145BA">
      <w:pPr>
        <w:pStyle w:val="ListParagraph"/>
        <w:spacing w:before="120" w:after="240"/>
        <w:ind w:left="1440"/>
        <w:rPr>
          <w:rFonts w:cs="Arial"/>
          <w:color w:val="0D0D0D" w:themeColor="text1" w:themeTint="F2"/>
          <w:lang w:eastAsia="en-GB"/>
        </w:rPr>
      </w:pPr>
      <w:r w:rsidRPr="00797FF7">
        <w:rPr>
          <w:rFonts w:cs="Arial"/>
          <w:i/>
          <w:iCs/>
          <w:color w:val="0D0D0D" w:themeColor="text1" w:themeTint="F2"/>
          <w:lang w:eastAsia="en-GB"/>
        </w:rPr>
        <w:t xml:space="preserve">The committee does not use a precise maximum acceptable ICER above which a technology would automatically be defined as not cost effective or below which it would. Given the fixed budget of the NHS, the appropriate maximum acceptable ICER to be considered is that of the opportunity cost of programmes displaced by new, more costly technologies … NICE considers technologies in relation to this range of maximum acceptable ICERs, </w:t>
      </w:r>
      <w:r w:rsidRPr="00797FF7">
        <w:rPr>
          <w:rFonts w:cs="Arial"/>
          <w:b/>
          <w:bCs/>
          <w:i/>
          <w:iCs/>
          <w:color w:val="0D0D0D" w:themeColor="text1" w:themeTint="F2"/>
          <w:lang w:eastAsia="en-GB"/>
        </w:rPr>
        <w:t>so that the influence of other factors on the decision to recommend a technology is greater when the ICER is closer to the top of the range</w:t>
      </w:r>
      <w:r w:rsidRPr="00797FF7">
        <w:rPr>
          <w:rFonts w:cs="Arial"/>
          <w:i/>
          <w:iCs/>
          <w:color w:val="0D0D0D" w:themeColor="text1" w:themeTint="F2"/>
          <w:lang w:eastAsia="en-GB"/>
        </w:rPr>
        <w:t>."</w:t>
      </w:r>
    </w:p>
    <w:p w14:paraId="04B1B435" w14:textId="54FD9006" w:rsidR="009145BA" w:rsidRPr="00797FF7" w:rsidRDefault="009145BA" w:rsidP="009145BA">
      <w:pPr>
        <w:spacing w:before="120" w:after="240"/>
        <w:rPr>
          <w:rFonts w:ascii="Arial" w:eastAsia="Times New Roman" w:hAnsi="Arial" w:cs="Arial"/>
          <w:color w:val="0D0D0D" w:themeColor="text1" w:themeTint="F2"/>
          <w:sz w:val="20"/>
          <w:szCs w:val="20"/>
          <w:lang w:eastAsia="en-GB"/>
        </w:rPr>
      </w:pPr>
      <w:r w:rsidRPr="00797FF7">
        <w:rPr>
          <w:rFonts w:ascii="Arial" w:eastAsia="Times New Roman" w:hAnsi="Arial" w:cs="Arial"/>
          <w:color w:val="0D0D0D" w:themeColor="text1" w:themeTint="F2"/>
          <w:sz w:val="20"/>
          <w:szCs w:val="20"/>
          <w:lang w:eastAsia="en-GB"/>
        </w:rPr>
        <w:t xml:space="preserve">Accordingly, in my view the Manual is clear that the higher the ICER </w:t>
      </w:r>
      <w:r w:rsidRPr="00797FF7">
        <w:rPr>
          <w:rFonts w:ascii="Arial" w:eastAsia="Times New Roman" w:hAnsi="Arial" w:cs="Arial"/>
          <w:color w:val="0D0D0D" w:themeColor="text1" w:themeTint="F2"/>
          <w:sz w:val="20"/>
          <w:szCs w:val="20"/>
          <w:u w:val="single"/>
          <w:lang w:eastAsia="en-GB"/>
        </w:rPr>
        <w:t>under consideration for acceptance</w:t>
      </w:r>
      <w:r w:rsidRPr="00797FF7">
        <w:rPr>
          <w:rFonts w:ascii="Arial" w:eastAsia="Times New Roman" w:hAnsi="Arial" w:cs="Arial"/>
          <w:color w:val="0D0D0D" w:themeColor="text1" w:themeTint="F2"/>
          <w:sz w:val="20"/>
          <w:szCs w:val="20"/>
          <w:lang w:eastAsia="en-GB"/>
        </w:rPr>
        <w:t xml:space="preserve"> is in the range, the greater role the factors at section 6.3.4 to 6.39 will play.  </w:t>
      </w:r>
    </w:p>
    <w:p w14:paraId="7C4C379E" w14:textId="395EE11A" w:rsidR="00814800" w:rsidRDefault="00875374" w:rsidP="00A960A2">
      <w:pPr>
        <w:spacing w:before="120" w:after="240"/>
        <w:rPr>
          <w:rFonts w:ascii="Arial" w:eastAsia="Times New Roman" w:hAnsi="Arial" w:cs="Arial"/>
          <w:color w:val="0D0D0D" w:themeColor="text1" w:themeTint="F2"/>
          <w:sz w:val="20"/>
          <w:szCs w:val="20"/>
          <w:lang w:eastAsia="en-GB"/>
        </w:rPr>
      </w:pPr>
      <w:r w:rsidRPr="00797FF7">
        <w:rPr>
          <w:rFonts w:ascii="Arial" w:eastAsia="Times New Roman" w:hAnsi="Arial" w:cs="Arial"/>
          <w:color w:val="0D0D0D" w:themeColor="text1" w:themeTint="F2"/>
          <w:sz w:val="20"/>
          <w:szCs w:val="20"/>
          <w:lang w:eastAsia="en-GB"/>
        </w:rPr>
        <w:t xml:space="preserve">I note that </w:t>
      </w:r>
      <w:r w:rsidR="00A02F6E">
        <w:rPr>
          <w:rFonts w:ascii="Arial" w:eastAsia="Times New Roman" w:hAnsi="Arial" w:cs="Arial"/>
          <w:color w:val="0D0D0D" w:themeColor="text1" w:themeTint="F2"/>
          <w:sz w:val="20"/>
          <w:szCs w:val="20"/>
          <w:lang w:eastAsia="en-GB"/>
        </w:rPr>
        <w:t xml:space="preserve">the Committee has expressly recorded in the FDG how </w:t>
      </w:r>
      <w:r w:rsidRPr="00797FF7">
        <w:rPr>
          <w:rFonts w:ascii="Arial" w:eastAsia="Times New Roman" w:hAnsi="Arial" w:cs="Arial"/>
          <w:color w:val="0D0D0D" w:themeColor="text1" w:themeTint="F2"/>
          <w:sz w:val="20"/>
          <w:szCs w:val="20"/>
          <w:lang w:eastAsia="en-GB"/>
        </w:rPr>
        <w:t>u</w:t>
      </w:r>
      <w:r w:rsidR="00830578" w:rsidRPr="00797FF7">
        <w:rPr>
          <w:rFonts w:ascii="Arial" w:eastAsia="Times New Roman" w:hAnsi="Arial" w:cs="Arial"/>
          <w:color w:val="0D0D0D" w:themeColor="text1" w:themeTint="F2"/>
          <w:sz w:val="20"/>
          <w:szCs w:val="20"/>
          <w:lang w:eastAsia="en-GB"/>
        </w:rPr>
        <w:t xml:space="preserve">ncertainty and uncaptured benefits </w:t>
      </w:r>
      <w:r w:rsidR="00830578" w:rsidRPr="00830578">
        <w:rPr>
          <w:rFonts w:ascii="Arial" w:eastAsia="Times New Roman" w:hAnsi="Arial" w:cs="Arial"/>
          <w:color w:val="0D0D0D" w:themeColor="text1" w:themeTint="F2"/>
          <w:sz w:val="20"/>
          <w:szCs w:val="20"/>
          <w:lang w:eastAsia="en-GB"/>
        </w:rPr>
        <w:t>have been</w:t>
      </w:r>
      <w:r w:rsidR="00814800">
        <w:rPr>
          <w:rFonts w:ascii="Arial" w:eastAsia="Times New Roman" w:hAnsi="Arial" w:cs="Arial"/>
          <w:color w:val="0D0D0D" w:themeColor="text1" w:themeTint="F2"/>
          <w:sz w:val="20"/>
          <w:szCs w:val="20"/>
          <w:lang w:eastAsia="en-GB"/>
        </w:rPr>
        <w:t xml:space="preserve"> </w:t>
      </w:r>
      <w:r w:rsidR="00A02F6E">
        <w:rPr>
          <w:rFonts w:ascii="Arial" w:eastAsia="Times New Roman" w:hAnsi="Arial" w:cs="Arial"/>
          <w:color w:val="0D0D0D" w:themeColor="text1" w:themeTint="F2"/>
          <w:sz w:val="20"/>
          <w:szCs w:val="20"/>
          <w:lang w:eastAsia="en-GB"/>
        </w:rPr>
        <w:t>considered</w:t>
      </w:r>
      <w:r w:rsidR="00830578" w:rsidRPr="00830578">
        <w:rPr>
          <w:rFonts w:ascii="Arial" w:eastAsia="Times New Roman" w:hAnsi="Arial" w:cs="Arial"/>
          <w:color w:val="0D0D0D" w:themeColor="text1" w:themeTint="F2"/>
          <w:sz w:val="20"/>
          <w:szCs w:val="20"/>
          <w:lang w:eastAsia="en-GB"/>
        </w:rPr>
        <w:t xml:space="preserve"> in this evaluation</w:t>
      </w:r>
      <w:r w:rsidR="00830578" w:rsidRPr="00797FF7">
        <w:rPr>
          <w:rFonts w:ascii="Arial" w:eastAsia="Times New Roman" w:hAnsi="Arial" w:cs="Arial"/>
          <w:color w:val="0D0D0D" w:themeColor="text1" w:themeTint="F2"/>
          <w:sz w:val="20"/>
          <w:szCs w:val="20"/>
          <w:lang w:eastAsia="en-GB"/>
        </w:rPr>
        <w:t xml:space="preserve"> and </w:t>
      </w:r>
      <w:r w:rsidR="00A02F6E">
        <w:rPr>
          <w:rFonts w:ascii="Arial" w:eastAsia="Times New Roman" w:hAnsi="Arial" w:cs="Arial"/>
          <w:color w:val="0D0D0D" w:themeColor="text1" w:themeTint="F2"/>
          <w:sz w:val="20"/>
          <w:szCs w:val="20"/>
          <w:lang w:eastAsia="en-GB"/>
        </w:rPr>
        <w:t xml:space="preserve">consider that they </w:t>
      </w:r>
      <w:r w:rsidR="00830578" w:rsidRPr="00830578">
        <w:rPr>
          <w:rFonts w:ascii="Arial" w:eastAsia="Times New Roman" w:hAnsi="Arial" w:cs="Arial"/>
          <w:color w:val="0D0D0D" w:themeColor="text1" w:themeTint="F2"/>
          <w:sz w:val="20"/>
          <w:szCs w:val="20"/>
          <w:lang w:eastAsia="en-GB"/>
        </w:rPr>
        <w:t xml:space="preserve">have therefore been taken into account in the context of 'the acceptability of the technology as an effective use of NHS resources'.  </w:t>
      </w:r>
      <w:r w:rsidR="00814800">
        <w:rPr>
          <w:rFonts w:ascii="Arial" w:eastAsia="Times New Roman" w:hAnsi="Arial" w:cs="Arial"/>
          <w:color w:val="0D0D0D" w:themeColor="text1" w:themeTint="F2"/>
          <w:sz w:val="20"/>
          <w:szCs w:val="20"/>
          <w:lang w:eastAsia="en-GB"/>
        </w:rPr>
        <w:t>I have accepted in appeal point 1(a).1 that the Appeal Panel should consider the fairness of the Committee's conclusions as to uncertainty in this regard.  I note that the Committee expressly recorded its conclusion in paragraph 3.18 of the FD</w:t>
      </w:r>
      <w:r w:rsidR="00A02F6E">
        <w:rPr>
          <w:rFonts w:ascii="Arial" w:eastAsia="Times New Roman" w:hAnsi="Arial" w:cs="Arial"/>
          <w:color w:val="0D0D0D" w:themeColor="text1" w:themeTint="F2"/>
          <w:sz w:val="20"/>
          <w:szCs w:val="20"/>
          <w:lang w:eastAsia="en-GB"/>
        </w:rPr>
        <w:t>G</w:t>
      </w:r>
      <w:r w:rsidR="00814800">
        <w:rPr>
          <w:rFonts w:ascii="Arial" w:eastAsia="Times New Roman" w:hAnsi="Arial" w:cs="Arial"/>
          <w:color w:val="0D0D0D" w:themeColor="text1" w:themeTint="F2"/>
          <w:sz w:val="20"/>
          <w:szCs w:val="20"/>
          <w:lang w:eastAsia="en-GB"/>
        </w:rPr>
        <w:t xml:space="preserve"> that the uncaptured benefits made no difference to the acceptable ICER. </w:t>
      </w:r>
    </w:p>
    <w:p w14:paraId="7CD4A496" w14:textId="5D2F57E8" w:rsidR="00830578" w:rsidRPr="00912512" w:rsidRDefault="00830578" w:rsidP="00A960A2">
      <w:pPr>
        <w:spacing w:before="120" w:after="240"/>
        <w:rPr>
          <w:rFonts w:ascii="Arial" w:eastAsia="Times New Roman" w:hAnsi="Arial" w:cs="Arial"/>
          <w:color w:val="0D0D0D" w:themeColor="text1" w:themeTint="F2"/>
          <w:sz w:val="20"/>
          <w:szCs w:val="20"/>
          <w:lang w:eastAsia="en-GB"/>
        </w:rPr>
      </w:pPr>
      <w:r w:rsidRPr="00830578">
        <w:rPr>
          <w:rFonts w:ascii="Arial" w:eastAsia="Times New Roman" w:hAnsi="Arial" w:cs="Arial"/>
          <w:color w:val="0D0D0D" w:themeColor="text1" w:themeTint="F2"/>
          <w:sz w:val="20"/>
          <w:szCs w:val="20"/>
          <w:lang w:eastAsia="en-GB"/>
        </w:rPr>
        <w:t>I do not accept that there is arguably a separate or freestanding obligation on the Committee to expressly record its consideration of those factors in reaching a decision not to depart from the usual threshold.</w:t>
      </w:r>
      <w:bookmarkEnd w:id="1"/>
    </w:p>
    <w:p w14:paraId="10D5F18E" w14:textId="77777777" w:rsidR="00A25FDA" w:rsidRPr="00912512" w:rsidRDefault="00A25FDA" w:rsidP="00A25FDA">
      <w:pPr>
        <w:spacing w:before="240" w:after="240"/>
        <w:jc w:val="both"/>
        <w:rPr>
          <w:rFonts w:ascii="Arial" w:hAnsi="Arial" w:cs="Arial"/>
          <w:b/>
          <w:sz w:val="20"/>
          <w:szCs w:val="20"/>
          <w:u w:val="single"/>
        </w:rPr>
      </w:pPr>
      <w:r w:rsidRPr="00912512">
        <w:rPr>
          <w:rFonts w:ascii="Arial" w:hAnsi="Arial" w:cs="Arial"/>
          <w:b/>
          <w:sz w:val="20"/>
          <w:szCs w:val="20"/>
          <w:u w:val="single"/>
        </w:rPr>
        <w:t xml:space="preserve">Appeal point 1(a).3: </w:t>
      </w:r>
      <w:r w:rsidRPr="00912512">
        <w:rPr>
          <w:rFonts w:ascii="Arial" w:hAnsi="Arial" w:cs="Arial"/>
          <w:b/>
          <w:bCs/>
          <w:sz w:val="20"/>
          <w:szCs w:val="20"/>
          <w:u w:val="single"/>
        </w:rPr>
        <w:t xml:space="preserve">The Committee has failed to consider reduction in health inequalities in breach of the requirements of the Manual </w:t>
      </w:r>
    </w:p>
    <w:p w14:paraId="5780BF44" w14:textId="104351DE" w:rsidR="007E1E43" w:rsidRDefault="007E1E43" w:rsidP="007E1E43">
      <w:pPr>
        <w:spacing w:before="120" w:after="240"/>
        <w:rPr>
          <w:rFonts w:ascii="Arial" w:hAnsi="Arial" w:cs="Arial"/>
          <w:color w:val="0D0D0D" w:themeColor="text1" w:themeTint="F2"/>
          <w:sz w:val="20"/>
          <w:szCs w:val="20"/>
          <w:lang w:eastAsia="en-GB"/>
        </w:rPr>
      </w:pPr>
      <w:r w:rsidRPr="00912512">
        <w:rPr>
          <w:rFonts w:ascii="Arial" w:eastAsia="Times New Roman" w:hAnsi="Arial" w:cs="Arial"/>
          <w:color w:val="0D0D0D" w:themeColor="text1" w:themeTint="F2"/>
          <w:sz w:val="20"/>
          <w:szCs w:val="20"/>
          <w:lang w:eastAsia="en-GB"/>
        </w:rPr>
        <w:t xml:space="preserve">Having considered the additional arguments made in your letter of </w:t>
      </w:r>
      <w:r w:rsidRPr="00912512">
        <w:rPr>
          <w:rFonts w:ascii="Arial" w:hAnsi="Arial" w:cs="Arial"/>
          <w:color w:val="0D0D0D" w:themeColor="text1" w:themeTint="F2"/>
          <w:sz w:val="20"/>
          <w:szCs w:val="20"/>
          <w:lang w:eastAsia="en-GB"/>
        </w:rPr>
        <w:t>4 August 2025</w:t>
      </w:r>
      <w:r w:rsidRPr="00912512">
        <w:rPr>
          <w:rFonts w:ascii="Arial" w:eastAsia="Times New Roman" w:hAnsi="Arial" w:cs="Arial"/>
          <w:color w:val="0D0D0D" w:themeColor="text1" w:themeTint="F2"/>
          <w:sz w:val="20"/>
          <w:szCs w:val="20"/>
          <w:lang w:eastAsia="en-GB"/>
        </w:rPr>
        <w:t xml:space="preserve"> I </w:t>
      </w:r>
      <w:r w:rsidRPr="00912512">
        <w:rPr>
          <w:rFonts w:ascii="Arial" w:hAnsi="Arial" w:cs="Arial"/>
          <w:color w:val="0D0D0D" w:themeColor="text1" w:themeTint="F2"/>
          <w:sz w:val="20"/>
          <w:szCs w:val="20"/>
          <w:lang w:eastAsia="en-GB"/>
        </w:rPr>
        <w:t>remain of the view that this appeal point should not proceed to an oral hearing.</w:t>
      </w:r>
    </w:p>
    <w:p w14:paraId="38D6EFC6" w14:textId="2D86AA73" w:rsidR="00457AAA" w:rsidRPr="00C90010" w:rsidRDefault="00C90010" w:rsidP="00875374">
      <w:pPr>
        <w:spacing w:before="120" w:after="240"/>
        <w:rPr>
          <w:rFonts w:cs="Arial"/>
          <w:i/>
          <w:iCs/>
          <w:color w:val="0D0D0D" w:themeColor="text1" w:themeTint="F2"/>
          <w:lang w:eastAsia="en-GB"/>
        </w:rPr>
      </w:pPr>
      <w:r w:rsidRPr="00912512">
        <w:rPr>
          <w:rFonts w:ascii="Arial" w:hAnsi="Arial" w:cs="Arial"/>
          <w:color w:val="0D0D0D" w:themeColor="text1" w:themeTint="F2"/>
          <w:sz w:val="20"/>
          <w:szCs w:val="20"/>
          <w:lang w:eastAsia="en-GB"/>
        </w:rPr>
        <w:t xml:space="preserve">It is my view that the Committee has demonstrated consideration of the potential health inequalities in the ACM slides and </w:t>
      </w:r>
      <w:r w:rsidR="00875374">
        <w:rPr>
          <w:rFonts w:ascii="Arial" w:hAnsi="Arial" w:cs="Arial"/>
          <w:color w:val="0D0D0D" w:themeColor="text1" w:themeTint="F2"/>
          <w:sz w:val="20"/>
          <w:szCs w:val="20"/>
          <w:lang w:eastAsia="en-GB"/>
        </w:rPr>
        <w:t>I do not consider there is a procedural require</w:t>
      </w:r>
      <w:r w:rsidRPr="00912512">
        <w:rPr>
          <w:rFonts w:ascii="Arial" w:hAnsi="Arial" w:cs="Arial"/>
          <w:color w:val="0D0D0D" w:themeColor="text1" w:themeTint="F2"/>
          <w:sz w:val="20"/>
          <w:szCs w:val="20"/>
          <w:lang w:eastAsia="en-GB"/>
        </w:rPr>
        <w:t>ment for this to be further explained in the FDG</w:t>
      </w:r>
      <w:r w:rsidR="00875374">
        <w:rPr>
          <w:rFonts w:ascii="Arial" w:hAnsi="Arial" w:cs="Arial"/>
          <w:color w:val="0D0D0D" w:themeColor="text1" w:themeTint="F2"/>
          <w:sz w:val="20"/>
          <w:szCs w:val="20"/>
          <w:lang w:eastAsia="en-GB"/>
        </w:rPr>
        <w:t xml:space="preserve"> specifically</w:t>
      </w:r>
      <w:r w:rsidRPr="00912512">
        <w:rPr>
          <w:rFonts w:ascii="Arial" w:hAnsi="Arial" w:cs="Arial"/>
          <w:color w:val="0D0D0D" w:themeColor="text1" w:themeTint="F2"/>
          <w:sz w:val="20"/>
          <w:szCs w:val="20"/>
          <w:lang w:eastAsia="en-GB"/>
        </w:rPr>
        <w:t>.</w:t>
      </w:r>
      <w:r>
        <w:rPr>
          <w:rFonts w:ascii="Arial" w:hAnsi="Arial" w:cs="Arial"/>
          <w:color w:val="0D0D0D" w:themeColor="text1" w:themeTint="F2"/>
          <w:sz w:val="20"/>
          <w:szCs w:val="20"/>
          <w:lang w:eastAsia="en-GB"/>
        </w:rPr>
        <w:t xml:space="preserve">  </w:t>
      </w:r>
    </w:p>
    <w:p w14:paraId="0EEB6A12" w14:textId="7F726F96" w:rsidR="008B6D8F" w:rsidRPr="00912512" w:rsidRDefault="008B6D8F" w:rsidP="007E1E43">
      <w:pPr>
        <w:spacing w:before="120" w:after="240"/>
        <w:rPr>
          <w:rFonts w:ascii="Arial" w:hAnsi="Arial" w:cs="Arial"/>
          <w:color w:val="0D0D0D" w:themeColor="text1" w:themeTint="F2"/>
          <w:sz w:val="20"/>
          <w:szCs w:val="20"/>
          <w:lang w:eastAsia="en-GB"/>
        </w:rPr>
      </w:pPr>
      <w:r w:rsidRPr="00814800">
        <w:rPr>
          <w:rFonts w:ascii="Arial" w:hAnsi="Arial" w:cs="Arial"/>
          <w:color w:val="0D0D0D" w:themeColor="text1" w:themeTint="F2"/>
          <w:sz w:val="20"/>
          <w:szCs w:val="20"/>
          <w:lang w:eastAsia="en-GB"/>
        </w:rPr>
        <w:t>I also note your reference to paragraphs 6.2.36-6.2.39 of the Manual.  Th</w:t>
      </w:r>
      <w:r w:rsidR="00814800" w:rsidRPr="00814800">
        <w:rPr>
          <w:rFonts w:ascii="Arial" w:hAnsi="Arial" w:cs="Arial"/>
          <w:color w:val="0D0D0D" w:themeColor="text1" w:themeTint="F2"/>
          <w:sz w:val="20"/>
          <w:szCs w:val="20"/>
          <w:lang w:eastAsia="en-GB"/>
        </w:rPr>
        <w:t>ese paragraphs were added to</w:t>
      </w:r>
      <w:r w:rsidRPr="00814800">
        <w:rPr>
          <w:rFonts w:ascii="Arial" w:hAnsi="Arial" w:cs="Arial"/>
          <w:color w:val="0D0D0D" w:themeColor="text1" w:themeTint="F2"/>
          <w:sz w:val="20"/>
          <w:szCs w:val="20"/>
          <w:lang w:eastAsia="en-GB"/>
        </w:rPr>
        <w:t xml:space="preserve"> the </w:t>
      </w:r>
      <w:r w:rsidR="00875374" w:rsidRPr="00814800">
        <w:rPr>
          <w:rFonts w:ascii="Arial" w:hAnsi="Arial" w:cs="Arial"/>
          <w:color w:val="0D0D0D" w:themeColor="text1" w:themeTint="F2"/>
          <w:sz w:val="20"/>
          <w:szCs w:val="20"/>
          <w:lang w:eastAsia="en-GB"/>
        </w:rPr>
        <w:t>M</w:t>
      </w:r>
      <w:r w:rsidRPr="00814800">
        <w:rPr>
          <w:rFonts w:ascii="Arial" w:hAnsi="Arial" w:cs="Arial"/>
          <w:color w:val="0D0D0D" w:themeColor="text1" w:themeTint="F2"/>
          <w:sz w:val="20"/>
          <w:szCs w:val="20"/>
          <w:lang w:eastAsia="en-GB"/>
        </w:rPr>
        <w:t xml:space="preserve">anual </w:t>
      </w:r>
      <w:r w:rsidR="00814800" w:rsidRPr="00814800">
        <w:rPr>
          <w:rFonts w:ascii="Arial" w:hAnsi="Arial" w:cs="Arial"/>
          <w:color w:val="0D0D0D" w:themeColor="text1" w:themeTint="F2"/>
          <w:sz w:val="20"/>
          <w:szCs w:val="20"/>
          <w:lang w:eastAsia="en-GB"/>
        </w:rPr>
        <w:t>in</w:t>
      </w:r>
      <w:r w:rsidRPr="00814800">
        <w:rPr>
          <w:rFonts w:ascii="Arial" w:hAnsi="Arial" w:cs="Arial"/>
          <w:color w:val="0D0D0D" w:themeColor="text1" w:themeTint="F2"/>
          <w:sz w:val="20"/>
          <w:szCs w:val="20"/>
          <w:lang w:eastAsia="en-GB"/>
        </w:rPr>
        <w:t xml:space="preserve"> May 2025 and </w:t>
      </w:r>
      <w:r w:rsidR="00814800" w:rsidRPr="00814800">
        <w:rPr>
          <w:rFonts w:ascii="Arial" w:hAnsi="Arial" w:cs="Arial"/>
          <w:color w:val="0D0D0D" w:themeColor="text1" w:themeTint="F2"/>
          <w:sz w:val="20"/>
          <w:szCs w:val="20"/>
          <w:lang w:eastAsia="en-GB"/>
        </w:rPr>
        <w:t xml:space="preserve">are not </w:t>
      </w:r>
      <w:r w:rsidR="00814800">
        <w:rPr>
          <w:rFonts w:ascii="Arial" w:hAnsi="Arial" w:cs="Arial"/>
          <w:color w:val="0D0D0D" w:themeColor="text1" w:themeTint="F2"/>
          <w:sz w:val="20"/>
          <w:szCs w:val="20"/>
          <w:lang w:eastAsia="en-GB"/>
        </w:rPr>
        <w:t xml:space="preserve">present in the Manual governing this </w:t>
      </w:r>
      <w:r w:rsidR="00814800" w:rsidRPr="00814800">
        <w:rPr>
          <w:rFonts w:ascii="Arial" w:hAnsi="Arial" w:cs="Arial"/>
          <w:color w:val="0D0D0D" w:themeColor="text1" w:themeTint="F2"/>
          <w:sz w:val="20"/>
          <w:szCs w:val="20"/>
          <w:lang w:eastAsia="en-GB"/>
        </w:rPr>
        <w:t>evaluation</w:t>
      </w:r>
      <w:r w:rsidRPr="00814800">
        <w:rPr>
          <w:rFonts w:ascii="Arial" w:hAnsi="Arial" w:cs="Arial"/>
          <w:color w:val="0D0D0D" w:themeColor="text1" w:themeTint="F2"/>
          <w:sz w:val="20"/>
          <w:szCs w:val="20"/>
          <w:lang w:eastAsia="en-GB"/>
        </w:rPr>
        <w:t>.</w:t>
      </w:r>
    </w:p>
    <w:p w14:paraId="6188B2C8" w14:textId="607A2CD8" w:rsidR="00875374" w:rsidRDefault="00875374" w:rsidP="000D54BB">
      <w:pPr>
        <w:spacing w:before="240" w:after="240"/>
        <w:jc w:val="both"/>
        <w:rPr>
          <w:rFonts w:ascii="Arial" w:hAnsi="Arial" w:cs="Arial"/>
          <w:bCs/>
          <w:sz w:val="20"/>
          <w:szCs w:val="20"/>
        </w:rPr>
      </w:pPr>
      <w:r>
        <w:rPr>
          <w:rFonts w:ascii="Arial" w:hAnsi="Arial" w:cs="Arial"/>
          <w:b/>
          <w:sz w:val="20"/>
          <w:szCs w:val="20"/>
          <w:u w:val="single"/>
        </w:rPr>
        <w:t>Appeal point 1(a).4 Failure to act fairly by not complying with the Public Sector Equality Duty under section 49 o the Equality Act 2010</w:t>
      </w:r>
    </w:p>
    <w:p w14:paraId="77302D04" w14:textId="2DFB328B" w:rsidR="00875374" w:rsidRPr="00875374" w:rsidRDefault="00875374" w:rsidP="000D54BB">
      <w:pPr>
        <w:spacing w:before="240" w:after="240"/>
        <w:jc w:val="both"/>
        <w:rPr>
          <w:rFonts w:ascii="Arial" w:hAnsi="Arial" w:cs="Arial"/>
          <w:bCs/>
          <w:sz w:val="20"/>
          <w:szCs w:val="20"/>
        </w:rPr>
      </w:pPr>
      <w:r>
        <w:rPr>
          <w:rFonts w:ascii="Arial" w:hAnsi="Arial" w:cs="Arial"/>
          <w:bCs/>
          <w:sz w:val="20"/>
          <w:szCs w:val="20"/>
        </w:rPr>
        <w:t>I confirm my decision to refer this appeal point to the Appeal Point under ground 1(b)</w:t>
      </w:r>
      <w:r w:rsidR="00B77B13">
        <w:rPr>
          <w:rFonts w:ascii="Arial" w:hAnsi="Arial" w:cs="Arial"/>
          <w:bCs/>
          <w:sz w:val="20"/>
          <w:szCs w:val="20"/>
        </w:rPr>
        <w:t xml:space="preserve"> (and have renumbered it accordingly below)</w:t>
      </w:r>
      <w:r>
        <w:rPr>
          <w:rFonts w:ascii="Arial" w:hAnsi="Arial" w:cs="Arial"/>
          <w:bCs/>
          <w:sz w:val="20"/>
          <w:szCs w:val="20"/>
        </w:rPr>
        <w:t xml:space="preserve">. </w:t>
      </w:r>
    </w:p>
    <w:p w14:paraId="37C9C9B5" w14:textId="24F18BB0" w:rsidR="000D54BB" w:rsidRPr="00912512" w:rsidRDefault="000D54BB" w:rsidP="000D54BB">
      <w:pPr>
        <w:spacing w:before="240" w:after="240"/>
        <w:jc w:val="both"/>
        <w:rPr>
          <w:rFonts w:ascii="Arial" w:hAnsi="Arial" w:cs="Arial"/>
          <w:b/>
          <w:sz w:val="20"/>
          <w:szCs w:val="20"/>
          <w:u w:val="single"/>
        </w:rPr>
      </w:pPr>
      <w:r w:rsidRPr="00912512">
        <w:rPr>
          <w:rFonts w:ascii="Arial" w:hAnsi="Arial" w:cs="Arial"/>
          <w:b/>
          <w:sz w:val="20"/>
          <w:szCs w:val="20"/>
          <w:u w:val="single"/>
        </w:rPr>
        <w:t xml:space="preserve">Appeal point 1(a).5: </w:t>
      </w:r>
      <w:r w:rsidRPr="00912512">
        <w:rPr>
          <w:rFonts w:ascii="Arial" w:hAnsi="Arial" w:cs="Arial"/>
          <w:b/>
          <w:bCs/>
          <w:sz w:val="20"/>
          <w:szCs w:val="20"/>
          <w:u w:val="single"/>
        </w:rPr>
        <w:t xml:space="preserve">The fact that the Committee altered its position in relation to a key issue immediately before ACM2 with no opportunity for consideration or consultation by AZ is not consistent with NICE’s procedures or standards of fairness </w:t>
      </w:r>
    </w:p>
    <w:p w14:paraId="2D8670B5" w14:textId="78901054" w:rsidR="00A960A2" w:rsidRPr="00912512" w:rsidRDefault="00A960A2" w:rsidP="00A960A2">
      <w:pPr>
        <w:spacing w:before="120" w:after="240"/>
        <w:jc w:val="both"/>
        <w:rPr>
          <w:rFonts w:ascii="Arial" w:eastAsia="Times New Roman" w:hAnsi="Arial" w:cs="Arial"/>
          <w:sz w:val="20"/>
          <w:szCs w:val="20"/>
        </w:rPr>
      </w:pPr>
      <w:r w:rsidRPr="00912512">
        <w:rPr>
          <w:rFonts w:ascii="Arial" w:eastAsia="Times New Roman" w:hAnsi="Arial" w:cs="Arial"/>
          <w:sz w:val="20"/>
          <w:szCs w:val="20"/>
        </w:rPr>
        <w:lastRenderedPageBreak/>
        <w:t xml:space="preserve">I confirm my decision to refer this appeal point to the Appeal Panel. </w:t>
      </w:r>
      <w:r w:rsidR="00735CAF" w:rsidRPr="00912512">
        <w:rPr>
          <w:rFonts w:ascii="Arial" w:eastAsia="Times New Roman" w:hAnsi="Arial" w:cs="Arial"/>
          <w:sz w:val="20"/>
          <w:szCs w:val="20"/>
        </w:rPr>
        <w:t>Your comments will be passed to the appeal panel for consideration at the oral hearing.</w:t>
      </w:r>
    </w:p>
    <w:p w14:paraId="2ADD9119" w14:textId="77777777" w:rsidR="000D54BB" w:rsidRPr="00912512" w:rsidRDefault="000D54BB" w:rsidP="000D54BB">
      <w:pPr>
        <w:spacing w:before="240" w:after="240"/>
        <w:jc w:val="both"/>
        <w:rPr>
          <w:rFonts w:ascii="Arial" w:hAnsi="Arial" w:cs="Arial"/>
          <w:b/>
          <w:sz w:val="20"/>
          <w:szCs w:val="20"/>
          <w:u w:val="single"/>
        </w:rPr>
      </w:pPr>
      <w:r w:rsidRPr="00912512">
        <w:rPr>
          <w:rFonts w:ascii="Arial" w:hAnsi="Arial" w:cs="Arial"/>
          <w:b/>
          <w:sz w:val="20"/>
          <w:szCs w:val="20"/>
          <w:u w:val="single"/>
        </w:rPr>
        <w:t xml:space="preserve">Appeal point 1(a).6: </w:t>
      </w:r>
      <w:r w:rsidRPr="00912512">
        <w:rPr>
          <w:rFonts w:ascii="Arial" w:hAnsi="Arial" w:cs="Arial"/>
          <w:b/>
          <w:bCs/>
          <w:sz w:val="20"/>
          <w:szCs w:val="20"/>
          <w:u w:val="single"/>
        </w:rPr>
        <w:t xml:space="preserve">The lack of any reasonable opportunity for commercial negotiation has prejudiced the conduct of this appraisal </w:t>
      </w:r>
    </w:p>
    <w:p w14:paraId="2EEFA3F3" w14:textId="77777777" w:rsidR="00A960A2" w:rsidRPr="00912512" w:rsidRDefault="00A960A2" w:rsidP="00A960A2">
      <w:pPr>
        <w:spacing w:before="120" w:after="240"/>
        <w:jc w:val="both"/>
        <w:rPr>
          <w:rFonts w:ascii="Arial" w:eastAsia="Times New Roman" w:hAnsi="Arial" w:cs="Arial"/>
          <w:sz w:val="20"/>
          <w:szCs w:val="20"/>
        </w:rPr>
      </w:pPr>
      <w:r w:rsidRPr="00912512">
        <w:rPr>
          <w:rFonts w:ascii="Arial" w:eastAsia="Times New Roman" w:hAnsi="Arial" w:cs="Arial"/>
          <w:sz w:val="20"/>
          <w:szCs w:val="20"/>
        </w:rPr>
        <w:t xml:space="preserve">I confirm my decision to refer this appeal point to the Appeal Panel. </w:t>
      </w:r>
    </w:p>
    <w:p w14:paraId="182127F7" w14:textId="7E788190" w:rsidR="00735CAF" w:rsidRPr="00912512" w:rsidRDefault="00735CAF" w:rsidP="00A960A2">
      <w:pPr>
        <w:spacing w:before="120" w:after="240"/>
        <w:jc w:val="both"/>
        <w:rPr>
          <w:rFonts w:ascii="Arial" w:eastAsia="Times New Roman" w:hAnsi="Arial" w:cs="Arial"/>
          <w:sz w:val="20"/>
          <w:szCs w:val="20"/>
        </w:rPr>
      </w:pPr>
      <w:r w:rsidRPr="00912512">
        <w:rPr>
          <w:rFonts w:ascii="Arial" w:eastAsia="Times New Roman" w:hAnsi="Arial" w:cs="Arial"/>
          <w:sz w:val="20"/>
          <w:szCs w:val="20"/>
        </w:rPr>
        <w:t xml:space="preserve">In reaching this view I have considered your additional comments. </w:t>
      </w:r>
      <w:r w:rsidR="005B27A8" w:rsidRPr="00912512">
        <w:rPr>
          <w:rFonts w:ascii="Arial" w:eastAsia="Times New Roman" w:hAnsi="Arial" w:cs="Arial"/>
          <w:sz w:val="20"/>
          <w:szCs w:val="20"/>
        </w:rPr>
        <w:t xml:space="preserve"> I acknowledge that there is a complex discount scheme in place and that </w:t>
      </w:r>
      <w:r w:rsidR="00C90010">
        <w:rPr>
          <w:rFonts w:ascii="Arial" w:eastAsia="Times New Roman" w:hAnsi="Arial" w:cs="Arial"/>
          <w:sz w:val="20"/>
          <w:szCs w:val="20"/>
        </w:rPr>
        <w:t>the C</w:t>
      </w:r>
      <w:r w:rsidR="005B27A8" w:rsidRPr="00912512">
        <w:rPr>
          <w:rFonts w:ascii="Arial" w:eastAsia="Times New Roman" w:hAnsi="Arial" w:cs="Arial"/>
          <w:sz w:val="20"/>
          <w:szCs w:val="20"/>
        </w:rPr>
        <w:t xml:space="preserve">ompany was willing to negotiate a commercial agreement.   I also note that the Committee is clear that there are uncertainties other than price.  </w:t>
      </w:r>
      <w:r w:rsidR="00B77B13">
        <w:rPr>
          <w:rFonts w:ascii="Arial" w:eastAsia="Times New Roman" w:hAnsi="Arial" w:cs="Arial"/>
          <w:sz w:val="20"/>
          <w:szCs w:val="20"/>
        </w:rPr>
        <w:t>I anticipate the Appeal Panel will wish to consider in particular whether NICE's position was unreasonable in light of paragraph 5.8.42 of the Manual, which provides that evaluation timetabling will not accommodate commercial access discussions for technologies where the company does not accept the committee's preferences and assumptions.</w:t>
      </w:r>
    </w:p>
    <w:p w14:paraId="2AADAF28" w14:textId="77777777" w:rsidR="005A7A7D" w:rsidRPr="00912512" w:rsidRDefault="005A7A7D" w:rsidP="005A7A7D">
      <w:pPr>
        <w:spacing w:before="120" w:after="240"/>
        <w:jc w:val="both"/>
        <w:rPr>
          <w:rFonts w:ascii="Arial" w:eastAsia="Times New Roman" w:hAnsi="Arial" w:cs="Arial"/>
          <w:sz w:val="20"/>
          <w:szCs w:val="20"/>
          <w:u w:val="single"/>
        </w:rPr>
      </w:pPr>
      <w:r w:rsidRPr="00912512">
        <w:rPr>
          <w:rFonts w:ascii="Arial" w:eastAsia="Times New Roman" w:hAnsi="Arial" w:cs="Arial"/>
          <w:sz w:val="20"/>
          <w:szCs w:val="20"/>
          <w:u w:val="single"/>
        </w:rPr>
        <w:t>Conclusion</w:t>
      </w:r>
    </w:p>
    <w:p w14:paraId="64256DC4" w14:textId="77777777" w:rsidR="005A7A7D" w:rsidRPr="00912512" w:rsidRDefault="005A7A7D" w:rsidP="005A7A7D">
      <w:pPr>
        <w:spacing w:before="120" w:after="240"/>
        <w:jc w:val="both"/>
        <w:rPr>
          <w:rFonts w:ascii="Arial" w:eastAsia="Times New Roman" w:hAnsi="Arial" w:cs="Arial"/>
          <w:sz w:val="20"/>
          <w:szCs w:val="20"/>
        </w:rPr>
      </w:pPr>
      <w:r w:rsidRPr="00912512">
        <w:rPr>
          <w:rFonts w:ascii="Arial" w:eastAsia="Times New Roman" w:hAnsi="Arial" w:cs="Arial"/>
          <w:sz w:val="20"/>
          <w:szCs w:val="20"/>
        </w:rPr>
        <w:t>Therefore the valid appeal points are:</w:t>
      </w:r>
    </w:p>
    <w:p w14:paraId="68D5DD59" w14:textId="146302DA" w:rsidR="000D54BB" w:rsidRPr="00912512" w:rsidRDefault="000D54BB" w:rsidP="000D54BB">
      <w:pPr>
        <w:pStyle w:val="ListParagraph"/>
        <w:numPr>
          <w:ilvl w:val="0"/>
          <w:numId w:val="10"/>
        </w:numPr>
        <w:spacing w:before="120" w:after="240"/>
        <w:jc w:val="both"/>
        <w:rPr>
          <w:rFonts w:cs="Arial"/>
          <w:bCs/>
        </w:rPr>
      </w:pPr>
      <w:r w:rsidRPr="00912512">
        <w:rPr>
          <w:rFonts w:cs="Arial"/>
          <w:bCs/>
        </w:rPr>
        <w:t>1(a).1: The Committee has concluded that the ICER threshold should be limited to £20,000 per QALY due to “uncertainties” in the data, but has failed to explain and/or take into account the limited impact of such uncertainties on the ICER</w:t>
      </w:r>
    </w:p>
    <w:p w14:paraId="255A602F" w14:textId="77777777" w:rsidR="000D54BB" w:rsidRPr="00912512" w:rsidRDefault="000D54BB" w:rsidP="000D54BB">
      <w:pPr>
        <w:pStyle w:val="ListParagraph"/>
        <w:spacing w:before="120" w:after="240"/>
        <w:jc w:val="both"/>
        <w:rPr>
          <w:rFonts w:cs="Arial"/>
          <w:bCs/>
        </w:rPr>
      </w:pPr>
    </w:p>
    <w:p w14:paraId="3D12E608" w14:textId="7CACA7E8" w:rsidR="000D54BB" w:rsidRPr="00912512" w:rsidRDefault="000D54BB" w:rsidP="000D54BB">
      <w:pPr>
        <w:pStyle w:val="ListParagraph"/>
        <w:numPr>
          <w:ilvl w:val="0"/>
          <w:numId w:val="10"/>
        </w:numPr>
        <w:spacing w:before="120" w:after="240"/>
        <w:jc w:val="both"/>
        <w:rPr>
          <w:rFonts w:cs="Arial"/>
          <w:bCs/>
        </w:rPr>
      </w:pPr>
      <w:r w:rsidRPr="00912512">
        <w:rPr>
          <w:rFonts w:cs="Arial"/>
          <w:bCs/>
        </w:rPr>
        <w:t>1(a).5: The fact that the Committee altered its position in relation to a key issue immediately before ACM2 with no opportunity for consideration or consultation by AZ is not consistent with NICE’s procedures or standards of fairness</w:t>
      </w:r>
      <w:r w:rsidR="00B77B13">
        <w:rPr>
          <w:rFonts w:cs="Arial"/>
          <w:bCs/>
        </w:rPr>
        <w:t>.</w:t>
      </w:r>
    </w:p>
    <w:p w14:paraId="23A470FB" w14:textId="77777777" w:rsidR="000D54BB" w:rsidRPr="00912512" w:rsidRDefault="000D54BB" w:rsidP="000D54BB">
      <w:pPr>
        <w:pStyle w:val="ListParagraph"/>
        <w:rPr>
          <w:rFonts w:cs="Arial"/>
          <w:bCs/>
        </w:rPr>
      </w:pPr>
    </w:p>
    <w:p w14:paraId="11EAEF76" w14:textId="3D86EFDC" w:rsidR="000D54BB" w:rsidRPr="00912512" w:rsidRDefault="000D54BB" w:rsidP="000D54BB">
      <w:pPr>
        <w:pStyle w:val="ListParagraph"/>
        <w:numPr>
          <w:ilvl w:val="0"/>
          <w:numId w:val="10"/>
        </w:numPr>
        <w:spacing w:before="120" w:after="240"/>
        <w:jc w:val="both"/>
        <w:rPr>
          <w:rFonts w:cs="Arial"/>
          <w:bCs/>
        </w:rPr>
      </w:pPr>
      <w:r w:rsidRPr="00912512">
        <w:rPr>
          <w:rFonts w:cs="Arial"/>
          <w:bCs/>
        </w:rPr>
        <w:t>1(a).6: The lack of any reasonable opportunity for commercial negotiation has prejudiced the conduct of this appraisal</w:t>
      </w:r>
      <w:r w:rsidR="00B77B13">
        <w:rPr>
          <w:rFonts w:cs="Arial"/>
          <w:bCs/>
        </w:rPr>
        <w:t>.</w:t>
      </w:r>
    </w:p>
    <w:p w14:paraId="7A1D50FD" w14:textId="77777777" w:rsidR="000D54BB" w:rsidRPr="00912512" w:rsidRDefault="000D54BB" w:rsidP="000D54BB">
      <w:pPr>
        <w:pStyle w:val="ListParagraph"/>
        <w:rPr>
          <w:rFonts w:cs="Arial"/>
          <w:bCs/>
        </w:rPr>
      </w:pPr>
    </w:p>
    <w:p w14:paraId="374C2F51" w14:textId="73C090FB" w:rsidR="00B77B13" w:rsidRDefault="00B77B13" w:rsidP="00B77B13">
      <w:pPr>
        <w:pStyle w:val="ListParagraph"/>
        <w:numPr>
          <w:ilvl w:val="0"/>
          <w:numId w:val="10"/>
        </w:numPr>
        <w:spacing w:before="120" w:after="240"/>
        <w:jc w:val="both"/>
        <w:rPr>
          <w:rFonts w:cs="Arial"/>
          <w:bCs/>
        </w:rPr>
      </w:pPr>
      <w:r w:rsidRPr="00912512">
        <w:rPr>
          <w:rFonts w:cs="Arial"/>
          <w:bCs/>
        </w:rPr>
        <w:t>1(</w:t>
      </w:r>
      <w:r>
        <w:rPr>
          <w:rFonts w:cs="Arial"/>
          <w:bCs/>
        </w:rPr>
        <w:t>b</w:t>
      </w:r>
      <w:r w:rsidRPr="00912512">
        <w:rPr>
          <w:rFonts w:cs="Arial"/>
          <w:bCs/>
        </w:rPr>
        <w:t>).</w:t>
      </w:r>
      <w:r>
        <w:rPr>
          <w:rFonts w:cs="Arial"/>
          <w:bCs/>
        </w:rPr>
        <w:t>1</w:t>
      </w:r>
      <w:r w:rsidRPr="00912512">
        <w:rPr>
          <w:rFonts w:cs="Arial"/>
          <w:bCs/>
        </w:rPr>
        <w:t>: Failure to act fairly by not complying with the Public Sector Equality Duty under section 149 of the Equality Act 2010</w:t>
      </w:r>
      <w:r>
        <w:rPr>
          <w:rFonts w:cs="Arial"/>
          <w:bCs/>
        </w:rPr>
        <w:t>.</w:t>
      </w:r>
    </w:p>
    <w:p w14:paraId="7DA170E7" w14:textId="77777777" w:rsidR="00B77B13" w:rsidRPr="00B77B13" w:rsidRDefault="00B77B13" w:rsidP="00B77B13">
      <w:pPr>
        <w:pStyle w:val="ListParagraph"/>
        <w:rPr>
          <w:rFonts w:cs="Arial"/>
          <w:bCs/>
        </w:rPr>
      </w:pPr>
    </w:p>
    <w:p w14:paraId="047CE4E9" w14:textId="504BA410" w:rsidR="000D54BB" w:rsidRPr="00912512" w:rsidRDefault="000D54BB" w:rsidP="000D54BB">
      <w:pPr>
        <w:pStyle w:val="ListParagraph"/>
        <w:numPr>
          <w:ilvl w:val="0"/>
          <w:numId w:val="10"/>
        </w:numPr>
        <w:spacing w:before="120" w:after="240"/>
        <w:jc w:val="both"/>
        <w:rPr>
          <w:rFonts w:cs="Arial"/>
          <w:bCs/>
        </w:rPr>
      </w:pPr>
      <w:r w:rsidRPr="00912512">
        <w:rPr>
          <w:rFonts w:cs="Arial"/>
          <w:bCs/>
        </w:rPr>
        <w:t>2.1: The Committee’s conclusions regarding the proportion of people with pMMR endometrial cancer on durvalumab who commence treatment with olaparib do not reflect the SmPC or the DUO-E clinical trial</w:t>
      </w:r>
      <w:r w:rsidR="00B77B13">
        <w:rPr>
          <w:rFonts w:cs="Arial"/>
          <w:bCs/>
        </w:rPr>
        <w:t>.</w:t>
      </w:r>
    </w:p>
    <w:p w14:paraId="44045C66" w14:textId="77777777" w:rsidR="000D54BB" w:rsidRPr="00912512" w:rsidRDefault="000D54BB" w:rsidP="000D54BB">
      <w:pPr>
        <w:pStyle w:val="ListParagraph"/>
        <w:rPr>
          <w:rFonts w:cs="Arial"/>
          <w:bCs/>
        </w:rPr>
      </w:pPr>
    </w:p>
    <w:p w14:paraId="001B59FB" w14:textId="18CECAED" w:rsidR="000D54BB" w:rsidRPr="00912512" w:rsidRDefault="000D54BB" w:rsidP="000D54BB">
      <w:pPr>
        <w:pStyle w:val="ListParagraph"/>
        <w:numPr>
          <w:ilvl w:val="0"/>
          <w:numId w:val="10"/>
        </w:numPr>
        <w:spacing w:before="120" w:after="240"/>
        <w:jc w:val="both"/>
        <w:rPr>
          <w:rFonts w:cs="Arial"/>
          <w:bCs/>
        </w:rPr>
      </w:pPr>
      <w:r w:rsidRPr="00912512">
        <w:rPr>
          <w:rFonts w:cs="Arial"/>
          <w:bCs/>
        </w:rPr>
        <w:t>2.2: The Committee’s conclusion that the ICER threshold should be limited to £20,000 per QALY due to “uncertainties” in the data, is unreasonable in the context of the evidence relied upon</w:t>
      </w:r>
      <w:r w:rsidR="00B77B13">
        <w:rPr>
          <w:rFonts w:cs="Arial"/>
          <w:bCs/>
        </w:rPr>
        <w:t>.</w:t>
      </w:r>
    </w:p>
    <w:p w14:paraId="6599EABC" w14:textId="30310373" w:rsidR="005A7A7D" w:rsidRPr="00912512" w:rsidRDefault="005A7A7D" w:rsidP="005A7A7D">
      <w:pPr>
        <w:spacing w:before="120" w:after="240"/>
        <w:jc w:val="both"/>
        <w:rPr>
          <w:rFonts w:ascii="Arial" w:eastAsia="Times New Roman" w:hAnsi="Arial" w:cs="Arial"/>
          <w:sz w:val="20"/>
          <w:szCs w:val="20"/>
        </w:rPr>
      </w:pPr>
      <w:r w:rsidRPr="00912512">
        <w:rPr>
          <w:rFonts w:ascii="Arial" w:eastAsia="Times New Roman" w:hAnsi="Arial" w:cs="Arial"/>
          <w:sz w:val="20"/>
          <w:szCs w:val="20"/>
        </w:rPr>
        <w:t>NICE shares the valid appeal grounds of each appellant with the other appellants to assist with preparation for the hearing</w:t>
      </w:r>
      <w:r w:rsidR="00DB65D6">
        <w:rPr>
          <w:rFonts w:ascii="Arial" w:eastAsia="Times New Roman" w:hAnsi="Arial" w:cs="Arial"/>
          <w:sz w:val="20"/>
          <w:szCs w:val="20"/>
        </w:rPr>
        <w:t>.</w:t>
      </w:r>
    </w:p>
    <w:p w14:paraId="5CCF2CB3" w14:textId="77777777" w:rsidR="005A7A7D" w:rsidRPr="00912512" w:rsidRDefault="005A7A7D" w:rsidP="005A7A7D">
      <w:pPr>
        <w:spacing w:before="120" w:after="240"/>
        <w:jc w:val="both"/>
        <w:rPr>
          <w:rFonts w:ascii="Arial" w:eastAsia="Times New Roman" w:hAnsi="Arial" w:cs="Arial"/>
          <w:sz w:val="20"/>
          <w:szCs w:val="20"/>
        </w:rPr>
      </w:pPr>
      <w:r w:rsidRPr="00912512">
        <w:rPr>
          <w:rFonts w:ascii="Arial" w:eastAsia="Times New Roman" w:hAnsi="Arial" w:cs="Arial"/>
          <w:sz w:val="20"/>
          <w:szCs w:val="20"/>
        </w:rPr>
        <w:t xml:space="preserve">NICE will be in contact with you regarding the administration of the appeal, which will be held orally. </w:t>
      </w:r>
    </w:p>
    <w:p w14:paraId="27A1A8F0" w14:textId="77777777" w:rsidR="00355A99" w:rsidRPr="00912512" w:rsidRDefault="00355A99" w:rsidP="005A7A7D">
      <w:pPr>
        <w:spacing w:before="120" w:after="240"/>
        <w:jc w:val="both"/>
        <w:rPr>
          <w:rFonts w:ascii="Arial" w:eastAsia="Times New Roman" w:hAnsi="Arial" w:cs="Arial"/>
          <w:sz w:val="20"/>
          <w:szCs w:val="20"/>
        </w:rPr>
      </w:pPr>
    </w:p>
    <w:p w14:paraId="2635BEBD" w14:textId="77777777" w:rsidR="00963BE5" w:rsidRDefault="005A7A7D" w:rsidP="007E1E43">
      <w:pPr>
        <w:spacing w:before="120" w:after="240"/>
        <w:jc w:val="both"/>
        <w:rPr>
          <w:rFonts w:ascii="Arial" w:eastAsia="Times New Roman" w:hAnsi="Arial" w:cs="Arial"/>
          <w:sz w:val="20"/>
          <w:szCs w:val="20"/>
        </w:rPr>
      </w:pPr>
      <w:r w:rsidRPr="00912512">
        <w:rPr>
          <w:rFonts w:ascii="Arial" w:eastAsia="Times New Roman" w:hAnsi="Arial" w:cs="Arial"/>
          <w:sz w:val="20"/>
          <w:szCs w:val="20"/>
        </w:rPr>
        <w:t>Yours sincerely</w:t>
      </w:r>
    </w:p>
    <w:p w14:paraId="033DBF63" w14:textId="299B1A01" w:rsidR="00963BE5" w:rsidRDefault="00B84FAE" w:rsidP="007E1E43">
      <w:pPr>
        <w:spacing w:before="120" w:after="240"/>
        <w:jc w:val="both"/>
        <w:rPr>
          <w:rFonts w:ascii="Arial" w:eastAsia="Times New Roman" w:hAnsi="Arial" w:cs="Arial"/>
          <w:sz w:val="20"/>
          <w:szCs w:val="20"/>
        </w:rPr>
      </w:pPr>
      <w:r w:rsidRPr="00B84FAE">
        <w:rPr>
          <w:rFonts w:ascii="Arial" w:eastAsia="Times New Roman" w:hAnsi="Arial" w:cs="Arial"/>
          <w:noProof/>
          <w:sz w:val="20"/>
          <w:szCs w:val="20"/>
          <w:highlight w:val="black"/>
        </w:rPr>
        <w:t>XXXXXXX</w:t>
      </w:r>
    </w:p>
    <w:p w14:paraId="2AB39697" w14:textId="77777777" w:rsidR="00963BE5" w:rsidRDefault="00963BE5" w:rsidP="007E1E43">
      <w:pPr>
        <w:spacing w:before="120" w:after="240"/>
        <w:jc w:val="both"/>
        <w:rPr>
          <w:rFonts w:ascii="Arial" w:eastAsia="Times New Roman" w:hAnsi="Arial" w:cs="Arial"/>
          <w:sz w:val="20"/>
          <w:szCs w:val="20"/>
        </w:rPr>
      </w:pPr>
    </w:p>
    <w:p w14:paraId="5AA0F875" w14:textId="77777777" w:rsidR="0071405D" w:rsidRPr="00912512" w:rsidRDefault="0071405D" w:rsidP="0071405D">
      <w:pPr>
        <w:spacing w:before="120" w:after="240"/>
        <w:jc w:val="both"/>
        <w:rPr>
          <w:rFonts w:ascii="Arial" w:eastAsia="Times New Roman" w:hAnsi="Arial" w:cs="Arial"/>
          <w:sz w:val="20"/>
          <w:szCs w:val="20"/>
        </w:rPr>
      </w:pPr>
      <w:r w:rsidRPr="00912512">
        <w:rPr>
          <w:rFonts w:ascii="Arial" w:eastAsia="Times New Roman" w:hAnsi="Arial" w:cs="Arial"/>
          <w:sz w:val="20"/>
          <w:szCs w:val="20"/>
        </w:rPr>
        <w:t xml:space="preserve">Dr Mark Chakravarty </w:t>
      </w:r>
    </w:p>
    <w:p w14:paraId="6C6882A8" w14:textId="77777777" w:rsidR="0071405D" w:rsidRPr="00912512" w:rsidRDefault="0071405D" w:rsidP="0071405D">
      <w:pPr>
        <w:spacing w:line="360" w:lineRule="auto"/>
        <w:jc w:val="both"/>
        <w:rPr>
          <w:rFonts w:ascii="Arial" w:hAnsi="Arial" w:cs="Arial"/>
          <w:sz w:val="20"/>
          <w:szCs w:val="20"/>
        </w:rPr>
      </w:pPr>
      <w:r w:rsidRPr="00912512">
        <w:rPr>
          <w:rFonts w:ascii="Arial" w:hAnsi="Arial" w:cs="Arial"/>
          <w:sz w:val="20"/>
          <w:szCs w:val="20"/>
        </w:rPr>
        <w:t xml:space="preserve">Lead Non-Executive Director for Appeals </w:t>
      </w:r>
    </w:p>
    <w:p w14:paraId="40B9BBC0" w14:textId="77777777" w:rsidR="005A7A7D" w:rsidRPr="00912512" w:rsidRDefault="005A7A7D" w:rsidP="005A7A7D">
      <w:pPr>
        <w:spacing w:before="120" w:after="240"/>
        <w:jc w:val="both"/>
        <w:rPr>
          <w:rFonts w:ascii="Arial" w:eastAsia="Times New Roman" w:hAnsi="Arial" w:cs="Arial"/>
          <w:sz w:val="20"/>
          <w:szCs w:val="20"/>
        </w:rPr>
      </w:pPr>
      <w:r w:rsidRPr="00912512">
        <w:rPr>
          <w:rFonts w:ascii="Arial" w:eastAsia="Times New Roman" w:hAnsi="Arial" w:cs="Arial"/>
          <w:sz w:val="20"/>
          <w:szCs w:val="20"/>
        </w:rPr>
        <w:t>National Institute for Health and Care Excellence</w:t>
      </w:r>
    </w:p>
    <w:p w14:paraId="03E7BAFA" w14:textId="4811D299" w:rsidR="000B36E1" w:rsidRPr="0043022B" w:rsidRDefault="000B36E1" w:rsidP="002B6A0D">
      <w:pPr>
        <w:spacing w:line="360" w:lineRule="auto"/>
        <w:rPr>
          <w:rFonts w:ascii="Arial" w:hAnsi="Arial" w:cs="Arial"/>
          <w:sz w:val="20"/>
          <w:szCs w:val="20"/>
        </w:rPr>
      </w:pPr>
    </w:p>
    <w:sectPr w:rsidR="000B36E1" w:rsidRPr="0043022B" w:rsidSect="000B36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AE83" w14:textId="77777777" w:rsidR="00C93CB4" w:rsidRDefault="00C93CB4" w:rsidP="000B352B">
      <w:pPr>
        <w:spacing w:after="0" w:line="240" w:lineRule="auto"/>
      </w:pPr>
      <w:r>
        <w:separator/>
      </w:r>
    </w:p>
  </w:endnote>
  <w:endnote w:type="continuationSeparator" w:id="0">
    <w:p w14:paraId="69AC0683" w14:textId="77777777" w:rsidR="00C93CB4" w:rsidRDefault="00C93CB4"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8B5" w14:textId="77777777" w:rsidR="00BB16DB" w:rsidRDefault="00BB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051E" w14:textId="77777777" w:rsidR="00C93CB4" w:rsidRDefault="00C93CB4" w:rsidP="000B352B">
      <w:pPr>
        <w:spacing w:after="0" w:line="240" w:lineRule="auto"/>
      </w:pPr>
      <w:r>
        <w:separator/>
      </w:r>
    </w:p>
  </w:footnote>
  <w:footnote w:type="continuationSeparator" w:id="0">
    <w:p w14:paraId="7A7581C2" w14:textId="77777777" w:rsidR="00C93CB4" w:rsidRDefault="00C93CB4"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01" w14:textId="77777777" w:rsidR="00BB16DB" w:rsidRDefault="00BB1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31C83"/>
    <w:multiLevelType w:val="hybridMultilevel"/>
    <w:tmpl w:val="FC4C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7264B8"/>
    <w:multiLevelType w:val="hybridMultilevel"/>
    <w:tmpl w:val="4CDE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DFC583B"/>
    <w:multiLevelType w:val="hybridMultilevel"/>
    <w:tmpl w:val="FE1884BE"/>
    <w:lvl w:ilvl="0" w:tplc="04E65B3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0"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2"/>
  </w:num>
  <w:num w:numId="2" w16cid:durableId="1239897750">
    <w:abstractNumId w:val="7"/>
  </w:num>
  <w:num w:numId="3" w16cid:durableId="724110161">
    <w:abstractNumId w:val="3"/>
  </w:num>
  <w:num w:numId="4" w16cid:durableId="99180155">
    <w:abstractNumId w:val="9"/>
  </w:num>
  <w:num w:numId="5" w16cid:durableId="1481845086">
    <w:abstractNumId w:val="0"/>
  </w:num>
  <w:num w:numId="6" w16cid:durableId="423919277">
    <w:abstractNumId w:val="4"/>
  </w:num>
  <w:num w:numId="7" w16cid:durableId="2008357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6"/>
  </w:num>
  <w:num w:numId="9" w16cid:durableId="1504122631">
    <w:abstractNumId w:val="10"/>
  </w:num>
  <w:num w:numId="10" w16cid:durableId="1192843526">
    <w:abstractNumId w:val="1"/>
  </w:num>
  <w:num w:numId="11" w16cid:durableId="1771468769">
    <w:abstractNumId w:val="5"/>
  </w:num>
  <w:num w:numId="12" w16cid:durableId="87904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740E"/>
    <w:rsid w:val="0003729F"/>
    <w:rsid w:val="000468DC"/>
    <w:rsid w:val="000641E7"/>
    <w:rsid w:val="00085181"/>
    <w:rsid w:val="00095B43"/>
    <w:rsid w:val="000B104A"/>
    <w:rsid w:val="000B352B"/>
    <w:rsid w:val="000B36E1"/>
    <w:rsid w:val="000C4D63"/>
    <w:rsid w:val="000D332B"/>
    <w:rsid w:val="000D54BB"/>
    <w:rsid w:val="00144F73"/>
    <w:rsid w:val="0014732A"/>
    <w:rsid w:val="00176AA4"/>
    <w:rsid w:val="001D5BD2"/>
    <w:rsid w:val="001E0317"/>
    <w:rsid w:val="001F3962"/>
    <w:rsid w:val="002035FD"/>
    <w:rsid w:val="00215D99"/>
    <w:rsid w:val="00216DC6"/>
    <w:rsid w:val="0022689E"/>
    <w:rsid w:val="002846BB"/>
    <w:rsid w:val="002B6A0D"/>
    <w:rsid w:val="002D1F05"/>
    <w:rsid w:val="00320722"/>
    <w:rsid w:val="00321B75"/>
    <w:rsid w:val="00355A99"/>
    <w:rsid w:val="00371B99"/>
    <w:rsid w:val="003936B7"/>
    <w:rsid w:val="003A3E2E"/>
    <w:rsid w:val="003A79BD"/>
    <w:rsid w:val="003B2535"/>
    <w:rsid w:val="003D614E"/>
    <w:rsid w:val="0040409D"/>
    <w:rsid w:val="004215D9"/>
    <w:rsid w:val="00427E93"/>
    <w:rsid w:val="0043022B"/>
    <w:rsid w:val="00453738"/>
    <w:rsid w:val="00453774"/>
    <w:rsid w:val="0045419E"/>
    <w:rsid w:val="00457AAA"/>
    <w:rsid w:val="00480405"/>
    <w:rsid w:val="00490CDB"/>
    <w:rsid w:val="00493D2F"/>
    <w:rsid w:val="004C2D22"/>
    <w:rsid w:val="004E4493"/>
    <w:rsid w:val="004F29D7"/>
    <w:rsid w:val="004F39B0"/>
    <w:rsid w:val="00526FD6"/>
    <w:rsid w:val="0053042A"/>
    <w:rsid w:val="00545445"/>
    <w:rsid w:val="005613AF"/>
    <w:rsid w:val="005904E6"/>
    <w:rsid w:val="00593F3D"/>
    <w:rsid w:val="005A42E5"/>
    <w:rsid w:val="005A49B5"/>
    <w:rsid w:val="005A7A7D"/>
    <w:rsid w:val="005B078B"/>
    <w:rsid w:val="005B27A8"/>
    <w:rsid w:val="005C388B"/>
    <w:rsid w:val="005C7480"/>
    <w:rsid w:val="005E0434"/>
    <w:rsid w:val="005E1DA4"/>
    <w:rsid w:val="005E2A58"/>
    <w:rsid w:val="00641CEB"/>
    <w:rsid w:val="006628FF"/>
    <w:rsid w:val="00671EF3"/>
    <w:rsid w:val="006733A1"/>
    <w:rsid w:val="0069376C"/>
    <w:rsid w:val="006D0C62"/>
    <w:rsid w:val="006E4ADC"/>
    <w:rsid w:val="006F031D"/>
    <w:rsid w:val="0071405D"/>
    <w:rsid w:val="00715343"/>
    <w:rsid w:val="0072577F"/>
    <w:rsid w:val="00732227"/>
    <w:rsid w:val="00735CAF"/>
    <w:rsid w:val="00790FDE"/>
    <w:rsid w:val="0079245D"/>
    <w:rsid w:val="00792B33"/>
    <w:rsid w:val="0079326E"/>
    <w:rsid w:val="00797FF7"/>
    <w:rsid w:val="007B36FA"/>
    <w:rsid w:val="007C197E"/>
    <w:rsid w:val="007C64C6"/>
    <w:rsid w:val="007D1F4E"/>
    <w:rsid w:val="007D4914"/>
    <w:rsid w:val="007D6581"/>
    <w:rsid w:val="007E1E43"/>
    <w:rsid w:val="00814800"/>
    <w:rsid w:val="008274CB"/>
    <w:rsid w:val="00830578"/>
    <w:rsid w:val="00866617"/>
    <w:rsid w:val="00875374"/>
    <w:rsid w:val="0089650C"/>
    <w:rsid w:val="008B6D8F"/>
    <w:rsid w:val="008C081A"/>
    <w:rsid w:val="008E4AE4"/>
    <w:rsid w:val="00901272"/>
    <w:rsid w:val="00912512"/>
    <w:rsid w:val="009145BA"/>
    <w:rsid w:val="00924F66"/>
    <w:rsid w:val="00961369"/>
    <w:rsid w:val="00963BE5"/>
    <w:rsid w:val="009A01FD"/>
    <w:rsid w:val="009B7996"/>
    <w:rsid w:val="009E2F15"/>
    <w:rsid w:val="009E5151"/>
    <w:rsid w:val="009F0476"/>
    <w:rsid w:val="00A0226C"/>
    <w:rsid w:val="00A02F6E"/>
    <w:rsid w:val="00A25FDA"/>
    <w:rsid w:val="00A84AF4"/>
    <w:rsid w:val="00A960A2"/>
    <w:rsid w:val="00AD3112"/>
    <w:rsid w:val="00AD7658"/>
    <w:rsid w:val="00AE303D"/>
    <w:rsid w:val="00AE670F"/>
    <w:rsid w:val="00B24360"/>
    <w:rsid w:val="00B26E17"/>
    <w:rsid w:val="00B32B71"/>
    <w:rsid w:val="00B737D4"/>
    <w:rsid w:val="00B77B13"/>
    <w:rsid w:val="00B8198C"/>
    <w:rsid w:val="00B84FAE"/>
    <w:rsid w:val="00BB16DB"/>
    <w:rsid w:val="00BB6D25"/>
    <w:rsid w:val="00BC7BE7"/>
    <w:rsid w:val="00BF0EC7"/>
    <w:rsid w:val="00C34F29"/>
    <w:rsid w:val="00C50DC0"/>
    <w:rsid w:val="00C77F45"/>
    <w:rsid w:val="00C85906"/>
    <w:rsid w:val="00C90010"/>
    <w:rsid w:val="00C93CB4"/>
    <w:rsid w:val="00C96687"/>
    <w:rsid w:val="00CB4563"/>
    <w:rsid w:val="00CD09CE"/>
    <w:rsid w:val="00CE085C"/>
    <w:rsid w:val="00D22D3F"/>
    <w:rsid w:val="00D37DEC"/>
    <w:rsid w:val="00D41F69"/>
    <w:rsid w:val="00D43C5C"/>
    <w:rsid w:val="00D43D27"/>
    <w:rsid w:val="00D73246"/>
    <w:rsid w:val="00D755E3"/>
    <w:rsid w:val="00D770E0"/>
    <w:rsid w:val="00DB178D"/>
    <w:rsid w:val="00DB65D6"/>
    <w:rsid w:val="00DC5EEE"/>
    <w:rsid w:val="00DD43C2"/>
    <w:rsid w:val="00E03263"/>
    <w:rsid w:val="00E22E6B"/>
    <w:rsid w:val="00E30EB0"/>
    <w:rsid w:val="00E42B6A"/>
    <w:rsid w:val="00E467E2"/>
    <w:rsid w:val="00E60FCF"/>
    <w:rsid w:val="00E622D7"/>
    <w:rsid w:val="00E67BD1"/>
    <w:rsid w:val="00E70F23"/>
    <w:rsid w:val="00E7772A"/>
    <w:rsid w:val="00EA3919"/>
    <w:rsid w:val="00ED7C6F"/>
    <w:rsid w:val="00EE6553"/>
    <w:rsid w:val="00F04994"/>
    <w:rsid w:val="00F1265E"/>
    <w:rsid w:val="00F233EA"/>
    <w:rsid w:val="00F24B1D"/>
    <w:rsid w:val="00F316A9"/>
    <w:rsid w:val="00F47A04"/>
    <w:rsid w:val="00F70A40"/>
    <w:rsid w:val="00FB1A98"/>
    <w:rsid w:val="00FB225B"/>
    <w:rsid w:val="00FC0EF1"/>
    <w:rsid w:val="00FE3296"/>
    <w:rsid w:val="0FA0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502278902">
      <w:bodyDiv w:val="1"/>
      <w:marLeft w:val="0"/>
      <w:marRight w:val="0"/>
      <w:marTop w:val="0"/>
      <w:marBottom w:val="0"/>
      <w:divBdr>
        <w:top w:val="none" w:sz="0" w:space="0" w:color="auto"/>
        <w:left w:val="none" w:sz="0" w:space="0" w:color="auto"/>
        <w:bottom w:val="none" w:sz="0" w:space="0" w:color="auto"/>
        <w:right w:val="none" w:sz="0" w:space="0" w:color="auto"/>
      </w:divBdr>
    </w:div>
    <w:div w:id="764424544">
      <w:bodyDiv w:val="1"/>
      <w:marLeft w:val="0"/>
      <w:marRight w:val="0"/>
      <w:marTop w:val="0"/>
      <w:marBottom w:val="0"/>
      <w:divBdr>
        <w:top w:val="none" w:sz="0" w:space="0" w:color="auto"/>
        <w:left w:val="none" w:sz="0" w:space="0" w:color="auto"/>
        <w:bottom w:val="none" w:sz="0" w:space="0" w:color="auto"/>
        <w:right w:val="none" w:sz="0" w:space="0" w:color="auto"/>
      </w:divBdr>
      <w:divsChild>
        <w:div w:id="1359745325">
          <w:marLeft w:val="0"/>
          <w:marRight w:val="0"/>
          <w:marTop w:val="0"/>
          <w:marBottom w:val="0"/>
          <w:divBdr>
            <w:top w:val="none" w:sz="0" w:space="0" w:color="auto"/>
            <w:left w:val="none" w:sz="0" w:space="0" w:color="auto"/>
            <w:bottom w:val="none" w:sz="0" w:space="0" w:color="auto"/>
            <w:right w:val="none" w:sz="0" w:space="0" w:color="auto"/>
          </w:divBdr>
        </w:div>
        <w:div w:id="2126995047">
          <w:marLeft w:val="0"/>
          <w:marRight w:val="0"/>
          <w:marTop w:val="0"/>
          <w:marBottom w:val="0"/>
          <w:divBdr>
            <w:top w:val="none" w:sz="0" w:space="0" w:color="auto"/>
            <w:left w:val="none" w:sz="0" w:space="0" w:color="auto"/>
            <w:bottom w:val="none" w:sz="0" w:space="0" w:color="auto"/>
            <w:right w:val="none" w:sz="0" w:space="0" w:color="auto"/>
          </w:divBdr>
        </w:div>
        <w:div w:id="1114011501">
          <w:marLeft w:val="0"/>
          <w:marRight w:val="0"/>
          <w:marTop w:val="0"/>
          <w:marBottom w:val="0"/>
          <w:divBdr>
            <w:top w:val="none" w:sz="0" w:space="0" w:color="auto"/>
            <w:left w:val="none" w:sz="0" w:space="0" w:color="auto"/>
            <w:bottom w:val="none" w:sz="0" w:space="0" w:color="auto"/>
            <w:right w:val="none" w:sz="0" w:space="0" w:color="auto"/>
          </w:divBdr>
        </w:div>
        <w:div w:id="832143006">
          <w:marLeft w:val="0"/>
          <w:marRight w:val="0"/>
          <w:marTop w:val="0"/>
          <w:marBottom w:val="0"/>
          <w:divBdr>
            <w:top w:val="none" w:sz="0" w:space="0" w:color="auto"/>
            <w:left w:val="none" w:sz="0" w:space="0" w:color="auto"/>
            <w:bottom w:val="none" w:sz="0" w:space="0" w:color="auto"/>
            <w:right w:val="none" w:sz="0" w:space="0" w:color="auto"/>
          </w:divBdr>
        </w:div>
        <w:div w:id="775448294">
          <w:marLeft w:val="0"/>
          <w:marRight w:val="0"/>
          <w:marTop w:val="0"/>
          <w:marBottom w:val="0"/>
          <w:divBdr>
            <w:top w:val="none" w:sz="0" w:space="0" w:color="auto"/>
            <w:left w:val="none" w:sz="0" w:space="0" w:color="auto"/>
            <w:bottom w:val="none" w:sz="0" w:space="0" w:color="auto"/>
            <w:right w:val="none" w:sz="0" w:space="0" w:color="auto"/>
          </w:divBdr>
        </w:div>
        <w:div w:id="1023704073">
          <w:marLeft w:val="0"/>
          <w:marRight w:val="0"/>
          <w:marTop w:val="0"/>
          <w:marBottom w:val="0"/>
          <w:divBdr>
            <w:top w:val="none" w:sz="0" w:space="0" w:color="auto"/>
            <w:left w:val="none" w:sz="0" w:space="0" w:color="auto"/>
            <w:bottom w:val="none" w:sz="0" w:space="0" w:color="auto"/>
            <w:right w:val="none" w:sz="0" w:space="0" w:color="auto"/>
          </w:divBdr>
        </w:div>
        <w:div w:id="456027261">
          <w:marLeft w:val="0"/>
          <w:marRight w:val="0"/>
          <w:marTop w:val="0"/>
          <w:marBottom w:val="0"/>
          <w:divBdr>
            <w:top w:val="none" w:sz="0" w:space="0" w:color="auto"/>
            <w:left w:val="none" w:sz="0" w:space="0" w:color="auto"/>
            <w:bottom w:val="none" w:sz="0" w:space="0" w:color="auto"/>
            <w:right w:val="none" w:sz="0" w:space="0" w:color="auto"/>
          </w:divBdr>
        </w:div>
      </w:divsChild>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247422522">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1783720320">
      <w:bodyDiv w:val="1"/>
      <w:marLeft w:val="0"/>
      <w:marRight w:val="0"/>
      <w:marTop w:val="0"/>
      <w:marBottom w:val="0"/>
      <w:divBdr>
        <w:top w:val="none" w:sz="0" w:space="0" w:color="auto"/>
        <w:left w:val="none" w:sz="0" w:space="0" w:color="auto"/>
        <w:bottom w:val="none" w:sz="0" w:space="0" w:color="auto"/>
        <w:right w:val="none" w:sz="0" w:space="0" w:color="auto"/>
      </w:divBdr>
      <w:divsChild>
        <w:div w:id="285234289">
          <w:marLeft w:val="0"/>
          <w:marRight w:val="0"/>
          <w:marTop w:val="0"/>
          <w:marBottom w:val="0"/>
          <w:divBdr>
            <w:top w:val="none" w:sz="0" w:space="0" w:color="auto"/>
            <w:left w:val="none" w:sz="0" w:space="0" w:color="auto"/>
            <w:bottom w:val="none" w:sz="0" w:space="0" w:color="auto"/>
            <w:right w:val="none" w:sz="0" w:space="0" w:color="auto"/>
          </w:divBdr>
        </w:div>
        <w:div w:id="113987587">
          <w:marLeft w:val="0"/>
          <w:marRight w:val="0"/>
          <w:marTop w:val="0"/>
          <w:marBottom w:val="0"/>
          <w:divBdr>
            <w:top w:val="none" w:sz="0" w:space="0" w:color="auto"/>
            <w:left w:val="none" w:sz="0" w:space="0" w:color="auto"/>
            <w:bottom w:val="none" w:sz="0" w:space="0" w:color="auto"/>
            <w:right w:val="none" w:sz="0" w:space="0" w:color="auto"/>
          </w:divBdr>
        </w:div>
        <w:div w:id="811755279">
          <w:marLeft w:val="0"/>
          <w:marRight w:val="0"/>
          <w:marTop w:val="0"/>
          <w:marBottom w:val="0"/>
          <w:divBdr>
            <w:top w:val="none" w:sz="0" w:space="0" w:color="auto"/>
            <w:left w:val="none" w:sz="0" w:space="0" w:color="auto"/>
            <w:bottom w:val="none" w:sz="0" w:space="0" w:color="auto"/>
            <w:right w:val="none" w:sz="0" w:space="0" w:color="auto"/>
          </w:divBdr>
        </w:div>
        <w:div w:id="1627275391">
          <w:marLeft w:val="0"/>
          <w:marRight w:val="0"/>
          <w:marTop w:val="0"/>
          <w:marBottom w:val="0"/>
          <w:divBdr>
            <w:top w:val="none" w:sz="0" w:space="0" w:color="auto"/>
            <w:left w:val="none" w:sz="0" w:space="0" w:color="auto"/>
            <w:bottom w:val="none" w:sz="0" w:space="0" w:color="auto"/>
            <w:right w:val="none" w:sz="0" w:space="0" w:color="auto"/>
          </w:divBdr>
        </w:div>
        <w:div w:id="1609701148">
          <w:marLeft w:val="0"/>
          <w:marRight w:val="0"/>
          <w:marTop w:val="0"/>
          <w:marBottom w:val="0"/>
          <w:divBdr>
            <w:top w:val="none" w:sz="0" w:space="0" w:color="auto"/>
            <w:left w:val="none" w:sz="0" w:space="0" w:color="auto"/>
            <w:bottom w:val="none" w:sz="0" w:space="0" w:color="auto"/>
            <w:right w:val="none" w:sz="0" w:space="0" w:color="auto"/>
          </w:divBdr>
        </w:div>
        <w:div w:id="544828705">
          <w:marLeft w:val="0"/>
          <w:marRight w:val="0"/>
          <w:marTop w:val="0"/>
          <w:marBottom w:val="0"/>
          <w:divBdr>
            <w:top w:val="none" w:sz="0" w:space="0" w:color="auto"/>
            <w:left w:val="none" w:sz="0" w:space="0" w:color="auto"/>
            <w:bottom w:val="none" w:sz="0" w:space="0" w:color="auto"/>
            <w:right w:val="none" w:sz="0" w:space="0" w:color="auto"/>
          </w:divBdr>
        </w:div>
        <w:div w:id="646054491">
          <w:marLeft w:val="0"/>
          <w:marRight w:val="0"/>
          <w:marTop w:val="0"/>
          <w:marBottom w:val="0"/>
          <w:divBdr>
            <w:top w:val="none" w:sz="0" w:space="0" w:color="auto"/>
            <w:left w:val="none" w:sz="0" w:space="0" w:color="auto"/>
            <w:bottom w:val="none" w:sz="0" w:space="0" w:color="auto"/>
            <w:right w:val="none" w:sz="0" w:space="0" w:color="auto"/>
          </w:divBdr>
        </w:div>
      </w:divsChild>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BEFC0-D452-47AB-8A25-68D83B686F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93BC9-E3F8-44D0-871D-F25699C4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A0127-CAF8-4DD0-AD52-730A24935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Issa</cp:lastModifiedBy>
  <cp:revision>5</cp:revision>
  <cp:lastPrinted>1900-01-01T00:00:00Z</cp:lastPrinted>
  <dcterms:created xsi:type="dcterms:W3CDTF">2025-08-12T15:18:00Z</dcterms:created>
  <dcterms:modified xsi:type="dcterms:W3CDTF">2025-09-24T11:49:00Z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2025-08-11T10:54:58Z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59b59687-3e69-466d-98be-e107ab6095d0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ies>
</file>