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1830" w14:textId="77777777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48A7C302" w14:textId="156C768D" w:rsidR="0053717B" w:rsidRDefault="006F45F4" w:rsidP="00F90BB8">
      <w:pPr>
        <w:rPr>
          <w:rFonts w:ascii="Arial" w:hAnsi="Arial" w:cs="Arial"/>
          <w:b/>
          <w:bCs/>
        </w:rPr>
      </w:pPr>
      <w:r w:rsidRPr="006F45F4">
        <w:rPr>
          <w:noProof/>
        </w:rPr>
        <w:drawing>
          <wp:inline distT="0" distB="0" distL="0" distR="0" wp14:anchorId="53D76EF3" wp14:editId="4DE2EB5F">
            <wp:extent cx="8410575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0A4D" w14:textId="4466BD20" w:rsidR="00E74106" w:rsidRPr="00E74106" w:rsidRDefault="00995EEA" w:rsidP="00F90BB8">
      <w:pPr>
        <w:rPr>
          <w:rFonts w:ascii="Arial" w:hAnsi="Arial" w:cs="Arial"/>
        </w:rPr>
      </w:pPr>
      <w:r w:rsidRPr="00E74106">
        <w:rPr>
          <w:rFonts w:ascii="Arial" w:hAnsi="Arial" w:cs="Arial"/>
          <w:b/>
          <w:bCs/>
        </w:rPr>
        <w:t>Introduction:</w:t>
      </w:r>
      <w:r w:rsidRPr="00E74106">
        <w:rPr>
          <w:rFonts w:ascii="Arial" w:hAnsi="Arial" w:cs="Arial"/>
        </w:rPr>
        <w:t xml:space="preserve"> </w:t>
      </w:r>
      <w:r w:rsidR="00D96736"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="00D96736" w:rsidRPr="00E74106">
        <w:rPr>
          <w:rFonts w:ascii="Arial" w:hAnsi="Arial" w:cs="Arial"/>
        </w:rPr>
        <w:t xml:space="preserve"> checklist is to highlight where a technology meets</w:t>
      </w:r>
      <w:r w:rsidR="00C670DD" w:rsidRPr="00E74106">
        <w:rPr>
          <w:rFonts w:ascii="Arial" w:hAnsi="Arial" w:cs="Arial"/>
        </w:rPr>
        <w:t xml:space="preserve"> or </w:t>
      </w:r>
      <w:r w:rsidR="00D96736"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="00D96736" w:rsidRPr="00E74106">
        <w:rPr>
          <w:rFonts w:ascii="Arial" w:hAnsi="Arial" w:cs="Arial"/>
        </w:rPr>
        <w:t xml:space="preserve"> has been identified as suitable.</w:t>
      </w:r>
    </w:p>
    <w:p w14:paraId="79A8AB99" w14:textId="08F18BFB" w:rsidR="00C9475C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6CC0E22" w14:textId="77777777" w:rsidR="00E74106" w:rsidRPr="00715265" w:rsidRDefault="00715265" w:rsidP="00CA055B">
      <w:pPr>
        <w:pStyle w:val="Heading3"/>
      </w:pPr>
      <w:r>
        <w:t xml:space="preserve">Key – does the technology meet the criteria? 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>to advise if the technology meets the criteria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11759112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6D470A70" w14:textId="77777777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59684D97" w14:textId="77777777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this 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398C312D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484E29AA" w14:textId="77777777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79A13C1E" w14:textId="77777777" w:rsidR="00E74106" w:rsidRPr="00E74106" w:rsidRDefault="00D71447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</w:tc>
      </w:tr>
    </w:tbl>
    <w:p w14:paraId="524762F0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17AB77FE" w14:textId="77777777" w:rsidR="00E74106" w:rsidRPr="00C9475C" w:rsidRDefault="00E74106" w:rsidP="00F90BB8">
      <w:pPr>
        <w:rPr>
          <w:rFonts w:ascii="Arial" w:hAnsi="Arial" w:cs="Arial"/>
          <w:b/>
          <w:bCs/>
        </w:rPr>
      </w:pPr>
    </w:p>
    <w:p w14:paraId="282706D8" w14:textId="547038C1" w:rsidR="00C9475C" w:rsidRPr="006F45F4" w:rsidRDefault="006722D7" w:rsidP="00CA055B">
      <w:pPr>
        <w:pStyle w:val="Heading3"/>
        <w:rPr>
          <w:b w:val="0"/>
          <w:bCs w:val="0"/>
          <w:u w:val="single"/>
        </w:rPr>
      </w:pPr>
      <w:r>
        <w:t xml:space="preserve">Proposed </w:t>
      </w:r>
      <w:r w:rsidR="00C9475C" w:rsidRPr="00C9475C">
        <w:t xml:space="preserve">MA wording: </w:t>
      </w:r>
      <w:r w:rsidR="00246939" w:rsidRPr="00246939">
        <w:rPr>
          <w:rFonts w:eastAsia="Times New Roman" w:cs="Courier New"/>
          <w:b w:val="0"/>
          <w:bCs w:val="0"/>
          <w:sz w:val="24"/>
          <w:szCs w:val="20"/>
          <w:highlight w:val="black"/>
          <w:u w:val="single"/>
        </w:rPr>
        <w:t>xxxxxxxxxx</w:t>
      </w:r>
    </w:p>
    <w:p w14:paraId="7C3E4F74" w14:textId="77777777" w:rsidR="000D3405" w:rsidRDefault="000D3405" w:rsidP="00F90BB8">
      <w:pPr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119"/>
        <w:gridCol w:w="7939"/>
        <w:gridCol w:w="1756"/>
      </w:tblGrid>
      <w:tr w:rsidR="000D3405" w:rsidRPr="00C9475C" w14:paraId="1D83B626" w14:textId="77777777" w:rsidTr="006941E7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AFDD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0B52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1C87453F" w14:textId="77777777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78507D" w14:textId="77777777" w:rsidR="000D3405" w:rsidRDefault="000D3405" w:rsidP="00E74106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0D3405">
              <w:rPr>
                <w:rFonts w:ascii="Arial" w:hAnsi="Arial" w:cs="Arial"/>
                <w:b/>
                <w:bCs/>
              </w:rPr>
              <w:t xml:space="preserve">Description of how the technology meets the criteria </w:t>
            </w:r>
          </w:p>
          <w:p w14:paraId="7EB493A3" w14:textId="77777777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90D850" w14:textId="77777777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7FC757E4" w14:textId="77777777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6F45F4" w:rsidRPr="00C9475C" w14:paraId="05546273" w14:textId="77777777" w:rsidTr="006941E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F8E12" w14:textId="77777777" w:rsidR="006F45F4" w:rsidRPr="00D71447" w:rsidRDefault="006F45F4" w:rsidP="006F45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2034" w14:textId="77777777" w:rsidR="006F45F4" w:rsidRPr="00D71447" w:rsidRDefault="006F45F4" w:rsidP="006F45F4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condition is very rare defined by 1:50,000 in England </w:t>
            </w:r>
          </w:p>
          <w:p w14:paraId="282258AA" w14:textId="77777777" w:rsidR="006F45F4" w:rsidRPr="00D71447" w:rsidRDefault="006F45F4" w:rsidP="006F45F4">
            <w:pPr>
              <w:rPr>
                <w:rFonts w:ascii="Arial" w:hAnsi="Arial" w:cs="Arial"/>
              </w:rPr>
            </w:pPr>
          </w:p>
          <w:p w14:paraId="48B02934" w14:textId="77777777" w:rsidR="006F45F4" w:rsidRPr="00D71447" w:rsidRDefault="006F45F4" w:rsidP="006F45F4">
            <w:pPr>
              <w:rPr>
                <w:rFonts w:ascii="Arial" w:hAnsi="Arial" w:cs="Arial"/>
              </w:rPr>
            </w:pPr>
          </w:p>
        </w:tc>
        <w:tc>
          <w:tcPr>
            <w:tcW w:w="2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5BB8C" w14:textId="2F2A8F5F" w:rsidR="00F16FE3" w:rsidRDefault="00F16FE3" w:rsidP="006F45F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16FE3">
              <w:rPr>
                <w:rFonts w:ascii="Arial" w:hAnsi="Arial" w:cs="Arial"/>
              </w:rPr>
              <w:t xml:space="preserve">There is little published epidemiology data for the prevalence and incidence of </w:t>
            </w:r>
            <w:r>
              <w:rPr>
                <w:rFonts w:ascii="Arial" w:hAnsi="Arial" w:cs="Arial"/>
              </w:rPr>
              <w:t>PFIC.</w:t>
            </w:r>
          </w:p>
          <w:p w14:paraId="198A3967" w14:textId="476D8119" w:rsidR="00776D37" w:rsidRPr="006941E7" w:rsidRDefault="00F16FE3" w:rsidP="00F16FE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16FE3">
              <w:rPr>
                <w:rFonts w:ascii="Arial" w:hAnsi="Arial" w:cs="Arial"/>
              </w:rPr>
              <w:t>Incidence has been estimated to be between 1</w:t>
            </w:r>
            <w:r w:rsidR="006722D7">
              <w:rPr>
                <w:rFonts w:ascii="Arial" w:hAnsi="Arial" w:cs="Arial"/>
              </w:rPr>
              <w:t>:</w:t>
            </w:r>
            <w:r w:rsidRPr="00F16FE3">
              <w:rPr>
                <w:rFonts w:ascii="Arial" w:hAnsi="Arial" w:cs="Arial"/>
              </w:rPr>
              <w:t>50,000 and 1</w:t>
            </w:r>
            <w:r w:rsidR="006722D7">
              <w:rPr>
                <w:rFonts w:ascii="Arial" w:hAnsi="Arial" w:cs="Arial"/>
              </w:rPr>
              <w:t>:</w:t>
            </w:r>
            <w:r w:rsidRPr="00F16FE3">
              <w:rPr>
                <w:rFonts w:ascii="Arial" w:hAnsi="Arial" w:cs="Arial"/>
              </w:rPr>
              <w:t xml:space="preserve">100,000 </w:t>
            </w:r>
            <w:r w:rsidR="00E608DF">
              <w:rPr>
                <w:rFonts w:ascii="Arial" w:hAnsi="Arial" w:cs="Arial"/>
              </w:rPr>
              <w:t xml:space="preserve">live </w:t>
            </w:r>
            <w:r w:rsidRPr="00F16FE3">
              <w:rPr>
                <w:rFonts w:ascii="Arial" w:hAnsi="Arial" w:cs="Arial"/>
              </w:rPr>
              <w:t>births</w:t>
            </w:r>
            <w:r w:rsidR="006F45F4" w:rsidRPr="00F16FE3">
              <w:rPr>
                <w:rFonts w:ascii="Arial" w:hAnsi="Arial" w:cs="Arial"/>
              </w:rPr>
              <w:t xml:space="preserve"> worldwide but the data on which these rates are based is unclear. </w:t>
            </w:r>
            <w:r w:rsidR="006F45F4" w:rsidRPr="00F16FE3">
              <w:rPr>
                <w:rFonts w:ascii="Arial" w:hAnsi="Arial" w:cs="Arial"/>
                <w:vertAlign w:val="superscript"/>
              </w:rPr>
              <w:t>1,2</w:t>
            </w:r>
          </w:p>
          <w:p w14:paraId="7150FBEB" w14:textId="103E1ECB" w:rsidR="00C10439" w:rsidRDefault="00946814" w:rsidP="0094681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946814">
              <w:rPr>
                <w:rFonts w:ascii="Arial" w:hAnsi="Arial" w:cs="Arial"/>
              </w:rPr>
              <w:t>The exact prevalence</w:t>
            </w:r>
            <w:r w:rsidR="006722D7">
              <w:rPr>
                <w:rFonts w:ascii="Arial" w:hAnsi="Arial" w:cs="Arial"/>
              </w:rPr>
              <w:t xml:space="preserve"> in England</w:t>
            </w:r>
            <w:r w:rsidRPr="009468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946814">
              <w:rPr>
                <w:rFonts w:ascii="Arial" w:hAnsi="Arial" w:cs="Arial"/>
              </w:rPr>
              <w:t>s unknown</w:t>
            </w:r>
            <w:r>
              <w:rPr>
                <w:rFonts w:ascii="Arial" w:hAnsi="Arial" w:cs="Arial"/>
              </w:rPr>
              <w:t xml:space="preserve">. </w:t>
            </w:r>
            <w:r w:rsidR="006722D7">
              <w:rPr>
                <w:rFonts w:ascii="Arial" w:hAnsi="Arial" w:cs="Arial"/>
              </w:rPr>
              <w:t xml:space="preserve">We sought clinical expert advice and 1 expert suggested approximately 40 to 60 patients are living with PFIC in England. This was based on scaling up patients in their </w:t>
            </w:r>
            <w:r w:rsidR="000A5188">
              <w:rPr>
                <w:rFonts w:ascii="Arial" w:hAnsi="Arial" w:cs="Arial"/>
              </w:rPr>
              <w:t>clinic (</w:t>
            </w:r>
            <w:r w:rsidR="006722D7">
              <w:rPr>
                <w:rFonts w:ascii="Arial" w:hAnsi="Arial" w:cs="Arial"/>
              </w:rPr>
              <w:t xml:space="preserve">4) and multiplying by the number of </w:t>
            </w:r>
            <w:r w:rsidR="000A5188">
              <w:rPr>
                <w:rFonts w:ascii="Arial" w:hAnsi="Arial" w:cs="Arial"/>
              </w:rPr>
              <w:t>clinicians treating the condition</w:t>
            </w:r>
            <w:r w:rsidR="006722D7">
              <w:rPr>
                <w:rFonts w:ascii="Arial" w:hAnsi="Arial" w:cs="Arial"/>
              </w:rPr>
              <w:t xml:space="preserve"> in </w:t>
            </w:r>
            <w:r w:rsidR="000A5188">
              <w:rPr>
                <w:rFonts w:ascii="Arial" w:hAnsi="Arial" w:cs="Arial"/>
              </w:rPr>
              <w:t>England</w:t>
            </w:r>
            <w:r w:rsidR="006722D7">
              <w:rPr>
                <w:rFonts w:ascii="Arial" w:hAnsi="Arial" w:cs="Arial"/>
              </w:rPr>
              <w:t xml:space="preserve">. </w:t>
            </w:r>
          </w:p>
          <w:p w14:paraId="01CBB7BD" w14:textId="7E8D9442" w:rsidR="00715B84" w:rsidRDefault="00B1500A" w:rsidP="00715B8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15B84">
              <w:rPr>
                <w:rFonts w:ascii="Arial" w:hAnsi="Arial" w:cs="Arial"/>
              </w:rPr>
              <w:t>The company in</w:t>
            </w:r>
            <w:r w:rsidR="00C10439" w:rsidRPr="00715B84">
              <w:rPr>
                <w:rFonts w:ascii="Arial" w:hAnsi="Arial" w:cs="Arial"/>
              </w:rPr>
              <w:t xml:space="preserve"> HST17 suggest</w:t>
            </w:r>
            <w:r w:rsidRPr="00715B84">
              <w:rPr>
                <w:rFonts w:ascii="Arial" w:hAnsi="Arial" w:cs="Arial"/>
              </w:rPr>
              <w:t>ed</w:t>
            </w:r>
            <w:r w:rsidR="00C10439" w:rsidRPr="00715B84">
              <w:rPr>
                <w:rFonts w:ascii="Arial" w:hAnsi="Arial" w:cs="Arial"/>
              </w:rPr>
              <w:t xml:space="preserve"> that the</w:t>
            </w:r>
            <w:r w:rsidR="00715B84">
              <w:rPr>
                <w:rFonts w:ascii="Arial" w:hAnsi="Arial" w:cs="Arial"/>
              </w:rPr>
              <w:t xml:space="preserve"> estimated survival is 30 years based on </w:t>
            </w:r>
            <w:r w:rsidR="00E34EE2">
              <w:rPr>
                <w:rFonts w:ascii="Arial" w:hAnsi="Arial" w:cs="Arial"/>
              </w:rPr>
              <w:t>a range of studies</w:t>
            </w:r>
            <w:r w:rsidR="00715B84">
              <w:rPr>
                <w:rFonts w:ascii="Arial" w:hAnsi="Arial" w:cs="Arial"/>
              </w:rPr>
              <w:t xml:space="preserve">. </w:t>
            </w:r>
            <w:r w:rsidR="00C10439" w:rsidRPr="00715B84">
              <w:rPr>
                <w:rFonts w:ascii="Arial" w:hAnsi="Arial" w:cs="Arial"/>
              </w:rPr>
              <w:t xml:space="preserve"> </w:t>
            </w:r>
            <w:r w:rsidR="00715B84">
              <w:rPr>
                <w:rFonts w:ascii="Arial" w:hAnsi="Arial" w:cs="Arial"/>
              </w:rPr>
              <w:t>U</w:t>
            </w:r>
            <w:r w:rsidRPr="00715B84">
              <w:rPr>
                <w:rFonts w:ascii="Arial" w:hAnsi="Arial" w:cs="Arial"/>
              </w:rPr>
              <w:t>sing</w:t>
            </w:r>
            <w:r w:rsidRPr="00E34EE2">
              <w:rPr>
                <w:rFonts w:ascii="Arial" w:hAnsi="Arial" w:cs="Arial"/>
              </w:rPr>
              <w:t xml:space="preserve"> the number of births in England (</w:t>
            </w:r>
            <w:r w:rsidR="00715B84">
              <w:rPr>
                <w:rFonts w:ascii="Arial" w:hAnsi="Arial" w:cs="Arial"/>
              </w:rPr>
              <w:t>596,000</w:t>
            </w:r>
            <w:r w:rsidR="00BC10FC">
              <w:rPr>
                <w:rFonts w:ascii="Arial" w:hAnsi="Arial" w:cs="Arial"/>
              </w:rPr>
              <w:t>)</w:t>
            </w:r>
            <w:r w:rsidR="00BC10FC">
              <w:rPr>
                <w:rFonts w:ascii="Arial" w:hAnsi="Arial" w:cs="Arial"/>
                <w:vertAlign w:val="superscript"/>
              </w:rPr>
              <w:t>3</w:t>
            </w:r>
            <w:r w:rsidR="00715B84">
              <w:rPr>
                <w:rFonts w:ascii="Arial" w:hAnsi="Arial" w:cs="Arial"/>
              </w:rPr>
              <w:t xml:space="preserve"> </w:t>
            </w:r>
            <w:r w:rsidRPr="00E34EE2">
              <w:rPr>
                <w:rFonts w:ascii="Arial" w:hAnsi="Arial" w:cs="Arial"/>
              </w:rPr>
              <w:t xml:space="preserve">and an estimated survival of 30 years, an incidence of 1 in </w:t>
            </w:r>
            <w:r w:rsidR="00715B84">
              <w:rPr>
                <w:rFonts w:ascii="Arial" w:hAnsi="Arial" w:cs="Arial"/>
              </w:rPr>
              <w:t>50,000</w:t>
            </w:r>
            <w:r w:rsidRPr="00E34EE2">
              <w:rPr>
                <w:rFonts w:ascii="Arial" w:hAnsi="Arial" w:cs="Arial"/>
              </w:rPr>
              <w:t xml:space="preserve"> </w:t>
            </w:r>
            <w:r w:rsidRPr="00E34EE2">
              <w:rPr>
                <w:rFonts w:ascii="Arial" w:hAnsi="Arial" w:cs="Arial"/>
              </w:rPr>
              <w:lastRenderedPageBreak/>
              <w:t xml:space="preserve">births corresponds to </w:t>
            </w:r>
            <w:r w:rsidR="00715B84">
              <w:rPr>
                <w:rFonts w:ascii="Arial" w:hAnsi="Arial" w:cs="Arial"/>
              </w:rPr>
              <w:t>358</w:t>
            </w:r>
            <w:r w:rsidRPr="00E34EE2">
              <w:rPr>
                <w:rFonts w:ascii="Arial" w:hAnsi="Arial" w:cs="Arial"/>
              </w:rPr>
              <w:t xml:space="preserve"> patients living with PFIC in England</w:t>
            </w:r>
            <w:r w:rsidR="00715B84">
              <w:rPr>
                <w:rFonts w:ascii="Arial" w:hAnsi="Arial" w:cs="Arial"/>
              </w:rPr>
              <w:t xml:space="preserve"> and 1 in 100,000 births corresponds to 179 patients.</w:t>
            </w:r>
          </w:p>
          <w:p w14:paraId="0DF57086" w14:textId="706150C6" w:rsidR="00715B84" w:rsidRPr="006874B5" w:rsidRDefault="008A77B8" w:rsidP="00E34EE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Although no robust estimates can be found it </w:t>
            </w:r>
            <w:r w:rsidR="00664957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estimated that there are less than</w:t>
            </w:r>
            <w:r w:rsidR="00715B84">
              <w:rPr>
                <w:rFonts w:ascii="Arial" w:hAnsi="Arial" w:cs="Arial"/>
              </w:rPr>
              <w:t xml:space="preserve"> 1:50</w:t>
            </w:r>
            <w:r w:rsidR="00660689">
              <w:rPr>
                <w:rFonts w:ascii="Arial" w:hAnsi="Arial" w:cs="Arial"/>
              </w:rPr>
              <w:t>,0</w:t>
            </w:r>
            <w:r w:rsidR="00715B84">
              <w:rPr>
                <w:rFonts w:ascii="Arial" w:hAnsi="Arial" w:cs="Arial"/>
              </w:rPr>
              <w:t xml:space="preserve">00 people living with PFIC in England. </w:t>
            </w:r>
            <w:r>
              <w:rPr>
                <w:rFonts w:ascii="Arial" w:hAnsi="Arial" w:cs="Arial"/>
              </w:rPr>
              <w:t>This criteria is met.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D869EF0" w14:textId="77777777" w:rsidR="006F45F4" w:rsidRPr="00D71447" w:rsidRDefault="006F45F4" w:rsidP="006F45F4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Met</w:t>
            </w:r>
          </w:p>
          <w:p w14:paraId="701F8C40" w14:textId="77777777" w:rsidR="006F45F4" w:rsidRPr="00EF3DC0" w:rsidRDefault="006F45F4" w:rsidP="006F45F4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6F45F4" w:rsidRPr="00C9475C" w14:paraId="3349B105" w14:textId="77777777" w:rsidTr="00ED73DC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782C" w14:textId="77777777" w:rsidR="006F45F4" w:rsidRPr="00D71447" w:rsidRDefault="006F45F4" w:rsidP="006F45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F1C5" w14:textId="77777777" w:rsidR="006F45F4" w:rsidRDefault="006F45F4" w:rsidP="006F45F4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indications </w:t>
            </w:r>
          </w:p>
          <w:p w14:paraId="16F6FED7" w14:textId="77777777" w:rsidR="006F45F4" w:rsidRPr="00D71447" w:rsidRDefault="006F45F4" w:rsidP="006F45F4">
            <w:pPr>
              <w:rPr>
                <w:rFonts w:ascii="Arial" w:hAnsi="Arial" w:cs="Arial"/>
              </w:rPr>
            </w:pPr>
          </w:p>
        </w:tc>
        <w:tc>
          <w:tcPr>
            <w:tcW w:w="2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F251" w14:textId="52AB9107" w:rsidR="008A77B8" w:rsidRDefault="008A77B8" w:rsidP="000A518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criteria 1 it is estimated that up to 3</w:t>
            </w:r>
            <w:r w:rsidR="00664957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people could be living with PFIC in England. Although the number of people eligible for treatment with maralixibat is likely considerably lower than this</w:t>
            </w:r>
            <w:r w:rsidR="00C35745">
              <w:rPr>
                <w:rFonts w:ascii="Arial" w:hAnsi="Arial" w:cs="Arial"/>
              </w:rPr>
              <w:t xml:space="preserve"> based on clinical </w:t>
            </w:r>
            <w:r w:rsidR="00572D72">
              <w:rPr>
                <w:rFonts w:ascii="Arial" w:hAnsi="Arial" w:cs="Arial"/>
              </w:rPr>
              <w:t>advice</w:t>
            </w:r>
            <w:r>
              <w:rPr>
                <w:rFonts w:ascii="Arial" w:hAnsi="Arial" w:cs="Arial"/>
              </w:rPr>
              <w:t>.</w:t>
            </w:r>
          </w:p>
          <w:p w14:paraId="0891A2E0" w14:textId="2C9BAAEB" w:rsidR="008A77B8" w:rsidRDefault="008A77B8" w:rsidP="008A77B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0A5188">
              <w:rPr>
                <w:rFonts w:ascii="Arial" w:hAnsi="Arial" w:cs="Arial"/>
              </w:rPr>
              <w:t xml:space="preserve">Between June 2022 and June 2023 </w:t>
            </w:r>
            <w:r>
              <w:rPr>
                <w:rFonts w:ascii="Arial" w:hAnsi="Arial" w:cs="Arial"/>
              </w:rPr>
              <w:t xml:space="preserve">data obtained from NHS England shows </w:t>
            </w:r>
            <w:r w:rsidRPr="000A5188">
              <w:rPr>
                <w:rFonts w:ascii="Arial" w:hAnsi="Arial" w:cs="Arial"/>
              </w:rPr>
              <w:t xml:space="preserve">there have been </w:t>
            </w:r>
            <w:r w:rsidR="007803DA" w:rsidRPr="007803DA">
              <w:rPr>
                <w:rFonts w:ascii="Arial" w:hAnsi="Arial" w:cs="Arial"/>
                <w:highlight w:val="black"/>
                <w:u w:val="single"/>
              </w:rPr>
              <w:t>xx</w:t>
            </w:r>
            <w:r w:rsidRPr="000A5188">
              <w:rPr>
                <w:rFonts w:ascii="Arial" w:hAnsi="Arial" w:cs="Arial"/>
              </w:rPr>
              <w:t xml:space="preserve"> approvals for odevixibat in </w:t>
            </w:r>
            <w:r>
              <w:rPr>
                <w:rFonts w:ascii="Arial" w:hAnsi="Arial" w:cs="Arial"/>
              </w:rPr>
              <w:t>PFIC</w:t>
            </w:r>
            <w:r w:rsidRPr="000A5188">
              <w:rPr>
                <w:rFonts w:ascii="Arial" w:hAnsi="Arial" w:cs="Arial"/>
              </w:rPr>
              <w:t>.</w:t>
            </w:r>
          </w:p>
          <w:p w14:paraId="052BBBE2" w14:textId="765F1FE8" w:rsidR="00AB7B52" w:rsidRPr="000A5188" w:rsidRDefault="00AB7B52" w:rsidP="000A518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8A77B8">
              <w:rPr>
                <w:rFonts w:ascii="Arial" w:hAnsi="Arial" w:cs="Arial"/>
              </w:rPr>
              <w:t>refore the</w:t>
            </w:r>
            <w:r>
              <w:rPr>
                <w:rFonts w:ascii="Arial" w:hAnsi="Arial" w:cs="Arial"/>
              </w:rPr>
              <w:t xml:space="preserve"> number of patients eligible for treatment </w:t>
            </w:r>
            <w:r w:rsidR="00B1500A">
              <w:rPr>
                <w:rFonts w:ascii="Arial" w:hAnsi="Arial" w:cs="Arial"/>
              </w:rPr>
              <w:t xml:space="preserve">with maralixibat </w:t>
            </w:r>
            <w:r>
              <w:rPr>
                <w:rFonts w:ascii="Arial" w:hAnsi="Arial" w:cs="Arial"/>
              </w:rPr>
              <w:t xml:space="preserve">in England </w:t>
            </w:r>
            <w:r w:rsidR="00664957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likely to be </w:t>
            </w:r>
            <w:r w:rsidR="00ED73DC">
              <w:rPr>
                <w:rFonts w:ascii="Arial" w:hAnsi="Arial" w:cs="Arial"/>
              </w:rPr>
              <w:t xml:space="preserve">significantly </w:t>
            </w:r>
            <w:r>
              <w:rPr>
                <w:rFonts w:ascii="Arial" w:hAnsi="Arial" w:cs="Arial"/>
              </w:rPr>
              <w:t xml:space="preserve">under </w:t>
            </w:r>
            <w:r w:rsidR="00B1500A">
              <w:rPr>
                <w:rFonts w:ascii="Arial" w:hAnsi="Arial" w:cs="Arial"/>
              </w:rPr>
              <w:t xml:space="preserve">300 </w:t>
            </w:r>
            <w:r>
              <w:rPr>
                <w:rFonts w:ascii="Arial" w:hAnsi="Arial" w:cs="Arial"/>
              </w:rPr>
              <w:t xml:space="preserve">based on NHSE data on odevixibat. </w:t>
            </w:r>
          </w:p>
          <w:p w14:paraId="594DC1EC" w14:textId="2491FDCC" w:rsidR="000A5188" w:rsidRDefault="000A5188" w:rsidP="000A518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Maralixibat </w:t>
            </w:r>
            <w:r w:rsidR="006F361A">
              <w:rPr>
                <w:rFonts w:ascii="Arial" w:hAnsi="Arial" w:cs="Arial"/>
              </w:rPr>
              <w:t xml:space="preserve">now </w:t>
            </w:r>
            <w:r w:rsidR="0085119C">
              <w:rPr>
                <w:rFonts w:ascii="Arial" w:hAnsi="Arial" w:cs="Arial"/>
              </w:rPr>
              <w:t xml:space="preserve">has a licence </w:t>
            </w:r>
            <w:r w:rsidR="00B50A10">
              <w:rPr>
                <w:rFonts w:ascii="Arial" w:hAnsi="Arial" w:cs="Arial"/>
              </w:rPr>
              <w:t xml:space="preserve">in </w:t>
            </w:r>
            <w:r w:rsidR="001760E2">
              <w:rPr>
                <w:rFonts w:ascii="Arial" w:hAnsi="Arial" w:cs="Arial"/>
              </w:rPr>
              <w:t>England</w:t>
            </w:r>
            <w:r w:rsidR="00B50A10">
              <w:rPr>
                <w:rFonts w:ascii="Arial" w:hAnsi="Arial" w:cs="Arial"/>
              </w:rPr>
              <w:t xml:space="preserve"> </w:t>
            </w:r>
            <w:r w:rsidR="0085119C">
              <w:rPr>
                <w:rFonts w:ascii="Arial" w:hAnsi="Arial" w:cs="Arial"/>
              </w:rPr>
              <w:t xml:space="preserve">for </w:t>
            </w:r>
            <w:r w:rsidR="00B50A10">
              <w:rPr>
                <w:rFonts w:ascii="Arial" w:hAnsi="Arial" w:cs="Arial"/>
              </w:rPr>
              <w:t>treating</w:t>
            </w:r>
            <w:r w:rsidR="0085119C" w:rsidRPr="0085119C">
              <w:rPr>
                <w:rFonts w:ascii="Arial" w:hAnsi="Arial" w:cs="Arial"/>
              </w:rPr>
              <w:t xml:space="preserve"> cholestatic pruritus in patients with Alagille syndrome 2 months of age and older</w:t>
            </w:r>
            <w:r w:rsidR="0085119C">
              <w:rPr>
                <w:rFonts w:ascii="Arial" w:hAnsi="Arial" w:cs="Arial"/>
              </w:rPr>
              <w:t>.</w:t>
            </w:r>
            <w:r w:rsidR="0085119C" w:rsidRPr="0085119C" w:rsidDel="000A5188">
              <w:rPr>
                <w:rFonts w:ascii="Arial" w:hAnsi="Arial" w:cs="Arial"/>
              </w:rPr>
              <w:t xml:space="preserve"> </w:t>
            </w:r>
            <w:r w:rsidR="0085119C">
              <w:rPr>
                <w:rFonts w:ascii="Arial" w:hAnsi="Arial" w:cs="Arial"/>
              </w:rPr>
              <w:t xml:space="preserve">The </w:t>
            </w:r>
            <w:r w:rsidR="00660689" w:rsidRPr="00660689">
              <w:rPr>
                <w:rFonts w:ascii="Arial" w:hAnsi="Arial" w:cs="Arial"/>
              </w:rPr>
              <w:t xml:space="preserve">NICE technical team estimated the numbers of patients eligible for treatment in this indication </w:t>
            </w:r>
            <w:r w:rsidR="0085119C">
              <w:rPr>
                <w:rFonts w:ascii="Arial" w:hAnsi="Arial" w:cs="Arial"/>
              </w:rPr>
              <w:t xml:space="preserve">to be between </w:t>
            </w:r>
            <w:r w:rsidR="00B96D18" w:rsidRPr="00B96D18">
              <w:rPr>
                <w:rFonts w:ascii="Arial" w:hAnsi="Arial" w:cs="Arial"/>
                <w:highlight w:val="black"/>
                <w:u w:val="single"/>
              </w:rPr>
              <w:t>xxx</w:t>
            </w:r>
            <w:r w:rsidR="00AB7B52" w:rsidRPr="00DC30CB">
              <w:rPr>
                <w:rFonts w:ascii="Arial" w:hAnsi="Arial" w:cs="Arial"/>
              </w:rPr>
              <w:t xml:space="preserve"> </w:t>
            </w:r>
            <w:r w:rsidR="00785270">
              <w:rPr>
                <w:rFonts w:ascii="Arial" w:hAnsi="Arial" w:cs="Arial"/>
              </w:rPr>
              <w:t xml:space="preserve">and </w:t>
            </w:r>
            <w:r w:rsidR="00B96D18" w:rsidRPr="00B96D18">
              <w:rPr>
                <w:rFonts w:ascii="Arial" w:hAnsi="Arial" w:cs="Arial"/>
                <w:highlight w:val="black"/>
                <w:u w:val="single"/>
              </w:rPr>
              <w:t>xxx</w:t>
            </w:r>
            <w:r w:rsidR="00785270">
              <w:rPr>
                <w:rFonts w:ascii="Arial" w:hAnsi="Arial" w:cs="Arial"/>
              </w:rPr>
              <w:t xml:space="preserve"> people</w:t>
            </w:r>
            <w:r w:rsidR="00AB7B52">
              <w:rPr>
                <w:rFonts w:ascii="Arial" w:hAnsi="Arial" w:cs="Arial"/>
              </w:rPr>
              <w:t xml:space="preserve"> (using 1:30,000 estimate of incidence)</w:t>
            </w:r>
            <w:r w:rsidR="00785270">
              <w:rPr>
                <w:rFonts w:ascii="Arial" w:hAnsi="Arial" w:cs="Arial"/>
              </w:rPr>
              <w:t>.</w:t>
            </w:r>
            <w:r w:rsidR="00B50A10">
              <w:rPr>
                <w:rFonts w:ascii="Arial" w:hAnsi="Arial" w:cs="Arial"/>
              </w:rPr>
              <w:t xml:space="preserve"> </w:t>
            </w:r>
          </w:p>
          <w:p w14:paraId="05049568" w14:textId="44067078" w:rsidR="006F45F4" w:rsidRPr="00B37035" w:rsidRDefault="008A77B8" w:rsidP="00ED73D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the </w:t>
            </w:r>
            <w:r w:rsidR="003A1BBA">
              <w:rPr>
                <w:rFonts w:ascii="Arial" w:hAnsi="Arial" w:cs="Arial"/>
              </w:rPr>
              <w:t>lower</w:t>
            </w:r>
            <w:r>
              <w:rPr>
                <w:rFonts w:ascii="Arial" w:hAnsi="Arial" w:cs="Arial"/>
              </w:rPr>
              <w:t xml:space="preserve"> estimate of </w:t>
            </w:r>
            <w:r w:rsidRPr="00B96D18">
              <w:rPr>
                <w:rFonts w:ascii="Arial" w:hAnsi="Arial" w:cs="Arial"/>
                <w:highlight w:val="black"/>
                <w:u w:val="single"/>
              </w:rPr>
              <w:t>447</w:t>
            </w:r>
            <w:r>
              <w:rPr>
                <w:rFonts w:ascii="Arial" w:hAnsi="Arial" w:cs="Arial"/>
              </w:rPr>
              <w:t xml:space="preserve"> and adding it to the number of patients who have already been treated with odevixibat in England</w:t>
            </w:r>
            <w:r w:rsidR="00ED73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(as a proxy for numbers eligible for maralixibat in PFIC). It is likely to remain under 500 across all its indications.</w:t>
            </w:r>
            <w:r w:rsidR="00ED73DC">
              <w:rPr>
                <w:rFonts w:ascii="Arial" w:hAnsi="Arial" w:cs="Arial"/>
              </w:rPr>
              <w:t xml:space="preserve"> </w:t>
            </w:r>
            <w:r w:rsidR="00E34EE2">
              <w:rPr>
                <w:rFonts w:ascii="Arial" w:hAnsi="Arial" w:cs="Arial"/>
              </w:rPr>
              <w:t xml:space="preserve">This criteria is met.  </w:t>
            </w:r>
            <w:r w:rsidR="00AB7B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7451212" w14:textId="3527702C" w:rsidR="00BD79CD" w:rsidRDefault="00ED73DC" w:rsidP="00BD79CD">
            <w:pPr>
              <w:ind w:left="288" w:right="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D79CD" w:rsidRPr="00D71447">
              <w:rPr>
                <w:rFonts w:ascii="Arial" w:hAnsi="Arial" w:cs="Arial"/>
              </w:rPr>
              <w:t>et</w:t>
            </w:r>
          </w:p>
          <w:p w14:paraId="674A952C" w14:textId="77777777" w:rsidR="006F45F4" w:rsidRPr="00EF3DC0" w:rsidRDefault="006F45F4" w:rsidP="006F45F4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6F45F4" w:rsidRPr="00C9475C" w14:paraId="1F5747B5" w14:textId="77777777" w:rsidTr="006941E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8E635" w14:textId="77777777" w:rsidR="006F45F4" w:rsidRPr="00D71447" w:rsidRDefault="006F45F4" w:rsidP="006F45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4D7B" w14:textId="77777777" w:rsidR="006F45F4" w:rsidRPr="00D71447" w:rsidRDefault="006F45F4" w:rsidP="006F45F4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very rare condition significantly shortens life or severely impairs its quality </w:t>
            </w:r>
          </w:p>
          <w:p w14:paraId="6A5D336F" w14:textId="77777777" w:rsidR="006F45F4" w:rsidRPr="00D71447" w:rsidRDefault="006F45F4" w:rsidP="006F45F4">
            <w:pPr>
              <w:rPr>
                <w:rFonts w:ascii="Arial" w:hAnsi="Arial" w:cs="Arial"/>
              </w:rPr>
            </w:pPr>
          </w:p>
        </w:tc>
        <w:tc>
          <w:tcPr>
            <w:tcW w:w="2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74D19" w14:textId="3AA6C3C9" w:rsidR="006F45F4" w:rsidRPr="00CD3014" w:rsidRDefault="006F45F4" w:rsidP="0020755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4C6AD2">
              <w:rPr>
                <w:rFonts w:ascii="Arial" w:hAnsi="Arial" w:cs="Arial"/>
              </w:rPr>
              <w:t xml:space="preserve">Yes – it is a chronic condition that severely limits life expectancy and </w:t>
            </w:r>
            <w:r>
              <w:rPr>
                <w:rFonts w:ascii="Arial" w:hAnsi="Arial" w:cs="Arial"/>
              </w:rPr>
              <w:t>greatly impacts</w:t>
            </w:r>
            <w:r w:rsidRPr="004C6AD2">
              <w:rPr>
                <w:rFonts w:ascii="Arial" w:hAnsi="Arial" w:cs="Arial"/>
              </w:rPr>
              <w:t xml:space="preserve"> health-related quality of life. Patients experience distressing symptoms including jaundice and severe itching. Untreated it leads to complications including portal hypertension, cirrhosis, liver failure, and hepatocellular carcinoma. 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5186A27" w14:textId="77777777" w:rsidR="006F45F4" w:rsidRPr="00D71447" w:rsidRDefault="006F45F4" w:rsidP="006F45F4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Met</w:t>
            </w:r>
          </w:p>
          <w:p w14:paraId="744BE9DA" w14:textId="77777777" w:rsidR="006F45F4" w:rsidRPr="00EF3DC0" w:rsidRDefault="006F45F4" w:rsidP="006F45F4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6F45F4" w:rsidRPr="00C9475C" w14:paraId="7E47EAE0" w14:textId="77777777" w:rsidTr="006941E7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6B9CD" w14:textId="77777777" w:rsidR="006F45F4" w:rsidRPr="00D71447" w:rsidRDefault="006F45F4" w:rsidP="006F45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DF83" w14:textId="77777777" w:rsidR="006F45F4" w:rsidRDefault="006F45F4" w:rsidP="006F45F4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There are no other satisfactory treatment options, or the technology is likely to offer significant additional benefit over existing treatment options.</w:t>
            </w:r>
          </w:p>
          <w:p w14:paraId="2575901D" w14:textId="77777777" w:rsidR="006F45F4" w:rsidRPr="00D71447" w:rsidRDefault="006F45F4" w:rsidP="006F45F4">
            <w:pPr>
              <w:rPr>
                <w:rFonts w:ascii="Arial" w:hAnsi="Arial" w:cs="Arial"/>
              </w:rPr>
            </w:pPr>
          </w:p>
          <w:p w14:paraId="2A26751D" w14:textId="77777777" w:rsidR="006F45F4" w:rsidRPr="00D71447" w:rsidRDefault="006F45F4" w:rsidP="006F45F4">
            <w:pPr>
              <w:rPr>
                <w:rFonts w:ascii="Arial" w:hAnsi="Arial" w:cs="Arial"/>
              </w:rPr>
            </w:pPr>
          </w:p>
        </w:tc>
        <w:tc>
          <w:tcPr>
            <w:tcW w:w="2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B78C5" w14:textId="0A70A3A3" w:rsidR="003A1BBA" w:rsidRDefault="00ED73DC" w:rsidP="00197103">
            <w:pPr>
              <w:pStyle w:val="Paragraphnonumbers"/>
              <w:numPr>
                <w:ilvl w:val="0"/>
                <w:numId w:val="42"/>
              </w:numPr>
              <w:rPr>
                <w:lang w:val="en-US"/>
              </w:rPr>
            </w:pPr>
            <w:r>
              <w:rPr>
                <w:lang w:val="en-US"/>
              </w:rPr>
              <w:t xml:space="preserve">Current clinical management </w:t>
            </w:r>
            <w:r w:rsidR="00815F7D">
              <w:rPr>
                <w:lang w:val="en-US"/>
              </w:rPr>
              <w:t xml:space="preserve">in England </w:t>
            </w:r>
            <w:r>
              <w:rPr>
                <w:lang w:val="en-US"/>
              </w:rPr>
              <w:t xml:space="preserve">includes odevixibat </w:t>
            </w:r>
            <w:r w:rsidR="003A1BBA">
              <w:rPr>
                <w:lang w:val="en-US"/>
              </w:rPr>
              <w:t xml:space="preserve">which is recommended and used routinely in the NHS for all PFIC subtypes </w:t>
            </w:r>
            <w:r>
              <w:rPr>
                <w:lang w:val="en-US"/>
              </w:rPr>
              <w:t xml:space="preserve">in patients aged 6 months or older. </w:t>
            </w:r>
          </w:p>
          <w:p w14:paraId="11C3CD3D" w14:textId="75F7A17B" w:rsidR="00544AD9" w:rsidRDefault="00544AD9" w:rsidP="00197103">
            <w:pPr>
              <w:pStyle w:val="Paragraphnonumbers"/>
              <w:numPr>
                <w:ilvl w:val="0"/>
                <w:numId w:val="42"/>
              </w:numPr>
              <w:rPr>
                <w:lang w:val="en-US"/>
              </w:rPr>
            </w:pPr>
            <w:r>
              <w:rPr>
                <w:lang w:val="en-US"/>
              </w:rPr>
              <w:t>According to the mechanism of action and clinical expert advice</w:t>
            </w:r>
            <w:r w:rsidR="003A1BBA">
              <w:rPr>
                <w:lang w:val="en-US"/>
              </w:rPr>
              <w:t>,</w:t>
            </w:r>
            <w:r>
              <w:rPr>
                <w:lang w:val="en-US"/>
              </w:rPr>
              <w:t xml:space="preserve"> odevixibat and maralixibat are clinically similar. </w:t>
            </w:r>
            <w:r w:rsidR="00324C4E">
              <w:rPr>
                <w:lang w:val="en-US"/>
              </w:rPr>
              <w:t xml:space="preserve">Any groups of patients who are unsuitable for treatment with odevixibat are highly likely to be unsuitable for maralixibat. </w:t>
            </w:r>
            <w:r w:rsidR="00ED73DC">
              <w:rPr>
                <w:lang w:val="en-US"/>
              </w:rPr>
              <w:t xml:space="preserve">This includes those patients whose disease is unlikely to respond to treatment, identified in the odevixibat summary of product characteristics (PFIC type 2 who have a complete absence or lack of function of bile salt export pump [BSEP]). </w:t>
            </w:r>
          </w:p>
          <w:p w14:paraId="448AA222" w14:textId="665B8B5A" w:rsidR="00815F7D" w:rsidRDefault="00DC30CB" w:rsidP="00815F7D">
            <w:pPr>
              <w:pStyle w:val="Paragraphnonumbers"/>
              <w:numPr>
                <w:ilvl w:val="0"/>
                <w:numId w:val="42"/>
              </w:numPr>
              <w:rPr>
                <w:lang w:val="en-US"/>
              </w:rPr>
            </w:pPr>
            <w:r w:rsidRPr="003A1BBA">
              <w:rPr>
                <w:lang w:val="en-US"/>
              </w:rPr>
              <w:t xml:space="preserve">The company highlighted that there is a potential difference of </w:t>
            </w:r>
            <w:r w:rsidR="00246939" w:rsidRPr="00246939">
              <w:rPr>
                <w:highlight w:val="black"/>
                <w:u w:val="single"/>
                <w:lang w:val="en-US"/>
              </w:rPr>
              <w:t>xxxxx</w:t>
            </w:r>
            <w:r w:rsidRPr="003A1BBA">
              <w:rPr>
                <w:lang w:val="en-US"/>
              </w:rPr>
              <w:t xml:space="preserve"> between when maralixibat could potentially be prescribed </w:t>
            </w:r>
            <w:r>
              <w:rPr>
                <w:lang w:val="en-US"/>
              </w:rPr>
              <w:t xml:space="preserve">(at </w:t>
            </w:r>
            <w:r w:rsidR="00246939" w:rsidRPr="00246939">
              <w:rPr>
                <w:highlight w:val="black"/>
                <w:u w:val="single"/>
                <w:lang w:val="en-US"/>
              </w:rPr>
              <w:t>xxxx</w:t>
            </w:r>
            <w:r>
              <w:rPr>
                <w:lang w:val="en-US"/>
              </w:rPr>
              <w:t xml:space="preserve"> of age) </w:t>
            </w:r>
            <w:r w:rsidRPr="003A1BBA">
              <w:rPr>
                <w:lang w:val="en-US"/>
              </w:rPr>
              <w:t>and when odevixibat is recommended</w:t>
            </w:r>
            <w:r>
              <w:rPr>
                <w:lang w:val="en-US"/>
              </w:rPr>
              <w:t xml:space="preserve"> (6 months of age)</w:t>
            </w:r>
            <w:r w:rsidRPr="003A1BBA">
              <w:rPr>
                <w:lang w:val="en-US"/>
              </w:rPr>
              <w:t>.</w:t>
            </w:r>
            <w:r>
              <w:rPr>
                <w:lang w:val="en-US"/>
              </w:rPr>
              <w:t xml:space="preserve"> In the HST guidance for odevixibat, clinical experts noted that o</w:t>
            </w:r>
            <w:r w:rsidRPr="00DC30CB">
              <w:rPr>
                <w:lang w:val="en-US"/>
              </w:rPr>
              <w:t xml:space="preserve">ff-label medicines would be started in the time leading up to diagnosis being confirmed. They also pointed out that off-label medicines would be started in babies younger than 6 months, who are not included in the marketing authorisation for </w:t>
            </w:r>
            <w:r>
              <w:rPr>
                <w:lang w:val="en-US"/>
              </w:rPr>
              <w:t>odevixibat. These</w:t>
            </w:r>
            <w:r w:rsidR="00815F7D">
              <w:rPr>
                <w:lang w:val="en-US"/>
              </w:rPr>
              <w:t xml:space="preserve"> treatments can include cholestyramine, partial external biliary diversion, and surgical biliary diversion. However</w:t>
            </w:r>
            <w:r w:rsidR="00664957">
              <w:rPr>
                <w:lang w:val="en-US"/>
              </w:rPr>
              <w:t>,</w:t>
            </w:r>
            <w:r w:rsidR="00815F7D">
              <w:rPr>
                <w:lang w:val="en-US"/>
              </w:rPr>
              <w:t xml:space="preserve"> it was acknowledged in HST17 that these treatments are very poorly tolerated (especially in very young children) and have limited efficacy.</w:t>
            </w:r>
          </w:p>
          <w:p w14:paraId="53E3E5F0" w14:textId="41AB5AF0" w:rsidR="003A1BBA" w:rsidRPr="003A1BBA" w:rsidRDefault="00815F7D" w:rsidP="00197103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It is therefore highly likely that maralixibat does not offer significant clinical benefit over odevixibat. And whilst its acknowledged that other treatments are poorly tolerated, current NHS clinical practice in children under 6 months of </w:t>
            </w:r>
            <w:r>
              <w:rPr>
                <w:rFonts w:ascii="Arial" w:hAnsi="Arial"/>
                <w:lang w:val="en-US"/>
              </w:rPr>
              <w:lastRenderedPageBreak/>
              <w:t xml:space="preserve">age is to offer treatments to stop pruritis. Therefore despite the potential MA </w:t>
            </w:r>
            <w:r w:rsidR="001734DC">
              <w:rPr>
                <w:rFonts w:ascii="Arial" w:hAnsi="Arial"/>
                <w:lang w:val="en-US"/>
              </w:rPr>
              <w:t>difference</w:t>
            </w:r>
            <w:r>
              <w:rPr>
                <w:rFonts w:ascii="Arial" w:hAnsi="Arial"/>
                <w:lang w:val="en-US"/>
              </w:rPr>
              <w:t xml:space="preserve"> of </w:t>
            </w:r>
            <w:r w:rsidR="00246939" w:rsidRPr="00246939">
              <w:rPr>
                <w:rFonts w:ascii="Arial" w:hAnsi="Arial"/>
                <w:highlight w:val="black"/>
                <w:u w:val="single"/>
                <w:lang w:val="en-US"/>
              </w:rPr>
              <w:t>xxxxx</w:t>
            </w:r>
            <w:r w:rsidR="001734DC">
              <w:rPr>
                <w:rFonts w:ascii="Arial" w:hAnsi="Arial"/>
                <w:lang w:val="en-US"/>
              </w:rPr>
              <w:t>,</w:t>
            </w:r>
            <w:r w:rsidR="00572D72">
              <w:rPr>
                <w:rFonts w:ascii="Arial" w:hAnsi="Arial"/>
                <w:lang w:val="en-US"/>
              </w:rPr>
              <w:t xml:space="preserve"> other treatments are available and </w:t>
            </w:r>
            <w:r>
              <w:rPr>
                <w:rFonts w:ascii="Arial" w:hAnsi="Arial"/>
                <w:lang w:val="en-US"/>
              </w:rPr>
              <w:t xml:space="preserve">criteria 4 is not met. </w:t>
            </w:r>
          </w:p>
          <w:p w14:paraId="6C255395" w14:textId="3A68359D" w:rsidR="006F45F4" w:rsidRPr="00DC30CB" w:rsidRDefault="006F45F4" w:rsidP="00DC30CB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6A701A3" w14:textId="77777777" w:rsidR="006F45F4" w:rsidRPr="00D71447" w:rsidRDefault="006F45F4" w:rsidP="006F45F4">
            <w:pPr>
              <w:ind w:right="188"/>
              <w:rPr>
                <w:rFonts w:ascii="Arial" w:hAnsi="Arial" w:cs="Arial"/>
              </w:rPr>
            </w:pPr>
          </w:p>
          <w:p w14:paraId="6FF69178" w14:textId="77777777" w:rsidR="006F45F4" w:rsidRDefault="006F45F4" w:rsidP="006F45F4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Not met</w:t>
            </w:r>
          </w:p>
          <w:p w14:paraId="380DA38B" w14:textId="77777777" w:rsidR="006F45F4" w:rsidRPr="00EF3DC0" w:rsidRDefault="006F45F4" w:rsidP="006F45F4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</w:tbl>
    <w:p w14:paraId="280A9C58" w14:textId="5FD20880" w:rsidR="000D3405" w:rsidRDefault="000D3405" w:rsidP="00F90BB8">
      <w:pPr>
        <w:rPr>
          <w:rFonts w:ascii="Arial" w:hAnsi="Arial" w:cs="Arial"/>
          <w:b/>
          <w:bCs/>
        </w:rPr>
      </w:pPr>
    </w:p>
    <w:p w14:paraId="7EDEDBAF" w14:textId="77777777" w:rsidR="006F45F4" w:rsidRPr="00E970E0" w:rsidRDefault="006F45F4" w:rsidP="006F45F4">
      <w:pPr>
        <w:pStyle w:val="Heading1"/>
        <w:spacing w:before="240"/>
        <w:rPr>
          <w:rFonts w:cs="Arial"/>
          <w:sz w:val="22"/>
          <w:szCs w:val="22"/>
        </w:rPr>
      </w:pPr>
      <w:r w:rsidRPr="00E970E0">
        <w:rPr>
          <w:rFonts w:cs="Arial"/>
          <w:sz w:val="22"/>
          <w:szCs w:val="22"/>
        </w:rPr>
        <w:t>References</w:t>
      </w:r>
    </w:p>
    <w:p w14:paraId="469EB3F2" w14:textId="77777777" w:rsidR="006F45F4" w:rsidRPr="009564AD" w:rsidRDefault="006F45F4" w:rsidP="006F45F4">
      <w:pPr>
        <w:pStyle w:val="BodyText"/>
        <w:numPr>
          <w:ilvl w:val="0"/>
          <w:numId w:val="36"/>
        </w:numPr>
        <w:spacing w:after="120"/>
        <w:rPr>
          <w:sz w:val="22"/>
          <w:szCs w:val="22"/>
          <w:lang w:val="en-GB"/>
        </w:rPr>
      </w:pPr>
      <w:bookmarkStart w:id="0" w:name="_Hlk37256524"/>
      <w:r w:rsidRPr="009564AD">
        <w:rPr>
          <w:rFonts w:cs="Arial"/>
          <w:sz w:val="22"/>
          <w:szCs w:val="22"/>
          <w:lang w:val="en"/>
        </w:rPr>
        <w:t>Orphanet</w:t>
      </w:r>
      <w:r w:rsidRPr="009564AD">
        <w:rPr>
          <w:rFonts w:cs="Arial"/>
          <w:sz w:val="22"/>
          <w:szCs w:val="22"/>
        </w:rPr>
        <w:t xml:space="preserve"> </w:t>
      </w:r>
      <w:hyperlink r:id="rId8" w:history="1">
        <w:r w:rsidRPr="009564AD">
          <w:rPr>
            <w:rStyle w:val="Hyperlink"/>
            <w:rFonts w:cs="Arial"/>
            <w:sz w:val="22"/>
            <w:szCs w:val="22"/>
          </w:rPr>
          <w:t>Progressive familial intrahepatic cholestasis</w:t>
        </w:r>
      </w:hyperlink>
      <w:r w:rsidRPr="009564AD">
        <w:rPr>
          <w:rStyle w:val="Hyperlink"/>
          <w:rFonts w:cs="Arial"/>
          <w:sz w:val="22"/>
          <w:szCs w:val="22"/>
          <w:lang w:val="en-US"/>
        </w:rPr>
        <w:t xml:space="preserve"> (2009)</w:t>
      </w:r>
      <w:r w:rsidRPr="009564AD">
        <w:rPr>
          <w:rFonts w:cs="Arial"/>
          <w:sz w:val="22"/>
          <w:szCs w:val="22"/>
        </w:rPr>
        <w:t xml:space="preserve">. Accessed </w:t>
      </w:r>
      <w:bookmarkEnd w:id="0"/>
      <w:r>
        <w:rPr>
          <w:rFonts w:cs="Arial"/>
          <w:sz w:val="22"/>
          <w:szCs w:val="22"/>
          <w:lang w:val="en-US"/>
        </w:rPr>
        <w:t>January 2023.</w:t>
      </w:r>
    </w:p>
    <w:p w14:paraId="516A2FFE" w14:textId="77777777" w:rsidR="006F45F4" w:rsidRPr="00B37035" w:rsidRDefault="0019310B" w:rsidP="006F45F4">
      <w:pPr>
        <w:pStyle w:val="BodyText"/>
        <w:numPr>
          <w:ilvl w:val="0"/>
          <w:numId w:val="36"/>
        </w:numPr>
        <w:spacing w:after="120"/>
        <w:rPr>
          <w:rFonts w:cs="Arial"/>
          <w:sz w:val="22"/>
          <w:szCs w:val="22"/>
          <w:lang w:val="en-GB"/>
        </w:rPr>
      </w:pPr>
      <w:hyperlink r:id="rId9" w:anchor="statistics" w:history="1">
        <w:r w:rsidR="006F45F4" w:rsidRPr="009564AD">
          <w:rPr>
            <w:rStyle w:val="Hyperlink"/>
            <w:rFonts w:cs="Arial"/>
            <w:sz w:val="22"/>
            <w:szCs w:val="22"/>
            <w:lang w:val="en-US"/>
          </w:rPr>
          <w:t>Progressive familial intrahepatic cholestasis</w:t>
        </w:r>
      </w:hyperlink>
      <w:r w:rsidR="006F45F4" w:rsidRPr="009564AD">
        <w:rPr>
          <w:rFonts w:cs="Arial"/>
          <w:sz w:val="22"/>
          <w:szCs w:val="22"/>
          <w:lang w:val="en-US"/>
        </w:rPr>
        <w:t xml:space="preserve">. Genetics Home Reference (2009). Accessed </w:t>
      </w:r>
      <w:r w:rsidR="006F45F4">
        <w:rPr>
          <w:rFonts w:cs="Arial"/>
          <w:sz w:val="22"/>
          <w:szCs w:val="22"/>
          <w:lang w:val="en-US"/>
        </w:rPr>
        <w:t>January 2023.</w:t>
      </w:r>
      <w:r w:rsidR="006F45F4" w:rsidRPr="009564AD">
        <w:rPr>
          <w:rFonts w:cs="Arial"/>
          <w:sz w:val="22"/>
          <w:szCs w:val="22"/>
          <w:lang w:val="en-US"/>
        </w:rPr>
        <w:t xml:space="preserve"> </w:t>
      </w:r>
    </w:p>
    <w:p w14:paraId="18ED79FB" w14:textId="23D26795" w:rsidR="007A3606" w:rsidRDefault="007A3606" w:rsidP="00776D37">
      <w:pPr>
        <w:pStyle w:val="CommentText"/>
        <w:numPr>
          <w:ilvl w:val="0"/>
          <w:numId w:val="36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Courier New"/>
          <w:sz w:val="22"/>
          <w:szCs w:val="22"/>
        </w:rPr>
        <w:t xml:space="preserve">Office for National Statistics (2021) </w:t>
      </w:r>
      <w:hyperlink r:id="rId10" w:history="1">
        <w:r w:rsidRPr="00664957">
          <w:rPr>
            <w:rStyle w:val="Hyperlink"/>
            <w:rFonts w:ascii="Arial" w:eastAsia="Times New Roman" w:hAnsi="Arial" w:cs="Courier New"/>
            <w:sz w:val="22"/>
            <w:szCs w:val="22"/>
          </w:rPr>
          <w:t>Births in England and Wales: summary tables</w:t>
        </w:r>
      </w:hyperlink>
      <w:r>
        <w:rPr>
          <w:rFonts w:ascii="Arial" w:eastAsia="Times New Roman" w:hAnsi="Arial" w:cs="Courier New"/>
          <w:sz w:val="22"/>
          <w:szCs w:val="22"/>
        </w:rPr>
        <w:t>.</w:t>
      </w:r>
      <w:r w:rsidR="00664957" w:rsidRPr="00664957">
        <w:t xml:space="preserve"> </w:t>
      </w:r>
      <w:r w:rsidR="00664957" w:rsidRPr="00664957">
        <w:rPr>
          <w:rFonts w:ascii="Arial" w:eastAsia="Times New Roman" w:hAnsi="Arial" w:cs="Arial"/>
          <w:sz w:val="22"/>
          <w:szCs w:val="22"/>
        </w:rPr>
        <w:t>Accessed June 2023</w:t>
      </w:r>
      <w:r w:rsidR="00664957">
        <w:rPr>
          <w:rFonts w:ascii="Arial" w:eastAsia="Times New Roman" w:hAnsi="Arial" w:cs="Arial"/>
          <w:sz w:val="22"/>
          <w:szCs w:val="22"/>
        </w:rPr>
        <w:t>.</w:t>
      </w:r>
    </w:p>
    <w:p w14:paraId="71BFFE62" w14:textId="4A6473B5" w:rsidR="006F45F4" w:rsidRDefault="006F45F4" w:rsidP="006B2B13">
      <w:pPr>
        <w:pStyle w:val="BodyText"/>
        <w:spacing w:after="120"/>
        <w:ind w:left="360"/>
        <w:rPr>
          <w:sz w:val="22"/>
          <w:szCs w:val="22"/>
          <w:lang w:val="en-GB"/>
        </w:rPr>
      </w:pPr>
    </w:p>
    <w:p w14:paraId="0AAE9C93" w14:textId="0594B569" w:rsidR="00715265" w:rsidRDefault="00715265" w:rsidP="00F90BB8">
      <w:pPr>
        <w:rPr>
          <w:rFonts w:ascii="Arial" w:hAnsi="Arial" w:cs="Arial"/>
          <w:b/>
          <w:bCs/>
        </w:rPr>
      </w:pPr>
    </w:p>
    <w:sectPr w:rsidR="00715265" w:rsidSect="000D3405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E8D1" w14:textId="77777777" w:rsidR="005C28C3" w:rsidRDefault="005C28C3" w:rsidP="00446BEE">
      <w:r>
        <w:separator/>
      </w:r>
    </w:p>
  </w:endnote>
  <w:endnote w:type="continuationSeparator" w:id="0">
    <w:p w14:paraId="3F5A4FEE" w14:textId="77777777" w:rsidR="005C28C3" w:rsidRDefault="005C28C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174DD" w14:textId="77777777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CF9A9" w14:textId="5256B2AA" w:rsidR="00696A5C" w:rsidRDefault="00572D72">
    <w:pPr>
      <w:pStyle w:val="Footer"/>
    </w:pPr>
    <w:r>
      <w:t xml:space="preserve">July </w:t>
    </w:r>
    <w:r w:rsidR="006F45F4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7C15" w14:textId="77777777" w:rsidR="005C28C3" w:rsidRDefault="005C28C3" w:rsidP="00446BEE">
      <w:r>
        <w:separator/>
      </w:r>
    </w:p>
  </w:footnote>
  <w:footnote w:type="continuationSeparator" w:id="0">
    <w:p w14:paraId="36107F98" w14:textId="77777777" w:rsidR="005C28C3" w:rsidRDefault="005C28C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58B8" w14:textId="77777777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59B7B66A" wp14:editId="77DDF34B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 w15:restartNumberingAfterBreak="0">
    <w:nsid w:val="2C957AC3"/>
    <w:multiLevelType w:val="hybridMultilevel"/>
    <w:tmpl w:val="E1DEB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14FC8"/>
    <w:multiLevelType w:val="hybridMultilevel"/>
    <w:tmpl w:val="001C90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BB6A67"/>
    <w:multiLevelType w:val="hybridMultilevel"/>
    <w:tmpl w:val="754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1C19C6"/>
    <w:multiLevelType w:val="hybridMultilevel"/>
    <w:tmpl w:val="E3721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D11D7"/>
    <w:multiLevelType w:val="hybridMultilevel"/>
    <w:tmpl w:val="3CC251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0C8F"/>
    <w:multiLevelType w:val="hybridMultilevel"/>
    <w:tmpl w:val="E3721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C42B52"/>
    <w:multiLevelType w:val="hybridMultilevel"/>
    <w:tmpl w:val="54A0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947027">
    <w:abstractNumId w:val="26"/>
  </w:num>
  <w:num w:numId="2" w16cid:durableId="802581727">
    <w:abstractNumId w:val="29"/>
  </w:num>
  <w:num w:numId="3" w16cid:durableId="518545214">
    <w:abstractNumId w:val="29"/>
    <w:lvlOverride w:ilvl="0">
      <w:startOverride w:val="1"/>
    </w:lvlOverride>
  </w:num>
  <w:num w:numId="4" w16cid:durableId="1261332032">
    <w:abstractNumId w:val="29"/>
    <w:lvlOverride w:ilvl="0">
      <w:startOverride w:val="1"/>
    </w:lvlOverride>
  </w:num>
  <w:num w:numId="5" w16cid:durableId="498812160">
    <w:abstractNumId w:val="29"/>
    <w:lvlOverride w:ilvl="0">
      <w:startOverride w:val="1"/>
    </w:lvlOverride>
  </w:num>
  <w:num w:numId="6" w16cid:durableId="2097431673">
    <w:abstractNumId w:val="29"/>
    <w:lvlOverride w:ilvl="0">
      <w:startOverride w:val="1"/>
    </w:lvlOverride>
  </w:num>
  <w:num w:numId="7" w16cid:durableId="1269655445">
    <w:abstractNumId w:val="29"/>
    <w:lvlOverride w:ilvl="0">
      <w:startOverride w:val="1"/>
    </w:lvlOverride>
  </w:num>
  <w:num w:numId="8" w16cid:durableId="93523914">
    <w:abstractNumId w:val="9"/>
  </w:num>
  <w:num w:numId="9" w16cid:durableId="1723870039">
    <w:abstractNumId w:val="7"/>
  </w:num>
  <w:num w:numId="10" w16cid:durableId="2069377485">
    <w:abstractNumId w:val="6"/>
  </w:num>
  <w:num w:numId="11" w16cid:durableId="1741368904">
    <w:abstractNumId w:val="5"/>
  </w:num>
  <w:num w:numId="12" w16cid:durableId="41826984">
    <w:abstractNumId w:val="4"/>
  </w:num>
  <w:num w:numId="13" w16cid:durableId="746924120">
    <w:abstractNumId w:val="8"/>
  </w:num>
  <w:num w:numId="14" w16cid:durableId="751394589">
    <w:abstractNumId w:val="3"/>
  </w:num>
  <w:num w:numId="15" w16cid:durableId="1431198367">
    <w:abstractNumId w:val="2"/>
  </w:num>
  <w:num w:numId="16" w16cid:durableId="844784109">
    <w:abstractNumId w:val="1"/>
  </w:num>
  <w:num w:numId="17" w16cid:durableId="1825051632">
    <w:abstractNumId w:val="0"/>
  </w:num>
  <w:num w:numId="18" w16cid:durableId="429741310">
    <w:abstractNumId w:val="14"/>
  </w:num>
  <w:num w:numId="19" w16cid:durableId="1064908646">
    <w:abstractNumId w:val="14"/>
    <w:lvlOverride w:ilvl="0">
      <w:startOverride w:val="1"/>
    </w:lvlOverride>
  </w:num>
  <w:num w:numId="20" w16cid:durableId="23142279">
    <w:abstractNumId w:val="11"/>
  </w:num>
  <w:num w:numId="21" w16cid:durableId="349114221">
    <w:abstractNumId w:val="33"/>
  </w:num>
  <w:num w:numId="22" w16cid:durableId="1337919655">
    <w:abstractNumId w:val="25"/>
  </w:num>
  <w:num w:numId="23" w16cid:durableId="1364089001">
    <w:abstractNumId w:val="31"/>
  </w:num>
  <w:num w:numId="24" w16cid:durableId="1327826247">
    <w:abstractNumId w:val="28"/>
  </w:num>
  <w:num w:numId="25" w16cid:durableId="336276629">
    <w:abstractNumId w:val="21"/>
  </w:num>
  <w:num w:numId="26" w16cid:durableId="1559129673">
    <w:abstractNumId w:val="19"/>
  </w:num>
  <w:num w:numId="27" w16cid:durableId="1099837863">
    <w:abstractNumId w:val="15"/>
  </w:num>
  <w:num w:numId="28" w16cid:durableId="1783066628">
    <w:abstractNumId w:val="12"/>
  </w:num>
  <w:num w:numId="29" w16cid:durableId="1736199106">
    <w:abstractNumId w:val="20"/>
  </w:num>
  <w:num w:numId="30" w16cid:durableId="1425423025">
    <w:abstractNumId w:val="34"/>
  </w:num>
  <w:num w:numId="31" w16cid:durableId="971835572">
    <w:abstractNumId w:val="13"/>
  </w:num>
  <w:num w:numId="32" w16cid:durableId="52625669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8324049">
    <w:abstractNumId w:val="10"/>
  </w:num>
  <w:num w:numId="34" w16cid:durableId="172302598">
    <w:abstractNumId w:val="16"/>
  </w:num>
  <w:num w:numId="35" w16cid:durableId="1341086770">
    <w:abstractNumId w:val="23"/>
  </w:num>
  <w:num w:numId="36" w16cid:durableId="669407059">
    <w:abstractNumId w:val="27"/>
  </w:num>
  <w:num w:numId="37" w16cid:durableId="1683359625">
    <w:abstractNumId w:val="22"/>
  </w:num>
  <w:num w:numId="38" w16cid:durableId="2036153650">
    <w:abstractNumId w:val="30"/>
  </w:num>
  <w:num w:numId="39" w16cid:durableId="743339497">
    <w:abstractNumId w:val="18"/>
  </w:num>
  <w:num w:numId="40" w16cid:durableId="2102337021">
    <w:abstractNumId w:val="24"/>
  </w:num>
  <w:num w:numId="41" w16cid:durableId="788167015">
    <w:abstractNumId w:val="32"/>
  </w:num>
  <w:num w:numId="42" w16cid:durableId="80473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C3"/>
    <w:rsid w:val="000053F8"/>
    <w:rsid w:val="00006FAF"/>
    <w:rsid w:val="00024D0A"/>
    <w:rsid w:val="00041789"/>
    <w:rsid w:val="000472DC"/>
    <w:rsid w:val="000507EA"/>
    <w:rsid w:val="000525D2"/>
    <w:rsid w:val="000567FF"/>
    <w:rsid w:val="00070065"/>
    <w:rsid w:val="000823BE"/>
    <w:rsid w:val="000934E7"/>
    <w:rsid w:val="000A4FEE"/>
    <w:rsid w:val="000A5188"/>
    <w:rsid w:val="000A60EF"/>
    <w:rsid w:val="000B5939"/>
    <w:rsid w:val="000D3405"/>
    <w:rsid w:val="000E39C5"/>
    <w:rsid w:val="00111CCE"/>
    <w:rsid w:val="00112ADB"/>
    <w:rsid w:val="001134E7"/>
    <w:rsid w:val="0012493D"/>
    <w:rsid w:val="00151B8F"/>
    <w:rsid w:val="00170E2A"/>
    <w:rsid w:val="0017149E"/>
    <w:rsid w:val="0017169E"/>
    <w:rsid w:val="001734DC"/>
    <w:rsid w:val="001760E2"/>
    <w:rsid w:val="00181A4A"/>
    <w:rsid w:val="0019310B"/>
    <w:rsid w:val="00193B31"/>
    <w:rsid w:val="00197103"/>
    <w:rsid w:val="001A1E8A"/>
    <w:rsid w:val="001B0EE9"/>
    <w:rsid w:val="001B65B3"/>
    <w:rsid w:val="001C4102"/>
    <w:rsid w:val="00200E38"/>
    <w:rsid w:val="002029A6"/>
    <w:rsid w:val="00206A3D"/>
    <w:rsid w:val="0020755D"/>
    <w:rsid w:val="0022546D"/>
    <w:rsid w:val="002408EA"/>
    <w:rsid w:val="00241F9F"/>
    <w:rsid w:val="00246939"/>
    <w:rsid w:val="002819D7"/>
    <w:rsid w:val="00285A24"/>
    <w:rsid w:val="00291A17"/>
    <w:rsid w:val="0029338C"/>
    <w:rsid w:val="002A5F03"/>
    <w:rsid w:val="002C1A7E"/>
    <w:rsid w:val="002C5E6A"/>
    <w:rsid w:val="002D3376"/>
    <w:rsid w:val="002F2CFD"/>
    <w:rsid w:val="00311ED0"/>
    <w:rsid w:val="00324C4E"/>
    <w:rsid w:val="003648C5"/>
    <w:rsid w:val="003722FA"/>
    <w:rsid w:val="003A0F66"/>
    <w:rsid w:val="003A1BBA"/>
    <w:rsid w:val="003C7AAF"/>
    <w:rsid w:val="003D406D"/>
    <w:rsid w:val="003F2833"/>
    <w:rsid w:val="003F41C3"/>
    <w:rsid w:val="004075B6"/>
    <w:rsid w:val="0041504E"/>
    <w:rsid w:val="00420952"/>
    <w:rsid w:val="00433EFF"/>
    <w:rsid w:val="00443081"/>
    <w:rsid w:val="00443C94"/>
    <w:rsid w:val="00446BEE"/>
    <w:rsid w:val="00482716"/>
    <w:rsid w:val="004D04BC"/>
    <w:rsid w:val="004E20CB"/>
    <w:rsid w:val="005025A1"/>
    <w:rsid w:val="00512872"/>
    <w:rsid w:val="0053717B"/>
    <w:rsid w:val="00544AD9"/>
    <w:rsid w:val="00545F29"/>
    <w:rsid w:val="005461CB"/>
    <w:rsid w:val="005663D2"/>
    <w:rsid w:val="00566E2A"/>
    <w:rsid w:val="00572D72"/>
    <w:rsid w:val="00592A19"/>
    <w:rsid w:val="005C28C3"/>
    <w:rsid w:val="005D12E7"/>
    <w:rsid w:val="005E55D0"/>
    <w:rsid w:val="00621B1D"/>
    <w:rsid w:val="00621C2C"/>
    <w:rsid w:val="00660689"/>
    <w:rsid w:val="00664957"/>
    <w:rsid w:val="006722D7"/>
    <w:rsid w:val="006874B5"/>
    <w:rsid w:val="006921E1"/>
    <w:rsid w:val="006941E7"/>
    <w:rsid w:val="00696A5C"/>
    <w:rsid w:val="006B2B13"/>
    <w:rsid w:val="006D6093"/>
    <w:rsid w:val="006E7DFC"/>
    <w:rsid w:val="006F361A"/>
    <w:rsid w:val="006F45F4"/>
    <w:rsid w:val="006F4B25"/>
    <w:rsid w:val="006F6496"/>
    <w:rsid w:val="006F6C3E"/>
    <w:rsid w:val="00712F23"/>
    <w:rsid w:val="00715265"/>
    <w:rsid w:val="00715B84"/>
    <w:rsid w:val="00736348"/>
    <w:rsid w:val="00760908"/>
    <w:rsid w:val="00776D37"/>
    <w:rsid w:val="007803DA"/>
    <w:rsid w:val="00785270"/>
    <w:rsid w:val="007955CD"/>
    <w:rsid w:val="007A3606"/>
    <w:rsid w:val="007C575C"/>
    <w:rsid w:val="007D4269"/>
    <w:rsid w:val="007E2E63"/>
    <w:rsid w:val="007F09A1"/>
    <w:rsid w:val="007F238D"/>
    <w:rsid w:val="00815F7D"/>
    <w:rsid w:val="00835AD7"/>
    <w:rsid w:val="00843D60"/>
    <w:rsid w:val="0085119C"/>
    <w:rsid w:val="00857CBD"/>
    <w:rsid w:val="00860835"/>
    <w:rsid w:val="00861B92"/>
    <w:rsid w:val="008814FB"/>
    <w:rsid w:val="008A77B8"/>
    <w:rsid w:val="008F5E30"/>
    <w:rsid w:val="0090246A"/>
    <w:rsid w:val="00914D7F"/>
    <w:rsid w:val="00922BB0"/>
    <w:rsid w:val="009318E3"/>
    <w:rsid w:val="009418E3"/>
    <w:rsid w:val="00946814"/>
    <w:rsid w:val="00962555"/>
    <w:rsid w:val="00987DBC"/>
    <w:rsid w:val="009930B5"/>
    <w:rsid w:val="009953A7"/>
    <w:rsid w:val="00995EEA"/>
    <w:rsid w:val="009A60B4"/>
    <w:rsid w:val="009E5C58"/>
    <w:rsid w:val="009E680B"/>
    <w:rsid w:val="00A15A1F"/>
    <w:rsid w:val="00A3325A"/>
    <w:rsid w:val="00A43013"/>
    <w:rsid w:val="00A91E08"/>
    <w:rsid w:val="00AA0377"/>
    <w:rsid w:val="00AB7B52"/>
    <w:rsid w:val="00AF108A"/>
    <w:rsid w:val="00B02E55"/>
    <w:rsid w:val="00B036C1"/>
    <w:rsid w:val="00B1500A"/>
    <w:rsid w:val="00B37035"/>
    <w:rsid w:val="00B46ABD"/>
    <w:rsid w:val="00B50A10"/>
    <w:rsid w:val="00B5431F"/>
    <w:rsid w:val="00B96D18"/>
    <w:rsid w:val="00BC10FC"/>
    <w:rsid w:val="00BC66C6"/>
    <w:rsid w:val="00BD23F2"/>
    <w:rsid w:val="00BD7875"/>
    <w:rsid w:val="00BD79CD"/>
    <w:rsid w:val="00BF3716"/>
    <w:rsid w:val="00BF629E"/>
    <w:rsid w:val="00BF69F0"/>
    <w:rsid w:val="00BF7FE0"/>
    <w:rsid w:val="00C10439"/>
    <w:rsid w:val="00C209B6"/>
    <w:rsid w:val="00C35745"/>
    <w:rsid w:val="00C41F9E"/>
    <w:rsid w:val="00C42B35"/>
    <w:rsid w:val="00C670DD"/>
    <w:rsid w:val="00C81104"/>
    <w:rsid w:val="00C9475C"/>
    <w:rsid w:val="00C96411"/>
    <w:rsid w:val="00CA055B"/>
    <w:rsid w:val="00CA78AA"/>
    <w:rsid w:val="00CB2DDC"/>
    <w:rsid w:val="00CB352E"/>
    <w:rsid w:val="00CB5671"/>
    <w:rsid w:val="00CD3014"/>
    <w:rsid w:val="00CD79A7"/>
    <w:rsid w:val="00CF58B7"/>
    <w:rsid w:val="00D0441C"/>
    <w:rsid w:val="00D22C5F"/>
    <w:rsid w:val="00D351C1"/>
    <w:rsid w:val="00D35EFB"/>
    <w:rsid w:val="00D44C15"/>
    <w:rsid w:val="00D504B3"/>
    <w:rsid w:val="00D52582"/>
    <w:rsid w:val="00D71447"/>
    <w:rsid w:val="00D86AC1"/>
    <w:rsid w:val="00D86BF0"/>
    <w:rsid w:val="00D93F96"/>
    <w:rsid w:val="00D96736"/>
    <w:rsid w:val="00DA00A3"/>
    <w:rsid w:val="00DC30CB"/>
    <w:rsid w:val="00DC3B22"/>
    <w:rsid w:val="00DE4DE9"/>
    <w:rsid w:val="00DE6F3E"/>
    <w:rsid w:val="00E10BD6"/>
    <w:rsid w:val="00E34EE2"/>
    <w:rsid w:val="00E42A9C"/>
    <w:rsid w:val="00E51920"/>
    <w:rsid w:val="00E608DF"/>
    <w:rsid w:val="00E64120"/>
    <w:rsid w:val="00E660A1"/>
    <w:rsid w:val="00E72062"/>
    <w:rsid w:val="00E74106"/>
    <w:rsid w:val="00EA3CCF"/>
    <w:rsid w:val="00EC53AC"/>
    <w:rsid w:val="00ED73DC"/>
    <w:rsid w:val="00EF3DC0"/>
    <w:rsid w:val="00F00624"/>
    <w:rsid w:val="00F055F1"/>
    <w:rsid w:val="00F16FE3"/>
    <w:rsid w:val="00F5111C"/>
    <w:rsid w:val="00F610AF"/>
    <w:rsid w:val="00F773B5"/>
    <w:rsid w:val="00F90BB8"/>
    <w:rsid w:val="00FA2C5A"/>
    <w:rsid w:val="00FB158F"/>
    <w:rsid w:val="00FC2D11"/>
    <w:rsid w:val="00FC6230"/>
    <w:rsid w:val="00FE567E"/>
    <w:rsid w:val="00FF61E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76F6B"/>
  <w15:chartTrackingRefBased/>
  <w15:docId w15:val="{1DD1A817-6653-44F6-A28D-03208EC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E6F3E"/>
    <w:rPr>
      <w:rFonts w:ascii="Calibri" w:eastAsiaTheme="minorHAns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35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91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pha.net/consor/cgi-bin/Disease_Search.php?lng=EN&amp;data_id=1073&amp;Disease_Disease_Search_diseaseGroup=Progressive-familial-intrahepatic-cholestasis-&amp;Disease_Disease_Search_diseaseType=Pat&amp;Disease(s)/group%20of%20diseases=Progressive-familial-intrahepatic-cholestasis&amp;title=Progressive%20familial%20intrahepatic%20cholestasis&amp;search=Disease_Search_Simp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ns.gov.uk/peoplepopulationandcommunity/birthsdeathsandmarriages/livebirths/datasets/birthsummarytab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hr.nlm.nih.gov/condition/progressive-familial-intrahepatic-cholestas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Appraisals\Templates\Scoping\3.%20Tech%20team%20templates%20updated%20March%2022\TEMPLATE%20-%20HST%20criteria%20checklist%20-%20for%20NICE%20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HST criteria checklist - for NICE use</Template>
  <TotalTime>1</TotalTime>
  <Pages>4</Pages>
  <Words>912</Words>
  <Characters>5545</Characters>
  <Application>Microsoft Office Word</Application>
  <DocSecurity>0</DocSecurity>
  <Lines>221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Haasova</dc:creator>
  <cp:keywords/>
  <dc:description/>
  <cp:lastModifiedBy>Marcela Haasova</cp:lastModifiedBy>
  <cp:revision>3</cp:revision>
  <cp:lastPrinted>2020-02-04T14:39:00Z</cp:lastPrinted>
  <dcterms:created xsi:type="dcterms:W3CDTF">2023-08-11T07:54:00Z</dcterms:created>
  <dcterms:modified xsi:type="dcterms:W3CDTF">2023-08-11T07:55:00Z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dfaa5278-c9d6-4a6a-b2e4-aaa1a4841298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2023-05-11T08:55:53Z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070a00dd-698b-485b-97ad-615eeeeb9ec2</vt:lpwstr>
  </property>
  <property fmtid="{D5CDD505-2E9C-101B-9397-08002B2CF9AE}" pid="9" name="MSIP_Label_c69d85d5-6d9e-4305-a294-1f636ec0f2d6_ContentBits">
    <vt:lpwstr>0</vt:lpwstr>
  </property>
</Properties>
</file>