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397AC2B4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22652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188F528C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E14F45" w:rsidRPr="00E14F45">
        <w:rPr>
          <w:rFonts w:ascii="Arial" w:hAnsi="Arial" w:cs="Arial"/>
          <w:b/>
          <w:bCs/>
          <w:color w:val="00506A"/>
          <w:sz w:val="28"/>
          <w:szCs w:val="28"/>
        </w:rPr>
        <w:t>Resmetirom</w:t>
      </w:r>
      <w:proofErr w:type="spellEnd"/>
      <w:r w:rsidR="00E14F45" w:rsidRPr="00E14F45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non-alcoholic steatohepatitis and liver fibrosis [ID6529]</w:t>
      </w:r>
    </w:p>
    <w:p w14:paraId="74C01AEC" w14:textId="1321E468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573C7B">
        <w:rPr>
          <w:rFonts w:ascii="Arial" w:hAnsi="Arial" w:cs="Arial"/>
          <w:b/>
          <w:bCs/>
          <w:color w:val="00506A"/>
          <w:sz w:val="28"/>
          <w:szCs w:val="28"/>
        </w:rPr>
        <w:t>10 June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35C64503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35C64503">
        <w:tc>
          <w:tcPr>
            <w:tcW w:w="775" w:type="pct"/>
          </w:tcPr>
          <w:p w14:paraId="5A9ABA95" w14:textId="07C9CD04" w:rsidR="005C6BC7" w:rsidRPr="004415DB" w:rsidRDefault="003C10B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Gabriel Roger</w:t>
            </w:r>
            <w:r w:rsidR="0073752A">
              <w:rPr>
                <w:rFonts w:ascii="Arial" w:hAnsi="Arial" w:cs="Arial"/>
                <w:iCs/>
              </w:rPr>
              <w:t>s</w:t>
            </w:r>
          </w:p>
        </w:tc>
        <w:tc>
          <w:tcPr>
            <w:tcW w:w="634" w:type="pct"/>
          </w:tcPr>
          <w:p w14:paraId="7CF4D325" w14:textId="1F9DCB5A" w:rsidR="005C6BC7" w:rsidRPr="004415DB" w:rsidRDefault="003C10B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57553DA8" w14:textId="415AB12B" w:rsidR="005C6BC7" w:rsidRPr="004415DB" w:rsidRDefault="00870D73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70D73">
              <w:rPr>
                <w:rFonts w:ascii="Arial" w:hAnsi="Arial" w:cs="Arial"/>
                <w:iCs/>
              </w:rPr>
              <w:t>Non-Financial Professional interests</w:t>
            </w:r>
          </w:p>
        </w:tc>
        <w:tc>
          <w:tcPr>
            <w:tcW w:w="1373" w:type="pct"/>
          </w:tcPr>
          <w:p w14:paraId="7C2B42C0" w14:textId="4A12A79C" w:rsidR="005C6BC7" w:rsidRPr="004415DB" w:rsidRDefault="003C10B5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3C10B5">
              <w:rPr>
                <w:rFonts w:ascii="Arial" w:hAnsi="Arial" w:cs="Arial"/>
                <w:iCs/>
              </w:rPr>
              <w:t>I am a co-investigator of REDDIE, an EU-funded research project of which one of the comparator companies, Novo Nordisk, are also project partners. See https://www.reddie-diabetes.eu/partners. The project is looking at the use of real-world evidence in diabetes. During the project, I have undertaken methodological work on a dataset Novo provided for one of their trials (not semaglutide).</w:t>
            </w:r>
          </w:p>
        </w:tc>
        <w:tc>
          <w:tcPr>
            <w:tcW w:w="472" w:type="pct"/>
          </w:tcPr>
          <w:p w14:paraId="55C6028F" w14:textId="3507311B" w:rsidR="005C6BC7" w:rsidRPr="004415DB" w:rsidRDefault="00A20833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21/04/2026</w:t>
            </w:r>
          </w:p>
        </w:tc>
        <w:tc>
          <w:tcPr>
            <w:tcW w:w="1039" w:type="pct"/>
          </w:tcPr>
          <w:p w14:paraId="1619F187" w14:textId="6621474A" w:rsidR="005C6BC7" w:rsidRPr="004415DB" w:rsidRDefault="00720CBD" w:rsidP="35C64503">
            <w:pPr>
              <w:pStyle w:val="Paragraph"/>
              <w:rPr>
                <w:rFonts w:ascii="Arial" w:hAnsi="Arial" w:cs="Arial"/>
              </w:rPr>
            </w:pPr>
            <w:r w:rsidRPr="35C64503">
              <w:rPr>
                <w:rFonts w:ascii="Arial" w:hAnsi="Arial" w:cs="Arial"/>
              </w:rPr>
              <w:t xml:space="preserve">It was agreed that </w:t>
            </w:r>
            <w:r w:rsidR="770162F4" w:rsidRPr="35C64503">
              <w:rPr>
                <w:rFonts w:ascii="Arial" w:hAnsi="Arial" w:cs="Arial"/>
              </w:rPr>
              <w:t>Gabriel’s</w:t>
            </w:r>
            <w:r w:rsidRPr="35C64503">
              <w:rPr>
                <w:rFonts w:ascii="Arial" w:hAnsi="Arial" w:cs="Arial"/>
              </w:rPr>
              <w:t xml:space="preserve"> declaration would not prevent him from participating in discussions on this appraisal.</w:t>
            </w:r>
          </w:p>
        </w:tc>
      </w:tr>
      <w:tr w:rsidR="00992559" w14:paraId="07D6FE42" w14:textId="77777777" w:rsidTr="35C64503">
        <w:tc>
          <w:tcPr>
            <w:tcW w:w="775" w:type="pct"/>
            <w:vMerge w:val="restart"/>
          </w:tcPr>
          <w:p w14:paraId="5D5835FE" w14:textId="3EAC53F3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D70E7">
              <w:rPr>
                <w:rFonts w:ascii="Arial" w:hAnsi="Arial" w:cs="Arial"/>
                <w:iCs/>
              </w:rPr>
              <w:t>Professor Quentin M. Anstee</w:t>
            </w:r>
          </w:p>
        </w:tc>
        <w:tc>
          <w:tcPr>
            <w:tcW w:w="634" w:type="pct"/>
          </w:tcPr>
          <w:p w14:paraId="1C1C2F76" w14:textId="74C1FDCF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005581B6" w14:textId="20EE77F9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Financial </w:t>
            </w:r>
          </w:p>
        </w:tc>
        <w:tc>
          <w:tcPr>
            <w:tcW w:w="1373" w:type="pct"/>
          </w:tcPr>
          <w:p w14:paraId="7416F4DA" w14:textId="46C592E4" w:rsidR="00992559" w:rsidRPr="00926793" w:rsidRDefault="00992559" w:rsidP="00926793">
            <w:pPr>
              <w:pStyle w:val="Paragraph"/>
              <w:rPr>
                <w:rFonts w:ascii="Arial" w:hAnsi="Arial" w:cs="Arial"/>
                <w:iCs/>
              </w:rPr>
            </w:pPr>
            <w:r w:rsidRPr="00926793">
              <w:rPr>
                <w:rFonts w:ascii="Arial" w:hAnsi="Arial" w:cs="Arial"/>
                <w:iCs/>
              </w:rPr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926793">
              <w:rPr>
                <w:rFonts w:ascii="Arial" w:hAnsi="Arial" w:cs="Arial"/>
                <w:iCs/>
              </w:rPr>
              <w:t xml:space="preserve">Research Grant Funding: AstraZeneca, Boehringer Ingelheim, Intercept. Coordinator of the EU IMI-2 LITMUS consortium, which is funded by the EU Horizon 2020 programme and EFPIA. This multi-stakeholder consortium includes industry partners. </w:t>
            </w:r>
          </w:p>
          <w:p w14:paraId="2FBC5385" w14:textId="52FE794F" w:rsidR="00992559" w:rsidRPr="00926793" w:rsidRDefault="00992559" w:rsidP="00926793">
            <w:pPr>
              <w:pStyle w:val="Paragraph"/>
              <w:rPr>
                <w:rFonts w:ascii="Arial" w:hAnsi="Arial" w:cs="Arial"/>
                <w:iCs/>
              </w:rPr>
            </w:pPr>
            <w:r w:rsidRPr="00926793">
              <w:rPr>
                <w:rFonts w:ascii="Arial" w:hAnsi="Arial" w:cs="Arial"/>
                <w:iCs/>
              </w:rPr>
              <w:lastRenderedPageBreak/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926793">
              <w:rPr>
                <w:rFonts w:ascii="Arial" w:hAnsi="Arial" w:cs="Arial"/>
                <w:iCs/>
              </w:rPr>
              <w:t>Consultancy on behalf of Newcastle University</w:t>
            </w:r>
          </w:p>
          <w:p w14:paraId="66DCF227" w14:textId="77777777" w:rsidR="00992559" w:rsidRPr="00926793" w:rsidRDefault="00992559" w:rsidP="00926793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926793">
              <w:rPr>
                <w:rFonts w:ascii="Arial" w:hAnsi="Arial" w:cs="Arial"/>
                <w:iCs/>
              </w:rPr>
              <w:t>Abbvie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926793">
              <w:rPr>
                <w:rFonts w:ascii="Arial" w:hAnsi="Arial" w:cs="Arial"/>
                <w:iCs/>
              </w:rPr>
              <w:t>Alimentiv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926793">
              <w:rPr>
                <w:rFonts w:ascii="Arial" w:hAnsi="Arial" w:cs="Arial"/>
                <w:iCs/>
              </w:rPr>
              <w:t>Akero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AstraZeneca, </w:t>
            </w:r>
            <w:proofErr w:type="spellStart"/>
            <w:r w:rsidRPr="00926793">
              <w:rPr>
                <w:rFonts w:ascii="Arial" w:hAnsi="Arial" w:cs="Arial"/>
                <w:iCs/>
              </w:rPr>
              <w:t>Axcella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89Bio, Boehringer Ingelheim, Boston </w:t>
            </w:r>
            <w:proofErr w:type="spellStart"/>
            <w:r w:rsidRPr="00926793">
              <w:rPr>
                <w:rFonts w:ascii="Arial" w:hAnsi="Arial" w:cs="Arial"/>
                <w:iCs/>
              </w:rPr>
              <w:t>Pharaceticals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926793">
              <w:rPr>
                <w:rFonts w:ascii="Arial" w:hAnsi="Arial" w:cs="Arial"/>
                <w:iCs/>
              </w:rPr>
              <w:t>Byondis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926793">
              <w:rPr>
                <w:rFonts w:ascii="Arial" w:hAnsi="Arial" w:cs="Arial"/>
                <w:iCs/>
              </w:rPr>
              <w:t>Corcept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 Therapeutics, </w:t>
            </w:r>
            <w:proofErr w:type="spellStart"/>
            <w:r w:rsidRPr="00926793">
              <w:rPr>
                <w:rFonts w:ascii="Arial" w:hAnsi="Arial" w:cs="Arial"/>
                <w:iCs/>
              </w:rPr>
              <w:t>Echosens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Eli Lilly, Gilead, GlaxoSmithKline, </w:t>
            </w:r>
            <w:proofErr w:type="spellStart"/>
            <w:r w:rsidRPr="00926793">
              <w:rPr>
                <w:rFonts w:ascii="Arial" w:hAnsi="Arial" w:cs="Arial"/>
                <w:iCs/>
              </w:rPr>
              <w:t>HistoIndex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Intercept, </w:t>
            </w:r>
            <w:proofErr w:type="spellStart"/>
            <w:r w:rsidRPr="00926793">
              <w:rPr>
                <w:rFonts w:ascii="Arial" w:hAnsi="Arial" w:cs="Arial"/>
                <w:iCs/>
              </w:rPr>
              <w:t>Inventiva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Madrigal, </w:t>
            </w:r>
            <w:proofErr w:type="spellStart"/>
            <w:r w:rsidRPr="00926793">
              <w:rPr>
                <w:rFonts w:ascii="Arial" w:hAnsi="Arial" w:cs="Arial"/>
                <w:iCs/>
              </w:rPr>
              <w:t>Medpace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Merck, </w:t>
            </w:r>
            <w:proofErr w:type="spellStart"/>
            <w:r w:rsidRPr="00926793">
              <w:rPr>
                <w:rFonts w:ascii="Arial" w:hAnsi="Arial" w:cs="Arial"/>
                <w:iCs/>
              </w:rPr>
              <w:t>Metadeq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Novo Nordisk, </w:t>
            </w:r>
            <w:proofErr w:type="spellStart"/>
            <w:r w:rsidRPr="00926793">
              <w:rPr>
                <w:rFonts w:ascii="Arial" w:hAnsi="Arial" w:cs="Arial"/>
                <w:iCs/>
              </w:rPr>
              <w:t>PathAI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Pfizer, </w:t>
            </w:r>
            <w:proofErr w:type="spellStart"/>
            <w:r w:rsidRPr="00926793">
              <w:rPr>
                <w:rFonts w:ascii="Arial" w:hAnsi="Arial" w:cs="Arial"/>
                <w:iCs/>
              </w:rPr>
              <w:t>Pharmanest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926793">
              <w:rPr>
                <w:rFonts w:ascii="Arial" w:hAnsi="Arial" w:cs="Arial"/>
                <w:iCs/>
              </w:rPr>
              <w:t>Prosciento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, Regeneron, Resolution Therapeutics, Roche, Terns. </w:t>
            </w:r>
          </w:p>
          <w:p w14:paraId="45429E08" w14:textId="6D1C33A6" w:rsidR="00992559" w:rsidRPr="00926793" w:rsidRDefault="00992559" w:rsidP="00926793">
            <w:pPr>
              <w:pStyle w:val="Paragraph"/>
              <w:rPr>
                <w:rFonts w:ascii="Arial" w:hAnsi="Arial" w:cs="Arial"/>
                <w:iCs/>
              </w:rPr>
            </w:pPr>
            <w:r w:rsidRPr="00926793">
              <w:rPr>
                <w:rFonts w:ascii="Arial" w:hAnsi="Arial" w:cs="Arial"/>
                <w:iCs/>
              </w:rPr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926793">
              <w:rPr>
                <w:rFonts w:ascii="Arial" w:hAnsi="Arial" w:cs="Arial"/>
                <w:iCs/>
              </w:rPr>
              <w:t xml:space="preserve">Speaker: Avalere, Catalyst Medical Education, </w:t>
            </w:r>
            <w:proofErr w:type="spellStart"/>
            <w:r w:rsidRPr="00926793">
              <w:rPr>
                <w:rFonts w:ascii="Arial" w:hAnsi="Arial" w:cs="Arial"/>
                <w:iCs/>
              </w:rPr>
              <w:t>Integritas</w:t>
            </w:r>
            <w:proofErr w:type="spellEnd"/>
            <w:r w:rsidRPr="00926793">
              <w:rPr>
                <w:rFonts w:ascii="Arial" w:hAnsi="Arial" w:cs="Arial"/>
                <w:iCs/>
              </w:rPr>
              <w:t xml:space="preserve"> Communications, Medscape, Novo Nordisk, Springer Healthcare. </w:t>
            </w:r>
          </w:p>
          <w:p w14:paraId="27B566E9" w14:textId="1D3362E9" w:rsidR="00992559" w:rsidRPr="00926793" w:rsidRDefault="00992559" w:rsidP="00926793">
            <w:pPr>
              <w:pStyle w:val="Paragraph"/>
              <w:rPr>
                <w:rFonts w:ascii="Arial" w:hAnsi="Arial" w:cs="Arial"/>
                <w:iCs/>
              </w:rPr>
            </w:pPr>
            <w:r w:rsidRPr="00926793">
              <w:rPr>
                <w:rFonts w:ascii="Arial" w:hAnsi="Arial" w:cs="Arial"/>
                <w:iCs/>
              </w:rPr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926793">
              <w:rPr>
                <w:rFonts w:ascii="Arial" w:hAnsi="Arial" w:cs="Arial"/>
                <w:iCs/>
              </w:rPr>
              <w:t xml:space="preserve">Royalties: Elsevier Ltd </w:t>
            </w:r>
          </w:p>
          <w:p w14:paraId="6B5DCD4D" w14:textId="573F192F" w:rsidR="00992559" w:rsidRPr="004415DB" w:rsidRDefault="00992559" w:rsidP="00926793">
            <w:pPr>
              <w:pStyle w:val="Paragraph"/>
              <w:rPr>
                <w:rFonts w:ascii="Arial" w:hAnsi="Arial" w:cs="Arial"/>
                <w:iCs/>
              </w:rPr>
            </w:pPr>
            <w:r w:rsidRPr="00926793">
              <w:rPr>
                <w:rFonts w:ascii="Arial" w:hAnsi="Arial" w:cs="Arial"/>
                <w:iCs/>
              </w:rPr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926793">
              <w:rPr>
                <w:rFonts w:ascii="Arial" w:hAnsi="Arial" w:cs="Arial"/>
                <w:iCs/>
              </w:rPr>
              <w:t>Directorships: Anstee Medical Services Ltd</w:t>
            </w:r>
          </w:p>
        </w:tc>
        <w:tc>
          <w:tcPr>
            <w:tcW w:w="472" w:type="pct"/>
            <w:vMerge w:val="restart"/>
          </w:tcPr>
          <w:p w14:paraId="133D062A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  <w:vMerge w:val="restart"/>
          </w:tcPr>
          <w:p w14:paraId="11B80143" w14:textId="18D8DDBB" w:rsidR="00992559" w:rsidRPr="00CE64F9" w:rsidRDefault="00992559" w:rsidP="00CE64F9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</w:t>
            </w:r>
            <w:r w:rsidRPr="00CE64F9">
              <w:rPr>
                <w:rFonts w:ascii="Arial" w:hAnsi="Arial" w:cs="Arial"/>
                <w:iCs/>
              </w:rPr>
              <w:t xml:space="preserve">t was agreed that </w:t>
            </w:r>
            <w:r>
              <w:rPr>
                <w:rFonts w:ascii="Arial" w:hAnsi="Arial" w:cs="Arial"/>
                <w:iCs/>
              </w:rPr>
              <w:t>Professor Anstee</w:t>
            </w:r>
            <w:r w:rsidRPr="00CE64F9">
              <w:rPr>
                <w:rFonts w:ascii="Arial" w:hAnsi="Arial" w:cs="Arial"/>
                <w:iCs/>
              </w:rPr>
              <w:t>'s declaration would not prevent him from providing expert advice to the committee.</w:t>
            </w:r>
          </w:p>
          <w:p w14:paraId="672EC20B" w14:textId="77777777" w:rsidR="00992559" w:rsidRPr="004415DB" w:rsidRDefault="00992559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992559" w14:paraId="337FADC7" w14:textId="77777777" w:rsidTr="35C64503">
        <w:tc>
          <w:tcPr>
            <w:tcW w:w="775" w:type="pct"/>
            <w:vMerge/>
          </w:tcPr>
          <w:p w14:paraId="2CC78238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4" w:type="pct"/>
            <w:vMerge w:val="restart"/>
          </w:tcPr>
          <w:p w14:paraId="7CDB68F8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6" w:type="pct"/>
          </w:tcPr>
          <w:p w14:paraId="0856EF01" w14:textId="4104E614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non-financial </w:t>
            </w:r>
          </w:p>
        </w:tc>
        <w:tc>
          <w:tcPr>
            <w:tcW w:w="1373" w:type="pct"/>
          </w:tcPr>
          <w:p w14:paraId="411CAC25" w14:textId="3C11EF60" w:rsidR="00992559" w:rsidRPr="00B84B53" w:rsidRDefault="00992559" w:rsidP="00B84B53">
            <w:pPr>
              <w:pStyle w:val="Paragraph"/>
              <w:rPr>
                <w:rFonts w:ascii="Arial" w:hAnsi="Arial" w:cs="Arial"/>
                <w:iCs/>
              </w:rPr>
            </w:pPr>
            <w:r w:rsidRPr="00B84B53">
              <w:rPr>
                <w:rFonts w:ascii="Arial" w:hAnsi="Arial" w:cs="Arial"/>
                <w:iCs/>
              </w:rPr>
              <w:t>•</w:t>
            </w:r>
            <w:r>
              <w:rPr>
                <w:rFonts w:ascii="Arial" w:hAnsi="Arial" w:cs="Arial"/>
                <w:iCs/>
              </w:rPr>
              <w:t xml:space="preserve"> P</w:t>
            </w:r>
            <w:r w:rsidRPr="00B84B53">
              <w:rPr>
                <w:rFonts w:ascii="Arial" w:hAnsi="Arial" w:cs="Arial"/>
                <w:iCs/>
              </w:rPr>
              <w:t xml:space="preserve">erform consultancy on behalf of Newcastle University this may lead to peer review scientific publications. </w:t>
            </w:r>
          </w:p>
          <w:p w14:paraId="0404EDDF" w14:textId="34EA6EC5" w:rsidR="00992559" w:rsidRPr="00B84B53" w:rsidRDefault="00992559" w:rsidP="00B84B53">
            <w:pPr>
              <w:pStyle w:val="Paragraph"/>
              <w:rPr>
                <w:rFonts w:ascii="Arial" w:hAnsi="Arial" w:cs="Arial"/>
                <w:iCs/>
              </w:rPr>
            </w:pPr>
            <w:r w:rsidRPr="00B84B53">
              <w:rPr>
                <w:rFonts w:ascii="Arial" w:hAnsi="Arial" w:cs="Arial"/>
                <w:iCs/>
              </w:rPr>
              <w:lastRenderedPageBreak/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B84B53">
              <w:rPr>
                <w:rFonts w:ascii="Arial" w:hAnsi="Arial" w:cs="Arial"/>
                <w:iCs/>
              </w:rPr>
              <w:t xml:space="preserve">CI/PI for multiple clinical trials assessing therapies for MASLD. </w:t>
            </w:r>
          </w:p>
          <w:p w14:paraId="0A1BA50D" w14:textId="7282C3BD" w:rsidR="00992559" w:rsidRPr="004415DB" w:rsidRDefault="00992559" w:rsidP="00B84B53">
            <w:pPr>
              <w:pStyle w:val="Paragraph"/>
              <w:rPr>
                <w:rFonts w:ascii="Arial" w:hAnsi="Arial" w:cs="Arial"/>
                <w:iCs/>
              </w:rPr>
            </w:pPr>
            <w:r w:rsidRPr="00B84B53">
              <w:rPr>
                <w:rFonts w:ascii="Arial" w:hAnsi="Arial" w:cs="Arial"/>
                <w:iCs/>
              </w:rPr>
              <w:t>•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B84B53">
              <w:rPr>
                <w:rFonts w:ascii="Arial" w:hAnsi="Arial" w:cs="Arial"/>
                <w:iCs/>
              </w:rPr>
              <w:t>Trustee: The University of Newcastle Upon Tyne Development Trust</w:t>
            </w:r>
          </w:p>
        </w:tc>
        <w:tc>
          <w:tcPr>
            <w:tcW w:w="472" w:type="pct"/>
            <w:vMerge/>
          </w:tcPr>
          <w:p w14:paraId="0EF7F80F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  <w:vMerge/>
          </w:tcPr>
          <w:p w14:paraId="007F6CDB" w14:textId="77777777" w:rsidR="00992559" w:rsidRPr="004415DB" w:rsidRDefault="00992559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992559" w14:paraId="0FBA0A78" w14:textId="77777777" w:rsidTr="35C64503">
        <w:tc>
          <w:tcPr>
            <w:tcW w:w="775" w:type="pct"/>
            <w:vMerge/>
          </w:tcPr>
          <w:p w14:paraId="45F37783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4" w:type="pct"/>
            <w:vMerge/>
          </w:tcPr>
          <w:p w14:paraId="283CA6F5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6" w:type="pct"/>
          </w:tcPr>
          <w:p w14:paraId="39DDBF60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73" w:type="pct"/>
          </w:tcPr>
          <w:p w14:paraId="0B038C76" w14:textId="53D5EB04" w:rsidR="00992559" w:rsidRPr="004415DB" w:rsidRDefault="00992559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On</w:t>
            </w:r>
            <w:r w:rsidRPr="005232C5">
              <w:rPr>
                <w:rFonts w:ascii="Arial" w:hAnsi="Arial" w:cs="Arial"/>
                <w:iCs/>
              </w:rPr>
              <w:t xml:space="preserve"> behalf of </w:t>
            </w:r>
            <w:r>
              <w:rPr>
                <w:rFonts w:ascii="Arial" w:hAnsi="Arial" w:cs="Arial"/>
                <w:iCs/>
              </w:rPr>
              <w:t>Professor Anstee’s</w:t>
            </w:r>
            <w:r w:rsidRPr="005232C5">
              <w:rPr>
                <w:rFonts w:ascii="Arial" w:hAnsi="Arial" w:cs="Arial"/>
                <w:iCs/>
              </w:rPr>
              <w:t xml:space="preserve"> university</w:t>
            </w:r>
            <w:r>
              <w:rPr>
                <w:rFonts w:ascii="Arial" w:hAnsi="Arial" w:cs="Arial"/>
                <w:iCs/>
              </w:rPr>
              <w:t>, he has</w:t>
            </w:r>
            <w:r w:rsidRPr="005232C5">
              <w:rPr>
                <w:rFonts w:ascii="Arial" w:hAnsi="Arial" w:cs="Arial"/>
                <w:iCs/>
              </w:rPr>
              <w:t xml:space="preserve"> served as a consultant to Madrigal, advising on the trial design and drug development pipeline of </w:t>
            </w:r>
            <w:proofErr w:type="spellStart"/>
            <w:r w:rsidRPr="005232C5">
              <w:rPr>
                <w:rFonts w:ascii="Arial" w:hAnsi="Arial" w:cs="Arial"/>
                <w:iCs/>
              </w:rPr>
              <w:t>Resmetirom</w:t>
            </w:r>
            <w:proofErr w:type="spellEnd"/>
            <w:r w:rsidRPr="005232C5">
              <w:rPr>
                <w:rFonts w:ascii="Arial" w:hAnsi="Arial" w:cs="Arial"/>
                <w:iCs/>
              </w:rPr>
              <w:t xml:space="preserve">. </w:t>
            </w:r>
            <w:r>
              <w:rPr>
                <w:rFonts w:ascii="Arial" w:hAnsi="Arial" w:cs="Arial"/>
                <w:iCs/>
              </w:rPr>
              <w:t xml:space="preserve">He is </w:t>
            </w:r>
            <w:r w:rsidRPr="005232C5">
              <w:rPr>
                <w:rFonts w:ascii="Arial" w:hAnsi="Arial" w:cs="Arial"/>
                <w:iCs/>
              </w:rPr>
              <w:t xml:space="preserve">also the UK national CI for the MAESTRO clinical trials of this agent and have co-authored of </w:t>
            </w:r>
            <w:proofErr w:type="gramStart"/>
            <w:r w:rsidRPr="005232C5">
              <w:rPr>
                <w:rFonts w:ascii="Arial" w:hAnsi="Arial" w:cs="Arial"/>
                <w:iCs/>
              </w:rPr>
              <w:t>a number of</w:t>
            </w:r>
            <w:proofErr w:type="gramEnd"/>
            <w:r w:rsidRPr="005232C5">
              <w:rPr>
                <w:rFonts w:ascii="Arial" w:hAnsi="Arial" w:cs="Arial"/>
                <w:iCs/>
              </w:rPr>
              <w:t xml:space="preserve"> peer-reviewed scientific publications including the NEJM publication reporting the Phase 3 MAESTRO-NASH interim trial results.</w:t>
            </w:r>
          </w:p>
        </w:tc>
        <w:tc>
          <w:tcPr>
            <w:tcW w:w="472" w:type="pct"/>
            <w:vMerge/>
          </w:tcPr>
          <w:p w14:paraId="306FC0A9" w14:textId="77777777" w:rsidR="00992559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  <w:vMerge/>
          </w:tcPr>
          <w:p w14:paraId="66741E44" w14:textId="77777777" w:rsidR="00992559" w:rsidRPr="004415DB" w:rsidRDefault="00992559" w:rsidP="00492FE1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5C6BC7" w14:paraId="7EDE0218" w14:textId="77777777" w:rsidTr="35C64503">
        <w:tc>
          <w:tcPr>
            <w:tcW w:w="775" w:type="pct"/>
          </w:tcPr>
          <w:p w14:paraId="538DA6DE" w14:textId="77777777" w:rsidR="00992559" w:rsidRPr="00992559" w:rsidRDefault="00992559" w:rsidP="00992559">
            <w:pPr>
              <w:pStyle w:val="Paragraph"/>
              <w:rPr>
                <w:rFonts w:ascii="Arial" w:hAnsi="Arial" w:cs="Arial"/>
                <w:iCs/>
              </w:rPr>
            </w:pPr>
            <w:r w:rsidRPr="00992559">
              <w:rPr>
                <w:rFonts w:ascii="Arial" w:hAnsi="Arial" w:cs="Arial"/>
                <w:iCs/>
              </w:rPr>
              <w:t>Dr Richard Aspinall</w:t>
            </w:r>
          </w:p>
          <w:p w14:paraId="661B6D31" w14:textId="77777777" w:rsidR="005C6BC7" w:rsidRPr="004415DB" w:rsidRDefault="005C6BC7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4" w:type="pct"/>
          </w:tcPr>
          <w:p w14:paraId="4538DDE5" w14:textId="1FEE107A" w:rsidR="005C6BC7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31A58604" w14:textId="2DDA1088" w:rsidR="005C6BC7" w:rsidRPr="004415DB" w:rsidRDefault="00992559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1373" w:type="pct"/>
          </w:tcPr>
          <w:p w14:paraId="3613098A" w14:textId="31DCE470" w:rsidR="005C6BC7" w:rsidRPr="004415DB" w:rsidRDefault="00992559" w:rsidP="00992559">
            <w:pPr>
              <w:pStyle w:val="Paragraph"/>
              <w:rPr>
                <w:rFonts w:ascii="Arial" w:hAnsi="Arial" w:cs="Arial"/>
                <w:iCs/>
              </w:rPr>
            </w:pPr>
            <w:r w:rsidRPr="00992559">
              <w:rPr>
                <w:rFonts w:ascii="Arial" w:hAnsi="Arial" w:cs="Arial"/>
                <w:iCs/>
              </w:rPr>
              <w:t xml:space="preserve">As part of a diversified portfolio of investments, I currently own 845 shares in </w:t>
            </w:r>
            <w:proofErr w:type="spellStart"/>
            <w:r w:rsidRPr="00992559">
              <w:rPr>
                <w:rFonts w:ascii="Arial" w:hAnsi="Arial" w:cs="Arial"/>
                <w:iCs/>
              </w:rPr>
              <w:t>Sagimet</w:t>
            </w:r>
            <w:proofErr w:type="spellEnd"/>
            <w:r w:rsidRPr="00992559">
              <w:rPr>
                <w:rFonts w:ascii="Arial" w:hAnsi="Arial" w:cs="Arial"/>
                <w:iCs/>
              </w:rPr>
              <w:t xml:space="preserve"> Biosciences Inc.</w:t>
            </w:r>
          </w:p>
        </w:tc>
        <w:tc>
          <w:tcPr>
            <w:tcW w:w="472" w:type="pct"/>
          </w:tcPr>
          <w:p w14:paraId="2B31F06C" w14:textId="77777777" w:rsidR="005C6BC7" w:rsidRPr="004415DB" w:rsidRDefault="005C6BC7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39" w:type="pct"/>
          </w:tcPr>
          <w:p w14:paraId="1A0CF9F6" w14:textId="06BCDED3" w:rsidR="005C6BC7" w:rsidRPr="004415DB" w:rsidRDefault="00992559" w:rsidP="35C64503">
            <w:pPr>
              <w:pStyle w:val="Paragraph"/>
              <w:rPr>
                <w:rFonts w:ascii="Arial" w:hAnsi="Arial" w:cs="Arial"/>
              </w:rPr>
            </w:pPr>
            <w:r w:rsidRPr="35C64503">
              <w:rPr>
                <w:rFonts w:ascii="Arial" w:hAnsi="Arial" w:cs="Arial"/>
              </w:rPr>
              <w:t xml:space="preserve">It was agreed that Dr </w:t>
            </w:r>
            <w:r w:rsidR="00495CC0" w:rsidRPr="35C64503">
              <w:rPr>
                <w:rFonts w:ascii="Arial" w:hAnsi="Arial" w:cs="Arial"/>
              </w:rPr>
              <w:t>Richard Aspinall</w:t>
            </w:r>
            <w:r w:rsidRPr="35C64503">
              <w:rPr>
                <w:rFonts w:ascii="Arial" w:hAnsi="Arial" w:cs="Arial"/>
              </w:rPr>
              <w:t>'s declaration would not prevent him from providing expert advice to the committee.</w:t>
            </w:r>
          </w:p>
        </w:tc>
      </w:tr>
    </w:tbl>
    <w:p w14:paraId="18C08BA0" w14:textId="0468FFAA" w:rsid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p w14:paraId="4248E6E5" w14:textId="77777777" w:rsidR="005D70E7" w:rsidRPr="00727CB2" w:rsidRDefault="005D70E7" w:rsidP="005D70E7">
      <w:pPr>
        <w:rPr>
          <w:rFonts w:ascii="Arial" w:hAnsi="Arial" w:cs="Arial"/>
          <w:b/>
          <w:bCs/>
        </w:rPr>
      </w:pPr>
    </w:p>
    <w:p w14:paraId="2874250C" w14:textId="77777777" w:rsidR="005D70E7" w:rsidRPr="001978C7" w:rsidRDefault="005D70E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5D70E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B554" w14:textId="77777777" w:rsidR="0039534B" w:rsidRDefault="0039534B" w:rsidP="00446BEE">
      <w:r>
        <w:separator/>
      </w:r>
    </w:p>
  </w:endnote>
  <w:endnote w:type="continuationSeparator" w:id="0">
    <w:p w14:paraId="43589BDB" w14:textId="77777777" w:rsidR="0039534B" w:rsidRDefault="0039534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F99F" w14:textId="77777777" w:rsidR="0039534B" w:rsidRDefault="0039534B" w:rsidP="00446BEE">
      <w:r>
        <w:separator/>
      </w:r>
    </w:p>
  </w:footnote>
  <w:footnote w:type="continuationSeparator" w:id="0">
    <w:p w14:paraId="3841161F" w14:textId="77777777" w:rsidR="0039534B" w:rsidRDefault="0039534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C4500D4" w:rsidR="009F66BF" w:rsidRDefault="0039534B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7619D"/>
    <w:multiLevelType w:val="hybridMultilevel"/>
    <w:tmpl w:val="903E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44EC5"/>
    <w:multiLevelType w:val="hybridMultilevel"/>
    <w:tmpl w:val="100AAC5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73654948"/>
    <w:multiLevelType w:val="hybridMultilevel"/>
    <w:tmpl w:val="D0667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4"/>
  </w:num>
  <w:num w:numId="2" w16cid:durableId="2002538492">
    <w:abstractNumId w:val="15"/>
  </w:num>
  <w:num w:numId="3" w16cid:durableId="1115755560">
    <w:abstractNumId w:val="15"/>
    <w:lvlOverride w:ilvl="0">
      <w:startOverride w:val="1"/>
    </w:lvlOverride>
  </w:num>
  <w:num w:numId="4" w16cid:durableId="1164737210">
    <w:abstractNumId w:val="15"/>
    <w:lvlOverride w:ilvl="0">
      <w:startOverride w:val="1"/>
    </w:lvlOverride>
  </w:num>
  <w:num w:numId="5" w16cid:durableId="1907496277">
    <w:abstractNumId w:val="15"/>
    <w:lvlOverride w:ilvl="0">
      <w:startOverride w:val="1"/>
    </w:lvlOverride>
  </w:num>
  <w:num w:numId="6" w16cid:durableId="957377609">
    <w:abstractNumId w:val="15"/>
    <w:lvlOverride w:ilvl="0">
      <w:startOverride w:val="1"/>
    </w:lvlOverride>
  </w:num>
  <w:num w:numId="7" w16cid:durableId="2040887977">
    <w:abstractNumId w:val="15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2"/>
  </w:num>
  <w:num w:numId="19" w16cid:durableId="304820830">
    <w:abstractNumId w:val="12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3"/>
  </w:num>
  <w:num w:numId="22" w16cid:durableId="310673228">
    <w:abstractNumId w:val="16"/>
  </w:num>
  <w:num w:numId="23" w16cid:durableId="1076173691">
    <w:abstractNumId w:val="17"/>
  </w:num>
  <w:num w:numId="24" w16cid:durableId="1719940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70065"/>
    <w:rsid w:val="000A4FEE"/>
    <w:rsid w:val="000B5102"/>
    <w:rsid w:val="000B5939"/>
    <w:rsid w:val="00102F3E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73E21"/>
    <w:rsid w:val="002819D7"/>
    <w:rsid w:val="002C1A7E"/>
    <w:rsid w:val="002D3376"/>
    <w:rsid w:val="00311ED0"/>
    <w:rsid w:val="00322652"/>
    <w:rsid w:val="003404D8"/>
    <w:rsid w:val="00360316"/>
    <w:rsid w:val="003648C5"/>
    <w:rsid w:val="003722FA"/>
    <w:rsid w:val="0039534B"/>
    <w:rsid w:val="003971C4"/>
    <w:rsid w:val="003A0E50"/>
    <w:rsid w:val="003C10B5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57FD2"/>
    <w:rsid w:val="004602D6"/>
    <w:rsid w:val="00471B73"/>
    <w:rsid w:val="00492FE1"/>
    <w:rsid w:val="00494FEF"/>
    <w:rsid w:val="0049532B"/>
    <w:rsid w:val="00495CC0"/>
    <w:rsid w:val="004A241F"/>
    <w:rsid w:val="004A2D1D"/>
    <w:rsid w:val="004E3A84"/>
    <w:rsid w:val="005025A1"/>
    <w:rsid w:val="005232C5"/>
    <w:rsid w:val="00557456"/>
    <w:rsid w:val="005602B2"/>
    <w:rsid w:val="00573C7B"/>
    <w:rsid w:val="0058204D"/>
    <w:rsid w:val="00582415"/>
    <w:rsid w:val="00593097"/>
    <w:rsid w:val="005A595C"/>
    <w:rsid w:val="005C6BC7"/>
    <w:rsid w:val="005D70E7"/>
    <w:rsid w:val="00616414"/>
    <w:rsid w:val="0063647F"/>
    <w:rsid w:val="006921E1"/>
    <w:rsid w:val="006A3196"/>
    <w:rsid w:val="006C42BD"/>
    <w:rsid w:val="006E340F"/>
    <w:rsid w:val="006F4B25"/>
    <w:rsid w:val="006F6496"/>
    <w:rsid w:val="00706811"/>
    <w:rsid w:val="00720CBD"/>
    <w:rsid w:val="0073154B"/>
    <w:rsid w:val="00731D82"/>
    <w:rsid w:val="00736348"/>
    <w:rsid w:val="0073752A"/>
    <w:rsid w:val="007574E6"/>
    <w:rsid w:val="00760908"/>
    <w:rsid w:val="00773470"/>
    <w:rsid w:val="007D764C"/>
    <w:rsid w:val="007F238D"/>
    <w:rsid w:val="0080265F"/>
    <w:rsid w:val="008131E9"/>
    <w:rsid w:val="00834437"/>
    <w:rsid w:val="00834CF2"/>
    <w:rsid w:val="00861B92"/>
    <w:rsid w:val="00870D73"/>
    <w:rsid w:val="008814FB"/>
    <w:rsid w:val="008F5E30"/>
    <w:rsid w:val="008F7830"/>
    <w:rsid w:val="00914D7F"/>
    <w:rsid w:val="009176A1"/>
    <w:rsid w:val="00926793"/>
    <w:rsid w:val="00955EC5"/>
    <w:rsid w:val="00961C9E"/>
    <w:rsid w:val="009813A0"/>
    <w:rsid w:val="0099111D"/>
    <w:rsid w:val="00992559"/>
    <w:rsid w:val="009B19D9"/>
    <w:rsid w:val="009C1F2B"/>
    <w:rsid w:val="009C2049"/>
    <w:rsid w:val="009C63FF"/>
    <w:rsid w:val="009D473D"/>
    <w:rsid w:val="009E271E"/>
    <w:rsid w:val="009E680B"/>
    <w:rsid w:val="009F4556"/>
    <w:rsid w:val="009F66BF"/>
    <w:rsid w:val="009F74FD"/>
    <w:rsid w:val="00A15A1F"/>
    <w:rsid w:val="00A17C0C"/>
    <w:rsid w:val="00A20833"/>
    <w:rsid w:val="00A3325A"/>
    <w:rsid w:val="00A43013"/>
    <w:rsid w:val="00A43DA6"/>
    <w:rsid w:val="00A4430C"/>
    <w:rsid w:val="00A664E8"/>
    <w:rsid w:val="00AA3BB3"/>
    <w:rsid w:val="00AC094E"/>
    <w:rsid w:val="00AD240B"/>
    <w:rsid w:val="00AF108A"/>
    <w:rsid w:val="00B02E55"/>
    <w:rsid w:val="00B036C1"/>
    <w:rsid w:val="00B53C35"/>
    <w:rsid w:val="00B5431F"/>
    <w:rsid w:val="00B626DF"/>
    <w:rsid w:val="00B73817"/>
    <w:rsid w:val="00B84B53"/>
    <w:rsid w:val="00BB490A"/>
    <w:rsid w:val="00BF7FE0"/>
    <w:rsid w:val="00C41FDB"/>
    <w:rsid w:val="00C81104"/>
    <w:rsid w:val="00C96411"/>
    <w:rsid w:val="00CB5671"/>
    <w:rsid w:val="00CD4C18"/>
    <w:rsid w:val="00CE64F9"/>
    <w:rsid w:val="00CF58B7"/>
    <w:rsid w:val="00D351C1"/>
    <w:rsid w:val="00D35EFB"/>
    <w:rsid w:val="00D43638"/>
    <w:rsid w:val="00D44387"/>
    <w:rsid w:val="00D47BA7"/>
    <w:rsid w:val="00D504B3"/>
    <w:rsid w:val="00D607D5"/>
    <w:rsid w:val="00D61BEA"/>
    <w:rsid w:val="00D66526"/>
    <w:rsid w:val="00D8132E"/>
    <w:rsid w:val="00D85A3E"/>
    <w:rsid w:val="00D86BF0"/>
    <w:rsid w:val="00DB03DD"/>
    <w:rsid w:val="00DC250C"/>
    <w:rsid w:val="00E03CCB"/>
    <w:rsid w:val="00E14F45"/>
    <w:rsid w:val="00E23430"/>
    <w:rsid w:val="00E3025D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82102"/>
    <w:rsid w:val="00F86893"/>
    <w:rsid w:val="00FA0496"/>
    <w:rsid w:val="00FA2C5A"/>
    <w:rsid w:val="00FC2D11"/>
    <w:rsid w:val="00FC6230"/>
    <w:rsid w:val="00FE3357"/>
    <w:rsid w:val="00FF61E7"/>
    <w:rsid w:val="1DB42E56"/>
    <w:rsid w:val="35C64503"/>
    <w:rsid w:val="770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ListParagraph">
    <w:name w:val="List Paragraph"/>
    <w:basedOn w:val="Normal"/>
    <w:uiPriority w:val="34"/>
    <w:qFormat/>
    <w:rsid w:val="005D70E7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346e5591114862813975e18538b05c xmlns="0eb656aa-4e79-4e95-9076-bc119a23e0cc">
      <Terms xmlns="http://schemas.microsoft.com/office/infopath/2007/PartnerControls"/>
    </m2346e5591114862813975e18538b05c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6" ma:contentTypeDescription="Create a new document." ma:contentTypeScope="" ma:versionID="12ff63fae144ed75b0ddd7b7c1a65ca6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45bb4e80be8ad27102706a60e7e6fc58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552D4-D30B-443C-A662-7C7658B87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FEC36-C6D9-4F55-967F-F76212C52BAB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73BCF207-C621-4A2D-BA22-0F4627771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375</Words>
  <Characters>2417</Characters>
  <Application>Microsoft Office Word</Application>
  <DocSecurity>0</DocSecurity>
  <Lines>125</Lines>
  <Paragraphs>36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2026-06-01T07:26:00Z</dcterms:created>
  <dcterms:modified xsi:type="dcterms:W3CDTF">2026-06-01T07:26:00Z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  <property fmtid="{D5CDD505-2E9C-101B-9397-08002B2CF9AE}" pid="11" name="Condition_x0020_category1">
    <vt:lpwstr/>
  </property>
  <property fmtid="{D5CDD505-2E9C-101B-9397-08002B2CF9AE}" pid="12" name="Condition category1">
    <vt:lpwstr/>
  </property>
</Properties>
</file>